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eastAsia="黑体"/>
          <w:sz w:val="32"/>
          <w:szCs w:val="32"/>
        </w:rPr>
      </w:pPr>
    </w:p>
    <w:p>
      <w:pPr>
        <w:pStyle w:val="5"/>
      </w:pPr>
    </w:p>
    <w:p>
      <w:pPr>
        <w:pStyle w:val="27"/>
        <w:spacing w:line="360" w:lineRule="auto"/>
        <w:jc w:val="center"/>
        <w:rPr>
          <w:rFonts w:hAnsi="宋体"/>
          <w:b/>
          <w:bCs/>
          <w:sz w:val="84"/>
          <w:szCs w:val="84"/>
        </w:rPr>
      </w:pPr>
      <w:r>
        <w:rPr>
          <w:rFonts w:hint="eastAsia" w:hAnsi="宋体"/>
          <w:b/>
          <w:sz w:val="84"/>
          <w:szCs w:val="84"/>
        </w:rPr>
        <w:t>政府采购</w:t>
      </w:r>
    </w:p>
    <w:p>
      <w:pPr>
        <w:pStyle w:val="27"/>
        <w:adjustRightInd w:val="0"/>
        <w:snapToGrid w:val="0"/>
        <w:spacing w:line="360" w:lineRule="auto"/>
        <w:jc w:val="center"/>
        <w:rPr>
          <w:rFonts w:hAnsi="宋体"/>
          <w:b/>
          <w:sz w:val="84"/>
          <w:szCs w:val="84"/>
        </w:rPr>
      </w:pPr>
      <w:r>
        <w:rPr>
          <w:rFonts w:hint="eastAsia" w:hAnsi="宋体"/>
          <w:b/>
          <w:sz w:val="84"/>
          <w:szCs w:val="84"/>
        </w:rPr>
        <w:t>竞争性磋商文件</w:t>
      </w:r>
    </w:p>
    <w:p>
      <w:pPr>
        <w:pStyle w:val="27"/>
        <w:adjustRightInd w:val="0"/>
        <w:snapToGrid w:val="0"/>
        <w:spacing w:line="360" w:lineRule="auto"/>
        <w:ind w:left="846" w:leftChars="403" w:firstLine="157" w:firstLineChars="49"/>
        <w:rPr>
          <w:b/>
          <w:sz w:val="32"/>
          <w:szCs w:val="32"/>
        </w:rPr>
      </w:pPr>
    </w:p>
    <w:p>
      <w:pPr>
        <w:pStyle w:val="27"/>
        <w:adjustRightInd w:val="0"/>
        <w:snapToGrid w:val="0"/>
        <w:spacing w:line="360" w:lineRule="auto"/>
        <w:ind w:left="846" w:leftChars="403" w:firstLine="157" w:firstLineChars="49"/>
        <w:rPr>
          <w:b/>
          <w:sz w:val="32"/>
          <w:szCs w:val="32"/>
        </w:rPr>
      </w:pPr>
    </w:p>
    <w:p>
      <w:pPr>
        <w:pStyle w:val="27"/>
        <w:adjustRightInd w:val="0"/>
        <w:snapToGrid w:val="0"/>
        <w:spacing w:line="360" w:lineRule="auto"/>
        <w:ind w:left="846" w:leftChars="403" w:firstLine="157" w:firstLineChars="49"/>
        <w:rPr>
          <w:b/>
          <w:sz w:val="32"/>
          <w:szCs w:val="32"/>
        </w:rPr>
      </w:pPr>
    </w:p>
    <w:p>
      <w:pPr>
        <w:pStyle w:val="27"/>
        <w:adjustRightInd w:val="0"/>
        <w:snapToGrid w:val="0"/>
        <w:spacing w:line="360" w:lineRule="auto"/>
        <w:ind w:left="846" w:leftChars="403" w:firstLine="157" w:firstLineChars="49"/>
        <w:rPr>
          <w:b/>
          <w:sz w:val="32"/>
          <w:szCs w:val="32"/>
        </w:rPr>
      </w:pPr>
    </w:p>
    <w:p>
      <w:pPr>
        <w:pStyle w:val="27"/>
        <w:adjustRightInd w:val="0"/>
        <w:snapToGrid w:val="0"/>
        <w:spacing w:line="360" w:lineRule="auto"/>
        <w:ind w:left="3200" w:hanging="3200" w:hangingChars="1000"/>
        <w:rPr>
          <w:rFonts w:hint="eastAsia" w:hAnsi="宋体" w:eastAsia="宋体"/>
          <w:sz w:val="32"/>
          <w:szCs w:val="32"/>
          <w:lang w:eastAsia="zh-CN"/>
        </w:rPr>
      </w:pPr>
      <w:r>
        <w:rPr>
          <w:rFonts w:hint="eastAsia" w:hAnsi="宋体"/>
          <w:sz w:val="32"/>
          <w:szCs w:val="32"/>
        </w:rPr>
        <w:t xml:space="preserve">      采购项目名称：</w:t>
      </w:r>
      <w:r>
        <w:rPr>
          <w:rFonts w:hint="eastAsia" w:hAnsi="宋体"/>
          <w:sz w:val="32"/>
          <w:szCs w:val="32"/>
          <w:u w:val="single"/>
          <w:lang w:eastAsia="zh-CN"/>
        </w:rPr>
        <w:t>国家税务总局张家界市税务局食堂餐饮劳务项目采购</w:t>
      </w:r>
    </w:p>
    <w:p>
      <w:pPr>
        <w:pStyle w:val="27"/>
        <w:adjustRightInd w:val="0"/>
        <w:snapToGrid w:val="0"/>
        <w:spacing w:line="360" w:lineRule="auto"/>
        <w:ind w:left="3198" w:leftChars="456" w:hanging="2240" w:hangingChars="700"/>
        <w:rPr>
          <w:rFonts w:hAnsi="宋体"/>
          <w:sz w:val="28"/>
          <w:szCs w:val="28"/>
        </w:rPr>
      </w:pPr>
      <w:r>
        <w:rPr>
          <w:rFonts w:hint="eastAsia" w:hAnsi="宋体"/>
          <w:sz w:val="32"/>
          <w:szCs w:val="32"/>
        </w:rPr>
        <w:t>采   购   人：</w:t>
      </w:r>
      <w:r>
        <w:rPr>
          <w:rFonts w:hint="eastAsia"/>
          <w:sz w:val="28"/>
          <w:szCs w:val="28"/>
          <w:u w:val="single"/>
        </w:rPr>
        <w:t>国家税务总局张家界市税务局</w:t>
      </w:r>
    </w:p>
    <w:p>
      <w:pPr>
        <w:pStyle w:val="27"/>
        <w:adjustRightInd w:val="0"/>
        <w:snapToGrid w:val="0"/>
        <w:spacing w:line="360" w:lineRule="auto"/>
        <w:ind w:firstLine="944" w:firstLineChars="295"/>
        <w:rPr>
          <w:rFonts w:hAnsi="宋体"/>
          <w:sz w:val="32"/>
          <w:szCs w:val="32"/>
        </w:rPr>
      </w:pPr>
      <w:r>
        <w:rPr>
          <w:rFonts w:hint="eastAsia" w:hAnsi="宋体"/>
          <w:sz w:val="32"/>
          <w:szCs w:val="32"/>
        </w:rPr>
        <w:t xml:space="preserve">委托代理编号: </w:t>
      </w:r>
      <w:r>
        <w:rPr>
          <w:rFonts w:hint="eastAsia" w:hAnsi="宋体"/>
          <w:sz w:val="32"/>
          <w:szCs w:val="32"/>
          <w:u w:val="single"/>
        </w:rPr>
        <w:t>YFZB202</w:t>
      </w:r>
      <w:r>
        <w:rPr>
          <w:rFonts w:hint="eastAsia" w:hAnsi="宋体"/>
          <w:sz w:val="32"/>
          <w:szCs w:val="32"/>
          <w:u w:val="single"/>
          <w:lang w:val="en-US" w:eastAsia="zh-CN"/>
        </w:rPr>
        <w:t>3</w:t>
      </w:r>
      <w:r>
        <w:rPr>
          <w:rFonts w:hint="eastAsia" w:hAnsi="宋体"/>
          <w:sz w:val="32"/>
          <w:szCs w:val="32"/>
          <w:u w:val="single"/>
        </w:rPr>
        <w:t>-0</w:t>
      </w:r>
      <w:r>
        <w:rPr>
          <w:rFonts w:hint="eastAsia" w:hAnsi="宋体"/>
          <w:sz w:val="32"/>
          <w:szCs w:val="32"/>
          <w:u w:val="single"/>
          <w:lang w:val="en-US" w:eastAsia="zh-CN"/>
        </w:rPr>
        <w:t>07</w:t>
      </w:r>
    </w:p>
    <w:p>
      <w:pPr>
        <w:pStyle w:val="27"/>
        <w:adjustRightInd w:val="0"/>
        <w:snapToGrid w:val="0"/>
        <w:spacing w:line="360" w:lineRule="auto"/>
        <w:ind w:firstLine="944" w:firstLineChars="295"/>
        <w:rPr>
          <w:rFonts w:hAnsi="宋体"/>
          <w:sz w:val="32"/>
          <w:szCs w:val="32"/>
          <w:u w:val="single"/>
        </w:rPr>
      </w:pPr>
      <w:r>
        <w:rPr>
          <w:rFonts w:hint="eastAsia" w:hAnsi="宋体"/>
          <w:sz w:val="32"/>
          <w:szCs w:val="32"/>
        </w:rPr>
        <w:t>采购代理机构:</w:t>
      </w:r>
      <w:r>
        <w:rPr>
          <w:rFonts w:hint="eastAsia" w:hAnsi="宋体"/>
          <w:sz w:val="32"/>
          <w:szCs w:val="32"/>
          <w:u w:val="single"/>
        </w:rPr>
        <w:t xml:space="preserve"> 张家界市誉丰招标代理有限公司</w:t>
      </w:r>
    </w:p>
    <w:p>
      <w:pPr>
        <w:pStyle w:val="27"/>
        <w:adjustRightInd w:val="0"/>
        <w:snapToGrid w:val="0"/>
        <w:spacing w:line="360" w:lineRule="auto"/>
        <w:ind w:firstLine="948" w:firstLineChars="295"/>
        <w:rPr>
          <w:b/>
          <w:sz w:val="32"/>
          <w:szCs w:val="32"/>
        </w:rPr>
      </w:pPr>
    </w:p>
    <w:p>
      <w:pPr>
        <w:pStyle w:val="27"/>
        <w:adjustRightInd w:val="0"/>
        <w:snapToGrid w:val="0"/>
        <w:spacing w:line="360" w:lineRule="auto"/>
        <w:ind w:firstLine="948" w:firstLineChars="295"/>
        <w:rPr>
          <w:b/>
          <w:sz w:val="32"/>
          <w:szCs w:val="32"/>
        </w:rPr>
      </w:pPr>
    </w:p>
    <w:p>
      <w:pPr>
        <w:pStyle w:val="27"/>
        <w:adjustRightInd w:val="0"/>
        <w:snapToGrid w:val="0"/>
        <w:spacing w:line="360" w:lineRule="auto"/>
        <w:jc w:val="center"/>
        <w:rPr>
          <w:rFonts w:ascii="仿宋_GB2312" w:hAnsi="宋体" w:eastAsia="仿宋_GB2312"/>
          <w:b/>
          <w:sz w:val="32"/>
        </w:rPr>
      </w:pPr>
    </w:p>
    <w:p>
      <w:pPr>
        <w:pStyle w:val="27"/>
        <w:adjustRightInd w:val="0"/>
        <w:snapToGrid w:val="0"/>
        <w:spacing w:line="360" w:lineRule="auto"/>
        <w:jc w:val="center"/>
        <w:rPr>
          <w:rFonts w:ascii="仿宋_GB2312" w:hAnsi="宋体" w:eastAsia="仿宋_GB2312"/>
          <w:b/>
          <w:sz w:val="32"/>
        </w:rPr>
      </w:pPr>
    </w:p>
    <w:p>
      <w:pPr>
        <w:pStyle w:val="27"/>
        <w:adjustRightInd w:val="0"/>
        <w:snapToGrid w:val="0"/>
        <w:spacing w:line="360" w:lineRule="auto"/>
        <w:jc w:val="center"/>
        <w:rPr>
          <w:rFonts w:hAnsi="宋体"/>
          <w:b/>
          <w:sz w:val="32"/>
        </w:rPr>
      </w:pPr>
      <w:r>
        <w:rPr>
          <w:rFonts w:hint="eastAsia" w:hAnsi="宋体"/>
          <w:b/>
          <w:sz w:val="32"/>
          <w:u w:val="single"/>
        </w:rPr>
        <w:t>202</w:t>
      </w:r>
      <w:r>
        <w:rPr>
          <w:rFonts w:hint="eastAsia" w:hAnsi="宋体"/>
          <w:b/>
          <w:sz w:val="32"/>
          <w:u w:val="single"/>
          <w:lang w:val="en-US" w:eastAsia="zh-CN"/>
        </w:rPr>
        <w:t>3</w:t>
      </w:r>
      <w:r>
        <w:rPr>
          <w:rFonts w:hint="eastAsia" w:hAnsi="宋体"/>
          <w:b/>
          <w:sz w:val="32"/>
        </w:rPr>
        <w:t>年</w:t>
      </w:r>
      <w:r>
        <w:rPr>
          <w:rFonts w:hint="eastAsia" w:hAnsi="宋体"/>
          <w:b/>
          <w:sz w:val="32"/>
          <w:u w:val="single"/>
          <w:lang w:val="en-US" w:eastAsia="zh-CN"/>
        </w:rPr>
        <w:t>1</w:t>
      </w:r>
      <w:r>
        <w:rPr>
          <w:rFonts w:hint="eastAsia" w:hAnsi="宋体"/>
          <w:b/>
          <w:sz w:val="32"/>
        </w:rPr>
        <w:t>月</w:t>
      </w:r>
    </w:p>
    <w:p>
      <w:pPr>
        <w:pStyle w:val="27"/>
        <w:adjustRightInd w:val="0"/>
        <w:snapToGrid w:val="0"/>
        <w:spacing w:line="360" w:lineRule="auto"/>
        <w:rPr>
          <w:rFonts w:ascii="方正小标宋_GBK" w:hAnsi="宋体" w:eastAsia="方正小标宋_GBK"/>
          <w:spacing w:val="160"/>
          <w:sz w:val="36"/>
          <w:szCs w:val="36"/>
        </w:rPr>
        <w:sectPr>
          <w:headerReference r:id="rId3" w:type="default"/>
          <w:footerReference r:id="rId4" w:type="default"/>
          <w:footerReference r:id="rId5" w:type="even"/>
          <w:pgSz w:w="11906" w:h="16838"/>
          <w:pgMar w:top="1440" w:right="1531" w:bottom="1440" w:left="1531" w:header="851" w:footer="992" w:gutter="0"/>
          <w:pgNumType w:fmt="numberInDash" w:start="1"/>
          <w:cols w:space="720" w:num="1"/>
          <w:docGrid w:type="lines" w:linePitch="312" w:charSpace="0"/>
        </w:sectPr>
      </w:pPr>
    </w:p>
    <w:p>
      <w:pPr>
        <w:adjustRightInd w:val="0"/>
        <w:snapToGrid w:val="0"/>
        <w:spacing w:line="360" w:lineRule="auto"/>
        <w:jc w:val="center"/>
        <w:rPr>
          <w:rFonts w:ascii="新宋体" w:hAnsi="新宋体" w:eastAsia="新宋体" w:cs="新宋体"/>
          <w:b/>
          <w:sz w:val="32"/>
          <w:szCs w:val="32"/>
        </w:rPr>
      </w:pPr>
    </w:p>
    <w:p>
      <w:pPr>
        <w:adjustRightInd w:val="0"/>
        <w:snapToGrid w:val="0"/>
        <w:spacing w:line="360" w:lineRule="auto"/>
        <w:jc w:val="center"/>
        <w:rPr>
          <w:rFonts w:ascii="新宋体" w:hAnsi="新宋体" w:eastAsia="新宋体" w:cs="新宋体"/>
          <w:b/>
          <w:spacing w:val="160"/>
          <w:sz w:val="36"/>
          <w:szCs w:val="36"/>
        </w:rPr>
      </w:pPr>
      <w:r>
        <w:rPr>
          <w:rFonts w:hint="eastAsia" w:ascii="新宋体" w:hAnsi="新宋体" w:eastAsia="新宋体" w:cs="新宋体"/>
          <w:b/>
          <w:sz w:val="32"/>
          <w:szCs w:val="32"/>
        </w:rPr>
        <w:t>目  录</w:t>
      </w:r>
    </w:p>
    <w:p>
      <w:pPr>
        <w:adjustRightInd w:val="0"/>
        <w:snapToGrid w:val="0"/>
        <w:spacing w:line="360" w:lineRule="auto"/>
        <w:rPr>
          <w:rFonts w:ascii="新宋体" w:hAnsi="新宋体" w:eastAsia="新宋体" w:cs="新宋体"/>
          <w:szCs w:val="21"/>
        </w:rPr>
      </w:pPr>
    </w:p>
    <w:p>
      <w:pPr>
        <w:adjustRightInd w:val="0"/>
        <w:snapToGrid w:val="0"/>
        <w:spacing w:line="360" w:lineRule="auto"/>
        <w:rPr>
          <w:rFonts w:ascii="新宋体" w:hAnsi="新宋体" w:eastAsia="新宋体" w:cs="新宋体"/>
          <w:b/>
          <w:szCs w:val="21"/>
        </w:rPr>
      </w:pPr>
      <w:r>
        <w:rPr>
          <w:rFonts w:hint="eastAsia" w:ascii="新宋体" w:hAnsi="新宋体" w:eastAsia="新宋体" w:cs="新宋体"/>
          <w:b/>
          <w:szCs w:val="21"/>
        </w:rPr>
        <w:t>第一章  磋商通知</w:t>
      </w:r>
    </w:p>
    <w:p>
      <w:pPr>
        <w:adjustRightInd w:val="0"/>
        <w:snapToGrid w:val="0"/>
        <w:spacing w:line="360" w:lineRule="auto"/>
        <w:rPr>
          <w:rFonts w:ascii="新宋体" w:hAnsi="新宋体" w:eastAsia="新宋体" w:cs="新宋体"/>
          <w:b/>
          <w:szCs w:val="21"/>
        </w:rPr>
      </w:pPr>
      <w:r>
        <w:rPr>
          <w:rFonts w:hint="eastAsia" w:ascii="新宋体" w:hAnsi="新宋体" w:eastAsia="新宋体" w:cs="新宋体"/>
          <w:b/>
          <w:szCs w:val="21"/>
        </w:rPr>
        <w:t>第二章  磋商须知</w:t>
      </w:r>
    </w:p>
    <w:p>
      <w:pPr>
        <w:adjustRightInd w:val="0"/>
        <w:snapToGrid w:val="0"/>
        <w:spacing w:line="360" w:lineRule="auto"/>
        <w:ind w:firstLine="850" w:firstLineChars="405"/>
        <w:rPr>
          <w:rFonts w:ascii="新宋体" w:hAnsi="新宋体" w:eastAsia="新宋体" w:cs="新宋体"/>
          <w:szCs w:val="21"/>
        </w:rPr>
      </w:pPr>
      <w:r>
        <w:rPr>
          <w:rFonts w:hint="eastAsia" w:ascii="新宋体" w:hAnsi="新宋体" w:eastAsia="新宋体" w:cs="新宋体"/>
          <w:szCs w:val="21"/>
        </w:rPr>
        <w:t>磋商须知前附表</w:t>
      </w:r>
    </w:p>
    <w:p>
      <w:pPr>
        <w:adjustRightInd w:val="0"/>
        <w:snapToGrid w:val="0"/>
        <w:spacing w:line="360" w:lineRule="auto"/>
        <w:ind w:firstLine="850" w:firstLineChars="405"/>
        <w:rPr>
          <w:rFonts w:ascii="新宋体" w:hAnsi="新宋体" w:eastAsia="新宋体" w:cs="新宋体"/>
          <w:szCs w:val="21"/>
        </w:rPr>
      </w:pPr>
      <w:r>
        <w:rPr>
          <w:rFonts w:hint="eastAsia" w:ascii="新宋体" w:hAnsi="新宋体" w:eastAsia="新宋体" w:cs="新宋体"/>
          <w:szCs w:val="21"/>
        </w:rPr>
        <w:t>磋商须知正文</w:t>
      </w:r>
    </w:p>
    <w:p>
      <w:pPr>
        <w:adjustRightInd w:val="0"/>
        <w:snapToGrid w:val="0"/>
        <w:spacing w:line="360" w:lineRule="auto"/>
        <w:ind w:firstLine="850" w:firstLineChars="405"/>
        <w:rPr>
          <w:rFonts w:ascii="新宋体" w:hAnsi="新宋体" w:eastAsia="新宋体" w:cs="新宋体"/>
          <w:szCs w:val="21"/>
        </w:rPr>
      </w:pPr>
      <w:r>
        <w:rPr>
          <w:rFonts w:hint="eastAsia" w:ascii="新宋体" w:hAnsi="新宋体" w:eastAsia="新宋体" w:cs="新宋体"/>
          <w:szCs w:val="21"/>
        </w:rPr>
        <w:t>一、说明</w:t>
      </w:r>
    </w:p>
    <w:p>
      <w:pPr>
        <w:adjustRightInd w:val="0"/>
        <w:snapToGrid w:val="0"/>
        <w:spacing w:line="360" w:lineRule="auto"/>
        <w:ind w:firstLine="850" w:firstLineChars="405"/>
        <w:rPr>
          <w:rFonts w:ascii="新宋体" w:hAnsi="新宋体" w:eastAsia="新宋体" w:cs="新宋体"/>
          <w:szCs w:val="21"/>
        </w:rPr>
      </w:pPr>
      <w:r>
        <w:rPr>
          <w:rFonts w:hint="eastAsia" w:ascii="新宋体" w:hAnsi="新宋体" w:eastAsia="新宋体" w:cs="新宋体"/>
          <w:szCs w:val="21"/>
        </w:rPr>
        <w:t>二、</w:t>
      </w:r>
      <w:r>
        <w:rPr>
          <w:rFonts w:hint="eastAsia" w:ascii="新宋体" w:hAnsi="新宋体" w:eastAsia="新宋体" w:cs="新宋体"/>
          <w:bCs/>
          <w:szCs w:val="21"/>
        </w:rPr>
        <w:t>磋商</w:t>
      </w:r>
      <w:r>
        <w:rPr>
          <w:rFonts w:hint="eastAsia" w:ascii="新宋体" w:hAnsi="新宋体" w:eastAsia="新宋体" w:cs="新宋体"/>
          <w:szCs w:val="21"/>
        </w:rPr>
        <w:t>文件</w:t>
      </w:r>
    </w:p>
    <w:p>
      <w:pPr>
        <w:adjustRightInd w:val="0"/>
        <w:snapToGrid w:val="0"/>
        <w:spacing w:line="360" w:lineRule="auto"/>
        <w:ind w:firstLine="850" w:firstLineChars="405"/>
        <w:rPr>
          <w:rFonts w:ascii="新宋体" w:hAnsi="新宋体" w:eastAsia="新宋体" w:cs="新宋体"/>
          <w:szCs w:val="21"/>
        </w:rPr>
      </w:pPr>
      <w:r>
        <w:rPr>
          <w:rFonts w:hint="eastAsia" w:ascii="新宋体" w:hAnsi="新宋体" w:eastAsia="新宋体" w:cs="新宋体"/>
          <w:szCs w:val="21"/>
        </w:rPr>
        <w:t>三、响应文件</w:t>
      </w:r>
    </w:p>
    <w:p>
      <w:pPr>
        <w:adjustRightInd w:val="0"/>
        <w:snapToGrid w:val="0"/>
        <w:spacing w:line="360" w:lineRule="auto"/>
        <w:ind w:firstLine="850" w:firstLineChars="405"/>
        <w:rPr>
          <w:rFonts w:ascii="新宋体" w:hAnsi="新宋体" w:eastAsia="新宋体" w:cs="新宋体"/>
          <w:szCs w:val="21"/>
        </w:rPr>
      </w:pPr>
      <w:r>
        <w:rPr>
          <w:rFonts w:hint="eastAsia" w:ascii="新宋体" w:hAnsi="新宋体" w:eastAsia="新宋体" w:cs="新宋体"/>
          <w:szCs w:val="21"/>
        </w:rPr>
        <w:t>四、响应文件的递交</w:t>
      </w:r>
    </w:p>
    <w:p>
      <w:pPr>
        <w:adjustRightInd w:val="0"/>
        <w:snapToGrid w:val="0"/>
        <w:spacing w:line="360" w:lineRule="auto"/>
        <w:ind w:firstLine="850" w:firstLineChars="405"/>
        <w:rPr>
          <w:rFonts w:ascii="新宋体" w:hAnsi="新宋体" w:eastAsia="新宋体" w:cs="新宋体"/>
          <w:bCs/>
          <w:szCs w:val="21"/>
        </w:rPr>
      </w:pPr>
      <w:r>
        <w:rPr>
          <w:rFonts w:hint="eastAsia" w:ascii="新宋体" w:hAnsi="新宋体" w:eastAsia="新宋体" w:cs="新宋体"/>
          <w:bCs/>
          <w:szCs w:val="21"/>
        </w:rPr>
        <w:t>五、</w:t>
      </w:r>
      <w:r>
        <w:rPr>
          <w:rFonts w:hint="eastAsia" w:ascii="新宋体" w:hAnsi="新宋体" w:eastAsia="新宋体" w:cs="新宋体"/>
          <w:szCs w:val="21"/>
        </w:rPr>
        <w:t>响应文件</w:t>
      </w:r>
      <w:r>
        <w:rPr>
          <w:rFonts w:hint="eastAsia" w:ascii="新宋体" w:hAnsi="新宋体" w:eastAsia="新宋体" w:cs="新宋体"/>
          <w:bCs/>
          <w:szCs w:val="21"/>
        </w:rPr>
        <w:t>的</w:t>
      </w:r>
      <w:r>
        <w:rPr>
          <w:rFonts w:hint="eastAsia" w:ascii="新宋体" w:hAnsi="新宋体" w:eastAsia="新宋体" w:cs="新宋体"/>
          <w:szCs w:val="21"/>
        </w:rPr>
        <w:t>磋商与评审</w:t>
      </w:r>
    </w:p>
    <w:p>
      <w:pPr>
        <w:adjustRightInd w:val="0"/>
        <w:snapToGrid w:val="0"/>
        <w:spacing w:line="360" w:lineRule="auto"/>
        <w:ind w:firstLine="850" w:firstLineChars="405"/>
        <w:rPr>
          <w:rFonts w:ascii="新宋体" w:hAnsi="新宋体" w:eastAsia="新宋体" w:cs="新宋体"/>
          <w:szCs w:val="21"/>
        </w:rPr>
      </w:pPr>
      <w:r>
        <w:rPr>
          <w:rFonts w:hint="eastAsia" w:ascii="新宋体" w:hAnsi="新宋体" w:eastAsia="新宋体" w:cs="新宋体"/>
          <w:szCs w:val="21"/>
        </w:rPr>
        <w:t>六、成交结果信息公布与授予合同</w:t>
      </w:r>
    </w:p>
    <w:p>
      <w:pPr>
        <w:adjustRightInd w:val="0"/>
        <w:snapToGrid w:val="0"/>
        <w:spacing w:line="360" w:lineRule="auto"/>
        <w:ind w:firstLine="850" w:firstLineChars="405"/>
        <w:rPr>
          <w:rFonts w:ascii="新宋体" w:hAnsi="新宋体" w:eastAsia="新宋体" w:cs="新宋体"/>
          <w:szCs w:val="21"/>
        </w:rPr>
      </w:pPr>
      <w:r>
        <w:rPr>
          <w:rFonts w:hint="eastAsia" w:ascii="新宋体" w:hAnsi="新宋体" w:eastAsia="新宋体" w:cs="新宋体"/>
          <w:szCs w:val="21"/>
        </w:rPr>
        <w:t>七、其他规定</w:t>
      </w:r>
    </w:p>
    <w:p>
      <w:pPr>
        <w:adjustRightInd w:val="0"/>
        <w:snapToGrid w:val="0"/>
        <w:spacing w:line="360" w:lineRule="auto"/>
        <w:rPr>
          <w:rFonts w:ascii="新宋体" w:hAnsi="新宋体" w:eastAsia="新宋体" w:cs="新宋体"/>
          <w:b/>
          <w:szCs w:val="21"/>
        </w:rPr>
      </w:pPr>
      <w:r>
        <w:rPr>
          <w:rFonts w:hint="eastAsia" w:ascii="新宋体" w:hAnsi="新宋体" w:eastAsia="新宋体" w:cs="新宋体"/>
          <w:b/>
          <w:szCs w:val="21"/>
        </w:rPr>
        <w:t>第三章  合同草案条款</w:t>
      </w:r>
    </w:p>
    <w:p>
      <w:pPr>
        <w:adjustRightInd w:val="0"/>
        <w:snapToGrid w:val="0"/>
        <w:spacing w:line="360" w:lineRule="auto"/>
        <w:rPr>
          <w:rFonts w:ascii="新宋体" w:hAnsi="新宋体" w:eastAsia="新宋体" w:cs="新宋体"/>
          <w:b/>
          <w:szCs w:val="21"/>
        </w:rPr>
      </w:pPr>
      <w:r>
        <w:rPr>
          <w:rFonts w:hint="eastAsia" w:ascii="新宋体" w:hAnsi="新宋体" w:eastAsia="新宋体" w:cs="新宋体"/>
          <w:b/>
          <w:szCs w:val="21"/>
        </w:rPr>
        <w:t>第四章  采购需求</w:t>
      </w:r>
    </w:p>
    <w:p>
      <w:pPr>
        <w:adjustRightInd w:val="0"/>
        <w:snapToGrid w:val="0"/>
        <w:spacing w:line="360" w:lineRule="auto"/>
        <w:rPr>
          <w:rFonts w:ascii="新宋体" w:hAnsi="新宋体" w:eastAsia="新宋体" w:cs="新宋体"/>
          <w:b/>
          <w:szCs w:val="21"/>
        </w:rPr>
      </w:pPr>
      <w:r>
        <w:rPr>
          <w:rFonts w:hint="eastAsia" w:ascii="新宋体" w:hAnsi="新宋体" w:eastAsia="新宋体" w:cs="新宋体"/>
          <w:b/>
          <w:szCs w:val="21"/>
        </w:rPr>
        <w:t>第五章  响应文件组成</w:t>
      </w:r>
    </w:p>
    <w:p>
      <w:pPr>
        <w:pStyle w:val="27"/>
        <w:adjustRightInd w:val="0"/>
        <w:snapToGrid w:val="0"/>
        <w:spacing w:line="360" w:lineRule="auto"/>
        <w:rPr>
          <w:rFonts w:hAnsi="宋体"/>
          <w:b/>
          <w:sz w:val="24"/>
          <w:szCs w:val="24"/>
        </w:rPr>
      </w:pPr>
    </w:p>
    <w:p>
      <w:pPr>
        <w:spacing w:line="360" w:lineRule="auto"/>
        <w:rPr>
          <w:rFonts w:ascii="黑体" w:eastAsia="黑体"/>
          <w:b/>
          <w:sz w:val="24"/>
        </w:rPr>
      </w:pPr>
    </w:p>
    <w:p>
      <w:pPr>
        <w:spacing w:line="360" w:lineRule="auto"/>
        <w:rPr>
          <w:rFonts w:ascii="黑体" w:eastAsia="黑体"/>
          <w:b/>
          <w:sz w:val="24"/>
        </w:rPr>
      </w:pPr>
    </w:p>
    <w:p>
      <w:pPr>
        <w:spacing w:line="360" w:lineRule="auto"/>
        <w:rPr>
          <w:rFonts w:ascii="黑体" w:eastAsia="黑体"/>
          <w:b/>
          <w:sz w:val="24"/>
        </w:rPr>
      </w:pPr>
    </w:p>
    <w:p>
      <w:pPr>
        <w:spacing w:line="360" w:lineRule="auto"/>
        <w:rPr>
          <w:rFonts w:ascii="黑体" w:eastAsia="黑体"/>
          <w:b/>
          <w:sz w:val="24"/>
        </w:rPr>
      </w:pPr>
    </w:p>
    <w:p>
      <w:pPr>
        <w:spacing w:line="360" w:lineRule="auto"/>
        <w:rPr>
          <w:rFonts w:ascii="黑体" w:eastAsia="黑体"/>
          <w:b/>
          <w:sz w:val="24"/>
        </w:rPr>
      </w:pPr>
    </w:p>
    <w:p>
      <w:pPr>
        <w:spacing w:line="360" w:lineRule="auto"/>
        <w:jc w:val="center"/>
        <w:rPr>
          <w:rFonts w:ascii="黑体" w:hAnsi="宋体" w:eastAsia="黑体"/>
          <w:sz w:val="32"/>
          <w:szCs w:val="32"/>
        </w:rPr>
      </w:pPr>
    </w:p>
    <w:p>
      <w:pPr>
        <w:pStyle w:val="2"/>
        <w:ind w:firstLine="640"/>
        <w:rPr>
          <w:rFonts w:ascii="黑体" w:hAnsi="宋体" w:eastAsia="黑体"/>
          <w:sz w:val="32"/>
          <w:szCs w:val="32"/>
        </w:rPr>
      </w:pPr>
    </w:p>
    <w:p>
      <w:pPr>
        <w:pStyle w:val="4"/>
      </w:pPr>
    </w:p>
    <w:p>
      <w:pPr>
        <w:spacing w:line="360" w:lineRule="auto"/>
        <w:jc w:val="center"/>
        <w:rPr>
          <w:rFonts w:ascii="黑体" w:hAnsi="宋体" w:eastAsia="黑体"/>
          <w:sz w:val="32"/>
          <w:szCs w:val="32"/>
        </w:rPr>
      </w:pPr>
    </w:p>
    <w:p>
      <w:pPr>
        <w:pStyle w:val="2"/>
        <w:ind w:firstLine="640"/>
        <w:rPr>
          <w:rFonts w:ascii="黑体" w:hAnsi="宋体" w:eastAsia="黑体"/>
          <w:sz w:val="32"/>
          <w:szCs w:val="32"/>
        </w:rPr>
      </w:pPr>
    </w:p>
    <w:p>
      <w:pPr>
        <w:pStyle w:val="4"/>
      </w:pPr>
    </w:p>
    <w:p>
      <w:pPr>
        <w:pStyle w:val="67"/>
        <w:spacing w:line="360" w:lineRule="auto"/>
        <w:ind w:firstLine="420"/>
      </w:pPr>
    </w:p>
    <w:p>
      <w:pPr>
        <w:pStyle w:val="67"/>
        <w:spacing w:line="360" w:lineRule="auto"/>
        <w:ind w:firstLine="420"/>
      </w:pPr>
    </w:p>
    <w:p>
      <w:pPr>
        <w:spacing w:line="360" w:lineRule="auto"/>
        <w:jc w:val="center"/>
        <w:rPr>
          <w:rFonts w:ascii="黑体" w:hAnsi="宋体" w:eastAsia="黑体"/>
          <w:b/>
          <w:sz w:val="32"/>
          <w:szCs w:val="32"/>
        </w:rPr>
      </w:pPr>
      <w:r>
        <w:rPr>
          <w:rFonts w:hint="eastAsia" w:ascii="黑体" w:hAnsi="宋体" w:eastAsia="黑体"/>
          <w:b/>
          <w:sz w:val="32"/>
          <w:szCs w:val="32"/>
        </w:rPr>
        <w:t>第一章  磋商邀请</w:t>
      </w:r>
    </w:p>
    <w:p>
      <w:pPr>
        <w:widowControl/>
        <w:spacing w:line="360" w:lineRule="auto"/>
        <w:ind w:left="75" w:firstLine="508" w:firstLineChars="242"/>
        <w:rPr>
          <w:rFonts w:ascii="新宋体" w:hAnsi="新宋体" w:eastAsia="新宋体" w:cs="新宋体"/>
          <w:szCs w:val="21"/>
        </w:rPr>
      </w:pPr>
      <w:r>
        <w:rPr>
          <w:rFonts w:hint="eastAsia" w:ascii="新宋体" w:hAnsi="新宋体" w:eastAsia="新宋体" w:cs="新宋体"/>
          <w:kern w:val="0"/>
          <w:szCs w:val="21"/>
          <w:u w:val="single"/>
        </w:rPr>
        <w:t>国家税务总局张家界市税务局</w:t>
      </w:r>
      <w:r>
        <w:rPr>
          <w:rFonts w:hint="eastAsia" w:ascii="新宋体" w:hAnsi="新宋体" w:eastAsia="新宋体" w:cs="新宋体"/>
          <w:kern w:val="0"/>
          <w:szCs w:val="21"/>
        </w:rPr>
        <w:t>的</w:t>
      </w:r>
      <w:r>
        <w:rPr>
          <w:rFonts w:hint="eastAsia" w:ascii="新宋体" w:hAnsi="新宋体" w:eastAsia="新宋体" w:cs="新宋体"/>
          <w:kern w:val="0"/>
          <w:szCs w:val="21"/>
          <w:u w:val="single"/>
          <w:lang w:eastAsia="zh-CN"/>
        </w:rPr>
        <w:t>食堂餐饮劳务采购</w:t>
      </w:r>
      <w:r>
        <w:rPr>
          <w:rFonts w:hint="eastAsia" w:ascii="新宋体" w:hAnsi="新宋体" w:eastAsia="新宋体" w:cs="新宋体"/>
          <w:kern w:val="0"/>
          <w:szCs w:val="21"/>
        </w:rPr>
        <w:t xml:space="preserve"> （委托代理编号：</w:t>
      </w:r>
      <w:r>
        <w:rPr>
          <w:rFonts w:hint="eastAsia" w:ascii="宋体" w:hAnsi="宋体" w:eastAsia="新宋体"/>
          <w:szCs w:val="21"/>
        </w:rPr>
        <w:t>YFZB202</w:t>
      </w:r>
      <w:r>
        <w:rPr>
          <w:rFonts w:hint="eastAsia" w:ascii="宋体" w:hAnsi="宋体" w:eastAsia="新宋体"/>
          <w:szCs w:val="21"/>
          <w:lang w:val="en-US" w:eastAsia="zh-CN"/>
        </w:rPr>
        <w:t>3</w:t>
      </w:r>
      <w:r>
        <w:rPr>
          <w:rFonts w:hint="eastAsia" w:ascii="宋体" w:hAnsi="宋体" w:eastAsia="新宋体"/>
          <w:szCs w:val="21"/>
        </w:rPr>
        <w:t>-0</w:t>
      </w:r>
      <w:r>
        <w:rPr>
          <w:rFonts w:hint="eastAsia" w:ascii="宋体" w:hAnsi="宋体" w:eastAsia="新宋体"/>
          <w:szCs w:val="21"/>
          <w:lang w:val="en-US" w:eastAsia="zh-CN"/>
        </w:rPr>
        <w:t>07</w:t>
      </w:r>
      <w:r>
        <w:rPr>
          <w:rFonts w:hint="eastAsia" w:ascii="宋体" w:hAnsi="宋体"/>
          <w:szCs w:val="21"/>
        </w:rPr>
        <w:t>）</w:t>
      </w:r>
      <w:r>
        <w:rPr>
          <w:rFonts w:hint="eastAsia" w:ascii="新宋体" w:hAnsi="新宋体" w:eastAsia="新宋体" w:cs="新宋体"/>
          <w:kern w:val="0"/>
          <w:szCs w:val="21"/>
        </w:rPr>
        <w:t>项目进行竞争性磋商采购，现采用发布公告的方式，邀请符合资格条件的供应商参与竞争性磋商采购活动。</w:t>
      </w:r>
    </w:p>
    <w:p>
      <w:pPr>
        <w:keepNext/>
        <w:keepLines/>
        <w:adjustRightInd w:val="0"/>
        <w:snapToGrid w:val="0"/>
        <w:spacing w:beforeLines="50" w:line="360" w:lineRule="auto"/>
        <w:outlineLvl w:val="1"/>
        <w:rPr>
          <w:rFonts w:ascii="黑体" w:hAnsi="黑体" w:eastAsia="黑体"/>
          <w:b/>
          <w:bCs/>
          <w:sz w:val="24"/>
          <w:szCs w:val="32"/>
        </w:rPr>
      </w:pPr>
      <w:bookmarkStart w:id="0" w:name="_Toc22201055"/>
      <w:bookmarkStart w:id="1" w:name="_Toc969"/>
      <w:bookmarkStart w:id="2" w:name="_Toc3494"/>
      <w:bookmarkStart w:id="3" w:name="_Toc22201062"/>
      <w:bookmarkStart w:id="4" w:name="_Toc25048"/>
      <w:r>
        <w:rPr>
          <w:rFonts w:hint="eastAsia" w:ascii="黑体" w:hAnsi="黑体" w:eastAsia="黑体"/>
          <w:b/>
          <w:bCs/>
          <w:sz w:val="24"/>
          <w:szCs w:val="32"/>
        </w:rPr>
        <w:t>一、采购项目</w:t>
      </w:r>
      <w:bookmarkEnd w:id="0"/>
      <w:r>
        <w:rPr>
          <w:rFonts w:hint="eastAsia" w:ascii="黑体" w:hAnsi="黑体" w:eastAsia="黑体"/>
          <w:b/>
          <w:bCs/>
          <w:sz w:val="24"/>
          <w:szCs w:val="32"/>
        </w:rPr>
        <w:t>基本情况</w:t>
      </w:r>
      <w:bookmarkEnd w:id="1"/>
      <w:bookmarkEnd w:id="2"/>
    </w:p>
    <w:p>
      <w:pPr>
        <w:adjustRightInd w:val="0"/>
        <w:snapToGrid w:val="0"/>
        <w:spacing w:line="360" w:lineRule="auto"/>
        <w:ind w:firstLine="420" w:firstLineChars="200"/>
        <w:rPr>
          <w:rFonts w:hint="eastAsia" w:ascii="宋体" w:hAnsi="宋体" w:eastAsia="宋体"/>
          <w:szCs w:val="21"/>
          <w:lang w:eastAsia="zh-CN"/>
        </w:rPr>
      </w:pPr>
      <w:r>
        <w:rPr>
          <w:rFonts w:hint="eastAsia" w:ascii="宋体" w:hAnsi="宋体"/>
          <w:szCs w:val="21"/>
        </w:rPr>
        <w:t>1、采购项目名称：</w:t>
      </w:r>
      <w:r>
        <w:rPr>
          <w:rFonts w:hint="eastAsia" w:ascii="新宋体" w:hAnsi="新宋体" w:eastAsia="新宋体" w:cs="新宋体"/>
          <w:kern w:val="0"/>
          <w:szCs w:val="21"/>
          <w:u w:val="single"/>
          <w:lang w:eastAsia="zh-CN"/>
        </w:rPr>
        <w:t>国家税务总局张家界市税务局食堂餐饮劳务项目采购</w:t>
      </w:r>
    </w:p>
    <w:p>
      <w:pPr>
        <w:adjustRightInd w:val="0"/>
        <w:snapToGrid w:val="0"/>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2、委托代理编号：</w:t>
      </w:r>
      <w:r>
        <w:rPr>
          <w:rFonts w:hint="eastAsia" w:ascii="宋体" w:hAnsi="宋体"/>
          <w:szCs w:val="21"/>
          <w:u w:val="single"/>
        </w:rPr>
        <w:t>YFZB202</w:t>
      </w:r>
      <w:r>
        <w:rPr>
          <w:rFonts w:hint="eastAsia" w:ascii="宋体" w:hAnsi="宋体"/>
          <w:szCs w:val="21"/>
          <w:u w:val="single"/>
          <w:lang w:val="en-US" w:eastAsia="zh-CN"/>
        </w:rPr>
        <w:t>3</w:t>
      </w:r>
      <w:r>
        <w:rPr>
          <w:rFonts w:hint="eastAsia" w:ascii="宋体" w:hAnsi="宋体"/>
          <w:szCs w:val="21"/>
          <w:u w:val="single"/>
        </w:rPr>
        <w:t>-0</w:t>
      </w:r>
      <w:r>
        <w:rPr>
          <w:rFonts w:hint="eastAsia" w:ascii="宋体" w:hAnsi="宋体"/>
          <w:szCs w:val="21"/>
          <w:u w:val="single"/>
          <w:lang w:val="en-US" w:eastAsia="zh-CN"/>
        </w:rPr>
        <w:t>07</w:t>
      </w:r>
    </w:p>
    <w:p>
      <w:pPr>
        <w:adjustRightInd w:val="0"/>
        <w:snapToGrid w:val="0"/>
        <w:spacing w:line="360" w:lineRule="auto"/>
        <w:ind w:firstLine="420" w:firstLineChars="200"/>
        <w:rPr>
          <w:rFonts w:ascii="宋体" w:hAnsi="宋体"/>
          <w:bCs/>
          <w:szCs w:val="21"/>
        </w:rPr>
      </w:pPr>
      <w:bookmarkStart w:id="5" w:name="_Toc22201056"/>
      <w:r>
        <w:rPr>
          <w:rFonts w:hint="eastAsia" w:ascii="宋体" w:hAnsi="宋体"/>
          <w:bCs/>
          <w:szCs w:val="21"/>
        </w:rPr>
        <w:t>3、采购项目预算：</w:t>
      </w:r>
      <w:r>
        <w:rPr>
          <w:rFonts w:hint="eastAsia" w:ascii="新宋体" w:hAnsi="新宋体" w:eastAsia="新宋体" w:cs="新宋体"/>
          <w:color w:val="000000"/>
          <w:kern w:val="0"/>
          <w:szCs w:val="21"/>
          <w:u w:val="single"/>
        </w:rPr>
        <w:t>1</w:t>
      </w:r>
      <w:r>
        <w:rPr>
          <w:rFonts w:hint="eastAsia" w:ascii="新宋体" w:hAnsi="新宋体" w:eastAsia="新宋体" w:cs="新宋体"/>
          <w:color w:val="000000"/>
          <w:kern w:val="0"/>
          <w:szCs w:val="21"/>
          <w:u w:val="single"/>
          <w:lang w:val="en-US" w:eastAsia="zh-CN"/>
        </w:rPr>
        <w:t>30</w:t>
      </w:r>
      <w:r>
        <w:rPr>
          <w:rFonts w:hint="eastAsia" w:ascii="宋体" w:hAnsi="宋体"/>
          <w:bCs/>
          <w:szCs w:val="21"/>
          <w:u w:val="single"/>
        </w:rPr>
        <w:t xml:space="preserve">万元  </w:t>
      </w:r>
    </w:p>
    <w:p>
      <w:pPr>
        <w:adjustRightInd w:val="0"/>
        <w:snapToGrid w:val="0"/>
        <w:spacing w:line="360" w:lineRule="auto"/>
        <w:ind w:firstLine="630" w:firstLineChars="300"/>
        <w:rPr>
          <w:rFonts w:ascii="宋体" w:hAnsi="宋体"/>
          <w:bCs/>
          <w:szCs w:val="21"/>
          <w:u w:val="single"/>
        </w:rPr>
      </w:pPr>
      <w:r>
        <w:rPr>
          <w:rFonts w:hint="eastAsia" w:ascii="宋体" w:hAnsi="宋体"/>
          <w:iCs/>
          <w:szCs w:val="21"/>
        </w:rPr>
        <w:sym w:font="Wingdings" w:char="00A8"/>
      </w:r>
      <w:r>
        <w:rPr>
          <w:rFonts w:hint="eastAsia" w:ascii="宋体" w:hAnsi="宋体"/>
          <w:iCs/>
          <w:szCs w:val="21"/>
        </w:rPr>
        <w:t>支持</w:t>
      </w:r>
      <w:r>
        <w:rPr>
          <w:rFonts w:hint="eastAsia" w:ascii="宋体" w:hAnsi="宋体"/>
          <w:bCs/>
          <w:szCs w:val="21"/>
        </w:rPr>
        <w:t>预付款，预付比例：</w:t>
      </w:r>
      <w:r>
        <w:rPr>
          <w:rFonts w:hint="eastAsia" w:ascii="宋体" w:hAnsi="宋体"/>
          <w:bCs/>
          <w:szCs w:val="21"/>
          <w:u w:val="single"/>
        </w:rPr>
        <w:t xml:space="preserve">    /       </w:t>
      </w:r>
    </w:p>
    <w:p>
      <w:pPr>
        <w:adjustRightInd w:val="0"/>
        <w:snapToGrid w:val="0"/>
        <w:spacing w:line="360" w:lineRule="auto"/>
        <w:ind w:firstLine="420" w:firstLineChars="200"/>
        <w:rPr>
          <w:rFonts w:ascii="宋体" w:hAnsi="宋体"/>
          <w:szCs w:val="21"/>
          <w:u w:val="single"/>
        </w:rPr>
      </w:pPr>
      <w:r>
        <w:rPr>
          <w:rFonts w:hint="eastAsia" w:ascii="宋体" w:hAnsi="宋体"/>
          <w:bCs/>
          <w:szCs w:val="21"/>
        </w:rPr>
        <w:t>4、本项目</w:t>
      </w:r>
      <w:r>
        <w:rPr>
          <w:rFonts w:hint="eastAsia" w:ascii="宋体" w:hAnsi="宋体"/>
          <w:szCs w:val="21"/>
        </w:rPr>
        <w:t>对应的中小企业划分标准所属行业：</w:t>
      </w:r>
      <w:r>
        <w:rPr>
          <w:rFonts w:hint="eastAsia" w:ascii="宋体" w:hAnsi="宋体"/>
          <w:szCs w:val="21"/>
          <w:u w:val="single"/>
        </w:rPr>
        <w:t xml:space="preserve">   </w:t>
      </w:r>
      <w:r>
        <w:rPr>
          <w:rFonts w:hint="eastAsia" w:ascii="宋体" w:hAnsi="宋体"/>
          <w:szCs w:val="21"/>
          <w:u w:val="single"/>
          <w:lang w:eastAsia="zh-CN"/>
        </w:rPr>
        <w:t>餐饮业</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bCs/>
          <w:szCs w:val="21"/>
          <w:u w:val="single"/>
        </w:rPr>
      </w:pPr>
      <w:r>
        <w:rPr>
          <w:rFonts w:hint="eastAsia" w:ascii="宋体" w:hAnsi="宋体"/>
          <w:bCs/>
          <w:szCs w:val="21"/>
        </w:rPr>
        <w:t>5、合同定价方式：</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p>
    <w:p>
      <w:pPr>
        <w:adjustRightInd w:val="0"/>
        <w:snapToGrid w:val="0"/>
        <w:spacing w:line="360" w:lineRule="auto"/>
        <w:ind w:firstLine="420" w:firstLineChars="200"/>
        <w:rPr>
          <w:rFonts w:ascii="宋体" w:hAnsi="宋体"/>
          <w:bCs/>
          <w:szCs w:val="21"/>
          <w:u w:val="single"/>
        </w:rPr>
      </w:pPr>
      <w:r>
        <w:rPr>
          <w:rFonts w:hint="eastAsia" w:ascii="宋体" w:hAnsi="宋体"/>
          <w:bCs/>
          <w:szCs w:val="21"/>
        </w:rPr>
        <w:t>6、合同履行期限：</w:t>
      </w:r>
      <w:r>
        <w:rPr>
          <w:rFonts w:hint="eastAsia" w:ascii="宋体" w:hAnsi="宋体"/>
          <w:bCs/>
          <w:szCs w:val="21"/>
          <w:u w:val="single"/>
        </w:rPr>
        <w:t>1年</w:t>
      </w:r>
    </w:p>
    <w:p>
      <w:pPr>
        <w:pStyle w:val="2"/>
        <w:ind w:firstLine="480"/>
      </w:pPr>
      <w:r>
        <w:rPr>
          <w:rFonts w:hint="eastAsia" w:ascii="宋体" w:hAnsi="宋体"/>
          <w:bCs/>
        </w:rPr>
        <w:t>7、</w:t>
      </w:r>
      <w:r>
        <w:rPr>
          <w:rFonts w:hint="eastAsia"/>
        </w:rPr>
        <w:t>本项目分阶段要求供应商提供以下保证：</w:t>
      </w:r>
    </w:p>
    <w:p>
      <w:pPr>
        <w:pStyle w:val="2"/>
        <w:spacing w:line="360" w:lineRule="auto"/>
        <w:ind w:firstLine="480"/>
        <w:rPr>
          <w:rFonts w:ascii="宋体" w:hAnsi="宋体"/>
          <w:iCs/>
        </w:rPr>
      </w:pPr>
      <w:r>
        <w:rPr>
          <w:rFonts w:hint="eastAsia" w:ascii="宋体" w:hAnsi="宋体"/>
          <w:iCs/>
        </w:rPr>
        <w:sym w:font="Wingdings" w:char="00FE"/>
      </w:r>
      <w:r>
        <w:rPr>
          <w:rFonts w:hint="eastAsia" w:ascii="宋体" w:hAnsi="宋体"/>
          <w:lang w:eastAsia="zh-CN"/>
        </w:rPr>
        <w:t>磋商</w:t>
      </w:r>
      <w:r>
        <w:rPr>
          <w:rFonts w:hint="eastAsia" w:ascii="宋体" w:hAnsi="宋体"/>
        </w:rPr>
        <w:t>保证金：</w:t>
      </w:r>
      <w:r>
        <w:rPr>
          <w:rFonts w:hint="eastAsia" w:ascii="宋体" w:hAnsi="宋体"/>
          <w:iCs/>
        </w:rPr>
        <w:t>采购项目预算的</w:t>
      </w:r>
      <w:r>
        <w:rPr>
          <w:rFonts w:hint="eastAsia" w:ascii="宋体" w:hAnsi="宋体"/>
          <w:iCs/>
          <w:u w:val="single"/>
        </w:rPr>
        <w:t xml:space="preserve"> 2 </w:t>
      </w:r>
      <w:r>
        <w:rPr>
          <w:rFonts w:hint="eastAsia" w:ascii="宋体" w:hAnsi="宋体"/>
          <w:iCs/>
        </w:rPr>
        <w:t>%</w:t>
      </w:r>
      <w:r>
        <w:rPr>
          <w:rFonts w:hint="eastAsia" w:ascii="宋体" w:hAnsi="宋体"/>
        </w:rPr>
        <w:t>；</w:t>
      </w:r>
    </w:p>
    <w:p>
      <w:pPr>
        <w:pStyle w:val="2"/>
        <w:spacing w:line="360" w:lineRule="auto"/>
        <w:ind w:firstLine="480"/>
        <w:rPr>
          <w:rFonts w:ascii="宋体" w:hAnsi="宋体"/>
          <w:iCs/>
        </w:rPr>
      </w:pPr>
      <w:r>
        <w:rPr>
          <w:rFonts w:hint="eastAsia" w:ascii="宋体" w:hAnsi="宋体"/>
          <w:iCs/>
        </w:rPr>
        <w:sym w:font="Wingdings" w:char="00A8"/>
      </w:r>
      <w:r>
        <w:rPr>
          <w:rFonts w:hint="eastAsia" w:ascii="宋体" w:hAnsi="宋体"/>
        </w:rPr>
        <w:t>履约保证金：</w:t>
      </w:r>
      <w:r>
        <w:rPr>
          <w:rFonts w:hint="eastAsia" w:ascii="宋体" w:hAnsi="宋体"/>
          <w:iCs/>
        </w:rPr>
        <w:t>中标金额的</w:t>
      </w:r>
      <w:r>
        <w:rPr>
          <w:rFonts w:hint="eastAsia" w:ascii="宋体" w:hAnsi="宋体"/>
          <w:iCs/>
          <w:u w:val="single"/>
        </w:rPr>
        <w:t>/</w:t>
      </w:r>
      <w:r>
        <w:rPr>
          <w:rFonts w:hint="eastAsia" w:ascii="宋体" w:hAnsi="宋体"/>
          <w:iCs/>
        </w:rPr>
        <w:t>%</w:t>
      </w:r>
      <w:r>
        <w:rPr>
          <w:rFonts w:hint="eastAsia" w:ascii="宋体" w:hAnsi="宋体"/>
        </w:rPr>
        <w:t>；</w:t>
      </w:r>
    </w:p>
    <w:p>
      <w:pPr>
        <w:pStyle w:val="2"/>
        <w:spacing w:line="360" w:lineRule="auto"/>
        <w:ind w:firstLine="480"/>
        <w:rPr>
          <w:rFonts w:ascii="宋体" w:hAnsi="宋体"/>
          <w:iCs/>
        </w:rPr>
      </w:pPr>
      <w:r>
        <w:rPr>
          <w:rFonts w:hint="eastAsia" w:ascii="宋体" w:hAnsi="宋体"/>
          <w:iCs/>
        </w:rPr>
        <w:sym w:font="Wingdings" w:char="00A8"/>
      </w:r>
      <w:r>
        <w:rPr>
          <w:rFonts w:hint="eastAsia" w:ascii="宋体" w:hAnsi="宋体"/>
          <w:iCs/>
        </w:rPr>
        <w:t>预付款保证金：预付款的</w:t>
      </w:r>
      <w:r>
        <w:rPr>
          <w:rFonts w:hint="eastAsia" w:ascii="宋体" w:hAnsi="宋体"/>
          <w:iCs/>
          <w:u w:val="single"/>
        </w:rPr>
        <w:t xml:space="preserve">  /  </w:t>
      </w:r>
      <w:r>
        <w:rPr>
          <w:rFonts w:hint="eastAsia" w:ascii="宋体" w:hAnsi="宋体"/>
          <w:iCs/>
        </w:rPr>
        <w:t>%；</w:t>
      </w:r>
    </w:p>
    <w:p>
      <w:pPr>
        <w:pStyle w:val="2"/>
        <w:spacing w:line="360" w:lineRule="auto"/>
        <w:ind w:firstLine="480"/>
        <w:rPr>
          <w:rFonts w:ascii="宋体" w:hAnsi="宋体"/>
          <w:iCs/>
        </w:rPr>
      </w:pPr>
      <w:r>
        <w:rPr>
          <w:rFonts w:hint="eastAsia" w:ascii="宋体" w:hAnsi="宋体"/>
          <w:iCs/>
        </w:rPr>
        <w:sym w:font="Wingdings" w:char="00A8"/>
      </w:r>
      <w:r>
        <w:rPr>
          <w:rFonts w:hint="eastAsia" w:ascii="宋体" w:hAnsi="宋体"/>
          <w:iCs/>
        </w:rPr>
        <w:t>质量保证金：合同金额的</w:t>
      </w:r>
      <w:r>
        <w:rPr>
          <w:rFonts w:hint="eastAsia" w:ascii="宋体" w:hAnsi="宋体"/>
          <w:iCs/>
          <w:u w:val="single"/>
        </w:rPr>
        <w:t xml:space="preserve">/ </w:t>
      </w:r>
      <w:r>
        <w:rPr>
          <w:rFonts w:hint="eastAsia" w:ascii="宋体" w:hAnsi="宋体"/>
          <w:iCs/>
        </w:rPr>
        <w:t>%。</w:t>
      </w:r>
    </w:p>
    <w:p>
      <w:pPr>
        <w:keepNext/>
        <w:keepLines/>
        <w:adjustRightInd w:val="0"/>
        <w:snapToGrid w:val="0"/>
        <w:spacing w:beforeLines="50" w:line="360" w:lineRule="auto"/>
        <w:outlineLvl w:val="1"/>
        <w:rPr>
          <w:rFonts w:ascii="黑体" w:hAnsi="黑体" w:eastAsia="黑体"/>
          <w:b/>
          <w:bCs/>
          <w:sz w:val="24"/>
          <w:szCs w:val="32"/>
        </w:rPr>
      </w:pPr>
      <w:bookmarkStart w:id="6" w:name="_Toc7065"/>
      <w:bookmarkStart w:id="7" w:name="_Toc21801"/>
      <w:r>
        <w:rPr>
          <w:rFonts w:hint="eastAsia" w:ascii="黑体" w:hAnsi="黑体" w:eastAsia="黑体"/>
          <w:b/>
          <w:bCs/>
          <w:sz w:val="24"/>
          <w:szCs w:val="32"/>
        </w:rPr>
        <w:t>二、采购需求</w:t>
      </w:r>
      <w:bookmarkEnd w:id="5"/>
      <w:bookmarkEnd w:id="6"/>
      <w:bookmarkEnd w:id="7"/>
    </w:p>
    <w:tbl>
      <w:tblPr>
        <w:tblStyle w:val="48"/>
        <w:tblW w:w="955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996"/>
        <w:gridCol w:w="1994"/>
        <w:gridCol w:w="1450"/>
        <w:gridCol w:w="2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8" w:hRule="atLeast"/>
        </w:trPr>
        <w:tc>
          <w:tcPr>
            <w:tcW w:w="948" w:type="dxa"/>
            <w:vAlign w:val="center"/>
          </w:tcPr>
          <w:p>
            <w:pPr>
              <w:adjustRightInd w:val="0"/>
              <w:snapToGrid w:val="0"/>
              <w:jc w:val="center"/>
              <w:rPr>
                <w:szCs w:val="21"/>
              </w:rPr>
            </w:pPr>
            <w:r>
              <w:rPr>
                <w:rFonts w:hint="eastAsia"/>
                <w:szCs w:val="21"/>
              </w:rPr>
              <w:t xml:space="preserve">包号 </w:t>
            </w:r>
          </w:p>
        </w:tc>
        <w:tc>
          <w:tcPr>
            <w:tcW w:w="2996" w:type="dxa"/>
            <w:vAlign w:val="center"/>
          </w:tcPr>
          <w:p>
            <w:pPr>
              <w:adjustRightInd w:val="0"/>
              <w:snapToGrid w:val="0"/>
              <w:jc w:val="center"/>
              <w:rPr>
                <w:szCs w:val="21"/>
              </w:rPr>
            </w:pPr>
            <w:r>
              <w:rPr>
                <w:rFonts w:hint="eastAsia"/>
                <w:szCs w:val="21"/>
              </w:rPr>
              <w:t>包名称</w:t>
            </w:r>
          </w:p>
        </w:tc>
        <w:tc>
          <w:tcPr>
            <w:tcW w:w="1994" w:type="dxa"/>
            <w:tcBorders>
              <w:left w:val="single" w:color="auto" w:sz="4" w:space="0"/>
            </w:tcBorders>
            <w:vAlign w:val="center"/>
          </w:tcPr>
          <w:p>
            <w:pPr>
              <w:adjustRightInd w:val="0"/>
              <w:snapToGrid w:val="0"/>
              <w:jc w:val="center"/>
              <w:rPr>
                <w:szCs w:val="21"/>
              </w:rPr>
            </w:pPr>
            <w:r>
              <w:rPr>
                <w:rFonts w:hint="eastAsia"/>
                <w:szCs w:val="21"/>
              </w:rPr>
              <w:t>简要技术要求</w:t>
            </w:r>
          </w:p>
        </w:tc>
        <w:tc>
          <w:tcPr>
            <w:tcW w:w="1450" w:type="dxa"/>
            <w:tcBorders>
              <w:left w:val="single" w:color="auto" w:sz="4" w:space="0"/>
            </w:tcBorders>
            <w:vAlign w:val="center"/>
          </w:tcPr>
          <w:p>
            <w:pPr>
              <w:adjustRightInd w:val="0"/>
              <w:snapToGrid w:val="0"/>
              <w:jc w:val="center"/>
              <w:rPr>
                <w:rFonts w:ascii="宋体" w:hAnsi="宋体" w:cs="宋体"/>
                <w:kern w:val="0"/>
                <w:szCs w:val="21"/>
              </w:rPr>
            </w:pPr>
            <w:r>
              <w:rPr>
                <w:rFonts w:hint="eastAsia"/>
                <w:szCs w:val="21"/>
              </w:rPr>
              <w:t>数量</w:t>
            </w:r>
          </w:p>
        </w:tc>
        <w:tc>
          <w:tcPr>
            <w:tcW w:w="2170" w:type="dxa"/>
            <w:vAlign w:val="center"/>
          </w:tcPr>
          <w:p>
            <w:pPr>
              <w:adjustRightInd w:val="0"/>
              <w:snapToGrid w:val="0"/>
              <w:jc w:val="center"/>
              <w:rPr>
                <w:szCs w:val="21"/>
              </w:rPr>
            </w:pPr>
            <w:r>
              <w:rPr>
                <w:rFonts w:hint="eastAsia"/>
                <w:szCs w:val="21"/>
              </w:rPr>
              <w:t>标的预算（万元）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948" w:type="dxa"/>
          </w:tcPr>
          <w:p>
            <w:pPr>
              <w:adjustRightInd w:val="0"/>
              <w:snapToGrid w:val="0"/>
              <w:spacing w:beforeLines="50" w:line="360" w:lineRule="auto"/>
              <w:jc w:val="center"/>
              <w:rPr>
                <w:szCs w:val="21"/>
              </w:rPr>
            </w:pPr>
            <w:r>
              <w:rPr>
                <w:rFonts w:hint="eastAsia"/>
                <w:szCs w:val="21"/>
              </w:rPr>
              <w:t>1</w:t>
            </w:r>
          </w:p>
        </w:tc>
        <w:tc>
          <w:tcPr>
            <w:tcW w:w="2996" w:type="dxa"/>
          </w:tcPr>
          <w:p>
            <w:pPr>
              <w:adjustRightInd w:val="0"/>
              <w:snapToGrid w:val="0"/>
              <w:spacing w:beforeLines="50" w:line="360" w:lineRule="auto"/>
              <w:jc w:val="center"/>
              <w:rPr>
                <w:rFonts w:hint="eastAsia" w:eastAsia="宋体"/>
                <w:szCs w:val="21"/>
                <w:lang w:eastAsia="zh-CN"/>
              </w:rPr>
            </w:pPr>
            <w:r>
              <w:rPr>
                <w:rFonts w:hint="eastAsia" w:ascii="新宋体" w:hAnsi="新宋体" w:eastAsia="新宋体" w:cs="新宋体"/>
                <w:kern w:val="0"/>
                <w:szCs w:val="21"/>
                <w:lang w:eastAsia="zh-CN"/>
              </w:rPr>
              <w:t>机关食堂加工业务外包</w:t>
            </w:r>
          </w:p>
        </w:tc>
        <w:tc>
          <w:tcPr>
            <w:tcW w:w="1994" w:type="dxa"/>
            <w:tcBorders>
              <w:left w:val="single" w:color="auto" w:sz="4" w:space="0"/>
            </w:tcBorders>
            <w:vAlign w:val="center"/>
          </w:tcPr>
          <w:p>
            <w:pPr>
              <w:adjustRightInd w:val="0"/>
              <w:snapToGrid w:val="0"/>
              <w:spacing w:beforeLines="50" w:line="360" w:lineRule="auto"/>
              <w:jc w:val="center"/>
              <w:rPr>
                <w:szCs w:val="21"/>
              </w:rPr>
            </w:pPr>
            <w:r>
              <w:rPr>
                <w:rFonts w:hint="eastAsia"/>
                <w:szCs w:val="21"/>
              </w:rPr>
              <w:t>详见采购需求</w:t>
            </w:r>
          </w:p>
        </w:tc>
        <w:tc>
          <w:tcPr>
            <w:tcW w:w="1450" w:type="dxa"/>
            <w:tcBorders>
              <w:left w:val="single" w:color="auto" w:sz="4" w:space="0"/>
            </w:tcBorders>
            <w:vAlign w:val="center"/>
          </w:tcPr>
          <w:p>
            <w:pPr>
              <w:adjustRightInd w:val="0"/>
              <w:snapToGrid w:val="0"/>
              <w:spacing w:beforeLines="50" w:line="360" w:lineRule="auto"/>
              <w:jc w:val="center"/>
              <w:rPr>
                <w:szCs w:val="21"/>
              </w:rPr>
            </w:pPr>
            <w:r>
              <w:rPr>
                <w:rFonts w:hint="eastAsia"/>
                <w:szCs w:val="21"/>
              </w:rPr>
              <w:t>1年</w:t>
            </w:r>
          </w:p>
        </w:tc>
        <w:tc>
          <w:tcPr>
            <w:tcW w:w="2170" w:type="dxa"/>
            <w:vAlign w:val="center"/>
          </w:tcPr>
          <w:p>
            <w:pPr>
              <w:adjustRightInd w:val="0"/>
              <w:snapToGrid w:val="0"/>
              <w:spacing w:line="360" w:lineRule="auto"/>
              <w:jc w:val="center"/>
              <w:rPr>
                <w:rFonts w:hint="default" w:eastAsia="宋体"/>
                <w:szCs w:val="21"/>
                <w:lang w:val="en-US" w:eastAsia="zh-CN"/>
              </w:rPr>
            </w:pPr>
            <w:r>
              <w:rPr>
                <w:rFonts w:hint="eastAsia" w:ascii="新宋体" w:hAnsi="新宋体" w:eastAsia="新宋体" w:cs="新宋体"/>
                <w:color w:val="000000"/>
                <w:kern w:val="0"/>
                <w:szCs w:val="21"/>
                <w:lang w:val="en-US" w:eastAsia="zh-CN"/>
              </w:rPr>
              <w:t>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948" w:type="dxa"/>
          </w:tcPr>
          <w:p>
            <w:pPr>
              <w:adjustRightInd w:val="0"/>
              <w:snapToGrid w:val="0"/>
              <w:spacing w:beforeLines="50" w:line="360" w:lineRule="auto"/>
              <w:jc w:val="center"/>
              <w:rPr>
                <w:rFonts w:hint="default" w:eastAsia="宋体"/>
                <w:szCs w:val="21"/>
                <w:lang w:val="en-US" w:eastAsia="zh-CN"/>
              </w:rPr>
            </w:pPr>
            <w:bookmarkStart w:id="8" w:name="_Toc107997941"/>
            <w:bookmarkStart w:id="9" w:name="_Toc62225405"/>
            <w:bookmarkStart w:id="10" w:name="_Toc35393630"/>
            <w:bookmarkStart w:id="11" w:name="_Toc24537"/>
            <w:bookmarkStart w:id="12" w:name="_Toc35393799"/>
            <w:bookmarkStart w:id="13" w:name="_Toc28359090"/>
            <w:bookmarkStart w:id="14" w:name="_Toc28359013"/>
            <w:bookmarkStart w:id="15" w:name="_Toc20035"/>
            <w:r>
              <w:rPr>
                <w:rFonts w:hint="eastAsia"/>
                <w:szCs w:val="21"/>
                <w:lang w:val="en-US" w:eastAsia="zh-CN"/>
              </w:rPr>
              <w:t>2</w:t>
            </w:r>
          </w:p>
        </w:tc>
        <w:tc>
          <w:tcPr>
            <w:tcW w:w="2996" w:type="dxa"/>
          </w:tcPr>
          <w:p>
            <w:pPr>
              <w:adjustRightInd w:val="0"/>
              <w:snapToGrid w:val="0"/>
              <w:spacing w:beforeLines="50" w:line="360" w:lineRule="auto"/>
              <w:jc w:val="center"/>
              <w:rPr>
                <w:rFonts w:hint="eastAsia" w:ascii="新宋体" w:hAnsi="新宋体" w:eastAsia="新宋体" w:cs="新宋体"/>
                <w:kern w:val="0"/>
                <w:szCs w:val="21"/>
                <w:lang w:eastAsia="zh-CN"/>
              </w:rPr>
            </w:pPr>
            <w:r>
              <w:rPr>
                <w:rFonts w:hint="eastAsia" w:ascii="新宋体" w:hAnsi="新宋体" w:eastAsia="新宋体" w:cs="新宋体"/>
                <w:kern w:val="0"/>
                <w:szCs w:val="21"/>
                <w:lang w:eastAsia="zh-CN"/>
              </w:rPr>
              <w:t>办公区食堂加工业务外包</w:t>
            </w:r>
          </w:p>
        </w:tc>
        <w:tc>
          <w:tcPr>
            <w:tcW w:w="1994" w:type="dxa"/>
            <w:tcBorders>
              <w:left w:val="single" w:color="auto" w:sz="4" w:space="0"/>
            </w:tcBorders>
            <w:vAlign w:val="center"/>
          </w:tcPr>
          <w:p>
            <w:pPr>
              <w:adjustRightInd w:val="0"/>
              <w:snapToGrid w:val="0"/>
              <w:spacing w:beforeLines="50" w:line="360" w:lineRule="auto"/>
              <w:jc w:val="center"/>
              <w:rPr>
                <w:rFonts w:hint="eastAsia"/>
                <w:szCs w:val="21"/>
              </w:rPr>
            </w:pPr>
            <w:r>
              <w:rPr>
                <w:rFonts w:hint="eastAsia"/>
                <w:szCs w:val="21"/>
              </w:rPr>
              <w:t>详见采购需求</w:t>
            </w:r>
          </w:p>
        </w:tc>
        <w:tc>
          <w:tcPr>
            <w:tcW w:w="1450" w:type="dxa"/>
            <w:tcBorders>
              <w:left w:val="single" w:color="auto" w:sz="4" w:space="0"/>
            </w:tcBorders>
            <w:vAlign w:val="center"/>
          </w:tcPr>
          <w:p>
            <w:pPr>
              <w:adjustRightInd w:val="0"/>
              <w:snapToGrid w:val="0"/>
              <w:spacing w:beforeLines="50" w:line="360" w:lineRule="auto"/>
              <w:jc w:val="center"/>
              <w:rPr>
                <w:rFonts w:hint="eastAsia" w:eastAsia="宋体"/>
                <w:szCs w:val="21"/>
                <w:lang w:val="en-US" w:eastAsia="zh-CN"/>
              </w:rPr>
            </w:pPr>
            <w:r>
              <w:rPr>
                <w:rFonts w:hint="eastAsia"/>
                <w:szCs w:val="21"/>
                <w:lang w:val="en-US" w:eastAsia="zh-CN"/>
              </w:rPr>
              <w:t>1年</w:t>
            </w:r>
          </w:p>
        </w:tc>
        <w:tc>
          <w:tcPr>
            <w:tcW w:w="2170" w:type="dxa"/>
            <w:vAlign w:val="center"/>
          </w:tcPr>
          <w:p>
            <w:pPr>
              <w:adjustRightInd w:val="0"/>
              <w:snapToGrid w:val="0"/>
              <w:spacing w:line="360" w:lineRule="auto"/>
              <w:jc w:val="center"/>
              <w:rPr>
                <w:rFonts w:hint="default" w:ascii="新宋体" w:hAnsi="新宋体" w:eastAsia="新宋体" w:cs="新宋体"/>
                <w:color w:val="000000"/>
                <w:kern w:val="0"/>
                <w:szCs w:val="21"/>
                <w:lang w:val="en-US" w:eastAsia="zh-CN"/>
              </w:rPr>
            </w:pPr>
            <w:r>
              <w:rPr>
                <w:rFonts w:hint="eastAsia" w:ascii="新宋体" w:hAnsi="新宋体" w:eastAsia="新宋体" w:cs="新宋体"/>
                <w:color w:val="000000"/>
                <w:kern w:val="0"/>
                <w:szCs w:val="21"/>
                <w:lang w:val="en-US" w:eastAsia="zh-CN"/>
              </w:rPr>
              <w:t>55</w:t>
            </w:r>
          </w:p>
        </w:tc>
      </w:tr>
    </w:tbl>
    <w:p>
      <w:pPr>
        <w:keepNext/>
        <w:keepLines/>
        <w:adjustRightInd w:val="0"/>
        <w:snapToGrid w:val="0"/>
        <w:spacing w:line="360" w:lineRule="auto"/>
        <w:outlineLvl w:val="1"/>
        <w:rPr>
          <w:rFonts w:ascii="黑体" w:hAnsi="黑体" w:eastAsia="黑体"/>
          <w:b/>
          <w:bCs/>
          <w:sz w:val="24"/>
          <w:szCs w:val="32"/>
        </w:rPr>
      </w:pPr>
      <w:r>
        <w:rPr>
          <w:rFonts w:hint="eastAsia" w:ascii="黑体" w:hAnsi="黑体" w:eastAsia="黑体"/>
          <w:b/>
          <w:bCs/>
          <w:sz w:val="24"/>
          <w:szCs w:val="32"/>
        </w:rPr>
        <w:t>三、供应商的资格要求</w:t>
      </w:r>
      <w:bookmarkEnd w:id="8"/>
      <w:bookmarkEnd w:id="9"/>
      <w:bookmarkEnd w:id="10"/>
      <w:bookmarkEnd w:id="11"/>
      <w:bookmarkEnd w:id="12"/>
      <w:bookmarkEnd w:id="13"/>
      <w:bookmarkEnd w:id="14"/>
      <w:bookmarkEnd w:id="15"/>
    </w:p>
    <w:p>
      <w:pPr>
        <w:adjustRightInd w:val="0"/>
        <w:snapToGrid w:val="0"/>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adjustRightInd w:val="0"/>
        <w:snapToGrid w:val="0"/>
        <w:spacing w:line="360" w:lineRule="auto"/>
        <w:ind w:firstLine="420" w:firstLineChars="200"/>
        <w:rPr>
          <w:rFonts w:ascii="宋体" w:hAnsi="宋体"/>
          <w:szCs w:val="21"/>
        </w:rPr>
      </w:pPr>
      <w:r>
        <w:rPr>
          <w:rFonts w:hint="eastAsia" w:ascii="宋体" w:hAnsi="宋体"/>
          <w:szCs w:val="21"/>
        </w:rPr>
        <w:t>2、落实政府采购政策需满足的资格要求：</w:t>
      </w:r>
    </w:p>
    <w:p>
      <w:pPr>
        <w:adjustRightInd w:val="0"/>
        <w:snapToGrid w:val="0"/>
        <w:spacing w:line="360" w:lineRule="auto"/>
        <w:ind w:firstLine="630" w:firstLineChars="300"/>
        <w:rPr>
          <w:rFonts w:ascii="宋体" w:hAnsi="宋体"/>
          <w:szCs w:val="21"/>
        </w:rPr>
      </w:pPr>
      <w:r>
        <w:rPr>
          <w:rFonts w:hint="eastAsia" w:ascii="宋体" w:hAnsi="宋体"/>
          <w:iCs/>
          <w:szCs w:val="21"/>
        </w:rPr>
        <w:sym w:font="Wingdings" w:char="00FE"/>
      </w:r>
      <w:r>
        <w:rPr>
          <w:rFonts w:hint="eastAsia" w:ascii="宋体" w:hAnsi="宋体"/>
          <w:iCs/>
          <w:szCs w:val="21"/>
        </w:rPr>
        <w:t>专门面向</w:t>
      </w:r>
      <w:r>
        <w:rPr>
          <w:rFonts w:hint="eastAsia" w:ascii="宋体" w:hAnsi="宋体"/>
          <w:bCs/>
          <w:szCs w:val="21"/>
        </w:rPr>
        <w:t>：</w:t>
      </w:r>
      <w:r>
        <w:rPr>
          <w:rFonts w:hint="eastAsia" w:ascii="宋体" w:hAnsi="宋体"/>
          <w:iCs/>
          <w:szCs w:val="21"/>
        </w:rPr>
        <w:sym w:font="Wingdings" w:char="00FE"/>
      </w:r>
      <w:r>
        <w:rPr>
          <w:rFonts w:hint="eastAsia" w:ascii="宋体" w:hAnsi="宋体"/>
          <w:iCs/>
          <w:szCs w:val="21"/>
        </w:rPr>
        <w:t xml:space="preserve">中小企业  </w:t>
      </w:r>
      <w:r>
        <w:rPr>
          <w:rFonts w:hint="eastAsia" w:ascii="宋体" w:hAnsi="宋体"/>
          <w:iCs/>
          <w:szCs w:val="21"/>
        </w:rPr>
        <w:sym w:font="Wingdings" w:char="00A8"/>
      </w:r>
      <w:r>
        <w:rPr>
          <w:rFonts w:hint="eastAsia" w:ascii="宋体" w:hAnsi="宋体"/>
          <w:iCs/>
          <w:szCs w:val="21"/>
        </w:rPr>
        <w:t xml:space="preserve">小微企业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福利性单位。</w:t>
      </w:r>
    </w:p>
    <w:p>
      <w:pPr>
        <w:numPr>
          <w:ilvl w:val="0"/>
          <w:numId w:val="3"/>
        </w:numPr>
        <w:adjustRightInd w:val="0"/>
        <w:snapToGrid w:val="0"/>
        <w:spacing w:line="360" w:lineRule="auto"/>
        <w:ind w:firstLine="420" w:firstLineChars="200"/>
        <w:rPr>
          <w:rFonts w:hint="eastAsia" w:ascii="宋体" w:hAnsi="宋体"/>
          <w:szCs w:val="21"/>
        </w:rPr>
      </w:pPr>
      <w:r>
        <w:rPr>
          <w:rFonts w:hint="eastAsia" w:ascii="宋体" w:hAnsi="宋体"/>
          <w:szCs w:val="21"/>
        </w:rPr>
        <w:t>本项目的特定资格要求：无</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、单位负责人为同一人或者存在直接控股、管理关系的不同供应商，不得参加同一合同项下的政府采购活动。</w:t>
      </w:r>
    </w:p>
    <w:p>
      <w:pPr>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、为本采购项目提供整体设计、规范编制或者项目管理、监理、检测等服务的，不得再参加此项目的其他采购活动。</w:t>
      </w:r>
    </w:p>
    <w:p>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、列入失信被执行人、重大税收违法失信主体名单、政府采购严重违法失信行为记录名单的，拒绝其参与政府采购活动。</w:t>
      </w:r>
    </w:p>
    <w:p>
      <w:pPr>
        <w:adjustRightInd w:val="0"/>
        <w:snapToGrid w:val="0"/>
        <w:spacing w:line="360" w:lineRule="auto"/>
        <w:ind w:firstLine="420" w:firstLineChars="200"/>
        <w:rPr>
          <w:rFonts w:hint="eastAsia"/>
        </w:rPr>
      </w:pPr>
      <w:r>
        <w:rPr>
          <w:rFonts w:ascii="宋体" w:hAnsi="宋体"/>
          <w:szCs w:val="21"/>
        </w:rPr>
        <w:t>7</w:t>
      </w:r>
      <w:r>
        <w:rPr>
          <w:rFonts w:hint="eastAsia" w:ascii="宋体" w:hAnsi="宋体"/>
          <w:szCs w:val="21"/>
        </w:rPr>
        <w:t>、联合体响应。本次采购</w:t>
      </w:r>
      <w:r>
        <w:rPr>
          <w:rFonts w:hint="eastAsia" w:ascii="宋体" w:hAnsi="宋体"/>
          <w:szCs w:val="21"/>
          <w:u w:val="single"/>
        </w:rPr>
        <w:t>不接受</w:t>
      </w:r>
      <w:r>
        <w:rPr>
          <w:rFonts w:hint="eastAsia" w:ascii="宋体" w:hAnsi="宋体"/>
          <w:szCs w:val="21"/>
        </w:rPr>
        <w:t>联合体响应。接受联合体响应的，联合体应当具备下列条件：</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rPr>
          <w:rFonts w:hint="eastAsia" w:ascii="黑体" w:hAnsi="黑体" w:eastAsia="黑体"/>
          <w:b/>
          <w:bCs/>
          <w:sz w:val="24"/>
          <w:szCs w:val="32"/>
        </w:rPr>
      </w:pPr>
      <w:bookmarkStart w:id="16" w:name="_Toc18197"/>
      <w:bookmarkStart w:id="17" w:name="_Toc22201058"/>
      <w:r>
        <w:rPr>
          <w:rFonts w:hint="eastAsia" w:ascii="宋体" w:hAnsi="宋体"/>
          <w:szCs w:val="21"/>
        </w:rPr>
        <w:t>注：依据湖南省财政厅《关于政府采购促进中小企业发展有关措施的通知》，符合法定条件的供应商凭《湖南省政府采购供应商资格承诺函》（格式见附件1）参与政府采购活动，无需提供财务状况、缴纳税收和社会保障资金等资格证明材料。</w:t>
      </w:r>
    </w:p>
    <w:p>
      <w:pPr>
        <w:keepNext/>
        <w:keepLines/>
        <w:adjustRightInd w:val="0"/>
        <w:snapToGrid w:val="0"/>
        <w:spacing w:beforeLines="50" w:line="360" w:lineRule="auto"/>
        <w:outlineLvl w:val="1"/>
        <w:rPr>
          <w:rFonts w:ascii="黑体" w:hAnsi="黑体" w:eastAsia="黑体"/>
          <w:b/>
          <w:bCs/>
          <w:sz w:val="24"/>
          <w:szCs w:val="32"/>
        </w:rPr>
      </w:pPr>
      <w:bookmarkStart w:id="18" w:name="_Toc11779"/>
      <w:r>
        <w:rPr>
          <w:rFonts w:hint="eastAsia" w:ascii="黑体" w:hAnsi="黑体" w:eastAsia="黑体"/>
          <w:b/>
          <w:bCs/>
          <w:sz w:val="24"/>
          <w:szCs w:val="32"/>
        </w:rPr>
        <w:t>四、获取</w:t>
      </w:r>
      <w:r>
        <w:rPr>
          <w:rFonts w:hint="eastAsia" w:ascii="黑体" w:hAnsi="黑体" w:eastAsia="黑体"/>
          <w:b/>
          <w:bCs/>
          <w:sz w:val="24"/>
          <w:szCs w:val="32"/>
          <w:lang w:eastAsia="zh-CN"/>
        </w:rPr>
        <w:t>磋商</w:t>
      </w:r>
      <w:r>
        <w:rPr>
          <w:rFonts w:hint="eastAsia" w:ascii="黑体" w:hAnsi="黑体" w:eastAsia="黑体"/>
          <w:b/>
          <w:bCs/>
          <w:sz w:val="24"/>
          <w:szCs w:val="32"/>
        </w:rPr>
        <w:t>文件的时间、地点及方式</w:t>
      </w:r>
      <w:bookmarkEnd w:id="16"/>
      <w:bookmarkEnd w:id="17"/>
      <w:bookmarkEnd w:id="18"/>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w:t>
      </w:r>
      <w:r>
        <w:rPr>
          <w:rFonts w:hint="eastAsia" w:ascii="宋体" w:hAnsi="宋体" w:cs="宋体"/>
          <w:szCs w:val="21"/>
          <w:u w:val="single"/>
          <w:lang w:val="en-US" w:eastAsia="zh-CN"/>
        </w:rPr>
        <w:t>18</w:t>
      </w:r>
      <w:r>
        <w:rPr>
          <w:rFonts w:hint="eastAsia" w:ascii="宋体" w:hAnsi="宋体" w:cs="宋体"/>
          <w:szCs w:val="21"/>
        </w:rPr>
        <w:t>日至</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w:t>
      </w:r>
      <w:r>
        <w:rPr>
          <w:rFonts w:hint="eastAsia" w:ascii="宋体" w:hAnsi="宋体" w:cs="宋体"/>
          <w:szCs w:val="21"/>
          <w:u w:val="single"/>
        </w:rPr>
        <w:t>30</w:t>
      </w:r>
      <w:r>
        <w:rPr>
          <w:rFonts w:hint="eastAsia" w:ascii="宋体" w:hAnsi="宋体" w:cs="宋体"/>
          <w:szCs w:val="21"/>
        </w:rPr>
        <w:t>日，每天上午08：00至12：00　，下午14：30至17：30（北京时间，</w:t>
      </w:r>
      <w:r>
        <w:rPr>
          <w:rFonts w:ascii="宋体" w:hAnsi="宋体" w:cs="宋体"/>
          <w:szCs w:val="21"/>
        </w:rPr>
        <w:t>法定节假日</w:t>
      </w:r>
      <w:r>
        <w:rPr>
          <w:rFonts w:hint="eastAsia" w:ascii="宋体" w:hAnsi="宋体" w:cs="宋体"/>
          <w:szCs w:val="21"/>
        </w:rPr>
        <w:t>除外）</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地点：张家界市永定区南庄坪路桥公司三楼301</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方式：</w:t>
      </w:r>
      <w:r>
        <w:rPr>
          <w:rFonts w:hint="eastAsia" w:ascii="新宋体" w:hAnsi="新宋体" w:eastAsia="新宋体" w:cs="新宋体"/>
          <w:szCs w:val="21"/>
        </w:rPr>
        <w:t>指定地点获取</w:t>
      </w:r>
    </w:p>
    <w:p>
      <w:pPr>
        <w:keepNext/>
        <w:keepLines/>
        <w:adjustRightInd w:val="0"/>
        <w:snapToGrid w:val="0"/>
        <w:spacing w:beforeLines="50" w:line="360" w:lineRule="auto"/>
        <w:outlineLvl w:val="1"/>
        <w:rPr>
          <w:rFonts w:ascii="黑体" w:hAnsi="黑体" w:eastAsia="黑体"/>
          <w:b/>
          <w:bCs/>
          <w:sz w:val="24"/>
          <w:szCs w:val="32"/>
        </w:rPr>
      </w:pPr>
      <w:bookmarkStart w:id="19" w:name="_Toc512"/>
      <w:bookmarkStart w:id="20" w:name="_Toc22201059"/>
      <w:bookmarkStart w:id="21" w:name="_Toc823"/>
      <w:r>
        <w:rPr>
          <w:rFonts w:hint="eastAsia" w:ascii="黑体" w:hAnsi="黑体" w:eastAsia="黑体"/>
          <w:b/>
          <w:bCs/>
          <w:sz w:val="24"/>
          <w:szCs w:val="32"/>
        </w:rPr>
        <w:t>五、提交首次响应文件的截止时间、</w:t>
      </w:r>
      <w:r>
        <w:rPr>
          <w:rFonts w:hint="eastAsia" w:ascii="黑体" w:hAnsi="黑体" w:eastAsia="黑体"/>
          <w:b/>
          <w:bCs/>
          <w:sz w:val="24"/>
          <w:szCs w:val="32"/>
          <w:lang w:eastAsia="zh-CN"/>
        </w:rPr>
        <w:t>磋商</w:t>
      </w:r>
      <w:r>
        <w:rPr>
          <w:rFonts w:hint="eastAsia" w:ascii="黑体" w:hAnsi="黑体" w:eastAsia="黑体"/>
          <w:b/>
          <w:bCs/>
          <w:sz w:val="24"/>
          <w:szCs w:val="32"/>
        </w:rPr>
        <w:t>时间及地点</w:t>
      </w:r>
      <w:bookmarkEnd w:id="19"/>
      <w:bookmarkEnd w:id="20"/>
      <w:bookmarkEnd w:id="21"/>
    </w:p>
    <w:p>
      <w:pPr>
        <w:adjustRightInd w:val="0"/>
        <w:snapToGrid w:val="0"/>
        <w:spacing w:line="360" w:lineRule="auto"/>
        <w:ind w:firstLine="420" w:firstLineChars="200"/>
        <w:rPr>
          <w:rFonts w:ascii="宋体" w:hAnsi="宋体"/>
          <w:szCs w:val="21"/>
        </w:rPr>
      </w:pPr>
      <w:r>
        <w:rPr>
          <w:rFonts w:hint="eastAsia" w:ascii="宋体" w:hAnsi="宋体"/>
          <w:szCs w:val="21"/>
        </w:rPr>
        <w:t>提交首次响应文件的截止时间：</w:t>
      </w:r>
      <w:r>
        <w:rPr>
          <w:rFonts w:hint="eastAsia" w:ascii="宋体" w:hAnsi="宋体" w:cs="宋体"/>
          <w:szCs w:val="21"/>
          <w:u w:val="single"/>
        </w:rPr>
        <w:t>2023</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w:t>
      </w:r>
      <w:r>
        <w:rPr>
          <w:rFonts w:hint="eastAsia" w:ascii="宋体" w:hAnsi="宋体" w:cs="宋体"/>
          <w:szCs w:val="21"/>
        </w:rPr>
        <w:t>日</w:t>
      </w:r>
      <w:r>
        <w:rPr>
          <w:rFonts w:hint="eastAsia" w:ascii="宋体" w:hAnsi="宋体"/>
          <w:szCs w:val="21"/>
          <w:u w:val="single"/>
        </w:rPr>
        <w:t>9</w:t>
      </w:r>
      <w:r>
        <w:rPr>
          <w:rFonts w:hint="eastAsia" w:ascii="宋体" w:hAnsi="宋体"/>
          <w:szCs w:val="21"/>
        </w:rPr>
        <w:t>时</w:t>
      </w:r>
      <w:r>
        <w:rPr>
          <w:rFonts w:hint="eastAsia" w:ascii="宋体" w:hAnsi="宋体"/>
          <w:szCs w:val="21"/>
          <w:u w:val="single"/>
        </w:rPr>
        <w:t>00</w:t>
      </w:r>
      <w:r>
        <w:rPr>
          <w:rFonts w:hint="eastAsia" w:ascii="宋体" w:hAnsi="宋体"/>
          <w:szCs w:val="21"/>
        </w:rPr>
        <w:t>分（北京时间）</w:t>
      </w:r>
    </w:p>
    <w:p>
      <w:pPr>
        <w:adjustRightInd w:val="0"/>
        <w:snapToGrid w:val="0"/>
        <w:spacing w:line="360" w:lineRule="auto"/>
        <w:ind w:firstLine="420" w:firstLineChars="200"/>
        <w:rPr>
          <w:rFonts w:ascii="宋体" w:hAnsi="宋体"/>
          <w:szCs w:val="21"/>
        </w:rPr>
      </w:pPr>
      <w:r>
        <w:rPr>
          <w:rFonts w:hint="eastAsia" w:ascii="宋体" w:hAnsi="宋体"/>
          <w:szCs w:val="21"/>
        </w:rPr>
        <w:t>提交首次响应文件的地点：</w:t>
      </w:r>
      <w:r>
        <w:rPr>
          <w:rFonts w:hint="eastAsia" w:ascii="宋体" w:hAnsi="宋体" w:cs="宋体"/>
          <w:bCs/>
          <w:szCs w:val="21"/>
        </w:rPr>
        <w:t>张家界市南庄坪路桥公司6楼会议室</w:t>
      </w:r>
    </w:p>
    <w:p>
      <w:pPr>
        <w:adjustRightInd w:val="0"/>
        <w:snapToGrid w:val="0"/>
        <w:spacing w:line="360" w:lineRule="auto"/>
        <w:ind w:firstLine="420" w:firstLineChars="200"/>
        <w:rPr>
          <w:rFonts w:ascii="宋体" w:hAnsi="宋体"/>
          <w:szCs w:val="21"/>
        </w:rPr>
      </w:pPr>
      <w:r>
        <w:rPr>
          <w:rFonts w:hint="eastAsia" w:ascii="宋体" w:hAnsi="宋体"/>
          <w:szCs w:val="21"/>
        </w:rPr>
        <w:t>首次响应文件开启时间：</w:t>
      </w:r>
      <w:r>
        <w:rPr>
          <w:rFonts w:hint="eastAsia" w:ascii="宋体" w:hAnsi="宋体" w:cs="宋体"/>
          <w:szCs w:val="21"/>
          <w:u w:val="single"/>
        </w:rPr>
        <w:t>2023</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w:t>
      </w:r>
      <w:r>
        <w:rPr>
          <w:rFonts w:hint="eastAsia" w:ascii="宋体" w:hAnsi="宋体" w:cs="宋体"/>
          <w:szCs w:val="21"/>
        </w:rPr>
        <w:t>日</w:t>
      </w:r>
      <w:r>
        <w:rPr>
          <w:rFonts w:hint="eastAsia" w:ascii="宋体" w:hAnsi="宋体"/>
          <w:szCs w:val="21"/>
          <w:u w:val="single"/>
        </w:rPr>
        <w:t>9</w:t>
      </w:r>
      <w:r>
        <w:rPr>
          <w:rFonts w:hint="eastAsia" w:ascii="宋体" w:hAnsi="宋体"/>
          <w:szCs w:val="21"/>
        </w:rPr>
        <w:t>时</w:t>
      </w:r>
      <w:r>
        <w:rPr>
          <w:rFonts w:hint="eastAsia" w:ascii="宋体" w:hAnsi="宋体"/>
          <w:szCs w:val="21"/>
          <w:u w:val="single"/>
        </w:rPr>
        <w:t>00</w:t>
      </w:r>
      <w:r>
        <w:rPr>
          <w:rFonts w:hint="eastAsia" w:ascii="宋体" w:hAnsi="宋体"/>
          <w:szCs w:val="21"/>
        </w:rPr>
        <w:t>分（北京时间）</w:t>
      </w:r>
    </w:p>
    <w:p>
      <w:pPr>
        <w:adjustRightInd w:val="0"/>
        <w:snapToGrid w:val="0"/>
        <w:spacing w:line="360" w:lineRule="auto"/>
        <w:ind w:firstLine="420" w:firstLineChars="200"/>
        <w:rPr>
          <w:rFonts w:ascii="宋体" w:hAnsi="宋体"/>
          <w:bCs/>
          <w:szCs w:val="21"/>
          <w:u w:val="single"/>
        </w:rPr>
      </w:pPr>
      <w:r>
        <w:rPr>
          <w:rFonts w:hint="eastAsia" w:ascii="宋体" w:hAnsi="宋体"/>
          <w:szCs w:val="21"/>
        </w:rPr>
        <w:t>首次响应文件开启地点：</w:t>
      </w:r>
      <w:r>
        <w:rPr>
          <w:rFonts w:hint="eastAsia" w:ascii="宋体" w:hAnsi="宋体" w:cs="宋体"/>
          <w:bCs/>
          <w:szCs w:val="21"/>
        </w:rPr>
        <w:t>张家界市南庄坪路桥公司6楼会议室</w:t>
      </w:r>
    </w:p>
    <w:p>
      <w:pPr>
        <w:keepNext/>
        <w:keepLines/>
        <w:adjustRightInd w:val="0"/>
        <w:snapToGrid w:val="0"/>
        <w:spacing w:beforeLines="50" w:line="360" w:lineRule="auto"/>
        <w:outlineLvl w:val="1"/>
        <w:rPr>
          <w:rFonts w:ascii="黑体" w:hAnsi="黑体" w:eastAsia="黑体"/>
          <w:b/>
          <w:bCs/>
          <w:sz w:val="24"/>
          <w:szCs w:val="32"/>
        </w:rPr>
      </w:pPr>
      <w:bookmarkStart w:id="22" w:name="_Toc21295"/>
      <w:bookmarkStart w:id="23" w:name="_Toc22201061"/>
      <w:bookmarkStart w:id="24" w:name="_Toc21518"/>
      <w:r>
        <w:rPr>
          <w:rFonts w:hint="eastAsia" w:ascii="黑体" w:hAnsi="黑体" w:eastAsia="黑体"/>
          <w:b/>
          <w:bCs/>
          <w:sz w:val="24"/>
          <w:szCs w:val="32"/>
        </w:rPr>
        <w:t>六、询问及质疑</w:t>
      </w:r>
      <w:bookmarkEnd w:id="22"/>
      <w:bookmarkEnd w:id="23"/>
      <w:bookmarkEnd w:id="24"/>
    </w:p>
    <w:p>
      <w:pPr>
        <w:adjustRightInd w:val="0"/>
        <w:snapToGrid w:val="0"/>
        <w:spacing w:beforeLines="50" w:line="360" w:lineRule="auto"/>
        <w:ind w:firstLine="420" w:firstLineChars="200"/>
        <w:rPr>
          <w:rFonts w:ascii="宋体" w:hAnsi="宋体"/>
          <w:szCs w:val="21"/>
        </w:rPr>
      </w:pPr>
      <w:r>
        <w:rPr>
          <w:rFonts w:hint="eastAsia" w:ascii="宋体" w:hAnsi="宋体"/>
          <w:szCs w:val="21"/>
        </w:rPr>
        <w:t>1、供应商对政府采购活动事项如有疑问的，可以向采购人、采购代理机构提出询问。采购人、采购代理机构将在3个工作日内作出答复。</w:t>
      </w:r>
    </w:p>
    <w:p>
      <w:pPr>
        <w:adjustRightInd w:val="0"/>
        <w:snapToGrid w:val="0"/>
        <w:spacing w:beforeLines="50" w:line="360" w:lineRule="auto"/>
        <w:ind w:firstLine="420" w:firstLineChars="200"/>
        <w:rPr>
          <w:rFonts w:hint="eastAsia" w:ascii="宋体" w:hAnsi="宋体"/>
          <w:szCs w:val="21"/>
        </w:rPr>
      </w:pPr>
      <w:r>
        <w:rPr>
          <w:rFonts w:hint="eastAsia" w:ascii="宋体" w:hAnsi="宋体"/>
          <w:szCs w:val="21"/>
        </w:rPr>
        <w:t>2、供应商认为谈判文件使自己的合法权益受到损害的，可以在收到</w:t>
      </w:r>
      <w:r>
        <w:rPr>
          <w:rFonts w:hint="eastAsia" w:ascii="宋体" w:hAnsi="宋体"/>
          <w:szCs w:val="21"/>
          <w:lang w:eastAsia="zh-CN"/>
        </w:rPr>
        <w:t>磋商</w:t>
      </w:r>
      <w:r>
        <w:rPr>
          <w:rFonts w:hint="eastAsia" w:ascii="宋体" w:hAnsi="宋体"/>
          <w:szCs w:val="21"/>
        </w:rPr>
        <w:t>文件之日起7个工作日内，按《湖南省财政厅关于印发＜政府采购质疑答复和投诉处理操作规程＞的通知》(湘财购〔2019〕20号)规定，以纸质书面形式向采购人、采购代理机构提出质疑。</w:t>
      </w:r>
    </w:p>
    <w:p>
      <w:pPr>
        <w:pStyle w:val="6"/>
        <w:adjustRightInd w:val="0"/>
        <w:snapToGrid w:val="0"/>
        <w:rPr>
          <w:rFonts w:ascii="黑体" w:hAnsi="黑体" w:eastAsia="黑体"/>
        </w:rPr>
      </w:pPr>
      <w:r>
        <w:rPr>
          <w:rFonts w:hint="eastAsia" w:ascii="黑体" w:hAnsi="黑体" w:eastAsia="黑体"/>
        </w:rPr>
        <w:t>七、</w:t>
      </w:r>
      <w:bookmarkEnd w:id="3"/>
      <w:bookmarkStart w:id="25" w:name="_Toc22201063"/>
      <w:r>
        <w:rPr>
          <w:rFonts w:hint="eastAsia" w:ascii="黑体" w:hAnsi="黑体" w:eastAsia="黑体"/>
        </w:rPr>
        <w:t>采购人及其委托的采购代理机构的名称、地址和联系方法</w:t>
      </w:r>
      <w:bookmarkEnd w:id="4"/>
      <w:bookmarkEnd w:id="25"/>
    </w:p>
    <w:p>
      <w:pPr>
        <w:adjustRightInd w:val="0"/>
        <w:snapToGrid w:val="0"/>
        <w:spacing w:line="360" w:lineRule="auto"/>
        <w:ind w:firstLine="413" w:firstLineChars="196"/>
        <w:rPr>
          <w:rFonts w:ascii="宋体" w:hAnsi="宋体"/>
          <w:b/>
          <w:bCs/>
          <w:szCs w:val="21"/>
        </w:rPr>
      </w:pPr>
      <w:r>
        <w:rPr>
          <w:rFonts w:hint="eastAsia" w:ascii="宋体" w:hAnsi="宋体"/>
          <w:b/>
          <w:bCs/>
          <w:szCs w:val="21"/>
        </w:rPr>
        <w:t>1</w:t>
      </w:r>
      <w:r>
        <w:rPr>
          <w:rFonts w:hint="eastAsia" w:ascii="宋体" w:hAnsi="宋体"/>
          <w:szCs w:val="21"/>
        </w:rPr>
        <w:t>、</w:t>
      </w:r>
      <w:r>
        <w:rPr>
          <w:rFonts w:hint="eastAsia" w:ascii="宋体" w:hAnsi="宋体"/>
          <w:b/>
          <w:bCs/>
          <w:szCs w:val="21"/>
        </w:rPr>
        <w:t>采购人信息</w:t>
      </w:r>
    </w:p>
    <w:p>
      <w:pPr>
        <w:adjustRightInd w:val="0"/>
        <w:snapToGrid w:val="0"/>
        <w:spacing w:line="360" w:lineRule="auto"/>
        <w:ind w:firstLine="420" w:firstLineChars="200"/>
        <w:rPr>
          <w:rFonts w:ascii="宋体" w:hAnsi="宋体"/>
          <w:szCs w:val="21"/>
        </w:rPr>
      </w:pPr>
      <w:r>
        <w:rPr>
          <w:rFonts w:hint="eastAsia" w:ascii="宋体" w:hAnsi="宋体"/>
          <w:szCs w:val="21"/>
        </w:rPr>
        <w:t>（1）名 称：国家税务总局张家界市税务局</w:t>
      </w:r>
    </w:p>
    <w:p>
      <w:pPr>
        <w:adjustRightInd w:val="0"/>
        <w:snapToGrid w:val="0"/>
        <w:spacing w:line="360" w:lineRule="auto"/>
        <w:ind w:firstLine="420" w:firstLineChars="200"/>
        <w:rPr>
          <w:rFonts w:ascii="宋体" w:hAnsi="宋体"/>
          <w:szCs w:val="21"/>
        </w:rPr>
      </w:pPr>
      <w:r>
        <w:rPr>
          <w:rFonts w:hint="eastAsia" w:ascii="宋体" w:hAnsi="宋体"/>
          <w:szCs w:val="21"/>
        </w:rPr>
        <w:t>（2）地  址：</w:t>
      </w:r>
      <w:r>
        <w:rPr>
          <w:rFonts w:hint="eastAsia" w:ascii="宋体" w:hAnsi="宋体" w:eastAsiaTheme="minorEastAsia"/>
          <w:color w:val="000000" w:themeColor="text1"/>
          <w:szCs w:val="21"/>
        </w:rPr>
        <w:t>张家界市永定区大庸西路446号</w:t>
      </w:r>
    </w:p>
    <w:p>
      <w:pPr>
        <w:adjustRightInd w:val="0"/>
        <w:snapToGrid w:val="0"/>
        <w:spacing w:line="360" w:lineRule="auto"/>
        <w:ind w:firstLine="420" w:firstLineChars="200"/>
        <w:rPr>
          <w:rFonts w:hint="eastAsia" w:ascii="宋体" w:hAnsi="宋体"/>
          <w:szCs w:val="21"/>
          <w:lang w:eastAsia="zh-CN"/>
        </w:rPr>
      </w:pPr>
      <w:r>
        <w:rPr>
          <w:rFonts w:hint="eastAsia" w:ascii="宋体" w:hAnsi="宋体"/>
          <w:szCs w:val="21"/>
        </w:rPr>
        <w:t>（3）</w:t>
      </w:r>
      <w:r>
        <w:rPr>
          <w:rFonts w:hint="eastAsia" w:ascii="宋体" w:hAnsi="宋体"/>
          <w:bCs/>
          <w:szCs w:val="21"/>
        </w:rPr>
        <w:t>联系人：</w:t>
      </w:r>
      <w:r>
        <w:rPr>
          <w:rFonts w:hint="eastAsia" w:ascii="宋体" w:hAnsi="宋体"/>
          <w:szCs w:val="21"/>
          <w:lang w:eastAsia="zh-CN"/>
        </w:rPr>
        <w:t>彭先生</w:t>
      </w:r>
    </w:p>
    <w:p>
      <w:pPr>
        <w:adjustRightInd w:val="0"/>
        <w:snapToGrid w:val="0"/>
        <w:spacing w:line="360" w:lineRule="auto"/>
        <w:ind w:firstLine="420" w:firstLineChars="200"/>
        <w:rPr>
          <w:rFonts w:hint="default" w:ascii="宋体" w:hAnsi="宋体" w:eastAsia="宋体"/>
          <w:szCs w:val="21"/>
          <w:lang w:val="en-US" w:eastAsia="zh-CN"/>
        </w:rPr>
      </w:pPr>
      <w:r>
        <w:rPr>
          <w:rFonts w:hint="eastAsia" w:ascii="宋体" w:hAnsi="宋体"/>
          <w:szCs w:val="21"/>
        </w:rPr>
        <w:t>（4）</w:t>
      </w:r>
      <w:r>
        <w:rPr>
          <w:rFonts w:hint="eastAsia" w:ascii="宋体" w:hAnsi="宋体"/>
          <w:bCs/>
          <w:szCs w:val="21"/>
        </w:rPr>
        <w:t>电话：</w:t>
      </w:r>
      <w:r>
        <w:rPr>
          <w:rFonts w:hint="eastAsia" w:ascii="宋体" w:hAnsi="宋体"/>
          <w:szCs w:val="21"/>
          <w:lang w:val="en-US" w:eastAsia="zh-CN"/>
        </w:rPr>
        <w:t>0744-8380025</w:t>
      </w:r>
    </w:p>
    <w:p>
      <w:pPr>
        <w:adjustRightInd w:val="0"/>
        <w:snapToGrid w:val="0"/>
        <w:spacing w:line="360" w:lineRule="auto"/>
        <w:ind w:firstLine="413" w:firstLineChars="196"/>
        <w:rPr>
          <w:rFonts w:ascii="宋体" w:hAnsi="宋体"/>
          <w:b/>
          <w:bCs/>
          <w:szCs w:val="21"/>
        </w:rPr>
      </w:pPr>
      <w:r>
        <w:rPr>
          <w:rFonts w:hint="eastAsia" w:ascii="宋体" w:hAnsi="宋体"/>
          <w:b/>
          <w:bCs/>
          <w:szCs w:val="21"/>
        </w:rPr>
        <w:t>2</w:t>
      </w:r>
      <w:r>
        <w:rPr>
          <w:rFonts w:hint="eastAsia" w:ascii="宋体" w:hAnsi="宋体"/>
          <w:szCs w:val="21"/>
        </w:rPr>
        <w:t>、</w:t>
      </w:r>
      <w:r>
        <w:rPr>
          <w:rFonts w:hint="eastAsia" w:ascii="宋体" w:hAnsi="宋体"/>
          <w:b/>
          <w:bCs/>
          <w:szCs w:val="21"/>
        </w:rPr>
        <w:t>采购代理机构信息</w:t>
      </w:r>
    </w:p>
    <w:p>
      <w:pPr>
        <w:adjustRightInd w:val="0"/>
        <w:snapToGrid w:val="0"/>
        <w:spacing w:line="360" w:lineRule="auto"/>
        <w:ind w:firstLine="411" w:firstLineChars="196"/>
        <w:rPr>
          <w:rFonts w:ascii="宋体" w:hAnsi="宋体"/>
          <w:szCs w:val="21"/>
        </w:rPr>
      </w:pPr>
      <w:r>
        <w:rPr>
          <w:rFonts w:hint="eastAsia" w:ascii="宋体" w:hAnsi="宋体"/>
          <w:szCs w:val="21"/>
        </w:rPr>
        <w:t>（1）</w:t>
      </w:r>
      <w:r>
        <w:rPr>
          <w:rFonts w:hint="eastAsia" w:ascii="宋体" w:hAnsi="宋体"/>
          <w:bCs/>
          <w:szCs w:val="21"/>
        </w:rPr>
        <w:t>名  称：</w:t>
      </w:r>
      <w:r>
        <w:rPr>
          <w:rFonts w:hint="eastAsia" w:ascii="宋体" w:hAnsi="宋体"/>
          <w:szCs w:val="21"/>
        </w:rPr>
        <w:t>张家界市誉丰招标代理有限公司</w:t>
      </w:r>
    </w:p>
    <w:p>
      <w:pPr>
        <w:adjustRightInd w:val="0"/>
        <w:snapToGrid w:val="0"/>
        <w:spacing w:line="360" w:lineRule="auto"/>
        <w:ind w:firstLine="420" w:firstLineChars="200"/>
        <w:rPr>
          <w:rFonts w:ascii="宋体" w:hAnsi="宋体"/>
          <w:szCs w:val="21"/>
        </w:rPr>
      </w:pPr>
      <w:r>
        <w:rPr>
          <w:rFonts w:hint="eastAsia" w:ascii="宋体" w:hAnsi="宋体"/>
          <w:szCs w:val="21"/>
        </w:rPr>
        <w:t>（2）地  址：张家界市南庄坪路桥公司3楼</w:t>
      </w:r>
    </w:p>
    <w:p>
      <w:pPr>
        <w:adjustRightInd w:val="0"/>
        <w:snapToGrid w:val="0"/>
        <w:spacing w:line="360" w:lineRule="auto"/>
        <w:ind w:firstLine="420" w:firstLineChars="200"/>
        <w:rPr>
          <w:rFonts w:ascii="宋体" w:hAnsi="宋体"/>
          <w:szCs w:val="21"/>
        </w:rPr>
      </w:pPr>
      <w:r>
        <w:rPr>
          <w:rFonts w:hint="eastAsia" w:ascii="宋体" w:hAnsi="宋体"/>
          <w:szCs w:val="21"/>
        </w:rPr>
        <w:t>（3）联系人：李女士</w:t>
      </w:r>
    </w:p>
    <w:p>
      <w:pPr>
        <w:adjustRightInd w:val="0"/>
        <w:snapToGrid w:val="0"/>
        <w:spacing w:line="360" w:lineRule="auto"/>
        <w:ind w:firstLine="420" w:firstLineChars="200"/>
        <w:rPr>
          <w:rFonts w:hint="default" w:ascii="宋体" w:hAnsi="宋体" w:eastAsia="宋体"/>
          <w:szCs w:val="21"/>
          <w:lang w:val="en-US" w:eastAsia="zh-CN"/>
        </w:rPr>
      </w:pPr>
      <w:r>
        <w:rPr>
          <w:rFonts w:hint="eastAsia" w:ascii="宋体" w:hAnsi="宋体"/>
          <w:szCs w:val="21"/>
        </w:rPr>
        <w:t>（4）电  话：</w:t>
      </w:r>
      <w:r>
        <w:rPr>
          <w:rFonts w:hint="eastAsia" w:ascii="宋体" w:hAnsi="宋体" w:eastAsia="新宋体"/>
          <w:szCs w:val="21"/>
          <w:lang w:val="en-US" w:eastAsia="zh-CN"/>
        </w:rPr>
        <w:t>0744-8380328</w:t>
      </w:r>
    </w:p>
    <w:p>
      <w:pPr>
        <w:adjustRightInd w:val="0"/>
        <w:snapToGrid w:val="0"/>
        <w:spacing w:line="360" w:lineRule="auto"/>
        <w:ind w:firstLine="420" w:firstLineChars="200"/>
        <w:rPr>
          <w:szCs w:val="21"/>
        </w:rPr>
      </w:pPr>
      <w:r>
        <w:rPr>
          <w:rFonts w:hint="eastAsia" w:ascii="宋体" w:hAnsi="宋体"/>
          <w:szCs w:val="21"/>
        </w:rPr>
        <w:t>（5）</w:t>
      </w:r>
      <w:r>
        <w:rPr>
          <w:rFonts w:hint="eastAsia"/>
          <w:szCs w:val="21"/>
        </w:rPr>
        <w:t>电子邮箱：</w:t>
      </w:r>
      <w:r>
        <w:rPr>
          <w:rFonts w:hint="eastAsia" w:ascii="宋体" w:hAnsi="宋体" w:cs="宋体"/>
          <w:szCs w:val="21"/>
        </w:rPr>
        <w:t>1043476432@qq.com</w:t>
      </w:r>
    </w:p>
    <w:p>
      <w:pPr>
        <w:pStyle w:val="6"/>
        <w:adjustRightInd w:val="0"/>
        <w:snapToGrid w:val="0"/>
        <w:rPr>
          <w:rFonts w:ascii="黑体" w:hAnsi="黑体" w:eastAsia="黑体"/>
        </w:rPr>
      </w:pPr>
      <w:bookmarkStart w:id="26" w:name="_Toc12458"/>
      <w:bookmarkStart w:id="27" w:name="_Toc22201064"/>
    </w:p>
    <w:p>
      <w:pPr>
        <w:pStyle w:val="6"/>
        <w:adjustRightInd w:val="0"/>
        <w:snapToGrid w:val="0"/>
        <w:rPr>
          <w:rFonts w:ascii="黑体" w:hAnsi="黑体" w:eastAsia="黑体"/>
        </w:rPr>
      </w:pPr>
      <w:r>
        <w:rPr>
          <w:rFonts w:hint="eastAsia" w:ascii="黑体" w:hAnsi="黑体" w:eastAsia="黑体"/>
        </w:rPr>
        <w:t>八、其它补充事宜</w:t>
      </w:r>
      <w:bookmarkEnd w:id="26"/>
      <w:bookmarkEnd w:id="27"/>
    </w:p>
    <w:p>
      <w:pPr>
        <w:pStyle w:val="6"/>
        <w:adjustRightInd w:val="0"/>
        <w:snapToGrid w:val="0"/>
        <w:rPr>
          <w:rFonts w:ascii="宋体" w:hAnsi="宋体"/>
          <w:szCs w:val="21"/>
        </w:rPr>
      </w:pPr>
      <w:r>
        <w:rPr>
          <w:rFonts w:hint="eastAsia" w:ascii="宋体" w:hAnsi="宋体"/>
          <w:szCs w:val="21"/>
        </w:rPr>
        <w:t>（1）保证金</w:t>
      </w:r>
    </w:p>
    <w:p>
      <w:pPr>
        <w:adjustRightInd w:val="0"/>
        <w:snapToGrid w:val="0"/>
        <w:spacing w:line="360" w:lineRule="auto"/>
        <w:ind w:firstLine="420" w:firstLineChars="200"/>
        <w:jc w:val="left"/>
        <w:rPr>
          <w:rFonts w:ascii="宋体" w:hAnsi="宋体"/>
          <w:szCs w:val="21"/>
        </w:rPr>
      </w:pPr>
      <w:r>
        <w:rPr>
          <w:rFonts w:hint="eastAsia" w:ascii="宋体" w:hAnsi="宋体"/>
          <w:szCs w:val="21"/>
        </w:rPr>
        <w:t>保证金汇至：张家界市誉丰招标代理有限公司政府采购保证金专户</w:t>
      </w:r>
    </w:p>
    <w:p>
      <w:pPr>
        <w:adjustRightInd w:val="0"/>
        <w:snapToGrid w:val="0"/>
        <w:spacing w:line="360" w:lineRule="auto"/>
        <w:ind w:firstLine="420" w:firstLineChars="200"/>
        <w:jc w:val="left"/>
        <w:rPr>
          <w:rFonts w:ascii="宋体" w:hAnsi="宋体"/>
          <w:szCs w:val="21"/>
        </w:rPr>
      </w:pPr>
      <w:r>
        <w:rPr>
          <w:rFonts w:hint="eastAsia" w:ascii="宋体" w:hAnsi="宋体"/>
          <w:szCs w:val="21"/>
        </w:rPr>
        <w:t>账号：943006010000148109</w:t>
      </w:r>
    </w:p>
    <w:p>
      <w:pPr>
        <w:adjustRightInd w:val="0"/>
        <w:snapToGrid w:val="0"/>
        <w:spacing w:line="360" w:lineRule="auto"/>
        <w:ind w:firstLine="420" w:firstLineChars="200"/>
        <w:jc w:val="left"/>
        <w:rPr>
          <w:rFonts w:ascii="宋体" w:hAnsi="宋体"/>
          <w:szCs w:val="21"/>
        </w:rPr>
      </w:pPr>
      <w:r>
        <w:rPr>
          <w:rFonts w:hint="eastAsia" w:ascii="宋体" w:hAnsi="宋体"/>
          <w:szCs w:val="21"/>
        </w:rPr>
        <w:t>开户行：中国邮政储蓄银行股份有限公司张家界市分行营业部</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到账截止时间：</w:t>
      </w:r>
      <w:r>
        <w:rPr>
          <w:rFonts w:hint="eastAsia" w:ascii="宋体" w:hAnsi="宋体"/>
          <w:szCs w:val="21"/>
          <w:u w:val="single"/>
        </w:rPr>
        <w:t>2023年</w:t>
      </w:r>
      <w:r>
        <w:rPr>
          <w:rFonts w:hint="eastAsia" w:ascii="宋体" w:hAnsi="宋体"/>
          <w:szCs w:val="21"/>
          <w:u w:val="single"/>
          <w:lang w:val="en-US" w:eastAsia="zh-CN"/>
        </w:rPr>
        <w:t>2</w:t>
      </w:r>
      <w:r>
        <w:rPr>
          <w:rFonts w:hint="eastAsia" w:ascii="宋体" w:hAnsi="宋体"/>
          <w:szCs w:val="21"/>
          <w:u w:val="single"/>
        </w:rPr>
        <w:t xml:space="preserve"> 月</w:t>
      </w:r>
      <w:r>
        <w:rPr>
          <w:rFonts w:hint="eastAsia" w:ascii="宋体" w:hAnsi="宋体"/>
          <w:szCs w:val="21"/>
          <w:u w:val="single"/>
          <w:lang w:val="en-US" w:eastAsia="zh-CN"/>
        </w:rPr>
        <w:t>2</w:t>
      </w:r>
      <w:r>
        <w:rPr>
          <w:rFonts w:hint="eastAsia" w:ascii="宋体" w:hAnsi="宋体"/>
          <w:szCs w:val="21"/>
          <w:u w:val="single"/>
        </w:rPr>
        <w:t xml:space="preserve"> 日9:00（北京时间）</w:t>
      </w:r>
    </w:p>
    <w:p>
      <w:pPr>
        <w:spacing w:line="360" w:lineRule="auto"/>
        <w:ind w:firstLine="420" w:firstLineChars="200"/>
        <w:jc w:val="left"/>
        <w:rPr>
          <w:rFonts w:hAnsi="宋体"/>
          <w:u w:val="single"/>
        </w:rPr>
      </w:pPr>
      <w:r>
        <w:rPr>
          <w:rFonts w:hint="eastAsia" w:ascii="宋体" w:hAnsi="宋体"/>
          <w:szCs w:val="21"/>
        </w:rPr>
        <w:t>（请在用途栏中注明“</w:t>
      </w:r>
      <w:r>
        <w:rPr>
          <w:rFonts w:hint="eastAsia" w:ascii="新宋体" w:hAnsi="新宋体" w:eastAsia="新宋体" w:cs="新宋体"/>
          <w:kern w:val="0"/>
          <w:szCs w:val="21"/>
          <w:lang w:eastAsia="zh-CN"/>
        </w:rPr>
        <w:t>国家税务总局张家界市税务局食堂餐饮劳务项目采购</w:t>
      </w:r>
      <w:r>
        <w:rPr>
          <w:rFonts w:hint="eastAsia" w:ascii="宋体" w:hAnsi="宋体"/>
          <w:szCs w:val="21"/>
        </w:rPr>
        <w:t>”字样）</w:t>
      </w:r>
    </w:p>
    <w:p>
      <w:pPr>
        <w:pStyle w:val="27"/>
        <w:adjustRightInd w:val="0"/>
        <w:snapToGrid w:val="0"/>
        <w:spacing w:line="360" w:lineRule="auto"/>
        <w:ind w:left="23" w:leftChars="11" w:firstLine="525" w:firstLineChars="250"/>
        <w:jc w:val="right"/>
        <w:rPr>
          <w:rFonts w:hAnsi="宋体"/>
          <w:u w:val="single"/>
        </w:rPr>
      </w:pPr>
    </w:p>
    <w:p>
      <w:pPr>
        <w:pStyle w:val="27"/>
        <w:adjustRightInd w:val="0"/>
        <w:snapToGrid w:val="0"/>
        <w:spacing w:line="360" w:lineRule="auto"/>
        <w:ind w:left="23" w:leftChars="11" w:firstLine="525" w:firstLineChars="250"/>
        <w:jc w:val="right"/>
        <w:rPr>
          <w:rFonts w:hAnsi="宋体"/>
          <w:bCs/>
        </w:rPr>
      </w:pPr>
      <w:r>
        <w:rPr>
          <w:rFonts w:hint="eastAsia" w:hAnsi="宋体"/>
          <w:u w:val="single"/>
        </w:rPr>
        <w:t>202</w:t>
      </w:r>
      <w:r>
        <w:rPr>
          <w:rFonts w:hint="eastAsia" w:hAnsi="宋体"/>
          <w:u w:val="single"/>
          <w:lang w:val="en-US" w:eastAsia="zh-CN"/>
        </w:rPr>
        <w:t>3</w:t>
      </w:r>
      <w:r>
        <w:rPr>
          <w:rFonts w:hint="eastAsia" w:hAnsi="宋体"/>
          <w:bCs/>
        </w:rPr>
        <w:t>年</w:t>
      </w:r>
      <w:r>
        <w:rPr>
          <w:rFonts w:hint="eastAsia" w:hAnsi="宋体"/>
          <w:u w:val="single"/>
          <w:lang w:val="en-US" w:eastAsia="zh-CN"/>
        </w:rPr>
        <w:t>1</w:t>
      </w:r>
      <w:r>
        <w:rPr>
          <w:rFonts w:hint="eastAsia" w:hAnsi="宋体"/>
          <w:bCs/>
        </w:rPr>
        <w:t>月</w:t>
      </w:r>
      <w:r>
        <w:rPr>
          <w:rFonts w:hint="eastAsia" w:hAnsi="宋体"/>
          <w:u w:val="single"/>
          <w:lang w:val="en-US" w:eastAsia="zh-CN"/>
        </w:rPr>
        <w:t>18</w:t>
      </w:r>
      <w:r>
        <w:rPr>
          <w:rFonts w:hint="eastAsia" w:hAnsi="宋体"/>
          <w:bCs/>
        </w:rPr>
        <w:t>日</w:t>
      </w: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int="eastAsia"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Ansi="宋体"/>
          <w:bCs/>
        </w:rPr>
      </w:pPr>
    </w:p>
    <w:p>
      <w:pPr>
        <w:pStyle w:val="27"/>
        <w:adjustRightInd w:val="0"/>
        <w:snapToGrid w:val="0"/>
        <w:spacing w:line="360" w:lineRule="auto"/>
        <w:ind w:left="23" w:leftChars="11" w:firstLine="525" w:firstLineChars="250"/>
        <w:jc w:val="right"/>
        <w:rPr>
          <w:rFonts w:hint="eastAsia" w:hAnsi="宋体"/>
          <w:bCs/>
        </w:rPr>
      </w:pPr>
    </w:p>
    <w:p>
      <w:pPr>
        <w:pStyle w:val="27"/>
        <w:adjustRightInd w:val="0"/>
        <w:snapToGrid w:val="0"/>
        <w:spacing w:line="360" w:lineRule="auto"/>
        <w:ind w:left="23" w:leftChars="11" w:firstLine="525" w:firstLineChars="250"/>
        <w:jc w:val="right"/>
        <w:rPr>
          <w:rFonts w:hAnsi="宋体"/>
          <w:bCs/>
        </w:rPr>
      </w:pPr>
    </w:p>
    <w:p>
      <w:pPr>
        <w:pStyle w:val="27"/>
        <w:spacing w:line="360" w:lineRule="auto"/>
        <w:jc w:val="center"/>
        <w:rPr>
          <w:rFonts w:hAnsi="宋体" w:cs="宋体"/>
          <w:b/>
          <w:sz w:val="32"/>
          <w:szCs w:val="32"/>
        </w:rPr>
      </w:pPr>
      <w:r>
        <w:rPr>
          <w:rFonts w:hint="eastAsia" w:hAnsi="宋体" w:cs="宋体"/>
          <w:b/>
          <w:sz w:val="32"/>
          <w:szCs w:val="32"/>
        </w:rPr>
        <w:t>第二章 磋商须知</w:t>
      </w:r>
    </w:p>
    <w:p>
      <w:pPr>
        <w:pStyle w:val="27"/>
        <w:spacing w:line="360" w:lineRule="auto"/>
        <w:jc w:val="center"/>
        <w:rPr>
          <w:rFonts w:hAnsi="宋体" w:cs="宋体"/>
          <w:b/>
          <w:sz w:val="32"/>
          <w:szCs w:val="32"/>
        </w:rPr>
      </w:pPr>
      <w:r>
        <w:rPr>
          <w:rFonts w:hint="eastAsia" w:hAnsi="宋体" w:cs="宋体"/>
          <w:b/>
          <w:sz w:val="32"/>
          <w:szCs w:val="32"/>
        </w:rPr>
        <w:t>磋商须知前附表</w:t>
      </w:r>
    </w:p>
    <w:p>
      <w:pPr>
        <w:pStyle w:val="27"/>
        <w:spacing w:line="360" w:lineRule="auto"/>
        <w:rPr>
          <w:rFonts w:hAnsi="宋体" w:cs="宋体"/>
          <w:b/>
          <w:bCs/>
        </w:rPr>
      </w:pPr>
      <w:r>
        <w:rPr>
          <w:rFonts w:hint="eastAsia" w:hAnsi="宋体" w:cs="宋体"/>
          <w:b/>
          <w:bCs/>
        </w:rPr>
        <w:t>注： 请在方框□内划√选择，在“条款号”内限选一项。（本项目采用的条款用“</w:t>
      </w:r>
      <w:r>
        <w:rPr>
          <w:rFonts w:hint="eastAsia" w:hAnsi="宋体"/>
          <w:color w:val="000000"/>
        </w:rPr>
        <w:t>☑</w:t>
      </w:r>
      <w:r>
        <w:rPr>
          <w:rFonts w:hint="eastAsia" w:hAnsi="宋体" w:cs="宋体"/>
          <w:b/>
          <w:bCs/>
        </w:rPr>
        <w:t>”标示）</w:t>
      </w:r>
    </w:p>
    <w:tbl>
      <w:tblPr>
        <w:tblStyle w:val="48"/>
        <w:tblW w:w="949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24"/>
        <w:gridCol w:w="1742"/>
        <w:gridCol w:w="6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1" w:hRule="atLeast"/>
          <w:tblHeader/>
          <w:jc w:val="center"/>
        </w:trPr>
        <w:tc>
          <w:tcPr>
            <w:tcW w:w="1724" w:type="dxa"/>
            <w:noWrap/>
            <w:vAlign w:val="center"/>
          </w:tcPr>
          <w:p>
            <w:pPr>
              <w:adjustRightInd w:val="0"/>
              <w:snapToGrid w:val="0"/>
              <w:spacing w:line="400" w:lineRule="exact"/>
              <w:jc w:val="center"/>
              <w:rPr>
                <w:rFonts w:ascii="宋体" w:hAnsi="宋体"/>
                <w:b/>
                <w:color w:val="000000"/>
                <w:szCs w:val="21"/>
              </w:rPr>
            </w:pPr>
            <w:r>
              <w:rPr>
                <w:rFonts w:hint="eastAsia" w:ascii="宋体" w:hAnsi="宋体"/>
                <w:b/>
                <w:color w:val="000000"/>
                <w:szCs w:val="21"/>
              </w:rPr>
              <w:t>条款号</w:t>
            </w:r>
          </w:p>
        </w:tc>
        <w:tc>
          <w:tcPr>
            <w:tcW w:w="1742" w:type="dxa"/>
            <w:noWrap/>
            <w:vAlign w:val="center"/>
          </w:tcPr>
          <w:p>
            <w:pPr>
              <w:adjustRightInd w:val="0"/>
              <w:snapToGrid w:val="0"/>
              <w:spacing w:line="400" w:lineRule="exact"/>
              <w:jc w:val="center"/>
              <w:rPr>
                <w:rFonts w:ascii="宋体" w:hAnsi="宋体"/>
                <w:b/>
                <w:color w:val="000000"/>
                <w:szCs w:val="21"/>
              </w:rPr>
            </w:pPr>
            <w:r>
              <w:rPr>
                <w:rFonts w:hint="eastAsia" w:ascii="宋体" w:hAnsi="宋体"/>
                <w:b/>
                <w:color w:val="000000"/>
                <w:szCs w:val="21"/>
              </w:rPr>
              <w:t>条款名称</w:t>
            </w:r>
          </w:p>
        </w:tc>
        <w:tc>
          <w:tcPr>
            <w:tcW w:w="6024" w:type="dxa"/>
            <w:noWrap/>
            <w:vAlign w:val="center"/>
          </w:tcPr>
          <w:p>
            <w:pPr>
              <w:adjustRightInd w:val="0"/>
              <w:snapToGrid w:val="0"/>
              <w:spacing w:line="400" w:lineRule="exact"/>
              <w:jc w:val="center"/>
              <w:rPr>
                <w:rFonts w:ascii="宋体" w:hAnsi="宋体"/>
                <w:b/>
                <w:color w:val="000000"/>
                <w:szCs w:val="21"/>
              </w:rPr>
            </w:pPr>
            <w:r>
              <w:rPr>
                <w:rFonts w:hint="eastAsia" w:ascii="宋体" w:hAnsi="宋体"/>
                <w:b/>
                <w:color w:val="000000"/>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3" w:hRule="atLeast"/>
          <w:jc w:val="center"/>
        </w:trPr>
        <w:tc>
          <w:tcPr>
            <w:tcW w:w="9490" w:type="dxa"/>
            <w:gridSpan w:val="3"/>
            <w:noWrap/>
            <w:vAlign w:val="center"/>
          </w:tcPr>
          <w:p>
            <w:pPr>
              <w:adjustRightInd w:val="0"/>
              <w:snapToGrid w:val="0"/>
              <w:spacing w:line="400" w:lineRule="exact"/>
              <w:rPr>
                <w:rFonts w:ascii="宋体" w:hAnsi="宋体"/>
                <w:color w:val="000000"/>
                <w:szCs w:val="21"/>
              </w:rPr>
            </w:pPr>
            <w:r>
              <w:rPr>
                <w:rFonts w:hint="eastAsia" w:ascii="宋体" w:hAnsi="宋体"/>
                <w:b/>
                <w:color w:val="000000"/>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172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第二章第1.1款</w:t>
            </w:r>
          </w:p>
        </w:tc>
        <w:tc>
          <w:tcPr>
            <w:tcW w:w="1742" w:type="dxa"/>
            <w:noWrap/>
            <w:vAlign w:val="center"/>
          </w:tcPr>
          <w:p>
            <w:pPr>
              <w:adjustRightInd w:val="0"/>
              <w:snapToGrid w:val="0"/>
              <w:rPr>
                <w:rFonts w:ascii="宋体" w:hAnsi="宋体"/>
                <w:color w:val="000000"/>
                <w:szCs w:val="21"/>
              </w:rPr>
            </w:pPr>
            <w:r>
              <w:rPr>
                <w:rFonts w:hint="eastAsia" w:ascii="宋体" w:hAnsi="宋体"/>
                <w:color w:val="000000"/>
                <w:szCs w:val="21"/>
              </w:rPr>
              <w:t>采购项目</w:t>
            </w:r>
          </w:p>
        </w:tc>
        <w:tc>
          <w:tcPr>
            <w:tcW w:w="6024" w:type="dxa"/>
            <w:noWrap/>
            <w:vAlign w:val="center"/>
          </w:tcPr>
          <w:p>
            <w:pPr>
              <w:adjustRightInd w:val="0"/>
              <w:snapToGrid w:val="0"/>
              <w:jc w:val="left"/>
              <w:rPr>
                <w:rFonts w:hint="eastAsia" w:hAnsi="宋体" w:eastAsia="宋体"/>
                <w:color w:val="000000"/>
                <w:lang w:eastAsia="zh-CN"/>
              </w:rPr>
            </w:pPr>
            <w:r>
              <w:rPr>
                <w:rFonts w:hint="eastAsia" w:ascii="宋体" w:hAnsi="宋体"/>
                <w:szCs w:val="21"/>
                <w:lang w:eastAsia="zh-CN"/>
              </w:rPr>
              <w:t>国家税务总局张家界市税务局食堂餐饮劳务项目采购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72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第二章第2.1款</w:t>
            </w:r>
          </w:p>
        </w:tc>
        <w:tc>
          <w:tcPr>
            <w:tcW w:w="1742" w:type="dxa"/>
            <w:noWrap/>
            <w:vAlign w:val="center"/>
          </w:tcPr>
          <w:p>
            <w:pPr>
              <w:adjustRightInd w:val="0"/>
              <w:snapToGrid w:val="0"/>
              <w:rPr>
                <w:rFonts w:ascii="宋体" w:hAnsi="宋体"/>
                <w:color w:val="000000"/>
                <w:szCs w:val="21"/>
              </w:rPr>
            </w:pPr>
            <w:r>
              <w:rPr>
                <w:rFonts w:hint="eastAsia" w:ascii="宋体" w:hAnsi="宋体"/>
                <w:color w:val="000000"/>
                <w:szCs w:val="21"/>
              </w:rPr>
              <w:t>采购人</w:t>
            </w:r>
          </w:p>
        </w:tc>
        <w:tc>
          <w:tcPr>
            <w:tcW w:w="6024" w:type="dxa"/>
            <w:noWrap/>
            <w:vAlign w:val="center"/>
          </w:tcPr>
          <w:p>
            <w:pPr>
              <w:spacing w:line="360" w:lineRule="atLeast"/>
              <w:rPr>
                <w:rFonts w:ascii="宋体" w:hAnsi="宋体" w:cs="宋体"/>
                <w:color w:val="000000"/>
                <w:szCs w:val="21"/>
              </w:rPr>
            </w:pPr>
            <w:r>
              <w:rPr>
                <w:rFonts w:hint="eastAsia" w:ascii="宋体" w:hAnsi="宋体" w:cs="宋体"/>
                <w:color w:val="000000"/>
                <w:szCs w:val="21"/>
              </w:rPr>
              <w:t>名称：国家税务总局张家界市税务局</w:t>
            </w:r>
          </w:p>
          <w:p>
            <w:pPr>
              <w:spacing w:line="360" w:lineRule="atLeast"/>
              <w:rPr>
                <w:rFonts w:ascii="宋体" w:hAnsi="宋体" w:cs="宋体"/>
                <w:color w:val="000000"/>
                <w:szCs w:val="21"/>
              </w:rPr>
            </w:pPr>
            <w:r>
              <w:rPr>
                <w:rFonts w:hint="eastAsia" w:ascii="宋体" w:hAnsi="宋体" w:cs="宋体"/>
                <w:color w:val="000000"/>
                <w:szCs w:val="21"/>
              </w:rPr>
              <w:t>地址：</w:t>
            </w:r>
            <w:r>
              <w:rPr>
                <w:rFonts w:hint="eastAsia" w:ascii="宋体" w:hAnsi="宋体" w:eastAsiaTheme="minorEastAsia"/>
                <w:color w:val="000000" w:themeColor="text1"/>
                <w:szCs w:val="21"/>
              </w:rPr>
              <w:t>张家界市永定区大庸西路446号</w:t>
            </w:r>
          </w:p>
          <w:p>
            <w:pPr>
              <w:spacing w:line="360" w:lineRule="atLeast"/>
              <w:rPr>
                <w:rFonts w:hint="eastAsia" w:ascii="宋体" w:hAnsi="宋体" w:eastAsia="宋体" w:cs="宋体"/>
                <w:color w:val="000000"/>
                <w:szCs w:val="21"/>
                <w:lang w:eastAsia="zh-CN"/>
              </w:rPr>
            </w:pPr>
            <w:r>
              <w:rPr>
                <w:rFonts w:hint="eastAsia" w:ascii="宋体" w:hAnsi="宋体" w:cs="宋体"/>
                <w:color w:val="000000"/>
                <w:szCs w:val="21"/>
              </w:rPr>
              <w:t>联 系 人：</w:t>
            </w:r>
            <w:r>
              <w:rPr>
                <w:rFonts w:hint="eastAsia" w:ascii="宋体" w:hAnsi="宋体"/>
                <w:szCs w:val="21"/>
                <w:lang w:eastAsia="zh-CN"/>
              </w:rPr>
              <w:t>彭先生</w:t>
            </w:r>
          </w:p>
          <w:p>
            <w:pPr>
              <w:spacing w:line="360" w:lineRule="atLeast"/>
              <w:rPr>
                <w:rFonts w:hint="default" w:ascii="宋体" w:hAnsi="宋体" w:eastAsia="宋体" w:cs="宋体"/>
                <w:color w:val="000000"/>
                <w:szCs w:val="21"/>
                <w:lang w:val="en-US" w:eastAsia="zh-CN"/>
              </w:rPr>
            </w:pPr>
            <w:r>
              <w:rPr>
                <w:rFonts w:hint="eastAsia" w:ascii="宋体" w:hAnsi="宋体" w:cs="宋体"/>
                <w:color w:val="000000"/>
                <w:szCs w:val="21"/>
              </w:rPr>
              <w:t>电   话：</w:t>
            </w:r>
            <w:r>
              <w:rPr>
                <w:rFonts w:hint="eastAsia" w:ascii="宋体" w:hAnsi="宋体"/>
                <w:szCs w:val="21"/>
                <w:lang w:val="en-US" w:eastAsia="zh-CN"/>
              </w:rPr>
              <w:t>0744-8380025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44" w:hRule="atLeast"/>
          <w:jc w:val="center"/>
        </w:trPr>
        <w:tc>
          <w:tcPr>
            <w:tcW w:w="172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第二章第2.2款</w:t>
            </w:r>
          </w:p>
        </w:tc>
        <w:tc>
          <w:tcPr>
            <w:tcW w:w="1742" w:type="dxa"/>
            <w:noWrap/>
            <w:vAlign w:val="center"/>
          </w:tcPr>
          <w:p>
            <w:pPr>
              <w:adjustRightInd w:val="0"/>
              <w:snapToGrid w:val="0"/>
              <w:rPr>
                <w:rFonts w:ascii="宋体" w:hAnsi="宋体"/>
                <w:color w:val="000000"/>
                <w:szCs w:val="21"/>
              </w:rPr>
            </w:pPr>
            <w:r>
              <w:rPr>
                <w:rFonts w:hint="eastAsia" w:ascii="宋体" w:hAnsi="宋体"/>
                <w:color w:val="000000"/>
                <w:szCs w:val="21"/>
              </w:rPr>
              <w:t>采购代理机构</w:t>
            </w:r>
          </w:p>
        </w:tc>
        <w:tc>
          <w:tcPr>
            <w:tcW w:w="6024" w:type="dxa"/>
            <w:noWrap/>
            <w:vAlign w:val="center"/>
          </w:tcPr>
          <w:p>
            <w:pPr>
              <w:spacing w:line="360" w:lineRule="atLeast"/>
              <w:rPr>
                <w:rFonts w:ascii="宋体" w:hAnsi="宋体" w:cs="宋体"/>
                <w:color w:val="000000"/>
                <w:szCs w:val="21"/>
              </w:rPr>
            </w:pPr>
            <w:r>
              <w:rPr>
                <w:rFonts w:hint="eastAsia" w:ascii="宋体" w:hAnsi="宋体" w:cs="宋体"/>
                <w:color w:val="000000"/>
                <w:szCs w:val="21"/>
              </w:rPr>
              <w:t>名称： 张家界市誉丰招标代理有限公司</w:t>
            </w:r>
          </w:p>
          <w:p>
            <w:pPr>
              <w:spacing w:line="360" w:lineRule="atLeast"/>
              <w:rPr>
                <w:rFonts w:ascii="宋体" w:hAnsi="宋体" w:cs="宋体"/>
                <w:color w:val="000000"/>
                <w:szCs w:val="21"/>
              </w:rPr>
            </w:pPr>
            <w:r>
              <w:rPr>
                <w:rFonts w:hint="eastAsia" w:ascii="宋体" w:hAnsi="宋体" w:cs="宋体"/>
                <w:color w:val="000000"/>
                <w:szCs w:val="21"/>
              </w:rPr>
              <w:t>地址：张家界市南庄坪路桥公司三楼</w:t>
            </w:r>
          </w:p>
          <w:p>
            <w:pPr>
              <w:spacing w:line="360" w:lineRule="atLeast"/>
              <w:rPr>
                <w:rFonts w:ascii="宋体" w:hAnsi="宋体" w:cs="宋体"/>
                <w:color w:val="000000"/>
                <w:szCs w:val="21"/>
              </w:rPr>
            </w:pPr>
            <w:r>
              <w:rPr>
                <w:rFonts w:hint="eastAsia" w:ascii="宋体" w:hAnsi="宋体" w:cs="宋体"/>
                <w:color w:val="000000"/>
                <w:szCs w:val="21"/>
              </w:rPr>
              <w:t>联系人：李女士</w:t>
            </w:r>
          </w:p>
          <w:p>
            <w:pPr>
              <w:spacing w:line="360" w:lineRule="atLeast"/>
              <w:rPr>
                <w:rFonts w:hint="default" w:ascii="宋体" w:hAnsi="宋体" w:eastAsia="宋体" w:cs="宋体"/>
                <w:color w:val="000000"/>
                <w:szCs w:val="21"/>
                <w:lang w:val="en-US" w:eastAsia="zh-CN"/>
              </w:rPr>
            </w:pPr>
            <w:r>
              <w:rPr>
                <w:rFonts w:hint="eastAsia" w:ascii="宋体" w:hAnsi="宋体" w:cs="宋体"/>
                <w:color w:val="000000"/>
                <w:szCs w:val="21"/>
              </w:rPr>
              <w:t>电   话：</w:t>
            </w:r>
            <w:r>
              <w:rPr>
                <w:rFonts w:hint="eastAsia" w:ascii="宋体" w:hAnsi="宋体" w:cs="宋体"/>
                <w:color w:val="000000"/>
                <w:szCs w:val="21"/>
                <w:lang w:val="en-US" w:eastAsia="zh-CN"/>
              </w:rPr>
              <w:t>0744-8380328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1724" w:type="dxa"/>
            <w:vMerge w:val="restart"/>
            <w:noWrap/>
            <w:vAlign w:val="center"/>
          </w:tcPr>
          <w:p>
            <w:pPr>
              <w:adjustRightInd w:val="0"/>
              <w:snapToGrid w:val="0"/>
              <w:jc w:val="center"/>
              <w:rPr>
                <w:rFonts w:ascii="宋体" w:hAnsi="宋体"/>
                <w:color w:val="000000"/>
                <w:szCs w:val="21"/>
              </w:rPr>
            </w:pPr>
            <w:r>
              <w:rPr>
                <w:rFonts w:hint="eastAsia" w:ascii="宋体" w:hAnsi="宋体"/>
                <w:color w:val="000000"/>
                <w:szCs w:val="21"/>
              </w:rPr>
              <w:t>第二章第2.3款</w:t>
            </w:r>
          </w:p>
        </w:tc>
        <w:tc>
          <w:tcPr>
            <w:tcW w:w="1742" w:type="dxa"/>
            <w:noWrap/>
            <w:vAlign w:val="center"/>
          </w:tcPr>
          <w:p>
            <w:pPr>
              <w:adjustRightInd w:val="0"/>
              <w:snapToGrid w:val="0"/>
              <w:rPr>
                <w:rFonts w:ascii="宋体" w:hAnsi="宋体"/>
                <w:color w:val="000000"/>
                <w:szCs w:val="21"/>
              </w:rPr>
            </w:pPr>
            <w:r>
              <w:rPr>
                <w:rFonts w:hint="eastAsia" w:ascii="宋体" w:hAnsi="宋体"/>
                <w:color w:val="000000"/>
                <w:szCs w:val="21"/>
              </w:rPr>
              <w:t>供应商的邀请</w:t>
            </w:r>
          </w:p>
          <w:p>
            <w:pPr>
              <w:adjustRightInd w:val="0"/>
              <w:snapToGrid w:val="0"/>
              <w:rPr>
                <w:rFonts w:ascii="宋体" w:hAnsi="宋体"/>
                <w:bCs/>
                <w:color w:val="000000"/>
                <w:szCs w:val="21"/>
              </w:rPr>
            </w:pPr>
            <w:r>
              <w:rPr>
                <w:rFonts w:hint="eastAsia" w:ascii="宋体" w:hAnsi="宋体"/>
                <w:color w:val="000000"/>
                <w:szCs w:val="21"/>
              </w:rPr>
              <w:t>方式</w:t>
            </w:r>
          </w:p>
        </w:tc>
        <w:tc>
          <w:tcPr>
            <w:tcW w:w="6024" w:type="dxa"/>
            <w:noWrap/>
            <w:vAlign w:val="center"/>
          </w:tcPr>
          <w:p>
            <w:pPr>
              <w:adjustRightInd w:val="0"/>
              <w:snapToGrid w:val="0"/>
              <w:rPr>
                <w:rFonts w:ascii="宋体" w:hAnsi="宋体"/>
                <w:color w:val="000000"/>
                <w:szCs w:val="21"/>
              </w:rPr>
            </w:pPr>
            <w:r>
              <w:rPr>
                <w:rFonts w:ascii="宋体" w:hAnsi="宋体"/>
                <w:color w:val="000000"/>
                <w:szCs w:val="21"/>
              </w:rPr>
              <w:t>通过发布邀请公告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1724" w:type="dxa"/>
            <w:vMerge w:val="continue"/>
            <w:noWrap/>
            <w:vAlign w:val="center"/>
          </w:tcPr>
          <w:p>
            <w:pPr>
              <w:adjustRightInd w:val="0"/>
              <w:snapToGrid w:val="0"/>
              <w:spacing w:line="400" w:lineRule="exact"/>
              <w:jc w:val="center"/>
              <w:rPr>
                <w:rFonts w:ascii="宋体" w:hAnsi="宋体"/>
                <w:color w:val="000000"/>
                <w:szCs w:val="21"/>
              </w:rPr>
            </w:pPr>
          </w:p>
        </w:tc>
        <w:tc>
          <w:tcPr>
            <w:tcW w:w="1742" w:type="dxa"/>
            <w:noWrap/>
            <w:vAlign w:val="center"/>
          </w:tcPr>
          <w:p>
            <w:pPr>
              <w:adjustRightInd w:val="0"/>
              <w:snapToGrid w:val="0"/>
              <w:spacing w:line="300" w:lineRule="exact"/>
              <w:rPr>
                <w:rFonts w:ascii="宋体" w:hAnsi="宋体"/>
                <w:color w:val="000000"/>
                <w:szCs w:val="21"/>
              </w:rPr>
            </w:pPr>
            <w:r>
              <w:rPr>
                <w:rFonts w:hint="eastAsia" w:ascii="宋体" w:hAnsi="宋体"/>
                <w:color w:val="000000"/>
                <w:szCs w:val="21"/>
              </w:rPr>
              <w:t>购买磋商文件时应提供的资料</w:t>
            </w:r>
          </w:p>
        </w:tc>
        <w:tc>
          <w:tcPr>
            <w:tcW w:w="6024" w:type="dxa"/>
            <w:noWrap/>
            <w:vAlign w:val="center"/>
          </w:tcPr>
          <w:p>
            <w:pPr>
              <w:adjustRightInd w:val="0"/>
              <w:snapToGrid w:val="0"/>
              <w:rPr>
                <w:rFonts w:ascii="宋体" w:hAnsi="宋体"/>
                <w:color w:val="000000"/>
                <w:szCs w:val="21"/>
              </w:rPr>
            </w:pPr>
            <w:r>
              <w:rPr>
                <w:rFonts w:hint="eastAsia" w:ascii="宋体" w:hAnsi="宋体" w:cs="微软雅黑"/>
                <w:spacing w:val="-2"/>
                <w:kern w:val="0"/>
                <w:szCs w:val="21"/>
              </w:rPr>
              <w:t>持营业执照副本复印件（加盖公章）、法定代表人身份证明或授权委托书（附法定代表人身份证明）原件（加盖公章）、个人身份证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第二章第3.1款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bCs/>
                <w:color w:val="000000"/>
                <w:szCs w:val="21"/>
              </w:rPr>
              <w:t>供应商</w:t>
            </w:r>
            <w:r>
              <w:rPr>
                <w:rFonts w:hint="eastAsia" w:ascii="宋体" w:hAnsi="宋体"/>
                <w:color w:val="000000"/>
                <w:szCs w:val="21"/>
              </w:rPr>
              <w:t>资格条件</w:t>
            </w:r>
          </w:p>
        </w:tc>
        <w:tc>
          <w:tcPr>
            <w:tcW w:w="6024" w:type="dxa"/>
            <w:noWrap/>
            <w:vAlign w:val="center"/>
          </w:tcPr>
          <w:p>
            <w:pPr>
              <w:pStyle w:val="20"/>
              <w:spacing w:line="280" w:lineRule="exact"/>
              <w:rPr>
                <w:rFonts w:ascii="宋体" w:hAnsi="宋体" w:cs="宋体"/>
                <w:color w:val="000000"/>
                <w:szCs w:val="21"/>
              </w:rPr>
            </w:pPr>
            <w:r>
              <w:rPr>
                <w:rFonts w:hint="eastAsia" w:ascii="宋体" w:hAnsi="宋体" w:cs="宋体"/>
                <w:color w:val="000000"/>
                <w:szCs w:val="21"/>
              </w:rPr>
              <w:t>详见“第一章磋商邀请”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8"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第二章第6.1款</w:t>
            </w:r>
          </w:p>
        </w:tc>
        <w:tc>
          <w:tcPr>
            <w:tcW w:w="1742" w:type="dxa"/>
            <w:noWrap/>
            <w:vAlign w:val="center"/>
          </w:tcPr>
          <w:p>
            <w:pPr>
              <w:adjustRightInd w:val="0"/>
              <w:snapToGrid w:val="0"/>
              <w:spacing w:line="400" w:lineRule="exact"/>
              <w:ind w:firstLine="210" w:firstLineChars="100"/>
              <w:rPr>
                <w:rFonts w:ascii="宋体" w:hAnsi="宋体"/>
                <w:color w:val="000000"/>
                <w:szCs w:val="21"/>
              </w:rPr>
            </w:pPr>
            <w:r>
              <w:rPr>
                <w:rFonts w:hint="eastAsia" w:ascii="宋体" w:hAnsi="宋体"/>
                <w:color w:val="000000"/>
                <w:szCs w:val="21"/>
              </w:rPr>
              <w:t>联合体形式</w:t>
            </w:r>
          </w:p>
        </w:tc>
        <w:tc>
          <w:tcPr>
            <w:tcW w:w="6024" w:type="dxa"/>
            <w:noWrap/>
            <w:vAlign w:val="center"/>
          </w:tcPr>
          <w:p>
            <w:pPr>
              <w:adjustRightInd w:val="0"/>
              <w:snapToGrid w:val="0"/>
              <w:spacing w:line="360" w:lineRule="auto"/>
              <w:rPr>
                <w:rFonts w:ascii="宋体" w:hAnsi="宋体" w:cs="宋体"/>
                <w:szCs w:val="21"/>
              </w:rPr>
            </w:pPr>
            <w:r>
              <w:rPr>
                <w:rFonts w:hint="eastAsia" w:ascii="宋体" w:hAnsi="宋体" w:cs="宋体"/>
                <w:szCs w:val="21"/>
              </w:rPr>
              <w:t>本次招标</w:t>
            </w:r>
            <w:r>
              <w:rPr>
                <w:rFonts w:hint="eastAsia" w:ascii="宋体" w:hAnsi="宋体" w:cs="宋体"/>
                <w:szCs w:val="21"/>
                <w:u w:val="single"/>
              </w:rPr>
              <w:t>不接受</w:t>
            </w:r>
            <w:r>
              <w:rPr>
                <w:rFonts w:hint="eastAsia" w:ascii="宋体" w:hAnsi="宋体" w:cs="宋体"/>
                <w:szCs w:val="21"/>
              </w:rPr>
              <w:t>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3"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第二章第7.1款</w:t>
            </w:r>
          </w:p>
        </w:tc>
        <w:tc>
          <w:tcPr>
            <w:tcW w:w="1742" w:type="dxa"/>
            <w:noWrap/>
            <w:vAlign w:val="center"/>
          </w:tcPr>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现场勘察</w:t>
            </w:r>
          </w:p>
        </w:tc>
        <w:tc>
          <w:tcPr>
            <w:tcW w:w="6024" w:type="dxa"/>
            <w:noWrap/>
            <w:vAlign w:val="center"/>
          </w:tcPr>
          <w:p>
            <w:pPr>
              <w:adjustRightInd w:val="0"/>
              <w:snapToGrid w:val="0"/>
              <w:spacing w:line="400" w:lineRule="exact"/>
              <w:rPr>
                <w:rFonts w:ascii="宋体" w:hAnsi="宋体"/>
                <w:color w:val="000000"/>
                <w:szCs w:val="21"/>
              </w:rPr>
            </w:pPr>
            <w:r>
              <w:rPr>
                <w:rFonts w:hint="eastAsia" w:ascii="宋体" w:hAnsi="宋体" w:cs="宋体"/>
                <w:iCs/>
                <w:szCs w:val="21"/>
              </w:rPr>
              <w:t>投标人可自行对业主单位的周围环境进行勘察，以便投标人获取有关编制投标文件和签署合同所涉及现场的资料，中标方不得以不完全了解现场情况为由，提出任何形式的增加</w:t>
            </w:r>
            <w:r>
              <w:rPr>
                <w:rFonts w:hint="eastAsia" w:ascii="宋体" w:hAnsi="宋体" w:cs="宋体"/>
                <w:iCs/>
                <w:szCs w:val="21"/>
                <w:lang w:eastAsia="zh-CN"/>
              </w:rPr>
              <w:t>费用</w:t>
            </w:r>
            <w:r>
              <w:rPr>
                <w:rFonts w:hint="eastAsia" w:ascii="宋体" w:hAnsi="宋体" w:cs="宋体"/>
                <w:iCs/>
                <w:szCs w:val="21"/>
              </w:rPr>
              <w:t>或索赔要求。投标人踏勘现场所发生的一切费用和责任概由投标人自负。业主方不单独或分别组织任何一个投标单位进行现场踏勘。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8"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第二章第8.1款</w:t>
            </w:r>
          </w:p>
        </w:tc>
        <w:tc>
          <w:tcPr>
            <w:tcW w:w="1742" w:type="dxa"/>
            <w:noWrap/>
            <w:vAlign w:val="center"/>
          </w:tcPr>
          <w:p>
            <w:pPr>
              <w:adjustRightInd w:val="0"/>
              <w:snapToGrid w:val="0"/>
              <w:spacing w:line="400" w:lineRule="exact"/>
              <w:ind w:firstLine="210" w:firstLineChars="100"/>
              <w:rPr>
                <w:rFonts w:ascii="宋体" w:hAnsi="宋体"/>
                <w:color w:val="000000"/>
                <w:szCs w:val="21"/>
              </w:rPr>
            </w:pPr>
            <w:r>
              <w:rPr>
                <w:rFonts w:hint="eastAsia" w:ascii="宋体" w:hAnsi="宋体"/>
                <w:color w:val="000000"/>
                <w:szCs w:val="21"/>
              </w:rPr>
              <w:t>采购进口产品</w:t>
            </w:r>
          </w:p>
        </w:tc>
        <w:tc>
          <w:tcPr>
            <w:tcW w:w="6024"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724" w:type="dxa"/>
            <w:vMerge w:val="restart"/>
            <w:noWrap/>
            <w:vAlign w:val="center"/>
          </w:tcPr>
          <w:p>
            <w:pPr>
              <w:spacing w:line="360" w:lineRule="atLeast"/>
              <w:rPr>
                <w:color w:val="000000"/>
                <w:szCs w:val="21"/>
              </w:rPr>
            </w:pPr>
            <w:r>
              <w:rPr>
                <w:rFonts w:hint="eastAsia"/>
                <w:color w:val="000000"/>
                <w:szCs w:val="21"/>
              </w:rPr>
              <w:t>政府采购优惠政</w:t>
            </w:r>
          </w:p>
          <w:p>
            <w:pPr>
              <w:spacing w:line="360" w:lineRule="atLeast"/>
              <w:jc w:val="center"/>
              <w:rPr>
                <w:color w:val="000000"/>
                <w:szCs w:val="21"/>
              </w:rPr>
            </w:pPr>
            <w:r>
              <w:rPr>
                <w:rFonts w:hint="eastAsia"/>
                <w:color w:val="000000"/>
                <w:szCs w:val="21"/>
              </w:rPr>
              <w:t>策</w:t>
            </w:r>
          </w:p>
        </w:tc>
        <w:tc>
          <w:tcPr>
            <w:tcW w:w="1742" w:type="dxa"/>
            <w:noWrap/>
            <w:vAlign w:val="center"/>
          </w:tcPr>
          <w:p>
            <w:pPr>
              <w:spacing w:line="360" w:lineRule="atLeast"/>
              <w:jc w:val="center"/>
              <w:rPr>
                <w:color w:val="000000"/>
                <w:szCs w:val="21"/>
              </w:rPr>
            </w:pPr>
            <w:r>
              <w:rPr>
                <w:rFonts w:hint="eastAsia"/>
                <w:color w:val="000000"/>
                <w:szCs w:val="21"/>
              </w:rPr>
              <w:t>节能产品</w:t>
            </w:r>
          </w:p>
        </w:tc>
        <w:tc>
          <w:tcPr>
            <w:tcW w:w="6024" w:type="dxa"/>
            <w:noWrap/>
            <w:vAlign w:val="center"/>
          </w:tcPr>
          <w:p>
            <w:pPr>
              <w:spacing w:line="360" w:lineRule="atLeast"/>
              <w:rPr>
                <w:rFonts w:ascii="宋体" w:hAnsi="宋体" w:cs="宋体"/>
                <w:color w:val="000000"/>
                <w:szCs w:val="21"/>
              </w:rPr>
            </w:pPr>
            <w:r>
              <w:rPr>
                <w:rFonts w:hint="eastAsia" w:ascii="宋体" w:hAnsi="宋体"/>
                <w:color w:val="000000"/>
                <w:szCs w:val="21"/>
              </w:rPr>
              <w:t>☑</w:t>
            </w:r>
            <w:r>
              <w:rPr>
                <w:rFonts w:hint="eastAsia" w:ascii="宋体" w:hAnsi="宋体" w:cs="宋体"/>
                <w:color w:val="000000"/>
                <w:szCs w:val="21"/>
              </w:rPr>
              <w:t>否</w:t>
            </w:r>
          </w:p>
          <w:p>
            <w:pPr>
              <w:spacing w:line="360" w:lineRule="atLeast"/>
              <w:rPr>
                <w:rFonts w:ascii="宋体" w:hAnsi="宋体" w:cs="宋体"/>
                <w:color w:val="000000"/>
                <w:szCs w:val="21"/>
              </w:rPr>
            </w:pPr>
            <w:r>
              <w:rPr>
                <w:rFonts w:hint="eastAsia" w:ascii="宋体" w:hAnsi="宋体" w:cs="宋体"/>
                <w:color w:val="000000"/>
                <w:szCs w:val="21"/>
              </w:rPr>
              <w:t>□是，采购《节能产品政府采购清单》</w:t>
            </w:r>
            <w:r>
              <w:rPr>
                <w:rFonts w:ascii="宋体" w:hAnsi="宋体" w:cs="宋体"/>
                <w:color w:val="000000"/>
                <w:szCs w:val="21"/>
              </w:rPr>
              <w:t>(</w:t>
            </w:r>
            <w:r>
              <w:rPr>
                <w:rFonts w:hint="eastAsia" w:ascii="宋体" w:hAnsi="宋体" w:cs="宋体"/>
                <w:color w:val="000000"/>
                <w:szCs w:val="21"/>
              </w:rPr>
              <w:t>第期</w:t>
            </w:r>
            <w:r>
              <w:rPr>
                <w:rFonts w:ascii="宋体" w:hAnsi="宋体" w:cs="宋体"/>
                <w:color w:val="000000"/>
                <w:szCs w:val="21"/>
              </w:rPr>
              <w:t xml:space="preserve">) </w:t>
            </w:r>
            <w:r>
              <w:rPr>
                <w:rFonts w:hint="eastAsia" w:ascii="宋体" w:hAnsi="宋体" w:cs="宋体"/>
                <w:color w:val="000000"/>
                <w:szCs w:val="21"/>
              </w:rPr>
              <w:t>内标记★符号的节能产品。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1" w:hRule="atLeast"/>
          <w:jc w:val="center"/>
        </w:trPr>
        <w:tc>
          <w:tcPr>
            <w:tcW w:w="1724" w:type="dxa"/>
            <w:vMerge w:val="continue"/>
            <w:noWrap/>
            <w:vAlign w:val="center"/>
          </w:tcPr>
          <w:p>
            <w:pPr>
              <w:adjustRightInd w:val="0"/>
              <w:snapToGrid w:val="0"/>
              <w:spacing w:line="400" w:lineRule="exact"/>
              <w:jc w:val="center"/>
              <w:rPr>
                <w:rFonts w:ascii="宋体" w:hAnsi="宋体"/>
                <w:color w:val="000000"/>
                <w:szCs w:val="21"/>
              </w:rPr>
            </w:pPr>
          </w:p>
        </w:tc>
        <w:tc>
          <w:tcPr>
            <w:tcW w:w="1742" w:type="dxa"/>
            <w:noWrap/>
            <w:vAlign w:val="center"/>
          </w:tcPr>
          <w:p>
            <w:pPr>
              <w:adjustRightInd w:val="0"/>
              <w:snapToGrid w:val="0"/>
              <w:spacing w:line="400" w:lineRule="exact"/>
              <w:rPr>
                <w:rFonts w:ascii="宋体" w:hAnsi="宋体"/>
                <w:color w:val="000000"/>
                <w:szCs w:val="21"/>
              </w:rPr>
            </w:pPr>
            <w:r>
              <w:rPr>
                <w:rFonts w:hint="eastAsia"/>
                <w:color w:val="000000"/>
                <w:szCs w:val="21"/>
              </w:rPr>
              <w:t>环境标志产品</w:t>
            </w:r>
          </w:p>
        </w:tc>
        <w:tc>
          <w:tcPr>
            <w:tcW w:w="6024" w:type="dxa"/>
            <w:noWrap/>
            <w:vAlign w:val="center"/>
          </w:tcPr>
          <w:p>
            <w:pPr>
              <w:adjustRightInd w:val="0"/>
              <w:snapToGrid w:val="0"/>
              <w:rPr>
                <w:rFonts w:ascii="宋体" w:hAnsi="宋体"/>
                <w:color w:val="000000"/>
                <w:szCs w:val="21"/>
              </w:rPr>
            </w:pPr>
            <w:r>
              <w:rPr>
                <w:rFonts w:hint="eastAsia" w:ascii="宋体" w:cs="宋体"/>
                <w:color w:val="000000"/>
                <w:szCs w:val="21"/>
              </w:rPr>
              <w:t>采购产品属于《环境标志产品政府采购品目清单》（财库〔2019〕1</w:t>
            </w:r>
            <w:r>
              <w:rPr>
                <w:rFonts w:ascii="宋体" w:cs="宋体"/>
                <w:color w:val="000000"/>
                <w:szCs w:val="21"/>
              </w:rPr>
              <w:t>8</w:t>
            </w:r>
            <w:r>
              <w:rPr>
                <w:rFonts w:hint="eastAsia" w:ascii="宋体" w:cs="宋体"/>
                <w:color w:val="000000"/>
                <w:szCs w:val="21"/>
              </w:rPr>
              <w:t>号）中产品类别的（投标人必需提供有效的环境标志产品认证证书；不是清单中的产品类别，此评审时不予以考虑）： 采用综合评分法时，对于技术和价格分，应分别给予总分值4%-8%的加分。本项目具体加分比例分别为：技术部分</w:t>
            </w:r>
            <w:r>
              <w:rPr>
                <w:rFonts w:hint="eastAsia" w:ascii="宋体" w:cs="宋体"/>
                <w:color w:val="000000"/>
                <w:szCs w:val="21"/>
                <w:u w:val="single"/>
              </w:rPr>
              <w:t>/</w:t>
            </w:r>
            <w:r>
              <w:rPr>
                <w:rFonts w:hint="eastAsia" w:ascii="宋体" w:cs="宋体"/>
                <w:color w:val="000000"/>
                <w:szCs w:val="21"/>
              </w:rPr>
              <w:t>%、价格部分</w:t>
            </w:r>
            <w:r>
              <w:rPr>
                <w:rFonts w:hint="eastAsia" w:ascii="宋体" w:cs="宋体"/>
                <w:color w:val="000000"/>
                <w:szCs w:val="21"/>
                <w:u w:val="single"/>
              </w:rPr>
              <w:t>/</w:t>
            </w:r>
            <w:r>
              <w:rPr>
                <w:rFonts w:hint="eastAsia" w:asci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jc w:val="center"/>
        </w:trPr>
        <w:tc>
          <w:tcPr>
            <w:tcW w:w="1724" w:type="dxa"/>
            <w:vMerge w:val="continue"/>
            <w:noWrap/>
            <w:vAlign w:val="center"/>
          </w:tcPr>
          <w:p>
            <w:pPr>
              <w:adjustRightInd w:val="0"/>
              <w:snapToGrid w:val="0"/>
              <w:spacing w:line="400" w:lineRule="exact"/>
              <w:jc w:val="center"/>
              <w:rPr>
                <w:rFonts w:ascii="宋体" w:hAnsi="宋体"/>
                <w:color w:val="000000"/>
                <w:szCs w:val="21"/>
              </w:rPr>
            </w:pPr>
          </w:p>
        </w:tc>
        <w:tc>
          <w:tcPr>
            <w:tcW w:w="1742" w:type="dxa"/>
            <w:noWrap/>
            <w:vAlign w:val="center"/>
          </w:tcPr>
          <w:p>
            <w:pPr>
              <w:adjustRightInd w:val="0"/>
              <w:snapToGrid w:val="0"/>
              <w:spacing w:line="400" w:lineRule="exact"/>
              <w:rPr>
                <w:rFonts w:ascii="宋体" w:hAnsi="宋体"/>
                <w:color w:val="000000"/>
                <w:szCs w:val="21"/>
              </w:rPr>
            </w:pPr>
            <w:r>
              <w:rPr>
                <w:rFonts w:hint="eastAsia"/>
                <w:color w:val="000000"/>
                <w:szCs w:val="21"/>
              </w:rPr>
              <w:t>两型产品</w:t>
            </w:r>
          </w:p>
        </w:tc>
        <w:tc>
          <w:tcPr>
            <w:tcW w:w="6024" w:type="dxa"/>
            <w:noWrap/>
            <w:vAlign w:val="center"/>
          </w:tcPr>
          <w:p>
            <w:pPr>
              <w:spacing w:line="360" w:lineRule="atLeast"/>
              <w:rPr>
                <w:rFonts w:ascii="宋体"/>
                <w:color w:val="000000"/>
                <w:szCs w:val="21"/>
              </w:rPr>
            </w:pPr>
            <w:r>
              <w:rPr>
                <w:rFonts w:hint="eastAsia" w:ascii="宋体" w:cs="宋体"/>
                <w:color w:val="000000"/>
                <w:szCs w:val="21"/>
              </w:rPr>
              <w:t>采购产品为《湖南省两型产品政府采购目录》(最新一期)内的（投标人必需提供湖南省两型产品政府采购目录此批内所在页复印件和附表《本项目所投两型产品清单》，未按要求提供上述资料的，评审时不予以考虑）</w:t>
            </w:r>
          </w:p>
          <w:p>
            <w:pPr>
              <w:spacing w:line="360" w:lineRule="atLeast"/>
              <w:ind w:right="-109"/>
              <w:rPr>
                <w:rFonts w:ascii="宋体"/>
                <w:color w:val="000000"/>
                <w:szCs w:val="21"/>
              </w:rPr>
            </w:pPr>
            <w:r>
              <w:rPr>
                <w:rFonts w:hint="eastAsia" w:ascii="宋体" w:cs="宋体"/>
                <w:color w:val="000000"/>
                <w:szCs w:val="21"/>
              </w:rPr>
              <w:t>（1）对于价格评标项中，可以对两型产品给予价格评标总分值的4%-8%幅度不等的加分 ；</w:t>
            </w:r>
          </w:p>
          <w:p>
            <w:pPr>
              <w:spacing w:line="360" w:lineRule="atLeast"/>
              <w:ind w:right="-109"/>
              <w:rPr>
                <w:rFonts w:ascii="宋体"/>
                <w:color w:val="000000"/>
                <w:szCs w:val="21"/>
              </w:rPr>
            </w:pPr>
            <w:r>
              <w:rPr>
                <w:rFonts w:hint="eastAsia" w:ascii="宋体" w:cs="宋体"/>
                <w:color w:val="000000"/>
                <w:szCs w:val="21"/>
              </w:rPr>
              <w:t>（2）在技术评标项中，可以对两型产品给予技术评标总分值的4%-8%幅度不等的加分；</w:t>
            </w:r>
          </w:p>
          <w:p>
            <w:pPr>
              <w:spacing w:line="360" w:lineRule="atLeast"/>
              <w:ind w:right="-109"/>
              <w:rPr>
                <w:rFonts w:ascii="宋体"/>
                <w:color w:val="000000"/>
                <w:szCs w:val="21"/>
              </w:rPr>
            </w:pPr>
            <w:r>
              <w:rPr>
                <w:rFonts w:hint="eastAsia" w:ascii="宋体" w:cs="宋体"/>
                <w:color w:val="000000"/>
                <w:szCs w:val="21"/>
              </w:rPr>
              <w:t>（3）在商务评标项中，对在项目所在地设有完善的售后服务机构和网点的两型产品，可以给予商务评标总分值的4%-8%幅度不等的加分 。</w:t>
            </w:r>
          </w:p>
          <w:p>
            <w:pPr>
              <w:adjustRightInd w:val="0"/>
              <w:snapToGrid w:val="0"/>
              <w:rPr>
                <w:rFonts w:ascii="宋体" w:hAnsi="宋体"/>
                <w:color w:val="000000"/>
                <w:szCs w:val="21"/>
              </w:rPr>
            </w:pPr>
            <w:r>
              <w:rPr>
                <w:rFonts w:hint="eastAsia" w:ascii="宋体" w:cs="宋体"/>
                <w:color w:val="000000"/>
                <w:szCs w:val="21"/>
              </w:rPr>
              <w:t>本项目具体加分比例分别为：技术部分</w:t>
            </w:r>
            <w:r>
              <w:rPr>
                <w:rFonts w:hint="eastAsia" w:ascii="宋体" w:cs="宋体"/>
                <w:color w:val="000000"/>
                <w:szCs w:val="21"/>
                <w:u w:val="single"/>
              </w:rPr>
              <w:t xml:space="preserve"> / </w:t>
            </w:r>
            <w:r>
              <w:rPr>
                <w:rFonts w:hint="eastAsia" w:ascii="宋体" w:cs="宋体"/>
                <w:color w:val="000000"/>
                <w:szCs w:val="21"/>
              </w:rPr>
              <w:t>%、价格部分</w:t>
            </w:r>
            <w:r>
              <w:rPr>
                <w:rFonts w:hint="eastAsia" w:ascii="宋体" w:cs="宋体"/>
                <w:color w:val="000000"/>
                <w:szCs w:val="21"/>
                <w:u w:val="single"/>
              </w:rPr>
              <w:t>/</w:t>
            </w:r>
            <w:r>
              <w:rPr>
                <w:rFonts w:hint="eastAsia" w:ascii="宋体" w:cs="宋体"/>
                <w:color w:val="000000"/>
                <w:szCs w:val="21"/>
              </w:rPr>
              <w:t>%、商务部分</w:t>
            </w:r>
            <w:r>
              <w:rPr>
                <w:rFonts w:hint="eastAsia" w:ascii="宋体" w:cs="宋体"/>
                <w:color w:val="000000"/>
                <w:szCs w:val="21"/>
                <w:u w:val="single"/>
              </w:rPr>
              <w:t xml:space="preserve">/ </w:t>
            </w:r>
            <w:r>
              <w:rPr>
                <w:rFonts w:hint="eastAsia" w:asci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4" w:hRule="atLeast"/>
          <w:jc w:val="center"/>
        </w:trPr>
        <w:tc>
          <w:tcPr>
            <w:tcW w:w="1724" w:type="dxa"/>
            <w:vMerge w:val="continue"/>
            <w:noWrap/>
            <w:vAlign w:val="center"/>
          </w:tcPr>
          <w:p>
            <w:pPr>
              <w:adjustRightInd w:val="0"/>
              <w:snapToGrid w:val="0"/>
              <w:spacing w:line="400" w:lineRule="exact"/>
              <w:jc w:val="center"/>
              <w:rPr>
                <w:rFonts w:ascii="宋体" w:hAnsi="宋体"/>
                <w:color w:val="000000"/>
                <w:szCs w:val="21"/>
              </w:rPr>
            </w:pPr>
          </w:p>
        </w:tc>
        <w:tc>
          <w:tcPr>
            <w:tcW w:w="1742" w:type="dxa"/>
            <w:noWrap/>
            <w:vAlign w:val="center"/>
          </w:tcPr>
          <w:p>
            <w:pPr>
              <w:spacing w:line="360" w:lineRule="atLeast"/>
              <w:jc w:val="center"/>
              <w:rPr>
                <w:color w:val="000000"/>
                <w:szCs w:val="21"/>
              </w:rPr>
            </w:pPr>
            <w:r>
              <w:rPr>
                <w:rFonts w:hint="eastAsia"/>
                <w:color w:val="000000"/>
                <w:szCs w:val="21"/>
              </w:rPr>
              <w:t>扶持小型、微型企业</w:t>
            </w:r>
          </w:p>
        </w:tc>
        <w:tc>
          <w:tcPr>
            <w:tcW w:w="6024" w:type="dxa"/>
            <w:noWrap/>
            <w:vAlign w:val="center"/>
          </w:tcPr>
          <w:p>
            <w:pPr>
              <w:rPr>
                <w:rFonts w:ascii="宋体" w:hAnsi="宋体"/>
                <w:color w:val="000000"/>
              </w:rPr>
            </w:pPr>
            <w:r>
              <w:rPr>
                <w:rFonts w:hint="eastAsia" w:ascii="MS Mincho" w:hAnsi="MS Mincho" w:eastAsia="MS Mincho" w:cs="MS Mincho"/>
                <w:color w:val="000000"/>
                <w:szCs w:val="21"/>
              </w:rPr>
              <w:t>☑</w:t>
            </w:r>
            <w:r>
              <w:rPr>
                <w:rFonts w:hint="eastAsia" w:ascii="宋体" w:hAnsi="宋体"/>
                <w:color w:val="000000"/>
              </w:rPr>
              <w:t>专门面向</w:t>
            </w:r>
            <w:r>
              <w:rPr>
                <w:rFonts w:hint="eastAsia" w:ascii="宋体" w:hAnsi="宋体"/>
                <w:color w:val="000000"/>
                <w:lang w:eastAsia="zh-CN"/>
              </w:rPr>
              <w:t>中</w:t>
            </w:r>
            <w:r>
              <w:rPr>
                <w:rFonts w:hint="eastAsia" w:ascii="宋体" w:hAnsi="宋体"/>
                <w:color w:val="000000"/>
              </w:rPr>
              <w:t>小企业采购</w:t>
            </w:r>
          </w:p>
          <w:p>
            <w:pPr>
              <w:rPr>
                <w:rFonts w:ascii="宋体" w:hAnsi="宋体"/>
                <w:color w:val="000000"/>
              </w:rPr>
            </w:pPr>
            <w:r>
              <w:rPr>
                <w:rFonts w:hint="eastAsia" w:ascii="宋体" w:hAnsi="宋体"/>
                <w:color w:val="000000"/>
                <w:szCs w:val="21"/>
              </w:rPr>
              <w:t>□</w:t>
            </w:r>
            <w:r>
              <w:rPr>
                <w:rFonts w:hint="eastAsia" w:ascii="宋体" w:hAnsi="宋体"/>
                <w:color w:val="000000"/>
              </w:rPr>
              <w:t>非专门面向中小企业采购，且符合政府采购促进中小企业发展相关规定的：</w:t>
            </w:r>
          </w:p>
          <w:p>
            <w:pPr>
              <w:rPr>
                <w:rFonts w:ascii="宋体" w:hAnsi="宋体"/>
                <w:b/>
                <w:bCs/>
                <w:color w:val="000000"/>
              </w:rPr>
            </w:pPr>
            <w:r>
              <w:rPr>
                <w:rFonts w:hint="eastAsia" w:ascii="宋体" w:hAnsi="宋体"/>
                <w:b/>
                <w:bCs/>
                <w:color w:val="000000"/>
              </w:rPr>
              <w:t>（1）给予小型和微型企业产品的价格给予10%-20%的扣除，用扣除后的价格参与评审，本项目具体扣除比例为</w:t>
            </w:r>
            <w:r>
              <w:rPr>
                <w:rFonts w:hint="eastAsia" w:ascii="宋体" w:hAnsi="宋体"/>
                <w:b/>
                <w:bCs/>
                <w:color w:val="000000"/>
                <w:u w:val="single"/>
              </w:rPr>
              <w:t xml:space="preserve">10 </w:t>
            </w:r>
            <w:r>
              <w:rPr>
                <w:rFonts w:hint="eastAsia" w:ascii="宋体" w:hAnsi="宋体"/>
                <w:b/>
                <w:bCs/>
                <w:color w:val="000000"/>
              </w:rPr>
              <w:t>％。</w:t>
            </w:r>
          </w:p>
          <w:p>
            <w:pPr>
              <w:rPr>
                <w:rFonts w:ascii="宋体" w:cs="宋体"/>
                <w:color w:val="000000"/>
                <w:szCs w:val="21"/>
              </w:rPr>
            </w:pPr>
            <w:r>
              <w:rPr>
                <w:rFonts w:hint="eastAsia" w:ascii="宋体" w:hAnsi="宋体"/>
                <w:b/>
                <w:bCs/>
                <w:color w:val="000000"/>
              </w:rPr>
              <w:t>（2）给予联合体2%-3%的价格扣除，用扣除后的价格参与评审，本项目具体扣除比例为</w:t>
            </w:r>
            <w:r>
              <w:rPr>
                <w:rFonts w:hint="eastAsia" w:ascii="宋体" w:hAnsi="宋体"/>
                <w:b/>
                <w:bCs/>
                <w:color w:val="000000"/>
                <w:u w:val="single"/>
              </w:rPr>
              <w:t xml:space="preserve">  3  </w:t>
            </w:r>
            <w:r>
              <w:rPr>
                <w:rFonts w:hint="eastAsia" w:ascii="宋体" w:hAnsi="宋体"/>
                <w:b/>
                <w:bCs/>
                <w:color w:val="00000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4" w:hRule="atLeast"/>
          <w:jc w:val="center"/>
        </w:trPr>
        <w:tc>
          <w:tcPr>
            <w:tcW w:w="1724" w:type="dxa"/>
            <w:vMerge w:val="continue"/>
            <w:noWrap/>
            <w:vAlign w:val="center"/>
          </w:tcPr>
          <w:p>
            <w:pPr>
              <w:adjustRightInd w:val="0"/>
              <w:snapToGrid w:val="0"/>
              <w:spacing w:line="400" w:lineRule="exact"/>
              <w:jc w:val="center"/>
              <w:rPr>
                <w:rFonts w:ascii="宋体" w:hAnsi="宋体"/>
                <w:color w:val="000000"/>
                <w:szCs w:val="21"/>
              </w:rPr>
            </w:pPr>
          </w:p>
        </w:tc>
        <w:tc>
          <w:tcPr>
            <w:tcW w:w="1742" w:type="dxa"/>
            <w:noWrap/>
            <w:vAlign w:val="center"/>
          </w:tcPr>
          <w:p>
            <w:pPr>
              <w:spacing w:line="360" w:lineRule="atLeast"/>
              <w:jc w:val="center"/>
              <w:rPr>
                <w:color w:val="000000"/>
                <w:szCs w:val="21"/>
              </w:rPr>
            </w:pPr>
            <w:r>
              <w:rPr>
                <w:rFonts w:hint="eastAsia"/>
                <w:color w:val="000000"/>
                <w:szCs w:val="21"/>
              </w:rPr>
              <w:t>残疾人福利性单位</w:t>
            </w:r>
          </w:p>
        </w:tc>
        <w:tc>
          <w:tcPr>
            <w:tcW w:w="6024" w:type="dxa"/>
            <w:noWrap/>
            <w:vAlign w:val="center"/>
          </w:tcPr>
          <w:p>
            <w:pPr>
              <w:spacing w:line="360" w:lineRule="atLeast"/>
              <w:rPr>
                <w:rFonts w:ascii="宋体" w:cs="宋体"/>
                <w:color w:val="000000"/>
                <w:szCs w:val="21"/>
              </w:rPr>
            </w:pPr>
            <w:r>
              <w:rPr>
                <w:rFonts w:hint="eastAsia" w:ascii="宋体" w:cs="宋体"/>
                <w:color w:val="000000"/>
                <w:szCs w:val="21"/>
              </w:rPr>
              <w:t>非专门面向残疾人福利单位采购：给予残疾人福利性单位10%-20%的扣除，用扣除后的价格参与评审，本项目具体扣除比例为：</w:t>
            </w:r>
            <w:r>
              <w:rPr>
                <w:rFonts w:hint="eastAsia" w:ascii="宋体" w:cs="宋体"/>
                <w:color w:val="000000"/>
                <w:szCs w:val="21"/>
                <w:u w:val="single"/>
              </w:rPr>
              <w:t>10</w:t>
            </w:r>
            <w:r>
              <w:rPr>
                <w:rFonts w:hint="eastAsia" w:asci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1724" w:type="dxa"/>
            <w:vMerge w:val="continue"/>
            <w:noWrap/>
            <w:vAlign w:val="center"/>
          </w:tcPr>
          <w:p>
            <w:pPr>
              <w:adjustRightInd w:val="0"/>
              <w:snapToGrid w:val="0"/>
              <w:spacing w:line="400" w:lineRule="exact"/>
              <w:jc w:val="center"/>
              <w:rPr>
                <w:rFonts w:ascii="宋体" w:hAnsi="宋体"/>
                <w:color w:val="000000"/>
                <w:szCs w:val="21"/>
              </w:rPr>
            </w:pPr>
          </w:p>
        </w:tc>
        <w:tc>
          <w:tcPr>
            <w:tcW w:w="1742" w:type="dxa"/>
            <w:noWrap/>
            <w:vAlign w:val="center"/>
          </w:tcPr>
          <w:p>
            <w:pPr>
              <w:spacing w:line="360" w:lineRule="atLeast"/>
              <w:jc w:val="center"/>
              <w:rPr>
                <w:color w:val="000000"/>
                <w:szCs w:val="21"/>
              </w:rPr>
            </w:pPr>
            <w:r>
              <w:rPr>
                <w:rFonts w:hint="eastAsia" w:ascii="宋体" w:hAnsi="宋体"/>
                <w:color w:val="000000"/>
                <w:szCs w:val="21"/>
              </w:rPr>
              <w:t>监狱企业</w:t>
            </w:r>
          </w:p>
        </w:tc>
        <w:tc>
          <w:tcPr>
            <w:tcW w:w="6024" w:type="dxa"/>
            <w:noWrap/>
            <w:vAlign w:val="center"/>
          </w:tcPr>
          <w:p>
            <w:pPr>
              <w:spacing w:line="360" w:lineRule="atLeast"/>
              <w:rPr>
                <w:rFonts w:ascii="宋体" w:cs="宋体"/>
                <w:color w:val="000000"/>
                <w:szCs w:val="21"/>
              </w:rPr>
            </w:pPr>
            <w:r>
              <w:rPr>
                <w:rFonts w:hint="eastAsia" w:ascii="宋体" w:cs="宋体"/>
                <w:color w:val="000000"/>
                <w:szCs w:val="21"/>
              </w:rPr>
              <w:t>非专门面向</w:t>
            </w:r>
            <w:r>
              <w:rPr>
                <w:rFonts w:hint="eastAsia" w:ascii="宋体" w:hAnsi="宋体"/>
                <w:color w:val="000000"/>
                <w:szCs w:val="21"/>
              </w:rPr>
              <w:t>监狱企业采购：给予监狱企业10</w:t>
            </w:r>
            <w:r>
              <w:rPr>
                <w:rFonts w:hint="eastAsia" w:ascii="宋体" w:cs="宋体"/>
                <w:color w:val="000000"/>
                <w:szCs w:val="21"/>
              </w:rPr>
              <w:t>%-20%的扣除，用扣除后的价格参与评审，本项目具体扣除比例为：</w:t>
            </w:r>
            <w:r>
              <w:rPr>
                <w:rFonts w:hint="eastAsia" w:ascii="宋体" w:cs="宋体"/>
                <w:color w:val="000000"/>
                <w:szCs w:val="21"/>
                <w:u w:val="single"/>
              </w:rPr>
              <w:t>10</w:t>
            </w:r>
            <w:r>
              <w:rPr>
                <w:rFonts w:hint="eastAsia" w:asci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55" w:hRule="atLeast"/>
          <w:jc w:val="center"/>
        </w:trPr>
        <w:tc>
          <w:tcPr>
            <w:tcW w:w="3466" w:type="dxa"/>
            <w:gridSpan w:val="2"/>
            <w:noWrap/>
            <w:vAlign w:val="center"/>
          </w:tcPr>
          <w:p>
            <w:pPr>
              <w:spacing w:line="360" w:lineRule="atLeast"/>
              <w:jc w:val="center"/>
              <w:rPr>
                <w:color w:val="000000"/>
              </w:rPr>
            </w:pPr>
            <w:r>
              <w:rPr>
                <w:rFonts w:ascii="宋体" w:hAnsi="宋体" w:cs="宋体"/>
                <w:color w:val="000000"/>
                <w:szCs w:val="21"/>
              </w:rPr>
              <w:t>多处获得政府采购政策优惠的计算方法</w:t>
            </w:r>
          </w:p>
        </w:tc>
        <w:tc>
          <w:tcPr>
            <w:tcW w:w="6024" w:type="dxa"/>
            <w:noWrap/>
            <w:vAlign w:val="center"/>
          </w:tcPr>
          <w:p>
            <w:pPr>
              <w:spacing w:line="360" w:lineRule="atLeast"/>
              <w:rPr>
                <w:color w:val="000000"/>
                <w:szCs w:val="21"/>
              </w:rPr>
            </w:pPr>
            <w:r>
              <w:rPr>
                <w:rFonts w:hint="eastAsia" w:ascii="宋体" w:hAnsi="宋体" w:cs="仿宋_GB2312"/>
                <w:color w:val="000000"/>
                <w:szCs w:val="21"/>
              </w:rPr>
              <w:t>1、投标人投标产品同时具备政府采购优先采购环境标志和湖南省政府采购支持两型产品的，投标人可选择其一，也可均填报。对二者均填报的，评标委员会评审时，二者只能选择其一，选择优惠范围最多的优惠政策进行评审。</w:t>
            </w:r>
          </w:p>
          <w:p>
            <w:pPr>
              <w:spacing w:line="360" w:lineRule="exact"/>
              <w:rPr>
                <w:rFonts w:ascii="宋体" w:hAnsi="宋体"/>
                <w:color w:val="000000"/>
                <w:szCs w:val="21"/>
              </w:rPr>
            </w:pPr>
            <w:r>
              <w:rPr>
                <w:rFonts w:hint="eastAsia" w:ascii="宋体" w:hAnsi="宋体"/>
                <w:color w:val="000000"/>
                <w:szCs w:val="21"/>
              </w:rPr>
              <w:t>2、扶持中小企业发展的优惠政策可以叠加享受。</w:t>
            </w:r>
          </w:p>
          <w:p>
            <w:pPr>
              <w:spacing w:line="360" w:lineRule="exact"/>
              <w:rPr>
                <w:rFonts w:ascii="宋体" w:hAnsi="宋体"/>
                <w:color w:val="000000"/>
                <w:szCs w:val="21"/>
              </w:rPr>
            </w:pPr>
            <w:r>
              <w:rPr>
                <w:rFonts w:hint="eastAsia" w:ascii="宋体" w:hAnsi="宋体"/>
                <w:color w:val="000000"/>
                <w:szCs w:val="21"/>
              </w:rPr>
              <w:t>3、残疾人福利性单位或监狱企业属于小型、微型企业的，不重复享受扶持中小企业发展的优惠政策。</w:t>
            </w:r>
          </w:p>
          <w:p>
            <w:pPr>
              <w:spacing w:line="360" w:lineRule="exact"/>
              <w:rPr>
                <w:color w:val="000000"/>
              </w:rPr>
            </w:pPr>
            <w:r>
              <w:rPr>
                <w:rFonts w:hint="eastAsia" w:ascii="宋体" w:hAnsi="宋体"/>
                <w:color w:val="000000"/>
                <w:szCs w:val="21"/>
              </w:rPr>
              <w:t>4、</w:t>
            </w:r>
            <w:r>
              <w:rPr>
                <w:rFonts w:hint="eastAsia" w:ascii="宋体" w:hAnsi="宋体" w:cs="宋体"/>
                <w:color w:val="000000"/>
                <w:szCs w:val="21"/>
              </w:rPr>
              <w:t>投标人</w:t>
            </w:r>
            <w:r>
              <w:rPr>
                <w:rFonts w:hint="eastAsia" w:ascii="宋体" w:hAnsi="宋体"/>
                <w:color w:val="000000"/>
                <w:szCs w:val="21"/>
              </w:rPr>
              <w:t>按招标文件要求提供相关的证明文件：投标人</w:t>
            </w:r>
            <w:r>
              <w:rPr>
                <w:rFonts w:ascii="宋体" w:hAnsi="宋体" w:cs="宋体"/>
                <w:color w:val="000000"/>
                <w:szCs w:val="21"/>
              </w:rPr>
              <w:t>为</w:t>
            </w:r>
            <w:r>
              <w:rPr>
                <w:rFonts w:hint="eastAsia" w:ascii="宋体" w:hAnsi="宋体" w:cs="宋体"/>
                <w:color w:val="000000"/>
                <w:spacing w:val="6"/>
                <w:szCs w:val="21"/>
              </w:rPr>
              <w:t>小型、微型</w:t>
            </w:r>
            <w:r>
              <w:rPr>
                <w:rFonts w:ascii="宋体" w:hAnsi="宋体" w:cs="宋体"/>
                <w:color w:val="000000"/>
                <w:spacing w:val="6"/>
                <w:szCs w:val="21"/>
              </w:rPr>
              <w:t>企业</w:t>
            </w:r>
            <w:r>
              <w:rPr>
                <w:rFonts w:hint="eastAsia" w:ascii="宋体" w:hAnsi="宋体" w:cs="宋体"/>
                <w:color w:val="000000"/>
                <w:spacing w:val="6"/>
                <w:szCs w:val="21"/>
              </w:rPr>
              <w:t>或</w:t>
            </w:r>
            <w:r>
              <w:rPr>
                <w:rFonts w:hint="eastAsia" w:ascii="宋体" w:hAnsi="宋体"/>
                <w:color w:val="000000"/>
                <w:szCs w:val="21"/>
              </w:rPr>
              <w:t>残疾人福利性单位或监狱企业</w:t>
            </w:r>
            <w:r>
              <w:rPr>
                <w:rFonts w:ascii="宋体" w:hAnsi="宋体" w:cs="宋体"/>
                <w:color w:val="000000"/>
                <w:szCs w:val="21"/>
              </w:rPr>
              <w:t>的，应如实填写并提供供应商《</w:t>
            </w:r>
            <w:r>
              <w:rPr>
                <w:rFonts w:hint="eastAsia" w:ascii="宋体" w:hAnsi="宋体" w:cs="宋体"/>
                <w:color w:val="000000"/>
                <w:szCs w:val="21"/>
              </w:rPr>
              <w:t>小微</w:t>
            </w:r>
            <w:r>
              <w:rPr>
                <w:rFonts w:ascii="宋体" w:hAnsi="宋体" w:cs="宋体"/>
                <w:color w:val="000000"/>
                <w:szCs w:val="21"/>
              </w:rPr>
              <w:t>企业声明函》</w:t>
            </w:r>
            <w:r>
              <w:rPr>
                <w:rFonts w:hint="eastAsia" w:ascii="宋体" w:hAnsi="宋体" w:cs="宋体"/>
                <w:color w:val="000000"/>
                <w:szCs w:val="21"/>
              </w:rPr>
              <w:t>或</w:t>
            </w:r>
            <w:r>
              <w:rPr>
                <w:rFonts w:ascii="宋体" w:hAnsi="宋体"/>
                <w:color w:val="000000"/>
                <w:szCs w:val="21"/>
              </w:rPr>
              <w:t>《</w:t>
            </w:r>
            <w:r>
              <w:rPr>
                <w:rFonts w:hint="eastAsia" w:ascii="宋体" w:hAnsi="宋体"/>
                <w:color w:val="000000"/>
                <w:szCs w:val="21"/>
              </w:rPr>
              <w:t>残疾人福利性单位声明函</w:t>
            </w:r>
            <w:r>
              <w:rPr>
                <w:rFonts w:ascii="宋体" w:hAnsi="宋体"/>
                <w:color w:val="000000"/>
                <w:szCs w:val="21"/>
              </w:rPr>
              <w:t>》</w:t>
            </w:r>
            <w:r>
              <w:rPr>
                <w:rFonts w:hint="eastAsia" w:ascii="宋体" w:hAnsi="宋体"/>
                <w:color w:val="000000"/>
                <w:szCs w:val="21"/>
              </w:rPr>
              <w:t>或《监狱企业证明资料》</w:t>
            </w:r>
            <w:r>
              <w:rPr>
                <w:rFonts w:ascii="宋体" w:hAnsi="宋体" w:cs="宋体"/>
                <w:color w:val="000000"/>
                <w:spacing w:val="6"/>
                <w:szCs w:val="21"/>
              </w:rPr>
              <w:t>；</w:t>
            </w:r>
            <w:r>
              <w:rPr>
                <w:rFonts w:hint="eastAsia" w:ascii="宋体" w:cs="宋体"/>
                <w:color w:val="000000"/>
                <w:szCs w:val="21"/>
              </w:rPr>
              <w:t>产品属于“节能产品”或“环境标志产品”或“两型产品”的，应如实填写并提供《“节能产品”、“环境标志产品”、“两型产品”清单》并提供该产品依据国家确定的认证机构（详见《市场监管总局关于发布参与实施政府采购节能产品、环境标志产品认证机构名录的公告》）出具的处于有效期之内的节能产品、环境标志产品认证证书、《湖南省两型产品政府采购目录》中该产品所在页复印件。</w:t>
            </w:r>
            <w:r>
              <w:rPr>
                <w:rFonts w:ascii="宋体" w:hAnsi="宋体" w:cs="宋体"/>
                <w:color w:val="000000"/>
                <w:szCs w:val="21"/>
              </w:rPr>
              <w:t>否则不予价格扣除</w:t>
            </w:r>
            <w:r>
              <w:rPr>
                <w:rFonts w:ascii="宋体" w:hAnsi="宋体" w:cs="宋体"/>
                <w:color w:val="000000"/>
                <w:spacing w:val="6"/>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 w:hRule="atLeast"/>
          <w:jc w:val="center"/>
        </w:trPr>
        <w:tc>
          <w:tcPr>
            <w:tcW w:w="9490" w:type="dxa"/>
            <w:gridSpan w:val="3"/>
            <w:noWrap/>
            <w:vAlign w:val="center"/>
          </w:tcPr>
          <w:p>
            <w:pPr>
              <w:adjustRightInd w:val="0"/>
              <w:snapToGrid w:val="0"/>
              <w:spacing w:line="400" w:lineRule="exact"/>
              <w:rPr>
                <w:rFonts w:ascii="宋体" w:hAnsi="宋体"/>
                <w:b/>
                <w:color w:val="000000"/>
                <w:szCs w:val="21"/>
              </w:rPr>
            </w:pPr>
            <w:r>
              <w:rPr>
                <w:rFonts w:hint="eastAsia" w:ascii="宋体" w:hAnsi="宋体"/>
                <w:b/>
                <w:color w:val="000000"/>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w:t>
            </w:r>
          </w:p>
          <w:p>
            <w:pPr>
              <w:adjustRightInd w:val="0"/>
              <w:snapToGrid w:val="0"/>
              <w:spacing w:line="400" w:lineRule="exact"/>
              <w:jc w:val="center"/>
              <w:rPr>
                <w:rFonts w:ascii="宋体" w:hAnsi="宋体"/>
                <w:color w:val="000000"/>
                <w:szCs w:val="21"/>
              </w:rPr>
            </w:pPr>
            <w:r>
              <w:rPr>
                <w:rFonts w:hint="eastAsia" w:ascii="宋体" w:hAnsi="宋体"/>
                <w:color w:val="000000"/>
                <w:szCs w:val="21"/>
              </w:rPr>
              <w:t>第10.3款</w:t>
            </w:r>
          </w:p>
        </w:tc>
        <w:tc>
          <w:tcPr>
            <w:tcW w:w="1742"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磋商文件的可能实质性变动内容</w:t>
            </w:r>
          </w:p>
        </w:tc>
        <w:tc>
          <w:tcPr>
            <w:tcW w:w="6024" w:type="dxa"/>
            <w:noWrap/>
            <w:vAlign w:val="center"/>
          </w:tcPr>
          <w:p>
            <w:pPr>
              <w:adjustRightInd w:val="0"/>
              <w:snapToGrid w:val="0"/>
              <w:spacing w:line="400" w:lineRule="exact"/>
              <w:jc w:val="left"/>
              <w:rPr>
                <w:rFonts w:ascii="宋体" w:hAnsi="宋体"/>
                <w:color w:val="000000"/>
                <w:szCs w:val="21"/>
              </w:rPr>
            </w:pPr>
            <w:r>
              <w:rPr>
                <w:rFonts w:hint="eastAsia" w:ascii="宋体" w:hAnsi="宋体"/>
                <w:color w:val="000000"/>
                <w:szCs w:val="21"/>
              </w:rPr>
              <w:t>采购需求（详见第四章）及合同草案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w:t>
            </w:r>
          </w:p>
          <w:p>
            <w:pPr>
              <w:adjustRightInd w:val="0"/>
              <w:snapToGrid w:val="0"/>
              <w:spacing w:line="400" w:lineRule="exact"/>
              <w:jc w:val="center"/>
              <w:rPr>
                <w:rFonts w:ascii="宋体" w:hAnsi="宋体"/>
                <w:color w:val="000000"/>
                <w:szCs w:val="21"/>
              </w:rPr>
            </w:pPr>
            <w:r>
              <w:rPr>
                <w:rFonts w:hint="eastAsia" w:ascii="宋体" w:hAnsi="宋体"/>
                <w:color w:val="000000"/>
                <w:szCs w:val="21"/>
              </w:rPr>
              <w:t>第11.1款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提交首次响应文件的截止时间</w:t>
            </w:r>
          </w:p>
        </w:tc>
        <w:tc>
          <w:tcPr>
            <w:tcW w:w="6024" w:type="dxa"/>
            <w:noWrap/>
            <w:vAlign w:val="center"/>
          </w:tcPr>
          <w:p>
            <w:pPr>
              <w:adjustRightInd w:val="0"/>
              <w:snapToGrid w:val="0"/>
              <w:spacing w:line="400" w:lineRule="exact"/>
              <w:jc w:val="left"/>
              <w:rPr>
                <w:rFonts w:ascii="宋体" w:hAnsi="宋体"/>
                <w:b/>
                <w:color w:val="000000"/>
                <w:szCs w:val="21"/>
              </w:rPr>
            </w:pPr>
            <w:r>
              <w:rPr>
                <w:rFonts w:hint="eastAsia"/>
                <w:b/>
                <w:color w:val="000000"/>
              </w:rPr>
              <w:t>2023年</w:t>
            </w:r>
            <w:r>
              <w:rPr>
                <w:rFonts w:hint="eastAsia"/>
                <w:b/>
                <w:color w:val="000000"/>
                <w:lang w:val="en-US" w:eastAsia="zh-CN"/>
              </w:rPr>
              <w:t>2</w:t>
            </w:r>
            <w:r>
              <w:rPr>
                <w:rFonts w:hint="eastAsia"/>
                <w:b/>
                <w:color w:val="000000"/>
              </w:rPr>
              <w:t>月</w:t>
            </w:r>
            <w:r>
              <w:rPr>
                <w:rFonts w:hint="eastAsia"/>
                <w:b/>
                <w:color w:val="000000"/>
                <w:lang w:val="en-US" w:eastAsia="zh-CN"/>
              </w:rPr>
              <w:t>2</w:t>
            </w:r>
            <w:r>
              <w:rPr>
                <w:rFonts w:hint="eastAsia"/>
                <w:b/>
                <w:color w:val="000000"/>
              </w:rPr>
              <w:t>日9时00分</w:t>
            </w:r>
            <w:r>
              <w:rPr>
                <w:rFonts w:hint="eastAsia" w:ascii="宋体" w:hAnsi="宋体"/>
                <w:b/>
                <w:color w:val="0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 w:hRule="atLeast"/>
          <w:jc w:val="center"/>
        </w:trPr>
        <w:tc>
          <w:tcPr>
            <w:tcW w:w="9490" w:type="dxa"/>
            <w:gridSpan w:val="3"/>
            <w:noWrap/>
            <w:vAlign w:val="center"/>
          </w:tcPr>
          <w:p>
            <w:pPr>
              <w:adjustRightInd w:val="0"/>
              <w:snapToGrid w:val="0"/>
              <w:spacing w:line="400" w:lineRule="exact"/>
              <w:rPr>
                <w:rFonts w:ascii="宋体" w:hAnsi="宋体"/>
                <w:color w:val="000000"/>
                <w:szCs w:val="21"/>
              </w:rPr>
            </w:pPr>
            <w:r>
              <w:rPr>
                <w:rFonts w:hint="eastAsia" w:ascii="宋体" w:hAnsi="宋体"/>
                <w:b/>
                <w:color w:val="000000"/>
                <w:szCs w:val="21"/>
              </w:rPr>
              <w:t>三、响应文件的编制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w:t>
            </w:r>
          </w:p>
          <w:p>
            <w:pPr>
              <w:adjustRightInd w:val="0"/>
              <w:snapToGrid w:val="0"/>
              <w:spacing w:line="400" w:lineRule="exact"/>
              <w:jc w:val="center"/>
              <w:rPr>
                <w:rFonts w:ascii="宋体" w:hAnsi="宋体"/>
                <w:color w:val="000000"/>
                <w:szCs w:val="21"/>
              </w:rPr>
            </w:pPr>
            <w:r>
              <w:rPr>
                <w:rFonts w:hint="eastAsia" w:ascii="宋体" w:hAnsi="宋体"/>
                <w:color w:val="000000"/>
                <w:szCs w:val="21"/>
              </w:rPr>
              <w:t>第15.4款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采购项目预算</w:t>
            </w:r>
          </w:p>
        </w:tc>
        <w:tc>
          <w:tcPr>
            <w:tcW w:w="6024" w:type="dxa"/>
            <w:noWrap/>
            <w:vAlign w:val="center"/>
          </w:tcPr>
          <w:p>
            <w:pPr>
              <w:adjustRightInd w:val="0"/>
              <w:snapToGrid w:val="0"/>
              <w:spacing w:line="360" w:lineRule="exact"/>
              <w:rPr>
                <w:rFonts w:hint="default" w:hAnsi="宋体" w:eastAsia="宋体"/>
                <w:color w:val="000000"/>
                <w:lang w:val="en-US" w:eastAsia="zh-CN"/>
              </w:rPr>
            </w:pPr>
            <w:r>
              <w:rPr>
                <w:rFonts w:hint="eastAsia" w:ascii="宋体" w:hAnsi="宋体" w:cs="宋体"/>
                <w:color w:val="000000"/>
                <w:kern w:val="0"/>
                <w:lang w:eastAsia="zh-CN"/>
              </w:rPr>
              <w:t>包</w:t>
            </w:r>
            <w:r>
              <w:rPr>
                <w:rFonts w:hint="eastAsia" w:ascii="宋体" w:hAnsi="宋体" w:cs="宋体"/>
                <w:color w:val="000000"/>
                <w:kern w:val="0"/>
                <w:lang w:val="en-US" w:eastAsia="zh-CN"/>
              </w:rPr>
              <w:t>1：75万</w:t>
            </w:r>
            <w:r>
              <w:rPr>
                <w:rFonts w:hint="eastAsia" w:hAnsi="宋体"/>
                <w:color w:val="000000"/>
              </w:rPr>
              <w:t>元</w:t>
            </w:r>
            <w:r>
              <w:rPr>
                <w:rFonts w:hint="eastAsia" w:hAnsi="宋体"/>
                <w:color w:val="000000"/>
                <w:lang w:eastAsia="zh-CN"/>
              </w:rPr>
              <w:t>；</w:t>
            </w:r>
            <w:r>
              <w:rPr>
                <w:rFonts w:hint="eastAsia" w:hAnsi="宋体"/>
                <w:color w:val="000000"/>
                <w:lang w:val="en-US" w:eastAsia="zh-CN"/>
              </w:rPr>
              <w:t xml:space="preserve">   </w:t>
            </w:r>
            <w:r>
              <w:rPr>
                <w:rFonts w:hint="eastAsia" w:hAnsi="宋体"/>
                <w:color w:val="000000"/>
                <w:lang w:eastAsia="zh-CN"/>
              </w:rPr>
              <w:t>包</w:t>
            </w:r>
            <w:r>
              <w:rPr>
                <w:rFonts w:hint="eastAsia" w:hAnsi="宋体"/>
                <w:color w:val="000000"/>
                <w:lang w:val="en-US" w:eastAsia="zh-CN"/>
              </w:rPr>
              <w:t>2：55万元</w:t>
            </w:r>
          </w:p>
          <w:p>
            <w:pPr>
              <w:adjustRightInd w:val="0"/>
              <w:snapToGrid w:val="0"/>
              <w:spacing w:line="360" w:lineRule="exact"/>
              <w:rPr>
                <w:rFonts w:ascii="宋体" w:hAnsi="宋体"/>
                <w:b/>
                <w:color w:val="000000"/>
                <w:szCs w:val="21"/>
              </w:rPr>
            </w:pPr>
            <w:r>
              <w:rPr>
                <w:rFonts w:hint="eastAsia" w:ascii="宋体" w:hAnsi="宋体"/>
                <w:b/>
                <w:color w:val="000000"/>
                <w:szCs w:val="21"/>
              </w:rPr>
              <w:t>(</w:t>
            </w:r>
            <w:r>
              <w:rPr>
                <w:rFonts w:hint="eastAsia" w:ascii="宋体" w:hAnsi="宋体" w:cs="宋体"/>
                <w:b/>
                <w:color w:val="000000"/>
                <w:szCs w:val="21"/>
              </w:rPr>
              <w:t>超过此预算</w:t>
            </w:r>
            <w:r>
              <w:rPr>
                <w:rFonts w:hint="eastAsia" w:ascii="宋体" w:hAnsi="宋体" w:cs="宋体"/>
                <w:b/>
                <w:color w:val="000000"/>
              </w:rPr>
              <w:t>控制价的</w:t>
            </w:r>
            <w:r>
              <w:rPr>
                <w:rFonts w:hint="eastAsia" w:ascii="宋体" w:hAnsi="宋体" w:cs="宋体"/>
                <w:b/>
                <w:color w:val="000000"/>
                <w:szCs w:val="21"/>
              </w:rPr>
              <w:t>报价为无效响应)</w:t>
            </w:r>
            <w:r>
              <w:rPr>
                <w:rFonts w:hint="eastAsia" w:ascii="宋体" w:hAnsi="宋体" w:cs="宋体"/>
                <w:b/>
                <w:bCs/>
                <w:color w:val="000000"/>
                <w:szCs w:val="21"/>
              </w:rPr>
              <w:t>磋商小组认为供应商的报价明显低于其他通过符合性审查供应商的报价，有可能影响质量或者不能诚信履约的，应当要求其在评标现场合理的时间内提供详细合理的报价成本分析说明，必要时提交相关证明材料；供应商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45"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第二章第17.1款</w:t>
            </w:r>
          </w:p>
        </w:tc>
        <w:tc>
          <w:tcPr>
            <w:tcW w:w="1742" w:type="dxa"/>
            <w:noWrap/>
            <w:vAlign w:val="center"/>
          </w:tcPr>
          <w:p>
            <w:pPr>
              <w:adjustRightInd w:val="0"/>
              <w:snapToGrid w:val="0"/>
              <w:spacing w:line="400" w:lineRule="exact"/>
              <w:ind w:left="-533" w:leftChars="-254" w:firstLine="533" w:firstLineChars="254"/>
              <w:rPr>
                <w:rFonts w:ascii="宋体" w:hAnsi="宋体"/>
                <w:color w:val="000000"/>
                <w:szCs w:val="21"/>
              </w:rPr>
            </w:pPr>
            <w:r>
              <w:rPr>
                <w:rFonts w:hint="eastAsia" w:ascii="宋体" w:hAnsi="宋体"/>
                <w:color w:val="000000"/>
                <w:szCs w:val="21"/>
              </w:rPr>
              <w:t>保证金</w:t>
            </w:r>
          </w:p>
        </w:tc>
        <w:tc>
          <w:tcPr>
            <w:tcW w:w="6024" w:type="dxa"/>
            <w:noWrap/>
            <w:vAlign w:val="center"/>
          </w:tcPr>
          <w:p>
            <w:pPr>
              <w:spacing w:line="320" w:lineRule="exact"/>
              <w:rPr>
                <w:rFonts w:ascii="宋体" w:hAnsi="宋体" w:cs="宋体"/>
                <w:color w:val="000000"/>
                <w:szCs w:val="21"/>
              </w:rPr>
            </w:pPr>
            <w:r>
              <w:rPr>
                <w:rFonts w:hint="eastAsia" w:ascii="宋体" w:hAnsi="宋体" w:cs="宋体"/>
                <w:color w:val="000000"/>
                <w:kern w:val="0"/>
                <w:szCs w:val="21"/>
              </w:rPr>
              <w:sym w:font="Webdings" w:char="F063"/>
            </w:r>
            <w:r>
              <w:rPr>
                <w:rFonts w:hint="eastAsia" w:ascii="宋体" w:hAnsi="宋体" w:cs="宋体"/>
                <w:color w:val="000000"/>
                <w:szCs w:val="21"/>
              </w:rPr>
              <w:t xml:space="preserve"> 不要求提供；</w:t>
            </w:r>
          </w:p>
          <w:p>
            <w:pPr>
              <w:tabs>
                <w:tab w:val="center" w:pos="2895"/>
              </w:tabs>
              <w:spacing w:line="320" w:lineRule="exact"/>
              <w:rPr>
                <w:rFonts w:ascii="宋体" w:hAnsi="宋体" w:cs="宋体"/>
                <w:color w:val="000000"/>
                <w:szCs w:val="21"/>
              </w:rPr>
            </w:pPr>
            <w:r>
              <w:rPr>
                <w:rFonts w:hint="eastAsia" w:ascii="宋体" w:hAnsi="宋体" w:cs="宋体"/>
                <w:color w:val="000000"/>
                <w:szCs w:val="21"/>
                <w:bdr w:val="single" w:color="auto" w:sz="4" w:space="0"/>
              </w:rPr>
              <w:t>√</w:t>
            </w:r>
            <w:r>
              <w:rPr>
                <w:rFonts w:hint="eastAsia" w:ascii="宋体" w:hAnsi="宋体" w:cs="宋体"/>
                <w:color w:val="000000"/>
                <w:szCs w:val="21"/>
              </w:rPr>
              <w:t xml:space="preserve">  要求提供：</w:t>
            </w:r>
            <w:r>
              <w:rPr>
                <w:rFonts w:hint="eastAsia" w:ascii="宋体" w:hAnsi="宋体" w:cs="宋体"/>
                <w:color w:val="000000"/>
                <w:szCs w:val="21"/>
              </w:rPr>
              <w:tab/>
            </w:r>
          </w:p>
          <w:p>
            <w:pPr>
              <w:numPr>
                <w:ilvl w:val="0"/>
                <w:numId w:val="4"/>
              </w:numPr>
              <w:adjustRightInd w:val="0"/>
              <w:snapToGrid w:val="0"/>
              <w:spacing w:line="240" w:lineRule="exact"/>
              <w:jc w:val="left"/>
              <w:rPr>
                <w:rFonts w:ascii="宋体" w:hAnsi="宋体" w:cs="宋体"/>
                <w:color w:val="000000"/>
                <w:szCs w:val="21"/>
              </w:rPr>
            </w:pPr>
            <w:r>
              <w:rPr>
                <w:rFonts w:hint="eastAsia" w:ascii="宋体" w:hAnsi="宋体" w:cs="宋体"/>
                <w:color w:val="000000"/>
                <w:szCs w:val="21"/>
              </w:rPr>
              <w:t>投标保证金数额：</w:t>
            </w:r>
            <w:r>
              <w:rPr>
                <w:rFonts w:hint="eastAsia" w:ascii="宋体" w:hAnsi="宋体" w:cs="宋体"/>
                <w:color w:val="000000"/>
                <w:szCs w:val="21"/>
                <w:lang w:eastAsia="zh-CN"/>
              </w:rPr>
              <w:t>包</w:t>
            </w:r>
            <w:r>
              <w:rPr>
                <w:rFonts w:hint="eastAsia" w:ascii="宋体" w:hAnsi="宋体" w:cs="宋体"/>
                <w:color w:val="000000"/>
                <w:szCs w:val="21"/>
                <w:lang w:val="en-US" w:eastAsia="zh-CN"/>
              </w:rPr>
              <w:t>1：:1</w:t>
            </w:r>
            <w:r>
              <w:rPr>
                <w:rFonts w:hint="eastAsia" w:ascii="宋体" w:hAnsi="宋体" w:cs="宋体"/>
                <w:color w:val="000000"/>
                <w:szCs w:val="21"/>
              </w:rPr>
              <w:t>0000.00元</w:t>
            </w:r>
            <w:r>
              <w:rPr>
                <w:rFonts w:hint="eastAsia" w:ascii="宋体" w:hAnsi="宋体" w:cs="宋体"/>
                <w:color w:val="000000"/>
                <w:szCs w:val="21"/>
                <w:lang w:eastAsia="zh-CN"/>
              </w:rPr>
              <w:t>；包</w:t>
            </w:r>
            <w:r>
              <w:rPr>
                <w:rFonts w:hint="eastAsia" w:ascii="宋体" w:hAnsi="宋体" w:cs="宋体"/>
                <w:color w:val="000000"/>
                <w:szCs w:val="21"/>
                <w:lang w:val="en-US" w:eastAsia="zh-CN"/>
              </w:rPr>
              <w:t>2:8000元</w:t>
            </w:r>
          </w:p>
          <w:p>
            <w:pPr>
              <w:adjustRightInd w:val="0"/>
              <w:snapToGrid w:val="0"/>
              <w:spacing w:line="240" w:lineRule="exact"/>
              <w:jc w:val="left"/>
              <w:rPr>
                <w:rFonts w:ascii="宋体" w:hAnsi="宋体" w:cs="宋体"/>
                <w:color w:val="000000"/>
                <w:szCs w:val="21"/>
              </w:rPr>
            </w:pPr>
            <w:r>
              <w:rPr>
                <w:rFonts w:hint="eastAsia" w:ascii="宋体" w:hAnsi="宋体" w:cs="宋体"/>
                <w:color w:val="000000"/>
                <w:szCs w:val="21"/>
              </w:rPr>
              <w:t>2、缴纳时间：投标截止时间前，以银行到账回单为准。</w:t>
            </w:r>
          </w:p>
          <w:p>
            <w:pPr>
              <w:adjustRightInd w:val="0"/>
              <w:snapToGrid w:val="0"/>
              <w:spacing w:line="240" w:lineRule="exact"/>
              <w:jc w:val="left"/>
              <w:rPr>
                <w:rFonts w:ascii="宋体" w:hAnsi="宋体" w:cs="宋体"/>
                <w:color w:val="000000"/>
                <w:szCs w:val="21"/>
              </w:rPr>
            </w:pPr>
            <w:r>
              <w:rPr>
                <w:rFonts w:hint="eastAsia" w:ascii="宋体" w:hAnsi="宋体" w:cs="宋体"/>
                <w:color w:val="000000"/>
                <w:szCs w:val="21"/>
              </w:rPr>
              <w:t>3、缴纳方式：银行转账、银行电汇或银行汇票或保函等，从供应商基本账户一次足额缴入到如下投标保证金托管专户。并在投标截止</w:t>
            </w:r>
            <w:r>
              <w:rPr>
                <w:rFonts w:hint="eastAsia" w:ascii="宋体" w:hAnsi="宋体" w:cs="宋体"/>
                <w:color w:val="000000"/>
                <w:szCs w:val="21"/>
                <w:u w:val="single"/>
              </w:rPr>
              <w:t>2022</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2</w:t>
            </w:r>
            <w:r>
              <w:rPr>
                <w:rFonts w:hint="eastAsia" w:ascii="宋体" w:hAnsi="宋体" w:cs="宋体"/>
                <w:color w:val="000000"/>
                <w:szCs w:val="21"/>
              </w:rPr>
              <w:t>日</w:t>
            </w:r>
            <w:r>
              <w:rPr>
                <w:rFonts w:hint="eastAsia" w:ascii="宋体" w:hAnsi="宋体" w:cs="宋体"/>
                <w:color w:val="000000"/>
                <w:szCs w:val="21"/>
                <w:lang w:val="en-US" w:eastAsia="zh-CN"/>
              </w:rPr>
              <w:t>9</w:t>
            </w:r>
            <w:r>
              <w:rPr>
                <w:rFonts w:hint="eastAsia" w:ascii="宋体" w:hAnsi="宋体" w:cs="宋体"/>
                <w:color w:val="000000"/>
                <w:szCs w:val="21"/>
              </w:rPr>
              <w:t>时</w:t>
            </w:r>
            <w:r>
              <w:rPr>
                <w:rFonts w:hint="eastAsia" w:ascii="宋体" w:hAnsi="宋体" w:cs="宋体"/>
                <w:color w:val="000000"/>
                <w:szCs w:val="21"/>
                <w:lang w:val="en-US" w:eastAsia="zh-CN"/>
              </w:rPr>
              <w:t>00</w:t>
            </w:r>
            <w:r>
              <w:rPr>
                <w:rFonts w:hint="eastAsia" w:ascii="宋体" w:hAnsi="宋体" w:cs="宋体"/>
                <w:color w:val="000000"/>
                <w:szCs w:val="21"/>
              </w:rPr>
              <w:t>分  前缴纳，以到账时间为准。</w:t>
            </w:r>
          </w:p>
          <w:p>
            <w:pPr>
              <w:pStyle w:val="27"/>
              <w:adjustRightInd w:val="0"/>
              <w:snapToGrid w:val="0"/>
              <w:spacing w:line="360" w:lineRule="auto"/>
              <w:rPr>
                <w:rFonts w:hAnsi="宋体" w:cs="Times New Roman"/>
                <w:color w:val="000000"/>
              </w:rPr>
            </w:pPr>
            <w:r>
              <w:rPr>
                <w:rFonts w:hint="eastAsia" w:hAnsi="宋体" w:cs="Times New Roman"/>
                <w:color w:val="000000"/>
              </w:rPr>
              <w:t>保证金汇至：张家界市誉丰招标代理有限公司政府采购保证金专户</w:t>
            </w:r>
          </w:p>
          <w:p>
            <w:pPr>
              <w:pStyle w:val="27"/>
              <w:adjustRightInd w:val="0"/>
              <w:snapToGrid w:val="0"/>
              <w:spacing w:line="360" w:lineRule="auto"/>
              <w:rPr>
                <w:rFonts w:hAnsi="宋体" w:cs="Times New Roman"/>
                <w:color w:val="000000"/>
              </w:rPr>
            </w:pPr>
            <w:r>
              <w:rPr>
                <w:rFonts w:hint="eastAsia" w:hAnsi="宋体" w:cs="Times New Roman"/>
                <w:color w:val="000000"/>
              </w:rPr>
              <w:t>开 户 行：中国邮政储蓄银行股份有限公司张家界市分行营业部</w:t>
            </w:r>
          </w:p>
          <w:p>
            <w:pPr>
              <w:adjustRightInd w:val="0"/>
              <w:snapToGrid w:val="0"/>
              <w:spacing w:beforeLines="50"/>
              <w:jc w:val="left"/>
              <w:rPr>
                <w:rFonts w:ascii="宋体" w:hAnsi="宋体"/>
                <w:color w:val="000000"/>
                <w:szCs w:val="21"/>
              </w:rPr>
            </w:pPr>
            <w:r>
              <w:rPr>
                <w:rFonts w:hint="eastAsia" w:ascii="宋体" w:hAnsi="宋体"/>
                <w:color w:val="000000"/>
                <w:szCs w:val="21"/>
              </w:rPr>
              <w:t>银行账号：943006010000148109</w:t>
            </w:r>
          </w:p>
          <w:p>
            <w:pPr>
              <w:adjustRightInd w:val="0"/>
              <w:snapToGrid w:val="0"/>
              <w:spacing w:line="240" w:lineRule="exact"/>
              <w:jc w:val="left"/>
              <w:rPr>
                <w:rFonts w:ascii="宋体" w:hAnsi="宋体" w:cs="宋体"/>
                <w:color w:val="000000"/>
                <w:szCs w:val="21"/>
              </w:rPr>
            </w:pPr>
            <w:r>
              <w:rPr>
                <w:rFonts w:hint="eastAsia" w:ascii="宋体" w:hAnsi="宋体" w:cs="宋体"/>
                <w:color w:val="000000"/>
                <w:szCs w:val="21"/>
              </w:rPr>
              <w:t>【投标保证金须备注项目名称】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第二章第18.1款</w:t>
            </w:r>
          </w:p>
        </w:tc>
        <w:tc>
          <w:tcPr>
            <w:tcW w:w="1742" w:type="dxa"/>
            <w:noWrap/>
            <w:vAlign w:val="center"/>
          </w:tcPr>
          <w:p>
            <w:pPr>
              <w:adjustRightInd w:val="0"/>
              <w:snapToGrid w:val="0"/>
              <w:spacing w:line="400" w:lineRule="exact"/>
              <w:rPr>
                <w:rFonts w:ascii="宋体" w:hAnsi="宋体"/>
                <w:bCs/>
                <w:color w:val="000000"/>
                <w:szCs w:val="21"/>
              </w:rPr>
            </w:pPr>
            <w:r>
              <w:rPr>
                <w:rFonts w:hint="eastAsia" w:ascii="宋体" w:hAnsi="宋体"/>
                <w:bCs/>
                <w:color w:val="000000"/>
                <w:szCs w:val="21"/>
              </w:rPr>
              <w:t>响应文件有效期</w:t>
            </w:r>
          </w:p>
        </w:tc>
        <w:tc>
          <w:tcPr>
            <w:tcW w:w="6024" w:type="dxa"/>
            <w:noWrap/>
            <w:vAlign w:val="center"/>
          </w:tcPr>
          <w:p>
            <w:pPr>
              <w:adjustRightInd w:val="0"/>
              <w:snapToGrid w:val="0"/>
              <w:spacing w:line="400" w:lineRule="exact"/>
              <w:rPr>
                <w:rFonts w:ascii="宋体" w:hAnsi="宋体"/>
                <w:bCs/>
                <w:color w:val="000000"/>
                <w:szCs w:val="21"/>
              </w:rPr>
            </w:pPr>
            <w:r>
              <w:rPr>
                <w:rFonts w:hint="eastAsia" w:ascii="宋体" w:hAnsi="宋体"/>
                <w:b/>
                <w:bCs/>
                <w:color w:val="000000"/>
                <w:szCs w:val="21"/>
                <w:u w:val="single"/>
              </w:rPr>
              <w:t>90</w:t>
            </w:r>
            <w:r>
              <w:rPr>
                <w:rFonts w:hint="eastAsia" w:ascii="宋体" w:hAnsi="宋体"/>
                <w:b/>
                <w:bCs/>
                <w:color w:val="000000"/>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第二章第19.1款</w:t>
            </w:r>
          </w:p>
        </w:tc>
        <w:tc>
          <w:tcPr>
            <w:tcW w:w="1742" w:type="dxa"/>
            <w:noWrap/>
            <w:vAlign w:val="center"/>
          </w:tcPr>
          <w:p>
            <w:pPr>
              <w:adjustRightInd w:val="0"/>
              <w:snapToGrid w:val="0"/>
              <w:spacing w:line="400" w:lineRule="exact"/>
              <w:rPr>
                <w:rFonts w:ascii="宋体" w:hAnsi="宋体"/>
                <w:b/>
                <w:color w:val="000000"/>
                <w:szCs w:val="21"/>
              </w:rPr>
            </w:pPr>
            <w:r>
              <w:rPr>
                <w:rFonts w:hint="eastAsia" w:ascii="宋体" w:hAnsi="宋体"/>
                <w:b/>
                <w:color w:val="000000"/>
                <w:szCs w:val="21"/>
              </w:rPr>
              <w:t>响应文件份数</w:t>
            </w:r>
          </w:p>
        </w:tc>
        <w:tc>
          <w:tcPr>
            <w:tcW w:w="6024" w:type="dxa"/>
            <w:noWrap/>
            <w:vAlign w:val="center"/>
          </w:tcPr>
          <w:p>
            <w:pPr>
              <w:adjustRightInd w:val="0"/>
              <w:snapToGrid w:val="0"/>
              <w:spacing w:line="400" w:lineRule="exact"/>
              <w:rPr>
                <w:rFonts w:ascii="宋体" w:hAnsi="宋体"/>
                <w:b/>
                <w:color w:val="000000"/>
                <w:szCs w:val="21"/>
                <w:u w:val="single"/>
              </w:rPr>
            </w:pPr>
            <w:r>
              <w:rPr>
                <w:rFonts w:hint="eastAsia" w:ascii="宋体" w:hAnsi="宋体"/>
                <w:b/>
                <w:color w:val="000000"/>
                <w:szCs w:val="21"/>
              </w:rPr>
              <w:t>正本一份，副本</w:t>
            </w:r>
            <w:r>
              <w:rPr>
                <w:rFonts w:hint="eastAsia" w:ascii="宋体" w:hAnsi="宋体"/>
                <w:b/>
                <w:color w:val="000000"/>
                <w:szCs w:val="21"/>
                <w:lang w:eastAsia="zh-CN"/>
              </w:rPr>
              <w:t>肆</w:t>
            </w:r>
            <w:r>
              <w:rPr>
                <w:rFonts w:hint="eastAsia" w:ascii="宋体" w:hAnsi="宋体"/>
                <w:b/>
                <w:color w:val="000000"/>
                <w:szCs w:val="21"/>
              </w:rPr>
              <w:t>份，</w:t>
            </w:r>
            <w:r>
              <w:rPr>
                <w:rFonts w:hint="eastAsia"/>
                <w:b/>
                <w:color w:val="000000"/>
                <w:szCs w:val="21"/>
              </w:rPr>
              <w:t>另需提供一份响应文件电子文档（须为正本扫描件，PDF格式，用</w:t>
            </w:r>
            <w:r>
              <w:rPr>
                <w:b/>
                <w:color w:val="000000"/>
                <w:szCs w:val="21"/>
              </w:rPr>
              <w:t>U</w:t>
            </w:r>
            <w:r>
              <w:rPr>
                <w:rFonts w:hint="eastAsia"/>
                <w:b/>
                <w:color w:val="000000"/>
                <w:szCs w:val="21"/>
              </w:rPr>
              <w:t>盘拷贝并标明公司名称）随纸质文件一并密封提交，否则视为不响应文件。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 w:hRule="atLeast"/>
          <w:jc w:val="center"/>
        </w:trPr>
        <w:tc>
          <w:tcPr>
            <w:tcW w:w="9490" w:type="dxa"/>
            <w:gridSpan w:val="3"/>
            <w:noWrap/>
            <w:vAlign w:val="center"/>
          </w:tcPr>
          <w:p>
            <w:pPr>
              <w:adjustRightInd w:val="0"/>
              <w:snapToGrid w:val="0"/>
              <w:spacing w:line="400" w:lineRule="exact"/>
              <w:rPr>
                <w:rFonts w:ascii="宋体" w:hAnsi="宋体"/>
                <w:b/>
                <w:bCs/>
                <w:color w:val="000000"/>
                <w:szCs w:val="21"/>
              </w:rPr>
            </w:pPr>
            <w:r>
              <w:rPr>
                <w:rFonts w:hint="eastAsia" w:ascii="宋体" w:hAnsi="宋体"/>
                <w:b/>
                <w:color w:val="000000"/>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第二章第20.2款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封套上应写明的内容</w:t>
            </w:r>
          </w:p>
        </w:tc>
        <w:tc>
          <w:tcPr>
            <w:tcW w:w="6024"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 xml:space="preserve">项目名称) 响应文件  </w:t>
            </w:r>
          </w:p>
          <w:p>
            <w:pPr>
              <w:adjustRightInd w:val="0"/>
              <w:snapToGrid w:val="0"/>
              <w:spacing w:line="400" w:lineRule="exact"/>
              <w:rPr>
                <w:rFonts w:ascii="宋体" w:hAnsi="宋体"/>
                <w:color w:val="000000"/>
                <w:szCs w:val="21"/>
              </w:rPr>
            </w:pPr>
            <w:r>
              <w:rPr>
                <w:rFonts w:hint="eastAsia" w:ascii="宋体" w:hAnsi="宋体"/>
                <w:color w:val="000000"/>
                <w:szCs w:val="21"/>
              </w:rPr>
              <w:t>委托代理编号：</w:t>
            </w:r>
          </w:p>
          <w:p>
            <w:pPr>
              <w:adjustRightInd w:val="0"/>
              <w:snapToGrid w:val="0"/>
              <w:spacing w:line="400" w:lineRule="exact"/>
              <w:rPr>
                <w:rFonts w:ascii="宋体" w:hAnsi="宋体"/>
                <w:color w:val="000000"/>
                <w:szCs w:val="21"/>
              </w:rPr>
            </w:pPr>
            <w:r>
              <w:rPr>
                <w:rFonts w:hint="eastAsia" w:ascii="宋体" w:hAnsi="宋体"/>
                <w:color w:val="000000"/>
                <w:szCs w:val="21"/>
              </w:rPr>
              <w:t>包或品目名：</w:t>
            </w:r>
          </w:p>
          <w:p>
            <w:pPr>
              <w:adjustRightInd w:val="0"/>
              <w:snapToGrid w:val="0"/>
              <w:spacing w:line="400" w:lineRule="exact"/>
              <w:rPr>
                <w:rFonts w:ascii="宋体" w:hAnsi="宋体"/>
                <w:color w:val="000000"/>
                <w:szCs w:val="21"/>
              </w:rPr>
            </w:pPr>
            <w:r>
              <w:rPr>
                <w:rFonts w:hint="eastAsia" w:ascii="宋体" w:hAnsi="宋体"/>
                <w:color w:val="000000"/>
                <w:szCs w:val="21"/>
              </w:rPr>
              <w:t>在年月日 时分之前不得启封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第二章第22.1款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响应文件的递交地点</w:t>
            </w:r>
          </w:p>
        </w:tc>
        <w:tc>
          <w:tcPr>
            <w:tcW w:w="6024" w:type="dxa"/>
            <w:noWrap/>
            <w:vAlign w:val="center"/>
          </w:tcPr>
          <w:p>
            <w:pPr>
              <w:adjustRightInd w:val="0"/>
              <w:snapToGrid w:val="0"/>
              <w:spacing w:line="400" w:lineRule="exact"/>
              <w:rPr>
                <w:rFonts w:ascii="宋体" w:hAnsi="宋体"/>
                <w:b/>
                <w:bCs/>
                <w:color w:val="000000"/>
                <w:szCs w:val="21"/>
              </w:rPr>
            </w:pPr>
            <w:r>
              <w:rPr>
                <w:rFonts w:hint="eastAsia" w:ascii="宋体" w:hAnsi="宋体" w:cs="宋体"/>
                <w:bCs/>
                <w:szCs w:val="21"/>
              </w:rPr>
              <w:t>张家界市誉丰招标代理有限公司（张家界市南庄坪路桥公司6楼会议室）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490" w:type="dxa"/>
            <w:gridSpan w:val="3"/>
            <w:noWrap/>
            <w:vAlign w:val="center"/>
          </w:tcPr>
          <w:p>
            <w:pPr>
              <w:adjustRightInd w:val="0"/>
              <w:snapToGrid w:val="0"/>
              <w:spacing w:line="400" w:lineRule="exact"/>
              <w:rPr>
                <w:rFonts w:ascii="宋体" w:hAnsi="宋体"/>
                <w:b/>
                <w:color w:val="000000"/>
              </w:rPr>
            </w:pPr>
            <w:r>
              <w:rPr>
                <w:rFonts w:hint="eastAsia" w:ascii="宋体" w:hAnsi="宋体"/>
                <w:b/>
                <w:color w:val="000000"/>
              </w:rPr>
              <w:t>五、响应文件的评审与磋商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第二章第24.1款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磋商程序</w:t>
            </w:r>
          </w:p>
        </w:tc>
        <w:tc>
          <w:tcPr>
            <w:tcW w:w="6024" w:type="dxa"/>
            <w:noWrap/>
            <w:vAlign w:val="center"/>
          </w:tcPr>
          <w:p>
            <w:pPr>
              <w:adjustRightInd w:val="0"/>
              <w:snapToGrid w:val="0"/>
              <w:spacing w:line="400" w:lineRule="exact"/>
              <w:rPr>
                <w:rFonts w:ascii="宋体" w:hAnsi="宋体"/>
                <w:color w:val="000000"/>
              </w:rPr>
            </w:pPr>
            <w:r>
              <w:rPr>
                <w:rFonts w:hint="eastAsia" w:ascii="宋体" w:hAnsi="宋体"/>
                <w:color w:val="000000"/>
              </w:rPr>
              <w:t>初步审查、磋商（包括澄清、符合性审查）、最后报价、综合评分、推荐成交供应商。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第二章第29.1款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综合评分法</w:t>
            </w:r>
          </w:p>
        </w:tc>
        <w:tc>
          <w:tcPr>
            <w:tcW w:w="6024" w:type="dxa"/>
            <w:noWrap/>
            <w:vAlign w:val="center"/>
          </w:tcPr>
          <w:p>
            <w:pPr>
              <w:adjustRightInd w:val="0"/>
              <w:snapToGrid w:val="0"/>
              <w:spacing w:line="400" w:lineRule="exact"/>
              <w:rPr>
                <w:rFonts w:ascii="宋体" w:hAnsi="宋体"/>
                <w:color w:val="000000"/>
              </w:rPr>
            </w:pPr>
            <w:r>
              <w:rPr>
                <w:rFonts w:hint="eastAsia" w:ascii="宋体" w:hAnsi="宋体"/>
                <w:color w:val="000000"/>
              </w:rPr>
              <w:t>是指响应文件满足磋商文件全部实质性要求且按评审因素的量化指标评审得分最高的供应商为成交候选供应商的评审方法。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第二章第29.4款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综合评分表</w:t>
            </w:r>
          </w:p>
        </w:tc>
        <w:tc>
          <w:tcPr>
            <w:tcW w:w="6024" w:type="dxa"/>
            <w:noWrap/>
            <w:vAlign w:val="center"/>
          </w:tcPr>
          <w:p>
            <w:pPr>
              <w:adjustRightInd w:val="0"/>
              <w:snapToGrid w:val="0"/>
              <w:spacing w:line="400" w:lineRule="exact"/>
              <w:rPr>
                <w:rFonts w:ascii="宋体" w:hAnsi="宋体"/>
                <w:color w:val="000000"/>
              </w:rPr>
            </w:pPr>
            <w:r>
              <w:rPr>
                <w:rFonts w:hint="eastAsia" w:ascii="宋体" w:hAnsi="宋体"/>
                <w:color w:val="000000"/>
              </w:rPr>
              <w:t>权值、评审因素等具体内容详见综合评分表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atLeast"/>
          <w:jc w:val="center"/>
        </w:trPr>
        <w:tc>
          <w:tcPr>
            <w:tcW w:w="9490" w:type="dxa"/>
            <w:gridSpan w:val="3"/>
            <w:noWrap/>
            <w:vAlign w:val="center"/>
          </w:tcPr>
          <w:p>
            <w:pPr>
              <w:adjustRightInd w:val="0"/>
              <w:snapToGrid w:val="0"/>
              <w:spacing w:line="400" w:lineRule="exact"/>
              <w:rPr>
                <w:rFonts w:ascii="宋体" w:hAnsi="宋体"/>
                <w:color w:val="000000"/>
                <w:szCs w:val="21"/>
              </w:rPr>
            </w:pPr>
            <w:r>
              <w:rPr>
                <w:rFonts w:hint="eastAsia" w:ascii="宋体" w:hAnsi="宋体"/>
                <w:b/>
                <w:color w:val="000000"/>
                <w:szCs w:val="21"/>
              </w:rPr>
              <w:t>六、成交结果信息公布与合同签订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第二章第35.1款、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财政部门指定的媒体</w:t>
            </w:r>
          </w:p>
        </w:tc>
        <w:tc>
          <w:tcPr>
            <w:tcW w:w="6024" w:type="dxa"/>
            <w:noWrap/>
            <w:vAlign w:val="center"/>
          </w:tcPr>
          <w:p>
            <w:pPr>
              <w:adjustRightInd w:val="0"/>
              <w:snapToGrid w:val="0"/>
              <w:spacing w:line="400" w:lineRule="exact"/>
              <w:rPr>
                <w:rFonts w:ascii="宋体" w:hAnsi="宋体"/>
                <w:color w:val="000000"/>
                <w:szCs w:val="21"/>
                <w:u w:val="single"/>
              </w:rPr>
            </w:pPr>
            <w:r>
              <w:rPr>
                <w:rFonts w:hint="eastAsia" w:ascii="宋体" w:hAnsi="宋体"/>
                <w:color w:val="000000"/>
                <w:szCs w:val="21"/>
              </w:rPr>
              <w:t>中国政府采购网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w:t>
            </w:r>
          </w:p>
          <w:p>
            <w:pPr>
              <w:adjustRightInd w:val="0"/>
              <w:snapToGrid w:val="0"/>
              <w:spacing w:line="400" w:lineRule="exact"/>
              <w:jc w:val="center"/>
              <w:rPr>
                <w:rFonts w:ascii="宋体" w:hAnsi="宋体"/>
                <w:color w:val="000000"/>
                <w:szCs w:val="21"/>
              </w:rPr>
            </w:pPr>
            <w:r>
              <w:rPr>
                <w:rFonts w:hint="eastAsia" w:ascii="宋体" w:hAnsi="宋体"/>
                <w:color w:val="000000"/>
                <w:szCs w:val="21"/>
              </w:rPr>
              <w:t>第36.3款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履约担保</w:t>
            </w:r>
          </w:p>
        </w:tc>
        <w:tc>
          <w:tcPr>
            <w:tcW w:w="6024" w:type="dxa"/>
            <w:noWrap/>
            <w:vAlign w:val="center"/>
          </w:tcPr>
          <w:p>
            <w:pPr>
              <w:pStyle w:val="19"/>
              <w:topLinePunct/>
              <w:spacing w:line="360" w:lineRule="exact"/>
              <w:rPr>
                <w:rFonts w:hint="eastAsia" w:hAnsi="宋体"/>
                <w:kern w:val="2"/>
                <w:sz w:val="21"/>
                <w:szCs w:val="21"/>
              </w:rPr>
            </w:pPr>
            <w:r>
              <w:rPr>
                <w:rFonts w:hint="eastAsia" w:hAnsi="宋体" w:cs="宋体"/>
                <w:szCs w:val="21"/>
              </w:rPr>
              <w:sym w:font="Webdings" w:char="F063"/>
            </w:r>
            <w:r>
              <w:rPr>
                <w:rFonts w:hint="eastAsia" w:hAnsi="宋体"/>
                <w:kern w:val="2"/>
                <w:sz w:val="21"/>
                <w:szCs w:val="21"/>
              </w:rPr>
              <w:t>不要求提供</w:t>
            </w:r>
          </w:p>
          <w:p>
            <w:pPr>
              <w:pStyle w:val="19"/>
              <w:topLinePunct/>
              <w:spacing w:line="360" w:lineRule="exact"/>
              <w:rPr>
                <w:rFonts w:hAnsi="宋体"/>
                <w:kern w:val="2"/>
                <w:sz w:val="21"/>
                <w:szCs w:val="21"/>
              </w:rPr>
            </w:pPr>
            <w:r>
              <w:rPr>
                <w:rFonts w:hint="eastAsia" w:hAnsi="宋体" w:cs="宋体"/>
                <w:szCs w:val="21"/>
                <w:bdr w:val="single" w:color="auto" w:sz="4" w:space="0"/>
              </w:rPr>
              <w:t>√</w:t>
            </w:r>
            <w:r>
              <w:rPr>
                <w:rFonts w:hint="eastAsia" w:hAnsi="宋体"/>
                <w:kern w:val="2"/>
                <w:sz w:val="21"/>
                <w:szCs w:val="21"/>
              </w:rPr>
              <w:t>要求提供：履约保证金的形式：</w:t>
            </w:r>
            <w:bookmarkStart w:id="28" w:name="EB0e0f09d09307432cb7a2093fbfd8795a"/>
            <w:r>
              <w:rPr>
                <w:rFonts w:hint="eastAsia" w:hAnsi="宋体"/>
                <w:kern w:val="2"/>
                <w:sz w:val="21"/>
                <w:szCs w:val="21"/>
              </w:rPr>
              <w:t>现金或采购人认可的银行履约保函</w:t>
            </w:r>
            <w:bookmarkEnd w:id="28"/>
            <w:r>
              <w:rPr>
                <w:rFonts w:hint="eastAsia" w:hAnsi="宋体"/>
                <w:kern w:val="2"/>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490" w:type="dxa"/>
            <w:gridSpan w:val="3"/>
            <w:noWrap/>
            <w:vAlign w:val="center"/>
          </w:tcPr>
          <w:p>
            <w:pPr>
              <w:adjustRightInd w:val="0"/>
              <w:snapToGrid w:val="0"/>
              <w:spacing w:line="400" w:lineRule="exact"/>
              <w:rPr>
                <w:rFonts w:ascii="宋体" w:hAnsi="宋体"/>
                <w:b/>
                <w:color w:val="000000"/>
                <w:szCs w:val="21"/>
              </w:rPr>
            </w:pPr>
            <w:r>
              <w:rPr>
                <w:rFonts w:hint="eastAsia" w:ascii="宋体" w:hAnsi="宋体"/>
                <w:b/>
                <w:color w:val="000000"/>
                <w:szCs w:val="21"/>
              </w:rPr>
              <w:t>八、其他规定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w:t>
            </w:r>
          </w:p>
          <w:p>
            <w:pPr>
              <w:adjustRightInd w:val="0"/>
              <w:snapToGrid w:val="0"/>
              <w:spacing w:line="400" w:lineRule="exact"/>
              <w:jc w:val="center"/>
              <w:rPr>
                <w:rFonts w:ascii="宋体" w:hAnsi="宋体"/>
                <w:color w:val="000000"/>
                <w:szCs w:val="21"/>
              </w:rPr>
            </w:pPr>
            <w:r>
              <w:rPr>
                <w:rFonts w:hint="eastAsia" w:ascii="宋体" w:hAnsi="宋体"/>
                <w:color w:val="000000"/>
                <w:szCs w:val="21"/>
              </w:rPr>
              <w:t>第41.2款</w:t>
            </w: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采购代理服务费</w:t>
            </w:r>
          </w:p>
        </w:tc>
        <w:tc>
          <w:tcPr>
            <w:tcW w:w="6024" w:type="dxa"/>
            <w:noWrap/>
            <w:vAlign w:val="center"/>
          </w:tcPr>
          <w:p>
            <w:pPr>
              <w:adjustRightInd w:val="0"/>
              <w:snapToGrid w:val="0"/>
              <w:spacing w:line="400" w:lineRule="exact"/>
              <w:rPr>
                <w:rFonts w:hint="default" w:ascii="宋体" w:hAnsi="宋体" w:eastAsia="宋体"/>
                <w:color w:val="000000"/>
                <w:szCs w:val="21"/>
                <w:u w:val="single"/>
                <w:lang w:val="en-US" w:eastAsia="zh-CN"/>
              </w:rPr>
            </w:pPr>
            <w:r>
              <w:rPr>
                <w:rFonts w:hint="eastAsia" w:ascii="宋体" w:hAnsi="宋体"/>
                <w:color w:val="000000"/>
                <w:szCs w:val="21"/>
              </w:rPr>
              <w:t>由成交供应商向代理公司支付</w:t>
            </w:r>
            <w:r>
              <w:rPr>
                <w:rFonts w:hint="eastAsia" w:ascii="宋体" w:hAnsi="宋体"/>
                <w:color w:val="000000"/>
                <w:szCs w:val="21"/>
                <w:lang w:eastAsia="zh-CN"/>
              </w:rPr>
              <w:t>包</w:t>
            </w:r>
            <w:r>
              <w:rPr>
                <w:rFonts w:hint="eastAsia" w:ascii="宋体" w:hAnsi="宋体"/>
                <w:color w:val="000000"/>
                <w:szCs w:val="21"/>
                <w:lang w:val="en-US" w:eastAsia="zh-CN"/>
              </w:rPr>
              <w:t>1:10</w:t>
            </w:r>
            <w:r>
              <w:rPr>
                <w:rFonts w:hint="eastAsia" w:ascii="宋体" w:hAnsi="宋体"/>
                <w:color w:val="000000"/>
                <w:szCs w:val="21"/>
              </w:rPr>
              <w:t>000元</w:t>
            </w:r>
            <w:r>
              <w:rPr>
                <w:rFonts w:hint="eastAsia" w:ascii="宋体" w:hAnsi="宋体"/>
                <w:color w:val="000000"/>
                <w:szCs w:val="21"/>
                <w:lang w:eastAsia="zh-CN"/>
              </w:rPr>
              <w:t>，包</w:t>
            </w:r>
            <w:r>
              <w:rPr>
                <w:rFonts w:hint="eastAsia" w:ascii="宋体" w:hAnsi="宋体"/>
                <w:color w:val="000000"/>
                <w:szCs w:val="21"/>
                <w:lang w:val="en-US" w:eastAsia="zh-CN"/>
              </w:rPr>
              <w:t>2:8000元。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第二章</w:t>
            </w:r>
          </w:p>
          <w:p>
            <w:pPr>
              <w:adjustRightInd w:val="0"/>
              <w:snapToGrid w:val="0"/>
              <w:spacing w:line="400" w:lineRule="exact"/>
              <w:jc w:val="center"/>
              <w:rPr>
                <w:rFonts w:ascii="宋体" w:hAnsi="宋体"/>
                <w:color w:val="000000"/>
                <w:szCs w:val="21"/>
              </w:rPr>
            </w:pPr>
            <w:r>
              <w:rPr>
                <w:rFonts w:hint="eastAsia" w:ascii="宋体" w:hAnsi="宋体"/>
                <w:color w:val="000000"/>
                <w:szCs w:val="21"/>
              </w:rPr>
              <w:t>第42.1款</w:t>
            </w:r>
          </w:p>
        </w:tc>
        <w:tc>
          <w:tcPr>
            <w:tcW w:w="1742" w:type="dxa"/>
            <w:noWrap/>
            <w:vAlign w:val="center"/>
          </w:tcPr>
          <w:p>
            <w:pPr>
              <w:spacing w:line="360" w:lineRule="atLeast"/>
              <w:rPr>
                <w:rFonts w:ascii="宋体" w:hAnsi="宋体"/>
                <w:color w:val="000000"/>
                <w:szCs w:val="21"/>
              </w:rPr>
            </w:pPr>
            <w:r>
              <w:rPr>
                <w:rFonts w:hint="eastAsia" w:ascii="宋体" w:hAnsi="宋体"/>
                <w:color w:val="000000"/>
                <w:szCs w:val="21"/>
              </w:rPr>
              <w:t>信用记录</w:t>
            </w:r>
          </w:p>
        </w:tc>
        <w:tc>
          <w:tcPr>
            <w:tcW w:w="6024" w:type="dxa"/>
            <w:noWrap/>
            <w:vAlign w:val="center"/>
          </w:tcPr>
          <w:p>
            <w:pPr>
              <w:spacing w:line="360" w:lineRule="atLeast"/>
              <w:rPr>
                <w:rFonts w:ascii="宋体" w:hAnsi="宋体"/>
                <w:color w:val="000000"/>
                <w:szCs w:val="21"/>
              </w:rPr>
            </w:pPr>
            <w:r>
              <w:rPr>
                <w:rFonts w:hint="eastAsia" w:ascii="宋体" w:hAnsi="宋体"/>
                <w:color w:val="000000"/>
                <w:szCs w:val="21"/>
              </w:rPr>
              <w:t>1、采购人或采购代理机构在对投标人进行资格审查时，还应对投标人信用记录进行甄别，对列入失信被执行人、重大税收违法案件当事人名单、政府采购严重违法失信行为记录名单的投标人，应拒绝其参与政府采购活动。</w:t>
            </w:r>
          </w:p>
          <w:p>
            <w:pPr>
              <w:spacing w:line="360" w:lineRule="atLeast"/>
              <w:rPr>
                <w:rFonts w:ascii="宋体" w:hAnsi="宋体"/>
                <w:color w:val="000000"/>
                <w:szCs w:val="21"/>
              </w:rPr>
            </w:pPr>
            <w:r>
              <w:rPr>
                <w:rFonts w:hint="eastAsia" w:ascii="宋体" w:hAnsi="宋体"/>
                <w:color w:val="000000"/>
                <w:szCs w:val="21"/>
              </w:rPr>
              <w:t>2、查询网站为“信用中国”网站、中国政府采购网。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vMerge w:val="restart"/>
            <w:noWrap/>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其他</w:t>
            </w:r>
          </w:p>
        </w:tc>
        <w:tc>
          <w:tcPr>
            <w:tcW w:w="1742" w:type="dxa"/>
            <w:noWrap/>
            <w:vAlign w:val="center"/>
          </w:tcPr>
          <w:p>
            <w:pPr>
              <w:adjustRightInd w:val="0"/>
              <w:snapToGrid w:val="0"/>
              <w:spacing w:line="400" w:lineRule="exact"/>
              <w:jc w:val="center"/>
              <w:rPr>
                <w:rFonts w:ascii="宋体" w:hAnsi="宋体" w:cs="宋体"/>
                <w:bCs/>
                <w:color w:val="000000"/>
                <w:kern w:val="0"/>
                <w:szCs w:val="21"/>
              </w:rPr>
            </w:pPr>
            <w:r>
              <w:rPr>
                <w:rFonts w:hint="eastAsia" w:ascii="宋体" w:hAnsi="宋体" w:cs="宋体"/>
                <w:bCs/>
                <w:color w:val="000000"/>
                <w:kern w:val="0"/>
                <w:szCs w:val="21"/>
              </w:rPr>
              <w:t>政府采购支持中小企业融资</w:t>
            </w:r>
          </w:p>
        </w:tc>
        <w:tc>
          <w:tcPr>
            <w:tcW w:w="6024"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有融资需求的，可查询中国湖南政府采购网</w:t>
            </w:r>
            <w:r>
              <w:rPr>
                <w:rFonts w:hint="eastAsia" w:ascii="宋体" w:hAnsi="宋体" w:cs="宋体"/>
                <w:color w:val="000000"/>
                <w:szCs w:val="21"/>
              </w:rPr>
              <w:t>办事指南专栏中相关业务简介。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vMerge w:val="continue"/>
            <w:noWrap/>
            <w:vAlign w:val="center"/>
          </w:tcPr>
          <w:p>
            <w:pPr>
              <w:adjustRightInd w:val="0"/>
              <w:snapToGrid w:val="0"/>
              <w:spacing w:line="400" w:lineRule="exact"/>
              <w:jc w:val="center"/>
              <w:rPr>
                <w:rFonts w:ascii="宋体" w:hAnsi="宋体"/>
                <w:color w:val="000000"/>
                <w:szCs w:val="21"/>
              </w:rPr>
            </w:pPr>
          </w:p>
        </w:tc>
        <w:tc>
          <w:tcPr>
            <w:tcW w:w="1742" w:type="dxa"/>
            <w:noWrap/>
            <w:vAlign w:val="center"/>
          </w:tcPr>
          <w:p>
            <w:pPr>
              <w:adjustRightInd w:val="0"/>
              <w:snapToGrid w:val="0"/>
              <w:spacing w:line="400" w:lineRule="exact"/>
              <w:jc w:val="center"/>
              <w:rPr>
                <w:rFonts w:ascii="宋体" w:hAnsi="宋体" w:cs="宋体"/>
                <w:bCs/>
                <w:color w:val="000000"/>
                <w:kern w:val="0"/>
                <w:szCs w:val="21"/>
              </w:rPr>
            </w:pPr>
            <w:r>
              <w:rPr>
                <w:rFonts w:hint="eastAsia" w:ascii="宋体" w:hAnsi="宋体" w:cs="宋体"/>
                <w:bCs/>
                <w:color w:val="000000"/>
                <w:kern w:val="0"/>
                <w:szCs w:val="21"/>
              </w:rPr>
              <w:t>政府采购信用</w:t>
            </w:r>
          </w:p>
          <w:p>
            <w:pPr>
              <w:adjustRightInd w:val="0"/>
              <w:snapToGrid w:val="0"/>
              <w:spacing w:line="400" w:lineRule="exact"/>
              <w:jc w:val="center"/>
              <w:rPr>
                <w:rFonts w:ascii="宋体" w:hAnsi="宋体"/>
                <w:color w:val="000000"/>
                <w:szCs w:val="21"/>
              </w:rPr>
            </w:pPr>
            <w:r>
              <w:rPr>
                <w:rFonts w:hint="eastAsia" w:ascii="宋体" w:hAnsi="宋体" w:cs="宋体"/>
                <w:bCs/>
                <w:color w:val="000000"/>
                <w:kern w:val="0"/>
                <w:szCs w:val="21"/>
              </w:rPr>
              <w:t>担保</w:t>
            </w:r>
          </w:p>
        </w:tc>
        <w:tc>
          <w:tcPr>
            <w:tcW w:w="6024"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有担保需求的，可查询中国湖南政府采购网</w:t>
            </w:r>
            <w:r>
              <w:rPr>
                <w:rFonts w:hint="eastAsia" w:ascii="宋体" w:hAnsi="宋体" w:cs="宋体"/>
                <w:color w:val="000000"/>
                <w:szCs w:val="21"/>
              </w:rPr>
              <w:t>办事指南专栏中相关业务简介。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1724" w:type="dxa"/>
            <w:vMerge w:val="continue"/>
            <w:noWrap/>
            <w:vAlign w:val="center"/>
          </w:tcPr>
          <w:p>
            <w:pPr>
              <w:adjustRightInd w:val="0"/>
              <w:snapToGrid w:val="0"/>
              <w:spacing w:line="400" w:lineRule="exact"/>
              <w:jc w:val="center"/>
              <w:rPr>
                <w:rFonts w:ascii="宋体" w:hAnsi="宋体"/>
                <w:color w:val="000000"/>
                <w:szCs w:val="21"/>
              </w:rPr>
            </w:pPr>
          </w:p>
        </w:tc>
        <w:tc>
          <w:tcPr>
            <w:tcW w:w="1742"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法律、法规、规章和省级以上财政部门规定的其他内容</w:t>
            </w:r>
          </w:p>
        </w:tc>
        <w:tc>
          <w:tcPr>
            <w:tcW w:w="6024" w:type="dxa"/>
            <w:noWrap/>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w:t>
            </w:r>
            <w:r>
              <w:rPr>
                <w:rFonts w:ascii="宋体" w:hAnsi="宋体"/>
                <w:color w:val="000000"/>
                <w:szCs w:val="21"/>
              </w:rPr>
              <w:t>节能</w:t>
            </w:r>
            <w:r>
              <w:rPr>
                <w:rFonts w:hint="eastAsia" w:ascii="宋体" w:hAnsi="宋体"/>
                <w:color w:val="000000"/>
                <w:szCs w:val="21"/>
              </w:rPr>
              <w:t>产品”或“环境标志产品”或“两型产品”以财政部网站、中国政府采购网、湖南省政府采购网公布且有效的为准。</w:t>
            </w:r>
          </w:p>
        </w:tc>
      </w:tr>
    </w:tbl>
    <w:p>
      <w:pPr>
        <w:pStyle w:val="27"/>
        <w:spacing w:line="360" w:lineRule="auto"/>
        <w:rPr>
          <w:rFonts w:hAnsi="宋体" w:cs="宋体"/>
          <w:b/>
          <w:bCs/>
        </w:rPr>
      </w:pPr>
    </w:p>
    <w:p>
      <w:pPr>
        <w:pStyle w:val="27"/>
        <w:spacing w:line="360" w:lineRule="auto"/>
        <w:rPr>
          <w:rFonts w:hAnsi="宋体" w:cs="宋体"/>
          <w:b/>
          <w:bCs/>
        </w:rPr>
      </w:pPr>
    </w:p>
    <w:p>
      <w:pPr>
        <w:pStyle w:val="27"/>
        <w:spacing w:line="360" w:lineRule="auto"/>
        <w:rPr>
          <w:rFonts w:hAnsi="宋体" w:cs="宋体"/>
          <w:b/>
          <w:bCs/>
        </w:rPr>
      </w:pPr>
    </w:p>
    <w:p>
      <w:pPr>
        <w:adjustRightInd w:val="0"/>
        <w:snapToGrid w:val="0"/>
        <w:spacing w:line="360" w:lineRule="auto"/>
        <w:rPr>
          <w:rFonts w:ascii="宋体" w:hAnsi="宋体" w:cs="宋体"/>
          <w:szCs w:val="21"/>
        </w:rPr>
      </w:pPr>
      <w:r>
        <w:rPr>
          <w:rFonts w:ascii="宋体" w:hAnsi="宋体" w:cs="宋体"/>
          <w:szCs w:val="21"/>
        </w:rPr>
        <w:br w:type="page"/>
      </w:r>
      <w:r>
        <w:rPr>
          <w:rFonts w:hint="eastAsia" w:ascii="宋体" w:hAnsi="宋体" w:cs="宋体"/>
          <w:szCs w:val="21"/>
        </w:rPr>
        <w:t>附页1</w:t>
      </w:r>
    </w:p>
    <w:p>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湖南省政府采购支持中小企业融资合作银行及联系人名单</w:t>
      </w:r>
    </w:p>
    <w:tbl>
      <w:tblPr>
        <w:tblStyle w:val="4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4"/>
        <w:gridCol w:w="1346"/>
        <w:gridCol w:w="2981"/>
        <w:gridCol w:w="22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shd w:val="clear" w:color="auto" w:fill="D7D7D7"/>
            <w:vAlign w:val="center"/>
          </w:tcPr>
          <w:p>
            <w:pPr>
              <w:adjustRightInd w:val="0"/>
              <w:snapToGrid w:val="0"/>
              <w:spacing w:line="360" w:lineRule="auto"/>
              <w:jc w:val="center"/>
              <w:rPr>
                <w:rFonts w:ascii="宋体" w:hAnsi="宋体" w:cs="宋体"/>
                <w:b/>
                <w:szCs w:val="21"/>
              </w:rPr>
            </w:pPr>
            <w:r>
              <w:rPr>
                <w:rFonts w:hint="eastAsia" w:ascii="宋体" w:hAnsi="宋体" w:cs="宋体"/>
                <w:b/>
                <w:kern w:val="0"/>
                <w:szCs w:val="21"/>
              </w:rPr>
              <w:t>银行名称</w:t>
            </w:r>
          </w:p>
        </w:tc>
        <w:tc>
          <w:tcPr>
            <w:tcW w:w="1346" w:type="dxa"/>
            <w:shd w:val="clear" w:color="auto" w:fill="D7D7D7"/>
            <w:vAlign w:val="center"/>
          </w:tcPr>
          <w:p>
            <w:pPr>
              <w:adjustRightInd w:val="0"/>
              <w:snapToGrid w:val="0"/>
              <w:spacing w:line="360" w:lineRule="auto"/>
              <w:jc w:val="center"/>
              <w:rPr>
                <w:rFonts w:ascii="宋体" w:hAnsi="宋体" w:cs="宋体"/>
                <w:b/>
                <w:szCs w:val="21"/>
              </w:rPr>
            </w:pPr>
            <w:r>
              <w:rPr>
                <w:rFonts w:hint="eastAsia" w:ascii="宋体" w:hAnsi="宋体" w:cs="宋体"/>
                <w:b/>
                <w:kern w:val="0"/>
                <w:szCs w:val="21"/>
              </w:rPr>
              <w:t>联系人</w:t>
            </w:r>
          </w:p>
        </w:tc>
        <w:tc>
          <w:tcPr>
            <w:tcW w:w="2981" w:type="dxa"/>
            <w:shd w:val="clear" w:color="auto" w:fill="D7D7D7"/>
            <w:vAlign w:val="center"/>
          </w:tcPr>
          <w:p>
            <w:pPr>
              <w:adjustRightInd w:val="0"/>
              <w:snapToGrid w:val="0"/>
              <w:spacing w:line="360" w:lineRule="auto"/>
              <w:jc w:val="center"/>
              <w:rPr>
                <w:rFonts w:ascii="宋体" w:hAnsi="宋体" w:cs="宋体"/>
                <w:b/>
                <w:szCs w:val="21"/>
              </w:rPr>
            </w:pPr>
            <w:r>
              <w:rPr>
                <w:rFonts w:hint="eastAsia" w:ascii="宋体" w:hAnsi="宋体" w:cs="宋体"/>
                <w:b/>
                <w:kern w:val="0"/>
                <w:szCs w:val="21"/>
              </w:rPr>
              <w:t>职 务</w:t>
            </w:r>
          </w:p>
        </w:tc>
        <w:tc>
          <w:tcPr>
            <w:tcW w:w="2248" w:type="dxa"/>
            <w:shd w:val="clear" w:color="auto" w:fill="D7D7D7"/>
            <w:vAlign w:val="center"/>
          </w:tcPr>
          <w:p>
            <w:pPr>
              <w:adjustRightInd w:val="0"/>
              <w:snapToGrid w:val="0"/>
              <w:spacing w:line="360" w:lineRule="auto"/>
              <w:jc w:val="center"/>
              <w:rPr>
                <w:rFonts w:ascii="宋体" w:hAnsi="宋体" w:cs="宋体"/>
                <w:b/>
                <w:szCs w:val="21"/>
              </w:rPr>
            </w:pPr>
            <w:r>
              <w:rPr>
                <w:rFonts w:hint="eastAsia" w:ascii="宋体" w:hAnsi="宋体" w:cs="宋体"/>
                <w:b/>
                <w:kern w:val="0"/>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交通银行湖南省分行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刘 波</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名城支行客户经理</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13874998873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交通银行湖南省分行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肖勇光</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分行高级经理</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13755192647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中国民生银行长沙分行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黄飞燕</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营业部总经理</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13308463468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中国民生银行长沙分行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蒋寒奇</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营业部中小企业客户经理</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13548982975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兴业银行长沙分行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刘栅延</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支行行长</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13337316405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兴业银行长沙分行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蒋修远</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支行客户经理</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18607310422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中国光大银行长沙分行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邓永胜</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岳麓支行副行长</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13617319650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中信银行长沙分行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蔡学军</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公司银行部负责人</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13055167195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exact"/>
        </w:trPr>
        <w:tc>
          <w:tcPr>
            <w:tcW w:w="2504"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中信银行长沙分行</w:t>
            </w:r>
          </w:p>
        </w:tc>
        <w:tc>
          <w:tcPr>
            <w:tcW w:w="1346"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宋学农</w:t>
            </w:r>
          </w:p>
        </w:tc>
        <w:tc>
          <w:tcPr>
            <w:tcW w:w="2981"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银行部综合管理部副总经理</w:t>
            </w:r>
          </w:p>
        </w:tc>
        <w:tc>
          <w:tcPr>
            <w:tcW w:w="2248"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0731-845822141</w:t>
            </w:r>
          </w:p>
        </w:tc>
      </w:tr>
    </w:tbl>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附页2</w:t>
      </w:r>
    </w:p>
    <w:p>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湖南省政府采购信用担保试点工作的</w:t>
      </w:r>
      <w:r>
        <w:rPr>
          <w:rFonts w:hint="eastAsia" w:ascii="宋体" w:hAnsi="宋体" w:cs="宋体"/>
          <w:b/>
          <w:sz w:val="28"/>
          <w:szCs w:val="28"/>
        </w:rPr>
        <w:t>信用担保机构名单</w:t>
      </w:r>
    </w:p>
    <w:tbl>
      <w:tblPr>
        <w:tblStyle w:val="4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20"/>
        <w:gridCol w:w="1080"/>
        <w:gridCol w:w="3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320" w:type="dxa"/>
            <w:shd w:val="clear" w:color="auto" w:fill="D7D7D7"/>
            <w:vAlign w:val="center"/>
          </w:tcPr>
          <w:p>
            <w:pPr>
              <w:adjustRightInd w:val="0"/>
              <w:snapToGrid w:val="0"/>
              <w:spacing w:line="360" w:lineRule="auto"/>
              <w:jc w:val="center"/>
              <w:rPr>
                <w:rFonts w:ascii="宋体" w:hAnsi="宋体" w:cs="宋体"/>
                <w:b/>
                <w:bCs/>
                <w:kern w:val="0"/>
                <w:szCs w:val="21"/>
              </w:rPr>
            </w:pPr>
            <w:r>
              <w:rPr>
                <w:rFonts w:hint="eastAsia" w:ascii="宋体" w:hAnsi="宋体" w:cs="宋体"/>
                <w:b/>
                <w:szCs w:val="21"/>
              </w:rPr>
              <w:t>信用担保机构</w:t>
            </w:r>
          </w:p>
        </w:tc>
        <w:tc>
          <w:tcPr>
            <w:tcW w:w="1080" w:type="dxa"/>
            <w:shd w:val="clear" w:color="auto" w:fill="D7D7D7"/>
            <w:vAlign w:val="center"/>
          </w:tcPr>
          <w:p>
            <w:pPr>
              <w:adjustRightInd w:val="0"/>
              <w:snapToGrid w:val="0"/>
              <w:spacing w:line="360" w:lineRule="auto"/>
              <w:jc w:val="center"/>
              <w:rPr>
                <w:rFonts w:ascii="宋体" w:hAnsi="宋体" w:cs="宋体"/>
                <w:b/>
                <w:bCs/>
                <w:kern w:val="0"/>
                <w:szCs w:val="21"/>
              </w:rPr>
            </w:pPr>
            <w:r>
              <w:rPr>
                <w:rFonts w:hint="eastAsia" w:ascii="宋体" w:hAnsi="宋体" w:cs="宋体"/>
                <w:b/>
                <w:szCs w:val="21"/>
              </w:rPr>
              <w:t>联系人</w:t>
            </w:r>
          </w:p>
        </w:tc>
        <w:tc>
          <w:tcPr>
            <w:tcW w:w="3780" w:type="dxa"/>
            <w:shd w:val="clear" w:color="auto" w:fill="D7D7D7"/>
            <w:vAlign w:val="center"/>
          </w:tcPr>
          <w:p>
            <w:pPr>
              <w:adjustRightInd w:val="0"/>
              <w:snapToGrid w:val="0"/>
              <w:spacing w:line="360" w:lineRule="auto"/>
              <w:jc w:val="center"/>
              <w:rPr>
                <w:rFonts w:ascii="宋体" w:hAnsi="宋体" w:cs="宋体"/>
                <w:b/>
                <w:bCs/>
                <w:kern w:val="0"/>
                <w:szCs w:val="21"/>
              </w:rPr>
            </w:pPr>
            <w:r>
              <w:rPr>
                <w:rFonts w:hint="eastAsia" w:ascii="宋体" w:hAnsi="宋体" w:cs="宋体"/>
                <w:b/>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4320" w:type="dxa"/>
            <w:vAlign w:val="center"/>
          </w:tcPr>
          <w:p>
            <w:pPr>
              <w:adjustRightInd w:val="0"/>
              <w:snapToGrid w:val="0"/>
              <w:spacing w:line="360" w:lineRule="auto"/>
              <w:jc w:val="center"/>
              <w:rPr>
                <w:rFonts w:ascii="宋体" w:hAnsi="宋体" w:cs="宋体"/>
                <w:bCs/>
                <w:kern w:val="0"/>
                <w:szCs w:val="21"/>
              </w:rPr>
            </w:pPr>
            <w:r>
              <w:rPr>
                <w:rFonts w:hint="eastAsia" w:ascii="宋体" w:hAnsi="宋体" w:cs="宋体"/>
                <w:szCs w:val="21"/>
              </w:rPr>
              <w:t>中国投资担保公司</w:t>
            </w:r>
          </w:p>
        </w:tc>
        <w:tc>
          <w:tcPr>
            <w:tcW w:w="1080" w:type="dxa"/>
            <w:vAlign w:val="center"/>
          </w:tcPr>
          <w:p>
            <w:pPr>
              <w:adjustRightInd w:val="0"/>
              <w:snapToGrid w:val="0"/>
              <w:spacing w:line="360" w:lineRule="auto"/>
              <w:jc w:val="center"/>
              <w:rPr>
                <w:rFonts w:ascii="宋体" w:hAnsi="宋体" w:cs="宋体"/>
                <w:bCs/>
                <w:kern w:val="0"/>
                <w:szCs w:val="21"/>
              </w:rPr>
            </w:pPr>
            <w:r>
              <w:rPr>
                <w:rFonts w:hint="eastAsia" w:ascii="宋体" w:hAnsi="宋体" w:cs="宋体"/>
                <w:szCs w:val="21"/>
              </w:rPr>
              <w:t>何  嘉</w:t>
            </w:r>
          </w:p>
        </w:tc>
        <w:tc>
          <w:tcPr>
            <w:tcW w:w="3780" w:type="dxa"/>
            <w:vAlign w:val="center"/>
          </w:tcPr>
          <w:p>
            <w:pPr>
              <w:adjustRightInd w:val="0"/>
              <w:snapToGrid w:val="0"/>
              <w:spacing w:line="360" w:lineRule="auto"/>
              <w:jc w:val="center"/>
              <w:rPr>
                <w:rFonts w:ascii="宋体" w:hAnsi="宋体" w:cs="宋体"/>
                <w:bCs/>
                <w:kern w:val="0"/>
                <w:szCs w:val="21"/>
              </w:rPr>
            </w:pPr>
            <w:r>
              <w:rPr>
                <w:rFonts w:hint="eastAsia" w:ascii="宋体" w:hAnsi="宋体" w:cs="宋体"/>
                <w:szCs w:val="21"/>
              </w:rPr>
              <w:t>010-88822659/13718642233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320" w:type="dxa"/>
            <w:vAlign w:val="center"/>
          </w:tcPr>
          <w:p>
            <w:pPr>
              <w:adjustRightInd w:val="0"/>
              <w:snapToGrid w:val="0"/>
              <w:spacing w:line="360" w:lineRule="auto"/>
              <w:jc w:val="center"/>
              <w:rPr>
                <w:rFonts w:ascii="宋体" w:hAnsi="宋体" w:cs="宋体"/>
                <w:bCs/>
                <w:kern w:val="0"/>
                <w:szCs w:val="21"/>
              </w:rPr>
            </w:pPr>
            <w:r>
              <w:rPr>
                <w:rFonts w:hint="eastAsia" w:ascii="宋体" w:hAnsi="宋体" w:cs="宋体"/>
                <w:szCs w:val="21"/>
              </w:rPr>
              <w:t>湖南省中小企业信用担保有限责任公司</w:t>
            </w:r>
          </w:p>
        </w:tc>
        <w:tc>
          <w:tcPr>
            <w:tcW w:w="1080" w:type="dxa"/>
            <w:vAlign w:val="center"/>
          </w:tcPr>
          <w:p>
            <w:pPr>
              <w:adjustRightInd w:val="0"/>
              <w:snapToGrid w:val="0"/>
              <w:spacing w:line="360" w:lineRule="auto"/>
              <w:jc w:val="center"/>
              <w:rPr>
                <w:rFonts w:ascii="宋体" w:hAnsi="宋体" w:cs="宋体"/>
                <w:bCs/>
                <w:kern w:val="0"/>
                <w:szCs w:val="21"/>
              </w:rPr>
            </w:pPr>
            <w:r>
              <w:rPr>
                <w:rFonts w:hint="eastAsia" w:ascii="宋体" w:hAnsi="宋体" w:cs="宋体"/>
                <w:szCs w:val="21"/>
              </w:rPr>
              <w:t>蔡建雄</w:t>
            </w:r>
          </w:p>
        </w:tc>
        <w:tc>
          <w:tcPr>
            <w:tcW w:w="3780" w:type="dxa"/>
            <w:vAlign w:val="center"/>
          </w:tcPr>
          <w:p>
            <w:pPr>
              <w:adjustRightInd w:val="0"/>
              <w:snapToGrid w:val="0"/>
              <w:spacing w:line="360" w:lineRule="auto"/>
              <w:jc w:val="center"/>
              <w:rPr>
                <w:rFonts w:ascii="宋体" w:hAnsi="宋体" w:cs="宋体"/>
                <w:bCs/>
                <w:kern w:val="0"/>
                <w:szCs w:val="21"/>
              </w:rPr>
            </w:pPr>
            <w:r>
              <w:rPr>
                <w:rFonts w:hint="eastAsia" w:ascii="宋体" w:hAnsi="宋体" w:cs="宋体"/>
                <w:szCs w:val="21"/>
              </w:rPr>
              <w:t>0731-84172390-201/15573193555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4320"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湖南农业信用担保有限公司</w:t>
            </w:r>
          </w:p>
        </w:tc>
        <w:tc>
          <w:tcPr>
            <w:tcW w:w="1080"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彭  球</w:t>
            </w:r>
          </w:p>
          <w:p>
            <w:pPr>
              <w:adjustRightInd w:val="0"/>
              <w:snapToGrid w:val="0"/>
              <w:spacing w:line="360" w:lineRule="auto"/>
              <w:jc w:val="center"/>
              <w:rPr>
                <w:rFonts w:ascii="宋体" w:hAnsi="宋体" w:cs="宋体"/>
                <w:bCs/>
                <w:kern w:val="0"/>
                <w:szCs w:val="21"/>
              </w:rPr>
            </w:pPr>
            <w:r>
              <w:rPr>
                <w:rFonts w:hint="eastAsia" w:ascii="宋体" w:hAnsi="宋体" w:cs="宋体"/>
                <w:szCs w:val="21"/>
              </w:rPr>
              <w:t>邓霞英</w:t>
            </w:r>
          </w:p>
        </w:tc>
        <w:tc>
          <w:tcPr>
            <w:tcW w:w="3780" w:type="dxa"/>
            <w:vAlign w:val="center"/>
          </w:tcPr>
          <w:p>
            <w:pPr>
              <w:adjustRightInd w:val="0"/>
              <w:snapToGrid w:val="0"/>
              <w:spacing w:line="360" w:lineRule="auto"/>
              <w:jc w:val="center"/>
              <w:rPr>
                <w:rFonts w:ascii="宋体" w:hAnsi="宋体" w:cs="宋体"/>
                <w:bCs/>
                <w:kern w:val="0"/>
                <w:szCs w:val="21"/>
              </w:rPr>
            </w:pPr>
            <w:r>
              <w:rPr>
                <w:rFonts w:hint="eastAsia" w:ascii="宋体" w:hAnsi="宋体" w:cs="宋体"/>
                <w:szCs w:val="21"/>
              </w:rPr>
              <w:t>0731-89761702/13875980906 0731-89761706/13574125851</w:t>
            </w:r>
          </w:p>
        </w:tc>
      </w:tr>
    </w:tbl>
    <w:p>
      <w:pPr>
        <w:adjustRightInd w:val="0"/>
        <w:snapToGrid w:val="0"/>
        <w:spacing w:line="360" w:lineRule="auto"/>
        <w:rPr>
          <w:rFonts w:ascii="宋体" w:hAnsi="宋体" w:cs="宋体"/>
          <w:b/>
          <w:szCs w:val="21"/>
        </w:rPr>
        <w:sectPr>
          <w:headerReference r:id="rId6" w:type="default"/>
          <w:footerReference r:id="rId7" w:type="default"/>
          <w:pgSz w:w="11906" w:h="16838"/>
          <w:pgMar w:top="1418" w:right="1418" w:bottom="1418" w:left="1418" w:header="851" w:footer="992" w:gutter="0"/>
          <w:pgNumType w:fmt="numberInDash" w:start="1"/>
          <w:cols w:space="720" w:num="1"/>
          <w:docGrid w:linePitch="312" w:charSpace="0"/>
        </w:sectPr>
      </w:pPr>
    </w:p>
    <w:p>
      <w:pPr>
        <w:adjustRightInd w:val="0"/>
        <w:snapToGrid w:val="0"/>
        <w:spacing w:line="360" w:lineRule="auto"/>
        <w:rPr>
          <w:rFonts w:ascii="宋体" w:hAnsi="宋体" w:cs="宋体"/>
          <w:szCs w:val="21"/>
        </w:rPr>
      </w:pPr>
      <w:r>
        <w:rPr>
          <w:rFonts w:hint="eastAsia" w:ascii="宋体" w:hAnsi="宋体" w:cs="宋体"/>
          <w:szCs w:val="21"/>
        </w:rPr>
        <w:t>附页3</w:t>
      </w:r>
    </w:p>
    <w:p>
      <w:pPr>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政府采购履约担保函</w:t>
      </w:r>
    </w:p>
    <w:p>
      <w:pPr>
        <w:adjustRightInd w:val="0"/>
        <w:snapToGrid w:val="0"/>
        <w:spacing w:line="360" w:lineRule="auto"/>
        <w:ind w:firstLine="6510" w:firstLineChars="3100"/>
        <w:rPr>
          <w:rFonts w:ascii="宋体" w:hAnsi="宋体" w:cs="宋体"/>
          <w:b/>
          <w:kern w:val="0"/>
          <w:szCs w:val="21"/>
        </w:rPr>
      </w:pPr>
      <w:r>
        <w:rPr>
          <w:rFonts w:hint="eastAsia" w:ascii="宋体" w:hAnsi="宋体" w:cs="宋体"/>
          <w:kern w:val="0"/>
          <w:szCs w:val="21"/>
        </w:rPr>
        <w:t>编号：</w:t>
      </w:r>
    </w:p>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（采购人）：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一、保证责任的情形及保证金额</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（一）在供应商出现下列情形之一时，我方承担保证责任：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1．将中标项目转让给他人，或者在投标文件中未说明，且未经采购人同意，将中标项目分包给他人的；</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2．主合同约定的应当缴纳履约保证金的情形: </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（1）未按主合同约定的质量、数量和期限供应货物/提供服务/完成工程的； </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（2）。</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（二）我方的保证范围是主合同约定的合同价款总额的%数额为元（大写），币种为。（即主合同履约保证金金额）</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二、保证的方式及保证期间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我方保证的方式为：连带责任保证。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我方保证的期间为：自本合同生效之日起至供应商按照主合同约定的供货/完工期限届满后日内。</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三、承担保证责任的程序</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1．你方要求我方承担保证责任的，应在本保函保证期间内向我方发出书面索赔通知。索赔通知应写明要求索赔的金额，支付款项应到达的帐号。并附有证明供应商违约事实的证明材料。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2．我方收到你方的书面索赔通知及相应证明材料，在工作日内进行核定后按照本保函的承诺承担保证责任。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四、保证责任的终止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3．按照法律法规的规定或出现应终止我方保证责任的其它情形的，我方在本保函项下的保证责任亦终止。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五、免责条款</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1．因你方违反主合同约定致使供应商不能履行义务的，我方不承担保证责任。</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3．因不可抗力造成供应商不能履行供货义务的，我方不承担保证责任。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六、争议的解决</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因本保函发生的纠纷，由你我双方协商解决，协商不成的，通过诉讼程序解决，诉讼管辖地法院为法院。</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七、保函的生效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本保函自我方加盖公章之日起生效。 </w:t>
      </w:r>
    </w:p>
    <w:p>
      <w:pPr>
        <w:tabs>
          <w:tab w:val="left" w:pos="6525"/>
        </w:tabs>
        <w:adjustRightInd w:val="0"/>
        <w:snapToGrid w:val="0"/>
        <w:spacing w:line="360" w:lineRule="auto"/>
        <w:jc w:val="left"/>
        <w:rPr>
          <w:rFonts w:ascii="宋体" w:hAnsi="宋体" w:cs="宋体"/>
          <w:kern w:val="0"/>
          <w:szCs w:val="21"/>
        </w:rPr>
      </w:pPr>
      <w:r>
        <w:rPr>
          <w:rFonts w:hint="eastAsia" w:ascii="宋体" w:hAnsi="宋体" w:cs="宋体"/>
          <w:kern w:val="0"/>
          <w:szCs w:val="21"/>
        </w:rPr>
        <w:tab/>
      </w:r>
    </w:p>
    <w:p>
      <w:pPr>
        <w:tabs>
          <w:tab w:val="left" w:pos="6525"/>
        </w:tabs>
        <w:adjustRightInd w:val="0"/>
        <w:snapToGrid w:val="0"/>
        <w:spacing w:line="360" w:lineRule="auto"/>
        <w:ind w:firstLine="6930" w:firstLineChars="3300"/>
        <w:jc w:val="left"/>
        <w:rPr>
          <w:rFonts w:ascii="宋体" w:hAnsi="宋体" w:cs="宋体"/>
          <w:kern w:val="0"/>
          <w:szCs w:val="21"/>
        </w:rPr>
      </w:pPr>
      <w:r>
        <w:rPr>
          <w:rFonts w:hint="eastAsia" w:ascii="宋体" w:hAnsi="宋体" w:cs="宋体"/>
          <w:kern w:val="0"/>
          <w:szCs w:val="21"/>
        </w:rPr>
        <w:t xml:space="preserve"> 保证人：（公章）       </w:t>
      </w:r>
    </w:p>
    <w:p>
      <w:pPr>
        <w:adjustRightInd w:val="0"/>
        <w:snapToGrid w:val="0"/>
        <w:spacing w:line="360" w:lineRule="auto"/>
        <w:jc w:val="center"/>
        <w:rPr>
          <w:rFonts w:ascii="宋体" w:hAnsi="宋体" w:cs="宋体"/>
          <w:kern w:val="0"/>
          <w:szCs w:val="21"/>
        </w:rPr>
        <w:sectPr>
          <w:pgSz w:w="11906" w:h="16838"/>
          <w:pgMar w:top="1418" w:right="1418" w:bottom="1418" w:left="1418" w:header="851" w:footer="992" w:gutter="0"/>
          <w:pgNumType w:fmt="numberInDash"/>
          <w:cols w:space="720" w:num="1"/>
          <w:docGrid w:linePitch="312" w:charSpace="0"/>
        </w:sectPr>
      </w:pPr>
      <w:r>
        <w:rPr>
          <w:rFonts w:hint="eastAsia" w:ascii="宋体" w:hAnsi="宋体" w:cs="宋体"/>
          <w:kern w:val="0"/>
          <w:szCs w:val="21"/>
        </w:rPr>
        <w:t xml:space="preserve"> 年月 日</w:t>
      </w:r>
    </w:p>
    <w:p>
      <w:pPr>
        <w:spacing w:line="360" w:lineRule="auto"/>
        <w:rPr>
          <w:rFonts w:ascii="宋体" w:hAnsi="宋体"/>
          <w:b/>
          <w:color w:val="000000" w:themeColor="text1"/>
          <w:szCs w:val="21"/>
        </w:rPr>
      </w:pPr>
      <w:r>
        <w:rPr>
          <w:rFonts w:hint="eastAsia" w:ascii="宋体" w:hAnsi="宋体"/>
          <w:b/>
          <w:bCs/>
          <w:color w:val="000000" w:themeColor="text1"/>
          <w:szCs w:val="21"/>
        </w:rPr>
        <w:t>附页4</w:t>
      </w:r>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294"/>
        <w:gridCol w:w="1135"/>
        <w:gridCol w:w="5325"/>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57" w:type="dxa"/>
            <w:vAlign w:val="center"/>
          </w:tcPr>
          <w:p>
            <w:pPr>
              <w:pStyle w:val="20"/>
              <w:jc w:val="center"/>
              <w:rPr>
                <w:rFonts w:ascii="宋体" w:hAnsi="宋体" w:cs="宋体"/>
                <w:color w:val="000000" w:themeColor="text1"/>
                <w:sz w:val="24"/>
              </w:rPr>
            </w:pPr>
            <w:r>
              <w:rPr>
                <w:rFonts w:hint="eastAsia" w:ascii="宋体" w:hAnsi="宋体" w:cs="宋体"/>
                <w:color w:val="000000" w:themeColor="text1"/>
                <w:sz w:val="24"/>
              </w:rPr>
              <w:t>序号</w:t>
            </w:r>
          </w:p>
        </w:tc>
        <w:tc>
          <w:tcPr>
            <w:tcW w:w="1294" w:type="dxa"/>
            <w:vAlign w:val="center"/>
          </w:tcPr>
          <w:p>
            <w:pPr>
              <w:pStyle w:val="20"/>
              <w:jc w:val="center"/>
              <w:rPr>
                <w:rFonts w:ascii="宋体" w:hAnsi="宋体" w:cs="宋体"/>
                <w:color w:val="000000" w:themeColor="text1"/>
                <w:sz w:val="24"/>
              </w:rPr>
            </w:pPr>
            <w:r>
              <w:rPr>
                <w:rFonts w:hint="eastAsia" w:ascii="宋体" w:hAnsi="宋体" w:cs="宋体"/>
                <w:color w:val="000000" w:themeColor="text1"/>
                <w:sz w:val="24"/>
              </w:rPr>
              <w:t>评审因素</w:t>
            </w:r>
          </w:p>
        </w:tc>
        <w:tc>
          <w:tcPr>
            <w:tcW w:w="1135" w:type="dxa"/>
            <w:vAlign w:val="center"/>
          </w:tcPr>
          <w:p>
            <w:pPr>
              <w:pStyle w:val="20"/>
              <w:jc w:val="center"/>
              <w:rPr>
                <w:rFonts w:ascii="宋体" w:hAnsi="宋体" w:cs="宋体"/>
                <w:color w:val="000000" w:themeColor="text1"/>
                <w:sz w:val="24"/>
              </w:rPr>
            </w:pPr>
            <w:r>
              <w:rPr>
                <w:rFonts w:hint="eastAsia" w:ascii="宋体" w:hAnsi="宋体" w:cs="宋体"/>
                <w:color w:val="000000" w:themeColor="text1"/>
                <w:sz w:val="24"/>
              </w:rPr>
              <w:t>主要内容</w:t>
            </w:r>
          </w:p>
        </w:tc>
        <w:tc>
          <w:tcPr>
            <w:tcW w:w="5325" w:type="dxa"/>
            <w:vAlign w:val="center"/>
          </w:tcPr>
          <w:p>
            <w:pPr>
              <w:pStyle w:val="20"/>
              <w:jc w:val="center"/>
              <w:rPr>
                <w:rFonts w:ascii="宋体" w:hAnsi="宋体" w:cs="宋体"/>
                <w:color w:val="000000" w:themeColor="text1"/>
                <w:sz w:val="24"/>
              </w:rPr>
            </w:pPr>
            <w:r>
              <w:rPr>
                <w:rFonts w:hint="eastAsia" w:ascii="宋体" w:hAnsi="宋体" w:cs="宋体"/>
                <w:color w:val="000000" w:themeColor="text1"/>
                <w:sz w:val="24"/>
              </w:rPr>
              <w:t>指标要求</w:t>
            </w:r>
          </w:p>
        </w:tc>
        <w:tc>
          <w:tcPr>
            <w:tcW w:w="1053" w:type="dxa"/>
            <w:vAlign w:val="center"/>
          </w:tcPr>
          <w:p>
            <w:pPr>
              <w:pStyle w:val="20"/>
              <w:jc w:val="center"/>
              <w:rPr>
                <w:rFonts w:ascii="宋体" w:hAnsi="宋体" w:cs="宋体"/>
                <w:color w:val="000000" w:themeColor="text1"/>
                <w:sz w:val="24"/>
              </w:rPr>
            </w:pPr>
            <w:r>
              <w:rPr>
                <w:rFonts w:hint="eastAsia" w:ascii="宋体" w:hAnsi="宋体" w:cs="宋体"/>
                <w:color w:val="000000" w:themeColor="text1"/>
                <w:sz w:val="24"/>
              </w:rPr>
              <w:t>细项</w:t>
            </w:r>
          </w:p>
          <w:p>
            <w:pPr>
              <w:pStyle w:val="20"/>
              <w:jc w:val="center"/>
              <w:rPr>
                <w:rFonts w:ascii="宋体" w:hAnsi="宋体" w:cs="宋体"/>
                <w:color w:val="000000" w:themeColor="text1"/>
                <w:sz w:val="24"/>
              </w:rPr>
            </w:pPr>
            <w:r>
              <w:rPr>
                <w:rFonts w:hint="eastAsia" w:ascii="宋体" w:hAnsi="宋体" w:cs="宋体"/>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7" w:type="dxa"/>
            <w:vAlign w:val="center"/>
          </w:tcPr>
          <w:p>
            <w:pPr>
              <w:pStyle w:val="20"/>
              <w:jc w:val="center"/>
              <w:rPr>
                <w:rFonts w:ascii="宋体" w:hAnsi="宋体" w:cs="宋体"/>
                <w:color w:val="000000" w:themeColor="text1"/>
                <w:sz w:val="24"/>
              </w:rPr>
            </w:pPr>
            <w:r>
              <w:rPr>
                <w:rFonts w:hint="eastAsia" w:ascii="宋体" w:hAnsi="宋体" w:cs="宋体"/>
                <w:color w:val="000000" w:themeColor="text1"/>
                <w:sz w:val="24"/>
              </w:rPr>
              <w:t>1</w:t>
            </w:r>
          </w:p>
        </w:tc>
        <w:tc>
          <w:tcPr>
            <w:tcW w:w="1294" w:type="dxa"/>
            <w:vAlign w:val="center"/>
          </w:tcPr>
          <w:p>
            <w:pPr>
              <w:pStyle w:val="20"/>
              <w:jc w:val="center"/>
              <w:rPr>
                <w:rFonts w:ascii="宋体" w:hAnsi="宋体" w:cs="宋体"/>
                <w:color w:val="000000" w:themeColor="text1"/>
                <w:sz w:val="24"/>
              </w:rPr>
            </w:pPr>
            <w:r>
              <w:rPr>
                <w:rFonts w:hint="eastAsia" w:ascii="宋体" w:hAnsi="宋体" w:cs="宋体"/>
                <w:color w:val="000000" w:themeColor="text1"/>
                <w:sz w:val="24"/>
              </w:rPr>
              <w:t>报价</w:t>
            </w:r>
          </w:p>
        </w:tc>
        <w:tc>
          <w:tcPr>
            <w:tcW w:w="1135" w:type="dxa"/>
            <w:vAlign w:val="center"/>
          </w:tcPr>
          <w:p>
            <w:pPr>
              <w:pStyle w:val="20"/>
              <w:jc w:val="center"/>
              <w:rPr>
                <w:rFonts w:ascii="宋体" w:hAnsi="宋体" w:cs="宋体"/>
                <w:color w:val="000000" w:themeColor="text1"/>
                <w:sz w:val="24"/>
              </w:rPr>
            </w:pPr>
            <w:r>
              <w:rPr>
                <w:rFonts w:hint="eastAsia" w:ascii="宋体" w:hAnsi="宋体" w:cs="宋体"/>
                <w:color w:val="000000" w:themeColor="text1"/>
                <w:sz w:val="24"/>
              </w:rPr>
              <w:t>价格</w:t>
            </w:r>
          </w:p>
        </w:tc>
        <w:tc>
          <w:tcPr>
            <w:tcW w:w="5325" w:type="dxa"/>
          </w:tcPr>
          <w:p>
            <w:pPr>
              <w:spacing w:line="320" w:lineRule="exact"/>
              <w:rPr>
                <w:rFonts w:ascii="宋体" w:hAnsi="宋体" w:cs="宋体"/>
                <w:color w:val="000000"/>
                <w:szCs w:val="21"/>
              </w:rPr>
            </w:pPr>
            <w:r>
              <w:rPr>
                <w:rFonts w:hint="eastAsia" w:ascii="宋体" w:hAnsi="宋体" w:cs="宋体"/>
                <w:color w:val="000000"/>
                <w:szCs w:val="21"/>
              </w:rPr>
              <w:t>经评标委员会一致认定满足招标文件要求且进行了政策性价格扣除后，以评标价格的最低价者定为评标基准价，其价格分为满分，其他有效投标人的价格分按照下列公式计算：</w:t>
            </w:r>
          </w:p>
          <w:p>
            <w:pPr>
              <w:jc w:val="left"/>
              <w:rPr>
                <w:rFonts w:ascii="宋体" w:hAnsi="宋体" w:cs="宋体"/>
                <w:b/>
                <w:bCs/>
                <w:color w:val="000000" w:themeColor="text1"/>
                <w:sz w:val="32"/>
                <w:szCs w:val="32"/>
              </w:rPr>
            </w:pPr>
            <w:r>
              <w:rPr>
                <w:rFonts w:hint="eastAsia" w:ascii="宋体" w:hAnsi="宋体"/>
                <w:color w:val="000000" w:themeColor="text1"/>
                <w:szCs w:val="21"/>
              </w:rPr>
              <w:t>报价得分＝评标基准价÷投标报价×投标报价分值</w:t>
            </w:r>
          </w:p>
        </w:tc>
        <w:tc>
          <w:tcPr>
            <w:tcW w:w="1053" w:type="dxa"/>
          </w:tcPr>
          <w:p>
            <w:pPr>
              <w:pStyle w:val="20"/>
              <w:rPr>
                <w:rFonts w:ascii="宋体" w:hAnsi="宋体"/>
                <w:color w:val="000000" w:themeColor="text1"/>
                <w:szCs w:val="21"/>
              </w:rPr>
            </w:pPr>
          </w:p>
          <w:p>
            <w:pPr>
              <w:pStyle w:val="20"/>
              <w:rPr>
                <w:rFonts w:ascii="宋体" w:hAnsi="宋体"/>
                <w:color w:val="000000" w:themeColor="text1"/>
                <w:szCs w:val="21"/>
              </w:rPr>
            </w:pPr>
          </w:p>
          <w:p>
            <w:pPr>
              <w:pStyle w:val="20"/>
              <w:ind w:firstLine="105" w:firstLineChars="50"/>
              <w:rPr>
                <w:rFonts w:ascii="宋体" w:hAnsi="宋体" w:cs="宋体"/>
                <w:b/>
                <w:bCs/>
                <w:color w:val="000000" w:themeColor="text1"/>
                <w:sz w:val="32"/>
                <w:szCs w:val="32"/>
              </w:rPr>
            </w:pPr>
            <w:r>
              <w:rPr>
                <w:rFonts w:hint="eastAsia" w:ascii="宋体" w:hAnsi="宋体"/>
                <w:color w:val="000000" w:themeColor="text1"/>
                <w:szCs w:val="21"/>
                <w:lang w:val="en-US" w:eastAsia="zh-CN"/>
              </w:rPr>
              <w:t>2</w:t>
            </w:r>
            <w:r>
              <w:rPr>
                <w:rFonts w:hint="eastAsia" w:ascii="宋体" w:hAnsi="宋体"/>
                <w:color w:val="000000" w:themeColor="text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657" w:type="dxa"/>
            <w:vAlign w:val="center"/>
          </w:tcPr>
          <w:p>
            <w:pPr>
              <w:pStyle w:val="20"/>
              <w:jc w:val="center"/>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2</w:t>
            </w:r>
          </w:p>
        </w:tc>
        <w:tc>
          <w:tcPr>
            <w:tcW w:w="1294" w:type="dxa"/>
            <w:vMerge w:val="restart"/>
            <w:vAlign w:val="center"/>
          </w:tcPr>
          <w:p>
            <w:pPr>
              <w:pStyle w:val="20"/>
              <w:ind w:firstLine="210" w:firstLineChars="10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商务部分</w:t>
            </w:r>
          </w:p>
        </w:tc>
        <w:tc>
          <w:tcPr>
            <w:tcW w:w="1135" w:type="dxa"/>
            <w:vAlign w:val="center"/>
          </w:tcPr>
          <w:p>
            <w:pPr>
              <w:pStyle w:val="20"/>
              <w:rPr>
                <w:rFonts w:ascii="宋体" w:hAnsi="宋体"/>
                <w:color w:val="000000" w:themeColor="text1"/>
                <w:szCs w:val="21"/>
              </w:rPr>
            </w:pPr>
          </w:p>
          <w:p>
            <w:pPr>
              <w:pStyle w:val="20"/>
              <w:rPr>
                <w:rFonts w:ascii="宋体" w:hAnsi="宋体"/>
                <w:color w:val="000000" w:themeColor="text1"/>
                <w:szCs w:val="21"/>
              </w:rPr>
            </w:pPr>
            <w:r>
              <w:rPr>
                <w:rFonts w:hint="eastAsia" w:ascii="宋体" w:hAnsi="宋体"/>
                <w:color w:val="000000" w:themeColor="text1"/>
                <w:szCs w:val="21"/>
                <w:lang w:eastAsia="zh-CN"/>
              </w:rPr>
              <w:t>业绩情况</w:t>
            </w:r>
          </w:p>
        </w:tc>
        <w:tc>
          <w:tcPr>
            <w:tcW w:w="5325" w:type="dxa"/>
          </w:tcPr>
          <w:p>
            <w:pPr>
              <w:pStyle w:val="348"/>
              <w:spacing w:before="31"/>
              <w:ind w:firstLine="0" w:firstLineChars="0"/>
              <w:rPr>
                <w:rFonts w:hint="default"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ascii="宋体" w:hAnsi="宋体" w:eastAsia="宋体" w:cs="宋体"/>
                <w:color w:val="000000"/>
                <w:sz w:val="21"/>
                <w:szCs w:val="21"/>
              </w:rPr>
              <w:t>自20</w:t>
            </w:r>
            <w:r>
              <w:rPr>
                <w:rFonts w:hint="eastAsia" w:ascii="宋体" w:hAnsi="宋体" w:eastAsia="宋体" w:cs="宋体"/>
                <w:color w:val="000000"/>
                <w:sz w:val="21"/>
                <w:szCs w:val="21"/>
                <w:lang w:val="en-US" w:eastAsia="zh-CN"/>
              </w:rPr>
              <w:t>20</w:t>
            </w:r>
            <w:r>
              <w:rPr>
                <w:rFonts w:ascii="宋体" w:hAnsi="宋体" w:eastAsia="宋体" w:cs="宋体"/>
                <w:color w:val="000000"/>
                <w:sz w:val="21"/>
                <w:szCs w:val="21"/>
              </w:rPr>
              <w:t>年</w:t>
            </w:r>
            <w:r>
              <w:rPr>
                <w:rFonts w:hint="eastAsia" w:ascii="宋体" w:hAnsi="宋体" w:eastAsia="宋体" w:cs="宋体"/>
                <w:color w:val="000000"/>
                <w:sz w:val="21"/>
                <w:szCs w:val="21"/>
                <w:lang w:val="en-US" w:eastAsia="zh-CN"/>
              </w:rPr>
              <w:t>1</w:t>
            </w:r>
            <w:r>
              <w:rPr>
                <w:rFonts w:ascii="宋体" w:hAnsi="宋体" w:eastAsia="宋体" w:cs="宋体"/>
                <w:color w:val="000000"/>
                <w:sz w:val="21"/>
                <w:szCs w:val="21"/>
              </w:rPr>
              <w:t>月</w:t>
            </w:r>
            <w:r>
              <w:rPr>
                <w:rFonts w:hint="eastAsia" w:ascii="宋体" w:hAnsi="宋体" w:eastAsia="宋体" w:cs="宋体"/>
                <w:color w:val="000000"/>
                <w:sz w:val="21"/>
                <w:szCs w:val="21"/>
                <w:lang w:val="en-US" w:eastAsia="zh-CN"/>
              </w:rPr>
              <w:t>1</w:t>
            </w:r>
            <w:bookmarkStart w:id="32" w:name="_GoBack"/>
            <w:bookmarkEnd w:id="32"/>
            <w:r>
              <w:rPr>
                <w:rFonts w:ascii="宋体" w:hAnsi="宋体" w:eastAsia="宋体" w:cs="宋体"/>
                <w:color w:val="000000"/>
                <w:sz w:val="21"/>
                <w:szCs w:val="21"/>
              </w:rPr>
              <w:t>日至202</w:t>
            </w:r>
            <w:r>
              <w:rPr>
                <w:rFonts w:hint="eastAsia" w:ascii="宋体" w:hAnsi="宋体" w:eastAsia="宋体" w:cs="宋体"/>
                <w:color w:val="000000"/>
                <w:sz w:val="21"/>
                <w:szCs w:val="21"/>
                <w:lang w:val="en-US" w:eastAsia="zh-CN"/>
              </w:rPr>
              <w:t>3</w:t>
            </w:r>
            <w:r>
              <w:rPr>
                <w:rFonts w:ascii="宋体" w:hAnsi="宋体" w:eastAsia="宋体" w:cs="宋体"/>
                <w:color w:val="000000"/>
                <w:sz w:val="21"/>
                <w:szCs w:val="21"/>
              </w:rPr>
              <w:t>年</w:t>
            </w:r>
            <w:r>
              <w:rPr>
                <w:rFonts w:hint="eastAsia" w:ascii="宋体" w:hAnsi="宋体" w:eastAsia="宋体" w:cs="宋体"/>
                <w:color w:val="000000"/>
                <w:sz w:val="21"/>
                <w:szCs w:val="21"/>
                <w:lang w:val="en-US" w:eastAsia="zh-CN"/>
              </w:rPr>
              <w:t>2</w:t>
            </w:r>
            <w:r>
              <w:rPr>
                <w:rFonts w:ascii="宋体" w:hAnsi="宋体" w:eastAsia="宋体" w:cs="宋体"/>
                <w:color w:val="000000"/>
                <w:sz w:val="21"/>
                <w:szCs w:val="21"/>
              </w:rPr>
              <w:t>月</w:t>
            </w:r>
            <w:r>
              <w:rPr>
                <w:rFonts w:hint="eastAsia" w:ascii="宋体" w:hAnsi="宋体" w:eastAsia="宋体" w:cs="宋体"/>
                <w:color w:val="000000"/>
                <w:sz w:val="21"/>
                <w:szCs w:val="21"/>
                <w:lang w:val="en-US" w:eastAsia="zh-CN"/>
              </w:rPr>
              <w:t>3</w:t>
            </w:r>
            <w:r>
              <w:rPr>
                <w:rFonts w:ascii="宋体" w:hAnsi="宋体" w:eastAsia="宋体" w:cs="宋体"/>
                <w:color w:val="000000"/>
                <w:sz w:val="21"/>
                <w:szCs w:val="21"/>
              </w:rPr>
              <w:t>日</w:t>
            </w:r>
            <w:r>
              <w:rPr>
                <w:rFonts w:hint="eastAsia" w:ascii="宋体" w:hAnsi="宋体" w:eastAsia="宋体" w:cs="宋体"/>
                <w:color w:val="000000"/>
                <w:sz w:val="21"/>
                <w:szCs w:val="21"/>
                <w:lang w:eastAsia="zh-CN"/>
              </w:rPr>
              <w:t>有类似</w:t>
            </w:r>
            <w:r>
              <w:rPr>
                <w:rFonts w:ascii="宋体" w:hAnsi="宋体" w:eastAsia="宋体" w:cs="宋体"/>
                <w:color w:val="000000"/>
                <w:sz w:val="21"/>
                <w:szCs w:val="21"/>
              </w:rPr>
              <w:t>业绩（以合同签订时间为准）每提供1个计</w:t>
            </w:r>
            <w:r>
              <w:rPr>
                <w:rFonts w:hint="eastAsia" w:ascii="宋体" w:hAnsi="宋体" w:eastAsia="宋体" w:cs="宋体"/>
                <w:color w:val="000000"/>
                <w:sz w:val="21"/>
                <w:szCs w:val="21"/>
                <w:lang w:val="en-US" w:eastAsia="zh-CN"/>
              </w:rPr>
              <w:t>3</w:t>
            </w:r>
            <w:r>
              <w:rPr>
                <w:rFonts w:ascii="宋体" w:hAnsi="宋体" w:eastAsia="宋体" w:cs="宋体"/>
                <w:color w:val="000000"/>
                <w:sz w:val="21"/>
                <w:szCs w:val="21"/>
              </w:rPr>
              <w:t>分，最多计</w:t>
            </w:r>
            <w:r>
              <w:rPr>
                <w:rFonts w:hint="eastAsia" w:ascii="宋体" w:hAnsi="宋体" w:eastAsia="宋体" w:cs="宋体"/>
                <w:color w:val="000000"/>
                <w:sz w:val="21"/>
                <w:szCs w:val="21"/>
                <w:lang w:val="en-US" w:eastAsia="zh-CN"/>
              </w:rPr>
              <w:t>6</w:t>
            </w:r>
            <w:r>
              <w:rPr>
                <w:rFonts w:ascii="宋体" w:hAnsi="宋体" w:eastAsia="宋体" w:cs="宋体"/>
                <w:color w:val="000000"/>
                <w:sz w:val="21"/>
                <w:szCs w:val="21"/>
              </w:rPr>
              <w:t>分。</w:t>
            </w:r>
          </w:p>
          <w:p>
            <w:pPr>
              <w:pStyle w:val="348"/>
              <w:spacing w:before="31"/>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（投标人须提供合同复印件，否则不计分。）</w:t>
            </w:r>
          </w:p>
          <w:p>
            <w:pPr>
              <w:pStyle w:val="348"/>
              <w:spacing w:before="31"/>
              <w:ind w:firstLine="0" w:firstLineChars="0"/>
              <w:rPr>
                <w:rFonts w:hint="eastAsia" w:eastAsia="宋体"/>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投标人在近三年（指投标截止时间前</w:t>
            </w:r>
            <w:r>
              <w:rPr>
                <w:rFonts w:hint="eastAsia" w:ascii="宋体" w:hAnsi="宋体" w:eastAsia="宋体" w:cs="宋体"/>
                <w:color w:val="000000"/>
                <w:sz w:val="21"/>
                <w:szCs w:val="21"/>
                <w:lang w:val="en-US" w:eastAsia="zh-CN"/>
              </w:rPr>
              <w:t>36个月内</w:t>
            </w:r>
            <w:r>
              <w:rPr>
                <w:rFonts w:hint="eastAsia" w:ascii="宋体" w:hAnsi="宋体" w:eastAsia="宋体" w:cs="宋体"/>
                <w:color w:val="000000"/>
                <w:sz w:val="21"/>
                <w:szCs w:val="21"/>
                <w:lang w:eastAsia="zh-CN"/>
              </w:rPr>
              <w:t>）食堂餐饮经营服务期间，在客户满意度调查中获得过客户单位满意及以上评价的，每次计</w:t>
            </w:r>
            <w:r>
              <w:rPr>
                <w:rFonts w:hint="eastAsia" w:ascii="宋体" w:hAnsi="宋体" w:eastAsia="宋体" w:cs="宋体"/>
                <w:color w:val="000000"/>
                <w:sz w:val="21"/>
                <w:szCs w:val="21"/>
                <w:lang w:val="en-US" w:eastAsia="zh-CN"/>
              </w:rPr>
              <w:t>3分，最多计6分。（注：须提供加盖客户单位公章的满意度评价表复印件，并提供客户单位的联系电话，以上资料均须加盖投标人公章，否则不予相应计分。）</w:t>
            </w:r>
          </w:p>
        </w:tc>
        <w:tc>
          <w:tcPr>
            <w:tcW w:w="1053" w:type="dxa"/>
          </w:tcPr>
          <w:p>
            <w:pPr>
              <w:pStyle w:val="20"/>
              <w:rPr>
                <w:rFonts w:ascii="宋体" w:hAnsi="宋体"/>
                <w:color w:val="000000" w:themeColor="text1"/>
                <w:szCs w:val="21"/>
              </w:rPr>
            </w:pPr>
          </w:p>
          <w:p>
            <w:pPr>
              <w:pStyle w:val="20"/>
              <w:ind w:firstLine="210" w:firstLineChars="100"/>
              <w:rPr>
                <w:rFonts w:ascii="宋体" w:hAnsi="宋体"/>
                <w:color w:val="000000" w:themeColor="text1"/>
                <w:szCs w:val="21"/>
              </w:rPr>
            </w:pPr>
          </w:p>
          <w:p>
            <w:pPr>
              <w:pStyle w:val="20"/>
              <w:keepNext w:val="0"/>
              <w:keepLines w:val="0"/>
              <w:pageBreakBefore w:val="0"/>
              <w:widowControl w:val="0"/>
              <w:kinsoku/>
              <w:wordWrap/>
              <w:overflowPunct/>
              <w:topLinePunct w:val="0"/>
              <w:autoSpaceDE/>
              <w:autoSpaceDN/>
              <w:bidi w:val="0"/>
              <w:adjustRightInd/>
              <w:snapToGrid/>
              <w:spacing w:after="0"/>
              <w:ind w:firstLine="210" w:firstLineChars="100"/>
              <w:textAlignment w:val="auto"/>
              <w:rPr>
                <w:rFonts w:ascii="宋体" w:hAnsi="宋体"/>
                <w:color w:val="000000" w:themeColor="text1"/>
                <w:szCs w:val="21"/>
              </w:rPr>
            </w:pPr>
            <w:r>
              <w:rPr>
                <w:rFonts w:hint="eastAsia" w:ascii="宋体" w:hAnsi="宋体"/>
                <w:color w:val="000000" w:themeColor="text1"/>
                <w:szCs w:val="21"/>
                <w:lang w:val="en-US" w:eastAsia="zh-CN"/>
              </w:rPr>
              <w:t>12</w:t>
            </w:r>
            <w:r>
              <w:rPr>
                <w:rFonts w:hint="eastAsia" w:ascii="宋体" w:hAnsi="宋体"/>
                <w:color w:val="000000" w:themeColor="text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7" w:type="dxa"/>
            <w:vAlign w:val="center"/>
          </w:tcPr>
          <w:p>
            <w:pPr>
              <w:pStyle w:val="20"/>
              <w:jc w:val="center"/>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3</w:t>
            </w:r>
          </w:p>
        </w:tc>
        <w:tc>
          <w:tcPr>
            <w:tcW w:w="1294" w:type="dxa"/>
            <w:vMerge w:val="continue"/>
          </w:tcPr>
          <w:p>
            <w:pPr>
              <w:pStyle w:val="20"/>
              <w:rPr>
                <w:rFonts w:ascii="宋体" w:hAnsi="宋体" w:cs="宋体"/>
                <w:b/>
                <w:bCs/>
                <w:color w:val="000000" w:themeColor="text1"/>
                <w:sz w:val="32"/>
                <w:szCs w:val="32"/>
              </w:rPr>
            </w:pPr>
          </w:p>
        </w:tc>
        <w:tc>
          <w:tcPr>
            <w:tcW w:w="1135" w:type="dxa"/>
          </w:tcPr>
          <w:p>
            <w:pPr>
              <w:pStyle w:val="20"/>
              <w:rPr>
                <w:rFonts w:hint="eastAsia" w:ascii="宋体" w:hAnsi="宋体" w:eastAsia="宋体"/>
                <w:color w:val="000000" w:themeColor="text1"/>
                <w:szCs w:val="21"/>
                <w:lang w:eastAsia="zh-CN"/>
              </w:rPr>
            </w:pPr>
            <w:r>
              <w:rPr>
                <w:rFonts w:hint="eastAsia" w:ascii="宋体" w:hAnsi="宋体"/>
                <w:color w:val="000000" w:themeColor="text1"/>
                <w:szCs w:val="21"/>
              </w:rPr>
              <w:t>人员配备</w:t>
            </w:r>
          </w:p>
        </w:tc>
        <w:tc>
          <w:tcPr>
            <w:tcW w:w="5325" w:type="dxa"/>
          </w:tcPr>
          <w:p>
            <w:pPr>
              <w:pStyle w:val="348"/>
              <w:spacing w:before="31"/>
              <w:ind w:firstLine="0" w:firstLineChars="0"/>
              <w:rPr>
                <w:rFonts w:hint="default" w:ascii="宋体" w:hAnsi="宋体" w:eastAsia="宋体" w:cs="宋体"/>
                <w:color w:val="000000"/>
                <w:sz w:val="21"/>
                <w:szCs w:val="21"/>
                <w:lang w:val="en-US" w:eastAsia="zh-CN"/>
              </w:rPr>
            </w:pPr>
            <w:r>
              <w:rPr>
                <w:rFonts w:ascii="宋体" w:hAnsi="宋体" w:eastAsia="宋体" w:cs="宋体"/>
                <w:color w:val="000000"/>
                <w:sz w:val="21"/>
                <w:szCs w:val="21"/>
              </w:rPr>
              <w:t>根据投标人针对本项目服务内容的需要拟配备</w:t>
            </w:r>
            <w:r>
              <w:rPr>
                <w:rFonts w:hint="eastAsia" w:ascii="宋体" w:hAnsi="宋体" w:eastAsia="宋体" w:cs="宋体"/>
                <w:color w:val="000000"/>
                <w:sz w:val="21"/>
                <w:szCs w:val="21"/>
                <w:lang w:eastAsia="zh-CN"/>
              </w:rPr>
              <w:t>的厨师，获得国家级餐饮大赛奖项，每次加</w:t>
            </w:r>
            <w:r>
              <w:rPr>
                <w:rFonts w:hint="eastAsia" w:ascii="宋体" w:hAnsi="宋体" w:eastAsia="宋体" w:cs="宋体"/>
                <w:color w:val="000000"/>
                <w:sz w:val="21"/>
                <w:szCs w:val="21"/>
                <w:lang w:val="en-US" w:eastAsia="zh-CN"/>
              </w:rPr>
              <w:t>3分，获得省级餐饮比赛奖项，每次加2分，获得市级餐饮比赛奖项，每次加1分，最多加10分。</w:t>
            </w:r>
          </w:p>
        </w:tc>
        <w:tc>
          <w:tcPr>
            <w:tcW w:w="1053" w:type="dxa"/>
          </w:tcPr>
          <w:p>
            <w:pPr>
              <w:pStyle w:val="20"/>
              <w:ind w:firstLine="210" w:firstLineChars="100"/>
              <w:rPr>
                <w:rFonts w:hint="eastAsia" w:ascii="宋体" w:hAnsi="宋体"/>
                <w:color w:val="000000" w:themeColor="text1"/>
                <w:szCs w:val="21"/>
                <w:lang w:val="en-US" w:eastAsia="zh-CN"/>
              </w:rPr>
            </w:pPr>
          </w:p>
          <w:p>
            <w:pPr>
              <w:pStyle w:val="20"/>
              <w:ind w:firstLine="210" w:firstLineChars="100"/>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7" w:type="dxa"/>
            <w:vAlign w:val="center"/>
          </w:tcPr>
          <w:p>
            <w:pPr>
              <w:pStyle w:val="20"/>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4</w:t>
            </w:r>
          </w:p>
        </w:tc>
        <w:tc>
          <w:tcPr>
            <w:tcW w:w="1294" w:type="dxa"/>
            <w:vMerge w:val="restart"/>
          </w:tcPr>
          <w:p>
            <w:pPr>
              <w:pStyle w:val="20"/>
              <w:rPr>
                <w:rFonts w:ascii="宋体" w:hAnsi="宋体"/>
                <w:color w:val="000000" w:themeColor="text1"/>
                <w:szCs w:val="21"/>
              </w:rPr>
            </w:pPr>
          </w:p>
          <w:p>
            <w:pPr>
              <w:pStyle w:val="20"/>
              <w:rPr>
                <w:rFonts w:ascii="宋体" w:hAnsi="宋体"/>
                <w:color w:val="000000" w:themeColor="text1"/>
                <w:szCs w:val="21"/>
              </w:rPr>
            </w:pPr>
          </w:p>
          <w:p>
            <w:pPr>
              <w:pStyle w:val="20"/>
              <w:rPr>
                <w:rFonts w:ascii="宋体" w:hAnsi="宋体"/>
                <w:color w:val="000000" w:themeColor="text1"/>
                <w:szCs w:val="21"/>
              </w:rPr>
            </w:pPr>
          </w:p>
          <w:p>
            <w:pPr>
              <w:pStyle w:val="20"/>
              <w:rPr>
                <w:rFonts w:ascii="宋体" w:hAnsi="宋体"/>
                <w:color w:val="000000" w:themeColor="text1"/>
                <w:szCs w:val="21"/>
              </w:rPr>
            </w:pPr>
          </w:p>
          <w:p>
            <w:pPr>
              <w:pStyle w:val="20"/>
              <w:rPr>
                <w:rFonts w:ascii="宋体" w:hAnsi="宋体"/>
                <w:color w:val="000000" w:themeColor="text1"/>
                <w:szCs w:val="21"/>
              </w:rPr>
            </w:pPr>
          </w:p>
          <w:p>
            <w:pPr>
              <w:pStyle w:val="2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技术部分</w:t>
            </w:r>
          </w:p>
          <w:p>
            <w:pPr>
              <w:pStyle w:val="20"/>
              <w:rPr>
                <w:rFonts w:ascii="宋体" w:hAnsi="宋体"/>
                <w:color w:val="000000" w:themeColor="text1"/>
                <w:szCs w:val="21"/>
              </w:rPr>
            </w:pPr>
          </w:p>
          <w:p>
            <w:pPr>
              <w:pStyle w:val="20"/>
              <w:rPr>
                <w:rFonts w:ascii="宋体" w:hAnsi="宋体"/>
                <w:color w:val="000000" w:themeColor="text1"/>
                <w:szCs w:val="21"/>
              </w:rPr>
            </w:pPr>
          </w:p>
          <w:p>
            <w:pPr>
              <w:pStyle w:val="20"/>
              <w:ind w:firstLine="210" w:firstLineChars="100"/>
              <w:rPr>
                <w:rFonts w:ascii="宋体" w:hAnsi="宋体"/>
                <w:color w:val="000000" w:themeColor="text1"/>
                <w:szCs w:val="21"/>
              </w:rPr>
            </w:pPr>
          </w:p>
          <w:p>
            <w:pPr>
              <w:pStyle w:val="20"/>
              <w:ind w:firstLine="210" w:firstLineChars="100"/>
              <w:rPr>
                <w:rFonts w:ascii="宋体" w:hAnsi="宋体"/>
                <w:color w:val="000000" w:themeColor="text1"/>
                <w:szCs w:val="21"/>
              </w:rPr>
            </w:pPr>
          </w:p>
          <w:p>
            <w:pPr>
              <w:pStyle w:val="20"/>
              <w:ind w:firstLine="210" w:firstLineChars="100"/>
              <w:rPr>
                <w:rFonts w:ascii="宋体" w:hAnsi="宋体"/>
                <w:color w:val="000000" w:themeColor="text1"/>
                <w:szCs w:val="21"/>
              </w:rPr>
            </w:pPr>
          </w:p>
          <w:p>
            <w:pPr>
              <w:pStyle w:val="20"/>
              <w:rPr>
                <w:rFonts w:hint="eastAsia" w:ascii="宋体" w:hAnsi="宋体" w:eastAsia="宋体" w:cs="宋体"/>
                <w:b/>
                <w:bCs/>
                <w:color w:val="000000" w:themeColor="text1"/>
                <w:sz w:val="32"/>
                <w:szCs w:val="32"/>
                <w:lang w:eastAsia="zh-CN"/>
              </w:rPr>
            </w:pPr>
          </w:p>
        </w:tc>
        <w:tc>
          <w:tcPr>
            <w:tcW w:w="1135" w:type="dxa"/>
            <w:vAlign w:val="center"/>
          </w:tcPr>
          <w:p>
            <w:pPr>
              <w:pStyle w:val="349"/>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经营方案</w:t>
            </w:r>
          </w:p>
        </w:tc>
        <w:tc>
          <w:tcPr>
            <w:tcW w:w="5325"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zh-CN"/>
              </w:rPr>
            </w:pPr>
            <w:r>
              <w:rPr>
                <w:lang w:val="zh-CN"/>
              </w:rPr>
              <w:t xml:space="preserve"> </w:t>
            </w:r>
            <w:r>
              <w:rPr>
                <w:rFonts w:hint="eastAsia" w:ascii="宋体" w:hAnsi="宋体" w:eastAsia="宋体" w:cs="宋体"/>
                <w:color w:val="000000"/>
                <w:kern w:val="2"/>
                <w:sz w:val="21"/>
                <w:szCs w:val="21"/>
                <w:lang w:val="en-US" w:eastAsia="zh-CN" w:bidi="ar-SA"/>
              </w:rPr>
              <w:t>投标人提供经营方案，内容包括但不限于：菜肴品种及样式、原料的采购及存储管理、自有食材供应基地情况、自助餐或自选餐方案、饭菜价位制订、经营利润率分析。评委根据内容的完善性、安全措施的科学合理性、可行性等方面进行综合评价：内容完善、各项运营措施科学合理、可行性高的，计</w:t>
            </w:r>
            <w:r>
              <w:rPr>
                <w:rFonts w:hint="eastAsia" w:ascii="宋体" w:hAnsi="宋体" w:cs="宋体"/>
                <w:color w:val="000000"/>
                <w:kern w:val="2"/>
                <w:sz w:val="21"/>
                <w:szCs w:val="21"/>
                <w:lang w:val="en-US" w:eastAsia="zh-CN" w:bidi="ar-SA"/>
              </w:rPr>
              <w:t>15</w:t>
            </w:r>
            <w:r>
              <w:rPr>
                <w:rFonts w:hint="eastAsia" w:ascii="宋体" w:hAnsi="宋体" w:eastAsia="宋体" w:cs="宋体"/>
                <w:color w:val="000000"/>
                <w:kern w:val="2"/>
                <w:sz w:val="21"/>
                <w:szCs w:val="21"/>
                <w:lang w:val="en-US" w:eastAsia="zh-CN" w:bidi="ar-SA"/>
              </w:rPr>
              <w:t>分；每有一处不完善或欠合理或可行性差或缺漏项的，扣1分，扣完为止。</w:t>
            </w:r>
          </w:p>
        </w:tc>
        <w:tc>
          <w:tcPr>
            <w:tcW w:w="1053" w:type="dxa"/>
            <w:vAlign w:val="center"/>
          </w:tcPr>
          <w:p>
            <w:pPr>
              <w:pStyle w:val="20"/>
              <w:ind w:firstLine="210" w:firstLineChars="100"/>
              <w:rPr>
                <w:rFonts w:ascii="宋体" w:hAnsi="宋体"/>
                <w:color w:val="000000" w:themeColor="text1"/>
                <w:szCs w:val="21"/>
              </w:rPr>
            </w:pPr>
            <w:r>
              <w:rPr>
                <w:rFonts w:hint="eastAsia" w:ascii="宋体" w:hAnsi="宋体"/>
                <w:color w:val="000000" w:themeColor="text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7" w:type="dxa"/>
            <w:vAlign w:val="center"/>
          </w:tcPr>
          <w:p>
            <w:pPr>
              <w:pStyle w:val="20"/>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5</w:t>
            </w:r>
          </w:p>
        </w:tc>
        <w:tc>
          <w:tcPr>
            <w:tcW w:w="1294" w:type="dxa"/>
            <w:vMerge w:val="continue"/>
          </w:tcPr>
          <w:p>
            <w:pPr>
              <w:pStyle w:val="20"/>
              <w:rPr>
                <w:rFonts w:ascii="宋体" w:hAnsi="宋体" w:cs="宋体"/>
                <w:b/>
                <w:bCs/>
                <w:color w:val="000000" w:themeColor="text1"/>
                <w:sz w:val="32"/>
                <w:szCs w:val="32"/>
              </w:rPr>
            </w:pPr>
          </w:p>
        </w:tc>
        <w:tc>
          <w:tcPr>
            <w:tcW w:w="1135" w:type="dxa"/>
            <w:vAlign w:val="center"/>
          </w:tcPr>
          <w:p>
            <w:pPr>
              <w:pStyle w:val="349"/>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安全管理控制方案</w:t>
            </w:r>
          </w:p>
        </w:tc>
        <w:tc>
          <w:tcPr>
            <w:tcW w:w="5325" w:type="dxa"/>
            <w:vAlign w:val="center"/>
          </w:tcPr>
          <w:p>
            <w:pPr>
              <w:pStyle w:val="348"/>
              <w:spacing w:before="31"/>
              <w:ind w:firstLine="0" w:firstLineChars="0"/>
              <w:rPr>
                <w:rFonts w:hint="default" w:ascii="宋体" w:hAnsi="宋体" w:eastAsia="宋体" w:cs="宋体"/>
                <w:color w:val="000000"/>
                <w:sz w:val="21"/>
                <w:szCs w:val="21"/>
              </w:rPr>
            </w:pPr>
            <w:r>
              <w:rPr>
                <w:rFonts w:hint="eastAsia" w:ascii="宋体" w:hAnsi="宋体" w:eastAsia="宋体" w:cs="宋体"/>
                <w:color w:val="000000"/>
                <w:sz w:val="21"/>
                <w:szCs w:val="21"/>
                <w:lang w:val="zh-CN" w:eastAsia="zh-CN"/>
              </w:rPr>
              <w:t>投标人提供安全管理控制方案，</w:t>
            </w:r>
            <w:r>
              <w:rPr>
                <w:rFonts w:hint="eastAsia" w:ascii="宋体" w:hAnsi="宋体" w:eastAsia="宋体" w:cs="宋体"/>
                <w:color w:val="000000"/>
                <w:sz w:val="21"/>
                <w:szCs w:val="21"/>
                <w:lang w:val="zh-CN"/>
              </w:rPr>
              <w:t>内容包括但不限于：食品加工管理方案</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食品安全卫生管理方案</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食品检验及质量保障</w:t>
            </w:r>
            <w:r>
              <w:rPr>
                <w:rFonts w:hint="eastAsia" w:ascii="宋体" w:hAnsi="宋体" w:eastAsia="宋体" w:cs="宋体"/>
                <w:color w:val="000000"/>
                <w:sz w:val="21"/>
                <w:szCs w:val="21"/>
                <w:lang w:val="zh-CN" w:eastAsia="zh-CN"/>
              </w:rPr>
              <w:t>措施；</w:t>
            </w:r>
            <w:r>
              <w:rPr>
                <w:rFonts w:hint="eastAsia" w:ascii="宋体" w:hAnsi="宋体" w:eastAsia="宋体" w:cs="宋体"/>
                <w:color w:val="000000"/>
                <w:sz w:val="21"/>
                <w:szCs w:val="21"/>
                <w:lang w:val="zh-CN"/>
              </w:rPr>
              <w:t>人员和设备安全</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消防</w:t>
            </w:r>
            <w:r>
              <w:rPr>
                <w:rFonts w:hint="eastAsia" w:ascii="宋体" w:hAnsi="宋体" w:eastAsia="宋体" w:cs="宋体"/>
                <w:color w:val="000000"/>
                <w:sz w:val="21"/>
                <w:szCs w:val="21"/>
                <w:lang w:val="zh-CN" w:eastAsia="zh-CN"/>
              </w:rPr>
              <w:t>安全；</w:t>
            </w:r>
            <w:r>
              <w:rPr>
                <w:rFonts w:hint="eastAsia" w:ascii="宋体" w:hAnsi="宋体" w:eastAsia="宋体" w:cs="宋体"/>
                <w:color w:val="000000"/>
                <w:sz w:val="21"/>
                <w:szCs w:val="21"/>
                <w:lang w:val="zh-CN"/>
              </w:rPr>
              <w:t>防盗</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防投毒</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评委根据内容的完善性、安全措施的科学合理性、可行性</w:t>
            </w:r>
            <w:r>
              <w:rPr>
                <w:rFonts w:hint="eastAsia" w:ascii="宋体" w:hAnsi="宋体" w:eastAsia="宋体" w:cs="宋体"/>
                <w:color w:val="000000"/>
                <w:sz w:val="21"/>
                <w:szCs w:val="21"/>
                <w:lang w:val="zh-CN" w:eastAsia="zh-CN"/>
              </w:rPr>
              <w:t>等方面</w:t>
            </w:r>
            <w:r>
              <w:rPr>
                <w:rFonts w:hint="eastAsia" w:ascii="宋体" w:hAnsi="宋体" w:eastAsia="宋体" w:cs="宋体"/>
                <w:color w:val="000000"/>
                <w:sz w:val="21"/>
                <w:szCs w:val="21"/>
                <w:lang w:val="zh-CN"/>
              </w:rPr>
              <w:t>进行综合</w:t>
            </w:r>
            <w:r>
              <w:rPr>
                <w:rFonts w:hint="eastAsia" w:ascii="宋体" w:hAnsi="宋体" w:eastAsia="宋体" w:cs="宋体"/>
                <w:color w:val="000000"/>
                <w:sz w:val="21"/>
                <w:szCs w:val="21"/>
                <w:lang w:val="zh-CN" w:eastAsia="zh-CN"/>
              </w:rPr>
              <w:t>评价：</w:t>
            </w:r>
            <w:r>
              <w:rPr>
                <w:rFonts w:hint="eastAsia" w:ascii="宋体" w:hAnsi="宋体" w:eastAsia="宋体" w:cs="宋体"/>
                <w:color w:val="000000"/>
                <w:sz w:val="21"/>
                <w:szCs w:val="21"/>
                <w:lang w:val="zh-CN"/>
              </w:rPr>
              <w:t>内容完善、安全管理措施科学合理、安全问题考虑全面，可行性高的</w:t>
            </w:r>
            <w:r>
              <w:rPr>
                <w:rFonts w:hint="eastAsia" w:ascii="宋体" w:hAnsi="宋体" w:eastAsia="宋体" w:cs="宋体"/>
                <w:color w:val="000000"/>
                <w:sz w:val="21"/>
                <w:szCs w:val="21"/>
                <w:lang w:val="zh-CN" w:eastAsia="zh-CN"/>
              </w:rPr>
              <w:t>，计</w:t>
            </w:r>
            <w:r>
              <w:rPr>
                <w:rFonts w:hint="eastAsia" w:ascii="宋体" w:hAnsi="宋体" w:eastAsia="宋体" w:cs="宋体"/>
                <w:color w:val="000000"/>
                <w:sz w:val="21"/>
                <w:szCs w:val="21"/>
                <w:lang w:val="en-US" w:eastAsia="zh-CN"/>
              </w:rPr>
              <w:t>15分；每有一处不完善或欠合理或可行性差或缺漏项的，扣1分，扣完为止。</w:t>
            </w:r>
          </w:p>
        </w:tc>
        <w:tc>
          <w:tcPr>
            <w:tcW w:w="1053" w:type="dxa"/>
            <w:vAlign w:val="center"/>
          </w:tcPr>
          <w:p>
            <w:pPr>
              <w:pStyle w:val="349"/>
              <w:rPr>
                <w:rFonts w:asciiTheme="majorEastAsia" w:hAnsiTheme="majorEastAsia" w:eastAsiaTheme="majorEastAsia"/>
              </w:rPr>
            </w:pPr>
            <w:r>
              <w:rPr>
                <w:rFonts w:hint="eastAsia" w:asciiTheme="majorEastAsia" w:hAnsiTheme="majorEastAsia" w:eastAsiaTheme="majorEastAsia"/>
                <w:lang w:val="en-US" w:eastAsia="zh-CN"/>
              </w:rPr>
              <w:t>15</w:t>
            </w:r>
            <w:r>
              <w:rPr>
                <w:rFonts w:hint="eastAsia" w:asciiTheme="majorEastAsia" w:hAnsiTheme="majorEastAsia" w:eastAsiaTheme="maj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57" w:type="dxa"/>
            <w:vAlign w:val="center"/>
          </w:tcPr>
          <w:p>
            <w:pPr>
              <w:pStyle w:val="20"/>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6</w:t>
            </w:r>
          </w:p>
        </w:tc>
        <w:tc>
          <w:tcPr>
            <w:tcW w:w="1294" w:type="dxa"/>
            <w:vMerge w:val="continue"/>
          </w:tcPr>
          <w:p>
            <w:pPr>
              <w:pStyle w:val="20"/>
              <w:rPr>
                <w:rFonts w:ascii="宋体" w:hAnsi="宋体" w:cs="宋体"/>
                <w:b/>
                <w:bCs/>
                <w:color w:val="000000" w:themeColor="text1"/>
                <w:sz w:val="32"/>
                <w:szCs w:val="32"/>
              </w:rPr>
            </w:pPr>
          </w:p>
        </w:tc>
        <w:tc>
          <w:tcPr>
            <w:tcW w:w="1135" w:type="dxa"/>
            <w:vAlign w:val="center"/>
          </w:tcPr>
          <w:p>
            <w:pPr>
              <w:pStyle w:val="349"/>
              <w:rPr>
                <w:rFonts w:hint="eastAsia" w:ascii="宋体" w:hAnsi="宋体" w:eastAsia="宋体" w:cs="宋体"/>
                <w:color w:val="000000"/>
                <w:szCs w:val="21"/>
                <w:lang w:eastAsia="zh-CN"/>
              </w:rPr>
            </w:pPr>
            <w:r>
              <w:rPr>
                <w:rFonts w:hint="default" w:ascii="宋体" w:hAnsi="宋体" w:eastAsia="宋体" w:cs="宋体"/>
                <w:color w:val="000000"/>
                <w:szCs w:val="21"/>
                <w:lang w:val="en-US" w:eastAsia="zh-CN"/>
              </w:rPr>
              <w:t>卫生管理控制方案</w:t>
            </w:r>
          </w:p>
        </w:tc>
        <w:tc>
          <w:tcPr>
            <w:tcW w:w="5325" w:type="dxa"/>
          </w:tcPr>
          <w:p>
            <w:pPr>
              <w:pStyle w:val="348"/>
              <w:keepNext w:val="0"/>
              <w:keepLines w:val="0"/>
              <w:pageBreakBefore w:val="0"/>
              <w:widowControl w:val="0"/>
              <w:kinsoku/>
              <w:wordWrap/>
              <w:overflowPunct/>
              <w:topLinePunct w:val="0"/>
              <w:autoSpaceDE/>
              <w:autoSpaceDN/>
              <w:bidi w:val="0"/>
              <w:adjustRightInd/>
              <w:snapToGrid/>
              <w:spacing w:beforeLines="0"/>
              <w:ind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lang w:val="zh-CN"/>
              </w:rPr>
              <w:t>投标人提供卫生管理控制方案</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内容包括但不限于：食品卫生、人员卫生、环境卫生、垃圾处理方案等</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评委根据内容的完善性、管理措施的科学合理性、可行性</w:t>
            </w:r>
            <w:r>
              <w:rPr>
                <w:rFonts w:hint="eastAsia" w:ascii="宋体" w:hAnsi="宋体" w:eastAsia="宋体" w:cs="宋体"/>
                <w:color w:val="000000"/>
                <w:sz w:val="21"/>
                <w:szCs w:val="21"/>
                <w:lang w:val="zh-CN" w:eastAsia="zh-CN"/>
              </w:rPr>
              <w:t>等方面</w:t>
            </w:r>
            <w:r>
              <w:rPr>
                <w:rFonts w:hint="eastAsia" w:ascii="宋体" w:hAnsi="宋体" w:eastAsia="宋体" w:cs="宋体"/>
                <w:color w:val="000000"/>
                <w:sz w:val="21"/>
                <w:szCs w:val="21"/>
                <w:lang w:val="zh-CN"/>
              </w:rPr>
              <w:t>进行综合</w:t>
            </w:r>
            <w:r>
              <w:rPr>
                <w:rFonts w:hint="eastAsia" w:ascii="宋体" w:hAnsi="宋体" w:eastAsia="宋体" w:cs="宋体"/>
                <w:color w:val="000000"/>
                <w:sz w:val="21"/>
                <w:szCs w:val="21"/>
                <w:lang w:val="zh-CN" w:eastAsia="zh-CN"/>
              </w:rPr>
              <w:t>评价：</w:t>
            </w:r>
            <w:r>
              <w:rPr>
                <w:rFonts w:hint="eastAsia" w:ascii="宋体" w:hAnsi="宋体" w:eastAsia="宋体" w:cs="宋体"/>
                <w:color w:val="000000"/>
                <w:sz w:val="21"/>
                <w:szCs w:val="21"/>
                <w:lang w:val="zh-CN"/>
              </w:rPr>
              <w:t>方案内容完善、各项卫生管理措施科学合理、可行性高的</w:t>
            </w:r>
            <w:r>
              <w:rPr>
                <w:rFonts w:hint="eastAsia" w:ascii="宋体" w:hAnsi="宋体" w:eastAsia="宋体" w:cs="宋体"/>
                <w:color w:val="000000"/>
                <w:sz w:val="21"/>
                <w:szCs w:val="21"/>
                <w:lang w:val="zh-CN" w:eastAsia="zh-CN"/>
              </w:rPr>
              <w:t>，计</w:t>
            </w:r>
            <w:r>
              <w:rPr>
                <w:rFonts w:hint="eastAsia" w:ascii="宋体" w:hAnsi="宋体" w:eastAsia="宋体" w:cs="宋体"/>
                <w:color w:val="000000"/>
                <w:sz w:val="21"/>
                <w:szCs w:val="21"/>
                <w:lang w:val="en-US" w:eastAsia="zh-CN"/>
              </w:rPr>
              <w:t>15分；每有一处不完善或欠合理或可行性差或缺漏项的，扣1分，扣完为止。</w:t>
            </w:r>
          </w:p>
        </w:tc>
        <w:tc>
          <w:tcPr>
            <w:tcW w:w="1053" w:type="dxa"/>
            <w:vAlign w:val="center"/>
          </w:tcPr>
          <w:p>
            <w:pPr>
              <w:pStyle w:val="349"/>
              <w:rPr>
                <w:rFonts w:asciiTheme="majorEastAsia" w:hAnsiTheme="majorEastAsia" w:eastAsiaTheme="majorEastAsia"/>
              </w:rPr>
            </w:pPr>
            <w:r>
              <w:rPr>
                <w:rFonts w:hint="eastAsia" w:asciiTheme="majorEastAsia" w:hAnsiTheme="majorEastAsia" w:eastAsiaTheme="majorEastAsia"/>
              </w:rPr>
              <w:t>1</w:t>
            </w:r>
            <w:r>
              <w:rPr>
                <w:rFonts w:hint="eastAsia" w:asciiTheme="majorEastAsia" w:hAnsiTheme="majorEastAsia" w:eastAsiaTheme="majorEastAsia"/>
                <w:lang w:val="en-US" w:eastAsia="zh-CN"/>
              </w:rPr>
              <w:t>5</w:t>
            </w:r>
            <w:r>
              <w:rPr>
                <w:rFonts w:hint="eastAsia" w:asciiTheme="majorEastAsia" w:hAnsiTheme="majorEastAsia" w:eastAsiaTheme="maj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657" w:type="dxa"/>
            <w:vAlign w:val="center"/>
          </w:tcPr>
          <w:p>
            <w:pPr>
              <w:pStyle w:val="20"/>
              <w:jc w:val="center"/>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7</w:t>
            </w:r>
          </w:p>
        </w:tc>
        <w:tc>
          <w:tcPr>
            <w:tcW w:w="1294" w:type="dxa"/>
            <w:vMerge w:val="continue"/>
          </w:tcPr>
          <w:p>
            <w:pPr>
              <w:pStyle w:val="20"/>
              <w:rPr>
                <w:rFonts w:ascii="宋体" w:hAnsi="宋体" w:cs="宋体"/>
                <w:b/>
                <w:bCs/>
                <w:color w:val="000000" w:themeColor="text1"/>
                <w:sz w:val="32"/>
                <w:szCs w:val="32"/>
              </w:rPr>
            </w:pPr>
          </w:p>
        </w:tc>
        <w:tc>
          <w:tcPr>
            <w:tcW w:w="1135" w:type="dxa"/>
            <w:vAlign w:val="center"/>
          </w:tcPr>
          <w:p>
            <w:pPr>
              <w:pStyle w:val="349"/>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应急管理预案</w:t>
            </w:r>
          </w:p>
        </w:tc>
        <w:tc>
          <w:tcPr>
            <w:tcW w:w="5325" w:type="dxa"/>
          </w:tcPr>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color w:val="000000"/>
                <w:sz w:val="21"/>
                <w:szCs w:val="21"/>
                <w:lang w:val="zh-CN"/>
              </w:rPr>
            </w:pPr>
            <w:r>
              <w:rPr>
                <w:rFonts w:hint="eastAsia" w:ascii="宋体" w:hAnsi="宋体" w:eastAsia="宋体" w:cs="宋体"/>
                <w:color w:val="000000"/>
                <w:kern w:val="2"/>
                <w:sz w:val="21"/>
                <w:szCs w:val="21"/>
                <w:lang w:val="zh-CN" w:eastAsia="zh-CN" w:bidi="ar-SA"/>
              </w:rPr>
              <w:t>投标人提供食堂应急管理预案，内容包括但不限于：应急小组配备及人员职责、权限划分；火灾事故、疫情防控、食物中毒事故、意外伤害事故、停水停电、哄抢及扰乱供餐秩序处置程序。评委根据内容的完善性、应急处置措施的科学合理性、可行性等方面进行综合评价：方案内容完善，人员岗位职责明确、权限划分清晰，各种应急事件处置程序得当，计</w:t>
            </w:r>
            <w:r>
              <w:rPr>
                <w:rFonts w:hint="eastAsia" w:ascii="宋体" w:hAnsi="宋体" w:cs="宋体"/>
                <w:color w:val="000000"/>
                <w:kern w:val="2"/>
                <w:sz w:val="21"/>
                <w:szCs w:val="21"/>
                <w:lang w:val="en-US" w:eastAsia="zh-CN" w:bidi="ar-SA"/>
              </w:rPr>
              <w:t>13</w:t>
            </w:r>
            <w:r>
              <w:rPr>
                <w:rFonts w:hint="eastAsia" w:ascii="宋体" w:hAnsi="宋体" w:eastAsia="宋体" w:cs="宋体"/>
                <w:color w:val="000000"/>
                <w:kern w:val="2"/>
                <w:sz w:val="21"/>
                <w:szCs w:val="21"/>
                <w:lang w:val="en-US" w:eastAsia="zh-CN" w:bidi="ar-SA"/>
              </w:rPr>
              <w:t>分；每有一处不完善或欠合理或可行性差或缺漏项的，扣1分，扣完为止。</w:t>
            </w:r>
          </w:p>
        </w:tc>
        <w:tc>
          <w:tcPr>
            <w:tcW w:w="1053" w:type="dxa"/>
            <w:vAlign w:val="center"/>
          </w:tcPr>
          <w:p>
            <w:pPr>
              <w:pStyle w:val="349"/>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13分</w:t>
            </w:r>
          </w:p>
        </w:tc>
      </w:tr>
    </w:tbl>
    <w:p>
      <w:pPr>
        <w:pStyle w:val="4"/>
        <w:rPr>
          <w:rFonts w:hint="eastAsia"/>
        </w:rPr>
      </w:pPr>
    </w:p>
    <w:p>
      <w:pPr>
        <w:adjustRightInd w:val="0"/>
        <w:snapToGrid w:val="0"/>
        <w:jc w:val="center"/>
        <w:rPr>
          <w:rFonts w:ascii="黑体" w:hAnsi="宋体" w:eastAsia="黑体"/>
          <w:color w:val="000000"/>
          <w:sz w:val="32"/>
          <w:szCs w:val="32"/>
        </w:rPr>
      </w:pPr>
      <w:r>
        <w:rPr>
          <w:rFonts w:hint="eastAsia" w:ascii="黑体" w:eastAsia="黑体"/>
          <w:color w:val="000000"/>
          <w:sz w:val="32"/>
          <w:szCs w:val="32"/>
        </w:rPr>
        <w:t>磋商须知</w:t>
      </w:r>
      <w:r>
        <w:rPr>
          <w:rFonts w:hint="eastAsia" w:ascii="黑体" w:hAnsi="宋体" w:eastAsia="黑体"/>
          <w:color w:val="000000"/>
          <w:sz w:val="32"/>
          <w:szCs w:val="32"/>
        </w:rPr>
        <w:t>正文</w:t>
      </w:r>
    </w:p>
    <w:p>
      <w:pPr>
        <w:adjustRightInd w:val="0"/>
        <w:snapToGrid w:val="0"/>
        <w:spacing w:line="400" w:lineRule="exact"/>
        <w:rPr>
          <w:rFonts w:ascii="黑体" w:hAnsi="宋体" w:eastAsia="黑体"/>
          <w:color w:val="000000"/>
          <w:sz w:val="24"/>
        </w:rPr>
      </w:pPr>
      <w:r>
        <w:rPr>
          <w:rFonts w:hint="eastAsia" w:ascii="黑体" w:hAnsi="宋体" w:eastAsia="黑体"/>
          <w:color w:val="000000"/>
          <w:sz w:val="24"/>
        </w:rPr>
        <w:t>一、说明</w:t>
      </w:r>
    </w:p>
    <w:p>
      <w:pPr>
        <w:adjustRightInd w:val="0"/>
        <w:snapToGrid w:val="0"/>
        <w:spacing w:line="400" w:lineRule="exact"/>
        <w:rPr>
          <w:rFonts w:ascii="宋体" w:hAnsi="宋体"/>
          <w:b/>
          <w:bCs/>
          <w:color w:val="000000"/>
          <w:szCs w:val="21"/>
        </w:rPr>
      </w:pPr>
      <w:r>
        <w:rPr>
          <w:rFonts w:hint="eastAsia" w:ascii="宋体" w:hAnsi="宋体"/>
          <w:b/>
          <w:bCs/>
          <w:color w:val="000000"/>
          <w:szCs w:val="21"/>
        </w:rPr>
        <w:t>1.适用范围</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1.1 本磋商文件仅适用于磋商须知前附表(以下简称</w:t>
      </w:r>
      <w:r>
        <w:rPr>
          <w:rFonts w:hint="eastAsia" w:ascii="宋体" w:hAnsi="宋体"/>
          <w:b/>
          <w:color w:val="000000"/>
          <w:szCs w:val="21"/>
        </w:rPr>
        <w:t>磋商须知前附表)</w:t>
      </w:r>
      <w:r>
        <w:rPr>
          <w:rFonts w:hint="eastAsia" w:ascii="宋体" w:hAnsi="宋体"/>
          <w:color w:val="000000"/>
          <w:szCs w:val="21"/>
        </w:rPr>
        <w:t>中所叙述的采购项目。</w:t>
      </w:r>
    </w:p>
    <w:p>
      <w:pPr>
        <w:adjustRightInd w:val="0"/>
        <w:snapToGrid w:val="0"/>
        <w:spacing w:line="400" w:lineRule="exact"/>
        <w:rPr>
          <w:rFonts w:ascii="宋体" w:hAnsi="宋体"/>
          <w:b/>
          <w:bCs/>
          <w:color w:val="000000"/>
          <w:szCs w:val="21"/>
        </w:rPr>
      </w:pPr>
      <w:r>
        <w:rPr>
          <w:rFonts w:hint="eastAsia" w:ascii="宋体" w:hAnsi="宋体"/>
          <w:b/>
          <w:bCs/>
          <w:color w:val="000000"/>
          <w:szCs w:val="21"/>
        </w:rPr>
        <w:t>2.定义</w:t>
      </w:r>
    </w:p>
    <w:p>
      <w:pPr>
        <w:adjustRightInd w:val="0"/>
        <w:snapToGrid w:val="0"/>
        <w:spacing w:line="400" w:lineRule="exact"/>
        <w:ind w:firstLine="420" w:firstLineChars="200"/>
        <w:rPr>
          <w:rFonts w:ascii="宋体" w:hAnsi="宋体"/>
          <w:b/>
          <w:color w:val="000000"/>
          <w:szCs w:val="21"/>
        </w:rPr>
      </w:pPr>
      <w:r>
        <w:rPr>
          <w:rFonts w:hint="eastAsia" w:ascii="宋体" w:hAnsi="宋体"/>
          <w:color w:val="000000"/>
          <w:szCs w:val="21"/>
        </w:rPr>
        <w:t>2.1 “采购人”是指依法进行政府采购的国家机关、事业单位、团体组织。本次政府采购的采购人名称、地址、电话、联系人见</w:t>
      </w:r>
      <w:r>
        <w:rPr>
          <w:rFonts w:hint="eastAsia" w:ascii="宋体" w:hAnsi="宋体"/>
          <w:b/>
          <w:color w:val="000000"/>
          <w:szCs w:val="21"/>
        </w:rPr>
        <w:t>磋商须知前附表</w:t>
      </w:r>
      <w:r>
        <w:rPr>
          <w:rFonts w:hint="eastAsia" w:ascii="宋体" w:hAnsi="宋体"/>
          <w:color w:val="000000"/>
          <w:szCs w:val="21"/>
        </w:rPr>
        <w:t>。</w:t>
      </w:r>
    </w:p>
    <w:p>
      <w:pPr>
        <w:adjustRightInd w:val="0"/>
        <w:snapToGrid w:val="0"/>
        <w:spacing w:line="400" w:lineRule="exact"/>
        <w:ind w:firstLine="420" w:firstLineChars="200"/>
        <w:rPr>
          <w:rFonts w:ascii="宋体" w:hAnsi="宋体"/>
          <w:b/>
          <w:color w:val="000000"/>
          <w:szCs w:val="21"/>
        </w:rPr>
      </w:pPr>
      <w:r>
        <w:rPr>
          <w:rFonts w:hint="eastAsia" w:ascii="宋体" w:hAnsi="宋体"/>
          <w:color w:val="000000"/>
          <w:szCs w:val="21"/>
        </w:rPr>
        <w:t>2.2 “采购代理机构”是指接受采购人委托，代理采购项目的集中采购机构和其他采购代理机构。本次政府采购的采购代理机构名称、地址、电话、联系人见</w:t>
      </w:r>
      <w:r>
        <w:rPr>
          <w:rFonts w:hint="eastAsia" w:ascii="宋体" w:hAnsi="宋体"/>
          <w:b/>
          <w:color w:val="000000"/>
          <w:szCs w:val="21"/>
        </w:rPr>
        <w:t>磋商须知前附表。</w:t>
      </w:r>
    </w:p>
    <w:p>
      <w:pPr>
        <w:adjustRightInd w:val="0"/>
        <w:snapToGrid w:val="0"/>
        <w:spacing w:line="400" w:lineRule="exact"/>
        <w:ind w:firstLine="420" w:firstLineChars="200"/>
        <w:rPr>
          <w:rFonts w:ascii="宋体" w:hAnsi="宋体" w:cs="宋体"/>
          <w:bCs/>
          <w:color w:val="000000"/>
          <w:kern w:val="36"/>
          <w:szCs w:val="21"/>
        </w:rPr>
      </w:pPr>
      <w:r>
        <w:rPr>
          <w:rFonts w:hint="eastAsia" w:ascii="宋体" w:hAnsi="宋体"/>
          <w:color w:val="000000"/>
          <w:szCs w:val="21"/>
        </w:rPr>
        <w:t>2.3 “供应商”是指响应磋商文件要求、参加竞争性磋商采购的法人、其他组织或者自然人。本次政府采购项目</w:t>
      </w:r>
      <w:r>
        <w:rPr>
          <w:rFonts w:hint="eastAsia" w:ascii="宋体" w:hAnsi="宋体" w:cs="宋体"/>
          <w:color w:val="000000"/>
          <w:kern w:val="0"/>
          <w:szCs w:val="21"/>
        </w:rPr>
        <w:t>邀请</w:t>
      </w:r>
      <w:r>
        <w:rPr>
          <w:rFonts w:hint="eastAsia" w:ascii="宋体" w:hAnsi="宋体"/>
          <w:color w:val="000000"/>
          <w:szCs w:val="21"/>
        </w:rPr>
        <w:t>的</w:t>
      </w:r>
      <w:r>
        <w:rPr>
          <w:rFonts w:hint="eastAsia" w:ascii="宋体" w:hAnsi="宋体" w:cs="宋体"/>
          <w:color w:val="000000"/>
          <w:kern w:val="0"/>
          <w:szCs w:val="21"/>
        </w:rPr>
        <w:t>供应商通过</w:t>
      </w:r>
      <w:r>
        <w:rPr>
          <w:rFonts w:hint="eastAsia" w:ascii="宋体" w:hAnsi="宋体"/>
          <w:b/>
          <w:color w:val="000000"/>
          <w:szCs w:val="21"/>
        </w:rPr>
        <w:t>磋商须知前附表</w:t>
      </w:r>
      <w:r>
        <w:rPr>
          <w:rFonts w:hint="eastAsia" w:ascii="宋体" w:hAnsi="宋体"/>
          <w:color w:val="000000"/>
          <w:szCs w:val="21"/>
        </w:rPr>
        <w:t>所述方式</w:t>
      </w:r>
      <w:r>
        <w:rPr>
          <w:rFonts w:hint="eastAsia" w:ascii="宋体" w:hAnsi="宋体" w:cs="宋体"/>
          <w:color w:val="000000"/>
          <w:kern w:val="0"/>
          <w:szCs w:val="21"/>
        </w:rPr>
        <w:t>，经</w:t>
      </w:r>
      <w:r>
        <w:rPr>
          <w:rFonts w:hint="eastAsia" w:ascii="宋体" w:hAnsi="宋体" w:cs="宋体"/>
          <w:bCs/>
          <w:color w:val="000000"/>
          <w:kern w:val="36"/>
          <w:szCs w:val="21"/>
        </w:rPr>
        <w:t>磋商小组确定。</w:t>
      </w:r>
      <w:r>
        <w:rPr>
          <w:rFonts w:hint="eastAsia" w:ascii="宋体" w:hAnsi="宋体"/>
          <w:color w:val="000000"/>
          <w:szCs w:val="21"/>
        </w:rPr>
        <w:t>据此，采购人或采购代理机构</w:t>
      </w:r>
      <w:r>
        <w:rPr>
          <w:rFonts w:hint="eastAsia" w:ascii="宋体" w:hAnsi="宋体" w:cs="宋体"/>
          <w:bCs/>
          <w:color w:val="000000"/>
          <w:kern w:val="36"/>
          <w:szCs w:val="21"/>
        </w:rPr>
        <w:t>己向其</w:t>
      </w:r>
      <w:r>
        <w:rPr>
          <w:rFonts w:hint="eastAsia" w:ascii="宋体" w:hAnsi="宋体"/>
          <w:color w:val="000000"/>
          <w:szCs w:val="21"/>
        </w:rPr>
        <w:t>发出磋商通知，</w:t>
      </w:r>
      <w:r>
        <w:rPr>
          <w:rFonts w:hint="eastAsia" w:hAnsi="宋体"/>
          <w:color w:val="000000"/>
        </w:rPr>
        <w:t>供应商应持</w:t>
      </w:r>
      <w:r>
        <w:rPr>
          <w:rFonts w:hint="eastAsia" w:hAnsi="宋体"/>
          <w:b/>
          <w:color w:val="000000"/>
        </w:rPr>
        <w:t>磋商须知前附表</w:t>
      </w:r>
      <w:r>
        <w:rPr>
          <w:rFonts w:hint="eastAsia" w:hAnsi="宋体"/>
          <w:color w:val="000000"/>
        </w:rPr>
        <w:t>规定的资料领取或购买磋商文件。</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olor w:val="000000"/>
          <w:szCs w:val="21"/>
        </w:rPr>
        <w:t>2.4 “磋商小组”是指</w:t>
      </w:r>
      <w:r>
        <w:rPr>
          <w:rFonts w:hint="eastAsia" w:ascii="宋体" w:hAnsi="宋体" w:cs="宋体"/>
          <w:color w:val="000000"/>
          <w:kern w:val="0"/>
          <w:szCs w:val="21"/>
        </w:rPr>
        <w:t>依据财政部</w:t>
      </w:r>
      <w:r>
        <w:rPr>
          <w:rFonts w:ascii="宋体" w:hAnsi="宋体" w:cs="宋体"/>
          <w:bCs/>
          <w:color w:val="000000"/>
          <w:kern w:val="36"/>
          <w:szCs w:val="21"/>
        </w:rPr>
        <w:t>《政府采购</w:t>
      </w:r>
      <w:r>
        <w:rPr>
          <w:rFonts w:hint="eastAsia" w:ascii="宋体" w:hAnsi="宋体" w:cs="宋体"/>
          <w:bCs/>
          <w:color w:val="000000"/>
          <w:kern w:val="36"/>
          <w:szCs w:val="21"/>
        </w:rPr>
        <w:t>竞争性磋商采购方式管理暂行办法</w:t>
      </w:r>
      <w:r>
        <w:rPr>
          <w:rFonts w:ascii="宋体" w:hAnsi="宋体" w:cs="宋体"/>
          <w:bCs/>
          <w:color w:val="000000"/>
          <w:kern w:val="36"/>
          <w:szCs w:val="21"/>
        </w:rPr>
        <w:t>》</w:t>
      </w:r>
      <w:r>
        <w:rPr>
          <w:rFonts w:hint="eastAsia" w:ascii="宋体" w:hAnsi="宋体" w:cs="宋体"/>
          <w:bCs/>
          <w:color w:val="000000"/>
          <w:kern w:val="36"/>
          <w:szCs w:val="21"/>
        </w:rPr>
        <w:t>（财库[2014]214号）有关规定组建，依法依规</w:t>
      </w:r>
      <w:r>
        <w:rPr>
          <w:rFonts w:hint="eastAsia" w:ascii="宋体" w:hAnsi="宋体" w:cs="宋体"/>
          <w:color w:val="000000"/>
          <w:kern w:val="0"/>
          <w:szCs w:val="21"/>
        </w:rPr>
        <w:t>履行其职责和义务的机构。</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2.5 “货物”是指各种形态和种类的物品，包括原材料、燃料、设备、产品等，详见《政府采购品目分类目录》(</w:t>
      </w:r>
      <w:r>
        <w:rPr>
          <w:rStyle w:val="51"/>
          <w:b w:val="0"/>
          <w:color w:val="000000"/>
        </w:rPr>
        <w:t>财库</w:t>
      </w:r>
      <w:r>
        <w:rPr>
          <w:rStyle w:val="51"/>
          <w:rFonts w:hint="eastAsia"/>
          <w:b w:val="0"/>
          <w:color w:val="000000"/>
        </w:rPr>
        <w:t>[</w:t>
      </w:r>
      <w:r>
        <w:rPr>
          <w:rStyle w:val="51"/>
          <w:b w:val="0"/>
          <w:color w:val="000000"/>
        </w:rPr>
        <w:t>2013</w:t>
      </w:r>
      <w:r>
        <w:rPr>
          <w:rStyle w:val="51"/>
          <w:rFonts w:hint="eastAsia"/>
          <w:b w:val="0"/>
          <w:color w:val="000000"/>
        </w:rPr>
        <w:t>]</w:t>
      </w:r>
      <w:r>
        <w:rPr>
          <w:rStyle w:val="51"/>
          <w:b w:val="0"/>
          <w:color w:val="000000"/>
        </w:rPr>
        <w:t>189号</w:t>
      </w:r>
      <w:r>
        <w:rPr>
          <w:rFonts w:hint="eastAsia" w:ascii="宋体" w:hAnsi="宋体"/>
          <w:color w:val="000000"/>
          <w:szCs w:val="21"/>
        </w:rPr>
        <w:t>)。</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2.6 “工程”是指建设工程，包括建筑物和构筑物的新建、改建、扩建、装修、拆除、修缮等，详见《政府采购品目分类目录》(</w:t>
      </w:r>
      <w:r>
        <w:rPr>
          <w:rStyle w:val="51"/>
          <w:b w:val="0"/>
          <w:color w:val="000000"/>
        </w:rPr>
        <w:t>财库</w:t>
      </w:r>
      <w:r>
        <w:rPr>
          <w:rStyle w:val="51"/>
          <w:rFonts w:hint="eastAsia"/>
          <w:b w:val="0"/>
          <w:color w:val="000000"/>
        </w:rPr>
        <w:t>[</w:t>
      </w:r>
      <w:r>
        <w:rPr>
          <w:rStyle w:val="51"/>
          <w:b w:val="0"/>
          <w:color w:val="000000"/>
        </w:rPr>
        <w:t>2013</w:t>
      </w:r>
      <w:r>
        <w:rPr>
          <w:rStyle w:val="51"/>
          <w:rFonts w:hint="eastAsia"/>
          <w:b w:val="0"/>
          <w:color w:val="000000"/>
        </w:rPr>
        <w:t>]</w:t>
      </w:r>
      <w:r>
        <w:rPr>
          <w:rStyle w:val="51"/>
          <w:b w:val="0"/>
          <w:color w:val="000000"/>
        </w:rPr>
        <w:t>189号</w:t>
      </w:r>
      <w:r>
        <w:rPr>
          <w:rFonts w:hint="eastAsia" w:ascii="宋体" w:hAnsi="宋体"/>
          <w:color w:val="000000"/>
          <w:szCs w:val="21"/>
        </w:rPr>
        <w:t>)。</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2.7 “服务”是指除货物和工程以外的其他政府采购对象，详见《政府采购品目分类目录》(</w:t>
      </w:r>
      <w:r>
        <w:rPr>
          <w:rStyle w:val="51"/>
          <w:b w:val="0"/>
          <w:color w:val="000000"/>
        </w:rPr>
        <w:t>财库</w:t>
      </w:r>
      <w:r>
        <w:rPr>
          <w:rStyle w:val="51"/>
          <w:rFonts w:hint="eastAsia"/>
          <w:b w:val="0"/>
          <w:color w:val="000000"/>
        </w:rPr>
        <w:t>[</w:t>
      </w:r>
      <w:r>
        <w:rPr>
          <w:rStyle w:val="51"/>
          <w:b w:val="0"/>
          <w:color w:val="000000"/>
        </w:rPr>
        <w:t>2013</w:t>
      </w:r>
      <w:r>
        <w:rPr>
          <w:rStyle w:val="51"/>
          <w:rFonts w:hint="eastAsia"/>
          <w:b w:val="0"/>
          <w:color w:val="000000"/>
        </w:rPr>
        <w:t>]</w:t>
      </w:r>
      <w:r>
        <w:rPr>
          <w:rStyle w:val="51"/>
          <w:b w:val="0"/>
          <w:color w:val="000000"/>
        </w:rPr>
        <w:t>189号</w:t>
      </w:r>
      <w:r>
        <w:rPr>
          <w:rFonts w:hint="eastAsia" w:ascii="宋体" w:hAnsi="宋体"/>
          <w:color w:val="000000"/>
          <w:szCs w:val="21"/>
        </w:rPr>
        <w:t>)。</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2.8 “节能产品”或者“环保产品”是指财政部发布的《节能产品政府采购清单》或者《环境标志产品政府采购清单》的产品，“两型产品”是指湖南省财政厅发布的</w:t>
      </w:r>
      <w:r>
        <w:rPr>
          <w:rFonts w:ascii="宋体" w:hAnsi="宋体"/>
          <w:color w:val="000000"/>
          <w:szCs w:val="21"/>
        </w:rPr>
        <w:t>《湖南省两型产品政府采购目录》</w:t>
      </w:r>
      <w:r>
        <w:rPr>
          <w:rFonts w:hint="eastAsia" w:ascii="宋体" w:hAnsi="宋体"/>
          <w:color w:val="000000"/>
          <w:szCs w:val="21"/>
        </w:rPr>
        <w:t>的产品。</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2.9 “进口产品”是指通过中国海关报关验放进入中国境内且产自关境外的产品，详见《</w:t>
      </w:r>
      <w:r>
        <w:rPr>
          <w:rFonts w:ascii="宋体" w:hAnsi="宋体" w:cs="宋体"/>
          <w:color w:val="000000"/>
          <w:kern w:val="0"/>
          <w:szCs w:val="21"/>
        </w:rPr>
        <w:t>关于政府采购进口产品管理有关问题的通知</w:t>
      </w:r>
      <w:r>
        <w:rPr>
          <w:rFonts w:hint="eastAsia" w:ascii="宋体" w:hAnsi="宋体" w:cs="宋体"/>
          <w:color w:val="000000"/>
          <w:kern w:val="0"/>
          <w:szCs w:val="21"/>
        </w:rPr>
        <w:t>》(财库[2007]119号)。</w:t>
      </w:r>
    </w:p>
    <w:p>
      <w:pPr>
        <w:adjustRightInd w:val="0"/>
        <w:snapToGrid w:val="0"/>
        <w:spacing w:line="400" w:lineRule="exact"/>
        <w:rPr>
          <w:rFonts w:ascii="宋体" w:hAnsi="宋体"/>
          <w:b/>
          <w:bCs/>
          <w:color w:val="000000"/>
          <w:szCs w:val="21"/>
        </w:rPr>
      </w:pPr>
      <w:r>
        <w:rPr>
          <w:rFonts w:hint="eastAsia" w:ascii="宋体" w:hAnsi="宋体"/>
          <w:b/>
          <w:bCs/>
          <w:color w:val="000000"/>
          <w:szCs w:val="21"/>
        </w:rPr>
        <w:t>3.供应商的资格要求</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3.1 供应商应当符合</w:t>
      </w:r>
      <w:r>
        <w:rPr>
          <w:rFonts w:hint="eastAsia" w:ascii="宋体" w:hAnsi="宋体"/>
          <w:b/>
          <w:color w:val="000000"/>
          <w:szCs w:val="21"/>
        </w:rPr>
        <w:t>磋商须知前附表</w:t>
      </w:r>
      <w:r>
        <w:rPr>
          <w:rFonts w:hint="eastAsia" w:ascii="宋体" w:hAnsi="宋体"/>
          <w:color w:val="000000"/>
          <w:szCs w:val="21"/>
        </w:rPr>
        <w:t>中规定的下列资格条件要求；</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（l）</w:t>
      </w:r>
      <w:r>
        <w:rPr>
          <w:rFonts w:hint="eastAsia" w:ascii="宋体" w:hAnsi="宋体" w:cs="宋体"/>
          <w:color w:val="000000"/>
          <w:kern w:val="0"/>
          <w:szCs w:val="21"/>
          <w:lang w:val="zh-CN"/>
        </w:rPr>
        <w:t>《政府采购法》第二十二条第一款规定的</w:t>
      </w:r>
      <w:r>
        <w:rPr>
          <w:rFonts w:hint="eastAsia" w:ascii="宋体" w:hAnsi="宋体"/>
          <w:color w:val="000000"/>
          <w:szCs w:val="21"/>
        </w:rPr>
        <w:t>供应商基本资格条件</w:t>
      </w:r>
      <w:r>
        <w:rPr>
          <w:rFonts w:hint="eastAsia" w:ascii="宋体" w:hAnsi="宋体"/>
          <w:b/>
          <w:color w:val="000000"/>
          <w:szCs w:val="21"/>
        </w:rPr>
        <w:t>（详见磋商须知前附表）</w:t>
      </w:r>
      <w:r>
        <w:rPr>
          <w:rFonts w:hint="eastAsia" w:ascii="宋体" w:hAnsi="宋体" w:cs="宋体"/>
          <w:color w:val="000000"/>
          <w:kern w:val="0"/>
          <w:szCs w:val="21"/>
          <w:lang w:val="zh-CN"/>
        </w:rPr>
        <w:t>；</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（2） 磋商文件</w:t>
      </w:r>
      <w:r>
        <w:rPr>
          <w:rFonts w:hint="eastAsia" w:ascii="宋体" w:hAnsi="宋体" w:cs="宋体"/>
          <w:color w:val="000000"/>
          <w:kern w:val="0"/>
          <w:szCs w:val="21"/>
          <w:lang w:val="zh-CN"/>
        </w:rPr>
        <w:t>规定的</w:t>
      </w:r>
      <w:r>
        <w:rPr>
          <w:rFonts w:hint="eastAsia" w:ascii="宋体" w:hAnsi="宋体"/>
          <w:color w:val="000000"/>
          <w:szCs w:val="21"/>
        </w:rPr>
        <w:t>供应商特定资格条件</w:t>
      </w:r>
      <w:r>
        <w:rPr>
          <w:rFonts w:hint="eastAsia" w:ascii="宋体" w:hAnsi="宋体"/>
          <w:b/>
          <w:color w:val="000000"/>
          <w:szCs w:val="21"/>
        </w:rPr>
        <w:t>（详见磋商须知前附表）</w:t>
      </w:r>
      <w:r>
        <w:rPr>
          <w:rFonts w:hint="eastAsia" w:ascii="宋体" w:hAnsi="宋体"/>
          <w:color w:val="000000"/>
          <w:szCs w:val="21"/>
        </w:rPr>
        <w:t xml:space="preserve">。 </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3.2 供应商不得存在下列情形之一：</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（l）与采购人、采购代理机构存在</w:t>
      </w:r>
      <w:r>
        <w:rPr>
          <w:rFonts w:hint="eastAsia" w:ascii="宋体" w:hAnsi="宋体"/>
          <w:bCs/>
          <w:color w:val="000000"/>
          <w:szCs w:val="21"/>
        </w:rPr>
        <w:t>隶属关系或者其他利害关系</w:t>
      </w:r>
      <w:r>
        <w:rPr>
          <w:rFonts w:hint="eastAsia" w:ascii="宋体" w:hAnsi="宋体"/>
          <w:color w:val="000000"/>
          <w:szCs w:val="21"/>
        </w:rPr>
        <w:t>。</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（2）与其他供应商的法定代表人（或者负责人）为同一人，或者与其他供应商存在控股、关联关系。</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（3）</w:t>
      </w:r>
      <w:r>
        <w:rPr>
          <w:rFonts w:hint="eastAsia" w:ascii="宋体" w:hAnsi="宋体"/>
          <w:bCs/>
          <w:color w:val="000000"/>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olor w:val="000000"/>
          <w:szCs w:val="21"/>
        </w:rPr>
        <w:t>财政部门认定的其他重大违法记录。</w:t>
      </w:r>
    </w:p>
    <w:p>
      <w:pPr>
        <w:adjustRightInd w:val="0"/>
        <w:snapToGrid w:val="0"/>
        <w:spacing w:line="400" w:lineRule="exact"/>
        <w:rPr>
          <w:rFonts w:ascii="宋体" w:hAnsi="宋体"/>
          <w:b/>
          <w:bCs/>
          <w:color w:val="000000"/>
          <w:szCs w:val="21"/>
        </w:rPr>
      </w:pPr>
      <w:r>
        <w:rPr>
          <w:rFonts w:hint="eastAsia" w:ascii="宋体" w:hAnsi="宋体"/>
          <w:b/>
          <w:bCs/>
          <w:color w:val="000000"/>
          <w:szCs w:val="21"/>
        </w:rPr>
        <w:t xml:space="preserve">4.参与磋商的费用 </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4.1 无论磋商的结果如何，供应商应自行承担所有与竞争性磋商采购活动有关的全部费用。</w:t>
      </w:r>
    </w:p>
    <w:p>
      <w:pPr>
        <w:pStyle w:val="27"/>
        <w:adjustRightInd w:val="0"/>
        <w:snapToGrid w:val="0"/>
        <w:spacing w:line="400" w:lineRule="exact"/>
        <w:rPr>
          <w:rFonts w:hAnsi="宋体"/>
          <w:b/>
          <w:bCs/>
          <w:color w:val="000000"/>
        </w:rPr>
      </w:pPr>
      <w:r>
        <w:rPr>
          <w:rFonts w:hint="eastAsia" w:hAnsi="宋体"/>
          <w:b/>
          <w:color w:val="000000"/>
        </w:rPr>
        <w:t>5．</w:t>
      </w:r>
      <w:r>
        <w:rPr>
          <w:rFonts w:hint="eastAsia" w:hAnsi="宋体"/>
          <w:b/>
          <w:bCs/>
          <w:color w:val="000000"/>
        </w:rPr>
        <w:t>授权委托</w:t>
      </w:r>
    </w:p>
    <w:p>
      <w:pPr>
        <w:pStyle w:val="27"/>
        <w:adjustRightInd w:val="0"/>
        <w:snapToGrid w:val="0"/>
        <w:spacing w:line="400" w:lineRule="exact"/>
        <w:ind w:firstLine="420" w:firstLineChars="200"/>
        <w:rPr>
          <w:rFonts w:hAnsi="宋体"/>
          <w:color w:val="000000"/>
        </w:rPr>
      </w:pPr>
      <w:r>
        <w:rPr>
          <w:rFonts w:hint="eastAsia" w:hAnsi="宋体"/>
          <w:color w:val="000000"/>
        </w:rPr>
        <w:t>5.1供应商代表为供应商法定代表人的，应持有法定代表人身份证明。供应商代表不是供应商法定代表人的，应持有法定代表人授权书，并附法定代表人身份证明。</w:t>
      </w:r>
    </w:p>
    <w:p>
      <w:pPr>
        <w:pStyle w:val="27"/>
        <w:adjustRightInd w:val="0"/>
        <w:snapToGrid w:val="0"/>
        <w:spacing w:line="400" w:lineRule="exact"/>
        <w:rPr>
          <w:rFonts w:hAnsi="宋体"/>
          <w:b/>
          <w:color w:val="000000"/>
        </w:rPr>
      </w:pPr>
      <w:r>
        <w:rPr>
          <w:rFonts w:hint="eastAsia" w:hAnsi="宋体"/>
          <w:b/>
          <w:color w:val="000000"/>
        </w:rPr>
        <w:t>6．联合体形式</w:t>
      </w:r>
    </w:p>
    <w:p>
      <w:pPr>
        <w:pStyle w:val="27"/>
        <w:adjustRightInd w:val="0"/>
        <w:snapToGrid w:val="0"/>
        <w:spacing w:line="400" w:lineRule="exact"/>
        <w:ind w:firstLine="420" w:firstLineChars="200"/>
        <w:rPr>
          <w:rFonts w:hAnsi="宋体"/>
          <w:color w:val="000000"/>
        </w:rPr>
      </w:pPr>
      <w:r>
        <w:rPr>
          <w:rFonts w:hint="eastAsia" w:hAnsi="宋体"/>
          <w:color w:val="000000"/>
        </w:rPr>
        <w:t>6.1除</w:t>
      </w:r>
      <w:r>
        <w:rPr>
          <w:rFonts w:hint="eastAsia" w:hAnsi="宋体"/>
          <w:b/>
          <w:color w:val="000000"/>
        </w:rPr>
        <w:t>磋商须知前附表</w:t>
      </w:r>
      <w:r>
        <w:rPr>
          <w:rFonts w:hint="eastAsia" w:hAnsi="宋体"/>
          <w:color w:val="000000"/>
        </w:rPr>
        <w:t>中另有规定，本次磋商采购不接受为联合体形式的供应商。</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6.2供应商</w:t>
      </w:r>
      <w:r>
        <w:rPr>
          <w:rFonts w:hint="eastAsia" w:hAnsi="宋体"/>
          <w:color w:val="000000"/>
          <w:szCs w:val="21"/>
        </w:rPr>
        <w:t>为联合体形式的</w:t>
      </w:r>
      <w:r>
        <w:rPr>
          <w:rFonts w:hint="eastAsia" w:ascii="宋体" w:hAnsi="宋体"/>
          <w:color w:val="000000"/>
          <w:szCs w:val="21"/>
        </w:rPr>
        <w:t>，除应符合本章第3条规定外，还应遵守以下规定：</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（l）联合体各方必须签订联合体协议书，明确联合体牵头人和各方的义务、工作、合同工作量比例；</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（2）联合体各方均应当符合本章第3.1</w:t>
      </w:r>
      <w:r>
        <w:rPr>
          <w:rFonts w:hint="eastAsia" w:ascii="宋体" w:hAnsi="宋体" w:cs="宋体"/>
          <w:color w:val="000000"/>
          <w:kern w:val="0"/>
          <w:szCs w:val="21"/>
          <w:lang w:val="zh-CN"/>
        </w:rPr>
        <w:t>款第（1）项</w:t>
      </w:r>
      <w:r>
        <w:rPr>
          <w:rFonts w:hint="eastAsia" w:ascii="宋体" w:hAnsi="宋体"/>
          <w:color w:val="000000"/>
          <w:szCs w:val="21"/>
        </w:rPr>
        <w:t>规定的供应商基本资格条件；</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（3）除</w:t>
      </w:r>
      <w:r>
        <w:rPr>
          <w:rFonts w:hint="eastAsia" w:ascii="宋体" w:hAnsi="宋体"/>
          <w:b/>
          <w:color w:val="000000"/>
          <w:szCs w:val="21"/>
        </w:rPr>
        <w:t>磋商须知前附表</w:t>
      </w:r>
      <w:r>
        <w:rPr>
          <w:rFonts w:hint="eastAsia" w:ascii="宋体" w:hAnsi="宋体"/>
          <w:color w:val="000000"/>
          <w:szCs w:val="21"/>
        </w:rPr>
        <w:t>中另有规定，联合体各方中至少有一方应当符合本章第3.1</w:t>
      </w:r>
      <w:r>
        <w:rPr>
          <w:rFonts w:hint="eastAsia" w:ascii="宋体" w:hAnsi="宋体" w:cs="宋体"/>
          <w:color w:val="000000"/>
          <w:kern w:val="0"/>
          <w:szCs w:val="21"/>
          <w:lang w:val="zh-CN"/>
        </w:rPr>
        <w:t>款第（2）项</w:t>
      </w:r>
      <w:r>
        <w:rPr>
          <w:rFonts w:hint="eastAsia" w:ascii="宋体" w:hAnsi="宋体"/>
          <w:color w:val="000000"/>
          <w:szCs w:val="21"/>
        </w:rPr>
        <w:t>规定的供应商特定资格条件；</w:t>
      </w:r>
    </w:p>
    <w:p>
      <w:pPr>
        <w:adjustRightInd w:val="0"/>
        <w:snapToGrid w:val="0"/>
        <w:spacing w:line="400" w:lineRule="exact"/>
        <w:ind w:firstLine="420" w:firstLineChars="200"/>
        <w:jc w:val="left"/>
        <w:rPr>
          <w:rFonts w:ascii="宋体" w:hAnsi="宋体" w:cs="宋体"/>
          <w:color w:val="000000"/>
          <w:kern w:val="0"/>
          <w:szCs w:val="21"/>
          <w:lang w:val="zh-CN"/>
        </w:rPr>
      </w:pPr>
      <w:r>
        <w:rPr>
          <w:rFonts w:hint="eastAsia" w:ascii="宋体" w:hAnsi="宋体"/>
          <w:color w:val="000000"/>
          <w:szCs w:val="21"/>
        </w:rPr>
        <w:t>（4）</w:t>
      </w:r>
      <w:r>
        <w:rPr>
          <w:rFonts w:hint="eastAsia" w:ascii="宋体" w:hAnsi="宋体" w:cs="宋体"/>
          <w:color w:val="000000"/>
          <w:kern w:val="0"/>
          <w:szCs w:val="21"/>
          <w:lang w:val="zh-CN"/>
        </w:rPr>
        <w:t>联合体各方不得再单独或与其他供应商组成新的联合体参加同一项目的采购活动。</w:t>
      </w:r>
    </w:p>
    <w:p>
      <w:pPr>
        <w:adjustRightInd w:val="0"/>
        <w:snapToGrid w:val="0"/>
        <w:spacing w:line="400" w:lineRule="exact"/>
        <w:rPr>
          <w:rFonts w:ascii="宋体" w:hAnsi="宋体"/>
          <w:b/>
          <w:color w:val="000000"/>
          <w:szCs w:val="21"/>
        </w:rPr>
      </w:pPr>
      <w:r>
        <w:rPr>
          <w:rFonts w:hint="eastAsia" w:ascii="宋体" w:hAnsi="宋体"/>
          <w:b/>
          <w:color w:val="000000"/>
          <w:szCs w:val="21"/>
        </w:rPr>
        <w:t>7.现场勘察</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7.1供应商应按</w:t>
      </w:r>
      <w:r>
        <w:rPr>
          <w:rFonts w:hint="eastAsia" w:hAnsi="宋体"/>
          <w:b/>
          <w:color w:val="000000"/>
          <w:szCs w:val="21"/>
        </w:rPr>
        <w:t>磋商须知前附表</w:t>
      </w:r>
      <w:r>
        <w:rPr>
          <w:rFonts w:hint="eastAsia" w:hAnsi="宋体"/>
          <w:color w:val="000000"/>
          <w:szCs w:val="21"/>
        </w:rPr>
        <w:t>中规定</w:t>
      </w:r>
      <w:r>
        <w:rPr>
          <w:rFonts w:hint="eastAsia" w:ascii="宋体" w:hAnsi="宋体"/>
          <w:color w:val="000000"/>
          <w:szCs w:val="21"/>
        </w:rPr>
        <w:t>对采购项目现场和周围环境的现场勘察。</w:t>
      </w:r>
    </w:p>
    <w:p>
      <w:pPr>
        <w:adjustRightInd w:val="0"/>
        <w:snapToGrid w:val="0"/>
        <w:spacing w:line="400" w:lineRule="exact"/>
        <w:ind w:firstLine="420" w:firstLineChars="200"/>
        <w:rPr>
          <w:rFonts w:ascii="宋体" w:hAnsi="宋体" w:cs="宋体"/>
          <w:color w:val="000000"/>
          <w:szCs w:val="21"/>
        </w:rPr>
      </w:pPr>
      <w:r>
        <w:rPr>
          <w:rFonts w:hint="eastAsia" w:ascii="宋体" w:hAnsi="宋体"/>
          <w:color w:val="000000"/>
          <w:szCs w:val="21"/>
        </w:rPr>
        <w:t>7.2勘察现场的费用由供应商自己承担，勘察期间所发生的人身伤害及财产损失由供应商自己</w:t>
      </w:r>
      <w:r>
        <w:rPr>
          <w:rFonts w:hint="eastAsia" w:ascii="宋体" w:hAnsi="宋体" w:cs="宋体"/>
          <w:color w:val="000000"/>
          <w:szCs w:val="21"/>
        </w:rPr>
        <w:t>负责。</w:t>
      </w:r>
    </w:p>
    <w:p>
      <w:pPr>
        <w:adjustRightInd w:val="0"/>
        <w:snapToGrid w:val="0"/>
        <w:spacing w:line="400" w:lineRule="exact"/>
        <w:ind w:firstLine="420" w:firstLineChars="200"/>
        <w:jc w:val="left"/>
        <w:rPr>
          <w:rFonts w:ascii="宋体" w:hAnsi="宋体" w:cs="宋体"/>
          <w:b/>
          <w:color w:val="000000"/>
          <w:szCs w:val="21"/>
        </w:rPr>
      </w:pPr>
      <w:r>
        <w:rPr>
          <w:rFonts w:hint="eastAsia" w:ascii="宋体" w:hAnsi="宋体" w:cs="宋体"/>
          <w:color w:val="000000"/>
          <w:szCs w:val="21"/>
        </w:rPr>
        <w:t>7.3采购人不对供应商据此而做出的推论、理解和结论负责。一旦成交，供应商不得以任何借口，提出额外补偿，或延长合同期限的要求。</w:t>
      </w:r>
    </w:p>
    <w:p>
      <w:pPr>
        <w:adjustRightInd w:val="0"/>
        <w:snapToGrid w:val="0"/>
        <w:spacing w:line="400" w:lineRule="exact"/>
        <w:jc w:val="left"/>
        <w:rPr>
          <w:rFonts w:ascii="宋体" w:hAnsi="宋体" w:cs="宋体"/>
          <w:b/>
          <w:color w:val="000000"/>
          <w:szCs w:val="21"/>
        </w:rPr>
      </w:pPr>
      <w:r>
        <w:rPr>
          <w:rFonts w:hint="eastAsia" w:ascii="宋体" w:hAnsi="宋体" w:cs="宋体"/>
          <w:b/>
          <w:color w:val="000000"/>
          <w:szCs w:val="21"/>
        </w:rPr>
        <w:t>8.采购进口产品</w:t>
      </w:r>
    </w:p>
    <w:p>
      <w:pPr>
        <w:adjustRightInd w:val="0"/>
        <w:snapToGrid w:val="0"/>
        <w:spacing w:line="400" w:lineRule="exact"/>
        <w:ind w:firstLine="420" w:firstLineChars="200"/>
        <w:jc w:val="left"/>
        <w:rPr>
          <w:rFonts w:ascii="宋体" w:hAnsi="宋体" w:cs="宋体"/>
          <w:color w:val="000000"/>
          <w:kern w:val="0"/>
          <w:szCs w:val="21"/>
        </w:rPr>
      </w:pPr>
      <w:r>
        <w:rPr>
          <w:rFonts w:hint="eastAsia" w:ascii="宋体" w:hAnsi="宋体" w:cs="宋体"/>
          <w:color w:val="000000"/>
          <w:szCs w:val="21"/>
        </w:rPr>
        <w:t>8.1除</w:t>
      </w:r>
      <w:r>
        <w:rPr>
          <w:rFonts w:hint="eastAsia" w:ascii="宋体" w:hAnsi="宋体" w:cs="宋体"/>
          <w:b/>
          <w:color w:val="000000"/>
          <w:szCs w:val="21"/>
        </w:rPr>
        <w:t>磋商文件前附表</w:t>
      </w:r>
      <w:r>
        <w:rPr>
          <w:rFonts w:hint="eastAsia" w:ascii="宋体" w:hAnsi="宋体" w:cs="宋体"/>
          <w:color w:val="000000"/>
          <w:szCs w:val="21"/>
        </w:rPr>
        <w:t>另有规定外，本项目</w:t>
      </w:r>
      <w:r>
        <w:rPr>
          <w:rFonts w:hint="eastAsia" w:ascii="宋体" w:hAnsi="宋体" w:cs="宋体"/>
          <w:color w:val="000000"/>
          <w:kern w:val="0"/>
          <w:szCs w:val="21"/>
        </w:rPr>
        <w:t>拒绝进口产品参加</w:t>
      </w:r>
      <w:r>
        <w:rPr>
          <w:rFonts w:hint="eastAsia" w:ascii="宋体" w:hAnsi="宋体" w:cs="宋体"/>
          <w:color w:val="000000"/>
          <w:szCs w:val="21"/>
        </w:rPr>
        <w:t>竞争性磋商采购活动</w:t>
      </w:r>
      <w:r>
        <w:rPr>
          <w:rFonts w:hint="eastAsia" w:ascii="宋体" w:hAnsi="宋体" w:cs="宋体"/>
          <w:color w:val="000000"/>
          <w:kern w:val="0"/>
          <w:szCs w:val="21"/>
        </w:rPr>
        <w:t>。</w:t>
      </w:r>
    </w:p>
    <w:p>
      <w:pPr>
        <w:adjustRightInd w:val="0"/>
        <w:snapToGrid w:val="0"/>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8.2</w:t>
      </w:r>
      <w:r>
        <w:rPr>
          <w:rFonts w:hint="eastAsia" w:ascii="宋体" w:hAnsi="宋体" w:cs="宋体"/>
          <w:color w:val="000000"/>
          <w:szCs w:val="21"/>
        </w:rPr>
        <w:t>本章第8.1</w:t>
      </w:r>
      <w:r>
        <w:rPr>
          <w:rFonts w:hint="eastAsia" w:ascii="宋体" w:hAnsi="宋体" w:cs="宋体"/>
          <w:color w:val="000000"/>
          <w:kern w:val="0"/>
          <w:szCs w:val="21"/>
          <w:lang w:val="zh-CN"/>
        </w:rPr>
        <w:t>款</w:t>
      </w:r>
      <w:r>
        <w:rPr>
          <w:rFonts w:hint="eastAsia" w:ascii="宋体" w:hAnsi="宋体" w:cs="宋体"/>
          <w:color w:val="000000"/>
          <w:szCs w:val="21"/>
        </w:rPr>
        <w:t>规定</w:t>
      </w:r>
      <w:r>
        <w:rPr>
          <w:rFonts w:hint="eastAsia" w:ascii="宋体" w:hAnsi="宋体" w:cs="宋体"/>
          <w:color w:val="000000"/>
          <w:kern w:val="0"/>
          <w:szCs w:val="21"/>
        </w:rPr>
        <w:t>同意购买进口产品的，</w:t>
      </w:r>
      <w:r>
        <w:rPr>
          <w:rFonts w:hint="eastAsia" w:ascii="宋体" w:hAnsi="宋体" w:cs="宋体"/>
          <w:color w:val="000000"/>
          <w:szCs w:val="21"/>
        </w:rPr>
        <w:t>本项目</w:t>
      </w:r>
      <w:r>
        <w:rPr>
          <w:rFonts w:hint="eastAsia" w:ascii="宋体" w:hAnsi="宋体" w:cs="宋体"/>
          <w:color w:val="000000"/>
          <w:kern w:val="0"/>
          <w:szCs w:val="21"/>
          <w:lang w:val="zh-CN"/>
        </w:rPr>
        <w:t>采购活动</w:t>
      </w:r>
      <w:r>
        <w:rPr>
          <w:rFonts w:hint="eastAsia" w:ascii="宋体" w:hAnsi="宋体" w:cs="宋体"/>
          <w:color w:val="000000"/>
          <w:kern w:val="0"/>
          <w:szCs w:val="21"/>
        </w:rPr>
        <w:t>不限制满足</w:t>
      </w:r>
      <w:r>
        <w:rPr>
          <w:rFonts w:hint="eastAsia" w:ascii="宋体" w:hAnsi="宋体" w:cs="宋体"/>
          <w:color w:val="000000"/>
          <w:szCs w:val="21"/>
        </w:rPr>
        <w:t>磋商文件要求</w:t>
      </w:r>
      <w:r>
        <w:rPr>
          <w:rFonts w:hint="eastAsia" w:ascii="宋体" w:hAnsi="宋体" w:cs="宋体"/>
          <w:color w:val="000000"/>
          <w:kern w:val="0"/>
          <w:szCs w:val="21"/>
        </w:rPr>
        <w:t>的国内产品参与</w:t>
      </w:r>
      <w:r>
        <w:rPr>
          <w:rFonts w:hint="eastAsia" w:ascii="宋体" w:hAnsi="宋体" w:cs="宋体"/>
          <w:color w:val="000000"/>
          <w:szCs w:val="21"/>
        </w:rPr>
        <w:t>竞争性磋商</w:t>
      </w:r>
      <w:r>
        <w:rPr>
          <w:rFonts w:hint="eastAsia" w:ascii="宋体" w:hAnsi="宋体" w:cs="宋体"/>
          <w:color w:val="000000"/>
          <w:kern w:val="0"/>
          <w:szCs w:val="21"/>
        </w:rPr>
        <w:t>。</w:t>
      </w:r>
    </w:p>
    <w:p>
      <w:pPr>
        <w:adjustRightInd w:val="0"/>
        <w:snapToGrid w:val="0"/>
        <w:spacing w:line="400" w:lineRule="exact"/>
        <w:jc w:val="left"/>
        <w:rPr>
          <w:rFonts w:ascii="宋体" w:hAnsi="宋体" w:cs="宋体"/>
          <w:b/>
          <w:color w:val="000000"/>
          <w:szCs w:val="21"/>
        </w:rPr>
      </w:pPr>
      <w:r>
        <w:rPr>
          <w:rFonts w:hint="eastAsia" w:ascii="宋体" w:hAnsi="宋体" w:cs="宋体"/>
          <w:b/>
          <w:bCs/>
          <w:color w:val="000000"/>
          <w:szCs w:val="21"/>
        </w:rPr>
        <w:t>9.</w:t>
      </w:r>
      <w:r>
        <w:rPr>
          <w:rFonts w:hint="eastAsia" w:ascii="宋体" w:hAnsi="宋体" w:cs="宋体"/>
          <w:b/>
          <w:color w:val="000000"/>
          <w:szCs w:val="21"/>
        </w:rPr>
        <w:t xml:space="preserve"> 政府采购政策支持</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9.1产品符合政府采购强制采购政策的，实行强制采购；符合政府采购优先采购政策的，产品符合非强制采购节能产品、环境标志产品、两型产品的实行优先采购；供应商符合</w:t>
      </w:r>
      <w:r>
        <w:rPr>
          <w:rFonts w:hint="eastAsia" w:hAnsi="宋体" w:cs="宋体"/>
          <w:bCs/>
          <w:color w:val="000000"/>
        </w:rPr>
        <w:t>支持</w:t>
      </w:r>
      <w:r>
        <w:rPr>
          <w:rFonts w:hint="eastAsia" w:hAnsi="宋体" w:cs="宋体"/>
          <w:color w:val="000000"/>
        </w:rPr>
        <w:t>中小企业发展政策扶持范围的，实行中小企业优惠政策。本项目优惠比例见</w:t>
      </w:r>
      <w:r>
        <w:rPr>
          <w:rFonts w:hint="eastAsia" w:hAnsi="宋体" w:cs="宋体"/>
          <w:b/>
          <w:color w:val="000000"/>
        </w:rPr>
        <w:t>磋商须知前附表</w:t>
      </w:r>
      <w:r>
        <w:rPr>
          <w:rFonts w:hint="eastAsia" w:hAnsi="宋体" w:cs="宋体"/>
          <w:color w:val="000000"/>
        </w:rPr>
        <w:t>。</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9.2同一项目中只有部分产品属于优惠政策享受范围的，评审时只对该部分产品的进行优惠。</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9.3节能产品、环境标志产品、两型产品，均以国家相关部委发布的最新一期清单为准。 中小企业划分标准按国家规定执行。</w:t>
      </w:r>
    </w:p>
    <w:p>
      <w:pPr>
        <w:adjustRightInd w:val="0"/>
        <w:snapToGrid w:val="0"/>
        <w:spacing w:line="400" w:lineRule="exact"/>
        <w:ind w:left="790" w:hanging="789" w:hangingChars="376"/>
        <w:rPr>
          <w:rFonts w:ascii="宋体" w:hAnsi="宋体" w:cs="宋体"/>
          <w:color w:val="000000"/>
          <w:szCs w:val="21"/>
        </w:rPr>
      </w:pPr>
      <w:r>
        <w:rPr>
          <w:rFonts w:hint="eastAsia" w:ascii="宋体" w:hAnsi="宋体" w:cs="宋体"/>
          <w:color w:val="000000"/>
          <w:szCs w:val="21"/>
        </w:rPr>
        <w:t>二、磋商文件</w:t>
      </w:r>
    </w:p>
    <w:p>
      <w:pPr>
        <w:adjustRightInd w:val="0"/>
        <w:snapToGrid w:val="0"/>
        <w:spacing w:line="400" w:lineRule="exact"/>
        <w:rPr>
          <w:rFonts w:ascii="宋体" w:hAnsi="宋体" w:cs="宋体"/>
          <w:b/>
          <w:bCs/>
          <w:color w:val="000000"/>
          <w:szCs w:val="21"/>
        </w:rPr>
      </w:pPr>
      <w:r>
        <w:rPr>
          <w:rFonts w:hint="eastAsia" w:ascii="宋体" w:hAnsi="宋体"/>
          <w:b/>
          <w:bCs/>
          <w:color w:val="000000"/>
          <w:szCs w:val="21"/>
        </w:rPr>
        <w:t>10．磋商文件的组成</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10.1 磋商文件由下列文件组成：</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第一章 磋商通知</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第二章 磋商须知</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第三章 合同草案条款</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第四章 采购需求</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第五章 响应文件组成</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10.2</w:t>
      </w:r>
      <w:r>
        <w:rPr>
          <w:rFonts w:hint="eastAsia" w:hAnsi="宋体" w:cs="宋体"/>
          <w:bCs/>
          <w:color w:val="000000"/>
        </w:rPr>
        <w:t>本章第11.1</w:t>
      </w:r>
      <w:r>
        <w:rPr>
          <w:rFonts w:hint="eastAsia" w:hAnsi="宋体" w:cs="宋体"/>
          <w:color w:val="000000"/>
          <w:lang w:val="zh-CN"/>
        </w:rPr>
        <w:t>款</w:t>
      </w:r>
      <w:r>
        <w:rPr>
          <w:rFonts w:hint="eastAsia" w:hAnsi="宋体" w:cs="宋体"/>
          <w:bCs/>
          <w:color w:val="000000"/>
        </w:rPr>
        <w:t>规定的</w:t>
      </w:r>
      <w:r>
        <w:rPr>
          <w:rFonts w:hint="eastAsia" w:hAnsi="宋体" w:cs="宋体"/>
          <w:color w:val="000000"/>
        </w:rPr>
        <w:t>提交首次响应文件截止时间前对磋商文件澄清或者修改内容，为磋商文件的组成部分。</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10.3磋商小组根据与供应商磋商情况可能实质性变动的内容，包括采购需求中的技术、服务要求以及合同条款，在</w:t>
      </w:r>
      <w:r>
        <w:rPr>
          <w:rFonts w:hint="eastAsia" w:hAnsi="宋体" w:cs="宋体"/>
          <w:b/>
          <w:color w:val="000000"/>
        </w:rPr>
        <w:t>磋商须知前附表</w:t>
      </w:r>
      <w:r>
        <w:rPr>
          <w:rFonts w:hint="eastAsia" w:hAnsi="宋体" w:cs="宋体"/>
          <w:color w:val="000000"/>
        </w:rPr>
        <w:t>中明确。</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10.4供应商应仔细阅读</w:t>
      </w:r>
      <w:r>
        <w:rPr>
          <w:rFonts w:hint="eastAsia" w:ascii="宋体" w:hAnsi="宋体" w:cs="宋体"/>
          <w:bCs/>
          <w:color w:val="000000"/>
          <w:szCs w:val="21"/>
        </w:rPr>
        <w:t>磋商</w:t>
      </w:r>
      <w:r>
        <w:rPr>
          <w:rFonts w:hint="eastAsia" w:ascii="宋体" w:hAnsi="宋体" w:cs="宋体"/>
          <w:color w:val="000000"/>
          <w:szCs w:val="21"/>
        </w:rPr>
        <w:t>文件的全部内容，按照</w:t>
      </w:r>
      <w:r>
        <w:rPr>
          <w:rFonts w:hint="eastAsia" w:ascii="宋体" w:hAnsi="宋体" w:cs="宋体"/>
          <w:bCs/>
          <w:color w:val="000000"/>
          <w:szCs w:val="21"/>
        </w:rPr>
        <w:t>磋商</w:t>
      </w:r>
      <w:r>
        <w:rPr>
          <w:rFonts w:hint="eastAsia" w:ascii="宋体" w:hAnsi="宋体" w:cs="宋体"/>
          <w:color w:val="000000"/>
          <w:szCs w:val="21"/>
        </w:rPr>
        <w:t>文件要求编制响应文件。任何对</w:t>
      </w:r>
      <w:r>
        <w:rPr>
          <w:rFonts w:hint="eastAsia" w:ascii="宋体" w:hAnsi="宋体" w:cs="宋体"/>
          <w:bCs/>
          <w:color w:val="000000"/>
          <w:szCs w:val="21"/>
        </w:rPr>
        <w:t>磋商</w:t>
      </w:r>
      <w:r>
        <w:rPr>
          <w:rFonts w:hint="eastAsia" w:ascii="宋体" w:hAnsi="宋体" w:cs="宋体"/>
          <w:color w:val="000000"/>
          <w:szCs w:val="21"/>
        </w:rPr>
        <w:t>文件的忽略或误解不能作为响应文件存在缺陷或瑕疵的理由，其风险由供应商承担。</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10.5磋商文件不得要求或者标明供应商名称或者特定货物的品牌，不得含有指向特定供应商的技术、服务等条件。</w:t>
      </w:r>
    </w:p>
    <w:p>
      <w:pPr>
        <w:pStyle w:val="27"/>
        <w:adjustRightInd w:val="0"/>
        <w:snapToGrid w:val="0"/>
        <w:spacing w:line="400" w:lineRule="exact"/>
        <w:rPr>
          <w:rFonts w:hAnsi="宋体" w:cs="宋体"/>
          <w:color w:val="000000"/>
        </w:rPr>
      </w:pPr>
      <w:r>
        <w:rPr>
          <w:rFonts w:hint="eastAsia" w:hAnsi="宋体" w:cs="宋体"/>
          <w:b/>
          <w:color w:val="000000"/>
        </w:rPr>
        <w:t>11.提交首次响应文件的截止时间</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11.1供应商提交首次响应文件截止时间见</w:t>
      </w:r>
      <w:r>
        <w:rPr>
          <w:rFonts w:hint="eastAsia" w:hAnsi="宋体" w:cs="宋体"/>
          <w:b/>
          <w:color w:val="000000"/>
        </w:rPr>
        <w:t>磋商须知前附表</w:t>
      </w:r>
      <w:r>
        <w:rPr>
          <w:rFonts w:hint="eastAsia" w:hAnsi="宋体" w:cs="宋体"/>
          <w:color w:val="000000"/>
        </w:rPr>
        <w:t>。</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12.磋商文件的澄清</w:t>
      </w:r>
      <w:r>
        <w:rPr>
          <w:rFonts w:hint="eastAsia" w:ascii="宋体" w:hAnsi="宋体" w:cs="宋体"/>
          <w:b/>
          <w:color w:val="000000"/>
          <w:kern w:val="0"/>
          <w:szCs w:val="21"/>
          <w:lang w:val="zh-CN"/>
        </w:rPr>
        <w:t>或者</w:t>
      </w:r>
      <w:r>
        <w:rPr>
          <w:rFonts w:hint="eastAsia" w:ascii="宋体" w:hAnsi="宋体" w:cs="宋体"/>
          <w:b/>
          <w:bCs/>
          <w:color w:val="000000"/>
          <w:szCs w:val="21"/>
        </w:rPr>
        <w:t>修改</w:t>
      </w:r>
    </w:p>
    <w:p>
      <w:pPr>
        <w:adjustRightInd w:val="0"/>
        <w:snapToGrid w:val="0"/>
        <w:spacing w:line="400" w:lineRule="exact"/>
        <w:ind w:right="-105" w:rightChars="-50" w:firstLine="420" w:firstLineChars="200"/>
        <w:rPr>
          <w:rFonts w:ascii="宋体" w:hAnsi="宋体" w:cs="宋体"/>
          <w:color w:val="000000"/>
          <w:kern w:val="0"/>
          <w:szCs w:val="21"/>
        </w:rPr>
      </w:pPr>
      <w:r>
        <w:rPr>
          <w:rFonts w:hint="eastAsia" w:ascii="宋体" w:hAnsi="宋体" w:cs="宋体"/>
          <w:color w:val="000000"/>
          <w:szCs w:val="21"/>
        </w:rPr>
        <w:t>12.1在</w:t>
      </w:r>
      <w:r>
        <w:rPr>
          <w:rFonts w:hint="eastAsia" w:ascii="宋体" w:hAnsi="宋体" w:cs="宋体"/>
          <w:bCs/>
          <w:color w:val="000000"/>
          <w:szCs w:val="21"/>
        </w:rPr>
        <w:t>本章第11.1</w:t>
      </w:r>
      <w:r>
        <w:rPr>
          <w:rFonts w:hint="eastAsia" w:ascii="宋体" w:hAnsi="宋体" w:cs="宋体"/>
          <w:color w:val="000000"/>
          <w:kern w:val="0"/>
          <w:szCs w:val="21"/>
          <w:lang w:val="zh-CN"/>
        </w:rPr>
        <w:t>款</w:t>
      </w:r>
      <w:r>
        <w:rPr>
          <w:rFonts w:hint="eastAsia" w:ascii="宋体" w:hAnsi="宋体" w:cs="宋体"/>
          <w:bCs/>
          <w:color w:val="000000"/>
          <w:szCs w:val="21"/>
        </w:rPr>
        <w:t>规定的</w:t>
      </w:r>
      <w:r>
        <w:rPr>
          <w:rFonts w:hint="eastAsia" w:ascii="宋体" w:hAnsi="宋体" w:cs="宋体"/>
          <w:color w:val="000000"/>
          <w:kern w:val="0"/>
          <w:szCs w:val="21"/>
        </w:rPr>
        <w:t xml:space="preserve">提交首次响应文件截止之日前，采购人、采购代理机构或者磋商小组可以对已发出的磋商文件进行必要的澄清或者修改。 </w:t>
      </w:r>
    </w:p>
    <w:p>
      <w:pPr>
        <w:adjustRightInd w:val="0"/>
        <w:snapToGrid w:val="0"/>
        <w:spacing w:line="400" w:lineRule="exact"/>
        <w:ind w:right="-105" w:rightChars="-50" w:firstLine="420" w:firstLineChars="200"/>
        <w:rPr>
          <w:rFonts w:ascii="宋体" w:hAnsi="宋体" w:cs="宋体"/>
          <w:color w:val="000000"/>
          <w:kern w:val="0"/>
          <w:szCs w:val="21"/>
        </w:rPr>
      </w:pPr>
      <w:r>
        <w:rPr>
          <w:rFonts w:hint="eastAsia" w:ascii="宋体" w:hAnsi="宋体" w:cs="宋体"/>
          <w:color w:val="000000"/>
          <w:szCs w:val="21"/>
        </w:rPr>
        <w:t>12.2</w:t>
      </w:r>
      <w:r>
        <w:rPr>
          <w:rFonts w:hint="eastAsia" w:ascii="宋体" w:hAnsi="宋体" w:cs="宋体"/>
          <w:color w:val="000000"/>
          <w:kern w:val="0"/>
          <w:szCs w:val="21"/>
        </w:rPr>
        <w:t>澄清或者修改的内容可能影响响应文件编制的，采购人、采购代理机构或者磋商小组应当在</w:t>
      </w:r>
      <w:r>
        <w:rPr>
          <w:rFonts w:hint="eastAsia" w:ascii="宋体" w:hAnsi="宋体" w:cs="宋体"/>
          <w:bCs/>
          <w:color w:val="000000"/>
          <w:szCs w:val="21"/>
        </w:rPr>
        <w:t>本章第11.1</w:t>
      </w:r>
      <w:r>
        <w:rPr>
          <w:rFonts w:hint="eastAsia" w:ascii="宋体" w:hAnsi="宋体" w:cs="宋体"/>
          <w:color w:val="000000"/>
          <w:kern w:val="0"/>
          <w:szCs w:val="21"/>
          <w:lang w:val="zh-CN"/>
        </w:rPr>
        <w:t>款</w:t>
      </w:r>
      <w:r>
        <w:rPr>
          <w:rFonts w:hint="eastAsia" w:ascii="宋体" w:hAnsi="宋体" w:cs="宋体"/>
          <w:bCs/>
          <w:color w:val="000000"/>
          <w:szCs w:val="21"/>
        </w:rPr>
        <w:t>规定的</w:t>
      </w:r>
      <w:r>
        <w:rPr>
          <w:rFonts w:hint="eastAsia" w:ascii="宋体" w:hAnsi="宋体" w:cs="宋体"/>
          <w:color w:val="000000"/>
          <w:kern w:val="0"/>
          <w:szCs w:val="21"/>
        </w:rPr>
        <w:t>提交首次响应文件截止之日至少5日前，以书面形式通知所有获取磋商文件的供应商，不足5日的，采购人、采购代理机构应当顺延供应商提交首次响应文件截止时间。</w:t>
      </w:r>
    </w:p>
    <w:p>
      <w:pPr>
        <w:adjustRightInd w:val="0"/>
        <w:snapToGrid w:val="0"/>
        <w:spacing w:line="400" w:lineRule="exact"/>
        <w:ind w:left="790" w:hanging="789" w:hangingChars="376"/>
        <w:rPr>
          <w:rFonts w:ascii="宋体" w:hAnsi="宋体" w:cs="宋体"/>
          <w:color w:val="000000"/>
          <w:szCs w:val="21"/>
        </w:rPr>
      </w:pPr>
      <w:r>
        <w:rPr>
          <w:rFonts w:hint="eastAsia" w:ascii="宋体" w:hAnsi="宋体" w:cs="宋体"/>
          <w:color w:val="000000"/>
          <w:szCs w:val="21"/>
        </w:rPr>
        <w:t>三、响应文件</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13.一般要求</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13.1 供应商应仔细阅读磋商文件的所有内容，按磋商文件的要求编制响应文件，并保证所提供的全部资料的真实性，以使其响应文件对磋商文件做出实质性的响应。</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 xml:space="preserve">13.2 </w:t>
      </w:r>
      <w:r>
        <w:rPr>
          <w:rFonts w:hint="eastAsia" w:ascii="宋体" w:hAnsi="宋体" w:cs="宋体"/>
          <w:color w:val="000000"/>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27"/>
        <w:adjustRightInd w:val="0"/>
        <w:snapToGrid w:val="0"/>
        <w:spacing w:line="400" w:lineRule="exact"/>
        <w:ind w:firstLine="420" w:firstLineChars="200"/>
        <w:rPr>
          <w:rFonts w:hAnsi="宋体" w:cs="宋体"/>
          <w:color w:val="000000"/>
        </w:rPr>
      </w:pPr>
      <w:r>
        <w:rPr>
          <w:rFonts w:hint="eastAsia" w:hAnsi="宋体" w:cs="宋体"/>
          <w:bCs/>
          <w:color w:val="000000"/>
        </w:rPr>
        <w:t xml:space="preserve">13.3 </w:t>
      </w:r>
      <w:r>
        <w:rPr>
          <w:rFonts w:hint="eastAsia" w:hAnsi="宋体" w:cs="宋体"/>
          <w:color w:val="000000"/>
        </w:rPr>
        <w:t>计量单位应使用我国法定计量单位，未列明时应默认为我国法定计量单位。</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13.4 响应文件应采用书面形式，电报、传真、电子邮件形式的响应文件概不接受。</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14.</w:t>
      </w:r>
      <w:r>
        <w:rPr>
          <w:rFonts w:hint="eastAsia" w:ascii="宋体" w:hAnsi="宋体" w:cs="宋体"/>
          <w:b/>
          <w:color w:val="000000"/>
          <w:szCs w:val="21"/>
        </w:rPr>
        <w:t>响应文件</w:t>
      </w:r>
      <w:r>
        <w:rPr>
          <w:rFonts w:hint="eastAsia" w:ascii="宋体" w:hAnsi="宋体" w:cs="宋体"/>
          <w:b/>
          <w:bCs/>
          <w:color w:val="000000"/>
          <w:szCs w:val="21"/>
        </w:rPr>
        <w:t>的组成</w:t>
      </w:r>
    </w:p>
    <w:p>
      <w:pPr>
        <w:pStyle w:val="27"/>
        <w:adjustRightInd w:val="0"/>
        <w:snapToGrid w:val="0"/>
        <w:spacing w:line="400" w:lineRule="exact"/>
        <w:ind w:firstLine="420" w:firstLineChars="200"/>
        <w:rPr>
          <w:rFonts w:hAnsi="宋体" w:cs="宋体"/>
          <w:color w:val="000000"/>
        </w:rPr>
      </w:pPr>
      <w:bookmarkStart w:id="29" w:name="_Toc9278"/>
      <w:r>
        <w:rPr>
          <w:rFonts w:hint="eastAsia" w:hAnsi="宋体" w:cs="宋体"/>
          <w:color w:val="000000"/>
        </w:rPr>
        <w:t>14.1响应文件包括下列内容：</w:t>
      </w:r>
      <w:bookmarkEnd w:id="29"/>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（1）磋商响应声明</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（2）保证金</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（3）供应商的资格证明材料</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（4）施工组织设计方案</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（5）技术/商务响应与偏离表</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（6）提供政府采购政策产品等证明材料</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（7）报价一览表及报价文件</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（8）供应商认为需提供的其它资料</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（9）最后报价</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14.2在磋商过程中，供应商根据</w:t>
      </w:r>
      <w:r>
        <w:rPr>
          <w:rFonts w:hint="eastAsia" w:ascii="宋体" w:hAnsi="宋体" w:cs="宋体"/>
          <w:color w:val="000000"/>
          <w:kern w:val="0"/>
          <w:szCs w:val="21"/>
        </w:rPr>
        <w:t>磋商小组要求以</w:t>
      </w:r>
      <w:r>
        <w:rPr>
          <w:rFonts w:hint="eastAsia" w:ascii="宋体" w:hAnsi="宋体" w:cs="宋体"/>
          <w:bCs/>
          <w:color w:val="000000"/>
          <w:szCs w:val="21"/>
        </w:rPr>
        <w:t>书面形式</w:t>
      </w:r>
      <w:r>
        <w:rPr>
          <w:rFonts w:hint="eastAsia" w:ascii="宋体" w:hAnsi="宋体" w:cs="宋体"/>
          <w:color w:val="000000"/>
          <w:kern w:val="0"/>
          <w:szCs w:val="21"/>
        </w:rPr>
        <w:t>提交的</w:t>
      </w:r>
      <w:r>
        <w:rPr>
          <w:rFonts w:hint="eastAsia" w:ascii="宋体" w:hAnsi="宋体" w:cs="宋体"/>
          <w:color w:val="000000"/>
          <w:szCs w:val="21"/>
        </w:rPr>
        <w:t>最后报价（或者</w:t>
      </w:r>
      <w:r>
        <w:rPr>
          <w:rFonts w:hint="eastAsia" w:ascii="宋体" w:hAnsi="宋体" w:cs="宋体"/>
          <w:bCs/>
          <w:color w:val="000000"/>
          <w:szCs w:val="21"/>
        </w:rPr>
        <w:t>重</w:t>
      </w:r>
      <w:r>
        <w:rPr>
          <w:rFonts w:hint="eastAsia" w:ascii="宋体" w:hAnsi="宋体" w:cs="宋体"/>
          <w:color w:val="000000"/>
          <w:kern w:val="0"/>
          <w:szCs w:val="21"/>
        </w:rPr>
        <w:t>新提交的响应文件)</w:t>
      </w:r>
      <w:r>
        <w:rPr>
          <w:rFonts w:hint="eastAsia" w:ascii="宋体" w:hAnsi="宋体" w:cs="宋体"/>
          <w:color w:val="000000"/>
          <w:szCs w:val="21"/>
        </w:rPr>
        <w:t>是响应文件的有效组成部分。</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14.3根据《政府采购法》第四十二条的规定，供应商无论成交与否，其响应文件不予退还。</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15.报价</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15.1供应商应当根据磋商文件要求和范围，以</w:t>
      </w:r>
      <w:r>
        <w:rPr>
          <w:rFonts w:hint="eastAsia" w:ascii="宋体" w:hAnsi="宋体" w:cs="宋体"/>
          <w:bCs/>
          <w:color w:val="000000"/>
          <w:szCs w:val="21"/>
        </w:rPr>
        <w:t>人民币</w:t>
      </w:r>
      <w:r>
        <w:rPr>
          <w:rFonts w:hint="eastAsia" w:ascii="宋体" w:hAnsi="宋体" w:cs="宋体"/>
          <w:color w:val="000000"/>
          <w:szCs w:val="21"/>
        </w:rPr>
        <w:t>报价。</w:t>
      </w:r>
    </w:p>
    <w:p>
      <w:pPr>
        <w:pStyle w:val="27"/>
        <w:adjustRightInd w:val="0"/>
        <w:snapToGrid w:val="0"/>
        <w:spacing w:line="400" w:lineRule="exact"/>
        <w:ind w:firstLine="422" w:firstLineChars="200"/>
        <w:rPr>
          <w:rFonts w:hAnsi="宋体" w:cs="宋体"/>
          <w:b/>
          <w:color w:val="000000"/>
        </w:rPr>
      </w:pPr>
      <w:r>
        <w:rPr>
          <w:rFonts w:hint="eastAsia" w:hAnsi="宋体" w:cs="宋体"/>
          <w:b/>
          <w:color w:val="000000"/>
        </w:rPr>
        <w:t>15.2最后报价在合同执行过程中是固定不变的，不得以任何理由变更。以可变更价格提交的最后报价将被认为是非实质响应而被拒绝。</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15.3</w:t>
      </w:r>
      <w:r>
        <w:rPr>
          <w:rFonts w:hint="eastAsia" w:hAnsi="宋体" w:cs="宋体"/>
          <w:color w:val="000000"/>
          <w:lang w:val="zh-CN"/>
        </w:rPr>
        <w:t>供应商</w:t>
      </w:r>
      <w:r>
        <w:rPr>
          <w:rFonts w:hint="eastAsia" w:hAnsi="宋体" w:cs="宋体"/>
          <w:color w:val="000000"/>
        </w:rPr>
        <w:t>的最后报价不得超过采购项目预算，采购项目预算或其计算方法见</w:t>
      </w:r>
      <w:r>
        <w:rPr>
          <w:rFonts w:hint="eastAsia" w:hAnsi="宋体" w:cs="宋体"/>
          <w:b/>
          <w:color w:val="000000"/>
        </w:rPr>
        <w:t>磋商须知前附表</w:t>
      </w:r>
      <w:r>
        <w:rPr>
          <w:rFonts w:hint="eastAsia" w:hAnsi="宋体" w:cs="宋体"/>
          <w:color w:val="000000"/>
        </w:rPr>
        <w:t>。</w:t>
      </w:r>
    </w:p>
    <w:p>
      <w:pPr>
        <w:pStyle w:val="27"/>
        <w:adjustRightInd w:val="0"/>
        <w:snapToGrid w:val="0"/>
        <w:spacing w:line="400" w:lineRule="exact"/>
        <w:rPr>
          <w:rFonts w:hAnsi="宋体" w:cs="宋体"/>
          <w:b/>
          <w:color w:val="000000"/>
        </w:rPr>
      </w:pPr>
      <w:r>
        <w:rPr>
          <w:rFonts w:hint="eastAsia" w:hAnsi="宋体" w:cs="宋体"/>
          <w:b/>
          <w:color w:val="000000"/>
        </w:rPr>
        <w:t>16.供应商符合磋商文件规定的证明文件</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kern w:val="0"/>
          <w:szCs w:val="21"/>
          <w:lang w:val="zh-CN"/>
        </w:rPr>
        <w:t>16.1</w:t>
      </w:r>
      <w:r>
        <w:rPr>
          <w:rFonts w:hint="eastAsia" w:ascii="宋体" w:hAnsi="宋体" w:cs="宋体"/>
          <w:color w:val="000000"/>
          <w:szCs w:val="21"/>
        </w:rPr>
        <w:t>供应商的资格文件应与首次响应文件一并提交，供应商资格应满足本章第3.1</w:t>
      </w:r>
      <w:r>
        <w:rPr>
          <w:rFonts w:hint="eastAsia" w:ascii="宋体" w:hAnsi="宋体" w:cs="宋体"/>
          <w:color w:val="000000"/>
          <w:kern w:val="0"/>
          <w:szCs w:val="21"/>
          <w:lang w:val="zh-CN"/>
        </w:rPr>
        <w:t>款</w:t>
      </w:r>
      <w:r>
        <w:rPr>
          <w:rFonts w:hint="eastAsia" w:ascii="宋体" w:hAnsi="宋体" w:cs="宋体"/>
          <w:color w:val="000000"/>
          <w:szCs w:val="21"/>
        </w:rPr>
        <w:t>规定的供应商资格条件要求。</w:t>
      </w:r>
    </w:p>
    <w:p>
      <w:pPr>
        <w:adjustRightInd w:val="0"/>
        <w:snapToGrid w:val="0"/>
        <w:spacing w:line="400" w:lineRule="exact"/>
        <w:ind w:firstLine="420" w:firstLineChars="200"/>
        <w:jc w:val="left"/>
        <w:rPr>
          <w:rFonts w:ascii="宋体" w:hAnsi="宋体" w:cs="宋体"/>
          <w:color w:val="000000"/>
          <w:kern w:val="0"/>
          <w:szCs w:val="21"/>
          <w:lang w:val="zh-CN"/>
        </w:rPr>
      </w:pPr>
      <w:r>
        <w:rPr>
          <w:rFonts w:hint="eastAsia" w:ascii="宋体" w:hAnsi="宋体" w:cs="宋体"/>
          <w:color w:val="000000"/>
          <w:szCs w:val="21"/>
        </w:rPr>
        <w:t>16.2</w:t>
      </w:r>
      <w:r>
        <w:rPr>
          <w:rFonts w:hint="eastAsia" w:ascii="宋体" w:hAnsi="宋体" w:cs="宋体"/>
          <w:color w:val="000000"/>
          <w:kern w:val="0"/>
          <w:szCs w:val="21"/>
          <w:lang w:val="zh-CN"/>
        </w:rPr>
        <w:t>供应商</w:t>
      </w:r>
      <w:r>
        <w:rPr>
          <w:rFonts w:hint="eastAsia" w:ascii="宋体" w:hAnsi="宋体" w:cs="宋体"/>
          <w:color w:val="000000"/>
          <w:szCs w:val="21"/>
        </w:rPr>
        <w:t>为联合体形式的，则应提交联合体各方资格文件、联合体协议，否则将视为非实质响应而被拒绝。</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17.保证金</w:t>
      </w:r>
    </w:p>
    <w:p>
      <w:pPr>
        <w:pStyle w:val="27"/>
        <w:adjustRightInd w:val="0"/>
        <w:snapToGrid w:val="0"/>
        <w:spacing w:line="400" w:lineRule="exact"/>
        <w:ind w:firstLine="420" w:firstLineChars="200"/>
        <w:rPr>
          <w:rFonts w:hAnsi="宋体" w:cs="宋体"/>
          <w:bCs/>
          <w:color w:val="000000"/>
        </w:rPr>
      </w:pPr>
      <w:r>
        <w:rPr>
          <w:rFonts w:hint="eastAsia" w:hAnsi="宋体" w:cs="宋体"/>
          <w:color w:val="000000"/>
        </w:rPr>
        <w:t>17.1供应商应按</w:t>
      </w:r>
      <w:r>
        <w:rPr>
          <w:rFonts w:hint="eastAsia" w:hAnsi="宋体" w:cs="宋体"/>
          <w:b/>
          <w:color w:val="000000"/>
        </w:rPr>
        <w:t>磋商须知前附表</w:t>
      </w:r>
      <w:r>
        <w:rPr>
          <w:rFonts w:hint="eastAsia" w:hAnsi="宋体" w:cs="宋体"/>
          <w:color w:val="000000"/>
        </w:rPr>
        <w:t>规定交纳</w:t>
      </w:r>
      <w:r>
        <w:rPr>
          <w:rFonts w:hint="eastAsia" w:hAnsi="宋体" w:cs="宋体"/>
          <w:bCs/>
          <w:color w:val="000000"/>
        </w:rPr>
        <w:t>保证金，保证金交纳相关要求和具体规定等详见第五章“（二）保证金”。</w:t>
      </w:r>
    </w:p>
    <w:p>
      <w:pPr>
        <w:adjustRightInd w:val="0"/>
        <w:snapToGrid w:val="0"/>
        <w:spacing w:line="400" w:lineRule="exact"/>
        <w:ind w:firstLine="420" w:firstLineChars="200"/>
        <w:rPr>
          <w:rFonts w:ascii="宋体" w:hAnsi="宋体" w:cs="宋体"/>
          <w:b/>
          <w:color w:val="000000"/>
          <w:szCs w:val="21"/>
        </w:rPr>
      </w:pPr>
      <w:r>
        <w:rPr>
          <w:rFonts w:hint="eastAsia" w:ascii="宋体" w:hAnsi="宋体" w:cs="宋体"/>
          <w:color w:val="000000"/>
          <w:szCs w:val="21"/>
        </w:rPr>
        <w:t>17.2</w:t>
      </w:r>
      <w:r>
        <w:rPr>
          <w:rFonts w:hint="eastAsia" w:ascii="宋体" w:hAnsi="宋体" w:cs="宋体"/>
          <w:color w:val="000000"/>
          <w:kern w:val="0"/>
          <w:szCs w:val="21"/>
          <w:lang w:val="zh-CN"/>
        </w:rPr>
        <w:t>供应商为联合体的，可以由联合体中的一方或者共同交纳保证金，其交纳的保证金，对联合体各方均具有约束力。</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17.3 未按磋商文件规定提交保证金的，</w:t>
      </w:r>
      <w:r>
        <w:rPr>
          <w:rFonts w:hint="eastAsia" w:hAnsi="宋体" w:cs="宋体"/>
          <w:bCs/>
          <w:color w:val="000000"/>
        </w:rPr>
        <w:t>采购人或采购代理机构应当拒绝接收供应商的响应文件</w:t>
      </w:r>
      <w:r>
        <w:rPr>
          <w:rFonts w:hint="eastAsia" w:hAnsi="宋体" w:cs="宋体"/>
          <w:color w:val="000000"/>
        </w:rPr>
        <w:t>。</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18.</w:t>
      </w:r>
      <w:r>
        <w:rPr>
          <w:rFonts w:hint="eastAsia" w:ascii="宋体" w:hAnsi="宋体" w:cs="宋体"/>
          <w:b/>
          <w:color w:val="000000"/>
          <w:szCs w:val="21"/>
        </w:rPr>
        <w:t>响应文件有效期</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18.1响应文件有效期见</w:t>
      </w:r>
      <w:r>
        <w:rPr>
          <w:rFonts w:hint="eastAsia" w:ascii="宋体" w:hAnsi="宋体" w:cs="宋体"/>
          <w:b/>
          <w:color w:val="000000"/>
          <w:szCs w:val="21"/>
        </w:rPr>
        <w:t>磋商须知前附表</w:t>
      </w:r>
      <w:r>
        <w:rPr>
          <w:rFonts w:hint="eastAsia" w:ascii="宋体" w:hAnsi="宋体" w:cs="宋体"/>
          <w:color w:val="000000"/>
          <w:szCs w:val="21"/>
        </w:rPr>
        <w:t>，在此期间响应文件对供应商具有法律约束力，从</w:t>
      </w:r>
      <w:r>
        <w:rPr>
          <w:rFonts w:hint="eastAsia" w:ascii="宋体" w:hAnsi="宋体" w:cs="宋体"/>
          <w:color w:val="000000"/>
          <w:kern w:val="0"/>
          <w:szCs w:val="21"/>
        </w:rPr>
        <w:t>提交首次响应文件截止时间</w:t>
      </w:r>
      <w:r>
        <w:rPr>
          <w:rFonts w:hint="eastAsia" w:ascii="宋体" w:hAnsi="宋体" w:cs="宋体"/>
          <w:color w:val="000000"/>
          <w:szCs w:val="21"/>
        </w:rPr>
        <w:t>之日起计算。响应文件有效期不足的将被视为无效响应。</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19.响应文件的签署及规定</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19.1响应文件的正本和副本应装订成册，正本一份，副本份数见</w:t>
      </w:r>
      <w:r>
        <w:rPr>
          <w:rFonts w:hint="eastAsia" w:hAnsi="宋体" w:cs="宋体"/>
          <w:b/>
          <w:color w:val="000000"/>
        </w:rPr>
        <w:t>磋商须知前附表</w:t>
      </w:r>
      <w:r>
        <w:rPr>
          <w:rFonts w:hint="eastAsia" w:hAnsi="宋体" w:cs="宋体"/>
          <w:color w:val="000000"/>
        </w:rPr>
        <w:t>。正本和副本的封面上应标记“正本”或“副本”的字样，当正本和副本有差异时，以正本为准。</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19.2 响应文件正本和副本应按磋商文件要求盖章签署。任何加行、涂改、增删，应有法定代表人或其委托代理人在旁边签字，否则，将不予认可，视同偏离处理。</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19.3 在磋商过程中，供应商按磋商文件规定和磋商小组要求提交的最后报价(或者重新提交的响应文件)，可打印或用不褪色墨水书写，但需经法定代表人或其委托代理人签字，或者加盖供应商单位公章。由授权代表签字的，应当附法定代表人授权书。供应商为自然人的，应当由本人签字并附身份证明。否则，将导致响应文件无效。</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四、响应文件的递交</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20.</w:t>
      </w:r>
      <w:r>
        <w:rPr>
          <w:rFonts w:hint="eastAsia" w:ascii="宋体" w:hAnsi="宋体" w:cs="宋体"/>
          <w:b/>
          <w:color w:val="000000"/>
          <w:szCs w:val="21"/>
        </w:rPr>
        <w:t>响应文件</w:t>
      </w:r>
      <w:r>
        <w:rPr>
          <w:rFonts w:hint="eastAsia" w:ascii="宋体" w:hAnsi="宋体" w:cs="宋体"/>
          <w:b/>
          <w:bCs/>
          <w:color w:val="000000"/>
          <w:szCs w:val="21"/>
        </w:rPr>
        <w:t>的密封和标记</w:t>
      </w:r>
    </w:p>
    <w:p>
      <w:pPr>
        <w:pStyle w:val="27"/>
        <w:adjustRightInd w:val="0"/>
        <w:snapToGrid w:val="0"/>
        <w:spacing w:line="400" w:lineRule="exact"/>
        <w:ind w:firstLine="420" w:firstLineChars="200"/>
        <w:rPr>
          <w:rFonts w:hAnsi="宋体" w:cs="宋体"/>
          <w:color w:val="000000"/>
          <w:lang w:val="zh-CN"/>
        </w:rPr>
      </w:pPr>
      <w:r>
        <w:rPr>
          <w:rFonts w:hint="eastAsia" w:hAnsi="宋体" w:cs="宋体"/>
          <w:color w:val="000000"/>
          <w:lang w:val="zh-CN"/>
        </w:rPr>
        <w:t>20.1响应文件应密封包装，加贴封条，并在封套的封口处（封套两端折叠封口处）盖供应商单位章或者由法定代表人或其委托代理人签字。</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20.2响应文件封套上应写明的内容见</w:t>
      </w:r>
      <w:r>
        <w:rPr>
          <w:rFonts w:hint="eastAsia" w:ascii="宋体" w:hAnsi="宋体" w:cs="宋体"/>
          <w:b/>
          <w:color w:val="000000"/>
          <w:szCs w:val="21"/>
        </w:rPr>
        <w:t>磋商须知前附表。</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20.3响应文件如果未按上述规定密封和加写标记，采购人或采购代理机构将拒绝接收。</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21.响应文件的</w:t>
      </w:r>
      <w:r>
        <w:rPr>
          <w:rFonts w:hint="eastAsia" w:ascii="宋体" w:hAnsi="宋体" w:cs="宋体"/>
          <w:b/>
          <w:color w:val="000000"/>
          <w:kern w:val="0"/>
          <w:szCs w:val="21"/>
          <w:lang w:val="zh-CN"/>
        </w:rPr>
        <w:t>补充、修改或者撤回</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21.1供应商在提交首次响应文件截止时间前，可以对所提交的首次响应文件进行补充、修改或者撤回，并书面通知采购人、采购代理机构。该通知应有供应商法定代表人或其委托代理人签字。</w:t>
      </w:r>
    </w:p>
    <w:p>
      <w:pPr>
        <w:pStyle w:val="27"/>
        <w:adjustRightInd w:val="0"/>
        <w:snapToGrid w:val="0"/>
        <w:spacing w:line="400" w:lineRule="exact"/>
        <w:ind w:firstLine="420" w:firstLineChars="200"/>
        <w:rPr>
          <w:rFonts w:hAnsi="宋体" w:cs="宋体"/>
          <w:color w:val="000000"/>
          <w:lang w:val="zh-CN"/>
        </w:rPr>
      </w:pPr>
      <w:r>
        <w:rPr>
          <w:rFonts w:hint="eastAsia" w:hAnsi="宋体" w:cs="宋体"/>
          <w:color w:val="000000"/>
        </w:rPr>
        <w:t>21.2</w:t>
      </w:r>
      <w:r>
        <w:rPr>
          <w:rFonts w:hint="eastAsia" w:hAnsi="宋体" w:cs="宋体"/>
          <w:color w:val="000000"/>
          <w:lang w:val="zh-CN"/>
        </w:rPr>
        <w:t>补充、修改的内容与响应文件不一致时，以补充、修改的内容为准。</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21.3供应商在提交首次响应文件截止之日前修改报价一览表中的报价的，应同时修改其按第五章要求填写的相应表格中的报价。</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22.响应文件的递交与接收</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22.1 供应商应</w:t>
      </w:r>
      <w:r>
        <w:rPr>
          <w:rFonts w:hint="eastAsia" w:ascii="宋体" w:hAnsi="宋体" w:cs="宋体"/>
          <w:color w:val="000000"/>
          <w:kern w:val="0"/>
          <w:szCs w:val="21"/>
        </w:rPr>
        <w:t>提交首次响应文件截止时间</w:t>
      </w:r>
      <w:r>
        <w:rPr>
          <w:rFonts w:hint="eastAsia" w:ascii="宋体" w:hAnsi="宋体" w:cs="宋体"/>
          <w:color w:val="000000"/>
          <w:szCs w:val="21"/>
        </w:rPr>
        <w:t>前，将响应文件送达</w:t>
      </w:r>
      <w:r>
        <w:rPr>
          <w:rFonts w:hint="eastAsia" w:ascii="宋体" w:hAnsi="宋体" w:cs="宋体"/>
          <w:b/>
          <w:color w:val="000000"/>
          <w:szCs w:val="21"/>
        </w:rPr>
        <w:t>磋商须知前附表</w:t>
      </w:r>
      <w:r>
        <w:rPr>
          <w:rFonts w:hint="eastAsia" w:ascii="宋体" w:hAnsi="宋体" w:cs="宋体"/>
          <w:color w:val="000000"/>
          <w:szCs w:val="21"/>
        </w:rPr>
        <w:t>中指定的地点。</w:t>
      </w:r>
      <w:r>
        <w:rPr>
          <w:rFonts w:hint="eastAsia" w:ascii="宋体" w:hAnsi="宋体" w:cs="宋体"/>
          <w:color w:val="000000"/>
          <w:kern w:val="0"/>
          <w:szCs w:val="21"/>
        </w:rPr>
        <w:t>在截止时间后送达的响应文件，采购人、采购代理机构或者磋商小组应当拒收。</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22.2在提交首次响应文件截止时间后，由供应商代表当场查验响应文件的密封状况，采购人或采购代理机构不当场拆封响应文件。</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22.3 磋商文件中凡标明“原件备查”的，原件均可以不随响应文件一并密封提交，在评审过程中再酌情审验。</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五、响应文件的评审与磋商</w:t>
      </w:r>
    </w:p>
    <w:p>
      <w:pPr>
        <w:tabs>
          <w:tab w:val="left" w:pos="0"/>
        </w:tabs>
        <w:adjustRightInd w:val="0"/>
        <w:snapToGrid w:val="0"/>
        <w:spacing w:line="400" w:lineRule="exact"/>
        <w:rPr>
          <w:rFonts w:ascii="宋体" w:hAnsi="宋体" w:cs="宋体"/>
          <w:b/>
          <w:color w:val="000000"/>
          <w:szCs w:val="21"/>
        </w:rPr>
      </w:pPr>
      <w:r>
        <w:rPr>
          <w:rFonts w:hint="eastAsia" w:ascii="宋体" w:hAnsi="宋体" w:cs="宋体"/>
          <w:b/>
          <w:color w:val="000000"/>
          <w:szCs w:val="21"/>
        </w:rPr>
        <w:t>23.供应商资格审查</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23.1磋商</w:t>
      </w:r>
      <w:r>
        <w:rPr>
          <w:rFonts w:hint="eastAsia" w:ascii="宋体" w:hAnsi="宋体" w:cs="宋体"/>
          <w:bCs/>
          <w:color w:val="000000"/>
          <w:szCs w:val="21"/>
        </w:rPr>
        <w:t>小组将</w:t>
      </w:r>
      <w:r>
        <w:rPr>
          <w:rFonts w:hint="eastAsia" w:ascii="宋体" w:hAnsi="宋体" w:cs="宋体"/>
          <w:color w:val="000000"/>
          <w:szCs w:val="21"/>
        </w:rPr>
        <w:t>对供应商提供的资格证明材料进行审查。不满足资格条件的，视为无效响应。</w:t>
      </w:r>
    </w:p>
    <w:p>
      <w:pPr>
        <w:adjustRightInd w:val="0"/>
        <w:snapToGrid w:val="0"/>
        <w:spacing w:line="400" w:lineRule="exact"/>
        <w:ind w:firstLine="420" w:firstLineChars="200"/>
        <w:jc w:val="left"/>
        <w:rPr>
          <w:rFonts w:ascii="宋体" w:hAnsi="宋体" w:cs="宋体"/>
          <w:color w:val="000000"/>
          <w:kern w:val="0"/>
          <w:szCs w:val="21"/>
          <w:lang w:val="zh-CN"/>
        </w:rPr>
      </w:pPr>
      <w:r>
        <w:rPr>
          <w:rFonts w:hint="eastAsia" w:ascii="宋体" w:hAnsi="宋体" w:cs="宋体"/>
          <w:color w:val="000000"/>
          <w:szCs w:val="21"/>
        </w:rPr>
        <w:t>23.2供应商</w:t>
      </w:r>
      <w:r>
        <w:rPr>
          <w:rFonts w:hint="eastAsia" w:ascii="宋体" w:hAnsi="宋体" w:cs="宋体"/>
          <w:color w:val="000000"/>
          <w:kern w:val="0"/>
          <w:szCs w:val="21"/>
          <w:lang w:val="zh-CN"/>
        </w:rPr>
        <w:t>为联合体的，</w:t>
      </w:r>
      <w:r>
        <w:rPr>
          <w:rFonts w:hint="eastAsia" w:ascii="宋体" w:hAnsi="宋体" w:cs="宋体"/>
          <w:color w:val="000000"/>
          <w:szCs w:val="21"/>
        </w:rPr>
        <w:t>磋商</w:t>
      </w:r>
      <w:r>
        <w:rPr>
          <w:rFonts w:hint="eastAsia" w:ascii="宋体" w:hAnsi="宋体" w:cs="宋体"/>
          <w:bCs/>
          <w:color w:val="000000"/>
          <w:szCs w:val="21"/>
        </w:rPr>
        <w:t>小组将</w:t>
      </w:r>
      <w:r>
        <w:rPr>
          <w:rFonts w:hint="eastAsia" w:ascii="宋体" w:hAnsi="宋体" w:cs="宋体"/>
          <w:color w:val="000000"/>
          <w:szCs w:val="21"/>
        </w:rPr>
        <w:t>根据本章第6.2</w:t>
      </w:r>
      <w:r>
        <w:rPr>
          <w:rFonts w:hint="eastAsia" w:ascii="宋体" w:hAnsi="宋体" w:cs="宋体"/>
          <w:color w:val="000000"/>
          <w:kern w:val="0"/>
          <w:szCs w:val="21"/>
          <w:lang w:val="zh-CN"/>
        </w:rPr>
        <w:t>款</w:t>
      </w:r>
      <w:r>
        <w:rPr>
          <w:rFonts w:hint="eastAsia" w:ascii="宋体" w:hAnsi="宋体" w:cs="宋体"/>
          <w:color w:val="000000"/>
          <w:szCs w:val="21"/>
        </w:rPr>
        <w:t>的规定对联合体各方资格文件、联合体协议进行审查，不满足资格条件的，视为无效响应。</w:t>
      </w:r>
    </w:p>
    <w:p>
      <w:pPr>
        <w:tabs>
          <w:tab w:val="left" w:pos="0"/>
        </w:tabs>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24.磋商程序</w:t>
      </w:r>
    </w:p>
    <w:p>
      <w:pPr>
        <w:widowControl/>
        <w:adjustRightInd w:val="0"/>
        <w:snapToGrid w:val="0"/>
        <w:spacing w:line="400" w:lineRule="exact"/>
        <w:ind w:firstLine="420"/>
        <w:jc w:val="left"/>
        <w:rPr>
          <w:rFonts w:ascii="宋体" w:hAnsi="宋体" w:cs="宋体"/>
          <w:bCs/>
          <w:color w:val="000000"/>
          <w:szCs w:val="21"/>
        </w:rPr>
      </w:pPr>
      <w:r>
        <w:rPr>
          <w:rFonts w:hint="eastAsia" w:ascii="宋体" w:hAnsi="宋体" w:cs="宋体"/>
          <w:color w:val="000000"/>
          <w:kern w:val="0"/>
          <w:szCs w:val="21"/>
        </w:rPr>
        <w:t>24.1磋商程序：初步审查、磋商（包括澄清、实质性响应审查）、最后报价、综合评分、推荐</w:t>
      </w:r>
      <w:r>
        <w:rPr>
          <w:rFonts w:hint="eastAsia" w:ascii="宋体" w:hAnsi="宋体" w:cs="宋体"/>
          <w:bCs/>
          <w:color w:val="000000"/>
          <w:szCs w:val="21"/>
        </w:rPr>
        <w:t>成交供应商。</w:t>
      </w:r>
    </w:p>
    <w:p>
      <w:pPr>
        <w:widowControl/>
        <w:adjustRightInd w:val="0"/>
        <w:snapToGrid w:val="0"/>
        <w:spacing w:line="400" w:lineRule="exact"/>
        <w:rPr>
          <w:rFonts w:ascii="宋体" w:hAnsi="宋体" w:cs="宋体"/>
          <w:b/>
          <w:color w:val="000000"/>
          <w:kern w:val="0"/>
          <w:szCs w:val="21"/>
        </w:rPr>
      </w:pPr>
      <w:r>
        <w:rPr>
          <w:rFonts w:hint="eastAsia" w:ascii="宋体" w:hAnsi="宋体" w:cs="宋体"/>
          <w:b/>
          <w:color w:val="000000"/>
          <w:kern w:val="0"/>
          <w:szCs w:val="21"/>
        </w:rPr>
        <w:t>25.初步审查</w:t>
      </w:r>
    </w:p>
    <w:p>
      <w:pPr>
        <w:widowControl/>
        <w:adjustRightInd w:val="0"/>
        <w:snapToGrid w:val="0"/>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25.1磋商小组应当对供应商提交的首次响应文件进行初步审查。</w:t>
      </w:r>
      <w:r>
        <w:rPr>
          <w:rFonts w:hint="eastAsia" w:ascii="宋体" w:hAnsi="宋体" w:cs="宋体"/>
          <w:bCs/>
          <w:color w:val="000000"/>
          <w:szCs w:val="21"/>
        </w:rPr>
        <w:t>响应文件有下列情况之一，</w:t>
      </w:r>
      <w:r>
        <w:rPr>
          <w:rFonts w:hint="eastAsia" w:ascii="宋体" w:hAnsi="宋体" w:cs="宋体"/>
          <w:color w:val="000000"/>
          <w:kern w:val="0"/>
          <w:szCs w:val="21"/>
          <w:lang w:val="zh-CN"/>
        </w:rPr>
        <w:t>其响应文件无效，</w:t>
      </w:r>
      <w:r>
        <w:rPr>
          <w:rFonts w:hint="eastAsia" w:ascii="宋体" w:hAnsi="宋体" w:cs="宋体"/>
          <w:color w:val="000000"/>
          <w:kern w:val="0"/>
          <w:szCs w:val="21"/>
        </w:rPr>
        <w:t>磋商小组应当告知有关供应商。</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color w:val="000000"/>
          <w:kern w:val="0"/>
          <w:szCs w:val="21"/>
        </w:rPr>
        <w:t>（1）</w:t>
      </w:r>
      <w:r>
        <w:rPr>
          <w:rFonts w:hint="eastAsia" w:ascii="宋体" w:hAnsi="宋体" w:cs="宋体"/>
          <w:color w:val="000000"/>
          <w:szCs w:val="21"/>
        </w:rPr>
        <w:t>应交未交保证金或金额不足、保函有效期不足、保证金形式或保函出证机构不符合磋商文件要求的；</w:t>
      </w:r>
    </w:p>
    <w:p>
      <w:pPr>
        <w:tabs>
          <w:tab w:val="left" w:pos="735"/>
          <w:tab w:val="left" w:pos="7560"/>
          <w:tab w:val="left" w:pos="7740"/>
          <w:tab w:val="left" w:pos="7920"/>
        </w:tabs>
        <w:adjustRightInd w:val="0"/>
        <w:snapToGrid w:val="0"/>
        <w:spacing w:line="400" w:lineRule="exact"/>
        <w:ind w:right="300" w:rightChars="143" w:firstLine="420" w:firstLineChars="200"/>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szCs w:val="21"/>
        </w:rPr>
        <w:t>未按照磋商文件要求签署、盖章的；</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szCs w:val="21"/>
        </w:rPr>
        <w:t>响应</w:t>
      </w:r>
      <w:r>
        <w:rPr>
          <w:rFonts w:hint="eastAsia" w:ascii="宋体" w:hAnsi="宋体" w:cs="宋体"/>
          <w:color w:val="000000"/>
          <w:kern w:val="0"/>
          <w:szCs w:val="21"/>
        </w:rPr>
        <w:t>文件有效期不符合磋商文件要求的；</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（4）不符合法律、规章、规范性文件和磋商文件中其他无效情形规定的。</w:t>
      </w:r>
    </w:p>
    <w:p>
      <w:pPr>
        <w:widowControl/>
        <w:adjustRightInd w:val="0"/>
        <w:snapToGrid w:val="0"/>
        <w:spacing w:line="400" w:lineRule="exact"/>
        <w:jc w:val="left"/>
        <w:rPr>
          <w:rFonts w:ascii="宋体" w:hAnsi="宋体" w:cs="宋体"/>
          <w:b/>
          <w:color w:val="000000"/>
          <w:kern w:val="0"/>
          <w:szCs w:val="21"/>
        </w:rPr>
      </w:pPr>
      <w:r>
        <w:rPr>
          <w:rFonts w:hint="eastAsia" w:ascii="宋体" w:hAnsi="宋体" w:cs="宋体"/>
          <w:b/>
          <w:color w:val="000000"/>
          <w:kern w:val="0"/>
          <w:szCs w:val="21"/>
        </w:rPr>
        <w:t>26.澄清</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26.1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26.2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26.3报价计算错误修正的原则：报价的大写金额和小写金额不一致的，以大写金额为准；总价金额与按分项报价汇总金额不一致的，以分项报价金额计算结果为准；分项报价金额小数点有明显错位的，应以总价为准，并修改分项报价。</w:t>
      </w:r>
    </w:p>
    <w:p>
      <w:pPr>
        <w:pStyle w:val="27"/>
        <w:adjustRightInd w:val="0"/>
        <w:snapToGrid w:val="0"/>
        <w:spacing w:line="400" w:lineRule="exact"/>
        <w:rPr>
          <w:rFonts w:hAnsi="宋体" w:cs="宋体"/>
          <w:b/>
          <w:color w:val="000000"/>
        </w:rPr>
      </w:pPr>
      <w:r>
        <w:rPr>
          <w:rFonts w:hint="eastAsia" w:hAnsi="宋体" w:cs="宋体"/>
          <w:b/>
          <w:color w:val="000000"/>
        </w:rPr>
        <w:t>27.实质性响应审查</w:t>
      </w:r>
    </w:p>
    <w:p>
      <w:pPr>
        <w:pStyle w:val="27"/>
        <w:adjustRightInd w:val="0"/>
        <w:snapToGrid w:val="0"/>
        <w:spacing w:line="400" w:lineRule="exact"/>
        <w:ind w:firstLine="420" w:firstLineChars="200"/>
        <w:rPr>
          <w:rFonts w:hAnsi="宋体" w:cs="宋体"/>
          <w:color w:val="000000"/>
          <w:u w:val="single"/>
        </w:rPr>
      </w:pPr>
      <w:r>
        <w:rPr>
          <w:rFonts w:hint="eastAsia" w:hAnsi="宋体" w:cs="宋体"/>
          <w:color w:val="000000"/>
        </w:rPr>
        <w:t>27.1实质性响应是指响应文件(包括首次响应文件、重新提交的响应文件)与磋商文件要求的所有条款、条件和规格相符，没有偏离。偏离指不满足、或不响应磋商文件的要求。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400" w:lineRule="exact"/>
        <w:ind w:right="23" w:rightChars="11" w:firstLine="420" w:firstLineChars="200"/>
        <w:rPr>
          <w:rFonts w:ascii="宋体" w:hAnsi="宋体" w:cs="宋体"/>
          <w:color w:val="000000"/>
          <w:szCs w:val="21"/>
        </w:rPr>
      </w:pPr>
      <w:r>
        <w:rPr>
          <w:rFonts w:hint="eastAsia" w:ascii="宋体" w:hAnsi="宋体" w:cs="宋体"/>
          <w:color w:val="000000"/>
          <w:szCs w:val="21"/>
        </w:rPr>
        <w:t>27.2响应文件是否实质性响应磋商文件要求由磋商小组依据磋商文件规定认定。</w:t>
      </w:r>
      <w:r>
        <w:rPr>
          <w:rFonts w:hint="eastAsia" w:ascii="宋体" w:hAnsi="宋体" w:cs="宋体"/>
          <w:color w:val="000000"/>
          <w:kern w:val="0"/>
          <w:szCs w:val="21"/>
        </w:rPr>
        <w:t>磋商小组</w:t>
      </w:r>
      <w:r>
        <w:rPr>
          <w:rFonts w:hint="eastAsia" w:ascii="宋体" w:hAnsi="宋体" w:cs="宋体"/>
          <w:color w:val="000000"/>
          <w:szCs w:val="21"/>
        </w:rPr>
        <w:t>决定响应文件的响应性只根据响应文件本身的真实无误的内容，而不依据外部的证据。</w:t>
      </w:r>
    </w:p>
    <w:p>
      <w:pPr>
        <w:tabs>
          <w:tab w:val="left" w:pos="0"/>
          <w:tab w:val="left" w:pos="7560"/>
          <w:tab w:val="left" w:pos="7740"/>
          <w:tab w:val="left" w:pos="7920"/>
        </w:tabs>
        <w:adjustRightInd w:val="0"/>
        <w:snapToGrid w:val="0"/>
        <w:spacing w:line="400" w:lineRule="exact"/>
        <w:ind w:right="23" w:rightChars="11" w:firstLine="420" w:firstLineChars="200"/>
        <w:rPr>
          <w:rFonts w:ascii="宋体" w:hAnsi="宋体" w:cs="宋体"/>
          <w:color w:val="000000"/>
          <w:szCs w:val="21"/>
        </w:rPr>
      </w:pPr>
      <w:r>
        <w:rPr>
          <w:rFonts w:hint="eastAsia" w:ascii="宋体" w:hAnsi="宋体" w:cs="宋体"/>
          <w:color w:val="000000"/>
          <w:szCs w:val="21"/>
        </w:rPr>
        <w:t>27.3</w:t>
      </w:r>
      <w:r>
        <w:rPr>
          <w:rFonts w:hint="eastAsia" w:ascii="宋体" w:hAnsi="宋体" w:cs="宋体"/>
          <w:color w:val="000000"/>
          <w:kern w:val="0"/>
          <w:szCs w:val="21"/>
        </w:rPr>
        <w:t>对磋商文件中能够详细列明标的的技术、服务要求的，磋商小组应对响应文件进行实质性响应审查。供应商响应文件有下列情况之一，其响应文件无效（供应商不参加磋商），磋商小组应当告知有关供应商：</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（1）不满足磋商文件规定的实质性要求的（包括偏离表无相对应实质响应内容的）；</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（2）不符合法律、规章、规范性文件规定的。</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27.4磋商文件不能详细列明采购标的的技术、服务要求的或磋商小组根据磋商文件和磋商情况实质性变动采购需求中的技术、服务要求以及合同草案条款的，磋商小组将对首次响应文件及重新提交的响应文件作实质性响应审查。</w:t>
      </w:r>
    </w:p>
    <w:p>
      <w:pPr>
        <w:tabs>
          <w:tab w:val="left" w:pos="0"/>
          <w:tab w:val="left" w:pos="7560"/>
          <w:tab w:val="left" w:pos="7740"/>
          <w:tab w:val="left" w:pos="7920"/>
        </w:tabs>
        <w:adjustRightInd w:val="0"/>
        <w:snapToGrid w:val="0"/>
        <w:spacing w:line="400" w:lineRule="exact"/>
        <w:ind w:right="23" w:rightChars="11" w:firstLine="420" w:firstLineChars="200"/>
        <w:rPr>
          <w:rFonts w:ascii="宋体" w:hAnsi="宋体" w:cs="宋体"/>
          <w:color w:val="000000"/>
          <w:szCs w:val="21"/>
        </w:rPr>
      </w:pPr>
      <w:r>
        <w:rPr>
          <w:rFonts w:hint="eastAsia" w:ascii="宋体" w:hAnsi="宋体" w:cs="宋体"/>
          <w:color w:val="000000"/>
          <w:szCs w:val="21"/>
        </w:rPr>
        <w:t>27.5未实质性响应磋商文件的响应文件按无效响应处理，磋商小组应当告知提交相应文件的供应商。</w:t>
      </w:r>
    </w:p>
    <w:p>
      <w:pPr>
        <w:widowControl/>
        <w:adjustRightInd w:val="0"/>
        <w:snapToGrid w:val="0"/>
        <w:spacing w:line="400" w:lineRule="exact"/>
        <w:jc w:val="left"/>
        <w:rPr>
          <w:rFonts w:ascii="宋体" w:hAnsi="宋体" w:cs="宋体"/>
          <w:b/>
          <w:color w:val="000000"/>
          <w:kern w:val="0"/>
          <w:szCs w:val="21"/>
        </w:rPr>
      </w:pPr>
      <w:r>
        <w:rPr>
          <w:rFonts w:hint="eastAsia" w:ascii="宋体" w:hAnsi="宋体" w:cs="宋体"/>
          <w:b/>
          <w:color w:val="000000"/>
          <w:kern w:val="0"/>
          <w:szCs w:val="21"/>
        </w:rPr>
        <w:t>28.磋商与最后报价</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28.1磋商小组应当集中与单一供应商分别进行磋商，并给予所有参加磋商的供应商平等的磋商机会。供应商应派其法定代表人或委托代理人参加磋商。</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28.2磋商文件能够详细列明采购标的的技术、服务要求的，磋商结束后，磋商小组应当要求所有实质性响应的供应商在规定时间内提交最后报价，提交最后报价的供应商不得少于3家。</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28.3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磋商小组将按27.4条对重新提交的响应文件进行实质性响应审查。磋商结束后，磋商小组应当要求所有实质性响应的供应商在规定的时间内提交最后报价，提交最后报价的供应商不得少于3家</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28.4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28.5最后报价是供应商响应文件的有效组成部分。符合《政府采购竞争性磋商采购方式管理暂行办法》（财库[2014]214号）中第三条第四项情形的，提交最后报价的供应商可以为2家。</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28.6已提交首次响应文件的供应商，在提交最后报价之前，可以根据磋商情况退出磋商，并书面通知磋商小组，</w:t>
      </w:r>
      <w:r>
        <w:rPr>
          <w:rFonts w:hint="eastAsia" w:ascii="宋体" w:hAnsi="宋体" w:cs="宋体"/>
          <w:color w:val="000000"/>
          <w:szCs w:val="21"/>
        </w:rPr>
        <w:t>该通知由供应商法定代表人或其委托代理人签字。采购人、</w:t>
      </w:r>
      <w:r>
        <w:rPr>
          <w:rFonts w:hint="eastAsia" w:ascii="宋体" w:hAnsi="宋体" w:cs="宋体"/>
          <w:color w:val="000000"/>
          <w:kern w:val="0"/>
          <w:szCs w:val="21"/>
        </w:rPr>
        <w:t>采购代理机构退还退出磋商的供应商的保证金。</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s="宋体"/>
          <w:bCs/>
          <w:color w:val="000000"/>
          <w:szCs w:val="21"/>
        </w:rPr>
        <w:t>28.7</w:t>
      </w:r>
      <w:r>
        <w:rPr>
          <w:rFonts w:hint="eastAsia" w:ascii="宋体" w:hAnsi="宋体" w:cs="宋体"/>
          <w:color w:val="000000"/>
          <w:kern w:val="0"/>
          <w:szCs w:val="21"/>
        </w:rPr>
        <w:t>提交首次响应文件的供应商，未按磋商文件规定及磋商小组要求提交最后报价(或者</w:t>
      </w:r>
      <w:r>
        <w:rPr>
          <w:rFonts w:hint="eastAsia" w:ascii="宋体" w:hAnsi="宋体" w:cs="宋体"/>
          <w:bCs/>
          <w:color w:val="000000"/>
          <w:szCs w:val="21"/>
        </w:rPr>
        <w:t>重</w:t>
      </w:r>
      <w:r>
        <w:rPr>
          <w:rFonts w:hint="eastAsia" w:ascii="宋体" w:hAnsi="宋体" w:cs="宋体"/>
          <w:color w:val="000000"/>
          <w:kern w:val="0"/>
          <w:szCs w:val="21"/>
        </w:rPr>
        <w:t>新提交的响应文件)，且又未按本章第2</w:t>
      </w:r>
      <w:r>
        <w:rPr>
          <w:rFonts w:hint="eastAsia" w:ascii="宋体" w:hAnsi="宋体" w:cs="宋体"/>
          <w:color w:val="000000"/>
          <w:szCs w:val="21"/>
        </w:rPr>
        <w:t>8.6</w:t>
      </w:r>
      <w:r>
        <w:rPr>
          <w:rFonts w:hint="eastAsia" w:ascii="宋体" w:hAnsi="宋体" w:cs="宋体"/>
          <w:color w:val="000000"/>
          <w:kern w:val="0"/>
          <w:szCs w:val="21"/>
          <w:lang w:val="zh-CN"/>
        </w:rPr>
        <w:t>款</w:t>
      </w:r>
      <w:r>
        <w:rPr>
          <w:rFonts w:hint="eastAsia" w:ascii="宋体" w:hAnsi="宋体" w:cs="宋体"/>
          <w:color w:val="000000"/>
          <w:szCs w:val="21"/>
        </w:rPr>
        <w:t>规定</w:t>
      </w:r>
      <w:r>
        <w:rPr>
          <w:rFonts w:hint="eastAsia" w:ascii="宋体" w:hAnsi="宋体" w:cs="宋体"/>
          <w:color w:val="000000"/>
          <w:kern w:val="0"/>
          <w:szCs w:val="21"/>
        </w:rPr>
        <w:t>退出磋商的，供应商的保证金不予退还。</w:t>
      </w:r>
    </w:p>
    <w:p>
      <w:pPr>
        <w:tabs>
          <w:tab w:val="left" w:pos="420"/>
          <w:tab w:val="left" w:pos="7560"/>
          <w:tab w:val="left" w:pos="7740"/>
          <w:tab w:val="left" w:pos="7920"/>
        </w:tabs>
        <w:adjustRightInd w:val="0"/>
        <w:snapToGrid w:val="0"/>
        <w:spacing w:line="400" w:lineRule="exact"/>
        <w:rPr>
          <w:rFonts w:ascii="宋体" w:hAnsi="宋体" w:cs="宋体"/>
          <w:b/>
          <w:color w:val="000000"/>
          <w:szCs w:val="21"/>
        </w:rPr>
      </w:pPr>
      <w:r>
        <w:rPr>
          <w:rFonts w:hint="eastAsia" w:ascii="宋体" w:hAnsi="宋体" w:cs="宋体"/>
          <w:b/>
          <w:color w:val="000000"/>
          <w:szCs w:val="21"/>
        </w:rPr>
        <w:t>29.综合评分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29.1经磋商确定最终采购需求和提交最后报价的供应商后，由磋商小组采用综合评分法对提交最后报价的供应商的响应文件和最后报价进行综合评分。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综合评分法，是指响应文件满足磋商文件全部实质性要求且按评审因素的量化指标评审得分最高的供应商为成交候选供应商的评审方法。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29.2评审时，磋商小组各成员应当独立对每个有效响应的文件进行评价、打分，然后汇总每个供应商每项评分因素的得分。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29.3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29.4综合评分表（见附页1）</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30.推荐成交供应商</w:t>
      </w:r>
    </w:p>
    <w:p>
      <w:pPr>
        <w:widowControl/>
        <w:adjustRightInd w:val="0"/>
        <w:snapToGrid w:val="0"/>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30.1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pPr>
        <w:widowControl/>
        <w:adjustRightInd w:val="0"/>
        <w:snapToGrid w:val="0"/>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30.2评分计算方法解释</w:t>
      </w:r>
    </w:p>
    <w:p>
      <w:pPr>
        <w:widowControl/>
        <w:adjustRightInd w:val="0"/>
        <w:snapToGrid w:val="0"/>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（1）供应商的评审得分是指所有磋商小组成员对其评分的算术平均值。</w:t>
      </w:r>
    </w:p>
    <w:p>
      <w:pPr>
        <w:widowControl/>
        <w:adjustRightInd w:val="0"/>
        <w:snapToGrid w:val="0"/>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（2）计算过程中，算术平均值保留2位小数（百分比亦取2位小数），第三位小数四舍五入。</w:t>
      </w:r>
    </w:p>
    <w:p>
      <w:pPr>
        <w:widowControl/>
        <w:adjustRightInd w:val="0"/>
        <w:snapToGrid w:val="0"/>
        <w:spacing w:line="400" w:lineRule="exact"/>
        <w:jc w:val="left"/>
        <w:rPr>
          <w:rFonts w:ascii="宋体" w:hAnsi="宋体" w:cs="宋体"/>
          <w:b/>
          <w:bCs/>
          <w:color w:val="000000"/>
          <w:szCs w:val="21"/>
        </w:rPr>
      </w:pPr>
      <w:r>
        <w:rPr>
          <w:rFonts w:hint="eastAsia" w:ascii="宋体" w:hAnsi="宋体" w:cs="宋体"/>
          <w:b/>
          <w:bCs/>
          <w:color w:val="000000"/>
          <w:szCs w:val="21"/>
        </w:rPr>
        <w:t>31.确定成交供应商</w:t>
      </w:r>
    </w:p>
    <w:p>
      <w:pPr>
        <w:widowControl/>
        <w:adjustRightInd w:val="0"/>
        <w:snapToGrid w:val="0"/>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31.1采购代理机构应当在评审结束后2个工作日内将评审报告送采购人确认。</w:t>
      </w:r>
    </w:p>
    <w:p>
      <w:pPr>
        <w:widowControl/>
        <w:adjustRightInd w:val="0"/>
        <w:snapToGrid w:val="0"/>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31.2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adjustRightInd w:val="0"/>
        <w:snapToGrid w:val="0"/>
        <w:spacing w:line="400" w:lineRule="exact"/>
        <w:jc w:val="left"/>
        <w:rPr>
          <w:rFonts w:ascii="宋体" w:hAnsi="宋体" w:cs="宋体"/>
          <w:b/>
          <w:bCs/>
          <w:color w:val="000000"/>
          <w:szCs w:val="21"/>
        </w:rPr>
      </w:pPr>
      <w:r>
        <w:rPr>
          <w:rFonts w:hint="eastAsia" w:ascii="宋体" w:hAnsi="宋体" w:cs="宋体"/>
          <w:b/>
          <w:bCs/>
          <w:color w:val="000000"/>
          <w:szCs w:val="21"/>
        </w:rPr>
        <w:t>32.磋商终止</w:t>
      </w:r>
    </w:p>
    <w:p>
      <w:pPr>
        <w:widowControl/>
        <w:adjustRightInd w:val="0"/>
        <w:snapToGrid w:val="0"/>
        <w:spacing w:line="400" w:lineRule="exact"/>
        <w:ind w:firstLine="420" w:firstLineChars="200"/>
        <w:jc w:val="left"/>
        <w:rPr>
          <w:rFonts w:ascii="宋体" w:hAnsi="宋体" w:cs="宋体"/>
          <w:color w:val="000000"/>
          <w:kern w:val="0"/>
          <w:szCs w:val="21"/>
        </w:rPr>
      </w:pPr>
      <w:r>
        <w:rPr>
          <w:rFonts w:hint="eastAsia" w:ascii="宋体" w:hAnsi="宋体" w:cs="宋体"/>
          <w:bCs/>
          <w:color w:val="000000"/>
          <w:szCs w:val="21"/>
        </w:rPr>
        <w:t>32.1</w:t>
      </w:r>
      <w:r>
        <w:rPr>
          <w:rFonts w:hint="eastAsia" w:ascii="宋体" w:hAnsi="宋体" w:cs="宋体"/>
          <w:color w:val="000000"/>
          <w:kern w:val="0"/>
          <w:szCs w:val="21"/>
        </w:rPr>
        <w:t>出现下列情形之一的，采购人或者采购代理机构应当终止竞争性磋商采购活动，</w:t>
      </w:r>
      <w:r>
        <w:rPr>
          <w:rFonts w:hint="eastAsia" w:ascii="宋体" w:hAnsi="宋体" w:cs="宋体"/>
          <w:color w:val="000000"/>
          <w:szCs w:val="21"/>
        </w:rPr>
        <w:t>在省级以上财政部门指定的媒体上</w:t>
      </w:r>
      <w:r>
        <w:rPr>
          <w:rFonts w:hint="eastAsia" w:ascii="宋体" w:hAnsi="宋体" w:cs="宋体"/>
          <w:color w:val="000000"/>
          <w:kern w:val="0"/>
          <w:szCs w:val="21"/>
        </w:rPr>
        <w:t xml:space="preserve">发布项目终止公告并说明原因，重新开展采购活动： </w:t>
      </w:r>
    </w:p>
    <w:p>
      <w:pPr>
        <w:widowControl/>
        <w:adjustRightInd w:val="0"/>
        <w:snapToGrid w:val="0"/>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（1）因情况变化，不再符合规定的竞争性磋商采购方式适用情形的；</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（2）出现影响采购公正的违法、违规行为的；</w:t>
      </w:r>
    </w:p>
    <w:p>
      <w:pPr>
        <w:widowControl/>
        <w:adjustRightInd w:val="0"/>
        <w:snapToGrid w:val="0"/>
        <w:spacing w:line="400" w:lineRule="exact"/>
        <w:ind w:firstLine="420"/>
        <w:jc w:val="left"/>
        <w:rPr>
          <w:rFonts w:ascii="宋体" w:hAnsi="宋体" w:cs="宋体"/>
          <w:color w:val="000000"/>
          <w:kern w:val="0"/>
          <w:szCs w:val="21"/>
        </w:rPr>
      </w:pPr>
      <w:r>
        <w:rPr>
          <w:rFonts w:hint="eastAsia" w:ascii="宋体" w:hAnsi="宋体" w:cs="宋体"/>
          <w:color w:val="000000"/>
          <w:kern w:val="0"/>
          <w:szCs w:val="21"/>
        </w:rPr>
        <w:t>（3）除财库[2014]214号第二十一条第三款规定的情形外，在采购过程中符合要求的供应商或者报价未超过采购预算的供应商不足3家的。</w:t>
      </w:r>
    </w:p>
    <w:p>
      <w:pPr>
        <w:widowControl/>
        <w:adjustRightInd w:val="0"/>
        <w:snapToGrid w:val="0"/>
        <w:spacing w:line="400" w:lineRule="exact"/>
        <w:ind w:firstLine="420"/>
        <w:jc w:val="left"/>
        <w:rPr>
          <w:rFonts w:ascii="宋体" w:hAnsi="宋体" w:cs="宋体"/>
          <w:b/>
          <w:bCs/>
          <w:color w:val="000000"/>
          <w:szCs w:val="21"/>
        </w:rPr>
      </w:pPr>
      <w:r>
        <w:rPr>
          <w:rFonts w:hint="eastAsia" w:ascii="宋体" w:hAnsi="宋体" w:cs="宋体"/>
          <w:color w:val="000000"/>
          <w:kern w:val="0"/>
          <w:szCs w:val="21"/>
        </w:rPr>
        <w:t>32.2在采购活动中因重大变故，采购任务取消的，采购人或者采购代理机构应当终止采购活动，通知所有参加采购活动的供应商，并将项目实施情况和采购任务取消原因报送本级财政部门。</w:t>
      </w:r>
    </w:p>
    <w:p>
      <w:pPr>
        <w:widowControl/>
        <w:adjustRightInd w:val="0"/>
        <w:snapToGrid w:val="0"/>
        <w:spacing w:line="400" w:lineRule="exact"/>
        <w:jc w:val="left"/>
        <w:rPr>
          <w:rFonts w:ascii="宋体" w:hAnsi="宋体" w:cs="宋体"/>
          <w:b/>
          <w:color w:val="000000"/>
          <w:kern w:val="0"/>
          <w:szCs w:val="21"/>
        </w:rPr>
      </w:pPr>
      <w:r>
        <w:rPr>
          <w:rFonts w:hint="eastAsia" w:ascii="宋体" w:hAnsi="宋体" w:cs="宋体"/>
          <w:b/>
          <w:color w:val="000000"/>
          <w:kern w:val="0"/>
          <w:szCs w:val="21"/>
        </w:rPr>
        <w:t>33．重新评审</w:t>
      </w:r>
    </w:p>
    <w:p>
      <w:pPr>
        <w:widowControl/>
        <w:adjustRightInd w:val="0"/>
        <w:snapToGrid w:val="0"/>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33.1评审结束后，当发现可能出现资格性检查认定错误、分值汇总计算错误、分项评分超出评分标准范围、客观分评分不一致、经磋商小组一致认定评分畸高、畸低、政策功能价格计算错误等情形时，采购人或者采购代理机构可以组织原磋商小组进行重新评审。经重新评审确定原评审报告中存在错误的应当纠正错误。</w:t>
      </w:r>
    </w:p>
    <w:p>
      <w:pPr>
        <w:widowControl/>
        <w:adjustRightInd w:val="0"/>
        <w:snapToGrid w:val="0"/>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33.2采购人或者采购代理机构不得通过对样品进行检测、对供应商进行考察等方式改变评审结果。</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34.保密及串通行为</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34.1磋商小组成员以及与评审工作有关的人员不得泄露评审情况以及评审过程中获悉的国家秘密、商业秘密。</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34.2</w:t>
      </w:r>
      <w:r>
        <w:rPr>
          <w:rFonts w:hint="eastAsia" w:ascii="宋体" w:hAnsi="宋体" w:cs="宋体"/>
          <w:color w:val="000000"/>
          <w:kern w:val="0"/>
          <w:szCs w:val="21"/>
        </w:rPr>
        <w:t>供应商</w:t>
      </w:r>
      <w:r>
        <w:rPr>
          <w:rFonts w:hint="eastAsia" w:ascii="宋体" w:hAnsi="宋体" w:cs="宋体"/>
          <w:color w:val="000000"/>
          <w:szCs w:val="21"/>
        </w:rPr>
        <w:t>不得与</w:t>
      </w:r>
      <w:r>
        <w:rPr>
          <w:rFonts w:hint="eastAsia" w:ascii="宋体" w:hAnsi="宋体" w:cs="宋体"/>
          <w:color w:val="000000"/>
          <w:kern w:val="0"/>
          <w:szCs w:val="21"/>
        </w:rPr>
        <w:t>采购人、采购代理机构、其他供应商恶意</w:t>
      </w:r>
      <w:r>
        <w:rPr>
          <w:rFonts w:hint="eastAsia" w:ascii="宋体" w:hAnsi="宋体" w:cs="宋体"/>
          <w:color w:val="000000"/>
          <w:szCs w:val="21"/>
        </w:rPr>
        <w:t>串通；不得向</w:t>
      </w:r>
      <w:r>
        <w:rPr>
          <w:rFonts w:hint="eastAsia" w:ascii="宋体" w:hAnsi="宋体" w:cs="宋体"/>
          <w:color w:val="000000"/>
          <w:kern w:val="0"/>
          <w:szCs w:val="21"/>
        </w:rPr>
        <w:t>采购人、采购代理机构</w:t>
      </w:r>
      <w:r>
        <w:rPr>
          <w:rFonts w:hint="eastAsia" w:ascii="宋体" w:hAnsi="宋体" w:cs="宋体"/>
          <w:color w:val="000000"/>
          <w:szCs w:val="21"/>
        </w:rPr>
        <w:t>或者磋商小组成员行贿或者提供其他不正当利益；不得提供虚假材料谋取成交；不得以任何方式干扰、影响采购工作。</w:t>
      </w:r>
    </w:p>
    <w:p>
      <w:pPr>
        <w:pStyle w:val="43"/>
        <w:adjustRightInd w:val="0"/>
        <w:snapToGrid w:val="0"/>
        <w:spacing w:before="0" w:beforeAutospacing="0" w:after="0" w:afterAutospacing="0" w:line="400" w:lineRule="exact"/>
        <w:ind w:firstLine="420" w:firstLineChars="200"/>
        <w:rPr>
          <w:color w:val="000000"/>
          <w:sz w:val="21"/>
          <w:szCs w:val="21"/>
          <w:lang w:val="zh-CN"/>
        </w:rPr>
      </w:pPr>
      <w:r>
        <w:rPr>
          <w:rFonts w:hint="eastAsia"/>
          <w:color w:val="000000"/>
          <w:sz w:val="21"/>
          <w:szCs w:val="21"/>
        </w:rPr>
        <w:t>34.3有下列情形之一的，</w:t>
      </w:r>
      <w:r>
        <w:rPr>
          <w:rFonts w:hint="eastAsia"/>
          <w:color w:val="000000"/>
          <w:sz w:val="21"/>
          <w:szCs w:val="21"/>
          <w:lang w:val="zh-CN"/>
        </w:rPr>
        <w:t>属于恶意串通，</w:t>
      </w:r>
      <w:r>
        <w:rPr>
          <w:rFonts w:hint="eastAsia"/>
          <w:color w:val="000000"/>
          <w:sz w:val="21"/>
          <w:szCs w:val="21"/>
        </w:rPr>
        <w:t>成交无效，并</w:t>
      </w:r>
      <w:r>
        <w:rPr>
          <w:rFonts w:hint="eastAsia"/>
          <w:color w:val="000000"/>
          <w:sz w:val="21"/>
          <w:szCs w:val="21"/>
          <w:lang w:val="zh-CN"/>
        </w:rPr>
        <w:t>依照《政府采购法》第七十七条的规定追究法律责任：</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（1）供应商直接或者间接从</w:t>
      </w:r>
      <w:r>
        <w:rPr>
          <w:rFonts w:hint="eastAsia" w:ascii="宋体" w:hAnsi="宋体" w:cs="宋体"/>
          <w:bCs/>
          <w:color w:val="000000"/>
          <w:szCs w:val="21"/>
        </w:rPr>
        <w:t>采购人或者采购代理机构处</w:t>
      </w:r>
      <w:r>
        <w:rPr>
          <w:rFonts w:hint="eastAsia" w:ascii="宋体" w:hAnsi="宋体" w:cs="宋体"/>
          <w:color w:val="000000"/>
          <w:szCs w:val="21"/>
        </w:rPr>
        <w:t>获得其他供应商的相关情况，并修改其响应文件的；</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（2）供应商按照</w:t>
      </w:r>
      <w:r>
        <w:rPr>
          <w:rFonts w:hint="eastAsia" w:ascii="宋体" w:hAnsi="宋体" w:cs="宋体"/>
          <w:bCs/>
          <w:color w:val="000000"/>
          <w:szCs w:val="21"/>
        </w:rPr>
        <w:t>采购人或采购代理机构</w:t>
      </w:r>
      <w:r>
        <w:rPr>
          <w:rFonts w:hint="eastAsia" w:ascii="宋体" w:hAnsi="宋体" w:cs="宋体"/>
          <w:color w:val="000000"/>
          <w:szCs w:val="21"/>
        </w:rPr>
        <w:t>授意撤换、修改响应文件的；</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（3）供应商之间协商报价、技术方案等响应文件实质性内容的；</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（4）属于同一集团、协会、商会等组织成员的供应商按照该组织要求协同参加政府采购活动的；</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（5）供应商之间事先约定由某一特定供应商成交的；</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（6）供应商之间商定部分供应商放弃参加政府采购活动或者放弃成交的；</w:t>
      </w:r>
    </w:p>
    <w:p>
      <w:pPr>
        <w:adjustRightInd w:val="0"/>
        <w:snapToGrid w:val="0"/>
        <w:spacing w:line="400" w:lineRule="exact"/>
        <w:ind w:firstLine="420" w:firstLineChars="200"/>
        <w:rPr>
          <w:rFonts w:ascii="宋体" w:hAnsi="宋体" w:cs="宋体"/>
          <w:b/>
          <w:color w:val="000000"/>
          <w:szCs w:val="21"/>
        </w:rPr>
      </w:pPr>
      <w:r>
        <w:rPr>
          <w:rFonts w:hint="eastAsia" w:ascii="宋体" w:hAnsi="宋体" w:cs="宋体"/>
          <w:color w:val="000000"/>
          <w:szCs w:val="21"/>
        </w:rPr>
        <w:t>（7）供应商与</w:t>
      </w:r>
      <w:r>
        <w:rPr>
          <w:rFonts w:hint="eastAsia" w:ascii="宋体" w:hAnsi="宋体" w:cs="宋体"/>
          <w:bCs/>
          <w:color w:val="000000"/>
          <w:szCs w:val="21"/>
        </w:rPr>
        <w:t>采购人或者采购代理机构</w:t>
      </w:r>
      <w:r>
        <w:rPr>
          <w:rFonts w:hint="eastAsia" w:ascii="宋体" w:hAnsi="宋体" w:cs="宋体"/>
          <w:color w:val="000000"/>
          <w:szCs w:val="21"/>
        </w:rPr>
        <w:t>之间、供应商相互之间，为谋求特定供应商成交或者排斥其他供应商的其他串通行为的。</w:t>
      </w:r>
    </w:p>
    <w:p>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（8）法律、行政法规或规章规定的其他串通行为。</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六、成交结果信息公布与合同签订</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35.成交信息的公布</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35.1成交供应商确定后2个工作日内，采购人或者采购代理机构应将成交结果信息在</w:t>
      </w:r>
      <w:r>
        <w:rPr>
          <w:rFonts w:hint="eastAsia" w:hAnsi="宋体" w:cs="宋体"/>
          <w:b/>
          <w:color w:val="000000"/>
        </w:rPr>
        <w:t>磋商须知前附表</w:t>
      </w:r>
      <w:r>
        <w:rPr>
          <w:rFonts w:hint="eastAsia" w:hAnsi="宋体" w:cs="宋体"/>
          <w:color w:val="000000"/>
        </w:rPr>
        <w:t>指定的媒体上公布。</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36.成交通知</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36.1成交结果信息公布后，采购人或采购代理机构将以书面形式向成交供应商发出成交通知书。成交通知书对采购人和成交供应商具有同等法律效力。</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36.2 成交通知书是合同文件的组成部分。</w:t>
      </w:r>
    </w:p>
    <w:p>
      <w:pPr>
        <w:tabs>
          <w:tab w:val="left" w:pos="7560"/>
          <w:tab w:val="left" w:pos="7740"/>
          <w:tab w:val="left" w:pos="7920"/>
        </w:tabs>
        <w:autoSpaceDN w:val="0"/>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kern w:val="0"/>
          <w:szCs w:val="21"/>
        </w:rPr>
        <w:t xml:space="preserve">36.3 </w:t>
      </w:r>
      <w:r>
        <w:rPr>
          <w:rFonts w:hint="eastAsia" w:ascii="宋体" w:hAnsi="宋体" w:cs="宋体"/>
          <w:color w:val="000000"/>
          <w:szCs w:val="21"/>
        </w:rPr>
        <w:t>成交供应商在收到采购代理机构的成交通知书后10日内，应按照</w:t>
      </w:r>
      <w:r>
        <w:rPr>
          <w:rFonts w:hint="eastAsia" w:ascii="宋体" w:hAnsi="宋体" w:cs="宋体"/>
          <w:b/>
          <w:color w:val="000000"/>
          <w:szCs w:val="21"/>
        </w:rPr>
        <w:t>磋商须知前附表</w:t>
      </w:r>
      <w:r>
        <w:rPr>
          <w:rFonts w:hint="eastAsia" w:ascii="宋体" w:hAnsi="宋体" w:cs="宋体"/>
          <w:color w:val="000000"/>
          <w:szCs w:val="21"/>
        </w:rPr>
        <w:t>的规定，向采购人提交履约担保金。联合体成交的，履约担保可由联合体中一方或共同交纳，交纳的履约担保金对联合体各方均具有约束力。未按规定提交的，</w:t>
      </w:r>
      <w:r>
        <w:rPr>
          <w:rFonts w:hint="eastAsia" w:ascii="宋体" w:hAnsi="宋体" w:cs="宋体"/>
          <w:color w:val="000000"/>
          <w:spacing w:val="4"/>
          <w:szCs w:val="21"/>
        </w:rPr>
        <w:t>视为放弃</w:t>
      </w:r>
      <w:r>
        <w:rPr>
          <w:rFonts w:hint="eastAsia" w:ascii="宋体" w:hAnsi="宋体" w:cs="宋体"/>
          <w:color w:val="000000"/>
          <w:szCs w:val="21"/>
        </w:rPr>
        <w:t>成交资格</w:t>
      </w:r>
      <w:r>
        <w:rPr>
          <w:rFonts w:hint="eastAsia" w:ascii="宋体" w:hAnsi="宋体" w:cs="宋体"/>
          <w:color w:val="000000"/>
          <w:spacing w:val="4"/>
          <w:szCs w:val="21"/>
        </w:rPr>
        <w:t>，</w:t>
      </w:r>
      <w:r>
        <w:rPr>
          <w:rFonts w:hint="eastAsia" w:ascii="宋体" w:hAnsi="宋体" w:cs="宋体"/>
          <w:color w:val="000000"/>
          <w:spacing w:val="2"/>
          <w:szCs w:val="21"/>
        </w:rPr>
        <w:t>其保证金不予退还。</w:t>
      </w:r>
    </w:p>
    <w:p>
      <w:pPr>
        <w:adjustRightInd w:val="0"/>
        <w:snapToGrid w:val="0"/>
        <w:spacing w:line="400" w:lineRule="exact"/>
        <w:rPr>
          <w:rFonts w:ascii="宋体" w:hAnsi="宋体" w:cs="宋体"/>
          <w:b/>
          <w:bCs/>
          <w:color w:val="000000"/>
          <w:szCs w:val="21"/>
        </w:rPr>
      </w:pPr>
      <w:r>
        <w:rPr>
          <w:rFonts w:hint="eastAsia" w:ascii="宋体" w:hAnsi="宋体" w:cs="宋体"/>
          <w:b/>
          <w:bCs/>
          <w:color w:val="000000"/>
          <w:szCs w:val="21"/>
        </w:rPr>
        <w:t>37.签订合同</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37.1 磋商文件、成交供应商的响应文件及其补充的响应文件等均为签订政府采购合同的依据。</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37.2 成交供应商应当在成交通知书发出之日起30日内与采购人签订政府采购合同。</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37.3 成交供应商应当按照合同约定履行义务。成交供应商不得向他人转让成交项目，也不得将成交项目分包后分别向他人转让。</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37.4 成交供应商有下列情形之一的，责令限期改正，情节严重的，列入不良行为记录名单，在1至3年内禁止参加政府采购活动，并予以通报：</w:t>
      </w:r>
    </w:p>
    <w:p>
      <w:pPr>
        <w:pStyle w:val="27"/>
        <w:adjustRightInd w:val="0"/>
        <w:snapToGrid w:val="0"/>
        <w:spacing w:line="400" w:lineRule="exact"/>
        <w:ind w:firstLine="420" w:firstLineChars="200"/>
        <w:rPr>
          <w:rFonts w:hAnsi="宋体" w:cs="宋体"/>
          <w:color w:val="000000"/>
        </w:rPr>
      </w:pPr>
      <w:r>
        <w:rPr>
          <w:rFonts w:hint="eastAsia" w:hAnsi="宋体" w:cs="宋体"/>
          <w:color w:val="000000"/>
        </w:rPr>
        <w:t>（1）除因不可抗力或磋商文件认可的情形以外不与采购人签订合同的；</w:t>
      </w:r>
    </w:p>
    <w:p>
      <w:pPr>
        <w:pStyle w:val="27"/>
        <w:adjustRightInd w:val="0"/>
        <w:snapToGrid w:val="0"/>
        <w:spacing w:line="400" w:lineRule="exact"/>
        <w:ind w:firstLine="420" w:firstLineChars="200"/>
        <w:rPr>
          <w:rFonts w:hAnsi="宋体"/>
          <w:color w:val="000000"/>
        </w:rPr>
      </w:pPr>
      <w:r>
        <w:rPr>
          <w:rFonts w:hint="eastAsia" w:hAnsi="宋体" w:cs="宋体"/>
          <w:color w:val="000000"/>
        </w:rPr>
        <w:t>（2）未按照采购文件确定的事项签订政府采购合同，或</w:t>
      </w:r>
      <w:r>
        <w:rPr>
          <w:rFonts w:hint="eastAsia" w:hAnsi="宋体"/>
          <w:color w:val="000000"/>
        </w:rPr>
        <w:t>者与采购人另行订立背离合同实质性内容的协议的；</w:t>
      </w:r>
    </w:p>
    <w:p>
      <w:pPr>
        <w:pStyle w:val="27"/>
        <w:adjustRightInd w:val="0"/>
        <w:snapToGrid w:val="0"/>
        <w:spacing w:line="400" w:lineRule="exact"/>
        <w:ind w:firstLine="420" w:firstLineChars="200"/>
        <w:rPr>
          <w:rFonts w:hAnsi="宋体"/>
          <w:color w:val="000000"/>
        </w:rPr>
      </w:pPr>
      <w:r>
        <w:rPr>
          <w:rFonts w:hint="eastAsia" w:hAnsi="宋体"/>
          <w:color w:val="000000"/>
        </w:rPr>
        <w:t>（3）拒绝履行合同义务的；</w:t>
      </w:r>
    </w:p>
    <w:p>
      <w:pPr>
        <w:pStyle w:val="27"/>
        <w:adjustRightInd w:val="0"/>
        <w:snapToGrid w:val="0"/>
        <w:spacing w:line="400" w:lineRule="exact"/>
        <w:ind w:firstLine="420" w:firstLineChars="200"/>
        <w:rPr>
          <w:rFonts w:hAnsi="宋体"/>
          <w:color w:val="000000"/>
        </w:rPr>
      </w:pPr>
      <w:r>
        <w:rPr>
          <w:rFonts w:hint="eastAsia" w:hAnsi="宋体"/>
          <w:color w:val="000000"/>
        </w:rPr>
        <w:t>（4）</w:t>
      </w:r>
      <w:r>
        <w:rPr>
          <w:rFonts w:hint="eastAsia" w:hAnsi="宋体" w:cs="宋体"/>
          <w:color w:val="000000"/>
        </w:rPr>
        <w:t>违反法律、规章、规范性文件规定的。</w:t>
      </w:r>
    </w:p>
    <w:p>
      <w:pPr>
        <w:adjustRightInd w:val="0"/>
        <w:snapToGrid w:val="0"/>
        <w:spacing w:line="400" w:lineRule="exact"/>
        <w:rPr>
          <w:rFonts w:ascii="黑体" w:hAnsi="黑体" w:eastAsia="黑体"/>
          <w:b/>
          <w:bCs/>
          <w:color w:val="000000"/>
          <w:sz w:val="24"/>
        </w:rPr>
      </w:pPr>
      <w:r>
        <w:rPr>
          <w:rFonts w:hint="eastAsia" w:ascii="黑体" w:hAnsi="黑体" w:eastAsia="黑体"/>
          <w:b/>
          <w:bCs/>
          <w:color w:val="000000"/>
          <w:sz w:val="24"/>
        </w:rPr>
        <w:t>七、质疑与投诉</w:t>
      </w:r>
    </w:p>
    <w:p>
      <w:pPr>
        <w:adjustRightInd w:val="0"/>
        <w:snapToGrid w:val="0"/>
        <w:spacing w:line="400" w:lineRule="exact"/>
        <w:rPr>
          <w:rFonts w:ascii="宋体" w:hAnsi="宋体"/>
          <w:b/>
          <w:bCs/>
          <w:color w:val="000000"/>
          <w:szCs w:val="21"/>
        </w:rPr>
      </w:pPr>
      <w:r>
        <w:rPr>
          <w:rFonts w:hint="eastAsia" w:ascii="宋体" w:hAnsi="宋体"/>
          <w:b/>
          <w:bCs/>
          <w:color w:val="000000"/>
          <w:szCs w:val="21"/>
        </w:rPr>
        <w:t>38．询问</w:t>
      </w:r>
    </w:p>
    <w:p>
      <w:pPr>
        <w:pStyle w:val="27"/>
        <w:adjustRightInd w:val="0"/>
        <w:snapToGrid w:val="0"/>
        <w:spacing w:line="400" w:lineRule="exact"/>
        <w:ind w:firstLine="420" w:firstLineChars="200"/>
        <w:rPr>
          <w:rFonts w:hAnsi="宋体"/>
          <w:color w:val="000000"/>
        </w:rPr>
      </w:pPr>
      <w:r>
        <w:rPr>
          <w:rFonts w:hint="eastAsia" w:hAnsi="宋体"/>
          <w:color w:val="000000"/>
        </w:rPr>
        <w:t>38.1供应商对政府采购活动事项有疑问的，可以向采购人或采购代理机构提出询问。采购人或采购代理机构将在三个工作日内作出答复。</w:t>
      </w:r>
    </w:p>
    <w:p>
      <w:pPr>
        <w:pStyle w:val="27"/>
        <w:adjustRightInd w:val="0"/>
        <w:snapToGrid w:val="0"/>
        <w:spacing w:line="400" w:lineRule="exact"/>
        <w:rPr>
          <w:rFonts w:hAnsi="宋体"/>
          <w:b/>
          <w:color w:val="000000"/>
        </w:rPr>
      </w:pPr>
      <w:r>
        <w:rPr>
          <w:rFonts w:hint="eastAsia" w:hAnsi="宋体"/>
          <w:b/>
          <w:color w:val="000000"/>
        </w:rPr>
        <w:t>39．质疑</w:t>
      </w:r>
    </w:p>
    <w:p>
      <w:pPr>
        <w:pStyle w:val="27"/>
        <w:adjustRightInd w:val="0"/>
        <w:snapToGrid w:val="0"/>
        <w:spacing w:line="400" w:lineRule="exact"/>
        <w:ind w:firstLine="420" w:firstLineChars="200"/>
        <w:rPr>
          <w:rFonts w:hAnsi="宋体"/>
          <w:color w:val="000000"/>
        </w:rPr>
      </w:pPr>
      <w:r>
        <w:rPr>
          <w:rFonts w:hint="eastAsia" w:hAnsi="宋体"/>
          <w:color w:val="000000"/>
        </w:rPr>
        <w:t>39.1投标人若认为磋商文件、采购过程和成交结果使自己的权益受到损害，应当在下列时间内以书面形式向采购人或采购代理机构提出：</w:t>
      </w:r>
    </w:p>
    <w:p>
      <w:pPr>
        <w:pStyle w:val="27"/>
        <w:adjustRightInd w:val="0"/>
        <w:snapToGrid w:val="0"/>
        <w:spacing w:line="400" w:lineRule="exact"/>
        <w:ind w:firstLine="420" w:firstLineChars="200"/>
        <w:rPr>
          <w:rFonts w:hAnsi="宋体"/>
          <w:color w:val="000000"/>
        </w:rPr>
      </w:pPr>
      <w:r>
        <w:rPr>
          <w:rFonts w:hint="eastAsia" w:hAnsi="宋体"/>
          <w:color w:val="000000"/>
        </w:rPr>
        <w:t>（1）关于磋商文件的质疑，应从磋商文件发出之日起七个工作日内提出。</w:t>
      </w:r>
    </w:p>
    <w:p>
      <w:pPr>
        <w:pStyle w:val="27"/>
        <w:adjustRightInd w:val="0"/>
        <w:snapToGrid w:val="0"/>
        <w:spacing w:line="400" w:lineRule="exact"/>
        <w:ind w:firstLine="420" w:firstLineChars="200"/>
        <w:rPr>
          <w:rFonts w:hAnsi="宋体"/>
          <w:color w:val="000000"/>
        </w:rPr>
      </w:pPr>
      <w:r>
        <w:rPr>
          <w:rFonts w:hint="eastAsia" w:hAnsi="宋体"/>
          <w:color w:val="000000"/>
        </w:rPr>
        <w:t>（2）关于采购过程的质疑，应在采购程序环节结束之日起七个工作日内提出。</w:t>
      </w:r>
    </w:p>
    <w:p>
      <w:pPr>
        <w:pStyle w:val="27"/>
        <w:adjustRightInd w:val="0"/>
        <w:snapToGrid w:val="0"/>
        <w:spacing w:line="400" w:lineRule="exact"/>
        <w:ind w:firstLine="420" w:firstLineChars="200"/>
        <w:rPr>
          <w:rFonts w:hAnsi="宋体"/>
          <w:color w:val="000000"/>
        </w:rPr>
      </w:pPr>
      <w:r>
        <w:rPr>
          <w:rFonts w:hint="eastAsia" w:hAnsi="宋体"/>
          <w:color w:val="000000"/>
        </w:rPr>
        <w:t>（3）关于成交结果的质疑，应在成交结果信息发布后七个工作日内提出。</w:t>
      </w:r>
    </w:p>
    <w:p>
      <w:pPr>
        <w:pStyle w:val="27"/>
        <w:adjustRightInd w:val="0"/>
        <w:snapToGrid w:val="0"/>
        <w:spacing w:line="400" w:lineRule="exact"/>
        <w:ind w:firstLine="420" w:firstLineChars="200"/>
        <w:rPr>
          <w:rFonts w:hAnsi="宋体"/>
          <w:color w:val="000000"/>
        </w:rPr>
      </w:pPr>
      <w:r>
        <w:rPr>
          <w:rFonts w:hint="eastAsia" w:hAnsi="宋体"/>
          <w:color w:val="000000"/>
        </w:rPr>
        <w:t>供应商应在法定质疑期内一次性提出针对同一采购程序环节的质疑。</w:t>
      </w:r>
    </w:p>
    <w:p>
      <w:pPr>
        <w:pStyle w:val="27"/>
        <w:adjustRightInd w:val="0"/>
        <w:snapToGrid w:val="0"/>
        <w:spacing w:line="400" w:lineRule="exact"/>
        <w:ind w:firstLine="420" w:firstLineChars="200"/>
        <w:rPr>
          <w:rFonts w:hAnsi="宋体"/>
          <w:color w:val="000000"/>
        </w:rPr>
      </w:pPr>
      <w:r>
        <w:rPr>
          <w:rFonts w:hint="eastAsia" w:hAnsi="宋体"/>
          <w:color w:val="000000"/>
        </w:rPr>
        <w:t>39.2 投标人提出质疑的，应提供质疑书原件。采购人或采购代理机构应当向质疑供应商签收回执。</w:t>
      </w:r>
    </w:p>
    <w:p>
      <w:pPr>
        <w:pStyle w:val="27"/>
        <w:adjustRightInd w:val="0"/>
        <w:snapToGrid w:val="0"/>
        <w:spacing w:line="400" w:lineRule="exact"/>
        <w:ind w:firstLine="420" w:firstLineChars="200"/>
        <w:rPr>
          <w:rFonts w:hAnsi="宋体"/>
          <w:color w:val="000000"/>
        </w:rPr>
      </w:pPr>
      <w:r>
        <w:rPr>
          <w:rFonts w:hint="eastAsia" w:hAnsi="宋体"/>
          <w:color w:val="000000"/>
        </w:rPr>
        <w:t>39.3 质疑书应当包括下列内容：</w:t>
      </w:r>
    </w:p>
    <w:p>
      <w:pPr>
        <w:pStyle w:val="27"/>
        <w:adjustRightInd w:val="0"/>
        <w:snapToGrid w:val="0"/>
        <w:spacing w:line="400" w:lineRule="exact"/>
        <w:ind w:firstLine="420" w:firstLineChars="200"/>
        <w:rPr>
          <w:rFonts w:hAnsi="宋体"/>
          <w:color w:val="000000"/>
        </w:rPr>
      </w:pPr>
      <w:r>
        <w:rPr>
          <w:rFonts w:hint="eastAsia" w:hAnsi="宋体"/>
          <w:color w:val="000000"/>
        </w:rPr>
        <w:t>（1）质疑供应商的名称、地址及有效联系方式；</w:t>
      </w:r>
    </w:p>
    <w:p>
      <w:pPr>
        <w:pStyle w:val="27"/>
        <w:adjustRightInd w:val="0"/>
        <w:snapToGrid w:val="0"/>
        <w:spacing w:line="400" w:lineRule="exact"/>
        <w:ind w:firstLine="420" w:firstLineChars="200"/>
        <w:rPr>
          <w:rFonts w:hAnsi="宋体"/>
          <w:color w:val="000000"/>
        </w:rPr>
      </w:pPr>
      <w:r>
        <w:rPr>
          <w:rFonts w:hint="eastAsia" w:hAnsi="宋体"/>
          <w:color w:val="000000"/>
        </w:rPr>
        <w:t>（2）质疑事项；</w:t>
      </w:r>
    </w:p>
    <w:p>
      <w:pPr>
        <w:pStyle w:val="27"/>
        <w:adjustRightInd w:val="0"/>
        <w:snapToGrid w:val="0"/>
        <w:spacing w:line="400" w:lineRule="exact"/>
        <w:ind w:firstLine="420" w:firstLineChars="200"/>
        <w:rPr>
          <w:rFonts w:hAnsi="宋体"/>
          <w:color w:val="000000"/>
        </w:rPr>
      </w:pPr>
      <w:r>
        <w:rPr>
          <w:rFonts w:hint="eastAsia" w:hAnsi="宋体"/>
          <w:color w:val="000000"/>
        </w:rPr>
        <w:t>（3）事实依据及相关证明材料；</w:t>
      </w:r>
    </w:p>
    <w:p>
      <w:pPr>
        <w:pStyle w:val="27"/>
        <w:adjustRightInd w:val="0"/>
        <w:snapToGrid w:val="0"/>
        <w:spacing w:line="400" w:lineRule="exact"/>
        <w:ind w:firstLine="420" w:firstLineChars="200"/>
        <w:rPr>
          <w:rFonts w:hAnsi="宋体"/>
          <w:color w:val="000000"/>
        </w:rPr>
      </w:pPr>
      <w:r>
        <w:rPr>
          <w:rFonts w:hint="eastAsia" w:hAnsi="宋体"/>
          <w:color w:val="000000"/>
        </w:rPr>
        <w:t>（4）相关请求及主张。</w:t>
      </w:r>
    </w:p>
    <w:p>
      <w:pPr>
        <w:pStyle w:val="27"/>
        <w:adjustRightInd w:val="0"/>
        <w:snapToGrid w:val="0"/>
        <w:spacing w:line="400" w:lineRule="exact"/>
        <w:ind w:firstLine="420" w:firstLineChars="200"/>
        <w:rPr>
          <w:rFonts w:hAnsi="宋体"/>
          <w:color w:val="000000"/>
        </w:rPr>
      </w:pPr>
      <w:r>
        <w:rPr>
          <w:rFonts w:hint="eastAsia" w:hAnsi="宋体"/>
          <w:color w:val="000000"/>
        </w:rPr>
        <w:t>39.4 质疑书应当由投标人法定代表人或其授权的代理人签字并加盖投标人单位公章，质疑书由授权的代理人签字的应附投标人法定代表人委托授权书。</w:t>
      </w:r>
    </w:p>
    <w:p>
      <w:pPr>
        <w:pStyle w:val="27"/>
        <w:adjustRightInd w:val="0"/>
        <w:snapToGrid w:val="0"/>
        <w:spacing w:line="400" w:lineRule="exact"/>
        <w:ind w:firstLine="420" w:firstLineChars="200"/>
        <w:rPr>
          <w:rFonts w:hAnsi="宋体"/>
          <w:color w:val="000000"/>
        </w:rPr>
      </w:pPr>
      <w:r>
        <w:rPr>
          <w:rFonts w:hint="eastAsia" w:hAnsi="宋体"/>
          <w:color w:val="000000"/>
        </w:rPr>
        <w:t>39.5 采购人或采购代理机构将在质疑受理之日起七个工作日内作出书面答复，并以书面形式通知质疑投标人和其他有关的投标人。</w:t>
      </w:r>
    </w:p>
    <w:p>
      <w:pPr>
        <w:pStyle w:val="27"/>
        <w:adjustRightInd w:val="0"/>
        <w:snapToGrid w:val="0"/>
        <w:spacing w:line="400" w:lineRule="exact"/>
        <w:rPr>
          <w:rFonts w:hAnsi="宋体"/>
          <w:b/>
          <w:color w:val="000000"/>
        </w:rPr>
      </w:pPr>
      <w:r>
        <w:rPr>
          <w:rFonts w:hint="eastAsia" w:hAnsi="宋体"/>
          <w:b/>
          <w:color w:val="000000"/>
        </w:rPr>
        <w:t>40．投诉</w:t>
      </w:r>
    </w:p>
    <w:p>
      <w:pPr>
        <w:pStyle w:val="27"/>
        <w:adjustRightInd w:val="0"/>
        <w:snapToGrid w:val="0"/>
        <w:spacing w:line="400" w:lineRule="exact"/>
        <w:ind w:firstLine="420" w:firstLineChars="200"/>
        <w:rPr>
          <w:rFonts w:hAnsi="宋体"/>
          <w:color w:val="000000"/>
        </w:rPr>
      </w:pPr>
      <w:r>
        <w:rPr>
          <w:rFonts w:hint="eastAsia" w:hAnsi="宋体"/>
          <w:color w:val="000000"/>
        </w:rPr>
        <w:t>40.1 投标人对采购人或采购代理机构的质疑答复不满意，或采购人或采购代理机构未在规定的期限作出答复的，可在答复期满后十五个工作日内，按政府采购相关法律法规规章的规定及程序，向同级财政部门提出投诉。</w:t>
      </w:r>
    </w:p>
    <w:p>
      <w:pPr>
        <w:adjustRightInd w:val="0"/>
        <w:snapToGrid w:val="0"/>
        <w:spacing w:line="400" w:lineRule="exact"/>
        <w:rPr>
          <w:rFonts w:ascii="黑体" w:hAnsi="宋体" w:eastAsia="黑体"/>
          <w:color w:val="000000"/>
          <w:sz w:val="24"/>
        </w:rPr>
      </w:pPr>
      <w:r>
        <w:rPr>
          <w:rFonts w:hint="eastAsia" w:ascii="黑体" w:hAnsi="宋体" w:eastAsia="黑体"/>
          <w:color w:val="000000"/>
          <w:sz w:val="24"/>
        </w:rPr>
        <w:t>八、其他规定</w:t>
      </w:r>
    </w:p>
    <w:p>
      <w:pPr>
        <w:adjustRightInd w:val="0"/>
        <w:snapToGrid w:val="0"/>
        <w:spacing w:line="400" w:lineRule="exact"/>
        <w:jc w:val="left"/>
        <w:rPr>
          <w:rFonts w:ascii="宋体" w:hAnsi="宋体"/>
          <w:b/>
          <w:color w:val="000000"/>
          <w:szCs w:val="21"/>
        </w:rPr>
      </w:pPr>
      <w:r>
        <w:rPr>
          <w:rFonts w:hint="eastAsia" w:ascii="宋体" w:hAnsi="宋体"/>
          <w:b/>
          <w:color w:val="000000"/>
          <w:szCs w:val="21"/>
        </w:rPr>
        <w:t>41.采购代理服务费</w:t>
      </w:r>
    </w:p>
    <w:p>
      <w:pPr>
        <w:tabs>
          <w:tab w:val="left" w:pos="420"/>
          <w:tab w:val="left" w:pos="7560"/>
          <w:tab w:val="left" w:pos="7740"/>
          <w:tab w:val="left" w:pos="7920"/>
        </w:tabs>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41.1采购代理机构应按</w:t>
      </w:r>
      <w:r>
        <w:rPr>
          <w:rFonts w:hint="eastAsia" w:ascii="宋体" w:hAnsi="宋体"/>
          <w:b/>
          <w:color w:val="000000"/>
          <w:szCs w:val="21"/>
        </w:rPr>
        <w:t>磋商须知前附表</w:t>
      </w:r>
      <w:r>
        <w:rPr>
          <w:rFonts w:hint="eastAsia" w:ascii="宋体" w:hAnsi="宋体"/>
          <w:color w:val="000000"/>
          <w:szCs w:val="21"/>
        </w:rPr>
        <w:t>规定收取采购代理服务费。</w:t>
      </w:r>
    </w:p>
    <w:p>
      <w:pPr>
        <w:tabs>
          <w:tab w:val="left" w:pos="420"/>
          <w:tab w:val="left" w:pos="7560"/>
          <w:tab w:val="left" w:pos="7740"/>
          <w:tab w:val="left" w:pos="7920"/>
        </w:tabs>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41.2集中采购机构不得收取采购代理服务费。</w:t>
      </w:r>
    </w:p>
    <w:p>
      <w:pPr>
        <w:tabs>
          <w:tab w:val="left" w:pos="420"/>
          <w:tab w:val="left" w:pos="7560"/>
          <w:tab w:val="left" w:pos="7740"/>
          <w:tab w:val="left" w:pos="7920"/>
        </w:tabs>
        <w:adjustRightInd w:val="0"/>
        <w:snapToGrid w:val="0"/>
        <w:spacing w:line="400" w:lineRule="exact"/>
        <w:rPr>
          <w:rFonts w:hAnsi="宋体"/>
          <w:b/>
          <w:color w:val="000000"/>
        </w:rPr>
      </w:pPr>
      <w:r>
        <w:rPr>
          <w:rFonts w:hint="eastAsia" w:ascii="宋体" w:hAnsi="宋体"/>
          <w:b/>
          <w:color w:val="000000"/>
          <w:szCs w:val="21"/>
        </w:rPr>
        <w:t>42.</w:t>
      </w:r>
      <w:r>
        <w:rPr>
          <w:rFonts w:hint="eastAsia" w:hAnsi="宋体"/>
          <w:b/>
          <w:color w:val="000000"/>
        </w:rPr>
        <w:t xml:space="preserve"> 优惠政策说明</w:t>
      </w:r>
    </w:p>
    <w:p>
      <w:pPr>
        <w:tabs>
          <w:tab w:val="left" w:pos="420"/>
          <w:tab w:val="left" w:pos="7560"/>
          <w:tab w:val="left" w:pos="7740"/>
          <w:tab w:val="left" w:pos="7920"/>
        </w:tabs>
        <w:adjustRightInd w:val="0"/>
        <w:snapToGrid w:val="0"/>
        <w:spacing w:line="400" w:lineRule="exact"/>
        <w:ind w:firstLine="420" w:firstLineChars="200"/>
        <w:rPr>
          <w:rFonts w:ascii="宋体" w:hAnsi="宋体"/>
          <w:color w:val="000000"/>
          <w:szCs w:val="21"/>
        </w:rPr>
      </w:pPr>
      <w:r>
        <w:rPr>
          <w:rFonts w:hint="eastAsia" w:ascii="宋体" w:hAnsi="宋体"/>
          <w:color w:val="000000"/>
        </w:rPr>
        <w:t>41.1</w:t>
      </w:r>
      <w:r>
        <w:rPr>
          <w:rFonts w:hint="eastAsia" w:ascii="宋体" w:hAnsi="宋体"/>
          <w:color w:val="000000"/>
          <w:szCs w:val="21"/>
        </w:rPr>
        <w:t>有关优惠政策说明见</w:t>
      </w:r>
      <w:r>
        <w:rPr>
          <w:rFonts w:hint="eastAsia" w:ascii="宋体" w:hAnsi="宋体"/>
          <w:b/>
          <w:color w:val="000000"/>
          <w:szCs w:val="21"/>
        </w:rPr>
        <w:t>磋商须知前附表</w:t>
      </w:r>
      <w:r>
        <w:rPr>
          <w:rFonts w:hint="eastAsia" w:ascii="宋体" w:hAnsi="宋体"/>
          <w:color w:val="000000"/>
          <w:szCs w:val="21"/>
        </w:rPr>
        <w:t>。</w:t>
      </w:r>
    </w:p>
    <w:p>
      <w:pPr>
        <w:tabs>
          <w:tab w:val="left" w:pos="420"/>
          <w:tab w:val="left" w:pos="7560"/>
          <w:tab w:val="left" w:pos="7740"/>
          <w:tab w:val="left" w:pos="7920"/>
        </w:tabs>
        <w:adjustRightInd w:val="0"/>
        <w:snapToGrid w:val="0"/>
        <w:spacing w:line="400" w:lineRule="exact"/>
        <w:rPr>
          <w:rFonts w:ascii="宋体" w:hAnsi="宋体"/>
          <w:b/>
          <w:color w:val="000000"/>
          <w:szCs w:val="21"/>
        </w:rPr>
      </w:pPr>
      <w:r>
        <w:rPr>
          <w:rFonts w:hint="eastAsia" w:ascii="宋体" w:hAnsi="宋体"/>
          <w:b/>
          <w:color w:val="000000"/>
          <w:szCs w:val="21"/>
        </w:rPr>
        <w:t xml:space="preserve">43．磋商文件的其他规定见磋商须知前附表。 </w:t>
      </w:r>
    </w:p>
    <w:p>
      <w:pPr>
        <w:tabs>
          <w:tab w:val="left" w:pos="420"/>
          <w:tab w:val="left" w:pos="7560"/>
          <w:tab w:val="left" w:pos="7740"/>
          <w:tab w:val="left" w:pos="7920"/>
        </w:tabs>
        <w:adjustRightInd w:val="0"/>
        <w:snapToGrid w:val="0"/>
        <w:spacing w:line="400" w:lineRule="exact"/>
        <w:ind w:firstLine="420" w:firstLineChars="200"/>
        <w:rPr>
          <w:rFonts w:ascii="宋体" w:hAnsi="宋体"/>
          <w:color w:val="000000"/>
          <w:szCs w:val="21"/>
        </w:rPr>
      </w:pPr>
    </w:p>
    <w:p>
      <w:pPr>
        <w:numPr>
          <w:ilvl w:val="0"/>
          <w:numId w:val="5"/>
        </w:numPr>
        <w:adjustRightInd w:val="0"/>
        <w:snapToGrid w:val="0"/>
        <w:spacing w:line="360" w:lineRule="auto"/>
        <w:ind w:left="420" w:leftChars="200"/>
        <w:jc w:val="center"/>
        <w:rPr>
          <w:rFonts w:ascii="宋体" w:hAnsi="宋体" w:cs="宋体"/>
          <w:b/>
          <w:bCs/>
          <w:sz w:val="32"/>
          <w:szCs w:val="32"/>
        </w:rPr>
      </w:pPr>
      <w:r>
        <w:rPr>
          <w:rFonts w:ascii="宋体" w:hAnsi="宋体" w:cs="宋体"/>
          <w:b/>
          <w:sz w:val="32"/>
          <w:szCs w:val="32"/>
        </w:rPr>
        <w:br w:type="page"/>
      </w:r>
      <w:r>
        <w:rPr>
          <w:rFonts w:hint="eastAsia" w:ascii="宋体" w:hAnsi="宋体" w:cs="宋体"/>
          <w:b/>
          <w:bCs/>
          <w:sz w:val="32"/>
          <w:szCs w:val="32"/>
        </w:rPr>
        <w:t>合同草案条款</w:t>
      </w:r>
    </w:p>
    <w:p>
      <w:pPr>
        <w:pStyle w:val="346"/>
        <w:spacing w:before="312" w:line="460" w:lineRule="exact"/>
        <w:ind w:firstLine="420"/>
        <w:rPr>
          <w:rFonts w:hint="eastAsia" w:ascii="宋体" w:hAnsi="宋体" w:cs="宋体"/>
          <w:iCs/>
          <w:sz w:val="21"/>
          <w:szCs w:val="21"/>
        </w:rPr>
      </w:pPr>
      <w:r>
        <w:rPr>
          <w:rFonts w:hint="eastAsia" w:ascii="宋体" w:hAnsi="宋体" w:cs="宋体"/>
          <w:iCs/>
          <w:sz w:val="21"/>
          <w:szCs w:val="21"/>
          <w:u w:val="single"/>
        </w:rPr>
        <w:t>国家税务总局张家界市税务局（</w:t>
      </w:r>
      <w:r>
        <w:rPr>
          <w:rFonts w:hint="eastAsia" w:ascii="宋体" w:hAnsi="宋体" w:cs="宋体"/>
          <w:iCs/>
          <w:sz w:val="21"/>
          <w:szCs w:val="21"/>
        </w:rPr>
        <w:t>以下简称：甲方）</w:t>
      </w:r>
    </w:p>
    <w:p>
      <w:pPr>
        <w:pStyle w:val="346"/>
        <w:spacing w:before="312" w:line="460" w:lineRule="exact"/>
        <w:ind w:firstLine="420"/>
        <w:rPr>
          <w:rFonts w:hint="eastAsia" w:ascii="宋体" w:hAnsi="宋体" w:cs="宋体"/>
          <w:iCs/>
          <w:sz w:val="21"/>
          <w:szCs w:val="21"/>
        </w:rPr>
      </w:pPr>
      <w:r>
        <w:rPr>
          <w:rFonts w:hint="eastAsia" w:ascii="宋体" w:hAnsi="宋体" w:cs="宋体"/>
          <w:iCs/>
          <w:sz w:val="21"/>
          <w:szCs w:val="21"/>
          <w:u w:val="single"/>
        </w:rPr>
        <w:t xml:space="preserve">（成交人名称）             </w:t>
      </w:r>
      <w:r>
        <w:rPr>
          <w:rFonts w:hint="eastAsia" w:ascii="宋体" w:hAnsi="宋体" w:cs="宋体"/>
          <w:iCs/>
          <w:sz w:val="21"/>
          <w:szCs w:val="21"/>
        </w:rPr>
        <w:t>（以下简称：乙方）</w:t>
      </w:r>
    </w:p>
    <w:p>
      <w:pPr>
        <w:pStyle w:val="346"/>
        <w:spacing w:before="312" w:line="460" w:lineRule="exact"/>
        <w:ind w:firstLine="420"/>
        <w:rPr>
          <w:rFonts w:ascii="宋体" w:hAnsi="宋体" w:cs="宋体"/>
          <w:iCs/>
          <w:sz w:val="21"/>
          <w:szCs w:val="21"/>
        </w:rPr>
      </w:pPr>
      <w:r>
        <w:rPr>
          <w:rFonts w:hint="eastAsia" w:ascii="宋体" w:hAnsi="宋体" w:cs="宋体"/>
          <w:iCs/>
          <w:sz w:val="21"/>
          <w:szCs w:val="21"/>
        </w:rPr>
        <w:t>根据《中华人民共和国民法典》、《中华人民共和国政府采购法》等相关法律法规之规定，按照平等、自愿、公平和诚实信用的原则，经甲方和乙方协商一致，约定以下合同条款，以兹共同遵守、全面履行。</w:t>
      </w:r>
    </w:p>
    <w:p>
      <w:pPr>
        <w:pStyle w:val="20"/>
        <w:spacing w:line="380" w:lineRule="exact"/>
        <w:rPr>
          <w:rFonts w:ascii="宋体" w:hAnsi="宋体" w:cs="宋体"/>
          <w:b/>
          <w:bCs/>
          <w:iCs/>
          <w:szCs w:val="21"/>
        </w:rPr>
      </w:pPr>
      <w:r>
        <w:rPr>
          <w:rFonts w:hint="eastAsia" w:ascii="宋体" w:hAnsi="宋体" w:cs="宋体"/>
          <w:b/>
          <w:bCs/>
          <w:iCs/>
          <w:szCs w:val="21"/>
        </w:rPr>
        <w:t>一、合同组成部分</w:t>
      </w:r>
    </w:p>
    <w:p>
      <w:pPr>
        <w:pStyle w:val="346"/>
        <w:spacing w:before="312" w:line="460" w:lineRule="exact"/>
        <w:ind w:firstLine="420"/>
        <w:rPr>
          <w:rFonts w:ascii="宋体" w:hAnsi="宋体" w:cs="宋体"/>
          <w:iCs/>
          <w:sz w:val="21"/>
          <w:szCs w:val="21"/>
        </w:rPr>
      </w:pPr>
      <w:r>
        <w:rPr>
          <w:rFonts w:hint="eastAsia" w:ascii="宋体" w:hAnsi="宋体" w:cs="宋体"/>
          <w:iCs/>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pPr>
        <w:pStyle w:val="346"/>
        <w:spacing w:beforeLines="0" w:line="460" w:lineRule="exact"/>
        <w:ind w:firstLine="420"/>
        <w:rPr>
          <w:rFonts w:ascii="宋体" w:hAnsi="宋体" w:cs="宋体"/>
          <w:iCs/>
          <w:sz w:val="21"/>
          <w:szCs w:val="21"/>
        </w:rPr>
      </w:pPr>
      <w:r>
        <w:rPr>
          <w:rFonts w:hint="eastAsia" w:ascii="宋体" w:hAnsi="宋体" w:cs="宋体"/>
          <w:iCs/>
          <w:sz w:val="21"/>
          <w:szCs w:val="21"/>
        </w:rPr>
        <w:t>（1）本合同及其补充合同、变更协议；</w:t>
      </w:r>
    </w:p>
    <w:p>
      <w:pPr>
        <w:pStyle w:val="346"/>
        <w:spacing w:beforeLines="0" w:line="460" w:lineRule="exact"/>
        <w:ind w:firstLine="420"/>
        <w:rPr>
          <w:rFonts w:ascii="宋体" w:hAnsi="宋体" w:cs="宋体"/>
          <w:iCs/>
          <w:sz w:val="21"/>
          <w:szCs w:val="21"/>
        </w:rPr>
      </w:pPr>
      <w:r>
        <w:rPr>
          <w:rFonts w:hint="eastAsia" w:ascii="宋体" w:hAnsi="宋体" w:cs="宋体"/>
          <w:iCs/>
          <w:sz w:val="21"/>
          <w:szCs w:val="21"/>
        </w:rPr>
        <w:t>（2）成交通知书；</w:t>
      </w:r>
    </w:p>
    <w:p>
      <w:pPr>
        <w:pStyle w:val="346"/>
        <w:spacing w:beforeLines="0" w:line="460" w:lineRule="exact"/>
        <w:ind w:firstLine="420"/>
        <w:rPr>
          <w:rFonts w:ascii="宋体" w:hAnsi="宋体" w:cs="宋体"/>
          <w:iCs/>
          <w:sz w:val="21"/>
          <w:szCs w:val="21"/>
        </w:rPr>
      </w:pPr>
      <w:r>
        <w:rPr>
          <w:rFonts w:hint="eastAsia" w:ascii="宋体" w:hAnsi="宋体" w:cs="宋体"/>
          <w:iCs/>
          <w:sz w:val="21"/>
          <w:szCs w:val="21"/>
        </w:rPr>
        <w:t>（3）响应文件（含澄清或者说明文件）；</w:t>
      </w:r>
    </w:p>
    <w:p>
      <w:pPr>
        <w:pStyle w:val="346"/>
        <w:spacing w:beforeLines="0" w:line="460" w:lineRule="exact"/>
        <w:ind w:firstLine="420"/>
        <w:rPr>
          <w:rFonts w:ascii="宋体" w:hAnsi="宋体" w:cs="宋体"/>
          <w:iCs/>
          <w:sz w:val="21"/>
          <w:szCs w:val="21"/>
        </w:rPr>
      </w:pPr>
      <w:r>
        <w:rPr>
          <w:rFonts w:hint="eastAsia" w:ascii="宋体" w:hAnsi="宋体" w:cs="宋体"/>
          <w:iCs/>
          <w:sz w:val="21"/>
          <w:szCs w:val="21"/>
        </w:rPr>
        <w:t>（4）磋商文件（含澄清或者修改文件）；</w:t>
      </w:r>
    </w:p>
    <w:p>
      <w:pPr>
        <w:pStyle w:val="346"/>
        <w:spacing w:beforeLines="0" w:line="460" w:lineRule="exact"/>
        <w:ind w:firstLine="420"/>
        <w:rPr>
          <w:rFonts w:ascii="宋体" w:hAnsi="宋体" w:cs="宋体"/>
          <w:iCs/>
          <w:sz w:val="21"/>
          <w:szCs w:val="21"/>
        </w:rPr>
      </w:pPr>
      <w:r>
        <w:rPr>
          <w:rFonts w:hint="eastAsia" w:ascii="宋体" w:hAnsi="宋体" w:cs="宋体"/>
          <w:iCs/>
          <w:sz w:val="21"/>
          <w:szCs w:val="21"/>
        </w:rPr>
        <w:t>（5）其他相关采购文件。</w:t>
      </w:r>
    </w:p>
    <w:p>
      <w:pPr>
        <w:pStyle w:val="346"/>
        <w:spacing w:before="312" w:line="460" w:lineRule="exact"/>
        <w:ind w:firstLine="198" w:firstLineChars="94"/>
        <w:rPr>
          <w:rFonts w:ascii="宋体" w:hAnsi="宋体" w:cs="宋体"/>
          <w:iCs/>
          <w:sz w:val="21"/>
          <w:szCs w:val="21"/>
        </w:rPr>
      </w:pPr>
      <w:r>
        <w:rPr>
          <w:rFonts w:hint="eastAsia" w:ascii="宋体" w:hAnsi="宋体" w:cs="宋体"/>
          <w:b/>
          <w:bCs/>
          <w:iCs/>
          <w:sz w:val="21"/>
          <w:szCs w:val="21"/>
        </w:rPr>
        <w:t>二、服务内容：</w:t>
      </w:r>
      <w:r>
        <w:rPr>
          <w:rFonts w:hint="eastAsia" w:ascii="宋体" w:hAnsi="宋体" w:cs="宋体"/>
          <w:b/>
          <w:bCs/>
          <w:iCs/>
          <w:sz w:val="21"/>
          <w:szCs w:val="21"/>
          <w:lang w:val="en-US" w:eastAsia="zh-CN"/>
        </w:rPr>
        <w:t xml:space="preserve">             </w:t>
      </w:r>
      <w:r>
        <w:rPr>
          <w:rFonts w:hint="eastAsia" w:ascii="宋体" w:hAnsi="宋体" w:cs="宋体"/>
          <w:iCs/>
          <w:sz w:val="21"/>
          <w:szCs w:val="21"/>
        </w:rPr>
        <w:t>。</w:t>
      </w:r>
    </w:p>
    <w:p>
      <w:pPr>
        <w:pStyle w:val="20"/>
        <w:spacing w:line="380" w:lineRule="exact"/>
        <w:rPr>
          <w:rFonts w:ascii="宋体" w:hAnsi="宋体" w:cs="宋体"/>
          <w:b/>
          <w:bCs/>
          <w:iCs/>
          <w:szCs w:val="21"/>
        </w:rPr>
      </w:pPr>
      <w:r>
        <w:rPr>
          <w:rFonts w:hint="eastAsia" w:ascii="宋体" w:hAnsi="宋体" w:cs="宋体"/>
          <w:b/>
          <w:bCs/>
          <w:iCs/>
          <w:szCs w:val="21"/>
        </w:rPr>
        <w:t>三、付款方式和发票开具方式</w:t>
      </w:r>
    </w:p>
    <w:p>
      <w:pPr>
        <w:spacing w:line="380" w:lineRule="exact"/>
        <w:ind w:firstLine="210" w:firstLineChars="100"/>
        <w:rPr>
          <w:rFonts w:ascii="宋体" w:hAnsi="宋体" w:cs="宋体"/>
          <w:iCs/>
          <w:szCs w:val="21"/>
        </w:rPr>
      </w:pPr>
      <w:r>
        <w:rPr>
          <w:rFonts w:hint="eastAsia" w:ascii="宋体" w:hAnsi="宋体" w:cs="宋体"/>
          <w:iCs/>
          <w:szCs w:val="21"/>
        </w:rPr>
        <w:t>（1）付款方式：按</w:t>
      </w:r>
      <w:r>
        <w:rPr>
          <w:rFonts w:hint="eastAsia" w:ascii="宋体" w:hAnsi="宋体" w:cs="宋体"/>
          <w:iCs/>
          <w:szCs w:val="21"/>
          <w:lang w:eastAsia="zh-CN"/>
        </w:rPr>
        <w:t>月</w:t>
      </w:r>
      <w:r>
        <w:rPr>
          <w:rFonts w:hint="eastAsia" w:ascii="宋体" w:hAnsi="宋体" w:cs="宋体"/>
          <w:iCs/>
          <w:szCs w:val="21"/>
        </w:rPr>
        <w:t>付款,每季首10日内,甲方将该季度金额拨付到乙方指定的银行账户,乙方应同时向甲方开具增值税发票并送达甲方,如遇节假日顺延。</w:t>
      </w:r>
    </w:p>
    <w:p>
      <w:pPr>
        <w:spacing w:line="380" w:lineRule="exact"/>
        <w:ind w:firstLine="210" w:firstLineChars="100"/>
        <w:rPr>
          <w:rFonts w:ascii="宋体" w:hAnsi="宋体" w:cs="宋体"/>
          <w:iCs/>
          <w:szCs w:val="21"/>
        </w:rPr>
      </w:pPr>
      <w:r>
        <w:rPr>
          <w:rFonts w:hint="eastAsia" w:ascii="宋体" w:hAnsi="宋体" w:cs="宋体"/>
          <w:iCs/>
          <w:szCs w:val="21"/>
        </w:rPr>
        <w:t>（2）发票开具方式： 增值税普通发票。</w:t>
      </w:r>
    </w:p>
    <w:p>
      <w:pPr>
        <w:pStyle w:val="20"/>
        <w:spacing w:line="380" w:lineRule="exact"/>
        <w:rPr>
          <w:rFonts w:ascii="宋体" w:hAnsi="宋体" w:cs="宋体"/>
          <w:b/>
          <w:bCs/>
          <w:iCs/>
          <w:szCs w:val="21"/>
        </w:rPr>
      </w:pPr>
      <w:r>
        <w:rPr>
          <w:rFonts w:hint="eastAsia" w:ascii="宋体" w:hAnsi="宋体" w:cs="宋体"/>
          <w:b/>
          <w:bCs/>
          <w:iCs/>
          <w:szCs w:val="21"/>
        </w:rPr>
        <w:t>四、服务期限、地点和方式</w:t>
      </w:r>
    </w:p>
    <w:p>
      <w:pPr>
        <w:spacing w:line="380" w:lineRule="exact"/>
        <w:ind w:firstLine="210" w:firstLineChars="100"/>
        <w:rPr>
          <w:rFonts w:ascii="宋体" w:hAnsi="宋体" w:cs="宋体"/>
          <w:iCs/>
          <w:szCs w:val="21"/>
        </w:rPr>
      </w:pPr>
      <w:r>
        <w:rPr>
          <w:rFonts w:hint="eastAsia" w:ascii="宋体" w:hAnsi="宋体" w:cs="宋体"/>
          <w:iCs/>
          <w:szCs w:val="21"/>
        </w:rPr>
        <w:t>（1）服务期限：服务期限1年；</w:t>
      </w:r>
    </w:p>
    <w:p>
      <w:pPr>
        <w:spacing w:line="380" w:lineRule="exact"/>
        <w:ind w:firstLine="210" w:firstLineChars="100"/>
        <w:rPr>
          <w:rFonts w:ascii="宋体" w:hAnsi="宋体" w:cs="宋体"/>
          <w:iCs/>
          <w:szCs w:val="21"/>
        </w:rPr>
      </w:pPr>
      <w:r>
        <w:rPr>
          <w:rFonts w:hint="eastAsia" w:ascii="宋体" w:hAnsi="宋体" w:cs="宋体"/>
          <w:iCs/>
          <w:szCs w:val="21"/>
        </w:rPr>
        <w:t>（2）服务地点：国家税务总局张家界市税务局；</w:t>
      </w:r>
    </w:p>
    <w:p>
      <w:pPr>
        <w:spacing w:line="380" w:lineRule="exact"/>
        <w:ind w:firstLine="210" w:firstLineChars="100"/>
        <w:rPr>
          <w:rFonts w:ascii="宋体" w:hAnsi="宋体" w:cs="宋体"/>
          <w:iCs/>
          <w:szCs w:val="21"/>
        </w:rPr>
      </w:pPr>
      <w:r>
        <w:rPr>
          <w:rFonts w:hint="eastAsia" w:ascii="宋体" w:hAnsi="宋体" w:cs="宋体"/>
          <w:iCs/>
          <w:szCs w:val="21"/>
        </w:rPr>
        <w:t>（3）服务方式：整体发包。</w:t>
      </w:r>
    </w:p>
    <w:p>
      <w:pPr>
        <w:pStyle w:val="20"/>
        <w:spacing w:line="380" w:lineRule="exact"/>
        <w:rPr>
          <w:rFonts w:ascii="宋体" w:hAnsi="宋体" w:cs="宋体"/>
          <w:b/>
          <w:bCs/>
          <w:iCs/>
          <w:szCs w:val="21"/>
        </w:rPr>
      </w:pPr>
      <w:bookmarkStart w:id="30" w:name="_Toc26042"/>
      <w:r>
        <w:rPr>
          <w:rFonts w:hint="eastAsia" w:ascii="宋体" w:hAnsi="宋体" w:cs="宋体"/>
          <w:b/>
          <w:bCs/>
          <w:iCs/>
          <w:szCs w:val="21"/>
        </w:rPr>
        <w:t>五、服务形式</w:t>
      </w:r>
    </w:p>
    <w:p>
      <w:pPr>
        <w:spacing w:line="380" w:lineRule="exact"/>
        <w:ind w:firstLine="420" w:firstLineChars="200"/>
        <w:rPr>
          <w:rFonts w:ascii="宋体" w:hAnsi="宋体" w:cs="宋体"/>
          <w:iCs/>
          <w:szCs w:val="21"/>
        </w:rPr>
      </w:pPr>
      <w:r>
        <w:rPr>
          <w:rFonts w:hint="eastAsia" w:ascii="宋体" w:hAnsi="宋体" w:cs="宋体"/>
          <w:iCs/>
          <w:szCs w:val="21"/>
        </w:rPr>
        <w:t>1、乙方劳动力(岗位)外包服务形式为:乙方根据甲方约定的</w:t>
      </w:r>
      <w:r>
        <w:rPr>
          <w:rFonts w:hint="eastAsia" w:ascii="宋体" w:hAnsi="宋体" w:cs="宋体"/>
          <w:iCs/>
          <w:szCs w:val="21"/>
          <w:lang w:eastAsia="zh-CN"/>
        </w:rPr>
        <w:t>服务</w:t>
      </w:r>
      <w:r>
        <w:rPr>
          <w:rFonts w:hint="eastAsia" w:ascii="宋体" w:hAnsi="宋体" w:cs="宋体"/>
          <w:iCs/>
          <w:szCs w:val="21"/>
        </w:rPr>
        <w:t>范围及具体岗位人员需要，配置员工到甲方指定的场所从事专业的服务，完成甲方指定的工作任务。</w:t>
      </w:r>
    </w:p>
    <w:p>
      <w:pPr>
        <w:spacing w:line="380" w:lineRule="exact"/>
        <w:rPr>
          <w:rFonts w:ascii="宋体" w:hAnsi="宋体" w:cs="宋体"/>
          <w:iCs/>
          <w:szCs w:val="21"/>
        </w:rPr>
      </w:pPr>
      <w:r>
        <w:rPr>
          <w:rFonts w:hint="eastAsia" w:ascii="宋体" w:hAnsi="宋体" w:cs="宋体"/>
          <w:iCs/>
          <w:szCs w:val="21"/>
        </w:rPr>
        <w:t xml:space="preserve">    2、乙方配置为甲方提供专业服务的外包员工均与乙方存在劳动关系,与甲方不存在任何直接法律关系，无论乙方为甲方所配置的外包员工是否直接或间接接受甲方的指令或任务安排。</w:t>
      </w:r>
    </w:p>
    <w:p>
      <w:pPr>
        <w:spacing w:line="380" w:lineRule="exact"/>
        <w:rPr>
          <w:rFonts w:ascii="宋体" w:hAnsi="宋体" w:cs="宋体"/>
          <w:iCs/>
          <w:szCs w:val="21"/>
        </w:rPr>
      </w:pPr>
      <w:r>
        <w:rPr>
          <w:rFonts w:hint="eastAsia" w:ascii="宋体" w:hAnsi="宋体" w:cs="宋体"/>
          <w:iCs/>
          <w:szCs w:val="21"/>
        </w:rPr>
        <w:t xml:space="preserve">    3、甲方通过双方约定的联系人发送工作任务及指令,在工作需要或情况紧急的前提下,甲方有权直接向乙方所配置的外包人员发出指令,乙方应确保其人员听从指挥并服从安排。</w:t>
      </w:r>
    </w:p>
    <w:p>
      <w:pPr>
        <w:spacing w:line="380" w:lineRule="exact"/>
        <w:rPr>
          <w:rFonts w:ascii="宋体" w:hAnsi="宋体" w:cs="宋体"/>
          <w:iCs/>
          <w:szCs w:val="21"/>
        </w:rPr>
      </w:pPr>
      <w:r>
        <w:rPr>
          <w:rFonts w:hint="eastAsia" w:ascii="宋体" w:hAnsi="宋体" w:cs="宋体"/>
          <w:iCs/>
          <w:szCs w:val="21"/>
        </w:rPr>
        <w:t xml:space="preserve">    4、乙方所配置的外包人员到甲方指定的场所从事专业的服务,应当有乙方的明确标识,并且所配置的外包人员应当配戴乙方的工作卡,以与甲方的员工区别。</w:t>
      </w:r>
    </w:p>
    <w:p>
      <w:pPr>
        <w:spacing w:line="380" w:lineRule="exact"/>
        <w:ind w:firstLine="420"/>
        <w:rPr>
          <w:rFonts w:ascii="宋体" w:hAnsi="宋体" w:cs="宋体"/>
          <w:iCs/>
          <w:szCs w:val="21"/>
        </w:rPr>
      </w:pPr>
      <w:r>
        <w:rPr>
          <w:rFonts w:hint="eastAsia" w:ascii="宋体" w:hAnsi="宋体" w:cs="宋体"/>
          <w:iCs/>
          <w:szCs w:val="21"/>
        </w:rPr>
        <w:t>5、无论在何种情况下,乙方所配置的外包的人员均不得向其他第三方明示或暗示其属于甲方的员工。</w:t>
      </w:r>
    </w:p>
    <w:p>
      <w:pPr>
        <w:pStyle w:val="20"/>
        <w:spacing w:line="380" w:lineRule="exact"/>
        <w:ind w:firstLine="420"/>
        <w:rPr>
          <w:rFonts w:ascii="宋体" w:hAnsi="宋体" w:cs="宋体"/>
          <w:szCs w:val="21"/>
        </w:rPr>
      </w:pPr>
      <w:r>
        <w:rPr>
          <w:rFonts w:hint="eastAsia" w:ascii="宋体" w:hAnsi="宋体" w:cs="宋体"/>
          <w:szCs w:val="21"/>
        </w:rPr>
        <w:t>6、乙方所配置的外包人员代表乙方从事专业服务,如因过错造成甲方损失的(包括但不限于经济损失、声誉损失、商誉损失等) ,甲方有权要求乙方赔偿。</w:t>
      </w:r>
    </w:p>
    <w:p>
      <w:pPr>
        <w:pStyle w:val="20"/>
        <w:spacing w:line="380" w:lineRule="exact"/>
        <w:rPr>
          <w:rFonts w:ascii="宋体" w:hAnsi="宋体" w:cs="宋体"/>
          <w:szCs w:val="21"/>
        </w:rPr>
      </w:pPr>
      <w:r>
        <w:rPr>
          <w:rFonts w:hint="eastAsia" w:ascii="宋体" w:hAnsi="宋体" w:cs="宋体"/>
          <w:szCs w:val="21"/>
        </w:rPr>
        <w:t xml:space="preserve">    7、在本协议期限内,乙方所配置的外包人员的劳动合同到期前,乙方应及时续签劳动合同,到期未续签的,甲方有权要求乙方在甲方指定期限内另行配置符合甲方要求的其他外包人员,不得因乙方员工离职影响甲方工作。</w:t>
      </w:r>
    </w:p>
    <w:p>
      <w:pPr>
        <w:pStyle w:val="20"/>
        <w:spacing w:line="380" w:lineRule="exact"/>
        <w:rPr>
          <w:rFonts w:ascii="宋体" w:hAnsi="宋体" w:cs="宋体"/>
          <w:b/>
          <w:bCs/>
          <w:szCs w:val="21"/>
        </w:rPr>
      </w:pPr>
      <w:r>
        <w:rPr>
          <w:rFonts w:hint="eastAsia" w:ascii="宋体" w:hAnsi="宋体" w:cs="宋体"/>
          <w:b/>
          <w:bCs/>
          <w:szCs w:val="21"/>
        </w:rPr>
        <w:t>六、双方的权利义务</w:t>
      </w:r>
    </w:p>
    <w:p>
      <w:pPr>
        <w:pStyle w:val="20"/>
        <w:spacing w:line="380" w:lineRule="exact"/>
        <w:rPr>
          <w:rFonts w:ascii="宋体" w:hAnsi="宋体" w:cs="宋体"/>
          <w:szCs w:val="21"/>
        </w:rPr>
      </w:pPr>
      <w:r>
        <w:rPr>
          <w:rFonts w:hint="eastAsia" w:ascii="宋体" w:hAnsi="宋体" w:cs="宋体"/>
          <w:szCs w:val="21"/>
        </w:rPr>
        <w:t xml:space="preserve">    1、甲方的权利和义务</w:t>
      </w:r>
    </w:p>
    <w:p>
      <w:pPr>
        <w:pStyle w:val="20"/>
        <w:spacing w:line="380" w:lineRule="exact"/>
        <w:ind w:firstLine="420" w:firstLineChars="200"/>
        <w:rPr>
          <w:rFonts w:ascii="宋体" w:hAnsi="宋体" w:cs="宋体"/>
          <w:szCs w:val="21"/>
        </w:rPr>
      </w:pPr>
      <w:r>
        <w:rPr>
          <w:rFonts w:hint="eastAsia" w:ascii="宋体" w:hAnsi="宋体" w:cs="宋体"/>
          <w:szCs w:val="21"/>
        </w:rPr>
        <w:t>(1) 甲方有权监督检查乙方提供劳动力(岗位)外包服务的质量,对乙方及其工作人员履行义务不符合要求的,有权要求乙方进行纠正；</w:t>
      </w:r>
    </w:p>
    <w:p>
      <w:pPr>
        <w:pStyle w:val="20"/>
        <w:spacing w:line="380" w:lineRule="exact"/>
        <w:ind w:firstLine="420" w:firstLineChars="200"/>
        <w:rPr>
          <w:rFonts w:ascii="宋体" w:hAnsi="宋体" w:cs="宋体"/>
          <w:szCs w:val="21"/>
        </w:rPr>
      </w:pPr>
      <w:r>
        <w:rPr>
          <w:rFonts w:hint="eastAsia" w:ascii="宋体" w:hAnsi="宋体" w:cs="宋体"/>
          <w:szCs w:val="21"/>
        </w:rPr>
        <w:t>(2) 甲方根据法律法规的规定、国家政策的调整以及上级部门的文件,需要对本劳动力(岗位)外包协议所约定的服务范围、服务方式、服务时间作相应调整的,乙方及其配置的外包人员须接受相应调整。如调整超出双方约定的服务范围的,双方另行协商超出部分的收费事宜;</w:t>
      </w:r>
    </w:p>
    <w:p>
      <w:pPr>
        <w:pStyle w:val="20"/>
        <w:spacing w:line="380" w:lineRule="exact"/>
        <w:ind w:firstLine="420" w:firstLineChars="200"/>
        <w:rPr>
          <w:rFonts w:ascii="宋体" w:hAnsi="宋体" w:cs="宋体"/>
          <w:szCs w:val="21"/>
        </w:rPr>
      </w:pPr>
      <w:r>
        <w:rPr>
          <w:rFonts w:hint="eastAsia" w:ascii="宋体" w:hAnsi="宋体" w:cs="宋体"/>
          <w:szCs w:val="21"/>
        </w:rPr>
        <w:t>(3) 甲方可根据外包岗位要求、标准,向乙方提供所制订的外包人员规章制度、工作流程、考核依据、建议和意见；</w:t>
      </w:r>
    </w:p>
    <w:p>
      <w:pPr>
        <w:pStyle w:val="20"/>
        <w:spacing w:line="380" w:lineRule="exact"/>
        <w:ind w:firstLine="420" w:firstLineChars="200"/>
        <w:rPr>
          <w:rFonts w:ascii="宋体" w:hAnsi="宋体" w:cs="宋体"/>
          <w:szCs w:val="21"/>
        </w:rPr>
      </w:pPr>
      <w:r>
        <w:rPr>
          <w:rFonts w:hint="eastAsia" w:ascii="宋体" w:hAnsi="宋体" w:cs="宋体"/>
          <w:szCs w:val="21"/>
        </w:rPr>
        <w:t>(4) 乙方配置的外包人员发生工伤事故时，甲方应及时通乙方。</w:t>
      </w:r>
    </w:p>
    <w:p>
      <w:pPr>
        <w:pStyle w:val="20"/>
        <w:spacing w:line="380" w:lineRule="exact"/>
        <w:ind w:firstLine="420" w:firstLineChars="200"/>
        <w:rPr>
          <w:rFonts w:ascii="宋体" w:hAnsi="宋体" w:cs="宋体"/>
          <w:szCs w:val="21"/>
        </w:rPr>
      </w:pPr>
      <w:r>
        <w:rPr>
          <w:rFonts w:hint="eastAsia" w:ascii="宋体" w:hAnsi="宋体" w:cs="宋体"/>
          <w:szCs w:val="21"/>
        </w:rPr>
        <w:t>(5) 甲方按协议支付劳动力（岗位）外包费用给乙方;</w:t>
      </w:r>
    </w:p>
    <w:p>
      <w:pPr>
        <w:pStyle w:val="20"/>
        <w:spacing w:line="380" w:lineRule="exact"/>
        <w:ind w:firstLine="420" w:firstLineChars="200"/>
        <w:rPr>
          <w:rFonts w:ascii="宋体" w:hAnsi="宋体" w:cs="宋体"/>
          <w:szCs w:val="21"/>
        </w:rPr>
      </w:pPr>
      <w:r>
        <w:rPr>
          <w:rFonts w:hint="eastAsia" w:ascii="宋体" w:hAnsi="宋体" w:cs="宋体"/>
          <w:szCs w:val="21"/>
        </w:rPr>
        <w:t>(6) 保守在合作过程所获得的及可能所获得的乙方的商业密以及协议内容。</w:t>
      </w:r>
    </w:p>
    <w:p>
      <w:pPr>
        <w:pStyle w:val="20"/>
        <w:spacing w:line="380" w:lineRule="exact"/>
        <w:ind w:firstLine="420" w:firstLineChars="200"/>
        <w:rPr>
          <w:rFonts w:ascii="宋体" w:hAnsi="宋体" w:cs="宋体"/>
          <w:szCs w:val="21"/>
        </w:rPr>
      </w:pPr>
      <w:r>
        <w:rPr>
          <w:rFonts w:hint="eastAsia" w:ascii="宋体" w:hAnsi="宋体" w:cs="宋体"/>
          <w:szCs w:val="21"/>
        </w:rPr>
        <w:t>2、乙方的权利和义务</w:t>
      </w:r>
    </w:p>
    <w:p>
      <w:pPr>
        <w:pStyle w:val="20"/>
        <w:spacing w:line="380" w:lineRule="exact"/>
        <w:ind w:firstLine="420" w:firstLineChars="200"/>
        <w:rPr>
          <w:rFonts w:ascii="宋体" w:hAnsi="宋体" w:cs="宋体"/>
          <w:szCs w:val="21"/>
        </w:rPr>
      </w:pPr>
      <w:r>
        <w:rPr>
          <w:rFonts w:hint="eastAsia" w:ascii="宋体" w:hAnsi="宋体" w:cs="宋体"/>
          <w:szCs w:val="21"/>
        </w:rPr>
        <w:t>(1) 乙方有提供专业服务而收取约定费用的权利;</w:t>
      </w:r>
    </w:p>
    <w:p>
      <w:pPr>
        <w:pStyle w:val="20"/>
        <w:spacing w:line="380" w:lineRule="exact"/>
        <w:ind w:firstLine="420" w:firstLineChars="200"/>
        <w:rPr>
          <w:rFonts w:ascii="宋体" w:hAnsi="宋体" w:cs="宋体"/>
          <w:szCs w:val="21"/>
        </w:rPr>
      </w:pPr>
      <w:r>
        <w:rPr>
          <w:rFonts w:hint="eastAsia" w:ascii="宋体" w:hAnsi="宋体" w:cs="宋体"/>
          <w:szCs w:val="21"/>
        </w:rPr>
        <w:t>(2) 乙方保证其具备从事所约定的专业服务按照有关规定斤应具备的资质、营业范围、专业人员、专业设备、专业技术等条件;否则甲方有权单方解除合同,并要求乙方赔偿甲方一切相关损失;</w:t>
      </w:r>
    </w:p>
    <w:p>
      <w:pPr>
        <w:pStyle w:val="20"/>
        <w:spacing w:line="380" w:lineRule="exact"/>
        <w:ind w:firstLine="420" w:firstLineChars="200"/>
        <w:rPr>
          <w:rFonts w:ascii="宋体" w:hAnsi="宋体" w:cs="宋体"/>
          <w:szCs w:val="21"/>
        </w:rPr>
      </w:pPr>
      <w:r>
        <w:rPr>
          <w:rFonts w:hint="eastAsia" w:ascii="宋体" w:hAnsi="宋体" w:cs="宋体"/>
          <w:szCs w:val="21"/>
        </w:rPr>
        <w:t>(3) 乙方应当对为甲方配置的外包人员进行必要的培训(包括但不限于上岗培训、专业培训等);</w:t>
      </w:r>
    </w:p>
    <w:p>
      <w:pPr>
        <w:pStyle w:val="20"/>
        <w:spacing w:line="380" w:lineRule="exact"/>
        <w:ind w:firstLine="420" w:firstLineChars="200"/>
        <w:rPr>
          <w:rFonts w:ascii="宋体" w:hAnsi="宋体" w:cs="宋体"/>
          <w:szCs w:val="21"/>
        </w:rPr>
      </w:pPr>
      <w:r>
        <w:rPr>
          <w:rFonts w:hint="eastAsia" w:ascii="宋体" w:hAnsi="宋体" w:cs="宋体"/>
          <w:szCs w:val="21"/>
        </w:rPr>
        <w:t>(4) 乙方应当与为甲方提供专业服务的外包人员签订书面劳动合同,并使员工明确乙方为其本人用人单位的事实;乙方应保证根据国家和地方规定为乙方人员缴纳法定社会保险,乙方应尽力避免与提供服务人员产生劳动纠纷,以免影响甲方相关业务的开展；</w:t>
      </w:r>
    </w:p>
    <w:p>
      <w:pPr>
        <w:pStyle w:val="20"/>
        <w:spacing w:line="380" w:lineRule="exact"/>
        <w:ind w:firstLine="420" w:firstLineChars="200"/>
        <w:rPr>
          <w:rFonts w:ascii="宋体" w:hAnsi="宋体" w:cs="宋体"/>
          <w:szCs w:val="21"/>
        </w:rPr>
      </w:pPr>
      <w:r>
        <w:rPr>
          <w:rFonts w:hint="eastAsia" w:ascii="宋体" w:hAnsi="宋体" w:cs="宋体"/>
          <w:szCs w:val="21"/>
        </w:rPr>
        <w:t>(5) 乙方应及时足额发放为甲方提供专业服务的外包人员劳动报酬及其他福利；</w:t>
      </w:r>
    </w:p>
    <w:p>
      <w:pPr>
        <w:pStyle w:val="20"/>
        <w:spacing w:line="380" w:lineRule="exact"/>
        <w:ind w:firstLine="420" w:firstLineChars="200"/>
        <w:rPr>
          <w:rFonts w:ascii="宋体" w:hAnsi="宋体" w:cs="宋体"/>
          <w:szCs w:val="21"/>
        </w:rPr>
      </w:pPr>
      <w:r>
        <w:rPr>
          <w:rFonts w:hint="eastAsia" w:ascii="宋体" w:hAnsi="宋体" w:cs="宋体"/>
          <w:szCs w:val="21"/>
        </w:rPr>
        <w:t>(6) 乙方应及时按甲方的要求履行外包岗位的服务义务，对甲方的指令及工作指派应及时传达并确保按时完成工作任务;</w:t>
      </w:r>
    </w:p>
    <w:p>
      <w:pPr>
        <w:pStyle w:val="20"/>
        <w:spacing w:line="380" w:lineRule="exact"/>
        <w:ind w:firstLine="420" w:firstLineChars="200"/>
        <w:rPr>
          <w:rFonts w:ascii="宋体" w:hAnsi="宋体" w:cs="宋体"/>
          <w:szCs w:val="21"/>
        </w:rPr>
      </w:pPr>
      <w:r>
        <w:rPr>
          <w:rFonts w:hint="eastAsia" w:ascii="宋体" w:hAnsi="宋体" w:cs="宋体"/>
          <w:szCs w:val="21"/>
        </w:rPr>
        <w:t>(7) 对配置到甲方指定场所的外包人员，乙方有义务按照甲方的要求并参考甲方的规章制度制订相应的管理规章制度(包括但不限于工作时间、工作要求、工作完成标准等)予以规范,以加强管理；</w:t>
      </w:r>
    </w:p>
    <w:p>
      <w:pPr>
        <w:pStyle w:val="20"/>
        <w:spacing w:line="380" w:lineRule="exact"/>
        <w:ind w:firstLine="420" w:firstLineChars="200"/>
        <w:rPr>
          <w:rFonts w:ascii="宋体" w:hAnsi="宋体" w:cs="宋体"/>
          <w:szCs w:val="21"/>
        </w:rPr>
      </w:pPr>
      <w:r>
        <w:rPr>
          <w:rFonts w:hint="eastAsia" w:ascii="宋体" w:hAnsi="宋体" w:cs="宋体"/>
          <w:szCs w:val="21"/>
        </w:rPr>
        <w:t>(8) 乙方应组织对所配置到甲方工作的服务人员进行保密培训,并须确保外包人员保守甲方的商业秘密和其他保密信息;</w:t>
      </w:r>
    </w:p>
    <w:p>
      <w:pPr>
        <w:pStyle w:val="20"/>
        <w:spacing w:line="380" w:lineRule="exact"/>
        <w:rPr>
          <w:rFonts w:ascii="宋体" w:hAnsi="宋体" w:cs="宋体"/>
          <w:b/>
          <w:bCs/>
          <w:szCs w:val="21"/>
        </w:rPr>
      </w:pPr>
      <w:r>
        <w:rPr>
          <w:rFonts w:hint="eastAsia" w:ascii="宋体" w:hAnsi="宋体" w:cs="宋体"/>
          <w:b/>
          <w:bCs/>
          <w:szCs w:val="21"/>
        </w:rPr>
        <w:t>七、劳动力(岗位)外包费用</w:t>
      </w:r>
    </w:p>
    <w:p>
      <w:pPr>
        <w:pStyle w:val="20"/>
        <w:spacing w:line="380" w:lineRule="exact"/>
        <w:ind w:firstLine="420" w:firstLineChars="200"/>
        <w:rPr>
          <w:rFonts w:ascii="宋体" w:hAnsi="宋体" w:cs="宋体"/>
          <w:szCs w:val="21"/>
        </w:rPr>
      </w:pPr>
      <w:r>
        <w:rPr>
          <w:rFonts w:hint="eastAsia" w:ascii="宋体" w:hAnsi="宋体" w:cs="宋体"/>
          <w:szCs w:val="21"/>
        </w:rPr>
        <w:t>1、甲方按以下方式计算并支付给乙方的劳动力(岗位)外包费用：</w:t>
      </w:r>
    </w:p>
    <w:p>
      <w:pPr>
        <w:pStyle w:val="20"/>
        <w:spacing w:line="380" w:lineRule="exact"/>
        <w:ind w:firstLine="420" w:firstLineChars="200"/>
        <w:rPr>
          <w:rFonts w:ascii="宋体" w:hAnsi="宋体" w:cs="宋体"/>
          <w:szCs w:val="21"/>
        </w:rPr>
      </w:pPr>
      <w:r>
        <w:rPr>
          <w:rFonts w:hint="eastAsia" w:ascii="宋体" w:hAnsi="宋体" w:cs="宋体"/>
          <w:szCs w:val="21"/>
        </w:rPr>
        <w:t>本协议所约定的劳动力(岗位)外包费用计算方式如下:</w:t>
      </w:r>
    </w:p>
    <w:p>
      <w:pPr>
        <w:pStyle w:val="20"/>
        <w:spacing w:line="380" w:lineRule="exact"/>
        <w:ind w:firstLine="420" w:firstLineChars="200"/>
        <w:rPr>
          <w:rFonts w:ascii="宋体" w:hAnsi="宋体" w:cs="宋体"/>
          <w:szCs w:val="21"/>
        </w:rPr>
      </w:pPr>
      <w:r>
        <w:rPr>
          <w:rFonts w:hint="eastAsia" w:ascii="宋体" w:hAnsi="宋体" w:cs="宋体"/>
          <w:szCs w:val="21"/>
        </w:rPr>
        <w:t>外包员工的成本开支+风险金+管理费</w:t>
      </w:r>
    </w:p>
    <w:p>
      <w:pPr>
        <w:pStyle w:val="20"/>
        <w:spacing w:line="380" w:lineRule="exact"/>
        <w:ind w:firstLine="420" w:firstLineChars="200"/>
        <w:rPr>
          <w:rFonts w:ascii="宋体" w:hAnsi="宋体" w:cs="宋体"/>
          <w:szCs w:val="21"/>
        </w:rPr>
      </w:pPr>
      <w:r>
        <w:rPr>
          <w:rFonts w:hint="eastAsia" w:ascii="宋体" w:hAnsi="宋体" w:cs="宋体"/>
          <w:szCs w:val="21"/>
        </w:rPr>
        <w:t>其中,外包员工的成本开支包括以下开支:</w:t>
      </w:r>
    </w:p>
    <w:p>
      <w:pPr>
        <w:pStyle w:val="20"/>
        <w:numPr>
          <w:ilvl w:val="0"/>
          <w:numId w:val="6"/>
        </w:numPr>
        <w:spacing w:line="380" w:lineRule="exact"/>
        <w:ind w:firstLine="420" w:firstLineChars="200"/>
        <w:rPr>
          <w:rFonts w:ascii="宋体" w:hAnsi="宋体" w:cs="宋体"/>
          <w:szCs w:val="21"/>
        </w:rPr>
      </w:pPr>
      <w:r>
        <w:rPr>
          <w:rFonts w:hint="eastAsia" w:ascii="宋体" w:hAnsi="宋体" w:cs="宋体"/>
          <w:szCs w:val="21"/>
        </w:rPr>
        <w:t>乙方需支付给外包员工的工资(含病假工资及工伤医疗期内工资等)、福利;</w:t>
      </w:r>
    </w:p>
    <w:p>
      <w:pPr>
        <w:pStyle w:val="20"/>
        <w:numPr>
          <w:ilvl w:val="0"/>
          <w:numId w:val="6"/>
        </w:numPr>
        <w:spacing w:line="380" w:lineRule="exact"/>
        <w:ind w:firstLine="420" w:firstLineChars="200"/>
        <w:rPr>
          <w:rFonts w:ascii="宋体" w:hAnsi="宋体" w:cs="宋体"/>
          <w:szCs w:val="21"/>
        </w:rPr>
      </w:pPr>
      <w:r>
        <w:rPr>
          <w:rFonts w:hint="eastAsia" w:ascii="宋体" w:hAnsi="宋体" w:cs="宋体"/>
          <w:szCs w:val="21"/>
        </w:rPr>
        <w:t>乙方按照法律规定需支付给外包员工的各项社会保险开支;</w:t>
      </w:r>
    </w:p>
    <w:p>
      <w:pPr>
        <w:pStyle w:val="20"/>
        <w:numPr>
          <w:ilvl w:val="0"/>
          <w:numId w:val="6"/>
        </w:numPr>
        <w:spacing w:line="380" w:lineRule="exact"/>
        <w:ind w:firstLine="420" w:firstLineChars="200"/>
        <w:rPr>
          <w:rFonts w:ascii="宋体" w:hAnsi="宋体" w:cs="宋体"/>
          <w:szCs w:val="21"/>
        </w:rPr>
      </w:pPr>
      <w:r>
        <w:rPr>
          <w:rFonts w:hint="eastAsia" w:ascii="宋体" w:hAnsi="宋体" w:cs="宋体"/>
          <w:szCs w:val="21"/>
        </w:rPr>
        <w:t>其他相关的费用及行政性收费等开支。</w:t>
      </w:r>
    </w:p>
    <w:p>
      <w:pPr>
        <w:pStyle w:val="20"/>
        <w:spacing w:line="380" w:lineRule="exact"/>
        <w:ind w:firstLine="420" w:firstLineChars="200"/>
        <w:rPr>
          <w:rFonts w:ascii="宋体" w:hAnsi="宋体" w:cs="宋体"/>
          <w:szCs w:val="21"/>
        </w:rPr>
      </w:pPr>
      <w:r>
        <w:rPr>
          <w:rFonts w:hint="eastAsia" w:ascii="宋体" w:hAnsi="宋体" w:cs="宋体"/>
          <w:szCs w:val="21"/>
        </w:rPr>
        <w:t>风险金的构成为以下几部分:</w:t>
      </w:r>
    </w:p>
    <w:p>
      <w:pPr>
        <w:pStyle w:val="20"/>
        <w:numPr>
          <w:ilvl w:val="0"/>
          <w:numId w:val="7"/>
        </w:numPr>
        <w:spacing w:line="380" w:lineRule="exact"/>
        <w:ind w:firstLine="420" w:firstLineChars="200"/>
        <w:rPr>
          <w:rFonts w:ascii="宋体" w:hAnsi="宋体" w:cs="宋体"/>
          <w:szCs w:val="21"/>
        </w:rPr>
      </w:pPr>
      <w:r>
        <w:rPr>
          <w:rFonts w:hint="eastAsia" w:ascii="宋体" w:hAnsi="宋体" w:cs="宋体"/>
          <w:szCs w:val="21"/>
        </w:rPr>
        <w:t>解除或终止外包员工劳动合同时,产生的经济补偿金及医疗补助金或赔偿金。</w:t>
      </w:r>
    </w:p>
    <w:p>
      <w:pPr>
        <w:pStyle w:val="20"/>
        <w:numPr>
          <w:ilvl w:val="0"/>
          <w:numId w:val="7"/>
        </w:numPr>
        <w:spacing w:line="380" w:lineRule="exact"/>
        <w:ind w:firstLine="420" w:firstLineChars="200"/>
        <w:rPr>
          <w:rFonts w:ascii="宋体" w:hAnsi="宋体" w:cs="宋体"/>
          <w:szCs w:val="21"/>
        </w:rPr>
      </w:pPr>
      <w:r>
        <w:rPr>
          <w:rFonts w:hint="eastAsia" w:ascii="宋体" w:hAnsi="宋体" w:cs="宋体"/>
          <w:szCs w:val="21"/>
        </w:rPr>
        <w:t>外包员工工伤的善后处理及工伤保险赔付不足需用人单位承担部分；</w:t>
      </w:r>
    </w:p>
    <w:p>
      <w:pPr>
        <w:pStyle w:val="20"/>
        <w:numPr>
          <w:ilvl w:val="0"/>
          <w:numId w:val="7"/>
        </w:numPr>
        <w:spacing w:line="380" w:lineRule="exact"/>
        <w:ind w:firstLine="420" w:firstLineChars="200"/>
        <w:rPr>
          <w:rFonts w:ascii="宋体" w:hAnsi="宋体" w:cs="宋体"/>
          <w:szCs w:val="21"/>
        </w:rPr>
      </w:pPr>
      <w:r>
        <w:rPr>
          <w:rFonts w:hint="eastAsia" w:ascii="宋体" w:hAnsi="宋体" w:cs="宋体"/>
          <w:szCs w:val="21"/>
        </w:rPr>
        <w:t>外包员工计划生育事务处理及生育保险支付不足需用人单位承担部分；</w:t>
      </w:r>
    </w:p>
    <w:p>
      <w:pPr>
        <w:pStyle w:val="20"/>
        <w:numPr>
          <w:ilvl w:val="0"/>
          <w:numId w:val="7"/>
        </w:numPr>
        <w:spacing w:line="380" w:lineRule="exact"/>
        <w:ind w:firstLine="420" w:firstLineChars="200"/>
        <w:rPr>
          <w:rFonts w:ascii="宋体" w:hAnsi="宋体" w:cs="宋体"/>
          <w:szCs w:val="21"/>
        </w:rPr>
      </w:pPr>
      <w:r>
        <w:rPr>
          <w:rFonts w:hint="eastAsia" w:ascii="宋体" w:hAnsi="宋体" w:cs="宋体"/>
          <w:szCs w:val="21"/>
        </w:rPr>
        <w:t>按外包员工比例应缴纳的残疾人保障金;</w:t>
      </w:r>
    </w:p>
    <w:p>
      <w:pPr>
        <w:pStyle w:val="20"/>
        <w:numPr>
          <w:ilvl w:val="0"/>
          <w:numId w:val="7"/>
        </w:numPr>
        <w:spacing w:line="380" w:lineRule="exact"/>
        <w:ind w:firstLine="420" w:firstLineChars="200"/>
        <w:rPr>
          <w:rFonts w:ascii="宋体" w:hAnsi="宋体" w:cs="宋体"/>
          <w:szCs w:val="21"/>
        </w:rPr>
      </w:pPr>
      <w:r>
        <w:rPr>
          <w:rFonts w:hint="eastAsia" w:ascii="宋体" w:hAnsi="宋体" w:cs="宋体"/>
          <w:szCs w:val="21"/>
        </w:rPr>
        <w:t>其他不可预见的费用。</w:t>
      </w:r>
    </w:p>
    <w:p>
      <w:pPr>
        <w:pStyle w:val="20"/>
        <w:spacing w:line="380" w:lineRule="exact"/>
        <w:ind w:firstLine="420" w:firstLineChars="200"/>
        <w:rPr>
          <w:rFonts w:ascii="宋体" w:hAnsi="宋体" w:cs="宋体"/>
          <w:szCs w:val="21"/>
        </w:rPr>
      </w:pPr>
      <w:r>
        <w:rPr>
          <w:rFonts w:hint="eastAsia" w:ascii="宋体" w:hAnsi="宋体" w:cs="宋体"/>
          <w:szCs w:val="21"/>
        </w:rPr>
        <w:t>2、合同期间,国家法规或政策等要求对相关工资标准或社会保险标准进行调整时,外包费用不作调整,甲方需增减劳动力(岗位)时,费用的调整另订补充协议。</w:t>
      </w:r>
    </w:p>
    <w:p>
      <w:pPr>
        <w:pStyle w:val="20"/>
        <w:spacing w:line="380" w:lineRule="exact"/>
        <w:ind w:firstLine="420" w:firstLineChars="200"/>
        <w:rPr>
          <w:rFonts w:ascii="宋体" w:hAnsi="宋体" w:cs="宋体"/>
          <w:szCs w:val="21"/>
        </w:rPr>
      </w:pPr>
      <w:r>
        <w:rPr>
          <w:rFonts w:hint="eastAsia" w:ascii="宋体" w:hAnsi="宋体" w:cs="宋体"/>
          <w:szCs w:val="21"/>
        </w:rPr>
        <w:t>因工作需要,在法定节假日、休息日及法定工作时间之外,外包员工提供劳动的,甲方依法支付给其员工加班费,此项费用直接支付给加班员工。</w:t>
      </w:r>
    </w:p>
    <w:p>
      <w:pPr>
        <w:pStyle w:val="20"/>
        <w:spacing w:line="380" w:lineRule="exact"/>
        <w:ind w:left="420" w:leftChars="200"/>
        <w:rPr>
          <w:rFonts w:ascii="宋体" w:hAnsi="宋体" w:cs="宋体"/>
          <w:szCs w:val="21"/>
        </w:rPr>
      </w:pPr>
      <w:r>
        <w:rPr>
          <w:rFonts w:hint="eastAsia" w:ascii="宋体" w:hAnsi="宋体" w:cs="宋体"/>
          <w:szCs w:val="21"/>
        </w:rPr>
        <w:t>外包员工因执行甲方职务需要出差的,差旅费及补助直接向甲方报销。</w:t>
      </w:r>
    </w:p>
    <w:p>
      <w:pPr>
        <w:pStyle w:val="20"/>
        <w:spacing w:line="380" w:lineRule="exact"/>
        <w:rPr>
          <w:rFonts w:ascii="宋体" w:hAnsi="宋体" w:cs="宋体"/>
          <w:b/>
          <w:bCs/>
          <w:szCs w:val="21"/>
        </w:rPr>
      </w:pPr>
      <w:r>
        <w:rPr>
          <w:rFonts w:hint="eastAsia" w:ascii="宋体" w:hAnsi="宋体" w:cs="宋体"/>
          <w:b/>
          <w:bCs/>
          <w:szCs w:val="21"/>
        </w:rPr>
        <w:t>八、协议的变更与终止</w:t>
      </w:r>
    </w:p>
    <w:p>
      <w:pPr>
        <w:pStyle w:val="20"/>
        <w:spacing w:line="380" w:lineRule="exact"/>
        <w:ind w:firstLine="420" w:firstLineChars="200"/>
        <w:rPr>
          <w:rFonts w:ascii="宋体" w:hAnsi="宋体" w:cs="宋体"/>
          <w:szCs w:val="21"/>
        </w:rPr>
      </w:pPr>
      <w:r>
        <w:rPr>
          <w:rFonts w:hint="eastAsia" w:ascii="宋体" w:hAnsi="宋体" w:cs="宋体"/>
          <w:szCs w:val="21"/>
        </w:rPr>
        <w:t>1、本协议履行期限内,如需要对服务范围、服务方式、服务费用等事项进行变更的,经协商一致可以变更,由双方另行补充协议。</w:t>
      </w:r>
    </w:p>
    <w:p>
      <w:pPr>
        <w:pStyle w:val="20"/>
        <w:spacing w:line="380" w:lineRule="exact"/>
        <w:ind w:firstLine="420" w:firstLineChars="200"/>
        <w:rPr>
          <w:rFonts w:ascii="宋体" w:hAnsi="宋体" w:cs="宋体"/>
          <w:szCs w:val="21"/>
        </w:rPr>
      </w:pPr>
      <w:r>
        <w:rPr>
          <w:rFonts w:hint="eastAsia" w:ascii="宋体" w:hAnsi="宋体" w:cs="宋体"/>
          <w:szCs w:val="21"/>
        </w:rPr>
        <w:t>2、甲方根据法律法规的规定、国家政策的调整以及上级部门文件的规定,需要对本协议相关事项进行调整的,乙方应根据甲方通知调整;但如明显超出双方约定的服务范围的,由双方另行协调收费事宜。</w:t>
      </w:r>
    </w:p>
    <w:p>
      <w:pPr>
        <w:pStyle w:val="20"/>
        <w:spacing w:line="380" w:lineRule="exact"/>
        <w:ind w:firstLine="420" w:firstLineChars="200"/>
        <w:rPr>
          <w:rFonts w:ascii="宋体" w:hAnsi="宋体" w:cs="宋体"/>
          <w:szCs w:val="21"/>
        </w:rPr>
      </w:pPr>
      <w:r>
        <w:rPr>
          <w:rFonts w:hint="eastAsia" w:ascii="宋体" w:hAnsi="宋体" w:cs="宋体"/>
          <w:szCs w:val="21"/>
        </w:rPr>
        <w:t>3、有下列情形之一,本合同终止:</w:t>
      </w:r>
    </w:p>
    <w:p>
      <w:pPr>
        <w:pStyle w:val="20"/>
        <w:spacing w:line="380" w:lineRule="exact"/>
        <w:ind w:firstLine="420" w:firstLineChars="200"/>
        <w:rPr>
          <w:rFonts w:ascii="宋体" w:hAnsi="宋体" w:cs="宋体"/>
          <w:szCs w:val="21"/>
        </w:rPr>
      </w:pPr>
      <w:r>
        <w:rPr>
          <w:rFonts w:hint="eastAsia" w:ascii="宋体" w:hAnsi="宋体" w:cs="宋体"/>
          <w:szCs w:val="21"/>
        </w:rPr>
        <w:t>(1) 本协议期限届满;</w:t>
      </w:r>
    </w:p>
    <w:p>
      <w:pPr>
        <w:pStyle w:val="20"/>
        <w:spacing w:line="380" w:lineRule="exact"/>
        <w:ind w:left="420" w:leftChars="200"/>
        <w:rPr>
          <w:rFonts w:ascii="宋体" w:hAnsi="宋体" w:cs="宋体"/>
          <w:szCs w:val="21"/>
        </w:rPr>
      </w:pPr>
      <w:r>
        <w:rPr>
          <w:rFonts w:hint="eastAsia" w:ascii="宋体" w:hAnsi="宋体" w:cs="宋体"/>
          <w:szCs w:val="21"/>
        </w:rPr>
        <w:t>(2) 甲、乙双方书面协定提前终止协议;</w:t>
      </w:r>
    </w:p>
    <w:p>
      <w:pPr>
        <w:pStyle w:val="20"/>
        <w:spacing w:line="380" w:lineRule="exact"/>
        <w:ind w:left="420" w:leftChars="200"/>
        <w:rPr>
          <w:rFonts w:ascii="宋体" w:hAnsi="宋体" w:cs="宋体"/>
          <w:szCs w:val="21"/>
        </w:rPr>
      </w:pPr>
      <w:r>
        <w:rPr>
          <w:rFonts w:hint="eastAsia" w:ascii="宋体" w:hAnsi="宋体" w:cs="宋体"/>
          <w:szCs w:val="21"/>
        </w:rPr>
        <w:t>(3) 因不可抗力导致合同无法履行的;</w:t>
      </w:r>
    </w:p>
    <w:p>
      <w:pPr>
        <w:pStyle w:val="20"/>
        <w:spacing w:line="380" w:lineRule="exact"/>
        <w:ind w:firstLine="420" w:firstLineChars="200"/>
        <w:rPr>
          <w:rFonts w:ascii="宋体" w:hAnsi="宋体" w:cs="宋体"/>
          <w:szCs w:val="21"/>
        </w:rPr>
      </w:pPr>
      <w:r>
        <w:rPr>
          <w:rFonts w:hint="eastAsia" w:ascii="宋体" w:hAnsi="宋体" w:cs="宋体"/>
          <w:szCs w:val="21"/>
        </w:rPr>
        <w:t>(4) 本协议项目下的条款内容被行业主管部门或者法院、仲裁机构认定为无效,而导致本协议完全无法执行时提前终止;</w:t>
      </w:r>
    </w:p>
    <w:p>
      <w:pPr>
        <w:pStyle w:val="20"/>
        <w:spacing w:line="380" w:lineRule="exact"/>
        <w:ind w:left="420" w:leftChars="200"/>
        <w:rPr>
          <w:rFonts w:ascii="宋体" w:hAnsi="宋体" w:cs="宋体"/>
          <w:szCs w:val="21"/>
        </w:rPr>
      </w:pPr>
      <w:r>
        <w:rPr>
          <w:rFonts w:hint="eastAsia" w:ascii="宋体" w:hAnsi="宋体" w:cs="宋体"/>
          <w:szCs w:val="21"/>
        </w:rPr>
        <w:t>(5) 其他非因双方过错导致合同终上的。</w:t>
      </w:r>
    </w:p>
    <w:p>
      <w:pPr>
        <w:pStyle w:val="20"/>
        <w:spacing w:line="380" w:lineRule="exact"/>
        <w:ind w:firstLine="420" w:firstLineChars="200"/>
        <w:rPr>
          <w:rFonts w:ascii="宋体" w:hAnsi="宋体" w:cs="宋体"/>
          <w:szCs w:val="21"/>
        </w:rPr>
      </w:pPr>
      <w:r>
        <w:rPr>
          <w:rFonts w:hint="eastAsia" w:ascii="宋体" w:hAnsi="宋体" w:cs="宋体"/>
          <w:szCs w:val="21"/>
        </w:rPr>
        <w:t>5、无论因何种原因终止本协议,乙方应确保其外包人员本着诚实信用的原则完成交接工作,并继续承担有关保密义务。</w:t>
      </w:r>
    </w:p>
    <w:p>
      <w:pPr>
        <w:pStyle w:val="20"/>
        <w:spacing w:line="380" w:lineRule="exact"/>
        <w:rPr>
          <w:rFonts w:ascii="宋体" w:hAnsi="宋体" w:cs="宋体"/>
          <w:b/>
          <w:bCs/>
          <w:szCs w:val="21"/>
        </w:rPr>
      </w:pPr>
      <w:r>
        <w:rPr>
          <w:rFonts w:hint="eastAsia" w:ascii="宋体" w:hAnsi="宋体" w:cs="宋体"/>
          <w:b/>
          <w:bCs/>
          <w:szCs w:val="21"/>
        </w:rPr>
        <w:t>九、违约责任</w:t>
      </w:r>
    </w:p>
    <w:p>
      <w:pPr>
        <w:pStyle w:val="20"/>
        <w:spacing w:line="380" w:lineRule="exact"/>
        <w:ind w:firstLine="420" w:firstLineChars="200"/>
        <w:rPr>
          <w:rFonts w:ascii="宋体" w:hAnsi="宋体" w:cs="宋体"/>
          <w:szCs w:val="21"/>
        </w:rPr>
      </w:pPr>
      <w:r>
        <w:rPr>
          <w:rFonts w:hint="eastAsia" w:ascii="宋体" w:hAnsi="宋体" w:cs="宋体"/>
          <w:szCs w:val="21"/>
        </w:rPr>
        <w:t>1、双方违反本协议所约定的义务的,应向对方承担违约责任,造成对方损失的,还应赔偿损失。</w:t>
      </w:r>
    </w:p>
    <w:p>
      <w:pPr>
        <w:pStyle w:val="20"/>
        <w:spacing w:line="380" w:lineRule="exact"/>
        <w:ind w:firstLine="420" w:firstLineChars="200"/>
        <w:rPr>
          <w:rFonts w:ascii="宋体" w:hAnsi="宋体" w:cs="宋体"/>
          <w:szCs w:val="21"/>
        </w:rPr>
      </w:pPr>
      <w:r>
        <w:rPr>
          <w:rFonts w:hint="eastAsia" w:ascii="宋体" w:hAnsi="宋体" w:cs="宋体"/>
          <w:szCs w:val="21"/>
        </w:rPr>
        <w:t>2、乙方员工给第三方或甲方造成损害的,由乙方承担法律责任,甲方强令乙方员工违章作业,造成的损害由甲方承担。</w:t>
      </w:r>
    </w:p>
    <w:p>
      <w:pPr>
        <w:pStyle w:val="20"/>
        <w:spacing w:line="380" w:lineRule="exact"/>
        <w:ind w:firstLine="420" w:firstLineChars="200"/>
        <w:rPr>
          <w:rFonts w:ascii="宋体" w:hAnsi="宋体" w:cs="宋体"/>
          <w:szCs w:val="21"/>
        </w:rPr>
      </w:pPr>
      <w:r>
        <w:rPr>
          <w:rFonts w:hint="eastAsia" w:ascii="宋体" w:hAnsi="宋体" w:cs="宋体"/>
          <w:szCs w:val="21"/>
        </w:rPr>
        <w:t>3、乙方员工有不适合岗位的情形,甲方予以退回的,或外包期满,甲方未继续使用的员工,乙方应予以妥普处理,如产生该员工的补偿、赔偿，甲方不予承担。</w:t>
      </w:r>
    </w:p>
    <w:p>
      <w:pPr>
        <w:pStyle w:val="20"/>
        <w:spacing w:line="380" w:lineRule="exact"/>
        <w:ind w:firstLine="420" w:firstLineChars="200"/>
        <w:rPr>
          <w:rFonts w:ascii="宋体" w:hAnsi="宋体" w:cs="宋体"/>
          <w:szCs w:val="21"/>
        </w:rPr>
      </w:pPr>
      <w:r>
        <w:rPr>
          <w:rFonts w:hint="eastAsia" w:ascii="宋体" w:hAnsi="宋体" w:cs="宋体"/>
          <w:szCs w:val="21"/>
        </w:rPr>
        <w:t>4、甲方拖延外包费用支付的,按日万分之五支付违约金,超过三十日,乙方可停止服务。</w:t>
      </w:r>
    </w:p>
    <w:p>
      <w:pPr>
        <w:pStyle w:val="20"/>
        <w:spacing w:line="380" w:lineRule="exact"/>
        <w:ind w:firstLine="420" w:firstLineChars="200"/>
        <w:rPr>
          <w:rFonts w:ascii="宋体" w:hAnsi="宋体" w:cs="宋体"/>
          <w:szCs w:val="21"/>
        </w:rPr>
      </w:pPr>
      <w:r>
        <w:rPr>
          <w:rFonts w:hint="eastAsia" w:ascii="宋体" w:hAnsi="宋体" w:cs="宋体"/>
          <w:szCs w:val="21"/>
        </w:rPr>
        <w:t>5、因乙方未及时足额支付外包服务员工的工资、保险及其他待遇,影响其员工提供服务的,甲方有权退回人员,直至解除本协议。</w:t>
      </w:r>
    </w:p>
    <w:p>
      <w:pPr>
        <w:pStyle w:val="20"/>
        <w:spacing w:line="380" w:lineRule="exact"/>
        <w:rPr>
          <w:rFonts w:ascii="宋体" w:hAnsi="宋体" w:cs="宋体"/>
          <w:b/>
          <w:bCs/>
          <w:szCs w:val="21"/>
        </w:rPr>
      </w:pPr>
      <w:r>
        <w:rPr>
          <w:rFonts w:hint="eastAsia" w:ascii="宋体" w:hAnsi="宋体" w:cs="宋体"/>
          <w:b/>
          <w:bCs/>
          <w:szCs w:val="21"/>
        </w:rPr>
        <w:t>十、争议的解决方式</w:t>
      </w:r>
    </w:p>
    <w:p>
      <w:pPr>
        <w:pStyle w:val="20"/>
        <w:spacing w:line="380" w:lineRule="exact"/>
        <w:ind w:firstLine="420" w:firstLineChars="200"/>
        <w:rPr>
          <w:rFonts w:ascii="宋体" w:hAnsi="宋体" w:cs="宋体"/>
          <w:szCs w:val="21"/>
        </w:rPr>
      </w:pPr>
      <w:r>
        <w:rPr>
          <w:rFonts w:hint="eastAsia" w:ascii="宋体" w:hAnsi="宋体" w:cs="宋体"/>
          <w:szCs w:val="21"/>
        </w:rPr>
        <w:t>甲乙双方因本协议事宜发生争议的,应友好协商解决。协商不成,任何一方均可向双方所在地的任何一方所在地人民法院提起诉讼。</w:t>
      </w:r>
    </w:p>
    <w:p>
      <w:pPr>
        <w:pStyle w:val="20"/>
        <w:spacing w:line="380" w:lineRule="exact"/>
        <w:rPr>
          <w:rFonts w:ascii="宋体" w:hAnsi="宋体" w:cs="宋体"/>
          <w:b/>
          <w:bCs/>
          <w:szCs w:val="21"/>
        </w:rPr>
      </w:pPr>
      <w:r>
        <w:rPr>
          <w:rFonts w:hint="eastAsia" w:ascii="宋体" w:hAnsi="宋体" w:cs="宋体"/>
          <w:b/>
          <w:bCs/>
          <w:szCs w:val="21"/>
        </w:rPr>
        <w:t>十一、通知与送达</w:t>
      </w:r>
    </w:p>
    <w:p>
      <w:pPr>
        <w:pStyle w:val="20"/>
        <w:spacing w:line="380" w:lineRule="exact"/>
        <w:ind w:firstLine="420" w:firstLineChars="200"/>
        <w:rPr>
          <w:rFonts w:ascii="宋体" w:hAnsi="宋体" w:cs="宋体"/>
          <w:b/>
          <w:iCs/>
          <w:szCs w:val="21"/>
        </w:rPr>
      </w:pPr>
      <w:r>
        <w:rPr>
          <w:rFonts w:hint="eastAsia" w:ascii="宋体" w:hAnsi="宋体" w:cs="宋体"/>
          <w:szCs w:val="21"/>
        </w:rPr>
        <w:t>甲乙双方在本协议履行过程中相互发出或者提供的所有通知、文件、文书、资料等,均以本协议所列明的地址送达。一方如果迁址或者变更电话,应当书面通知对方,未履行通知义务的,另一方按原地址邮寄相关材料即视为已履行送达义务。当面交付上述材料的,在交付之时视为送达;以邮寄方式交付的,寄出或者投邮后即视为送达。</w:t>
      </w:r>
    </w:p>
    <w:p>
      <w:pPr>
        <w:spacing w:line="380" w:lineRule="exact"/>
        <w:rPr>
          <w:rFonts w:ascii="宋体" w:hAnsi="宋体" w:cs="宋体"/>
          <w:b/>
          <w:iCs/>
          <w:szCs w:val="21"/>
        </w:rPr>
      </w:pPr>
      <w:r>
        <w:rPr>
          <w:rFonts w:hint="eastAsia" w:ascii="宋体" w:hAnsi="宋体" w:cs="宋体"/>
          <w:b/>
          <w:iCs/>
          <w:szCs w:val="21"/>
        </w:rPr>
        <w:t>十二、解除合同规定</w:t>
      </w:r>
    </w:p>
    <w:p>
      <w:pPr>
        <w:spacing w:line="380" w:lineRule="exact"/>
        <w:ind w:firstLine="420" w:firstLineChars="200"/>
        <w:rPr>
          <w:rFonts w:ascii="宋体" w:hAnsi="宋体" w:cs="宋体"/>
          <w:iCs/>
          <w:szCs w:val="21"/>
        </w:rPr>
      </w:pPr>
      <w:r>
        <w:rPr>
          <w:rFonts w:hint="eastAsia" w:ascii="宋体" w:hAnsi="宋体" w:cs="宋体"/>
          <w:iCs/>
          <w:szCs w:val="21"/>
        </w:rPr>
        <w:t>出现下列情况之一时，甲方可以解除服务合同：</w:t>
      </w:r>
    </w:p>
    <w:p>
      <w:pPr>
        <w:spacing w:line="380" w:lineRule="exact"/>
        <w:ind w:firstLine="420" w:firstLineChars="200"/>
        <w:rPr>
          <w:rFonts w:ascii="宋体" w:hAnsi="宋体" w:cs="宋体"/>
          <w:iCs/>
          <w:szCs w:val="21"/>
        </w:rPr>
      </w:pPr>
      <w:r>
        <w:rPr>
          <w:rFonts w:hint="eastAsia" w:ascii="宋体" w:hAnsi="宋体" w:cs="宋体"/>
          <w:iCs/>
          <w:szCs w:val="21"/>
        </w:rPr>
        <w:t>1、乙方不能全面履行合同义务，受托的管理工作和服务质量整改后仍达不到合同要求，不能实现各项承诺目标的。</w:t>
      </w:r>
    </w:p>
    <w:p>
      <w:pPr>
        <w:spacing w:line="380" w:lineRule="exact"/>
        <w:rPr>
          <w:rFonts w:ascii="宋体" w:hAnsi="宋体" w:cs="宋体"/>
          <w:iCs/>
          <w:szCs w:val="21"/>
        </w:rPr>
      </w:pPr>
      <w:r>
        <w:rPr>
          <w:rFonts w:hint="eastAsia" w:ascii="宋体" w:hAnsi="宋体" w:cs="宋体"/>
          <w:iCs/>
          <w:szCs w:val="21"/>
        </w:rPr>
        <w:t xml:space="preserve">    2、因乙方管理不善，给甲方造成重大经济损失或严重影响的。</w:t>
      </w:r>
    </w:p>
    <w:p>
      <w:pPr>
        <w:spacing w:line="380" w:lineRule="exact"/>
        <w:rPr>
          <w:rFonts w:ascii="宋体" w:hAnsi="宋体" w:cs="宋体"/>
          <w:iCs/>
          <w:szCs w:val="21"/>
        </w:rPr>
      </w:pPr>
      <w:r>
        <w:rPr>
          <w:rFonts w:hint="eastAsia" w:ascii="宋体" w:hAnsi="宋体" w:cs="宋体"/>
          <w:iCs/>
          <w:szCs w:val="21"/>
        </w:rPr>
        <w:t xml:space="preserve">    3、甲方有50％以上的使用部门对服务不满意，要求更换管理单位的。</w:t>
      </w:r>
    </w:p>
    <w:p>
      <w:pPr>
        <w:spacing w:line="380" w:lineRule="exact"/>
        <w:rPr>
          <w:rFonts w:ascii="宋体" w:hAnsi="宋体" w:cs="宋体"/>
          <w:iCs/>
          <w:szCs w:val="21"/>
        </w:rPr>
      </w:pPr>
      <w:r>
        <w:rPr>
          <w:rFonts w:hint="eastAsia" w:ascii="宋体" w:hAnsi="宋体" w:cs="宋体"/>
          <w:iCs/>
          <w:szCs w:val="21"/>
        </w:rPr>
        <w:t xml:space="preserve">    4、出现下列情况时乙方可以解除本合同：甲方拖欠乙方管理服务费用半年以上时。</w:t>
      </w:r>
    </w:p>
    <w:p>
      <w:pPr>
        <w:spacing w:line="380" w:lineRule="exact"/>
        <w:rPr>
          <w:rFonts w:ascii="宋体" w:hAnsi="宋体" w:cs="宋体"/>
          <w:b/>
          <w:iCs/>
          <w:szCs w:val="21"/>
        </w:rPr>
      </w:pPr>
      <w:r>
        <w:rPr>
          <w:rFonts w:hint="eastAsia" w:ascii="宋体" w:hAnsi="宋体" w:cs="宋体"/>
          <w:b/>
          <w:iCs/>
          <w:szCs w:val="21"/>
        </w:rPr>
        <w:t>十三、保护员工条款</w:t>
      </w:r>
    </w:p>
    <w:p>
      <w:pPr>
        <w:spacing w:line="380" w:lineRule="exact"/>
        <w:rPr>
          <w:rFonts w:ascii="宋体" w:hAnsi="宋体" w:cs="宋体"/>
          <w:iCs/>
          <w:szCs w:val="21"/>
        </w:rPr>
      </w:pPr>
      <w:r>
        <w:rPr>
          <w:rFonts w:hint="eastAsia" w:ascii="宋体" w:hAnsi="宋体" w:cs="宋体"/>
          <w:iCs/>
          <w:szCs w:val="21"/>
        </w:rPr>
        <w:t xml:space="preserve">    如因乙方拖欠所聘员工劳动报酬与其他应付款项，或因此而影响甲方应得到的服务，或员工向甲方投诉要求甲方保护时，甲方有权对应付乙方的管理服务费用进行留存，直至纠纷得到解决。</w:t>
      </w:r>
    </w:p>
    <w:p>
      <w:pPr>
        <w:pStyle w:val="47"/>
        <w:spacing w:afterLines="0"/>
        <w:ind w:left="0" w:leftChars="0" w:firstLine="0" w:firstLineChars="0"/>
        <w:jc w:val="center"/>
        <w:rPr>
          <w:rFonts w:hint="eastAsia" w:ascii="宋体" w:hAnsi="宋体" w:cs="宋体"/>
          <w:b/>
          <w:sz w:val="32"/>
          <w:szCs w:val="32"/>
        </w:rPr>
      </w:pPr>
    </w:p>
    <w:p>
      <w:pPr>
        <w:pStyle w:val="47"/>
        <w:spacing w:afterLines="0"/>
        <w:ind w:left="0" w:leftChars="0" w:firstLine="0" w:firstLineChars="0"/>
        <w:jc w:val="center"/>
        <w:rPr>
          <w:rFonts w:hint="eastAsia" w:ascii="宋体" w:hAnsi="宋体" w:cs="宋体"/>
          <w:b/>
          <w:sz w:val="32"/>
          <w:szCs w:val="32"/>
        </w:rPr>
      </w:pPr>
    </w:p>
    <w:p>
      <w:pPr>
        <w:pStyle w:val="47"/>
        <w:spacing w:afterLines="0"/>
        <w:ind w:left="0" w:leftChars="0" w:firstLine="0" w:firstLineChars="0"/>
        <w:jc w:val="center"/>
        <w:rPr>
          <w:rFonts w:hint="eastAsia" w:ascii="宋体" w:hAnsi="宋体" w:cs="宋体"/>
          <w:b/>
          <w:sz w:val="32"/>
          <w:szCs w:val="32"/>
        </w:rPr>
      </w:pPr>
    </w:p>
    <w:p>
      <w:pPr>
        <w:pStyle w:val="47"/>
        <w:spacing w:afterLines="0"/>
        <w:ind w:left="0" w:leftChars="0" w:firstLine="0" w:firstLineChars="0"/>
        <w:jc w:val="center"/>
        <w:rPr>
          <w:rFonts w:hint="eastAsia" w:ascii="宋体" w:hAnsi="宋体" w:cs="宋体"/>
          <w:b/>
          <w:sz w:val="32"/>
          <w:szCs w:val="32"/>
        </w:rPr>
      </w:pPr>
    </w:p>
    <w:p>
      <w:pPr>
        <w:pStyle w:val="47"/>
        <w:spacing w:afterLines="0"/>
        <w:ind w:left="0" w:leftChars="0" w:firstLine="0" w:firstLineChars="0"/>
        <w:jc w:val="center"/>
        <w:rPr>
          <w:rFonts w:hint="eastAsia" w:ascii="宋体" w:hAnsi="宋体" w:cs="宋体"/>
          <w:b/>
          <w:sz w:val="32"/>
          <w:szCs w:val="32"/>
        </w:rPr>
      </w:pPr>
    </w:p>
    <w:p>
      <w:pPr>
        <w:rPr>
          <w:rFonts w:hint="eastAsia" w:ascii="宋体" w:hAnsi="宋体" w:cs="宋体"/>
          <w:b/>
          <w:sz w:val="32"/>
          <w:szCs w:val="32"/>
        </w:rPr>
      </w:pPr>
    </w:p>
    <w:p>
      <w:pPr>
        <w:pStyle w:val="5"/>
        <w:rPr>
          <w:rFonts w:hint="eastAsia" w:ascii="宋体" w:hAnsi="宋体" w:cs="宋体"/>
          <w:b/>
          <w:sz w:val="32"/>
          <w:szCs w:val="32"/>
        </w:rPr>
      </w:pPr>
    </w:p>
    <w:p>
      <w:pPr>
        <w:rPr>
          <w:rFonts w:hint="eastAsia" w:ascii="宋体" w:hAnsi="宋体" w:cs="宋体"/>
          <w:b/>
          <w:sz w:val="32"/>
          <w:szCs w:val="32"/>
        </w:rPr>
      </w:pPr>
    </w:p>
    <w:p>
      <w:pPr>
        <w:pStyle w:val="5"/>
        <w:rPr>
          <w:rFonts w:hint="eastAsia" w:ascii="宋体" w:hAnsi="宋体" w:cs="宋体"/>
          <w:b/>
          <w:sz w:val="32"/>
          <w:szCs w:val="32"/>
        </w:rPr>
      </w:pPr>
    </w:p>
    <w:p>
      <w:pPr>
        <w:rPr>
          <w:rFonts w:hint="eastAsia"/>
        </w:rPr>
      </w:pPr>
    </w:p>
    <w:p>
      <w:pPr>
        <w:pStyle w:val="47"/>
        <w:spacing w:afterLines="0"/>
        <w:ind w:left="0" w:leftChars="0" w:firstLine="0" w:firstLineChars="0"/>
        <w:jc w:val="center"/>
        <w:rPr>
          <w:rFonts w:hint="eastAsia" w:ascii="宋体" w:hAnsi="宋体" w:cs="宋体"/>
          <w:b/>
          <w:sz w:val="32"/>
          <w:szCs w:val="32"/>
        </w:rPr>
      </w:pPr>
    </w:p>
    <w:p>
      <w:pPr>
        <w:rPr>
          <w:rFonts w:hint="eastAsia" w:ascii="宋体" w:hAnsi="宋体" w:cs="宋体"/>
          <w:b/>
          <w:sz w:val="32"/>
          <w:szCs w:val="32"/>
        </w:rPr>
      </w:pPr>
    </w:p>
    <w:p>
      <w:pPr>
        <w:pStyle w:val="2"/>
        <w:rPr>
          <w:rFonts w:hint="eastAsia" w:ascii="宋体" w:hAnsi="宋体" w:cs="宋体"/>
          <w:b/>
          <w:sz w:val="32"/>
          <w:szCs w:val="32"/>
        </w:rPr>
      </w:pPr>
    </w:p>
    <w:p>
      <w:pPr>
        <w:pStyle w:val="4"/>
        <w:rPr>
          <w:rFonts w:hint="eastAsia"/>
        </w:rPr>
      </w:pPr>
    </w:p>
    <w:bookmarkEnd w:id="30"/>
    <w:p>
      <w:pPr>
        <w:pStyle w:val="47"/>
        <w:numPr>
          <w:ilvl w:val="0"/>
          <w:numId w:val="5"/>
        </w:numPr>
        <w:spacing w:afterLines="0"/>
        <w:ind w:left="420" w:leftChars="200" w:firstLine="0" w:firstLineChars="0"/>
        <w:jc w:val="center"/>
        <w:rPr>
          <w:rFonts w:hint="eastAsia" w:ascii="宋体" w:hAnsi="宋体" w:cs="宋体"/>
          <w:b/>
          <w:sz w:val="32"/>
          <w:szCs w:val="32"/>
          <w:lang w:val="en-US"/>
        </w:rPr>
      </w:pPr>
      <w:r>
        <w:rPr>
          <w:rFonts w:hint="eastAsia" w:ascii="宋体" w:hAnsi="宋体" w:cs="宋体"/>
          <w:b/>
          <w:sz w:val="32"/>
          <w:szCs w:val="32"/>
          <w:lang w:val="en-US"/>
        </w:rPr>
        <w:t xml:space="preserve"> 采购需求</w:t>
      </w:r>
    </w:p>
    <w:p>
      <w:pPr>
        <w:ind w:firstLine="3373" w:firstLineChars="1400"/>
        <w:jc w:val="both"/>
        <w:rPr>
          <w:rFonts w:hint="eastAsia"/>
          <w:b/>
          <w:bCs/>
          <w:sz w:val="24"/>
          <w:szCs w:val="24"/>
          <w:lang w:eastAsia="zh-CN"/>
        </w:rPr>
      </w:pPr>
      <w:r>
        <w:rPr>
          <w:rFonts w:hint="eastAsia"/>
          <w:b/>
          <w:bCs/>
          <w:sz w:val="24"/>
          <w:szCs w:val="24"/>
          <w:lang w:eastAsia="zh-CN"/>
        </w:rPr>
        <w:t>包一:机关食堂加工业务外包采购项目</w:t>
      </w:r>
    </w:p>
    <w:p>
      <w:pPr>
        <w:pStyle w:val="5"/>
        <w:rPr>
          <w:rFonts w:hint="eastAsia"/>
          <w:lang w:eastAsia="zh-CN"/>
        </w:rPr>
      </w:pPr>
    </w:p>
    <w:p>
      <w:pPr>
        <w:jc w:val="both"/>
        <w:rPr>
          <w:rFonts w:hint="eastAsia"/>
          <w:b/>
          <w:bCs/>
          <w:sz w:val="24"/>
          <w:szCs w:val="24"/>
          <w:lang w:eastAsia="zh-CN"/>
        </w:rPr>
      </w:pPr>
      <w:r>
        <w:rPr>
          <w:rFonts w:hint="eastAsia"/>
          <w:b/>
          <w:bCs/>
          <w:sz w:val="24"/>
          <w:szCs w:val="24"/>
          <w:lang w:eastAsia="zh-CN"/>
        </w:rPr>
        <w:t>一、项目名称:机关食堂加工业务外包招标</w:t>
      </w:r>
    </w:p>
    <w:p>
      <w:pPr>
        <w:jc w:val="both"/>
        <w:rPr>
          <w:rFonts w:hint="eastAsia"/>
          <w:b/>
          <w:bCs/>
          <w:sz w:val="24"/>
          <w:szCs w:val="24"/>
          <w:lang w:eastAsia="zh-CN"/>
        </w:rPr>
      </w:pPr>
      <w:r>
        <w:rPr>
          <w:rFonts w:hint="eastAsia"/>
          <w:b/>
          <w:bCs/>
          <w:sz w:val="24"/>
          <w:szCs w:val="24"/>
          <w:lang w:eastAsia="zh-CN"/>
        </w:rPr>
        <w:t>二、管理服务事项</w:t>
      </w:r>
    </w:p>
    <w:p>
      <w:pPr>
        <w:ind w:firstLine="480" w:firstLineChars="200"/>
        <w:jc w:val="both"/>
        <w:rPr>
          <w:rFonts w:hint="eastAsia"/>
          <w:b w:val="0"/>
          <w:bCs w:val="0"/>
          <w:sz w:val="24"/>
          <w:szCs w:val="24"/>
          <w:lang w:eastAsia="zh-CN"/>
        </w:rPr>
      </w:pPr>
      <w:r>
        <w:rPr>
          <w:rFonts w:hint="eastAsia"/>
          <w:b w:val="0"/>
          <w:bCs w:val="0"/>
          <w:sz w:val="24"/>
          <w:szCs w:val="24"/>
          <w:lang w:eastAsia="zh-CN"/>
        </w:rPr>
        <w:t>加工业务外包的内容:甲方机关食堂的食品加工和对就餐人员的服务及相应的配套服务。</w:t>
      </w:r>
    </w:p>
    <w:p>
      <w:pPr>
        <w:ind w:firstLine="480" w:firstLineChars="200"/>
        <w:jc w:val="both"/>
        <w:rPr>
          <w:rFonts w:hint="eastAsia"/>
          <w:b w:val="0"/>
          <w:bCs w:val="0"/>
          <w:sz w:val="24"/>
          <w:szCs w:val="24"/>
          <w:lang w:eastAsia="zh-CN"/>
        </w:rPr>
      </w:pPr>
      <w:r>
        <w:rPr>
          <w:rFonts w:hint="eastAsia"/>
          <w:b w:val="0"/>
          <w:bCs w:val="0"/>
          <w:sz w:val="24"/>
          <w:szCs w:val="24"/>
          <w:lang w:eastAsia="zh-CN"/>
        </w:rPr>
        <w:t>具体内容为:食材、餐厨具的清洁、清理;食品的加工制作;向就餐人员提供供餐服务;餐饮场所及周边的卫生、安全服务。</w:t>
      </w:r>
    </w:p>
    <w:p>
      <w:pPr>
        <w:jc w:val="both"/>
        <w:rPr>
          <w:rFonts w:hint="eastAsia"/>
          <w:b w:val="0"/>
          <w:bCs w:val="0"/>
          <w:sz w:val="24"/>
          <w:szCs w:val="24"/>
          <w:lang w:eastAsia="zh-CN"/>
        </w:rPr>
      </w:pPr>
      <w:r>
        <w:rPr>
          <w:rFonts w:hint="eastAsia"/>
          <w:b w:val="0"/>
          <w:bCs w:val="0"/>
          <w:sz w:val="24"/>
          <w:szCs w:val="24"/>
          <w:lang w:eastAsia="zh-CN"/>
        </w:rPr>
        <w:t>(一)甲方负责范围:</w:t>
      </w:r>
    </w:p>
    <w:p>
      <w:pPr>
        <w:ind w:firstLine="480" w:firstLineChars="200"/>
        <w:jc w:val="both"/>
        <w:rPr>
          <w:rFonts w:hint="eastAsia"/>
          <w:b w:val="0"/>
          <w:bCs w:val="0"/>
          <w:sz w:val="24"/>
          <w:szCs w:val="24"/>
          <w:lang w:eastAsia="zh-CN"/>
        </w:rPr>
      </w:pPr>
      <w:r>
        <w:rPr>
          <w:rFonts w:hint="eastAsia"/>
          <w:b w:val="0"/>
          <w:bCs w:val="0"/>
          <w:sz w:val="24"/>
          <w:szCs w:val="24"/>
          <w:lang w:eastAsia="zh-CN"/>
        </w:rPr>
        <w:t>1、餐饮所需材料由甲方提供;</w:t>
      </w:r>
    </w:p>
    <w:p>
      <w:pPr>
        <w:ind w:firstLine="480" w:firstLineChars="200"/>
        <w:jc w:val="both"/>
        <w:rPr>
          <w:rFonts w:hint="eastAsia"/>
          <w:b w:val="0"/>
          <w:bCs w:val="0"/>
          <w:sz w:val="24"/>
          <w:szCs w:val="24"/>
          <w:lang w:eastAsia="zh-CN"/>
        </w:rPr>
      </w:pPr>
      <w:r>
        <w:rPr>
          <w:rFonts w:hint="eastAsia"/>
          <w:b w:val="0"/>
          <w:bCs w:val="0"/>
          <w:sz w:val="24"/>
          <w:szCs w:val="24"/>
          <w:lang w:eastAsia="zh-CN"/>
        </w:rPr>
        <w:t>2、与餐饮服务相适应的场地、设施、器具、燃料、水电由甲方提供(包含维修)和承担;</w:t>
      </w:r>
    </w:p>
    <w:p>
      <w:pPr>
        <w:ind w:firstLine="480" w:firstLineChars="200"/>
        <w:jc w:val="both"/>
        <w:rPr>
          <w:rFonts w:hint="eastAsia"/>
          <w:b w:val="0"/>
          <w:bCs w:val="0"/>
          <w:sz w:val="24"/>
          <w:szCs w:val="24"/>
          <w:lang w:eastAsia="zh-CN"/>
        </w:rPr>
      </w:pPr>
      <w:r>
        <w:rPr>
          <w:rFonts w:hint="eastAsia"/>
          <w:b w:val="0"/>
          <w:bCs w:val="0"/>
          <w:sz w:val="24"/>
          <w:szCs w:val="24"/>
          <w:lang w:eastAsia="zh-CN"/>
        </w:rPr>
        <w:t>3、对乙方提供的餐饮的花色、品质、安全、服务质量实施监督和评估;</w:t>
      </w:r>
    </w:p>
    <w:p>
      <w:pPr>
        <w:ind w:firstLine="480" w:firstLineChars="200"/>
        <w:jc w:val="both"/>
        <w:rPr>
          <w:rFonts w:hint="eastAsia"/>
          <w:b w:val="0"/>
          <w:bCs w:val="0"/>
          <w:sz w:val="24"/>
          <w:szCs w:val="24"/>
          <w:lang w:eastAsia="zh-CN"/>
        </w:rPr>
      </w:pPr>
      <w:r>
        <w:rPr>
          <w:rFonts w:hint="eastAsia"/>
          <w:b w:val="0"/>
          <w:bCs w:val="0"/>
          <w:sz w:val="24"/>
          <w:szCs w:val="24"/>
          <w:lang w:eastAsia="zh-CN"/>
        </w:rPr>
        <w:t>4、按本合同的约定支付乙方服务费。</w:t>
      </w:r>
    </w:p>
    <w:p>
      <w:pPr>
        <w:jc w:val="both"/>
        <w:rPr>
          <w:rFonts w:hint="eastAsia"/>
          <w:b w:val="0"/>
          <w:bCs w:val="0"/>
          <w:sz w:val="24"/>
          <w:szCs w:val="24"/>
          <w:lang w:eastAsia="zh-CN"/>
        </w:rPr>
      </w:pPr>
      <w:r>
        <w:rPr>
          <w:rFonts w:hint="eastAsia"/>
          <w:b w:val="0"/>
          <w:bCs w:val="0"/>
          <w:sz w:val="24"/>
          <w:szCs w:val="24"/>
          <w:lang w:eastAsia="zh-CN"/>
        </w:rPr>
        <w:t>(二)乙方工作内容与职责:</w:t>
      </w:r>
    </w:p>
    <w:p>
      <w:pPr>
        <w:ind w:firstLine="480" w:firstLineChars="200"/>
        <w:jc w:val="both"/>
        <w:rPr>
          <w:rFonts w:hint="eastAsia"/>
          <w:b w:val="0"/>
          <w:bCs w:val="0"/>
          <w:sz w:val="24"/>
          <w:szCs w:val="24"/>
          <w:lang w:eastAsia="zh-CN"/>
        </w:rPr>
      </w:pPr>
      <w:r>
        <w:rPr>
          <w:rFonts w:hint="eastAsia"/>
          <w:b w:val="0"/>
          <w:bCs w:val="0"/>
          <w:sz w:val="24"/>
          <w:szCs w:val="24"/>
          <w:lang w:eastAsia="zh-CN"/>
        </w:rPr>
        <w:t>1、乙方按下列方案配置工作人员(共 12 人):</w:t>
      </w:r>
    </w:p>
    <w:p>
      <w:pPr>
        <w:jc w:val="both"/>
        <w:rPr>
          <w:rFonts w:hint="eastAsia"/>
          <w:b w:val="0"/>
          <w:bCs w:val="0"/>
          <w:sz w:val="24"/>
          <w:szCs w:val="24"/>
          <w:lang w:eastAsia="zh-CN"/>
        </w:rPr>
      </w:pPr>
      <w:r>
        <w:rPr>
          <w:rFonts w:hint="eastAsia"/>
          <w:b w:val="0"/>
          <w:bCs w:val="0"/>
          <w:sz w:val="24"/>
          <w:szCs w:val="24"/>
          <w:lang w:eastAsia="zh-CN"/>
        </w:rPr>
        <w:t>主厨3人,白案1人,配菜及清洗工3人,服务员5人。</w:t>
      </w:r>
    </w:p>
    <w:p>
      <w:pPr>
        <w:ind w:firstLine="480" w:firstLineChars="200"/>
        <w:jc w:val="both"/>
        <w:rPr>
          <w:rFonts w:hint="eastAsia"/>
          <w:b w:val="0"/>
          <w:bCs w:val="0"/>
          <w:sz w:val="24"/>
          <w:szCs w:val="24"/>
          <w:lang w:eastAsia="zh-CN"/>
        </w:rPr>
      </w:pPr>
      <w:r>
        <w:rPr>
          <w:rFonts w:hint="eastAsia"/>
          <w:b w:val="0"/>
          <w:bCs w:val="0"/>
          <w:sz w:val="24"/>
          <w:szCs w:val="24"/>
          <w:lang w:eastAsia="zh-CN"/>
        </w:rPr>
        <w:t>2、服务时间:</w:t>
      </w:r>
    </w:p>
    <w:p>
      <w:pPr>
        <w:ind w:firstLine="480" w:firstLineChars="200"/>
        <w:jc w:val="both"/>
        <w:rPr>
          <w:rFonts w:hint="eastAsia"/>
          <w:b w:val="0"/>
          <w:bCs w:val="0"/>
          <w:sz w:val="24"/>
          <w:szCs w:val="24"/>
          <w:lang w:eastAsia="zh-CN"/>
        </w:rPr>
      </w:pPr>
      <w:r>
        <w:rPr>
          <w:rFonts w:hint="eastAsia"/>
          <w:b w:val="0"/>
          <w:bCs w:val="0"/>
          <w:sz w:val="24"/>
          <w:szCs w:val="24"/>
          <w:lang w:eastAsia="zh-CN"/>
        </w:rPr>
        <w:t>(1)周服务时间:周一至周五。甲方临时需要在休息日、法定节假日提供服务的,乙方应提供服务。</w:t>
      </w:r>
    </w:p>
    <w:p>
      <w:pPr>
        <w:ind w:firstLine="480" w:firstLineChars="200"/>
        <w:jc w:val="both"/>
        <w:rPr>
          <w:rFonts w:hint="eastAsia"/>
          <w:b w:val="0"/>
          <w:bCs w:val="0"/>
          <w:sz w:val="24"/>
          <w:szCs w:val="24"/>
          <w:lang w:eastAsia="zh-CN"/>
        </w:rPr>
      </w:pPr>
      <w:r>
        <w:rPr>
          <w:rFonts w:hint="eastAsia"/>
          <w:b w:val="0"/>
          <w:bCs w:val="0"/>
          <w:sz w:val="24"/>
          <w:szCs w:val="24"/>
          <w:lang w:eastAsia="zh-CN"/>
        </w:rPr>
        <w:t>(2)日服务时间:每日开餐时间为早餐 7:00-8:00、中餐12:00-13:00,晚餐(夏) 18:00-18:30.、(冬)17:30-18:00。乙方根据上述开餐时间及工作量合理确定自己的工作时间。</w:t>
      </w:r>
    </w:p>
    <w:p>
      <w:pPr>
        <w:ind w:firstLine="480" w:firstLineChars="200"/>
        <w:jc w:val="both"/>
        <w:rPr>
          <w:rFonts w:hint="eastAsia"/>
          <w:b w:val="0"/>
          <w:bCs w:val="0"/>
          <w:sz w:val="24"/>
          <w:szCs w:val="24"/>
          <w:lang w:eastAsia="zh-CN"/>
        </w:rPr>
      </w:pPr>
      <w:r>
        <w:rPr>
          <w:rFonts w:hint="eastAsia"/>
          <w:b w:val="0"/>
          <w:bCs w:val="0"/>
          <w:sz w:val="24"/>
          <w:szCs w:val="24"/>
          <w:lang w:eastAsia="zh-CN"/>
        </w:rPr>
        <w:t>(3) 对接待、会议等特殊用餐,乙方根据需要或延长、或变更工作时间。</w:t>
      </w:r>
    </w:p>
    <w:p>
      <w:pPr>
        <w:ind w:firstLine="480" w:firstLineChars="200"/>
        <w:jc w:val="both"/>
        <w:rPr>
          <w:rFonts w:hint="eastAsia"/>
          <w:b w:val="0"/>
          <w:bCs w:val="0"/>
          <w:sz w:val="24"/>
          <w:szCs w:val="24"/>
          <w:lang w:eastAsia="zh-CN"/>
        </w:rPr>
      </w:pPr>
      <w:r>
        <w:rPr>
          <w:rFonts w:hint="eastAsia"/>
          <w:b w:val="0"/>
          <w:bCs w:val="0"/>
          <w:sz w:val="24"/>
          <w:szCs w:val="24"/>
          <w:lang w:eastAsia="zh-CN"/>
        </w:rPr>
        <w:t>(4) 加班:正常工作日期间因接待需要造成乙方工作人员 21 点以后工作的,视同加班半天,按人给予每次50元加班费;休息日加班的,给予150 元/人/天加班费;法定节假日加班的,给予200元/人/天加班费。</w:t>
      </w:r>
    </w:p>
    <w:p>
      <w:pPr>
        <w:ind w:firstLine="480" w:firstLineChars="200"/>
        <w:jc w:val="both"/>
        <w:rPr>
          <w:rFonts w:hint="eastAsia"/>
          <w:b w:val="0"/>
          <w:bCs w:val="0"/>
          <w:sz w:val="24"/>
          <w:szCs w:val="24"/>
          <w:lang w:eastAsia="zh-CN"/>
        </w:rPr>
      </w:pPr>
      <w:r>
        <w:rPr>
          <w:rFonts w:hint="eastAsia"/>
          <w:b w:val="0"/>
          <w:bCs w:val="0"/>
          <w:sz w:val="24"/>
          <w:szCs w:val="24"/>
          <w:lang w:eastAsia="zh-CN"/>
        </w:rPr>
        <w:t>3、用餐人数:平时约 250 人。</w:t>
      </w:r>
    </w:p>
    <w:p>
      <w:pPr>
        <w:jc w:val="both"/>
        <w:rPr>
          <w:rFonts w:hint="eastAsia"/>
          <w:b w:val="0"/>
          <w:bCs w:val="0"/>
          <w:sz w:val="24"/>
          <w:szCs w:val="24"/>
          <w:lang w:eastAsia="zh-CN"/>
        </w:rPr>
      </w:pPr>
      <w:r>
        <w:rPr>
          <w:rFonts w:hint="eastAsia"/>
          <w:b w:val="0"/>
          <w:bCs w:val="0"/>
          <w:sz w:val="24"/>
          <w:szCs w:val="24"/>
          <w:lang w:eastAsia="zh-CN"/>
        </w:rPr>
        <w:t>因人员用餐及会议、接待、访客等存在不确定性,造成用餐人数的增加和减少不改变本合同定的服务费标准。</w:t>
      </w:r>
    </w:p>
    <w:p>
      <w:pPr>
        <w:ind w:firstLine="480" w:firstLineChars="200"/>
        <w:jc w:val="both"/>
        <w:rPr>
          <w:rFonts w:hint="eastAsia"/>
          <w:b w:val="0"/>
          <w:bCs w:val="0"/>
          <w:sz w:val="24"/>
          <w:szCs w:val="24"/>
          <w:lang w:eastAsia="zh-CN"/>
        </w:rPr>
      </w:pPr>
      <w:r>
        <w:rPr>
          <w:rFonts w:hint="eastAsia"/>
          <w:b w:val="0"/>
          <w:bCs w:val="0"/>
          <w:sz w:val="24"/>
          <w:szCs w:val="24"/>
          <w:lang w:eastAsia="zh-CN"/>
        </w:rPr>
        <w:t>4、供餐品种:</w:t>
      </w:r>
    </w:p>
    <w:p>
      <w:pPr>
        <w:ind w:firstLine="480" w:firstLineChars="200"/>
        <w:jc w:val="both"/>
        <w:rPr>
          <w:rFonts w:hint="eastAsia"/>
          <w:b w:val="0"/>
          <w:bCs w:val="0"/>
          <w:sz w:val="24"/>
          <w:szCs w:val="24"/>
          <w:lang w:eastAsia="zh-CN"/>
        </w:rPr>
      </w:pPr>
      <w:r>
        <w:rPr>
          <w:rFonts w:hint="eastAsia"/>
          <w:b w:val="0"/>
          <w:bCs w:val="0"/>
          <w:sz w:val="24"/>
          <w:szCs w:val="24"/>
          <w:lang w:eastAsia="zh-CN"/>
        </w:rPr>
        <w:t>(1) 早餐:米粉、面条、鸡蛋、包子、馒头、牛奶、咖啡、豆浆等</w:t>
      </w:r>
    </w:p>
    <w:p>
      <w:pPr>
        <w:ind w:firstLine="480" w:firstLineChars="200"/>
        <w:jc w:val="both"/>
        <w:rPr>
          <w:rFonts w:hint="eastAsia"/>
          <w:b w:val="0"/>
          <w:bCs w:val="0"/>
          <w:sz w:val="24"/>
          <w:szCs w:val="24"/>
          <w:lang w:eastAsia="zh-CN"/>
        </w:rPr>
      </w:pPr>
      <w:r>
        <w:rPr>
          <w:rFonts w:hint="eastAsia"/>
          <w:b w:val="0"/>
          <w:bCs w:val="0"/>
          <w:sz w:val="24"/>
          <w:szCs w:val="24"/>
          <w:lang w:eastAsia="zh-CN"/>
        </w:rPr>
        <w:t>(2) 中餐:米饭、2荤4素,2半荤1汤;</w:t>
      </w:r>
    </w:p>
    <w:p>
      <w:pPr>
        <w:ind w:firstLine="480" w:firstLineChars="200"/>
        <w:jc w:val="both"/>
        <w:rPr>
          <w:rFonts w:hint="eastAsia"/>
          <w:b w:val="0"/>
          <w:bCs w:val="0"/>
          <w:sz w:val="24"/>
          <w:szCs w:val="24"/>
          <w:lang w:eastAsia="zh-CN"/>
        </w:rPr>
      </w:pPr>
      <w:r>
        <w:rPr>
          <w:rFonts w:hint="eastAsia"/>
          <w:b w:val="0"/>
          <w:bCs w:val="0"/>
          <w:sz w:val="24"/>
          <w:szCs w:val="24"/>
          <w:lang w:eastAsia="zh-CN"/>
        </w:rPr>
        <w:t>(3) 晚餐:米饭、2 荤2素,1半荤1汤;</w:t>
      </w:r>
    </w:p>
    <w:p>
      <w:pPr>
        <w:jc w:val="both"/>
        <w:rPr>
          <w:rFonts w:hint="eastAsia"/>
          <w:b w:val="0"/>
          <w:bCs w:val="0"/>
          <w:sz w:val="24"/>
          <w:szCs w:val="24"/>
          <w:lang w:eastAsia="zh-CN"/>
        </w:rPr>
      </w:pPr>
      <w:r>
        <w:rPr>
          <w:rFonts w:hint="eastAsia"/>
          <w:b w:val="0"/>
          <w:bCs w:val="0"/>
          <w:sz w:val="24"/>
          <w:szCs w:val="24"/>
          <w:lang w:eastAsia="zh-CN"/>
        </w:rPr>
        <w:t>会议、接待用餐例外。</w:t>
      </w:r>
    </w:p>
    <w:p>
      <w:pPr>
        <w:ind w:firstLine="480" w:firstLineChars="200"/>
        <w:jc w:val="both"/>
        <w:rPr>
          <w:rFonts w:hint="eastAsia"/>
          <w:b w:val="0"/>
          <w:bCs w:val="0"/>
          <w:sz w:val="24"/>
          <w:szCs w:val="24"/>
          <w:lang w:eastAsia="zh-CN"/>
        </w:rPr>
      </w:pPr>
      <w:r>
        <w:rPr>
          <w:rFonts w:hint="eastAsia"/>
          <w:b w:val="0"/>
          <w:bCs w:val="0"/>
          <w:sz w:val="24"/>
          <w:szCs w:val="24"/>
          <w:lang w:eastAsia="zh-CN"/>
        </w:rPr>
        <w:t>5、服务标准</w:t>
      </w:r>
    </w:p>
    <w:p>
      <w:pPr>
        <w:ind w:firstLine="480" w:firstLineChars="200"/>
        <w:jc w:val="both"/>
        <w:rPr>
          <w:rFonts w:hint="eastAsia"/>
          <w:b w:val="0"/>
          <w:bCs w:val="0"/>
          <w:sz w:val="24"/>
          <w:szCs w:val="24"/>
          <w:lang w:eastAsia="zh-CN"/>
        </w:rPr>
      </w:pPr>
      <w:r>
        <w:rPr>
          <w:rFonts w:hint="eastAsia"/>
          <w:b w:val="0"/>
          <w:bCs w:val="0"/>
          <w:sz w:val="24"/>
          <w:szCs w:val="24"/>
          <w:lang w:eastAsia="zh-CN"/>
        </w:rPr>
        <w:t>(1)服务人员标准:厨师应具有厨师资质,并符合餐饮业从业人员健康标准;其他工作人员应符合餐饮业从业人员健康标准。</w:t>
      </w:r>
    </w:p>
    <w:p>
      <w:pPr>
        <w:ind w:firstLine="480" w:firstLineChars="200"/>
        <w:jc w:val="both"/>
        <w:rPr>
          <w:rFonts w:hint="eastAsia"/>
          <w:b w:val="0"/>
          <w:bCs w:val="0"/>
          <w:sz w:val="24"/>
          <w:szCs w:val="24"/>
          <w:lang w:eastAsia="zh-CN"/>
        </w:rPr>
      </w:pPr>
      <w:r>
        <w:rPr>
          <w:rFonts w:hint="eastAsia"/>
          <w:b w:val="0"/>
          <w:bCs w:val="0"/>
          <w:sz w:val="24"/>
          <w:szCs w:val="24"/>
          <w:lang w:eastAsia="zh-CN"/>
        </w:rPr>
        <w:t>(2)制作的食品标准:符合国家规定的卫生要求;花色按照双方制定的饭菜谱执行;感观、口味合大多数人的用餐要求。甲方不定期向用餐人员进行满意度调查、测评,乙方应根据测评结果做出调整。</w:t>
      </w:r>
    </w:p>
    <w:p>
      <w:pPr>
        <w:ind w:firstLine="480" w:firstLineChars="200"/>
        <w:jc w:val="both"/>
        <w:rPr>
          <w:rFonts w:hint="eastAsia"/>
          <w:b w:val="0"/>
          <w:bCs w:val="0"/>
          <w:sz w:val="24"/>
          <w:szCs w:val="24"/>
          <w:lang w:eastAsia="zh-CN"/>
        </w:rPr>
      </w:pPr>
      <w:r>
        <w:rPr>
          <w:rFonts w:hint="eastAsia"/>
          <w:b w:val="0"/>
          <w:bCs w:val="0"/>
          <w:sz w:val="24"/>
          <w:szCs w:val="24"/>
          <w:lang w:eastAsia="zh-CN"/>
        </w:rPr>
        <w:t>(3)卫生和安全标准:乙方应达到《国家税务总局张家界市税务局机关食堂管理办法(试行》第五章卫生管理和第六章安全管理的标准,并按此规定执行。对制作的食品应按第三章的要求样。</w:t>
      </w:r>
    </w:p>
    <w:p>
      <w:pPr>
        <w:ind w:firstLine="480" w:firstLineChars="200"/>
        <w:jc w:val="both"/>
        <w:rPr>
          <w:rFonts w:hint="eastAsia"/>
          <w:b w:val="0"/>
          <w:bCs w:val="0"/>
          <w:sz w:val="24"/>
          <w:szCs w:val="24"/>
          <w:lang w:eastAsia="zh-CN"/>
        </w:rPr>
      </w:pPr>
      <w:r>
        <w:rPr>
          <w:rFonts w:hint="eastAsia"/>
          <w:b w:val="0"/>
          <w:bCs w:val="0"/>
          <w:sz w:val="24"/>
          <w:szCs w:val="24"/>
          <w:lang w:eastAsia="zh-CN"/>
        </w:rPr>
        <w:t>(4)乙方应组织分工明确的服务团队,确定责任人,有完善管理和落实措施。与所雇佣的工作人员签订合同,明确权利和义务,并对其工作中发生的伤、病、亡承担全部责任。</w:t>
      </w:r>
    </w:p>
    <w:p>
      <w:pPr>
        <w:jc w:val="both"/>
        <w:rPr>
          <w:rFonts w:hint="eastAsia"/>
          <w:b/>
          <w:bCs/>
          <w:sz w:val="24"/>
          <w:szCs w:val="24"/>
          <w:lang w:eastAsia="zh-CN"/>
        </w:rPr>
      </w:pPr>
      <w:r>
        <w:rPr>
          <w:rFonts w:hint="eastAsia"/>
          <w:b/>
          <w:bCs/>
          <w:sz w:val="24"/>
          <w:szCs w:val="24"/>
          <w:lang w:eastAsia="zh-CN"/>
        </w:rPr>
        <w:t>三、服务期限</w:t>
      </w:r>
    </w:p>
    <w:p>
      <w:pPr>
        <w:ind w:firstLine="480" w:firstLineChars="200"/>
        <w:jc w:val="both"/>
        <w:rPr>
          <w:rFonts w:hint="eastAsia"/>
          <w:b w:val="0"/>
          <w:bCs w:val="0"/>
          <w:sz w:val="24"/>
          <w:szCs w:val="24"/>
          <w:lang w:eastAsia="zh-CN"/>
        </w:rPr>
      </w:pPr>
      <w:r>
        <w:rPr>
          <w:rFonts w:hint="eastAsia"/>
          <w:b w:val="0"/>
          <w:bCs w:val="0"/>
          <w:sz w:val="24"/>
          <w:szCs w:val="24"/>
          <w:lang w:eastAsia="zh-CN"/>
        </w:rPr>
        <w:t>本合同期限为壹年，自-</w:t>
      </w:r>
      <w:r>
        <w:rPr>
          <w:rFonts w:hint="eastAsia"/>
          <w:b w:val="0"/>
          <w:bCs w:val="0"/>
          <w:sz w:val="24"/>
          <w:szCs w:val="24"/>
          <w:lang w:val="en-US" w:eastAsia="zh-CN"/>
        </w:rPr>
        <w:t xml:space="preserve">   </w:t>
      </w:r>
      <w:r>
        <w:rPr>
          <w:rFonts w:hint="eastAsia"/>
          <w:b w:val="0"/>
          <w:bCs w:val="0"/>
          <w:sz w:val="24"/>
          <w:szCs w:val="24"/>
          <w:lang w:eastAsia="zh-CN"/>
        </w:rPr>
        <w:t>_起至</w:t>
      </w:r>
      <w:r>
        <w:rPr>
          <w:rFonts w:hint="eastAsia"/>
          <w:b w:val="0"/>
          <w:bCs w:val="0"/>
          <w:sz w:val="24"/>
          <w:szCs w:val="24"/>
          <w:lang w:val="en-US" w:eastAsia="zh-CN"/>
        </w:rPr>
        <w:t xml:space="preserve">    </w:t>
      </w:r>
      <w:r>
        <w:rPr>
          <w:rFonts w:hint="eastAsia"/>
          <w:b w:val="0"/>
          <w:bCs w:val="0"/>
          <w:sz w:val="24"/>
          <w:szCs w:val="24"/>
          <w:lang w:eastAsia="zh-CN"/>
        </w:rPr>
        <w:t>止(具体起止时间以合同时间为准)。</w:t>
      </w:r>
    </w:p>
    <w:p>
      <w:pPr>
        <w:jc w:val="both"/>
        <w:rPr>
          <w:rFonts w:hint="eastAsia"/>
          <w:b/>
          <w:bCs/>
          <w:sz w:val="24"/>
          <w:szCs w:val="24"/>
          <w:lang w:eastAsia="zh-CN"/>
        </w:rPr>
      </w:pPr>
      <w:r>
        <w:rPr>
          <w:rFonts w:hint="eastAsia"/>
          <w:b/>
          <w:bCs/>
          <w:sz w:val="24"/>
          <w:szCs w:val="24"/>
          <w:lang w:eastAsia="zh-CN"/>
        </w:rPr>
        <w:t>四、服务费用的支付:</w:t>
      </w:r>
    </w:p>
    <w:p>
      <w:pPr>
        <w:ind w:firstLine="480" w:firstLineChars="200"/>
        <w:jc w:val="both"/>
        <w:rPr>
          <w:rFonts w:hint="eastAsia"/>
          <w:b w:val="0"/>
          <w:bCs w:val="0"/>
          <w:sz w:val="24"/>
          <w:szCs w:val="24"/>
          <w:lang w:eastAsia="zh-CN"/>
        </w:rPr>
      </w:pPr>
      <w:r>
        <w:rPr>
          <w:rFonts w:hint="eastAsia"/>
          <w:b w:val="0"/>
          <w:bCs w:val="0"/>
          <w:sz w:val="24"/>
          <w:szCs w:val="24"/>
          <w:lang w:eastAsia="zh-CN"/>
        </w:rPr>
        <w:t>1、基本服务费按月支付。</w:t>
      </w:r>
    </w:p>
    <w:p>
      <w:pPr>
        <w:ind w:firstLine="480" w:firstLineChars="200"/>
        <w:jc w:val="both"/>
        <w:rPr>
          <w:rFonts w:hint="eastAsia"/>
          <w:b w:val="0"/>
          <w:bCs w:val="0"/>
          <w:sz w:val="24"/>
          <w:szCs w:val="24"/>
          <w:lang w:eastAsia="zh-CN"/>
        </w:rPr>
      </w:pPr>
      <w:r>
        <w:rPr>
          <w:rFonts w:hint="eastAsia"/>
          <w:b w:val="0"/>
          <w:bCs w:val="0"/>
          <w:sz w:val="24"/>
          <w:szCs w:val="24"/>
          <w:lang w:eastAsia="zh-CN"/>
        </w:rPr>
        <w:t>2、提成。对除甲方员工(含退休、借调人员)、为甲方提供其他服务的人员(含乙方人员)外客餐、接待餐、会议及培训餐、代加工费、自制品外卖取得的收入,按收入的 15%给乙方提成。</w:t>
      </w:r>
    </w:p>
    <w:p>
      <w:pPr>
        <w:ind w:firstLine="480" w:firstLineChars="200"/>
        <w:jc w:val="both"/>
        <w:rPr>
          <w:rFonts w:hint="eastAsia"/>
          <w:b w:val="0"/>
          <w:bCs w:val="0"/>
          <w:sz w:val="24"/>
          <w:szCs w:val="24"/>
          <w:lang w:eastAsia="zh-CN"/>
        </w:rPr>
      </w:pPr>
      <w:r>
        <w:rPr>
          <w:rFonts w:hint="eastAsia"/>
          <w:b w:val="0"/>
          <w:bCs w:val="0"/>
          <w:sz w:val="24"/>
          <w:szCs w:val="24"/>
          <w:lang w:eastAsia="zh-CN"/>
        </w:rPr>
        <w:t xml:space="preserve">3、满意度测评奖励。服务中心根据情况不定期组织对食堂进行满意度测评,满意度低于 </w:t>
      </w:r>
      <w:r>
        <w:rPr>
          <w:rFonts w:hint="eastAsia"/>
          <w:b w:val="0"/>
          <w:bCs w:val="0"/>
          <w:sz w:val="24"/>
          <w:szCs w:val="24"/>
          <w:lang w:val="en-US" w:eastAsia="zh-CN"/>
        </w:rPr>
        <w:t>60%</w:t>
      </w:r>
      <w:r>
        <w:rPr>
          <w:rFonts w:hint="eastAsia"/>
          <w:b w:val="0"/>
          <w:bCs w:val="0"/>
          <w:sz w:val="24"/>
          <w:szCs w:val="24"/>
          <w:lang w:eastAsia="zh-CN"/>
        </w:rPr>
        <w:t>每少一个百分比,扣减基本外包费 1%;满意度高于 80%,每增加一个百分比,奖励基本外包费 2%。</w:t>
      </w:r>
    </w:p>
    <w:p>
      <w:pPr>
        <w:ind w:firstLine="480" w:firstLineChars="200"/>
        <w:jc w:val="both"/>
        <w:rPr>
          <w:rFonts w:hint="eastAsia"/>
          <w:b w:val="0"/>
          <w:bCs w:val="0"/>
          <w:sz w:val="24"/>
          <w:szCs w:val="24"/>
          <w:lang w:eastAsia="zh-CN"/>
        </w:rPr>
      </w:pPr>
      <w:r>
        <w:rPr>
          <w:rFonts w:hint="eastAsia"/>
          <w:b w:val="0"/>
          <w:bCs w:val="0"/>
          <w:sz w:val="24"/>
          <w:szCs w:val="24"/>
          <w:lang w:eastAsia="zh-CN"/>
        </w:rPr>
        <w:t>4、付款方式:按月支付,下月十日之前,双方按上条规定结算服务费(包含加班费)。</w:t>
      </w:r>
    </w:p>
    <w:p>
      <w:pPr>
        <w:jc w:val="both"/>
        <w:rPr>
          <w:rFonts w:hint="eastAsia"/>
          <w:b/>
          <w:bCs/>
          <w:sz w:val="24"/>
          <w:szCs w:val="24"/>
          <w:lang w:eastAsia="zh-CN"/>
        </w:rPr>
      </w:pPr>
      <w:r>
        <w:rPr>
          <w:rFonts w:hint="eastAsia"/>
          <w:b/>
          <w:bCs/>
          <w:sz w:val="24"/>
          <w:szCs w:val="24"/>
          <w:lang w:eastAsia="zh-CN"/>
        </w:rPr>
        <w:t>五、奖惩机制</w:t>
      </w:r>
    </w:p>
    <w:p>
      <w:pPr>
        <w:ind w:firstLine="480" w:firstLineChars="200"/>
        <w:jc w:val="both"/>
        <w:rPr>
          <w:rFonts w:hint="eastAsia"/>
          <w:b w:val="0"/>
          <w:bCs w:val="0"/>
          <w:sz w:val="24"/>
          <w:szCs w:val="24"/>
          <w:lang w:eastAsia="zh-CN"/>
        </w:rPr>
      </w:pPr>
      <w:r>
        <w:rPr>
          <w:rFonts w:hint="eastAsia"/>
          <w:b w:val="0"/>
          <w:bCs w:val="0"/>
          <w:sz w:val="24"/>
          <w:szCs w:val="24"/>
          <w:lang w:eastAsia="zh-CN"/>
        </w:rPr>
        <w:t>甲方对乙方和乙方的工作人员按照《国家税务总局张家界市税务局机关食堂管理办法(试行》》第八章的奖惩及考核规定进行奖惩。对乙方及其工作人员的奖励随服务费一同支付;扣款和罚款从乙方的基本服务费中扣收。</w:t>
      </w:r>
    </w:p>
    <w:p>
      <w:pPr>
        <w:jc w:val="both"/>
        <w:rPr>
          <w:rFonts w:hint="eastAsia"/>
          <w:b/>
          <w:bCs/>
          <w:sz w:val="24"/>
          <w:szCs w:val="24"/>
          <w:lang w:eastAsia="zh-CN"/>
        </w:rPr>
      </w:pPr>
      <w:r>
        <w:rPr>
          <w:rFonts w:hint="eastAsia"/>
          <w:b/>
          <w:bCs/>
          <w:sz w:val="24"/>
          <w:szCs w:val="24"/>
          <w:lang w:eastAsia="zh-CN"/>
        </w:rPr>
        <w:t>六、安全事故责任划分</w:t>
      </w:r>
    </w:p>
    <w:p>
      <w:pPr>
        <w:ind w:firstLine="480" w:firstLineChars="200"/>
        <w:jc w:val="both"/>
        <w:rPr>
          <w:rFonts w:hint="eastAsia"/>
          <w:b w:val="0"/>
          <w:bCs w:val="0"/>
          <w:sz w:val="24"/>
          <w:szCs w:val="24"/>
          <w:lang w:eastAsia="zh-CN"/>
        </w:rPr>
      </w:pPr>
      <w:r>
        <w:rPr>
          <w:rFonts w:hint="eastAsia"/>
          <w:b w:val="0"/>
          <w:bCs w:val="0"/>
          <w:sz w:val="24"/>
          <w:szCs w:val="24"/>
          <w:lang w:eastAsia="zh-CN"/>
        </w:rPr>
        <w:t>1、食品安全事故:属甲方提供的原材料问题的,由甲方承担;属乙方加工、配伍、储存、管理、污染导致的,由乙方承担,但乙方发现甲方提供的原材料有明显的腐烂变质、过期、污染现象而继续使用的,由乙方承担。</w:t>
      </w:r>
    </w:p>
    <w:p>
      <w:pPr>
        <w:ind w:firstLine="480" w:firstLineChars="200"/>
        <w:jc w:val="both"/>
        <w:rPr>
          <w:rFonts w:hint="eastAsia"/>
          <w:b w:val="0"/>
          <w:bCs w:val="0"/>
          <w:sz w:val="24"/>
          <w:szCs w:val="24"/>
          <w:lang w:eastAsia="zh-CN"/>
        </w:rPr>
      </w:pPr>
      <w:r>
        <w:rPr>
          <w:rFonts w:hint="eastAsia"/>
          <w:b w:val="0"/>
          <w:bCs w:val="0"/>
          <w:sz w:val="24"/>
          <w:szCs w:val="24"/>
          <w:lang w:eastAsia="zh-CN"/>
        </w:rPr>
        <w:t>2、场所安全事故:食品加工和用餐场所的设备、燃料、水电气、场地由乙方承担管理职责,发生事故的由乙方承担。</w:t>
      </w:r>
    </w:p>
    <w:p>
      <w:pPr>
        <w:ind w:firstLine="480" w:firstLineChars="200"/>
        <w:jc w:val="both"/>
        <w:rPr>
          <w:rFonts w:hint="eastAsia"/>
          <w:b w:val="0"/>
          <w:bCs w:val="0"/>
          <w:sz w:val="24"/>
          <w:szCs w:val="24"/>
          <w:lang w:eastAsia="zh-CN"/>
        </w:rPr>
      </w:pPr>
      <w:r>
        <w:rPr>
          <w:rFonts w:hint="eastAsia"/>
          <w:b w:val="0"/>
          <w:bCs w:val="0"/>
          <w:sz w:val="24"/>
          <w:szCs w:val="24"/>
          <w:lang w:eastAsia="zh-CN"/>
        </w:rPr>
        <w:t>3、服务安全事故:乙方服务过程中造成自身损害或用餐人员损害的由乙方承担。损害赔偿范围包含对甲乙双方及第三方的人身损害和财产损害等。</w:t>
      </w:r>
    </w:p>
    <w:p>
      <w:pPr>
        <w:jc w:val="both"/>
        <w:rPr>
          <w:rFonts w:hint="eastAsia"/>
          <w:b/>
          <w:bCs/>
          <w:sz w:val="24"/>
          <w:szCs w:val="24"/>
          <w:lang w:eastAsia="zh-CN"/>
        </w:rPr>
      </w:pPr>
      <w:r>
        <w:rPr>
          <w:rFonts w:hint="eastAsia"/>
          <w:b/>
          <w:bCs/>
          <w:sz w:val="24"/>
          <w:szCs w:val="24"/>
          <w:lang w:eastAsia="zh-CN"/>
        </w:rPr>
        <w:t>七、双方的权利义务</w:t>
      </w:r>
    </w:p>
    <w:p>
      <w:pPr>
        <w:ind w:firstLine="480" w:firstLineChars="200"/>
        <w:jc w:val="both"/>
        <w:rPr>
          <w:rFonts w:hint="eastAsia"/>
          <w:b w:val="0"/>
          <w:bCs w:val="0"/>
          <w:sz w:val="24"/>
          <w:szCs w:val="24"/>
          <w:lang w:eastAsia="zh-CN"/>
        </w:rPr>
      </w:pPr>
      <w:r>
        <w:rPr>
          <w:rFonts w:hint="eastAsia"/>
          <w:b w:val="0"/>
          <w:bCs w:val="0"/>
          <w:sz w:val="24"/>
          <w:szCs w:val="24"/>
          <w:lang w:eastAsia="zh-CN"/>
        </w:rPr>
        <w:t>1、甲方的权利和义务</w:t>
      </w:r>
    </w:p>
    <w:p>
      <w:pPr>
        <w:ind w:firstLine="480" w:firstLineChars="200"/>
        <w:jc w:val="both"/>
        <w:rPr>
          <w:rFonts w:hint="eastAsia"/>
          <w:b w:val="0"/>
          <w:bCs w:val="0"/>
          <w:sz w:val="24"/>
          <w:szCs w:val="24"/>
          <w:lang w:eastAsia="zh-CN"/>
        </w:rPr>
      </w:pPr>
      <w:r>
        <w:rPr>
          <w:rFonts w:hint="eastAsia"/>
          <w:b w:val="0"/>
          <w:bCs w:val="0"/>
          <w:sz w:val="24"/>
          <w:szCs w:val="24"/>
          <w:lang w:eastAsia="zh-CN"/>
        </w:rPr>
        <w:t>(1)甲方有权监督检查乙方提供服务的质量,对乙方及其工作人员履行义务不符合要求的,有权要求乙方进行纠正;</w:t>
      </w:r>
    </w:p>
    <w:p>
      <w:pPr>
        <w:ind w:firstLine="480" w:firstLineChars="200"/>
        <w:jc w:val="both"/>
        <w:rPr>
          <w:rFonts w:hint="eastAsia"/>
          <w:b w:val="0"/>
          <w:bCs w:val="0"/>
          <w:sz w:val="24"/>
          <w:szCs w:val="24"/>
          <w:lang w:eastAsia="zh-CN"/>
        </w:rPr>
      </w:pPr>
      <w:r>
        <w:rPr>
          <w:rFonts w:hint="eastAsia"/>
          <w:b w:val="0"/>
          <w:bCs w:val="0"/>
          <w:sz w:val="24"/>
          <w:szCs w:val="24"/>
          <w:lang w:eastAsia="zh-CN"/>
        </w:rPr>
        <w:t>(2)甲方根据法律法规的规定、国家政策的调整以及上级部门的文件,需要对约定的服务范围、服务方式、服务时间作相应调整的,乙方及其配置的外包人员须接受相应调整。如调整超出双方约定的服务范围的,双方另行协商超出部分的收费事宜;事项进行调整的,乙方应根据甲方通知调整;但如明显超出双方约定的服务范围的,由双方另行协调收费事宜。</w:t>
      </w:r>
    </w:p>
    <w:p>
      <w:pPr>
        <w:ind w:firstLine="480" w:firstLineChars="200"/>
        <w:jc w:val="both"/>
        <w:rPr>
          <w:rFonts w:hint="eastAsia"/>
          <w:b w:val="0"/>
          <w:bCs w:val="0"/>
          <w:sz w:val="24"/>
          <w:szCs w:val="24"/>
          <w:lang w:eastAsia="zh-CN"/>
        </w:rPr>
      </w:pPr>
      <w:r>
        <w:rPr>
          <w:rFonts w:hint="eastAsia"/>
          <w:b w:val="0"/>
          <w:bCs w:val="0"/>
          <w:sz w:val="24"/>
          <w:szCs w:val="24"/>
          <w:lang w:eastAsia="zh-CN"/>
        </w:rPr>
        <w:t>(3)甲方可根据岗位要求、标准,向乙方提供所制订的人员规章制度、工作流程、考核依据、建议和意见:</w:t>
      </w:r>
    </w:p>
    <w:p>
      <w:pPr>
        <w:ind w:firstLine="480" w:firstLineChars="200"/>
        <w:jc w:val="both"/>
        <w:rPr>
          <w:rFonts w:hint="eastAsia"/>
          <w:b w:val="0"/>
          <w:bCs w:val="0"/>
          <w:sz w:val="24"/>
          <w:szCs w:val="24"/>
          <w:lang w:eastAsia="zh-CN"/>
        </w:rPr>
      </w:pPr>
      <w:r>
        <w:rPr>
          <w:rFonts w:hint="eastAsia"/>
          <w:b w:val="0"/>
          <w:bCs w:val="0"/>
          <w:sz w:val="24"/>
          <w:szCs w:val="24"/>
          <w:lang w:eastAsia="zh-CN"/>
        </w:rPr>
        <w:t>(4)乙方配置的人员发生工伤事故时，甲方应及时通乙方。</w:t>
      </w:r>
    </w:p>
    <w:p>
      <w:pPr>
        <w:ind w:firstLine="480" w:firstLineChars="200"/>
        <w:jc w:val="both"/>
        <w:rPr>
          <w:rFonts w:hint="eastAsia"/>
          <w:b w:val="0"/>
          <w:bCs w:val="0"/>
          <w:sz w:val="24"/>
          <w:szCs w:val="24"/>
          <w:lang w:eastAsia="zh-CN"/>
        </w:rPr>
      </w:pPr>
      <w:r>
        <w:rPr>
          <w:rFonts w:hint="eastAsia"/>
          <w:b w:val="0"/>
          <w:bCs w:val="0"/>
          <w:sz w:val="24"/>
          <w:szCs w:val="24"/>
          <w:lang w:eastAsia="zh-CN"/>
        </w:rPr>
        <w:t>(5)甲方按协议支付劳动力(岗位)外包费用给乙方;</w:t>
      </w:r>
    </w:p>
    <w:p>
      <w:pPr>
        <w:ind w:firstLine="480" w:firstLineChars="200"/>
        <w:jc w:val="both"/>
        <w:rPr>
          <w:rFonts w:hint="eastAsia"/>
          <w:b w:val="0"/>
          <w:bCs w:val="0"/>
          <w:sz w:val="24"/>
          <w:szCs w:val="24"/>
          <w:lang w:eastAsia="zh-CN"/>
        </w:rPr>
      </w:pPr>
      <w:r>
        <w:rPr>
          <w:rFonts w:hint="eastAsia"/>
          <w:b w:val="0"/>
          <w:bCs w:val="0"/>
          <w:sz w:val="24"/>
          <w:szCs w:val="24"/>
          <w:lang w:eastAsia="zh-CN"/>
        </w:rPr>
        <w:t>(6)保守在合作过程所获得的及可能所获得的乙方的商业密以及协议内容。</w:t>
      </w:r>
    </w:p>
    <w:p>
      <w:pPr>
        <w:ind w:firstLine="480" w:firstLineChars="200"/>
        <w:jc w:val="both"/>
        <w:rPr>
          <w:rFonts w:hint="eastAsia"/>
          <w:b w:val="0"/>
          <w:bCs w:val="0"/>
          <w:sz w:val="24"/>
          <w:szCs w:val="24"/>
          <w:lang w:eastAsia="zh-CN"/>
        </w:rPr>
      </w:pPr>
      <w:r>
        <w:rPr>
          <w:rFonts w:hint="eastAsia"/>
          <w:b w:val="0"/>
          <w:bCs w:val="0"/>
          <w:sz w:val="24"/>
          <w:szCs w:val="24"/>
          <w:lang w:eastAsia="zh-CN"/>
        </w:rPr>
        <w:t>2、乙方的权利和义务</w:t>
      </w:r>
    </w:p>
    <w:p>
      <w:pPr>
        <w:ind w:firstLine="480" w:firstLineChars="200"/>
        <w:jc w:val="both"/>
        <w:rPr>
          <w:rFonts w:hint="eastAsia"/>
          <w:b w:val="0"/>
          <w:bCs w:val="0"/>
          <w:sz w:val="24"/>
          <w:szCs w:val="24"/>
          <w:lang w:eastAsia="zh-CN"/>
        </w:rPr>
      </w:pPr>
      <w:r>
        <w:rPr>
          <w:rFonts w:hint="eastAsia"/>
          <w:b w:val="0"/>
          <w:bCs w:val="0"/>
          <w:sz w:val="24"/>
          <w:szCs w:val="24"/>
          <w:lang w:eastAsia="zh-CN"/>
        </w:rPr>
        <w:t>(1)乙方有提供专业服务而收取约定费用的权利;</w:t>
      </w:r>
    </w:p>
    <w:p>
      <w:pPr>
        <w:ind w:firstLine="480" w:firstLineChars="200"/>
        <w:jc w:val="both"/>
        <w:rPr>
          <w:rFonts w:hint="eastAsia"/>
          <w:b w:val="0"/>
          <w:bCs w:val="0"/>
          <w:sz w:val="24"/>
          <w:szCs w:val="24"/>
          <w:lang w:eastAsia="zh-CN"/>
        </w:rPr>
      </w:pPr>
      <w:r>
        <w:rPr>
          <w:rFonts w:hint="eastAsia"/>
          <w:b w:val="0"/>
          <w:bCs w:val="0"/>
          <w:sz w:val="24"/>
          <w:szCs w:val="24"/>
          <w:lang w:eastAsia="zh-CN"/>
        </w:rPr>
        <w:t>(2)乙方保证其具备从事所约定的专业服务按照有关规定斤应具备的资质、营业范围、专业人员、专业设备、专业技术等条件:否则甲方有权单方解除合同,并要求乙方赔偿甲方一切相关失;</w:t>
      </w:r>
    </w:p>
    <w:p>
      <w:pPr>
        <w:ind w:firstLine="480" w:firstLineChars="200"/>
        <w:jc w:val="both"/>
        <w:rPr>
          <w:rFonts w:hint="eastAsia"/>
          <w:b w:val="0"/>
          <w:bCs w:val="0"/>
          <w:sz w:val="24"/>
          <w:szCs w:val="24"/>
          <w:lang w:eastAsia="zh-CN"/>
        </w:rPr>
      </w:pPr>
      <w:r>
        <w:rPr>
          <w:rFonts w:hint="eastAsia"/>
          <w:b w:val="0"/>
          <w:bCs w:val="0"/>
          <w:sz w:val="24"/>
          <w:szCs w:val="24"/>
          <w:lang w:eastAsia="zh-CN"/>
        </w:rPr>
        <w:t>(3)乙方应当对为甲方配置的人员进行必要的培训(包括但不限于上岗培训、专业培训等);</w:t>
      </w:r>
    </w:p>
    <w:p>
      <w:pPr>
        <w:ind w:firstLine="480" w:firstLineChars="200"/>
        <w:jc w:val="both"/>
        <w:rPr>
          <w:rFonts w:hint="eastAsia"/>
          <w:b w:val="0"/>
          <w:bCs w:val="0"/>
          <w:sz w:val="24"/>
          <w:szCs w:val="24"/>
          <w:lang w:eastAsia="zh-CN"/>
        </w:rPr>
      </w:pPr>
      <w:r>
        <w:rPr>
          <w:rFonts w:hint="eastAsia"/>
          <w:b w:val="0"/>
          <w:bCs w:val="0"/>
          <w:sz w:val="24"/>
          <w:szCs w:val="24"/>
          <w:lang w:eastAsia="zh-CN"/>
        </w:rPr>
        <w:t>(4)乙方应当与为甲方提供专业服务的人员签订书面劳动合同,并使员工明确乙方为其本人用人单位的事实;乙方应保证根据国家和地方规定为乙方人员缴纳法定社会保险,乙方应尽力避免与提供服务人员产生劳动纠纷,以免影响甲方相关业务的开展;</w:t>
      </w:r>
    </w:p>
    <w:p>
      <w:pPr>
        <w:ind w:firstLine="480" w:firstLineChars="200"/>
        <w:jc w:val="both"/>
        <w:rPr>
          <w:rFonts w:hint="eastAsia"/>
          <w:b w:val="0"/>
          <w:bCs w:val="0"/>
          <w:sz w:val="24"/>
          <w:szCs w:val="24"/>
          <w:lang w:eastAsia="zh-CN"/>
        </w:rPr>
      </w:pPr>
      <w:r>
        <w:rPr>
          <w:rFonts w:hint="eastAsia"/>
          <w:b w:val="0"/>
          <w:bCs w:val="0"/>
          <w:sz w:val="24"/>
          <w:szCs w:val="24"/>
          <w:lang w:eastAsia="zh-CN"/>
        </w:rPr>
        <w:t>(5)乙方应及时足额发放为甲方提供专业服务的人员劳动报酬及其他福利;</w:t>
      </w:r>
    </w:p>
    <w:p>
      <w:pPr>
        <w:ind w:firstLine="480" w:firstLineChars="200"/>
        <w:jc w:val="both"/>
        <w:rPr>
          <w:rFonts w:hint="eastAsia"/>
          <w:b w:val="0"/>
          <w:bCs w:val="0"/>
          <w:sz w:val="24"/>
          <w:szCs w:val="24"/>
          <w:lang w:eastAsia="zh-CN"/>
        </w:rPr>
      </w:pPr>
      <w:r>
        <w:rPr>
          <w:rFonts w:hint="eastAsia"/>
          <w:b w:val="0"/>
          <w:bCs w:val="0"/>
          <w:sz w:val="24"/>
          <w:szCs w:val="24"/>
          <w:lang w:eastAsia="zh-CN"/>
        </w:rPr>
        <w:t>(6)乙方应及时按甲方的要求履行外包岗位的服务义务，对甲方的指令及工作指派应及时传达并确保按时完成工作任务;</w:t>
      </w:r>
    </w:p>
    <w:p>
      <w:pPr>
        <w:ind w:firstLine="480" w:firstLineChars="200"/>
        <w:jc w:val="both"/>
        <w:rPr>
          <w:rFonts w:hint="eastAsia"/>
          <w:b w:val="0"/>
          <w:bCs w:val="0"/>
          <w:sz w:val="24"/>
          <w:szCs w:val="24"/>
          <w:lang w:eastAsia="zh-CN"/>
        </w:rPr>
      </w:pPr>
      <w:r>
        <w:rPr>
          <w:rFonts w:hint="eastAsia"/>
          <w:b w:val="0"/>
          <w:bCs w:val="0"/>
          <w:sz w:val="24"/>
          <w:szCs w:val="24"/>
          <w:lang w:eastAsia="zh-CN"/>
        </w:rPr>
        <w:t>(7)对配置到甲方指定场所的人员，乙方有义务按照甲方的要求并参考甲方的规章制度制订相应的管理规章制度(包括但不限于工作时间、工作要求、工作完成标准等)予以规范,以加强管理;</w:t>
      </w:r>
    </w:p>
    <w:p>
      <w:pPr>
        <w:ind w:firstLine="480" w:firstLineChars="200"/>
        <w:jc w:val="both"/>
        <w:rPr>
          <w:rFonts w:hint="eastAsia"/>
          <w:b w:val="0"/>
          <w:bCs w:val="0"/>
          <w:sz w:val="24"/>
          <w:szCs w:val="24"/>
          <w:lang w:eastAsia="zh-CN"/>
        </w:rPr>
      </w:pPr>
      <w:r>
        <w:rPr>
          <w:rFonts w:hint="eastAsia"/>
          <w:b w:val="0"/>
          <w:bCs w:val="0"/>
          <w:sz w:val="24"/>
          <w:szCs w:val="24"/>
          <w:lang w:eastAsia="zh-CN"/>
        </w:rPr>
        <w:t>(8)乙方应组织对所配置到甲方工作的服务人员进行保密培训,并须确保人员保守甲方的商业秘密和其他保密信息;</w:t>
      </w:r>
    </w:p>
    <w:p>
      <w:pPr>
        <w:jc w:val="both"/>
        <w:rPr>
          <w:rFonts w:hint="eastAsia"/>
          <w:b/>
          <w:bCs/>
          <w:sz w:val="24"/>
          <w:szCs w:val="24"/>
          <w:lang w:eastAsia="zh-CN"/>
        </w:rPr>
      </w:pPr>
      <w:r>
        <w:rPr>
          <w:rFonts w:hint="eastAsia"/>
          <w:b/>
          <w:bCs/>
          <w:sz w:val="24"/>
          <w:szCs w:val="24"/>
          <w:lang w:eastAsia="zh-CN"/>
        </w:rPr>
        <w:t>八、协议的变更与终止</w:t>
      </w:r>
    </w:p>
    <w:p>
      <w:pPr>
        <w:ind w:firstLine="480" w:firstLineChars="200"/>
        <w:jc w:val="both"/>
        <w:rPr>
          <w:rFonts w:hint="eastAsia"/>
          <w:b w:val="0"/>
          <w:bCs w:val="0"/>
          <w:sz w:val="24"/>
          <w:szCs w:val="24"/>
          <w:lang w:eastAsia="zh-CN"/>
        </w:rPr>
      </w:pPr>
      <w:r>
        <w:rPr>
          <w:rFonts w:hint="eastAsia"/>
          <w:b w:val="0"/>
          <w:bCs w:val="0"/>
          <w:sz w:val="24"/>
          <w:szCs w:val="24"/>
          <w:lang w:eastAsia="zh-CN"/>
        </w:rPr>
        <w:t>1、本协议履行期限内,如需要对服务范围、服务方式、服务费用等事项进行变更的,经协商致可以变更,由双方另行补充协议。</w:t>
      </w:r>
    </w:p>
    <w:p>
      <w:pPr>
        <w:ind w:firstLine="480" w:firstLineChars="200"/>
        <w:jc w:val="both"/>
        <w:rPr>
          <w:rFonts w:hint="eastAsia"/>
          <w:b w:val="0"/>
          <w:bCs w:val="0"/>
          <w:sz w:val="24"/>
          <w:szCs w:val="24"/>
          <w:lang w:eastAsia="zh-CN"/>
        </w:rPr>
      </w:pPr>
      <w:r>
        <w:rPr>
          <w:rFonts w:hint="eastAsia"/>
          <w:b w:val="0"/>
          <w:bCs w:val="0"/>
          <w:sz w:val="24"/>
          <w:szCs w:val="24"/>
          <w:lang w:eastAsia="zh-CN"/>
        </w:rPr>
        <w:t>2、甲方根据法律法规的规定、国家政策的调整以及上级部门文件的规定,需要对本协议相关事项进行调整的，乙方应根据甲方通知调整，但如明显超出双方约定的服务范围的，由双方另行协调收费事宜。</w:t>
      </w:r>
    </w:p>
    <w:p>
      <w:pPr>
        <w:ind w:firstLine="480" w:firstLineChars="200"/>
        <w:jc w:val="both"/>
        <w:rPr>
          <w:rFonts w:hint="eastAsia"/>
          <w:b w:val="0"/>
          <w:bCs w:val="0"/>
          <w:sz w:val="24"/>
          <w:szCs w:val="24"/>
          <w:lang w:eastAsia="zh-CN"/>
        </w:rPr>
      </w:pPr>
      <w:r>
        <w:rPr>
          <w:rFonts w:hint="eastAsia"/>
          <w:b w:val="0"/>
          <w:bCs w:val="0"/>
          <w:sz w:val="24"/>
          <w:szCs w:val="24"/>
          <w:lang w:eastAsia="zh-CN"/>
        </w:rPr>
        <w:t>3、有下列情形之一,本合同终止:</w:t>
      </w:r>
    </w:p>
    <w:p>
      <w:pPr>
        <w:ind w:firstLine="480" w:firstLineChars="200"/>
        <w:jc w:val="both"/>
        <w:rPr>
          <w:rFonts w:hint="eastAsia"/>
          <w:b w:val="0"/>
          <w:bCs w:val="0"/>
          <w:sz w:val="24"/>
          <w:szCs w:val="24"/>
          <w:lang w:eastAsia="zh-CN"/>
        </w:rPr>
      </w:pPr>
      <w:r>
        <w:rPr>
          <w:rFonts w:hint="eastAsia"/>
          <w:b w:val="0"/>
          <w:bCs w:val="0"/>
          <w:sz w:val="24"/>
          <w:szCs w:val="24"/>
          <w:lang w:eastAsia="zh-CN"/>
        </w:rPr>
        <w:t>(1)本协议期限届满;</w:t>
      </w:r>
    </w:p>
    <w:p>
      <w:pPr>
        <w:ind w:firstLine="480" w:firstLineChars="200"/>
        <w:jc w:val="both"/>
        <w:rPr>
          <w:rFonts w:hint="eastAsia"/>
          <w:b w:val="0"/>
          <w:bCs w:val="0"/>
          <w:sz w:val="24"/>
          <w:szCs w:val="24"/>
          <w:lang w:eastAsia="zh-CN"/>
        </w:rPr>
      </w:pPr>
      <w:r>
        <w:rPr>
          <w:rFonts w:hint="eastAsia"/>
          <w:b w:val="0"/>
          <w:bCs w:val="0"/>
          <w:sz w:val="24"/>
          <w:szCs w:val="24"/>
          <w:lang w:eastAsia="zh-CN"/>
        </w:rPr>
        <w:t>(2)甲、乙双方书面协定提前终止协议;</w:t>
      </w:r>
    </w:p>
    <w:p>
      <w:pPr>
        <w:ind w:firstLine="480" w:firstLineChars="200"/>
        <w:jc w:val="both"/>
        <w:rPr>
          <w:rFonts w:hint="eastAsia"/>
          <w:b w:val="0"/>
          <w:bCs w:val="0"/>
          <w:sz w:val="24"/>
          <w:szCs w:val="24"/>
          <w:lang w:eastAsia="zh-CN"/>
        </w:rPr>
      </w:pPr>
      <w:r>
        <w:rPr>
          <w:rFonts w:hint="eastAsia"/>
          <w:b w:val="0"/>
          <w:bCs w:val="0"/>
          <w:sz w:val="24"/>
          <w:szCs w:val="24"/>
          <w:lang w:eastAsia="zh-CN"/>
        </w:rPr>
        <w:t>(3)因不可抗力导致合同无法履行的;</w:t>
      </w:r>
    </w:p>
    <w:p>
      <w:pPr>
        <w:ind w:firstLine="480" w:firstLineChars="200"/>
        <w:jc w:val="both"/>
        <w:rPr>
          <w:rFonts w:hint="eastAsia"/>
          <w:b w:val="0"/>
          <w:bCs w:val="0"/>
          <w:sz w:val="24"/>
          <w:szCs w:val="24"/>
          <w:lang w:eastAsia="zh-CN"/>
        </w:rPr>
      </w:pPr>
      <w:r>
        <w:rPr>
          <w:rFonts w:hint="eastAsia"/>
          <w:b w:val="0"/>
          <w:bCs w:val="0"/>
          <w:sz w:val="24"/>
          <w:szCs w:val="24"/>
          <w:lang w:eastAsia="zh-CN"/>
        </w:rPr>
        <w:t>(4)本协议项目下的条款内容被行业主管部门或者法院、仲裁机构认定为无效,而导致本协议完全无法执行时提前终止;</w:t>
      </w:r>
    </w:p>
    <w:p>
      <w:pPr>
        <w:ind w:firstLine="480" w:firstLineChars="200"/>
        <w:jc w:val="both"/>
        <w:rPr>
          <w:rFonts w:hint="eastAsia"/>
          <w:b w:val="0"/>
          <w:bCs w:val="0"/>
          <w:sz w:val="24"/>
          <w:szCs w:val="24"/>
          <w:lang w:eastAsia="zh-CN"/>
        </w:rPr>
      </w:pPr>
      <w:r>
        <w:rPr>
          <w:rFonts w:hint="eastAsia"/>
          <w:b w:val="0"/>
          <w:bCs w:val="0"/>
          <w:sz w:val="24"/>
          <w:szCs w:val="24"/>
          <w:lang w:eastAsia="zh-CN"/>
        </w:rPr>
        <w:t>(5)其他非因双方过错导致合同终上的。</w:t>
      </w:r>
    </w:p>
    <w:p>
      <w:pPr>
        <w:ind w:firstLine="480" w:firstLineChars="200"/>
        <w:jc w:val="both"/>
        <w:rPr>
          <w:rFonts w:hint="eastAsia"/>
          <w:b w:val="0"/>
          <w:bCs w:val="0"/>
          <w:sz w:val="24"/>
          <w:szCs w:val="24"/>
          <w:lang w:eastAsia="zh-CN"/>
        </w:rPr>
      </w:pPr>
      <w:r>
        <w:rPr>
          <w:rFonts w:hint="eastAsia"/>
          <w:b w:val="0"/>
          <w:bCs w:val="0"/>
          <w:sz w:val="24"/>
          <w:szCs w:val="24"/>
          <w:lang w:val="en-US" w:eastAsia="zh-CN"/>
        </w:rPr>
        <w:t>4</w:t>
      </w:r>
      <w:r>
        <w:rPr>
          <w:rFonts w:hint="eastAsia"/>
          <w:b w:val="0"/>
          <w:bCs w:val="0"/>
          <w:sz w:val="24"/>
          <w:szCs w:val="24"/>
          <w:lang w:eastAsia="zh-CN"/>
        </w:rPr>
        <w:t>、无论因何种原因终止本协议,乙方应确保其外包人员本着诚实信用的原则完成交接工作,并继续承担有关保密义务。</w:t>
      </w:r>
    </w:p>
    <w:p>
      <w:pPr>
        <w:jc w:val="both"/>
        <w:rPr>
          <w:rFonts w:hint="eastAsia"/>
          <w:b/>
          <w:bCs/>
          <w:sz w:val="24"/>
          <w:szCs w:val="24"/>
          <w:lang w:eastAsia="zh-CN"/>
        </w:rPr>
      </w:pPr>
      <w:r>
        <w:rPr>
          <w:rFonts w:hint="eastAsia"/>
          <w:b/>
          <w:bCs/>
          <w:sz w:val="24"/>
          <w:szCs w:val="24"/>
          <w:lang w:eastAsia="zh-CN"/>
        </w:rPr>
        <w:t>九、违约责任</w:t>
      </w:r>
    </w:p>
    <w:p>
      <w:pPr>
        <w:ind w:firstLine="480" w:firstLineChars="200"/>
        <w:jc w:val="both"/>
        <w:rPr>
          <w:rFonts w:hint="eastAsia"/>
          <w:b w:val="0"/>
          <w:bCs w:val="0"/>
          <w:sz w:val="24"/>
          <w:szCs w:val="24"/>
          <w:lang w:eastAsia="zh-CN"/>
        </w:rPr>
      </w:pPr>
      <w:r>
        <w:rPr>
          <w:rFonts w:hint="eastAsia"/>
          <w:b w:val="0"/>
          <w:bCs w:val="0"/>
          <w:sz w:val="24"/>
          <w:szCs w:val="24"/>
          <w:lang w:eastAsia="zh-CN"/>
        </w:rPr>
        <w:t>1、双方违反本协议所约定的义务的,应向对方承担违约责任,造成对方损失的,还应赔偿损失。</w:t>
      </w:r>
    </w:p>
    <w:p>
      <w:pPr>
        <w:ind w:firstLine="480" w:firstLineChars="200"/>
        <w:jc w:val="both"/>
        <w:rPr>
          <w:rFonts w:hint="eastAsia"/>
          <w:b w:val="0"/>
          <w:bCs w:val="0"/>
          <w:sz w:val="24"/>
          <w:szCs w:val="24"/>
          <w:lang w:eastAsia="zh-CN"/>
        </w:rPr>
      </w:pPr>
      <w:r>
        <w:rPr>
          <w:rFonts w:hint="eastAsia"/>
          <w:b w:val="0"/>
          <w:bCs w:val="0"/>
          <w:sz w:val="24"/>
          <w:szCs w:val="24"/>
          <w:lang w:eastAsia="zh-CN"/>
        </w:rPr>
        <w:t>2、乙方员工给第三方或甲方造成损害的,由乙方承担法律责任,甲方强令乙方员工违章作业,造成的损害由甲方承担。</w:t>
      </w:r>
    </w:p>
    <w:p>
      <w:pPr>
        <w:ind w:firstLine="480" w:firstLineChars="200"/>
        <w:jc w:val="both"/>
        <w:rPr>
          <w:rFonts w:hint="eastAsia"/>
          <w:b w:val="0"/>
          <w:bCs w:val="0"/>
          <w:sz w:val="24"/>
          <w:szCs w:val="24"/>
          <w:lang w:eastAsia="zh-CN"/>
        </w:rPr>
      </w:pPr>
      <w:r>
        <w:rPr>
          <w:rFonts w:hint="eastAsia"/>
          <w:b w:val="0"/>
          <w:bCs w:val="0"/>
          <w:sz w:val="24"/>
          <w:szCs w:val="24"/>
          <w:lang w:eastAsia="zh-CN"/>
        </w:rPr>
        <w:t>3、乙方员工有不适合岗位的情形,甲方予以退回的,或外包期满,甲方未继续使用的员工,乙方应予以妥普处理,如产生该员工的补偿、赔偿，甲方不予承担。</w:t>
      </w:r>
    </w:p>
    <w:p>
      <w:pPr>
        <w:ind w:firstLine="480" w:firstLineChars="200"/>
        <w:jc w:val="both"/>
        <w:rPr>
          <w:rFonts w:hint="eastAsia"/>
          <w:b w:val="0"/>
          <w:bCs w:val="0"/>
          <w:sz w:val="24"/>
          <w:szCs w:val="24"/>
          <w:lang w:eastAsia="zh-CN"/>
        </w:rPr>
      </w:pPr>
      <w:r>
        <w:rPr>
          <w:rFonts w:hint="eastAsia"/>
          <w:b w:val="0"/>
          <w:bCs w:val="0"/>
          <w:sz w:val="24"/>
          <w:szCs w:val="24"/>
          <w:lang w:eastAsia="zh-CN"/>
        </w:rPr>
        <w:t>4、甲方拖延外包费用支付的,按日万分之五支付违约金,超过三十日,乙方可停止服务。</w:t>
      </w:r>
    </w:p>
    <w:p>
      <w:pPr>
        <w:ind w:firstLine="480" w:firstLineChars="200"/>
        <w:jc w:val="both"/>
        <w:rPr>
          <w:rFonts w:hint="eastAsia"/>
          <w:b w:val="0"/>
          <w:bCs w:val="0"/>
          <w:sz w:val="24"/>
          <w:szCs w:val="24"/>
          <w:lang w:eastAsia="zh-CN"/>
        </w:rPr>
      </w:pPr>
      <w:r>
        <w:rPr>
          <w:rFonts w:hint="eastAsia"/>
          <w:b w:val="0"/>
          <w:bCs w:val="0"/>
          <w:sz w:val="24"/>
          <w:szCs w:val="24"/>
          <w:lang w:eastAsia="zh-CN"/>
        </w:rPr>
        <w:t>5、因乙方未及时足额支付外包服务员工的工资、保险及其他待遇,影响其员工提供服务的,甲方有权退回人员,直至解除本协议。</w:t>
      </w:r>
    </w:p>
    <w:p>
      <w:pPr>
        <w:jc w:val="both"/>
        <w:rPr>
          <w:rFonts w:hint="eastAsia"/>
          <w:b/>
          <w:bCs/>
          <w:sz w:val="24"/>
          <w:szCs w:val="24"/>
          <w:lang w:eastAsia="zh-CN"/>
        </w:rPr>
      </w:pPr>
      <w:r>
        <w:rPr>
          <w:rFonts w:hint="eastAsia"/>
          <w:b/>
          <w:bCs/>
          <w:sz w:val="24"/>
          <w:szCs w:val="24"/>
          <w:lang w:eastAsia="zh-CN"/>
        </w:rPr>
        <w:t>十、争议的解决方式</w:t>
      </w:r>
    </w:p>
    <w:p>
      <w:pPr>
        <w:ind w:firstLine="480" w:firstLineChars="200"/>
        <w:jc w:val="both"/>
        <w:rPr>
          <w:rFonts w:hint="eastAsia"/>
          <w:b w:val="0"/>
          <w:bCs w:val="0"/>
          <w:sz w:val="24"/>
          <w:szCs w:val="24"/>
          <w:lang w:eastAsia="zh-CN"/>
        </w:rPr>
      </w:pPr>
      <w:r>
        <w:rPr>
          <w:rFonts w:hint="eastAsia"/>
          <w:b w:val="0"/>
          <w:bCs w:val="0"/>
          <w:sz w:val="24"/>
          <w:szCs w:val="24"/>
          <w:lang w:eastAsia="zh-CN"/>
        </w:rPr>
        <w:t>甲乙双方因本协议事宜发生争议的,应友好协商解决。协商不成,任何一方均可向双方所在地的任何一方所在地人民法院提起诉讼。</w:t>
      </w:r>
    </w:p>
    <w:p>
      <w:pPr>
        <w:jc w:val="both"/>
        <w:rPr>
          <w:rFonts w:hint="eastAsia"/>
          <w:b/>
          <w:bCs/>
          <w:sz w:val="24"/>
          <w:szCs w:val="24"/>
          <w:lang w:eastAsia="zh-CN"/>
        </w:rPr>
      </w:pPr>
      <w:r>
        <w:rPr>
          <w:rFonts w:hint="eastAsia"/>
          <w:b/>
          <w:bCs/>
          <w:sz w:val="24"/>
          <w:szCs w:val="24"/>
          <w:lang w:eastAsia="zh-CN"/>
        </w:rPr>
        <w:t>十一、通知与送达</w:t>
      </w:r>
    </w:p>
    <w:p>
      <w:pPr>
        <w:ind w:firstLine="480" w:firstLineChars="200"/>
        <w:jc w:val="both"/>
        <w:rPr>
          <w:rFonts w:hint="eastAsia"/>
          <w:b w:val="0"/>
          <w:bCs w:val="0"/>
          <w:sz w:val="24"/>
          <w:szCs w:val="24"/>
          <w:lang w:eastAsia="zh-CN"/>
        </w:rPr>
      </w:pPr>
      <w:r>
        <w:rPr>
          <w:rFonts w:hint="eastAsia"/>
          <w:b w:val="0"/>
          <w:bCs w:val="0"/>
          <w:sz w:val="24"/>
          <w:szCs w:val="24"/>
          <w:lang w:eastAsia="zh-CN"/>
        </w:rPr>
        <w:t>甲乙双方在本协议履行过程中相互发出或者提供的所有通知、文件、文书、资料等,均以本协议所列明的地址送达。一方如果迁址或者变更电话,应当书面通知对方,未履行通知义务的,另一方按原地址邮寄相关材料即视为己履行送达义务。当面交付上述材料的,在交付之时视为送达;以邮寄方式交付的,寄出或者投邮后即视为送达。</w:t>
      </w:r>
    </w:p>
    <w:p>
      <w:pPr>
        <w:jc w:val="both"/>
        <w:rPr>
          <w:rFonts w:hint="eastAsia"/>
          <w:b/>
          <w:bCs/>
          <w:sz w:val="24"/>
          <w:szCs w:val="24"/>
          <w:lang w:eastAsia="zh-CN"/>
        </w:rPr>
      </w:pPr>
      <w:r>
        <w:rPr>
          <w:rFonts w:hint="eastAsia"/>
          <w:b/>
          <w:bCs/>
          <w:sz w:val="24"/>
          <w:szCs w:val="24"/>
          <w:lang w:eastAsia="zh-CN"/>
        </w:rPr>
        <w:t>十二、解除合同规定</w:t>
      </w:r>
    </w:p>
    <w:p>
      <w:pPr>
        <w:ind w:firstLine="480" w:firstLineChars="200"/>
        <w:jc w:val="both"/>
        <w:rPr>
          <w:rFonts w:hint="eastAsia"/>
          <w:b w:val="0"/>
          <w:bCs w:val="0"/>
          <w:sz w:val="24"/>
          <w:szCs w:val="24"/>
          <w:lang w:eastAsia="zh-CN"/>
        </w:rPr>
      </w:pPr>
      <w:r>
        <w:rPr>
          <w:rFonts w:hint="eastAsia"/>
          <w:b w:val="0"/>
          <w:bCs w:val="0"/>
          <w:sz w:val="24"/>
          <w:szCs w:val="24"/>
          <w:lang w:eastAsia="zh-CN"/>
        </w:rPr>
        <w:t>出现下列情况之一时，甲方可以解除服务合同:</w:t>
      </w:r>
    </w:p>
    <w:p>
      <w:pPr>
        <w:ind w:firstLine="480" w:firstLineChars="200"/>
        <w:jc w:val="both"/>
        <w:rPr>
          <w:rFonts w:hint="eastAsia"/>
          <w:b w:val="0"/>
          <w:bCs w:val="0"/>
          <w:sz w:val="24"/>
          <w:szCs w:val="24"/>
          <w:lang w:eastAsia="zh-CN"/>
        </w:rPr>
      </w:pPr>
      <w:r>
        <w:rPr>
          <w:rFonts w:hint="eastAsia"/>
          <w:b w:val="0"/>
          <w:bCs w:val="0"/>
          <w:sz w:val="24"/>
          <w:szCs w:val="24"/>
          <w:lang w:eastAsia="zh-CN"/>
        </w:rPr>
        <w:t>1、乙方不能全面履行合同义务，受托的管理工作和服务质量整改后仍达不到合同要求，不能实现各项承诺目标的。</w:t>
      </w:r>
    </w:p>
    <w:p>
      <w:pPr>
        <w:ind w:firstLine="480" w:firstLineChars="200"/>
        <w:jc w:val="both"/>
        <w:rPr>
          <w:rFonts w:hint="eastAsia"/>
          <w:b w:val="0"/>
          <w:bCs w:val="0"/>
          <w:sz w:val="24"/>
          <w:szCs w:val="24"/>
          <w:lang w:eastAsia="zh-CN"/>
        </w:rPr>
      </w:pPr>
      <w:r>
        <w:rPr>
          <w:rFonts w:hint="eastAsia"/>
          <w:b w:val="0"/>
          <w:bCs w:val="0"/>
          <w:sz w:val="24"/>
          <w:szCs w:val="24"/>
          <w:lang w:eastAsia="zh-CN"/>
        </w:rPr>
        <w:t>2、因乙方管理不善，给甲方造成重大经济损失或严重影响的。</w:t>
      </w:r>
    </w:p>
    <w:p>
      <w:pPr>
        <w:ind w:firstLine="480" w:firstLineChars="200"/>
        <w:jc w:val="both"/>
        <w:rPr>
          <w:rFonts w:hint="eastAsia"/>
          <w:b w:val="0"/>
          <w:bCs w:val="0"/>
          <w:sz w:val="24"/>
          <w:szCs w:val="24"/>
          <w:lang w:eastAsia="zh-CN"/>
        </w:rPr>
      </w:pPr>
      <w:r>
        <w:rPr>
          <w:rFonts w:hint="eastAsia"/>
          <w:b w:val="0"/>
          <w:bCs w:val="0"/>
          <w:sz w:val="24"/>
          <w:szCs w:val="24"/>
          <w:lang w:eastAsia="zh-CN"/>
        </w:rPr>
        <w:t>3、甲方有 50%以上的使用部门对服务不满意，要求更换管理单位的。</w:t>
      </w:r>
    </w:p>
    <w:p>
      <w:pPr>
        <w:ind w:firstLine="480" w:firstLineChars="200"/>
        <w:jc w:val="both"/>
        <w:rPr>
          <w:rFonts w:hint="eastAsia"/>
          <w:b w:val="0"/>
          <w:bCs w:val="0"/>
          <w:sz w:val="24"/>
          <w:szCs w:val="24"/>
          <w:lang w:eastAsia="zh-CN"/>
        </w:rPr>
      </w:pPr>
      <w:r>
        <w:rPr>
          <w:rFonts w:hint="eastAsia"/>
          <w:b w:val="0"/>
          <w:bCs w:val="0"/>
          <w:sz w:val="24"/>
          <w:szCs w:val="24"/>
          <w:lang w:eastAsia="zh-CN"/>
        </w:rPr>
        <w:t>4、出现下列情况时乙方可以解除本合同:甲方拖欠乙方管理服务费用半年以上时。</w:t>
      </w:r>
    </w:p>
    <w:p>
      <w:pPr>
        <w:jc w:val="both"/>
        <w:rPr>
          <w:rFonts w:hint="eastAsia"/>
          <w:b/>
          <w:bCs/>
          <w:sz w:val="24"/>
          <w:szCs w:val="24"/>
          <w:lang w:eastAsia="zh-CN"/>
        </w:rPr>
      </w:pPr>
      <w:r>
        <w:rPr>
          <w:rFonts w:hint="eastAsia"/>
          <w:b/>
          <w:bCs/>
          <w:sz w:val="24"/>
          <w:szCs w:val="24"/>
          <w:lang w:eastAsia="zh-CN"/>
        </w:rPr>
        <w:t>十三、保护员工条款</w:t>
      </w:r>
    </w:p>
    <w:p>
      <w:pPr>
        <w:ind w:firstLine="480" w:firstLineChars="200"/>
        <w:jc w:val="both"/>
        <w:rPr>
          <w:rFonts w:hint="eastAsia"/>
          <w:b w:val="0"/>
          <w:bCs w:val="0"/>
          <w:sz w:val="24"/>
          <w:szCs w:val="24"/>
          <w:lang w:eastAsia="zh-CN"/>
        </w:rPr>
      </w:pPr>
      <w:r>
        <w:rPr>
          <w:rFonts w:hint="eastAsia"/>
          <w:b w:val="0"/>
          <w:bCs w:val="0"/>
          <w:sz w:val="24"/>
          <w:szCs w:val="24"/>
          <w:lang w:eastAsia="zh-CN"/>
        </w:rPr>
        <w:t>如因乙方拖欠所聘员工劳动报酬与其他应付款项，或因此而影响甲方应得到的服务，或员工向甲方投诉要求甲方保护时，甲方有权对应付乙方的管理服务费用进行留存，直至纠纷得到解决。</w:t>
      </w:r>
    </w:p>
    <w:p>
      <w:pPr>
        <w:jc w:val="both"/>
        <w:rPr>
          <w:rFonts w:hint="eastAsia"/>
          <w:b/>
          <w:bCs/>
          <w:sz w:val="24"/>
          <w:szCs w:val="24"/>
          <w:lang w:eastAsia="zh-CN"/>
        </w:rPr>
      </w:pPr>
      <w:r>
        <w:rPr>
          <w:rFonts w:hint="eastAsia"/>
          <w:b/>
          <w:bCs/>
          <w:sz w:val="24"/>
          <w:szCs w:val="24"/>
          <w:lang w:eastAsia="zh-CN"/>
        </w:rPr>
        <w:t>十四、其他要求</w:t>
      </w:r>
    </w:p>
    <w:p>
      <w:pPr>
        <w:ind w:firstLine="480" w:firstLineChars="200"/>
        <w:jc w:val="both"/>
        <w:rPr>
          <w:rFonts w:hint="eastAsia"/>
          <w:b w:val="0"/>
          <w:bCs w:val="0"/>
          <w:sz w:val="24"/>
          <w:szCs w:val="24"/>
          <w:lang w:eastAsia="zh-CN"/>
        </w:rPr>
      </w:pPr>
      <w:r>
        <w:rPr>
          <w:rFonts w:hint="eastAsia"/>
          <w:b w:val="0"/>
          <w:bCs w:val="0"/>
          <w:sz w:val="24"/>
          <w:szCs w:val="24"/>
          <w:lang w:eastAsia="zh-CN"/>
        </w:rPr>
        <w:t>1、现场踏勘:投标人可自行对业主单位的周围环境进行勘察，以便投标人获取有关编制投标文件和签署合同所涉及现场的资料,中标方不得以不完全了解物业现场情况为由，提出任何形式的增加管理费用或索赔要求。投标人踏勘现场所发生的一切费用和责任概由投标人自负。业主方不单独或分别组织任何一个投标单位进行现场踏勘。</w:t>
      </w:r>
    </w:p>
    <w:p>
      <w:pPr>
        <w:ind w:firstLine="480" w:firstLineChars="200"/>
        <w:jc w:val="both"/>
        <w:rPr>
          <w:rFonts w:hint="eastAsia"/>
          <w:b w:val="0"/>
          <w:bCs w:val="0"/>
          <w:sz w:val="24"/>
          <w:szCs w:val="24"/>
          <w:lang w:eastAsia="zh-CN"/>
        </w:rPr>
      </w:pPr>
      <w:r>
        <w:rPr>
          <w:rFonts w:hint="eastAsia"/>
          <w:b w:val="0"/>
          <w:bCs w:val="0"/>
          <w:sz w:val="24"/>
          <w:szCs w:val="24"/>
          <w:lang w:eastAsia="zh-CN"/>
        </w:rPr>
        <w:t>2、本文件所指甲方即采购人，乙方为中标人。</w:t>
      </w:r>
    </w:p>
    <w:p>
      <w:pPr>
        <w:pStyle w:val="5"/>
        <w:rPr>
          <w:rFonts w:hint="eastAsia"/>
          <w:b w:val="0"/>
          <w:bCs w:val="0"/>
          <w:sz w:val="24"/>
          <w:szCs w:val="24"/>
          <w:lang w:eastAsia="zh-CN"/>
        </w:rPr>
      </w:pPr>
    </w:p>
    <w:p>
      <w:pPr>
        <w:rPr>
          <w:rFonts w:hint="eastAsia"/>
          <w:b w:val="0"/>
          <w:bCs w:val="0"/>
          <w:sz w:val="24"/>
          <w:szCs w:val="24"/>
          <w:lang w:eastAsia="zh-CN"/>
        </w:rPr>
      </w:pPr>
    </w:p>
    <w:p>
      <w:pPr>
        <w:pStyle w:val="5"/>
        <w:rPr>
          <w:rFonts w:hint="eastAsia"/>
          <w:b w:val="0"/>
          <w:bCs w:val="0"/>
          <w:sz w:val="24"/>
          <w:szCs w:val="24"/>
          <w:lang w:eastAsia="zh-CN"/>
        </w:rPr>
      </w:pPr>
    </w:p>
    <w:p>
      <w:pPr>
        <w:rPr>
          <w:rFonts w:hint="eastAsia"/>
          <w:b w:val="0"/>
          <w:bCs w:val="0"/>
          <w:sz w:val="24"/>
          <w:szCs w:val="24"/>
          <w:lang w:eastAsia="zh-CN"/>
        </w:rPr>
      </w:pPr>
    </w:p>
    <w:p>
      <w:pPr>
        <w:pStyle w:val="5"/>
        <w:rPr>
          <w:rFonts w:hint="eastAsia"/>
          <w:b w:val="0"/>
          <w:bCs w:val="0"/>
          <w:sz w:val="24"/>
          <w:szCs w:val="24"/>
          <w:lang w:eastAsia="zh-CN"/>
        </w:rPr>
      </w:pPr>
    </w:p>
    <w:p>
      <w:pPr>
        <w:rPr>
          <w:rFonts w:hint="eastAsia"/>
          <w:b w:val="0"/>
          <w:bCs w:val="0"/>
          <w:sz w:val="24"/>
          <w:szCs w:val="24"/>
          <w:lang w:eastAsia="zh-CN"/>
        </w:rPr>
      </w:pPr>
    </w:p>
    <w:p>
      <w:pPr>
        <w:pStyle w:val="5"/>
        <w:rPr>
          <w:rFonts w:hint="eastAsia"/>
          <w:b w:val="0"/>
          <w:bCs w:val="0"/>
          <w:sz w:val="24"/>
          <w:szCs w:val="24"/>
          <w:lang w:eastAsia="zh-CN"/>
        </w:rPr>
      </w:pPr>
    </w:p>
    <w:p>
      <w:pPr>
        <w:rPr>
          <w:rFonts w:hint="eastAsia"/>
          <w:b w:val="0"/>
          <w:bCs w:val="0"/>
          <w:sz w:val="24"/>
          <w:szCs w:val="24"/>
          <w:lang w:eastAsia="zh-CN"/>
        </w:rPr>
      </w:pPr>
    </w:p>
    <w:p>
      <w:pPr>
        <w:pStyle w:val="5"/>
        <w:rPr>
          <w:rFonts w:hint="eastAsia"/>
          <w:b w:val="0"/>
          <w:bCs w:val="0"/>
          <w:sz w:val="24"/>
          <w:szCs w:val="24"/>
          <w:lang w:eastAsia="zh-CN"/>
        </w:rPr>
      </w:pPr>
    </w:p>
    <w:p>
      <w:pPr>
        <w:rPr>
          <w:rFonts w:hint="eastAsia"/>
          <w:b w:val="0"/>
          <w:bCs w:val="0"/>
          <w:sz w:val="24"/>
          <w:szCs w:val="24"/>
          <w:lang w:eastAsia="zh-CN"/>
        </w:rPr>
      </w:pPr>
    </w:p>
    <w:p>
      <w:pPr>
        <w:pStyle w:val="5"/>
        <w:rPr>
          <w:rFonts w:hint="eastAsia"/>
          <w:b w:val="0"/>
          <w:bCs w:val="0"/>
          <w:sz w:val="24"/>
          <w:szCs w:val="24"/>
          <w:lang w:eastAsia="zh-CN"/>
        </w:rPr>
      </w:pPr>
    </w:p>
    <w:p>
      <w:pPr>
        <w:rPr>
          <w:rFonts w:hint="eastAsia"/>
          <w:b w:val="0"/>
          <w:bCs w:val="0"/>
          <w:sz w:val="24"/>
          <w:szCs w:val="24"/>
          <w:lang w:eastAsia="zh-CN"/>
        </w:rPr>
      </w:pPr>
    </w:p>
    <w:p>
      <w:pPr>
        <w:pStyle w:val="5"/>
        <w:rPr>
          <w:rFonts w:hint="eastAsia"/>
          <w:b w:val="0"/>
          <w:bCs w:val="0"/>
          <w:sz w:val="24"/>
          <w:szCs w:val="24"/>
          <w:lang w:eastAsia="zh-CN"/>
        </w:rPr>
      </w:pPr>
    </w:p>
    <w:p>
      <w:pPr>
        <w:rPr>
          <w:rFonts w:hint="eastAsia"/>
          <w:b w:val="0"/>
          <w:bCs w:val="0"/>
          <w:sz w:val="24"/>
          <w:szCs w:val="24"/>
          <w:lang w:eastAsia="zh-CN"/>
        </w:rPr>
      </w:pPr>
    </w:p>
    <w:p>
      <w:pPr>
        <w:pStyle w:val="5"/>
        <w:rPr>
          <w:rFonts w:hint="eastAsia"/>
          <w:b w:val="0"/>
          <w:bCs w:val="0"/>
          <w:sz w:val="24"/>
          <w:szCs w:val="24"/>
          <w:lang w:eastAsia="zh-CN"/>
        </w:rPr>
      </w:pPr>
    </w:p>
    <w:p>
      <w:pPr>
        <w:rPr>
          <w:rFonts w:hint="eastAsia"/>
          <w:b w:val="0"/>
          <w:bCs w:val="0"/>
          <w:sz w:val="24"/>
          <w:szCs w:val="24"/>
          <w:lang w:eastAsia="zh-CN"/>
        </w:rPr>
      </w:pPr>
    </w:p>
    <w:p>
      <w:pPr>
        <w:pStyle w:val="5"/>
        <w:rPr>
          <w:rFonts w:hint="eastAsia"/>
          <w:b w:val="0"/>
          <w:bCs w:val="0"/>
          <w:sz w:val="24"/>
          <w:szCs w:val="24"/>
          <w:lang w:eastAsia="zh-CN"/>
        </w:rPr>
      </w:pPr>
    </w:p>
    <w:p>
      <w:pPr>
        <w:rPr>
          <w:rFonts w:hint="eastAsia"/>
          <w:b w:val="0"/>
          <w:bCs w:val="0"/>
          <w:sz w:val="24"/>
          <w:szCs w:val="24"/>
          <w:lang w:eastAsia="zh-CN"/>
        </w:rPr>
      </w:pPr>
    </w:p>
    <w:p>
      <w:pPr>
        <w:ind w:firstLine="2409" w:firstLineChars="1000"/>
        <w:jc w:val="both"/>
        <w:rPr>
          <w:rFonts w:hint="eastAsia"/>
          <w:b/>
          <w:bCs/>
          <w:sz w:val="24"/>
          <w:szCs w:val="24"/>
          <w:lang w:eastAsia="zh-CN"/>
        </w:rPr>
      </w:pPr>
    </w:p>
    <w:p>
      <w:pPr>
        <w:ind w:firstLine="2409" w:firstLineChars="1000"/>
        <w:jc w:val="both"/>
        <w:rPr>
          <w:rFonts w:hint="eastAsia"/>
          <w:b/>
          <w:bCs/>
          <w:sz w:val="24"/>
          <w:szCs w:val="24"/>
          <w:lang w:eastAsia="zh-CN"/>
        </w:rPr>
      </w:pPr>
      <w:r>
        <w:rPr>
          <w:rFonts w:hint="eastAsia"/>
          <w:b/>
          <w:bCs/>
          <w:sz w:val="24"/>
          <w:szCs w:val="24"/>
          <w:lang w:eastAsia="zh-CN"/>
        </w:rPr>
        <w:t>包二:办公区食堂加工业务外包采购项目</w:t>
      </w:r>
    </w:p>
    <w:p>
      <w:pPr>
        <w:jc w:val="both"/>
        <w:rPr>
          <w:rFonts w:hint="eastAsia"/>
          <w:b/>
          <w:bCs/>
          <w:sz w:val="24"/>
          <w:szCs w:val="24"/>
          <w:lang w:eastAsia="zh-CN"/>
        </w:rPr>
      </w:pPr>
      <w:r>
        <w:rPr>
          <w:rFonts w:hint="eastAsia"/>
          <w:b/>
          <w:bCs/>
          <w:sz w:val="24"/>
          <w:szCs w:val="24"/>
          <w:lang w:eastAsia="zh-CN"/>
        </w:rPr>
        <w:t>一、项目名称:办公区食堂加工业务外包招标</w:t>
      </w:r>
    </w:p>
    <w:p>
      <w:pPr>
        <w:jc w:val="both"/>
        <w:rPr>
          <w:rFonts w:hint="eastAsia"/>
          <w:b/>
          <w:bCs/>
          <w:sz w:val="24"/>
          <w:szCs w:val="24"/>
          <w:lang w:eastAsia="zh-CN"/>
        </w:rPr>
      </w:pPr>
      <w:r>
        <w:rPr>
          <w:rFonts w:hint="eastAsia"/>
          <w:b/>
          <w:bCs/>
          <w:sz w:val="24"/>
          <w:szCs w:val="24"/>
          <w:lang w:eastAsia="zh-CN"/>
        </w:rPr>
        <w:t>二、管理服务事项</w:t>
      </w:r>
    </w:p>
    <w:p>
      <w:pPr>
        <w:ind w:firstLine="480" w:firstLineChars="200"/>
        <w:jc w:val="both"/>
        <w:rPr>
          <w:rFonts w:hint="eastAsia"/>
          <w:b w:val="0"/>
          <w:bCs w:val="0"/>
          <w:sz w:val="24"/>
          <w:szCs w:val="24"/>
          <w:lang w:eastAsia="zh-CN"/>
        </w:rPr>
      </w:pPr>
      <w:r>
        <w:rPr>
          <w:rFonts w:hint="eastAsia"/>
          <w:b w:val="0"/>
          <w:bCs w:val="0"/>
          <w:sz w:val="24"/>
          <w:szCs w:val="24"/>
          <w:lang w:eastAsia="zh-CN"/>
        </w:rPr>
        <w:t>加工业务外包的内容:甲方机关食堂的食品加工和对就餐人员的服务及相应的配套服务。具体内容为:食材、餐厨具的清洁、清理;食品的加工制作;向就餐人员提供供餐服务;餐饮场所及周边的卫生、安全服务。</w:t>
      </w:r>
    </w:p>
    <w:p>
      <w:pPr>
        <w:jc w:val="both"/>
        <w:rPr>
          <w:rFonts w:hint="eastAsia"/>
          <w:b w:val="0"/>
          <w:bCs w:val="0"/>
          <w:sz w:val="24"/>
          <w:szCs w:val="24"/>
          <w:lang w:eastAsia="zh-CN"/>
        </w:rPr>
      </w:pPr>
      <w:r>
        <w:rPr>
          <w:rFonts w:hint="eastAsia"/>
          <w:b w:val="0"/>
          <w:bCs w:val="0"/>
          <w:sz w:val="24"/>
          <w:szCs w:val="24"/>
          <w:lang w:eastAsia="zh-CN"/>
        </w:rPr>
        <w:t>(一)甲方负责范围:</w:t>
      </w:r>
    </w:p>
    <w:p>
      <w:pPr>
        <w:ind w:firstLine="480" w:firstLineChars="200"/>
        <w:jc w:val="both"/>
        <w:rPr>
          <w:rFonts w:hint="eastAsia"/>
          <w:b w:val="0"/>
          <w:bCs w:val="0"/>
          <w:sz w:val="24"/>
          <w:szCs w:val="24"/>
          <w:lang w:eastAsia="zh-CN"/>
        </w:rPr>
      </w:pPr>
      <w:r>
        <w:rPr>
          <w:rFonts w:hint="eastAsia"/>
          <w:b w:val="0"/>
          <w:bCs w:val="0"/>
          <w:sz w:val="24"/>
          <w:szCs w:val="24"/>
          <w:lang w:eastAsia="zh-CN"/>
        </w:rPr>
        <w:t>1、餐饮所需材料由甲方提供;</w:t>
      </w:r>
    </w:p>
    <w:p>
      <w:pPr>
        <w:ind w:firstLine="480" w:firstLineChars="200"/>
        <w:jc w:val="both"/>
        <w:rPr>
          <w:rFonts w:hint="eastAsia"/>
          <w:b w:val="0"/>
          <w:bCs w:val="0"/>
          <w:sz w:val="24"/>
          <w:szCs w:val="24"/>
          <w:lang w:eastAsia="zh-CN"/>
        </w:rPr>
      </w:pPr>
      <w:r>
        <w:rPr>
          <w:rFonts w:hint="eastAsia"/>
          <w:b w:val="0"/>
          <w:bCs w:val="0"/>
          <w:sz w:val="24"/>
          <w:szCs w:val="24"/>
          <w:lang w:val="en-US" w:eastAsia="zh-CN"/>
        </w:rPr>
        <w:t>2</w:t>
      </w:r>
      <w:r>
        <w:rPr>
          <w:rFonts w:hint="eastAsia"/>
          <w:b w:val="0"/>
          <w:bCs w:val="0"/>
          <w:sz w:val="24"/>
          <w:szCs w:val="24"/>
          <w:lang w:eastAsia="zh-CN"/>
        </w:rPr>
        <w:t>、与餐饮服务相适应的场地、设施、器具、燃料、水电由甲方提供(包含维修)和承担</w:t>
      </w:r>
    </w:p>
    <w:p>
      <w:pPr>
        <w:ind w:firstLine="480" w:firstLineChars="200"/>
        <w:jc w:val="both"/>
        <w:rPr>
          <w:rFonts w:hint="eastAsia"/>
          <w:b w:val="0"/>
          <w:bCs w:val="0"/>
          <w:sz w:val="24"/>
          <w:szCs w:val="24"/>
          <w:lang w:eastAsia="zh-CN"/>
        </w:rPr>
      </w:pPr>
      <w:r>
        <w:rPr>
          <w:rFonts w:hint="eastAsia"/>
          <w:b w:val="0"/>
          <w:bCs w:val="0"/>
          <w:sz w:val="24"/>
          <w:szCs w:val="24"/>
          <w:lang w:eastAsia="zh-CN"/>
        </w:rPr>
        <w:t>3、对乙方提供的餐饮的花色、品质、安全、服务质量实施监督和评估;</w:t>
      </w:r>
    </w:p>
    <w:p>
      <w:pPr>
        <w:ind w:firstLine="480" w:firstLineChars="200"/>
        <w:jc w:val="both"/>
        <w:rPr>
          <w:rFonts w:hint="eastAsia"/>
          <w:b w:val="0"/>
          <w:bCs w:val="0"/>
          <w:sz w:val="24"/>
          <w:szCs w:val="24"/>
          <w:lang w:eastAsia="zh-CN"/>
        </w:rPr>
      </w:pPr>
      <w:r>
        <w:rPr>
          <w:rFonts w:hint="eastAsia"/>
          <w:b w:val="0"/>
          <w:bCs w:val="0"/>
          <w:sz w:val="24"/>
          <w:szCs w:val="24"/>
          <w:lang w:eastAsia="zh-CN"/>
        </w:rPr>
        <w:t>4、按本合同的约定支付乙方服务费。</w:t>
      </w:r>
    </w:p>
    <w:p>
      <w:pPr>
        <w:jc w:val="both"/>
        <w:rPr>
          <w:rFonts w:hint="eastAsia"/>
          <w:b w:val="0"/>
          <w:bCs w:val="0"/>
          <w:sz w:val="24"/>
          <w:szCs w:val="24"/>
          <w:lang w:eastAsia="zh-CN"/>
        </w:rPr>
      </w:pPr>
      <w:r>
        <w:rPr>
          <w:rFonts w:hint="eastAsia"/>
          <w:b w:val="0"/>
          <w:bCs w:val="0"/>
          <w:sz w:val="24"/>
          <w:szCs w:val="24"/>
          <w:lang w:eastAsia="zh-CN"/>
        </w:rPr>
        <w:t>(二)乙方工作内容与职责:</w:t>
      </w:r>
    </w:p>
    <w:p>
      <w:pPr>
        <w:ind w:firstLine="480" w:firstLineChars="200"/>
        <w:jc w:val="both"/>
        <w:rPr>
          <w:rFonts w:hint="eastAsia"/>
          <w:b w:val="0"/>
          <w:bCs w:val="0"/>
          <w:sz w:val="24"/>
          <w:szCs w:val="24"/>
          <w:lang w:eastAsia="zh-CN"/>
        </w:rPr>
      </w:pPr>
      <w:r>
        <w:rPr>
          <w:rFonts w:hint="eastAsia"/>
          <w:b w:val="0"/>
          <w:bCs w:val="0"/>
          <w:sz w:val="24"/>
          <w:szCs w:val="24"/>
          <w:lang w:eastAsia="zh-CN"/>
        </w:rPr>
        <w:t>1、乙方按下列方案配置工作人员(共 10人):</w:t>
      </w:r>
    </w:p>
    <w:p>
      <w:pPr>
        <w:ind w:firstLine="480" w:firstLineChars="200"/>
        <w:jc w:val="both"/>
        <w:rPr>
          <w:rFonts w:hint="eastAsia"/>
          <w:b w:val="0"/>
          <w:bCs w:val="0"/>
          <w:sz w:val="24"/>
          <w:szCs w:val="24"/>
          <w:lang w:eastAsia="zh-CN"/>
        </w:rPr>
      </w:pPr>
      <w:r>
        <w:rPr>
          <w:rFonts w:hint="eastAsia"/>
          <w:b w:val="0"/>
          <w:bCs w:val="0"/>
          <w:sz w:val="24"/>
          <w:szCs w:val="24"/>
          <w:lang w:eastAsia="zh-CN"/>
        </w:rPr>
        <w:t>主厨2人,白案1人,配菜及清洗工3人,服务员4人。</w:t>
      </w:r>
    </w:p>
    <w:p>
      <w:pPr>
        <w:ind w:firstLine="480" w:firstLineChars="200"/>
        <w:jc w:val="both"/>
        <w:rPr>
          <w:rFonts w:hint="eastAsia"/>
          <w:b w:val="0"/>
          <w:bCs w:val="0"/>
          <w:sz w:val="24"/>
          <w:szCs w:val="24"/>
          <w:lang w:eastAsia="zh-CN"/>
        </w:rPr>
      </w:pPr>
      <w:r>
        <w:rPr>
          <w:rFonts w:hint="eastAsia"/>
          <w:b w:val="0"/>
          <w:bCs w:val="0"/>
          <w:sz w:val="24"/>
          <w:szCs w:val="24"/>
          <w:lang w:eastAsia="zh-CN"/>
        </w:rPr>
        <w:t>2、服务时间:</w:t>
      </w:r>
    </w:p>
    <w:p>
      <w:pPr>
        <w:ind w:firstLine="480" w:firstLineChars="200"/>
        <w:jc w:val="both"/>
        <w:rPr>
          <w:rFonts w:hint="eastAsia"/>
          <w:b w:val="0"/>
          <w:bCs w:val="0"/>
          <w:sz w:val="24"/>
          <w:szCs w:val="24"/>
          <w:lang w:eastAsia="zh-CN"/>
        </w:rPr>
      </w:pPr>
      <w:r>
        <w:rPr>
          <w:rFonts w:hint="eastAsia"/>
          <w:b w:val="0"/>
          <w:bCs w:val="0"/>
          <w:sz w:val="24"/>
          <w:szCs w:val="24"/>
          <w:lang w:eastAsia="zh-CN"/>
        </w:rPr>
        <w:t>(1) 周服务时间:周一至周五。甲方临时需要在休息日、法定节假日提供服务的,乙方应提供服务。</w:t>
      </w:r>
    </w:p>
    <w:p>
      <w:pPr>
        <w:ind w:firstLine="480" w:firstLineChars="200"/>
        <w:jc w:val="both"/>
        <w:rPr>
          <w:rFonts w:hint="eastAsia"/>
          <w:b w:val="0"/>
          <w:bCs w:val="0"/>
          <w:sz w:val="24"/>
          <w:szCs w:val="24"/>
          <w:lang w:eastAsia="zh-CN"/>
        </w:rPr>
      </w:pPr>
      <w:r>
        <w:rPr>
          <w:rFonts w:hint="eastAsia"/>
          <w:b w:val="0"/>
          <w:bCs w:val="0"/>
          <w:sz w:val="24"/>
          <w:szCs w:val="24"/>
          <w:lang w:eastAsia="zh-CN"/>
        </w:rPr>
        <w:t>(2)日服务时间:每日开餐时间为早餐 7:00-8:00、中餐 12:00-13:00,晚餐(夏)3:00-18:30.、(冬)17:30-18:00。乙方根据上述开餐时间及工作量合理确定自己的工作时间。</w:t>
      </w:r>
    </w:p>
    <w:p>
      <w:pPr>
        <w:ind w:firstLine="480" w:firstLineChars="200"/>
        <w:jc w:val="both"/>
        <w:rPr>
          <w:rFonts w:hint="eastAsia"/>
          <w:b w:val="0"/>
          <w:bCs w:val="0"/>
          <w:sz w:val="24"/>
          <w:szCs w:val="24"/>
          <w:lang w:eastAsia="zh-CN"/>
        </w:rPr>
      </w:pPr>
      <w:r>
        <w:rPr>
          <w:rFonts w:hint="eastAsia"/>
          <w:b w:val="0"/>
          <w:bCs w:val="0"/>
          <w:sz w:val="24"/>
          <w:szCs w:val="24"/>
          <w:lang w:eastAsia="zh-CN"/>
        </w:rPr>
        <w:t>(3) 对接待、会议等特殊用餐,乙方根据需要或延长、或变更工作时间。</w:t>
      </w:r>
    </w:p>
    <w:p>
      <w:pPr>
        <w:ind w:firstLine="480" w:firstLineChars="200"/>
        <w:jc w:val="both"/>
        <w:rPr>
          <w:rFonts w:hint="eastAsia"/>
          <w:b w:val="0"/>
          <w:bCs w:val="0"/>
          <w:sz w:val="24"/>
          <w:szCs w:val="24"/>
          <w:lang w:eastAsia="zh-CN"/>
        </w:rPr>
      </w:pPr>
      <w:r>
        <w:rPr>
          <w:rFonts w:hint="eastAsia"/>
          <w:b w:val="0"/>
          <w:bCs w:val="0"/>
          <w:sz w:val="24"/>
          <w:szCs w:val="24"/>
          <w:lang w:eastAsia="zh-CN"/>
        </w:rPr>
        <w:t>(4) 加班:正常工作日期间因接待需要造成乙方工作人员 21 点以后工作的,视同加班半天,按人给予每次50元加班费;休息日加班的,给予150元/人/天加班费;法定节假日加班的,给予 200元/人/天加班费。</w:t>
      </w:r>
    </w:p>
    <w:p>
      <w:pPr>
        <w:ind w:firstLine="480" w:firstLineChars="200"/>
        <w:jc w:val="both"/>
        <w:rPr>
          <w:rFonts w:hint="eastAsia"/>
          <w:b w:val="0"/>
          <w:bCs w:val="0"/>
          <w:sz w:val="24"/>
          <w:szCs w:val="24"/>
          <w:lang w:eastAsia="zh-CN"/>
        </w:rPr>
      </w:pPr>
      <w:r>
        <w:rPr>
          <w:rFonts w:hint="eastAsia"/>
          <w:b w:val="0"/>
          <w:bCs w:val="0"/>
          <w:sz w:val="24"/>
          <w:szCs w:val="24"/>
          <w:lang w:eastAsia="zh-CN"/>
        </w:rPr>
        <w:t>3、用餐人数:平时约 150 人。</w:t>
      </w:r>
    </w:p>
    <w:p>
      <w:pPr>
        <w:ind w:firstLine="480" w:firstLineChars="200"/>
        <w:jc w:val="both"/>
        <w:rPr>
          <w:rFonts w:hint="eastAsia"/>
          <w:b w:val="0"/>
          <w:bCs w:val="0"/>
          <w:sz w:val="24"/>
          <w:szCs w:val="24"/>
          <w:lang w:eastAsia="zh-CN"/>
        </w:rPr>
      </w:pPr>
      <w:r>
        <w:rPr>
          <w:rFonts w:hint="eastAsia"/>
          <w:b w:val="0"/>
          <w:bCs w:val="0"/>
          <w:sz w:val="24"/>
          <w:szCs w:val="24"/>
          <w:lang w:eastAsia="zh-CN"/>
        </w:rPr>
        <w:t>因人员用餐及会议、接待、访客等存在不确定性,造成用餐人数的增加和减少不改变本合同确定的服务费标准。</w:t>
      </w:r>
    </w:p>
    <w:p>
      <w:pPr>
        <w:ind w:firstLine="480" w:firstLineChars="200"/>
        <w:jc w:val="both"/>
        <w:rPr>
          <w:rFonts w:hint="eastAsia"/>
          <w:b w:val="0"/>
          <w:bCs w:val="0"/>
          <w:sz w:val="24"/>
          <w:szCs w:val="24"/>
          <w:lang w:eastAsia="zh-CN"/>
        </w:rPr>
      </w:pPr>
      <w:r>
        <w:rPr>
          <w:rFonts w:hint="eastAsia"/>
          <w:b w:val="0"/>
          <w:bCs w:val="0"/>
          <w:sz w:val="24"/>
          <w:szCs w:val="24"/>
          <w:lang w:eastAsia="zh-CN"/>
        </w:rPr>
        <w:t>4、供餐品种:</w:t>
      </w:r>
    </w:p>
    <w:p>
      <w:pPr>
        <w:ind w:firstLine="480" w:firstLineChars="200"/>
        <w:jc w:val="both"/>
        <w:rPr>
          <w:rFonts w:hint="eastAsia"/>
          <w:b w:val="0"/>
          <w:bCs w:val="0"/>
          <w:sz w:val="24"/>
          <w:szCs w:val="24"/>
          <w:lang w:eastAsia="zh-CN"/>
        </w:rPr>
      </w:pPr>
      <w:r>
        <w:rPr>
          <w:rFonts w:hint="eastAsia"/>
          <w:b w:val="0"/>
          <w:bCs w:val="0"/>
          <w:sz w:val="24"/>
          <w:szCs w:val="24"/>
          <w:lang w:eastAsia="zh-CN"/>
        </w:rPr>
        <w:t>(1)早餐:米粉、面条、鸡蛋、包子、馒头、牛奶、咖啡、豆浆等;</w:t>
      </w:r>
    </w:p>
    <w:p>
      <w:pPr>
        <w:ind w:firstLine="480" w:firstLineChars="200"/>
        <w:jc w:val="both"/>
        <w:rPr>
          <w:rFonts w:hint="eastAsia"/>
          <w:b w:val="0"/>
          <w:bCs w:val="0"/>
          <w:sz w:val="24"/>
          <w:szCs w:val="24"/>
          <w:lang w:eastAsia="zh-CN"/>
        </w:rPr>
      </w:pPr>
      <w:r>
        <w:rPr>
          <w:rFonts w:hint="eastAsia"/>
          <w:b w:val="0"/>
          <w:bCs w:val="0"/>
          <w:sz w:val="24"/>
          <w:szCs w:val="24"/>
          <w:lang w:eastAsia="zh-CN"/>
        </w:rPr>
        <w:t>(2) 中餐:米饭、2荤4素，2半荤1汤;</w:t>
      </w:r>
    </w:p>
    <w:p>
      <w:pPr>
        <w:ind w:firstLine="480" w:firstLineChars="200"/>
        <w:jc w:val="both"/>
        <w:rPr>
          <w:rFonts w:hint="eastAsia"/>
          <w:b w:val="0"/>
          <w:bCs w:val="0"/>
          <w:sz w:val="24"/>
          <w:szCs w:val="24"/>
          <w:lang w:eastAsia="zh-CN"/>
        </w:rPr>
      </w:pPr>
      <w:r>
        <w:rPr>
          <w:rFonts w:hint="eastAsia"/>
          <w:b w:val="0"/>
          <w:bCs w:val="0"/>
          <w:sz w:val="24"/>
          <w:szCs w:val="24"/>
          <w:lang w:eastAsia="zh-CN"/>
        </w:rPr>
        <w:t>(3)晚餐:米饭、2荤2素,1半荤1汤;</w:t>
      </w:r>
    </w:p>
    <w:p>
      <w:pPr>
        <w:ind w:firstLine="480" w:firstLineChars="200"/>
        <w:jc w:val="both"/>
        <w:rPr>
          <w:rFonts w:hint="eastAsia"/>
          <w:b w:val="0"/>
          <w:bCs w:val="0"/>
          <w:sz w:val="24"/>
          <w:szCs w:val="24"/>
          <w:lang w:eastAsia="zh-CN"/>
        </w:rPr>
      </w:pPr>
      <w:r>
        <w:rPr>
          <w:rFonts w:hint="eastAsia"/>
          <w:b w:val="0"/>
          <w:bCs w:val="0"/>
          <w:sz w:val="24"/>
          <w:szCs w:val="24"/>
          <w:lang w:eastAsia="zh-CN"/>
        </w:rPr>
        <w:t>会议、接待用餐例外。</w:t>
      </w:r>
    </w:p>
    <w:p>
      <w:pPr>
        <w:ind w:firstLine="480" w:firstLineChars="200"/>
        <w:jc w:val="both"/>
        <w:rPr>
          <w:rFonts w:hint="eastAsia"/>
          <w:b w:val="0"/>
          <w:bCs w:val="0"/>
          <w:sz w:val="24"/>
          <w:szCs w:val="24"/>
          <w:lang w:eastAsia="zh-CN"/>
        </w:rPr>
      </w:pPr>
      <w:r>
        <w:rPr>
          <w:rFonts w:hint="eastAsia"/>
          <w:b w:val="0"/>
          <w:bCs w:val="0"/>
          <w:sz w:val="24"/>
          <w:szCs w:val="24"/>
          <w:lang w:eastAsia="zh-CN"/>
        </w:rPr>
        <w:t>5、服务标准</w:t>
      </w:r>
    </w:p>
    <w:p>
      <w:pPr>
        <w:ind w:firstLine="480" w:firstLineChars="200"/>
        <w:jc w:val="both"/>
        <w:rPr>
          <w:rFonts w:hint="eastAsia"/>
          <w:b w:val="0"/>
          <w:bCs w:val="0"/>
          <w:sz w:val="24"/>
          <w:szCs w:val="24"/>
          <w:lang w:eastAsia="zh-CN"/>
        </w:rPr>
      </w:pPr>
      <w:r>
        <w:rPr>
          <w:rFonts w:hint="eastAsia"/>
          <w:b w:val="0"/>
          <w:bCs w:val="0"/>
          <w:sz w:val="24"/>
          <w:szCs w:val="24"/>
          <w:lang w:eastAsia="zh-CN"/>
        </w:rPr>
        <w:t>(1)服务人员标准:厨师应具有厨师资质,并符合餐饮业从业人员健康标准;其他工作人员应符合餐饮业从业人员健康标准。</w:t>
      </w:r>
    </w:p>
    <w:p>
      <w:pPr>
        <w:ind w:firstLine="480" w:firstLineChars="200"/>
        <w:jc w:val="both"/>
        <w:rPr>
          <w:rFonts w:hint="eastAsia"/>
          <w:b w:val="0"/>
          <w:bCs w:val="0"/>
          <w:sz w:val="24"/>
          <w:szCs w:val="24"/>
          <w:lang w:eastAsia="zh-CN"/>
        </w:rPr>
      </w:pPr>
      <w:r>
        <w:rPr>
          <w:rFonts w:hint="eastAsia"/>
          <w:b w:val="0"/>
          <w:bCs w:val="0"/>
          <w:sz w:val="24"/>
          <w:szCs w:val="24"/>
          <w:lang w:eastAsia="zh-CN"/>
        </w:rPr>
        <w:t>(2)制作的食品标准:符合国家规定的卫生要求;花色按照双方制定的饭菜谱执行;感观、口味符合大多数人的用餐要求。甲方不定期向用餐人员进行满意度调查、测评,乙方应根据测评结果做出调整。</w:t>
      </w:r>
    </w:p>
    <w:p>
      <w:pPr>
        <w:ind w:firstLine="240" w:firstLineChars="100"/>
        <w:jc w:val="both"/>
        <w:rPr>
          <w:rFonts w:hint="eastAsia"/>
          <w:b w:val="0"/>
          <w:bCs w:val="0"/>
          <w:sz w:val="24"/>
          <w:szCs w:val="24"/>
          <w:lang w:eastAsia="zh-CN"/>
        </w:rPr>
      </w:pPr>
      <w:r>
        <w:rPr>
          <w:rFonts w:hint="eastAsia"/>
          <w:b w:val="0"/>
          <w:bCs w:val="0"/>
          <w:sz w:val="24"/>
          <w:szCs w:val="24"/>
          <w:lang w:eastAsia="zh-CN"/>
        </w:rPr>
        <w:t>（3)卫生和安全标准:乙方应达到《国家税务总局张家界市税务局机关食堂管理办法(试行》》第五章卫生管理和第六章安全管理的标准,并按此规定执行。对制作的食品应按第三章的要求留样。</w:t>
      </w:r>
    </w:p>
    <w:p>
      <w:pPr>
        <w:ind w:firstLine="480" w:firstLineChars="200"/>
        <w:jc w:val="both"/>
        <w:rPr>
          <w:rFonts w:hint="eastAsia"/>
          <w:b w:val="0"/>
          <w:bCs w:val="0"/>
          <w:sz w:val="24"/>
          <w:szCs w:val="24"/>
          <w:lang w:eastAsia="zh-CN"/>
        </w:rPr>
      </w:pPr>
      <w:r>
        <w:rPr>
          <w:rFonts w:hint="eastAsia"/>
          <w:b w:val="0"/>
          <w:bCs w:val="0"/>
          <w:sz w:val="24"/>
          <w:szCs w:val="24"/>
          <w:lang w:eastAsia="zh-CN"/>
        </w:rPr>
        <w:t>(4)乙方应组织分工明确的服务团队,确定责任人,有完善管理和落实措施。与所雇佣的工作人员签订合同,明确权利和义务,并对其工作中发生的伤、病、亡承担全部责任。</w:t>
      </w:r>
    </w:p>
    <w:p>
      <w:pPr>
        <w:jc w:val="both"/>
        <w:rPr>
          <w:rFonts w:hint="eastAsia"/>
          <w:b/>
          <w:bCs/>
          <w:sz w:val="24"/>
          <w:szCs w:val="24"/>
          <w:lang w:eastAsia="zh-CN"/>
        </w:rPr>
      </w:pPr>
      <w:r>
        <w:rPr>
          <w:rFonts w:hint="eastAsia"/>
          <w:b/>
          <w:bCs/>
          <w:sz w:val="24"/>
          <w:szCs w:val="24"/>
          <w:lang w:eastAsia="zh-CN"/>
        </w:rPr>
        <w:t>三、服务期限</w:t>
      </w:r>
    </w:p>
    <w:p>
      <w:pPr>
        <w:ind w:firstLine="480" w:firstLineChars="200"/>
        <w:jc w:val="both"/>
        <w:rPr>
          <w:rFonts w:hint="eastAsia"/>
          <w:b w:val="0"/>
          <w:bCs w:val="0"/>
          <w:sz w:val="24"/>
          <w:szCs w:val="24"/>
          <w:lang w:eastAsia="zh-CN"/>
        </w:rPr>
      </w:pPr>
      <w:r>
        <w:rPr>
          <w:rFonts w:hint="eastAsia"/>
          <w:b w:val="0"/>
          <w:bCs w:val="0"/>
          <w:sz w:val="24"/>
          <w:szCs w:val="24"/>
          <w:lang w:eastAsia="zh-CN"/>
        </w:rPr>
        <w:t>本合同期限为壹年，自</w:t>
      </w:r>
      <w:r>
        <w:rPr>
          <w:rFonts w:hint="eastAsia"/>
          <w:b w:val="0"/>
          <w:bCs w:val="0"/>
          <w:sz w:val="24"/>
          <w:szCs w:val="24"/>
          <w:u w:val="single"/>
          <w:lang w:val="en-US" w:eastAsia="zh-CN"/>
        </w:rPr>
        <w:t xml:space="preserve">    </w:t>
      </w:r>
      <w:r>
        <w:rPr>
          <w:rFonts w:hint="eastAsia"/>
          <w:b w:val="0"/>
          <w:bCs w:val="0"/>
          <w:sz w:val="24"/>
          <w:szCs w:val="24"/>
          <w:lang w:eastAsia="zh-CN"/>
        </w:rPr>
        <w:t>-_起至</w:t>
      </w:r>
      <w:r>
        <w:rPr>
          <w:rFonts w:hint="eastAsia"/>
          <w:b w:val="0"/>
          <w:bCs w:val="0"/>
          <w:sz w:val="24"/>
          <w:szCs w:val="24"/>
          <w:u w:val="single"/>
          <w:lang w:val="en-US" w:eastAsia="zh-CN"/>
        </w:rPr>
        <w:t xml:space="preserve">     </w:t>
      </w:r>
      <w:r>
        <w:rPr>
          <w:rFonts w:hint="eastAsia"/>
          <w:b w:val="0"/>
          <w:bCs w:val="0"/>
          <w:sz w:val="24"/>
          <w:szCs w:val="24"/>
          <w:lang w:val="en-US" w:eastAsia="zh-CN"/>
        </w:rPr>
        <w:t xml:space="preserve"> </w:t>
      </w:r>
      <w:r>
        <w:rPr>
          <w:rFonts w:hint="eastAsia"/>
          <w:b w:val="0"/>
          <w:bCs w:val="0"/>
          <w:sz w:val="24"/>
          <w:szCs w:val="24"/>
          <w:lang w:eastAsia="zh-CN"/>
        </w:rPr>
        <w:t>-止(具体起止时间以合同时间为准)。</w:t>
      </w:r>
    </w:p>
    <w:p>
      <w:pPr>
        <w:jc w:val="both"/>
        <w:rPr>
          <w:rFonts w:hint="eastAsia"/>
          <w:b/>
          <w:bCs/>
          <w:sz w:val="24"/>
          <w:szCs w:val="24"/>
          <w:lang w:eastAsia="zh-CN"/>
        </w:rPr>
      </w:pPr>
      <w:r>
        <w:rPr>
          <w:rFonts w:hint="eastAsia"/>
          <w:b/>
          <w:bCs/>
          <w:sz w:val="24"/>
          <w:szCs w:val="24"/>
          <w:lang w:eastAsia="zh-CN"/>
        </w:rPr>
        <w:t>四、服务费用的支付:</w:t>
      </w:r>
    </w:p>
    <w:p>
      <w:pPr>
        <w:ind w:firstLine="480" w:firstLineChars="200"/>
        <w:jc w:val="both"/>
        <w:rPr>
          <w:rFonts w:hint="eastAsia"/>
          <w:b w:val="0"/>
          <w:bCs w:val="0"/>
          <w:sz w:val="24"/>
          <w:szCs w:val="24"/>
          <w:lang w:eastAsia="zh-CN"/>
        </w:rPr>
      </w:pPr>
      <w:r>
        <w:rPr>
          <w:rFonts w:hint="eastAsia"/>
          <w:b w:val="0"/>
          <w:bCs w:val="0"/>
          <w:sz w:val="24"/>
          <w:szCs w:val="24"/>
          <w:lang w:eastAsia="zh-CN"/>
        </w:rPr>
        <w:t>1、基本服务费按月支付。</w:t>
      </w:r>
    </w:p>
    <w:p>
      <w:pPr>
        <w:ind w:firstLine="480" w:firstLineChars="200"/>
        <w:jc w:val="both"/>
        <w:rPr>
          <w:rFonts w:hint="eastAsia"/>
          <w:b w:val="0"/>
          <w:bCs w:val="0"/>
          <w:sz w:val="24"/>
          <w:szCs w:val="24"/>
          <w:lang w:eastAsia="zh-CN"/>
        </w:rPr>
      </w:pPr>
      <w:r>
        <w:rPr>
          <w:rFonts w:hint="eastAsia"/>
          <w:b w:val="0"/>
          <w:bCs w:val="0"/>
          <w:sz w:val="24"/>
          <w:szCs w:val="24"/>
          <w:lang w:eastAsia="zh-CN"/>
        </w:rPr>
        <w:t>2、提成。对除甲方员工(含退休、借调人员)、为甲方提供其他服务的人员(含乙方人员)外的客餐、接待餐、会议及培训餐、代加工费、自制品外卖取得的收入,按收入的15%给乙方提成。</w:t>
      </w:r>
    </w:p>
    <w:p>
      <w:pPr>
        <w:ind w:firstLine="480" w:firstLineChars="200"/>
        <w:jc w:val="both"/>
        <w:rPr>
          <w:rFonts w:hint="eastAsia"/>
          <w:b w:val="0"/>
          <w:bCs w:val="0"/>
          <w:sz w:val="24"/>
          <w:szCs w:val="24"/>
          <w:lang w:eastAsia="zh-CN"/>
        </w:rPr>
      </w:pPr>
      <w:r>
        <w:rPr>
          <w:rFonts w:hint="eastAsia"/>
          <w:b w:val="0"/>
          <w:bCs w:val="0"/>
          <w:sz w:val="24"/>
          <w:szCs w:val="24"/>
          <w:lang w:eastAsia="zh-CN"/>
        </w:rPr>
        <w:t>3、满意度测评奖励。服务中心根据情况不定期组织对食堂进行满意度测评,满意度低于 60%，每少一个百分比,扣减基本外包费 1%;满意度高于 80%,每增加一个百分比,奖励基本外包费 2%。</w:t>
      </w:r>
    </w:p>
    <w:p>
      <w:pPr>
        <w:ind w:firstLine="480" w:firstLineChars="200"/>
        <w:jc w:val="both"/>
        <w:rPr>
          <w:rFonts w:hint="eastAsia"/>
          <w:b w:val="0"/>
          <w:bCs w:val="0"/>
          <w:sz w:val="24"/>
          <w:szCs w:val="24"/>
          <w:lang w:eastAsia="zh-CN"/>
        </w:rPr>
      </w:pPr>
      <w:r>
        <w:rPr>
          <w:rFonts w:hint="eastAsia"/>
          <w:b w:val="0"/>
          <w:bCs w:val="0"/>
          <w:sz w:val="24"/>
          <w:szCs w:val="24"/>
          <w:lang w:eastAsia="zh-CN"/>
        </w:rPr>
        <w:t>4、付款方式:按月支付,下月十日之前,双方按上条规定结算服务费(包含加班费)。</w:t>
      </w:r>
    </w:p>
    <w:p>
      <w:pPr>
        <w:jc w:val="both"/>
        <w:rPr>
          <w:rFonts w:hint="eastAsia"/>
          <w:b/>
          <w:bCs/>
          <w:sz w:val="24"/>
          <w:szCs w:val="24"/>
          <w:lang w:eastAsia="zh-CN"/>
        </w:rPr>
      </w:pPr>
      <w:r>
        <w:rPr>
          <w:rFonts w:hint="eastAsia"/>
          <w:b/>
          <w:bCs/>
          <w:sz w:val="24"/>
          <w:szCs w:val="24"/>
          <w:lang w:eastAsia="zh-CN"/>
        </w:rPr>
        <w:t>五、奖惩机制</w:t>
      </w:r>
    </w:p>
    <w:p>
      <w:pPr>
        <w:ind w:firstLine="480" w:firstLineChars="200"/>
        <w:jc w:val="both"/>
        <w:rPr>
          <w:rFonts w:hint="eastAsia"/>
          <w:b w:val="0"/>
          <w:bCs w:val="0"/>
          <w:sz w:val="24"/>
          <w:szCs w:val="24"/>
          <w:lang w:eastAsia="zh-CN"/>
        </w:rPr>
      </w:pPr>
      <w:r>
        <w:rPr>
          <w:rFonts w:hint="eastAsia"/>
          <w:b w:val="0"/>
          <w:bCs w:val="0"/>
          <w:sz w:val="24"/>
          <w:szCs w:val="24"/>
          <w:lang w:eastAsia="zh-CN"/>
        </w:rPr>
        <w:t>甲方对乙方和乙方的工作人员按照《国家税务总局张家界市税务局机关食堂管理办法(试行》》第八章的奖惩及考核规定进行奖惩。对乙方及其工作人员的奖励随服务费一同支付;扣款和罚款从乙方的基本服务费中扣收。</w:t>
      </w:r>
    </w:p>
    <w:p>
      <w:pPr>
        <w:jc w:val="both"/>
        <w:rPr>
          <w:rFonts w:hint="eastAsia"/>
          <w:b/>
          <w:bCs/>
          <w:sz w:val="24"/>
          <w:szCs w:val="24"/>
          <w:lang w:eastAsia="zh-CN"/>
        </w:rPr>
      </w:pPr>
      <w:r>
        <w:rPr>
          <w:rFonts w:hint="eastAsia"/>
          <w:b/>
          <w:bCs/>
          <w:sz w:val="24"/>
          <w:szCs w:val="24"/>
          <w:lang w:eastAsia="zh-CN"/>
        </w:rPr>
        <w:t>六、安全事故责任划分</w:t>
      </w:r>
    </w:p>
    <w:p>
      <w:pPr>
        <w:ind w:firstLine="480" w:firstLineChars="200"/>
        <w:jc w:val="both"/>
        <w:rPr>
          <w:rFonts w:hint="eastAsia"/>
          <w:b w:val="0"/>
          <w:bCs w:val="0"/>
          <w:sz w:val="24"/>
          <w:szCs w:val="24"/>
          <w:lang w:eastAsia="zh-CN"/>
        </w:rPr>
      </w:pPr>
      <w:r>
        <w:rPr>
          <w:rFonts w:hint="eastAsia"/>
          <w:b w:val="0"/>
          <w:bCs w:val="0"/>
          <w:sz w:val="24"/>
          <w:szCs w:val="24"/>
          <w:lang w:eastAsia="zh-CN"/>
        </w:rPr>
        <w:t>1、食品安全事故:属甲方提供的原材料问题的,由甲方承担;属乙方加工、配伍、储存、管理、污染导致的,由乙方承担,但乙方发现甲方提供的原材料有明显的腐烂变质、过期、污染现象而继续使用的,由乙方承担。</w:t>
      </w:r>
    </w:p>
    <w:p>
      <w:pPr>
        <w:ind w:firstLine="480" w:firstLineChars="200"/>
        <w:jc w:val="both"/>
        <w:rPr>
          <w:rFonts w:hint="eastAsia"/>
          <w:b w:val="0"/>
          <w:bCs w:val="0"/>
          <w:sz w:val="24"/>
          <w:szCs w:val="24"/>
          <w:lang w:eastAsia="zh-CN"/>
        </w:rPr>
      </w:pPr>
      <w:r>
        <w:rPr>
          <w:rFonts w:hint="eastAsia"/>
          <w:b w:val="0"/>
          <w:bCs w:val="0"/>
          <w:sz w:val="24"/>
          <w:szCs w:val="24"/>
          <w:lang w:val="en-US" w:eastAsia="zh-CN"/>
        </w:rPr>
        <w:t>2</w:t>
      </w:r>
      <w:r>
        <w:rPr>
          <w:rFonts w:hint="eastAsia"/>
          <w:b w:val="0"/>
          <w:bCs w:val="0"/>
          <w:sz w:val="24"/>
          <w:szCs w:val="24"/>
          <w:lang w:eastAsia="zh-CN"/>
        </w:rPr>
        <w:t>、场所安全事故:食品加工和用餐场所的设备、燃料、水电气、场地由乙方承担管理职责,发生事故的由乙方承担。</w:t>
      </w:r>
    </w:p>
    <w:p>
      <w:pPr>
        <w:ind w:firstLine="480" w:firstLineChars="200"/>
        <w:jc w:val="both"/>
        <w:rPr>
          <w:rFonts w:hint="eastAsia"/>
          <w:b w:val="0"/>
          <w:bCs w:val="0"/>
          <w:sz w:val="24"/>
          <w:szCs w:val="24"/>
          <w:lang w:eastAsia="zh-CN"/>
        </w:rPr>
      </w:pPr>
      <w:r>
        <w:rPr>
          <w:rFonts w:hint="eastAsia"/>
          <w:b w:val="0"/>
          <w:bCs w:val="0"/>
          <w:sz w:val="24"/>
          <w:szCs w:val="24"/>
          <w:lang w:eastAsia="zh-CN"/>
        </w:rPr>
        <w:t>3、服务安全事故:乙方服务过程中造成自身损害或用餐人员损害的由乙方承担。损害赔偿范围包含对甲乙双方及第三方的人身损害和财产损害等。</w:t>
      </w:r>
    </w:p>
    <w:p>
      <w:pPr>
        <w:jc w:val="both"/>
        <w:rPr>
          <w:rFonts w:hint="eastAsia"/>
          <w:b/>
          <w:bCs/>
          <w:sz w:val="24"/>
          <w:szCs w:val="24"/>
          <w:lang w:eastAsia="zh-CN"/>
        </w:rPr>
      </w:pPr>
      <w:r>
        <w:rPr>
          <w:rFonts w:hint="eastAsia"/>
          <w:b/>
          <w:bCs/>
          <w:sz w:val="24"/>
          <w:szCs w:val="24"/>
          <w:lang w:eastAsia="zh-CN"/>
        </w:rPr>
        <w:t>七、双方的权利义务</w:t>
      </w:r>
    </w:p>
    <w:p>
      <w:pPr>
        <w:ind w:firstLine="480" w:firstLineChars="200"/>
        <w:jc w:val="both"/>
        <w:rPr>
          <w:rFonts w:hint="eastAsia"/>
          <w:b w:val="0"/>
          <w:bCs w:val="0"/>
          <w:sz w:val="24"/>
          <w:szCs w:val="24"/>
          <w:lang w:eastAsia="zh-CN"/>
        </w:rPr>
      </w:pPr>
      <w:r>
        <w:rPr>
          <w:rFonts w:hint="eastAsia"/>
          <w:b w:val="0"/>
          <w:bCs w:val="0"/>
          <w:sz w:val="24"/>
          <w:szCs w:val="24"/>
          <w:lang w:eastAsia="zh-CN"/>
        </w:rPr>
        <w:t>1、甲方的权利和义务</w:t>
      </w:r>
    </w:p>
    <w:p>
      <w:pPr>
        <w:ind w:firstLine="480" w:firstLineChars="200"/>
        <w:jc w:val="both"/>
        <w:rPr>
          <w:rFonts w:hint="eastAsia"/>
          <w:b w:val="0"/>
          <w:bCs w:val="0"/>
          <w:sz w:val="24"/>
          <w:szCs w:val="24"/>
          <w:lang w:eastAsia="zh-CN"/>
        </w:rPr>
      </w:pPr>
      <w:r>
        <w:rPr>
          <w:rFonts w:hint="eastAsia"/>
          <w:b w:val="0"/>
          <w:bCs w:val="0"/>
          <w:sz w:val="24"/>
          <w:szCs w:val="24"/>
          <w:lang w:eastAsia="zh-CN"/>
        </w:rPr>
        <w:t>1)甲方有权监督检查乙方提供服务的质量,对乙方及其工作人员履行义务不符合要求的.有权利要求乙方进行纠正;</w:t>
      </w:r>
    </w:p>
    <w:p>
      <w:pPr>
        <w:ind w:firstLine="480" w:firstLineChars="200"/>
        <w:jc w:val="both"/>
        <w:rPr>
          <w:rFonts w:hint="eastAsia"/>
          <w:b w:val="0"/>
          <w:bCs w:val="0"/>
          <w:sz w:val="24"/>
          <w:szCs w:val="24"/>
          <w:lang w:eastAsia="zh-CN"/>
        </w:rPr>
      </w:pPr>
      <w:r>
        <w:rPr>
          <w:rFonts w:hint="eastAsia"/>
          <w:b w:val="0"/>
          <w:bCs w:val="0"/>
          <w:sz w:val="24"/>
          <w:szCs w:val="24"/>
          <w:lang w:eastAsia="zh-CN"/>
        </w:rPr>
        <w:t>(2)甲方根据法律法规的规定、国家政策的调整以及上级部门的文件,需要对约定的服务范围、服务方式、服务时间作相应调整的,乙方及其配置的外包人员须接受相应调整。如调整超出双方约定的服务范围的,双方另行协商超出部分的收费事宜;</w:t>
      </w:r>
    </w:p>
    <w:p>
      <w:pPr>
        <w:ind w:firstLine="480" w:firstLineChars="200"/>
        <w:jc w:val="both"/>
        <w:rPr>
          <w:rFonts w:hint="eastAsia"/>
          <w:b w:val="0"/>
          <w:bCs w:val="0"/>
          <w:sz w:val="24"/>
          <w:szCs w:val="24"/>
          <w:lang w:eastAsia="zh-CN"/>
        </w:rPr>
      </w:pPr>
      <w:r>
        <w:rPr>
          <w:rFonts w:hint="eastAsia"/>
          <w:b w:val="0"/>
          <w:bCs w:val="0"/>
          <w:sz w:val="24"/>
          <w:szCs w:val="24"/>
          <w:lang w:eastAsia="zh-CN"/>
        </w:rPr>
        <w:t>(3)甲方可根据岗位要求、标准,向乙方提供所制订的人员规章制度、工作流程、考核依据、建议和意见:</w:t>
      </w:r>
    </w:p>
    <w:p>
      <w:pPr>
        <w:ind w:firstLine="480" w:firstLineChars="200"/>
        <w:jc w:val="both"/>
        <w:rPr>
          <w:rFonts w:hint="eastAsia"/>
          <w:b w:val="0"/>
          <w:bCs w:val="0"/>
          <w:sz w:val="24"/>
          <w:szCs w:val="24"/>
          <w:lang w:eastAsia="zh-CN"/>
        </w:rPr>
      </w:pPr>
      <w:r>
        <w:rPr>
          <w:rFonts w:hint="eastAsia"/>
          <w:b w:val="0"/>
          <w:bCs w:val="0"/>
          <w:sz w:val="24"/>
          <w:szCs w:val="24"/>
          <w:lang w:eastAsia="zh-CN"/>
        </w:rPr>
        <w:t>(4)乙方配置的人员发生工伤事故时，甲方应及时通乙方。</w:t>
      </w:r>
    </w:p>
    <w:p>
      <w:pPr>
        <w:ind w:firstLine="480" w:firstLineChars="200"/>
        <w:jc w:val="both"/>
        <w:rPr>
          <w:rFonts w:hint="eastAsia"/>
          <w:b w:val="0"/>
          <w:bCs w:val="0"/>
          <w:sz w:val="24"/>
          <w:szCs w:val="24"/>
          <w:lang w:eastAsia="zh-CN"/>
        </w:rPr>
      </w:pPr>
      <w:r>
        <w:rPr>
          <w:rFonts w:hint="eastAsia"/>
          <w:b w:val="0"/>
          <w:bCs w:val="0"/>
          <w:sz w:val="24"/>
          <w:szCs w:val="24"/>
          <w:lang w:eastAsia="zh-CN"/>
        </w:rPr>
        <w:t>(5)甲方按协议支付劳动力(岗位)外包费用给乙方;</w:t>
      </w:r>
    </w:p>
    <w:p>
      <w:pPr>
        <w:ind w:firstLine="480" w:firstLineChars="200"/>
        <w:jc w:val="both"/>
        <w:rPr>
          <w:rFonts w:hint="eastAsia"/>
          <w:b w:val="0"/>
          <w:bCs w:val="0"/>
          <w:sz w:val="24"/>
          <w:szCs w:val="24"/>
          <w:lang w:eastAsia="zh-CN"/>
        </w:rPr>
      </w:pPr>
      <w:r>
        <w:rPr>
          <w:rFonts w:hint="eastAsia"/>
          <w:b w:val="0"/>
          <w:bCs w:val="0"/>
          <w:sz w:val="24"/>
          <w:szCs w:val="24"/>
          <w:lang w:eastAsia="zh-CN"/>
        </w:rPr>
        <w:t>(6)保守在合作过程所获得的及可能所获得的乙方的商业密以及协议内容。</w:t>
      </w:r>
    </w:p>
    <w:p>
      <w:pPr>
        <w:jc w:val="both"/>
        <w:rPr>
          <w:rFonts w:hint="eastAsia"/>
          <w:b w:val="0"/>
          <w:bCs w:val="0"/>
          <w:sz w:val="24"/>
          <w:szCs w:val="24"/>
          <w:lang w:eastAsia="zh-CN"/>
        </w:rPr>
      </w:pPr>
      <w:r>
        <w:rPr>
          <w:rFonts w:hint="eastAsia"/>
          <w:b w:val="0"/>
          <w:bCs w:val="0"/>
          <w:sz w:val="24"/>
          <w:szCs w:val="24"/>
          <w:lang w:eastAsia="zh-CN"/>
        </w:rPr>
        <w:t>2、乙方的权利和义务</w:t>
      </w:r>
    </w:p>
    <w:p>
      <w:pPr>
        <w:ind w:firstLine="480" w:firstLineChars="200"/>
        <w:jc w:val="both"/>
        <w:rPr>
          <w:rFonts w:hint="eastAsia"/>
          <w:b w:val="0"/>
          <w:bCs w:val="0"/>
          <w:sz w:val="24"/>
          <w:szCs w:val="24"/>
          <w:lang w:eastAsia="zh-CN"/>
        </w:rPr>
      </w:pPr>
      <w:r>
        <w:rPr>
          <w:rFonts w:hint="eastAsia"/>
          <w:b w:val="0"/>
          <w:bCs w:val="0"/>
          <w:sz w:val="24"/>
          <w:szCs w:val="24"/>
          <w:lang w:eastAsia="zh-CN"/>
        </w:rPr>
        <w:t>(1)乙方有提供专业服务而收取约定费用的权利;</w:t>
      </w:r>
    </w:p>
    <w:p>
      <w:pPr>
        <w:ind w:firstLine="480" w:firstLineChars="200"/>
        <w:jc w:val="both"/>
        <w:rPr>
          <w:rFonts w:hint="eastAsia"/>
          <w:b w:val="0"/>
          <w:bCs w:val="0"/>
          <w:sz w:val="24"/>
          <w:szCs w:val="24"/>
          <w:lang w:eastAsia="zh-CN"/>
        </w:rPr>
      </w:pPr>
      <w:r>
        <w:rPr>
          <w:rFonts w:hint="eastAsia"/>
          <w:b w:val="0"/>
          <w:bCs w:val="0"/>
          <w:sz w:val="24"/>
          <w:szCs w:val="24"/>
          <w:lang w:eastAsia="zh-CN"/>
        </w:rPr>
        <w:t>(2)乙方保证其具备从事所约定的专业服务按照有关规定斤应具备的资质、营业范围、专业人员、专业设备、专业技术等条件;否则甲方有权单方解除合同,并要求乙方赔偿甲方一切相关损失;</w:t>
      </w:r>
    </w:p>
    <w:p>
      <w:pPr>
        <w:ind w:firstLine="480" w:firstLineChars="200"/>
        <w:jc w:val="both"/>
        <w:rPr>
          <w:rFonts w:hint="eastAsia"/>
          <w:b w:val="0"/>
          <w:bCs w:val="0"/>
          <w:sz w:val="24"/>
          <w:szCs w:val="24"/>
          <w:lang w:eastAsia="zh-CN"/>
        </w:rPr>
      </w:pPr>
      <w:r>
        <w:rPr>
          <w:rFonts w:hint="eastAsia"/>
          <w:b w:val="0"/>
          <w:bCs w:val="0"/>
          <w:sz w:val="24"/>
          <w:szCs w:val="24"/>
          <w:lang w:eastAsia="zh-CN"/>
        </w:rPr>
        <w:t>(3)乙方应当对为甲方配置的人员进行必要的培训(包括但不限于上岗培训、专业培训等);</w:t>
      </w:r>
    </w:p>
    <w:p>
      <w:pPr>
        <w:ind w:firstLine="480" w:firstLineChars="200"/>
        <w:jc w:val="both"/>
        <w:rPr>
          <w:rFonts w:hint="eastAsia"/>
          <w:b w:val="0"/>
          <w:bCs w:val="0"/>
          <w:sz w:val="24"/>
          <w:szCs w:val="24"/>
          <w:lang w:eastAsia="zh-CN"/>
        </w:rPr>
      </w:pPr>
      <w:r>
        <w:rPr>
          <w:rFonts w:hint="eastAsia"/>
          <w:b w:val="0"/>
          <w:bCs w:val="0"/>
          <w:sz w:val="24"/>
          <w:szCs w:val="24"/>
          <w:lang w:eastAsia="zh-CN"/>
        </w:rPr>
        <w:t>(4)乙方应当与为甲方提供专业服务的人员签订书面劳动合同,并使员工明确乙方为其本人用人单位的事实;乙方应保证根据国家和地方规定为乙方人员缴纳法定社会保险,乙方应尽力避免与提供服务人员产生劳动纠纷,以免影响甲方相关业务的开展;</w:t>
      </w:r>
    </w:p>
    <w:p>
      <w:pPr>
        <w:ind w:firstLine="480" w:firstLineChars="200"/>
        <w:jc w:val="both"/>
        <w:rPr>
          <w:rFonts w:hint="eastAsia"/>
          <w:b w:val="0"/>
          <w:bCs w:val="0"/>
          <w:sz w:val="24"/>
          <w:szCs w:val="24"/>
          <w:lang w:eastAsia="zh-CN"/>
        </w:rPr>
      </w:pPr>
      <w:r>
        <w:rPr>
          <w:rFonts w:hint="eastAsia"/>
          <w:b w:val="0"/>
          <w:bCs w:val="0"/>
          <w:sz w:val="24"/>
          <w:szCs w:val="24"/>
          <w:lang w:eastAsia="zh-CN"/>
        </w:rPr>
        <w:t>(5)乙方应及时足额发放为甲方提供专业服务的人员劳动报酬及其他福利;</w:t>
      </w:r>
    </w:p>
    <w:p>
      <w:pPr>
        <w:ind w:firstLine="480" w:firstLineChars="200"/>
        <w:jc w:val="both"/>
        <w:rPr>
          <w:rFonts w:hint="eastAsia"/>
          <w:b w:val="0"/>
          <w:bCs w:val="0"/>
          <w:sz w:val="24"/>
          <w:szCs w:val="24"/>
          <w:lang w:eastAsia="zh-CN"/>
        </w:rPr>
      </w:pPr>
      <w:r>
        <w:rPr>
          <w:rFonts w:hint="eastAsia"/>
          <w:b w:val="0"/>
          <w:bCs w:val="0"/>
          <w:sz w:val="24"/>
          <w:szCs w:val="24"/>
          <w:lang w:eastAsia="zh-CN"/>
        </w:rPr>
        <w:t>(6)乙方应及时按甲方的要求履行外包岗位的服务义务，对甲方的指令及工作指派应及时传达并确保按时完成工作任务;</w:t>
      </w:r>
    </w:p>
    <w:p>
      <w:pPr>
        <w:ind w:firstLine="480" w:firstLineChars="200"/>
        <w:jc w:val="both"/>
        <w:rPr>
          <w:rFonts w:hint="eastAsia"/>
          <w:b w:val="0"/>
          <w:bCs w:val="0"/>
          <w:sz w:val="24"/>
          <w:szCs w:val="24"/>
          <w:lang w:eastAsia="zh-CN"/>
        </w:rPr>
      </w:pPr>
      <w:r>
        <w:rPr>
          <w:rFonts w:hint="eastAsia"/>
          <w:b w:val="0"/>
          <w:bCs w:val="0"/>
          <w:sz w:val="24"/>
          <w:szCs w:val="24"/>
          <w:lang w:eastAsia="zh-CN"/>
        </w:rPr>
        <w:t>(7)对配置到甲方指定场所的人员，乙方有义务按照甲方的要求并参考甲方的规章制度制订相应的管理规章制度(包括但不限于工作时间、工作要求、工作完成标准等)予以规范,以加强管理;</w:t>
      </w:r>
    </w:p>
    <w:p>
      <w:pPr>
        <w:ind w:firstLine="480" w:firstLineChars="200"/>
        <w:jc w:val="both"/>
        <w:rPr>
          <w:rFonts w:hint="eastAsia"/>
          <w:b w:val="0"/>
          <w:bCs w:val="0"/>
          <w:sz w:val="24"/>
          <w:szCs w:val="24"/>
          <w:lang w:eastAsia="zh-CN"/>
        </w:rPr>
      </w:pPr>
      <w:r>
        <w:rPr>
          <w:rFonts w:hint="eastAsia"/>
          <w:b w:val="0"/>
          <w:bCs w:val="0"/>
          <w:sz w:val="24"/>
          <w:szCs w:val="24"/>
          <w:lang w:eastAsia="zh-CN"/>
        </w:rPr>
        <w:t>（8)乙方应组织对所配置到甲方工作的服务人员进行保密培训,并须确保人员保守甲方的商业秘密和其他保密信息:</w:t>
      </w:r>
    </w:p>
    <w:p>
      <w:pPr>
        <w:jc w:val="both"/>
        <w:rPr>
          <w:rFonts w:hint="eastAsia"/>
          <w:b/>
          <w:bCs/>
          <w:sz w:val="24"/>
          <w:szCs w:val="24"/>
          <w:lang w:eastAsia="zh-CN"/>
        </w:rPr>
      </w:pPr>
      <w:r>
        <w:rPr>
          <w:rFonts w:hint="eastAsia"/>
          <w:b/>
          <w:bCs/>
          <w:sz w:val="24"/>
          <w:szCs w:val="24"/>
          <w:lang w:eastAsia="zh-CN"/>
        </w:rPr>
        <w:t>八、协议的变更与终止</w:t>
      </w:r>
    </w:p>
    <w:p>
      <w:pPr>
        <w:ind w:firstLine="480" w:firstLineChars="200"/>
        <w:jc w:val="both"/>
        <w:rPr>
          <w:rFonts w:hint="eastAsia"/>
          <w:b w:val="0"/>
          <w:bCs w:val="0"/>
          <w:sz w:val="24"/>
          <w:szCs w:val="24"/>
          <w:lang w:eastAsia="zh-CN"/>
        </w:rPr>
      </w:pPr>
      <w:r>
        <w:rPr>
          <w:rFonts w:hint="eastAsia"/>
          <w:b w:val="0"/>
          <w:bCs w:val="0"/>
          <w:sz w:val="24"/>
          <w:szCs w:val="24"/>
          <w:lang w:eastAsia="zh-CN"/>
        </w:rPr>
        <w:t>1、本协议履行期限内,如需要对服务范围、服务方式、服务费用等事项进行变更的,经协商一致可以变更,由双方另行补充协议。</w:t>
      </w:r>
    </w:p>
    <w:p>
      <w:pPr>
        <w:ind w:firstLine="480" w:firstLineChars="200"/>
        <w:jc w:val="both"/>
        <w:rPr>
          <w:rFonts w:hint="eastAsia"/>
          <w:b w:val="0"/>
          <w:bCs w:val="0"/>
          <w:sz w:val="24"/>
          <w:szCs w:val="24"/>
          <w:lang w:eastAsia="zh-CN"/>
        </w:rPr>
      </w:pPr>
      <w:r>
        <w:rPr>
          <w:rFonts w:hint="eastAsia"/>
          <w:b w:val="0"/>
          <w:bCs w:val="0"/>
          <w:sz w:val="24"/>
          <w:szCs w:val="24"/>
          <w:lang w:eastAsia="zh-CN"/>
        </w:rPr>
        <w:t>2、甲方根据法律法规的规定、国家政策的调整以及上级部门文件的规定,需要对本协议相关事项进行调整的,乙方应根据甲方通知调整;但如明显超出双方约定的服务范围的,由双方另行协调收费事宜。</w:t>
      </w:r>
    </w:p>
    <w:p>
      <w:pPr>
        <w:ind w:firstLine="480" w:firstLineChars="200"/>
        <w:jc w:val="both"/>
        <w:rPr>
          <w:rFonts w:hint="eastAsia"/>
          <w:b w:val="0"/>
          <w:bCs w:val="0"/>
          <w:sz w:val="24"/>
          <w:szCs w:val="24"/>
          <w:lang w:eastAsia="zh-CN"/>
        </w:rPr>
      </w:pPr>
      <w:r>
        <w:rPr>
          <w:rFonts w:hint="eastAsia"/>
          <w:b w:val="0"/>
          <w:bCs w:val="0"/>
          <w:sz w:val="24"/>
          <w:szCs w:val="24"/>
          <w:lang w:eastAsia="zh-CN"/>
        </w:rPr>
        <w:t>3、有下列情形之一,本合同终止:</w:t>
      </w:r>
    </w:p>
    <w:p>
      <w:pPr>
        <w:ind w:firstLine="480" w:firstLineChars="200"/>
        <w:jc w:val="both"/>
        <w:rPr>
          <w:rFonts w:hint="eastAsia"/>
          <w:b w:val="0"/>
          <w:bCs w:val="0"/>
          <w:sz w:val="24"/>
          <w:szCs w:val="24"/>
          <w:lang w:eastAsia="zh-CN"/>
        </w:rPr>
      </w:pPr>
      <w:r>
        <w:rPr>
          <w:rFonts w:hint="eastAsia"/>
          <w:b w:val="0"/>
          <w:bCs w:val="0"/>
          <w:sz w:val="24"/>
          <w:szCs w:val="24"/>
          <w:lang w:eastAsia="zh-CN"/>
        </w:rPr>
        <w:t>(1)本协议期限届满;</w:t>
      </w:r>
    </w:p>
    <w:p>
      <w:pPr>
        <w:ind w:firstLine="480" w:firstLineChars="200"/>
        <w:jc w:val="both"/>
        <w:rPr>
          <w:rFonts w:hint="eastAsia"/>
          <w:b w:val="0"/>
          <w:bCs w:val="0"/>
          <w:sz w:val="24"/>
          <w:szCs w:val="24"/>
          <w:lang w:eastAsia="zh-CN"/>
        </w:rPr>
      </w:pPr>
      <w:r>
        <w:rPr>
          <w:rFonts w:hint="eastAsia"/>
          <w:b w:val="0"/>
          <w:bCs w:val="0"/>
          <w:sz w:val="24"/>
          <w:szCs w:val="24"/>
          <w:lang w:eastAsia="zh-CN"/>
        </w:rPr>
        <w:t>(2)甲、乙双方书面协定提前终止协议;</w:t>
      </w:r>
    </w:p>
    <w:p>
      <w:pPr>
        <w:ind w:firstLine="480" w:firstLineChars="200"/>
        <w:jc w:val="both"/>
        <w:rPr>
          <w:rFonts w:hint="eastAsia"/>
          <w:b w:val="0"/>
          <w:bCs w:val="0"/>
          <w:sz w:val="24"/>
          <w:szCs w:val="24"/>
          <w:lang w:eastAsia="zh-CN"/>
        </w:rPr>
      </w:pPr>
      <w:r>
        <w:rPr>
          <w:rFonts w:hint="eastAsia"/>
          <w:b w:val="0"/>
          <w:bCs w:val="0"/>
          <w:sz w:val="24"/>
          <w:szCs w:val="24"/>
          <w:lang w:eastAsia="zh-CN"/>
        </w:rPr>
        <w:t>(3)因不可抗力导致合同无法履行的</w:t>
      </w:r>
    </w:p>
    <w:p>
      <w:pPr>
        <w:jc w:val="both"/>
        <w:rPr>
          <w:rFonts w:hint="eastAsia"/>
          <w:b w:val="0"/>
          <w:bCs w:val="0"/>
          <w:sz w:val="24"/>
          <w:szCs w:val="24"/>
          <w:lang w:eastAsia="zh-CN"/>
        </w:rPr>
      </w:pPr>
      <w:r>
        <w:rPr>
          <w:rFonts w:hint="eastAsia"/>
          <w:b w:val="0"/>
          <w:bCs w:val="0"/>
          <w:sz w:val="24"/>
          <w:szCs w:val="24"/>
          <w:lang w:val="en-US" w:eastAsia="zh-CN"/>
        </w:rPr>
        <w:t xml:space="preserve">    </w:t>
      </w:r>
      <w:r>
        <w:rPr>
          <w:rFonts w:hint="eastAsia"/>
          <w:b w:val="0"/>
          <w:bCs w:val="0"/>
          <w:sz w:val="24"/>
          <w:szCs w:val="24"/>
          <w:lang w:eastAsia="zh-CN"/>
        </w:rPr>
        <w:t>(</w:t>
      </w:r>
      <w:r>
        <w:rPr>
          <w:rFonts w:hint="eastAsia"/>
          <w:b w:val="0"/>
          <w:bCs w:val="0"/>
          <w:sz w:val="24"/>
          <w:szCs w:val="24"/>
          <w:lang w:val="en-US" w:eastAsia="zh-CN"/>
        </w:rPr>
        <w:t>4</w:t>
      </w:r>
      <w:r>
        <w:rPr>
          <w:rFonts w:hint="eastAsia"/>
          <w:b w:val="0"/>
          <w:bCs w:val="0"/>
          <w:sz w:val="24"/>
          <w:szCs w:val="24"/>
          <w:lang w:eastAsia="zh-CN"/>
        </w:rPr>
        <w:t>)本协议项目下的条款内容被行业主管部门或者法院、仲裁机构认定为无效,而导致本协议完全无法执行时提前终止;</w:t>
      </w:r>
    </w:p>
    <w:p>
      <w:pPr>
        <w:ind w:firstLine="480" w:firstLineChars="200"/>
        <w:jc w:val="both"/>
        <w:rPr>
          <w:rFonts w:hint="eastAsia"/>
          <w:b w:val="0"/>
          <w:bCs w:val="0"/>
          <w:sz w:val="24"/>
          <w:szCs w:val="24"/>
          <w:lang w:eastAsia="zh-CN"/>
        </w:rPr>
      </w:pPr>
      <w:r>
        <w:rPr>
          <w:rFonts w:hint="eastAsia"/>
          <w:b w:val="0"/>
          <w:bCs w:val="0"/>
          <w:sz w:val="24"/>
          <w:szCs w:val="24"/>
          <w:lang w:eastAsia="zh-CN"/>
        </w:rPr>
        <w:t>(5)其他非因双方过错导致合同终上的。</w:t>
      </w:r>
    </w:p>
    <w:p>
      <w:pPr>
        <w:ind w:firstLine="480" w:firstLineChars="200"/>
        <w:jc w:val="both"/>
        <w:rPr>
          <w:rFonts w:hint="eastAsia"/>
          <w:b w:val="0"/>
          <w:bCs w:val="0"/>
          <w:sz w:val="24"/>
          <w:szCs w:val="24"/>
          <w:lang w:eastAsia="zh-CN"/>
        </w:rPr>
      </w:pPr>
      <w:r>
        <w:rPr>
          <w:rFonts w:hint="eastAsia"/>
          <w:b w:val="0"/>
          <w:bCs w:val="0"/>
          <w:sz w:val="24"/>
          <w:szCs w:val="24"/>
          <w:lang w:val="en-US" w:eastAsia="zh-CN"/>
        </w:rPr>
        <w:t>4</w:t>
      </w:r>
      <w:r>
        <w:rPr>
          <w:rFonts w:hint="eastAsia"/>
          <w:b w:val="0"/>
          <w:bCs w:val="0"/>
          <w:sz w:val="24"/>
          <w:szCs w:val="24"/>
          <w:lang w:eastAsia="zh-CN"/>
        </w:rPr>
        <w:t>、无论因何种原因终止本协议,乙方应确保其外包人员本着诚实信用的原则完成交接工作并继续承担有关保密义务。</w:t>
      </w:r>
    </w:p>
    <w:p>
      <w:pPr>
        <w:jc w:val="both"/>
        <w:rPr>
          <w:rFonts w:hint="eastAsia"/>
          <w:b/>
          <w:bCs/>
          <w:sz w:val="24"/>
          <w:szCs w:val="24"/>
          <w:lang w:eastAsia="zh-CN"/>
        </w:rPr>
      </w:pPr>
      <w:r>
        <w:rPr>
          <w:rFonts w:hint="eastAsia"/>
          <w:b/>
          <w:bCs/>
          <w:sz w:val="24"/>
          <w:szCs w:val="24"/>
          <w:lang w:eastAsia="zh-CN"/>
        </w:rPr>
        <w:t>九、违约责任</w:t>
      </w:r>
    </w:p>
    <w:p>
      <w:pPr>
        <w:ind w:firstLine="480" w:firstLineChars="200"/>
        <w:jc w:val="both"/>
        <w:rPr>
          <w:rFonts w:hint="eastAsia"/>
          <w:b w:val="0"/>
          <w:bCs w:val="0"/>
          <w:sz w:val="24"/>
          <w:szCs w:val="24"/>
          <w:lang w:eastAsia="zh-CN"/>
        </w:rPr>
      </w:pPr>
      <w:r>
        <w:rPr>
          <w:rFonts w:hint="eastAsia"/>
          <w:b w:val="0"/>
          <w:bCs w:val="0"/>
          <w:sz w:val="24"/>
          <w:szCs w:val="24"/>
          <w:lang w:eastAsia="zh-CN"/>
        </w:rPr>
        <w:t>1、双方违反本协议所约定的义务的,应向对方承担违约责任,造成对方损失的,还应赔偿损失。</w:t>
      </w:r>
    </w:p>
    <w:p>
      <w:pPr>
        <w:ind w:firstLine="480" w:firstLineChars="200"/>
        <w:jc w:val="both"/>
        <w:rPr>
          <w:rFonts w:hint="eastAsia"/>
          <w:b w:val="0"/>
          <w:bCs w:val="0"/>
          <w:sz w:val="24"/>
          <w:szCs w:val="24"/>
          <w:lang w:eastAsia="zh-CN"/>
        </w:rPr>
      </w:pPr>
      <w:r>
        <w:rPr>
          <w:rFonts w:hint="eastAsia"/>
          <w:b w:val="0"/>
          <w:bCs w:val="0"/>
          <w:sz w:val="24"/>
          <w:szCs w:val="24"/>
          <w:lang w:eastAsia="zh-CN"/>
        </w:rPr>
        <w:t>2、乙方员工给第三方或甲方造成损害的,由乙方承担法律责任,甲方强令乙方员工违章作业,造成的损害由甲方承担。</w:t>
      </w:r>
    </w:p>
    <w:p>
      <w:pPr>
        <w:ind w:firstLine="480" w:firstLineChars="200"/>
        <w:jc w:val="both"/>
        <w:rPr>
          <w:rFonts w:hint="eastAsia"/>
          <w:b w:val="0"/>
          <w:bCs w:val="0"/>
          <w:sz w:val="24"/>
          <w:szCs w:val="24"/>
          <w:lang w:eastAsia="zh-CN"/>
        </w:rPr>
      </w:pPr>
      <w:r>
        <w:rPr>
          <w:rFonts w:hint="eastAsia"/>
          <w:b w:val="0"/>
          <w:bCs w:val="0"/>
          <w:sz w:val="24"/>
          <w:szCs w:val="24"/>
          <w:lang w:eastAsia="zh-CN"/>
        </w:rPr>
        <w:t>3、乙方员工有不适合岗位的情形,甲方予以退回的,或外包期满,甲方未继续使用的员工,乙方应予以妥普处理,如产生该员工的补偿、赔偿，甲方不予承担。</w:t>
      </w:r>
    </w:p>
    <w:p>
      <w:pPr>
        <w:ind w:firstLine="480" w:firstLineChars="200"/>
        <w:jc w:val="both"/>
        <w:rPr>
          <w:rFonts w:hint="eastAsia"/>
          <w:b w:val="0"/>
          <w:bCs w:val="0"/>
          <w:sz w:val="24"/>
          <w:szCs w:val="24"/>
          <w:lang w:eastAsia="zh-CN"/>
        </w:rPr>
      </w:pPr>
      <w:r>
        <w:rPr>
          <w:rFonts w:hint="eastAsia"/>
          <w:b w:val="0"/>
          <w:bCs w:val="0"/>
          <w:sz w:val="24"/>
          <w:szCs w:val="24"/>
          <w:lang w:eastAsia="zh-CN"/>
        </w:rPr>
        <w:t>4、甲方拖延外包费用支付的,按日万分之五支付违约金,超过三十日,乙方可停止服务。</w:t>
      </w:r>
    </w:p>
    <w:p>
      <w:pPr>
        <w:ind w:firstLine="480" w:firstLineChars="200"/>
        <w:jc w:val="both"/>
        <w:rPr>
          <w:rFonts w:hint="eastAsia"/>
          <w:b w:val="0"/>
          <w:bCs w:val="0"/>
          <w:sz w:val="24"/>
          <w:szCs w:val="24"/>
          <w:lang w:eastAsia="zh-CN"/>
        </w:rPr>
      </w:pPr>
      <w:r>
        <w:rPr>
          <w:rFonts w:hint="eastAsia"/>
          <w:b w:val="0"/>
          <w:bCs w:val="0"/>
          <w:sz w:val="24"/>
          <w:szCs w:val="24"/>
          <w:lang w:eastAsia="zh-CN"/>
        </w:rPr>
        <w:t>5、因乙方未及时足额支付外包服务员工的工资、保险及其他待遇,影响其员工提供服务的,甲方有权退回人员,直至解除本协议。</w:t>
      </w:r>
    </w:p>
    <w:p>
      <w:pPr>
        <w:jc w:val="both"/>
        <w:rPr>
          <w:rFonts w:hint="eastAsia"/>
          <w:b w:val="0"/>
          <w:bCs w:val="0"/>
          <w:sz w:val="24"/>
          <w:szCs w:val="24"/>
          <w:lang w:eastAsia="zh-CN"/>
        </w:rPr>
      </w:pPr>
      <w:r>
        <w:rPr>
          <w:rFonts w:hint="eastAsia"/>
          <w:b/>
          <w:bCs/>
          <w:sz w:val="24"/>
          <w:szCs w:val="24"/>
          <w:lang w:eastAsia="zh-CN"/>
        </w:rPr>
        <w:t>十、争议的解决方式</w:t>
      </w:r>
    </w:p>
    <w:p>
      <w:pPr>
        <w:ind w:firstLine="480" w:firstLineChars="200"/>
        <w:jc w:val="both"/>
        <w:rPr>
          <w:rFonts w:hint="eastAsia"/>
          <w:b w:val="0"/>
          <w:bCs w:val="0"/>
          <w:sz w:val="24"/>
          <w:szCs w:val="24"/>
          <w:lang w:eastAsia="zh-CN"/>
        </w:rPr>
      </w:pPr>
      <w:r>
        <w:rPr>
          <w:rFonts w:hint="eastAsia"/>
          <w:b w:val="0"/>
          <w:bCs w:val="0"/>
          <w:sz w:val="24"/>
          <w:szCs w:val="24"/>
          <w:lang w:eastAsia="zh-CN"/>
        </w:rPr>
        <w:t>甲乙双方因本协议事宜发生争议的,应友好协商解决。协商不成,任何一方均可向双方所在地的任何一方所在地人民法院提起诉讼。</w:t>
      </w:r>
    </w:p>
    <w:p>
      <w:pPr>
        <w:jc w:val="both"/>
        <w:rPr>
          <w:rFonts w:hint="eastAsia"/>
          <w:b/>
          <w:bCs/>
          <w:sz w:val="24"/>
          <w:szCs w:val="24"/>
          <w:lang w:eastAsia="zh-CN"/>
        </w:rPr>
      </w:pPr>
      <w:r>
        <w:rPr>
          <w:rFonts w:hint="eastAsia"/>
          <w:b/>
          <w:bCs/>
          <w:sz w:val="24"/>
          <w:szCs w:val="24"/>
          <w:lang w:eastAsia="zh-CN"/>
        </w:rPr>
        <w:t>十一、通知与送达</w:t>
      </w:r>
    </w:p>
    <w:p>
      <w:pPr>
        <w:ind w:firstLine="480" w:firstLineChars="200"/>
        <w:jc w:val="both"/>
        <w:rPr>
          <w:rFonts w:hint="eastAsia"/>
          <w:b w:val="0"/>
          <w:bCs w:val="0"/>
          <w:sz w:val="24"/>
          <w:szCs w:val="24"/>
          <w:lang w:eastAsia="zh-CN"/>
        </w:rPr>
      </w:pPr>
      <w:r>
        <w:rPr>
          <w:rFonts w:hint="eastAsia"/>
          <w:b w:val="0"/>
          <w:bCs w:val="0"/>
          <w:sz w:val="24"/>
          <w:szCs w:val="24"/>
          <w:lang w:eastAsia="zh-CN"/>
        </w:rPr>
        <w:t>甲乙双方在本协议履行过程中相互发出或者提供的所有通知、文件、文书、资料等,均以本协议所列明的地址送达。一方如果迁址或者变更电话,应当书面通知对方,未履行通知义务的,另一方按原地址邮寄相关材料即视为已履行送达义务。当面交付上述材料的,在交付之时视为送达;以邮寄方式交付的,寄出或者投邮后即视为送达。</w:t>
      </w:r>
    </w:p>
    <w:p>
      <w:pPr>
        <w:jc w:val="both"/>
        <w:rPr>
          <w:rFonts w:hint="eastAsia"/>
          <w:b/>
          <w:bCs/>
          <w:sz w:val="24"/>
          <w:szCs w:val="24"/>
          <w:lang w:eastAsia="zh-CN"/>
        </w:rPr>
      </w:pPr>
      <w:r>
        <w:rPr>
          <w:rFonts w:hint="eastAsia"/>
          <w:b/>
          <w:bCs/>
          <w:sz w:val="24"/>
          <w:szCs w:val="24"/>
          <w:lang w:eastAsia="zh-CN"/>
        </w:rPr>
        <w:t>十二、解除合同规定</w:t>
      </w:r>
    </w:p>
    <w:p>
      <w:pPr>
        <w:ind w:firstLine="480" w:firstLineChars="200"/>
        <w:jc w:val="both"/>
        <w:rPr>
          <w:rFonts w:hint="eastAsia"/>
          <w:b w:val="0"/>
          <w:bCs w:val="0"/>
          <w:sz w:val="24"/>
          <w:szCs w:val="24"/>
          <w:lang w:eastAsia="zh-CN"/>
        </w:rPr>
      </w:pPr>
      <w:r>
        <w:rPr>
          <w:rFonts w:hint="eastAsia"/>
          <w:b w:val="0"/>
          <w:bCs w:val="0"/>
          <w:sz w:val="24"/>
          <w:szCs w:val="24"/>
          <w:lang w:eastAsia="zh-CN"/>
        </w:rPr>
        <w:t>出现下列情况之一时，甲方可以解除服务合同:</w:t>
      </w:r>
    </w:p>
    <w:p>
      <w:pPr>
        <w:ind w:firstLine="480" w:firstLineChars="200"/>
        <w:jc w:val="both"/>
        <w:rPr>
          <w:rFonts w:hint="eastAsia"/>
          <w:b w:val="0"/>
          <w:bCs w:val="0"/>
          <w:sz w:val="24"/>
          <w:szCs w:val="24"/>
          <w:lang w:eastAsia="zh-CN"/>
        </w:rPr>
      </w:pPr>
      <w:r>
        <w:rPr>
          <w:rFonts w:hint="eastAsia"/>
          <w:b w:val="0"/>
          <w:bCs w:val="0"/>
          <w:sz w:val="24"/>
          <w:szCs w:val="24"/>
          <w:lang w:eastAsia="zh-CN"/>
        </w:rPr>
        <w:t>1、乙方不能全面履行合同义务，受托的管理工作和服务质量整改后仍达不到合同要求，不能实现各项承诺目标的。</w:t>
      </w:r>
    </w:p>
    <w:p>
      <w:pPr>
        <w:ind w:firstLine="480" w:firstLineChars="200"/>
        <w:jc w:val="both"/>
        <w:rPr>
          <w:rFonts w:hint="eastAsia"/>
          <w:b w:val="0"/>
          <w:bCs w:val="0"/>
          <w:sz w:val="24"/>
          <w:szCs w:val="24"/>
          <w:lang w:eastAsia="zh-CN"/>
        </w:rPr>
      </w:pPr>
      <w:r>
        <w:rPr>
          <w:rFonts w:hint="eastAsia"/>
          <w:b w:val="0"/>
          <w:bCs w:val="0"/>
          <w:sz w:val="24"/>
          <w:szCs w:val="24"/>
          <w:lang w:eastAsia="zh-CN"/>
        </w:rPr>
        <w:t>2、因乙方管理不善，给甲方造成重大经济损失或严重影响的。</w:t>
      </w:r>
    </w:p>
    <w:p>
      <w:pPr>
        <w:ind w:firstLine="480" w:firstLineChars="200"/>
        <w:jc w:val="both"/>
        <w:rPr>
          <w:rFonts w:hint="eastAsia"/>
          <w:b w:val="0"/>
          <w:bCs w:val="0"/>
          <w:sz w:val="24"/>
          <w:szCs w:val="24"/>
          <w:lang w:eastAsia="zh-CN"/>
        </w:rPr>
      </w:pPr>
      <w:r>
        <w:rPr>
          <w:rFonts w:hint="eastAsia"/>
          <w:b w:val="0"/>
          <w:bCs w:val="0"/>
          <w:sz w:val="24"/>
          <w:szCs w:val="24"/>
          <w:lang w:eastAsia="zh-CN"/>
        </w:rPr>
        <w:t>3、甲方有 50%以上的使用部门对服务不满意，要求更换管理单位的。</w:t>
      </w:r>
    </w:p>
    <w:p>
      <w:pPr>
        <w:ind w:firstLine="480" w:firstLineChars="200"/>
        <w:jc w:val="both"/>
        <w:rPr>
          <w:rFonts w:hint="eastAsia"/>
          <w:b w:val="0"/>
          <w:bCs w:val="0"/>
          <w:sz w:val="24"/>
          <w:szCs w:val="24"/>
          <w:lang w:eastAsia="zh-CN"/>
        </w:rPr>
      </w:pPr>
      <w:r>
        <w:rPr>
          <w:rFonts w:hint="eastAsia"/>
          <w:b w:val="0"/>
          <w:bCs w:val="0"/>
          <w:sz w:val="24"/>
          <w:szCs w:val="24"/>
          <w:lang w:eastAsia="zh-CN"/>
        </w:rPr>
        <w:t>4、出现下列情况时乙方可以解除本合同:甲方拖欠乙方管理服务费用半年以上时。</w:t>
      </w:r>
    </w:p>
    <w:p>
      <w:pPr>
        <w:jc w:val="both"/>
        <w:rPr>
          <w:rFonts w:hint="eastAsia"/>
          <w:b w:val="0"/>
          <w:bCs w:val="0"/>
          <w:sz w:val="24"/>
          <w:szCs w:val="24"/>
          <w:lang w:eastAsia="zh-CN"/>
        </w:rPr>
      </w:pPr>
      <w:r>
        <w:rPr>
          <w:rFonts w:hint="eastAsia"/>
          <w:b w:val="0"/>
          <w:bCs w:val="0"/>
          <w:sz w:val="24"/>
          <w:szCs w:val="24"/>
          <w:lang w:eastAsia="zh-CN"/>
        </w:rPr>
        <w:t>十三、保护员工条款</w:t>
      </w:r>
    </w:p>
    <w:p>
      <w:pPr>
        <w:ind w:firstLine="480" w:firstLineChars="200"/>
        <w:jc w:val="both"/>
        <w:rPr>
          <w:rFonts w:hint="eastAsia"/>
          <w:b w:val="0"/>
          <w:bCs w:val="0"/>
          <w:sz w:val="24"/>
          <w:szCs w:val="24"/>
          <w:lang w:eastAsia="zh-CN"/>
        </w:rPr>
      </w:pPr>
      <w:r>
        <w:rPr>
          <w:rFonts w:hint="eastAsia"/>
          <w:b w:val="0"/>
          <w:bCs w:val="0"/>
          <w:sz w:val="24"/>
          <w:szCs w:val="24"/>
          <w:lang w:eastAsia="zh-CN"/>
        </w:rPr>
        <w:t>如因乙方拖欠所聘员工劳动报酬与其他应付款项，或因此而影响甲方应得到的服务，或员工向甲方投诉要求甲方保护时，甲方有权对应付乙方的管理服务费用进行留存，直至纠纷得到解决。</w:t>
      </w:r>
    </w:p>
    <w:p>
      <w:pPr>
        <w:jc w:val="both"/>
        <w:rPr>
          <w:rFonts w:hint="eastAsia"/>
          <w:b/>
          <w:bCs/>
          <w:sz w:val="24"/>
          <w:szCs w:val="24"/>
          <w:lang w:eastAsia="zh-CN"/>
        </w:rPr>
      </w:pPr>
      <w:r>
        <w:rPr>
          <w:rFonts w:hint="eastAsia"/>
          <w:b/>
          <w:bCs/>
          <w:sz w:val="24"/>
          <w:szCs w:val="24"/>
          <w:lang w:eastAsia="zh-CN"/>
        </w:rPr>
        <w:t>十四、其他要求</w:t>
      </w:r>
    </w:p>
    <w:p>
      <w:pPr>
        <w:ind w:firstLine="480" w:firstLineChars="200"/>
        <w:jc w:val="both"/>
        <w:rPr>
          <w:rFonts w:hint="eastAsia"/>
          <w:b w:val="0"/>
          <w:bCs w:val="0"/>
          <w:sz w:val="24"/>
          <w:szCs w:val="24"/>
          <w:lang w:eastAsia="zh-CN"/>
        </w:rPr>
      </w:pPr>
      <w:r>
        <w:rPr>
          <w:rFonts w:hint="eastAsia"/>
          <w:b w:val="0"/>
          <w:bCs w:val="0"/>
          <w:sz w:val="24"/>
          <w:szCs w:val="24"/>
          <w:lang w:eastAsia="zh-CN"/>
        </w:rPr>
        <w:t>1、现场踏勘:投标人可自行对业主单位的周围环境进行勘察，以便投标人获取有关编制投标文件和签署合同所涉及现场的资料,中标方不得以不完全了解现场情况为由，提出任何形式的增加管理费用或索赔要求。投标人踏勘现场所发生的一切费用和责任概由投标人自负。业主方不单独或分别组织任何一个投标单位进行现场踏勘。</w:t>
      </w:r>
    </w:p>
    <w:p>
      <w:pPr>
        <w:ind w:firstLine="480" w:firstLineChars="200"/>
        <w:jc w:val="both"/>
        <w:rPr>
          <w:rFonts w:hint="eastAsia"/>
          <w:b w:val="0"/>
          <w:bCs w:val="0"/>
          <w:sz w:val="24"/>
          <w:szCs w:val="24"/>
          <w:lang w:eastAsia="zh-CN"/>
        </w:rPr>
      </w:pPr>
      <w:r>
        <w:rPr>
          <w:rFonts w:hint="eastAsia"/>
          <w:b w:val="0"/>
          <w:bCs w:val="0"/>
          <w:sz w:val="24"/>
          <w:szCs w:val="24"/>
          <w:lang w:eastAsia="zh-CN"/>
        </w:rPr>
        <w:t>2、本文件所指甲方即采购人，乙方为中标人。</w:t>
      </w:r>
    </w:p>
    <w:p>
      <w:pPr>
        <w:jc w:val="both"/>
        <w:rPr>
          <w:rFonts w:hint="eastAsia"/>
          <w:b/>
          <w:bCs/>
          <w:sz w:val="24"/>
          <w:szCs w:val="24"/>
          <w:lang w:eastAsia="zh-CN"/>
        </w:rPr>
      </w:pPr>
    </w:p>
    <w:p>
      <w:pPr>
        <w:pStyle w:val="2"/>
        <w:ind w:firstLine="480"/>
      </w:pPr>
    </w:p>
    <w:p>
      <w:pPr>
        <w:pStyle w:val="4"/>
      </w:pPr>
    </w:p>
    <w:p/>
    <w:p>
      <w:pPr>
        <w:pStyle w:val="5"/>
      </w:pPr>
    </w:p>
    <w:p/>
    <w:p>
      <w:pPr>
        <w:pStyle w:val="5"/>
      </w:pPr>
    </w:p>
    <w:p/>
    <w:p>
      <w:pPr>
        <w:pStyle w:val="5"/>
      </w:pPr>
    </w:p>
    <w:p/>
    <w:p>
      <w:pPr>
        <w:pStyle w:val="5"/>
      </w:pPr>
    </w:p>
    <w:p/>
    <w:p>
      <w:pPr>
        <w:pStyle w:val="5"/>
      </w:pPr>
    </w:p>
    <w:p/>
    <w:p>
      <w:pPr>
        <w:pStyle w:val="5"/>
      </w:pPr>
    </w:p>
    <w:p/>
    <w:p>
      <w:pPr>
        <w:pStyle w:val="5"/>
      </w:pPr>
    </w:p>
    <w:p/>
    <w:p>
      <w:pPr>
        <w:pStyle w:val="2"/>
      </w:pPr>
    </w:p>
    <w:p>
      <w:pPr>
        <w:pStyle w:val="4"/>
      </w:pPr>
    </w:p>
    <w:p/>
    <w:p/>
    <w:p>
      <w:pPr>
        <w:pStyle w:val="4"/>
      </w:pPr>
    </w:p>
    <w:p/>
    <w:p>
      <w:pPr>
        <w:adjustRightInd w:val="0"/>
        <w:snapToGrid w:val="0"/>
        <w:spacing w:line="360" w:lineRule="auto"/>
        <w:jc w:val="center"/>
        <w:rPr>
          <w:rFonts w:ascii="黑体" w:eastAsia="黑体"/>
          <w:b/>
          <w:sz w:val="32"/>
          <w:szCs w:val="32"/>
        </w:rPr>
      </w:pPr>
      <w:r>
        <w:rPr>
          <w:rFonts w:hint="eastAsia" w:ascii="黑体" w:eastAsia="黑体"/>
          <w:b/>
          <w:sz w:val="32"/>
          <w:szCs w:val="32"/>
        </w:rPr>
        <w:t>第五章 响应文件组成</w:t>
      </w:r>
    </w:p>
    <w:p>
      <w:pPr>
        <w:spacing w:line="360" w:lineRule="auto"/>
        <w:rPr>
          <w:rFonts w:ascii="宋体"/>
        </w:rPr>
      </w:pPr>
    </w:p>
    <w:p>
      <w:pPr>
        <w:spacing w:line="360" w:lineRule="auto"/>
        <w:rPr>
          <w:rFonts w:ascii="宋体"/>
        </w:rPr>
      </w:pPr>
      <w:r>
        <w:rPr>
          <w:rFonts w:hint="eastAsia" w:ascii="宋体"/>
        </w:rPr>
        <w:t>供应商的响应文件应包含以下八个部分：</w:t>
      </w:r>
    </w:p>
    <w:p>
      <w:pPr>
        <w:adjustRightInd w:val="0"/>
        <w:snapToGrid w:val="0"/>
        <w:spacing w:line="360" w:lineRule="auto"/>
        <w:jc w:val="left"/>
        <w:outlineLvl w:val="0"/>
        <w:rPr>
          <w:rFonts w:ascii="宋体" w:hAnsi="宋体"/>
          <w:b/>
          <w:szCs w:val="21"/>
        </w:rPr>
      </w:pPr>
      <w:r>
        <w:rPr>
          <w:rFonts w:hint="eastAsia" w:ascii="宋体" w:hAnsi="宋体"/>
          <w:b/>
          <w:szCs w:val="21"/>
        </w:rPr>
        <w:t>一、磋商响应声明</w:t>
      </w:r>
    </w:p>
    <w:p>
      <w:pPr>
        <w:adjustRightInd w:val="0"/>
        <w:snapToGrid w:val="0"/>
        <w:spacing w:line="360" w:lineRule="auto"/>
        <w:ind w:firstLine="420" w:firstLineChars="200"/>
        <w:jc w:val="left"/>
        <w:outlineLvl w:val="0"/>
        <w:rPr>
          <w:rFonts w:ascii="宋体" w:hAnsi="宋体"/>
          <w:szCs w:val="21"/>
        </w:rPr>
      </w:pPr>
      <w:r>
        <w:rPr>
          <w:rFonts w:hint="eastAsia" w:ascii="宋体" w:hAnsi="宋体"/>
          <w:szCs w:val="21"/>
        </w:rPr>
        <w:t>附件1：法定代表人身份证明</w:t>
      </w:r>
    </w:p>
    <w:p>
      <w:pPr>
        <w:adjustRightInd w:val="0"/>
        <w:snapToGrid w:val="0"/>
        <w:spacing w:line="360" w:lineRule="auto"/>
        <w:ind w:firstLine="420" w:firstLineChars="200"/>
        <w:jc w:val="left"/>
        <w:outlineLvl w:val="0"/>
        <w:rPr>
          <w:rFonts w:ascii="宋体" w:hAnsi="宋体"/>
          <w:szCs w:val="21"/>
        </w:rPr>
      </w:pPr>
      <w:r>
        <w:rPr>
          <w:rFonts w:hint="eastAsia" w:ascii="宋体" w:hAnsi="宋体"/>
          <w:szCs w:val="21"/>
        </w:rPr>
        <w:t>附件2：法定代表人授权委托书</w:t>
      </w:r>
    </w:p>
    <w:p>
      <w:pPr>
        <w:adjustRightInd w:val="0"/>
        <w:snapToGrid w:val="0"/>
        <w:spacing w:line="360" w:lineRule="auto"/>
        <w:jc w:val="left"/>
        <w:outlineLvl w:val="0"/>
        <w:rPr>
          <w:rFonts w:ascii="宋体" w:hAnsi="宋体"/>
          <w:b/>
          <w:szCs w:val="21"/>
        </w:rPr>
      </w:pPr>
      <w:r>
        <w:rPr>
          <w:rFonts w:hint="eastAsia" w:ascii="宋体" w:hAnsi="宋体"/>
          <w:b/>
          <w:szCs w:val="21"/>
        </w:rPr>
        <w:t>二、保证金</w:t>
      </w:r>
    </w:p>
    <w:p>
      <w:pPr>
        <w:adjustRightInd w:val="0"/>
        <w:snapToGrid w:val="0"/>
        <w:spacing w:line="360" w:lineRule="auto"/>
        <w:jc w:val="left"/>
        <w:outlineLvl w:val="0"/>
        <w:rPr>
          <w:rFonts w:ascii="宋体" w:hAnsi="宋体"/>
          <w:b/>
          <w:szCs w:val="21"/>
        </w:rPr>
      </w:pPr>
      <w:r>
        <w:rPr>
          <w:rFonts w:hint="eastAsia" w:ascii="宋体" w:hAnsi="宋体"/>
          <w:b/>
          <w:szCs w:val="21"/>
        </w:rPr>
        <w:t>三、供应商的资格证明资料</w:t>
      </w:r>
    </w:p>
    <w:p>
      <w:pPr>
        <w:adjustRightInd w:val="0"/>
        <w:snapToGrid w:val="0"/>
        <w:spacing w:line="360" w:lineRule="auto"/>
        <w:ind w:firstLine="420" w:firstLineChars="200"/>
        <w:jc w:val="left"/>
        <w:outlineLvl w:val="0"/>
        <w:rPr>
          <w:rFonts w:ascii="宋体" w:hAnsi="宋体"/>
          <w:szCs w:val="21"/>
        </w:rPr>
      </w:pPr>
      <w:r>
        <w:rPr>
          <w:rFonts w:hint="eastAsia" w:ascii="宋体" w:hAnsi="宋体"/>
          <w:szCs w:val="21"/>
        </w:rPr>
        <w:t>附件3：供应商基本情况表</w:t>
      </w:r>
    </w:p>
    <w:p>
      <w:pPr>
        <w:adjustRightInd w:val="0"/>
        <w:snapToGrid w:val="0"/>
        <w:spacing w:line="360" w:lineRule="auto"/>
        <w:ind w:firstLine="420" w:firstLineChars="200"/>
        <w:outlineLvl w:val="0"/>
        <w:rPr>
          <w:rFonts w:ascii="宋体" w:hAnsi="宋体"/>
          <w:szCs w:val="21"/>
        </w:rPr>
      </w:pPr>
      <w:r>
        <w:rPr>
          <w:rFonts w:hint="eastAsia" w:ascii="宋体" w:hAnsi="宋体"/>
          <w:szCs w:val="21"/>
        </w:rPr>
        <w:t>附件4：磋商文件规定的基本资格条件证明资料</w:t>
      </w:r>
    </w:p>
    <w:p>
      <w:pPr>
        <w:adjustRightInd w:val="0"/>
        <w:snapToGrid w:val="0"/>
        <w:spacing w:line="360" w:lineRule="auto"/>
        <w:ind w:firstLine="420" w:firstLineChars="200"/>
        <w:outlineLvl w:val="0"/>
        <w:rPr>
          <w:rFonts w:ascii="宋体" w:hAnsi="宋体"/>
          <w:szCs w:val="21"/>
        </w:rPr>
      </w:pPr>
      <w:r>
        <w:rPr>
          <w:rFonts w:hint="eastAsia" w:ascii="宋体" w:hAnsi="宋体"/>
          <w:szCs w:val="21"/>
        </w:rPr>
        <w:t>附件5：磋商文件规定的特定资格条件证明资料</w:t>
      </w:r>
    </w:p>
    <w:p>
      <w:pPr>
        <w:adjustRightInd w:val="0"/>
        <w:snapToGrid w:val="0"/>
        <w:spacing w:line="360" w:lineRule="auto"/>
        <w:ind w:firstLine="420" w:firstLineChars="200"/>
        <w:outlineLvl w:val="0"/>
        <w:rPr>
          <w:rFonts w:ascii="宋体" w:hAnsi="宋体"/>
          <w:bCs/>
          <w:szCs w:val="21"/>
        </w:rPr>
      </w:pPr>
      <w:r>
        <w:rPr>
          <w:rFonts w:hint="eastAsia" w:ascii="宋体" w:hAnsi="宋体"/>
          <w:bCs/>
          <w:szCs w:val="21"/>
        </w:rPr>
        <w:t>附件6：其他说明</w:t>
      </w:r>
    </w:p>
    <w:p>
      <w:pPr>
        <w:pStyle w:val="27"/>
        <w:adjustRightInd w:val="0"/>
        <w:snapToGrid w:val="0"/>
        <w:spacing w:line="360" w:lineRule="auto"/>
        <w:rPr>
          <w:rFonts w:hAnsi="宋体"/>
          <w:b/>
        </w:rPr>
      </w:pPr>
      <w:r>
        <w:rPr>
          <w:rFonts w:hint="eastAsia" w:hAnsi="宋体"/>
          <w:b/>
        </w:rPr>
        <w:t>四、服务方案说明</w:t>
      </w:r>
    </w:p>
    <w:p>
      <w:pPr>
        <w:pStyle w:val="27"/>
        <w:adjustRightInd w:val="0"/>
        <w:snapToGrid w:val="0"/>
        <w:spacing w:line="360" w:lineRule="auto"/>
        <w:ind w:firstLine="435"/>
        <w:rPr>
          <w:rFonts w:hAnsi="宋体"/>
          <w:b/>
        </w:rPr>
      </w:pPr>
      <w:r>
        <w:rPr>
          <w:rFonts w:hint="eastAsia" w:hAnsi="宋体"/>
        </w:rPr>
        <w:t>附件7：主要人员简历表</w:t>
      </w:r>
    </w:p>
    <w:p>
      <w:pPr>
        <w:adjustRightInd w:val="0"/>
        <w:snapToGrid w:val="0"/>
        <w:spacing w:line="360" w:lineRule="auto"/>
        <w:rPr>
          <w:rFonts w:hAnsi="宋体"/>
          <w:b/>
        </w:rPr>
      </w:pPr>
      <w:r>
        <w:rPr>
          <w:rFonts w:hint="eastAsia" w:hAnsi="宋体"/>
          <w:b/>
        </w:rPr>
        <w:t>五、商务响应与偏离表</w:t>
      </w:r>
    </w:p>
    <w:p>
      <w:pPr>
        <w:pStyle w:val="27"/>
        <w:adjustRightInd w:val="0"/>
        <w:snapToGrid w:val="0"/>
        <w:spacing w:line="360" w:lineRule="auto"/>
        <w:rPr>
          <w:rFonts w:hAnsi="宋体"/>
          <w:b/>
        </w:rPr>
      </w:pPr>
      <w:r>
        <w:rPr>
          <w:rFonts w:hint="eastAsia" w:hAnsi="宋体"/>
          <w:b/>
        </w:rPr>
        <w:t>六、提供享受政府采购政策的证明资料和清单表</w:t>
      </w:r>
    </w:p>
    <w:p>
      <w:pPr>
        <w:pStyle w:val="27"/>
        <w:adjustRightInd w:val="0"/>
        <w:snapToGrid w:val="0"/>
        <w:spacing w:line="360" w:lineRule="auto"/>
        <w:ind w:firstLine="420" w:firstLineChars="200"/>
        <w:rPr>
          <w:rFonts w:hAnsi="宋体"/>
        </w:rPr>
      </w:pPr>
      <w:r>
        <w:rPr>
          <w:rFonts w:hint="eastAsia" w:hAnsi="宋体"/>
        </w:rPr>
        <w:t>附件8-1：中小企业声明函</w:t>
      </w:r>
    </w:p>
    <w:p>
      <w:pPr>
        <w:pStyle w:val="27"/>
        <w:adjustRightInd w:val="0"/>
        <w:snapToGrid w:val="0"/>
        <w:spacing w:line="360" w:lineRule="auto"/>
        <w:ind w:firstLine="420" w:firstLineChars="200"/>
        <w:rPr>
          <w:rFonts w:hAnsi="宋体"/>
        </w:rPr>
      </w:pPr>
      <w:r>
        <w:rPr>
          <w:rFonts w:hint="eastAsia" w:hAnsi="宋体"/>
        </w:rPr>
        <w:t>附件8-2：中小企业货物清单表</w:t>
      </w:r>
    </w:p>
    <w:p>
      <w:pPr>
        <w:pStyle w:val="27"/>
        <w:adjustRightInd w:val="0"/>
        <w:snapToGrid w:val="0"/>
        <w:spacing w:line="360" w:lineRule="auto"/>
        <w:rPr>
          <w:rFonts w:hAnsi="宋体"/>
          <w:b/>
        </w:rPr>
      </w:pPr>
      <w:r>
        <w:rPr>
          <w:rFonts w:hint="eastAsia" w:hAnsi="宋体"/>
          <w:b/>
        </w:rPr>
        <w:t>七、报价一览表及分项价格表</w:t>
      </w:r>
    </w:p>
    <w:p>
      <w:pPr>
        <w:adjustRightInd w:val="0"/>
        <w:snapToGrid w:val="0"/>
        <w:spacing w:line="360" w:lineRule="auto"/>
        <w:ind w:firstLine="420" w:firstLineChars="200"/>
        <w:jc w:val="left"/>
        <w:outlineLvl w:val="0"/>
        <w:rPr>
          <w:rFonts w:ascii="宋体" w:hAnsi="宋体"/>
          <w:bCs/>
          <w:szCs w:val="21"/>
        </w:rPr>
      </w:pPr>
      <w:r>
        <w:rPr>
          <w:rFonts w:hint="eastAsia" w:ascii="宋体" w:hAnsi="宋体"/>
          <w:szCs w:val="21"/>
        </w:rPr>
        <w:t>附件9：</w:t>
      </w:r>
      <w:r>
        <w:rPr>
          <w:rFonts w:hint="eastAsia" w:ascii="宋体" w:hAnsi="宋体"/>
          <w:bCs/>
          <w:szCs w:val="21"/>
        </w:rPr>
        <w:t>报价一览表</w:t>
      </w:r>
    </w:p>
    <w:p>
      <w:pPr>
        <w:adjustRightInd w:val="0"/>
        <w:snapToGrid w:val="0"/>
        <w:spacing w:line="360" w:lineRule="auto"/>
        <w:ind w:firstLine="420" w:firstLineChars="200"/>
        <w:jc w:val="left"/>
        <w:outlineLvl w:val="0"/>
        <w:rPr>
          <w:rFonts w:ascii="宋体" w:hAnsi="宋体"/>
          <w:szCs w:val="21"/>
        </w:rPr>
      </w:pPr>
      <w:r>
        <w:rPr>
          <w:rFonts w:hint="eastAsia" w:ascii="宋体" w:hAnsi="宋体"/>
          <w:bCs/>
          <w:szCs w:val="21"/>
        </w:rPr>
        <w:t>附件9-1：分项价格表</w:t>
      </w:r>
    </w:p>
    <w:p>
      <w:pPr>
        <w:pStyle w:val="27"/>
        <w:adjustRightInd w:val="0"/>
        <w:snapToGrid w:val="0"/>
        <w:spacing w:line="360" w:lineRule="auto"/>
        <w:rPr>
          <w:rFonts w:hAnsi="宋体"/>
          <w:b/>
        </w:rPr>
      </w:pPr>
      <w:r>
        <w:rPr>
          <w:rFonts w:hint="eastAsia" w:hAnsi="宋体"/>
          <w:b/>
        </w:rPr>
        <w:t>八、供应商认为需提供的其它资料</w:t>
      </w:r>
    </w:p>
    <w:p>
      <w:pPr>
        <w:pStyle w:val="27"/>
        <w:adjustRightInd w:val="0"/>
        <w:snapToGrid w:val="0"/>
        <w:spacing w:line="360" w:lineRule="auto"/>
        <w:rPr>
          <w:rFonts w:hAnsi="宋体"/>
          <w:b/>
        </w:rPr>
      </w:pPr>
      <w:r>
        <w:rPr>
          <w:rFonts w:hint="eastAsia" w:hAnsi="宋体"/>
          <w:b/>
        </w:rPr>
        <w:t>九、最后报价</w:t>
      </w:r>
    </w:p>
    <w:p>
      <w:pPr>
        <w:pStyle w:val="27"/>
        <w:adjustRightInd w:val="0"/>
        <w:snapToGrid w:val="0"/>
        <w:spacing w:line="360" w:lineRule="auto"/>
        <w:rPr>
          <w:rFonts w:hAnsi="宋体"/>
          <w:b/>
        </w:rPr>
      </w:pPr>
    </w:p>
    <w:p>
      <w:pPr>
        <w:pStyle w:val="4"/>
        <w:rPr>
          <w:rFonts w:ascii="黑体" w:eastAsia="黑体"/>
          <w:sz w:val="32"/>
          <w:szCs w:val="32"/>
        </w:rPr>
      </w:pPr>
    </w:p>
    <w:p/>
    <w:p>
      <w:pPr>
        <w:pStyle w:val="2"/>
        <w:ind w:firstLine="480"/>
        <w:rPr>
          <w:rFonts w:hint="eastAsia"/>
        </w:rPr>
      </w:pPr>
    </w:p>
    <w:p>
      <w:pPr>
        <w:pStyle w:val="4"/>
        <w:rPr>
          <w:rFonts w:hint="eastAsia"/>
        </w:rPr>
      </w:pPr>
    </w:p>
    <w:p/>
    <w:p>
      <w:pPr>
        <w:pStyle w:val="2"/>
        <w:ind w:firstLine="480"/>
      </w:pPr>
    </w:p>
    <w:p>
      <w:pPr>
        <w:pStyle w:val="2"/>
        <w:spacing w:line="360" w:lineRule="auto"/>
        <w:ind w:firstLine="480"/>
      </w:pPr>
    </w:p>
    <w:p>
      <w:pPr>
        <w:adjustRightInd w:val="0"/>
        <w:snapToGrid w:val="0"/>
        <w:spacing w:line="360" w:lineRule="auto"/>
        <w:jc w:val="center"/>
        <w:rPr>
          <w:rFonts w:hint="eastAsia" w:ascii="宋体" w:hAnsi="宋体" w:cs="Courier New"/>
          <w:b/>
          <w:bCs/>
          <w:sz w:val="72"/>
          <w:szCs w:val="72"/>
        </w:rPr>
      </w:pPr>
    </w:p>
    <w:p>
      <w:pPr>
        <w:adjustRightInd w:val="0"/>
        <w:snapToGrid w:val="0"/>
        <w:spacing w:line="360" w:lineRule="auto"/>
        <w:jc w:val="center"/>
        <w:rPr>
          <w:rFonts w:ascii="宋体" w:hAnsi="宋体" w:cs="Courier New"/>
          <w:b/>
          <w:bCs/>
          <w:sz w:val="72"/>
          <w:szCs w:val="72"/>
        </w:rPr>
      </w:pPr>
      <w:r>
        <w:rPr>
          <w:rFonts w:hint="eastAsia" w:ascii="宋体" w:hAnsi="宋体" w:cs="Courier New"/>
          <w:b/>
          <w:bCs/>
          <w:sz w:val="72"/>
          <w:szCs w:val="72"/>
        </w:rPr>
        <w:t>政府采购</w:t>
      </w:r>
    </w:p>
    <w:p>
      <w:pPr>
        <w:adjustRightInd w:val="0"/>
        <w:snapToGrid w:val="0"/>
        <w:spacing w:line="360" w:lineRule="auto"/>
        <w:jc w:val="center"/>
        <w:rPr>
          <w:rFonts w:ascii="宋体" w:hAnsi="宋体"/>
          <w:b/>
          <w:bCs/>
          <w:sz w:val="84"/>
          <w:szCs w:val="84"/>
        </w:rPr>
      </w:pPr>
      <w:r>
        <w:rPr>
          <w:rFonts w:hint="eastAsia" w:ascii="宋体" w:hAnsi="宋体"/>
          <w:b/>
          <w:bCs/>
          <w:sz w:val="84"/>
          <w:szCs w:val="84"/>
        </w:rPr>
        <w:t>响 应 文 件</w:t>
      </w:r>
    </w:p>
    <w:p>
      <w:pPr>
        <w:adjustRightInd w:val="0"/>
        <w:snapToGrid w:val="0"/>
        <w:spacing w:line="360" w:lineRule="auto"/>
        <w:rPr>
          <w:rFonts w:ascii="黑体" w:hAnsi="黑体" w:eastAsia="黑体"/>
          <w:b/>
          <w:sz w:val="32"/>
          <w:szCs w:val="32"/>
        </w:rPr>
      </w:pPr>
    </w:p>
    <w:p>
      <w:pPr>
        <w:adjustRightInd w:val="0"/>
        <w:snapToGrid w:val="0"/>
        <w:spacing w:line="360" w:lineRule="auto"/>
        <w:rPr>
          <w:rFonts w:ascii="宋体" w:hAnsi="宋体"/>
          <w:b/>
          <w:sz w:val="30"/>
          <w:szCs w:val="30"/>
        </w:rPr>
      </w:pPr>
    </w:p>
    <w:p>
      <w:pPr>
        <w:adjustRightInd w:val="0"/>
        <w:snapToGrid w:val="0"/>
        <w:spacing w:line="360" w:lineRule="auto"/>
        <w:ind w:firstLine="1988" w:firstLineChars="660"/>
        <w:rPr>
          <w:rFonts w:ascii="宋体" w:hAnsi="宋体" w:cs="Courier New"/>
          <w:b/>
          <w:bCs/>
          <w:sz w:val="30"/>
          <w:szCs w:val="30"/>
          <w:u w:val="single"/>
        </w:rPr>
      </w:pPr>
      <w:r>
        <w:rPr>
          <w:rFonts w:hint="eastAsia" w:ascii="宋体" w:hAnsi="宋体" w:cs="Courier New"/>
          <w:b/>
          <w:bCs/>
          <w:sz w:val="30"/>
          <w:szCs w:val="30"/>
        </w:rPr>
        <w:t>采购项目名称:</w:t>
      </w:r>
    </w:p>
    <w:p>
      <w:pPr>
        <w:adjustRightInd w:val="0"/>
        <w:snapToGrid w:val="0"/>
        <w:spacing w:line="360" w:lineRule="auto"/>
        <w:ind w:firstLine="1988" w:firstLineChars="660"/>
        <w:rPr>
          <w:rFonts w:ascii="宋体" w:hAnsi="宋体" w:cs="Courier New"/>
          <w:b/>
          <w:bCs/>
          <w:sz w:val="30"/>
          <w:szCs w:val="30"/>
        </w:rPr>
      </w:pPr>
      <w:r>
        <w:rPr>
          <w:rFonts w:hint="eastAsia" w:ascii="宋体" w:hAnsi="宋体" w:cs="Courier New"/>
          <w:b/>
          <w:bCs/>
          <w:sz w:val="30"/>
          <w:szCs w:val="30"/>
        </w:rPr>
        <w:t>采   购   人：</w:t>
      </w:r>
    </w:p>
    <w:p>
      <w:pPr>
        <w:adjustRightInd w:val="0"/>
        <w:snapToGrid w:val="0"/>
        <w:spacing w:line="360" w:lineRule="auto"/>
        <w:ind w:firstLine="1988" w:firstLineChars="660"/>
        <w:rPr>
          <w:rFonts w:ascii="宋体" w:hAnsi="宋体" w:cs="Courier New"/>
          <w:b/>
          <w:bCs/>
          <w:sz w:val="30"/>
          <w:szCs w:val="30"/>
          <w:u w:val="single"/>
        </w:rPr>
      </w:pPr>
      <w:r>
        <w:rPr>
          <w:rFonts w:hint="eastAsia" w:ascii="宋体" w:hAnsi="宋体" w:cs="Courier New"/>
          <w:b/>
          <w:bCs/>
          <w:sz w:val="30"/>
          <w:szCs w:val="30"/>
        </w:rPr>
        <w:t>委托代理编号:</w:t>
      </w:r>
    </w:p>
    <w:p>
      <w:pPr>
        <w:adjustRightInd w:val="0"/>
        <w:snapToGrid w:val="0"/>
        <w:spacing w:line="360" w:lineRule="auto"/>
        <w:ind w:firstLine="1988" w:firstLineChars="660"/>
        <w:rPr>
          <w:rFonts w:ascii="宋体" w:hAnsi="宋体" w:cs="Courier New"/>
          <w:b/>
          <w:bCs/>
          <w:sz w:val="30"/>
          <w:szCs w:val="30"/>
          <w:u w:val="single"/>
        </w:rPr>
      </w:pPr>
      <w:r>
        <w:rPr>
          <w:rFonts w:hint="eastAsia" w:ascii="宋体" w:hAnsi="宋体" w:cs="Courier New"/>
          <w:b/>
          <w:bCs/>
          <w:sz w:val="30"/>
          <w:szCs w:val="30"/>
        </w:rPr>
        <w:t>采购代理机构：</w:t>
      </w:r>
    </w:p>
    <w:p>
      <w:pPr>
        <w:adjustRightInd w:val="0"/>
        <w:snapToGrid w:val="0"/>
        <w:spacing w:line="360" w:lineRule="auto"/>
        <w:rPr>
          <w:rFonts w:hint="default" w:ascii="黑体" w:hAnsi="黑体" w:eastAsia="黑体"/>
          <w:sz w:val="30"/>
          <w:szCs w:val="30"/>
          <w:lang w:val="en-US" w:eastAsia="zh-CN"/>
        </w:rPr>
      </w:pPr>
      <w:r>
        <w:rPr>
          <w:rFonts w:hint="eastAsia" w:ascii="黑体" w:hAnsi="黑体" w:eastAsia="黑体"/>
          <w:sz w:val="30"/>
          <w:szCs w:val="30"/>
          <w:lang w:val="en-US" w:eastAsia="zh-CN"/>
        </w:rPr>
        <w:t xml:space="preserve">             包号：</w:t>
      </w:r>
    </w:p>
    <w:p>
      <w:pPr>
        <w:adjustRightInd w:val="0"/>
        <w:snapToGrid w:val="0"/>
        <w:rPr>
          <w:rFonts w:ascii="黑体" w:hAnsi="宋体" w:eastAsia="黑体"/>
          <w:sz w:val="30"/>
          <w:szCs w:val="30"/>
        </w:rPr>
      </w:pPr>
    </w:p>
    <w:p>
      <w:pPr>
        <w:adjustRightInd w:val="0"/>
        <w:snapToGrid w:val="0"/>
        <w:spacing w:line="360" w:lineRule="auto"/>
        <w:rPr>
          <w:rFonts w:ascii="黑体" w:hAnsi="宋体" w:eastAsia="黑体"/>
          <w:sz w:val="30"/>
          <w:szCs w:val="30"/>
        </w:rPr>
      </w:pPr>
    </w:p>
    <w:p>
      <w:pPr>
        <w:adjustRightInd w:val="0"/>
        <w:snapToGrid w:val="0"/>
        <w:spacing w:line="360" w:lineRule="auto"/>
        <w:rPr>
          <w:rFonts w:ascii="黑体" w:hAnsi="宋体" w:eastAsia="黑体"/>
          <w:sz w:val="30"/>
          <w:szCs w:val="30"/>
        </w:rPr>
      </w:pPr>
    </w:p>
    <w:p>
      <w:pPr>
        <w:adjustRightInd w:val="0"/>
        <w:snapToGrid w:val="0"/>
        <w:spacing w:line="360" w:lineRule="auto"/>
        <w:rPr>
          <w:rFonts w:ascii="黑体" w:hAnsi="宋体" w:eastAsia="黑体"/>
          <w:sz w:val="30"/>
          <w:szCs w:val="30"/>
        </w:rPr>
      </w:pPr>
    </w:p>
    <w:p>
      <w:pPr>
        <w:adjustRightInd w:val="0"/>
        <w:snapToGrid w:val="0"/>
        <w:spacing w:line="360" w:lineRule="auto"/>
        <w:ind w:firstLine="1984" w:firstLineChars="620"/>
        <w:rPr>
          <w:rFonts w:ascii="黑体" w:hAnsi="黑体" w:eastAsia="黑体"/>
          <w:sz w:val="32"/>
          <w:szCs w:val="32"/>
          <w:u w:val="single"/>
        </w:rPr>
      </w:pPr>
      <w:r>
        <w:rPr>
          <w:rFonts w:hint="eastAsia" w:ascii="黑体" w:hAnsi="黑体" w:eastAsia="黑体"/>
          <w:sz w:val="32"/>
          <w:szCs w:val="32"/>
        </w:rPr>
        <w:t>供应商</w:t>
      </w:r>
    </w:p>
    <w:p>
      <w:pPr>
        <w:jc w:val="center"/>
        <w:rPr>
          <w:rFonts w:ascii="黑体" w:hAnsi="黑体" w:eastAsia="黑体"/>
          <w:sz w:val="32"/>
          <w:szCs w:val="32"/>
        </w:rPr>
      </w:pPr>
      <w:r>
        <w:rPr>
          <w:rFonts w:hint="eastAsia" w:ascii="黑体" w:hAnsi="黑体" w:eastAsia="黑体"/>
          <w:sz w:val="32"/>
          <w:szCs w:val="32"/>
        </w:rPr>
        <w:t>年  月  日</w:t>
      </w:r>
    </w:p>
    <w:p>
      <w:pPr>
        <w:jc w:val="center"/>
        <w:rPr>
          <w:rFonts w:ascii="黑体" w:hAnsi="黑体" w:eastAsia="黑体"/>
          <w:sz w:val="32"/>
          <w:szCs w:val="32"/>
        </w:rPr>
        <w:sectPr>
          <w:headerReference r:id="rId8" w:type="default"/>
          <w:footerReference r:id="rId9" w:type="default"/>
          <w:pgSz w:w="11906" w:h="16838"/>
          <w:pgMar w:top="1474" w:right="1474" w:bottom="1474" w:left="1588" w:header="851" w:footer="992" w:gutter="0"/>
          <w:cols w:space="720" w:num="1"/>
          <w:docGrid w:type="lines" w:linePitch="312" w:charSpace="0"/>
        </w:sectPr>
      </w:pPr>
    </w:p>
    <w:p>
      <w:pPr>
        <w:spacing w:line="360" w:lineRule="auto"/>
        <w:jc w:val="center"/>
        <w:rPr>
          <w:rFonts w:ascii="黑体" w:eastAsia="黑体"/>
          <w:b/>
          <w:sz w:val="32"/>
          <w:szCs w:val="32"/>
        </w:rPr>
      </w:pPr>
      <w:r>
        <w:rPr>
          <w:rFonts w:hint="eastAsia" w:ascii="黑体" w:eastAsia="黑体"/>
          <w:b/>
          <w:sz w:val="32"/>
          <w:szCs w:val="32"/>
        </w:rPr>
        <w:t>一、</w:t>
      </w:r>
      <w:r>
        <w:rPr>
          <w:rFonts w:hint="eastAsia" w:ascii="黑体" w:hAnsi="宋体" w:eastAsia="黑体"/>
          <w:b/>
          <w:sz w:val="32"/>
          <w:szCs w:val="32"/>
        </w:rPr>
        <w:t>磋商响应声明</w:t>
      </w:r>
    </w:p>
    <w:p>
      <w:pPr>
        <w:adjustRightInd w:val="0"/>
        <w:snapToGrid w:val="0"/>
        <w:spacing w:line="360" w:lineRule="auto"/>
        <w:rPr>
          <w:rFonts w:ascii="宋体" w:hAnsi="宋体"/>
          <w:szCs w:val="21"/>
        </w:rPr>
      </w:pPr>
      <w:r>
        <w:rPr>
          <w:rFonts w:hint="eastAsia" w:ascii="宋体" w:hAnsi="宋体"/>
          <w:szCs w:val="21"/>
        </w:rPr>
        <w:t>致 (采购人或采购代理机构)：</w:t>
      </w:r>
    </w:p>
    <w:p>
      <w:pPr>
        <w:adjustRightInd w:val="0"/>
        <w:snapToGrid w:val="0"/>
        <w:spacing w:line="400" w:lineRule="exact"/>
        <w:ind w:firstLine="420" w:firstLineChars="200"/>
        <w:rPr>
          <w:rFonts w:ascii="宋体" w:hAnsi="宋体"/>
          <w:szCs w:val="21"/>
        </w:rPr>
      </w:pPr>
      <w:r>
        <w:rPr>
          <w:rFonts w:hint="eastAsia" w:ascii="宋体" w:hAnsi="宋体"/>
          <w:szCs w:val="21"/>
        </w:rPr>
        <w:t>我方已仔细研究了</w:t>
      </w:r>
      <w:r>
        <w:rPr>
          <w:rFonts w:hint="eastAsia" w:ascii="宋体" w:hAnsi="宋体"/>
          <w:szCs w:val="21"/>
          <w:u w:val="single"/>
        </w:rPr>
        <w:t xml:space="preserve">                 (</w:t>
      </w:r>
      <w:r>
        <w:rPr>
          <w:rFonts w:hint="eastAsia" w:ascii="宋体" w:hAnsi="宋体"/>
          <w:szCs w:val="21"/>
        </w:rPr>
        <w:t>项目名称)的竞争性磋商文件（委托代理编号：）的全部内容，</w:t>
      </w:r>
      <w:r>
        <w:rPr>
          <w:rFonts w:hint="eastAsia" w:hAnsi="宋体"/>
        </w:rPr>
        <w:t>知悉参加竞争性磋商的风险，我方承诺接受磋商文件的全部条款且无任何异议。</w:t>
      </w:r>
    </w:p>
    <w:p>
      <w:pPr>
        <w:pStyle w:val="27"/>
        <w:adjustRightInd w:val="0"/>
        <w:snapToGrid w:val="0"/>
        <w:spacing w:line="400" w:lineRule="exact"/>
        <w:ind w:firstLine="420" w:firstLineChars="200"/>
        <w:rPr>
          <w:rFonts w:hAnsi="宋体"/>
        </w:rPr>
      </w:pPr>
      <w:r>
        <w:rPr>
          <w:rFonts w:hint="eastAsia" w:hAnsi="宋体"/>
        </w:rPr>
        <w:t>一、我方同意在磋商文件中规定的提交首次响应文件截止时间起日内(响应文件有效期)遵守本响应文件中的承诺且在此期限期满之前均具有法律约束力。</w:t>
      </w:r>
    </w:p>
    <w:p>
      <w:pPr>
        <w:pStyle w:val="27"/>
        <w:adjustRightInd w:val="0"/>
        <w:snapToGrid w:val="0"/>
        <w:spacing w:line="400" w:lineRule="exact"/>
        <w:ind w:firstLine="420" w:firstLineChars="200"/>
        <w:rPr>
          <w:rFonts w:hAnsi="宋体"/>
        </w:rPr>
      </w:pPr>
      <w:r>
        <w:rPr>
          <w:rFonts w:hint="eastAsia" w:hAnsi="宋体"/>
        </w:rPr>
        <w:t>二、我方提交响应文件正本一份和副本一式份，并保证响应文件提供的数据和资料全部内容真实、合法、准确和完整，我们对此负责，并愿承担由此引起的法律责任。</w:t>
      </w:r>
    </w:p>
    <w:p>
      <w:pPr>
        <w:pStyle w:val="27"/>
        <w:adjustRightInd w:val="0"/>
        <w:snapToGrid w:val="0"/>
        <w:spacing w:line="400" w:lineRule="exact"/>
        <w:ind w:firstLine="420" w:firstLineChars="200"/>
        <w:rPr>
          <w:rFonts w:hAnsi="宋体"/>
        </w:rPr>
      </w:pPr>
      <w:r>
        <w:rPr>
          <w:rFonts w:hint="eastAsia" w:hAnsi="宋体"/>
        </w:rPr>
        <w:t>三、我方愿意向贵方提供任何与本项采购有关的数据、情况和技术资料。若贵方需要，我方愿意提供我方作出的一切承诺的证明资料。</w:t>
      </w:r>
    </w:p>
    <w:p>
      <w:pPr>
        <w:pStyle w:val="27"/>
        <w:adjustRightInd w:val="0"/>
        <w:snapToGrid w:val="0"/>
        <w:spacing w:line="400" w:lineRule="exact"/>
        <w:ind w:firstLine="420" w:firstLineChars="200"/>
        <w:rPr>
          <w:rFonts w:hAnsi="宋体"/>
        </w:rPr>
      </w:pPr>
      <w:r>
        <w:rPr>
          <w:rFonts w:hint="eastAsia" w:hAnsi="宋体"/>
        </w:rPr>
        <w:t>四、我方愿意按磋商文件规定和磋商小组要求重新提交响应文件和最后报价。</w:t>
      </w:r>
    </w:p>
    <w:p>
      <w:pPr>
        <w:pStyle w:val="27"/>
        <w:adjustRightInd w:val="0"/>
        <w:snapToGrid w:val="0"/>
        <w:spacing w:line="400" w:lineRule="exact"/>
        <w:ind w:firstLine="420" w:firstLineChars="200"/>
        <w:rPr>
          <w:rFonts w:hAnsi="宋体"/>
        </w:rPr>
      </w:pPr>
      <w:r>
        <w:rPr>
          <w:rFonts w:hint="eastAsia" w:hAnsi="宋体"/>
        </w:rPr>
        <w:t>五、我方承诺遵守《中华人民共和国政府采购法》的有关规定，保证在获得成交资格后，按照磋商文件确定的事项签订政府采购合同，履行双方所签订的合同，并承担合同规定的责任和义务。</w:t>
      </w:r>
    </w:p>
    <w:p>
      <w:pPr>
        <w:pStyle w:val="27"/>
        <w:adjustRightInd w:val="0"/>
        <w:snapToGrid w:val="0"/>
        <w:spacing w:line="400" w:lineRule="exact"/>
        <w:ind w:firstLine="420" w:firstLineChars="200"/>
        <w:rPr>
          <w:rFonts w:hAnsi="宋体"/>
          <w:color w:val="000000"/>
        </w:rPr>
      </w:pPr>
      <w:r>
        <w:rPr>
          <w:rFonts w:hint="eastAsia" w:hAnsi="宋体"/>
        </w:rPr>
        <w:t>六、</w:t>
      </w:r>
      <w:r>
        <w:rPr>
          <w:rFonts w:hint="eastAsia" w:hAnsi="宋体"/>
          <w:color w:val="000000"/>
        </w:rPr>
        <w:t xml:space="preserve">我方在此声明： </w:t>
      </w:r>
    </w:p>
    <w:p>
      <w:pPr>
        <w:pStyle w:val="27"/>
        <w:adjustRightInd w:val="0"/>
        <w:snapToGrid w:val="0"/>
        <w:spacing w:line="400" w:lineRule="exact"/>
        <w:ind w:firstLine="420" w:firstLineChars="200"/>
        <w:rPr>
          <w:rFonts w:hAnsi="宋体"/>
          <w:color w:val="000000"/>
        </w:rPr>
      </w:pPr>
      <w:r>
        <w:rPr>
          <w:rFonts w:hint="eastAsia" w:hAnsi="宋体"/>
          <w:color w:val="000000"/>
        </w:rPr>
        <w:t>（一）我方与采购人或采购代理机构不存在隶属关系或者其他利害关系。</w:t>
      </w:r>
    </w:p>
    <w:p>
      <w:pPr>
        <w:pStyle w:val="27"/>
        <w:adjustRightInd w:val="0"/>
        <w:snapToGrid w:val="0"/>
        <w:spacing w:line="400" w:lineRule="exact"/>
        <w:ind w:firstLine="420" w:firstLineChars="200"/>
        <w:rPr>
          <w:rFonts w:hAnsi="宋体"/>
          <w:color w:val="000000"/>
        </w:rPr>
      </w:pPr>
      <w:r>
        <w:rPr>
          <w:rFonts w:hint="eastAsia" w:hAnsi="宋体"/>
          <w:color w:val="000000"/>
        </w:rPr>
        <w:t>（二）我方与参加本项目的其他供应商不存在直接控股、管理关系，或者与其他供应商法定代表人（或者负责人）为同一人。</w:t>
      </w:r>
    </w:p>
    <w:p>
      <w:pPr>
        <w:pStyle w:val="27"/>
        <w:adjustRightInd w:val="0"/>
        <w:snapToGrid w:val="0"/>
        <w:spacing w:line="400" w:lineRule="exact"/>
        <w:ind w:firstLine="420" w:firstLineChars="200"/>
        <w:rPr>
          <w:rFonts w:hAnsi="宋体"/>
          <w:color w:val="000000"/>
        </w:rPr>
      </w:pPr>
      <w:r>
        <w:rPr>
          <w:rFonts w:hint="eastAsia" w:hAnsi="宋体"/>
          <w:color w:val="000000"/>
        </w:rPr>
        <w:t>（三）我方未为本项目前期准备提供设计或咨询服务。</w:t>
      </w:r>
    </w:p>
    <w:p>
      <w:pPr>
        <w:pStyle w:val="27"/>
        <w:adjustRightInd w:val="0"/>
        <w:snapToGrid w:val="0"/>
        <w:spacing w:line="400" w:lineRule="exact"/>
        <w:ind w:firstLine="420" w:firstLineChars="200"/>
        <w:rPr>
          <w:rFonts w:hAnsi="宋体"/>
          <w:color w:val="000000"/>
        </w:rPr>
      </w:pPr>
      <w:r>
        <w:rPr>
          <w:rFonts w:hint="eastAsia" w:hAnsi="宋体"/>
          <w:color w:val="000000"/>
        </w:rPr>
        <w:t>（四）我方承诺（承诺期：成立三年以上的，为提交首次响应文件截止时间前三年内；成立不足三年的，为实际时间）：</w:t>
      </w:r>
    </w:p>
    <w:p>
      <w:pPr>
        <w:pStyle w:val="27"/>
        <w:adjustRightInd w:val="0"/>
        <w:snapToGrid w:val="0"/>
        <w:spacing w:line="400" w:lineRule="exact"/>
        <w:ind w:firstLine="420" w:firstLineChars="200"/>
        <w:rPr>
          <w:rFonts w:hAnsi="宋体"/>
          <w:color w:val="000000"/>
        </w:rPr>
      </w:pPr>
      <w:r>
        <w:rPr>
          <w:rFonts w:hint="eastAsia" w:hAnsi="宋体"/>
          <w:color w:val="000000"/>
        </w:rPr>
        <w:t>1、我方依法缴纳了各项税费及各项社会保障资金，没有偷税、漏税及欠缴行为。</w:t>
      </w:r>
    </w:p>
    <w:p>
      <w:pPr>
        <w:pStyle w:val="27"/>
        <w:adjustRightInd w:val="0"/>
        <w:snapToGrid w:val="0"/>
        <w:spacing w:line="400" w:lineRule="exact"/>
        <w:ind w:firstLine="420" w:firstLineChars="200"/>
        <w:rPr>
          <w:rFonts w:hAnsi="宋体"/>
          <w:color w:val="000000"/>
        </w:rPr>
      </w:pPr>
      <w:r>
        <w:rPr>
          <w:rFonts w:hint="eastAsia" w:hAnsi="宋体"/>
          <w:color w:val="000000"/>
        </w:rPr>
        <w:t>2、我方在经营活动中没有存在下列重大违法记录：</w:t>
      </w:r>
    </w:p>
    <w:p>
      <w:pPr>
        <w:pStyle w:val="27"/>
        <w:adjustRightInd w:val="0"/>
        <w:snapToGrid w:val="0"/>
        <w:spacing w:line="400" w:lineRule="exact"/>
        <w:ind w:firstLine="420" w:firstLineChars="200"/>
        <w:rPr>
          <w:rFonts w:hAnsi="宋体"/>
          <w:color w:val="000000"/>
        </w:rPr>
      </w:pPr>
      <w:r>
        <w:rPr>
          <w:rFonts w:hint="eastAsia" w:hAnsi="宋体"/>
          <w:color w:val="000000"/>
        </w:rPr>
        <w:t>(1)受到刑事处罚；</w:t>
      </w:r>
    </w:p>
    <w:p>
      <w:pPr>
        <w:pStyle w:val="27"/>
        <w:adjustRightInd w:val="0"/>
        <w:snapToGrid w:val="0"/>
        <w:spacing w:line="400" w:lineRule="exact"/>
        <w:ind w:firstLine="420" w:firstLineChars="200"/>
        <w:rPr>
          <w:rFonts w:hAnsi="宋体"/>
          <w:color w:val="000000"/>
        </w:rPr>
      </w:pPr>
      <w:r>
        <w:rPr>
          <w:rFonts w:hint="eastAsia" w:hAnsi="宋体"/>
          <w:color w:val="000000"/>
        </w:rPr>
        <w:t>(2)受到三万元以上的罚款、责令停产停业、在一至三年内禁止参加政府采购活动、暂扣或者吊销许可证、暂扣或者吊销执照的行政处罚。</w:t>
      </w:r>
    </w:p>
    <w:p>
      <w:pPr>
        <w:adjustRightInd w:val="0"/>
        <w:snapToGrid w:val="0"/>
        <w:spacing w:line="400" w:lineRule="exact"/>
        <w:ind w:right="24"/>
        <w:rPr>
          <w:rFonts w:ascii="宋体" w:hAnsi="宋体"/>
          <w:szCs w:val="21"/>
        </w:rPr>
      </w:pPr>
      <w:r>
        <w:rPr>
          <w:rFonts w:hint="eastAsia" w:ascii="宋体" w:hAnsi="宋体"/>
          <w:bCs/>
          <w:szCs w:val="21"/>
        </w:rPr>
        <w:t>附件1：</w:t>
      </w:r>
      <w:r>
        <w:rPr>
          <w:rFonts w:hint="eastAsia" w:ascii="宋体" w:hAnsi="宋体"/>
          <w:szCs w:val="21"/>
        </w:rPr>
        <w:t>法定代表人身份证明</w:t>
      </w:r>
    </w:p>
    <w:p>
      <w:pPr>
        <w:adjustRightInd w:val="0"/>
        <w:snapToGrid w:val="0"/>
        <w:spacing w:line="400" w:lineRule="exact"/>
        <w:ind w:right="24"/>
        <w:rPr>
          <w:rFonts w:ascii="宋体" w:hAnsi="宋体"/>
          <w:szCs w:val="21"/>
        </w:rPr>
      </w:pPr>
      <w:r>
        <w:rPr>
          <w:rFonts w:hint="eastAsia" w:ascii="宋体" w:hAnsi="宋体"/>
          <w:bCs/>
          <w:szCs w:val="21"/>
        </w:rPr>
        <w:t>附件2</w:t>
      </w:r>
      <w:r>
        <w:rPr>
          <w:rFonts w:hint="eastAsia" w:ascii="宋体" w:hAnsi="宋体"/>
          <w:szCs w:val="21"/>
        </w:rPr>
        <w:t>：法定代表人授权书</w:t>
      </w:r>
    </w:p>
    <w:p>
      <w:pPr>
        <w:pStyle w:val="27"/>
        <w:adjustRightInd w:val="0"/>
        <w:snapToGrid w:val="0"/>
        <w:spacing w:line="400" w:lineRule="exact"/>
        <w:rPr>
          <w:rFonts w:hAnsi="宋体"/>
        </w:rPr>
      </w:pPr>
      <w:r>
        <w:rPr>
          <w:rFonts w:hint="eastAsia" w:hAnsi="宋体"/>
        </w:rPr>
        <w:t>供应商名称(盖单位章)：</w:t>
      </w:r>
    </w:p>
    <w:p>
      <w:pPr>
        <w:adjustRightInd w:val="0"/>
        <w:snapToGrid w:val="0"/>
        <w:spacing w:line="360" w:lineRule="auto"/>
        <w:rPr>
          <w:rFonts w:ascii="宋体" w:hAnsi="宋体"/>
          <w:szCs w:val="21"/>
        </w:rPr>
      </w:pPr>
      <w:r>
        <w:rPr>
          <w:rFonts w:hint="eastAsia" w:ascii="宋体" w:hAnsi="宋体"/>
          <w:szCs w:val="21"/>
        </w:rPr>
        <w:t>法定代表人或其委托代理人 (签字)：</w:t>
      </w:r>
    </w:p>
    <w:p>
      <w:pPr>
        <w:adjustRightInd w:val="0"/>
        <w:snapToGrid w:val="0"/>
        <w:spacing w:line="360" w:lineRule="auto"/>
        <w:rPr>
          <w:rFonts w:ascii="宋体" w:hAnsi="宋体"/>
          <w:szCs w:val="21"/>
        </w:rPr>
      </w:pPr>
      <w:r>
        <w:rPr>
          <w:rFonts w:hint="eastAsia" w:ascii="宋体" w:hAnsi="宋体"/>
          <w:szCs w:val="21"/>
        </w:rPr>
        <w:t>日     期：年月日</w:t>
      </w:r>
    </w:p>
    <w:p>
      <w:pPr>
        <w:adjustRightInd w:val="0"/>
        <w:snapToGrid w:val="0"/>
        <w:spacing w:line="360" w:lineRule="auto"/>
        <w:ind w:right="24"/>
        <w:rPr>
          <w:rFonts w:ascii="黑体" w:hAnsi="黑体" w:eastAsia="黑体"/>
          <w:bCs/>
          <w:sz w:val="30"/>
          <w:szCs w:val="30"/>
        </w:rPr>
      </w:pPr>
    </w:p>
    <w:p>
      <w:pPr>
        <w:adjustRightInd w:val="0"/>
        <w:snapToGrid w:val="0"/>
        <w:spacing w:line="360" w:lineRule="auto"/>
        <w:ind w:right="24"/>
        <w:rPr>
          <w:rFonts w:ascii="黑体" w:hAnsi="黑体" w:eastAsia="黑体"/>
          <w:bCs/>
          <w:sz w:val="30"/>
          <w:szCs w:val="30"/>
        </w:rPr>
      </w:pPr>
    </w:p>
    <w:p>
      <w:pPr>
        <w:adjustRightInd w:val="0"/>
        <w:snapToGrid w:val="0"/>
        <w:spacing w:line="360" w:lineRule="auto"/>
        <w:ind w:right="24"/>
        <w:rPr>
          <w:rFonts w:ascii="黑体" w:hAnsi="黑体" w:eastAsia="黑体"/>
          <w:bCs/>
          <w:sz w:val="30"/>
          <w:szCs w:val="30"/>
        </w:rPr>
      </w:pPr>
      <w:r>
        <w:rPr>
          <w:rFonts w:hint="eastAsia" w:ascii="黑体" w:hAnsi="黑体" w:eastAsia="黑体"/>
          <w:bCs/>
          <w:sz w:val="30"/>
          <w:szCs w:val="30"/>
        </w:rPr>
        <w:t>附件1</w:t>
      </w:r>
    </w:p>
    <w:p>
      <w:pPr>
        <w:spacing w:line="360" w:lineRule="auto"/>
        <w:jc w:val="center"/>
        <w:rPr>
          <w:rFonts w:ascii="黑体" w:hAnsi="黑体" w:eastAsia="黑体"/>
          <w:b/>
          <w:sz w:val="30"/>
          <w:szCs w:val="30"/>
        </w:rPr>
      </w:pPr>
      <w:r>
        <w:rPr>
          <w:rFonts w:hint="eastAsia" w:ascii="黑体" w:hAnsi="黑体" w:eastAsia="黑体"/>
          <w:b/>
          <w:sz w:val="30"/>
          <w:szCs w:val="30"/>
        </w:rPr>
        <w:t>法定代表人身份证明</w:t>
      </w:r>
    </w:p>
    <w:p>
      <w:pPr>
        <w:snapToGrid w:val="0"/>
        <w:spacing w:line="360" w:lineRule="auto"/>
        <w:rPr>
          <w:rFonts w:ascii="宋体" w:hAnsi="宋体"/>
          <w:szCs w:val="21"/>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szCs w:val="21"/>
        </w:rPr>
        <w:t>供应商</w:t>
      </w:r>
      <w:r>
        <w:rPr>
          <w:rFonts w:hint="eastAsia" w:ascii="宋体" w:hAnsi="宋体" w:cs="宋体"/>
          <w:kern w:val="0"/>
          <w:szCs w:val="21"/>
        </w:rPr>
        <w:t>名称：</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注册号：</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注册地址：</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成立时间： 年 月 日</w:t>
      </w:r>
    </w:p>
    <w:p>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经营期限：</w:t>
      </w:r>
    </w:p>
    <w:p>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经营范围：主营： ；兼营：</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姓名： 性别： 年龄： 系（</w:t>
      </w:r>
      <w:r>
        <w:rPr>
          <w:rFonts w:hint="eastAsia" w:ascii="宋体" w:hAnsi="宋体"/>
          <w:szCs w:val="21"/>
        </w:rPr>
        <w:t>供应商</w:t>
      </w:r>
      <w:r>
        <w:rPr>
          <w:rFonts w:hint="eastAsia" w:ascii="宋体" w:hAnsi="宋体" w:cs="宋体"/>
          <w:kern w:val="0"/>
          <w:szCs w:val="21"/>
        </w:rPr>
        <w:t>名称）的法定代表人。</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szCs w:val="21"/>
        </w:rPr>
        <w:t>附：法定代表人身份证复印件</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ind w:right="420"/>
        <w:rPr>
          <w:rFonts w:ascii="宋体" w:hAnsi="宋体"/>
          <w:szCs w:val="21"/>
        </w:rPr>
      </w:pPr>
      <w:r>
        <w:rPr>
          <w:rFonts w:hint="eastAsia" w:ascii="宋体" w:hAnsi="宋体"/>
          <w:szCs w:val="21"/>
        </w:rPr>
        <w:t>供应商名称（盖单位章）：</w:t>
      </w:r>
    </w:p>
    <w:p>
      <w:pPr>
        <w:adjustRightInd w:val="0"/>
        <w:snapToGrid w:val="0"/>
        <w:spacing w:line="360" w:lineRule="auto"/>
        <w:ind w:right="420"/>
        <w:rPr>
          <w:rFonts w:ascii="仿宋_GB2312" w:hAnsi="宋体" w:eastAsia="仿宋_GB2312"/>
          <w:szCs w:val="21"/>
        </w:rPr>
      </w:pPr>
      <w:r>
        <w:rPr>
          <w:rFonts w:hint="eastAsia" w:ascii="宋体" w:hAnsi="宋体"/>
          <w:szCs w:val="21"/>
        </w:rPr>
        <w:t xml:space="preserve">日期：年月日      </w:t>
      </w:r>
    </w:p>
    <w:p>
      <w:pPr>
        <w:adjustRightInd w:val="0"/>
        <w:snapToGrid w:val="0"/>
        <w:spacing w:line="360" w:lineRule="auto"/>
        <w:rPr>
          <w:rFonts w:ascii="仿宋_GB2312" w:hAnsi="宋体" w:eastAsia="仿宋_GB2312"/>
          <w:szCs w:val="21"/>
        </w:rPr>
      </w:pPr>
    </w:p>
    <w:p>
      <w:pPr>
        <w:spacing w:line="360" w:lineRule="auto"/>
        <w:rPr>
          <w:rFonts w:ascii="黑体" w:hAnsi="黑体" w:eastAsia="黑体"/>
          <w:bCs/>
          <w:sz w:val="30"/>
          <w:szCs w:val="30"/>
        </w:rPr>
      </w:pPr>
    </w:p>
    <w:p>
      <w:pPr>
        <w:adjustRightInd w:val="0"/>
        <w:snapToGrid w:val="0"/>
        <w:spacing w:line="360" w:lineRule="auto"/>
        <w:rPr>
          <w:rFonts w:ascii="黑体" w:hAnsi="黑体" w:eastAsia="黑体"/>
          <w:bCs/>
          <w:sz w:val="30"/>
          <w:szCs w:val="30"/>
        </w:rPr>
      </w:pPr>
    </w:p>
    <w:p>
      <w:pPr>
        <w:pStyle w:val="7"/>
        <w:spacing w:before="0" w:after="0" w:line="360" w:lineRule="auto"/>
        <w:rPr>
          <w:rFonts w:ascii="黑体" w:hAnsi="黑体" w:eastAsia="黑体"/>
          <w:bCs w:val="0"/>
          <w:sz w:val="30"/>
          <w:szCs w:val="30"/>
        </w:rPr>
      </w:pPr>
    </w:p>
    <w:p>
      <w:pPr>
        <w:spacing w:line="360" w:lineRule="auto"/>
        <w:rPr>
          <w:rFonts w:ascii="黑体" w:hAnsi="黑体" w:eastAsia="黑体"/>
          <w:bCs/>
          <w:sz w:val="30"/>
          <w:szCs w:val="30"/>
        </w:rPr>
      </w:pPr>
    </w:p>
    <w:p>
      <w:pPr>
        <w:pStyle w:val="7"/>
        <w:spacing w:before="0" w:after="0" w:line="360" w:lineRule="auto"/>
        <w:rPr>
          <w:rFonts w:ascii="黑体" w:hAnsi="黑体" w:eastAsia="黑体"/>
          <w:bCs w:val="0"/>
          <w:sz w:val="30"/>
          <w:szCs w:val="30"/>
        </w:rPr>
      </w:pPr>
    </w:p>
    <w:p>
      <w:pPr>
        <w:rPr>
          <w:rFonts w:ascii="黑体" w:hAnsi="黑体" w:eastAsia="黑体"/>
          <w:sz w:val="30"/>
          <w:szCs w:val="30"/>
        </w:rPr>
      </w:pPr>
    </w:p>
    <w:p>
      <w:pPr>
        <w:pStyle w:val="2"/>
        <w:ind w:firstLine="480"/>
      </w:pPr>
    </w:p>
    <w:p>
      <w:pPr>
        <w:spacing w:line="360" w:lineRule="auto"/>
      </w:pPr>
    </w:p>
    <w:p>
      <w:pPr>
        <w:pStyle w:val="67"/>
        <w:spacing w:line="360" w:lineRule="auto"/>
        <w:ind w:firstLine="420"/>
      </w:pPr>
    </w:p>
    <w:p>
      <w:pPr>
        <w:adjustRightInd w:val="0"/>
        <w:snapToGrid w:val="0"/>
        <w:spacing w:line="360" w:lineRule="auto"/>
        <w:rPr>
          <w:rFonts w:ascii="黑体" w:hAnsi="黑体" w:eastAsia="黑体"/>
          <w:sz w:val="30"/>
          <w:szCs w:val="30"/>
        </w:rPr>
      </w:pPr>
      <w:r>
        <w:rPr>
          <w:rFonts w:hint="eastAsia" w:ascii="黑体" w:hAnsi="黑体" w:eastAsia="黑体"/>
          <w:bCs/>
          <w:sz w:val="30"/>
          <w:szCs w:val="30"/>
        </w:rPr>
        <w:t>附件2</w:t>
      </w:r>
    </w:p>
    <w:p>
      <w:pPr>
        <w:spacing w:line="360" w:lineRule="auto"/>
        <w:jc w:val="center"/>
        <w:rPr>
          <w:rFonts w:ascii="黑体" w:hAnsi="黑体" w:eastAsia="黑体"/>
          <w:b/>
          <w:sz w:val="30"/>
          <w:szCs w:val="30"/>
        </w:rPr>
      </w:pPr>
      <w:r>
        <w:rPr>
          <w:rFonts w:hint="eastAsia" w:ascii="黑体" w:hAnsi="黑体" w:eastAsia="黑体"/>
          <w:b/>
          <w:sz w:val="30"/>
          <w:szCs w:val="30"/>
        </w:rPr>
        <w:t>法定代表人授权委托书</w:t>
      </w:r>
    </w:p>
    <w:p>
      <w:pPr>
        <w:adjustRightInd w:val="0"/>
        <w:snapToGrid w:val="0"/>
        <w:spacing w:line="360" w:lineRule="auto"/>
        <w:jc w:val="center"/>
        <w:rPr>
          <w:rFonts w:ascii="黑体" w:hAnsi="华文中宋" w:eastAsia="黑体"/>
          <w:b/>
          <w:sz w:val="28"/>
          <w:szCs w:val="28"/>
        </w:rPr>
      </w:pP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本人（姓名、职务）系 （</w:t>
      </w:r>
      <w:r>
        <w:rPr>
          <w:rFonts w:hint="eastAsia" w:ascii="宋体" w:hAnsi="宋体"/>
          <w:szCs w:val="21"/>
        </w:rPr>
        <w:t>供应商</w:t>
      </w:r>
      <w:r>
        <w:rPr>
          <w:rFonts w:hint="eastAsia" w:ascii="宋体" w:hAnsi="宋体" w:cs="宋体"/>
          <w:kern w:val="0"/>
          <w:szCs w:val="21"/>
        </w:rPr>
        <w:t>名称）的法定代表人，现授权（姓名、职务）为我方代理人。代理人根据授权，以我方名义：(1)签署、澄清、补正、修改、撤回、提交（项目名称、采购代理机构编号）响应文件；(2)签署并重新提交响应文件及最后报价；(3)签订合同和处理有关事宜，其法律后果由我方承担；（4）询问、质疑、投诉等相关事项，其法律后果由我方承担。</w:t>
      </w:r>
    </w:p>
    <w:p>
      <w:pPr>
        <w:autoSpaceDE w:val="0"/>
        <w:autoSpaceDN w:val="0"/>
        <w:adjustRightInd w:val="0"/>
        <w:snapToGrid w:val="0"/>
        <w:spacing w:line="360" w:lineRule="auto"/>
        <w:ind w:firstLine="420" w:firstLineChars="200"/>
        <w:jc w:val="left"/>
        <w:rPr>
          <w:rFonts w:ascii="宋体" w:hAnsi="宋体" w:cs="宋体"/>
          <w:kern w:val="0"/>
          <w:szCs w:val="21"/>
        </w:rPr>
      </w:pP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委托期限： 。</w:t>
      </w:r>
    </w:p>
    <w:p>
      <w:pPr>
        <w:spacing w:line="360" w:lineRule="auto"/>
        <w:ind w:firstLine="435"/>
        <w:rPr>
          <w:rFonts w:ascii="宋体" w:hAnsi="宋体" w:cs="宋体"/>
          <w:kern w:val="0"/>
          <w:szCs w:val="21"/>
        </w:rPr>
      </w:pPr>
      <w:r>
        <w:rPr>
          <w:rFonts w:hint="eastAsia" w:ascii="宋体" w:hAnsi="宋体" w:cs="宋体"/>
          <w:kern w:val="0"/>
          <w:szCs w:val="21"/>
        </w:rPr>
        <w:t>代理人无转委托权。</w:t>
      </w:r>
    </w:p>
    <w:p>
      <w:pPr>
        <w:spacing w:line="360" w:lineRule="auto"/>
        <w:ind w:firstLine="435"/>
        <w:rPr>
          <w:rFonts w:ascii="宋体" w:hAnsi="宋体"/>
          <w:szCs w:val="21"/>
        </w:rPr>
      </w:pPr>
      <w:r>
        <w:rPr>
          <w:rFonts w:hint="eastAsia" w:ascii="宋体" w:hAnsi="宋体"/>
          <w:szCs w:val="21"/>
        </w:rPr>
        <w:t>本授权书于年月日签字生效，特此声明。</w:t>
      </w:r>
    </w:p>
    <w:p>
      <w:pPr>
        <w:adjustRightInd w:val="0"/>
        <w:snapToGrid w:val="0"/>
        <w:spacing w:line="360" w:lineRule="auto"/>
        <w:ind w:firstLine="420" w:firstLineChars="200"/>
        <w:rPr>
          <w:rFonts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p>
    <w:p>
      <w:pPr>
        <w:adjustRightInd w:val="0"/>
        <w:snapToGrid w:val="0"/>
        <w:spacing w:line="360" w:lineRule="auto"/>
        <w:ind w:right="420"/>
        <w:rPr>
          <w:rFonts w:ascii="宋体" w:hAnsi="宋体"/>
          <w:szCs w:val="21"/>
        </w:rPr>
      </w:pPr>
      <w:r>
        <w:rPr>
          <w:rFonts w:hint="eastAsia" w:ascii="宋体" w:hAnsi="宋体"/>
          <w:szCs w:val="21"/>
        </w:rPr>
        <w:t>法定代表人（签字）：</w:t>
      </w:r>
    </w:p>
    <w:p>
      <w:pPr>
        <w:adjustRightInd w:val="0"/>
        <w:snapToGrid w:val="0"/>
        <w:spacing w:line="360" w:lineRule="auto"/>
        <w:ind w:right="420"/>
        <w:rPr>
          <w:rFonts w:ascii="宋体" w:hAnsi="宋体"/>
          <w:szCs w:val="21"/>
        </w:rPr>
      </w:pPr>
      <w:r>
        <w:rPr>
          <w:rFonts w:hint="eastAsia" w:ascii="宋体" w:hAnsi="宋体"/>
          <w:szCs w:val="21"/>
        </w:rPr>
        <w:t>委托代理人（签字）：</w:t>
      </w:r>
    </w:p>
    <w:p>
      <w:pPr>
        <w:adjustRightInd w:val="0"/>
        <w:snapToGrid w:val="0"/>
        <w:spacing w:line="360" w:lineRule="auto"/>
        <w:ind w:right="24"/>
        <w:rPr>
          <w:rFonts w:ascii="宋体" w:hAnsi="宋体"/>
          <w:szCs w:val="21"/>
        </w:rPr>
      </w:pPr>
      <w:r>
        <w:rPr>
          <w:rFonts w:hint="eastAsia" w:ascii="宋体" w:hAnsi="宋体"/>
          <w:szCs w:val="21"/>
        </w:rPr>
        <w:t>日期：年月日</w:t>
      </w:r>
    </w:p>
    <w:p>
      <w:pPr>
        <w:spacing w:line="360" w:lineRule="auto"/>
        <w:rPr>
          <w:rFonts w:ascii="宋体"/>
          <w:b/>
        </w:rPr>
      </w:pPr>
    </w:p>
    <w:p>
      <w:pPr>
        <w:spacing w:line="360" w:lineRule="auto"/>
        <w:rPr>
          <w:rFonts w:ascii="宋体"/>
          <w:b/>
        </w:rPr>
      </w:pPr>
    </w:p>
    <w:p>
      <w:pPr>
        <w:spacing w:line="360" w:lineRule="auto"/>
        <w:rPr>
          <w:rFonts w:ascii="宋体"/>
          <w:b/>
        </w:rPr>
      </w:pPr>
    </w:p>
    <w:p>
      <w:pPr>
        <w:spacing w:line="360" w:lineRule="auto"/>
        <w:rPr>
          <w:rFonts w:ascii="宋体"/>
          <w:b/>
        </w:rPr>
      </w:pPr>
    </w:p>
    <w:p>
      <w:pPr>
        <w:spacing w:line="360" w:lineRule="auto"/>
        <w:rPr>
          <w:rFonts w:ascii="宋体"/>
          <w:b/>
        </w:rPr>
      </w:pPr>
    </w:p>
    <w:p>
      <w:pPr>
        <w:spacing w:line="360" w:lineRule="auto"/>
        <w:rPr>
          <w:rFonts w:ascii="宋体"/>
          <w:b/>
        </w:rPr>
      </w:pPr>
    </w:p>
    <w:p>
      <w:pPr>
        <w:spacing w:line="360" w:lineRule="auto"/>
        <w:rPr>
          <w:rFonts w:ascii="宋体"/>
          <w:b/>
        </w:rPr>
      </w:pPr>
    </w:p>
    <w:p>
      <w:pPr>
        <w:spacing w:line="360" w:lineRule="auto"/>
        <w:rPr>
          <w:rFonts w:ascii="宋体"/>
          <w:b/>
        </w:rPr>
      </w:pPr>
    </w:p>
    <w:p>
      <w:pPr>
        <w:spacing w:line="360" w:lineRule="auto"/>
        <w:rPr>
          <w:rFonts w:ascii="宋体"/>
          <w:b/>
        </w:rPr>
      </w:pPr>
    </w:p>
    <w:p>
      <w:pPr>
        <w:spacing w:line="360" w:lineRule="auto"/>
        <w:jc w:val="center"/>
        <w:rPr>
          <w:rFonts w:ascii="黑体" w:eastAsia="黑体"/>
          <w:b/>
          <w:sz w:val="32"/>
          <w:szCs w:val="32"/>
        </w:rPr>
      </w:pPr>
      <w:r>
        <w:rPr>
          <w:rFonts w:hint="eastAsia" w:ascii="黑体" w:eastAsia="黑体"/>
          <w:b/>
          <w:sz w:val="32"/>
          <w:szCs w:val="32"/>
        </w:rPr>
        <w:t>二</w:t>
      </w:r>
      <w:r>
        <w:rPr>
          <w:rFonts w:hint="eastAsia" w:ascii="黑体" w:hAnsi="宋体" w:eastAsia="黑体"/>
          <w:b/>
          <w:sz w:val="32"/>
          <w:szCs w:val="32"/>
        </w:rPr>
        <w:t>、磋商</w:t>
      </w:r>
      <w:r>
        <w:rPr>
          <w:rFonts w:hint="eastAsia" w:ascii="黑体" w:eastAsia="黑体"/>
          <w:b/>
          <w:sz w:val="32"/>
          <w:szCs w:val="32"/>
        </w:rPr>
        <w:t>保证金缴纳证明材料</w:t>
      </w:r>
    </w:p>
    <w:p>
      <w:pPr>
        <w:pStyle w:val="27"/>
        <w:adjustRightInd w:val="0"/>
        <w:snapToGrid w:val="0"/>
        <w:spacing w:line="360" w:lineRule="auto"/>
        <w:rPr>
          <w:rFonts w:hAnsi="宋体"/>
        </w:rPr>
      </w:pPr>
    </w:p>
    <w:p>
      <w:pPr>
        <w:numPr>
          <w:ilvl w:val="0"/>
          <w:numId w:val="8"/>
        </w:numPr>
        <w:adjustRightInd w:val="0"/>
        <w:snapToGrid w:val="0"/>
        <w:spacing w:line="360" w:lineRule="auto"/>
        <w:rPr>
          <w:rFonts w:ascii="宋体" w:hAnsi="宋体"/>
        </w:rPr>
      </w:pPr>
      <w:r>
        <w:rPr>
          <w:rFonts w:hint="eastAsia" w:ascii="宋体" w:hAnsi="宋体"/>
        </w:rPr>
        <w:t>提供付款凭证复印件。</w:t>
      </w:r>
    </w:p>
    <w:p>
      <w:pPr>
        <w:adjustRightInd w:val="0"/>
        <w:snapToGrid w:val="0"/>
        <w:spacing w:line="360" w:lineRule="auto"/>
        <w:jc w:val="center"/>
        <w:outlineLvl w:val="0"/>
        <w:rPr>
          <w:rFonts w:ascii="黑体" w:hAnsi="黑体" w:eastAsia="黑体"/>
          <w:b/>
          <w:sz w:val="32"/>
          <w:szCs w:val="32"/>
        </w:rPr>
      </w:pPr>
    </w:p>
    <w:p>
      <w:pPr>
        <w:adjustRightInd w:val="0"/>
        <w:snapToGrid w:val="0"/>
        <w:spacing w:line="360" w:lineRule="auto"/>
        <w:jc w:val="center"/>
        <w:outlineLvl w:val="0"/>
        <w:rPr>
          <w:rFonts w:ascii="黑体" w:hAnsi="黑体" w:eastAsia="黑体"/>
          <w:b/>
          <w:sz w:val="32"/>
          <w:szCs w:val="32"/>
        </w:rPr>
      </w:pPr>
    </w:p>
    <w:p>
      <w:pPr>
        <w:pStyle w:val="6"/>
        <w:rPr>
          <w:rFonts w:ascii="黑体" w:hAnsi="黑体" w:eastAsia="黑体"/>
          <w:sz w:val="32"/>
        </w:rPr>
      </w:pPr>
    </w:p>
    <w:p>
      <w:pPr>
        <w:spacing w:line="360" w:lineRule="auto"/>
        <w:rPr>
          <w:rFonts w:ascii="黑体" w:hAnsi="黑体" w:eastAsia="黑体"/>
          <w:b/>
          <w:sz w:val="32"/>
          <w:szCs w:val="32"/>
        </w:rPr>
      </w:pPr>
    </w:p>
    <w:p>
      <w:pPr>
        <w:pStyle w:val="6"/>
        <w:rPr>
          <w:rFonts w:ascii="黑体" w:hAnsi="黑体" w:eastAsia="黑体"/>
          <w:sz w:val="32"/>
        </w:rPr>
      </w:pPr>
    </w:p>
    <w:p>
      <w:pPr>
        <w:spacing w:line="360" w:lineRule="auto"/>
        <w:rPr>
          <w:rFonts w:ascii="黑体" w:hAnsi="黑体" w:eastAsia="黑体"/>
          <w:b/>
          <w:sz w:val="32"/>
          <w:szCs w:val="32"/>
        </w:rPr>
      </w:pPr>
    </w:p>
    <w:p>
      <w:pPr>
        <w:pStyle w:val="6"/>
        <w:rPr>
          <w:rFonts w:ascii="黑体" w:hAnsi="黑体" w:eastAsia="黑体"/>
          <w:sz w:val="32"/>
        </w:rPr>
      </w:pPr>
    </w:p>
    <w:p>
      <w:pPr>
        <w:spacing w:line="360" w:lineRule="auto"/>
        <w:rPr>
          <w:rFonts w:ascii="黑体" w:hAnsi="黑体" w:eastAsia="黑体"/>
          <w:b/>
          <w:sz w:val="32"/>
          <w:szCs w:val="32"/>
        </w:rPr>
      </w:pPr>
    </w:p>
    <w:p>
      <w:pPr>
        <w:pStyle w:val="6"/>
        <w:rPr>
          <w:rFonts w:ascii="黑体" w:hAnsi="黑体" w:eastAsia="黑体"/>
          <w:sz w:val="32"/>
        </w:rPr>
      </w:pPr>
    </w:p>
    <w:p>
      <w:pPr>
        <w:spacing w:line="360" w:lineRule="auto"/>
        <w:rPr>
          <w:rFonts w:ascii="黑体" w:hAnsi="黑体" w:eastAsia="黑体"/>
          <w:b/>
          <w:sz w:val="32"/>
          <w:szCs w:val="32"/>
        </w:rPr>
      </w:pPr>
    </w:p>
    <w:p>
      <w:pPr>
        <w:pStyle w:val="6"/>
        <w:rPr>
          <w:rFonts w:ascii="黑体" w:hAnsi="黑体" w:eastAsia="黑体"/>
          <w:sz w:val="32"/>
        </w:rPr>
      </w:pPr>
    </w:p>
    <w:p>
      <w:pPr>
        <w:spacing w:line="360" w:lineRule="auto"/>
        <w:rPr>
          <w:rFonts w:ascii="黑体" w:hAnsi="黑体" w:eastAsia="黑体"/>
          <w:b/>
          <w:sz w:val="32"/>
          <w:szCs w:val="32"/>
        </w:rPr>
      </w:pPr>
    </w:p>
    <w:p>
      <w:pPr>
        <w:pStyle w:val="6"/>
        <w:rPr>
          <w:rFonts w:ascii="黑体" w:hAnsi="黑体" w:eastAsia="黑体"/>
          <w:sz w:val="32"/>
        </w:rPr>
      </w:pPr>
    </w:p>
    <w:p>
      <w:pPr>
        <w:spacing w:line="360" w:lineRule="auto"/>
        <w:rPr>
          <w:rFonts w:ascii="黑体" w:hAnsi="黑体" w:eastAsia="黑体"/>
          <w:b/>
          <w:sz w:val="32"/>
          <w:szCs w:val="32"/>
        </w:rPr>
      </w:pPr>
    </w:p>
    <w:p>
      <w:pPr>
        <w:pStyle w:val="2"/>
        <w:ind w:firstLine="643"/>
        <w:rPr>
          <w:rFonts w:ascii="黑体" w:hAnsi="黑体" w:eastAsia="黑体"/>
          <w:b/>
          <w:sz w:val="32"/>
          <w:szCs w:val="32"/>
        </w:rPr>
      </w:pPr>
    </w:p>
    <w:p>
      <w:pPr>
        <w:pStyle w:val="4"/>
        <w:rPr>
          <w:rFonts w:ascii="黑体" w:hAnsi="黑体" w:eastAsia="黑体"/>
          <w:sz w:val="32"/>
          <w:szCs w:val="32"/>
        </w:rPr>
      </w:pPr>
    </w:p>
    <w:p/>
    <w:p>
      <w:pPr>
        <w:pStyle w:val="6"/>
        <w:rPr>
          <w:rFonts w:ascii="黑体" w:hAnsi="黑体" w:eastAsia="黑体"/>
          <w:sz w:val="32"/>
        </w:rPr>
      </w:pPr>
    </w:p>
    <w:p>
      <w:pPr>
        <w:spacing w:line="360" w:lineRule="auto"/>
        <w:rPr>
          <w:rFonts w:ascii="黑体" w:hAnsi="黑体" w:eastAsia="黑体"/>
          <w:b/>
          <w:sz w:val="32"/>
          <w:szCs w:val="32"/>
        </w:rPr>
      </w:pPr>
    </w:p>
    <w:p>
      <w:pPr>
        <w:spacing w:line="360" w:lineRule="auto"/>
      </w:pPr>
    </w:p>
    <w:p>
      <w:pPr>
        <w:adjustRightInd w:val="0"/>
        <w:snapToGrid w:val="0"/>
        <w:spacing w:line="360" w:lineRule="auto"/>
        <w:jc w:val="center"/>
        <w:rPr>
          <w:rFonts w:ascii="黑体" w:hAnsi="宋体" w:eastAsia="黑体"/>
          <w:b/>
          <w:bCs/>
          <w:sz w:val="32"/>
          <w:szCs w:val="32"/>
        </w:rPr>
      </w:pPr>
      <w:r>
        <w:rPr>
          <w:rFonts w:hint="eastAsia" w:ascii="黑体" w:hAnsi="宋体" w:eastAsia="黑体"/>
          <w:b/>
          <w:sz w:val="32"/>
          <w:szCs w:val="32"/>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的资格证明资料</w:t>
      </w:r>
    </w:p>
    <w:p>
      <w:pPr>
        <w:spacing w:line="360" w:lineRule="auto"/>
        <w:rPr>
          <w:rFonts w:ascii="黑体" w:hAnsi="黑体" w:eastAsia="黑体"/>
          <w:sz w:val="30"/>
          <w:szCs w:val="30"/>
        </w:rPr>
      </w:pPr>
      <w:r>
        <w:rPr>
          <w:rFonts w:hint="eastAsia" w:ascii="黑体" w:hAnsi="黑体" w:eastAsia="黑体"/>
          <w:sz w:val="30"/>
          <w:szCs w:val="30"/>
        </w:rPr>
        <w:t>附件3              供应商基本情况表</w:t>
      </w:r>
    </w:p>
    <w:p>
      <w:pPr>
        <w:spacing w:line="360" w:lineRule="auto"/>
        <w:rPr>
          <w:rFonts w:ascii="黑体" w:hAnsi="黑体" w:eastAsia="黑体"/>
          <w:sz w:val="30"/>
          <w:szCs w:val="30"/>
        </w:rPr>
      </w:pPr>
    </w:p>
    <w:p>
      <w:pPr>
        <w:adjustRightInd w:val="0"/>
        <w:snapToGrid w:val="0"/>
        <w:spacing w:line="360" w:lineRule="auto"/>
        <w:rPr>
          <w:rFonts w:ascii="宋体" w:hAnsi="宋体"/>
          <w:szCs w:val="21"/>
        </w:rPr>
      </w:pPr>
      <w:r>
        <w:rPr>
          <w:rFonts w:hint="eastAsia" w:ascii="宋体" w:hAnsi="宋体"/>
          <w:szCs w:val="21"/>
        </w:rPr>
        <w:t>盖供应商单位章</w:t>
      </w:r>
    </w:p>
    <w:tbl>
      <w:tblPr>
        <w:tblStyle w:val="4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供应商</w:t>
            </w:r>
            <w:r>
              <w:rPr>
                <w:rFonts w:ascii="宋体" w:hAnsi="宋体"/>
                <w:szCs w:val="21"/>
              </w:rPr>
              <w:t>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ascii="宋体" w:hAnsi="宋体"/>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委托代理</w:t>
            </w:r>
            <w:r>
              <w:rPr>
                <w:rFonts w:ascii="宋体" w:hAnsi="宋体"/>
                <w:szCs w:val="21"/>
              </w:rPr>
              <w:t>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ascii="宋体" w:hAnsi="宋体"/>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ind w:firstLine="105" w:firstLineChars="50"/>
              <w:jc w:val="center"/>
              <w:rPr>
                <w:rFonts w:ascii="宋体" w:hAnsi="宋体"/>
                <w:szCs w:val="21"/>
              </w:rPr>
            </w:pPr>
            <w:r>
              <w:rPr>
                <w:rFonts w:hint="eastAsia" w:ascii="宋体" w:hAnsi="宋体"/>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ind w:firstLine="105" w:firstLineChars="50"/>
              <w:jc w:val="center"/>
              <w:rPr>
                <w:rFonts w:ascii="宋体" w:hAnsi="宋体"/>
                <w:szCs w:val="21"/>
              </w:rPr>
            </w:pPr>
            <w:r>
              <w:rPr>
                <w:rFonts w:hint="eastAsia" w:ascii="宋体" w:hAnsi="宋体"/>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r>
              <w:rPr>
                <w:rFonts w:ascii="宋体" w:hAnsi="宋体"/>
                <w:szCs w:val="21"/>
              </w:rPr>
              <w:t>资质</w:t>
            </w:r>
            <w:r>
              <w:rPr>
                <w:rFonts w:hint="eastAsia" w:ascii="宋体" w:hAnsi="宋体"/>
                <w:szCs w:val="21"/>
              </w:rPr>
              <w:t>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ascii="宋体" w:hAnsi="宋体"/>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r>
              <w:rPr>
                <w:rFonts w:hint="eastAsia" w:ascii="宋体" w:hAnsi="宋体"/>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r>
              <w:rPr>
                <w:rFonts w:hint="eastAsia" w:ascii="宋体" w:hAnsi="宋体"/>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360" w:lineRule="auto"/>
              <w:jc w:val="center"/>
              <w:rPr>
                <w:rFonts w:ascii="宋体" w:hAnsi="宋体"/>
                <w:szCs w:val="21"/>
              </w:rPr>
            </w:pPr>
            <w:r>
              <w:rPr>
                <w:rFonts w:ascii="宋体" w:hAnsi="宋体"/>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topLinePunct/>
              <w:spacing w:line="360" w:lineRule="auto"/>
              <w:rPr>
                <w:rFonts w:ascii="黑体" w:hAnsi="宋体" w:eastAsia="黑体"/>
                <w:szCs w:val="21"/>
              </w:rPr>
            </w:pPr>
            <w:r>
              <w:rPr>
                <w:rFonts w:hint="eastAsia" w:ascii="黑体" w:hAnsi="宋体" w:eastAsia="黑体"/>
                <w:szCs w:val="21"/>
              </w:rPr>
              <w:t>附《营业执照》（副本）复印件</w:t>
            </w:r>
          </w:p>
        </w:tc>
      </w:tr>
    </w:tbl>
    <w:p>
      <w:pPr>
        <w:pStyle w:val="2"/>
        <w:spacing w:line="360" w:lineRule="auto"/>
        <w:ind w:firstLine="482"/>
        <w:rPr>
          <w:rFonts w:ascii="宋体" w:hAnsi="宋体" w:cs="宋体"/>
          <w:b/>
          <w:bCs/>
          <w:color w:val="000000"/>
          <w:kern w:val="0"/>
          <w:szCs w:val="24"/>
        </w:rPr>
      </w:pPr>
    </w:p>
    <w:p>
      <w:pPr>
        <w:spacing w:line="360" w:lineRule="auto"/>
        <w:rPr>
          <w:rFonts w:ascii="宋体" w:hAnsi="宋体" w:cs="宋体"/>
          <w:b/>
          <w:bCs/>
          <w:color w:val="000000"/>
          <w:kern w:val="0"/>
          <w:sz w:val="24"/>
        </w:rPr>
      </w:pPr>
      <w:r>
        <w:rPr>
          <w:rFonts w:hint="eastAsia" w:ascii="宋体" w:hAnsi="宋体" w:cs="宋体"/>
          <w:b/>
          <w:bCs/>
          <w:color w:val="000000"/>
          <w:kern w:val="0"/>
          <w:sz w:val="24"/>
        </w:rPr>
        <w:t>附件4</w:t>
      </w:r>
    </w:p>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湖南省政府采购供应商资格承诺函</w:t>
      </w:r>
    </w:p>
    <w:p>
      <w:pPr>
        <w:widowControl/>
        <w:spacing w:line="360" w:lineRule="auto"/>
        <w:jc w:val="center"/>
        <w:rPr>
          <w:rFonts w:ascii="FZXiaoBiaoSong-B05" w:hAnsi="FZXiaoBiaoSong-B05" w:eastAsia="FZXiaoBiaoSong-B05" w:cs="FZXiaoBiaoSong-B05"/>
          <w:b/>
          <w:bCs/>
          <w:color w:val="000000"/>
          <w:kern w:val="0"/>
          <w:sz w:val="32"/>
          <w:szCs w:val="32"/>
        </w:rPr>
      </w:pP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t>本公司独立承担民事责任、具有良好的商业信誉和健全的财 务会计制度、依法缴纳税收和社会保障资金，在前三年的经营活 动中无重大违法记录，未列入严重失信行为名单，符合政府采购 供应商的基本资格要求。 按 照 《 政 府 采 购 促 进 中 小 企 业 发 展 管 理 办 法 》（ 财 库 〔2020〕46 号），本公司企业规模为：大型</w:t>
      </w:r>
      <w:r>
        <w:rPr>
          <w:rFonts w:hint="eastAsia" w:ascii="宋体" w:hAnsi="宋体" w:cs="宋体"/>
          <w:color w:val="000000"/>
          <w:kern w:val="0"/>
          <w:szCs w:val="21"/>
        </w:rPr>
        <w:sym w:font="Wingdings" w:char="00A8"/>
      </w:r>
      <w:r>
        <w:rPr>
          <w:rFonts w:hint="eastAsia" w:ascii="宋体" w:hAnsi="宋体" w:cs="宋体"/>
          <w:color w:val="000000"/>
          <w:kern w:val="0"/>
          <w:szCs w:val="21"/>
        </w:rPr>
        <w:t>中型</w:t>
      </w:r>
      <w:r>
        <w:rPr>
          <w:rFonts w:hint="eastAsia" w:ascii="宋体" w:hAnsi="宋体" w:cs="宋体"/>
          <w:color w:val="000000"/>
          <w:kern w:val="0"/>
          <w:szCs w:val="21"/>
        </w:rPr>
        <w:sym w:font="Wingdings" w:char="00A8"/>
      </w:r>
      <w:r>
        <w:rPr>
          <w:rFonts w:hint="eastAsia" w:ascii="宋体" w:hAnsi="宋体" w:cs="宋体"/>
          <w:color w:val="000000"/>
          <w:kern w:val="0"/>
          <w:szCs w:val="21"/>
        </w:rPr>
        <w:t>小型</w:t>
      </w:r>
      <w:r>
        <w:rPr>
          <w:rFonts w:hint="eastAsia" w:ascii="宋体" w:hAnsi="宋体" w:cs="宋体"/>
          <w:color w:val="000000"/>
          <w:kern w:val="0"/>
          <w:szCs w:val="21"/>
        </w:rPr>
        <w:sym w:font="Wingdings" w:char="00A8"/>
      </w:r>
      <w:r>
        <w:rPr>
          <w:rFonts w:hint="eastAsia" w:ascii="宋体" w:hAnsi="宋体" w:cs="宋体"/>
          <w:color w:val="000000"/>
          <w:kern w:val="0"/>
          <w:szCs w:val="21"/>
        </w:rPr>
        <w:t>微型</w:t>
      </w:r>
      <w:r>
        <w:rPr>
          <w:rFonts w:hint="eastAsia" w:ascii="宋体" w:hAnsi="宋体" w:cs="宋体"/>
          <w:color w:val="000000"/>
          <w:kern w:val="0"/>
          <w:szCs w:val="21"/>
        </w:rPr>
        <w:sym w:font="Wingdings" w:char="00A8"/>
      </w:r>
    </w:p>
    <w:p>
      <w:pPr>
        <w:widowControl/>
        <w:spacing w:line="360" w:lineRule="auto"/>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sym w:font="Wingdings" w:char="00A8"/>
      </w:r>
      <w:r>
        <w:rPr>
          <w:rFonts w:hint="eastAsia" w:ascii="宋体" w:hAnsi="宋体" w:cs="宋体"/>
          <w:color w:val="000000"/>
          <w:kern w:val="0"/>
          <w:szCs w:val="21"/>
        </w:rPr>
        <w:t xml:space="preserve">本公司自愿入驻湖南省政府采购电子卖场，遵守《湖南省政府采购电子卖场管理办法》（湘财购〔2019〕27 号），如违反承 诺，同意金融机构将增信保证划缴国库（非电子卖场采购活动项 目不需勾选）。 </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 xml:space="preserve">公司（单位）名称（盖章） </w:t>
      </w:r>
    </w:p>
    <w:p>
      <w:pPr>
        <w:widowControl/>
        <w:spacing w:line="360" w:lineRule="auto"/>
        <w:ind w:firstLine="3780" w:firstLineChars="1800"/>
        <w:jc w:val="left"/>
        <w:rPr>
          <w:rFonts w:ascii="宋体" w:hAnsi="宋体" w:cs="宋体"/>
          <w:color w:val="000000"/>
          <w:szCs w:val="21"/>
        </w:rPr>
      </w:pPr>
      <w:r>
        <w:rPr>
          <w:rFonts w:hint="eastAsia" w:ascii="宋体" w:hAnsi="宋体" w:cs="宋体"/>
          <w:color w:val="000000"/>
          <w:kern w:val="0"/>
          <w:szCs w:val="21"/>
        </w:rPr>
        <w:t xml:space="preserve">年月 日 </w:t>
      </w:r>
    </w:p>
    <w:p>
      <w:pPr>
        <w:widowControl/>
        <w:spacing w:line="360" w:lineRule="auto"/>
        <w:jc w:val="left"/>
        <w:rPr>
          <w:rFonts w:ascii="宋体" w:hAnsi="宋体" w:cs="宋体"/>
          <w:color w:val="000000"/>
          <w:kern w:val="0"/>
          <w:szCs w:val="21"/>
          <w:u w:val="single"/>
        </w:rPr>
      </w:pPr>
      <w:r>
        <w:rPr>
          <w:rFonts w:hint="eastAsia" w:ascii="宋体" w:hAnsi="宋体" w:cs="宋体"/>
          <w:color w:val="000000"/>
          <w:kern w:val="0"/>
          <w:szCs w:val="21"/>
        </w:rPr>
        <w:t>机构代码：</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注册登记机构：</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日期：</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有效期：</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注册资本：</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地址：</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经济行业：</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经济性质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法定代表人（负责人）姓名（签字）：</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身份证号：</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手机号：</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授权代表人姓名（签字）：</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身份证号：</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手机号：</w:t>
      </w:r>
    </w:p>
    <w:p>
      <w:pPr>
        <w:spacing w:line="360" w:lineRule="auto"/>
        <w:rPr>
          <w:rFonts w:ascii="黑体" w:eastAsia="黑体"/>
          <w:color w:val="000000"/>
          <w:sz w:val="32"/>
          <w:szCs w:val="32"/>
        </w:rPr>
      </w:pPr>
    </w:p>
    <w:p>
      <w:pPr>
        <w:pStyle w:val="2"/>
        <w:ind w:firstLine="480"/>
      </w:pPr>
    </w:p>
    <w:p>
      <w:pPr>
        <w:spacing w:line="360" w:lineRule="auto"/>
        <w:rPr>
          <w:rFonts w:ascii="黑体" w:eastAsia="黑体"/>
          <w:sz w:val="30"/>
          <w:szCs w:val="30"/>
        </w:rPr>
      </w:pPr>
      <w:r>
        <w:rPr>
          <w:rFonts w:hint="eastAsia" w:ascii="黑体" w:eastAsia="黑体"/>
          <w:sz w:val="30"/>
          <w:szCs w:val="30"/>
        </w:rPr>
        <w:t>附件5  磋商文件规定的特定资格条件证明资料</w:t>
      </w:r>
    </w:p>
    <w:p>
      <w:pPr>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备注：第一章磋商邀请</w:t>
      </w:r>
      <w:r>
        <w:rPr>
          <w:rFonts w:hint="eastAsia" w:ascii="宋体" w:hAnsi="宋体" w:cs="宋体"/>
          <w:b/>
          <w:szCs w:val="21"/>
        </w:rPr>
        <w:t>三、投标人的资格要求</w:t>
      </w:r>
      <w:r>
        <w:rPr>
          <w:rFonts w:hint="eastAsia" w:ascii="宋体" w:hAnsi="宋体" w:cs="宋体"/>
          <w:szCs w:val="21"/>
        </w:rPr>
        <w:t>要求的</w:t>
      </w:r>
      <w:r>
        <w:rPr>
          <w:rFonts w:hint="eastAsia" w:ascii="宋体" w:hAnsi="宋体"/>
          <w:szCs w:val="21"/>
        </w:rPr>
        <w:t>证明资料的复印件。</w:t>
      </w:r>
    </w:p>
    <w:p>
      <w:pPr>
        <w:spacing w:line="360" w:lineRule="auto"/>
        <w:rPr>
          <w:rFonts w:ascii="宋体" w:hAnsi="宋体"/>
          <w:szCs w:val="21"/>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p>
    <w:p>
      <w:pPr>
        <w:widowControl/>
        <w:spacing w:line="360" w:lineRule="auto"/>
        <w:jc w:val="left"/>
        <w:rPr>
          <w:rFonts w:ascii="黑体" w:eastAsia="黑体"/>
          <w:b/>
          <w:sz w:val="30"/>
          <w:szCs w:val="30"/>
        </w:rPr>
      </w:pPr>
      <w:r>
        <w:rPr>
          <w:rFonts w:ascii="黑体" w:eastAsia="黑体"/>
          <w:b/>
          <w:sz w:val="30"/>
          <w:szCs w:val="30"/>
        </w:rPr>
        <w:br w:type="page"/>
      </w:r>
    </w:p>
    <w:p>
      <w:pPr>
        <w:adjustRightInd w:val="0"/>
        <w:snapToGrid w:val="0"/>
        <w:spacing w:line="360" w:lineRule="auto"/>
        <w:rPr>
          <w:rFonts w:ascii="黑体" w:eastAsia="黑体"/>
          <w:b/>
          <w:sz w:val="30"/>
          <w:szCs w:val="30"/>
        </w:rPr>
      </w:pPr>
      <w:r>
        <w:rPr>
          <w:rFonts w:hint="eastAsia" w:ascii="黑体" w:eastAsia="黑体"/>
          <w:b/>
          <w:sz w:val="30"/>
          <w:szCs w:val="30"/>
        </w:rPr>
        <w:t>附件6           其他证明资料或说明</w:t>
      </w:r>
    </w:p>
    <w:p>
      <w:pPr>
        <w:adjustRightInd w:val="0"/>
        <w:snapToGrid w:val="0"/>
        <w:spacing w:line="360" w:lineRule="auto"/>
        <w:rPr>
          <w:rFonts w:ascii="黑体" w:eastAsia="黑体"/>
          <w:szCs w:val="21"/>
        </w:rPr>
      </w:pPr>
    </w:p>
    <w:p>
      <w:pPr>
        <w:adjustRightInd w:val="0"/>
        <w:snapToGrid w:val="0"/>
        <w:spacing w:line="360" w:lineRule="auto"/>
        <w:rPr>
          <w:rFonts w:ascii="宋体" w:hAnsi="宋体"/>
          <w:szCs w:val="21"/>
        </w:rPr>
      </w:pPr>
      <w:r>
        <w:rPr>
          <w:rFonts w:hint="eastAsia" w:ascii="宋体" w:hAnsi="宋体"/>
          <w:szCs w:val="21"/>
        </w:rPr>
        <w:t>提供磋商文件或评分标准需要提供的相关证明文件复印件</w:t>
      </w: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pStyle w:val="7"/>
        <w:spacing w:before="0" w:after="0" w:line="360" w:lineRule="auto"/>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pStyle w:val="2"/>
        <w:ind w:firstLine="480"/>
      </w:pPr>
    </w:p>
    <w:p>
      <w:pPr>
        <w:adjustRightInd w:val="0"/>
        <w:snapToGrid w:val="0"/>
        <w:spacing w:line="360" w:lineRule="auto"/>
        <w:jc w:val="center"/>
        <w:rPr>
          <w:rFonts w:hint="eastAsia" w:ascii="黑体" w:eastAsia="黑体"/>
          <w:b/>
          <w:sz w:val="32"/>
          <w:szCs w:val="32"/>
        </w:rPr>
      </w:pPr>
    </w:p>
    <w:p>
      <w:pPr>
        <w:pStyle w:val="2"/>
        <w:ind w:firstLine="480"/>
        <w:rPr>
          <w:rFonts w:hint="eastAsia"/>
        </w:rPr>
      </w:pPr>
    </w:p>
    <w:p>
      <w:pPr>
        <w:pStyle w:val="4"/>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rPr>
          <w:rFonts w:ascii="黑体" w:eastAsia="黑体"/>
          <w:b/>
          <w:sz w:val="32"/>
          <w:szCs w:val="32"/>
        </w:rPr>
      </w:pPr>
    </w:p>
    <w:p>
      <w:pPr>
        <w:adjustRightInd w:val="0"/>
        <w:snapToGrid w:val="0"/>
        <w:spacing w:line="360" w:lineRule="auto"/>
        <w:jc w:val="center"/>
        <w:outlineLvl w:val="0"/>
        <w:rPr>
          <w:rFonts w:ascii="黑体" w:eastAsia="黑体"/>
          <w:b/>
          <w:sz w:val="30"/>
          <w:szCs w:val="30"/>
        </w:rPr>
      </w:pPr>
      <w:r>
        <w:rPr>
          <w:rFonts w:hint="eastAsia" w:ascii="黑体" w:eastAsia="黑体"/>
          <w:b/>
          <w:sz w:val="30"/>
          <w:szCs w:val="30"/>
        </w:rPr>
        <w:t>四、服务方案说明</w:t>
      </w:r>
    </w:p>
    <w:p>
      <w:pPr>
        <w:pStyle w:val="346"/>
        <w:spacing w:before="312"/>
        <w:ind w:firstLine="480"/>
        <w:jc w:val="center"/>
      </w:pPr>
      <w:r>
        <w:rPr>
          <w:rFonts w:hint="eastAsia" w:ascii="宋体" w:hAnsi="宋体" w:eastAsia="宋体" w:cs="宋体"/>
          <w:color w:val="000000"/>
          <w:szCs w:val="21"/>
          <w:lang w:eastAsia="zh-CN"/>
        </w:rPr>
        <w:t>经营方案</w:t>
      </w:r>
      <w:r>
        <w:rPr>
          <w:rFonts w:hint="eastAsia"/>
        </w:rPr>
        <w:t>（投标人可自行制作格式）</w:t>
      </w:r>
    </w:p>
    <w:p/>
    <w:p>
      <w:r>
        <w:rPr>
          <w:rFonts w:hint="eastAsia"/>
        </w:rPr>
        <w:br w:type="page"/>
      </w:r>
    </w:p>
    <w:p>
      <w:pPr>
        <w:pStyle w:val="346"/>
        <w:spacing w:before="312"/>
        <w:ind w:firstLine="480"/>
        <w:jc w:val="center"/>
      </w:pPr>
      <w:r>
        <w:rPr>
          <w:rFonts w:hint="eastAsia" w:ascii="宋体" w:hAnsi="宋体" w:eastAsia="宋体" w:cs="宋体"/>
          <w:color w:val="000000"/>
          <w:szCs w:val="21"/>
          <w:lang w:eastAsia="zh-CN"/>
        </w:rPr>
        <w:t>安全管理控制方案</w:t>
      </w:r>
      <w:r>
        <w:rPr>
          <w:rFonts w:hint="eastAsia"/>
        </w:rPr>
        <w:t>（投标人可自行制作格式）</w:t>
      </w:r>
    </w:p>
    <w:p>
      <w:pPr>
        <w:rPr>
          <w:rFonts w:ascii="方正小标宋简体" w:hAnsi="方正小标宋简体" w:eastAsia="方正小标宋简体" w:cs="方正小标宋简体"/>
          <w:sz w:val="32"/>
          <w:szCs w:val="28"/>
        </w:rPr>
      </w:pPr>
      <w:bookmarkStart w:id="31" w:name="_Toc5263"/>
      <w:r>
        <w:rPr>
          <w:rFonts w:hint="eastAsia" w:ascii="方正小标宋简体" w:hAnsi="方正小标宋简体" w:eastAsia="方正小标宋简体" w:cs="方正小标宋简体"/>
          <w:sz w:val="32"/>
          <w:szCs w:val="28"/>
        </w:rPr>
        <w:br w:type="page"/>
      </w:r>
    </w:p>
    <w:p>
      <w:pPr>
        <w:ind w:firstLine="2100" w:firstLineChars="1000"/>
      </w:pPr>
      <w:r>
        <w:rPr>
          <w:rFonts w:hint="default" w:ascii="Times New Roman" w:hAnsi="Times New Roman" w:cs="Times New Roman"/>
          <w:lang w:val="en-US" w:eastAsia="zh-CN"/>
        </w:rPr>
        <w:t>卫生管理控制方案</w:t>
      </w:r>
      <w:r>
        <w:rPr>
          <w:rFonts w:hint="eastAsia"/>
        </w:rPr>
        <w:t>（投标人可自行制作格式）</w:t>
      </w:r>
      <w:r>
        <w:rPr>
          <w:rFonts w:hint="eastAsia"/>
        </w:rPr>
        <w:br w:type="page"/>
      </w:r>
    </w:p>
    <w:bookmarkEnd w:id="31"/>
    <w:p>
      <w:pPr>
        <w:pStyle w:val="346"/>
        <w:spacing w:before="312"/>
        <w:ind w:firstLine="0" w:firstLineChars="0"/>
        <w:jc w:val="center"/>
      </w:pPr>
      <w:r>
        <w:rPr>
          <w:rFonts w:hint="eastAsia" w:ascii="Times New Roman" w:hAnsi="Times New Roman" w:cs="Times New Roman"/>
        </w:rPr>
        <w:t>应急管理预案</w:t>
      </w:r>
      <w:r>
        <w:rPr>
          <w:rFonts w:hint="eastAsia"/>
        </w:rPr>
        <w:t>（投标人可自行制作格式）</w:t>
      </w:r>
      <w:r>
        <w:rPr>
          <w:rFonts w:hint="eastAsia"/>
        </w:rPr>
        <w:br w:type="page"/>
      </w:r>
    </w:p>
    <w:p>
      <w:pPr>
        <w:adjustRightInd w:val="0"/>
        <w:snapToGrid w:val="0"/>
        <w:spacing w:line="360" w:lineRule="auto"/>
        <w:rPr>
          <w:rFonts w:ascii="黑体" w:eastAsia="黑体"/>
          <w:sz w:val="30"/>
          <w:szCs w:val="30"/>
        </w:rPr>
      </w:pPr>
      <w:r>
        <w:rPr>
          <w:rFonts w:hint="eastAsia" w:ascii="黑体" w:eastAsia="黑体"/>
          <w:sz w:val="30"/>
          <w:szCs w:val="30"/>
        </w:rPr>
        <w:t>附件7：       主要人员简历表(</w:t>
      </w:r>
      <w:r>
        <w:rPr>
          <w:rFonts w:hint="eastAsia" w:ascii="黑体" w:hAnsi="宋体" w:eastAsia="黑体"/>
          <w:sz w:val="30"/>
          <w:szCs w:val="30"/>
        </w:rPr>
        <w:t>服务类适用</w:t>
      </w:r>
      <w:r>
        <w:rPr>
          <w:rFonts w:hint="eastAsia" w:ascii="黑体" w:eastAsia="黑体"/>
          <w:sz w:val="30"/>
          <w:szCs w:val="30"/>
        </w:rPr>
        <w:t>)</w:t>
      </w:r>
    </w:p>
    <w:tbl>
      <w:tblPr>
        <w:tblStyle w:val="4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vAlign w:val="center"/>
          </w:tcPr>
          <w:p>
            <w:pPr>
              <w:spacing w:line="360" w:lineRule="auto"/>
              <w:jc w:val="center"/>
              <w:rPr>
                <w:rFonts w:ascii="宋体"/>
              </w:rPr>
            </w:pPr>
            <w:r>
              <w:rPr>
                <w:rFonts w:hint="eastAsia" w:ascii="宋体"/>
              </w:rPr>
              <w:t>姓名</w:t>
            </w:r>
          </w:p>
        </w:tc>
        <w:tc>
          <w:tcPr>
            <w:tcW w:w="2468" w:type="dxa"/>
            <w:vAlign w:val="center"/>
          </w:tcPr>
          <w:p>
            <w:pPr>
              <w:spacing w:line="360" w:lineRule="auto"/>
              <w:jc w:val="center"/>
              <w:rPr>
                <w:rFonts w:ascii="宋体"/>
              </w:rPr>
            </w:pPr>
          </w:p>
        </w:tc>
        <w:tc>
          <w:tcPr>
            <w:tcW w:w="2340" w:type="dxa"/>
            <w:gridSpan w:val="3"/>
            <w:vAlign w:val="center"/>
          </w:tcPr>
          <w:p>
            <w:pPr>
              <w:spacing w:line="360" w:lineRule="auto"/>
              <w:jc w:val="center"/>
              <w:rPr>
                <w:rFonts w:ascii="宋体"/>
              </w:rPr>
            </w:pPr>
            <w:r>
              <w:rPr>
                <w:rFonts w:hint="eastAsia" w:ascii="宋体"/>
              </w:rPr>
              <w:t>性别</w:t>
            </w:r>
          </w:p>
        </w:tc>
        <w:tc>
          <w:tcPr>
            <w:tcW w:w="1663" w:type="dxa"/>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pPr>
              <w:spacing w:line="360" w:lineRule="auto"/>
              <w:jc w:val="center"/>
              <w:rPr>
                <w:rFonts w:ascii="宋体"/>
              </w:rPr>
            </w:pPr>
            <w:r>
              <w:rPr>
                <w:rFonts w:hint="eastAsia" w:ascii="宋体"/>
              </w:rPr>
              <w:t>职务</w:t>
            </w:r>
          </w:p>
        </w:tc>
        <w:tc>
          <w:tcPr>
            <w:tcW w:w="2468" w:type="dxa"/>
            <w:vAlign w:val="center"/>
          </w:tcPr>
          <w:p>
            <w:pPr>
              <w:spacing w:line="360" w:lineRule="auto"/>
              <w:jc w:val="center"/>
              <w:rPr>
                <w:rFonts w:ascii="宋体"/>
              </w:rPr>
            </w:pPr>
          </w:p>
        </w:tc>
        <w:tc>
          <w:tcPr>
            <w:tcW w:w="2340" w:type="dxa"/>
            <w:gridSpan w:val="3"/>
            <w:vAlign w:val="center"/>
          </w:tcPr>
          <w:p>
            <w:pPr>
              <w:spacing w:line="360" w:lineRule="auto"/>
              <w:jc w:val="center"/>
              <w:rPr>
                <w:rFonts w:ascii="宋体"/>
              </w:rPr>
            </w:pPr>
            <w:r>
              <w:rPr>
                <w:rFonts w:hint="eastAsia" w:ascii="宋体"/>
              </w:rPr>
              <w:t>职称</w:t>
            </w:r>
          </w:p>
        </w:tc>
        <w:tc>
          <w:tcPr>
            <w:tcW w:w="1663" w:type="dxa"/>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pPr>
              <w:spacing w:line="360" w:lineRule="auto"/>
              <w:jc w:val="center"/>
              <w:rPr>
                <w:rFonts w:ascii="宋体"/>
              </w:rPr>
            </w:pPr>
            <w:r>
              <w:rPr>
                <w:rFonts w:hint="eastAsia" w:ascii="宋体"/>
              </w:rPr>
              <w:t>毕业学校、专业</w:t>
            </w:r>
          </w:p>
        </w:tc>
        <w:tc>
          <w:tcPr>
            <w:tcW w:w="6471" w:type="dxa"/>
            <w:gridSpan w:val="5"/>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uto"/>
              <w:jc w:val="center"/>
              <w:rPr>
                <w:rFonts w:ascii="宋体"/>
              </w:rPr>
            </w:pPr>
            <w:r>
              <w:rPr>
                <w:rFonts w:hint="eastAsia" w:ascii="宋体"/>
              </w:rPr>
              <w:t>身份证号</w:t>
            </w:r>
          </w:p>
        </w:tc>
        <w:tc>
          <w:tcPr>
            <w:tcW w:w="2468" w:type="dxa"/>
            <w:vAlign w:val="center"/>
          </w:tcPr>
          <w:p>
            <w:pPr>
              <w:spacing w:line="360" w:lineRule="auto"/>
              <w:jc w:val="center"/>
              <w:rPr>
                <w:rFonts w:ascii="宋体"/>
              </w:rPr>
            </w:pPr>
          </w:p>
        </w:tc>
        <w:tc>
          <w:tcPr>
            <w:tcW w:w="2340" w:type="dxa"/>
            <w:gridSpan w:val="3"/>
            <w:vAlign w:val="center"/>
          </w:tcPr>
          <w:p>
            <w:pPr>
              <w:spacing w:line="360" w:lineRule="auto"/>
              <w:jc w:val="center"/>
              <w:rPr>
                <w:rFonts w:ascii="宋体"/>
              </w:rPr>
            </w:pPr>
            <w:r>
              <w:rPr>
                <w:rFonts w:hint="eastAsia" w:ascii="宋体"/>
              </w:rPr>
              <w:t>拟在本合同任职</w:t>
            </w:r>
          </w:p>
        </w:tc>
        <w:tc>
          <w:tcPr>
            <w:tcW w:w="1663" w:type="dxa"/>
            <w:vAlign w:val="center"/>
          </w:tcPr>
          <w:p>
            <w:pPr>
              <w:spacing w:line="360" w:lineRule="auto"/>
              <w:ind w:right="-105" w:rightChars="-50"/>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771" w:hRule="exact"/>
        </w:trPr>
        <w:tc>
          <w:tcPr>
            <w:tcW w:w="2032" w:type="dxa"/>
            <w:gridSpan w:val="2"/>
            <w:vAlign w:val="center"/>
          </w:tcPr>
          <w:p>
            <w:pPr>
              <w:spacing w:line="360" w:lineRule="auto"/>
              <w:jc w:val="center"/>
              <w:rPr>
                <w:rFonts w:ascii="宋体"/>
              </w:rPr>
            </w:pPr>
            <w:r>
              <w:rPr>
                <w:rFonts w:hint="eastAsia" w:ascii="宋体"/>
              </w:rPr>
              <w:t>执业资格证</w:t>
            </w:r>
          </w:p>
        </w:tc>
        <w:tc>
          <w:tcPr>
            <w:tcW w:w="2468" w:type="dxa"/>
            <w:vAlign w:val="center"/>
          </w:tcPr>
          <w:p>
            <w:pPr>
              <w:spacing w:line="360" w:lineRule="auto"/>
              <w:jc w:val="center"/>
              <w:rPr>
                <w:rFonts w:ascii="宋体"/>
              </w:rPr>
            </w:pPr>
          </w:p>
        </w:tc>
        <w:tc>
          <w:tcPr>
            <w:tcW w:w="2340" w:type="dxa"/>
            <w:gridSpan w:val="3"/>
            <w:vAlign w:val="center"/>
          </w:tcPr>
          <w:p>
            <w:pPr>
              <w:spacing w:line="360" w:lineRule="auto"/>
              <w:jc w:val="center"/>
              <w:rPr>
                <w:rFonts w:ascii="宋体"/>
              </w:rPr>
            </w:pPr>
            <w:r>
              <w:rPr>
                <w:rFonts w:hint="eastAsia" w:ascii="宋体"/>
              </w:rPr>
              <w:t>执业资格证书号</w:t>
            </w:r>
          </w:p>
        </w:tc>
        <w:tc>
          <w:tcPr>
            <w:tcW w:w="1663" w:type="dxa"/>
            <w:vAlign w:val="center"/>
          </w:tcPr>
          <w:p>
            <w:pPr>
              <w:spacing w:line="360" w:lineRule="auto"/>
              <w:ind w:right="-105" w:rightChars="-50"/>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pPr>
              <w:spacing w:line="360" w:lineRule="auto"/>
              <w:rPr>
                <w:rFonts w:ascii="宋体"/>
              </w:rPr>
            </w:pPr>
            <w:r>
              <w:rPr>
                <w:rFonts w:hint="eastAsia" w:ascii="宋体"/>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uto"/>
              <w:jc w:val="center"/>
              <w:rPr>
                <w:rFonts w:ascii="宋体"/>
              </w:rPr>
            </w:pPr>
            <w:r>
              <w:rPr>
                <w:rFonts w:hint="eastAsia" w:ascii="宋体"/>
              </w:rPr>
              <w:t>时间</w:t>
            </w:r>
          </w:p>
        </w:tc>
        <w:tc>
          <w:tcPr>
            <w:tcW w:w="3636" w:type="dxa"/>
            <w:gridSpan w:val="3"/>
            <w:vAlign w:val="center"/>
          </w:tcPr>
          <w:p>
            <w:pPr>
              <w:spacing w:line="360" w:lineRule="auto"/>
              <w:jc w:val="center"/>
              <w:rPr>
                <w:rFonts w:ascii="宋体"/>
              </w:rPr>
            </w:pPr>
            <w:r>
              <w:rPr>
                <w:rFonts w:hint="eastAsia" w:ascii="宋体"/>
              </w:rPr>
              <w:t>类似项目名称</w:t>
            </w:r>
          </w:p>
        </w:tc>
        <w:tc>
          <w:tcPr>
            <w:tcW w:w="1404" w:type="dxa"/>
            <w:vAlign w:val="center"/>
          </w:tcPr>
          <w:p>
            <w:pPr>
              <w:spacing w:line="360" w:lineRule="auto"/>
              <w:jc w:val="center"/>
              <w:rPr>
                <w:rFonts w:ascii="宋体"/>
              </w:rPr>
            </w:pPr>
            <w:r>
              <w:rPr>
                <w:rFonts w:hint="eastAsia" w:ascii="宋体"/>
              </w:rPr>
              <w:t>担任职务</w:t>
            </w:r>
          </w:p>
        </w:tc>
        <w:tc>
          <w:tcPr>
            <w:tcW w:w="2203" w:type="dxa"/>
            <w:gridSpan w:val="2"/>
            <w:vAlign w:val="center"/>
          </w:tcPr>
          <w:p>
            <w:pPr>
              <w:spacing w:line="360" w:lineRule="auto"/>
              <w:jc w:val="center"/>
              <w:rPr>
                <w:rFonts w:ascii="宋体"/>
              </w:rPr>
            </w:pPr>
            <w:r>
              <w:rPr>
                <w:rFonts w:hint="eastAsia" w:ascii="宋体"/>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uto"/>
              <w:jc w:val="center"/>
              <w:rPr>
                <w:rFonts w:ascii="宋体"/>
              </w:rPr>
            </w:pPr>
          </w:p>
        </w:tc>
        <w:tc>
          <w:tcPr>
            <w:tcW w:w="3636" w:type="dxa"/>
            <w:gridSpan w:val="3"/>
            <w:vAlign w:val="center"/>
          </w:tcPr>
          <w:p>
            <w:pPr>
              <w:spacing w:line="360" w:lineRule="auto"/>
              <w:jc w:val="center"/>
              <w:rPr>
                <w:rFonts w:ascii="宋体"/>
              </w:rPr>
            </w:pPr>
          </w:p>
        </w:tc>
        <w:tc>
          <w:tcPr>
            <w:tcW w:w="1404" w:type="dxa"/>
            <w:vAlign w:val="center"/>
          </w:tcPr>
          <w:p>
            <w:pPr>
              <w:spacing w:line="360" w:lineRule="auto"/>
              <w:jc w:val="center"/>
              <w:rPr>
                <w:rFonts w:ascii="宋体"/>
              </w:rPr>
            </w:pPr>
          </w:p>
        </w:tc>
        <w:tc>
          <w:tcPr>
            <w:tcW w:w="2203" w:type="dxa"/>
            <w:gridSpan w:val="2"/>
            <w:vAlign w:val="center"/>
          </w:tcPr>
          <w:p>
            <w:pPr>
              <w:spacing w:line="360" w:lineRule="auto"/>
              <w:jc w:val="center"/>
              <w:rPr>
                <w:rFonts w:ascii="宋体"/>
              </w:rPr>
            </w:pPr>
          </w:p>
        </w:tc>
      </w:tr>
    </w:tbl>
    <w:p>
      <w:pPr>
        <w:spacing w:line="360" w:lineRule="auto"/>
        <w:rPr>
          <w:rFonts w:ascii="仿宋_GB2312" w:eastAsia="仿宋_GB2312"/>
        </w:rPr>
      </w:pPr>
      <w:r>
        <w:rPr>
          <w:rFonts w:hint="eastAsia" w:ascii="仿宋_GB2312" w:hAnsi="宋体" w:eastAsia="仿宋_GB2312"/>
          <w:szCs w:val="21"/>
        </w:rPr>
        <w:t>说明</w:t>
      </w:r>
      <w:r>
        <w:rPr>
          <w:rFonts w:hint="eastAsia" w:ascii="仿宋_GB2312" w:eastAsia="仿宋_GB2312"/>
        </w:rPr>
        <w:t>：</w:t>
      </w:r>
      <w:r>
        <w:rPr>
          <w:rFonts w:hint="eastAsia" w:ascii="仿宋_GB2312" w:hAnsi="宋体" w:eastAsia="仿宋_GB2312"/>
          <w:szCs w:val="21"/>
        </w:rPr>
        <w:t>主要人员证书、</w:t>
      </w:r>
      <w:r>
        <w:rPr>
          <w:rFonts w:hint="eastAsia" w:ascii="仿宋_GB2312" w:eastAsia="仿宋_GB2312"/>
        </w:rPr>
        <w:t>类似项目证明资料等按评分标准要求提供。</w:t>
      </w:r>
    </w:p>
    <w:p>
      <w:pPr>
        <w:adjustRightInd w:val="0"/>
        <w:snapToGrid w:val="0"/>
        <w:spacing w:line="360" w:lineRule="auto"/>
        <w:rPr>
          <w:rFonts w:ascii="宋体" w:hAnsi="宋体"/>
          <w:szCs w:val="21"/>
        </w:rPr>
      </w:pPr>
    </w:p>
    <w:p>
      <w:pPr>
        <w:spacing w:line="360" w:lineRule="auto"/>
        <w:rPr>
          <w:rFonts w:ascii="宋体" w:hAnsi="宋体"/>
          <w:szCs w:val="21"/>
        </w:rPr>
      </w:pPr>
    </w:p>
    <w:p>
      <w:pPr>
        <w:pStyle w:val="29"/>
        <w:adjustRightInd w:val="0"/>
        <w:snapToGrid w:val="0"/>
        <w:spacing w:line="360" w:lineRule="auto"/>
        <w:outlineLvl w:val="0"/>
        <w:rPr>
          <w:rFonts w:ascii="宋体" w:hAnsi="宋体"/>
          <w:bCs/>
          <w:sz w:val="21"/>
          <w:szCs w:val="21"/>
        </w:rPr>
      </w:pPr>
      <w:r>
        <w:rPr>
          <w:rFonts w:hint="eastAsia" w:ascii="宋体" w:hAnsi="宋体"/>
          <w:sz w:val="21"/>
          <w:szCs w:val="21"/>
        </w:rPr>
        <w:t>供应商名称：</w:t>
      </w:r>
    </w:p>
    <w:p>
      <w:pPr>
        <w:adjustRightInd w:val="0"/>
        <w:snapToGrid w:val="0"/>
        <w:spacing w:line="360" w:lineRule="auto"/>
        <w:outlineLvl w:val="0"/>
        <w:rPr>
          <w:rFonts w:ascii="宋体" w:hAnsi="宋体"/>
          <w:szCs w:val="21"/>
        </w:rPr>
      </w:pPr>
      <w:r>
        <w:rPr>
          <w:rFonts w:hint="eastAsia" w:ascii="宋体" w:hAnsi="宋体"/>
          <w:szCs w:val="21"/>
        </w:rPr>
        <w:t>法定代表人或其委托代理人(签字)：_</w:t>
      </w:r>
    </w:p>
    <w:p>
      <w:pPr>
        <w:spacing w:line="360" w:lineRule="auto"/>
        <w:rPr>
          <w:rFonts w:ascii="宋体"/>
        </w:rPr>
      </w:pPr>
      <w:r>
        <w:rPr>
          <w:rFonts w:hint="eastAsia" w:ascii="宋体" w:hAnsi="宋体"/>
          <w:szCs w:val="21"/>
        </w:rPr>
        <w:t>日期：  年  月  日</w:t>
      </w:r>
    </w:p>
    <w:p>
      <w:pPr>
        <w:adjustRightInd w:val="0"/>
        <w:snapToGrid w:val="0"/>
        <w:spacing w:line="360" w:lineRule="auto"/>
        <w:jc w:val="center"/>
        <w:outlineLvl w:val="0"/>
        <w:rPr>
          <w:rFonts w:hint="eastAsia" w:ascii="黑体" w:eastAsia="黑体"/>
          <w:b/>
          <w:sz w:val="30"/>
          <w:szCs w:val="30"/>
        </w:rPr>
      </w:pPr>
    </w:p>
    <w:p>
      <w:pPr>
        <w:pStyle w:val="2"/>
        <w:ind w:firstLine="480"/>
        <w:rPr>
          <w:rFonts w:hint="eastAsia"/>
        </w:rPr>
      </w:pPr>
    </w:p>
    <w:p>
      <w:pPr>
        <w:pStyle w:val="4"/>
        <w:rPr>
          <w:rFonts w:hint="eastAsia"/>
        </w:rPr>
      </w:pPr>
    </w:p>
    <w:p/>
    <w:p>
      <w:pPr>
        <w:adjustRightInd w:val="0"/>
        <w:snapToGrid w:val="0"/>
        <w:spacing w:line="360" w:lineRule="auto"/>
        <w:jc w:val="center"/>
        <w:outlineLvl w:val="0"/>
        <w:rPr>
          <w:rFonts w:ascii="黑体" w:hAnsi="宋体" w:eastAsia="黑体"/>
          <w:b/>
          <w:sz w:val="30"/>
          <w:szCs w:val="30"/>
        </w:rPr>
      </w:pPr>
      <w:r>
        <w:rPr>
          <w:rFonts w:hint="eastAsia" w:ascii="黑体" w:eastAsia="黑体"/>
          <w:b/>
          <w:sz w:val="30"/>
          <w:szCs w:val="30"/>
        </w:rPr>
        <w:t>五、商务</w:t>
      </w:r>
      <w:r>
        <w:rPr>
          <w:rFonts w:hint="eastAsia" w:ascii="黑体" w:hAnsi="宋体" w:eastAsia="黑体"/>
          <w:b/>
          <w:sz w:val="30"/>
          <w:szCs w:val="30"/>
        </w:rPr>
        <w:t>响应与偏离表</w:t>
      </w:r>
    </w:p>
    <w:p>
      <w:pPr>
        <w:adjustRightInd w:val="0"/>
        <w:snapToGrid w:val="0"/>
        <w:spacing w:line="360" w:lineRule="auto"/>
        <w:ind w:left="-88" w:leftChars="-42" w:firstLine="315" w:firstLineChars="150"/>
        <w:rPr>
          <w:rFonts w:ascii="宋体" w:hAnsi="宋体"/>
          <w:szCs w:val="21"/>
          <w:u w:val="single"/>
        </w:rPr>
      </w:pPr>
    </w:p>
    <w:tbl>
      <w:tblPr>
        <w:tblStyle w:val="4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pPr>
              <w:adjustRightInd w:val="0"/>
              <w:snapToGrid w:val="0"/>
              <w:spacing w:line="360" w:lineRule="auto"/>
              <w:ind w:left="-88" w:leftChars="-42"/>
              <w:jc w:val="center"/>
              <w:rPr>
                <w:rFonts w:ascii="宋体" w:hAnsi="宋体"/>
                <w:bCs/>
                <w:szCs w:val="21"/>
              </w:rPr>
            </w:pPr>
            <w:r>
              <w:rPr>
                <w:rFonts w:hint="eastAsia" w:ascii="宋体" w:hAnsi="宋体"/>
                <w:bCs/>
                <w:szCs w:val="21"/>
              </w:rPr>
              <w:t>序号</w:t>
            </w:r>
          </w:p>
        </w:tc>
        <w:tc>
          <w:tcPr>
            <w:tcW w:w="1685" w:type="dxa"/>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磋商文件条目号</w:t>
            </w:r>
          </w:p>
        </w:tc>
        <w:tc>
          <w:tcPr>
            <w:tcW w:w="1948" w:type="dxa"/>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采购规格/商务条款</w:t>
            </w:r>
          </w:p>
        </w:tc>
        <w:tc>
          <w:tcPr>
            <w:tcW w:w="2600" w:type="dxa"/>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响应文件的规格/商务条款</w:t>
            </w:r>
          </w:p>
        </w:tc>
        <w:tc>
          <w:tcPr>
            <w:tcW w:w="1214" w:type="dxa"/>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响应与偏离</w:t>
            </w:r>
          </w:p>
        </w:tc>
        <w:tc>
          <w:tcPr>
            <w:tcW w:w="661" w:type="dxa"/>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360" w:lineRule="auto"/>
              <w:ind w:left="-88" w:leftChars="-42"/>
              <w:jc w:val="center"/>
              <w:rPr>
                <w:rFonts w:ascii="宋体" w:hAnsi="宋体"/>
                <w:szCs w:val="21"/>
              </w:rPr>
            </w:pPr>
          </w:p>
        </w:tc>
        <w:tc>
          <w:tcPr>
            <w:tcW w:w="1685" w:type="dxa"/>
            <w:vAlign w:val="center"/>
          </w:tcPr>
          <w:p>
            <w:pPr>
              <w:adjustRightInd w:val="0"/>
              <w:snapToGrid w:val="0"/>
              <w:spacing w:line="360" w:lineRule="auto"/>
              <w:ind w:left="-88" w:leftChars="-42"/>
              <w:jc w:val="center"/>
              <w:rPr>
                <w:rFonts w:ascii="宋体" w:hAnsi="宋体"/>
                <w:szCs w:val="21"/>
              </w:rPr>
            </w:pPr>
          </w:p>
        </w:tc>
        <w:tc>
          <w:tcPr>
            <w:tcW w:w="1948" w:type="dxa"/>
            <w:vAlign w:val="center"/>
          </w:tcPr>
          <w:p>
            <w:pPr>
              <w:adjustRightInd w:val="0"/>
              <w:snapToGrid w:val="0"/>
              <w:spacing w:line="360" w:lineRule="auto"/>
              <w:ind w:left="-88" w:leftChars="-42"/>
              <w:jc w:val="center"/>
              <w:rPr>
                <w:rFonts w:ascii="宋体" w:hAnsi="宋体"/>
                <w:szCs w:val="21"/>
              </w:rPr>
            </w:pPr>
          </w:p>
        </w:tc>
        <w:tc>
          <w:tcPr>
            <w:tcW w:w="2600" w:type="dxa"/>
            <w:vAlign w:val="center"/>
          </w:tcPr>
          <w:p>
            <w:pPr>
              <w:adjustRightInd w:val="0"/>
              <w:snapToGrid w:val="0"/>
              <w:spacing w:line="360" w:lineRule="auto"/>
              <w:ind w:left="-88" w:leftChars="-42"/>
              <w:jc w:val="center"/>
              <w:rPr>
                <w:rFonts w:ascii="宋体" w:hAnsi="宋体"/>
                <w:szCs w:val="21"/>
              </w:rPr>
            </w:pPr>
          </w:p>
        </w:tc>
        <w:tc>
          <w:tcPr>
            <w:tcW w:w="1214" w:type="dxa"/>
            <w:vAlign w:val="center"/>
          </w:tcPr>
          <w:p>
            <w:pPr>
              <w:adjustRightInd w:val="0"/>
              <w:snapToGrid w:val="0"/>
              <w:spacing w:line="360" w:lineRule="auto"/>
              <w:ind w:left="-88" w:leftChars="-42"/>
              <w:jc w:val="center"/>
              <w:rPr>
                <w:rFonts w:ascii="宋体" w:hAnsi="宋体"/>
                <w:szCs w:val="21"/>
              </w:rPr>
            </w:pPr>
          </w:p>
        </w:tc>
        <w:tc>
          <w:tcPr>
            <w:tcW w:w="661" w:type="dxa"/>
            <w:vAlign w:val="center"/>
          </w:tcPr>
          <w:p>
            <w:pPr>
              <w:adjustRightInd w:val="0"/>
              <w:snapToGrid w:val="0"/>
              <w:spacing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360" w:lineRule="auto"/>
              <w:ind w:left="-88" w:leftChars="-42"/>
              <w:jc w:val="center"/>
              <w:rPr>
                <w:rFonts w:ascii="宋体" w:hAnsi="宋体"/>
                <w:szCs w:val="21"/>
              </w:rPr>
            </w:pPr>
          </w:p>
        </w:tc>
        <w:tc>
          <w:tcPr>
            <w:tcW w:w="1685" w:type="dxa"/>
            <w:vAlign w:val="center"/>
          </w:tcPr>
          <w:p>
            <w:pPr>
              <w:adjustRightInd w:val="0"/>
              <w:snapToGrid w:val="0"/>
              <w:spacing w:line="360" w:lineRule="auto"/>
              <w:ind w:left="-88" w:leftChars="-42"/>
              <w:jc w:val="center"/>
              <w:rPr>
                <w:rFonts w:ascii="宋体" w:hAnsi="宋体"/>
                <w:szCs w:val="21"/>
              </w:rPr>
            </w:pPr>
          </w:p>
        </w:tc>
        <w:tc>
          <w:tcPr>
            <w:tcW w:w="1948" w:type="dxa"/>
            <w:vAlign w:val="center"/>
          </w:tcPr>
          <w:p>
            <w:pPr>
              <w:adjustRightInd w:val="0"/>
              <w:snapToGrid w:val="0"/>
              <w:spacing w:line="360" w:lineRule="auto"/>
              <w:ind w:left="-88" w:leftChars="-42"/>
              <w:jc w:val="center"/>
              <w:rPr>
                <w:rFonts w:ascii="宋体" w:hAnsi="宋体"/>
                <w:szCs w:val="21"/>
              </w:rPr>
            </w:pPr>
          </w:p>
        </w:tc>
        <w:tc>
          <w:tcPr>
            <w:tcW w:w="2600" w:type="dxa"/>
            <w:vAlign w:val="center"/>
          </w:tcPr>
          <w:p>
            <w:pPr>
              <w:adjustRightInd w:val="0"/>
              <w:snapToGrid w:val="0"/>
              <w:spacing w:line="360" w:lineRule="auto"/>
              <w:ind w:left="-88" w:leftChars="-42"/>
              <w:jc w:val="center"/>
              <w:rPr>
                <w:rFonts w:ascii="宋体" w:hAnsi="宋体"/>
                <w:szCs w:val="21"/>
              </w:rPr>
            </w:pPr>
          </w:p>
        </w:tc>
        <w:tc>
          <w:tcPr>
            <w:tcW w:w="1214" w:type="dxa"/>
            <w:vAlign w:val="center"/>
          </w:tcPr>
          <w:p>
            <w:pPr>
              <w:adjustRightInd w:val="0"/>
              <w:snapToGrid w:val="0"/>
              <w:spacing w:line="360" w:lineRule="auto"/>
              <w:ind w:left="-88" w:leftChars="-42"/>
              <w:jc w:val="center"/>
              <w:rPr>
                <w:rFonts w:ascii="宋体" w:hAnsi="宋体"/>
                <w:szCs w:val="21"/>
              </w:rPr>
            </w:pPr>
          </w:p>
        </w:tc>
        <w:tc>
          <w:tcPr>
            <w:tcW w:w="661" w:type="dxa"/>
            <w:vAlign w:val="center"/>
          </w:tcPr>
          <w:p>
            <w:pPr>
              <w:adjustRightInd w:val="0"/>
              <w:snapToGrid w:val="0"/>
              <w:spacing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360" w:lineRule="auto"/>
              <w:ind w:left="-88" w:leftChars="-42"/>
              <w:jc w:val="center"/>
              <w:rPr>
                <w:rFonts w:ascii="宋体" w:hAnsi="宋体"/>
                <w:szCs w:val="21"/>
              </w:rPr>
            </w:pPr>
          </w:p>
        </w:tc>
        <w:tc>
          <w:tcPr>
            <w:tcW w:w="1685" w:type="dxa"/>
            <w:vAlign w:val="center"/>
          </w:tcPr>
          <w:p>
            <w:pPr>
              <w:adjustRightInd w:val="0"/>
              <w:snapToGrid w:val="0"/>
              <w:spacing w:line="360" w:lineRule="auto"/>
              <w:ind w:left="-88" w:leftChars="-42"/>
              <w:jc w:val="center"/>
              <w:rPr>
                <w:rFonts w:ascii="宋体" w:hAnsi="宋体"/>
                <w:szCs w:val="21"/>
              </w:rPr>
            </w:pPr>
          </w:p>
        </w:tc>
        <w:tc>
          <w:tcPr>
            <w:tcW w:w="1948" w:type="dxa"/>
            <w:vAlign w:val="center"/>
          </w:tcPr>
          <w:p>
            <w:pPr>
              <w:adjustRightInd w:val="0"/>
              <w:snapToGrid w:val="0"/>
              <w:spacing w:line="360" w:lineRule="auto"/>
              <w:ind w:left="-88" w:leftChars="-42"/>
              <w:jc w:val="center"/>
              <w:rPr>
                <w:rFonts w:ascii="宋体" w:hAnsi="宋体"/>
                <w:szCs w:val="21"/>
              </w:rPr>
            </w:pPr>
          </w:p>
        </w:tc>
        <w:tc>
          <w:tcPr>
            <w:tcW w:w="2600" w:type="dxa"/>
            <w:vAlign w:val="center"/>
          </w:tcPr>
          <w:p>
            <w:pPr>
              <w:adjustRightInd w:val="0"/>
              <w:snapToGrid w:val="0"/>
              <w:spacing w:line="360" w:lineRule="auto"/>
              <w:ind w:left="-88" w:leftChars="-42"/>
              <w:jc w:val="center"/>
              <w:rPr>
                <w:rFonts w:ascii="宋体" w:hAnsi="宋体"/>
                <w:szCs w:val="21"/>
              </w:rPr>
            </w:pPr>
          </w:p>
        </w:tc>
        <w:tc>
          <w:tcPr>
            <w:tcW w:w="1214" w:type="dxa"/>
            <w:vAlign w:val="center"/>
          </w:tcPr>
          <w:p>
            <w:pPr>
              <w:adjustRightInd w:val="0"/>
              <w:snapToGrid w:val="0"/>
              <w:spacing w:line="360" w:lineRule="auto"/>
              <w:ind w:left="-88" w:leftChars="-42"/>
              <w:jc w:val="center"/>
              <w:rPr>
                <w:rFonts w:ascii="宋体" w:hAnsi="宋体"/>
                <w:szCs w:val="21"/>
              </w:rPr>
            </w:pPr>
          </w:p>
        </w:tc>
        <w:tc>
          <w:tcPr>
            <w:tcW w:w="661" w:type="dxa"/>
            <w:vAlign w:val="center"/>
          </w:tcPr>
          <w:p>
            <w:pPr>
              <w:adjustRightInd w:val="0"/>
              <w:snapToGrid w:val="0"/>
              <w:spacing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360" w:lineRule="auto"/>
              <w:ind w:left="-88" w:leftChars="-42"/>
              <w:jc w:val="center"/>
              <w:rPr>
                <w:rFonts w:ascii="宋体" w:hAnsi="宋体"/>
                <w:szCs w:val="21"/>
              </w:rPr>
            </w:pPr>
          </w:p>
        </w:tc>
        <w:tc>
          <w:tcPr>
            <w:tcW w:w="1685" w:type="dxa"/>
            <w:vAlign w:val="center"/>
          </w:tcPr>
          <w:p>
            <w:pPr>
              <w:adjustRightInd w:val="0"/>
              <w:snapToGrid w:val="0"/>
              <w:spacing w:line="360" w:lineRule="auto"/>
              <w:ind w:left="-88" w:leftChars="-42"/>
              <w:jc w:val="center"/>
              <w:rPr>
                <w:rFonts w:ascii="宋体" w:hAnsi="宋体"/>
                <w:szCs w:val="21"/>
              </w:rPr>
            </w:pPr>
          </w:p>
        </w:tc>
        <w:tc>
          <w:tcPr>
            <w:tcW w:w="1948" w:type="dxa"/>
            <w:vAlign w:val="center"/>
          </w:tcPr>
          <w:p>
            <w:pPr>
              <w:adjustRightInd w:val="0"/>
              <w:snapToGrid w:val="0"/>
              <w:spacing w:line="360" w:lineRule="auto"/>
              <w:ind w:left="-88" w:leftChars="-42"/>
              <w:jc w:val="center"/>
              <w:rPr>
                <w:rFonts w:ascii="宋体" w:hAnsi="宋体"/>
                <w:szCs w:val="21"/>
              </w:rPr>
            </w:pPr>
          </w:p>
        </w:tc>
        <w:tc>
          <w:tcPr>
            <w:tcW w:w="2600" w:type="dxa"/>
            <w:vAlign w:val="center"/>
          </w:tcPr>
          <w:p>
            <w:pPr>
              <w:adjustRightInd w:val="0"/>
              <w:snapToGrid w:val="0"/>
              <w:spacing w:line="360" w:lineRule="auto"/>
              <w:ind w:left="-88" w:leftChars="-42"/>
              <w:jc w:val="center"/>
              <w:rPr>
                <w:rFonts w:ascii="宋体" w:hAnsi="宋体"/>
                <w:szCs w:val="21"/>
              </w:rPr>
            </w:pPr>
          </w:p>
        </w:tc>
        <w:tc>
          <w:tcPr>
            <w:tcW w:w="1214" w:type="dxa"/>
            <w:vAlign w:val="center"/>
          </w:tcPr>
          <w:p>
            <w:pPr>
              <w:adjustRightInd w:val="0"/>
              <w:snapToGrid w:val="0"/>
              <w:spacing w:line="360" w:lineRule="auto"/>
              <w:ind w:left="-88" w:leftChars="-42"/>
              <w:jc w:val="center"/>
              <w:rPr>
                <w:rFonts w:ascii="宋体" w:hAnsi="宋体"/>
                <w:szCs w:val="21"/>
              </w:rPr>
            </w:pPr>
          </w:p>
        </w:tc>
        <w:tc>
          <w:tcPr>
            <w:tcW w:w="661" w:type="dxa"/>
            <w:vAlign w:val="center"/>
          </w:tcPr>
          <w:p>
            <w:pPr>
              <w:adjustRightInd w:val="0"/>
              <w:snapToGrid w:val="0"/>
              <w:spacing w:line="360" w:lineRule="auto"/>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spacing w:line="360" w:lineRule="auto"/>
              <w:ind w:left="-88" w:leftChars="-42"/>
              <w:jc w:val="center"/>
              <w:rPr>
                <w:rFonts w:ascii="宋体" w:hAnsi="宋体"/>
                <w:szCs w:val="21"/>
              </w:rPr>
            </w:pPr>
          </w:p>
        </w:tc>
        <w:tc>
          <w:tcPr>
            <w:tcW w:w="1685" w:type="dxa"/>
            <w:vAlign w:val="center"/>
          </w:tcPr>
          <w:p>
            <w:pPr>
              <w:adjustRightInd w:val="0"/>
              <w:snapToGrid w:val="0"/>
              <w:spacing w:line="360" w:lineRule="auto"/>
              <w:ind w:left="-88" w:leftChars="-42"/>
              <w:jc w:val="center"/>
              <w:rPr>
                <w:rFonts w:ascii="宋体" w:hAnsi="宋体"/>
                <w:szCs w:val="21"/>
              </w:rPr>
            </w:pPr>
          </w:p>
        </w:tc>
        <w:tc>
          <w:tcPr>
            <w:tcW w:w="1948" w:type="dxa"/>
            <w:vAlign w:val="center"/>
          </w:tcPr>
          <w:p>
            <w:pPr>
              <w:adjustRightInd w:val="0"/>
              <w:snapToGrid w:val="0"/>
              <w:spacing w:line="360" w:lineRule="auto"/>
              <w:ind w:left="-88" w:leftChars="-42"/>
              <w:jc w:val="center"/>
              <w:rPr>
                <w:rFonts w:ascii="宋体" w:hAnsi="宋体"/>
                <w:szCs w:val="21"/>
              </w:rPr>
            </w:pPr>
          </w:p>
        </w:tc>
        <w:tc>
          <w:tcPr>
            <w:tcW w:w="2600" w:type="dxa"/>
            <w:vAlign w:val="center"/>
          </w:tcPr>
          <w:p>
            <w:pPr>
              <w:adjustRightInd w:val="0"/>
              <w:snapToGrid w:val="0"/>
              <w:spacing w:line="360" w:lineRule="auto"/>
              <w:ind w:left="-88" w:leftChars="-42"/>
              <w:jc w:val="center"/>
              <w:rPr>
                <w:rFonts w:ascii="宋体" w:hAnsi="宋体"/>
                <w:szCs w:val="21"/>
              </w:rPr>
            </w:pPr>
          </w:p>
        </w:tc>
        <w:tc>
          <w:tcPr>
            <w:tcW w:w="1214" w:type="dxa"/>
            <w:vAlign w:val="center"/>
          </w:tcPr>
          <w:p>
            <w:pPr>
              <w:adjustRightInd w:val="0"/>
              <w:snapToGrid w:val="0"/>
              <w:spacing w:line="360" w:lineRule="auto"/>
              <w:ind w:left="-88" w:leftChars="-42"/>
              <w:jc w:val="center"/>
              <w:rPr>
                <w:rFonts w:ascii="宋体" w:hAnsi="宋体"/>
                <w:szCs w:val="21"/>
              </w:rPr>
            </w:pPr>
          </w:p>
        </w:tc>
        <w:tc>
          <w:tcPr>
            <w:tcW w:w="661" w:type="dxa"/>
            <w:vAlign w:val="center"/>
          </w:tcPr>
          <w:p>
            <w:pPr>
              <w:adjustRightInd w:val="0"/>
              <w:snapToGrid w:val="0"/>
              <w:spacing w:line="360" w:lineRule="auto"/>
              <w:ind w:left="-88" w:leftChars="-42"/>
              <w:jc w:val="center"/>
              <w:rPr>
                <w:rFonts w:ascii="宋体" w:hAnsi="宋体"/>
                <w:szCs w:val="21"/>
              </w:rPr>
            </w:pPr>
          </w:p>
        </w:tc>
      </w:tr>
    </w:tbl>
    <w:p>
      <w:pPr>
        <w:adjustRightInd w:val="0"/>
        <w:snapToGrid w:val="0"/>
        <w:spacing w:line="360" w:lineRule="auto"/>
        <w:ind w:left="-88" w:leftChars="-42"/>
        <w:rPr>
          <w:rFonts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ascii="仿宋_GB2312" w:hAnsi="宋体" w:eastAsia="仿宋_GB2312"/>
          <w:szCs w:val="21"/>
        </w:rPr>
      </w:pPr>
      <w:r>
        <w:rPr>
          <w:rFonts w:hint="eastAsia" w:ascii="仿宋_GB2312" w:hAnsi="宋体" w:eastAsia="仿宋_GB2312"/>
          <w:szCs w:val="21"/>
        </w:rPr>
        <w:t>2、属磋商文件规定可能变动的内容在“说明”栏中注明。</w:t>
      </w:r>
    </w:p>
    <w:p>
      <w:pPr>
        <w:pStyle w:val="29"/>
        <w:adjustRightInd w:val="0"/>
        <w:snapToGrid w:val="0"/>
        <w:spacing w:line="360" w:lineRule="auto"/>
        <w:outlineLvl w:val="0"/>
        <w:rPr>
          <w:rFonts w:ascii="宋体" w:hAnsi="宋体"/>
          <w:sz w:val="21"/>
          <w:szCs w:val="21"/>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9"/>
        <w:adjustRightInd w:val="0"/>
        <w:snapToGrid w:val="0"/>
        <w:spacing w:line="360" w:lineRule="auto"/>
        <w:outlineLvl w:val="0"/>
        <w:rPr>
          <w:rFonts w:ascii="宋体" w:hAnsi="宋体"/>
          <w:bCs/>
          <w:sz w:val="21"/>
          <w:szCs w:val="21"/>
        </w:rPr>
      </w:pPr>
      <w:r>
        <w:rPr>
          <w:rFonts w:hint="eastAsia" w:ascii="宋体" w:hAnsi="宋体"/>
          <w:sz w:val="21"/>
          <w:szCs w:val="21"/>
        </w:rPr>
        <w:t>供应商名称：</w:t>
      </w:r>
    </w:p>
    <w:p>
      <w:pPr>
        <w:adjustRightInd w:val="0"/>
        <w:snapToGrid w:val="0"/>
        <w:spacing w:line="360" w:lineRule="auto"/>
        <w:outlineLvl w:val="0"/>
        <w:rPr>
          <w:rFonts w:ascii="宋体" w:hAnsi="宋体"/>
          <w:szCs w:val="21"/>
        </w:rPr>
      </w:pPr>
      <w:r>
        <w:rPr>
          <w:rFonts w:hint="eastAsia" w:ascii="宋体" w:hAnsi="宋体"/>
          <w:szCs w:val="21"/>
        </w:rPr>
        <w:t>法定代表人或其委托代理人(签字)：</w:t>
      </w:r>
    </w:p>
    <w:p>
      <w:pPr>
        <w:adjustRightInd w:val="0"/>
        <w:snapToGrid w:val="0"/>
        <w:spacing w:line="360" w:lineRule="auto"/>
        <w:outlineLvl w:val="0"/>
        <w:rPr>
          <w:rFonts w:ascii="宋体" w:hAnsi="宋体"/>
          <w:szCs w:val="21"/>
        </w:rPr>
      </w:pPr>
      <w:r>
        <w:rPr>
          <w:rFonts w:hint="eastAsia" w:ascii="宋体" w:hAnsi="宋体"/>
          <w:szCs w:val="21"/>
        </w:rPr>
        <w:t>日          期：  年  月  日</w:t>
      </w:r>
    </w:p>
    <w:p>
      <w:pPr>
        <w:adjustRightInd w:val="0"/>
        <w:snapToGrid w:val="0"/>
        <w:spacing w:line="360" w:lineRule="auto"/>
        <w:rPr>
          <w:rFonts w:ascii="宋体" w:hAnsi="宋体"/>
          <w:szCs w:val="21"/>
        </w:rPr>
      </w:pPr>
    </w:p>
    <w:p>
      <w:pPr>
        <w:tabs>
          <w:tab w:val="left" w:pos="3600"/>
        </w:tabs>
        <w:adjustRightInd w:val="0"/>
        <w:snapToGrid w:val="0"/>
        <w:spacing w:line="360" w:lineRule="auto"/>
        <w:jc w:val="center"/>
        <w:rPr>
          <w:rFonts w:ascii="黑体" w:eastAsia="黑体"/>
          <w:b/>
          <w:sz w:val="32"/>
          <w:szCs w:val="32"/>
        </w:rPr>
      </w:pPr>
    </w:p>
    <w:p>
      <w:pPr>
        <w:tabs>
          <w:tab w:val="left" w:pos="3600"/>
        </w:tabs>
        <w:adjustRightInd w:val="0"/>
        <w:snapToGrid w:val="0"/>
        <w:spacing w:line="360" w:lineRule="auto"/>
        <w:jc w:val="center"/>
        <w:rPr>
          <w:rFonts w:ascii="黑体" w:eastAsia="黑体"/>
          <w:b/>
          <w:sz w:val="32"/>
          <w:szCs w:val="32"/>
        </w:rPr>
      </w:pPr>
    </w:p>
    <w:p>
      <w:pPr>
        <w:tabs>
          <w:tab w:val="left" w:pos="3600"/>
        </w:tabs>
        <w:adjustRightInd w:val="0"/>
        <w:snapToGrid w:val="0"/>
        <w:spacing w:line="360" w:lineRule="auto"/>
        <w:jc w:val="center"/>
        <w:rPr>
          <w:rFonts w:ascii="黑体" w:eastAsia="黑体"/>
          <w:b/>
          <w:sz w:val="32"/>
          <w:szCs w:val="32"/>
        </w:rPr>
      </w:pPr>
    </w:p>
    <w:p>
      <w:pPr>
        <w:tabs>
          <w:tab w:val="left" w:pos="3600"/>
        </w:tabs>
        <w:adjustRightInd w:val="0"/>
        <w:snapToGrid w:val="0"/>
        <w:spacing w:line="360" w:lineRule="auto"/>
        <w:jc w:val="center"/>
        <w:rPr>
          <w:rFonts w:ascii="黑体" w:eastAsia="黑体"/>
          <w:b/>
          <w:sz w:val="30"/>
          <w:szCs w:val="30"/>
        </w:rPr>
      </w:pPr>
    </w:p>
    <w:p>
      <w:pPr>
        <w:widowControl/>
        <w:spacing w:line="360" w:lineRule="auto"/>
        <w:jc w:val="left"/>
        <w:rPr>
          <w:rFonts w:ascii="黑体" w:eastAsia="黑体"/>
          <w:b/>
          <w:sz w:val="30"/>
          <w:szCs w:val="30"/>
        </w:rPr>
      </w:pPr>
      <w:r>
        <w:rPr>
          <w:rFonts w:ascii="黑体" w:eastAsia="黑体"/>
          <w:b/>
          <w:sz w:val="30"/>
          <w:szCs w:val="30"/>
        </w:rPr>
        <w:br w:type="page"/>
      </w:r>
    </w:p>
    <w:p>
      <w:pPr>
        <w:tabs>
          <w:tab w:val="left" w:pos="3600"/>
        </w:tabs>
        <w:adjustRightInd w:val="0"/>
        <w:snapToGrid w:val="0"/>
        <w:spacing w:line="360" w:lineRule="auto"/>
        <w:jc w:val="center"/>
        <w:rPr>
          <w:rFonts w:ascii="黑体" w:hAnsi="宋体" w:eastAsia="黑体"/>
          <w:b/>
          <w:sz w:val="30"/>
          <w:szCs w:val="30"/>
        </w:rPr>
      </w:pPr>
      <w:r>
        <w:rPr>
          <w:rFonts w:hint="eastAsia" w:ascii="黑体" w:eastAsia="黑体"/>
          <w:b/>
          <w:sz w:val="30"/>
          <w:szCs w:val="30"/>
        </w:rPr>
        <w:t>六、</w:t>
      </w:r>
      <w:r>
        <w:rPr>
          <w:rFonts w:hint="eastAsia" w:ascii="黑体" w:hAnsi="宋体" w:eastAsia="黑体"/>
          <w:b/>
          <w:sz w:val="30"/>
          <w:szCs w:val="30"/>
        </w:rPr>
        <w:t>提供享受政府采购政策的证明材料和清单表</w:t>
      </w:r>
    </w:p>
    <w:p>
      <w:pPr>
        <w:spacing w:line="360" w:lineRule="auto"/>
        <w:rPr>
          <w:rFonts w:ascii="黑体" w:hAnsi="宋体" w:eastAsia="黑体"/>
          <w:sz w:val="30"/>
          <w:szCs w:val="30"/>
        </w:rPr>
      </w:pPr>
      <w:r>
        <w:rPr>
          <w:rFonts w:hint="eastAsia" w:ascii="黑体" w:hAnsi="宋体" w:eastAsia="黑体"/>
          <w:sz w:val="30"/>
          <w:szCs w:val="30"/>
        </w:rPr>
        <w:t>附件8-1</w:t>
      </w:r>
    </w:p>
    <w:p>
      <w:pPr>
        <w:adjustRightInd w:val="0"/>
        <w:snapToGrid w:val="0"/>
        <w:spacing w:line="360" w:lineRule="auto"/>
        <w:jc w:val="center"/>
        <w:rPr>
          <w:rFonts w:ascii="宋体" w:hAnsi="宋体" w:cs="宋体"/>
          <w:b/>
          <w:bCs/>
          <w:spacing w:val="6"/>
          <w:sz w:val="28"/>
          <w:szCs w:val="28"/>
        </w:rPr>
      </w:pPr>
      <w:r>
        <w:rPr>
          <w:rFonts w:hint="eastAsia" w:ascii="宋体" w:hAnsi="宋体" w:cs="宋体"/>
          <w:b/>
          <w:bCs/>
          <w:spacing w:val="6"/>
          <w:sz w:val="28"/>
          <w:szCs w:val="28"/>
        </w:rPr>
        <w:t>中小企业声明函（工程、服务）</w:t>
      </w:r>
    </w:p>
    <w:p>
      <w:pPr>
        <w:pStyle w:val="67"/>
        <w:spacing w:line="360" w:lineRule="auto"/>
        <w:ind w:firstLine="420"/>
        <w:rPr>
          <w:lang w:val="en-US"/>
        </w:rPr>
      </w:pPr>
    </w:p>
    <w:p>
      <w:pPr>
        <w:adjustRightInd w:val="0"/>
        <w:snapToGrid w:val="0"/>
        <w:spacing w:line="360" w:lineRule="auto"/>
        <w:ind w:firstLine="444" w:firstLineChars="200"/>
        <w:rPr>
          <w:rFonts w:ascii="宋体" w:hAnsi="宋体" w:cs="宋体"/>
          <w:spacing w:val="6"/>
          <w:szCs w:val="21"/>
        </w:rPr>
      </w:pPr>
      <w:r>
        <w:rPr>
          <w:rFonts w:hint="eastAsia" w:ascii="宋体" w:hAnsi="宋体" w:cs="宋体"/>
          <w:spacing w:val="6"/>
          <w:szCs w:val="21"/>
        </w:rPr>
        <w:t>本公司（联合体）郑重声明，根据《政府采购促进中小企业发展管理办法》（财库﹝2020﹞46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pPr>
        <w:adjustRightInd w:val="0"/>
        <w:snapToGrid w:val="0"/>
        <w:spacing w:line="360" w:lineRule="auto"/>
        <w:ind w:firstLine="444" w:firstLineChars="200"/>
        <w:rPr>
          <w:rFonts w:ascii="宋体" w:hAnsi="宋体" w:cs="宋体"/>
          <w:spacing w:val="6"/>
          <w:szCs w:val="21"/>
        </w:rPr>
      </w:pPr>
      <w:r>
        <w:rPr>
          <w:rFonts w:hint="eastAsia" w:ascii="宋体" w:hAnsi="宋体" w:cs="宋体"/>
          <w:spacing w:val="6"/>
          <w:szCs w:val="21"/>
        </w:rPr>
        <w:t xml:space="preserve">1. （标的名称） ，属于（采购文件中明确的所属行业）； 承接企业为（企业名称），从业人员人，营业收入为万元，资产总额为万元1，属于（中型企业、小型企业、微型企业）； </w:t>
      </w:r>
    </w:p>
    <w:p>
      <w:pPr>
        <w:adjustRightInd w:val="0"/>
        <w:snapToGrid w:val="0"/>
        <w:spacing w:line="360" w:lineRule="auto"/>
        <w:ind w:firstLine="444" w:firstLineChars="200"/>
        <w:rPr>
          <w:rFonts w:ascii="宋体" w:hAnsi="宋体" w:cs="宋体"/>
          <w:spacing w:val="6"/>
          <w:szCs w:val="21"/>
        </w:rPr>
      </w:pPr>
      <w:r>
        <w:rPr>
          <w:rFonts w:hint="eastAsia" w:ascii="宋体" w:hAnsi="宋体" w:cs="宋体"/>
          <w:spacing w:val="6"/>
          <w:szCs w:val="21"/>
        </w:rPr>
        <w:t>2. （标的名称） ，属于（采购文件中明确的所属行业）； 承接企业为（企业名称），从业人员人，营业收入为万元，资产总额为万元，属于（中型企业、小型企业、微型企业）；</w:t>
      </w:r>
    </w:p>
    <w:p>
      <w:pPr>
        <w:adjustRightInd w:val="0"/>
        <w:snapToGrid w:val="0"/>
        <w:spacing w:line="360" w:lineRule="auto"/>
        <w:ind w:firstLine="444" w:firstLineChars="200"/>
        <w:rPr>
          <w:rFonts w:ascii="宋体" w:hAnsi="宋体" w:cs="宋体"/>
          <w:spacing w:val="6"/>
          <w:szCs w:val="21"/>
        </w:rPr>
      </w:pPr>
      <w:r>
        <w:rPr>
          <w:rFonts w:hint="eastAsia" w:ascii="宋体" w:hAnsi="宋体" w:cs="宋体"/>
          <w:spacing w:val="6"/>
          <w:szCs w:val="21"/>
        </w:rPr>
        <w:t>……</w:t>
      </w:r>
    </w:p>
    <w:p>
      <w:pPr>
        <w:adjustRightInd w:val="0"/>
        <w:snapToGrid w:val="0"/>
        <w:spacing w:line="360" w:lineRule="auto"/>
        <w:ind w:firstLine="444" w:firstLineChars="200"/>
        <w:rPr>
          <w:rFonts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pPr>
        <w:widowControl/>
        <w:spacing w:line="360" w:lineRule="auto"/>
        <w:ind w:firstLine="444" w:firstLineChars="200"/>
        <w:jc w:val="left"/>
        <w:rPr>
          <w:rFonts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pPr>
        <w:widowControl/>
        <w:spacing w:line="360" w:lineRule="auto"/>
        <w:ind w:firstLine="5883" w:firstLineChars="2650"/>
        <w:jc w:val="left"/>
        <w:rPr>
          <w:rFonts w:ascii="宋体" w:hAnsi="宋体" w:cs="宋体"/>
          <w:spacing w:val="6"/>
          <w:szCs w:val="21"/>
        </w:rPr>
      </w:pPr>
    </w:p>
    <w:p>
      <w:pPr>
        <w:widowControl/>
        <w:spacing w:line="360" w:lineRule="auto"/>
        <w:jc w:val="left"/>
        <w:rPr>
          <w:rFonts w:ascii="宋体" w:hAnsi="宋体" w:cs="宋体"/>
          <w:spacing w:val="6"/>
          <w:szCs w:val="21"/>
        </w:rPr>
      </w:pPr>
      <w:r>
        <w:rPr>
          <w:rFonts w:hint="eastAsia" w:ascii="宋体" w:hAnsi="宋体" w:cs="宋体"/>
          <w:spacing w:val="6"/>
          <w:szCs w:val="21"/>
        </w:rPr>
        <w:t>企业名称（盖章）：</w:t>
      </w:r>
      <w:r>
        <w:rPr>
          <w:rFonts w:hint="eastAsia" w:ascii="宋体" w:hAnsi="宋体" w:cs="宋体"/>
          <w:szCs w:val="21"/>
        </w:rPr>
        <w:t>_</w:t>
      </w:r>
    </w:p>
    <w:p>
      <w:pPr>
        <w:widowControl/>
        <w:spacing w:line="360" w:lineRule="auto"/>
        <w:jc w:val="left"/>
        <w:rPr>
          <w:rFonts w:ascii="宋体" w:hAnsi="宋体" w:cs="宋体"/>
          <w:spacing w:val="6"/>
          <w:szCs w:val="21"/>
        </w:rPr>
      </w:pPr>
      <w:r>
        <w:rPr>
          <w:rFonts w:hint="eastAsia" w:ascii="宋体" w:hAnsi="宋体" w:cs="宋体"/>
          <w:spacing w:val="6"/>
          <w:szCs w:val="21"/>
        </w:rPr>
        <w:t>日           期：</w:t>
      </w:r>
      <w:r>
        <w:rPr>
          <w:rFonts w:hint="eastAsia" w:ascii="宋体" w:hAnsi="宋体" w:cs="宋体"/>
          <w:szCs w:val="21"/>
        </w:rPr>
        <w:t>_</w:t>
      </w:r>
    </w:p>
    <w:p>
      <w:pPr>
        <w:widowControl/>
        <w:adjustRightInd w:val="0"/>
        <w:snapToGrid w:val="0"/>
        <w:spacing w:line="360" w:lineRule="auto"/>
        <w:ind w:firstLine="444" w:firstLineChars="200"/>
        <w:jc w:val="center"/>
        <w:rPr>
          <w:rFonts w:ascii="宋体" w:hAnsi="宋体" w:cs="宋体"/>
          <w:spacing w:val="6"/>
          <w:szCs w:val="21"/>
        </w:rPr>
      </w:pPr>
    </w:p>
    <w:p>
      <w:pPr>
        <w:adjustRightInd w:val="0"/>
        <w:snapToGrid w:val="0"/>
        <w:spacing w:line="360" w:lineRule="auto"/>
        <w:rPr>
          <w:rFonts w:ascii="宋体" w:hAnsi="宋体" w:cs="宋体"/>
          <w:b/>
          <w:bCs/>
          <w:spacing w:val="6"/>
          <w:szCs w:val="21"/>
        </w:rPr>
      </w:pPr>
      <w:r>
        <w:rPr>
          <w:rFonts w:hint="eastAsia" w:ascii="宋体" w:hAnsi="宋体" w:cs="宋体"/>
          <w:b/>
          <w:bCs/>
          <w:spacing w:val="6"/>
          <w:szCs w:val="21"/>
        </w:rPr>
        <w:t>注：1、从业人员、营业收入、资产总额填报上一年度数据，无上一年度数据的新成立企业可不填报。</w:t>
      </w:r>
    </w:p>
    <w:p>
      <w:pPr>
        <w:adjustRightInd w:val="0"/>
        <w:snapToGrid w:val="0"/>
        <w:spacing w:line="360" w:lineRule="auto"/>
        <w:ind w:firstLine="437" w:firstLineChars="196"/>
        <w:rPr>
          <w:rFonts w:ascii="宋体" w:hAnsi="宋体" w:cs="宋体"/>
          <w:b/>
          <w:bCs/>
          <w:spacing w:val="6"/>
          <w:szCs w:val="21"/>
        </w:rPr>
      </w:pPr>
      <w:r>
        <w:rPr>
          <w:rFonts w:hint="eastAsia" w:ascii="宋体" w:hAnsi="宋体" w:cs="宋体"/>
          <w:b/>
          <w:bCs/>
          <w:spacing w:val="6"/>
          <w:szCs w:val="21"/>
        </w:rPr>
        <w:t>2、符合《政府采购促进中小企业发展管理办法》（财库〔2020〕46号 ）相关规定的，应提交《附件：中小企业声明函》。</w:t>
      </w:r>
    </w:p>
    <w:p>
      <w:pPr>
        <w:widowControl/>
        <w:adjustRightInd w:val="0"/>
        <w:snapToGrid w:val="0"/>
        <w:spacing w:line="360" w:lineRule="auto"/>
        <w:ind w:firstLine="420" w:firstLineChars="200"/>
        <w:jc w:val="center"/>
        <w:rPr>
          <w:rFonts w:ascii="宋体" w:hAnsi="宋体"/>
          <w:szCs w:val="21"/>
        </w:rPr>
      </w:pPr>
    </w:p>
    <w:p>
      <w:pPr>
        <w:adjustRightInd w:val="0"/>
        <w:snapToGrid w:val="0"/>
        <w:spacing w:line="360" w:lineRule="auto"/>
        <w:rPr>
          <w:rFonts w:ascii="仿宋_GB2312" w:hAnsi="宋体" w:eastAsia="仿宋_GB2312"/>
          <w:szCs w:val="21"/>
        </w:rPr>
      </w:pPr>
    </w:p>
    <w:p>
      <w:pPr>
        <w:adjustRightInd w:val="0"/>
        <w:snapToGrid w:val="0"/>
        <w:spacing w:line="360" w:lineRule="auto"/>
        <w:rPr>
          <w:rFonts w:ascii="仿宋_GB2312" w:hAnsi="宋体" w:eastAsia="仿宋_GB2312"/>
          <w:szCs w:val="21"/>
        </w:rPr>
      </w:pPr>
    </w:p>
    <w:p>
      <w:pPr>
        <w:adjustRightInd w:val="0"/>
        <w:snapToGrid w:val="0"/>
        <w:spacing w:line="360" w:lineRule="auto"/>
        <w:rPr>
          <w:rFonts w:hint="eastAsia" w:ascii="仿宋_GB2312" w:hAnsi="宋体" w:eastAsia="仿宋_GB2312"/>
          <w:szCs w:val="21"/>
        </w:rPr>
      </w:pPr>
    </w:p>
    <w:p>
      <w:pPr>
        <w:pStyle w:val="2"/>
        <w:ind w:firstLine="480"/>
        <w:rPr>
          <w:rFonts w:hint="eastAsia"/>
        </w:rPr>
      </w:pPr>
    </w:p>
    <w:p>
      <w:pPr>
        <w:pStyle w:val="4"/>
      </w:pPr>
    </w:p>
    <w:p>
      <w:pPr>
        <w:pStyle w:val="2"/>
        <w:spacing w:line="360" w:lineRule="auto"/>
        <w:ind w:firstLine="480"/>
        <w:rPr>
          <w:rFonts w:hint="eastAsia"/>
        </w:rPr>
      </w:pPr>
    </w:p>
    <w:p>
      <w:pPr>
        <w:spacing w:line="360" w:lineRule="auto"/>
        <w:rPr>
          <w:rFonts w:ascii="黑体" w:hAnsi="宋体" w:eastAsia="黑体"/>
          <w:sz w:val="30"/>
          <w:szCs w:val="30"/>
        </w:rPr>
      </w:pPr>
      <w:r>
        <w:rPr>
          <w:rFonts w:hint="eastAsia" w:ascii="黑体" w:hAnsi="宋体" w:eastAsia="黑体"/>
          <w:sz w:val="30"/>
          <w:szCs w:val="30"/>
        </w:rPr>
        <w:t xml:space="preserve">8-2残疾人福利性单位声明函格式   </w:t>
      </w:r>
    </w:p>
    <w:p>
      <w:pPr>
        <w:spacing w:line="360" w:lineRule="auto"/>
        <w:ind w:firstLine="2100" w:firstLineChars="700"/>
        <w:rPr>
          <w:rFonts w:ascii="黑体" w:hAnsi="宋体" w:eastAsia="黑体"/>
          <w:sz w:val="30"/>
          <w:szCs w:val="30"/>
        </w:rPr>
      </w:pPr>
      <w:r>
        <w:rPr>
          <w:rFonts w:hint="eastAsia" w:ascii="黑体" w:hAnsi="宋体" w:eastAsia="黑体"/>
          <w:sz w:val="30"/>
          <w:szCs w:val="30"/>
        </w:rPr>
        <w:t>残疾人福利性单位声明函格式</w:t>
      </w:r>
    </w:p>
    <w:p>
      <w:pPr>
        <w:pStyle w:val="346"/>
        <w:spacing w:before="312"/>
        <w:ind w:firstLine="480"/>
      </w:pPr>
      <w:r>
        <w:rPr>
          <w:rFonts w:hint="eastAsia"/>
        </w:rPr>
        <w:t>本单位郑重声明，根据《财政部民政部中国残疾人联合会关于促进残疾人就业政府采购政策的通知》（财库〔2017〕141号）的规定，本单位（请进行勾选）：</w:t>
      </w:r>
    </w:p>
    <w:p>
      <w:pPr>
        <w:pStyle w:val="346"/>
        <w:spacing w:before="312"/>
        <w:ind w:firstLine="482"/>
        <w:rPr>
          <w:b/>
          <w:bCs/>
        </w:rPr>
      </w:pPr>
      <w:r>
        <w:rPr>
          <w:rFonts w:hint="eastAsia"/>
          <w:b/>
          <w:bCs/>
        </w:rPr>
        <w:t>□不属于符合条件的残疾人福利性单位。</w:t>
      </w:r>
    </w:p>
    <w:p>
      <w:pPr>
        <w:pStyle w:val="346"/>
        <w:spacing w:before="312"/>
        <w:ind w:firstLine="482"/>
      </w:pPr>
      <w:r>
        <w:rPr>
          <w:rFonts w:hint="eastAsia"/>
          <w:b/>
          <w:bCs/>
        </w:rPr>
        <w:t>□属于符合条件的残疾人福利性单位，</w:t>
      </w:r>
      <w:r>
        <w:rPr>
          <w:rFonts w:hint="eastAsia"/>
        </w:rPr>
        <w:t>且本单位参加______单位的______项目采购活动提供本单位制造的货物（由本单位承担工程/提供服务），或者提供其他残疾人福利性单位制造的货物（不包括使用非残疾人福利性单位注册商标的货物）。</w:t>
      </w:r>
    </w:p>
    <w:p>
      <w:pPr>
        <w:pStyle w:val="346"/>
        <w:spacing w:before="312"/>
        <w:ind w:firstLine="482"/>
        <w:rPr>
          <w:b/>
          <w:bCs/>
        </w:rPr>
      </w:pPr>
      <w:r>
        <w:rPr>
          <w:rFonts w:hint="eastAsia"/>
          <w:b/>
          <w:bCs/>
        </w:rPr>
        <w:t>本单位对上述声明的真实性负责。如有虚假，将依法承担相应责任。</w:t>
      </w:r>
    </w:p>
    <w:p>
      <w:pPr>
        <w:pStyle w:val="346"/>
        <w:spacing w:before="312"/>
        <w:ind w:firstLine="480"/>
      </w:pPr>
    </w:p>
    <w:p>
      <w:pPr>
        <w:pStyle w:val="346"/>
        <w:spacing w:before="312"/>
        <w:ind w:firstLine="480"/>
      </w:pPr>
      <w:r>
        <w:rPr>
          <w:rFonts w:hint="eastAsia"/>
        </w:rPr>
        <w:t>单位名称（盖章）：</w:t>
      </w:r>
    </w:p>
    <w:p>
      <w:pPr>
        <w:pStyle w:val="346"/>
        <w:spacing w:before="312"/>
        <w:ind w:firstLine="480"/>
      </w:pPr>
    </w:p>
    <w:p>
      <w:pPr>
        <w:pStyle w:val="346"/>
        <w:spacing w:before="312"/>
        <w:ind w:firstLine="480"/>
        <w:jc w:val="right"/>
      </w:pPr>
      <w:r>
        <w:rPr>
          <w:rFonts w:hint="eastAsia"/>
        </w:rPr>
        <w:t>日     期：    年    月   日</w:t>
      </w:r>
    </w:p>
    <w:p>
      <w:pPr>
        <w:rPr>
          <w:b/>
          <w:bCs/>
        </w:rPr>
      </w:pPr>
      <w:r>
        <w:rPr>
          <w:rFonts w:hint="eastAsia"/>
          <w:b/>
          <w:bCs/>
        </w:rPr>
        <w:br w:type="page"/>
      </w:r>
    </w:p>
    <w:p>
      <w:pPr>
        <w:spacing w:line="360" w:lineRule="auto"/>
        <w:rPr>
          <w:rFonts w:ascii="黑体" w:hAnsi="宋体" w:eastAsia="黑体"/>
          <w:sz w:val="30"/>
          <w:szCs w:val="30"/>
        </w:rPr>
      </w:pPr>
      <w:r>
        <w:rPr>
          <w:rFonts w:hint="eastAsia" w:ascii="黑体" w:hAnsi="宋体" w:eastAsia="黑体"/>
          <w:sz w:val="30"/>
          <w:szCs w:val="30"/>
        </w:rPr>
        <w:t>8-3监狱企业证明资料</w:t>
      </w:r>
    </w:p>
    <w:p>
      <w:pPr>
        <w:spacing w:line="360" w:lineRule="auto"/>
        <w:ind w:firstLine="3000" w:firstLineChars="1000"/>
        <w:rPr>
          <w:rFonts w:ascii="黑体" w:hAnsi="宋体" w:eastAsia="黑体"/>
          <w:sz w:val="30"/>
          <w:szCs w:val="30"/>
        </w:rPr>
      </w:pPr>
      <w:r>
        <w:rPr>
          <w:rFonts w:hint="eastAsia" w:ascii="黑体" w:hAnsi="宋体" w:eastAsia="黑体"/>
          <w:sz w:val="30"/>
          <w:szCs w:val="30"/>
        </w:rPr>
        <w:t>监狱企业证明资料</w:t>
      </w:r>
    </w:p>
    <w:p>
      <w:pPr>
        <w:pStyle w:val="346"/>
        <w:spacing w:before="312"/>
        <w:ind w:firstLine="0" w:firstLineChars="0"/>
        <w:jc w:val="center"/>
      </w:pPr>
      <w:r>
        <w:rPr>
          <w:rFonts w:hint="eastAsia"/>
        </w:rPr>
        <w:t>（非监狱企业投标，无需提供）</w:t>
      </w:r>
    </w:p>
    <w:p>
      <w:pPr>
        <w:adjustRightInd w:val="0"/>
        <w:snapToGrid w:val="0"/>
        <w:spacing w:line="360" w:lineRule="auto"/>
        <w:rPr>
          <w:rFonts w:ascii="宋体" w:hAnsi="宋体"/>
          <w:sz w:val="24"/>
          <w:szCs w:val="21"/>
        </w:rPr>
      </w:pPr>
    </w:p>
    <w:p>
      <w:pPr>
        <w:pStyle w:val="346"/>
        <w:spacing w:before="312"/>
        <w:ind w:firstLine="480"/>
      </w:pPr>
      <w:r>
        <w:rPr>
          <w:rFonts w:hint="eastAsia"/>
        </w:rPr>
        <w:t>备注：按《财政部 司法部关于政府采购支持监狱企业发展有关问题的通知》（财库〔2014〕68号）文件规定提供证明文件（复印件）。</w:t>
      </w:r>
    </w:p>
    <w:p>
      <w:pPr>
        <w:pStyle w:val="346"/>
        <w:spacing w:before="312"/>
        <w:ind w:firstLine="0" w:firstLineChars="0"/>
      </w:pPr>
      <w:r>
        <w:rPr>
          <w:rFonts w:hint="eastAsia"/>
        </w:rPr>
        <w:br w:type="page"/>
      </w:r>
    </w:p>
    <w:p>
      <w:pPr>
        <w:spacing w:line="360" w:lineRule="auto"/>
        <w:ind w:firstLine="803"/>
        <w:jc w:val="center"/>
        <w:rPr>
          <w:rFonts w:ascii="黑体" w:hAnsi="宋体" w:eastAsia="黑体"/>
          <w:b/>
          <w:sz w:val="32"/>
          <w:szCs w:val="32"/>
        </w:rPr>
      </w:pPr>
      <w:r>
        <w:rPr>
          <w:rFonts w:hint="eastAsia" w:ascii="黑体" w:eastAsia="黑体"/>
          <w:b/>
          <w:bCs/>
          <w:sz w:val="32"/>
          <w:szCs w:val="32"/>
        </w:rPr>
        <w:t>七、</w:t>
      </w:r>
      <w:r>
        <w:rPr>
          <w:rFonts w:hint="eastAsia" w:ascii="黑体" w:hAnsi="宋体" w:eastAsia="黑体"/>
          <w:b/>
          <w:sz w:val="32"/>
          <w:szCs w:val="32"/>
        </w:rPr>
        <w:t>报价一览表及报价文件</w:t>
      </w:r>
    </w:p>
    <w:p>
      <w:pPr>
        <w:tabs>
          <w:tab w:val="left" w:pos="1680"/>
        </w:tabs>
        <w:adjustRightInd w:val="0"/>
        <w:snapToGrid w:val="0"/>
        <w:spacing w:line="360" w:lineRule="auto"/>
        <w:rPr>
          <w:rFonts w:ascii="黑体" w:hAnsi="宋体" w:eastAsia="黑体"/>
          <w:sz w:val="30"/>
          <w:szCs w:val="30"/>
        </w:rPr>
      </w:pPr>
      <w:r>
        <w:rPr>
          <w:rFonts w:hint="eastAsia" w:ascii="黑体" w:hAnsi="宋体" w:eastAsia="黑体"/>
          <w:sz w:val="30"/>
          <w:szCs w:val="30"/>
        </w:rPr>
        <w:t>附件9-1</w:t>
      </w:r>
      <w:r>
        <w:rPr>
          <w:rFonts w:ascii="黑体" w:hAnsi="宋体" w:eastAsia="黑体"/>
          <w:sz w:val="30"/>
          <w:szCs w:val="30"/>
        </w:rPr>
        <w:tab/>
      </w:r>
    </w:p>
    <w:p>
      <w:pPr>
        <w:adjustRightInd w:val="0"/>
        <w:snapToGrid w:val="0"/>
        <w:spacing w:line="360" w:lineRule="auto"/>
        <w:jc w:val="center"/>
        <w:rPr>
          <w:rFonts w:ascii="黑体" w:hAnsi="宋体" w:eastAsia="黑体"/>
          <w:bCs/>
          <w:sz w:val="30"/>
          <w:szCs w:val="30"/>
        </w:rPr>
      </w:pPr>
    </w:p>
    <w:p>
      <w:pPr>
        <w:adjustRightInd w:val="0"/>
        <w:snapToGrid w:val="0"/>
        <w:spacing w:line="360" w:lineRule="auto"/>
        <w:ind w:left="-88" w:leftChars="-42"/>
        <w:rPr>
          <w:rFonts w:hint="eastAsia" w:ascii="宋体" w:hAnsi="宋体"/>
          <w:szCs w:val="21"/>
        </w:rPr>
      </w:pPr>
      <w:r>
        <w:rPr>
          <w:rFonts w:hint="eastAsia" w:ascii="宋体" w:hAnsi="宋体"/>
          <w:szCs w:val="21"/>
          <w:lang w:eastAsia="zh-CN"/>
        </w:rPr>
        <w:t>委托代理</w:t>
      </w:r>
      <w:r>
        <w:rPr>
          <w:rFonts w:hint="eastAsia" w:ascii="宋体" w:hAnsi="宋体"/>
          <w:szCs w:val="21"/>
        </w:rPr>
        <w:t>编号：                                            金额单位：人民币元</w:t>
      </w:r>
    </w:p>
    <w:p>
      <w:pPr>
        <w:pStyle w:val="2"/>
        <w:ind w:left="0" w:leftChars="0" w:firstLine="0" w:firstLineChars="0"/>
        <w:rPr>
          <w:rFonts w:hint="eastAsia" w:eastAsia="宋体"/>
          <w:lang w:eastAsia="zh-CN"/>
        </w:rPr>
      </w:pPr>
      <w:r>
        <w:rPr>
          <w:rFonts w:hint="eastAsia" w:ascii="宋体" w:hAnsi="宋体"/>
          <w:szCs w:val="21"/>
          <w:lang w:eastAsia="zh-CN"/>
        </w:rPr>
        <w:t>包号：</w:t>
      </w:r>
    </w:p>
    <w:tbl>
      <w:tblPr>
        <w:tblStyle w:val="4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1896"/>
        <w:gridCol w:w="2300"/>
        <w:gridCol w:w="2515"/>
        <w:gridCol w:w="10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atLeast"/>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序号</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服务名称</w:t>
            </w:r>
          </w:p>
        </w:tc>
        <w:tc>
          <w:tcPr>
            <w:tcW w:w="2300" w:type="dxa"/>
            <w:tcBorders>
              <w:top w:val="single" w:color="auto" w:sz="4" w:space="0"/>
              <w:left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服务内容</w:t>
            </w:r>
          </w:p>
        </w:tc>
        <w:tc>
          <w:tcPr>
            <w:tcW w:w="2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投标价格</w:t>
            </w:r>
          </w:p>
        </w:tc>
        <w:tc>
          <w:tcPr>
            <w:tcW w:w="1088"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r>
              <w:rPr>
                <w:rFonts w:hint="eastAsia" w:ascii="宋体" w:hAnsi="宋体"/>
                <w:szCs w:val="21"/>
              </w:rPr>
              <w:t>1</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p>
        </w:tc>
        <w:tc>
          <w:tcPr>
            <w:tcW w:w="2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p>
        </w:tc>
        <w:tc>
          <w:tcPr>
            <w:tcW w:w="2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863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71" w:leftChars="34"/>
              <w:rPr>
                <w:rFonts w:ascii="宋体" w:hAnsi="宋体"/>
                <w:b/>
                <w:szCs w:val="21"/>
              </w:rPr>
            </w:pPr>
            <w:r>
              <w:rPr>
                <w:rFonts w:hint="eastAsia" w:ascii="宋体" w:hAnsi="宋体"/>
                <w:b/>
                <w:szCs w:val="21"/>
              </w:rPr>
              <w:t>投标总报价(</w:t>
            </w:r>
            <w:r>
              <w:rPr>
                <w:rFonts w:hint="eastAsia" w:ascii="黑体" w:hAnsi="宋体" w:eastAsia="黑体"/>
                <w:szCs w:val="21"/>
              </w:rPr>
              <w:t>已包含价格折扣</w:t>
            </w:r>
            <w:r>
              <w:rPr>
                <w:rFonts w:hint="eastAsia" w:ascii="宋体" w:hAnsi="宋体"/>
                <w:b/>
                <w:szCs w:val="21"/>
              </w:rPr>
              <w:t>)：</w:t>
            </w:r>
          </w:p>
          <w:p>
            <w:pPr>
              <w:adjustRightInd w:val="0"/>
              <w:snapToGrid w:val="0"/>
              <w:spacing w:line="360" w:lineRule="auto"/>
              <w:ind w:left="71" w:leftChars="34"/>
              <w:rPr>
                <w:rFonts w:ascii="宋体" w:hAnsi="宋体"/>
                <w:szCs w:val="21"/>
              </w:rPr>
            </w:pPr>
            <w:r>
              <w:rPr>
                <w:rFonts w:hint="eastAsia" w:ascii="宋体" w:hAnsi="宋体"/>
                <w:szCs w:val="21"/>
              </w:rPr>
              <w:t>小写：</w:t>
            </w:r>
          </w:p>
          <w:p>
            <w:pPr>
              <w:adjustRightInd w:val="0"/>
              <w:snapToGrid w:val="0"/>
              <w:spacing w:line="360" w:lineRule="auto"/>
              <w:ind w:firstLine="105" w:firstLineChars="50"/>
              <w:rPr>
                <w:rFonts w:ascii="宋体" w:hAnsi="宋体"/>
                <w:szCs w:val="21"/>
              </w:rPr>
            </w:pPr>
            <w:r>
              <w:rPr>
                <w:rFonts w:hint="eastAsia" w:ascii="宋体" w:hAnsi="宋体"/>
                <w:szCs w:val="21"/>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863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szCs w:val="21"/>
              </w:rPr>
            </w:pPr>
            <w:r>
              <w:rPr>
                <w:rFonts w:hint="eastAsia" w:ascii="宋体" w:hAnsi="宋体"/>
                <w:b/>
                <w:szCs w:val="21"/>
              </w:rPr>
              <w:t>投标保证金：</w:t>
            </w:r>
          </w:p>
          <w:p>
            <w:pPr>
              <w:adjustRightInd w:val="0"/>
              <w:snapToGrid w:val="0"/>
              <w:spacing w:line="360" w:lineRule="auto"/>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637"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71" w:leftChars="34"/>
              <w:rPr>
                <w:rFonts w:ascii="宋体" w:hAnsi="宋体"/>
                <w:szCs w:val="21"/>
              </w:rPr>
            </w:pPr>
            <w:r>
              <w:rPr>
                <w:rFonts w:hint="eastAsia" w:ascii="宋体" w:hAnsi="宋体"/>
                <w:szCs w:val="21"/>
              </w:rPr>
              <w:t>备注：</w:t>
            </w:r>
          </w:p>
        </w:tc>
      </w:tr>
    </w:tbl>
    <w:p>
      <w:pPr>
        <w:adjustRightInd w:val="0"/>
        <w:snapToGrid w:val="0"/>
        <w:spacing w:line="360" w:lineRule="auto"/>
        <w:ind w:left="-88" w:leftChars="-42"/>
        <w:rPr>
          <w:rFonts w:ascii="宋体" w:hAnsi="宋体"/>
          <w:szCs w:val="21"/>
        </w:rPr>
      </w:pPr>
    </w:p>
    <w:p>
      <w:pPr>
        <w:adjustRightInd w:val="0"/>
        <w:snapToGrid w:val="0"/>
        <w:spacing w:line="360" w:lineRule="auto"/>
        <w:ind w:left="-88" w:leftChars="-42"/>
        <w:rPr>
          <w:rFonts w:ascii="宋体" w:hAnsi="宋体"/>
          <w:szCs w:val="21"/>
        </w:rPr>
      </w:pPr>
    </w:p>
    <w:p>
      <w:pPr>
        <w:adjustRightInd w:val="0"/>
        <w:snapToGrid w:val="0"/>
        <w:spacing w:line="360" w:lineRule="auto"/>
        <w:rPr>
          <w:rFonts w:ascii="宋体"/>
          <w:szCs w:val="21"/>
        </w:rPr>
      </w:pPr>
      <w:r>
        <w:rPr>
          <w:rFonts w:hint="eastAsia" w:ascii="宋体" w:hAnsi="宋体"/>
          <w:szCs w:val="21"/>
        </w:rPr>
        <w:t>投标人名称（单位章）：</w:t>
      </w:r>
    </w:p>
    <w:p>
      <w:pPr>
        <w:adjustRightInd w:val="0"/>
        <w:snapToGrid w:val="0"/>
        <w:spacing w:line="360" w:lineRule="auto"/>
        <w:rPr>
          <w:rFonts w:ascii="宋体"/>
          <w:szCs w:val="21"/>
        </w:rPr>
      </w:pPr>
      <w:r>
        <w:rPr>
          <w:rFonts w:hint="eastAsia" w:ascii="宋体" w:hAnsi="宋体"/>
          <w:szCs w:val="21"/>
        </w:rPr>
        <w:t>法定代表人或其委托代理人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ascii="宋体" w:hAnsi="宋体"/>
          <w:szCs w:val="21"/>
        </w:rPr>
        <w:t>_</w:t>
      </w:r>
    </w:p>
    <w:p>
      <w:pPr>
        <w:adjustRightInd w:val="0"/>
        <w:snapToGrid w:val="0"/>
        <w:spacing w:line="360" w:lineRule="auto"/>
        <w:rPr>
          <w:rFonts w:ascii="宋体"/>
          <w:b/>
          <w:szCs w:val="21"/>
        </w:rPr>
      </w:pPr>
      <w:r>
        <w:rPr>
          <w:rFonts w:hint="eastAsia" w:ascii="宋体" w:hAnsi="宋体"/>
          <w:szCs w:val="21"/>
        </w:rPr>
        <w:t>日期：年月日</w:t>
      </w:r>
    </w:p>
    <w:p>
      <w:pPr>
        <w:adjustRightInd w:val="0"/>
        <w:snapToGrid w:val="0"/>
        <w:spacing w:line="360" w:lineRule="auto"/>
        <w:ind w:left="-88" w:leftChars="-42"/>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黑体" w:hAnsi="宋体" w:eastAsia="黑体"/>
          <w:b/>
          <w:sz w:val="24"/>
        </w:rPr>
        <w:sectPr>
          <w:headerReference r:id="rId10" w:type="default"/>
          <w:footerReference r:id="rId11" w:type="default"/>
          <w:pgSz w:w="11906" w:h="16838"/>
          <w:pgMar w:top="1474" w:right="1474" w:bottom="232" w:left="1588" w:header="851" w:footer="992" w:gutter="0"/>
          <w:pgNumType w:fmt="numberInDash"/>
          <w:cols w:space="720" w:num="1"/>
          <w:docGrid w:type="lines" w:linePitch="312" w:charSpace="0"/>
        </w:sectPr>
      </w:pPr>
    </w:p>
    <w:p>
      <w:pPr>
        <w:adjustRightInd w:val="0"/>
        <w:snapToGrid w:val="0"/>
        <w:spacing w:line="360" w:lineRule="auto"/>
        <w:rPr>
          <w:rFonts w:eastAsia="黑体"/>
          <w:sz w:val="30"/>
          <w:szCs w:val="30"/>
        </w:rPr>
      </w:pPr>
      <w:r>
        <w:rPr>
          <w:rFonts w:eastAsia="黑体"/>
          <w:sz w:val="30"/>
          <w:szCs w:val="30"/>
        </w:rPr>
        <w:t>附件9-2</w:t>
      </w:r>
    </w:p>
    <w:p>
      <w:pPr>
        <w:adjustRightInd w:val="0"/>
        <w:snapToGrid w:val="0"/>
        <w:spacing w:line="360" w:lineRule="auto"/>
        <w:jc w:val="center"/>
        <w:rPr>
          <w:rFonts w:eastAsia="黑体"/>
          <w:sz w:val="30"/>
          <w:szCs w:val="30"/>
        </w:rPr>
      </w:pPr>
      <w:r>
        <w:rPr>
          <w:rFonts w:eastAsia="黑体"/>
          <w:sz w:val="30"/>
          <w:szCs w:val="30"/>
        </w:rPr>
        <w:t xml:space="preserve">分项价格表 </w:t>
      </w:r>
    </w:p>
    <w:p>
      <w:pPr>
        <w:spacing w:line="360" w:lineRule="auto"/>
        <w:rPr>
          <w:rFonts w:eastAsia="楷体_GB2312"/>
          <w:b/>
          <w:color w:val="0000FF"/>
        </w:rPr>
      </w:pPr>
    </w:p>
    <w:p>
      <w:pPr>
        <w:spacing w:line="360" w:lineRule="auto"/>
        <w:jc w:val="center"/>
        <w:rPr>
          <w:sz w:val="24"/>
        </w:rPr>
      </w:pPr>
      <w:r>
        <w:rPr>
          <w:rFonts w:hint="eastAsia"/>
          <w:sz w:val="24"/>
        </w:rPr>
        <w:t>投标人自拟格式进行编制。</w:t>
      </w:r>
    </w:p>
    <w:p>
      <w:pPr>
        <w:adjustRightInd w:val="0"/>
        <w:snapToGrid w:val="0"/>
        <w:spacing w:line="360" w:lineRule="auto"/>
        <w:ind w:left="1890"/>
        <w:rPr>
          <w:rFonts w:ascii="黑体" w:eastAsia="黑体"/>
          <w:b/>
          <w:bCs/>
          <w:sz w:val="32"/>
          <w:szCs w:val="32"/>
        </w:rPr>
      </w:pPr>
    </w:p>
    <w:p>
      <w:pPr>
        <w:adjustRightInd w:val="0"/>
        <w:snapToGrid w:val="0"/>
        <w:spacing w:line="360" w:lineRule="auto"/>
        <w:ind w:left="1890"/>
        <w:rPr>
          <w:rFonts w:ascii="黑体" w:eastAsia="黑体"/>
          <w:b/>
          <w:bCs/>
          <w:sz w:val="32"/>
          <w:szCs w:val="32"/>
        </w:rPr>
      </w:pPr>
    </w:p>
    <w:p>
      <w:pPr>
        <w:pStyle w:val="47"/>
        <w:spacing w:afterLines="0"/>
        <w:ind w:left="420"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pStyle w:val="65"/>
        <w:ind w:firstLine="643"/>
        <w:rPr>
          <w:rFonts w:ascii="黑体" w:eastAsia="黑体"/>
          <w:b/>
          <w:bCs/>
          <w:sz w:val="32"/>
          <w:szCs w:val="32"/>
        </w:rPr>
      </w:pPr>
    </w:p>
    <w:p>
      <w:pPr>
        <w:adjustRightInd w:val="0"/>
        <w:snapToGrid w:val="0"/>
        <w:spacing w:line="360" w:lineRule="auto"/>
        <w:ind w:left="1890"/>
        <w:rPr>
          <w:rFonts w:ascii="黑体" w:eastAsia="黑体"/>
          <w:b/>
          <w:bCs/>
          <w:sz w:val="32"/>
          <w:szCs w:val="32"/>
        </w:rPr>
      </w:pPr>
    </w:p>
    <w:p>
      <w:pPr>
        <w:adjustRightInd w:val="0"/>
        <w:snapToGrid w:val="0"/>
        <w:spacing w:line="360" w:lineRule="auto"/>
        <w:ind w:left="1890"/>
        <w:rPr>
          <w:rFonts w:ascii="黑体" w:eastAsia="黑体"/>
          <w:b/>
          <w:bCs/>
          <w:sz w:val="32"/>
          <w:szCs w:val="32"/>
        </w:rPr>
      </w:pPr>
      <w:r>
        <w:rPr>
          <w:rFonts w:hint="eastAsia" w:ascii="黑体" w:eastAsia="黑体"/>
          <w:b/>
          <w:bCs/>
          <w:sz w:val="32"/>
          <w:szCs w:val="32"/>
        </w:rPr>
        <w:t>八、供应商认为需要提供的其它资料</w:t>
      </w: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pPr>
    </w:p>
    <w:p>
      <w:pPr>
        <w:spacing w:line="360" w:lineRule="auto"/>
      </w:pPr>
    </w:p>
    <w:p>
      <w:pPr>
        <w:pStyle w:val="6"/>
        <w:ind w:firstLine="2168" w:firstLineChars="900"/>
        <w:rPr>
          <w:rFonts w:hint="eastAsia"/>
        </w:rPr>
      </w:pPr>
    </w:p>
    <w:p>
      <w:pPr>
        <w:pStyle w:val="6"/>
        <w:ind w:firstLine="2891" w:firstLineChars="900"/>
        <w:rPr>
          <w:rFonts w:ascii="黑体" w:hAnsi="Times New Roman" w:eastAsia="黑体"/>
          <w:sz w:val="32"/>
        </w:rPr>
      </w:pPr>
      <w:r>
        <w:rPr>
          <w:rFonts w:hint="eastAsia" w:ascii="黑体" w:hAnsi="Times New Roman" w:eastAsia="黑体"/>
          <w:sz w:val="32"/>
        </w:rPr>
        <w:t>九、最后报价</w:t>
      </w:r>
    </w:p>
    <w:p>
      <w:pPr>
        <w:spacing w:line="360" w:lineRule="auto"/>
        <w:ind w:left="-88" w:leftChars="-42"/>
      </w:pPr>
      <w:r>
        <w:rPr>
          <w:rFonts w:hint="eastAsia"/>
          <w:b/>
          <w:bCs/>
        </w:rPr>
        <w:t>最后报价表不需要装入投标文件中，单独打印3张空白表格加盖公章，用于现场报价。</w:t>
      </w: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p>
      <w:pPr>
        <w:adjustRightInd w:val="0"/>
        <w:snapToGrid w:val="0"/>
        <w:spacing w:line="360" w:lineRule="auto"/>
        <w:jc w:val="center"/>
        <w:outlineLvl w:val="0"/>
        <w:rPr>
          <w:rFonts w:ascii="黑体" w:hAnsi="宋体" w:eastAsia="黑体"/>
          <w:b/>
          <w:sz w:val="32"/>
          <w:szCs w:val="32"/>
        </w:rPr>
      </w:pPr>
    </w:p>
    <w:sectPr>
      <w:pgSz w:w="11906" w:h="16838"/>
      <w:pgMar w:top="1474" w:right="1474" w:bottom="232"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ail">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82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Webdings">
    <w:panose1 w:val="05030102010509060703"/>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FZXiaoBiaoSong-B05">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2"/>
      </w:rPr>
    </w:pPr>
    <w:r>
      <w:fldChar w:fldCharType="begin"/>
    </w:r>
    <w:r>
      <w:rPr>
        <w:rStyle w:val="52"/>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3"/>
                  <w:jc w:val="right"/>
                </w:pPr>
                <w:r>
                  <w:fldChar w:fldCharType="begin"/>
                </w:r>
                <w:r>
                  <w:instrText xml:space="preserve">PAGE   \* MERGEFORMAT</w:instrText>
                </w:r>
                <w:r>
                  <w:fldChar w:fldCharType="separate"/>
                </w:r>
                <w:r>
                  <w:rPr>
                    <w:lang w:val="zh-CN"/>
                  </w:rPr>
                  <w:t>-</w:t>
                </w:r>
                <w:r>
                  <w:t xml:space="preserve"> 12 -</w:t>
                </w:r>
                <w:r>
                  <w:fldChar w:fldCharType="end"/>
                </w:r>
              </w:p>
            </w:txbxContent>
          </v:textbox>
        </v:shape>
      </w:pict>
    </w:r>
  </w:p>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lear" w:pos="8306"/>
      </w:tabs>
      <w:rPr>
        <w:rFonts w:ascii="楷体" w:hAnsi="楷体" w:eastAsia="楷体" w:cs="楷体"/>
        <w:szCs w:val="11"/>
      </w:rPr>
    </w:pPr>
    <w:r>
      <w:rPr>
        <w:rFonts w:asciiTheme="minorHAnsi" w:hAnsiTheme="minorHAnsi" w:eastAsiaTheme="minorEastAsia" w:cstheme="minorBidi"/>
      </w:rPr>
      <w:pict>
        <v:line id="直接连接符 41" o:spid="_x0000_s1030" o:spt="20" style="position:absolute;left:0pt;margin-left:-0.45pt;margin-top:3.9pt;height:0.95pt;width:509.7pt;z-index:251661312;mso-width-relative:page;mso-height-relative:page;" coordsize="21600,21600" o:gfxdata="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6uRpNUAAAAGAQAADwAAAAAAAAAB&#10;ACAAAAAiAAAAZHJzL2Rvd25yZXYueG1sUEsBAhQAFAAAAAgAh07iQD9aQujaAQAAmAMAAA4AAAAA&#10;AAAAAQAgAAAAJAEAAGRycy9lMm9Eb2MueG1sUEsFBgAAAAAGAAYAWQEAAHAFAAAAAA==&#10;">
          <v:path arrowok="t"/>
          <v:fill focussize="0,0"/>
          <v:stroke weight="1pt" dashstyle="1 1"/>
          <v:imagedata o:title=""/>
          <o:lock v:ext="edit"/>
        </v:line>
      </w:pict>
    </w:r>
  </w:p>
  <w:p>
    <w:pPr>
      <w:pStyle w:val="33"/>
      <w:tabs>
        <w:tab w:val="clear" w:pos="8306"/>
      </w:tabs>
      <w:ind w:left="-420" w:leftChars="-200" w:right="-512" w:rightChars="-244" w:firstLine="540" w:firstLineChars="300"/>
      <w:rPr>
        <w:rFonts w:ascii="楷体" w:hAnsi="楷体" w:eastAsia="楷体" w:cs="楷体"/>
        <w:szCs w:val="11"/>
      </w:rPr>
    </w:pPr>
    <w:r>
      <w:rPr>
        <w:rFonts w:asciiTheme="minorHAnsi" w:hAnsiTheme="minorHAnsi" w:eastAsiaTheme="minorEastAsia" w:cstheme="minorBidi"/>
      </w:rPr>
      <w:pict>
        <v:rect id="文本框 34" o:spid="_x0000_s1031" o:spt="1" style="position:absolute;left:0pt;margin-left:249.4pt;margin-top:5.6pt;height:144pt;width:144pt;mso-position-horizontal-relative:margin;mso-wrap-style:none;z-index:251662336;mso-width-relative:page;mso-height-relative:page;" filled="f" stroked="f" coordsize="21600,21600" o:gfxdata="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oTl29YAAAAKAQAADwAAAAAAAAABACAAAAAi&#10;AAAAZHJzL2Rvd25yZXYueG1sUEsBAhQAFAAAAAgAh07iQPYCmarTAQAAnwMAAA4AAAAAAAAAAQAg&#10;AAAAJQEAAGRycy9lMm9Eb2MueG1sUEsFBgAAAAAGAAYAWQEAAGoFAAAAAA==&#10;">
          <v:path/>
          <v:fill on="f" focussize="0,0"/>
          <v:stroke on="f"/>
          <v:imagedata o:title=""/>
          <o:lock v:ext="edit"/>
          <v:textbox inset="0mm,0mm,0mm,0mm" style="mso-fit-shape-to-text:t;">
            <w:txbxContent>
              <w:p>
                <w:pPr>
                  <w:pStyle w:val="33"/>
                </w:pPr>
                <w:r>
                  <w:fldChar w:fldCharType="begin"/>
                </w:r>
                <w:r>
                  <w:instrText xml:space="preserve"> PAGE  \* MERGEFORMAT </w:instrText>
                </w:r>
                <w:r>
                  <w:fldChar w:fldCharType="separate"/>
                </w:r>
                <w:r>
                  <w:t>17</w:t>
                </w:r>
                <w:r>
                  <w:fldChar w:fldCharType="end"/>
                </w:r>
              </w:p>
            </w:txbxContent>
          </v:textbox>
        </v:rect>
      </w:pict>
    </w:r>
    <w:r>
      <w:rPr>
        <w:rFonts w:hint="eastAsia" w:ascii="楷体" w:hAnsi="楷体" w:eastAsia="楷体" w:cs="楷体"/>
        <w:szCs w:val="11"/>
      </w:rPr>
      <w:t xml:space="preserve">                                                           </w:t>
    </w:r>
  </w:p>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pPr>
    <w:r>
      <w:rPr>
        <w:sz w:val="21"/>
      </w:rPr>
      <w:pict>
        <v:shape id="文本框 5"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path/>
          <v:fill on="f" focussize="0,0"/>
          <v:stroke on="f" joinstyle="miter"/>
          <v:imagedata o:title=""/>
          <o:lock v:ext="edit"/>
          <v:textbox inset="0mm,0mm,0mm,0mm" style="mso-fit-shape-to-text:t;">
            <w:txbxContent>
              <w:p>
                <w:pPr>
                  <w:pStyle w:val="33"/>
                  <w:rPr>
                    <w:rStyle w:val="52"/>
                  </w:rPr>
                </w:pPr>
                <w:r>
                  <w:fldChar w:fldCharType="begin"/>
                </w:r>
                <w:r>
                  <w:rPr>
                    <w:rStyle w:val="52"/>
                  </w:rPr>
                  <w:instrText xml:space="preserve">PAGE  </w:instrText>
                </w:r>
                <w:r>
                  <w:fldChar w:fldCharType="separate"/>
                </w:r>
                <w:r>
                  <w:rPr>
                    <w:rStyle w:val="52"/>
                  </w:rPr>
                  <w:t>- 45 -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Lines="50" w:line="360" w:lineRule="auto"/>
      <w:rPr>
        <w:rFonts w:ascii="宋体"/>
        <w:b/>
        <w:sz w:val="20"/>
        <w:szCs w:val="18"/>
        <w:u w:val="single"/>
      </w:rPr>
    </w:pPr>
    <w:r>
      <w:rPr>
        <w:rFonts w:hint="eastAsia" w:ascii="新宋体" w:hAnsi="新宋体" w:eastAsia="新宋体" w:cs="新宋体"/>
        <w:b/>
        <w:kern w:val="0"/>
        <w:sz w:val="20"/>
        <w:szCs w:val="18"/>
        <w:u w:val="single"/>
        <w:lang w:eastAsia="zh-CN"/>
      </w:rPr>
      <w:t>国家税务总局张家界市税务局食堂餐饮劳务项目采购</w:t>
    </w:r>
    <w:r>
      <w:rPr>
        <w:rFonts w:hint="eastAsia" w:ascii="宋体" w:hAnsi="宋体"/>
        <w:b/>
        <w:color w:val="000000"/>
        <w:sz w:val="20"/>
        <w:szCs w:val="18"/>
        <w:u w:val="single"/>
      </w:rPr>
      <w:t xml:space="preserve">                         竞争性</w:t>
    </w:r>
    <w:r>
      <w:rPr>
        <w:rFonts w:hint="eastAsia" w:ascii="新宋体" w:hAnsi="新宋体" w:eastAsia="新宋体" w:cs="新宋体"/>
        <w:b/>
        <w:kern w:val="0"/>
        <w:sz w:val="20"/>
        <w:szCs w:val="18"/>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0"/>
      </w:pBdr>
      <w:jc w:val="both"/>
      <w:rPr>
        <w:rFonts w:ascii="宋体" w:hAnsi="宋体" w:cs="宋体"/>
        <w:b/>
        <w:bCs/>
      </w:rPr>
    </w:pPr>
    <w:r>
      <w:rPr>
        <w:rFonts w:hint="eastAsia" w:ascii="新宋体" w:hAnsi="新宋体" w:eastAsia="新宋体" w:cs="新宋体"/>
        <w:b/>
        <w:kern w:val="0"/>
        <w:sz w:val="20"/>
        <w:lang w:eastAsia="zh-CN"/>
      </w:rPr>
      <w:t>国家税务总局张家界市税务局食堂餐饮劳务项目采购</w:t>
    </w:r>
    <w:r>
      <w:rPr>
        <w:rFonts w:hint="eastAsia" w:ascii="宋体" w:hAnsi="宋体"/>
        <w:b/>
        <w:color w:val="000000"/>
        <w:sz w:val="20"/>
      </w:rPr>
      <w:t xml:space="preserve"> </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0"/>
      </w:pBdr>
      <w:jc w:val="both"/>
      <w:rPr>
        <w:rFonts w:ascii="宋体" w:hAnsi="宋体" w:cs="宋体"/>
        <w:b/>
        <w:bCs/>
      </w:rPr>
    </w:pPr>
    <w:r>
      <w:rPr>
        <w:rFonts w:hint="eastAsia" w:ascii="新宋体" w:hAnsi="新宋体" w:eastAsia="新宋体" w:cs="新宋体"/>
        <w:b/>
        <w:kern w:val="0"/>
        <w:sz w:val="20"/>
        <w:lang w:eastAsia="zh-CN"/>
      </w:rPr>
      <w:t>国家税务总局张家界市税务局食堂餐饮劳务项目采购</w:t>
    </w:r>
    <w:r>
      <w:rPr>
        <w:rFonts w:hint="eastAsia" w:ascii="宋体" w:hAnsi="宋体"/>
        <w:b/>
        <w:color w:val="000000"/>
        <w:sz w:val="20"/>
      </w:rPr>
      <w:t xml:space="preserve"> </w:t>
    </w:r>
    <w:r>
      <w:rPr>
        <w:rFonts w:hint="eastAsia" w:ascii="宋体" w:hAnsi="宋体" w:cs="宋体"/>
        <w:b/>
        <w:bCs/>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0"/>
      </w:pBdr>
      <w:jc w:val="both"/>
      <w:rPr>
        <w:rFonts w:ascii="宋体" w:hAnsi="宋体" w:cs="宋体"/>
        <w:b/>
        <w:bCs/>
      </w:rPr>
    </w:pPr>
    <w:r>
      <w:rPr>
        <w:rFonts w:hint="eastAsia" w:ascii="新宋体" w:hAnsi="新宋体" w:eastAsia="新宋体" w:cs="新宋体"/>
        <w:b/>
        <w:kern w:val="0"/>
        <w:sz w:val="20"/>
        <w:lang w:eastAsia="zh-CN"/>
      </w:rPr>
      <w:t>国家税务总局张家界市税务局食堂餐饮劳务项目采购</w:t>
    </w:r>
    <w:r>
      <w:rPr>
        <w:rFonts w:hint="eastAsia" w:ascii="宋体" w:hAnsi="宋体"/>
        <w:b/>
        <w:color w:val="000000"/>
        <w:sz w:val="20"/>
      </w:rPr>
      <w:t xml:space="preserve"> </w:t>
    </w:r>
    <w:r>
      <w:rPr>
        <w:rFonts w:hint="eastAsia" w:ascii="宋体" w:hAnsi="宋体" w:cs="宋体"/>
        <w:b/>
        <w:bCs/>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5A8E3"/>
    <w:multiLevelType w:val="singleLevel"/>
    <w:tmpl w:val="ADE5A8E3"/>
    <w:lvl w:ilvl="0" w:tentative="0">
      <w:start w:val="3"/>
      <w:numFmt w:val="decimal"/>
      <w:suff w:val="nothing"/>
      <w:lvlText w:val="%1、"/>
      <w:lvlJc w:val="left"/>
    </w:lvl>
  </w:abstractNum>
  <w:abstractNum w:abstractNumId="1">
    <w:nsid w:val="BE2C2D6A"/>
    <w:multiLevelType w:val="singleLevel"/>
    <w:tmpl w:val="BE2C2D6A"/>
    <w:lvl w:ilvl="0" w:tentative="0">
      <w:start w:val="1"/>
      <w:numFmt w:val="decimal"/>
      <w:suff w:val="space"/>
      <w:lvlText w:val="(%1)"/>
      <w:lvlJc w:val="left"/>
    </w:lvl>
  </w:abstractNum>
  <w:abstractNum w:abstractNumId="2">
    <w:nsid w:val="C5BB2B7A"/>
    <w:multiLevelType w:val="singleLevel"/>
    <w:tmpl w:val="C5BB2B7A"/>
    <w:lvl w:ilvl="0" w:tentative="0">
      <w:start w:val="3"/>
      <w:numFmt w:val="chineseCounting"/>
      <w:suff w:val="space"/>
      <w:lvlText w:val="第%1章"/>
      <w:lvlJc w:val="left"/>
      <w:rPr>
        <w:rFonts w:hint="eastAsia"/>
      </w:rPr>
    </w:lvl>
  </w:abstractNum>
  <w:abstractNum w:abstractNumId="3">
    <w:nsid w:val="CC017888"/>
    <w:multiLevelType w:val="singleLevel"/>
    <w:tmpl w:val="CC017888"/>
    <w:lvl w:ilvl="0" w:tentative="0">
      <w:start w:val="1"/>
      <w:numFmt w:val="decimal"/>
      <w:pStyle w:val="352"/>
      <w:suff w:val="nothing"/>
      <w:lvlText w:val="%1"/>
      <w:lvlJc w:val="center"/>
      <w:rPr>
        <w:rFonts w:hint="default"/>
      </w:rPr>
    </w:lvl>
  </w:abstractNum>
  <w:abstractNum w:abstractNumId="4">
    <w:nsid w:val="12D51A14"/>
    <w:multiLevelType w:val="multilevel"/>
    <w:tmpl w:val="12D51A1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26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D5F2385"/>
    <w:multiLevelType w:val="singleLevel"/>
    <w:tmpl w:val="1D5F2385"/>
    <w:lvl w:ilvl="0" w:tentative="0">
      <w:start w:val="1"/>
      <w:numFmt w:val="decimal"/>
      <w:suff w:val="space"/>
      <w:lvlText w:val="(%1)"/>
      <w:lvlJc w:val="left"/>
    </w:lvl>
  </w:abstractNum>
  <w:abstractNum w:abstractNumId="6">
    <w:nsid w:val="5E4D01F9"/>
    <w:multiLevelType w:val="multilevel"/>
    <w:tmpl w:val="5E4D01F9"/>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A88795C"/>
    <w:multiLevelType w:val="singleLevel"/>
    <w:tmpl w:val="7A88795C"/>
    <w:lvl w:ilvl="0" w:tentative="0">
      <w:start w:val="1"/>
      <w:numFmt w:val="decimal"/>
      <w:suff w:val="nothing"/>
      <w:lvlText w:val="%1、"/>
      <w:lvlJc w:val="left"/>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QwMTliYzY3MmVmNmY5NTYwZDBkMTY4NjMxYjY1YTgifQ=="/>
  </w:docVars>
  <w:rsids>
    <w:rsidRoot w:val="00496D5A"/>
    <w:rsid w:val="0001201E"/>
    <w:rsid w:val="000156E2"/>
    <w:rsid w:val="00024344"/>
    <w:rsid w:val="00025986"/>
    <w:rsid w:val="00026B4C"/>
    <w:rsid w:val="00026FD7"/>
    <w:rsid w:val="00027406"/>
    <w:rsid w:val="0002779F"/>
    <w:rsid w:val="00027D5B"/>
    <w:rsid w:val="000313EC"/>
    <w:rsid w:val="00034641"/>
    <w:rsid w:val="00037E98"/>
    <w:rsid w:val="00040D86"/>
    <w:rsid w:val="000441C7"/>
    <w:rsid w:val="00051E2A"/>
    <w:rsid w:val="00053A88"/>
    <w:rsid w:val="00053DE3"/>
    <w:rsid w:val="000640EC"/>
    <w:rsid w:val="000641A5"/>
    <w:rsid w:val="00070D56"/>
    <w:rsid w:val="00072F03"/>
    <w:rsid w:val="000818D8"/>
    <w:rsid w:val="00081FA6"/>
    <w:rsid w:val="00086A97"/>
    <w:rsid w:val="00090774"/>
    <w:rsid w:val="000952E7"/>
    <w:rsid w:val="000A2941"/>
    <w:rsid w:val="000A3E58"/>
    <w:rsid w:val="000A604E"/>
    <w:rsid w:val="000B422C"/>
    <w:rsid w:val="000B6963"/>
    <w:rsid w:val="000C2B71"/>
    <w:rsid w:val="000C3661"/>
    <w:rsid w:val="000C5109"/>
    <w:rsid w:val="000C5BDA"/>
    <w:rsid w:val="000C6531"/>
    <w:rsid w:val="000E1E33"/>
    <w:rsid w:val="000E430C"/>
    <w:rsid w:val="000F0B4A"/>
    <w:rsid w:val="000F23B9"/>
    <w:rsid w:val="00100878"/>
    <w:rsid w:val="00106CB3"/>
    <w:rsid w:val="00107232"/>
    <w:rsid w:val="001148B0"/>
    <w:rsid w:val="0011494C"/>
    <w:rsid w:val="001256EF"/>
    <w:rsid w:val="00127819"/>
    <w:rsid w:val="001324C6"/>
    <w:rsid w:val="001344E3"/>
    <w:rsid w:val="001364C1"/>
    <w:rsid w:val="00137398"/>
    <w:rsid w:val="001416D5"/>
    <w:rsid w:val="00142B6B"/>
    <w:rsid w:val="00147E27"/>
    <w:rsid w:val="001508E9"/>
    <w:rsid w:val="00154ED0"/>
    <w:rsid w:val="00160437"/>
    <w:rsid w:val="001652A3"/>
    <w:rsid w:val="00167D4D"/>
    <w:rsid w:val="00167E36"/>
    <w:rsid w:val="0017108F"/>
    <w:rsid w:val="00172007"/>
    <w:rsid w:val="00172683"/>
    <w:rsid w:val="00172AC1"/>
    <w:rsid w:val="00173F8E"/>
    <w:rsid w:val="00174093"/>
    <w:rsid w:val="00174AD2"/>
    <w:rsid w:val="0017639C"/>
    <w:rsid w:val="00184B7F"/>
    <w:rsid w:val="0018787D"/>
    <w:rsid w:val="00190F87"/>
    <w:rsid w:val="00194E27"/>
    <w:rsid w:val="00197DB3"/>
    <w:rsid w:val="001A0051"/>
    <w:rsid w:val="001A27C7"/>
    <w:rsid w:val="001A55E6"/>
    <w:rsid w:val="001B229F"/>
    <w:rsid w:val="001B56C9"/>
    <w:rsid w:val="001B6E2A"/>
    <w:rsid w:val="001B7F3D"/>
    <w:rsid w:val="001C0127"/>
    <w:rsid w:val="001C30E6"/>
    <w:rsid w:val="001C598A"/>
    <w:rsid w:val="001C6863"/>
    <w:rsid w:val="001C7DB0"/>
    <w:rsid w:val="001C7EEC"/>
    <w:rsid w:val="001D1504"/>
    <w:rsid w:val="001D23F4"/>
    <w:rsid w:val="001D6192"/>
    <w:rsid w:val="001E0AF2"/>
    <w:rsid w:val="001E3E41"/>
    <w:rsid w:val="001F3061"/>
    <w:rsid w:val="002004DC"/>
    <w:rsid w:val="00200EA4"/>
    <w:rsid w:val="002037B4"/>
    <w:rsid w:val="002037DB"/>
    <w:rsid w:val="00205190"/>
    <w:rsid w:val="00206968"/>
    <w:rsid w:val="00206FCE"/>
    <w:rsid w:val="00207162"/>
    <w:rsid w:val="00211C0E"/>
    <w:rsid w:val="002120B5"/>
    <w:rsid w:val="00213161"/>
    <w:rsid w:val="002131F5"/>
    <w:rsid w:val="0021675C"/>
    <w:rsid w:val="002223E0"/>
    <w:rsid w:val="00223AAF"/>
    <w:rsid w:val="00226977"/>
    <w:rsid w:val="002270C6"/>
    <w:rsid w:val="00227BE0"/>
    <w:rsid w:val="0023455F"/>
    <w:rsid w:val="00234E98"/>
    <w:rsid w:val="002355BB"/>
    <w:rsid w:val="0023662B"/>
    <w:rsid w:val="00240FC7"/>
    <w:rsid w:val="00242EFF"/>
    <w:rsid w:val="00243709"/>
    <w:rsid w:val="00245A92"/>
    <w:rsid w:val="002502DD"/>
    <w:rsid w:val="00266E91"/>
    <w:rsid w:val="00270149"/>
    <w:rsid w:val="00281493"/>
    <w:rsid w:val="00285665"/>
    <w:rsid w:val="002859F6"/>
    <w:rsid w:val="00290F35"/>
    <w:rsid w:val="00291C33"/>
    <w:rsid w:val="002942E2"/>
    <w:rsid w:val="00295E49"/>
    <w:rsid w:val="00296708"/>
    <w:rsid w:val="002A03CB"/>
    <w:rsid w:val="002A41F5"/>
    <w:rsid w:val="002A51CE"/>
    <w:rsid w:val="002A6ED0"/>
    <w:rsid w:val="002B17EA"/>
    <w:rsid w:val="002B4521"/>
    <w:rsid w:val="002B5F66"/>
    <w:rsid w:val="002B7325"/>
    <w:rsid w:val="002D54FC"/>
    <w:rsid w:val="002E2AB7"/>
    <w:rsid w:val="002E2BB7"/>
    <w:rsid w:val="002E356B"/>
    <w:rsid w:val="002E6042"/>
    <w:rsid w:val="002F0B6C"/>
    <w:rsid w:val="002F0EFC"/>
    <w:rsid w:val="002F31B0"/>
    <w:rsid w:val="002F42D5"/>
    <w:rsid w:val="002F6A20"/>
    <w:rsid w:val="002F756A"/>
    <w:rsid w:val="00301B5A"/>
    <w:rsid w:val="003072D6"/>
    <w:rsid w:val="00311078"/>
    <w:rsid w:val="003136E5"/>
    <w:rsid w:val="00313BC8"/>
    <w:rsid w:val="0031417B"/>
    <w:rsid w:val="00317CD3"/>
    <w:rsid w:val="00321C75"/>
    <w:rsid w:val="00322E72"/>
    <w:rsid w:val="003303DC"/>
    <w:rsid w:val="00331A2E"/>
    <w:rsid w:val="00332937"/>
    <w:rsid w:val="003333D7"/>
    <w:rsid w:val="00333943"/>
    <w:rsid w:val="00340105"/>
    <w:rsid w:val="003412D4"/>
    <w:rsid w:val="00342089"/>
    <w:rsid w:val="0034572F"/>
    <w:rsid w:val="003469E4"/>
    <w:rsid w:val="0035131B"/>
    <w:rsid w:val="0035331E"/>
    <w:rsid w:val="003610D2"/>
    <w:rsid w:val="003670D5"/>
    <w:rsid w:val="0037058A"/>
    <w:rsid w:val="00374E53"/>
    <w:rsid w:val="00376191"/>
    <w:rsid w:val="003914B4"/>
    <w:rsid w:val="00391A73"/>
    <w:rsid w:val="003948FD"/>
    <w:rsid w:val="00397E3D"/>
    <w:rsid w:val="003A6117"/>
    <w:rsid w:val="003B0AFE"/>
    <w:rsid w:val="003B1744"/>
    <w:rsid w:val="003B6A76"/>
    <w:rsid w:val="003B780B"/>
    <w:rsid w:val="003C3A5C"/>
    <w:rsid w:val="003C3EAB"/>
    <w:rsid w:val="003C6100"/>
    <w:rsid w:val="003C7959"/>
    <w:rsid w:val="003D1521"/>
    <w:rsid w:val="003D7DB5"/>
    <w:rsid w:val="003E18E1"/>
    <w:rsid w:val="003E1EFA"/>
    <w:rsid w:val="003E7B33"/>
    <w:rsid w:val="003F472F"/>
    <w:rsid w:val="003F4843"/>
    <w:rsid w:val="003F4E1C"/>
    <w:rsid w:val="003F6A20"/>
    <w:rsid w:val="003F7D02"/>
    <w:rsid w:val="004043C0"/>
    <w:rsid w:val="00410033"/>
    <w:rsid w:val="0041158C"/>
    <w:rsid w:val="004117F0"/>
    <w:rsid w:val="00411C9F"/>
    <w:rsid w:val="00416700"/>
    <w:rsid w:val="00422495"/>
    <w:rsid w:val="00430191"/>
    <w:rsid w:val="00431725"/>
    <w:rsid w:val="00432850"/>
    <w:rsid w:val="00436890"/>
    <w:rsid w:val="004409B2"/>
    <w:rsid w:val="00441209"/>
    <w:rsid w:val="00444091"/>
    <w:rsid w:val="004560E2"/>
    <w:rsid w:val="00465235"/>
    <w:rsid w:val="004836CC"/>
    <w:rsid w:val="00483D0A"/>
    <w:rsid w:val="00484296"/>
    <w:rsid w:val="00485D13"/>
    <w:rsid w:val="0048677F"/>
    <w:rsid w:val="00493894"/>
    <w:rsid w:val="0049529F"/>
    <w:rsid w:val="00496D5A"/>
    <w:rsid w:val="004A0502"/>
    <w:rsid w:val="004A5608"/>
    <w:rsid w:val="004A7B3D"/>
    <w:rsid w:val="004B47D6"/>
    <w:rsid w:val="004B7380"/>
    <w:rsid w:val="004C1B21"/>
    <w:rsid w:val="004C3F73"/>
    <w:rsid w:val="004D1DC5"/>
    <w:rsid w:val="004D5DB1"/>
    <w:rsid w:val="004F46DF"/>
    <w:rsid w:val="005035C7"/>
    <w:rsid w:val="00504192"/>
    <w:rsid w:val="00504385"/>
    <w:rsid w:val="00515059"/>
    <w:rsid w:val="005228C5"/>
    <w:rsid w:val="00522A24"/>
    <w:rsid w:val="0052705B"/>
    <w:rsid w:val="00530025"/>
    <w:rsid w:val="005325DA"/>
    <w:rsid w:val="005327B1"/>
    <w:rsid w:val="005436AA"/>
    <w:rsid w:val="00545CC1"/>
    <w:rsid w:val="00546417"/>
    <w:rsid w:val="00550DB2"/>
    <w:rsid w:val="0055263B"/>
    <w:rsid w:val="00553640"/>
    <w:rsid w:val="00554044"/>
    <w:rsid w:val="00554C89"/>
    <w:rsid w:val="0056199A"/>
    <w:rsid w:val="00563F1D"/>
    <w:rsid w:val="0056655B"/>
    <w:rsid w:val="00566DDF"/>
    <w:rsid w:val="005672EF"/>
    <w:rsid w:val="005721B1"/>
    <w:rsid w:val="00575F19"/>
    <w:rsid w:val="005770DF"/>
    <w:rsid w:val="00581A70"/>
    <w:rsid w:val="00582329"/>
    <w:rsid w:val="00583097"/>
    <w:rsid w:val="00586507"/>
    <w:rsid w:val="00596362"/>
    <w:rsid w:val="00596918"/>
    <w:rsid w:val="005A22A2"/>
    <w:rsid w:val="005A259A"/>
    <w:rsid w:val="005A28A6"/>
    <w:rsid w:val="005A2A0F"/>
    <w:rsid w:val="005A3897"/>
    <w:rsid w:val="005B1A4E"/>
    <w:rsid w:val="005B38E7"/>
    <w:rsid w:val="005B600C"/>
    <w:rsid w:val="005B6389"/>
    <w:rsid w:val="005B6E25"/>
    <w:rsid w:val="005C02DC"/>
    <w:rsid w:val="005C23A1"/>
    <w:rsid w:val="005D25C2"/>
    <w:rsid w:val="005D3F38"/>
    <w:rsid w:val="005D5142"/>
    <w:rsid w:val="005D7ECA"/>
    <w:rsid w:val="005E5811"/>
    <w:rsid w:val="005F23F3"/>
    <w:rsid w:val="005F5575"/>
    <w:rsid w:val="00601F43"/>
    <w:rsid w:val="00603181"/>
    <w:rsid w:val="00604017"/>
    <w:rsid w:val="00605A59"/>
    <w:rsid w:val="00612E59"/>
    <w:rsid w:val="00615D25"/>
    <w:rsid w:val="00621D98"/>
    <w:rsid w:val="00621E4F"/>
    <w:rsid w:val="006246A7"/>
    <w:rsid w:val="00627B02"/>
    <w:rsid w:val="0063170F"/>
    <w:rsid w:val="006328FF"/>
    <w:rsid w:val="00633421"/>
    <w:rsid w:val="0063686A"/>
    <w:rsid w:val="00636A24"/>
    <w:rsid w:val="00636DA2"/>
    <w:rsid w:val="0063725D"/>
    <w:rsid w:val="0064250B"/>
    <w:rsid w:val="00650AFD"/>
    <w:rsid w:val="0065196E"/>
    <w:rsid w:val="00651B21"/>
    <w:rsid w:val="00654F84"/>
    <w:rsid w:val="006564CF"/>
    <w:rsid w:val="00657A60"/>
    <w:rsid w:val="00657D26"/>
    <w:rsid w:val="00660C14"/>
    <w:rsid w:val="006627D5"/>
    <w:rsid w:val="00672F09"/>
    <w:rsid w:val="00673AC8"/>
    <w:rsid w:val="006751BE"/>
    <w:rsid w:val="00677930"/>
    <w:rsid w:val="00682EB1"/>
    <w:rsid w:val="00683817"/>
    <w:rsid w:val="00687880"/>
    <w:rsid w:val="00687C90"/>
    <w:rsid w:val="006931C3"/>
    <w:rsid w:val="00693615"/>
    <w:rsid w:val="00693CB4"/>
    <w:rsid w:val="00695533"/>
    <w:rsid w:val="006956F6"/>
    <w:rsid w:val="006A1FCD"/>
    <w:rsid w:val="006A4B81"/>
    <w:rsid w:val="006B0A67"/>
    <w:rsid w:val="006B1413"/>
    <w:rsid w:val="006C0881"/>
    <w:rsid w:val="006C1E31"/>
    <w:rsid w:val="006C5BCC"/>
    <w:rsid w:val="006C6DB0"/>
    <w:rsid w:val="006D1534"/>
    <w:rsid w:val="006D2B6F"/>
    <w:rsid w:val="006D7616"/>
    <w:rsid w:val="006F1452"/>
    <w:rsid w:val="006F1B0B"/>
    <w:rsid w:val="006F6654"/>
    <w:rsid w:val="00705812"/>
    <w:rsid w:val="0071222D"/>
    <w:rsid w:val="007145A9"/>
    <w:rsid w:val="007145DE"/>
    <w:rsid w:val="0071537E"/>
    <w:rsid w:val="007154E0"/>
    <w:rsid w:val="00715886"/>
    <w:rsid w:val="0072365F"/>
    <w:rsid w:val="00725169"/>
    <w:rsid w:val="00725B82"/>
    <w:rsid w:val="007352B2"/>
    <w:rsid w:val="007410F1"/>
    <w:rsid w:val="00741768"/>
    <w:rsid w:val="0074301E"/>
    <w:rsid w:val="00745F3E"/>
    <w:rsid w:val="0075074F"/>
    <w:rsid w:val="00752992"/>
    <w:rsid w:val="00754BFA"/>
    <w:rsid w:val="00754D46"/>
    <w:rsid w:val="007576C6"/>
    <w:rsid w:val="00763F0D"/>
    <w:rsid w:val="00767A67"/>
    <w:rsid w:val="0077024A"/>
    <w:rsid w:val="007708C1"/>
    <w:rsid w:val="00771233"/>
    <w:rsid w:val="007749B5"/>
    <w:rsid w:val="00776B96"/>
    <w:rsid w:val="00784650"/>
    <w:rsid w:val="007856CC"/>
    <w:rsid w:val="00786EE8"/>
    <w:rsid w:val="00793F05"/>
    <w:rsid w:val="007940D5"/>
    <w:rsid w:val="00794207"/>
    <w:rsid w:val="007970D6"/>
    <w:rsid w:val="007A2780"/>
    <w:rsid w:val="007A49E7"/>
    <w:rsid w:val="007A6607"/>
    <w:rsid w:val="007A780F"/>
    <w:rsid w:val="007B0B37"/>
    <w:rsid w:val="007B0BFD"/>
    <w:rsid w:val="007C01D7"/>
    <w:rsid w:val="007C0604"/>
    <w:rsid w:val="007C0A90"/>
    <w:rsid w:val="007C504D"/>
    <w:rsid w:val="007D11BB"/>
    <w:rsid w:val="007D4A2C"/>
    <w:rsid w:val="007D6AEC"/>
    <w:rsid w:val="007E397C"/>
    <w:rsid w:val="007E5C36"/>
    <w:rsid w:val="007E6442"/>
    <w:rsid w:val="007E72DD"/>
    <w:rsid w:val="007F28BF"/>
    <w:rsid w:val="007F34A8"/>
    <w:rsid w:val="007F769F"/>
    <w:rsid w:val="00800C3F"/>
    <w:rsid w:val="00801BA0"/>
    <w:rsid w:val="0080334C"/>
    <w:rsid w:val="00803C70"/>
    <w:rsid w:val="00805DF3"/>
    <w:rsid w:val="00805FC3"/>
    <w:rsid w:val="00807CE3"/>
    <w:rsid w:val="008109A2"/>
    <w:rsid w:val="00817C22"/>
    <w:rsid w:val="00820B50"/>
    <w:rsid w:val="008262E8"/>
    <w:rsid w:val="00833F9F"/>
    <w:rsid w:val="008358F5"/>
    <w:rsid w:val="00842ACB"/>
    <w:rsid w:val="00845C9E"/>
    <w:rsid w:val="008572CB"/>
    <w:rsid w:val="00861C90"/>
    <w:rsid w:val="00862398"/>
    <w:rsid w:val="008632AC"/>
    <w:rsid w:val="008708E7"/>
    <w:rsid w:val="00870E11"/>
    <w:rsid w:val="008717C0"/>
    <w:rsid w:val="00880173"/>
    <w:rsid w:val="008827A6"/>
    <w:rsid w:val="00884068"/>
    <w:rsid w:val="008842E6"/>
    <w:rsid w:val="00893F57"/>
    <w:rsid w:val="00894431"/>
    <w:rsid w:val="00895459"/>
    <w:rsid w:val="00897135"/>
    <w:rsid w:val="008A393D"/>
    <w:rsid w:val="008A4DF5"/>
    <w:rsid w:val="008A6011"/>
    <w:rsid w:val="008A7CC6"/>
    <w:rsid w:val="008B6DC9"/>
    <w:rsid w:val="008C53E1"/>
    <w:rsid w:val="008C594B"/>
    <w:rsid w:val="008D0766"/>
    <w:rsid w:val="008D5543"/>
    <w:rsid w:val="008E0BC9"/>
    <w:rsid w:val="008E0FD8"/>
    <w:rsid w:val="008E352D"/>
    <w:rsid w:val="008F07F0"/>
    <w:rsid w:val="008F0AD3"/>
    <w:rsid w:val="008F357B"/>
    <w:rsid w:val="008F4153"/>
    <w:rsid w:val="008F588B"/>
    <w:rsid w:val="00902444"/>
    <w:rsid w:val="00905608"/>
    <w:rsid w:val="00907F19"/>
    <w:rsid w:val="009115DA"/>
    <w:rsid w:val="009129FF"/>
    <w:rsid w:val="00914B0C"/>
    <w:rsid w:val="009214D1"/>
    <w:rsid w:val="00927AE0"/>
    <w:rsid w:val="00935D10"/>
    <w:rsid w:val="00945FD8"/>
    <w:rsid w:val="009523FD"/>
    <w:rsid w:val="009532D2"/>
    <w:rsid w:val="00955E56"/>
    <w:rsid w:val="009562F0"/>
    <w:rsid w:val="00956526"/>
    <w:rsid w:val="00956A8A"/>
    <w:rsid w:val="00957320"/>
    <w:rsid w:val="00976258"/>
    <w:rsid w:val="00981256"/>
    <w:rsid w:val="00984D12"/>
    <w:rsid w:val="00985579"/>
    <w:rsid w:val="009864CB"/>
    <w:rsid w:val="009874F9"/>
    <w:rsid w:val="009914BD"/>
    <w:rsid w:val="00991AA3"/>
    <w:rsid w:val="0099340D"/>
    <w:rsid w:val="009964FF"/>
    <w:rsid w:val="009A13E7"/>
    <w:rsid w:val="009A251F"/>
    <w:rsid w:val="009A5828"/>
    <w:rsid w:val="009A590C"/>
    <w:rsid w:val="009A5BF8"/>
    <w:rsid w:val="009A751B"/>
    <w:rsid w:val="009B1053"/>
    <w:rsid w:val="009B1107"/>
    <w:rsid w:val="009B129A"/>
    <w:rsid w:val="009B16B1"/>
    <w:rsid w:val="009B4D48"/>
    <w:rsid w:val="009B630B"/>
    <w:rsid w:val="009C0915"/>
    <w:rsid w:val="009C1C6C"/>
    <w:rsid w:val="009C2C09"/>
    <w:rsid w:val="009C50E0"/>
    <w:rsid w:val="009C71D3"/>
    <w:rsid w:val="009D52D1"/>
    <w:rsid w:val="009E0D55"/>
    <w:rsid w:val="009E4C85"/>
    <w:rsid w:val="009E51AA"/>
    <w:rsid w:val="009E68A4"/>
    <w:rsid w:val="009F2A1B"/>
    <w:rsid w:val="009F2B85"/>
    <w:rsid w:val="009F3049"/>
    <w:rsid w:val="009F588C"/>
    <w:rsid w:val="009F6488"/>
    <w:rsid w:val="009F64B9"/>
    <w:rsid w:val="00A00720"/>
    <w:rsid w:val="00A026F0"/>
    <w:rsid w:val="00A125C0"/>
    <w:rsid w:val="00A16084"/>
    <w:rsid w:val="00A23A01"/>
    <w:rsid w:val="00A2432D"/>
    <w:rsid w:val="00A27EAB"/>
    <w:rsid w:val="00A316DA"/>
    <w:rsid w:val="00A332E1"/>
    <w:rsid w:val="00A375C1"/>
    <w:rsid w:val="00A40014"/>
    <w:rsid w:val="00A40CB1"/>
    <w:rsid w:val="00A42E55"/>
    <w:rsid w:val="00A4677E"/>
    <w:rsid w:val="00A47F15"/>
    <w:rsid w:val="00A607E1"/>
    <w:rsid w:val="00A62BE8"/>
    <w:rsid w:val="00A64DD9"/>
    <w:rsid w:val="00A73333"/>
    <w:rsid w:val="00A74A2F"/>
    <w:rsid w:val="00A84EB2"/>
    <w:rsid w:val="00A91454"/>
    <w:rsid w:val="00A952D4"/>
    <w:rsid w:val="00A97BF2"/>
    <w:rsid w:val="00AA0C36"/>
    <w:rsid w:val="00AA1061"/>
    <w:rsid w:val="00AA232A"/>
    <w:rsid w:val="00AA3B30"/>
    <w:rsid w:val="00AA5262"/>
    <w:rsid w:val="00AA5C6A"/>
    <w:rsid w:val="00AB10B3"/>
    <w:rsid w:val="00AB22F3"/>
    <w:rsid w:val="00AB2A80"/>
    <w:rsid w:val="00AB2C4F"/>
    <w:rsid w:val="00AB6907"/>
    <w:rsid w:val="00AB7D38"/>
    <w:rsid w:val="00AC06D6"/>
    <w:rsid w:val="00AC3E7C"/>
    <w:rsid w:val="00AC542B"/>
    <w:rsid w:val="00AC7D43"/>
    <w:rsid w:val="00AC7D59"/>
    <w:rsid w:val="00AD003E"/>
    <w:rsid w:val="00AD0E2F"/>
    <w:rsid w:val="00AE77E6"/>
    <w:rsid w:val="00AE7FA6"/>
    <w:rsid w:val="00AF4888"/>
    <w:rsid w:val="00B04A36"/>
    <w:rsid w:val="00B10E7A"/>
    <w:rsid w:val="00B11E3E"/>
    <w:rsid w:val="00B1544E"/>
    <w:rsid w:val="00B15ACE"/>
    <w:rsid w:val="00B1755D"/>
    <w:rsid w:val="00B17CED"/>
    <w:rsid w:val="00B20DF2"/>
    <w:rsid w:val="00B2517F"/>
    <w:rsid w:val="00B26B9C"/>
    <w:rsid w:val="00B273FE"/>
    <w:rsid w:val="00B3052D"/>
    <w:rsid w:val="00B308C9"/>
    <w:rsid w:val="00B30C84"/>
    <w:rsid w:val="00B3336F"/>
    <w:rsid w:val="00B34456"/>
    <w:rsid w:val="00B369DC"/>
    <w:rsid w:val="00B40087"/>
    <w:rsid w:val="00B428A4"/>
    <w:rsid w:val="00B44673"/>
    <w:rsid w:val="00B452D4"/>
    <w:rsid w:val="00B4702F"/>
    <w:rsid w:val="00B57BDF"/>
    <w:rsid w:val="00B63832"/>
    <w:rsid w:val="00B64A6E"/>
    <w:rsid w:val="00B728A0"/>
    <w:rsid w:val="00B7380F"/>
    <w:rsid w:val="00B812C2"/>
    <w:rsid w:val="00B82290"/>
    <w:rsid w:val="00B841F8"/>
    <w:rsid w:val="00B93134"/>
    <w:rsid w:val="00BA0304"/>
    <w:rsid w:val="00BA4F58"/>
    <w:rsid w:val="00BB1202"/>
    <w:rsid w:val="00BB3D55"/>
    <w:rsid w:val="00BB403C"/>
    <w:rsid w:val="00BB4140"/>
    <w:rsid w:val="00BB4701"/>
    <w:rsid w:val="00BB75B7"/>
    <w:rsid w:val="00BC0183"/>
    <w:rsid w:val="00BC19E5"/>
    <w:rsid w:val="00BC21EC"/>
    <w:rsid w:val="00BC55C8"/>
    <w:rsid w:val="00BC55F7"/>
    <w:rsid w:val="00BC6FB5"/>
    <w:rsid w:val="00BD4483"/>
    <w:rsid w:val="00BD4542"/>
    <w:rsid w:val="00BD4AA2"/>
    <w:rsid w:val="00BD4E66"/>
    <w:rsid w:val="00BD6233"/>
    <w:rsid w:val="00BD79AE"/>
    <w:rsid w:val="00BE2D5E"/>
    <w:rsid w:val="00BE3D6A"/>
    <w:rsid w:val="00BE6F2A"/>
    <w:rsid w:val="00BE7979"/>
    <w:rsid w:val="00BF2EA9"/>
    <w:rsid w:val="00C0044D"/>
    <w:rsid w:val="00C060F5"/>
    <w:rsid w:val="00C10B50"/>
    <w:rsid w:val="00C1377A"/>
    <w:rsid w:val="00C13B20"/>
    <w:rsid w:val="00C15122"/>
    <w:rsid w:val="00C21AFB"/>
    <w:rsid w:val="00C2392D"/>
    <w:rsid w:val="00C25F04"/>
    <w:rsid w:val="00C260B7"/>
    <w:rsid w:val="00C408DF"/>
    <w:rsid w:val="00C41F91"/>
    <w:rsid w:val="00C42477"/>
    <w:rsid w:val="00C522DF"/>
    <w:rsid w:val="00C56C51"/>
    <w:rsid w:val="00C57C3C"/>
    <w:rsid w:val="00C61250"/>
    <w:rsid w:val="00C62431"/>
    <w:rsid w:val="00C65B62"/>
    <w:rsid w:val="00C7679B"/>
    <w:rsid w:val="00C778B3"/>
    <w:rsid w:val="00C81ABB"/>
    <w:rsid w:val="00C852BE"/>
    <w:rsid w:val="00CA1109"/>
    <w:rsid w:val="00CA41FC"/>
    <w:rsid w:val="00CA455D"/>
    <w:rsid w:val="00CA46B8"/>
    <w:rsid w:val="00CB285D"/>
    <w:rsid w:val="00CB46B9"/>
    <w:rsid w:val="00CB4943"/>
    <w:rsid w:val="00CC248F"/>
    <w:rsid w:val="00CC315C"/>
    <w:rsid w:val="00CC3BE6"/>
    <w:rsid w:val="00CC4D47"/>
    <w:rsid w:val="00CD0E59"/>
    <w:rsid w:val="00CD1C5C"/>
    <w:rsid w:val="00CE0E15"/>
    <w:rsid w:val="00CE14C1"/>
    <w:rsid w:val="00CF349B"/>
    <w:rsid w:val="00CF6AD7"/>
    <w:rsid w:val="00D013F6"/>
    <w:rsid w:val="00D01C2F"/>
    <w:rsid w:val="00D05F96"/>
    <w:rsid w:val="00D06BB5"/>
    <w:rsid w:val="00D07CF8"/>
    <w:rsid w:val="00D13454"/>
    <w:rsid w:val="00D208D1"/>
    <w:rsid w:val="00D20F37"/>
    <w:rsid w:val="00D23CD8"/>
    <w:rsid w:val="00D24208"/>
    <w:rsid w:val="00D25042"/>
    <w:rsid w:val="00D352E7"/>
    <w:rsid w:val="00D363F3"/>
    <w:rsid w:val="00D4038E"/>
    <w:rsid w:val="00D416CC"/>
    <w:rsid w:val="00D47185"/>
    <w:rsid w:val="00D501B5"/>
    <w:rsid w:val="00D57AE7"/>
    <w:rsid w:val="00D64D31"/>
    <w:rsid w:val="00D65F4C"/>
    <w:rsid w:val="00D660DE"/>
    <w:rsid w:val="00D67805"/>
    <w:rsid w:val="00D72CBA"/>
    <w:rsid w:val="00D72DDF"/>
    <w:rsid w:val="00D734A0"/>
    <w:rsid w:val="00D739BE"/>
    <w:rsid w:val="00D8155D"/>
    <w:rsid w:val="00D81E99"/>
    <w:rsid w:val="00D84AA9"/>
    <w:rsid w:val="00D87130"/>
    <w:rsid w:val="00D90BFB"/>
    <w:rsid w:val="00D9363B"/>
    <w:rsid w:val="00D97374"/>
    <w:rsid w:val="00D97FB8"/>
    <w:rsid w:val="00DA5406"/>
    <w:rsid w:val="00DA5ED4"/>
    <w:rsid w:val="00DB4FC9"/>
    <w:rsid w:val="00DB591E"/>
    <w:rsid w:val="00DB6063"/>
    <w:rsid w:val="00DC35CA"/>
    <w:rsid w:val="00DC3616"/>
    <w:rsid w:val="00DC3754"/>
    <w:rsid w:val="00DC4295"/>
    <w:rsid w:val="00DC448F"/>
    <w:rsid w:val="00DC5D3F"/>
    <w:rsid w:val="00DC612D"/>
    <w:rsid w:val="00DD07D9"/>
    <w:rsid w:val="00DD245D"/>
    <w:rsid w:val="00DD261B"/>
    <w:rsid w:val="00DD2ACC"/>
    <w:rsid w:val="00DD534A"/>
    <w:rsid w:val="00DD71E2"/>
    <w:rsid w:val="00DD7982"/>
    <w:rsid w:val="00DE2A57"/>
    <w:rsid w:val="00DE3DE8"/>
    <w:rsid w:val="00DE70C9"/>
    <w:rsid w:val="00DF1A93"/>
    <w:rsid w:val="00DF6442"/>
    <w:rsid w:val="00E01D63"/>
    <w:rsid w:val="00E033A2"/>
    <w:rsid w:val="00E0494B"/>
    <w:rsid w:val="00E11B41"/>
    <w:rsid w:val="00E15F46"/>
    <w:rsid w:val="00E237A4"/>
    <w:rsid w:val="00E2441B"/>
    <w:rsid w:val="00E25A4D"/>
    <w:rsid w:val="00E266D6"/>
    <w:rsid w:val="00E30E6B"/>
    <w:rsid w:val="00E33411"/>
    <w:rsid w:val="00E3428B"/>
    <w:rsid w:val="00E3505B"/>
    <w:rsid w:val="00E407B4"/>
    <w:rsid w:val="00E408B8"/>
    <w:rsid w:val="00E429CE"/>
    <w:rsid w:val="00E4489A"/>
    <w:rsid w:val="00E4608F"/>
    <w:rsid w:val="00E46FE9"/>
    <w:rsid w:val="00E50550"/>
    <w:rsid w:val="00E6289C"/>
    <w:rsid w:val="00E63121"/>
    <w:rsid w:val="00E6390A"/>
    <w:rsid w:val="00E66299"/>
    <w:rsid w:val="00E71D13"/>
    <w:rsid w:val="00E75528"/>
    <w:rsid w:val="00E80736"/>
    <w:rsid w:val="00E8777E"/>
    <w:rsid w:val="00E95E80"/>
    <w:rsid w:val="00EA2F53"/>
    <w:rsid w:val="00EA3A50"/>
    <w:rsid w:val="00EA5F90"/>
    <w:rsid w:val="00EA6AED"/>
    <w:rsid w:val="00EA7928"/>
    <w:rsid w:val="00EB6998"/>
    <w:rsid w:val="00EB6A3C"/>
    <w:rsid w:val="00EC0BE6"/>
    <w:rsid w:val="00EC3706"/>
    <w:rsid w:val="00EC45A8"/>
    <w:rsid w:val="00EC73E2"/>
    <w:rsid w:val="00ED0F8F"/>
    <w:rsid w:val="00ED3124"/>
    <w:rsid w:val="00ED3E23"/>
    <w:rsid w:val="00EE04A0"/>
    <w:rsid w:val="00EE1CAC"/>
    <w:rsid w:val="00EE48CF"/>
    <w:rsid w:val="00EE5FF0"/>
    <w:rsid w:val="00EE6864"/>
    <w:rsid w:val="00EF0DCF"/>
    <w:rsid w:val="00EF3179"/>
    <w:rsid w:val="00F008A6"/>
    <w:rsid w:val="00F06217"/>
    <w:rsid w:val="00F076A2"/>
    <w:rsid w:val="00F11A54"/>
    <w:rsid w:val="00F12723"/>
    <w:rsid w:val="00F146A1"/>
    <w:rsid w:val="00F156A1"/>
    <w:rsid w:val="00F2096E"/>
    <w:rsid w:val="00F20AF0"/>
    <w:rsid w:val="00F22952"/>
    <w:rsid w:val="00F22CF7"/>
    <w:rsid w:val="00F24C96"/>
    <w:rsid w:val="00F27C91"/>
    <w:rsid w:val="00F32D01"/>
    <w:rsid w:val="00F40707"/>
    <w:rsid w:val="00F4072F"/>
    <w:rsid w:val="00F4114D"/>
    <w:rsid w:val="00F4215A"/>
    <w:rsid w:val="00F426B6"/>
    <w:rsid w:val="00F4629B"/>
    <w:rsid w:val="00F52E4A"/>
    <w:rsid w:val="00F57737"/>
    <w:rsid w:val="00F57B52"/>
    <w:rsid w:val="00F620DD"/>
    <w:rsid w:val="00F629F3"/>
    <w:rsid w:val="00F70AAC"/>
    <w:rsid w:val="00F71C06"/>
    <w:rsid w:val="00F724DF"/>
    <w:rsid w:val="00F735A7"/>
    <w:rsid w:val="00F75F80"/>
    <w:rsid w:val="00F80EAF"/>
    <w:rsid w:val="00F85688"/>
    <w:rsid w:val="00F857EE"/>
    <w:rsid w:val="00F901DE"/>
    <w:rsid w:val="00F902AA"/>
    <w:rsid w:val="00F942F9"/>
    <w:rsid w:val="00FA124A"/>
    <w:rsid w:val="00FA1877"/>
    <w:rsid w:val="00FA58BB"/>
    <w:rsid w:val="00FA690F"/>
    <w:rsid w:val="00FB3A4E"/>
    <w:rsid w:val="00FB747D"/>
    <w:rsid w:val="00FB7B9F"/>
    <w:rsid w:val="00FC2714"/>
    <w:rsid w:val="00FC6B39"/>
    <w:rsid w:val="00FD04F4"/>
    <w:rsid w:val="00FD1182"/>
    <w:rsid w:val="00FE05AD"/>
    <w:rsid w:val="00FE0768"/>
    <w:rsid w:val="00FE1CF8"/>
    <w:rsid w:val="00FE2A2C"/>
    <w:rsid w:val="00FE2A49"/>
    <w:rsid w:val="00FE397A"/>
    <w:rsid w:val="00FE7F23"/>
    <w:rsid w:val="00FF56B6"/>
    <w:rsid w:val="01125564"/>
    <w:rsid w:val="012D2877"/>
    <w:rsid w:val="01630083"/>
    <w:rsid w:val="01C914C1"/>
    <w:rsid w:val="031163E7"/>
    <w:rsid w:val="03852D2E"/>
    <w:rsid w:val="0447656F"/>
    <w:rsid w:val="04523198"/>
    <w:rsid w:val="04B235EA"/>
    <w:rsid w:val="07410F10"/>
    <w:rsid w:val="07FC2F80"/>
    <w:rsid w:val="084A14BC"/>
    <w:rsid w:val="08A61F4F"/>
    <w:rsid w:val="08E05164"/>
    <w:rsid w:val="097F064F"/>
    <w:rsid w:val="09D93253"/>
    <w:rsid w:val="0A386E25"/>
    <w:rsid w:val="0A446B80"/>
    <w:rsid w:val="0A4A6113"/>
    <w:rsid w:val="0AAB0407"/>
    <w:rsid w:val="0AEC58D8"/>
    <w:rsid w:val="0B0E360C"/>
    <w:rsid w:val="0B576695"/>
    <w:rsid w:val="0BA06019"/>
    <w:rsid w:val="0BCF4A4D"/>
    <w:rsid w:val="0D0219B9"/>
    <w:rsid w:val="0D0F0D37"/>
    <w:rsid w:val="0D4205E8"/>
    <w:rsid w:val="0D8E7389"/>
    <w:rsid w:val="0E1E13ED"/>
    <w:rsid w:val="0F2679FE"/>
    <w:rsid w:val="0F35290D"/>
    <w:rsid w:val="0F7F0D07"/>
    <w:rsid w:val="0FD5509B"/>
    <w:rsid w:val="104C1533"/>
    <w:rsid w:val="10FC6D95"/>
    <w:rsid w:val="11E9753D"/>
    <w:rsid w:val="12067ED8"/>
    <w:rsid w:val="13462D13"/>
    <w:rsid w:val="13C01267"/>
    <w:rsid w:val="14754545"/>
    <w:rsid w:val="149A3C1F"/>
    <w:rsid w:val="14E92A2C"/>
    <w:rsid w:val="150B5DA2"/>
    <w:rsid w:val="154C6501"/>
    <w:rsid w:val="15AB60E4"/>
    <w:rsid w:val="160A54B0"/>
    <w:rsid w:val="163957F6"/>
    <w:rsid w:val="16DC2F0F"/>
    <w:rsid w:val="16DC7285"/>
    <w:rsid w:val="17343BF2"/>
    <w:rsid w:val="17D26FD9"/>
    <w:rsid w:val="17FA48A1"/>
    <w:rsid w:val="181D518B"/>
    <w:rsid w:val="186424EE"/>
    <w:rsid w:val="196958AE"/>
    <w:rsid w:val="19970CDE"/>
    <w:rsid w:val="19FD1B53"/>
    <w:rsid w:val="1B2867F7"/>
    <w:rsid w:val="1BAF6D58"/>
    <w:rsid w:val="1C354341"/>
    <w:rsid w:val="1C3D2135"/>
    <w:rsid w:val="1CC0655F"/>
    <w:rsid w:val="1D2D559E"/>
    <w:rsid w:val="1D9B2213"/>
    <w:rsid w:val="1F164149"/>
    <w:rsid w:val="20922B00"/>
    <w:rsid w:val="20E9351B"/>
    <w:rsid w:val="2151144E"/>
    <w:rsid w:val="21731B3E"/>
    <w:rsid w:val="21BA2E77"/>
    <w:rsid w:val="21C649C5"/>
    <w:rsid w:val="221C48A4"/>
    <w:rsid w:val="22440EAE"/>
    <w:rsid w:val="22CA100B"/>
    <w:rsid w:val="23035FD4"/>
    <w:rsid w:val="248F5AA1"/>
    <w:rsid w:val="251F7F55"/>
    <w:rsid w:val="252C08C4"/>
    <w:rsid w:val="25D11BF8"/>
    <w:rsid w:val="26AD5D58"/>
    <w:rsid w:val="27DFE5A2"/>
    <w:rsid w:val="27EFCF7A"/>
    <w:rsid w:val="27FED829"/>
    <w:rsid w:val="284F37A2"/>
    <w:rsid w:val="288E12BC"/>
    <w:rsid w:val="291F476C"/>
    <w:rsid w:val="2A171BA3"/>
    <w:rsid w:val="2A270482"/>
    <w:rsid w:val="2A8C01F7"/>
    <w:rsid w:val="2BD04CB6"/>
    <w:rsid w:val="2D44119B"/>
    <w:rsid w:val="2D9A08D1"/>
    <w:rsid w:val="2D9C4FCB"/>
    <w:rsid w:val="2DF25FD1"/>
    <w:rsid w:val="2EAB0AAB"/>
    <w:rsid w:val="2EEB171E"/>
    <w:rsid w:val="30815647"/>
    <w:rsid w:val="30ED2C34"/>
    <w:rsid w:val="31262BD5"/>
    <w:rsid w:val="31C77244"/>
    <w:rsid w:val="31E41D3B"/>
    <w:rsid w:val="32B85545"/>
    <w:rsid w:val="33662417"/>
    <w:rsid w:val="336D79CB"/>
    <w:rsid w:val="337F066B"/>
    <w:rsid w:val="340C472D"/>
    <w:rsid w:val="34111B4D"/>
    <w:rsid w:val="3569B5A0"/>
    <w:rsid w:val="3577777A"/>
    <w:rsid w:val="35972198"/>
    <w:rsid w:val="35D76C1F"/>
    <w:rsid w:val="35FB71C6"/>
    <w:rsid w:val="37A36A2F"/>
    <w:rsid w:val="38384548"/>
    <w:rsid w:val="397C2D44"/>
    <w:rsid w:val="3A771C03"/>
    <w:rsid w:val="3B1C290B"/>
    <w:rsid w:val="3B561FB2"/>
    <w:rsid w:val="3BA67FF4"/>
    <w:rsid w:val="3BE42E62"/>
    <w:rsid w:val="3C571A85"/>
    <w:rsid w:val="3DA759B8"/>
    <w:rsid w:val="3DBC75D3"/>
    <w:rsid w:val="3DD10872"/>
    <w:rsid w:val="3E66250A"/>
    <w:rsid w:val="3EDC37A9"/>
    <w:rsid w:val="3F136B91"/>
    <w:rsid w:val="3FC71B8B"/>
    <w:rsid w:val="3FD7F920"/>
    <w:rsid w:val="40194C71"/>
    <w:rsid w:val="40214F9C"/>
    <w:rsid w:val="404708C6"/>
    <w:rsid w:val="404B69AD"/>
    <w:rsid w:val="4090532A"/>
    <w:rsid w:val="41966616"/>
    <w:rsid w:val="42032C13"/>
    <w:rsid w:val="420460B1"/>
    <w:rsid w:val="43EC131F"/>
    <w:rsid w:val="44D11D2C"/>
    <w:rsid w:val="45C80433"/>
    <w:rsid w:val="45D41771"/>
    <w:rsid w:val="47850C82"/>
    <w:rsid w:val="48215FD6"/>
    <w:rsid w:val="485F7610"/>
    <w:rsid w:val="493C44A8"/>
    <w:rsid w:val="49C32CF5"/>
    <w:rsid w:val="4BDE5811"/>
    <w:rsid w:val="4C0533A9"/>
    <w:rsid w:val="4D0647EB"/>
    <w:rsid w:val="4E5C6A94"/>
    <w:rsid w:val="4EE6525B"/>
    <w:rsid w:val="4F194B83"/>
    <w:rsid w:val="50C3617F"/>
    <w:rsid w:val="518B7996"/>
    <w:rsid w:val="51C233FF"/>
    <w:rsid w:val="528D5C4E"/>
    <w:rsid w:val="52CE4524"/>
    <w:rsid w:val="53BF755A"/>
    <w:rsid w:val="53E45BE7"/>
    <w:rsid w:val="55527FAC"/>
    <w:rsid w:val="56157093"/>
    <w:rsid w:val="56226FF5"/>
    <w:rsid w:val="5779588A"/>
    <w:rsid w:val="57B05D70"/>
    <w:rsid w:val="57B1418D"/>
    <w:rsid w:val="58486D09"/>
    <w:rsid w:val="58714442"/>
    <w:rsid w:val="58A460C7"/>
    <w:rsid w:val="58AF7643"/>
    <w:rsid w:val="58C10679"/>
    <w:rsid w:val="59112D18"/>
    <w:rsid w:val="59206593"/>
    <w:rsid w:val="59AC2910"/>
    <w:rsid w:val="59FF5B0B"/>
    <w:rsid w:val="5A192F9A"/>
    <w:rsid w:val="5AA87C26"/>
    <w:rsid w:val="5ABC5B33"/>
    <w:rsid w:val="5B172DDB"/>
    <w:rsid w:val="5BAC183B"/>
    <w:rsid w:val="5C21413E"/>
    <w:rsid w:val="5C5D48E3"/>
    <w:rsid w:val="5CD5573C"/>
    <w:rsid w:val="5D1B5AF7"/>
    <w:rsid w:val="5EB5736D"/>
    <w:rsid w:val="5ECF6611"/>
    <w:rsid w:val="5F4F1CAF"/>
    <w:rsid w:val="5F57353B"/>
    <w:rsid w:val="5FB97D45"/>
    <w:rsid w:val="5FBC935C"/>
    <w:rsid w:val="602425DD"/>
    <w:rsid w:val="60441486"/>
    <w:rsid w:val="6122434D"/>
    <w:rsid w:val="621E2272"/>
    <w:rsid w:val="628C1DB2"/>
    <w:rsid w:val="62960B4F"/>
    <w:rsid w:val="62C9674B"/>
    <w:rsid w:val="62D612C0"/>
    <w:rsid w:val="63481804"/>
    <w:rsid w:val="63B8337D"/>
    <w:rsid w:val="63D60408"/>
    <w:rsid w:val="63D96B0D"/>
    <w:rsid w:val="643B3270"/>
    <w:rsid w:val="64574AF4"/>
    <w:rsid w:val="64855AEA"/>
    <w:rsid w:val="648B13C0"/>
    <w:rsid w:val="64D96438"/>
    <w:rsid w:val="64FD143E"/>
    <w:rsid w:val="65331E2E"/>
    <w:rsid w:val="65A30DAE"/>
    <w:rsid w:val="65D43A6C"/>
    <w:rsid w:val="660F5D76"/>
    <w:rsid w:val="675D0486"/>
    <w:rsid w:val="68087BEE"/>
    <w:rsid w:val="6891695F"/>
    <w:rsid w:val="68EA757B"/>
    <w:rsid w:val="69587135"/>
    <w:rsid w:val="6987560D"/>
    <w:rsid w:val="6A0635C7"/>
    <w:rsid w:val="6AC36603"/>
    <w:rsid w:val="6B9442C6"/>
    <w:rsid w:val="6CA71AE0"/>
    <w:rsid w:val="6D714C37"/>
    <w:rsid w:val="6D9920A6"/>
    <w:rsid w:val="6DD742D2"/>
    <w:rsid w:val="6DFF6D79"/>
    <w:rsid w:val="6E086211"/>
    <w:rsid w:val="6E9B1B8E"/>
    <w:rsid w:val="6FAC3B53"/>
    <w:rsid w:val="70333E81"/>
    <w:rsid w:val="703A5210"/>
    <w:rsid w:val="704323BE"/>
    <w:rsid w:val="70872F34"/>
    <w:rsid w:val="70A46802"/>
    <w:rsid w:val="70A4690E"/>
    <w:rsid w:val="70C664E1"/>
    <w:rsid w:val="71310667"/>
    <w:rsid w:val="717D0C33"/>
    <w:rsid w:val="71FC74BA"/>
    <w:rsid w:val="73D30ADF"/>
    <w:rsid w:val="74866DA0"/>
    <w:rsid w:val="75263FB5"/>
    <w:rsid w:val="75B50F43"/>
    <w:rsid w:val="75B83D95"/>
    <w:rsid w:val="75DE7A13"/>
    <w:rsid w:val="764003AB"/>
    <w:rsid w:val="76D72BDC"/>
    <w:rsid w:val="77275DC2"/>
    <w:rsid w:val="772D77E2"/>
    <w:rsid w:val="774F5BC4"/>
    <w:rsid w:val="77801954"/>
    <w:rsid w:val="780E03FA"/>
    <w:rsid w:val="783A1992"/>
    <w:rsid w:val="78BD12FA"/>
    <w:rsid w:val="78CD5140"/>
    <w:rsid w:val="78E36DAF"/>
    <w:rsid w:val="79D7699D"/>
    <w:rsid w:val="7B301733"/>
    <w:rsid w:val="7BAD2668"/>
    <w:rsid w:val="7BEF813D"/>
    <w:rsid w:val="7BFC5A6F"/>
    <w:rsid w:val="7C1D2424"/>
    <w:rsid w:val="7C3177C6"/>
    <w:rsid w:val="7C7373F7"/>
    <w:rsid w:val="7CF64CDB"/>
    <w:rsid w:val="7D9A5540"/>
    <w:rsid w:val="7DE6CA4B"/>
    <w:rsid w:val="7E3B6D8E"/>
    <w:rsid w:val="7E7F6E79"/>
    <w:rsid w:val="7EA656DF"/>
    <w:rsid w:val="7ECB750D"/>
    <w:rsid w:val="7EFF3712"/>
    <w:rsid w:val="7FBFB4FA"/>
    <w:rsid w:val="7FEF8884"/>
    <w:rsid w:val="967FE93F"/>
    <w:rsid w:val="AF79885B"/>
    <w:rsid w:val="B79D3C61"/>
    <w:rsid w:val="BADCB3E8"/>
    <w:rsid w:val="BF7FF0E7"/>
    <w:rsid w:val="C6FDD481"/>
    <w:rsid w:val="CC374F5D"/>
    <w:rsid w:val="D76D4AA6"/>
    <w:rsid w:val="DFFFC291"/>
    <w:rsid w:val="EFED5538"/>
    <w:rsid w:val="EFF9DF90"/>
    <w:rsid w:val="F27A8205"/>
    <w:rsid w:val="F5EFB424"/>
    <w:rsid w:val="F6BED54D"/>
    <w:rsid w:val="F6BFF7E6"/>
    <w:rsid w:val="F7674902"/>
    <w:rsid w:val="F7FF8A82"/>
    <w:rsid w:val="FDEDEC6D"/>
    <w:rsid w:val="FE77C208"/>
    <w:rsid w:val="FF5FF780"/>
    <w:rsid w:val="FFBDBDEA"/>
    <w:rsid w:val="FFBFF038"/>
    <w:rsid w:val="FFEF0FEF"/>
    <w:rsid w:val="FFFB5E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8"/>
    <w:qFormat/>
    <w:uiPriority w:val="0"/>
    <w:pPr>
      <w:keepNext/>
      <w:jc w:val="center"/>
      <w:outlineLvl w:val="0"/>
    </w:pPr>
    <w:rPr>
      <w:b/>
      <w:bCs/>
      <w:sz w:val="24"/>
      <w:szCs w:val="20"/>
    </w:rPr>
  </w:style>
  <w:style w:type="paragraph" w:styleId="6">
    <w:name w:val="heading 2"/>
    <w:basedOn w:val="1"/>
    <w:next w:val="1"/>
    <w:link w:val="143"/>
    <w:qFormat/>
    <w:uiPriority w:val="0"/>
    <w:pPr>
      <w:keepNext/>
      <w:keepLines/>
      <w:spacing w:line="360" w:lineRule="auto"/>
      <w:outlineLvl w:val="1"/>
    </w:pPr>
    <w:rPr>
      <w:rFonts w:ascii="Arial" w:hAnsi="Arial"/>
      <w:b/>
      <w:bCs/>
      <w:sz w:val="24"/>
      <w:szCs w:val="32"/>
    </w:rPr>
  </w:style>
  <w:style w:type="paragraph" w:styleId="7">
    <w:name w:val="heading 3"/>
    <w:basedOn w:val="1"/>
    <w:next w:val="1"/>
    <w:link w:val="149"/>
    <w:qFormat/>
    <w:uiPriority w:val="0"/>
    <w:pPr>
      <w:keepNext/>
      <w:keepLines/>
      <w:spacing w:before="260" w:after="260" w:line="416" w:lineRule="auto"/>
      <w:outlineLvl w:val="2"/>
    </w:pPr>
    <w:rPr>
      <w:b/>
      <w:bCs/>
      <w:sz w:val="32"/>
      <w:szCs w:val="32"/>
    </w:rPr>
  </w:style>
  <w:style w:type="paragraph" w:styleId="8">
    <w:name w:val="heading 4"/>
    <w:basedOn w:val="1"/>
    <w:next w:val="1"/>
    <w:link w:val="109"/>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6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0">
    <w:name w:val="heading 6"/>
    <w:basedOn w:val="1"/>
    <w:next w:val="1"/>
    <w:link w:val="9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4">
    <w:name w:val="heading 7"/>
    <w:basedOn w:val="1"/>
    <w:next w:val="1"/>
    <w:link w:val="141"/>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12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8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3"/>
    <w:next w:val="4"/>
    <w:qFormat/>
    <w:uiPriority w:val="0"/>
    <w:pPr>
      <w:ind w:firstLine="420" w:firstLineChars="200"/>
    </w:pPr>
  </w:style>
  <w:style w:type="paragraph" w:customStyle="1" w:styleId="3">
    <w:name w:val="正文_10_43"/>
    <w:qFormat/>
    <w:uiPriority w:val="0"/>
    <w:pPr>
      <w:widowControl w:val="0"/>
      <w:jc w:val="both"/>
    </w:pPr>
    <w:rPr>
      <w:rFonts w:ascii="Calibri" w:hAnsi="Calibri" w:eastAsia="宋体" w:cs="Times New Roman"/>
      <w:kern w:val="2"/>
      <w:sz w:val="24"/>
      <w:szCs w:val="22"/>
      <w:lang w:val="en-US" w:eastAsia="zh-CN" w:bidi="ar-SA"/>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qFormat/>
    <w:uiPriority w:val="0"/>
    <w:pPr>
      <w:widowControl/>
      <w:ind w:firstLine="420"/>
      <w:jc w:val="left"/>
    </w:pPr>
    <w:rPr>
      <w:kern w:val="0"/>
      <w:sz w:val="20"/>
      <w:szCs w:val="20"/>
    </w:rPr>
  </w:style>
  <w:style w:type="paragraph" w:styleId="15">
    <w:name w:val="caption"/>
    <w:basedOn w:val="1"/>
    <w:next w:val="1"/>
    <w:semiHidden/>
    <w:unhideWhenUsed/>
    <w:qFormat/>
    <w:uiPriority w:val="0"/>
    <w:rPr>
      <w:rFonts w:eastAsia="黑体" w:asciiTheme="majorHAnsi" w:hAnsiTheme="majorHAnsi" w:cstheme="majorBidi"/>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166"/>
    <w:qFormat/>
    <w:uiPriority w:val="99"/>
    <w:pPr>
      <w:jc w:val="left"/>
    </w:pPr>
  </w:style>
  <w:style w:type="paragraph" w:styleId="18">
    <w:name w:val="Salutation"/>
    <w:basedOn w:val="1"/>
    <w:next w:val="1"/>
    <w:qFormat/>
    <w:uiPriority w:val="0"/>
    <w:rPr>
      <w:rFonts w:ascii="仿宋_GB2312" w:eastAsia="仿宋_GB2312"/>
      <w:sz w:val="24"/>
    </w:rPr>
  </w:style>
  <w:style w:type="paragraph" w:styleId="19">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20">
    <w:name w:val="Body Text"/>
    <w:basedOn w:val="1"/>
    <w:next w:val="21"/>
    <w:link w:val="268"/>
    <w:qFormat/>
    <w:uiPriority w:val="0"/>
    <w:pPr>
      <w:spacing w:after="120"/>
    </w:pPr>
  </w:style>
  <w:style w:type="paragraph" w:customStyle="1" w:styleId="21">
    <w:name w:val="正文首行缩进1"/>
    <w:basedOn w:val="1"/>
    <w:qFormat/>
    <w:uiPriority w:val="99"/>
    <w:pPr>
      <w:spacing w:after="120"/>
      <w:ind w:firstLine="420" w:firstLineChars="100"/>
    </w:pPr>
  </w:style>
  <w:style w:type="paragraph" w:styleId="22">
    <w:name w:val="Body Text Indent"/>
    <w:basedOn w:val="1"/>
    <w:next w:val="23"/>
    <w:link w:val="142"/>
    <w:qFormat/>
    <w:uiPriority w:val="0"/>
    <w:pPr>
      <w:spacing w:after="120"/>
      <w:ind w:left="420" w:leftChars="200"/>
    </w:pPr>
  </w:style>
  <w:style w:type="paragraph" w:customStyle="1" w:styleId="23">
    <w:name w:val="样式 正文文本缩进 + 首行缩进:  2 字符 行距: 1.5 倍行距"/>
    <w:basedOn w:val="22"/>
    <w:qFormat/>
    <w:uiPriority w:val="0"/>
  </w:style>
  <w:style w:type="paragraph" w:styleId="24">
    <w:name w:val="Block Text"/>
    <w:basedOn w:val="1"/>
    <w:qFormat/>
    <w:uiPriority w:val="0"/>
    <w:pPr>
      <w:ind w:left="1171" w:right="91" w:hanging="1080"/>
    </w:pPr>
    <w:rPr>
      <w:rFonts w:eastAsia="楷体_GB2312"/>
      <w:szCs w:val="20"/>
    </w:rPr>
  </w:style>
  <w:style w:type="paragraph" w:styleId="25">
    <w:name w:val="toc 5"/>
    <w:basedOn w:val="1"/>
    <w:next w:val="1"/>
    <w:qFormat/>
    <w:uiPriority w:val="0"/>
    <w:pPr>
      <w:ind w:left="1680" w:leftChars="800"/>
    </w:pPr>
    <w:rPr>
      <w:rFonts w:ascii="Calibri" w:hAnsi="Calibri"/>
      <w:szCs w:val="22"/>
    </w:rPr>
  </w:style>
  <w:style w:type="paragraph" w:styleId="26">
    <w:name w:val="toc 3"/>
    <w:basedOn w:val="1"/>
    <w:next w:val="1"/>
    <w:qFormat/>
    <w:uiPriority w:val="0"/>
    <w:pPr>
      <w:ind w:left="840" w:leftChars="400"/>
    </w:pPr>
  </w:style>
  <w:style w:type="paragraph" w:styleId="27">
    <w:name w:val="Plain Text"/>
    <w:basedOn w:val="1"/>
    <w:link w:val="84"/>
    <w:qFormat/>
    <w:uiPriority w:val="0"/>
    <w:rPr>
      <w:rFonts w:ascii="宋体" w:hAnsi="Courier New" w:cs="Courier New"/>
      <w:szCs w:val="21"/>
    </w:rPr>
  </w:style>
  <w:style w:type="paragraph" w:styleId="28">
    <w:name w:val="toc 8"/>
    <w:basedOn w:val="1"/>
    <w:next w:val="1"/>
    <w:qFormat/>
    <w:uiPriority w:val="0"/>
    <w:pPr>
      <w:ind w:left="2940" w:leftChars="1400"/>
    </w:pPr>
    <w:rPr>
      <w:rFonts w:ascii="Calibri" w:hAnsi="Calibri"/>
      <w:szCs w:val="22"/>
    </w:rPr>
  </w:style>
  <w:style w:type="paragraph" w:styleId="29">
    <w:name w:val="Date"/>
    <w:basedOn w:val="1"/>
    <w:next w:val="1"/>
    <w:link w:val="75"/>
    <w:qFormat/>
    <w:uiPriority w:val="0"/>
    <w:rPr>
      <w:sz w:val="24"/>
      <w:szCs w:val="20"/>
    </w:rPr>
  </w:style>
  <w:style w:type="paragraph" w:styleId="30">
    <w:name w:val="Body Text Indent 2"/>
    <w:basedOn w:val="1"/>
    <w:qFormat/>
    <w:uiPriority w:val="0"/>
    <w:pPr>
      <w:spacing w:after="120" w:line="480" w:lineRule="auto"/>
      <w:ind w:left="420" w:leftChars="200"/>
    </w:pPr>
  </w:style>
  <w:style w:type="paragraph" w:styleId="31">
    <w:name w:val="endnote text"/>
    <w:basedOn w:val="1"/>
    <w:link w:val="342"/>
    <w:qFormat/>
    <w:uiPriority w:val="99"/>
    <w:rPr>
      <w:rFonts w:ascii="Calibri" w:hAnsi="Calibri"/>
    </w:rPr>
  </w:style>
  <w:style w:type="paragraph" w:styleId="32">
    <w:name w:val="Balloon Text"/>
    <w:basedOn w:val="1"/>
    <w:link w:val="71"/>
    <w:qFormat/>
    <w:uiPriority w:val="0"/>
    <w:rPr>
      <w:rFonts w:ascii="Calibri" w:hAnsi="Calibri"/>
      <w:sz w:val="18"/>
      <w:szCs w:val="18"/>
    </w:rPr>
  </w:style>
  <w:style w:type="paragraph" w:styleId="33">
    <w:name w:val="footer"/>
    <w:basedOn w:val="1"/>
    <w:link w:val="83"/>
    <w:qFormat/>
    <w:uiPriority w:val="0"/>
    <w:pPr>
      <w:tabs>
        <w:tab w:val="center" w:pos="4153"/>
        <w:tab w:val="right" w:pos="8306"/>
      </w:tabs>
      <w:snapToGrid w:val="0"/>
      <w:jc w:val="left"/>
    </w:pPr>
    <w:rPr>
      <w:sz w:val="18"/>
      <w:szCs w:val="18"/>
    </w:rPr>
  </w:style>
  <w:style w:type="paragraph" w:styleId="34">
    <w:name w:val="header"/>
    <w:basedOn w:val="1"/>
    <w:link w:val="157"/>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adjustRightInd w:val="0"/>
      <w:snapToGrid w:val="0"/>
      <w:spacing w:line="360" w:lineRule="auto"/>
    </w:pPr>
    <w:rPr>
      <w:b/>
      <w:sz w:val="28"/>
    </w:rPr>
  </w:style>
  <w:style w:type="paragraph" w:styleId="36">
    <w:name w:val="toc 4"/>
    <w:basedOn w:val="1"/>
    <w:next w:val="1"/>
    <w:qFormat/>
    <w:uiPriority w:val="0"/>
    <w:pPr>
      <w:ind w:left="1260" w:leftChars="600"/>
    </w:p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47"/>
    <w:qFormat/>
    <w:uiPriority w:val="0"/>
    <w:pPr>
      <w:spacing w:after="120"/>
      <w:ind w:left="420" w:leftChars="200"/>
    </w:pPr>
    <w:rPr>
      <w:sz w:val="16"/>
      <w:szCs w:val="16"/>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0"/>
    </w:rPr>
  </w:style>
  <w:style w:type="paragraph" w:styleId="45">
    <w:name w:val="Title"/>
    <w:basedOn w:val="1"/>
    <w:next w:val="1"/>
    <w:qFormat/>
    <w:uiPriority w:val="0"/>
    <w:pPr>
      <w:spacing w:before="240" w:after="60"/>
      <w:jc w:val="center"/>
      <w:outlineLvl w:val="0"/>
    </w:pPr>
    <w:rPr>
      <w:rFonts w:ascii="Cambria" w:hAnsi="Cambria"/>
      <w:b/>
      <w:sz w:val="32"/>
    </w:rPr>
  </w:style>
  <w:style w:type="paragraph" w:styleId="46">
    <w:name w:val="annotation subject"/>
    <w:basedOn w:val="17"/>
    <w:next w:val="1"/>
    <w:link w:val="77"/>
    <w:qFormat/>
    <w:uiPriority w:val="0"/>
    <w:rPr>
      <w:b/>
      <w:bCs/>
    </w:rPr>
  </w:style>
  <w:style w:type="paragraph" w:styleId="47">
    <w:name w:val="Body Text First Indent 2"/>
    <w:basedOn w:val="22"/>
    <w:next w:val="1"/>
    <w:qFormat/>
    <w:uiPriority w:val="0"/>
    <w:pPr>
      <w:widowControl/>
      <w:spacing w:afterLines="100" w:line="360" w:lineRule="auto"/>
      <w:ind w:left="200" w:firstLine="210" w:firstLineChars="200"/>
      <w:jc w:val="left"/>
    </w:pPr>
    <w:rPr>
      <w:kern w:val="28"/>
      <w:sz w:val="24"/>
      <w:lang w:val="zh-CN"/>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0"/>
    <w:rPr>
      <w:color w:val="5C5C5C"/>
      <w:u w:val="none"/>
    </w:rPr>
  </w:style>
  <w:style w:type="character" w:styleId="54">
    <w:name w:val="Emphasis"/>
    <w:qFormat/>
    <w:uiPriority w:val="0"/>
    <w:rPr>
      <w:rFonts w:ascii="Times New Roman" w:hAnsi="Times New Roman" w:eastAsia="宋体"/>
    </w:rPr>
  </w:style>
  <w:style w:type="character" w:styleId="55">
    <w:name w:val="HTML Definition"/>
    <w:qFormat/>
    <w:uiPriority w:val="0"/>
    <w:rPr>
      <w:rFonts w:ascii="Times New Roman" w:hAnsi="Times New Roman" w:eastAsia="宋体"/>
    </w:rPr>
  </w:style>
  <w:style w:type="character" w:styleId="56">
    <w:name w:val="HTML Acronym"/>
    <w:basedOn w:val="50"/>
    <w:qFormat/>
    <w:uiPriority w:val="0"/>
  </w:style>
  <w:style w:type="character" w:styleId="57">
    <w:name w:val="HTML Variable"/>
    <w:qFormat/>
    <w:uiPriority w:val="0"/>
    <w:rPr>
      <w:rFonts w:ascii="Times New Roman" w:hAnsi="Times New Roman" w:eastAsia="宋体"/>
    </w:rPr>
  </w:style>
  <w:style w:type="character" w:styleId="58">
    <w:name w:val="Hyperlink"/>
    <w:qFormat/>
    <w:uiPriority w:val="0"/>
    <w:rPr>
      <w:color w:val="136EC2"/>
      <w:u w:val="single"/>
    </w:rPr>
  </w:style>
  <w:style w:type="character" w:styleId="59">
    <w:name w:val="HTML Code"/>
    <w:qFormat/>
    <w:uiPriority w:val="0"/>
    <w:rPr>
      <w:rFonts w:ascii="Courier New" w:hAnsi="Courier New" w:eastAsia="Courier New" w:cs="Courier New"/>
      <w:sz w:val="20"/>
    </w:rPr>
  </w:style>
  <w:style w:type="character" w:styleId="60">
    <w:name w:val="annotation reference"/>
    <w:qFormat/>
    <w:uiPriority w:val="0"/>
    <w:rPr>
      <w:sz w:val="21"/>
      <w:szCs w:val="21"/>
    </w:rPr>
  </w:style>
  <w:style w:type="character" w:styleId="61">
    <w:name w:val="HTML Cite"/>
    <w:qFormat/>
    <w:uiPriority w:val="0"/>
    <w:rPr>
      <w:rFonts w:ascii="Times New Roman" w:hAnsi="Times New Roman" w:eastAsia="宋体"/>
    </w:rPr>
  </w:style>
  <w:style w:type="character" w:styleId="62">
    <w:name w:val="HTML Keyboard"/>
    <w:qFormat/>
    <w:uiPriority w:val="0"/>
    <w:rPr>
      <w:rFonts w:ascii="Courier New" w:hAnsi="Courier New" w:eastAsia="Courier New" w:cs="Courier New"/>
      <w:sz w:val="20"/>
    </w:rPr>
  </w:style>
  <w:style w:type="character" w:styleId="63">
    <w:name w:val="HTML Sample"/>
    <w:qFormat/>
    <w:uiPriority w:val="0"/>
    <w:rPr>
      <w:rFonts w:ascii="Courier New" w:hAnsi="Courier New" w:eastAsia="Courier New" w:cs="Courier New"/>
    </w:rPr>
  </w:style>
  <w:style w:type="paragraph" w:customStyle="1" w:styleId="64">
    <w:name w:val="BodyText"/>
    <w:basedOn w:val="1"/>
    <w:next w:val="1"/>
    <w:qFormat/>
    <w:uiPriority w:val="0"/>
    <w:pPr>
      <w:jc w:val="left"/>
      <w:textAlignment w:val="baseline"/>
    </w:pPr>
    <w:rPr>
      <w:rFonts w:ascii="宋体" w:hAnsi="宋体"/>
      <w:szCs w:val="21"/>
    </w:rPr>
  </w:style>
  <w:style w:type="paragraph" w:customStyle="1" w:styleId="65">
    <w:name w:val="正文1"/>
    <w:basedOn w:val="1"/>
    <w:qFormat/>
    <w:uiPriority w:val="0"/>
    <w:pPr>
      <w:spacing w:line="360" w:lineRule="auto"/>
      <w:ind w:firstLine="480" w:firstLineChars="200"/>
    </w:pPr>
    <w:rPr>
      <w:sz w:val="24"/>
    </w:rPr>
  </w:style>
  <w:style w:type="paragraph" w:customStyle="1" w:styleId="6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7">
    <w:name w:val="首行缩进"/>
    <w:basedOn w:val="1"/>
    <w:qFormat/>
    <w:uiPriority w:val="0"/>
    <w:pPr>
      <w:ind w:firstLine="480" w:firstLineChars="200"/>
    </w:pPr>
    <w:rPr>
      <w:lang w:val="zh-CN"/>
    </w:rPr>
  </w:style>
  <w:style w:type="character" w:customStyle="1" w:styleId="68">
    <w:name w:val="标题 1 Char"/>
    <w:qFormat/>
    <w:uiPriority w:val="0"/>
    <w:rPr>
      <w:rFonts w:ascii="Cambria" w:hAnsi="Cambria"/>
      <w:b/>
      <w:bCs/>
      <w:kern w:val="32"/>
      <w:sz w:val="32"/>
      <w:szCs w:val="32"/>
    </w:rPr>
  </w:style>
  <w:style w:type="character" w:customStyle="1" w:styleId="69">
    <w:name w:val="标题 3 Char"/>
    <w:qFormat/>
    <w:uiPriority w:val="0"/>
    <w:rPr>
      <w:b/>
      <w:bCs/>
      <w:sz w:val="24"/>
      <w:szCs w:val="24"/>
    </w:rPr>
  </w:style>
  <w:style w:type="paragraph" w:customStyle="1" w:styleId="70">
    <w:name w:val="样式1"/>
    <w:basedOn w:val="1"/>
    <w:next w:val="1"/>
    <w:qFormat/>
    <w:uiPriority w:val="0"/>
    <w:pPr>
      <w:tabs>
        <w:tab w:val="left" w:pos="360"/>
      </w:tabs>
      <w:adjustRightInd w:val="0"/>
      <w:ind w:left="360" w:hanging="360"/>
      <w:textAlignment w:val="baseline"/>
    </w:pPr>
    <w:rPr>
      <w:rFonts w:ascii="宋体" w:hAnsi="宋体"/>
      <w:kern w:val="0"/>
      <w:szCs w:val="21"/>
    </w:rPr>
  </w:style>
  <w:style w:type="character" w:customStyle="1" w:styleId="71">
    <w:name w:val="批注框文本 Char1"/>
    <w:link w:val="32"/>
    <w:semiHidden/>
    <w:qFormat/>
    <w:locked/>
    <w:uiPriority w:val="0"/>
    <w:rPr>
      <w:rFonts w:ascii="Calibri" w:hAnsi="Calibri" w:eastAsia="宋体"/>
      <w:kern w:val="2"/>
      <w:sz w:val="18"/>
      <w:szCs w:val="18"/>
      <w:lang w:val="en-US" w:eastAsia="zh-CN" w:bidi="ar-SA"/>
    </w:rPr>
  </w:style>
  <w:style w:type="character" w:customStyle="1" w:styleId="72">
    <w:name w:val="bds_more6"/>
    <w:qFormat/>
    <w:uiPriority w:val="0"/>
    <w:rPr>
      <w:rFonts w:hint="eastAsia" w:ascii="宋体" w:hAnsi="宋体" w:eastAsia="宋体" w:cs="宋体"/>
    </w:rPr>
  </w:style>
  <w:style w:type="character" w:customStyle="1" w:styleId="73">
    <w:name w:val="bds_more8"/>
    <w:qFormat/>
    <w:uiPriority w:val="0"/>
    <w:rPr>
      <w:rFonts w:ascii="Times New Roman" w:hAnsi="Times New Roman" w:eastAsia="宋体"/>
    </w:rPr>
  </w:style>
  <w:style w:type="character" w:customStyle="1" w:styleId="74">
    <w:name w:val="Font Style133"/>
    <w:unhideWhenUsed/>
    <w:qFormat/>
    <w:uiPriority w:val="0"/>
    <w:rPr>
      <w:rFonts w:hint="eastAsia" w:ascii="宋体" w:hAnsi="宋体" w:eastAsia="宋体"/>
      <w:spacing w:val="30"/>
      <w:sz w:val="24"/>
    </w:rPr>
  </w:style>
  <w:style w:type="character" w:customStyle="1" w:styleId="75">
    <w:name w:val="日期 Char1"/>
    <w:link w:val="29"/>
    <w:qFormat/>
    <w:uiPriority w:val="0"/>
    <w:rPr>
      <w:rFonts w:eastAsia="宋体"/>
      <w:kern w:val="2"/>
      <w:sz w:val="24"/>
      <w:lang w:val="en-US" w:eastAsia="zh-CN" w:bidi="ar-SA"/>
    </w:rPr>
  </w:style>
  <w:style w:type="character" w:customStyle="1" w:styleId="76">
    <w:name w:val="批注文字 Char Char"/>
    <w:qFormat/>
    <w:uiPriority w:val="0"/>
    <w:rPr>
      <w:kern w:val="2"/>
      <w:sz w:val="21"/>
      <w:szCs w:val="24"/>
      <w:lang w:bidi="ar-SA"/>
    </w:rPr>
  </w:style>
  <w:style w:type="character" w:customStyle="1" w:styleId="77">
    <w:name w:val="批注主题 Char1"/>
    <w:link w:val="46"/>
    <w:qFormat/>
    <w:uiPriority w:val="0"/>
    <w:rPr>
      <w:rFonts w:eastAsia="宋体"/>
      <w:b/>
      <w:bCs/>
      <w:kern w:val="2"/>
      <w:sz w:val="21"/>
      <w:szCs w:val="24"/>
      <w:lang w:val="en-US" w:eastAsia="zh-CN" w:bidi="ar-SA"/>
    </w:rPr>
  </w:style>
  <w:style w:type="character" w:customStyle="1" w:styleId="78">
    <w:name w:val="sidecatalog-dot1"/>
    <w:qFormat/>
    <w:uiPriority w:val="0"/>
    <w:rPr>
      <w:rFonts w:ascii="Times New Roman" w:hAnsi="Times New Roman" w:eastAsia="宋体"/>
    </w:rPr>
  </w:style>
  <w:style w:type="character" w:customStyle="1" w:styleId="79">
    <w:name w:val="Font Style127"/>
    <w:unhideWhenUsed/>
    <w:qFormat/>
    <w:uiPriority w:val="0"/>
    <w:rPr>
      <w:rFonts w:hint="eastAsia" w:ascii="Times New Roman" w:hAnsi="Times New Roman" w:eastAsia="Times New Roman"/>
      <w:sz w:val="20"/>
    </w:rPr>
  </w:style>
  <w:style w:type="character" w:customStyle="1" w:styleId="80">
    <w:name w:val="bds_nopic"/>
    <w:qFormat/>
    <w:uiPriority w:val="0"/>
    <w:rPr>
      <w:rFonts w:ascii="Times New Roman" w:hAnsi="Times New Roman" w:eastAsia="宋体"/>
    </w:rPr>
  </w:style>
  <w:style w:type="character" w:customStyle="1" w:styleId="81">
    <w:name w:val="Font Style94"/>
    <w:unhideWhenUsed/>
    <w:qFormat/>
    <w:uiPriority w:val="0"/>
    <w:rPr>
      <w:rFonts w:hint="eastAsia" w:ascii="Times New Roman" w:hAnsi="Times New Roman" w:eastAsia="Times New Roman"/>
      <w:sz w:val="28"/>
    </w:rPr>
  </w:style>
  <w:style w:type="character" w:customStyle="1" w:styleId="82">
    <w:name w:val="页眉 Char"/>
    <w:qFormat/>
    <w:uiPriority w:val="0"/>
    <w:rPr>
      <w:kern w:val="2"/>
      <w:sz w:val="18"/>
      <w:szCs w:val="18"/>
    </w:rPr>
  </w:style>
  <w:style w:type="character" w:customStyle="1" w:styleId="83">
    <w:name w:val="页脚 Char1"/>
    <w:link w:val="33"/>
    <w:qFormat/>
    <w:uiPriority w:val="0"/>
    <w:rPr>
      <w:rFonts w:eastAsia="宋体"/>
      <w:kern w:val="2"/>
      <w:sz w:val="18"/>
      <w:szCs w:val="18"/>
      <w:lang w:val="en-US" w:eastAsia="zh-CN" w:bidi="ar-SA"/>
    </w:rPr>
  </w:style>
  <w:style w:type="character" w:customStyle="1" w:styleId="84">
    <w:name w:val="纯文本 Char"/>
    <w:link w:val="27"/>
    <w:semiHidden/>
    <w:qFormat/>
    <w:locked/>
    <w:uiPriority w:val="0"/>
    <w:rPr>
      <w:rFonts w:ascii="宋体" w:hAnsi="Courier New" w:eastAsia="宋体" w:cs="Courier New"/>
      <w:kern w:val="2"/>
      <w:sz w:val="21"/>
      <w:szCs w:val="21"/>
      <w:lang w:val="en-US" w:eastAsia="zh-CN" w:bidi="ar-SA"/>
    </w:rPr>
  </w:style>
  <w:style w:type="character" w:customStyle="1" w:styleId="85">
    <w:name w:val="批注文字 Char"/>
    <w:qFormat/>
    <w:uiPriority w:val="0"/>
    <w:rPr>
      <w:kern w:val="2"/>
      <w:sz w:val="21"/>
      <w:szCs w:val="24"/>
    </w:rPr>
  </w:style>
  <w:style w:type="character" w:customStyle="1" w:styleId="86">
    <w:name w:val="Char Char15"/>
    <w:qFormat/>
    <w:uiPriority w:val="0"/>
    <w:rPr>
      <w:b/>
      <w:bCs/>
      <w:sz w:val="24"/>
      <w:szCs w:val="24"/>
    </w:rPr>
  </w:style>
  <w:style w:type="character" w:customStyle="1" w:styleId="87">
    <w:name w:val="p0 Char Char"/>
    <w:qFormat/>
    <w:uiPriority w:val="0"/>
    <w:rPr>
      <w:rFonts w:eastAsia="宋体"/>
      <w:kern w:val="2"/>
      <w:sz w:val="21"/>
      <w:szCs w:val="21"/>
      <w:lang w:val="en-US" w:eastAsia="zh-CN" w:bidi="ar-SA"/>
    </w:rPr>
  </w:style>
  <w:style w:type="character" w:customStyle="1" w:styleId="88">
    <w:name w:val="Font Style115"/>
    <w:unhideWhenUsed/>
    <w:qFormat/>
    <w:uiPriority w:val="0"/>
    <w:rPr>
      <w:rFonts w:hint="eastAsia" w:ascii="Times New Roman" w:hAnsi="Times New Roman" w:eastAsia="Times New Roman"/>
      <w:sz w:val="16"/>
    </w:rPr>
  </w:style>
  <w:style w:type="character" w:customStyle="1" w:styleId="89">
    <w:name w:val="标题 9 Char1"/>
    <w:link w:val="12"/>
    <w:qFormat/>
    <w:uiPriority w:val="0"/>
    <w:rPr>
      <w:rFonts w:ascii="Arial" w:hAnsi="Arial" w:eastAsia="黑体"/>
      <w:sz w:val="21"/>
      <w:szCs w:val="21"/>
      <w:lang w:val="en-US" w:eastAsia="zh-CN" w:bidi="ar-SA"/>
    </w:rPr>
  </w:style>
  <w:style w:type="character" w:customStyle="1" w:styleId="90">
    <w:name w:val="标题 8 Char"/>
    <w:qFormat/>
    <w:uiPriority w:val="0"/>
    <w:rPr>
      <w:rFonts w:ascii="Arial" w:hAnsi="Arial" w:eastAsia="黑体"/>
      <w:sz w:val="24"/>
      <w:szCs w:val="24"/>
    </w:rPr>
  </w:style>
  <w:style w:type="character" w:customStyle="1" w:styleId="91">
    <w:name w:val="标题 6 Char"/>
    <w:qFormat/>
    <w:uiPriority w:val="0"/>
    <w:rPr>
      <w:rFonts w:ascii="Arial" w:hAnsi="Arial" w:eastAsia="黑体"/>
      <w:b/>
      <w:bCs/>
      <w:sz w:val="24"/>
      <w:szCs w:val="24"/>
    </w:rPr>
  </w:style>
  <w:style w:type="character" w:customStyle="1" w:styleId="92">
    <w:name w:val="标题 7 Char"/>
    <w:qFormat/>
    <w:uiPriority w:val="0"/>
    <w:rPr>
      <w:b/>
      <w:bCs/>
      <w:sz w:val="24"/>
      <w:szCs w:val="24"/>
    </w:rPr>
  </w:style>
  <w:style w:type="character" w:customStyle="1" w:styleId="93">
    <w:name w:val="标题 9 Char"/>
    <w:qFormat/>
    <w:uiPriority w:val="0"/>
    <w:rPr>
      <w:rFonts w:ascii="Arial" w:hAnsi="Arial" w:eastAsia="黑体"/>
      <w:sz w:val="21"/>
      <w:szCs w:val="21"/>
    </w:rPr>
  </w:style>
  <w:style w:type="character" w:customStyle="1" w:styleId="94">
    <w:name w:val="sort1"/>
    <w:qFormat/>
    <w:uiPriority w:val="0"/>
    <w:rPr>
      <w:rFonts w:ascii="Times New Roman" w:hAnsi="Times New Roman" w:eastAsia="宋体"/>
    </w:rPr>
  </w:style>
  <w:style w:type="character" w:customStyle="1" w:styleId="95">
    <w:name w:val="标题 6 Char1"/>
    <w:link w:val="10"/>
    <w:qFormat/>
    <w:uiPriority w:val="0"/>
    <w:rPr>
      <w:rFonts w:ascii="Arial" w:hAnsi="Arial" w:eastAsia="黑体"/>
      <w:b/>
      <w:bCs/>
      <w:sz w:val="24"/>
      <w:szCs w:val="24"/>
      <w:lang w:val="en-US" w:eastAsia="zh-CN" w:bidi="ar-SA"/>
    </w:rPr>
  </w:style>
  <w:style w:type="character" w:customStyle="1" w:styleId="96">
    <w:name w:val="Font Style124"/>
    <w:unhideWhenUsed/>
    <w:qFormat/>
    <w:uiPriority w:val="0"/>
    <w:rPr>
      <w:rFonts w:hint="eastAsia" w:ascii="宋体" w:hAnsi="宋体" w:eastAsia="宋体"/>
      <w:spacing w:val="30"/>
      <w:sz w:val="24"/>
    </w:rPr>
  </w:style>
  <w:style w:type="character" w:customStyle="1" w:styleId="97">
    <w:name w:val="bds_more10"/>
    <w:qFormat/>
    <w:uiPriority w:val="0"/>
    <w:rPr>
      <w:rFonts w:ascii="Times New Roman" w:hAnsi="Times New Roman" w:eastAsia="宋体"/>
    </w:rPr>
  </w:style>
  <w:style w:type="character" w:customStyle="1" w:styleId="98">
    <w:name w:val="标题 1 Char1"/>
    <w:link w:val="5"/>
    <w:qFormat/>
    <w:uiPriority w:val="0"/>
    <w:rPr>
      <w:rFonts w:eastAsia="宋体"/>
      <w:b/>
      <w:bCs/>
      <w:kern w:val="2"/>
      <w:sz w:val="24"/>
      <w:lang w:val="en-US" w:eastAsia="zh-CN" w:bidi="ar-SA"/>
    </w:rPr>
  </w:style>
  <w:style w:type="character" w:customStyle="1" w:styleId="99">
    <w:name w:val="Char Char14"/>
    <w:qFormat/>
    <w:uiPriority w:val="0"/>
    <w:rPr>
      <w:rFonts w:ascii="Arial" w:hAnsi="Arial" w:eastAsia="黑体"/>
      <w:b/>
      <w:bCs/>
      <w:sz w:val="28"/>
      <w:szCs w:val="28"/>
      <w:lang w:val="en-US" w:eastAsia="zh-CN" w:bidi="ar-SA"/>
    </w:rPr>
  </w:style>
  <w:style w:type="character" w:customStyle="1" w:styleId="100">
    <w:name w:val="bds_more7"/>
    <w:qFormat/>
    <w:uiPriority w:val="0"/>
    <w:rPr>
      <w:rFonts w:ascii="Times New Roman" w:hAnsi="Times New Roman" w:eastAsia="宋体"/>
    </w:rPr>
  </w:style>
  <w:style w:type="character" w:customStyle="1" w:styleId="101">
    <w:name w:val="l-btn-text"/>
    <w:basedOn w:val="50"/>
    <w:qFormat/>
    <w:uiPriority w:val="0"/>
    <w:rPr>
      <w:sz w:val="18"/>
      <w:szCs w:val="18"/>
      <w:vertAlign w:val="baseline"/>
    </w:rPr>
  </w:style>
  <w:style w:type="character" w:customStyle="1" w:styleId="102">
    <w:name w:val="l-btn-left4"/>
    <w:basedOn w:val="50"/>
    <w:qFormat/>
    <w:uiPriority w:val="0"/>
  </w:style>
  <w:style w:type="character" w:customStyle="1" w:styleId="103">
    <w:name w:val="Font Style105"/>
    <w:unhideWhenUsed/>
    <w:qFormat/>
    <w:uiPriority w:val="0"/>
    <w:rPr>
      <w:rFonts w:hint="eastAsia" w:ascii="Times New Roman" w:hAnsi="Times New Roman" w:eastAsia="Times New Roman"/>
      <w:w w:val="60"/>
      <w:sz w:val="26"/>
    </w:rPr>
  </w:style>
  <w:style w:type="character" w:customStyle="1" w:styleId="104">
    <w:name w:val="标题 Char"/>
    <w:qFormat/>
    <w:uiPriority w:val="0"/>
    <w:rPr>
      <w:rFonts w:ascii="Cambria" w:hAnsi="Cambria"/>
      <w:b/>
      <w:kern w:val="2"/>
      <w:sz w:val="32"/>
      <w:szCs w:val="24"/>
    </w:rPr>
  </w:style>
  <w:style w:type="character" w:customStyle="1" w:styleId="105">
    <w:name w:val="l-btn-icon-right"/>
    <w:basedOn w:val="50"/>
    <w:qFormat/>
    <w:uiPriority w:val="0"/>
  </w:style>
  <w:style w:type="character" w:customStyle="1" w:styleId="106">
    <w:name w:val="Font Style134"/>
    <w:unhideWhenUsed/>
    <w:qFormat/>
    <w:uiPriority w:val="0"/>
    <w:rPr>
      <w:rFonts w:hint="eastAsia" w:ascii="宋体" w:hAnsi="宋体" w:eastAsia="宋体"/>
      <w:spacing w:val="20"/>
      <w:sz w:val="22"/>
    </w:rPr>
  </w:style>
  <w:style w:type="character" w:customStyle="1" w:styleId="107">
    <w:name w:val="p0 Char"/>
    <w:link w:val="108"/>
    <w:qFormat/>
    <w:uiPriority w:val="0"/>
    <w:rPr>
      <w:rFonts w:eastAsia="宋体"/>
      <w:sz w:val="21"/>
      <w:szCs w:val="21"/>
      <w:lang w:val="en-US" w:eastAsia="zh-CN" w:bidi="ar-SA"/>
    </w:rPr>
  </w:style>
  <w:style w:type="paragraph" w:customStyle="1" w:styleId="108">
    <w:name w:val="p0"/>
    <w:basedOn w:val="1"/>
    <w:link w:val="107"/>
    <w:qFormat/>
    <w:uiPriority w:val="0"/>
    <w:pPr>
      <w:widowControl/>
    </w:pPr>
    <w:rPr>
      <w:kern w:val="0"/>
      <w:szCs w:val="21"/>
    </w:rPr>
  </w:style>
  <w:style w:type="character" w:customStyle="1" w:styleId="109">
    <w:name w:val="标题 4 Char1"/>
    <w:link w:val="8"/>
    <w:qFormat/>
    <w:uiPriority w:val="0"/>
    <w:rPr>
      <w:rFonts w:ascii="Arial" w:hAnsi="Arial" w:eastAsia="黑体"/>
      <w:b/>
      <w:bCs/>
      <w:kern w:val="2"/>
      <w:sz w:val="28"/>
      <w:szCs w:val="28"/>
      <w:lang w:val="en-US" w:eastAsia="zh-CN" w:bidi="ar-SA"/>
    </w:rPr>
  </w:style>
  <w:style w:type="character" w:customStyle="1" w:styleId="110">
    <w:name w:val="批注主题 Char"/>
    <w:qFormat/>
    <w:uiPriority w:val="0"/>
    <w:rPr>
      <w:b/>
      <w:bCs/>
      <w:kern w:val="2"/>
      <w:sz w:val="21"/>
      <w:szCs w:val="24"/>
    </w:rPr>
  </w:style>
  <w:style w:type="character" w:customStyle="1" w:styleId="111">
    <w:name w:val="Font Style122"/>
    <w:unhideWhenUsed/>
    <w:qFormat/>
    <w:uiPriority w:val="0"/>
    <w:rPr>
      <w:rFonts w:hint="eastAsia" w:ascii="宋体" w:hAnsi="宋体" w:eastAsia="宋体"/>
      <w:spacing w:val="20"/>
      <w:sz w:val="24"/>
    </w:rPr>
  </w:style>
  <w:style w:type="character" w:customStyle="1" w:styleId="112">
    <w:name w:val="sidecatalog-index1"/>
    <w:qFormat/>
    <w:uiPriority w:val="0"/>
    <w:rPr>
      <w:rFonts w:ascii="Arial" w:hAnsi="Arial" w:eastAsia="宋体" w:cs="Arial"/>
      <w:b/>
      <w:color w:val="999999"/>
      <w:sz w:val="21"/>
      <w:szCs w:val="21"/>
    </w:rPr>
  </w:style>
  <w:style w:type="character" w:customStyle="1" w:styleId="113">
    <w:name w:val="Font Style117"/>
    <w:unhideWhenUsed/>
    <w:qFormat/>
    <w:uiPriority w:val="0"/>
    <w:rPr>
      <w:rFonts w:hint="eastAsia" w:ascii="宋体" w:hAnsi="宋体" w:eastAsia="宋体"/>
      <w:spacing w:val="20"/>
      <w:sz w:val="24"/>
    </w:rPr>
  </w:style>
  <w:style w:type="character" w:customStyle="1" w:styleId="114">
    <w:name w:val="Font Style131"/>
    <w:unhideWhenUsed/>
    <w:qFormat/>
    <w:uiPriority w:val="0"/>
    <w:rPr>
      <w:rFonts w:hint="eastAsia" w:ascii="Times New Roman" w:hAnsi="Times New Roman" w:eastAsia="Times New Roman"/>
      <w:sz w:val="18"/>
    </w:rPr>
  </w:style>
  <w:style w:type="character" w:customStyle="1" w:styleId="115">
    <w:name w:val="Font Style128"/>
    <w:unhideWhenUsed/>
    <w:qFormat/>
    <w:uiPriority w:val="0"/>
    <w:rPr>
      <w:rFonts w:hint="eastAsia" w:ascii="Times New Roman" w:hAnsi="Times New Roman" w:eastAsia="Times New Roman"/>
      <w:sz w:val="16"/>
    </w:rPr>
  </w:style>
  <w:style w:type="character" w:customStyle="1" w:styleId="116">
    <w:name w:val="l-btn-left3"/>
    <w:basedOn w:val="50"/>
    <w:qFormat/>
    <w:uiPriority w:val="0"/>
  </w:style>
  <w:style w:type="character" w:customStyle="1" w:styleId="117">
    <w:name w:val="l-btn-left"/>
    <w:basedOn w:val="50"/>
    <w:qFormat/>
    <w:uiPriority w:val="0"/>
  </w:style>
  <w:style w:type="character" w:customStyle="1" w:styleId="118">
    <w:name w:val="bds_more9"/>
    <w:qFormat/>
    <w:uiPriority w:val="0"/>
    <w:rPr>
      <w:rFonts w:ascii="Times New Roman" w:hAnsi="Times New Roman" w:eastAsia="宋体"/>
    </w:rPr>
  </w:style>
  <w:style w:type="character" w:customStyle="1" w:styleId="119">
    <w:name w:val="标题 5 Char"/>
    <w:qFormat/>
    <w:uiPriority w:val="0"/>
    <w:rPr>
      <w:b/>
      <w:bCs/>
      <w:kern w:val="2"/>
      <w:sz w:val="28"/>
      <w:szCs w:val="28"/>
    </w:rPr>
  </w:style>
  <w:style w:type="character" w:customStyle="1" w:styleId="120">
    <w:name w:val="l-btn-empty"/>
    <w:basedOn w:val="50"/>
    <w:qFormat/>
    <w:uiPriority w:val="0"/>
  </w:style>
  <w:style w:type="character" w:customStyle="1" w:styleId="121">
    <w:name w:val="desc"/>
    <w:qFormat/>
    <w:uiPriority w:val="0"/>
    <w:rPr>
      <w:rFonts w:ascii="Times New Roman" w:hAnsi="Times New Roman" w:eastAsia="宋体"/>
      <w:color w:val="000000"/>
      <w:sz w:val="18"/>
      <w:szCs w:val="18"/>
    </w:rPr>
  </w:style>
  <w:style w:type="character" w:customStyle="1" w:styleId="122">
    <w:name w:val="bds_nopic1"/>
    <w:qFormat/>
    <w:uiPriority w:val="0"/>
    <w:rPr>
      <w:rFonts w:ascii="Times New Roman" w:hAnsi="Times New Roman" w:eastAsia="宋体"/>
    </w:rPr>
  </w:style>
  <w:style w:type="character" w:customStyle="1" w:styleId="123">
    <w:name w:val="标题 Char1"/>
    <w:qFormat/>
    <w:uiPriority w:val="0"/>
    <w:rPr>
      <w:rFonts w:ascii="Cambria" w:hAnsi="Cambria" w:eastAsia="宋体" w:cs="Times New Roman"/>
      <w:b/>
      <w:bCs/>
      <w:sz w:val="32"/>
      <w:szCs w:val="32"/>
    </w:rPr>
  </w:style>
  <w:style w:type="character" w:customStyle="1" w:styleId="124">
    <w:name w:val="正文文本缩进 3 Char"/>
    <w:qFormat/>
    <w:uiPriority w:val="0"/>
    <w:rPr>
      <w:rFonts w:ascii="宋体" w:hAnsi="MS Sans Serif"/>
      <w:color w:val="000000"/>
      <w:sz w:val="24"/>
    </w:rPr>
  </w:style>
  <w:style w:type="character" w:customStyle="1" w:styleId="125">
    <w:name w:val="l-btn-left5"/>
    <w:basedOn w:val="50"/>
    <w:qFormat/>
    <w:uiPriority w:val="0"/>
  </w:style>
  <w:style w:type="character" w:customStyle="1" w:styleId="126">
    <w:name w:val="标题 2 Char"/>
    <w:qFormat/>
    <w:uiPriority w:val="0"/>
    <w:rPr>
      <w:rFonts w:ascii="Cambria" w:hAnsi="Cambria" w:eastAsia="宋体" w:cs="Times New Roman"/>
      <w:b/>
      <w:bCs/>
      <w:kern w:val="2"/>
      <w:sz w:val="32"/>
      <w:szCs w:val="32"/>
    </w:rPr>
  </w:style>
  <w:style w:type="character" w:customStyle="1" w:styleId="127">
    <w:name w:val="标题 8 Char1"/>
    <w:link w:val="11"/>
    <w:qFormat/>
    <w:uiPriority w:val="0"/>
    <w:rPr>
      <w:rFonts w:ascii="Arial" w:hAnsi="Arial" w:eastAsia="黑体"/>
      <w:sz w:val="24"/>
      <w:szCs w:val="24"/>
      <w:lang w:val="en-US" w:eastAsia="zh-CN" w:bidi="ar-SA"/>
    </w:rPr>
  </w:style>
  <w:style w:type="character" w:customStyle="1" w:styleId="128">
    <w:name w:val="Font Style121"/>
    <w:unhideWhenUsed/>
    <w:qFormat/>
    <w:uiPriority w:val="0"/>
    <w:rPr>
      <w:rFonts w:hint="eastAsia" w:ascii="宋体" w:hAnsi="宋体" w:eastAsia="宋体"/>
      <w:spacing w:val="-10"/>
      <w:sz w:val="30"/>
    </w:rPr>
  </w:style>
  <w:style w:type="character" w:customStyle="1" w:styleId="129">
    <w:name w:val="日期 Char"/>
    <w:qFormat/>
    <w:uiPriority w:val="0"/>
    <w:rPr>
      <w:kern w:val="2"/>
      <w:sz w:val="21"/>
      <w:szCs w:val="24"/>
    </w:rPr>
  </w:style>
  <w:style w:type="character" w:customStyle="1" w:styleId="130">
    <w:name w:val="Font Style90"/>
    <w:unhideWhenUsed/>
    <w:qFormat/>
    <w:uiPriority w:val="0"/>
    <w:rPr>
      <w:rFonts w:hint="eastAsia" w:ascii="宋体" w:hAnsi="宋体" w:eastAsia="宋体"/>
      <w:b/>
      <w:spacing w:val="-20"/>
      <w:sz w:val="40"/>
    </w:rPr>
  </w:style>
  <w:style w:type="character" w:customStyle="1" w:styleId="131">
    <w:name w:val="l-btn-icon-left"/>
    <w:basedOn w:val="50"/>
    <w:qFormat/>
    <w:uiPriority w:val="0"/>
  </w:style>
  <w:style w:type="character" w:customStyle="1" w:styleId="132">
    <w:name w:val="polysemyexp"/>
    <w:qFormat/>
    <w:uiPriority w:val="0"/>
    <w:rPr>
      <w:rFonts w:ascii="Times New Roman" w:hAnsi="Times New Roman" w:eastAsia="宋体"/>
      <w:color w:val="AAAAAA"/>
      <w:sz w:val="18"/>
      <w:szCs w:val="18"/>
    </w:rPr>
  </w:style>
  <w:style w:type="character" w:customStyle="1" w:styleId="133">
    <w:name w:val="sidecatalog-dot"/>
    <w:qFormat/>
    <w:uiPriority w:val="0"/>
    <w:rPr>
      <w:rFonts w:ascii="Times New Roman" w:hAnsi="Times New Roman" w:eastAsia="宋体"/>
    </w:rPr>
  </w:style>
  <w:style w:type="character" w:customStyle="1" w:styleId="134">
    <w:name w:val="Font Style125"/>
    <w:unhideWhenUsed/>
    <w:qFormat/>
    <w:uiPriority w:val="0"/>
    <w:rPr>
      <w:rFonts w:hint="eastAsia" w:ascii="宋体" w:hAnsi="宋体" w:eastAsia="宋体"/>
      <w:b/>
      <w:sz w:val="26"/>
    </w:rPr>
  </w:style>
  <w:style w:type="character" w:customStyle="1" w:styleId="135">
    <w:name w:val="Font Style126"/>
    <w:unhideWhenUsed/>
    <w:qFormat/>
    <w:uiPriority w:val="0"/>
    <w:rPr>
      <w:rFonts w:hint="eastAsia" w:ascii="宋体" w:hAnsi="宋体" w:eastAsia="宋体"/>
      <w:b/>
      <w:spacing w:val="-30"/>
      <w:sz w:val="28"/>
    </w:rPr>
  </w:style>
  <w:style w:type="character" w:customStyle="1" w:styleId="136">
    <w:name w:val="Char Char17"/>
    <w:qFormat/>
    <w:uiPriority w:val="0"/>
    <w:rPr>
      <w:rFonts w:ascii="宋体" w:hAnsi="Times New Roman" w:eastAsia="宋体"/>
      <w:b/>
      <w:sz w:val="28"/>
      <w:lang w:val="en-US" w:eastAsia="zh-CN" w:bidi="ar-SA"/>
    </w:rPr>
  </w:style>
  <w:style w:type="character" w:customStyle="1" w:styleId="137">
    <w:name w:val="纯文本 Char2"/>
    <w:qFormat/>
    <w:uiPriority w:val="0"/>
    <w:rPr>
      <w:rFonts w:ascii="宋体" w:hAnsi="Courier New" w:eastAsia="宋体"/>
      <w:kern w:val="2"/>
      <w:sz w:val="21"/>
      <w:szCs w:val="21"/>
      <w:lang w:val="en-US" w:eastAsia="zh-CN" w:bidi="ar-SA"/>
    </w:rPr>
  </w:style>
  <w:style w:type="character" w:customStyle="1" w:styleId="138">
    <w:name w:val="Char Char6"/>
    <w:qFormat/>
    <w:uiPriority w:val="0"/>
    <w:rPr>
      <w:rFonts w:ascii="Arial" w:hAnsi="Arial" w:eastAsia="黑体"/>
      <w:sz w:val="24"/>
      <w:szCs w:val="24"/>
      <w:lang w:val="en-US" w:eastAsia="zh-CN" w:bidi="ar-SA"/>
    </w:rPr>
  </w:style>
  <w:style w:type="character" w:customStyle="1" w:styleId="139">
    <w:name w:val="plus"/>
    <w:qFormat/>
    <w:uiPriority w:val="0"/>
    <w:rPr>
      <w:rFonts w:ascii="Times New Roman" w:hAnsi="Times New Roman" w:eastAsia="宋体"/>
      <w:b/>
      <w:vanish/>
      <w:color w:val="1F8DEF"/>
      <w:sz w:val="24"/>
      <w:szCs w:val="24"/>
    </w:rPr>
  </w:style>
  <w:style w:type="character" w:customStyle="1" w:styleId="140">
    <w:name w:val="标题 4 Char Char"/>
    <w:qFormat/>
    <w:uiPriority w:val="0"/>
    <w:rPr>
      <w:rFonts w:ascii="Arial" w:hAnsi="Arial" w:eastAsia="宋体"/>
      <w:b/>
      <w:bCs/>
      <w:kern w:val="2"/>
      <w:sz w:val="21"/>
      <w:szCs w:val="28"/>
      <w:lang w:val="en-US" w:eastAsia="zh-CN" w:bidi="ar-SA"/>
    </w:rPr>
  </w:style>
  <w:style w:type="character" w:customStyle="1" w:styleId="141">
    <w:name w:val="标题 7 Char1"/>
    <w:link w:val="4"/>
    <w:qFormat/>
    <w:uiPriority w:val="0"/>
    <w:rPr>
      <w:rFonts w:eastAsia="宋体"/>
      <w:b/>
      <w:bCs/>
      <w:sz w:val="24"/>
      <w:szCs w:val="24"/>
      <w:lang w:val="en-US" w:eastAsia="zh-CN" w:bidi="ar-SA"/>
    </w:rPr>
  </w:style>
  <w:style w:type="character" w:customStyle="1" w:styleId="142">
    <w:name w:val="正文文本缩进 Char"/>
    <w:link w:val="22"/>
    <w:qFormat/>
    <w:uiPriority w:val="0"/>
    <w:rPr>
      <w:rFonts w:eastAsia="宋体"/>
      <w:kern w:val="2"/>
      <w:sz w:val="21"/>
      <w:szCs w:val="24"/>
      <w:lang w:val="en-US" w:eastAsia="zh-CN" w:bidi="ar-SA"/>
    </w:rPr>
  </w:style>
  <w:style w:type="character" w:customStyle="1" w:styleId="143">
    <w:name w:val="标题 2 Char1"/>
    <w:link w:val="6"/>
    <w:qFormat/>
    <w:uiPriority w:val="0"/>
    <w:rPr>
      <w:rFonts w:ascii="Arial" w:hAnsi="Arial" w:eastAsia="宋体"/>
      <w:b/>
      <w:bCs/>
      <w:kern w:val="2"/>
      <w:sz w:val="24"/>
      <w:szCs w:val="32"/>
      <w:lang w:val="en-US" w:eastAsia="zh-CN" w:bidi="ar-SA"/>
    </w:rPr>
  </w:style>
  <w:style w:type="character" w:customStyle="1" w:styleId="144">
    <w:name w:val="Font Style119"/>
    <w:unhideWhenUsed/>
    <w:qFormat/>
    <w:uiPriority w:val="0"/>
    <w:rPr>
      <w:rFonts w:hint="eastAsia" w:ascii="宋体" w:hAnsi="宋体" w:eastAsia="宋体"/>
      <w:sz w:val="24"/>
    </w:rPr>
  </w:style>
  <w:style w:type="character" w:customStyle="1" w:styleId="145">
    <w:name w:val="Font Style104"/>
    <w:unhideWhenUsed/>
    <w:qFormat/>
    <w:uiPriority w:val="0"/>
    <w:rPr>
      <w:rFonts w:hint="eastAsia" w:ascii="宋体" w:hAnsi="宋体" w:eastAsia="宋体"/>
      <w:spacing w:val="30"/>
      <w:sz w:val="18"/>
    </w:rPr>
  </w:style>
  <w:style w:type="character" w:customStyle="1" w:styleId="146">
    <w:name w:val="页脚 Char"/>
    <w:qFormat/>
    <w:uiPriority w:val="0"/>
    <w:rPr>
      <w:kern w:val="2"/>
      <w:sz w:val="18"/>
      <w:szCs w:val="18"/>
    </w:rPr>
  </w:style>
  <w:style w:type="character" w:customStyle="1" w:styleId="147">
    <w:name w:val="正文文本缩进 3 Char1"/>
    <w:link w:val="38"/>
    <w:qFormat/>
    <w:uiPriority w:val="0"/>
    <w:rPr>
      <w:rFonts w:eastAsia="宋体"/>
      <w:kern w:val="2"/>
      <w:sz w:val="16"/>
      <w:szCs w:val="16"/>
      <w:lang w:val="en-US" w:eastAsia="zh-CN" w:bidi="ar-SA"/>
    </w:rPr>
  </w:style>
  <w:style w:type="character" w:customStyle="1" w:styleId="148">
    <w:name w:val="样式2 Char Char"/>
    <w:qFormat/>
    <w:uiPriority w:val="0"/>
    <w:rPr>
      <w:rFonts w:eastAsia="宋体"/>
      <w:kern w:val="2"/>
      <w:sz w:val="18"/>
      <w:szCs w:val="18"/>
      <w:lang w:val="en-US" w:eastAsia="zh-CN" w:bidi="ar-SA"/>
    </w:rPr>
  </w:style>
  <w:style w:type="character" w:customStyle="1" w:styleId="149">
    <w:name w:val="标题 3 Char1"/>
    <w:link w:val="7"/>
    <w:qFormat/>
    <w:uiPriority w:val="0"/>
    <w:rPr>
      <w:rFonts w:eastAsia="宋体"/>
      <w:b/>
      <w:bCs/>
      <w:kern w:val="2"/>
      <w:sz w:val="32"/>
      <w:szCs w:val="32"/>
      <w:lang w:val="en-US" w:eastAsia="zh-CN" w:bidi="ar-SA"/>
    </w:rPr>
  </w:style>
  <w:style w:type="character" w:customStyle="1" w:styleId="150">
    <w:name w:val="polysemyred"/>
    <w:qFormat/>
    <w:uiPriority w:val="0"/>
    <w:rPr>
      <w:rFonts w:ascii="Times New Roman" w:hAnsi="Times New Roman" w:eastAsia="宋体"/>
      <w:color w:val="FF6666"/>
      <w:sz w:val="18"/>
      <w:szCs w:val="18"/>
    </w:rPr>
  </w:style>
  <w:style w:type="character" w:customStyle="1" w:styleId="151">
    <w:name w:val="Font Style86"/>
    <w:unhideWhenUsed/>
    <w:qFormat/>
    <w:uiPriority w:val="0"/>
    <w:rPr>
      <w:rFonts w:hint="eastAsia" w:ascii="黑体" w:hAnsi="黑体" w:eastAsia="黑体"/>
      <w:spacing w:val="10"/>
      <w:sz w:val="30"/>
    </w:rPr>
  </w:style>
  <w:style w:type="character" w:customStyle="1" w:styleId="152">
    <w:name w:val="l-btn-left2"/>
    <w:basedOn w:val="50"/>
    <w:qFormat/>
    <w:uiPriority w:val="0"/>
  </w:style>
  <w:style w:type="character" w:customStyle="1" w:styleId="153">
    <w:name w:val="content_1"/>
    <w:basedOn w:val="50"/>
    <w:qFormat/>
    <w:uiPriority w:val="0"/>
    <w:rPr>
      <w:sz w:val="19"/>
      <w:szCs w:val="19"/>
    </w:rPr>
  </w:style>
  <w:style w:type="character" w:customStyle="1" w:styleId="154">
    <w:name w:val="bds_nopic2"/>
    <w:qFormat/>
    <w:uiPriority w:val="0"/>
    <w:rPr>
      <w:rFonts w:ascii="Times New Roman" w:hAnsi="Times New Roman" w:eastAsia="宋体"/>
    </w:rPr>
  </w:style>
  <w:style w:type="character" w:customStyle="1" w:styleId="155">
    <w:name w:val="l-btn-left1"/>
    <w:basedOn w:val="50"/>
    <w:qFormat/>
    <w:uiPriority w:val="0"/>
  </w:style>
  <w:style w:type="character" w:customStyle="1" w:styleId="156">
    <w:name w:val="标题 4 Char"/>
    <w:qFormat/>
    <w:uiPriority w:val="0"/>
    <w:rPr>
      <w:rFonts w:ascii="Arial" w:hAnsi="Arial" w:eastAsia="宋体" w:cs="Times New Roman"/>
      <w:b/>
      <w:bCs/>
      <w:szCs w:val="28"/>
    </w:rPr>
  </w:style>
  <w:style w:type="character" w:customStyle="1" w:styleId="157">
    <w:name w:val="页眉 Char1"/>
    <w:link w:val="34"/>
    <w:qFormat/>
    <w:uiPriority w:val="0"/>
    <w:rPr>
      <w:rFonts w:eastAsia="宋体"/>
      <w:kern w:val="2"/>
      <w:sz w:val="18"/>
      <w:szCs w:val="18"/>
      <w:lang w:val="en-US" w:eastAsia="zh-CN" w:bidi="ar-SA"/>
    </w:rPr>
  </w:style>
  <w:style w:type="character" w:customStyle="1" w:styleId="158">
    <w:name w:val="Char Char16"/>
    <w:qFormat/>
    <w:uiPriority w:val="0"/>
    <w:rPr>
      <w:rFonts w:ascii="宋体" w:hAnsi="Times New Roman" w:eastAsia="宋体"/>
      <w:b/>
      <w:sz w:val="24"/>
      <w:lang w:val="en-US" w:eastAsia="zh-CN" w:bidi="ar-SA"/>
    </w:rPr>
  </w:style>
  <w:style w:type="character" w:customStyle="1" w:styleId="159">
    <w:name w:val="Font Style116"/>
    <w:unhideWhenUsed/>
    <w:qFormat/>
    <w:uiPriority w:val="0"/>
    <w:rPr>
      <w:rFonts w:hint="eastAsia" w:ascii="宋体" w:hAnsi="宋体" w:eastAsia="宋体"/>
      <w:spacing w:val="-20"/>
      <w:sz w:val="24"/>
    </w:rPr>
  </w:style>
  <w:style w:type="character" w:customStyle="1" w:styleId="160">
    <w:name w:val="sidecatalog-index2"/>
    <w:qFormat/>
    <w:uiPriority w:val="0"/>
    <w:rPr>
      <w:rFonts w:ascii="Arail" w:hAnsi="Arail" w:eastAsia="Arail" w:cs="Arail"/>
      <w:color w:val="999999"/>
      <w:sz w:val="21"/>
      <w:szCs w:val="21"/>
    </w:rPr>
  </w:style>
  <w:style w:type="character" w:customStyle="1" w:styleId="161">
    <w:name w:val="Font Style123"/>
    <w:unhideWhenUsed/>
    <w:qFormat/>
    <w:uiPriority w:val="0"/>
    <w:rPr>
      <w:rFonts w:hint="eastAsia" w:ascii="宋体" w:hAnsi="宋体" w:eastAsia="宋体"/>
      <w:b/>
      <w:sz w:val="32"/>
    </w:rPr>
  </w:style>
  <w:style w:type="character" w:customStyle="1" w:styleId="162">
    <w:name w:val="sort"/>
    <w:qFormat/>
    <w:uiPriority w:val="0"/>
    <w:rPr>
      <w:rFonts w:ascii="Times New Roman" w:hAnsi="Times New Roman" w:eastAsia="宋体"/>
      <w:color w:val="FFFFFF"/>
      <w:bdr w:val="single" w:color="auto" w:sz="24" w:space="0"/>
    </w:rPr>
  </w:style>
  <w:style w:type="character" w:customStyle="1" w:styleId="163">
    <w:name w:val="批注框文本 Char"/>
    <w:qFormat/>
    <w:uiPriority w:val="0"/>
    <w:rPr>
      <w:kern w:val="2"/>
      <w:sz w:val="18"/>
      <w:szCs w:val="18"/>
    </w:rPr>
  </w:style>
  <w:style w:type="character" w:customStyle="1" w:styleId="164">
    <w:name w:val="lemmatitleh12"/>
    <w:qFormat/>
    <w:uiPriority w:val="0"/>
    <w:rPr>
      <w:rFonts w:ascii="Times New Roman" w:hAnsi="Times New Roman" w:eastAsia="宋体"/>
    </w:rPr>
  </w:style>
  <w:style w:type="character" w:customStyle="1" w:styleId="165">
    <w:name w:val="morelink-item"/>
    <w:qFormat/>
    <w:uiPriority w:val="0"/>
    <w:rPr>
      <w:rFonts w:ascii="Times New Roman" w:hAnsi="Times New Roman" w:eastAsia="宋体"/>
    </w:rPr>
  </w:style>
  <w:style w:type="character" w:customStyle="1" w:styleId="166">
    <w:name w:val="批注文字 Char1"/>
    <w:link w:val="17"/>
    <w:qFormat/>
    <w:uiPriority w:val="0"/>
    <w:rPr>
      <w:rFonts w:eastAsia="宋体"/>
      <w:kern w:val="2"/>
      <w:sz w:val="21"/>
      <w:szCs w:val="24"/>
      <w:lang w:val="en-US" w:eastAsia="zh-CN" w:bidi="ar-SA"/>
    </w:rPr>
  </w:style>
  <w:style w:type="character" w:customStyle="1" w:styleId="167">
    <w:name w:val="标题 5 Char1"/>
    <w:link w:val="9"/>
    <w:qFormat/>
    <w:uiPriority w:val="0"/>
    <w:rPr>
      <w:rFonts w:eastAsia="宋体"/>
      <w:b/>
      <w:bCs/>
      <w:sz w:val="28"/>
      <w:szCs w:val="28"/>
      <w:lang w:val="en-US" w:eastAsia="zh-CN" w:bidi="ar-SA"/>
    </w:rPr>
  </w:style>
  <w:style w:type="paragraph" w:customStyle="1" w:styleId="168">
    <w:name w:val="Char Char Char"/>
    <w:basedOn w:val="1"/>
    <w:qFormat/>
    <w:uiPriority w:val="0"/>
    <w:rPr>
      <w:rFonts w:ascii="宋体" w:hAnsi="宋体"/>
      <w:b/>
      <w:sz w:val="28"/>
      <w:szCs w:val="28"/>
    </w:rPr>
  </w:style>
  <w:style w:type="paragraph" w:customStyle="1" w:styleId="169">
    <w:name w:val="Style61"/>
    <w:basedOn w:val="1"/>
    <w:unhideWhenUsed/>
    <w:qFormat/>
    <w:uiPriority w:val="0"/>
  </w:style>
  <w:style w:type="paragraph" w:customStyle="1" w:styleId="170">
    <w:name w:val="Char Char1 Char Char Char Char Char1 Char Char Char Char"/>
    <w:basedOn w:val="16"/>
    <w:qFormat/>
    <w:uiPriority w:val="0"/>
    <w:rPr>
      <w:rFonts w:ascii="Tahoma" w:hAnsi="Tahoma"/>
    </w:rPr>
  </w:style>
  <w:style w:type="paragraph" w:customStyle="1" w:styleId="17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Style24"/>
    <w:basedOn w:val="1"/>
    <w:unhideWhenUsed/>
    <w:qFormat/>
    <w:uiPriority w:val="0"/>
  </w:style>
  <w:style w:type="paragraph" w:customStyle="1" w:styleId="173">
    <w:name w:val="Style48"/>
    <w:basedOn w:val="1"/>
    <w:unhideWhenUsed/>
    <w:qFormat/>
    <w:uiPriority w:val="0"/>
    <w:pPr>
      <w:spacing w:line="542" w:lineRule="exact"/>
      <w:jc w:val="right"/>
    </w:pPr>
  </w:style>
  <w:style w:type="paragraph" w:customStyle="1" w:styleId="174">
    <w:name w:val="Style81"/>
    <w:basedOn w:val="1"/>
    <w:unhideWhenUsed/>
    <w:qFormat/>
    <w:uiPriority w:val="0"/>
    <w:pPr>
      <w:spacing w:line="547" w:lineRule="exact"/>
    </w:pPr>
  </w:style>
  <w:style w:type="paragraph" w:customStyle="1" w:styleId="175">
    <w:name w:val="Style77"/>
    <w:basedOn w:val="1"/>
    <w:unhideWhenUsed/>
    <w:qFormat/>
    <w:uiPriority w:val="0"/>
  </w:style>
  <w:style w:type="paragraph" w:customStyle="1" w:styleId="176">
    <w:name w:val="Style65"/>
    <w:basedOn w:val="1"/>
    <w:unhideWhenUsed/>
    <w:qFormat/>
    <w:uiPriority w:val="0"/>
  </w:style>
  <w:style w:type="paragraph" w:customStyle="1" w:styleId="177">
    <w:name w:val="Style63"/>
    <w:basedOn w:val="1"/>
    <w:unhideWhenUsed/>
    <w:qFormat/>
    <w:uiPriority w:val="0"/>
    <w:pPr>
      <w:spacing w:line="564" w:lineRule="exact"/>
      <w:ind w:firstLine="682"/>
    </w:pPr>
  </w:style>
  <w:style w:type="paragraph" w:customStyle="1" w:styleId="178">
    <w:name w:val="Style47"/>
    <w:basedOn w:val="1"/>
    <w:unhideWhenUsed/>
    <w:qFormat/>
    <w:uiPriority w:val="0"/>
  </w:style>
  <w:style w:type="paragraph" w:customStyle="1" w:styleId="179">
    <w:name w:val="Char1 Char Char Char Char Char Char Char Char Char"/>
    <w:basedOn w:val="1"/>
    <w:qFormat/>
    <w:uiPriority w:val="0"/>
    <w:rPr>
      <w:szCs w:val="20"/>
    </w:rPr>
  </w:style>
  <w:style w:type="paragraph" w:customStyle="1" w:styleId="180">
    <w:name w:val="Style29"/>
    <w:basedOn w:val="1"/>
    <w:unhideWhenUsed/>
    <w:qFormat/>
    <w:uiPriority w:val="0"/>
    <w:pPr>
      <w:spacing w:line="547" w:lineRule="exact"/>
      <w:ind w:firstLine="547"/>
    </w:pPr>
  </w:style>
  <w:style w:type="paragraph" w:customStyle="1" w:styleId="181">
    <w:name w:val="Style74"/>
    <w:basedOn w:val="1"/>
    <w:unhideWhenUsed/>
    <w:qFormat/>
    <w:uiPriority w:val="0"/>
    <w:pPr>
      <w:spacing w:line="437" w:lineRule="exact"/>
    </w:pPr>
  </w:style>
  <w:style w:type="paragraph" w:customStyle="1" w:styleId="182">
    <w:name w:val="Style59"/>
    <w:basedOn w:val="1"/>
    <w:unhideWhenUsed/>
    <w:qFormat/>
    <w:uiPriority w:val="0"/>
  </w:style>
  <w:style w:type="paragraph" w:customStyle="1" w:styleId="183">
    <w:name w:val="Style58"/>
    <w:basedOn w:val="1"/>
    <w:unhideWhenUsed/>
    <w:qFormat/>
    <w:uiPriority w:val="0"/>
    <w:pPr>
      <w:spacing w:line="413" w:lineRule="exact"/>
    </w:pPr>
  </w:style>
  <w:style w:type="paragraph" w:customStyle="1" w:styleId="184">
    <w:name w:val="Style4"/>
    <w:basedOn w:val="1"/>
    <w:unhideWhenUsed/>
    <w:qFormat/>
    <w:uiPriority w:val="0"/>
  </w:style>
  <w:style w:type="paragraph" w:customStyle="1" w:styleId="185">
    <w:name w:val="Style27"/>
    <w:basedOn w:val="1"/>
    <w:unhideWhenUsed/>
    <w:qFormat/>
    <w:uiPriority w:val="0"/>
  </w:style>
  <w:style w:type="paragraph" w:customStyle="1" w:styleId="186">
    <w:name w:val="Style10"/>
    <w:basedOn w:val="1"/>
    <w:unhideWhenUsed/>
    <w:qFormat/>
    <w:uiPriority w:val="0"/>
    <w:pPr>
      <w:spacing w:line="538" w:lineRule="exact"/>
    </w:pPr>
  </w:style>
  <w:style w:type="paragraph" w:customStyle="1" w:styleId="187">
    <w:name w:val="Style60"/>
    <w:basedOn w:val="1"/>
    <w:unhideWhenUsed/>
    <w:qFormat/>
    <w:uiPriority w:val="0"/>
    <w:pPr>
      <w:spacing w:line="566" w:lineRule="exact"/>
    </w:pPr>
  </w:style>
  <w:style w:type="paragraph" w:customStyle="1" w:styleId="188">
    <w:name w:val="Style42"/>
    <w:basedOn w:val="1"/>
    <w:unhideWhenUsed/>
    <w:qFormat/>
    <w:uiPriority w:val="0"/>
    <w:pPr>
      <w:spacing w:line="542" w:lineRule="exact"/>
      <w:ind w:firstLine="547"/>
    </w:pPr>
  </w:style>
  <w:style w:type="paragraph" w:customStyle="1" w:styleId="189">
    <w:name w:val="Style53"/>
    <w:basedOn w:val="1"/>
    <w:unhideWhenUsed/>
    <w:qFormat/>
    <w:uiPriority w:val="0"/>
    <w:pPr>
      <w:spacing w:line="533" w:lineRule="exact"/>
      <w:ind w:firstLine="581"/>
    </w:pPr>
  </w:style>
  <w:style w:type="paragraph" w:customStyle="1" w:styleId="190">
    <w:name w:val="默认段落字体 Para Char Char Char Char Char Char Char Char Char Char Char Char Char Char Char Char Char Char Char"/>
    <w:basedOn w:val="1"/>
    <w:qFormat/>
    <w:uiPriority w:val="0"/>
  </w:style>
  <w:style w:type="paragraph" w:customStyle="1" w:styleId="191">
    <w:name w:val="_Style 39"/>
    <w:basedOn w:val="192"/>
    <w:qFormat/>
    <w:uiPriority w:val="0"/>
  </w:style>
  <w:style w:type="paragraph" w:customStyle="1" w:styleId="19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Char Char1 Char Char Char Char Char Char Char"/>
    <w:basedOn w:val="1"/>
    <w:qFormat/>
    <w:uiPriority w:val="0"/>
    <w:pPr>
      <w:widowControl/>
      <w:spacing w:after="160" w:line="240" w:lineRule="exact"/>
      <w:jc w:val="left"/>
    </w:pPr>
  </w:style>
  <w:style w:type="paragraph" w:customStyle="1" w:styleId="194">
    <w:name w:val="Style28"/>
    <w:basedOn w:val="1"/>
    <w:unhideWhenUsed/>
    <w:qFormat/>
    <w:uiPriority w:val="0"/>
    <w:pPr>
      <w:spacing w:line="552" w:lineRule="exact"/>
      <w:ind w:firstLine="547"/>
    </w:pPr>
  </w:style>
  <w:style w:type="paragraph" w:customStyle="1" w:styleId="195">
    <w:name w:val="Style68"/>
    <w:basedOn w:val="1"/>
    <w:unhideWhenUsed/>
    <w:qFormat/>
    <w:uiPriority w:val="0"/>
    <w:pPr>
      <w:spacing w:line="547" w:lineRule="exact"/>
    </w:pPr>
  </w:style>
  <w:style w:type="paragraph" w:customStyle="1" w:styleId="196">
    <w:name w:val="Char1 Char Char Char 字元 Char Char 字元 Char 字元 Char1 Char Char Char"/>
    <w:basedOn w:val="1"/>
    <w:qFormat/>
    <w:uiPriority w:val="0"/>
    <w:rPr>
      <w:szCs w:val="20"/>
    </w:rPr>
  </w:style>
  <w:style w:type="paragraph" w:customStyle="1" w:styleId="197">
    <w:name w:val="标题3"/>
    <w:basedOn w:val="5"/>
    <w:qFormat/>
    <w:uiPriority w:val="0"/>
    <w:pPr>
      <w:spacing w:beforeLines="50" w:afterLines="50" w:line="400" w:lineRule="exact"/>
      <w:jc w:val="both"/>
    </w:pPr>
    <w:rPr>
      <w:rFonts w:ascii="宋体" w:hAnsi="宋体"/>
      <w:kern w:val="32"/>
      <w:szCs w:val="32"/>
    </w:rPr>
  </w:style>
  <w:style w:type="paragraph" w:customStyle="1" w:styleId="198">
    <w:name w:val="Style71"/>
    <w:basedOn w:val="1"/>
    <w:unhideWhenUsed/>
    <w:qFormat/>
    <w:uiPriority w:val="0"/>
    <w:pPr>
      <w:spacing w:line="538" w:lineRule="exact"/>
      <w:ind w:firstLine="101"/>
    </w:pPr>
  </w:style>
  <w:style w:type="paragraph" w:customStyle="1" w:styleId="199">
    <w:name w:val="Style54"/>
    <w:basedOn w:val="1"/>
    <w:unhideWhenUsed/>
    <w:qFormat/>
    <w:uiPriority w:val="0"/>
  </w:style>
  <w:style w:type="paragraph" w:customStyle="1" w:styleId="200">
    <w:name w:val="Char"/>
    <w:basedOn w:val="1"/>
    <w:qFormat/>
    <w:uiPriority w:val="0"/>
    <w:pPr>
      <w:tabs>
        <w:tab w:val="left" w:pos="360"/>
      </w:tabs>
      <w:ind w:left="360" w:hanging="360" w:hangingChars="200"/>
    </w:pPr>
    <w:rPr>
      <w:sz w:val="24"/>
    </w:rPr>
  </w:style>
  <w:style w:type="paragraph" w:customStyle="1" w:styleId="2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2">
    <w:name w:val="Style21"/>
    <w:basedOn w:val="1"/>
    <w:unhideWhenUsed/>
    <w:qFormat/>
    <w:uiPriority w:val="0"/>
    <w:pPr>
      <w:spacing w:line="566" w:lineRule="exact"/>
      <w:ind w:firstLine="682"/>
    </w:pPr>
  </w:style>
  <w:style w:type="paragraph" w:customStyle="1" w:styleId="203">
    <w:name w:val="Style78"/>
    <w:basedOn w:val="1"/>
    <w:unhideWhenUsed/>
    <w:qFormat/>
    <w:uiPriority w:val="0"/>
  </w:style>
  <w:style w:type="paragraph" w:customStyle="1" w:styleId="204">
    <w:name w:val="Style8"/>
    <w:basedOn w:val="1"/>
    <w:unhideWhenUsed/>
    <w:qFormat/>
    <w:uiPriority w:val="0"/>
    <w:pPr>
      <w:spacing w:line="566" w:lineRule="exact"/>
      <w:jc w:val="center"/>
    </w:pPr>
  </w:style>
  <w:style w:type="paragraph" w:customStyle="1" w:styleId="205">
    <w:name w:val="Style69"/>
    <w:basedOn w:val="1"/>
    <w:unhideWhenUsed/>
    <w:qFormat/>
    <w:uiPriority w:val="0"/>
    <w:pPr>
      <w:spacing w:line="557" w:lineRule="exact"/>
      <w:ind w:firstLine="1666"/>
    </w:pPr>
  </w:style>
  <w:style w:type="paragraph" w:customStyle="1" w:styleId="206">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07">
    <w:name w:val="Style45"/>
    <w:basedOn w:val="1"/>
    <w:unhideWhenUsed/>
    <w:qFormat/>
    <w:uiPriority w:val="0"/>
  </w:style>
  <w:style w:type="paragraph" w:customStyle="1" w:styleId="208">
    <w:name w:val="Style67"/>
    <w:basedOn w:val="1"/>
    <w:unhideWhenUsed/>
    <w:qFormat/>
    <w:uiPriority w:val="0"/>
    <w:pPr>
      <w:spacing w:line="566" w:lineRule="exact"/>
      <w:ind w:firstLine="552"/>
    </w:pPr>
  </w:style>
  <w:style w:type="paragraph" w:customStyle="1" w:styleId="209">
    <w:name w:val="表格内容"/>
    <w:basedOn w:val="20"/>
    <w:qFormat/>
    <w:uiPriority w:val="0"/>
    <w:pPr>
      <w:suppressLineNumbers/>
      <w:suppressAutoHyphens/>
      <w:jc w:val="left"/>
    </w:pPr>
    <w:rPr>
      <w:rFonts w:cs="Tahoma"/>
      <w:kern w:val="0"/>
      <w:sz w:val="24"/>
    </w:rPr>
  </w:style>
  <w:style w:type="paragraph" w:customStyle="1" w:styleId="21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11">
    <w:name w:val="Style62"/>
    <w:basedOn w:val="1"/>
    <w:unhideWhenUsed/>
    <w:qFormat/>
    <w:uiPriority w:val="0"/>
  </w:style>
  <w:style w:type="paragraph" w:customStyle="1" w:styleId="212">
    <w:name w:val="Style26"/>
    <w:basedOn w:val="1"/>
    <w:unhideWhenUsed/>
    <w:qFormat/>
    <w:uiPriority w:val="0"/>
  </w:style>
  <w:style w:type="paragraph" w:customStyle="1" w:styleId="213">
    <w:name w:val="样式 标题 2 + 宋体 五号 行距: 单倍行距"/>
    <w:basedOn w:val="6"/>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14">
    <w:name w:val="Style5"/>
    <w:basedOn w:val="1"/>
    <w:unhideWhenUsed/>
    <w:qFormat/>
    <w:uiPriority w:val="0"/>
  </w:style>
  <w:style w:type="paragraph" w:customStyle="1" w:styleId="21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16">
    <w:name w:val="Style12"/>
    <w:basedOn w:val="1"/>
    <w:unhideWhenUsed/>
    <w:qFormat/>
    <w:uiPriority w:val="0"/>
    <w:pPr>
      <w:spacing w:line="564" w:lineRule="exact"/>
      <w:ind w:hanging="115"/>
    </w:pPr>
  </w:style>
  <w:style w:type="paragraph" w:customStyle="1" w:styleId="217">
    <w:name w:val="Style36"/>
    <w:basedOn w:val="1"/>
    <w:unhideWhenUsed/>
    <w:qFormat/>
    <w:uiPriority w:val="0"/>
  </w:style>
  <w:style w:type="paragraph" w:customStyle="1" w:styleId="218">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19">
    <w:name w:val="Style76"/>
    <w:basedOn w:val="1"/>
    <w:unhideWhenUsed/>
    <w:qFormat/>
    <w:uiPriority w:val="0"/>
  </w:style>
  <w:style w:type="paragraph" w:customStyle="1" w:styleId="220">
    <w:name w:val="Style34"/>
    <w:basedOn w:val="1"/>
    <w:unhideWhenUsed/>
    <w:qFormat/>
    <w:uiPriority w:val="0"/>
    <w:pPr>
      <w:spacing w:line="375" w:lineRule="exact"/>
    </w:pPr>
  </w:style>
  <w:style w:type="paragraph" w:customStyle="1" w:styleId="221">
    <w:name w:val="标题2"/>
    <w:basedOn w:val="45"/>
    <w:qFormat/>
    <w:uiPriority w:val="0"/>
    <w:pPr>
      <w:spacing w:after="240"/>
      <w:jc w:val="left"/>
    </w:pPr>
    <w:rPr>
      <w:sz w:val="30"/>
    </w:rPr>
  </w:style>
  <w:style w:type="paragraph" w:customStyle="1" w:styleId="222">
    <w:name w:val="Style52"/>
    <w:basedOn w:val="1"/>
    <w:unhideWhenUsed/>
    <w:qFormat/>
    <w:uiPriority w:val="0"/>
    <w:pPr>
      <w:spacing w:line="682" w:lineRule="exact"/>
      <w:ind w:firstLine="557"/>
    </w:pPr>
  </w:style>
  <w:style w:type="paragraph" w:styleId="223">
    <w:name w:val="List Paragraph"/>
    <w:basedOn w:val="1"/>
    <w:qFormat/>
    <w:uiPriority w:val="34"/>
    <w:pPr>
      <w:ind w:firstLine="420" w:firstLineChars="200"/>
    </w:pPr>
    <w:rPr>
      <w:rFonts w:ascii="Calibri" w:hAnsi="Calibri"/>
      <w:szCs w:val="22"/>
    </w:rPr>
  </w:style>
  <w:style w:type="paragraph" w:customStyle="1" w:styleId="224">
    <w:name w:val="Style64"/>
    <w:basedOn w:val="1"/>
    <w:unhideWhenUsed/>
    <w:qFormat/>
    <w:uiPriority w:val="0"/>
  </w:style>
  <w:style w:type="paragraph" w:customStyle="1" w:styleId="225">
    <w:name w:val="Style80"/>
    <w:basedOn w:val="1"/>
    <w:unhideWhenUsed/>
    <w:qFormat/>
    <w:uiPriority w:val="0"/>
  </w:style>
  <w:style w:type="paragraph" w:customStyle="1" w:styleId="226">
    <w:name w:val="Style44"/>
    <w:basedOn w:val="1"/>
    <w:unhideWhenUsed/>
    <w:qFormat/>
    <w:uiPriority w:val="0"/>
  </w:style>
  <w:style w:type="paragraph" w:customStyle="1" w:styleId="227">
    <w:name w:val="Style15"/>
    <w:basedOn w:val="1"/>
    <w:unhideWhenUsed/>
    <w:qFormat/>
    <w:uiPriority w:val="0"/>
    <w:pPr>
      <w:spacing w:line="557" w:lineRule="exact"/>
      <w:ind w:firstLine="672"/>
    </w:pPr>
  </w:style>
  <w:style w:type="paragraph" w:customStyle="1" w:styleId="228">
    <w:name w:val="Style56"/>
    <w:basedOn w:val="1"/>
    <w:unhideWhenUsed/>
    <w:qFormat/>
    <w:uiPriority w:val="0"/>
  </w:style>
  <w:style w:type="paragraph" w:customStyle="1" w:styleId="229">
    <w:name w:val="Style70"/>
    <w:basedOn w:val="1"/>
    <w:unhideWhenUsed/>
    <w:qFormat/>
    <w:uiPriority w:val="0"/>
    <w:pPr>
      <w:spacing w:line="549" w:lineRule="exact"/>
      <w:ind w:firstLine="686"/>
    </w:pPr>
  </w:style>
  <w:style w:type="paragraph" w:customStyle="1" w:styleId="230">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1">
    <w:name w:val="Style46"/>
    <w:basedOn w:val="1"/>
    <w:unhideWhenUsed/>
    <w:qFormat/>
    <w:uiPriority w:val="0"/>
    <w:pPr>
      <w:spacing w:line="672" w:lineRule="exact"/>
    </w:pPr>
  </w:style>
  <w:style w:type="paragraph" w:customStyle="1" w:styleId="23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33">
    <w:name w:val="附录标识"/>
    <w:basedOn w:val="234"/>
    <w:qFormat/>
    <w:uiPriority w:val="0"/>
    <w:pPr>
      <w:tabs>
        <w:tab w:val="left" w:pos="360"/>
        <w:tab w:val="left" w:pos="720"/>
        <w:tab w:val="left" w:pos="6405"/>
      </w:tabs>
      <w:spacing w:after="200"/>
    </w:pPr>
    <w:rPr>
      <w:sz w:val="21"/>
    </w:rPr>
  </w:style>
  <w:style w:type="paragraph" w:customStyle="1" w:styleId="234">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35">
    <w:name w:val="样式 标题 2 + Times New Roman 四号 非加粗 段前: 5 磅 段后: 0 磅 行距: 固定值 20..."/>
    <w:basedOn w:val="6"/>
    <w:qFormat/>
    <w:uiPriority w:val="0"/>
    <w:pPr>
      <w:spacing w:before="100" w:line="400" w:lineRule="exact"/>
    </w:pPr>
    <w:rPr>
      <w:rFonts w:ascii="Times New Roman" w:hAnsi="Times New Roman" w:eastAsia="黑体"/>
      <w:b w:val="0"/>
      <w:bCs w:val="0"/>
      <w:sz w:val="28"/>
      <w:szCs w:val="20"/>
    </w:rPr>
  </w:style>
  <w:style w:type="paragraph" w:customStyle="1" w:styleId="236">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38">
    <w:name w:val="1 Char Char Char Char"/>
    <w:basedOn w:val="1"/>
    <w:qFormat/>
    <w:uiPriority w:val="0"/>
  </w:style>
  <w:style w:type="paragraph" w:customStyle="1" w:styleId="23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Style16"/>
    <w:basedOn w:val="1"/>
    <w:unhideWhenUsed/>
    <w:qFormat/>
    <w:uiPriority w:val="0"/>
    <w:pPr>
      <w:jc w:val="right"/>
    </w:pPr>
  </w:style>
  <w:style w:type="paragraph" w:customStyle="1" w:styleId="242">
    <w:name w:val="Style11"/>
    <w:basedOn w:val="1"/>
    <w:unhideWhenUsed/>
    <w:qFormat/>
    <w:uiPriority w:val="0"/>
    <w:pPr>
      <w:spacing w:line="559" w:lineRule="exact"/>
      <w:ind w:firstLine="590"/>
    </w:pPr>
  </w:style>
  <w:style w:type="paragraph" w:customStyle="1" w:styleId="243">
    <w:name w:val="列出段落2"/>
    <w:basedOn w:val="1"/>
    <w:qFormat/>
    <w:uiPriority w:val="0"/>
    <w:pPr>
      <w:ind w:firstLine="420" w:firstLineChars="200"/>
    </w:pPr>
    <w:rPr>
      <w:rFonts w:ascii="Calibri" w:hAnsi="Calibri" w:cs="Calibri"/>
      <w:szCs w:val="21"/>
    </w:rPr>
  </w:style>
  <w:style w:type="paragraph" w:customStyle="1" w:styleId="244">
    <w:name w:val="Char Char1 Char Char Char"/>
    <w:basedOn w:val="1"/>
    <w:qFormat/>
    <w:uiPriority w:val="0"/>
    <w:rPr>
      <w:kern w:val="0"/>
      <w:sz w:val="20"/>
      <w:szCs w:val="20"/>
    </w:rPr>
  </w:style>
  <w:style w:type="paragraph" w:customStyle="1" w:styleId="245">
    <w:name w:val="Style41"/>
    <w:basedOn w:val="1"/>
    <w:unhideWhenUsed/>
    <w:qFormat/>
    <w:uiPriority w:val="0"/>
    <w:pPr>
      <w:spacing w:line="542" w:lineRule="exact"/>
      <w:ind w:firstLine="125"/>
    </w:pPr>
  </w:style>
  <w:style w:type="paragraph" w:customStyle="1" w:styleId="246">
    <w:name w:val="Style72"/>
    <w:basedOn w:val="1"/>
    <w:unhideWhenUsed/>
    <w:qFormat/>
    <w:uiPriority w:val="0"/>
  </w:style>
  <w:style w:type="paragraph" w:customStyle="1" w:styleId="247">
    <w:name w:val="Style73"/>
    <w:basedOn w:val="1"/>
    <w:unhideWhenUsed/>
    <w:qFormat/>
    <w:uiPriority w:val="0"/>
    <w:pPr>
      <w:spacing w:line="538" w:lineRule="exact"/>
      <w:ind w:firstLine="533"/>
    </w:pPr>
  </w:style>
  <w:style w:type="paragraph" w:customStyle="1" w:styleId="248">
    <w:name w:val="p16"/>
    <w:basedOn w:val="1"/>
    <w:qFormat/>
    <w:uiPriority w:val="0"/>
    <w:pPr>
      <w:widowControl/>
      <w:jc w:val="left"/>
    </w:pPr>
    <w:rPr>
      <w:kern w:val="0"/>
      <w:szCs w:val="21"/>
    </w:rPr>
  </w:style>
  <w:style w:type="paragraph" w:customStyle="1" w:styleId="249">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250">
    <w:name w:val="Char1 Char Char Char"/>
    <w:basedOn w:val="1"/>
    <w:qFormat/>
    <w:uiPriority w:val="0"/>
    <w:pPr>
      <w:widowControl/>
      <w:spacing w:after="160" w:line="240" w:lineRule="exact"/>
      <w:jc w:val="left"/>
    </w:pPr>
    <w:rPr>
      <w:kern w:val="0"/>
      <w:sz w:val="24"/>
      <w:szCs w:val="20"/>
    </w:rPr>
  </w:style>
  <w:style w:type="paragraph" w:customStyle="1" w:styleId="251">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52">
    <w:name w:val="1"/>
    <w:basedOn w:val="1"/>
    <w:qFormat/>
    <w:uiPriority w:val="0"/>
    <w:pPr>
      <w:spacing w:afterLines="50" w:line="360" w:lineRule="auto"/>
    </w:pPr>
    <w:rPr>
      <w:rFonts w:ascii="宋体" w:hAnsi="宋体"/>
      <w:b/>
      <w:sz w:val="30"/>
      <w:szCs w:val="21"/>
    </w:rPr>
  </w:style>
  <w:style w:type="paragraph" w:customStyle="1" w:styleId="253">
    <w:name w:val="Style23"/>
    <w:basedOn w:val="1"/>
    <w:unhideWhenUsed/>
    <w:qFormat/>
    <w:uiPriority w:val="0"/>
  </w:style>
  <w:style w:type="paragraph" w:customStyle="1" w:styleId="254">
    <w:name w:val="修订1"/>
    <w:qFormat/>
    <w:uiPriority w:val="0"/>
    <w:rPr>
      <w:rFonts w:ascii="Times New Roman" w:hAnsi="Times New Roman" w:eastAsia="宋体" w:cs="Times New Roman"/>
      <w:kern w:val="2"/>
      <w:sz w:val="21"/>
      <w:szCs w:val="24"/>
      <w:lang w:val="en-US" w:eastAsia="zh-CN" w:bidi="ar-SA"/>
    </w:rPr>
  </w:style>
  <w:style w:type="paragraph" w:customStyle="1" w:styleId="255">
    <w:name w:val="NO3"/>
    <w:basedOn w:val="1"/>
    <w:qFormat/>
    <w:uiPriority w:val="0"/>
    <w:pPr>
      <w:tabs>
        <w:tab w:val="left" w:pos="907"/>
      </w:tabs>
      <w:spacing w:line="360" w:lineRule="auto"/>
    </w:pPr>
    <w:rPr>
      <w:rFonts w:ascii="宋体" w:hAnsi="宋体"/>
      <w:sz w:val="24"/>
    </w:rPr>
  </w:style>
  <w:style w:type="paragraph" w:customStyle="1" w:styleId="256">
    <w:name w:val="Style9"/>
    <w:basedOn w:val="1"/>
    <w:unhideWhenUsed/>
    <w:qFormat/>
    <w:uiPriority w:val="0"/>
  </w:style>
  <w:style w:type="paragraph" w:customStyle="1" w:styleId="257">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258">
    <w:name w:val="Style13"/>
    <w:basedOn w:val="1"/>
    <w:unhideWhenUsed/>
    <w:qFormat/>
    <w:uiPriority w:val="0"/>
  </w:style>
  <w:style w:type="paragraph" w:customStyle="1" w:styleId="259">
    <w:name w:val="标题 1 +"/>
    <w:basedOn w:val="5"/>
    <w:next w:val="1"/>
    <w:qFormat/>
    <w:uiPriority w:val="0"/>
    <w:pPr>
      <w:keepLines/>
      <w:spacing w:line="600" w:lineRule="auto"/>
    </w:pPr>
    <w:rPr>
      <w:rFonts w:eastAsia="黑体"/>
      <w:kern w:val="0"/>
      <w:sz w:val="32"/>
      <w:szCs w:val="32"/>
    </w:rPr>
  </w:style>
  <w:style w:type="paragraph" w:customStyle="1" w:styleId="260">
    <w:name w:val="Style50"/>
    <w:basedOn w:val="1"/>
    <w:unhideWhenUsed/>
    <w:qFormat/>
    <w:uiPriority w:val="0"/>
  </w:style>
  <w:style w:type="character" w:customStyle="1" w:styleId="261">
    <w:name w:val="font11"/>
    <w:basedOn w:val="50"/>
    <w:qFormat/>
    <w:uiPriority w:val="0"/>
    <w:rPr>
      <w:rFonts w:hint="eastAsia" w:ascii="宋体" w:hAnsi="宋体" w:eastAsia="宋体" w:cs="宋体"/>
      <w:color w:val="000000"/>
      <w:sz w:val="20"/>
      <w:szCs w:val="20"/>
      <w:u w:val="none"/>
    </w:rPr>
  </w:style>
  <w:style w:type="character" w:customStyle="1" w:styleId="262">
    <w:name w:val="font01"/>
    <w:basedOn w:val="50"/>
    <w:qFormat/>
    <w:uiPriority w:val="0"/>
    <w:rPr>
      <w:rFonts w:hint="default" w:ascii="Times New Roman" w:hAnsi="Times New Roman" w:cs="Times New Roman"/>
      <w:color w:val="000000"/>
      <w:sz w:val="20"/>
      <w:szCs w:val="20"/>
      <w:u w:val="none"/>
    </w:rPr>
  </w:style>
  <w:style w:type="paragraph" w:customStyle="1" w:styleId="263">
    <w:name w:val="3级标题"/>
    <w:basedOn w:val="223"/>
    <w:qFormat/>
    <w:uiPriority w:val="0"/>
    <w:pPr>
      <w:keepLines/>
      <w:widowControl/>
      <w:numPr>
        <w:ilvl w:val="2"/>
        <w:numId w:val="1"/>
      </w:numPr>
      <w:tabs>
        <w:tab w:val="left" w:pos="0"/>
      </w:tabs>
      <w:spacing w:before="120" w:after="120" w:line="360" w:lineRule="auto"/>
      <w:ind w:firstLine="0" w:firstLineChars="0"/>
      <w:contextualSpacing/>
      <w:jc w:val="left"/>
      <w:outlineLvl w:val="2"/>
    </w:pPr>
    <w:rPr>
      <w:rFonts w:ascii="黑体" w:hAnsi="黑体" w:eastAsia="黑体"/>
      <w:kern w:val="0"/>
      <w:sz w:val="28"/>
      <w:szCs w:val="36"/>
      <w:lang w:eastAsia="en-US" w:bidi="en-US"/>
    </w:rPr>
  </w:style>
  <w:style w:type="character" w:customStyle="1" w:styleId="264">
    <w:name w:val="font21"/>
    <w:basedOn w:val="50"/>
    <w:qFormat/>
    <w:uiPriority w:val="0"/>
    <w:rPr>
      <w:rFonts w:hint="eastAsia" w:ascii="宋体" w:hAnsi="宋体" w:eastAsia="宋体" w:cs="宋体"/>
      <w:b/>
      <w:color w:val="000000"/>
      <w:sz w:val="20"/>
      <w:szCs w:val="20"/>
      <w:u w:val="none"/>
    </w:rPr>
  </w:style>
  <w:style w:type="character" w:customStyle="1" w:styleId="265">
    <w:name w:val="font31"/>
    <w:basedOn w:val="50"/>
    <w:qFormat/>
    <w:uiPriority w:val="0"/>
    <w:rPr>
      <w:rFonts w:hint="eastAsia" w:ascii="宋体" w:hAnsi="宋体" w:eastAsia="宋体" w:cs="宋体"/>
      <w:color w:val="000000"/>
      <w:sz w:val="20"/>
      <w:szCs w:val="20"/>
      <w:u w:val="none"/>
      <w:vertAlign w:val="superscript"/>
    </w:rPr>
  </w:style>
  <w:style w:type="paragraph" w:customStyle="1" w:styleId="266">
    <w:name w:val="样式 正文缩进 + 首行缩进:  2 字符"/>
    <w:basedOn w:val="14"/>
    <w:qFormat/>
    <w:uiPriority w:val="0"/>
    <w:pPr>
      <w:spacing w:line="360" w:lineRule="auto"/>
      <w:ind w:firstLine="200"/>
    </w:pPr>
    <w:rPr>
      <w:rFonts w:cs="宋体"/>
      <w:sz w:val="24"/>
    </w:rPr>
  </w:style>
  <w:style w:type="paragraph" w:customStyle="1" w:styleId="267">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268">
    <w:name w:val="正文文本 Char"/>
    <w:link w:val="20"/>
    <w:qFormat/>
    <w:uiPriority w:val="0"/>
    <w:rPr>
      <w:kern w:val="2"/>
      <w:sz w:val="21"/>
      <w:szCs w:val="24"/>
    </w:rPr>
  </w:style>
  <w:style w:type="character" w:customStyle="1" w:styleId="269">
    <w:name w:val="nth-of-type(3)"/>
    <w:basedOn w:val="50"/>
    <w:qFormat/>
    <w:uiPriority w:val="0"/>
    <w:rPr>
      <w:color w:val="FFFFFF"/>
    </w:rPr>
  </w:style>
  <w:style w:type="character" w:customStyle="1" w:styleId="270">
    <w:name w:val="nth-of-type(3)1"/>
    <w:basedOn w:val="50"/>
    <w:qFormat/>
    <w:uiPriority w:val="0"/>
  </w:style>
  <w:style w:type="character" w:customStyle="1" w:styleId="271">
    <w:name w:val="nth-of-type(3)2"/>
    <w:basedOn w:val="50"/>
    <w:qFormat/>
    <w:uiPriority w:val="0"/>
    <w:rPr>
      <w:color w:val="EE5959"/>
    </w:rPr>
  </w:style>
  <w:style w:type="character" w:customStyle="1" w:styleId="272">
    <w:name w:val="nth-of-type(3)3"/>
    <w:basedOn w:val="50"/>
    <w:qFormat/>
    <w:uiPriority w:val="0"/>
  </w:style>
  <w:style w:type="character" w:customStyle="1" w:styleId="273">
    <w:name w:val="first-child"/>
    <w:basedOn w:val="50"/>
    <w:qFormat/>
    <w:uiPriority w:val="0"/>
    <w:rPr>
      <w:color w:val="FFA800"/>
    </w:rPr>
  </w:style>
  <w:style w:type="character" w:customStyle="1" w:styleId="274">
    <w:name w:val="first-child1"/>
    <w:basedOn w:val="50"/>
    <w:qFormat/>
    <w:uiPriority w:val="0"/>
    <w:rPr>
      <w:color w:val="FFA800"/>
    </w:rPr>
  </w:style>
  <w:style w:type="character" w:customStyle="1" w:styleId="275">
    <w:name w:val="index-headcontent-0ccba"/>
    <w:basedOn w:val="50"/>
    <w:qFormat/>
    <w:uiPriority w:val="0"/>
    <w:rPr>
      <w:vanish/>
    </w:rPr>
  </w:style>
  <w:style w:type="character" w:customStyle="1" w:styleId="276">
    <w:name w:val="back"/>
    <w:basedOn w:val="50"/>
    <w:qFormat/>
    <w:uiPriority w:val="0"/>
    <w:rPr>
      <w:shd w:val="clear" w:color="auto" w:fill="111111"/>
    </w:rPr>
  </w:style>
  <w:style w:type="character" w:customStyle="1" w:styleId="277">
    <w:name w:val="back1"/>
    <w:basedOn w:val="50"/>
    <w:qFormat/>
    <w:uiPriority w:val="0"/>
    <w:rPr>
      <w:shd w:val="clear" w:color="auto" w:fill="111111"/>
    </w:rPr>
  </w:style>
  <w:style w:type="character" w:customStyle="1" w:styleId="278">
    <w:name w:val="nth-of-type(1)6"/>
    <w:basedOn w:val="50"/>
    <w:qFormat/>
    <w:uiPriority w:val="0"/>
  </w:style>
  <w:style w:type="character" w:customStyle="1" w:styleId="279">
    <w:name w:val="nth-of-type(1)7"/>
    <w:basedOn w:val="50"/>
    <w:qFormat/>
    <w:uiPriority w:val="0"/>
    <w:rPr>
      <w:color w:val="FFFFFF"/>
    </w:rPr>
  </w:style>
  <w:style w:type="character" w:customStyle="1" w:styleId="280">
    <w:name w:val="nth-of-type(1)8"/>
    <w:basedOn w:val="50"/>
    <w:qFormat/>
    <w:uiPriority w:val="0"/>
  </w:style>
  <w:style w:type="character" w:customStyle="1" w:styleId="281">
    <w:name w:val="nth-of-type(1)9"/>
    <w:basedOn w:val="50"/>
    <w:qFormat/>
    <w:uiPriority w:val="0"/>
    <w:rPr>
      <w:b/>
      <w:bCs/>
      <w:color w:val="2B74FB"/>
      <w:sz w:val="19"/>
      <w:szCs w:val="19"/>
    </w:rPr>
  </w:style>
  <w:style w:type="character" w:customStyle="1" w:styleId="282">
    <w:name w:val="nth-of-type(1)10"/>
    <w:basedOn w:val="50"/>
    <w:qFormat/>
    <w:uiPriority w:val="0"/>
  </w:style>
  <w:style w:type="character" w:customStyle="1" w:styleId="283">
    <w:name w:val="nth-of-type(1)11"/>
    <w:basedOn w:val="50"/>
    <w:qFormat/>
    <w:uiPriority w:val="0"/>
    <w:rPr>
      <w:color w:val="0C0C0C"/>
      <w:sz w:val="21"/>
      <w:szCs w:val="21"/>
    </w:rPr>
  </w:style>
  <w:style w:type="character" w:customStyle="1" w:styleId="284">
    <w:name w:val="nth-of-type(1)12"/>
    <w:basedOn w:val="50"/>
    <w:qFormat/>
    <w:uiPriority w:val="0"/>
  </w:style>
  <w:style w:type="character" w:customStyle="1" w:styleId="285">
    <w:name w:val="nth-of-type(1)13"/>
    <w:basedOn w:val="50"/>
    <w:qFormat/>
    <w:uiPriority w:val="0"/>
  </w:style>
  <w:style w:type="character" w:customStyle="1" w:styleId="286">
    <w:name w:val="nth-of-type(1)14"/>
    <w:basedOn w:val="50"/>
    <w:qFormat/>
    <w:uiPriority w:val="0"/>
  </w:style>
  <w:style w:type="character" w:customStyle="1" w:styleId="287">
    <w:name w:val="nth-of-type(1)15"/>
    <w:basedOn w:val="50"/>
    <w:qFormat/>
    <w:uiPriority w:val="0"/>
  </w:style>
  <w:style w:type="character" w:customStyle="1" w:styleId="288">
    <w:name w:val="index-select-0a605"/>
    <w:basedOn w:val="50"/>
    <w:qFormat/>
    <w:uiPriority w:val="0"/>
    <w:rPr>
      <w:color w:val="FFFFFF"/>
      <w:shd w:val="clear" w:color="auto" w:fill="3C88FF"/>
    </w:rPr>
  </w:style>
  <w:style w:type="character" w:customStyle="1" w:styleId="289">
    <w:name w:val="index-select-0a6051"/>
    <w:basedOn w:val="50"/>
    <w:qFormat/>
    <w:uiPriority w:val="0"/>
    <w:rPr>
      <w:color w:val="3088FF"/>
    </w:rPr>
  </w:style>
  <w:style w:type="character" w:customStyle="1" w:styleId="290">
    <w:name w:val="hover58"/>
    <w:basedOn w:val="50"/>
    <w:qFormat/>
    <w:uiPriority w:val="0"/>
    <w:rPr>
      <w:color w:val="1632EF"/>
      <w:u w:val="single"/>
    </w:rPr>
  </w:style>
  <w:style w:type="character" w:customStyle="1" w:styleId="291">
    <w:name w:val="hover59"/>
    <w:basedOn w:val="50"/>
    <w:qFormat/>
    <w:uiPriority w:val="0"/>
  </w:style>
  <w:style w:type="character" w:customStyle="1" w:styleId="292">
    <w:name w:val="hover60"/>
    <w:basedOn w:val="50"/>
    <w:qFormat/>
    <w:uiPriority w:val="0"/>
    <w:rPr>
      <w:u w:val="single"/>
    </w:rPr>
  </w:style>
  <w:style w:type="character" w:customStyle="1" w:styleId="293">
    <w:name w:val="hover61"/>
    <w:basedOn w:val="50"/>
    <w:qFormat/>
    <w:uiPriority w:val="0"/>
    <w:rPr>
      <w:u w:val="single"/>
    </w:rPr>
  </w:style>
  <w:style w:type="character" w:customStyle="1" w:styleId="294">
    <w:name w:val="hover62"/>
    <w:basedOn w:val="50"/>
    <w:qFormat/>
    <w:uiPriority w:val="0"/>
    <w:rPr>
      <w:u w:val="single"/>
    </w:rPr>
  </w:style>
  <w:style w:type="character" w:customStyle="1" w:styleId="295">
    <w:name w:val="hover63"/>
    <w:basedOn w:val="50"/>
    <w:qFormat/>
    <w:uiPriority w:val="0"/>
    <w:rPr>
      <w:shd w:val="clear" w:color="auto" w:fill="F6F6F6"/>
    </w:rPr>
  </w:style>
  <w:style w:type="character" w:customStyle="1" w:styleId="296">
    <w:name w:val="hover64"/>
    <w:basedOn w:val="50"/>
    <w:qFormat/>
    <w:uiPriority w:val="0"/>
    <w:rPr>
      <w:color w:val="1632EF"/>
      <w:u w:val="single"/>
    </w:rPr>
  </w:style>
  <w:style w:type="character" w:customStyle="1" w:styleId="297">
    <w:name w:val="hover65"/>
    <w:basedOn w:val="50"/>
    <w:qFormat/>
    <w:uiPriority w:val="0"/>
    <w:rPr>
      <w:u w:val="single"/>
    </w:rPr>
  </w:style>
  <w:style w:type="character" w:customStyle="1" w:styleId="298">
    <w:name w:val="hover66"/>
    <w:basedOn w:val="50"/>
    <w:qFormat/>
    <w:uiPriority w:val="0"/>
    <w:rPr>
      <w:u w:val="none"/>
    </w:rPr>
  </w:style>
  <w:style w:type="character" w:customStyle="1" w:styleId="299">
    <w:name w:val="hover67"/>
    <w:basedOn w:val="50"/>
    <w:qFormat/>
    <w:uiPriority w:val="0"/>
    <w:rPr>
      <w:u w:val="single"/>
    </w:rPr>
  </w:style>
  <w:style w:type="character" w:customStyle="1" w:styleId="300">
    <w:name w:val="hover68"/>
    <w:basedOn w:val="50"/>
    <w:qFormat/>
    <w:uiPriority w:val="0"/>
    <w:rPr>
      <w:u w:val="none"/>
    </w:rPr>
  </w:style>
  <w:style w:type="character" w:customStyle="1" w:styleId="301">
    <w:name w:val="hover69"/>
    <w:basedOn w:val="50"/>
    <w:qFormat/>
    <w:uiPriority w:val="0"/>
    <w:rPr>
      <w:u w:val="none"/>
    </w:rPr>
  </w:style>
  <w:style w:type="character" w:customStyle="1" w:styleId="302">
    <w:name w:val="hover70"/>
    <w:basedOn w:val="50"/>
    <w:qFormat/>
    <w:uiPriority w:val="0"/>
    <w:rPr>
      <w:color w:val="3D91FF"/>
    </w:rPr>
  </w:style>
  <w:style w:type="character" w:customStyle="1" w:styleId="303">
    <w:name w:val="hover71"/>
    <w:basedOn w:val="50"/>
    <w:qFormat/>
    <w:uiPriority w:val="0"/>
    <w:rPr>
      <w:u w:val="single"/>
    </w:rPr>
  </w:style>
  <w:style w:type="character" w:customStyle="1" w:styleId="304">
    <w:name w:val="hover72"/>
    <w:basedOn w:val="50"/>
    <w:qFormat/>
    <w:uiPriority w:val="0"/>
    <w:rPr>
      <w:u w:val="single"/>
    </w:rPr>
  </w:style>
  <w:style w:type="character" w:customStyle="1" w:styleId="305">
    <w:name w:val="hover73"/>
    <w:basedOn w:val="50"/>
    <w:qFormat/>
    <w:uiPriority w:val="0"/>
    <w:rPr>
      <w:color w:val="3D91FF"/>
    </w:rPr>
  </w:style>
  <w:style w:type="character" w:customStyle="1" w:styleId="306">
    <w:name w:val="hover74"/>
    <w:basedOn w:val="50"/>
    <w:qFormat/>
    <w:uiPriority w:val="0"/>
    <w:rPr>
      <w:u w:val="single"/>
    </w:rPr>
  </w:style>
  <w:style w:type="character" w:customStyle="1" w:styleId="307">
    <w:name w:val="hover75"/>
    <w:basedOn w:val="50"/>
    <w:qFormat/>
    <w:uiPriority w:val="0"/>
    <w:rPr>
      <w:color w:val="3C88FF"/>
    </w:rPr>
  </w:style>
  <w:style w:type="character" w:customStyle="1" w:styleId="308">
    <w:name w:val="hover76"/>
    <w:basedOn w:val="50"/>
    <w:qFormat/>
    <w:uiPriority w:val="0"/>
    <w:rPr>
      <w:color w:val="3C88FF"/>
    </w:rPr>
  </w:style>
  <w:style w:type="character" w:customStyle="1" w:styleId="309">
    <w:name w:val="hover77"/>
    <w:basedOn w:val="50"/>
    <w:qFormat/>
    <w:uiPriority w:val="0"/>
    <w:rPr>
      <w:color w:val="3C88FF"/>
    </w:rPr>
  </w:style>
  <w:style w:type="character" w:customStyle="1" w:styleId="310">
    <w:name w:val="hover78"/>
    <w:basedOn w:val="50"/>
    <w:qFormat/>
    <w:uiPriority w:val="0"/>
    <w:rPr>
      <w:u w:val="single"/>
    </w:rPr>
  </w:style>
  <w:style w:type="character" w:customStyle="1" w:styleId="311">
    <w:name w:val="nth-child(2)"/>
    <w:basedOn w:val="50"/>
    <w:qFormat/>
    <w:uiPriority w:val="0"/>
  </w:style>
  <w:style w:type="character" w:customStyle="1" w:styleId="312">
    <w:name w:val="nth-of-type(2)1"/>
    <w:basedOn w:val="50"/>
    <w:qFormat/>
    <w:uiPriority w:val="0"/>
  </w:style>
  <w:style w:type="character" w:customStyle="1" w:styleId="313">
    <w:name w:val="nth-of-type(2)2"/>
    <w:basedOn w:val="50"/>
    <w:qFormat/>
    <w:uiPriority w:val="0"/>
    <w:rPr>
      <w:shd w:val="clear" w:color="auto" w:fill="555555"/>
    </w:rPr>
  </w:style>
  <w:style w:type="character" w:customStyle="1" w:styleId="314">
    <w:name w:val="nth-of-type(2)3"/>
    <w:basedOn w:val="50"/>
    <w:qFormat/>
    <w:uiPriority w:val="0"/>
    <w:rPr>
      <w:b/>
      <w:bCs/>
      <w:color w:val="000000"/>
      <w:sz w:val="19"/>
      <w:szCs w:val="19"/>
    </w:rPr>
  </w:style>
  <w:style w:type="character" w:customStyle="1" w:styleId="315">
    <w:name w:val="nth-of-type(2)4"/>
    <w:basedOn w:val="50"/>
    <w:qFormat/>
    <w:uiPriority w:val="0"/>
  </w:style>
  <w:style w:type="character" w:customStyle="1" w:styleId="316">
    <w:name w:val="nth-of-type(2)5"/>
    <w:basedOn w:val="50"/>
    <w:qFormat/>
    <w:uiPriority w:val="0"/>
    <w:rPr>
      <w:shd w:val="clear" w:color="auto" w:fill="D5D9EB"/>
    </w:rPr>
  </w:style>
  <w:style w:type="character" w:customStyle="1" w:styleId="317">
    <w:name w:val="nth-of-type(2)6"/>
    <w:basedOn w:val="50"/>
    <w:qFormat/>
    <w:uiPriority w:val="0"/>
  </w:style>
  <w:style w:type="character" w:customStyle="1" w:styleId="318">
    <w:name w:val="nth-of-type(2)7"/>
    <w:basedOn w:val="50"/>
    <w:qFormat/>
    <w:uiPriority w:val="0"/>
  </w:style>
  <w:style w:type="character" w:customStyle="1" w:styleId="319">
    <w:name w:val="nth-of-type(2)8"/>
    <w:basedOn w:val="50"/>
    <w:qFormat/>
    <w:uiPriority w:val="0"/>
  </w:style>
  <w:style w:type="character" w:customStyle="1" w:styleId="320">
    <w:name w:val="nth-of-type(2)9"/>
    <w:basedOn w:val="50"/>
    <w:qFormat/>
    <w:uiPriority w:val="0"/>
    <w:rPr>
      <w:shd w:val="clear" w:color="auto" w:fill="F74A4E"/>
    </w:rPr>
  </w:style>
  <w:style w:type="character" w:customStyle="1" w:styleId="321">
    <w:name w:val="nth-child(4)"/>
    <w:basedOn w:val="50"/>
    <w:qFormat/>
    <w:uiPriority w:val="0"/>
    <w:rPr>
      <w:color w:val="222222"/>
    </w:rPr>
  </w:style>
  <w:style w:type="character" w:customStyle="1" w:styleId="322">
    <w:name w:val="adalbumlist-album_ads_tip-3c9b7"/>
    <w:basedOn w:val="50"/>
    <w:qFormat/>
    <w:uiPriority w:val="0"/>
    <w:rPr>
      <w:color w:val="FFFFFF"/>
    </w:rPr>
  </w:style>
  <w:style w:type="character" w:customStyle="1" w:styleId="323">
    <w:name w:val="before8"/>
    <w:basedOn w:val="50"/>
    <w:qFormat/>
    <w:uiPriority w:val="0"/>
    <w:rPr>
      <w:shd w:val="clear" w:color="auto" w:fill="EEEEEE"/>
    </w:rPr>
  </w:style>
  <w:style w:type="character" w:customStyle="1" w:styleId="324">
    <w:name w:val="before9"/>
    <w:basedOn w:val="50"/>
    <w:qFormat/>
    <w:uiPriority w:val="0"/>
  </w:style>
  <w:style w:type="character" w:customStyle="1" w:styleId="325">
    <w:name w:val="nth-last-of-type(1)"/>
    <w:basedOn w:val="50"/>
    <w:qFormat/>
    <w:uiPriority w:val="0"/>
    <w:rPr>
      <w:bdr w:val="single" w:color="45CAA1" w:sz="6" w:space="0"/>
    </w:rPr>
  </w:style>
  <w:style w:type="character" w:customStyle="1" w:styleId="326">
    <w:name w:val="nth-last-of-type(1)1"/>
    <w:basedOn w:val="50"/>
    <w:qFormat/>
    <w:uiPriority w:val="0"/>
  </w:style>
  <w:style w:type="character" w:customStyle="1" w:styleId="327">
    <w:name w:val="nth-child(7)"/>
    <w:basedOn w:val="50"/>
    <w:qFormat/>
    <w:uiPriority w:val="0"/>
    <w:rPr>
      <w:color w:val="222222"/>
    </w:rPr>
  </w:style>
  <w:style w:type="character" w:customStyle="1" w:styleId="328">
    <w:name w:val="adalbumlist-btn-841bd"/>
    <w:basedOn w:val="50"/>
    <w:qFormat/>
    <w:uiPriority w:val="0"/>
    <w:rPr>
      <w:color w:val="FFFFFF"/>
      <w:shd w:val="clear" w:color="auto" w:fill="FF3F3F"/>
    </w:rPr>
  </w:style>
  <w:style w:type="character" w:customStyle="1" w:styleId="329">
    <w:name w:val="nth-child(1)"/>
    <w:basedOn w:val="50"/>
    <w:qFormat/>
    <w:uiPriority w:val="0"/>
  </w:style>
  <w:style w:type="character" w:customStyle="1" w:styleId="330">
    <w:name w:val="nth-child(1)1"/>
    <w:basedOn w:val="50"/>
    <w:qFormat/>
    <w:uiPriority w:val="0"/>
  </w:style>
  <w:style w:type="character" w:customStyle="1" w:styleId="331">
    <w:name w:val="nth-child(1)2"/>
    <w:basedOn w:val="50"/>
    <w:qFormat/>
    <w:uiPriority w:val="0"/>
    <w:rPr>
      <w:color w:val="999999"/>
    </w:rPr>
  </w:style>
  <w:style w:type="character" w:customStyle="1" w:styleId="332">
    <w:name w:val="nth-child(1)3"/>
    <w:basedOn w:val="50"/>
    <w:qFormat/>
    <w:uiPriority w:val="0"/>
    <w:rPr>
      <w:color w:val="999999"/>
    </w:rPr>
  </w:style>
  <w:style w:type="character" w:customStyle="1" w:styleId="333">
    <w:name w:val="index-name-935ff1"/>
    <w:basedOn w:val="50"/>
    <w:qFormat/>
    <w:uiPriority w:val="0"/>
    <w:rPr>
      <w:sz w:val="24"/>
      <w:szCs w:val="24"/>
    </w:rPr>
  </w:style>
  <w:style w:type="character" w:customStyle="1" w:styleId="334">
    <w:name w:val="nth-child(6)"/>
    <w:basedOn w:val="50"/>
    <w:qFormat/>
    <w:uiPriority w:val="0"/>
    <w:rPr>
      <w:color w:val="A1A1A1"/>
      <w:sz w:val="19"/>
      <w:szCs w:val="19"/>
    </w:rPr>
  </w:style>
  <w:style w:type="character" w:customStyle="1" w:styleId="335">
    <w:name w:val="text"/>
    <w:basedOn w:val="50"/>
    <w:qFormat/>
    <w:uiPriority w:val="0"/>
    <w:rPr>
      <w:color w:val="666666"/>
    </w:rPr>
  </w:style>
  <w:style w:type="character" w:customStyle="1" w:styleId="336">
    <w:name w:val="text1"/>
    <w:basedOn w:val="50"/>
    <w:qFormat/>
    <w:uiPriority w:val="0"/>
    <w:rPr>
      <w:color w:val="666666"/>
    </w:rPr>
  </w:style>
  <w:style w:type="character" w:customStyle="1" w:styleId="337">
    <w:name w:val="after4"/>
    <w:basedOn w:val="50"/>
    <w:qFormat/>
    <w:uiPriority w:val="0"/>
  </w:style>
  <w:style w:type="character" w:customStyle="1" w:styleId="338">
    <w:name w:val="nth-child(5)"/>
    <w:basedOn w:val="50"/>
    <w:qFormat/>
    <w:uiPriority w:val="0"/>
    <w:rPr>
      <w:color w:val="666666"/>
    </w:rPr>
  </w:style>
  <w:style w:type="character" w:customStyle="1" w:styleId="339">
    <w:name w:val="nth-child(3)"/>
    <w:basedOn w:val="50"/>
    <w:qFormat/>
    <w:uiPriority w:val="0"/>
    <w:rPr>
      <w:color w:val="000000"/>
    </w:rPr>
  </w:style>
  <w:style w:type="character" w:customStyle="1" w:styleId="340">
    <w:name w:val="nth-child(3)1"/>
    <w:basedOn w:val="50"/>
    <w:qFormat/>
    <w:uiPriority w:val="0"/>
    <w:rPr>
      <w:color w:val="666666"/>
    </w:rPr>
  </w:style>
  <w:style w:type="paragraph" w:customStyle="1" w:styleId="34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42">
    <w:name w:val="尾注文本 Char"/>
    <w:basedOn w:val="50"/>
    <w:link w:val="31"/>
    <w:qFormat/>
    <w:uiPriority w:val="99"/>
    <w:rPr>
      <w:rFonts w:ascii="Calibri" w:hAnsi="Calibri"/>
      <w:kern w:val="2"/>
      <w:sz w:val="21"/>
      <w:szCs w:val="24"/>
    </w:rPr>
  </w:style>
  <w:style w:type="paragraph" w:customStyle="1" w:styleId="343">
    <w:name w:val="正文_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Normal_0_1"/>
    <w:next w:val="196"/>
    <w:qFormat/>
    <w:uiPriority w:val="0"/>
    <w:rPr>
      <w:rFonts w:ascii="宋体" w:hAnsi="宋体" w:eastAsia="Times New Roman" w:cs="宋体"/>
      <w:sz w:val="24"/>
      <w:lang w:val="en-US" w:eastAsia="zh-CN" w:bidi="ar-SA"/>
    </w:rPr>
  </w:style>
  <w:style w:type="paragraph" w:customStyle="1" w:styleId="345">
    <w:name w:val="Normal_0_2"/>
    <w:qFormat/>
    <w:uiPriority w:val="0"/>
    <w:rPr>
      <w:rFonts w:ascii="Times New Roman" w:hAnsi="Times New Roman" w:eastAsia="Times New Roman" w:cs="Times New Roman"/>
      <w:sz w:val="24"/>
      <w:szCs w:val="24"/>
      <w:lang w:val="en-US" w:eastAsia="zh-CN" w:bidi="ar-SA"/>
    </w:rPr>
  </w:style>
  <w:style w:type="paragraph" w:customStyle="1" w:styleId="346">
    <w:name w:val="文章正文"/>
    <w:link w:val="347"/>
    <w:qFormat/>
    <w:uiPriority w:val="0"/>
    <w:pPr>
      <w:widowControl w:val="0"/>
      <w:adjustRightInd w:val="0"/>
      <w:snapToGrid w:val="0"/>
      <w:spacing w:beforeLines="100" w:line="440" w:lineRule="exact"/>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347">
    <w:name w:val="文章正文 Char"/>
    <w:basedOn w:val="50"/>
    <w:link w:val="346"/>
    <w:qFormat/>
    <w:uiPriority w:val="0"/>
    <w:rPr>
      <w:kern w:val="2"/>
      <w:sz w:val="24"/>
      <w:szCs w:val="22"/>
    </w:rPr>
  </w:style>
  <w:style w:type="paragraph" w:customStyle="1" w:styleId="348">
    <w:name w:val="招标文件表格多段内容"/>
    <w:basedOn w:val="1"/>
    <w:qFormat/>
    <w:uiPriority w:val="0"/>
    <w:pPr>
      <w:spacing w:beforeLines="10" w:line="240" w:lineRule="exact"/>
      <w:ind w:firstLine="400" w:firstLineChars="200"/>
      <w:jc w:val="left"/>
    </w:pPr>
    <w:rPr>
      <w:rFonts w:hint="eastAsia" w:eastAsia="微软雅黑"/>
      <w:sz w:val="20"/>
      <w:szCs w:val="22"/>
    </w:rPr>
  </w:style>
  <w:style w:type="paragraph" w:customStyle="1" w:styleId="349">
    <w:name w:val="表格1"/>
    <w:link w:val="350"/>
    <w:qFormat/>
    <w:uiPriority w:val="0"/>
    <w:pPr>
      <w:widowControl w:val="0"/>
      <w:spacing w:line="300" w:lineRule="exact"/>
      <w:jc w:val="center"/>
    </w:pPr>
    <w:rPr>
      <w:rFonts w:ascii="Times New Roman" w:hAnsi="Times New Roman" w:eastAsia="微软雅黑" w:cs="Times New Roman"/>
      <w:kern w:val="2"/>
      <w:sz w:val="21"/>
      <w:szCs w:val="24"/>
      <w:lang w:val="en-US" w:eastAsia="zh-CN" w:bidi="ar-SA"/>
    </w:rPr>
  </w:style>
  <w:style w:type="character" w:customStyle="1" w:styleId="350">
    <w:name w:val="表格1 Char"/>
    <w:link w:val="349"/>
    <w:qFormat/>
    <w:uiPriority w:val="0"/>
    <w:rPr>
      <w:rFonts w:eastAsia="微软雅黑"/>
      <w:kern w:val="2"/>
      <w:sz w:val="21"/>
      <w:szCs w:val="24"/>
    </w:rPr>
  </w:style>
  <w:style w:type="paragraph" w:customStyle="1" w:styleId="351">
    <w:name w:val="表头"/>
    <w:basedOn w:val="15"/>
    <w:qFormat/>
    <w:uiPriority w:val="0"/>
    <w:pPr>
      <w:spacing w:line="240" w:lineRule="exact"/>
      <w:jc w:val="center"/>
    </w:pPr>
    <w:rPr>
      <w:rFonts w:ascii="Times New Roman" w:hAnsi="Times New Roman" w:eastAsia="微软雅黑" w:cs="Times New Roman"/>
      <w:b/>
    </w:rPr>
  </w:style>
  <w:style w:type="paragraph" w:customStyle="1" w:styleId="352">
    <w:name w:val="表格内容左对齐"/>
    <w:basedOn w:val="1"/>
    <w:qFormat/>
    <w:uiPriority w:val="99"/>
    <w:pPr>
      <w:widowControl/>
      <w:numPr>
        <w:ilvl w:val="0"/>
        <w:numId w:val="2"/>
      </w:numPr>
      <w:tabs>
        <w:tab w:val="left" w:pos="33"/>
      </w:tabs>
      <w:spacing w:line="260" w:lineRule="exact"/>
      <w:ind w:right="-48" w:rightChars="-23" w:firstLine="920" w:firstLineChars="100"/>
      <w:jc w:val="left"/>
    </w:pPr>
    <w:rPr>
      <w:rFonts w:ascii="宋体" w:hAnsi="宋体" w:eastAsia="微软雅黑"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0"/>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61</Pages>
  <Words>30587</Words>
  <Characters>31958</Characters>
  <Lines>224</Lines>
  <Paragraphs>63</Paragraphs>
  <TotalTime>15</TotalTime>
  <ScaleCrop>false</ScaleCrop>
  <LinksUpToDate>false</LinksUpToDate>
  <CharactersWithSpaces>32566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2022-04-10T06:51:00Z</dcterms:created>
  <dc:creator>admin</dc:creator>
  <cp:lastModifiedBy>小惠</cp:lastModifiedBy>
  <cp:lastPrinted>2023-01-17T00:49:00Z</cp:lastPrinted>
  <dcterms:modified xsi:type="dcterms:W3CDTF">2023-01-18T09:29:52Z</dcterms:modified>
  <dc:title>附件十一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EC4099940F794F4EB40C9C239455E5B7</vt:lpwstr>
  </property>
</Properties>
</file>