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pPr w:leftFromText="180" w:rightFromText="180" w:vertAnchor="text" w:horzAnchor="page" w:tblpX="1604" w:tblpY="265"/>
        <w:tblOverlap w:val="never"/>
        <w:tblW w:w="139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1"/>
        <w:gridCol w:w="1623"/>
        <w:gridCol w:w="6603"/>
        <w:gridCol w:w="885"/>
        <w:gridCol w:w="1485"/>
        <w:gridCol w:w="1620"/>
        <w:gridCol w:w="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spacing w:before="41" w:line="225" w:lineRule="auto"/>
              <w:jc w:val="both"/>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序号</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spacing w:before="41" w:line="225" w:lineRule="auto"/>
              <w:ind w:left="118"/>
              <w:jc w:val="center"/>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设备名称</w:t>
            </w:r>
          </w:p>
        </w:tc>
        <w:tc>
          <w:tcPr>
            <w:tcW w:w="6603" w:type="dxa"/>
            <w:tcBorders>
              <w:top w:val="single" w:color="000000" w:sz="4" w:space="0"/>
              <w:left w:val="single" w:color="000000" w:sz="4" w:space="0"/>
              <w:bottom w:val="single" w:color="000000" w:sz="4" w:space="0"/>
              <w:right w:val="single" w:color="000000" w:sz="4" w:space="0"/>
            </w:tcBorders>
            <w:noWrap w:val="0"/>
            <w:vAlign w:val="center"/>
          </w:tcPr>
          <w:p>
            <w:pPr>
              <w:spacing w:before="41" w:line="225" w:lineRule="auto"/>
              <w:ind w:left="118"/>
              <w:jc w:val="center"/>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规格型号参数</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spacing w:before="41" w:line="225" w:lineRule="auto"/>
              <w:ind w:left="118"/>
              <w:jc w:val="center"/>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数量</w:t>
            </w:r>
            <w:bookmarkStart w:id="0" w:name="_GoBack"/>
            <w:bookmarkEnd w:id="0"/>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spacing w:before="41" w:line="225" w:lineRule="auto"/>
              <w:ind w:left="118"/>
              <w:jc w:val="center"/>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单价（元）</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spacing w:before="41" w:line="225" w:lineRule="auto"/>
              <w:ind w:left="118"/>
              <w:jc w:val="center"/>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合价（元）</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spacing w:before="41" w:line="225" w:lineRule="auto"/>
              <w:jc w:val="both"/>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备注/说明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spacing w:before="41" w:line="225" w:lineRule="auto"/>
              <w:ind w:left="118"/>
              <w:jc w:val="center"/>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1</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spacing w:val="6"/>
                <w:sz w:val="24"/>
                <w:szCs w:val="24"/>
              </w:rPr>
            </w:pPr>
            <w:r>
              <w:rPr>
                <w:rFonts w:hint="eastAsia" w:ascii="宋体" w:hAnsi="宋体" w:eastAsia="宋体" w:cs="宋体"/>
                <w:i w:val="0"/>
                <w:iCs w:val="0"/>
                <w:snapToGrid w:val="0"/>
                <w:color w:val="000000"/>
                <w:kern w:val="0"/>
                <w:sz w:val="24"/>
                <w:szCs w:val="24"/>
                <w:u w:val="none"/>
                <w:lang w:val="en-US" w:eastAsia="zh-CN" w:bidi="ar"/>
              </w:rPr>
              <w:t>智能手表</w:t>
            </w:r>
          </w:p>
        </w:tc>
        <w:tc>
          <w:tcPr>
            <w:tcW w:w="66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spacing w:val="6"/>
                <w:sz w:val="24"/>
                <w:szCs w:val="24"/>
              </w:rPr>
            </w:pPr>
            <w:r>
              <w:rPr>
                <w:rFonts w:hint="eastAsia" w:ascii="宋体" w:hAnsi="宋体" w:eastAsia="宋体" w:cs="宋体"/>
                <w:i w:val="0"/>
                <w:iCs w:val="0"/>
                <w:snapToGrid w:val="0"/>
                <w:color w:val="000000"/>
                <w:kern w:val="0"/>
                <w:sz w:val="24"/>
                <w:szCs w:val="24"/>
                <w:u w:val="none"/>
                <w:lang w:val="en-US" w:eastAsia="zh-CN" w:bidi="ar"/>
              </w:rPr>
              <w:t>GTS4、具有单兵身份ID存储功能,具有监测心率、血氧等功能，支持端口开放，可与现有消防系统兼容，支持APP设置，待机时间≥24小时</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pacing w:val="6"/>
                <w:sz w:val="24"/>
                <w:szCs w:val="24"/>
              </w:rPr>
            </w:pPr>
            <w:r>
              <w:rPr>
                <w:rFonts w:hint="eastAsia" w:ascii="宋体" w:hAnsi="宋体" w:eastAsia="宋体" w:cs="宋体"/>
                <w:i w:val="0"/>
                <w:iCs w:val="0"/>
                <w:snapToGrid w:val="0"/>
                <w:color w:val="000000"/>
                <w:kern w:val="0"/>
                <w:sz w:val="24"/>
                <w:szCs w:val="24"/>
                <w:u w:val="none"/>
                <w:lang w:val="en-US" w:eastAsia="zh-CN" w:bidi="ar"/>
              </w:rPr>
              <w:t>50</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pacing w:val="6"/>
                <w:sz w:val="24"/>
                <w:szCs w:val="24"/>
                <w:lang w:val="en-US"/>
              </w:rPr>
            </w:pPr>
            <w:r>
              <w:rPr>
                <w:rFonts w:hint="eastAsia" w:ascii="宋体" w:hAnsi="宋体" w:eastAsia="宋体" w:cs="宋体"/>
                <w:i w:val="0"/>
                <w:iCs w:val="0"/>
                <w:snapToGrid w:val="0"/>
                <w:color w:val="000000"/>
                <w:kern w:val="0"/>
                <w:sz w:val="24"/>
                <w:szCs w:val="24"/>
                <w:u w:val="none"/>
                <w:lang w:val="en-US" w:eastAsia="zh-CN" w:bidi="ar"/>
              </w:rPr>
              <w:t>3900.00</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pacing w:val="6"/>
                <w:sz w:val="24"/>
                <w:szCs w:val="24"/>
              </w:rPr>
            </w:pPr>
            <w:r>
              <w:rPr>
                <w:rFonts w:hint="eastAsia" w:ascii="宋体" w:hAnsi="宋体" w:eastAsia="宋体" w:cs="宋体"/>
                <w:i w:val="0"/>
                <w:iCs w:val="0"/>
                <w:snapToGrid w:val="0"/>
                <w:color w:val="000000"/>
                <w:kern w:val="0"/>
                <w:sz w:val="24"/>
                <w:szCs w:val="24"/>
                <w:u w:val="none"/>
                <w:lang w:val="en-US" w:eastAsia="zh-CN" w:bidi="ar"/>
              </w:rPr>
              <w:t>195000.00</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spacing w:before="41" w:line="225" w:lineRule="auto"/>
              <w:ind w:left="118"/>
              <w:jc w:val="center"/>
              <w:rPr>
                <w:rFonts w:hint="eastAsia" w:ascii="宋体" w:hAnsi="宋体" w:eastAsia="宋体" w:cs="宋体"/>
                <w:spacing w:val="6"/>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spacing w:before="41" w:line="225" w:lineRule="auto"/>
              <w:ind w:left="118"/>
              <w:jc w:val="center"/>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2</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spacing w:val="6"/>
                <w:sz w:val="24"/>
                <w:szCs w:val="24"/>
              </w:rPr>
            </w:pPr>
            <w:r>
              <w:rPr>
                <w:rFonts w:hint="eastAsia" w:ascii="宋体" w:hAnsi="宋体" w:eastAsia="宋体" w:cs="宋体"/>
                <w:i w:val="0"/>
                <w:iCs w:val="0"/>
                <w:snapToGrid w:val="0"/>
                <w:color w:val="000000"/>
                <w:kern w:val="0"/>
                <w:sz w:val="24"/>
                <w:szCs w:val="24"/>
                <w:u w:val="none"/>
                <w:lang w:val="en-US" w:eastAsia="zh-CN" w:bidi="ar"/>
              </w:rPr>
              <w:t>智能热成像终端（含可见光）</w:t>
            </w:r>
          </w:p>
        </w:tc>
        <w:tc>
          <w:tcPr>
            <w:tcW w:w="66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AI-03、1.一体化设计，具有热像和可见光双摄像头模式，，后方人员可远程控制，按需切换；</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2.具有网络语音对讲和语音通话功能，具有一线单兵实时图像传输功能；</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3.具有耐高低温，能显示环境中心温度功能，具有最高温度区域提醒功能；</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4.工作时长：满电连续使用≥2小时；</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5.拍照功能：关键画面可在系统端或硬件前端操作，具有拍照或截图功能；</w:t>
            </w:r>
          </w:p>
          <w:p>
            <w:pPr>
              <w:keepNext w:val="0"/>
              <w:keepLines w:val="0"/>
              <w:widowControl/>
              <w:suppressLineNumbers w:val="0"/>
              <w:jc w:val="left"/>
              <w:textAlignment w:val="center"/>
              <w:rPr>
                <w:rFonts w:hint="eastAsia" w:ascii="宋体" w:hAnsi="宋体" w:eastAsia="宋体" w:cs="宋体"/>
                <w:spacing w:val="6"/>
                <w:sz w:val="24"/>
                <w:szCs w:val="24"/>
              </w:rPr>
            </w:pPr>
            <w:r>
              <w:rPr>
                <w:rFonts w:hint="eastAsia" w:ascii="宋体" w:hAnsi="宋体" w:eastAsia="宋体" w:cs="宋体"/>
                <w:i w:val="0"/>
                <w:iCs w:val="0"/>
                <w:snapToGrid w:val="0"/>
                <w:color w:val="000000"/>
                <w:kern w:val="0"/>
                <w:sz w:val="24"/>
                <w:szCs w:val="24"/>
                <w:u w:val="none"/>
                <w:lang w:val="en-US" w:eastAsia="zh-CN" w:bidi="ar"/>
              </w:rPr>
              <w:t>6.具有独立APP，同时支持本地保存和回放。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pacing w:val="6"/>
                <w:sz w:val="24"/>
                <w:szCs w:val="24"/>
              </w:rPr>
            </w:pPr>
            <w:r>
              <w:rPr>
                <w:rFonts w:hint="eastAsia" w:ascii="宋体" w:hAnsi="宋体" w:eastAsia="宋体" w:cs="宋体"/>
                <w:i w:val="0"/>
                <w:iCs w:val="0"/>
                <w:snapToGrid w:val="0"/>
                <w:color w:val="000000"/>
                <w:kern w:val="0"/>
                <w:sz w:val="24"/>
                <w:szCs w:val="24"/>
                <w:u w:val="none"/>
                <w:lang w:val="en-US" w:eastAsia="zh-CN" w:bidi="ar"/>
              </w:rPr>
              <w:t>3</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pacing w:val="6"/>
                <w:sz w:val="24"/>
                <w:szCs w:val="24"/>
              </w:rPr>
            </w:pPr>
            <w:r>
              <w:rPr>
                <w:rFonts w:hint="eastAsia" w:ascii="宋体" w:hAnsi="宋体" w:eastAsia="宋体" w:cs="宋体"/>
                <w:i w:val="0"/>
                <w:iCs w:val="0"/>
                <w:snapToGrid w:val="0"/>
                <w:color w:val="000000"/>
                <w:kern w:val="0"/>
                <w:sz w:val="24"/>
                <w:szCs w:val="24"/>
                <w:u w:val="none"/>
                <w:lang w:val="en-US" w:eastAsia="zh-CN" w:bidi="ar"/>
              </w:rPr>
              <w:t>84000.00</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pacing w:val="6"/>
                <w:sz w:val="24"/>
                <w:szCs w:val="24"/>
              </w:rPr>
            </w:pPr>
            <w:r>
              <w:rPr>
                <w:rFonts w:hint="eastAsia" w:ascii="宋体" w:hAnsi="宋体" w:eastAsia="宋体" w:cs="宋体"/>
                <w:i w:val="0"/>
                <w:iCs w:val="0"/>
                <w:snapToGrid w:val="0"/>
                <w:color w:val="000000"/>
                <w:kern w:val="0"/>
                <w:sz w:val="24"/>
                <w:szCs w:val="24"/>
                <w:u w:val="none"/>
                <w:lang w:val="en-US" w:eastAsia="zh-CN" w:bidi="ar"/>
              </w:rPr>
              <w:t>252000.00</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spacing w:before="41" w:line="225" w:lineRule="auto"/>
              <w:ind w:left="118"/>
              <w:jc w:val="center"/>
              <w:rPr>
                <w:rFonts w:hint="eastAsia" w:ascii="宋体" w:hAnsi="宋体" w:eastAsia="宋体" w:cs="宋体"/>
                <w:spacing w:val="6"/>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spacing w:before="41" w:line="225" w:lineRule="auto"/>
              <w:ind w:left="118"/>
              <w:jc w:val="center"/>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3</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spacing w:val="6"/>
                <w:sz w:val="24"/>
                <w:szCs w:val="24"/>
              </w:rPr>
            </w:pPr>
            <w:r>
              <w:rPr>
                <w:rFonts w:hint="eastAsia" w:ascii="宋体" w:hAnsi="宋体" w:eastAsia="宋体" w:cs="宋体"/>
                <w:i w:val="0"/>
                <w:iCs w:val="0"/>
                <w:snapToGrid w:val="0"/>
                <w:color w:val="000000"/>
                <w:kern w:val="0"/>
                <w:sz w:val="24"/>
                <w:szCs w:val="24"/>
                <w:u w:val="none"/>
                <w:lang w:val="en-US" w:eastAsia="zh-CN" w:bidi="ar"/>
              </w:rPr>
              <w:t>内攻安全显示终端</w:t>
            </w:r>
          </w:p>
        </w:tc>
        <w:tc>
          <w:tcPr>
            <w:tcW w:w="66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ALERT BASE Ⅲ、1.一体化设计，防水防尘，适应雨雪等恶劣天气；</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2.具有快速登记功能：当单兵铭牌插入后，安全装置可快速采集到各类数据，包括单兵身份、进出场时间、空呼压力、剩余时长等；</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3.具有主动预警功能：当空呼压力值低于设定范围时，系统可主动识别，并通过声光警报提醒；特殊情况（老式空呼，压力无传感）可手动设置入场压力，并实现预警；</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4.报警联动：当内场单兵终端自动报警或手动报警求救时，安全装置跟系统一起同步收到信息，同时声光报警；</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5.具有一键撤离功能：安全员可根据现场情况需要并结合内攻人员状态，实现个人或全员的一键撤离；同时，可以根据灯光的变化，反向确认内场人员是否已应答；</w:t>
            </w:r>
          </w:p>
          <w:p>
            <w:pPr>
              <w:keepNext w:val="0"/>
              <w:keepLines w:val="0"/>
              <w:widowControl/>
              <w:suppressLineNumbers w:val="0"/>
              <w:jc w:val="left"/>
              <w:textAlignment w:val="center"/>
              <w:rPr>
                <w:rFonts w:hint="eastAsia" w:ascii="宋体" w:hAnsi="宋体" w:eastAsia="宋体" w:cs="宋体"/>
                <w:spacing w:val="6"/>
                <w:sz w:val="24"/>
                <w:szCs w:val="24"/>
              </w:rPr>
            </w:pPr>
            <w:r>
              <w:rPr>
                <w:rFonts w:hint="eastAsia" w:ascii="宋体" w:hAnsi="宋体" w:eastAsia="宋体" w:cs="宋体"/>
                <w:i w:val="0"/>
                <w:iCs w:val="0"/>
                <w:snapToGrid w:val="0"/>
                <w:color w:val="000000"/>
                <w:kern w:val="0"/>
                <w:sz w:val="24"/>
                <w:szCs w:val="24"/>
                <w:u w:val="none"/>
                <w:lang w:val="en-US" w:eastAsia="zh-CN" w:bidi="ar"/>
              </w:rPr>
              <w:t>6.配备高能锂电，满电可连续使用8小时；</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pacing w:val="6"/>
                <w:sz w:val="24"/>
                <w:szCs w:val="24"/>
              </w:rPr>
            </w:pPr>
            <w:r>
              <w:rPr>
                <w:rFonts w:hint="eastAsia" w:ascii="宋体" w:hAnsi="宋体" w:eastAsia="宋体" w:cs="宋体"/>
                <w:i w:val="0"/>
                <w:iCs w:val="0"/>
                <w:snapToGrid w:val="0"/>
                <w:color w:val="000000"/>
                <w:kern w:val="0"/>
                <w:sz w:val="24"/>
                <w:szCs w:val="24"/>
                <w:u w:val="none"/>
                <w:lang w:val="en-US" w:eastAsia="zh-CN" w:bidi="ar"/>
              </w:rPr>
              <w:t>4</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pacing w:val="6"/>
                <w:sz w:val="24"/>
                <w:szCs w:val="24"/>
              </w:rPr>
            </w:pPr>
            <w:r>
              <w:rPr>
                <w:rFonts w:hint="eastAsia" w:ascii="宋体" w:hAnsi="宋体" w:eastAsia="宋体" w:cs="宋体"/>
                <w:i w:val="0"/>
                <w:iCs w:val="0"/>
                <w:snapToGrid w:val="0"/>
                <w:color w:val="000000"/>
                <w:kern w:val="0"/>
                <w:sz w:val="24"/>
                <w:szCs w:val="24"/>
                <w:u w:val="none"/>
                <w:lang w:val="en-US" w:eastAsia="zh-CN" w:bidi="ar"/>
              </w:rPr>
              <w:t>36365.00</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pacing w:val="6"/>
                <w:sz w:val="24"/>
                <w:szCs w:val="24"/>
              </w:rPr>
            </w:pPr>
            <w:r>
              <w:rPr>
                <w:rFonts w:hint="eastAsia" w:ascii="宋体" w:hAnsi="宋体" w:eastAsia="宋体" w:cs="宋体"/>
                <w:i w:val="0"/>
                <w:iCs w:val="0"/>
                <w:snapToGrid w:val="0"/>
                <w:color w:val="000000"/>
                <w:kern w:val="0"/>
                <w:sz w:val="24"/>
                <w:szCs w:val="24"/>
                <w:u w:val="none"/>
                <w:lang w:val="en-US" w:eastAsia="zh-CN" w:bidi="ar"/>
              </w:rPr>
              <w:t>145460.00</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spacing w:before="41" w:line="225" w:lineRule="auto"/>
              <w:ind w:left="118"/>
              <w:jc w:val="center"/>
              <w:rPr>
                <w:rFonts w:hint="eastAsia" w:ascii="宋体" w:hAnsi="宋体" w:eastAsia="宋体" w:cs="宋体"/>
                <w:spacing w:val="6"/>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spacing w:before="41" w:line="225" w:lineRule="auto"/>
              <w:ind w:left="118"/>
              <w:jc w:val="center"/>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4</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spacing w:val="6"/>
                <w:sz w:val="24"/>
                <w:szCs w:val="24"/>
              </w:rPr>
            </w:pPr>
            <w:r>
              <w:rPr>
                <w:rFonts w:hint="eastAsia" w:ascii="宋体" w:hAnsi="宋体" w:eastAsia="宋体" w:cs="宋体"/>
                <w:i w:val="0"/>
                <w:iCs w:val="0"/>
                <w:snapToGrid w:val="0"/>
                <w:color w:val="000000"/>
                <w:kern w:val="0"/>
                <w:sz w:val="24"/>
                <w:szCs w:val="24"/>
                <w:u w:val="none"/>
                <w:lang w:val="en-US" w:eastAsia="zh-CN" w:bidi="ar"/>
              </w:rPr>
              <w:t>内攻单兵综合信息采集装置</w:t>
            </w:r>
          </w:p>
        </w:tc>
        <w:tc>
          <w:tcPr>
            <w:tcW w:w="66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RHZK6.8C、1.满足XF 124-2013《正压式消防空气呼吸器》标准，具有应急管理部消防产品合格评定中心出具的消防产品认证证书，国家消防装备质量监督检验中心出具的型式检验报告；</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2.全面罩：针对亚洲脸形设计,气密性更好;大视野全景面屏,透光率≥90% 头带采用网状KEVIAR阻燃材质,五点式连接。</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3.采用有线连接，集成智能压力平视显示(HUD)，更换面罩，无需重新配对，面罩无内置电池供电，使用更安全 ；</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4.集成智能语音通信系统，内置受送话器，可连接扩音肩咪和用户的对讲机。所有线缆都内置于中压管中；</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5.配有扩音装置，具有对讲肩咪功能和近距离声音放大功能，可根据对讲机型号自由更换连接线，防护等级≥IP67。</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6.背板高度可根据使用者身高差异自由调节；旋转腰托，可上下、左右随动调节，让佩戴者肩部受力更均匀；两侧具有方位灯，当气瓶压力高于6兆帕，绿灯闪烁，当气瓶压力低于6兆帕，红灯闪烁；自带辅助照明功能，当更换气瓶或者通过快充接口充气时，背板自带的辅助照明灯自动开启，直接照射到减压器部位;集成电源和压力控制单元，HUD电子压力表以及压力控制单元等部件使用同一电源集中供电</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7.智能电子压力表：高清彩屏，液晶数字显示，可显示当前气瓶气压值、剩余使用时间、环境温度、电量、无线连接状态等信息。具有指南针，预报警、静止报警和手动报警的功能；</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8.具有态势感知型热成像仪功能及远程测温功能</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9. 具有远程数据通信功能，能自动将空呼数据通过无线信号传输至消防安全指挥平台或属地指挥中心。</w:t>
            </w:r>
          </w:p>
          <w:p>
            <w:pPr>
              <w:keepNext w:val="0"/>
              <w:keepLines w:val="0"/>
              <w:widowControl/>
              <w:suppressLineNumbers w:val="0"/>
              <w:jc w:val="left"/>
              <w:textAlignment w:val="center"/>
              <w:rPr>
                <w:rFonts w:hint="eastAsia" w:ascii="宋体" w:hAnsi="宋体" w:eastAsia="宋体" w:cs="宋体"/>
                <w:spacing w:val="6"/>
                <w:sz w:val="24"/>
                <w:szCs w:val="24"/>
              </w:rPr>
            </w:pPr>
            <w:r>
              <w:rPr>
                <w:rFonts w:hint="eastAsia" w:ascii="宋体" w:hAnsi="宋体" w:eastAsia="宋体" w:cs="宋体"/>
                <w:i w:val="0"/>
                <w:iCs w:val="0"/>
                <w:snapToGrid w:val="0"/>
                <w:color w:val="000000"/>
                <w:kern w:val="0"/>
                <w:sz w:val="24"/>
                <w:szCs w:val="24"/>
                <w:u w:val="none"/>
                <w:lang w:val="en-US" w:eastAsia="zh-CN" w:bidi="ar"/>
              </w:rPr>
              <w:t>10.防护等级1P67,防爆等级Ex ia IIC T4 Ga</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pacing w:val="6"/>
                <w:sz w:val="24"/>
                <w:szCs w:val="24"/>
              </w:rPr>
            </w:pPr>
            <w:r>
              <w:rPr>
                <w:rFonts w:hint="eastAsia" w:ascii="宋体" w:hAnsi="宋体" w:eastAsia="宋体" w:cs="宋体"/>
                <w:i w:val="0"/>
                <w:iCs w:val="0"/>
                <w:snapToGrid w:val="0"/>
                <w:color w:val="000000"/>
                <w:kern w:val="0"/>
                <w:sz w:val="24"/>
                <w:szCs w:val="24"/>
                <w:u w:val="none"/>
                <w:lang w:val="en-US" w:eastAsia="zh-CN" w:bidi="ar"/>
              </w:rPr>
              <w:t>32</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pacing w:val="6"/>
                <w:sz w:val="24"/>
                <w:szCs w:val="24"/>
              </w:rPr>
            </w:pPr>
            <w:r>
              <w:rPr>
                <w:rFonts w:hint="eastAsia" w:ascii="宋体" w:hAnsi="宋体" w:eastAsia="宋体" w:cs="宋体"/>
                <w:i w:val="0"/>
                <w:iCs w:val="0"/>
                <w:snapToGrid w:val="0"/>
                <w:color w:val="000000"/>
                <w:kern w:val="0"/>
                <w:sz w:val="24"/>
                <w:szCs w:val="24"/>
                <w:u w:val="none"/>
                <w:lang w:val="en-US" w:eastAsia="zh-CN" w:bidi="ar"/>
              </w:rPr>
              <w:t>22400.00</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pacing w:val="6"/>
                <w:sz w:val="24"/>
                <w:szCs w:val="24"/>
              </w:rPr>
            </w:pPr>
            <w:r>
              <w:rPr>
                <w:rFonts w:hint="eastAsia" w:ascii="宋体" w:hAnsi="宋体" w:eastAsia="宋体" w:cs="宋体"/>
                <w:i w:val="0"/>
                <w:iCs w:val="0"/>
                <w:snapToGrid w:val="0"/>
                <w:color w:val="000000"/>
                <w:kern w:val="0"/>
                <w:sz w:val="24"/>
                <w:szCs w:val="24"/>
                <w:u w:val="none"/>
                <w:lang w:val="en-US" w:eastAsia="zh-CN" w:bidi="ar"/>
              </w:rPr>
              <w:t>716800.00</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spacing w:before="41" w:line="225" w:lineRule="auto"/>
              <w:ind w:left="118"/>
              <w:jc w:val="center"/>
              <w:rPr>
                <w:rFonts w:hint="eastAsia" w:ascii="宋体" w:hAnsi="宋体" w:eastAsia="宋体" w:cs="宋体"/>
                <w:spacing w:val="6"/>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spacing w:before="41" w:line="225" w:lineRule="auto"/>
              <w:ind w:left="118"/>
              <w:jc w:val="center"/>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5</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spacing w:val="6"/>
                <w:sz w:val="24"/>
                <w:szCs w:val="24"/>
              </w:rPr>
            </w:pPr>
            <w:r>
              <w:rPr>
                <w:rFonts w:hint="eastAsia" w:ascii="宋体" w:hAnsi="宋体" w:eastAsia="宋体" w:cs="宋体"/>
                <w:i w:val="0"/>
                <w:iCs w:val="0"/>
                <w:snapToGrid w:val="0"/>
                <w:color w:val="000000"/>
                <w:kern w:val="0"/>
                <w:sz w:val="24"/>
                <w:szCs w:val="24"/>
                <w:u w:val="none"/>
                <w:lang w:val="en-US" w:eastAsia="zh-CN" w:bidi="ar"/>
              </w:rPr>
              <w:t>测距呼救器</w:t>
            </w:r>
          </w:p>
        </w:tc>
        <w:tc>
          <w:tcPr>
            <w:tcW w:w="66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RHJ700、1.硬件：重量≤219.4g，液晶显示屏≥2.4英寸，防护性能≥IP687，防爆等级≥Ex ia IIC T3 Ga，强报警时间≥11小时，符合消防员呼救器标准，必要时可替代使用。（检测报告为准）</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2.开机：一人一装，对应专用身份铭牌，插入内攻安全登记装置，即可自动开机，随后数据自动动态传输至各系统平台和显示终端；</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3.快速定位：结合定位信标，快速实现组员之间的相互定位。其中，水平定位和高度定位，定位精度正负1米，具体通过语音播报和屏幕显示同步实现，方便单兵识别；</w:t>
            </w:r>
          </w:p>
          <w:p>
            <w:pPr>
              <w:keepNext w:val="0"/>
              <w:keepLines w:val="0"/>
              <w:widowControl/>
              <w:suppressLineNumbers w:val="0"/>
              <w:jc w:val="left"/>
              <w:textAlignment w:val="center"/>
              <w:rPr>
                <w:rFonts w:hint="eastAsia" w:ascii="宋体" w:hAnsi="宋体" w:eastAsia="宋体" w:cs="宋体"/>
                <w:spacing w:val="6"/>
                <w:sz w:val="24"/>
                <w:szCs w:val="24"/>
              </w:rPr>
            </w:pPr>
            <w:r>
              <w:rPr>
                <w:rFonts w:hint="eastAsia" w:ascii="宋体" w:hAnsi="宋体" w:eastAsia="宋体" w:cs="宋体"/>
                <w:i w:val="0"/>
                <w:iCs w:val="0"/>
                <w:snapToGrid w:val="0"/>
                <w:color w:val="000000"/>
                <w:kern w:val="0"/>
                <w:sz w:val="24"/>
                <w:szCs w:val="24"/>
                <w:u w:val="none"/>
                <w:lang w:val="en-US" w:eastAsia="zh-CN" w:bidi="ar"/>
              </w:rPr>
              <w:t>4.搜救指引：通过显示屏上距离和方位的数值变化，可引导辨别被困人员所在点位；同时设置指南针功能，抗强磁干扰，方便被困人员识别自己的行动方向；</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pacing w:val="6"/>
                <w:sz w:val="24"/>
                <w:szCs w:val="24"/>
              </w:rPr>
            </w:pPr>
            <w:r>
              <w:rPr>
                <w:rFonts w:hint="eastAsia" w:ascii="宋体" w:hAnsi="宋体" w:eastAsia="宋体" w:cs="宋体"/>
                <w:i w:val="0"/>
                <w:iCs w:val="0"/>
                <w:snapToGrid w:val="0"/>
                <w:color w:val="000000"/>
                <w:kern w:val="0"/>
                <w:sz w:val="24"/>
                <w:szCs w:val="24"/>
                <w:u w:val="none"/>
                <w:lang w:val="en-US" w:eastAsia="zh-CN" w:bidi="ar"/>
              </w:rPr>
              <w:t>32</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pacing w:val="6"/>
                <w:sz w:val="24"/>
                <w:szCs w:val="24"/>
              </w:rPr>
            </w:pPr>
            <w:r>
              <w:rPr>
                <w:rFonts w:hint="eastAsia" w:ascii="宋体" w:hAnsi="宋体" w:eastAsia="宋体" w:cs="宋体"/>
                <w:i w:val="0"/>
                <w:iCs w:val="0"/>
                <w:snapToGrid w:val="0"/>
                <w:color w:val="000000"/>
                <w:kern w:val="0"/>
                <w:sz w:val="24"/>
                <w:szCs w:val="24"/>
                <w:u w:val="none"/>
                <w:lang w:val="en-US" w:eastAsia="zh-CN" w:bidi="ar"/>
              </w:rPr>
              <w:t>980.00</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pacing w:val="6"/>
                <w:sz w:val="24"/>
                <w:szCs w:val="24"/>
              </w:rPr>
            </w:pPr>
            <w:r>
              <w:rPr>
                <w:rFonts w:hint="eastAsia" w:ascii="宋体" w:hAnsi="宋体" w:eastAsia="宋体" w:cs="宋体"/>
                <w:i w:val="0"/>
                <w:iCs w:val="0"/>
                <w:snapToGrid w:val="0"/>
                <w:color w:val="000000"/>
                <w:kern w:val="0"/>
                <w:sz w:val="24"/>
                <w:szCs w:val="24"/>
                <w:u w:val="none"/>
                <w:lang w:val="en-US" w:eastAsia="zh-CN" w:bidi="ar"/>
              </w:rPr>
              <w:t>31360.00</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spacing w:before="41" w:line="225" w:lineRule="auto"/>
              <w:ind w:left="118"/>
              <w:jc w:val="center"/>
              <w:rPr>
                <w:rFonts w:hint="eastAsia" w:ascii="宋体" w:hAnsi="宋体" w:eastAsia="宋体" w:cs="宋体"/>
                <w:spacing w:val="6"/>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spacing w:before="41" w:line="225" w:lineRule="auto"/>
              <w:ind w:left="118"/>
              <w:jc w:val="center"/>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6</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spacing w:val="6"/>
                <w:sz w:val="24"/>
                <w:szCs w:val="24"/>
              </w:rPr>
            </w:pPr>
            <w:r>
              <w:rPr>
                <w:rFonts w:hint="eastAsia" w:ascii="宋体" w:hAnsi="宋体" w:eastAsia="宋体" w:cs="宋体"/>
                <w:i w:val="0"/>
                <w:iCs w:val="0"/>
                <w:snapToGrid w:val="0"/>
                <w:color w:val="000000"/>
                <w:kern w:val="0"/>
                <w:sz w:val="24"/>
                <w:szCs w:val="24"/>
                <w:u w:val="none"/>
                <w:lang w:val="en-US" w:eastAsia="zh-CN" w:bidi="ar"/>
              </w:rPr>
              <w:t>现场监控终端（内置快速建模和定位）</w:t>
            </w:r>
          </w:p>
        </w:tc>
        <w:tc>
          <w:tcPr>
            <w:tcW w:w="66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RT-10Z、1.体积：280*190*27mm ，</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2.重量≤1300g，</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3.操作系统：Windows 10系统；</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4.防护性能：IP65，有国家承认的检测机构出具的相关检测报告；</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5.采用可拆卸聚合物锂电池，电压：3.7V，电量：10000mAh；</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6.支持WiFi、蓝牙等多种通讯方式，支持GPS定位。</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7.支持现场预案管理</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（1）软件具备三维立体图形功能，能对重点单位群众人员逃生路线进行管理。</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（2）显示现场消防车辆、社会车辆、指挥车等力量部署进行管理。</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（3）显示消防水袋布置管理、仿真水炮灭火、火源模拟显示等功能。</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（4）具有楼宇人员紧急疏散模拟能。</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（5）定位和预案管理高度集中于一个软件中，形成一体化平台。</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8.建模方式：</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（1）无需专业数据库，采用模块化户型快速建模方法，随时随地可快速建立简单的各种建筑物外部及内部结构模型。</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（2）可导入大楼平面图进行快速建模功能。（3）可通过卫星地图定位到所在区域并快速勾勒出大楼模型进行建模。</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（4）可以分层建模，内部结构不同的层可以叠加在一起组成整体的楼宇。</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（5）支持根据采样轨迹建模。</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（6）支持DXF格式方便楼宇CAD图纸转换使用。</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（7）建模功能模块和定位功能模块集中于一个软件中，形成一体化平台。</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6.3.人员三维定位和轨迹模拟：根据人员所佩戴的定位终端传输回来的三维参数，在建筑模型中实现对消防人员的准确定位及高亮标注，便于后方指挥系统实时掌握救援第一线动态。同时根据人员定位设备传输回来的三维参数在建筑中实现人员行走轨迹实时动态模拟，每个的消防员行走的轨迹采用一种颜色表现，便于实时监控消防人员的位置，必须可以控制显示或隐藏该战士的轨迹，解决多人多轨迹混乱问题；对于许多极度危险区域，可以提示消防员做好防范，做到救援现场的高效风险防控。</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6.4.前场单兵导航式救援：火场中一旦有消防战士出现危险需要救援，指挥监控端可以通过把该遇险战士的行走历史轨迹以及当前坐标传输到搜救人员的手持搜救单兵终端中，该搜救人员就能沿着遇险战士的轨迹和坐标快速找到遇险战士，搜索过程中，手持终端必须支持语音播报，引导搜救人员行走方向，实现导航式搜救。</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6.5.系统本身带有三维构建和展示模块，三维场景中的楼层可以分层查看，查看时可以三维实体化查看的当前楼层格局及构件；可对特定构筑物在较短时间内实现三维建模。同时可以在显示终端能够对建筑三维模型实现缩放、平移、旋转定位功能，必须支持对建筑不同部分（外墙、内部墙壁、门、弧形墙壁、逃生箭头、文字标绘、通道、设备等）可视化漫游浏览，三维场景中必须具有前、后、左、右、上、下等视角查看功能。</w:t>
            </w:r>
          </w:p>
          <w:p>
            <w:pPr>
              <w:keepNext w:val="0"/>
              <w:keepLines w:val="0"/>
              <w:widowControl/>
              <w:suppressLineNumbers w:val="0"/>
              <w:jc w:val="left"/>
              <w:textAlignment w:val="center"/>
              <w:rPr>
                <w:rFonts w:hint="eastAsia" w:ascii="宋体" w:hAnsi="宋体" w:eastAsia="宋体" w:cs="宋体"/>
                <w:spacing w:val="6"/>
                <w:sz w:val="24"/>
                <w:szCs w:val="24"/>
              </w:rPr>
            </w:pPr>
            <w:r>
              <w:rPr>
                <w:rFonts w:hint="eastAsia" w:ascii="宋体" w:hAnsi="宋体" w:eastAsia="宋体" w:cs="宋体"/>
                <w:i w:val="0"/>
                <w:iCs w:val="0"/>
                <w:snapToGrid w:val="0"/>
                <w:color w:val="000000"/>
                <w:kern w:val="0"/>
                <w:sz w:val="24"/>
                <w:szCs w:val="24"/>
                <w:u w:val="none"/>
                <w:lang w:val="en-US" w:eastAsia="zh-CN" w:bidi="ar"/>
              </w:rPr>
              <w:t>6.6.可通过管理软件对定位端位置的移动轨迹进行回放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pacing w:val="6"/>
                <w:sz w:val="24"/>
                <w:szCs w:val="24"/>
              </w:rPr>
            </w:pPr>
            <w:r>
              <w:rPr>
                <w:rFonts w:hint="eastAsia" w:ascii="宋体" w:hAnsi="宋体" w:eastAsia="宋体" w:cs="宋体"/>
                <w:i w:val="0"/>
                <w:iCs w:val="0"/>
                <w:snapToGrid w:val="0"/>
                <w:color w:val="000000"/>
                <w:kern w:val="0"/>
                <w:sz w:val="24"/>
                <w:szCs w:val="24"/>
                <w:u w:val="none"/>
                <w:lang w:val="en-US" w:eastAsia="zh-CN" w:bidi="ar"/>
              </w:rPr>
              <w:t>2</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pacing w:val="6"/>
                <w:sz w:val="24"/>
                <w:szCs w:val="24"/>
              </w:rPr>
            </w:pPr>
            <w:r>
              <w:rPr>
                <w:rFonts w:hint="eastAsia" w:ascii="宋体" w:hAnsi="宋体" w:eastAsia="宋体" w:cs="宋体"/>
                <w:i w:val="0"/>
                <w:iCs w:val="0"/>
                <w:snapToGrid w:val="0"/>
                <w:color w:val="000000"/>
                <w:kern w:val="0"/>
                <w:sz w:val="24"/>
                <w:szCs w:val="24"/>
                <w:u w:val="none"/>
                <w:lang w:val="en-US" w:eastAsia="zh-CN" w:bidi="ar"/>
              </w:rPr>
              <w:t>99600.00</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pacing w:val="6"/>
                <w:sz w:val="24"/>
                <w:szCs w:val="24"/>
              </w:rPr>
            </w:pPr>
            <w:r>
              <w:rPr>
                <w:rFonts w:hint="eastAsia" w:ascii="宋体" w:hAnsi="宋体" w:eastAsia="宋体" w:cs="宋体"/>
                <w:i w:val="0"/>
                <w:iCs w:val="0"/>
                <w:snapToGrid w:val="0"/>
                <w:color w:val="000000"/>
                <w:kern w:val="0"/>
                <w:sz w:val="24"/>
                <w:szCs w:val="24"/>
                <w:u w:val="none"/>
                <w:lang w:val="en-US" w:eastAsia="zh-CN" w:bidi="ar"/>
              </w:rPr>
              <w:t>199200.00</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spacing w:before="41" w:line="225" w:lineRule="auto"/>
              <w:ind w:left="118"/>
              <w:jc w:val="center"/>
              <w:rPr>
                <w:rFonts w:hint="eastAsia" w:ascii="宋体" w:hAnsi="宋体" w:eastAsia="宋体" w:cs="宋体"/>
                <w:spacing w:val="6"/>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spacing w:before="41" w:line="225" w:lineRule="auto"/>
              <w:ind w:left="118"/>
              <w:jc w:val="center"/>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7</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spacing w:val="6"/>
                <w:sz w:val="24"/>
                <w:szCs w:val="24"/>
              </w:rPr>
            </w:pPr>
            <w:r>
              <w:rPr>
                <w:rFonts w:hint="eastAsia" w:ascii="宋体" w:hAnsi="宋体" w:eastAsia="宋体" w:cs="宋体"/>
                <w:i w:val="0"/>
                <w:iCs w:val="0"/>
                <w:snapToGrid w:val="0"/>
                <w:color w:val="000000"/>
                <w:kern w:val="0"/>
                <w:sz w:val="24"/>
                <w:szCs w:val="24"/>
                <w:u w:val="none"/>
                <w:lang w:val="en-US" w:eastAsia="zh-CN" w:bidi="ar"/>
              </w:rPr>
              <w:t>定位终端</w:t>
            </w:r>
          </w:p>
        </w:tc>
        <w:tc>
          <w:tcPr>
            <w:tcW w:w="66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TX119-DZ、（1）体积：95*45*15mm（2）重量≤84g </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（3）满电连续使用时间≥6小时。</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（4）水平精度误差不超过1%，垂直位置精度：能准确判断楼层</w:t>
            </w:r>
          </w:p>
          <w:p>
            <w:pPr>
              <w:keepNext w:val="0"/>
              <w:keepLines w:val="0"/>
              <w:widowControl/>
              <w:suppressLineNumbers w:val="0"/>
              <w:jc w:val="left"/>
              <w:textAlignment w:val="center"/>
              <w:rPr>
                <w:rFonts w:hint="eastAsia" w:ascii="宋体" w:hAnsi="宋体" w:eastAsia="宋体" w:cs="宋体"/>
                <w:spacing w:val="6"/>
                <w:sz w:val="24"/>
                <w:szCs w:val="24"/>
              </w:rPr>
            </w:pPr>
            <w:r>
              <w:rPr>
                <w:rFonts w:hint="eastAsia" w:ascii="宋体" w:hAnsi="宋体" w:eastAsia="宋体" w:cs="宋体"/>
                <w:i w:val="0"/>
                <w:iCs w:val="0"/>
                <w:snapToGrid w:val="0"/>
                <w:color w:val="000000"/>
                <w:kern w:val="0"/>
                <w:sz w:val="24"/>
                <w:szCs w:val="24"/>
                <w:u w:val="none"/>
                <w:lang w:val="en-US" w:eastAsia="zh-CN" w:bidi="ar"/>
              </w:rPr>
              <w:t>（5）防护性能：防水性能≥IP68,防爆等级：Ex ib IIC T4 Gb，有国家承认的检测机构出具的相关检测报告。</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pacing w:val="6"/>
                <w:sz w:val="24"/>
                <w:szCs w:val="24"/>
              </w:rPr>
            </w:pPr>
            <w:r>
              <w:rPr>
                <w:rFonts w:hint="eastAsia" w:ascii="宋体" w:hAnsi="宋体" w:eastAsia="宋体" w:cs="宋体"/>
                <w:i w:val="0"/>
                <w:iCs w:val="0"/>
                <w:snapToGrid w:val="0"/>
                <w:color w:val="000000"/>
                <w:kern w:val="0"/>
                <w:sz w:val="24"/>
                <w:szCs w:val="24"/>
                <w:u w:val="none"/>
                <w:lang w:val="en-US" w:eastAsia="zh-CN" w:bidi="ar"/>
              </w:rPr>
              <w:t>16</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pacing w:val="6"/>
                <w:sz w:val="24"/>
                <w:szCs w:val="24"/>
              </w:rPr>
            </w:pPr>
            <w:r>
              <w:rPr>
                <w:rFonts w:hint="eastAsia" w:ascii="宋体" w:hAnsi="宋体" w:eastAsia="宋体" w:cs="宋体"/>
                <w:i w:val="0"/>
                <w:iCs w:val="0"/>
                <w:snapToGrid w:val="0"/>
                <w:color w:val="000000"/>
                <w:kern w:val="0"/>
                <w:sz w:val="24"/>
                <w:szCs w:val="24"/>
                <w:u w:val="none"/>
                <w:lang w:val="en-US" w:eastAsia="zh-CN" w:bidi="ar"/>
              </w:rPr>
              <w:t>29900.00</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pacing w:val="6"/>
                <w:sz w:val="24"/>
                <w:szCs w:val="24"/>
              </w:rPr>
            </w:pPr>
            <w:r>
              <w:rPr>
                <w:rFonts w:hint="eastAsia" w:ascii="宋体" w:hAnsi="宋体" w:eastAsia="宋体" w:cs="宋体"/>
                <w:i w:val="0"/>
                <w:iCs w:val="0"/>
                <w:snapToGrid w:val="0"/>
                <w:color w:val="000000"/>
                <w:kern w:val="0"/>
                <w:sz w:val="24"/>
                <w:szCs w:val="24"/>
                <w:u w:val="none"/>
                <w:lang w:val="en-US" w:eastAsia="zh-CN" w:bidi="ar"/>
              </w:rPr>
              <w:t>478400.00</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spacing w:before="41" w:line="225" w:lineRule="auto"/>
              <w:ind w:left="118"/>
              <w:jc w:val="center"/>
              <w:rPr>
                <w:rFonts w:hint="eastAsia" w:ascii="宋体" w:hAnsi="宋体" w:eastAsia="宋体" w:cs="宋体"/>
                <w:spacing w:val="6"/>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spacing w:before="41" w:line="225" w:lineRule="auto"/>
              <w:ind w:left="118"/>
              <w:jc w:val="center"/>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8</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spacing w:val="6"/>
                <w:sz w:val="24"/>
                <w:szCs w:val="24"/>
              </w:rPr>
            </w:pPr>
            <w:r>
              <w:rPr>
                <w:rFonts w:hint="eastAsia" w:ascii="宋体" w:hAnsi="宋体" w:eastAsia="宋体" w:cs="宋体"/>
                <w:i w:val="0"/>
                <w:iCs w:val="0"/>
                <w:snapToGrid w:val="0"/>
                <w:color w:val="000000"/>
                <w:kern w:val="0"/>
                <w:sz w:val="24"/>
                <w:szCs w:val="24"/>
                <w:u w:val="none"/>
                <w:lang w:val="en-US" w:eastAsia="zh-CN" w:bidi="ar"/>
              </w:rPr>
              <w:t>单兵手持终端</w:t>
            </w:r>
          </w:p>
        </w:tc>
        <w:tc>
          <w:tcPr>
            <w:tcW w:w="66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E81、规格：长150mm(不含天线)*宽70mm*厚(不含背夹）35mm</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重量≤430g</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屏幕4.0英寸,多点触控</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机身内存64GB ROM+4GB RAM </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系统：Android系统</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CPU频率MTK，八核2.0GHz</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摄像头：前：500万像素 后：1300万像素。工作时间：≥8小时</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支持蓝牙、WIFI、公网、对讲等。具有GPS定位功能。</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防护等级：≥IP68,防爆等级：Ex ib IIC T4 Gb，有国家承认的检测机构出具的相关检测报告。</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通讯频率：400-480兆可调，可支持旋钮按不同分组选择频率。</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功能参数：</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（1）手持终端拥有可视化轨迹功能，手持终端人员可看见自己和遇险队友的轨迹。</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（2）手持终端内置雷达探测功能，队友之间可近距离探测，方便对遇险队友进行救援寻找。</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3）导航式救援功能，搜救终端可查看遇险人员轨迹，全程语音播报，可跟随遇险人员轨迹寻找。（4）搜救终端具有对讲功能，在缺少公网信号时使用。一方面可以顺利与同组及接收终端实现语音对讲。视距通讯距离达到2公里以上。</w:t>
            </w:r>
          </w:p>
          <w:p>
            <w:pPr>
              <w:keepNext w:val="0"/>
              <w:keepLines w:val="0"/>
              <w:widowControl/>
              <w:suppressLineNumbers w:val="0"/>
              <w:jc w:val="left"/>
              <w:textAlignment w:val="center"/>
              <w:rPr>
                <w:rFonts w:hint="eastAsia" w:ascii="宋体" w:hAnsi="宋体" w:eastAsia="宋体" w:cs="宋体"/>
                <w:spacing w:val="6"/>
                <w:sz w:val="24"/>
                <w:szCs w:val="24"/>
              </w:rPr>
            </w:pPr>
            <w:r>
              <w:rPr>
                <w:rFonts w:hint="eastAsia" w:ascii="宋体" w:hAnsi="宋体" w:eastAsia="宋体" w:cs="宋体"/>
                <w:i w:val="0"/>
                <w:iCs w:val="0"/>
                <w:snapToGrid w:val="0"/>
                <w:color w:val="000000"/>
                <w:kern w:val="0"/>
                <w:sz w:val="24"/>
                <w:szCs w:val="24"/>
                <w:u w:val="none"/>
                <w:lang w:val="en-US" w:eastAsia="zh-CN" w:bidi="ar"/>
              </w:rPr>
              <w:t>（5）人员姿态监控：可在现场监控终端呈现多种体姿（卧倒、站立、行走、跑步等）</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pacing w:val="6"/>
                <w:sz w:val="24"/>
                <w:szCs w:val="24"/>
              </w:rPr>
            </w:pPr>
            <w:r>
              <w:rPr>
                <w:rFonts w:hint="eastAsia" w:ascii="宋体" w:hAnsi="宋体" w:eastAsia="宋体" w:cs="宋体"/>
                <w:i w:val="0"/>
                <w:iCs w:val="0"/>
                <w:snapToGrid w:val="0"/>
                <w:color w:val="000000"/>
                <w:kern w:val="0"/>
                <w:sz w:val="24"/>
                <w:szCs w:val="24"/>
                <w:u w:val="none"/>
                <w:lang w:val="en-US" w:eastAsia="zh-CN" w:bidi="ar"/>
              </w:rPr>
              <w:t>16</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pacing w:val="6"/>
                <w:sz w:val="24"/>
                <w:szCs w:val="24"/>
              </w:rPr>
            </w:pPr>
            <w:r>
              <w:rPr>
                <w:rFonts w:hint="eastAsia" w:ascii="宋体" w:hAnsi="宋体" w:eastAsia="宋体" w:cs="宋体"/>
                <w:i w:val="0"/>
                <w:iCs w:val="0"/>
                <w:snapToGrid w:val="0"/>
                <w:color w:val="000000"/>
                <w:kern w:val="0"/>
                <w:sz w:val="24"/>
                <w:szCs w:val="24"/>
                <w:u w:val="none"/>
                <w:lang w:val="en-US" w:eastAsia="zh-CN" w:bidi="ar"/>
              </w:rPr>
              <w:t>19950.00</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pacing w:val="6"/>
                <w:sz w:val="24"/>
                <w:szCs w:val="24"/>
              </w:rPr>
            </w:pPr>
            <w:r>
              <w:rPr>
                <w:rFonts w:hint="eastAsia" w:ascii="宋体" w:hAnsi="宋体" w:eastAsia="宋体" w:cs="宋体"/>
                <w:i w:val="0"/>
                <w:iCs w:val="0"/>
                <w:snapToGrid w:val="0"/>
                <w:color w:val="000000"/>
                <w:kern w:val="0"/>
                <w:sz w:val="24"/>
                <w:szCs w:val="24"/>
                <w:u w:val="none"/>
                <w:lang w:val="en-US" w:eastAsia="zh-CN" w:bidi="ar"/>
              </w:rPr>
              <w:t>319200.00</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spacing w:before="41" w:line="225" w:lineRule="auto"/>
              <w:ind w:left="118"/>
              <w:jc w:val="center"/>
              <w:rPr>
                <w:rFonts w:hint="eastAsia" w:ascii="宋体" w:hAnsi="宋体" w:eastAsia="宋体" w:cs="宋体"/>
                <w:spacing w:val="6"/>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spacing w:before="41" w:line="225" w:lineRule="auto"/>
              <w:ind w:left="118"/>
              <w:jc w:val="center"/>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9</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spacing w:val="6"/>
                <w:sz w:val="24"/>
                <w:szCs w:val="24"/>
              </w:rPr>
            </w:pPr>
            <w:r>
              <w:rPr>
                <w:rFonts w:hint="eastAsia" w:ascii="宋体" w:hAnsi="宋体" w:eastAsia="宋体" w:cs="宋体"/>
                <w:i w:val="0"/>
                <w:iCs w:val="0"/>
                <w:snapToGrid w:val="0"/>
                <w:color w:val="000000"/>
                <w:kern w:val="0"/>
                <w:sz w:val="24"/>
                <w:szCs w:val="24"/>
                <w:u w:val="none"/>
                <w:lang w:val="en-US" w:eastAsia="zh-CN" w:bidi="ar"/>
              </w:rPr>
              <w:t>中继器</w:t>
            </w:r>
          </w:p>
        </w:tc>
        <w:tc>
          <w:tcPr>
            <w:tcW w:w="66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spacing w:val="6"/>
                <w:sz w:val="24"/>
                <w:szCs w:val="24"/>
              </w:rPr>
            </w:pPr>
            <w:r>
              <w:rPr>
                <w:rFonts w:hint="eastAsia" w:ascii="宋体" w:hAnsi="宋体" w:eastAsia="宋体" w:cs="宋体"/>
                <w:i w:val="0"/>
                <w:iCs w:val="0"/>
                <w:snapToGrid w:val="0"/>
                <w:color w:val="000000"/>
                <w:kern w:val="0"/>
                <w:sz w:val="24"/>
                <w:szCs w:val="24"/>
                <w:u w:val="none"/>
                <w:lang w:val="en-US" w:eastAsia="zh-CN" w:bidi="ar"/>
              </w:rPr>
              <w:t>E81、在灭火救援现场、复杂环境里，缺少互联网信号时使用，作为通信接力中转站。在关键拐角，如楼梯，大门等处可临时布置，增强自组网的信号传输和延展。</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pacing w:val="6"/>
                <w:sz w:val="24"/>
                <w:szCs w:val="24"/>
              </w:rPr>
            </w:pPr>
            <w:r>
              <w:rPr>
                <w:rFonts w:hint="eastAsia" w:ascii="宋体" w:hAnsi="宋体" w:eastAsia="宋体" w:cs="宋体"/>
                <w:i w:val="0"/>
                <w:iCs w:val="0"/>
                <w:snapToGrid w:val="0"/>
                <w:color w:val="000000"/>
                <w:kern w:val="0"/>
                <w:sz w:val="24"/>
                <w:szCs w:val="24"/>
                <w:u w:val="none"/>
                <w:lang w:val="en-US" w:eastAsia="zh-CN" w:bidi="ar"/>
              </w:rPr>
              <w:t>4</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pacing w:val="6"/>
                <w:sz w:val="24"/>
                <w:szCs w:val="24"/>
              </w:rPr>
            </w:pPr>
            <w:r>
              <w:rPr>
                <w:rFonts w:hint="eastAsia" w:ascii="宋体" w:hAnsi="宋体" w:eastAsia="宋体" w:cs="宋体"/>
                <w:i w:val="0"/>
                <w:iCs w:val="0"/>
                <w:snapToGrid w:val="0"/>
                <w:color w:val="000000"/>
                <w:kern w:val="0"/>
                <w:sz w:val="24"/>
                <w:szCs w:val="24"/>
                <w:u w:val="none"/>
                <w:lang w:val="en-US" w:eastAsia="zh-CN" w:bidi="ar"/>
              </w:rPr>
              <w:t>29900.00</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pacing w:val="6"/>
                <w:sz w:val="24"/>
                <w:szCs w:val="24"/>
              </w:rPr>
            </w:pPr>
            <w:r>
              <w:rPr>
                <w:rFonts w:hint="eastAsia" w:ascii="宋体" w:hAnsi="宋体" w:eastAsia="宋体" w:cs="宋体"/>
                <w:i w:val="0"/>
                <w:iCs w:val="0"/>
                <w:snapToGrid w:val="0"/>
                <w:color w:val="000000"/>
                <w:kern w:val="0"/>
                <w:sz w:val="24"/>
                <w:szCs w:val="24"/>
                <w:u w:val="none"/>
                <w:lang w:val="en-US" w:eastAsia="zh-CN" w:bidi="ar"/>
              </w:rPr>
              <w:t>119600.00</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spacing w:before="41" w:line="225" w:lineRule="auto"/>
              <w:ind w:left="118"/>
              <w:jc w:val="center"/>
              <w:rPr>
                <w:rFonts w:hint="eastAsia" w:ascii="宋体" w:hAnsi="宋体" w:eastAsia="宋体" w:cs="宋体"/>
                <w:spacing w:val="6"/>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spacing w:before="41" w:line="225" w:lineRule="auto"/>
              <w:ind w:left="118"/>
              <w:jc w:val="center"/>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10</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spacing w:val="6"/>
                <w:sz w:val="24"/>
                <w:szCs w:val="24"/>
              </w:rPr>
            </w:pPr>
            <w:r>
              <w:rPr>
                <w:rFonts w:hint="eastAsia" w:ascii="宋体" w:hAnsi="宋体" w:eastAsia="宋体" w:cs="宋体"/>
                <w:i w:val="0"/>
                <w:iCs w:val="0"/>
                <w:snapToGrid w:val="0"/>
                <w:color w:val="000000"/>
                <w:kern w:val="0"/>
                <w:sz w:val="24"/>
                <w:szCs w:val="24"/>
                <w:u w:val="none"/>
                <w:lang w:val="en-US" w:eastAsia="zh-CN" w:bidi="ar"/>
              </w:rPr>
              <w:t>接收终端</w:t>
            </w:r>
          </w:p>
        </w:tc>
        <w:tc>
          <w:tcPr>
            <w:tcW w:w="66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spacing w:val="6"/>
                <w:sz w:val="24"/>
                <w:szCs w:val="24"/>
              </w:rPr>
            </w:pPr>
            <w:r>
              <w:rPr>
                <w:rFonts w:hint="eastAsia" w:ascii="宋体" w:hAnsi="宋体" w:eastAsia="宋体" w:cs="宋体"/>
                <w:i w:val="0"/>
                <w:iCs w:val="0"/>
                <w:snapToGrid w:val="0"/>
                <w:color w:val="000000"/>
                <w:kern w:val="0"/>
                <w:sz w:val="24"/>
                <w:szCs w:val="24"/>
                <w:u w:val="none"/>
                <w:lang w:val="en-US" w:eastAsia="zh-CN" w:bidi="ar"/>
              </w:rPr>
              <w:t>E81、可与现场监控终端进行绑定，通过无线信号接收来自单兵导航搜救终端发来的各种（定位、语音、报警等）数据，可与前场佩戴单兵搜救终端进行语音对讲。</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pacing w:val="6"/>
                <w:sz w:val="24"/>
                <w:szCs w:val="24"/>
              </w:rPr>
            </w:pPr>
            <w:r>
              <w:rPr>
                <w:rFonts w:hint="eastAsia" w:ascii="宋体" w:hAnsi="宋体" w:eastAsia="宋体" w:cs="宋体"/>
                <w:i w:val="0"/>
                <w:iCs w:val="0"/>
                <w:snapToGrid w:val="0"/>
                <w:color w:val="000000"/>
                <w:kern w:val="0"/>
                <w:sz w:val="24"/>
                <w:szCs w:val="24"/>
                <w:u w:val="none"/>
                <w:lang w:val="en-US" w:eastAsia="zh-CN" w:bidi="ar"/>
              </w:rPr>
              <w:t>2</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pacing w:val="6"/>
                <w:sz w:val="24"/>
                <w:szCs w:val="24"/>
              </w:rPr>
            </w:pPr>
            <w:r>
              <w:rPr>
                <w:rFonts w:hint="eastAsia" w:ascii="宋体" w:hAnsi="宋体" w:eastAsia="宋体" w:cs="宋体"/>
                <w:i w:val="0"/>
                <w:iCs w:val="0"/>
                <w:snapToGrid w:val="0"/>
                <w:color w:val="000000"/>
                <w:kern w:val="0"/>
                <w:sz w:val="24"/>
                <w:szCs w:val="24"/>
                <w:u w:val="none"/>
                <w:lang w:val="en-US" w:eastAsia="zh-CN" w:bidi="ar"/>
              </w:rPr>
              <w:t>19980.00</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pacing w:val="6"/>
                <w:sz w:val="24"/>
                <w:szCs w:val="24"/>
              </w:rPr>
            </w:pPr>
            <w:r>
              <w:rPr>
                <w:rFonts w:hint="eastAsia" w:ascii="宋体" w:hAnsi="宋体" w:eastAsia="宋体" w:cs="宋体"/>
                <w:i w:val="0"/>
                <w:iCs w:val="0"/>
                <w:snapToGrid w:val="0"/>
                <w:color w:val="000000"/>
                <w:kern w:val="0"/>
                <w:sz w:val="24"/>
                <w:szCs w:val="24"/>
                <w:u w:val="none"/>
                <w:lang w:val="en-US" w:eastAsia="zh-CN" w:bidi="ar"/>
              </w:rPr>
              <w:t>39960.00</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spacing w:before="41" w:line="225" w:lineRule="auto"/>
              <w:ind w:left="118"/>
              <w:jc w:val="center"/>
              <w:rPr>
                <w:rFonts w:hint="eastAsia" w:ascii="宋体" w:hAnsi="宋体" w:eastAsia="宋体" w:cs="宋体"/>
                <w:spacing w:val="6"/>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6"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spacing w:before="41" w:line="225" w:lineRule="auto"/>
              <w:ind w:left="118"/>
              <w:jc w:val="center"/>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11</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spacing w:val="6"/>
                <w:sz w:val="24"/>
                <w:szCs w:val="24"/>
              </w:rPr>
            </w:pPr>
            <w:r>
              <w:rPr>
                <w:rFonts w:hint="eastAsia" w:ascii="宋体" w:hAnsi="宋体" w:eastAsia="宋体" w:cs="宋体"/>
                <w:i w:val="0"/>
                <w:iCs w:val="0"/>
                <w:snapToGrid w:val="0"/>
                <w:color w:val="000000"/>
                <w:kern w:val="0"/>
                <w:sz w:val="24"/>
                <w:szCs w:val="24"/>
                <w:u w:val="none"/>
                <w:lang w:val="en-US" w:eastAsia="zh-CN" w:bidi="ar"/>
              </w:rPr>
              <w:t>显示屏</w:t>
            </w:r>
          </w:p>
        </w:tc>
        <w:tc>
          <w:tcPr>
            <w:tcW w:w="66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24E2H、屏幕尺寸(对角) 23.8"W </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可视尺寸(对角) 60.47cm </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屏幕宽高比 16:9 </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点距0.2745(H)*0.2745(V)mm </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画面尺寸 527.04(H)*296.46(V)mm </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可视角度(水平/垂直)(典型值) 178°/178°(CR&gt;10) </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最大分辨率 1920x1080@60Hz (D-SUB) </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显示颜色 16.7M </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HDCP 功能 有 </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接口 D-Sub,HDMI,音频输出 </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即插即用 VESA DDC2B/CI </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喇叭 无 </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额定电源 </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100-240VAC, 50/60Hz, 1.5A </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外壳颜色 黑色 </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壁挂 VESA 100mm×100mm </w:t>
            </w:r>
          </w:p>
          <w:p>
            <w:pPr>
              <w:keepNext w:val="0"/>
              <w:keepLines w:val="0"/>
              <w:widowControl/>
              <w:suppressLineNumbers w:val="0"/>
              <w:jc w:val="left"/>
              <w:textAlignment w:val="center"/>
              <w:rPr>
                <w:rFonts w:hint="eastAsia" w:ascii="宋体" w:hAnsi="宋体" w:eastAsia="宋体" w:cs="宋体"/>
                <w:spacing w:val="6"/>
                <w:sz w:val="24"/>
                <w:szCs w:val="24"/>
              </w:rPr>
            </w:pPr>
            <w:r>
              <w:rPr>
                <w:rFonts w:hint="eastAsia" w:ascii="宋体" w:hAnsi="宋体" w:eastAsia="宋体" w:cs="宋体"/>
                <w:i w:val="0"/>
                <w:iCs w:val="0"/>
                <w:snapToGrid w:val="0"/>
                <w:color w:val="000000"/>
                <w:kern w:val="0"/>
                <w:sz w:val="24"/>
                <w:szCs w:val="24"/>
                <w:u w:val="none"/>
                <w:lang w:val="en-US" w:eastAsia="zh-CN" w:bidi="ar"/>
              </w:rPr>
              <w:t>快拆支架 支持</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pacing w:val="6"/>
                <w:sz w:val="24"/>
                <w:szCs w:val="24"/>
              </w:rPr>
            </w:pPr>
            <w:r>
              <w:rPr>
                <w:rFonts w:hint="eastAsia" w:ascii="宋体" w:hAnsi="宋体" w:eastAsia="宋体" w:cs="宋体"/>
                <w:i w:val="0"/>
                <w:iCs w:val="0"/>
                <w:snapToGrid w:val="0"/>
                <w:color w:val="000000"/>
                <w:kern w:val="0"/>
                <w:sz w:val="24"/>
                <w:szCs w:val="24"/>
                <w:u w:val="none"/>
                <w:lang w:val="en-US" w:eastAsia="zh-CN" w:bidi="ar"/>
              </w:rPr>
              <w:t>101</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pacing w:val="6"/>
                <w:sz w:val="24"/>
                <w:szCs w:val="24"/>
              </w:rPr>
            </w:pPr>
            <w:r>
              <w:rPr>
                <w:rFonts w:hint="eastAsia" w:ascii="宋体" w:hAnsi="宋体" w:eastAsia="宋体" w:cs="宋体"/>
                <w:i w:val="0"/>
                <w:iCs w:val="0"/>
                <w:snapToGrid w:val="0"/>
                <w:color w:val="000000"/>
                <w:kern w:val="0"/>
                <w:sz w:val="24"/>
                <w:szCs w:val="24"/>
                <w:u w:val="none"/>
                <w:lang w:val="en-US" w:eastAsia="zh-CN" w:bidi="ar"/>
              </w:rPr>
              <w:t>1020.00</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pacing w:val="6"/>
                <w:sz w:val="24"/>
                <w:szCs w:val="24"/>
              </w:rPr>
            </w:pPr>
            <w:r>
              <w:rPr>
                <w:rFonts w:hint="eastAsia" w:ascii="宋体" w:hAnsi="宋体" w:eastAsia="宋体" w:cs="宋体"/>
                <w:i w:val="0"/>
                <w:iCs w:val="0"/>
                <w:snapToGrid w:val="0"/>
                <w:color w:val="000000"/>
                <w:kern w:val="0"/>
                <w:sz w:val="24"/>
                <w:szCs w:val="24"/>
                <w:u w:val="none"/>
                <w:lang w:val="en-US" w:eastAsia="zh-CN" w:bidi="ar"/>
              </w:rPr>
              <w:t>103020.00</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spacing w:before="41" w:line="225" w:lineRule="auto"/>
              <w:ind w:left="118"/>
              <w:jc w:val="center"/>
              <w:rPr>
                <w:rFonts w:hint="eastAsia" w:ascii="宋体" w:hAnsi="宋体" w:eastAsia="宋体" w:cs="宋体"/>
                <w:spacing w:val="6"/>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11327" w:type="dxa"/>
            <w:gridSpan w:val="5"/>
            <w:tcBorders>
              <w:top w:val="single" w:color="000000" w:sz="4" w:space="0"/>
              <w:left w:val="single" w:color="000000" w:sz="4" w:space="0"/>
              <w:bottom w:val="single" w:color="000000" w:sz="4" w:space="0"/>
              <w:right w:val="single" w:color="000000" w:sz="4" w:space="0"/>
            </w:tcBorders>
            <w:noWrap w:val="0"/>
            <w:vAlign w:val="center"/>
          </w:tcPr>
          <w:p>
            <w:pPr>
              <w:spacing w:before="41" w:line="225" w:lineRule="auto"/>
              <w:ind w:left="118"/>
              <w:jc w:val="center"/>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总价（元）</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spacing w:before="41" w:line="225" w:lineRule="auto"/>
              <w:ind w:left="118"/>
              <w:jc w:val="center"/>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2600000.00</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spacing w:before="41" w:line="225" w:lineRule="auto"/>
              <w:ind w:left="118"/>
              <w:jc w:val="center"/>
              <w:rPr>
                <w:rFonts w:hint="eastAsia" w:ascii="宋体" w:hAnsi="宋体" w:eastAsia="宋体" w:cs="宋体"/>
                <w:spacing w:val="6"/>
                <w:sz w:val="24"/>
                <w:szCs w:val="24"/>
              </w:rPr>
            </w:pPr>
          </w:p>
        </w:tc>
      </w:tr>
    </w:tbl>
    <w:p/>
    <w:sectPr>
      <w:pgSz w:w="16838" w:h="11906" w:orient="landscape"/>
      <w:pgMar w:top="1417" w:right="1417" w:bottom="1417" w:left="1417"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2NTIzOGUxOWI4MmM3OWJjZDEzNjcwNDA2NTNkODYifQ=="/>
  </w:docVars>
  <w:rsids>
    <w:rsidRoot w:val="67F05F7F"/>
    <w:rsid w:val="06BA4942"/>
    <w:rsid w:val="32946B8D"/>
    <w:rsid w:val="3C6A05D8"/>
    <w:rsid w:val="40B064A6"/>
    <w:rsid w:val="51917BE7"/>
    <w:rsid w:val="67F05F7F"/>
    <w:rsid w:val="71F709BC"/>
    <w:rsid w:val="74FD2130"/>
    <w:rsid w:val="7F952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next w:val="1"/>
    <w:link w:val="12"/>
    <w:qFormat/>
    <w:uiPriority w:val="0"/>
    <w:pPr>
      <w:keepNext/>
      <w:widowControl/>
      <w:spacing w:line="360" w:lineRule="auto"/>
      <w:jc w:val="center"/>
      <w:outlineLvl w:val="0"/>
    </w:pPr>
    <w:rPr>
      <w:rFonts w:ascii="黑体" w:hAnsi="黑体" w:eastAsia="宋体" w:cs="Times New Roman"/>
      <w:kern w:val="0"/>
      <w:sz w:val="32"/>
      <w:szCs w:val="20"/>
    </w:rPr>
  </w:style>
  <w:style w:type="paragraph" w:styleId="4">
    <w:name w:val="heading 2"/>
    <w:basedOn w:val="1"/>
    <w:next w:val="1"/>
    <w:link w:val="13"/>
    <w:semiHidden/>
    <w:unhideWhenUsed/>
    <w:qFormat/>
    <w:uiPriority w:val="0"/>
    <w:pPr>
      <w:keepNext/>
      <w:keepLines/>
      <w:spacing w:beforeLines="0" w:beforeAutospacing="0" w:afterLines="0" w:afterAutospacing="0" w:line="360" w:lineRule="auto"/>
      <w:outlineLvl w:val="1"/>
    </w:pPr>
    <w:rPr>
      <w:rFonts w:ascii="Arial" w:hAnsi="Arial" w:eastAsia="宋体"/>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next w:val="1"/>
    <w:qFormat/>
    <w:uiPriority w:val="99"/>
    <w:pPr>
      <w:kinsoku w:val="0"/>
      <w:autoSpaceDE w:val="0"/>
      <w:autoSpaceDN w:val="0"/>
      <w:adjustRightInd w:val="0"/>
      <w:snapToGrid w:val="0"/>
      <w:spacing w:after="120" w:line="480" w:lineRule="exact"/>
      <w:ind w:left="420" w:leftChars="200" w:firstLine="420"/>
      <w:jc w:val="left"/>
      <w:textAlignment w:val="baseline"/>
    </w:pPr>
    <w:rPr>
      <w:rFonts w:ascii="Arial" w:hAnsi="Arial" w:eastAsia="Arial" w:cs="Arial"/>
      <w:snapToGrid w:val="0"/>
      <w:color w:val="000000"/>
      <w:kern w:val="0"/>
      <w:sz w:val="21"/>
      <w:szCs w:val="20"/>
    </w:rPr>
  </w:style>
  <w:style w:type="paragraph" w:styleId="5">
    <w:name w:val="Body Text"/>
    <w:basedOn w:val="1"/>
    <w:uiPriority w:val="0"/>
    <w:pPr>
      <w:spacing w:after="120" w:afterLines="0" w:afterAutospacing="0"/>
    </w:pPr>
  </w:style>
  <w:style w:type="paragraph" w:styleId="6">
    <w:name w:val="Body Text Indent"/>
    <w:next w:val="7"/>
    <w:qFormat/>
    <w:uiPriority w:val="0"/>
    <w:pPr>
      <w:kinsoku w:val="0"/>
      <w:autoSpaceDE w:val="0"/>
      <w:autoSpaceDN w:val="0"/>
      <w:adjustRightInd w:val="0"/>
      <w:snapToGrid w:val="0"/>
      <w:spacing w:after="120" w:line="240" w:lineRule="auto"/>
      <w:ind w:left="420" w:leftChars="200"/>
      <w:jc w:val="left"/>
      <w:textAlignment w:val="baseline"/>
    </w:pPr>
    <w:rPr>
      <w:rFonts w:ascii="Arial" w:hAnsi="Arial" w:eastAsia="Arial" w:cs="Arial"/>
      <w:snapToGrid w:val="0"/>
      <w:color w:val="000000"/>
      <w:kern w:val="0"/>
      <w:sz w:val="21"/>
      <w:szCs w:val="21"/>
    </w:rPr>
  </w:style>
  <w:style w:type="paragraph" w:styleId="7">
    <w:name w:val="envelope return"/>
    <w:qFormat/>
    <w:uiPriority w:val="99"/>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8">
    <w:name w:val="footer"/>
    <w:qFormat/>
    <w:uiPriority w:val="0"/>
    <w:pPr>
      <w:tabs>
        <w:tab w:val="center" w:pos="4153"/>
        <w:tab w:val="right" w:pos="8306"/>
      </w:tabs>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18"/>
      <w:szCs w:val="21"/>
    </w:rPr>
  </w:style>
  <w:style w:type="paragraph" w:styleId="9">
    <w:name w:val="header"/>
    <w:qFormat/>
    <w:uiPriority w:val="0"/>
    <w:pPr>
      <w:pBdr>
        <w:top w:val="none" w:color="auto" w:sz="0" w:space="1"/>
        <w:left w:val="none" w:color="auto" w:sz="0" w:space="4"/>
        <w:bottom w:val="none" w:color="auto" w:sz="0" w:space="1"/>
        <w:right w:val="none" w:color="auto" w:sz="0" w:space="4"/>
      </w:pBdr>
      <w:tabs>
        <w:tab w:val="center" w:pos="4153"/>
        <w:tab w:val="right" w:pos="8306"/>
      </w:tabs>
      <w:kinsoku w:val="0"/>
      <w:autoSpaceDE w:val="0"/>
      <w:autoSpaceDN w:val="0"/>
      <w:adjustRightInd w:val="0"/>
      <w:snapToGrid w:val="0"/>
      <w:spacing w:line="240" w:lineRule="auto"/>
      <w:jc w:val="both"/>
      <w:textAlignment w:val="baseline"/>
      <w:outlineLvl w:val="9"/>
    </w:pPr>
    <w:rPr>
      <w:rFonts w:ascii="Arial" w:hAnsi="Arial" w:eastAsia="Arial" w:cs="Arial"/>
      <w:snapToGrid w:val="0"/>
      <w:color w:val="000000"/>
      <w:kern w:val="0"/>
      <w:sz w:val="18"/>
      <w:szCs w:val="21"/>
    </w:rPr>
  </w:style>
  <w:style w:type="character" w:customStyle="1" w:styleId="12">
    <w:name w:val="标题 1 Char"/>
    <w:link w:val="3"/>
    <w:qFormat/>
    <w:uiPriority w:val="0"/>
    <w:rPr>
      <w:rFonts w:eastAsia="宋体" w:cs="Times New Roman"/>
      <w:b/>
      <w:kern w:val="44"/>
      <w:sz w:val="32"/>
    </w:rPr>
  </w:style>
  <w:style w:type="character" w:customStyle="1" w:styleId="13">
    <w:name w:val="标题 2 Char"/>
    <w:link w:val="4"/>
    <w:qFormat/>
    <w:uiPriority w:val="0"/>
    <w:rPr>
      <w:rFonts w:ascii="Arial" w:hAnsi="Arial" w:eastAsia="宋体"/>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2023-01-16T08:45:00Z</dcterms:created>
  <dc:creator>Ronaldo</dc:creator>
  <cp:lastModifiedBy>Ronaldo</cp:lastModifiedBy>
  <dcterms:modified xsi:type="dcterms:W3CDTF">2023-01-16T08:46:44Z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1908FC9B2C834055B6EAC7DD25454D9D</vt:lpwstr>
  </property>
</Properties>
</file>