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5" w:beforeAutospacing="0" w:after="75" w:afterAutospacing="0"/>
        <w:jc w:val="center"/>
        <w:rPr>
          <w:rFonts w:ascii="宋体" w:hAnsi="宋体" w:eastAsia="宋体" w:cs="宋体"/>
        </w:rPr>
      </w:pPr>
      <w:bookmarkStart w:id="1" w:name="_GoBack"/>
      <w:bookmarkEnd w:id="1"/>
      <w:r>
        <w:rPr>
          <w:rStyle w:val="13"/>
          <w:rFonts w:hint="eastAsia" w:cs="宋体"/>
          <w:sz w:val="43"/>
          <w:szCs w:val="43"/>
          <w:lang w:val="en-US" w:eastAsia="zh-CN"/>
        </w:rPr>
        <w:t xml:space="preserve">  </w:t>
      </w:r>
      <w:r>
        <w:rPr>
          <w:rStyle w:val="13"/>
          <w:rFonts w:hint="eastAsia" w:ascii="宋体" w:hAnsi="宋体" w:eastAsia="宋体" w:cs="宋体"/>
          <w:sz w:val="43"/>
          <w:szCs w:val="43"/>
        </w:rPr>
        <w:t>采购邀请书 </w:t>
      </w:r>
      <w:r>
        <w:t> </w:t>
      </w:r>
      <w:r>
        <w:rPr>
          <w:rFonts w:hint="eastAsia" w:ascii="宋体" w:hAnsi="宋体" w:eastAsia="宋体" w:cs="宋体"/>
        </w:rPr>
        <w:t> </w:t>
      </w:r>
    </w:p>
    <w:p>
      <w:pPr>
        <w:pStyle w:val="10"/>
        <w:widowControl/>
        <w:spacing w:before="75" w:beforeAutospacing="0" w:after="75" w:afterAutospacing="0"/>
        <w:jc w:val="center"/>
        <w:rPr>
          <w:rFonts w:ascii="宋体" w:hAnsi="宋体" w:eastAsia="宋体" w:cs="宋体"/>
        </w:rPr>
      </w:pPr>
      <w:r>
        <w:rPr>
          <w:rStyle w:val="13"/>
          <w:rFonts w:hint="eastAsia" w:ascii="宋体" w:hAnsi="宋体" w:eastAsia="宋体" w:cs="宋体"/>
          <w:sz w:val="36"/>
          <w:szCs w:val="36"/>
        </w:rPr>
        <w:t>竞争性磋商采购公告</w:t>
      </w:r>
      <w:r>
        <w:rPr>
          <w:rFonts w:hint="eastAsia" w:ascii="宋体" w:hAnsi="宋体" w:eastAsia="宋体" w:cs="宋体"/>
        </w:rPr>
        <w:t> </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pPr>
      <w:r>
        <w:rPr>
          <w:rFonts w:hint="eastAsia" w:ascii="宋体" w:hAnsi="宋体" w:eastAsia="宋体" w:cs="宋体"/>
          <w:color w:val="000000" w:themeColor="text1"/>
          <w:u w:val="single"/>
          <w:lang w:eastAsia="zh-CN"/>
        </w:rPr>
        <w:t>浦城县应急管理局</w:t>
      </w:r>
      <w:r>
        <w:rPr>
          <w:rFonts w:hint="eastAsia" w:ascii="宋体" w:hAnsi="宋体" w:eastAsia="宋体" w:cs="宋体"/>
          <w:color w:val="000000" w:themeColor="text1"/>
        </w:rPr>
        <w:t>已</w:t>
      </w:r>
      <w:r>
        <w:rPr>
          <w:rFonts w:hint="eastAsia" w:ascii="宋体" w:hAnsi="宋体" w:eastAsia="宋体" w:cs="宋体"/>
        </w:rPr>
        <w:t>根据政府采购相关法律法规，经相应程序确定采用</w:t>
      </w:r>
      <w:r>
        <w:rPr>
          <w:rFonts w:hint="eastAsia" w:ascii="宋体" w:hAnsi="宋体" w:eastAsia="宋体" w:cs="宋体"/>
          <w:u w:val="single"/>
        </w:rPr>
        <w:t>竞争性磋商</w:t>
      </w:r>
      <w:r>
        <w:rPr>
          <w:rFonts w:hint="eastAsia" w:ascii="宋体" w:hAnsi="宋体" w:eastAsia="宋体" w:cs="宋体"/>
        </w:rPr>
        <w:t>方式组织</w:t>
      </w:r>
      <w:r>
        <w:rPr>
          <w:rFonts w:hint="eastAsia" w:ascii="宋体" w:hAnsi="宋体" w:eastAsia="宋体" w:cs="宋体"/>
          <w:u w:val="single"/>
          <w:lang w:eastAsia="zh-CN"/>
        </w:rPr>
        <w:t>浦城县应急管理局企业标准化创建和定级评审单位购买服务采购项目</w:t>
      </w:r>
      <w:r>
        <w:rPr>
          <w:rFonts w:hint="eastAsia" w:ascii="宋体" w:hAnsi="宋体" w:eastAsia="宋体" w:cs="宋体"/>
        </w:rPr>
        <w:t>（以下简称：“本项目”）的政府采购活动，现欢迎国内合格的供应商前来参加。本项目由采购人委托</w:t>
      </w:r>
      <w:r>
        <w:rPr>
          <w:rFonts w:hint="eastAsia" w:ascii="宋体" w:hAnsi="宋体" w:eastAsia="宋体" w:cs="宋体"/>
          <w:u w:val="single"/>
        </w:rPr>
        <w:t>福建众亿工程项目管理有限公司</w:t>
      </w:r>
      <w:r>
        <w:rPr>
          <w:rFonts w:hint="eastAsia" w:ascii="宋体" w:hAnsi="宋体" w:eastAsia="宋体" w:cs="宋体"/>
        </w:rPr>
        <w:t>开展竞争性磋商活动。</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1.项目名称：</w:t>
      </w:r>
      <w:r>
        <w:rPr>
          <w:rFonts w:hint="eastAsia" w:ascii="宋体" w:hAnsi="宋体" w:eastAsia="宋体" w:cs="宋体"/>
          <w:lang w:eastAsia="zh-CN"/>
        </w:rPr>
        <w:t>浦城县应急管理局企业标准化创建和定级评审单位购买服务采购项目</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2.</w:t>
      </w:r>
      <w:r>
        <w:rPr>
          <w:rFonts w:hint="eastAsia" w:ascii="宋体" w:hAnsi="宋体" w:eastAsia="宋体" w:cs="宋体"/>
          <w:spacing w:val="0"/>
          <w:sz w:val="24"/>
          <w:szCs w:val="24"/>
        </w:rPr>
        <w:t>备案编号：</w:t>
      </w:r>
      <w:r>
        <w:rPr>
          <w:rFonts w:hint="eastAsia" w:ascii="宋体" w:hAnsi="宋体" w:eastAsia="宋体" w:cs="宋体"/>
          <w:spacing w:val="0"/>
          <w:sz w:val="24"/>
          <w:szCs w:val="24"/>
          <w:u w:val="single"/>
          <w:lang w:val="en-US" w:eastAsia="zh-CN"/>
        </w:rPr>
        <w:t xml:space="preserve"> / </w:t>
      </w:r>
      <w:r>
        <w:rPr>
          <w:rFonts w:hint="eastAsia" w:ascii="宋体" w:hAnsi="宋体" w:eastAsia="宋体" w:cs="宋体"/>
          <w:spacing w:val="0"/>
          <w:sz w:val="24"/>
          <w:szCs w:val="24"/>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3.项目编号：</w:t>
      </w:r>
      <w:r>
        <w:rPr>
          <w:rFonts w:hint="eastAsia" w:ascii="宋体" w:hAnsi="宋体" w:eastAsia="宋体" w:cs="宋体"/>
          <w:lang w:eastAsia="zh-CN"/>
        </w:rPr>
        <w:t>FJZY浦采招[2023]-001号</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4.采购内容及要求：</w:t>
      </w:r>
    </w:p>
    <w:p>
      <w:pPr>
        <w:pStyle w:val="10"/>
        <w:keepNext w:val="0"/>
        <w:keepLines w:val="0"/>
        <w:pageBreakBefore w:val="0"/>
        <w:widowControl/>
        <w:kinsoku/>
        <w:wordWrap/>
        <w:overflowPunct/>
        <w:topLinePunct w:val="0"/>
        <w:autoSpaceDE/>
        <w:autoSpaceDN/>
        <w:bidi w:val="0"/>
        <w:adjustRightInd/>
        <w:snapToGrid/>
        <w:spacing w:line="380" w:lineRule="exact"/>
        <w:jc w:val="center"/>
        <w:textAlignment w:val="auto"/>
      </w:pPr>
      <w:r>
        <w:rPr>
          <w:rFonts w:hint="eastAsia" w:ascii="宋体" w:hAnsi="宋体" w:eastAsia="宋体" w:cs="宋体"/>
          <w:lang w:val="en-US" w:eastAsia="zh-CN"/>
        </w:rPr>
        <w:t xml:space="preserve">                                                        </w:t>
      </w:r>
      <w:r>
        <w:rPr>
          <w:rFonts w:hint="eastAsia" w:ascii="宋体" w:hAnsi="宋体" w:eastAsia="宋体" w:cs="宋体"/>
        </w:rPr>
        <w:t>金额单位：人民币元</w:t>
      </w:r>
    </w:p>
    <w:tbl>
      <w:tblPr>
        <w:tblStyle w:val="11"/>
        <w:tblW w:w="5192"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4"/>
        <w:gridCol w:w="783"/>
        <w:gridCol w:w="2486"/>
        <w:gridCol w:w="817"/>
        <w:gridCol w:w="1132"/>
        <w:gridCol w:w="763"/>
        <w:gridCol w:w="1157"/>
        <w:gridCol w:w="1125"/>
        <w:gridCol w:w="9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Header/>
          <w:jc w:val="center"/>
        </w:trPr>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合同包</w:t>
            </w: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w:t>
            </w:r>
            <w:r>
              <w:rPr>
                <w:rFonts w:hint="eastAsia" w:ascii="宋体" w:hAnsi="宋体" w:eastAsia="宋体" w:cs="宋体"/>
                <w:kern w:val="0"/>
                <w:sz w:val="24"/>
                <w:lang w:val="en-US" w:eastAsia="zh-CN"/>
              </w:rPr>
              <w:t xml:space="preserve"> </w:t>
            </w:r>
            <w:r>
              <w:rPr>
                <w:rFonts w:ascii="宋体" w:hAnsi="宋体" w:eastAsia="宋体" w:cs="宋体"/>
                <w:kern w:val="0"/>
                <w:sz w:val="24"/>
              </w:rPr>
              <w:t>号</w:t>
            </w:r>
          </w:p>
        </w:tc>
        <w:tc>
          <w:tcPr>
            <w:tcW w:w="126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采购标的</w:t>
            </w:r>
          </w:p>
        </w:tc>
        <w:tc>
          <w:tcPr>
            <w:tcW w:w="41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数量</w:t>
            </w:r>
          </w:p>
        </w:tc>
        <w:tc>
          <w:tcPr>
            <w:tcW w:w="57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ascii="宋体" w:hAnsi="宋体" w:eastAsia="宋体" w:cs="宋体"/>
                <w:kern w:val="0"/>
                <w:sz w:val="24"/>
              </w:rPr>
              <w:t>预算</w:t>
            </w:r>
          </w:p>
        </w:tc>
        <w:tc>
          <w:tcPr>
            <w:tcW w:w="3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ascii="宋体" w:hAnsi="宋体" w:eastAsia="宋体" w:cs="宋体"/>
                <w:kern w:val="0"/>
                <w:sz w:val="24"/>
              </w:rPr>
              <w:t>允许</w:t>
            </w:r>
          </w:p>
          <w:p>
            <w:pPr>
              <w:widowControl/>
              <w:jc w:val="center"/>
              <w:rPr>
                <w:rFonts w:ascii="宋体" w:hAnsi="宋体" w:eastAsia="宋体" w:cs="宋体"/>
                <w:kern w:val="0"/>
                <w:sz w:val="24"/>
              </w:rPr>
            </w:pPr>
            <w:r>
              <w:rPr>
                <w:rFonts w:ascii="宋体" w:hAnsi="宋体" w:eastAsia="宋体" w:cs="宋体"/>
                <w:kern w:val="0"/>
                <w:sz w:val="24"/>
              </w:rPr>
              <w:t>进口</w:t>
            </w:r>
          </w:p>
        </w:tc>
        <w:tc>
          <w:tcPr>
            <w:tcW w:w="5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szCs w:val="24"/>
                <w:lang w:eastAsia="zh-CN"/>
              </w:rPr>
              <w:t>合同包</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预</w:t>
            </w:r>
            <w:r>
              <w:rPr>
                <w:rFonts w:hint="eastAsia" w:ascii="宋体" w:hAnsi="宋体" w:eastAsia="宋体" w:cs="宋体"/>
                <w:kern w:val="0"/>
                <w:sz w:val="24"/>
                <w:szCs w:val="24"/>
                <w:lang w:eastAsia="zh-CN"/>
              </w:rPr>
              <w:t>算</w:t>
            </w:r>
            <w:r>
              <w:rPr>
                <w:rFonts w:hint="eastAsia" w:ascii="宋体" w:hAnsi="宋体" w:eastAsia="宋体" w:cs="宋体"/>
                <w:kern w:val="0"/>
                <w:sz w:val="24"/>
              </w:rPr>
              <w:t xml:space="preserve"> </w:t>
            </w:r>
          </w:p>
        </w:tc>
        <w:tc>
          <w:tcPr>
            <w:tcW w:w="57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最高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限价 </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ascii="宋体" w:hAnsi="宋体" w:eastAsia="宋体" w:cs="宋体"/>
                <w:kern w:val="0"/>
                <w:sz w:val="24"/>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37" w:type="pct"/>
            <w:vMerge w:val="restart"/>
            <w:tcBorders>
              <w:top w:val="outset" w:color="auto" w:sz="6" w:space="0"/>
              <w:left w:val="outset" w:color="auto" w:sz="6" w:space="0"/>
              <w:right w:val="outset" w:color="auto" w:sz="6" w:space="0"/>
            </w:tcBorders>
            <w:shd w:val="clear" w:color="auto" w:fill="auto"/>
            <w:vAlign w:val="center"/>
          </w:tcPr>
          <w:p>
            <w:pPr>
              <w:widowControl/>
              <w:jc w:val="center"/>
              <w:rPr>
                <w:sz w:val="21"/>
                <w:szCs w:val="21"/>
              </w:rPr>
            </w:pPr>
            <w:r>
              <w:rPr>
                <w:rFonts w:ascii="宋体" w:hAnsi="宋体" w:eastAsia="宋体" w:cs="宋体"/>
                <w:kern w:val="0"/>
                <w:sz w:val="21"/>
                <w:szCs w:val="21"/>
              </w:rPr>
              <w:t>1</w:t>
            </w: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sz w:val="21"/>
                <w:szCs w:val="21"/>
              </w:rPr>
            </w:pPr>
            <w:r>
              <w:rPr>
                <w:rFonts w:ascii="宋体" w:hAnsi="宋体" w:eastAsia="宋体" w:cs="宋体"/>
                <w:kern w:val="0"/>
                <w:sz w:val="21"/>
                <w:szCs w:val="21"/>
              </w:rPr>
              <w:t>1-1</w:t>
            </w:r>
          </w:p>
        </w:tc>
        <w:tc>
          <w:tcPr>
            <w:tcW w:w="126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eastAsia="宋体"/>
                <w:sz w:val="21"/>
                <w:szCs w:val="21"/>
                <w:lang w:val="en-US" w:eastAsia="zh-CN"/>
              </w:rPr>
            </w:pPr>
            <w:r>
              <w:rPr>
                <w:rFonts w:hint="eastAsia" w:ascii="宋体" w:hAnsi="宋体" w:eastAsia="宋体" w:cs="宋体"/>
                <w:kern w:val="0"/>
                <w:sz w:val="21"/>
                <w:szCs w:val="21"/>
                <w:lang w:val="en-US" w:eastAsia="zh-CN" w:bidi="ar"/>
              </w:rPr>
              <w:t>其他专业技术服务</w:t>
            </w:r>
          </w:p>
        </w:tc>
        <w:tc>
          <w:tcPr>
            <w:tcW w:w="41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sz w:val="21"/>
                <w:szCs w:val="21"/>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套</w:t>
            </w:r>
            <w:r>
              <w:rPr>
                <w:rFonts w:ascii="宋体" w:hAnsi="宋体" w:eastAsia="宋体" w:cs="宋体"/>
                <w:kern w:val="0"/>
                <w:sz w:val="21"/>
                <w:szCs w:val="21"/>
              </w:rPr>
              <w:t>)</w:t>
            </w:r>
          </w:p>
        </w:tc>
        <w:tc>
          <w:tcPr>
            <w:tcW w:w="57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42400</w:t>
            </w:r>
          </w:p>
        </w:tc>
        <w:tc>
          <w:tcPr>
            <w:tcW w:w="3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否</w:t>
            </w:r>
          </w:p>
        </w:tc>
        <w:tc>
          <w:tcPr>
            <w:tcW w:w="5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000000" w:themeColor="text1"/>
                <w:sz w:val="21"/>
                <w:szCs w:val="21"/>
              </w:rPr>
            </w:pPr>
            <w:r>
              <w:rPr>
                <w:rFonts w:hint="eastAsia" w:ascii="宋体" w:hAnsi="宋体" w:eastAsia="宋体" w:cs="宋体"/>
                <w:color w:val="000000" w:themeColor="text1"/>
                <w:kern w:val="0"/>
                <w:sz w:val="21"/>
                <w:szCs w:val="21"/>
                <w:lang w:val="en-US" w:eastAsia="zh-CN"/>
              </w:rPr>
              <w:t>42400</w:t>
            </w:r>
          </w:p>
        </w:tc>
        <w:tc>
          <w:tcPr>
            <w:tcW w:w="57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42400</w:t>
            </w:r>
          </w:p>
        </w:tc>
        <w:tc>
          <w:tcPr>
            <w:tcW w:w="467" w:type="pct"/>
            <w:vMerge w:val="restart"/>
            <w:tcBorders>
              <w:top w:val="outset" w:color="auto" w:sz="6" w:space="0"/>
              <w:left w:val="outset" w:color="auto" w:sz="6" w:space="0"/>
              <w:right w:val="outset" w:color="auto" w:sz="6" w:space="0"/>
            </w:tcBorders>
            <w:shd w:val="clear" w:color="auto" w:fill="auto"/>
            <w:vAlign w:val="center"/>
          </w:tcPr>
          <w:p>
            <w:pPr>
              <w:widowControl/>
              <w:jc w:val="center"/>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3253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37" w:type="pct"/>
            <w:vMerge w:val="continue"/>
            <w:tcBorders>
              <w:left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1-2</w:t>
            </w:r>
          </w:p>
        </w:tc>
        <w:tc>
          <w:tcPr>
            <w:tcW w:w="126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其他专业技术服务</w:t>
            </w:r>
          </w:p>
        </w:tc>
        <w:tc>
          <w:tcPr>
            <w:tcW w:w="41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套</w:t>
            </w:r>
            <w:r>
              <w:rPr>
                <w:rFonts w:ascii="宋体" w:hAnsi="宋体" w:eastAsia="宋体" w:cs="宋体"/>
                <w:kern w:val="0"/>
                <w:sz w:val="21"/>
                <w:szCs w:val="21"/>
              </w:rPr>
              <w:t>)</w:t>
            </w:r>
          </w:p>
        </w:tc>
        <w:tc>
          <w:tcPr>
            <w:tcW w:w="57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43500</w:t>
            </w:r>
          </w:p>
        </w:tc>
        <w:tc>
          <w:tcPr>
            <w:tcW w:w="3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否</w:t>
            </w:r>
          </w:p>
        </w:tc>
        <w:tc>
          <w:tcPr>
            <w:tcW w:w="5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43500</w:t>
            </w:r>
          </w:p>
        </w:tc>
        <w:tc>
          <w:tcPr>
            <w:tcW w:w="57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43500</w:t>
            </w:r>
          </w:p>
        </w:tc>
        <w:tc>
          <w:tcPr>
            <w:tcW w:w="467" w:type="pct"/>
            <w:vMerge w:val="continue"/>
            <w:tcBorders>
              <w:left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37" w:type="pct"/>
            <w:vMerge w:val="continue"/>
            <w:tcBorders>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p>
        </w:tc>
        <w:tc>
          <w:tcPr>
            <w:tcW w:w="39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1-3</w:t>
            </w:r>
          </w:p>
        </w:tc>
        <w:tc>
          <w:tcPr>
            <w:tcW w:w="126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其他专业技术服务</w:t>
            </w:r>
          </w:p>
        </w:tc>
        <w:tc>
          <w:tcPr>
            <w:tcW w:w="41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套</w:t>
            </w:r>
            <w:r>
              <w:rPr>
                <w:rFonts w:ascii="宋体" w:hAnsi="宋体" w:eastAsia="宋体" w:cs="宋体"/>
                <w:kern w:val="0"/>
                <w:sz w:val="21"/>
                <w:szCs w:val="21"/>
              </w:rPr>
              <w:t>)</w:t>
            </w:r>
          </w:p>
        </w:tc>
        <w:tc>
          <w:tcPr>
            <w:tcW w:w="57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239400</w:t>
            </w:r>
          </w:p>
        </w:tc>
        <w:tc>
          <w:tcPr>
            <w:tcW w:w="3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否</w:t>
            </w:r>
          </w:p>
        </w:tc>
        <w:tc>
          <w:tcPr>
            <w:tcW w:w="58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239400</w:t>
            </w:r>
          </w:p>
        </w:tc>
        <w:tc>
          <w:tcPr>
            <w:tcW w:w="57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239400</w:t>
            </w:r>
          </w:p>
        </w:tc>
        <w:tc>
          <w:tcPr>
            <w:tcW w:w="467" w:type="pct"/>
            <w:vMerge w:val="continue"/>
            <w:tcBorders>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1"/>
                <w:szCs w:val="21"/>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lang w:val="en-US" w:eastAsia="zh-CN"/>
        </w:rPr>
        <w:t>5</w:t>
      </w:r>
      <w:r>
        <w:rPr>
          <w:rFonts w:hint="eastAsia" w:ascii="宋体" w:hAnsi="宋体" w:eastAsia="宋体" w:cs="宋体"/>
        </w:rPr>
        <w:t>.采购项目需要落实的政府采购政策：进口产品，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）。节能产品，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），按财库〔2019〕19号节能产品政府采购品目清单执行。环境标志产品，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），按财库〔2019〕18号环境标志产品政府采购品目清单执行。信息安全产品，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）。小型、微型企业，适用于（</w:t>
      </w:r>
      <w:r>
        <w:rPr>
          <w:rFonts w:hint="eastAsia" w:ascii="宋体" w:hAnsi="宋体" w:eastAsia="宋体" w:cs="宋体"/>
          <w:spacing w:val="0"/>
          <w:sz w:val="24"/>
          <w:szCs w:val="24"/>
        </w:rPr>
        <w:t>合同包1</w:t>
      </w:r>
      <w:r>
        <w:rPr>
          <w:rFonts w:hint="eastAsia" w:ascii="宋体" w:hAnsi="宋体" w:eastAsia="宋体" w:cs="宋体"/>
        </w:rPr>
        <w:t>）。监狱企业，适用于（</w:t>
      </w:r>
      <w:r>
        <w:rPr>
          <w:rFonts w:hint="eastAsia" w:ascii="宋体" w:hAnsi="宋体" w:eastAsia="宋体" w:cs="宋体"/>
          <w:spacing w:val="0"/>
          <w:sz w:val="24"/>
          <w:szCs w:val="24"/>
        </w:rPr>
        <w:t>合同包1</w:t>
      </w:r>
      <w:r>
        <w:rPr>
          <w:rFonts w:hint="eastAsia" w:ascii="宋体" w:hAnsi="宋体" w:eastAsia="宋体" w:cs="宋体"/>
        </w:rPr>
        <w:t>）。促进残疾人就业 ，适用于（</w:t>
      </w:r>
      <w:r>
        <w:rPr>
          <w:rFonts w:hint="eastAsia" w:ascii="宋体" w:hAnsi="宋体" w:eastAsia="宋体" w:cs="宋体"/>
          <w:kern w:val="0"/>
          <w:sz w:val="24"/>
          <w:szCs w:val="24"/>
        </w:rPr>
        <w:t>本项目</w:t>
      </w:r>
      <w:r>
        <w:rPr>
          <w:rFonts w:hint="eastAsia" w:ascii="宋体" w:hAnsi="宋体" w:eastAsia="宋体" w:cs="宋体"/>
        </w:rPr>
        <w:t>）。</w:t>
      </w:r>
      <w:r>
        <w:rPr>
          <w:rFonts w:hint="eastAsia" w:ascii="宋体" w:hAnsi="宋体" w:eastAsia="宋体" w:cs="宋体"/>
          <w:spacing w:val="0"/>
          <w:sz w:val="24"/>
          <w:szCs w:val="24"/>
        </w:rPr>
        <w:t>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pPr>
      <w:r>
        <w:rPr>
          <w:rFonts w:hint="eastAsia" w:ascii="宋体" w:hAnsi="宋体" w:eastAsia="宋体" w:cs="宋体"/>
          <w:lang w:val="en-US" w:eastAsia="zh-CN"/>
        </w:rPr>
        <w:t>6</w:t>
      </w:r>
      <w:r>
        <w:rPr>
          <w:rFonts w:hint="eastAsia" w:ascii="宋体" w:hAnsi="宋体" w:eastAsia="宋体" w:cs="宋体"/>
        </w:rPr>
        <w:t>.供应商的资格要求：</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w:t>
      </w:r>
      <w:r>
        <w:rPr>
          <w:rFonts w:hint="eastAsia" w:ascii="宋体" w:hAnsi="宋体" w:eastAsia="宋体" w:cs="宋体"/>
          <w:lang w:val="en-US" w:eastAsia="zh-CN"/>
        </w:rPr>
        <w:t>6</w:t>
      </w:r>
      <w:r>
        <w:rPr>
          <w:rFonts w:hint="eastAsia" w:ascii="宋体" w:hAnsi="宋体" w:eastAsia="宋体" w:cs="宋体"/>
        </w:rPr>
        <w:t>.1法定条件：符合《中华人民共和国政府采购法》第二十二条第一款规定的条件。</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6</w:t>
      </w:r>
      <w:r>
        <w:rPr>
          <w:rFonts w:hint="eastAsia" w:ascii="宋体" w:hAnsi="宋体" w:eastAsia="宋体" w:cs="宋体"/>
        </w:rPr>
        <w:t>.2特定条件：</w:t>
      </w:r>
    </w:p>
    <w:p>
      <w:pPr>
        <w:pStyle w:val="10"/>
        <w:widowControl/>
        <w:spacing w:before="75" w:beforeAutospacing="0" w:after="75" w:afterAutospacing="0" w:line="435" w:lineRule="atLeast"/>
      </w:pPr>
      <w:r>
        <w:rPr>
          <w:rStyle w:val="13"/>
          <w:rFonts w:hint="eastAsia" w:ascii="宋体" w:hAnsi="宋体" w:eastAsia="宋体" w:cs="宋体"/>
        </w:rPr>
        <w:t>包：1</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86"/>
        <w:gridCol w:w="5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具备履行合同所必需设备和专业技术能力专项证明材料（若有）</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1、招标文件要求供应商提供“具备履行合同所必需的设备和专业技术能力专项证明材料”的，供应商应提供具备履行合同所必需设备和专业技术能力的声明函。 2、供应商提供的相应证明材料复印件均应符合：内容完整、清晰、整洁，并由供应商加盖其单位公章。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招标文件规定的其他资格证明文件（若有）</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1、（强制类节能产品证明材料，若有，应在此处填写）； 2、（按照政府采购法实施条例第17条除第“（一）-（四）”款外的其他条款规定填写供应商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※2供应商应按照招标文件第七章规定提供。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资格要求</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eastAsiaTheme="minorEastAsia"/>
                <w:color w:val="auto"/>
                <w:lang w:val="en-US" w:eastAsia="zh-CN"/>
              </w:rPr>
            </w:pPr>
            <w:r>
              <w:rPr>
                <w:rFonts w:hint="eastAsia"/>
                <w:color w:val="auto"/>
                <w:lang w:val="en-US" w:eastAsia="zh-CN"/>
              </w:rPr>
              <w:t>1、具有独立法人资格，有与其开展工作相适应的固定工作场所和办公设施；2、具有健全的内部管理制度和相关评审工作制度，并有效运行；3、评审机构的评审员不得同时在两个或以上评审机构担任评审工作，并具有国家承认大专及以上学历且从事安全工作满2年以上，熟悉安全生产有关法律、法规、规章、标准、规范和相关行业标准化规范、评定标准等，掌握相应的评审程序和评审方法，具有相关专业中级及以上专业技术职称，或具有注册安全工程师，或安全评价师资格。</w:t>
            </w:r>
          </w:p>
        </w:tc>
      </w:tr>
    </w:tbl>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cs="宋体"/>
          <w:lang w:val="en-US" w:eastAsia="zh-CN"/>
        </w:rPr>
        <w:t>6</w:t>
      </w:r>
      <w:r>
        <w:rPr>
          <w:rFonts w:hint="eastAsia" w:ascii="宋体" w:hAnsi="宋体" w:eastAsia="宋体" w:cs="宋体"/>
        </w:rPr>
        <w:t>.3是否接受联合体形式的响应磋商：不接受</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Style w:val="13"/>
          <w:rFonts w:hint="eastAsia" w:ascii="宋体" w:hAnsi="宋体" w:eastAsia="宋体" w:cs="宋体"/>
        </w:rPr>
        <w:t>※根据上述资格要求，供应商响应文件中应提交的“资格证明文件”相关规定和资料要求，详见竞争性磋商须知前附表和磋商文件第五章。</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w:t>
      </w:r>
      <w:r>
        <w:rPr>
          <w:rFonts w:hint="eastAsia" w:cs="宋体"/>
          <w:lang w:val="en-US" w:eastAsia="zh-CN"/>
        </w:rPr>
        <w:t>7</w:t>
      </w:r>
      <w:r>
        <w:rPr>
          <w:rFonts w:hint="eastAsia" w:ascii="宋体" w:hAnsi="宋体" w:eastAsia="宋体" w:cs="宋体"/>
        </w:rPr>
        <w:t>.供应商报名期限：</w:t>
      </w:r>
      <w:r>
        <w:rPr>
          <w:rFonts w:hint="eastAsia" w:ascii="宋体" w:hAnsi="宋体"/>
          <w:color w:val="0070C0"/>
          <w:u w:val="single"/>
        </w:rPr>
        <w:t>202</w:t>
      </w:r>
      <w:r>
        <w:rPr>
          <w:rFonts w:hint="eastAsia"/>
          <w:color w:val="0070C0"/>
          <w:u w:val="single"/>
          <w:lang w:val="en-US" w:eastAsia="zh-CN"/>
        </w:rPr>
        <w:t>3</w:t>
      </w:r>
      <w:r>
        <w:rPr>
          <w:rFonts w:ascii="宋体" w:hAnsi="宋体"/>
          <w:color w:val="0070C0"/>
          <w:u w:val="single"/>
        </w:rPr>
        <w:t>年</w:t>
      </w:r>
      <w:r>
        <w:rPr>
          <w:rFonts w:hint="eastAsia"/>
          <w:color w:val="0070C0"/>
          <w:u w:val="single"/>
          <w:lang w:val="en-US" w:eastAsia="zh-CN"/>
        </w:rPr>
        <w:t>1</w:t>
      </w:r>
      <w:r>
        <w:rPr>
          <w:rFonts w:hint="eastAsia" w:ascii="宋体" w:hAnsi="宋体"/>
          <w:color w:val="0070C0"/>
          <w:u w:val="single"/>
        </w:rPr>
        <w:t>月</w:t>
      </w:r>
      <w:r>
        <w:rPr>
          <w:rFonts w:hint="eastAsia"/>
          <w:color w:val="0070C0"/>
          <w:u w:val="single"/>
          <w:lang w:val="en-US" w:eastAsia="zh-CN"/>
        </w:rPr>
        <w:t>16</w:t>
      </w:r>
      <w:r>
        <w:rPr>
          <w:rFonts w:hint="eastAsia" w:ascii="宋体" w:hAnsi="宋体"/>
          <w:color w:val="0070C0"/>
          <w:u w:val="single"/>
        </w:rPr>
        <w:t xml:space="preserve"> </w:t>
      </w:r>
      <w:r>
        <w:rPr>
          <w:rFonts w:ascii="宋体" w:hAnsi="宋体"/>
          <w:color w:val="0070C0"/>
          <w:u w:val="single"/>
        </w:rPr>
        <w:t>日起</w:t>
      </w:r>
      <w:r>
        <w:rPr>
          <w:rFonts w:hint="eastAsia" w:ascii="宋体" w:hAnsi="宋体"/>
          <w:color w:val="0070C0"/>
          <w:u w:val="single"/>
        </w:rPr>
        <w:t>至 202</w:t>
      </w:r>
      <w:r>
        <w:rPr>
          <w:rFonts w:hint="eastAsia"/>
          <w:color w:val="0070C0"/>
          <w:u w:val="single"/>
          <w:lang w:val="en-US" w:eastAsia="zh-CN"/>
        </w:rPr>
        <w:t>3</w:t>
      </w:r>
      <w:r>
        <w:rPr>
          <w:rFonts w:hint="eastAsia" w:ascii="宋体" w:hAnsi="宋体"/>
          <w:color w:val="0070C0"/>
          <w:u w:val="single"/>
        </w:rPr>
        <w:t>年</w:t>
      </w:r>
      <w:r>
        <w:rPr>
          <w:rFonts w:hint="eastAsia"/>
          <w:color w:val="0070C0"/>
          <w:u w:val="single"/>
          <w:lang w:val="en-US" w:eastAsia="zh-CN"/>
        </w:rPr>
        <w:t>1</w:t>
      </w:r>
      <w:r>
        <w:rPr>
          <w:rFonts w:hint="eastAsia" w:ascii="宋体" w:hAnsi="宋体"/>
          <w:color w:val="0070C0"/>
          <w:u w:val="single"/>
        </w:rPr>
        <w:t xml:space="preserve"> 月</w:t>
      </w:r>
      <w:r>
        <w:rPr>
          <w:rFonts w:hint="eastAsia"/>
          <w:color w:val="0070C0"/>
          <w:u w:val="single"/>
          <w:lang w:val="en-US" w:eastAsia="zh-CN"/>
        </w:rPr>
        <w:t>20</w:t>
      </w:r>
      <w:r>
        <w:rPr>
          <w:rFonts w:hint="eastAsia" w:ascii="宋体" w:hAnsi="宋体"/>
          <w:color w:val="0070C0"/>
          <w:u w:val="single"/>
        </w:rPr>
        <w:t xml:space="preserve"> 日</w:t>
      </w:r>
      <w:r>
        <w:rPr>
          <w:rFonts w:hint="eastAsia" w:ascii="宋体" w:hAnsi="宋体"/>
          <w:u w:val="single"/>
        </w:rPr>
        <w:t>止</w:t>
      </w:r>
      <w:r>
        <w:rPr>
          <w:rFonts w:ascii="宋体" w:hAnsi="宋体"/>
        </w:rPr>
        <w:t>，</w:t>
      </w:r>
      <w:r>
        <w:rPr>
          <w:rFonts w:hint="eastAsia" w:ascii="宋体" w:hAnsi="宋体"/>
        </w:rPr>
        <w:t>北京时间上午8:0</w:t>
      </w:r>
      <w:r>
        <w:rPr>
          <w:rFonts w:ascii="宋体" w:hAnsi="宋体"/>
        </w:rPr>
        <w:t>0至</w:t>
      </w:r>
      <w:r>
        <w:rPr>
          <w:rFonts w:hint="eastAsia" w:ascii="宋体" w:hAnsi="宋体"/>
        </w:rPr>
        <w:t>11:30，下午14:30-17：0</w:t>
      </w:r>
      <w:r>
        <w:rPr>
          <w:rFonts w:ascii="宋体" w:hAnsi="宋体"/>
        </w:rPr>
        <w:t>0时</w:t>
      </w:r>
      <w:r>
        <w:rPr>
          <w:rFonts w:hint="eastAsia" w:ascii="宋体" w:hAnsi="宋体"/>
        </w:rPr>
        <w:t>（节假日除外）</w:t>
      </w:r>
      <w:r>
        <w:rPr>
          <w:rFonts w:hint="eastAsia" w:ascii="宋体" w:hAnsi="宋体" w:eastAsia="宋体" w:cs="宋体"/>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hd w:val="clear" w:color="auto" w:fill="FFFFFF"/>
        </w:rPr>
      </w:pPr>
      <w:r>
        <w:rPr>
          <w:rFonts w:hint="eastAsia" w:ascii="宋体" w:hAnsi="宋体" w:eastAsia="宋体" w:cs="宋体"/>
          <w:shd w:val="clear" w:color="auto" w:fill="FFFFFF"/>
        </w:rPr>
        <w:t>   </w:t>
      </w:r>
      <w:r>
        <w:rPr>
          <w:rFonts w:hint="eastAsia" w:cs="宋体"/>
          <w:shd w:val="clear" w:color="auto" w:fill="FFFFFF"/>
          <w:lang w:val="en-US" w:eastAsia="zh-CN"/>
        </w:rPr>
        <w:t>7</w:t>
      </w:r>
      <w:r>
        <w:rPr>
          <w:rFonts w:hint="eastAsia" w:ascii="宋体" w:hAnsi="宋体" w:eastAsia="宋体" w:cs="宋体"/>
          <w:shd w:val="clear" w:color="auto" w:fill="FFFFFF"/>
        </w:rPr>
        <w:t>.1如果采购过程中有发出更正公告，采购人将根据实际情况确定是否延长报名期限，则报名截止时间以更正公告中的约定为准。</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7.2</w:t>
      </w:r>
      <w:r>
        <w:rPr>
          <w:rFonts w:hint="eastAsia" w:ascii="宋体" w:hAnsi="宋体" w:eastAsia="宋体" w:cs="宋体"/>
          <w:kern w:val="0"/>
          <w:sz w:val="24"/>
          <w:szCs w:val="24"/>
        </w:rPr>
        <w:t>报名期限内，</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应携带营业执照</w:t>
      </w:r>
      <w:r>
        <w:rPr>
          <w:rFonts w:hint="eastAsia" w:ascii="宋体" w:hAnsi="宋体" w:eastAsia="宋体" w:cs="宋体"/>
          <w:kern w:val="0"/>
          <w:sz w:val="24"/>
          <w:szCs w:val="24"/>
          <w:lang w:eastAsia="zh-CN"/>
        </w:rPr>
        <w:t>及法人身份证</w:t>
      </w:r>
      <w:r>
        <w:rPr>
          <w:rFonts w:hint="eastAsia" w:ascii="宋体" w:hAnsi="宋体" w:eastAsia="宋体" w:cs="宋体"/>
          <w:kern w:val="0"/>
          <w:sz w:val="24"/>
          <w:szCs w:val="24"/>
        </w:rPr>
        <w:t>复印件（加盖公章）和授权委托书到本公告载明的代理机构地址现场报名。</w:t>
      </w:r>
      <w:r>
        <w:rPr>
          <w:rFonts w:hint="eastAsia" w:ascii="宋体" w:hAnsi="宋体" w:eastAsia="宋体" w:cs="宋体"/>
          <w:b/>
          <w:bCs/>
          <w:kern w:val="0"/>
          <w:sz w:val="24"/>
          <w:szCs w:val="24"/>
        </w:rPr>
        <w:t>未报名将导致响应文件被拒收。</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w:t>
      </w:r>
      <w:r>
        <w:rPr>
          <w:rFonts w:hint="eastAsia" w:cs="宋体"/>
          <w:lang w:val="en-US" w:eastAsia="zh-CN"/>
        </w:rPr>
        <w:t>8</w:t>
      </w:r>
      <w:r>
        <w:rPr>
          <w:rFonts w:hint="eastAsia" w:ascii="宋体" w:hAnsi="宋体" w:eastAsia="宋体" w:cs="宋体"/>
        </w:rPr>
        <w:t>.获取采购文件时间、地点、方式：</w:t>
      </w:r>
    </w:p>
    <w:p>
      <w:pPr>
        <w:pStyle w:val="10"/>
        <w:keepNext w:val="0"/>
        <w:keepLines w:val="0"/>
        <w:pageBreakBefore w:val="0"/>
        <w:widowControl w:val="0"/>
        <w:kinsoku/>
        <w:wordWrap/>
        <w:overflowPunct/>
        <w:topLinePunct w:val="0"/>
        <w:autoSpaceDE/>
        <w:autoSpaceDN/>
        <w:bidi w:val="0"/>
        <w:adjustRightInd/>
        <w:snapToGrid/>
        <w:spacing w:before="75" w:beforeAutospacing="0" w:after="75" w:afterAutospacing="0" w:line="400" w:lineRule="exact"/>
        <w:ind w:firstLine="482"/>
        <w:textAlignment w:val="auto"/>
      </w:pPr>
      <w:r>
        <w:rPr>
          <w:rFonts w:hint="eastAsia" w:cs="宋体"/>
          <w:lang w:val="en-US" w:eastAsia="zh-CN"/>
        </w:rPr>
        <w:t>8</w:t>
      </w:r>
      <w:r>
        <w:rPr>
          <w:rFonts w:hint="eastAsia" w:ascii="宋体" w:hAnsi="宋体" w:eastAsia="宋体" w:cs="宋体"/>
        </w:rPr>
        <w:t>.1采购文件的提供期限：详见磋商公告或更正公告（若有），若不一致，以更正公告（若有）为准。采购文件的提供期限与磋商公告的公告期限保持一致。</w:t>
      </w:r>
    </w:p>
    <w:p>
      <w:pPr>
        <w:pStyle w:val="5"/>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Ansi="宋体" w:eastAsia="宋体" w:cs="宋体"/>
          <w:kern w:val="0"/>
          <w:sz w:val="24"/>
        </w:rPr>
      </w:pPr>
      <w:r>
        <w:rPr>
          <w:rFonts w:hint="eastAsia" w:hAnsi="宋体" w:eastAsia="宋体" w:cs="宋体"/>
          <w:sz w:val="24"/>
          <w:lang w:val="en-US" w:eastAsia="zh-CN"/>
        </w:rPr>
        <w:t>8</w:t>
      </w:r>
      <w:r>
        <w:rPr>
          <w:rFonts w:hint="eastAsia" w:hAnsi="宋体" w:eastAsia="宋体" w:cs="宋体"/>
          <w:sz w:val="24"/>
        </w:rPr>
        <w:t>.2获取地点及方式：</w:t>
      </w:r>
      <w:r>
        <w:rPr>
          <w:rFonts w:hint="eastAsia" w:ascii="宋体" w:hAnsi="宋体" w:eastAsia="宋体" w:cs="宋体"/>
          <w:kern w:val="0"/>
          <w:sz w:val="24"/>
          <w:szCs w:val="24"/>
        </w:rPr>
        <w:t>供应商应携带营业执照复印件（加盖公章）和授权委托书</w:t>
      </w:r>
      <w:r>
        <w:rPr>
          <w:rFonts w:hint="eastAsia" w:hAnsi="宋体" w:eastAsia="宋体" w:cs="宋体"/>
          <w:sz w:val="24"/>
        </w:rPr>
        <w:t>，</w:t>
      </w:r>
      <w:r>
        <w:rPr>
          <w:rFonts w:hint="eastAsia" w:ascii="宋体" w:hAnsi="宋体" w:eastAsia="宋体" w:cs="宋体"/>
          <w:kern w:val="0"/>
          <w:sz w:val="24"/>
          <w:szCs w:val="24"/>
          <w:lang w:eastAsia="zh-CN"/>
        </w:rPr>
        <w:t>通过现场报名后获取</w:t>
      </w:r>
      <w:r>
        <w:rPr>
          <w:rFonts w:hint="eastAsia" w:hAnsi="宋体" w:eastAsia="宋体" w:cs="宋体"/>
          <w:kern w:val="0"/>
          <w:sz w:val="24"/>
          <w:szCs w:val="24"/>
          <w:lang w:eastAsia="zh-CN"/>
        </w:rPr>
        <w:t>，</w:t>
      </w:r>
      <w:r>
        <w:rPr>
          <w:rFonts w:hint="eastAsia" w:ascii="宋体" w:hAnsi="宋体" w:eastAsia="宋体" w:cs="宋体"/>
          <w:kern w:val="0"/>
          <w:sz w:val="24"/>
          <w:szCs w:val="24"/>
        </w:rPr>
        <w:t>获取地点详见本公告载明的代理机构地址</w:t>
      </w:r>
      <w:r>
        <w:rPr>
          <w:rFonts w:hint="eastAsia" w:hAnsi="宋体" w:eastAsia="宋体" w:cs="宋体"/>
          <w:kern w:val="0"/>
          <w:sz w:val="24"/>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xml:space="preserve">   </w:t>
      </w:r>
      <w:r>
        <w:rPr>
          <w:rFonts w:hint="eastAsia" w:cs="宋体"/>
          <w:lang w:val="en-US" w:eastAsia="zh-CN"/>
        </w:rPr>
        <w:t>9</w:t>
      </w:r>
      <w:r>
        <w:rPr>
          <w:rFonts w:hint="eastAsia" w:ascii="宋体" w:hAnsi="宋体" w:eastAsia="宋体" w:cs="宋体"/>
        </w:rPr>
        <w:t>.采购文件售价：</w:t>
      </w:r>
      <w:r>
        <w:rPr>
          <w:rFonts w:hint="eastAsia" w:cs="宋体"/>
          <w:lang w:val="en-US" w:eastAsia="zh-CN"/>
        </w:rPr>
        <w:t>30</w:t>
      </w:r>
      <w:r>
        <w:rPr>
          <w:rFonts w:hint="eastAsia" w:ascii="宋体" w:hAnsi="宋体" w:eastAsia="宋体" w:cs="宋体"/>
        </w:rPr>
        <w:t>0元</w:t>
      </w:r>
      <w:r>
        <w:rPr>
          <w:rFonts w:hint="eastAsia" w:cs="宋体"/>
          <w:lang w:val="en-US" w:eastAsia="zh-CN"/>
        </w:rPr>
        <w:t>/份</w:t>
      </w:r>
      <w:r>
        <w:rPr>
          <w:rFonts w:hint="eastAsia" w:ascii="宋体" w:hAnsi="宋体" w:eastAsia="宋体" w:cs="宋体"/>
        </w:rPr>
        <w:t>。 </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highlight w:val="none"/>
        </w:rPr>
      </w:pPr>
      <w:r>
        <w:rPr>
          <w:rFonts w:hint="eastAsia" w:cs="宋体"/>
          <w:lang w:val="en-US" w:eastAsia="zh-CN"/>
        </w:rPr>
        <w:t>10</w:t>
      </w:r>
      <w:r>
        <w:rPr>
          <w:rFonts w:hint="eastAsia" w:ascii="宋体" w:hAnsi="宋体" w:eastAsia="宋体" w:cs="宋体"/>
        </w:rPr>
        <w:t>.首次响应文件递交截止时间及地点：</w:t>
      </w:r>
      <w:r>
        <w:rPr>
          <w:rFonts w:hint="eastAsia" w:ascii="宋体" w:hAnsi="宋体"/>
        </w:rPr>
        <w:t>响应文件应于</w:t>
      </w:r>
      <w:r>
        <w:rPr>
          <w:rFonts w:hint="eastAsia" w:ascii="宋体" w:hAnsi="宋体"/>
          <w:color w:val="0070C0"/>
          <w:highlight w:val="none"/>
          <w:u w:val="single"/>
        </w:rPr>
        <w:t>202</w:t>
      </w:r>
      <w:r>
        <w:rPr>
          <w:rFonts w:hint="eastAsia"/>
          <w:color w:val="0070C0"/>
          <w:highlight w:val="none"/>
          <w:u w:val="single"/>
          <w:lang w:val="en-US" w:eastAsia="zh-CN"/>
        </w:rPr>
        <w:t>3</w:t>
      </w:r>
      <w:r>
        <w:rPr>
          <w:rFonts w:hint="eastAsia" w:ascii="宋体" w:hAnsi="宋体"/>
          <w:color w:val="0070C0"/>
          <w:highlight w:val="none"/>
          <w:u w:val="single"/>
        </w:rPr>
        <w:t>年</w:t>
      </w:r>
      <w:r>
        <w:rPr>
          <w:rFonts w:hint="eastAsia"/>
          <w:color w:val="0070C0"/>
          <w:highlight w:val="none"/>
          <w:u w:val="single"/>
          <w:lang w:val="en-US" w:eastAsia="zh-CN"/>
        </w:rPr>
        <w:t>2</w:t>
      </w:r>
      <w:r>
        <w:rPr>
          <w:rFonts w:hint="eastAsia" w:ascii="宋体" w:hAnsi="宋体"/>
          <w:color w:val="0070C0"/>
          <w:highlight w:val="none"/>
          <w:u w:val="single"/>
        </w:rPr>
        <w:t>月</w:t>
      </w:r>
      <w:r>
        <w:rPr>
          <w:rFonts w:hint="eastAsia"/>
          <w:color w:val="0070C0"/>
          <w:highlight w:val="none"/>
          <w:u w:val="single"/>
          <w:lang w:val="en-US" w:eastAsia="zh-CN"/>
        </w:rPr>
        <w:t>3</w:t>
      </w:r>
      <w:r>
        <w:rPr>
          <w:rFonts w:hint="eastAsia" w:ascii="宋体" w:hAnsi="宋体"/>
          <w:color w:val="0070C0"/>
          <w:highlight w:val="none"/>
          <w:u w:val="single"/>
        </w:rPr>
        <w:t>日</w:t>
      </w:r>
      <w:r>
        <w:rPr>
          <w:rFonts w:hint="eastAsia"/>
          <w:color w:val="0070C0"/>
          <w:highlight w:val="none"/>
          <w:u w:val="single"/>
          <w:lang w:val="en-US" w:eastAsia="zh-CN"/>
        </w:rPr>
        <w:t>下</w:t>
      </w:r>
      <w:r>
        <w:rPr>
          <w:rFonts w:hint="eastAsia" w:ascii="宋体" w:hAnsi="宋体"/>
          <w:color w:val="0070C0"/>
          <w:highlight w:val="none"/>
          <w:u w:val="single"/>
        </w:rPr>
        <w:t>午</w:t>
      </w:r>
      <w:r>
        <w:rPr>
          <w:rFonts w:hint="eastAsia"/>
          <w:color w:val="0070C0"/>
          <w:highlight w:val="none"/>
          <w:u w:val="single"/>
          <w:lang w:val="en-US" w:eastAsia="zh-CN"/>
        </w:rPr>
        <w:t>15</w:t>
      </w:r>
      <w:r>
        <w:rPr>
          <w:rFonts w:hint="eastAsia" w:ascii="宋体" w:hAnsi="宋体"/>
          <w:color w:val="0070C0"/>
          <w:highlight w:val="none"/>
          <w:u w:val="single"/>
        </w:rPr>
        <w:t>:30</w:t>
      </w:r>
      <w:r>
        <w:rPr>
          <w:rFonts w:hint="eastAsia" w:ascii="宋体" w:hAnsi="宋体"/>
          <w:color w:val="0070C0"/>
          <w:highlight w:val="none"/>
          <w:u w:val="single"/>
          <w:lang w:eastAsia="zh-CN"/>
        </w:rPr>
        <w:t>时</w:t>
      </w:r>
      <w:r>
        <w:rPr>
          <w:rFonts w:hint="eastAsia" w:ascii="宋体" w:hAnsi="宋体"/>
          <w:highlight w:val="none"/>
          <w:u w:val="single"/>
        </w:rPr>
        <w:t>（北京时间）</w:t>
      </w:r>
      <w:r>
        <w:rPr>
          <w:rFonts w:hint="eastAsia" w:ascii="宋体" w:hAnsi="宋体"/>
          <w:highlight w:val="none"/>
        </w:rPr>
        <w:t>。前按下述地址以书面形式送至</w:t>
      </w:r>
      <w:r>
        <w:rPr>
          <w:rFonts w:hint="eastAsia" w:hAnsi="宋体" w:eastAsia="宋体" w:cs="宋体"/>
          <w:highlight w:val="none"/>
          <w:u w:val="single"/>
        </w:rPr>
        <w:t>福建省浦城县御景华府6号楼101店</w:t>
      </w:r>
      <w:r>
        <w:rPr>
          <w:rFonts w:hint="eastAsia" w:ascii="宋体" w:hAnsi="宋体"/>
          <w:highlight w:val="none"/>
        </w:rPr>
        <w:t>，由福建众亿工程项目管理有限公司接收，逾期收到的或不符合规定的响应文件将被拒绝。</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ascii="宋体" w:hAnsi="宋体" w:eastAsia="宋体" w:cs="宋体"/>
          <w:color w:val="393939"/>
          <w:u w:val="single"/>
          <w:shd w:val="clear" w:color="auto" w:fill="FFFFFF"/>
        </w:rPr>
      </w:pPr>
      <w:r>
        <w:rPr>
          <w:rFonts w:hint="eastAsia" w:ascii="宋体" w:hAnsi="宋体" w:eastAsia="宋体" w:cs="宋体"/>
          <w:highlight w:val="none"/>
        </w:rPr>
        <w:t>  1</w:t>
      </w:r>
      <w:r>
        <w:rPr>
          <w:rFonts w:hint="eastAsia" w:cs="宋体"/>
          <w:highlight w:val="none"/>
          <w:lang w:val="en-US" w:eastAsia="zh-CN"/>
        </w:rPr>
        <w:t>1</w:t>
      </w:r>
      <w:r>
        <w:rPr>
          <w:rFonts w:hint="eastAsia" w:ascii="宋体" w:hAnsi="宋体" w:eastAsia="宋体" w:cs="宋体"/>
          <w:highlight w:val="none"/>
        </w:rPr>
        <w:t>.磋商时间及地点：时间：</w:t>
      </w:r>
      <w:r>
        <w:rPr>
          <w:rFonts w:hint="eastAsia" w:ascii="宋体" w:hAnsi="宋体"/>
          <w:color w:val="0070C0"/>
          <w:highlight w:val="none"/>
          <w:u w:val="single"/>
        </w:rPr>
        <w:t>20</w:t>
      </w:r>
      <w:r>
        <w:rPr>
          <w:rFonts w:hint="eastAsia"/>
          <w:color w:val="0070C0"/>
          <w:highlight w:val="none"/>
          <w:u w:val="single"/>
          <w:lang w:val="en-US" w:eastAsia="zh-CN"/>
        </w:rPr>
        <w:t>23</w:t>
      </w:r>
      <w:r>
        <w:rPr>
          <w:rFonts w:hint="eastAsia" w:ascii="宋体" w:hAnsi="宋体"/>
          <w:color w:val="0070C0"/>
          <w:highlight w:val="none"/>
          <w:u w:val="single"/>
        </w:rPr>
        <w:t>年</w:t>
      </w:r>
      <w:r>
        <w:rPr>
          <w:rFonts w:hint="eastAsia"/>
          <w:color w:val="0070C0"/>
          <w:highlight w:val="none"/>
          <w:u w:val="single"/>
          <w:lang w:val="en-US" w:eastAsia="zh-CN"/>
        </w:rPr>
        <w:t>2</w:t>
      </w:r>
      <w:r>
        <w:rPr>
          <w:rFonts w:hint="eastAsia" w:ascii="宋体" w:hAnsi="宋体"/>
          <w:color w:val="0070C0"/>
          <w:highlight w:val="none"/>
          <w:u w:val="single"/>
        </w:rPr>
        <w:t>月</w:t>
      </w:r>
      <w:r>
        <w:rPr>
          <w:rFonts w:hint="eastAsia"/>
          <w:color w:val="0070C0"/>
          <w:highlight w:val="none"/>
          <w:u w:val="single"/>
          <w:lang w:val="en-US" w:eastAsia="zh-CN"/>
        </w:rPr>
        <w:t>3</w:t>
      </w:r>
      <w:r>
        <w:rPr>
          <w:rFonts w:hint="eastAsia" w:ascii="宋体" w:hAnsi="宋体"/>
          <w:color w:val="0070C0"/>
          <w:highlight w:val="none"/>
          <w:u w:val="single"/>
        </w:rPr>
        <w:t>日</w:t>
      </w:r>
      <w:r>
        <w:rPr>
          <w:rFonts w:hint="eastAsia"/>
          <w:color w:val="0070C0"/>
          <w:highlight w:val="none"/>
          <w:u w:val="single"/>
          <w:lang w:eastAsia="zh-CN"/>
        </w:rPr>
        <w:t>下</w:t>
      </w:r>
      <w:r>
        <w:rPr>
          <w:rFonts w:hint="eastAsia" w:ascii="宋体" w:hAnsi="宋体"/>
          <w:color w:val="0070C0"/>
          <w:highlight w:val="none"/>
          <w:u w:val="single"/>
        </w:rPr>
        <w:t>午</w:t>
      </w:r>
      <w:r>
        <w:rPr>
          <w:rFonts w:hint="eastAsia"/>
          <w:color w:val="0070C0"/>
          <w:highlight w:val="none"/>
          <w:u w:val="single"/>
          <w:lang w:val="en-US" w:eastAsia="zh-CN"/>
        </w:rPr>
        <w:t>15</w:t>
      </w:r>
      <w:r>
        <w:rPr>
          <w:rFonts w:hint="eastAsia" w:ascii="宋体" w:hAnsi="宋体"/>
          <w:color w:val="0070C0"/>
          <w:highlight w:val="none"/>
          <w:u w:val="single"/>
        </w:rPr>
        <w:t>:30</w:t>
      </w:r>
      <w:r>
        <w:rPr>
          <w:rFonts w:hint="eastAsia"/>
          <w:color w:val="0070C0"/>
          <w:highlight w:val="none"/>
          <w:u w:val="single"/>
          <w:lang w:eastAsia="zh-CN"/>
        </w:rPr>
        <w:t>时</w:t>
      </w:r>
      <w:r>
        <w:rPr>
          <w:rFonts w:hint="eastAsia" w:ascii="宋体" w:hAnsi="宋体"/>
          <w:highlight w:val="none"/>
          <w:u w:val="single"/>
        </w:rPr>
        <w:t>（</w:t>
      </w:r>
      <w:r>
        <w:rPr>
          <w:rFonts w:hint="eastAsia" w:ascii="宋体" w:hAnsi="宋体"/>
          <w:u w:val="single"/>
        </w:rPr>
        <w:t>北京时间）</w:t>
      </w:r>
      <w:r>
        <w:rPr>
          <w:rFonts w:hint="eastAsia" w:ascii="宋体" w:hAnsi="宋体"/>
        </w:rPr>
        <w:t>。地点：</w:t>
      </w:r>
      <w:r>
        <w:rPr>
          <w:rFonts w:hint="eastAsia" w:hAnsi="宋体" w:eastAsia="宋体" w:cs="宋体"/>
          <w:u w:val="single"/>
        </w:rPr>
        <w:t>福建省浦城县御景</w:t>
      </w:r>
      <w:r>
        <w:rPr>
          <w:rFonts w:hint="eastAsia" w:hAnsi="宋体" w:eastAsia="宋体" w:cs="宋体"/>
          <w:u w:val="single"/>
          <w:lang w:eastAsia="zh-CN"/>
        </w:rPr>
        <w:t>华</w:t>
      </w:r>
      <w:r>
        <w:rPr>
          <w:rFonts w:hint="eastAsia" w:hAnsi="宋体" w:eastAsia="宋体" w:cs="宋体"/>
          <w:u w:val="single"/>
        </w:rPr>
        <w:t>府6号楼101店。</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ascii="宋体" w:hAnsi="宋体" w:eastAsia="宋体" w:cs="宋体"/>
        </w:rPr>
      </w:pPr>
      <w:bookmarkStart w:id="0" w:name="_Toc12961"/>
      <w:r>
        <w:rPr>
          <w:rFonts w:hint="eastAsia" w:ascii="宋体" w:hAnsi="宋体" w:eastAsia="宋体" w:cs="宋体"/>
        </w:rPr>
        <w:t>1</w:t>
      </w:r>
      <w:r>
        <w:rPr>
          <w:rFonts w:hint="eastAsia" w:cs="宋体"/>
          <w:lang w:val="en-US" w:eastAsia="zh-CN"/>
        </w:rPr>
        <w:t>2</w:t>
      </w:r>
      <w:r>
        <w:rPr>
          <w:rFonts w:hint="eastAsia" w:ascii="宋体" w:hAnsi="宋体" w:eastAsia="宋体" w:cs="宋体"/>
        </w:rPr>
        <w:t>.</w:t>
      </w:r>
      <w:bookmarkEnd w:id="0"/>
      <w:r>
        <w:rPr>
          <w:rFonts w:hint="eastAsia" w:ascii="宋体" w:hAnsi="宋体" w:eastAsia="宋体" w:cs="宋体"/>
        </w:rPr>
        <w:t>竞争性磋商公告媒体及期限：自</w:t>
      </w:r>
      <w:r>
        <w:rPr>
          <w:rFonts w:hint="eastAsia" w:ascii="宋体" w:hAnsi="宋体" w:eastAsia="宋体" w:cs="宋体"/>
          <w:u w:val="single"/>
        </w:rPr>
        <w:t>中国政府采购网(</w:t>
      </w:r>
      <w:r>
        <w:fldChar w:fldCharType="begin"/>
      </w:r>
      <w:r>
        <w:instrText xml:space="preserve"> HYPERLINK "http://www.ccgp.gov.cn/" </w:instrText>
      </w:r>
      <w:r>
        <w:fldChar w:fldCharType="separate"/>
      </w:r>
      <w:r>
        <w:rPr>
          <w:rFonts w:hint="eastAsia" w:ascii="宋体" w:hAnsi="宋体" w:eastAsia="宋体" w:cs="宋体"/>
          <w:u w:val="single"/>
        </w:rPr>
        <w:t>http://www.ccgp.gov.cn/</w:t>
      </w:r>
      <w:r>
        <w:rPr>
          <w:rFonts w:hint="eastAsia" w:ascii="宋体" w:hAnsi="宋体" w:eastAsia="宋体" w:cs="宋体"/>
          <w:u w:val="single"/>
        </w:rPr>
        <w:fldChar w:fldCharType="end"/>
      </w:r>
      <w:r>
        <w:rPr>
          <w:rFonts w:hint="eastAsia" w:ascii="宋体" w:hAnsi="宋体" w:eastAsia="宋体" w:cs="宋体"/>
        </w:rPr>
        <w:t>)发布公告之日起3个工作日。</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eastAsia="宋体"/>
          <w:color w:val="000000" w:themeColor="text1"/>
          <w:lang w:eastAsia="zh-CN"/>
        </w:rPr>
      </w:pPr>
      <w:r>
        <w:rPr>
          <w:rFonts w:hint="eastAsia" w:ascii="宋体" w:hAnsi="宋体" w:eastAsia="宋体" w:cs="宋体"/>
        </w:rPr>
        <w:t>  1</w:t>
      </w:r>
      <w:r>
        <w:rPr>
          <w:rFonts w:hint="eastAsia" w:cs="宋体"/>
          <w:lang w:val="en-US" w:eastAsia="zh-CN"/>
        </w:rPr>
        <w:t>3</w:t>
      </w:r>
      <w:r>
        <w:rPr>
          <w:rFonts w:hint="eastAsia" w:ascii="宋体" w:hAnsi="宋体" w:eastAsia="宋体" w:cs="宋体"/>
        </w:rPr>
        <w:t>.采购人：</w:t>
      </w:r>
      <w:r>
        <w:rPr>
          <w:rFonts w:hint="eastAsia" w:ascii="宋体" w:hAnsi="宋体" w:eastAsia="宋体" w:cs="宋体"/>
          <w:color w:val="000000" w:themeColor="text1"/>
          <w:u w:val="single"/>
          <w:lang w:eastAsia="zh-CN"/>
        </w:rPr>
        <w:t>浦城县应急管理局</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default" w:eastAsia="宋体"/>
          <w:color w:val="000000" w:themeColor="text1"/>
          <w:lang w:val="en-US" w:eastAsia="zh-CN"/>
        </w:rPr>
      </w:pPr>
      <w:r>
        <w:rPr>
          <w:rFonts w:hint="eastAsia" w:ascii="宋体" w:hAnsi="宋体" w:eastAsia="宋体" w:cs="宋体"/>
          <w:color w:val="000000" w:themeColor="text1"/>
        </w:rPr>
        <w:t>地  址：</w:t>
      </w:r>
      <w:r>
        <w:rPr>
          <w:rFonts w:hint="eastAsia" w:ascii="宋体" w:hAnsi="宋体" w:eastAsia="宋体" w:cs="宋体"/>
          <w:color w:val="000000" w:themeColor="text1"/>
          <w:kern w:val="2"/>
          <w:u w:val="single"/>
        </w:rPr>
        <w:t>浦城县皇华山路</w:t>
      </w:r>
      <w:r>
        <w:rPr>
          <w:rFonts w:hint="eastAsia" w:cs="宋体"/>
          <w:color w:val="000000" w:themeColor="text1"/>
          <w:kern w:val="2"/>
          <w:u w:val="single"/>
          <w:lang w:val="en-US" w:eastAsia="zh-CN"/>
        </w:rPr>
        <w:t>395号</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eastAsia="宋体"/>
          <w:color w:val="000000" w:themeColor="text1"/>
        </w:rPr>
      </w:pPr>
      <w:r>
        <w:rPr>
          <w:rFonts w:hint="eastAsia" w:ascii="宋体" w:hAnsi="宋体" w:eastAsia="宋体" w:cs="宋体"/>
          <w:color w:val="000000" w:themeColor="text1"/>
        </w:rPr>
        <w:t>联系人：</w:t>
      </w:r>
      <w:r>
        <w:rPr>
          <w:rFonts w:hint="eastAsia" w:ascii="宋体" w:hAnsi="宋体" w:eastAsia="宋体" w:cs="宋体"/>
          <w:color w:val="auto"/>
          <w:highlight w:val="none"/>
          <w:u w:val="single"/>
          <w:lang w:eastAsia="zh-CN"/>
        </w:rPr>
        <w:t>何建平</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eastAsia="宋体"/>
          <w:color w:val="000000" w:themeColor="text1"/>
        </w:rPr>
      </w:pPr>
      <w:r>
        <w:rPr>
          <w:rFonts w:hint="eastAsia" w:ascii="宋体" w:hAnsi="宋体" w:eastAsia="宋体" w:cs="宋体"/>
          <w:color w:val="000000" w:themeColor="text1"/>
        </w:rPr>
        <w:t>联系方法：</w:t>
      </w:r>
      <w:r>
        <w:rPr>
          <w:rFonts w:hint="eastAsia" w:ascii="宋体" w:hAnsi="宋体" w:eastAsia="宋体" w:cs="宋体"/>
          <w:color w:val="auto"/>
          <w:sz w:val="24"/>
          <w:szCs w:val="24"/>
          <w:u w:val="single"/>
          <w:lang w:val="en-US" w:eastAsia="zh-CN"/>
        </w:rPr>
        <w:t>18396582430</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ascii="宋体" w:hAnsi="宋体" w:eastAsia="宋体" w:cs="宋体"/>
        </w:r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eastAsia="宋体"/>
        </w:rPr>
      </w:pPr>
      <w:r>
        <w:rPr>
          <w:rFonts w:hint="eastAsia" w:ascii="宋体" w:hAnsi="宋体" w:eastAsia="宋体" w:cs="宋体"/>
        </w:rPr>
        <w:t>代理机构：</w:t>
      </w:r>
      <w:r>
        <w:rPr>
          <w:rFonts w:hint="eastAsia" w:ascii="宋体" w:hAnsi="宋体" w:eastAsia="宋体" w:cs="宋体"/>
          <w:u w:val="single"/>
        </w:rPr>
        <w:t>福建众亿工程项目管理有限公司</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rPr>
        <w:t>地  址：</w:t>
      </w:r>
      <w:r>
        <w:rPr>
          <w:rFonts w:hint="eastAsia" w:ascii="宋体" w:hAnsi="宋体" w:eastAsia="宋体" w:cs="宋体"/>
          <w:u w:val="single"/>
        </w:rPr>
        <w:t>福建省浦城县御景华府6号楼101店</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ascii="宋体" w:hAnsi="宋体" w:eastAsia="宋体" w:cs="宋体"/>
          <w:u w:val="single"/>
        </w:rPr>
      </w:pPr>
      <w:r>
        <w:rPr>
          <w:rFonts w:hint="eastAsia" w:ascii="宋体" w:hAnsi="宋体" w:eastAsia="宋体" w:cs="宋体"/>
        </w:rPr>
        <w:t>联系人：</w:t>
      </w:r>
      <w:r>
        <w:rPr>
          <w:rFonts w:hint="eastAsia" w:ascii="宋体" w:hAnsi="宋体" w:eastAsia="宋体" w:cs="宋体"/>
          <w:u w:val="single"/>
        </w:rPr>
        <w:t>张  敏</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rPr>
        <w:t>联系方法：</w:t>
      </w:r>
      <w:r>
        <w:rPr>
          <w:rFonts w:hint="eastAsia" w:ascii="宋体" w:hAnsi="宋体" w:eastAsia="宋体" w:cs="宋体"/>
          <w:u w:val="single"/>
        </w:rPr>
        <w:t>13799121627</w:t>
      </w:r>
      <w:r>
        <w:rPr>
          <w:rFonts w:hint="eastAsia" w:ascii="宋体" w:hAnsi="宋体" w:eastAsia="宋体" w:cs="宋体"/>
        </w:rPr>
        <w:t> </w:t>
      </w:r>
    </w:p>
    <w:p>
      <w:pPr>
        <w:pStyle w:val="5"/>
        <w:spacing w:line="360" w:lineRule="auto"/>
        <w:ind w:firstLine="480" w:firstLineChars="200"/>
        <w:jc w:val="left"/>
        <w:rPr>
          <w:rFonts w:hAnsi="宋体" w:eastAsia="宋体" w:cs="宋体"/>
          <w:kern w:val="0"/>
          <w:sz w:val="24"/>
        </w:rPr>
      </w:pPr>
    </w:p>
    <w:p>
      <w:pPr>
        <w:pStyle w:val="5"/>
        <w:spacing w:line="360" w:lineRule="auto"/>
        <w:jc w:val="left"/>
        <w:rPr>
          <w:rFonts w:hAnsi="宋体" w:eastAsia="宋体" w:cs="宋体"/>
          <w:kern w:val="0"/>
          <w:sz w:val="24"/>
        </w:rPr>
      </w:pPr>
    </w:p>
    <w:p>
      <w:pPr>
        <w:pStyle w:val="5"/>
        <w:spacing w:line="360" w:lineRule="auto"/>
        <w:jc w:val="left"/>
        <w:rPr>
          <w:rFonts w:hAnsi="宋体" w:eastAsia="宋体" w:cs="宋体"/>
          <w:kern w:val="0"/>
          <w:sz w:val="24"/>
        </w:rPr>
      </w:pP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附1：</w:t>
      </w:r>
    </w:p>
    <w:tbl>
      <w:tblPr>
        <w:tblStyle w:val="11"/>
        <w:tblW w:w="98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8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2"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Style w:val="13"/>
                <w:rFonts w:hint="eastAsia" w:cs="宋体"/>
                <w:spacing w:val="0"/>
                <w:sz w:val="24"/>
                <w:szCs w:val="24"/>
                <w:lang w:eastAsia="zh-CN"/>
              </w:rPr>
              <w:t>磋商</w:t>
            </w:r>
            <w:r>
              <w:rPr>
                <w:rStyle w:val="13"/>
                <w:rFonts w:hint="eastAsia" w:ascii="宋体" w:hAnsi="宋体" w:eastAsia="宋体" w:cs="宋体"/>
                <w:spacing w:val="0"/>
                <w:sz w:val="24"/>
                <w:szCs w:val="24"/>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u w:val="single"/>
                <w:lang w:val="zh-CN" w:eastAsia="zh-CN"/>
              </w:rPr>
            </w:pPr>
            <w:r>
              <w:rPr>
                <w:rFonts w:hint="eastAsia"/>
                <w:lang w:val="zh-CN" w:eastAsia="zh-CN"/>
              </w:rPr>
              <w:t>开户名</w:t>
            </w:r>
            <w:r>
              <w:rPr>
                <w:rFonts w:hint="eastAsia"/>
                <w:u w:val="single"/>
                <w:lang w:val="zh-CN" w:eastAsia="zh-CN"/>
              </w:rPr>
              <w:t>：福建众亿工程项目管理有限公司南平分公司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8"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lang w:val="zh-CN" w:eastAsia="zh-CN"/>
              </w:rPr>
            </w:pPr>
            <w:r>
              <w:rPr>
                <w:rFonts w:hint="eastAsia" w:hAnsi="宋体" w:eastAsia="宋体" w:cs="宋体"/>
                <w:kern w:val="0"/>
                <w:sz w:val="24"/>
                <w:lang w:val="zh-CN"/>
              </w:rPr>
              <w:t>开户行：</w:t>
            </w:r>
            <w:r>
              <w:rPr>
                <w:rFonts w:hint="eastAsia" w:hAnsi="宋体" w:eastAsia="宋体" w:cs="宋体"/>
                <w:kern w:val="0"/>
                <w:sz w:val="24"/>
                <w:u w:val="single"/>
                <w:lang w:val="zh-CN"/>
              </w:rPr>
              <w:t>中国工商银行浦城县支行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0"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5"/>
              <w:spacing w:line="360" w:lineRule="auto"/>
              <w:jc w:val="left"/>
              <w:rPr>
                <w:rFonts w:hint="eastAsia" w:hAnsi="宋体" w:eastAsia="宋体" w:cs="宋体"/>
                <w:kern w:val="0"/>
                <w:sz w:val="24"/>
                <w:lang w:val="zh-CN"/>
              </w:rPr>
            </w:pPr>
            <w:r>
              <w:rPr>
                <w:rFonts w:hint="eastAsia" w:hAnsi="宋体" w:eastAsia="宋体" w:cs="宋体"/>
                <w:kern w:val="0"/>
                <w:sz w:val="24"/>
                <w:lang w:val="zh-CN"/>
              </w:rPr>
              <w:t>帐 号：</w:t>
            </w:r>
            <w:r>
              <w:rPr>
                <w:rFonts w:hint="eastAsia" w:hAnsi="宋体" w:eastAsia="宋体" w:cs="宋体"/>
                <w:kern w:val="0"/>
                <w:sz w:val="24"/>
                <w:u w:val="single"/>
              </w:rPr>
              <w:t>1406040919600030414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1"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宋体" w:hAnsi="宋体" w:eastAsia="宋体" w:cs="宋体"/>
              </w:rPr>
              <w:t>请</w:t>
            </w:r>
            <w:r>
              <w:rPr>
                <w:rFonts w:hint="eastAsia" w:hAnsi="宋体" w:eastAsia="宋体" w:cs="宋体"/>
                <w:lang w:eastAsia="zh-CN"/>
              </w:rPr>
              <w:t>投标人</w:t>
            </w:r>
            <w:r>
              <w:rPr>
                <w:rFonts w:hint="eastAsia" w:ascii="宋体" w:hAnsi="宋体" w:eastAsia="宋体" w:cs="宋体"/>
              </w:rPr>
              <w:t>务必认真核对账户信息，将</w:t>
            </w:r>
            <w:r>
              <w:rPr>
                <w:rFonts w:hint="eastAsia" w:hAnsi="宋体" w:eastAsia="宋体" w:cs="宋体"/>
                <w:lang w:eastAsia="zh-CN"/>
              </w:rPr>
              <w:t>磋商</w:t>
            </w:r>
            <w:r>
              <w:rPr>
                <w:rFonts w:hint="eastAsia" w:ascii="宋体" w:hAnsi="宋体" w:eastAsia="宋体" w:cs="宋体"/>
              </w:rPr>
              <w:t>保证金款项汇入对应账户，并自行承担因款项汇错而产生的一切后果。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Ansi="宋体" w:eastAsia="宋体" w:cs="宋体"/>
                <w:kern w:val="0"/>
                <w:sz w:val="24"/>
                <w:lang w:val="zh-CN"/>
              </w:rPr>
            </w:pPr>
            <w:r>
              <w:rPr>
                <w:rFonts w:hint="eastAsia" w:ascii="宋体" w:hAnsi="宋体" w:eastAsia="宋体" w:cs="宋体"/>
              </w:rPr>
              <w:t>2、请</w:t>
            </w:r>
            <w:r>
              <w:rPr>
                <w:rFonts w:hint="eastAsia" w:hAnsi="宋体" w:eastAsia="宋体" w:cs="宋体"/>
                <w:lang w:eastAsia="zh-CN"/>
              </w:rPr>
              <w:t>投标人</w:t>
            </w:r>
            <w:r>
              <w:rPr>
                <w:rFonts w:hint="eastAsia" w:ascii="宋体" w:hAnsi="宋体" w:eastAsia="宋体" w:cs="宋体"/>
              </w:rPr>
              <w:t>在转账或电汇的凭证上务必按照以下格式注明，以便核对：“（项目编号：***、合同包：***）的</w:t>
            </w:r>
            <w:r>
              <w:rPr>
                <w:rFonts w:hint="eastAsia" w:hAnsi="宋体" w:eastAsia="宋体" w:cs="宋体"/>
                <w:lang w:eastAsia="zh-CN"/>
              </w:rPr>
              <w:t>磋商</w:t>
            </w:r>
            <w:r>
              <w:rPr>
                <w:rFonts w:hint="eastAsia" w:ascii="宋体" w:hAnsi="宋体" w:eastAsia="宋体" w:cs="宋体"/>
              </w:rPr>
              <w:t>保证金”。</w:t>
            </w:r>
          </w:p>
        </w:tc>
      </w:tr>
    </w:tbl>
    <w:p/>
    <w:sectPr>
      <w:headerReference r:id="rId3" w:type="default"/>
      <w:footerReference r:id="rId4" w:type="default"/>
      <w:pgSz w:w="11850" w:h="16783"/>
      <w:pgMar w:top="1077" w:right="1191" w:bottom="1077"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0295"/>
    <w:multiLevelType w:val="multilevel"/>
    <w:tmpl w:val="07A20295"/>
    <w:lvl w:ilvl="0" w:tentative="0">
      <w:start w:val="1"/>
      <w:numFmt w:val="chineseCountingThousand"/>
      <w:pStyle w:val="27"/>
      <w:lvlText w:val="第%1条"/>
      <w:lvlJc w:val="left"/>
      <w:pPr>
        <w:ind w:left="0" w:firstLine="0"/>
      </w:pPr>
      <w:rPr>
        <w:rFonts w:hint="eastAsia"/>
      </w:rPr>
    </w:lvl>
    <w:lvl w:ilvl="1" w:tentative="0">
      <w:start w:val="1"/>
      <w:numFmt w:val="decimal"/>
      <w:pStyle w:val="26"/>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9827E6"/>
    <w:multiLevelType w:val="singleLevel"/>
    <w:tmpl w:val="619827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NhNWUwYWU3NjFmNjU3ZTM3YjE1YTliNTUyYWU1OWUifQ=="/>
  </w:docVars>
  <w:rsids>
    <w:rsidRoot w:val="00D437FD"/>
    <w:rsid w:val="0032577F"/>
    <w:rsid w:val="003421C8"/>
    <w:rsid w:val="00676489"/>
    <w:rsid w:val="006A5C13"/>
    <w:rsid w:val="006A6B0E"/>
    <w:rsid w:val="006F48D1"/>
    <w:rsid w:val="00721FEF"/>
    <w:rsid w:val="00A23733"/>
    <w:rsid w:val="00A50A3D"/>
    <w:rsid w:val="00C0501C"/>
    <w:rsid w:val="00C57889"/>
    <w:rsid w:val="00CC2CBD"/>
    <w:rsid w:val="00D437FD"/>
    <w:rsid w:val="00D96E00"/>
    <w:rsid w:val="00EC23D2"/>
    <w:rsid w:val="00F22FB7"/>
    <w:rsid w:val="075926EF"/>
    <w:rsid w:val="075A607D"/>
    <w:rsid w:val="0A624FB9"/>
    <w:rsid w:val="0C0D4BA3"/>
    <w:rsid w:val="0D5E2FBE"/>
    <w:rsid w:val="0DDC1A15"/>
    <w:rsid w:val="0FFB5025"/>
    <w:rsid w:val="12E806A4"/>
    <w:rsid w:val="135A77A5"/>
    <w:rsid w:val="148836C1"/>
    <w:rsid w:val="150C3C2D"/>
    <w:rsid w:val="163958F1"/>
    <w:rsid w:val="1AA41253"/>
    <w:rsid w:val="1E41515F"/>
    <w:rsid w:val="1E84457D"/>
    <w:rsid w:val="1FB1511D"/>
    <w:rsid w:val="20DD47CF"/>
    <w:rsid w:val="23190955"/>
    <w:rsid w:val="24366CBD"/>
    <w:rsid w:val="24D24319"/>
    <w:rsid w:val="26177767"/>
    <w:rsid w:val="269547BF"/>
    <w:rsid w:val="26EB14CE"/>
    <w:rsid w:val="293F3FE1"/>
    <w:rsid w:val="2A863148"/>
    <w:rsid w:val="2AD81B11"/>
    <w:rsid w:val="2B1210B5"/>
    <w:rsid w:val="2C560A5B"/>
    <w:rsid w:val="2DE616B7"/>
    <w:rsid w:val="318F1DB3"/>
    <w:rsid w:val="31E53FBE"/>
    <w:rsid w:val="38E05DDE"/>
    <w:rsid w:val="394B678F"/>
    <w:rsid w:val="3A62363F"/>
    <w:rsid w:val="3A9552DF"/>
    <w:rsid w:val="3B006490"/>
    <w:rsid w:val="3B9F2920"/>
    <w:rsid w:val="3DA455F1"/>
    <w:rsid w:val="409971B7"/>
    <w:rsid w:val="41940340"/>
    <w:rsid w:val="453002BD"/>
    <w:rsid w:val="46C90DEC"/>
    <w:rsid w:val="483C66C2"/>
    <w:rsid w:val="48B7120F"/>
    <w:rsid w:val="4CF04B9A"/>
    <w:rsid w:val="4F460FAA"/>
    <w:rsid w:val="4F8F64A0"/>
    <w:rsid w:val="50604E8C"/>
    <w:rsid w:val="521B4716"/>
    <w:rsid w:val="53CC6619"/>
    <w:rsid w:val="53D91EA3"/>
    <w:rsid w:val="5422480E"/>
    <w:rsid w:val="56485A31"/>
    <w:rsid w:val="571B56AD"/>
    <w:rsid w:val="575446F1"/>
    <w:rsid w:val="5D3366AC"/>
    <w:rsid w:val="5DBF150B"/>
    <w:rsid w:val="5FDE5E74"/>
    <w:rsid w:val="64034F03"/>
    <w:rsid w:val="64D24A59"/>
    <w:rsid w:val="684038C4"/>
    <w:rsid w:val="68A80D75"/>
    <w:rsid w:val="692E3608"/>
    <w:rsid w:val="6B1B6582"/>
    <w:rsid w:val="6DB235A1"/>
    <w:rsid w:val="6DBB0177"/>
    <w:rsid w:val="70464B41"/>
    <w:rsid w:val="70676288"/>
    <w:rsid w:val="71C250EC"/>
    <w:rsid w:val="72E85E72"/>
    <w:rsid w:val="72F10636"/>
    <w:rsid w:val="774A4A8E"/>
    <w:rsid w:val="78E74A58"/>
    <w:rsid w:val="7BC158FD"/>
    <w:rsid w:val="7C5479C3"/>
    <w:rsid w:val="7CBB3A8A"/>
    <w:rsid w:val="7E96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CG Times" w:hAnsi="CG Times"/>
      <w:b/>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Plain Text"/>
    <w:basedOn w:val="1"/>
    <w:link w:val="21"/>
    <w:unhideWhenUsed/>
    <w:qFormat/>
    <w:uiPriority w:val="99"/>
    <w:rPr>
      <w:rFonts w:ascii="宋体" w:hAnsi="Courier New"/>
    </w:rPr>
  </w:style>
  <w:style w:type="paragraph" w:styleId="6">
    <w:name w:val="Date"/>
    <w:basedOn w:val="1"/>
    <w:next w:val="1"/>
    <w:link w:val="16"/>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日期 Char"/>
    <w:basedOn w:val="12"/>
    <w:link w:val="6"/>
    <w:semiHidden/>
    <w:qFormat/>
    <w:uiPriority w:val="99"/>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批注框文本 Char"/>
    <w:basedOn w:val="12"/>
    <w:link w:val="7"/>
    <w:semiHidden/>
    <w:qFormat/>
    <w:uiPriority w:val="99"/>
    <w:rPr>
      <w:sz w:val="18"/>
      <w:szCs w:val="18"/>
    </w:rPr>
  </w:style>
  <w:style w:type="paragraph" w:customStyle="1" w:styleId="20">
    <w:name w:val="图内文字"/>
    <w:basedOn w:val="1"/>
    <w:qFormat/>
    <w:uiPriority w:val="0"/>
    <w:pPr>
      <w:jc w:val="center"/>
    </w:pPr>
    <w:rPr>
      <w:rFonts w:ascii="Times New Roman" w:hAnsi="Times New Roman" w:eastAsia="宋体" w:cs="Times New Roman"/>
      <w:szCs w:val="20"/>
    </w:rPr>
  </w:style>
  <w:style w:type="character" w:customStyle="1" w:styleId="21">
    <w:name w:val="纯文本 Char1"/>
    <w:basedOn w:val="12"/>
    <w:link w:val="5"/>
    <w:qFormat/>
    <w:locked/>
    <w:uiPriority w:val="99"/>
    <w:rPr>
      <w:rFonts w:ascii="宋体" w:hAnsi="Courier New"/>
      <w:kern w:val="2"/>
      <w:sz w:val="21"/>
      <w:szCs w:val="22"/>
    </w:rPr>
  </w:style>
  <w:style w:type="paragraph" w:customStyle="1" w:styleId="22">
    <w:name w:val="标准"/>
    <w:basedOn w:val="1"/>
    <w:qFormat/>
    <w:uiPriority w:val="0"/>
    <w:pPr>
      <w:spacing w:line="360" w:lineRule="auto"/>
      <w:ind w:firstLine="200" w:firstLineChars="200"/>
    </w:pPr>
    <w:rPr>
      <w:rFonts w:cs="宋体"/>
      <w:szCs w:val="20"/>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4">
    <w:name w:val="p16"/>
    <w:basedOn w:val="1"/>
    <w:qFormat/>
    <w:uiPriority w:val="0"/>
    <w:pPr>
      <w:widowControl/>
    </w:pPr>
    <w:rPr>
      <w:rFonts w:ascii="Tahoma" w:hAnsi="Tahoma"/>
      <w:kern w:val="0"/>
      <w:sz w:val="24"/>
    </w:rPr>
  </w:style>
  <w:style w:type="paragraph" w:customStyle="1" w:styleId="25">
    <w:name w:val="_Style 1"/>
    <w:basedOn w:val="1"/>
    <w:qFormat/>
    <w:uiPriority w:val="34"/>
    <w:pPr>
      <w:ind w:firstLine="420" w:firstLineChars="200"/>
    </w:pPr>
    <w:rPr>
      <w:rFonts w:ascii="Calibri" w:hAnsi="Calibri" w:eastAsia="宋体" w:cs="Times New Roman"/>
      <w:szCs w:val="22"/>
    </w:rPr>
  </w:style>
  <w:style w:type="paragraph" w:customStyle="1" w:styleId="26">
    <w:name w:val="ht2"/>
    <w:basedOn w:val="27"/>
    <w:qFormat/>
    <w:uiPriority w:val="0"/>
    <w:pPr>
      <w:numPr>
        <w:ilvl w:val="1"/>
        <w:numId w:val="1"/>
      </w:numPr>
      <w:spacing w:beforeLines="0"/>
      <w:outlineLvl w:val="2"/>
    </w:pPr>
    <w:rPr>
      <w:sz w:val="24"/>
    </w:rPr>
  </w:style>
  <w:style w:type="paragraph" w:customStyle="1" w:styleId="27">
    <w:name w:val="ht1"/>
    <w:basedOn w:val="1"/>
    <w:qFormat/>
    <w:uiPriority w:val="0"/>
    <w:pPr>
      <w:widowControl/>
      <w:numPr>
        <w:ilvl w:val="0"/>
        <w:numId w:val="1"/>
      </w:numPr>
      <w:spacing w:beforeLines="50" w:line="300" w:lineRule="auto"/>
      <w:outlineLvl w:val="1"/>
    </w:pPr>
    <w:rPr>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1624</Characters>
  <Lines>13</Lines>
  <Paragraphs>3</Paragraphs>
  <TotalTime>6</TotalTime>
  <ScaleCrop>false</ScaleCrop>
  <LinksUpToDate>false</LinksUpToDate>
  <CharactersWithSpaces>1905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2017-01-03T12:38:00Z</dcterms:created>
  <dc:creator>admin</dc:creator>
  <cp:lastModifiedBy>rainy/ka</cp:lastModifiedBy>
  <cp:lastPrinted>2019-04-18T01:47:00Z</cp:lastPrinted>
  <dcterms:modified xsi:type="dcterms:W3CDTF">2023-01-16T00:48:34Z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FB9833CC1DFE41A0B4A1A142209E820D</vt:lpwstr>
  </property>
</Properties>
</file>