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DC1B" w14:textId="32550919" w:rsidR="005D58F5" w:rsidRDefault="001B7BC5">
      <w:pPr>
        <w:pStyle w:val="4"/>
        <w:jc w:val="center"/>
      </w:pPr>
      <w:r>
        <w:rPr>
          <w:rFonts w:hint="eastAsia"/>
        </w:rPr>
        <w:t>江西中诚招标咨询有限公司关于上饶市和济水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有限公司集中式饮用水源地水质自动检测站建设项目</w:t>
      </w:r>
      <w:r w:rsidR="00CF302F">
        <w:rPr>
          <w:rFonts w:hint="eastAsia"/>
        </w:rPr>
        <w:t>第二次</w:t>
      </w:r>
      <w:r>
        <w:rPr>
          <w:rFonts w:hint="eastAsia"/>
        </w:rPr>
        <w:t>（</w:t>
      </w:r>
      <w:r>
        <w:rPr>
          <w:rFonts w:ascii="Times New Roman" w:hint="eastAsia"/>
          <w:szCs w:val="24"/>
        </w:rPr>
        <w:t>项目编号：</w:t>
      </w:r>
      <w:r w:rsidR="00CF302F">
        <w:rPr>
          <w:rFonts w:hint="eastAsia"/>
        </w:rPr>
        <w:t>Z</w:t>
      </w:r>
      <w:r w:rsidR="00CF302F">
        <w:t>C</w:t>
      </w:r>
      <w:r>
        <w:rPr>
          <w:rFonts w:hint="eastAsia"/>
        </w:rPr>
        <w:t>-SR2022-001</w:t>
      </w:r>
      <w:r w:rsidR="00CF302F">
        <w:t>-2</w:t>
      </w:r>
      <w:r>
        <w:rPr>
          <w:rFonts w:hint="eastAsia"/>
        </w:rPr>
        <w:t>）电子化公开招标公告</w:t>
      </w:r>
    </w:p>
    <w:tbl>
      <w:tblPr>
        <w:tblW w:w="5074" w:type="pct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9"/>
      </w:tblGrid>
      <w:tr w:rsidR="00CF302F" w14:paraId="6EB39162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2A74" w14:textId="77777777" w:rsidR="00CF302F" w:rsidRDefault="00CF302F" w:rsidP="005420C4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</w:rPr>
              <w:t>一、项目概况</w:t>
            </w:r>
          </w:p>
        </w:tc>
      </w:tr>
      <w:tr w:rsidR="00CF302F" w14:paraId="3B46E7B5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565B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集中式饮用水源地水质自动检测站建设项目的潜在投标人应在“阳光采购服务平台”（http://www.jx.ygcgfw.com）获取采购文件，并于2023年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日09点00分（北京时间）前递交响应文件。</w:t>
            </w:r>
          </w:p>
        </w:tc>
      </w:tr>
      <w:tr w:rsidR="00CF302F" w14:paraId="207153F3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CDF7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二、项目基本情况</w:t>
            </w:r>
          </w:p>
        </w:tc>
      </w:tr>
      <w:tr w:rsidR="00CF302F" w14:paraId="5908D555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553D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1、项目名称：集中式饮用水源地水质自动检测站建设项目</w:t>
            </w:r>
          </w:p>
        </w:tc>
      </w:tr>
      <w:tr w:rsidR="00CF302F" w14:paraId="19F347FB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055B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2、项目类别：货物类</w:t>
            </w:r>
          </w:p>
        </w:tc>
      </w:tr>
      <w:tr w:rsidR="00CF302F" w14:paraId="6B3ED718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2C72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3、采购方式：公开招标</w:t>
            </w:r>
          </w:p>
        </w:tc>
      </w:tr>
      <w:tr w:rsidR="00CF302F" w14:paraId="686BFB65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B112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4、采购内容：最高限价：1040250元，具体详见招标文件要求</w:t>
            </w:r>
          </w:p>
        </w:tc>
      </w:tr>
      <w:tr w:rsidR="00CF302F" w14:paraId="173DA166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3533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5、预算金额：1095000元</w:t>
            </w:r>
          </w:p>
        </w:tc>
      </w:tr>
      <w:tr w:rsidR="00CF302F" w14:paraId="7AB4BF69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7E8D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三、供应商资格条件</w:t>
            </w:r>
          </w:p>
        </w:tc>
      </w:tr>
      <w:tr w:rsidR="00CF302F" w14:paraId="5779F102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755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1、具有独立承担民事责任的能力：提供法人或者其他组织的营业执照，法人授权委托书及委托代理人身份证（法定代表人参加则只需提供身份证），自然人投标提供身份证明。</w:t>
            </w:r>
          </w:p>
          <w:p w14:paraId="012BD8D9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2、具有良好的商业信誉和健全的财务会计制度：提供2021年度审计报告，或者提供投标截止时间前三个月内开户银行出具的资信证明，提供任一种均可。</w:t>
            </w:r>
          </w:p>
          <w:p w14:paraId="0A2A9C75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3、具有履行合同所必需的设备和专业技术能力：提供承诺函。</w:t>
            </w:r>
          </w:p>
          <w:p w14:paraId="1FC0F1A4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4、有依法缴纳税收和社会保障资金的良好记录：</w:t>
            </w:r>
          </w:p>
          <w:p w14:paraId="4802EFAF" w14:textId="77777777" w:rsidR="00CF302F" w:rsidRDefault="00CF302F" w:rsidP="005420C4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（1）提供开标前近六个月任意一个月的税收完税证明、银行纳税</w:t>
            </w:r>
            <w:proofErr w:type="gramStart"/>
            <w:r>
              <w:rPr>
                <w:rFonts w:ascii="宋体" w:hAnsi="宋体" w:hint="eastAsia"/>
                <w:sz w:val="24"/>
              </w:rPr>
              <w:t>转帐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凭证、免税证明，提供任一种均可； </w:t>
            </w:r>
          </w:p>
          <w:p w14:paraId="33B1E717" w14:textId="77777777" w:rsidR="00CF302F" w:rsidRDefault="00CF302F" w:rsidP="005420C4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（2）提供开标前近六个月任意一个月的社保缴纳发票、社保局出具的正常缴纳</w:t>
            </w:r>
            <w:proofErr w:type="gramStart"/>
            <w:r>
              <w:rPr>
                <w:rFonts w:ascii="宋体" w:hAnsi="宋体" w:hint="eastAsia"/>
                <w:sz w:val="24"/>
              </w:rPr>
              <w:t>社保证明</w:t>
            </w:r>
            <w:proofErr w:type="gramEnd"/>
            <w:r>
              <w:rPr>
                <w:rFonts w:ascii="宋体" w:hAnsi="宋体" w:hint="eastAsia"/>
                <w:sz w:val="24"/>
              </w:rPr>
              <w:t>、交纳社保的银行</w:t>
            </w:r>
            <w:proofErr w:type="gramStart"/>
            <w:r>
              <w:rPr>
                <w:rFonts w:ascii="宋体" w:hAnsi="宋体" w:hint="eastAsia"/>
                <w:sz w:val="24"/>
              </w:rPr>
              <w:t>转帐</w:t>
            </w:r>
            <w:proofErr w:type="gramEnd"/>
            <w:r>
              <w:rPr>
                <w:rFonts w:ascii="宋体" w:hAnsi="宋体" w:hint="eastAsia"/>
                <w:sz w:val="24"/>
              </w:rPr>
              <w:t>凭证，提供任一种均可。</w:t>
            </w:r>
          </w:p>
          <w:p w14:paraId="4AFB2104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5、参加本次招标活动前三年内，在经营活动中没有重大违法记录：提供投标人的自我书面声明。</w:t>
            </w:r>
          </w:p>
          <w:p w14:paraId="1F2E711E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6、投标人被“信用中国”网站（www.creditchina.gov.cn）列入失信被执行</w:t>
            </w:r>
            <w:r>
              <w:rPr>
                <w:rFonts w:ascii="宋体" w:hAnsi="宋体" w:hint="eastAsia"/>
                <w:sz w:val="24"/>
              </w:rPr>
              <w:lastRenderedPageBreak/>
              <w:t>人和重大税收违法失信主体的、被“中国政府采购网”网站（www.ccgp.gov.cn）列入政府采购严重违法失信行为记录名单（处罚期限尚未届满的）不得参与本项目的采购活动：提供投标人“信用中国”、“中国政府采购网”网页查询截图。</w:t>
            </w:r>
          </w:p>
          <w:p w14:paraId="53B65D7F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7、法律、行政法规规定的其他条件：</w:t>
            </w:r>
          </w:p>
          <w:p w14:paraId="162DA390" w14:textId="77777777" w:rsidR="00CF302F" w:rsidRDefault="00CF302F" w:rsidP="005420C4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（1）单位负责人为同一人或者存在直接控股、管理关系的不同投标人，不得参加同一合同项下的采购活动。（提供承诺函）</w:t>
            </w:r>
          </w:p>
          <w:p w14:paraId="6FE8774B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（2）为招标项目提供整体设计、规范编制或者项目管理、监理等服务的投标人不得参加该采购项目的采购活动。（提供承诺函）</w:t>
            </w:r>
          </w:p>
          <w:p w14:paraId="443569FD" w14:textId="77777777" w:rsidR="00CF302F" w:rsidRDefault="00CF302F" w:rsidP="005420C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8、本项目不接受联合体投标，中标人不允许转包、分包。（提供承诺函）</w:t>
            </w:r>
          </w:p>
          <w:p w14:paraId="502FDE8F" w14:textId="77777777" w:rsidR="00CF302F" w:rsidRDefault="00CF302F" w:rsidP="005420C4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注：以上资格证明投标文件中提供复印件加盖公章，法人授权书及代理人身份证须提供原件（法人授权书原件允许装订入响应文件中），并对其真实性负责。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”</w:t>
            </w:r>
          </w:p>
        </w:tc>
      </w:tr>
      <w:tr w:rsidR="00CF302F" w14:paraId="6AA82BC6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CA7E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lastRenderedPageBreak/>
              <w:t>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四、采购文件领取</w:t>
            </w:r>
          </w:p>
        </w:tc>
      </w:tr>
      <w:tr w:rsidR="00CF302F" w14:paraId="44CFE37B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2944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1、采购文件领取方式：线上</w:t>
            </w:r>
          </w:p>
        </w:tc>
      </w:tr>
      <w:tr w:rsidR="00CF302F" w14:paraId="765DA79C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ADFD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2、采购文件领取截止时间：202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01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-</w:t>
            </w:r>
            <w:proofErr w:type="gramStart"/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 xml:space="preserve">  20:00:00</w:t>
            </w:r>
            <w:proofErr w:type="gramEnd"/>
          </w:p>
        </w:tc>
      </w:tr>
      <w:tr w:rsidR="00CF302F" w14:paraId="143304D7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10AC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3、采购文件领取地点：登录阳光采购服务平台投标人系统网上下载。投标人操作参见首页“服务中心-操作指南”及首页“CA数字证书办理”。</w:t>
            </w:r>
          </w:p>
          <w:p w14:paraId="0B3059D9" w14:textId="77777777" w:rsidR="00CF302F" w:rsidRDefault="00CF302F" w:rsidP="005420C4">
            <w:pPr>
              <w:widowControl/>
              <w:spacing w:line="400" w:lineRule="exact"/>
              <w:ind w:firstLineChars="300" w:firstLine="720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4、由于系统暂未在上饶设置CA制发点，系统暂时开放了上饶地区供应商免办CA进行投标报名的渠道，供应商只需忽视CA办理提示，便可投标报名，但无法上传投标文件，请供应商暂时使用以上方式进行投标报名，招标文件线下提交。供应商操作参见阳光采购服务平台（www.ygcgfw.com）首页服务中心-操作指南-供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商系统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操作手册。</w:t>
            </w:r>
          </w:p>
          <w:p w14:paraId="58F398A0" w14:textId="77777777" w:rsidR="00CF302F" w:rsidRDefault="00CF302F" w:rsidP="005420C4">
            <w:pPr>
              <w:pStyle w:val="2"/>
            </w:pPr>
            <w:bookmarkStart w:id="0" w:name="_Toc11011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 w:val="0"/>
                <w:color w:val="333333"/>
                <w:sz w:val="24"/>
                <w:szCs w:val="24"/>
              </w:rPr>
              <w:t xml:space="preserve">   5、阳光采购服务平台咨询电话：0793-8331825</w:t>
            </w:r>
            <w:bookmarkEnd w:id="0"/>
          </w:p>
        </w:tc>
      </w:tr>
      <w:tr w:rsidR="00CF302F" w14:paraId="281C2002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64AE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五、响应文件提交</w:t>
            </w:r>
          </w:p>
        </w:tc>
      </w:tr>
      <w:tr w:rsidR="00CF302F" w14:paraId="0270CF4D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BA6D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1、递交方式：现场递交纸质投标文件</w:t>
            </w:r>
          </w:p>
        </w:tc>
      </w:tr>
      <w:tr w:rsidR="00CF302F" w14:paraId="329EA396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7F6F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2、递交截止时间：2023-0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 xml:space="preserve"> 09:00:00</w:t>
            </w:r>
          </w:p>
        </w:tc>
      </w:tr>
      <w:tr w:rsidR="00CF302F" w14:paraId="2FE466B3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8F4E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3、递交地点：上饶市阳光采购服务平台3楼（上饶大道青蓝国际西北侧约100米上饶天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恒汽车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隔壁1号楼）</w:t>
            </w:r>
          </w:p>
        </w:tc>
      </w:tr>
      <w:tr w:rsidR="00CF302F" w14:paraId="2BB3F702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9FD1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六、开标时间和地点</w:t>
            </w:r>
          </w:p>
        </w:tc>
      </w:tr>
      <w:tr w:rsidR="00CF302F" w14:paraId="57DF38BC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D8A6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1、开标时间：2023-0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-</w:t>
            </w:r>
            <w:proofErr w:type="gramStart"/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 xml:space="preserve">  09:00:00</w:t>
            </w:r>
            <w:proofErr w:type="gramEnd"/>
          </w:p>
        </w:tc>
      </w:tr>
      <w:tr w:rsidR="00CF302F" w14:paraId="26E7A34E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7BBC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2、开标地点：上饶市阳光采购服务平台3楼（上饶大道青蓝国际西北侧约100米上饶天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恒汽车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隔壁1号楼）</w:t>
            </w:r>
          </w:p>
        </w:tc>
      </w:tr>
      <w:tr w:rsidR="00CF302F" w14:paraId="41232A60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B02B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lastRenderedPageBreak/>
              <w:t>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七、发布公告的媒介：</w:t>
            </w:r>
          </w:p>
        </w:tc>
      </w:tr>
      <w:tr w:rsidR="00CF302F" w14:paraId="71B80B73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8D06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 阳光采购服务平台（www.ygcgfw.com）</w:t>
            </w:r>
          </w:p>
        </w:tc>
      </w:tr>
      <w:tr w:rsidR="00CF302F" w14:paraId="4D8763D9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26C0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八、联系方式</w:t>
            </w:r>
          </w:p>
        </w:tc>
      </w:tr>
      <w:tr w:rsidR="00CF302F" w14:paraId="67F94DA5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5C57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1、采购人信息：</w:t>
            </w:r>
          </w:p>
        </w:tc>
      </w:tr>
      <w:tr w:rsidR="00CF302F" w14:paraId="31AF2A02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9D30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名称：上饶市和济水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有限公司</w:t>
            </w:r>
          </w:p>
        </w:tc>
      </w:tr>
      <w:tr w:rsidR="00CF302F" w14:paraId="0A00D7EA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53F6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地址：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江西省上饶市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</w:rPr>
              <w:t>广信区滨江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</w:rPr>
              <w:t>西路</w:t>
            </w:r>
            <w:r>
              <w:rPr>
                <w:rFonts w:asciiTheme="minorEastAsia" w:eastAsiaTheme="minorEastAsia" w:hAnsiTheme="minorEastAsia" w:cs="仿宋" w:hint="eastAsia"/>
                <w:color w:val="FF0000"/>
                <w:sz w:val="24"/>
              </w:rPr>
              <w:t>瑞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FF0000"/>
                <w:sz w:val="24"/>
              </w:rPr>
              <w:t>达水投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公司</w:t>
            </w:r>
            <w:proofErr w:type="gramEnd"/>
          </w:p>
        </w:tc>
      </w:tr>
      <w:tr w:rsidR="00CF302F" w14:paraId="780066AB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F3CA" w14:textId="77777777" w:rsidR="00CF302F" w:rsidRDefault="00CF302F" w:rsidP="005420C4">
            <w:pPr>
              <w:spacing w:line="400" w:lineRule="exac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联系人    黄女士    电话：15397849128</w:t>
            </w:r>
          </w:p>
        </w:tc>
      </w:tr>
      <w:tr w:rsidR="00CF302F" w14:paraId="50CA5FF9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A99A" w14:textId="77777777" w:rsidR="00CF302F" w:rsidRDefault="00CF302F" w:rsidP="005420C4">
            <w:pPr>
              <w:widowControl/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2、采购代理机构：</w:t>
            </w:r>
          </w:p>
        </w:tc>
      </w:tr>
      <w:tr w:rsidR="00CF302F" w14:paraId="252DBE73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A3ED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名称：江西中诚招标咨询有限公司</w:t>
            </w:r>
          </w:p>
        </w:tc>
      </w:tr>
      <w:tr w:rsidR="00CF302F" w14:paraId="2107B49D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0549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地址：江西省宜春市袁州区泸州北路736号</w:t>
            </w:r>
          </w:p>
        </w:tc>
      </w:tr>
      <w:tr w:rsidR="00CF302F" w14:paraId="42D5D943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9E83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 联系人：钟女士    电话：</w:t>
            </w:r>
            <w:r>
              <w:rPr>
                <w:rFonts w:ascii="宋体" w:hAnsi="宋体" w:cs="宋体" w:hint="eastAsia"/>
                <w:spacing w:val="4"/>
                <w:kern w:val="1"/>
                <w:sz w:val="24"/>
                <w:shd w:val="clear" w:color="auto" w:fill="FFFFFF"/>
                <w:lang w:bidi="ar"/>
              </w:rPr>
              <w:t>13767557161</w:t>
            </w:r>
          </w:p>
        </w:tc>
      </w:tr>
      <w:tr w:rsidR="00CF302F" w14:paraId="1A47AC29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B8BB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 xml:space="preserve">    3、纪委监督电话：0793-8539951</w:t>
            </w:r>
          </w:p>
        </w:tc>
      </w:tr>
      <w:tr w:rsidR="00CF302F" w14:paraId="20E8E849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6CA6" w14:textId="77777777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4"/>
              </w:rPr>
              <w:t>九、其他说明</w:t>
            </w:r>
          </w:p>
        </w:tc>
      </w:tr>
      <w:tr w:rsidR="00CF302F" w14:paraId="582F9B27" w14:textId="77777777" w:rsidTr="005420C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F30A" w14:textId="633FC2D8" w:rsidR="00CF302F" w:rsidRDefault="00CF302F" w:rsidP="005420C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  1、开标注意事项：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（1）到场人员必须全程正确佩戴口罩，保持距离禁止扎堆。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（2）上饶市阳光采购服务平台开标区域（含开标室等所有三楼区域）禁止吸烟，投标人不得在开标室及公共区域、楼道等各角落吸烟。   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2、保证金：详见招标文件。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3、代理服务费：详见招标文件。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4、公告时间：202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01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日至2023年0</w:t>
            </w:r>
            <w:r w:rsidR="002D22F7">
              <w:rPr>
                <w:rFonts w:asciiTheme="minorEastAsia" w:eastAsiaTheme="minorEastAsia" w:hAnsiTheme="minorEastAsia" w:cs="宋体"/>
                <w:color w:val="333333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333333"/>
                <w:sz w:val="24"/>
              </w:rPr>
              <w:t>01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5、凡下载本采购文件的单位，必须就此采购项目的相关事宜详细咨询（如需参考资料可与采购单位或代理机构联系）。否则参与投标人即被视为已经充分了解了采购方的需求，成交后承担采购文件范围内的所有要求（参加采购活动前如有不明之处应向采购单位或代理机构详细了解）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 6、以上告知内容如有变动，将在相关网络媒体上另行通知。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br/>
              <w:t> </w:t>
            </w:r>
          </w:p>
        </w:tc>
      </w:tr>
    </w:tbl>
    <w:p w14:paraId="3F3D1FC8" w14:textId="77777777" w:rsidR="005D58F5" w:rsidRPr="00CF302F" w:rsidRDefault="005D58F5"/>
    <w:sectPr w:rsidR="005D58F5" w:rsidRPr="00CF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5E92" w14:textId="77777777" w:rsidR="00AF5297" w:rsidRDefault="00AF5297" w:rsidP="00AF5297">
      <w:r>
        <w:separator/>
      </w:r>
    </w:p>
  </w:endnote>
  <w:endnote w:type="continuationSeparator" w:id="0">
    <w:p w14:paraId="1D9E66A8" w14:textId="77777777" w:rsidR="00AF5297" w:rsidRDefault="00AF5297" w:rsidP="00A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1FB0" w14:textId="77777777" w:rsidR="00AF5297" w:rsidRDefault="00AF5297" w:rsidP="00AF5297">
      <w:r>
        <w:separator/>
      </w:r>
    </w:p>
  </w:footnote>
  <w:footnote w:type="continuationSeparator" w:id="0">
    <w:p w14:paraId="6E6E71B7" w14:textId="77777777" w:rsidR="00AF5297" w:rsidRDefault="00AF5297" w:rsidP="00AF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hZDhhMmM3NzBhYmZlM2JlZDZlZmExNWEyMDc1ZDAifQ=="/>
  </w:docVars>
  <w:rsids>
    <w:rsidRoot w:val="0083084D"/>
    <w:rsid w:val="001B7BC5"/>
    <w:rsid w:val="002D22F7"/>
    <w:rsid w:val="005D58F5"/>
    <w:rsid w:val="006C30E1"/>
    <w:rsid w:val="0083084D"/>
    <w:rsid w:val="009B599D"/>
    <w:rsid w:val="00AF5297"/>
    <w:rsid w:val="00CF302F"/>
    <w:rsid w:val="339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3F1C3"/>
  <w15:docId w15:val="{058845A3-6A5E-46F1-BAF1-3DE4833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color w:val="000000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0" w:lineRule="auto"/>
      <w:outlineLvl w:val="1"/>
    </w:pPr>
    <w:rPr>
      <w:rFonts w:ascii="Arial" w:eastAsia="黑体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color w:val="000000"/>
      <w:kern w:val="0"/>
      <w:sz w:val="28"/>
      <w:szCs w:val="2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Calibri"/>
      <w:b/>
      <w:bCs/>
      <w:color w:val="000000"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Pr>
      <w:rFonts w:ascii="Calibri" w:eastAsia="宋体" w:hAnsi="Calibri" w:cs="Calibri"/>
      <w:b/>
      <w:bCs/>
      <w:color w:val="000000"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F5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297"/>
    <w:rPr>
      <w:rFonts w:ascii="Calibri" w:eastAsia="宋体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297"/>
    <w:rPr>
      <w:rFonts w:ascii="Calibri" w:eastAsia="宋体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</cp:lastModifiedBy>
  <cp:revision>3</cp:revision>
  <dcterms:created xsi:type="dcterms:W3CDTF">2023-01-11T07:48:00Z</dcterms:created>
  <dcterms:modified xsi:type="dcterms:W3CDTF">2023-01-11T07:49:00Z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AEAC01CB1CEA4B7C8DD21521C1A576FA</vt:lpwstr>
  </property>
</Properties>
</file>