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黑体" w:hAnsi="黑体" w:eastAsia="黑体"/>
          <w:b/>
          <w:spacing w:val="40"/>
          <w:sz w:val="104"/>
          <w:szCs w:val="104"/>
        </w:rPr>
      </w:pPr>
      <w:r>
        <w:rPr>
          <w:rFonts w:hint="eastAsia" w:ascii="黑体" w:hAnsi="黑体" w:eastAsia="黑体"/>
          <w:b/>
          <w:spacing w:val="40"/>
          <w:sz w:val="104"/>
          <w:szCs w:val="104"/>
        </w:rPr>
        <w:t>公开招标文件</w:t>
      </w:r>
    </w:p>
    <w:p>
      <w:pPr>
        <w:jc w:val="center"/>
        <w:rPr>
          <w:rFonts w:ascii="黑体" w:hAnsi="黑体" w:eastAsia="黑体"/>
        </w:rPr>
      </w:pPr>
      <w:r>
        <w:rPr>
          <w:rFonts w:ascii="黑体" w:hAnsi="黑体" w:eastAsia="黑体"/>
          <w:b/>
          <w:bCs/>
          <w:sz w:val="32"/>
          <w:szCs w:val="32"/>
        </w:rPr>
        <w:drawing>
          <wp:inline distT="0" distB="0" distL="0" distR="0">
            <wp:extent cx="3797300" cy="4088130"/>
            <wp:effectExtent l="0" t="0" r="0" b="7620"/>
            <wp:docPr id="3"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有德LOGO(小版)"/>
                    <pic:cNvPicPr>
                      <a:picLocks noChangeAspect="1" noChangeArrowheads="1"/>
                    </pic:cNvPicPr>
                  </pic:nvPicPr>
                  <pic:blipFill>
                    <a:blip r:embed="rId6" cstate="print"/>
                    <a:srcRect/>
                    <a:stretch>
                      <a:fillRect/>
                    </a:stretch>
                  </pic:blipFill>
                  <pic:spPr>
                    <a:xfrm>
                      <a:off x="0" y="0"/>
                      <a:ext cx="3803383" cy="4094778"/>
                    </a:xfrm>
                    <a:prstGeom prst="rect">
                      <a:avLst/>
                    </a:prstGeom>
                    <a:noFill/>
                    <a:ln w="9525">
                      <a:noFill/>
                      <a:miter lim="800000"/>
                      <a:headEnd/>
                      <a:tailEnd/>
                    </a:ln>
                  </pic:spPr>
                </pic:pic>
              </a:graphicData>
            </a:graphic>
          </wp:inline>
        </w:drawing>
      </w:r>
    </w:p>
    <w:tbl>
      <w:tblPr>
        <w:tblStyle w:val="21"/>
        <w:tblW w:w="9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4"/>
        <w:gridCol w:w="6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3544" w:type="dxa"/>
          </w:tcPr>
          <w:p>
            <w:pPr>
              <w:spacing w:before="468" w:beforeLines="150"/>
              <w:ind w:left="683" w:leftChars="325" w:firstLine="769" w:firstLineChars="213"/>
              <w:jc w:val="center"/>
              <w:rPr>
                <w:rFonts w:ascii="黑体" w:hAnsi="黑体" w:eastAsia="黑体"/>
                <w:b/>
                <w:spacing w:val="40"/>
                <w:sz w:val="28"/>
                <w:szCs w:val="28"/>
              </w:rPr>
            </w:pPr>
            <w:r>
              <w:rPr>
                <w:rFonts w:hint="eastAsia" w:ascii="黑体" w:hAnsi="黑体" w:eastAsia="黑体"/>
                <w:b/>
                <w:spacing w:val="40"/>
                <w:sz w:val="28"/>
                <w:szCs w:val="28"/>
              </w:rPr>
              <w:t>项目名称：</w:t>
            </w:r>
          </w:p>
        </w:tc>
        <w:tc>
          <w:tcPr>
            <w:tcW w:w="6412" w:type="dxa"/>
          </w:tcPr>
          <w:p>
            <w:pPr>
              <w:tabs>
                <w:tab w:val="left" w:pos="-108"/>
              </w:tabs>
              <w:spacing w:before="468" w:beforeLines="150"/>
              <w:ind w:left="-107" w:leftChars="-51" w:firstLine="3"/>
              <w:jc w:val="left"/>
              <w:rPr>
                <w:rFonts w:ascii="黑体" w:hAnsi="黑体" w:eastAsia="黑体"/>
                <w:b/>
                <w:sz w:val="28"/>
                <w:szCs w:val="28"/>
              </w:rPr>
            </w:pPr>
            <w:r>
              <w:rPr>
                <w:rFonts w:hint="eastAsia" w:ascii="黑体" w:hAnsi="黑体" w:eastAsia="黑体"/>
                <w:b/>
                <w:sz w:val="28"/>
                <w:szCs w:val="28"/>
              </w:rPr>
              <w:t>分院ICU医疗设备紧急采购项目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3544" w:type="dxa"/>
          </w:tcPr>
          <w:p>
            <w:pPr>
              <w:ind w:left="683" w:leftChars="325" w:firstLine="769" w:firstLineChars="213"/>
              <w:jc w:val="center"/>
              <w:rPr>
                <w:rFonts w:ascii="黑体" w:hAnsi="黑体" w:eastAsia="黑体"/>
                <w:b/>
                <w:sz w:val="28"/>
                <w:szCs w:val="28"/>
              </w:rPr>
            </w:pPr>
            <w:r>
              <w:rPr>
                <w:rFonts w:hint="eastAsia" w:ascii="黑体" w:hAnsi="黑体" w:eastAsia="黑体"/>
                <w:b/>
                <w:spacing w:val="40"/>
                <w:sz w:val="28"/>
                <w:szCs w:val="28"/>
              </w:rPr>
              <w:t>项目编号：</w:t>
            </w:r>
          </w:p>
        </w:tc>
        <w:tc>
          <w:tcPr>
            <w:tcW w:w="6412" w:type="dxa"/>
          </w:tcPr>
          <w:p>
            <w:pPr>
              <w:tabs>
                <w:tab w:val="left" w:pos="-108"/>
              </w:tabs>
              <w:ind w:left="-107" w:leftChars="-51" w:firstLine="3"/>
              <w:jc w:val="left"/>
              <w:rPr>
                <w:rFonts w:ascii="黑体" w:hAnsi="黑体" w:eastAsia="黑体"/>
                <w:b/>
                <w:sz w:val="28"/>
                <w:szCs w:val="28"/>
              </w:rPr>
            </w:pPr>
            <w:r>
              <w:rPr>
                <w:rFonts w:ascii="黑体" w:hAnsi="黑体" w:eastAsia="黑体"/>
                <w:b/>
                <w:sz w:val="28"/>
                <w:szCs w:val="28"/>
              </w:rPr>
              <w:t>YDZB23DGQY0011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3544" w:type="dxa"/>
          </w:tcPr>
          <w:p>
            <w:pPr>
              <w:ind w:left="683" w:leftChars="325" w:firstLine="769" w:firstLineChars="213"/>
              <w:jc w:val="center"/>
              <w:rPr>
                <w:rFonts w:ascii="黑体" w:hAnsi="黑体" w:eastAsia="黑体"/>
                <w:b/>
                <w:sz w:val="28"/>
                <w:szCs w:val="28"/>
              </w:rPr>
            </w:pPr>
            <w:r>
              <w:rPr>
                <w:rFonts w:hint="eastAsia" w:ascii="黑体" w:hAnsi="黑体" w:eastAsia="黑体"/>
                <w:b/>
                <w:spacing w:val="40"/>
                <w:sz w:val="28"/>
                <w:szCs w:val="28"/>
              </w:rPr>
              <w:t>采购单位：</w:t>
            </w:r>
          </w:p>
        </w:tc>
        <w:tc>
          <w:tcPr>
            <w:tcW w:w="6412" w:type="dxa"/>
          </w:tcPr>
          <w:p>
            <w:pPr>
              <w:tabs>
                <w:tab w:val="left" w:pos="-108"/>
              </w:tabs>
              <w:ind w:left="-107" w:leftChars="-51" w:firstLine="3"/>
              <w:jc w:val="left"/>
              <w:rPr>
                <w:rFonts w:ascii="黑体" w:hAnsi="黑体" w:eastAsia="黑体"/>
                <w:b/>
                <w:sz w:val="28"/>
                <w:szCs w:val="28"/>
              </w:rPr>
            </w:pPr>
            <w:r>
              <w:rPr>
                <w:rFonts w:hint="eastAsia" w:ascii="黑体" w:hAnsi="黑体" w:eastAsia="黑体"/>
                <w:b/>
                <w:sz w:val="28"/>
                <w:szCs w:val="28"/>
              </w:rPr>
              <w:t>东莞市中医院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544" w:type="dxa"/>
          </w:tcPr>
          <w:p>
            <w:pPr>
              <w:ind w:left="683" w:leftChars="325" w:firstLine="770" w:firstLineChars="295"/>
              <w:jc w:val="center"/>
              <w:rPr>
                <w:rFonts w:ascii="黑体" w:hAnsi="黑体" w:eastAsia="黑体"/>
                <w:b/>
                <w:sz w:val="28"/>
                <w:szCs w:val="28"/>
              </w:rPr>
            </w:pPr>
            <w:r>
              <w:rPr>
                <w:rFonts w:hint="eastAsia" w:ascii="黑体" w:hAnsi="黑体" w:eastAsia="黑体"/>
                <w:b/>
                <w:spacing w:val="-10"/>
                <w:sz w:val="28"/>
                <w:szCs w:val="28"/>
              </w:rPr>
              <w:t>采购代理机构</w:t>
            </w:r>
            <w:r>
              <w:rPr>
                <w:rFonts w:hint="eastAsia" w:ascii="黑体" w:hAnsi="黑体" w:eastAsia="黑体"/>
                <w:b/>
                <w:sz w:val="28"/>
                <w:szCs w:val="28"/>
              </w:rPr>
              <w:t>：</w:t>
            </w:r>
          </w:p>
        </w:tc>
        <w:tc>
          <w:tcPr>
            <w:tcW w:w="6412" w:type="dxa"/>
          </w:tcPr>
          <w:p>
            <w:pPr>
              <w:tabs>
                <w:tab w:val="left" w:pos="-108"/>
              </w:tabs>
              <w:ind w:left="-107" w:leftChars="-51" w:firstLine="3"/>
              <w:jc w:val="left"/>
              <w:rPr>
                <w:rFonts w:ascii="黑体" w:hAnsi="黑体" w:eastAsia="黑体"/>
                <w:b/>
                <w:spacing w:val="4"/>
                <w:sz w:val="28"/>
                <w:szCs w:val="28"/>
              </w:rPr>
            </w:pPr>
            <w:r>
              <w:rPr>
                <w:rFonts w:hint="eastAsia" w:ascii="黑体" w:hAnsi="黑体" w:eastAsia="黑体"/>
                <w:b/>
                <w:spacing w:val="4"/>
                <w:sz w:val="28"/>
                <w:szCs w:val="28"/>
              </w:rPr>
              <w:t>广东有德招标采购有限公司</w:t>
            </w:r>
          </w:p>
        </w:tc>
      </w:tr>
    </w:tbl>
    <w:p>
      <w:pPr>
        <w:jc w:val="center"/>
        <w:rPr>
          <w:rFonts w:ascii="黑体" w:hAnsi="黑体" w:eastAsia="黑体"/>
          <w:b/>
          <w:sz w:val="32"/>
          <w:szCs w:val="32"/>
        </w:rPr>
      </w:pPr>
    </w:p>
    <w:p>
      <w:pPr>
        <w:spacing w:before="156" w:beforeLines="50" w:line="360" w:lineRule="auto"/>
        <w:jc w:val="center"/>
        <w:rPr>
          <w:rFonts w:ascii="黑体" w:hAnsi="黑体" w:eastAsia="黑体"/>
          <w:b/>
          <w:spacing w:val="60"/>
          <w:sz w:val="28"/>
          <w:szCs w:val="28"/>
        </w:rPr>
      </w:pPr>
      <w:r>
        <w:rPr>
          <w:rFonts w:hint="eastAsia" w:ascii="黑体" w:hAnsi="黑体" w:eastAsia="黑体"/>
          <w:b/>
          <w:spacing w:val="60"/>
          <w:sz w:val="28"/>
          <w:szCs w:val="28"/>
        </w:rPr>
        <w:t>二〇二三年一月</w:t>
      </w:r>
    </w:p>
    <w:p>
      <w:pPr>
        <w:pageBreakBefore/>
        <w:spacing w:before="156" w:beforeLines="50" w:after="312" w:afterLines="100" w:line="480" w:lineRule="auto"/>
        <w:jc w:val="center"/>
        <w:rPr>
          <w:rFonts w:ascii="黑体" w:hAnsi="黑体" w:eastAsia="黑体"/>
          <w:b/>
          <w:spacing w:val="60"/>
          <w:sz w:val="44"/>
          <w:szCs w:val="44"/>
        </w:rPr>
      </w:pPr>
      <w:r>
        <w:rPr>
          <w:rFonts w:hint="eastAsia" w:ascii="黑体" w:hAnsi="黑体" w:eastAsia="黑体"/>
          <w:b/>
          <w:spacing w:val="60"/>
          <w:sz w:val="44"/>
          <w:szCs w:val="44"/>
        </w:rPr>
        <w:t>温馨提示</w:t>
      </w:r>
    </w:p>
    <w:p>
      <w:pPr>
        <w:pStyle w:val="30"/>
        <w:numPr>
          <w:ilvl w:val="0"/>
          <w:numId w:val="1"/>
        </w:numPr>
        <w:spacing w:line="600" w:lineRule="exact"/>
        <w:ind w:firstLineChars="0"/>
        <w:jc w:val="left"/>
        <w:rPr>
          <w:rFonts w:ascii="黑体" w:hAnsi="黑体" w:eastAsia="黑体"/>
          <w:szCs w:val="21"/>
        </w:rPr>
      </w:pPr>
      <w:r>
        <w:rPr>
          <w:rFonts w:hint="eastAsia" w:ascii="黑体" w:hAnsi="黑体" w:eastAsia="黑体"/>
          <w:szCs w:val="21"/>
        </w:rPr>
        <w:t>投标截止时间一到，本公司不接收任何投标文件，因此，请适当提前到达。</w:t>
      </w:r>
    </w:p>
    <w:p>
      <w:pPr>
        <w:pStyle w:val="30"/>
        <w:numPr>
          <w:ilvl w:val="0"/>
          <w:numId w:val="1"/>
        </w:numPr>
        <w:spacing w:line="600" w:lineRule="exact"/>
        <w:ind w:firstLineChars="0"/>
        <w:jc w:val="left"/>
        <w:rPr>
          <w:rFonts w:ascii="黑体" w:hAnsi="黑体" w:eastAsia="黑体"/>
        </w:rPr>
      </w:pPr>
      <w:r>
        <w:rPr>
          <w:rFonts w:hint="eastAsia" w:ascii="黑体" w:hAnsi="黑体" w:eastAsia="黑体"/>
        </w:rPr>
        <w:t>请正确填写《开标一览表》。多包项目请仔细检查包组号，包组号跟包组名称必须一致。</w:t>
      </w:r>
    </w:p>
    <w:p>
      <w:pPr>
        <w:pStyle w:val="30"/>
        <w:numPr>
          <w:ilvl w:val="0"/>
          <w:numId w:val="1"/>
        </w:numPr>
        <w:spacing w:line="600" w:lineRule="exact"/>
        <w:ind w:firstLineChars="0"/>
        <w:jc w:val="left"/>
        <w:rPr>
          <w:rFonts w:ascii="黑体" w:hAnsi="黑体" w:eastAsia="黑体"/>
        </w:rPr>
      </w:pPr>
      <w:r>
        <w:rPr>
          <w:rFonts w:hint="eastAsia" w:ascii="黑体" w:hAnsi="黑体" w:eastAsia="黑体"/>
        </w:rPr>
        <w:t>请仔细检查投标文件是否已按招标文件盖章、签名(或盖私章)、签署日期。</w:t>
      </w:r>
    </w:p>
    <w:p>
      <w:pPr>
        <w:pStyle w:val="30"/>
        <w:numPr>
          <w:ilvl w:val="0"/>
          <w:numId w:val="1"/>
        </w:numPr>
        <w:spacing w:line="600" w:lineRule="exact"/>
        <w:ind w:firstLineChars="0"/>
        <w:jc w:val="left"/>
        <w:rPr>
          <w:rFonts w:ascii="黑体" w:hAnsi="黑体" w:eastAsia="黑体"/>
        </w:rPr>
      </w:pPr>
      <w:r>
        <w:rPr>
          <w:rFonts w:hint="eastAsia" w:ascii="黑体" w:hAnsi="黑体" w:eastAsia="黑体"/>
        </w:rPr>
        <w:t>加★号的条款必须一一响应。</w:t>
      </w:r>
    </w:p>
    <w:p>
      <w:pPr>
        <w:pStyle w:val="30"/>
        <w:numPr>
          <w:ilvl w:val="0"/>
          <w:numId w:val="1"/>
        </w:numPr>
        <w:spacing w:line="600" w:lineRule="exact"/>
        <w:ind w:firstLineChars="0"/>
        <w:jc w:val="left"/>
        <w:rPr>
          <w:rFonts w:ascii="黑体" w:hAnsi="黑体" w:eastAsia="黑体"/>
        </w:rPr>
      </w:pPr>
      <w:r>
        <w:rPr>
          <w:rFonts w:hint="eastAsia" w:ascii="黑体" w:hAnsi="黑体" w:eastAsia="黑体"/>
        </w:rPr>
        <w:t>投标文件应按顺序编制页码。</w:t>
      </w:r>
    </w:p>
    <w:p>
      <w:pPr>
        <w:numPr>
          <w:ilvl w:val="0"/>
          <w:numId w:val="1"/>
        </w:numPr>
        <w:tabs>
          <w:tab w:val="left" w:pos="709"/>
        </w:tabs>
        <w:spacing w:line="600" w:lineRule="exact"/>
        <w:rPr>
          <w:rFonts w:ascii="黑体" w:hAnsi="黑体" w:eastAsia="黑体"/>
          <w:szCs w:val="21"/>
        </w:rPr>
      </w:pPr>
      <w:r>
        <w:rPr>
          <w:rFonts w:hint="eastAsia" w:ascii="黑体" w:hAnsi="黑体" w:eastAsia="黑体"/>
          <w:szCs w:val="21"/>
        </w:rPr>
        <w:t>投标人如需对项目提出询问或质疑，应按招标文件附件中的询问函和质疑函的格式提交。</w:t>
      </w:r>
    </w:p>
    <w:p>
      <w:pPr>
        <w:tabs>
          <w:tab w:val="left" w:pos="709"/>
        </w:tabs>
        <w:spacing w:before="156" w:beforeLines="50" w:line="600" w:lineRule="exact"/>
        <w:jc w:val="center"/>
        <w:rPr>
          <w:rFonts w:ascii="黑体" w:hAnsi="黑体" w:eastAsia="黑体"/>
          <w:b/>
        </w:rPr>
      </w:pPr>
      <w:r>
        <w:rPr>
          <w:rFonts w:hint="eastAsia" w:ascii="黑体" w:hAnsi="黑体" w:eastAsia="黑体"/>
          <w:b/>
        </w:rPr>
        <w:t xml:space="preserve"> (本提示内容非招标文件的组成部分，仅为善意提醒。如有不一致，以招标文件为准。)</w:t>
      </w:r>
    </w:p>
    <w:p>
      <w:pPr>
        <w:tabs>
          <w:tab w:val="left" w:pos="709"/>
        </w:tabs>
        <w:spacing w:before="156" w:beforeLines="50" w:line="600" w:lineRule="exact"/>
        <w:jc w:val="center"/>
        <w:rPr>
          <w:rFonts w:ascii="黑体" w:hAnsi="黑体" w:eastAsia="黑体"/>
          <w:b/>
          <w:sz w:val="24"/>
          <w:szCs w:val="24"/>
        </w:rPr>
      </w:pPr>
      <w:r>
        <w:rPr>
          <w:rFonts w:hint="eastAsia" w:ascii="黑体" w:hAnsi="黑体" w:eastAsia="黑体"/>
          <w:b/>
          <w:sz w:val="24"/>
          <w:szCs w:val="24"/>
        </w:rPr>
        <w:t>使用微信扫描二维码在线获取招标文件</w:t>
      </w:r>
    </w:p>
    <w:p>
      <w:pPr>
        <w:tabs>
          <w:tab w:val="left" w:pos="709"/>
        </w:tabs>
        <w:spacing w:before="156" w:beforeLines="50" w:line="600" w:lineRule="exact"/>
        <w:jc w:val="center"/>
        <w:rPr>
          <w:rFonts w:ascii="黑体" w:hAnsi="黑体" w:eastAsia="黑体"/>
          <w:b/>
          <w:sz w:val="32"/>
          <w:szCs w:val="32"/>
        </w:rPr>
      </w:pPr>
      <w:r>
        <w:rPr>
          <w:rFonts w:ascii="黑体" w:hAnsi="黑体" w:eastAsia="黑体"/>
          <w:b/>
          <w:sz w:val="32"/>
          <w:szCs w:val="32"/>
        </w:rPr>
        <w:drawing>
          <wp:anchor distT="0" distB="0" distL="114300" distR="114300" simplePos="0" relativeHeight="251659264" behindDoc="0" locked="0" layoutInCell="1" allowOverlap="1">
            <wp:simplePos x="0" y="0"/>
            <wp:positionH relativeFrom="column">
              <wp:posOffset>1411605</wp:posOffset>
            </wp:positionH>
            <wp:positionV relativeFrom="paragraph">
              <wp:posOffset>146685</wp:posOffset>
            </wp:positionV>
            <wp:extent cx="2712085" cy="2576195"/>
            <wp:effectExtent l="0" t="0" r="0" b="0"/>
            <wp:wrapNone/>
            <wp:docPr id="6" name="图片 2" descr="C:\Users\ADMINI~1\AppData\Local\Temp\WeChat Files\6b2d4e1d76675bde2c43827105fa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1\AppData\Local\Temp\WeChat Files\6b2d4e1d76675bde2c43827105fa874.jpg"/>
                    <pic:cNvPicPr>
                      <a:picLocks noChangeAspect="1" noChangeArrowheads="1"/>
                    </pic:cNvPicPr>
                  </pic:nvPicPr>
                  <pic:blipFill>
                    <a:blip r:embed="rId7" cstate="print"/>
                    <a:srcRect/>
                    <a:stretch>
                      <a:fillRect/>
                    </a:stretch>
                  </pic:blipFill>
                  <pic:spPr>
                    <a:xfrm>
                      <a:off x="0" y="0"/>
                      <a:ext cx="2712378" cy="2575909"/>
                    </a:xfrm>
                    <a:prstGeom prst="rect">
                      <a:avLst/>
                    </a:prstGeom>
                    <a:noFill/>
                    <a:ln w="9525">
                      <a:noFill/>
                      <a:miter lim="800000"/>
                      <a:headEnd/>
                      <a:tailEnd/>
                    </a:ln>
                  </pic:spPr>
                </pic:pic>
              </a:graphicData>
            </a:graphic>
          </wp:anchor>
        </w:drawing>
      </w:r>
    </w:p>
    <w:p>
      <w:pPr>
        <w:tabs>
          <w:tab w:val="left" w:pos="709"/>
        </w:tabs>
        <w:spacing w:before="156" w:beforeLines="50" w:line="600" w:lineRule="exact"/>
        <w:rPr>
          <w:rFonts w:ascii="黑体" w:hAnsi="黑体" w:eastAsia="黑体"/>
          <w:b/>
        </w:rPr>
      </w:pPr>
    </w:p>
    <w:p>
      <w:pPr>
        <w:rPr>
          <w:rFonts w:ascii="黑体" w:hAnsi="黑体" w:eastAsia="黑体"/>
        </w:rPr>
      </w:pPr>
    </w:p>
    <w:p>
      <w:pPr>
        <w:jc w:val="right"/>
        <w:rPr>
          <w:rFonts w:ascii="黑体" w:hAnsi="黑体" w:eastAsia="黑体"/>
        </w:rPr>
      </w:pPr>
    </w:p>
    <w:sdt>
      <w:sdtPr>
        <w:rPr>
          <w:rFonts w:ascii="宋体" w:hAnsi="宋体" w:eastAsia="宋体" w:cstheme="minorBidi"/>
          <w:b w:val="0"/>
          <w:bCs w:val="0"/>
          <w:color w:val="auto"/>
          <w:kern w:val="2"/>
          <w:sz w:val="21"/>
          <w:szCs w:val="22"/>
          <w:lang w:val="zh-CN"/>
        </w:rPr>
        <w:id w:val="-671422043"/>
        <w:docPartObj>
          <w:docPartGallery w:val="Table of Contents"/>
          <w:docPartUnique/>
        </w:docPartObj>
      </w:sdtPr>
      <w:sdtEndPr>
        <w:rPr>
          <w:rFonts w:ascii="黑体" w:hAnsi="黑体" w:eastAsia="黑体" w:cstheme="minorBidi"/>
          <w:b w:val="0"/>
          <w:bCs w:val="0"/>
          <w:color w:val="auto"/>
          <w:kern w:val="2"/>
          <w:sz w:val="21"/>
          <w:szCs w:val="22"/>
          <w:lang w:val="zh-CN"/>
        </w:rPr>
      </w:sdtEndPr>
      <w:sdtContent>
        <w:p>
          <w:pPr>
            <w:pStyle w:val="35"/>
            <w:keepNext w:val="0"/>
            <w:keepLines w:val="0"/>
            <w:pageBreakBefore/>
            <w:widowControl w:val="0"/>
            <w:spacing w:before="0" w:line="360" w:lineRule="auto"/>
            <w:jc w:val="center"/>
            <w:rPr>
              <w:rFonts w:ascii="黑体" w:hAnsi="黑体" w:eastAsia="黑体"/>
              <w:color w:val="auto"/>
            </w:rPr>
          </w:pPr>
          <w:bookmarkStart w:id="0" w:name="_Toc391367873"/>
          <w:bookmarkStart w:id="1" w:name="_Toc405313951"/>
          <w:bookmarkStart w:id="2" w:name="_Toc391627747"/>
          <w:r>
            <w:rPr>
              <w:rFonts w:hint="eastAsia" w:ascii="黑体" w:hAnsi="黑体" w:eastAsia="黑体"/>
              <w:color w:val="auto"/>
              <w:lang w:val="zh-CN"/>
            </w:rPr>
            <w:t>目   录</w:t>
          </w:r>
        </w:p>
        <w:p>
          <w:pPr>
            <w:pStyle w:val="15"/>
            <w:rPr>
              <w:rFonts w:eastAsiaTheme="minorEastAsia"/>
              <w:kern w:val="2"/>
              <w:sz w:val="21"/>
            </w:rPr>
          </w:pPr>
          <w:r>
            <w:rPr>
              <w:rFonts w:ascii="黑体" w:hAnsi="黑体"/>
            </w:rPr>
            <w:fldChar w:fldCharType="begin"/>
          </w:r>
          <w:r>
            <w:rPr>
              <w:rFonts w:ascii="黑体" w:hAnsi="黑体"/>
            </w:rPr>
            <w:instrText xml:space="preserve"> TOC \o "1-3" \h \z \u </w:instrText>
          </w:r>
          <w:r>
            <w:rPr>
              <w:rFonts w:ascii="黑体" w:hAnsi="黑体"/>
            </w:rPr>
            <w:fldChar w:fldCharType="separate"/>
          </w:r>
          <w:r>
            <w:fldChar w:fldCharType="begin"/>
          </w:r>
          <w:r>
            <w:instrText xml:space="preserve"> HYPERLINK \l "_Toc119514285" </w:instrText>
          </w:r>
          <w:r>
            <w:fldChar w:fldCharType="separate"/>
          </w:r>
          <w:r>
            <w:rPr>
              <w:rStyle w:val="26"/>
              <w:rFonts w:ascii="黑体" w:hAnsi="黑体"/>
              <w:color w:val="auto"/>
              <w:spacing w:val="20"/>
            </w:rPr>
            <w:t>第一部分 投标邀请</w:t>
          </w:r>
          <w:r>
            <w:tab/>
          </w:r>
          <w:r>
            <w:fldChar w:fldCharType="begin"/>
          </w:r>
          <w:r>
            <w:instrText xml:space="preserve"> PAGEREF _Toc119514285 \h </w:instrText>
          </w:r>
          <w:r>
            <w:fldChar w:fldCharType="separate"/>
          </w:r>
          <w:r>
            <w:t>3</w:t>
          </w:r>
          <w:r>
            <w:fldChar w:fldCharType="end"/>
          </w:r>
          <w:r>
            <w:fldChar w:fldCharType="end"/>
          </w:r>
        </w:p>
        <w:p>
          <w:pPr>
            <w:pStyle w:val="15"/>
            <w:rPr>
              <w:rFonts w:eastAsiaTheme="minorEastAsia"/>
              <w:kern w:val="2"/>
              <w:sz w:val="21"/>
            </w:rPr>
          </w:pPr>
          <w:r>
            <w:fldChar w:fldCharType="begin"/>
          </w:r>
          <w:r>
            <w:instrText xml:space="preserve"> HYPERLINK \l "_Toc119514286" </w:instrText>
          </w:r>
          <w:r>
            <w:fldChar w:fldCharType="separate"/>
          </w:r>
          <w:r>
            <w:rPr>
              <w:rStyle w:val="26"/>
              <w:rFonts w:ascii="黑体" w:hAnsi="黑体"/>
              <w:color w:val="auto"/>
              <w:spacing w:val="20"/>
            </w:rPr>
            <w:t>第二部分 采购需求</w:t>
          </w:r>
          <w:r>
            <w:tab/>
          </w:r>
          <w:r>
            <w:fldChar w:fldCharType="begin"/>
          </w:r>
          <w:r>
            <w:instrText xml:space="preserve"> PAGEREF _Toc119514286 \h </w:instrText>
          </w:r>
          <w:r>
            <w:fldChar w:fldCharType="separate"/>
          </w:r>
          <w:r>
            <w:t>6</w:t>
          </w:r>
          <w:r>
            <w:fldChar w:fldCharType="end"/>
          </w:r>
          <w:r>
            <w:fldChar w:fldCharType="end"/>
          </w:r>
        </w:p>
        <w:p>
          <w:pPr>
            <w:pStyle w:val="15"/>
            <w:rPr>
              <w:rFonts w:eastAsiaTheme="minorEastAsia"/>
              <w:kern w:val="2"/>
              <w:sz w:val="21"/>
            </w:rPr>
          </w:pPr>
          <w:r>
            <w:fldChar w:fldCharType="begin"/>
          </w:r>
          <w:r>
            <w:instrText xml:space="preserve"> HYPERLINK \l "_Toc119514287" </w:instrText>
          </w:r>
          <w:r>
            <w:fldChar w:fldCharType="separate"/>
          </w:r>
          <w:r>
            <w:rPr>
              <w:rStyle w:val="26"/>
              <w:rFonts w:ascii="黑体" w:hAnsi="黑体"/>
              <w:color w:val="auto"/>
              <w:spacing w:val="20"/>
            </w:rPr>
            <w:t>第三部分 投标人须知前附表</w:t>
          </w:r>
          <w:r>
            <w:tab/>
          </w:r>
          <w:r>
            <w:fldChar w:fldCharType="begin"/>
          </w:r>
          <w:r>
            <w:instrText xml:space="preserve"> PAGEREF _Toc119514287 \h </w:instrText>
          </w:r>
          <w:r>
            <w:fldChar w:fldCharType="separate"/>
          </w:r>
          <w:r>
            <w:t>41</w:t>
          </w:r>
          <w:r>
            <w:fldChar w:fldCharType="end"/>
          </w:r>
          <w:r>
            <w:fldChar w:fldCharType="end"/>
          </w:r>
        </w:p>
        <w:p>
          <w:pPr>
            <w:pStyle w:val="15"/>
            <w:rPr>
              <w:rFonts w:eastAsiaTheme="minorEastAsia"/>
              <w:kern w:val="2"/>
              <w:sz w:val="21"/>
            </w:rPr>
          </w:pPr>
          <w:r>
            <w:fldChar w:fldCharType="begin"/>
          </w:r>
          <w:r>
            <w:instrText xml:space="preserve"> HYPERLINK \l "_Toc119514288" </w:instrText>
          </w:r>
          <w:r>
            <w:fldChar w:fldCharType="separate"/>
          </w:r>
          <w:r>
            <w:rPr>
              <w:rStyle w:val="26"/>
              <w:rFonts w:ascii="黑体" w:hAnsi="黑体"/>
              <w:color w:val="auto"/>
              <w:spacing w:val="20"/>
            </w:rPr>
            <w:t>第四部分 投标人须知</w:t>
          </w:r>
          <w:r>
            <w:tab/>
          </w:r>
          <w:r>
            <w:fldChar w:fldCharType="begin"/>
          </w:r>
          <w:r>
            <w:instrText xml:space="preserve"> PAGEREF _Toc119514288 \h </w:instrText>
          </w:r>
          <w:r>
            <w:fldChar w:fldCharType="separate"/>
          </w:r>
          <w:r>
            <w:t>43</w:t>
          </w:r>
          <w:r>
            <w:fldChar w:fldCharType="end"/>
          </w:r>
          <w:r>
            <w:fldChar w:fldCharType="end"/>
          </w:r>
        </w:p>
        <w:p>
          <w:pPr>
            <w:pStyle w:val="15"/>
            <w:rPr>
              <w:rFonts w:eastAsiaTheme="minorEastAsia"/>
              <w:kern w:val="2"/>
              <w:sz w:val="21"/>
            </w:rPr>
          </w:pPr>
          <w:r>
            <w:fldChar w:fldCharType="begin"/>
          </w:r>
          <w:r>
            <w:instrText xml:space="preserve"> HYPERLINK \l "_Toc119514289" </w:instrText>
          </w:r>
          <w:r>
            <w:fldChar w:fldCharType="separate"/>
          </w:r>
          <w:r>
            <w:rPr>
              <w:rStyle w:val="26"/>
              <w:rFonts w:ascii="黑体" w:hAnsi="黑体"/>
              <w:color w:val="auto"/>
              <w:spacing w:val="20"/>
            </w:rPr>
            <w:t>第五部分 评标方法、步骤、标准</w:t>
          </w:r>
          <w:r>
            <w:tab/>
          </w:r>
          <w:r>
            <w:fldChar w:fldCharType="begin"/>
          </w:r>
          <w:r>
            <w:instrText xml:space="preserve"> PAGEREF _Toc119514289 \h </w:instrText>
          </w:r>
          <w:r>
            <w:fldChar w:fldCharType="separate"/>
          </w:r>
          <w:r>
            <w:t>61</w:t>
          </w:r>
          <w:r>
            <w:fldChar w:fldCharType="end"/>
          </w:r>
          <w:r>
            <w:fldChar w:fldCharType="end"/>
          </w:r>
        </w:p>
        <w:p>
          <w:pPr>
            <w:pStyle w:val="15"/>
            <w:rPr>
              <w:rFonts w:eastAsiaTheme="minorEastAsia"/>
              <w:kern w:val="2"/>
              <w:sz w:val="21"/>
            </w:rPr>
          </w:pPr>
          <w:r>
            <w:fldChar w:fldCharType="begin"/>
          </w:r>
          <w:r>
            <w:instrText xml:space="preserve"> HYPERLINK \l "_Toc119514290" </w:instrText>
          </w:r>
          <w:r>
            <w:fldChar w:fldCharType="separate"/>
          </w:r>
          <w:r>
            <w:rPr>
              <w:rStyle w:val="26"/>
              <w:rFonts w:ascii="黑体" w:hAnsi="黑体"/>
              <w:color w:val="auto"/>
              <w:spacing w:val="20"/>
            </w:rPr>
            <w:t>第六部分 合同书格式</w:t>
          </w:r>
          <w:r>
            <w:tab/>
          </w:r>
          <w:r>
            <w:fldChar w:fldCharType="begin"/>
          </w:r>
          <w:r>
            <w:instrText xml:space="preserve"> PAGEREF _Toc119514290 \h </w:instrText>
          </w:r>
          <w:r>
            <w:fldChar w:fldCharType="separate"/>
          </w:r>
          <w:r>
            <w:t>70</w:t>
          </w:r>
          <w:r>
            <w:fldChar w:fldCharType="end"/>
          </w:r>
          <w:r>
            <w:fldChar w:fldCharType="end"/>
          </w:r>
        </w:p>
        <w:p>
          <w:pPr>
            <w:pStyle w:val="15"/>
            <w:rPr>
              <w:rFonts w:eastAsiaTheme="minorEastAsia"/>
              <w:kern w:val="2"/>
              <w:sz w:val="21"/>
            </w:rPr>
          </w:pPr>
          <w:r>
            <w:fldChar w:fldCharType="begin"/>
          </w:r>
          <w:r>
            <w:instrText xml:space="preserve"> HYPERLINK \l "_Toc119514291" </w:instrText>
          </w:r>
          <w:r>
            <w:fldChar w:fldCharType="separate"/>
          </w:r>
          <w:r>
            <w:rPr>
              <w:rStyle w:val="26"/>
              <w:rFonts w:ascii="黑体" w:hAnsi="黑体"/>
              <w:color w:val="auto"/>
              <w:spacing w:val="20"/>
            </w:rPr>
            <w:t>第七部分 投标文件格式</w:t>
          </w:r>
          <w:r>
            <w:tab/>
          </w:r>
          <w:r>
            <w:fldChar w:fldCharType="begin"/>
          </w:r>
          <w:r>
            <w:instrText xml:space="preserve"> PAGEREF _Toc119514291 \h </w:instrText>
          </w:r>
          <w:r>
            <w:fldChar w:fldCharType="separate"/>
          </w:r>
          <w:r>
            <w:t>78</w:t>
          </w:r>
          <w:r>
            <w:fldChar w:fldCharType="end"/>
          </w:r>
          <w:r>
            <w:fldChar w:fldCharType="end"/>
          </w:r>
        </w:p>
        <w:p>
          <w:pPr>
            <w:spacing w:line="348" w:lineRule="auto"/>
            <w:rPr>
              <w:rFonts w:ascii="黑体" w:hAnsi="黑体" w:eastAsia="黑体"/>
            </w:rPr>
          </w:pPr>
          <w:r>
            <w:rPr>
              <w:rFonts w:ascii="黑体" w:hAnsi="黑体" w:eastAsia="黑体"/>
              <w:b/>
              <w:bCs/>
              <w:lang w:val="zh-CN"/>
            </w:rPr>
            <w:fldChar w:fldCharType="end"/>
          </w:r>
        </w:p>
      </w:sdtContent>
    </w:sdt>
    <w:p>
      <w:pPr>
        <w:pStyle w:val="2"/>
        <w:keepNext w:val="0"/>
        <w:keepLines w:val="0"/>
        <w:pageBreakBefore/>
        <w:spacing w:before="120" w:after="120" w:line="360" w:lineRule="auto"/>
        <w:jc w:val="center"/>
        <w:rPr>
          <w:rFonts w:ascii="黑体" w:hAnsi="黑体" w:eastAsia="黑体"/>
          <w:spacing w:val="20"/>
          <w:sz w:val="32"/>
          <w:szCs w:val="32"/>
        </w:rPr>
      </w:pPr>
      <w:bookmarkStart w:id="3" w:name="_Toc119514285"/>
      <w:r>
        <w:rPr>
          <w:rFonts w:hint="eastAsia" w:ascii="黑体" w:hAnsi="黑体" w:eastAsia="黑体"/>
          <w:spacing w:val="20"/>
          <w:sz w:val="32"/>
          <w:szCs w:val="32"/>
        </w:rPr>
        <w:t>第一部分</w:t>
      </w:r>
      <w:r>
        <w:rPr>
          <w:rFonts w:ascii="黑体" w:hAnsi="黑体" w:eastAsia="黑体"/>
          <w:spacing w:val="20"/>
          <w:sz w:val="32"/>
          <w:szCs w:val="32"/>
        </w:rPr>
        <w:t xml:space="preserve"> </w:t>
      </w:r>
      <w:r>
        <w:rPr>
          <w:rFonts w:hint="eastAsia" w:ascii="黑体" w:hAnsi="黑体" w:eastAsia="黑体"/>
          <w:spacing w:val="20"/>
          <w:sz w:val="32"/>
          <w:szCs w:val="32"/>
        </w:rPr>
        <w:t>投标邀请</w:t>
      </w:r>
      <w:bookmarkEnd w:id="0"/>
      <w:bookmarkEnd w:id="1"/>
      <w:bookmarkEnd w:id="2"/>
      <w:bookmarkEnd w:id="3"/>
    </w:p>
    <w:p>
      <w:pPr>
        <w:widowControl/>
        <w:spacing w:before="156" w:beforeLines="50" w:after="156" w:afterLines="50" w:line="360" w:lineRule="atLeast"/>
        <w:jc w:val="left"/>
        <w:rPr>
          <w:rFonts w:ascii="黑体" w:hAnsi="黑体" w:eastAsia="黑体" w:cs="宋体"/>
          <w:b/>
          <w:kern w:val="0"/>
          <w:sz w:val="24"/>
          <w:szCs w:val="24"/>
        </w:rPr>
      </w:pPr>
      <w:r>
        <w:rPr>
          <w:rFonts w:hint="eastAsia" w:ascii="黑体" w:hAnsi="黑体" w:eastAsia="黑体" w:cs="宋体"/>
          <w:b/>
          <w:kern w:val="0"/>
          <w:sz w:val="24"/>
          <w:szCs w:val="24"/>
        </w:rPr>
        <w:t>项目概况</w:t>
      </w:r>
    </w:p>
    <w:p>
      <w:pPr>
        <w:tabs>
          <w:tab w:val="left" w:pos="426"/>
        </w:tabs>
        <w:spacing w:before="312" w:beforeLines="100" w:line="360" w:lineRule="auto"/>
        <w:ind w:firstLine="420" w:firstLineChars="200"/>
        <w:rPr>
          <w:rFonts w:ascii="黑体" w:hAnsi="黑体" w:eastAsia="黑体"/>
          <w:szCs w:val="21"/>
        </w:rPr>
      </w:pPr>
      <w:r>
        <w:rPr>
          <w:rFonts w:hint="eastAsia" w:ascii="黑体" w:hAnsi="黑体" w:eastAsia="黑体" w:cs="宋体"/>
          <w:kern w:val="0"/>
          <w:szCs w:val="21"/>
          <w:u w:val="single"/>
        </w:rPr>
        <w:t>分院ICU医疗设备紧急采购项目</w:t>
      </w:r>
      <w:r>
        <w:rPr>
          <w:rFonts w:hint="eastAsia" w:ascii="黑体" w:hAnsi="黑体" w:eastAsia="黑体" w:cs="宋体"/>
          <w:kern w:val="0"/>
          <w:szCs w:val="21"/>
        </w:rPr>
        <w:t>招标项目的潜在投标人应在</w:t>
      </w:r>
      <w:r>
        <w:rPr>
          <w:rFonts w:hint="eastAsia" w:ascii="黑体" w:hAnsi="黑体" w:eastAsia="黑体" w:cs="宋体"/>
          <w:kern w:val="0"/>
          <w:szCs w:val="21"/>
          <w:u w:val="single"/>
        </w:rPr>
        <w:t>东莞市东城街道东莞大道19号鼎峰卡布斯国际广场A座1603A号（有德招标）或使用微信扫描二维码进行获取（二维码详见招标文件温馨提示）或微信搜索公众号“有德招标东莞分公司”</w:t>
      </w:r>
      <w:r>
        <w:rPr>
          <w:rFonts w:hint="eastAsia" w:ascii="黑体" w:hAnsi="黑体" w:eastAsia="黑体" w:cs="宋体"/>
          <w:kern w:val="0"/>
          <w:szCs w:val="21"/>
        </w:rPr>
        <w:t>获取招标文件，并于</w:t>
      </w:r>
      <w:r>
        <w:rPr>
          <w:rFonts w:ascii="黑体" w:hAnsi="黑体" w:eastAsia="黑体" w:cs="宋体"/>
          <w:kern w:val="0"/>
          <w:szCs w:val="21"/>
          <w:u w:val="single"/>
        </w:rPr>
        <w:t>2023</w:t>
      </w:r>
      <w:r>
        <w:rPr>
          <w:rFonts w:hint="eastAsia" w:ascii="黑体" w:hAnsi="黑体" w:eastAsia="黑体" w:cs="宋体"/>
          <w:kern w:val="0"/>
          <w:szCs w:val="21"/>
        </w:rPr>
        <w:t>年</w:t>
      </w:r>
      <w:r>
        <w:rPr>
          <w:rFonts w:ascii="黑体" w:hAnsi="黑体" w:eastAsia="黑体" w:cs="宋体"/>
          <w:kern w:val="0"/>
          <w:szCs w:val="21"/>
          <w:u w:val="single"/>
        </w:rPr>
        <w:t>1</w:t>
      </w:r>
      <w:r>
        <w:rPr>
          <w:rFonts w:hint="eastAsia" w:ascii="黑体" w:hAnsi="黑体" w:eastAsia="黑体" w:cs="宋体"/>
          <w:kern w:val="0"/>
          <w:szCs w:val="21"/>
        </w:rPr>
        <w:t>月</w:t>
      </w:r>
      <w:r>
        <w:rPr>
          <w:rFonts w:ascii="黑体" w:hAnsi="黑体" w:eastAsia="黑体" w:cs="宋体"/>
          <w:kern w:val="0"/>
          <w:szCs w:val="21"/>
          <w:u w:val="single"/>
        </w:rPr>
        <w:t>18</w:t>
      </w:r>
      <w:r>
        <w:rPr>
          <w:rFonts w:hint="eastAsia" w:ascii="黑体" w:hAnsi="黑体" w:eastAsia="黑体" w:cs="宋体"/>
          <w:kern w:val="0"/>
          <w:szCs w:val="21"/>
        </w:rPr>
        <w:t>日</w:t>
      </w:r>
      <w:r>
        <w:rPr>
          <w:rFonts w:ascii="黑体" w:hAnsi="黑体" w:eastAsia="黑体" w:cs="宋体"/>
          <w:kern w:val="0"/>
          <w:szCs w:val="21"/>
          <w:u w:val="single"/>
        </w:rPr>
        <w:t>10</w:t>
      </w:r>
      <w:r>
        <w:rPr>
          <w:rFonts w:hint="eastAsia" w:ascii="黑体" w:hAnsi="黑体" w:eastAsia="黑体" w:cs="宋体"/>
          <w:kern w:val="0"/>
          <w:szCs w:val="21"/>
        </w:rPr>
        <w:t>点</w:t>
      </w:r>
      <w:r>
        <w:rPr>
          <w:rFonts w:ascii="黑体" w:hAnsi="黑体" w:eastAsia="黑体" w:cs="宋体"/>
          <w:kern w:val="0"/>
          <w:szCs w:val="21"/>
          <w:u w:val="single"/>
        </w:rPr>
        <w:t>00</w:t>
      </w:r>
      <w:r>
        <w:rPr>
          <w:rFonts w:hint="eastAsia" w:ascii="黑体" w:hAnsi="黑体" w:eastAsia="黑体" w:cs="宋体"/>
          <w:kern w:val="0"/>
          <w:szCs w:val="21"/>
        </w:rPr>
        <w:t>分（北京时间）前递交投标文件。</w:t>
      </w:r>
    </w:p>
    <w:p>
      <w:pPr>
        <w:pStyle w:val="30"/>
        <w:numPr>
          <w:ilvl w:val="0"/>
          <w:numId w:val="2"/>
        </w:numPr>
        <w:tabs>
          <w:tab w:val="left" w:pos="426"/>
        </w:tabs>
        <w:spacing w:before="312" w:beforeLines="100" w:line="360" w:lineRule="auto"/>
        <w:ind w:firstLineChars="0"/>
        <w:rPr>
          <w:rFonts w:ascii="黑体" w:hAnsi="黑体" w:eastAsia="黑体"/>
          <w:szCs w:val="21"/>
        </w:rPr>
      </w:pPr>
      <w:r>
        <w:rPr>
          <w:rFonts w:hint="eastAsia" w:ascii="黑体" w:hAnsi="黑体" w:eastAsia="黑体"/>
          <w:b/>
          <w:szCs w:val="21"/>
        </w:rPr>
        <w:t>项目基本情况：</w:t>
      </w:r>
    </w:p>
    <w:p>
      <w:pPr>
        <w:tabs>
          <w:tab w:val="left" w:pos="426"/>
        </w:tabs>
        <w:spacing w:line="360" w:lineRule="auto"/>
        <w:ind w:left="420" w:hanging="420" w:hangingChars="200"/>
        <w:rPr>
          <w:rFonts w:ascii="黑体" w:hAnsi="黑体" w:eastAsia="黑体"/>
          <w:szCs w:val="21"/>
          <w:u w:val="single"/>
        </w:rPr>
      </w:pPr>
      <w:r>
        <w:rPr>
          <w:rFonts w:hint="eastAsia" w:ascii="黑体" w:hAnsi="黑体" w:eastAsia="黑体"/>
          <w:szCs w:val="21"/>
        </w:rPr>
        <w:t>项目编号：</w:t>
      </w:r>
      <w:r>
        <w:rPr>
          <w:rFonts w:ascii="黑体" w:hAnsi="黑体" w:eastAsia="黑体"/>
          <w:szCs w:val="21"/>
        </w:rPr>
        <w:t>YDZB23DGQY0011</w:t>
      </w:r>
    </w:p>
    <w:p>
      <w:pPr>
        <w:tabs>
          <w:tab w:val="left" w:pos="426"/>
        </w:tabs>
        <w:spacing w:line="360" w:lineRule="auto"/>
        <w:ind w:left="420" w:hanging="420" w:hangingChars="200"/>
        <w:rPr>
          <w:rFonts w:ascii="黑体" w:hAnsi="黑体" w:eastAsia="黑体"/>
          <w:szCs w:val="21"/>
        </w:rPr>
      </w:pPr>
      <w:r>
        <w:rPr>
          <w:rFonts w:hint="eastAsia" w:ascii="黑体" w:hAnsi="黑体" w:eastAsia="黑体"/>
          <w:szCs w:val="21"/>
        </w:rPr>
        <w:t>项目名称：分院ICU医疗设备紧急采购项目</w:t>
      </w:r>
    </w:p>
    <w:p>
      <w:pPr>
        <w:spacing w:line="360" w:lineRule="auto"/>
        <w:rPr>
          <w:rFonts w:ascii="黑体" w:hAnsi="黑体" w:eastAsia="黑体"/>
          <w:szCs w:val="21"/>
        </w:rPr>
      </w:pPr>
      <w:r>
        <w:rPr>
          <w:rFonts w:hint="eastAsia" w:ascii="黑体" w:hAnsi="黑体" w:eastAsia="黑体"/>
          <w:szCs w:val="21"/>
        </w:rPr>
        <w:t>采购方式：紧急公开招标</w:t>
      </w:r>
      <w:r>
        <w:rPr>
          <w:rFonts w:hint="eastAsia" w:ascii="黑体" w:hAnsi="黑体" w:eastAsia="黑体"/>
          <w:b/>
          <w:bCs/>
          <w:szCs w:val="21"/>
        </w:rPr>
        <w:t>（备注：根据转发《广东省财政厅转发财政部办公厅关于疫情防控采购便利化的通知》的通知（东财〔2020〕15号）的相关规定，本项目不执行政府采购相关流程进行便利化采购）</w:t>
      </w:r>
    </w:p>
    <w:p>
      <w:pPr>
        <w:tabs>
          <w:tab w:val="left" w:pos="426"/>
        </w:tabs>
        <w:spacing w:line="360" w:lineRule="auto"/>
        <w:ind w:left="420" w:hanging="420" w:hangingChars="200"/>
        <w:rPr>
          <w:rFonts w:ascii="黑体" w:hAnsi="黑体" w:eastAsia="黑体"/>
          <w:szCs w:val="21"/>
        </w:rPr>
      </w:pPr>
      <w:r>
        <w:rPr>
          <w:rFonts w:hint="eastAsia" w:ascii="黑体" w:hAnsi="黑体" w:eastAsia="黑体"/>
          <w:szCs w:val="21"/>
        </w:rPr>
        <w:t>预算金额：3,931,000</w:t>
      </w:r>
      <w:r>
        <w:rPr>
          <w:rFonts w:hint="eastAsia" w:ascii="黑体" w:hAnsi="黑体" w:eastAsia="黑体"/>
          <w:szCs w:val="21"/>
          <w:lang w:val="en-US" w:eastAsia="zh-CN"/>
        </w:rPr>
        <w:tab/>
      </w:r>
      <w:r>
        <w:rPr>
          <w:rFonts w:hint="eastAsia" w:ascii="黑体" w:hAnsi="黑体" w:eastAsia="黑体"/>
          <w:szCs w:val="21"/>
        </w:rPr>
        <w:t>.00元</w:t>
      </w:r>
    </w:p>
    <w:p>
      <w:pPr>
        <w:pStyle w:val="30"/>
        <w:numPr>
          <w:ilvl w:val="0"/>
          <w:numId w:val="2"/>
        </w:numPr>
        <w:tabs>
          <w:tab w:val="left" w:pos="426"/>
        </w:tabs>
        <w:spacing w:line="360" w:lineRule="auto"/>
        <w:ind w:firstLineChars="0"/>
        <w:rPr>
          <w:rFonts w:ascii="黑体" w:hAnsi="黑体" w:eastAsia="黑体"/>
          <w:b/>
          <w:szCs w:val="21"/>
        </w:rPr>
      </w:pPr>
      <w:r>
        <w:rPr>
          <w:rFonts w:hint="eastAsia" w:ascii="黑体" w:hAnsi="黑体" w:eastAsia="黑体"/>
          <w:b/>
          <w:szCs w:val="21"/>
        </w:rPr>
        <w:t>申请人的资格要求</w:t>
      </w:r>
    </w:p>
    <w:p>
      <w:pPr>
        <w:pStyle w:val="30"/>
        <w:numPr>
          <w:ilvl w:val="0"/>
          <w:numId w:val="3"/>
        </w:numPr>
        <w:spacing w:line="360" w:lineRule="auto"/>
        <w:ind w:firstLineChars="0"/>
        <w:rPr>
          <w:rFonts w:ascii="黑体" w:hAnsi="黑体" w:eastAsia="黑体"/>
          <w:szCs w:val="21"/>
        </w:rPr>
      </w:pPr>
      <w:r>
        <w:rPr>
          <w:rFonts w:hint="eastAsia" w:ascii="黑体" w:hAnsi="黑体" w:eastAsia="黑体"/>
          <w:szCs w:val="21"/>
        </w:rPr>
        <w:t>投标供应商应具备《中华人民共和国政府采购法》第二十二条规定的条件，提供下列材料：</w:t>
      </w:r>
    </w:p>
    <w:p>
      <w:pPr>
        <w:pStyle w:val="30"/>
        <w:widowControl/>
        <w:numPr>
          <w:ilvl w:val="0"/>
          <w:numId w:val="4"/>
        </w:numPr>
        <w:shd w:val="clear" w:color="auto" w:fill="FFFFFF"/>
        <w:spacing w:line="360" w:lineRule="auto"/>
        <w:ind w:firstLineChars="0"/>
        <w:textAlignment w:val="baseline"/>
        <w:rPr>
          <w:rFonts w:ascii="黑体" w:hAnsi="黑体" w:eastAsia="黑体" w:cs="宋体"/>
          <w:kern w:val="0"/>
          <w:szCs w:val="21"/>
        </w:rPr>
      </w:pPr>
      <w:r>
        <w:rPr>
          <w:rFonts w:hint="eastAsia" w:ascii="黑体" w:hAnsi="黑体" w:eastAsia="黑体" w:cs="宋体"/>
          <w:kern w:val="0"/>
          <w:szCs w:val="21"/>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 ，总公司（总所）取得的相关资质证书对分支机构有效，法律法规或者行业另有规定的除外。）</w:t>
      </w:r>
    </w:p>
    <w:p>
      <w:pPr>
        <w:pStyle w:val="30"/>
        <w:widowControl/>
        <w:numPr>
          <w:ilvl w:val="0"/>
          <w:numId w:val="4"/>
        </w:numPr>
        <w:shd w:val="clear" w:color="auto" w:fill="FFFFFF"/>
        <w:spacing w:line="360" w:lineRule="auto"/>
        <w:ind w:firstLineChars="0"/>
        <w:textAlignment w:val="baseline"/>
        <w:rPr>
          <w:rFonts w:ascii="黑体" w:hAnsi="黑体" w:eastAsia="黑体" w:cs="宋体"/>
          <w:kern w:val="0"/>
          <w:szCs w:val="21"/>
        </w:rPr>
      </w:pPr>
      <w:r>
        <w:rPr>
          <w:rFonts w:hint="eastAsia" w:ascii="黑体" w:hAnsi="黑体" w:eastAsia="黑体" w:cs="宋体"/>
          <w:kern w:val="0"/>
          <w:szCs w:val="21"/>
        </w:rPr>
        <w:t>有依法缴纳税收和社会保障资金的良好记录，提供资格声明函，详见投标文件格式。</w:t>
      </w:r>
    </w:p>
    <w:p>
      <w:pPr>
        <w:pStyle w:val="30"/>
        <w:widowControl/>
        <w:numPr>
          <w:ilvl w:val="0"/>
          <w:numId w:val="4"/>
        </w:numPr>
        <w:shd w:val="clear" w:color="auto" w:fill="FFFFFF"/>
        <w:spacing w:line="360" w:lineRule="auto"/>
        <w:ind w:firstLineChars="0"/>
        <w:textAlignment w:val="baseline"/>
        <w:rPr>
          <w:rFonts w:ascii="黑体" w:hAnsi="黑体" w:eastAsia="黑体" w:cs="宋体"/>
          <w:kern w:val="0"/>
          <w:szCs w:val="21"/>
        </w:rPr>
      </w:pPr>
      <w:bookmarkStart w:id="4" w:name="_Hlk90659088"/>
      <w:r>
        <w:rPr>
          <w:rFonts w:hint="eastAsia" w:ascii="黑体" w:hAnsi="黑体" w:eastAsia="黑体" w:cs="宋体"/>
          <w:kern w:val="0"/>
          <w:szCs w:val="21"/>
        </w:rPr>
        <w:t>具有良好的商业信誉和健全的财务会计制度</w:t>
      </w:r>
      <w:bookmarkEnd w:id="4"/>
      <w:r>
        <w:rPr>
          <w:rFonts w:hint="eastAsia" w:ascii="黑体" w:hAnsi="黑体" w:eastAsia="黑体" w:cs="宋体"/>
          <w:kern w:val="0"/>
          <w:szCs w:val="21"/>
        </w:rPr>
        <w:t>，提供资格声明函，详见投标文件格式。</w:t>
      </w:r>
    </w:p>
    <w:p>
      <w:pPr>
        <w:pStyle w:val="30"/>
        <w:widowControl/>
        <w:numPr>
          <w:ilvl w:val="0"/>
          <w:numId w:val="4"/>
        </w:numPr>
        <w:shd w:val="clear" w:color="auto" w:fill="FFFFFF"/>
        <w:spacing w:line="360" w:lineRule="auto"/>
        <w:ind w:firstLineChars="0"/>
        <w:textAlignment w:val="baseline"/>
        <w:rPr>
          <w:rFonts w:ascii="黑体" w:hAnsi="黑体" w:eastAsia="黑体" w:cs="宋体"/>
          <w:kern w:val="0"/>
          <w:szCs w:val="21"/>
        </w:rPr>
      </w:pPr>
      <w:r>
        <w:rPr>
          <w:rFonts w:hint="eastAsia" w:ascii="黑体" w:hAnsi="黑体" w:eastAsia="黑体" w:cs="宋体"/>
          <w:kern w:val="0"/>
          <w:szCs w:val="21"/>
        </w:rPr>
        <w:t>履行合同所必须的设备和专业技术能力：</w:t>
      </w:r>
      <w:bookmarkStart w:id="5" w:name="_Hlk90659431"/>
      <w:r>
        <w:rPr>
          <w:rFonts w:hint="eastAsia" w:ascii="黑体" w:hAnsi="黑体" w:eastAsia="黑体" w:cs="宋体"/>
          <w:kern w:val="0"/>
          <w:szCs w:val="21"/>
        </w:rPr>
        <w:t>提供资格声明函，详见投标文件格式。</w:t>
      </w:r>
      <w:bookmarkEnd w:id="5"/>
    </w:p>
    <w:p>
      <w:pPr>
        <w:pStyle w:val="30"/>
        <w:widowControl/>
        <w:numPr>
          <w:ilvl w:val="0"/>
          <w:numId w:val="4"/>
        </w:numPr>
        <w:shd w:val="clear" w:color="auto" w:fill="FFFFFF"/>
        <w:spacing w:line="360" w:lineRule="auto"/>
        <w:ind w:firstLineChars="0"/>
        <w:textAlignment w:val="baseline"/>
        <w:rPr>
          <w:rFonts w:ascii="黑体" w:hAnsi="黑体" w:eastAsia="黑体" w:cs="宋体"/>
          <w:kern w:val="0"/>
          <w:szCs w:val="21"/>
        </w:rPr>
      </w:pPr>
      <w:bookmarkStart w:id="6" w:name="_Hlk81177175"/>
      <w:r>
        <w:rPr>
          <w:rFonts w:hint="eastAsia" w:ascii="黑体" w:hAnsi="黑体" w:eastAsia="黑体" w:cs="宋体"/>
          <w:kern w:val="0"/>
          <w:szCs w:val="21"/>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bookmarkEnd w:id="6"/>
      <w:r>
        <w:rPr>
          <w:rFonts w:hint="eastAsia" w:ascii="黑体" w:hAnsi="黑体" w:eastAsia="黑体" w:cs="宋体"/>
          <w:kern w:val="0"/>
          <w:szCs w:val="21"/>
        </w:rPr>
        <w:t>提供资格声明函，详见投标文件格式。</w:t>
      </w:r>
    </w:p>
    <w:p>
      <w:pPr>
        <w:pStyle w:val="30"/>
        <w:widowControl/>
        <w:numPr>
          <w:ilvl w:val="0"/>
          <w:numId w:val="4"/>
        </w:numPr>
        <w:shd w:val="clear" w:color="auto" w:fill="FFFFFF"/>
        <w:spacing w:line="360" w:lineRule="auto"/>
        <w:ind w:firstLineChars="0"/>
        <w:textAlignment w:val="baseline"/>
        <w:rPr>
          <w:rFonts w:ascii="黑体" w:hAnsi="黑体" w:eastAsia="黑体" w:cs="宋体"/>
          <w:kern w:val="0"/>
          <w:szCs w:val="21"/>
        </w:rPr>
      </w:pPr>
      <w:r>
        <w:rPr>
          <w:rFonts w:hint="eastAsia" w:ascii="黑体" w:hAnsi="黑体" w:eastAsia="黑体" w:cs="宋体"/>
          <w:kern w:val="0"/>
          <w:szCs w:val="21"/>
        </w:rPr>
        <w:t>信用记录：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30"/>
        <w:numPr>
          <w:ilvl w:val="0"/>
          <w:numId w:val="3"/>
        </w:numPr>
        <w:spacing w:line="360" w:lineRule="auto"/>
        <w:ind w:firstLineChars="0"/>
        <w:rPr>
          <w:rFonts w:ascii="黑体" w:hAnsi="黑体" w:eastAsia="黑体" w:cs="宋体"/>
          <w:kern w:val="0"/>
          <w:szCs w:val="21"/>
        </w:rPr>
      </w:pPr>
      <w:r>
        <w:rPr>
          <w:rFonts w:hint="eastAsia" w:ascii="黑体" w:hAnsi="黑体" w:eastAsia="黑体" w:cs="宋体"/>
          <w:kern w:val="0"/>
          <w:szCs w:val="21"/>
        </w:rPr>
        <w:t>供应商必须符合法律、行政法规规定的其他条件：单位负责人为同一人或者存在直接控股、管理关系的不同供应商，不得同时参加本采购项目（或采购包）投标。为本项目提供整体设计、规范编制或者项目管理、监理、检测等服务的供应商，不得再参与本项目投标。</w:t>
      </w:r>
      <w:bookmarkStart w:id="7" w:name="_Hlk81178057"/>
      <w:r>
        <w:rPr>
          <w:rFonts w:hint="eastAsia" w:ascii="黑体" w:hAnsi="黑体" w:eastAsia="黑体" w:cs="宋体"/>
          <w:kern w:val="0"/>
          <w:szCs w:val="21"/>
        </w:rPr>
        <w:t>提供资格声明函，详见投标文件格式。</w:t>
      </w:r>
      <w:bookmarkEnd w:id="7"/>
    </w:p>
    <w:p>
      <w:pPr>
        <w:pStyle w:val="30"/>
        <w:numPr>
          <w:ilvl w:val="0"/>
          <w:numId w:val="3"/>
        </w:numPr>
        <w:spacing w:line="360" w:lineRule="auto"/>
        <w:ind w:firstLineChars="0"/>
        <w:rPr>
          <w:rFonts w:ascii="黑体" w:hAnsi="黑体" w:eastAsia="黑体"/>
          <w:szCs w:val="21"/>
        </w:rPr>
      </w:pPr>
      <w:r>
        <w:rPr>
          <w:rFonts w:hint="eastAsia" w:ascii="黑体" w:hAnsi="黑体" w:eastAsia="黑体"/>
          <w:szCs w:val="21"/>
        </w:rPr>
        <w:t>落实政府采购政策需满足的资格要求：无</w:t>
      </w:r>
    </w:p>
    <w:p>
      <w:pPr>
        <w:pStyle w:val="30"/>
        <w:numPr>
          <w:ilvl w:val="0"/>
          <w:numId w:val="3"/>
        </w:numPr>
        <w:spacing w:line="360" w:lineRule="auto"/>
        <w:ind w:firstLineChars="0"/>
        <w:rPr>
          <w:rFonts w:ascii="黑体" w:hAnsi="黑体" w:eastAsia="黑体"/>
          <w:szCs w:val="21"/>
        </w:rPr>
      </w:pPr>
      <w:r>
        <w:rPr>
          <w:rFonts w:hint="eastAsia" w:ascii="黑体" w:hAnsi="黑体" w:eastAsia="黑体"/>
          <w:szCs w:val="21"/>
        </w:rPr>
        <w:t>本项目的特定资格要求：</w:t>
      </w:r>
    </w:p>
    <w:p>
      <w:pPr>
        <w:pStyle w:val="30"/>
        <w:numPr>
          <w:ilvl w:val="0"/>
          <w:numId w:val="5"/>
        </w:numPr>
        <w:spacing w:line="360" w:lineRule="auto"/>
        <w:ind w:firstLineChars="0"/>
        <w:rPr>
          <w:rFonts w:ascii="黑体" w:hAnsi="黑体" w:eastAsia="黑体"/>
        </w:rPr>
      </w:pPr>
      <w:r>
        <w:rPr>
          <w:rFonts w:hint="eastAsia" w:ascii="黑体" w:hAnsi="黑体" w:eastAsia="黑体"/>
        </w:rPr>
        <w:t>①</w:t>
      </w:r>
      <w:r>
        <w:rPr>
          <w:rFonts w:ascii="黑体" w:hAnsi="黑体" w:eastAsia="黑体"/>
        </w:rPr>
        <w:t>投标人为代理商的，从事第三类医疗器械经营的应取得《医疗器械经营许可证》或《医疗器械经营企业许可证》；</w:t>
      </w:r>
      <w:r>
        <w:rPr>
          <w:rFonts w:hint="eastAsia" w:ascii="黑体" w:hAnsi="黑体" w:eastAsia="黑体"/>
        </w:rPr>
        <w:t>②</w:t>
      </w:r>
      <w:r>
        <w:rPr>
          <w:rFonts w:ascii="黑体" w:hAnsi="黑体" w:eastAsia="黑体"/>
        </w:rPr>
        <w:t>投标人为生产厂商的，从事第二类或第三类医疗器械生产的厂商，应取得药品监督管理部门颁发的《医疗器械生产许可证》或《医疗器械生产企业许可证》</w:t>
      </w:r>
      <w:r>
        <w:rPr>
          <w:rFonts w:hint="eastAsia" w:ascii="黑体" w:hAnsi="黑体" w:eastAsia="黑体"/>
        </w:rPr>
        <w:t>。</w:t>
      </w:r>
    </w:p>
    <w:p>
      <w:pPr>
        <w:pStyle w:val="30"/>
        <w:numPr>
          <w:ilvl w:val="0"/>
          <w:numId w:val="5"/>
        </w:numPr>
        <w:spacing w:line="360" w:lineRule="auto"/>
        <w:ind w:firstLineChars="0"/>
        <w:rPr>
          <w:rFonts w:ascii="黑体" w:hAnsi="黑体" w:eastAsia="黑体"/>
          <w:szCs w:val="21"/>
        </w:rPr>
      </w:pPr>
      <w:r>
        <w:rPr>
          <w:rFonts w:ascii="黑体" w:hAnsi="黑体" w:eastAsia="黑体"/>
        </w:rPr>
        <w:t>投标货物若属于中国医疗器械注册管理范围内的，则应取得监督管理部门颁发的相应的《中华人民共和国医疗器械注册证》。（注：须提供相关证明材料复印件加盖投标人公章）</w:t>
      </w:r>
    </w:p>
    <w:p>
      <w:pPr>
        <w:pStyle w:val="30"/>
        <w:numPr>
          <w:ilvl w:val="0"/>
          <w:numId w:val="2"/>
        </w:numPr>
        <w:tabs>
          <w:tab w:val="left" w:pos="426"/>
        </w:tabs>
        <w:spacing w:line="360" w:lineRule="auto"/>
        <w:ind w:firstLineChars="0"/>
        <w:rPr>
          <w:rFonts w:ascii="黑体" w:hAnsi="黑体" w:eastAsia="黑体"/>
          <w:b/>
          <w:szCs w:val="21"/>
        </w:rPr>
      </w:pPr>
      <w:bookmarkStart w:id="8" w:name="_Hlk58185024"/>
      <w:bookmarkStart w:id="9" w:name="_Hlk90918431"/>
      <w:r>
        <w:rPr>
          <w:rFonts w:hint="eastAsia" w:ascii="黑体" w:hAnsi="黑体" w:eastAsia="黑体"/>
          <w:b/>
          <w:szCs w:val="21"/>
        </w:rPr>
        <w:t>获取招标文件</w:t>
      </w:r>
    </w:p>
    <w:bookmarkEnd w:id="8"/>
    <w:p>
      <w:pPr>
        <w:pStyle w:val="30"/>
        <w:spacing w:line="360" w:lineRule="auto"/>
        <w:ind w:left="420" w:firstLine="0" w:firstLineChars="0"/>
        <w:rPr>
          <w:rFonts w:ascii="黑体" w:hAnsi="黑体" w:eastAsia="黑体" w:cs="宋体"/>
          <w:szCs w:val="21"/>
        </w:rPr>
      </w:pPr>
      <w:r>
        <w:rPr>
          <w:rFonts w:hint="eastAsia" w:ascii="黑体" w:hAnsi="黑体" w:eastAsia="黑体" w:cs="宋体"/>
          <w:szCs w:val="21"/>
        </w:rPr>
        <w:t>时间：</w:t>
      </w:r>
      <w:r>
        <w:rPr>
          <w:rFonts w:ascii="黑体" w:hAnsi="黑体" w:eastAsia="黑体" w:cs="宋体"/>
          <w:szCs w:val="21"/>
          <w:u w:val="single"/>
        </w:rPr>
        <w:t>2023</w:t>
      </w:r>
      <w:r>
        <w:rPr>
          <w:rFonts w:hint="eastAsia" w:ascii="黑体" w:hAnsi="黑体" w:eastAsia="黑体" w:cs="宋体"/>
          <w:szCs w:val="21"/>
          <w:u w:val="single"/>
        </w:rPr>
        <w:t>年</w:t>
      </w:r>
      <w:r>
        <w:rPr>
          <w:rFonts w:ascii="黑体" w:hAnsi="黑体" w:eastAsia="黑体" w:cs="宋体"/>
          <w:szCs w:val="21"/>
          <w:u w:val="single"/>
        </w:rPr>
        <w:t>1</w:t>
      </w:r>
      <w:r>
        <w:rPr>
          <w:rFonts w:hint="eastAsia" w:ascii="黑体" w:hAnsi="黑体" w:eastAsia="黑体" w:cs="宋体"/>
          <w:szCs w:val="21"/>
          <w:u w:val="single"/>
        </w:rPr>
        <w:t>月</w:t>
      </w:r>
      <w:r>
        <w:rPr>
          <w:rFonts w:hint="eastAsia" w:ascii="黑体" w:hAnsi="黑体" w:eastAsia="黑体" w:cs="宋体"/>
          <w:szCs w:val="21"/>
          <w:u w:val="single"/>
          <w:lang w:val="en-US" w:eastAsia="zh-CN"/>
        </w:rPr>
        <w:t>1</w:t>
      </w:r>
      <w:r>
        <w:rPr>
          <w:rFonts w:ascii="黑体" w:hAnsi="黑体" w:eastAsia="黑体" w:cs="宋体"/>
          <w:szCs w:val="21"/>
          <w:u w:val="single"/>
        </w:rPr>
        <w:t>3</w:t>
      </w:r>
      <w:r>
        <w:rPr>
          <w:rFonts w:hint="eastAsia" w:ascii="黑体" w:hAnsi="黑体" w:eastAsia="黑体" w:cs="宋体"/>
          <w:szCs w:val="21"/>
          <w:u w:val="single"/>
        </w:rPr>
        <w:t>日</w:t>
      </w:r>
      <w:r>
        <w:rPr>
          <w:rFonts w:hint="eastAsia" w:ascii="黑体" w:hAnsi="黑体" w:eastAsia="黑体" w:cs="宋体"/>
          <w:szCs w:val="21"/>
        </w:rPr>
        <w:t>至</w:t>
      </w:r>
      <w:r>
        <w:rPr>
          <w:rFonts w:ascii="黑体" w:hAnsi="黑体" w:eastAsia="黑体" w:cs="宋体"/>
          <w:szCs w:val="21"/>
          <w:u w:val="single"/>
        </w:rPr>
        <w:t>2023</w:t>
      </w:r>
      <w:r>
        <w:rPr>
          <w:rFonts w:hint="eastAsia" w:ascii="黑体" w:hAnsi="黑体" w:eastAsia="黑体" w:cs="宋体"/>
          <w:szCs w:val="21"/>
          <w:u w:val="single"/>
        </w:rPr>
        <w:t xml:space="preserve"> 年</w:t>
      </w:r>
      <w:r>
        <w:rPr>
          <w:rFonts w:ascii="黑体" w:hAnsi="黑体" w:eastAsia="黑体" w:cs="宋体"/>
          <w:szCs w:val="21"/>
          <w:u w:val="single"/>
        </w:rPr>
        <w:t>1</w:t>
      </w:r>
      <w:r>
        <w:rPr>
          <w:rFonts w:hint="eastAsia" w:ascii="黑体" w:hAnsi="黑体" w:eastAsia="黑体" w:cs="宋体"/>
          <w:szCs w:val="21"/>
          <w:u w:val="single"/>
        </w:rPr>
        <w:t>月</w:t>
      </w:r>
      <w:r>
        <w:rPr>
          <w:rFonts w:ascii="黑体" w:hAnsi="黑体" w:eastAsia="黑体" w:cs="宋体"/>
          <w:szCs w:val="21"/>
          <w:u w:val="single"/>
        </w:rPr>
        <w:t>17</w:t>
      </w:r>
      <w:r>
        <w:rPr>
          <w:rFonts w:hint="eastAsia" w:ascii="黑体" w:hAnsi="黑体" w:eastAsia="黑体" w:cs="宋体"/>
          <w:szCs w:val="21"/>
          <w:u w:val="single"/>
        </w:rPr>
        <w:t>日</w:t>
      </w:r>
      <w:r>
        <w:rPr>
          <w:rFonts w:hint="eastAsia" w:ascii="黑体" w:hAnsi="黑体" w:eastAsia="黑体" w:cs="宋体"/>
          <w:iCs/>
          <w:szCs w:val="21"/>
          <w:u w:val="single"/>
        </w:rPr>
        <w:t>（</w:t>
      </w:r>
      <w:r>
        <w:rPr>
          <w:rFonts w:hint="eastAsia" w:ascii="黑体" w:hAnsi="黑体" w:eastAsia="黑体" w:cs="宋体"/>
          <w:szCs w:val="21"/>
          <w:u w:val="single"/>
        </w:rPr>
        <w:t>提供期限自本公告发布之日起不得少于5个工作日</w:t>
      </w:r>
      <w:r>
        <w:rPr>
          <w:rFonts w:hint="eastAsia" w:ascii="黑体" w:hAnsi="黑体" w:eastAsia="黑体" w:cs="宋体"/>
          <w:iCs/>
          <w:szCs w:val="21"/>
          <w:u w:val="single"/>
        </w:rPr>
        <w:t>）</w:t>
      </w:r>
      <w:r>
        <w:rPr>
          <w:rFonts w:hint="eastAsia" w:ascii="黑体" w:hAnsi="黑体" w:eastAsia="黑体" w:cs="宋体"/>
          <w:szCs w:val="21"/>
        </w:rPr>
        <w:t>，每天上午9：00至 12：00，下午2：30至5：30（北京时间，</w:t>
      </w:r>
      <w:r>
        <w:rPr>
          <w:rFonts w:ascii="黑体" w:hAnsi="黑体" w:eastAsia="黑体" w:cs="宋体"/>
          <w:szCs w:val="21"/>
        </w:rPr>
        <w:t>法定节假日</w:t>
      </w:r>
      <w:r>
        <w:rPr>
          <w:rFonts w:hint="eastAsia" w:ascii="黑体" w:hAnsi="黑体" w:eastAsia="黑体" w:cs="宋体"/>
          <w:szCs w:val="21"/>
        </w:rPr>
        <w:t>除外）</w:t>
      </w:r>
    </w:p>
    <w:p>
      <w:pPr>
        <w:pStyle w:val="30"/>
        <w:spacing w:line="360" w:lineRule="auto"/>
        <w:ind w:left="420" w:firstLine="4" w:firstLineChars="2"/>
        <w:rPr>
          <w:rFonts w:ascii="黑体" w:hAnsi="黑体" w:eastAsia="黑体" w:cs="宋体"/>
          <w:szCs w:val="21"/>
        </w:rPr>
      </w:pPr>
      <w:r>
        <w:rPr>
          <w:rFonts w:hint="eastAsia" w:ascii="黑体" w:hAnsi="黑体" w:eastAsia="黑体" w:cs="宋体"/>
          <w:szCs w:val="21"/>
        </w:rPr>
        <w:t>地点：到东莞市东城街道东莞大道19号鼎峰卡布斯国际广场A座1603A号（有德招标）进行获取或使用微信扫描二维码进行获取（二维码详见招标文件温馨提示）或微信搜索公众号“有德招标东莞分公司”进行获取。</w:t>
      </w:r>
    </w:p>
    <w:p>
      <w:pPr>
        <w:pStyle w:val="30"/>
        <w:spacing w:line="360" w:lineRule="auto"/>
        <w:ind w:left="420" w:firstLine="0" w:firstLineChars="0"/>
        <w:rPr>
          <w:rFonts w:ascii="黑体" w:hAnsi="黑体" w:eastAsia="黑体" w:cs="宋体"/>
          <w:szCs w:val="21"/>
          <w:u w:val="single"/>
        </w:rPr>
      </w:pPr>
      <w:r>
        <w:rPr>
          <w:rFonts w:hint="eastAsia" w:ascii="黑体" w:hAnsi="黑体" w:eastAsia="黑体" w:cs="宋体"/>
          <w:szCs w:val="21"/>
        </w:rPr>
        <w:t>方式：现场或线上获取</w:t>
      </w:r>
    </w:p>
    <w:p>
      <w:pPr>
        <w:pStyle w:val="30"/>
        <w:spacing w:line="360" w:lineRule="auto"/>
        <w:ind w:left="420" w:firstLine="0" w:firstLineChars="0"/>
        <w:rPr>
          <w:rFonts w:ascii="黑体" w:hAnsi="黑体" w:eastAsia="黑体" w:cs="宋体"/>
          <w:szCs w:val="21"/>
        </w:rPr>
      </w:pPr>
      <w:r>
        <w:rPr>
          <w:rFonts w:hint="eastAsia" w:ascii="黑体" w:hAnsi="黑体" w:eastAsia="黑体" w:cs="宋体"/>
          <w:szCs w:val="21"/>
        </w:rPr>
        <w:t>售价：￥</w:t>
      </w:r>
      <w:r>
        <w:rPr>
          <w:rFonts w:ascii="黑体" w:hAnsi="黑体" w:eastAsia="黑体" w:cs="宋体"/>
          <w:szCs w:val="21"/>
        </w:rPr>
        <w:t>200.00</w:t>
      </w:r>
      <w:r>
        <w:rPr>
          <w:rFonts w:hint="eastAsia" w:ascii="黑体" w:hAnsi="黑体" w:eastAsia="黑体" w:cs="宋体"/>
          <w:szCs w:val="21"/>
        </w:rPr>
        <w:t>元</w:t>
      </w:r>
    </w:p>
    <w:bookmarkEnd w:id="9"/>
    <w:p>
      <w:pPr>
        <w:pStyle w:val="30"/>
        <w:numPr>
          <w:ilvl w:val="0"/>
          <w:numId w:val="2"/>
        </w:numPr>
        <w:tabs>
          <w:tab w:val="left" w:pos="426"/>
        </w:tabs>
        <w:spacing w:line="360" w:lineRule="auto"/>
        <w:ind w:left="0" w:firstLine="0" w:firstLineChars="0"/>
        <w:rPr>
          <w:rFonts w:ascii="黑体" w:hAnsi="黑体" w:eastAsia="黑体"/>
          <w:b/>
          <w:szCs w:val="21"/>
        </w:rPr>
      </w:pPr>
      <w:r>
        <w:rPr>
          <w:rFonts w:hint="eastAsia" w:ascii="黑体" w:hAnsi="黑体" w:eastAsia="黑体"/>
          <w:b/>
          <w:szCs w:val="21"/>
        </w:rPr>
        <w:t>提交投标文件截止时间、开标时间和地点</w:t>
      </w:r>
    </w:p>
    <w:p>
      <w:pPr>
        <w:tabs>
          <w:tab w:val="left" w:pos="284"/>
          <w:tab w:val="left" w:pos="426"/>
        </w:tabs>
        <w:spacing w:line="360" w:lineRule="auto"/>
        <w:ind w:left="420" w:hanging="420" w:hangingChars="200"/>
        <w:rPr>
          <w:rFonts w:ascii="黑体" w:hAnsi="黑体" w:eastAsia="黑体"/>
          <w:szCs w:val="21"/>
        </w:rPr>
      </w:pPr>
      <w:r>
        <w:rPr>
          <w:rFonts w:hint="eastAsia" w:ascii="黑体" w:hAnsi="黑体" w:eastAsia="黑体"/>
          <w:szCs w:val="21"/>
        </w:rPr>
        <w:t xml:space="preserve">    </w:t>
      </w:r>
      <w:r>
        <w:rPr>
          <w:rFonts w:ascii="黑体" w:hAnsi="黑体" w:eastAsia="黑体"/>
          <w:szCs w:val="21"/>
          <w:u w:val="single"/>
        </w:rPr>
        <w:t>2023</w:t>
      </w:r>
      <w:r>
        <w:rPr>
          <w:rFonts w:hint="eastAsia" w:ascii="黑体" w:hAnsi="黑体" w:eastAsia="黑体"/>
          <w:szCs w:val="21"/>
          <w:u w:val="single"/>
        </w:rPr>
        <w:t>年</w:t>
      </w:r>
      <w:r>
        <w:rPr>
          <w:rFonts w:ascii="黑体" w:hAnsi="黑体" w:eastAsia="黑体"/>
          <w:szCs w:val="21"/>
          <w:u w:val="single"/>
        </w:rPr>
        <w:t>1</w:t>
      </w:r>
      <w:r>
        <w:rPr>
          <w:rFonts w:hint="eastAsia" w:ascii="黑体" w:hAnsi="黑体" w:eastAsia="黑体"/>
          <w:szCs w:val="21"/>
          <w:u w:val="single"/>
        </w:rPr>
        <w:t>月</w:t>
      </w:r>
      <w:r>
        <w:rPr>
          <w:rFonts w:ascii="黑体" w:hAnsi="黑体" w:eastAsia="黑体"/>
          <w:szCs w:val="21"/>
          <w:u w:val="single"/>
        </w:rPr>
        <w:t>18</w:t>
      </w:r>
      <w:r>
        <w:rPr>
          <w:rFonts w:hint="eastAsia" w:ascii="黑体" w:hAnsi="黑体" w:eastAsia="黑体"/>
          <w:szCs w:val="21"/>
          <w:u w:val="single"/>
        </w:rPr>
        <w:t>日</w:t>
      </w:r>
      <w:r>
        <w:rPr>
          <w:rFonts w:ascii="黑体" w:hAnsi="黑体" w:eastAsia="黑体"/>
          <w:szCs w:val="21"/>
          <w:u w:val="single"/>
        </w:rPr>
        <w:t>10</w:t>
      </w:r>
      <w:r>
        <w:rPr>
          <w:rFonts w:hint="eastAsia" w:ascii="黑体" w:hAnsi="黑体" w:eastAsia="黑体"/>
          <w:szCs w:val="21"/>
          <w:u w:val="single"/>
        </w:rPr>
        <w:t>点</w:t>
      </w:r>
      <w:r>
        <w:rPr>
          <w:rFonts w:ascii="黑体" w:hAnsi="黑体" w:eastAsia="黑体"/>
          <w:szCs w:val="21"/>
          <w:u w:val="single"/>
        </w:rPr>
        <w:t>00</w:t>
      </w:r>
      <w:r>
        <w:rPr>
          <w:rFonts w:hint="eastAsia" w:ascii="黑体" w:hAnsi="黑体" w:eastAsia="黑体"/>
          <w:szCs w:val="21"/>
          <w:u w:val="single"/>
        </w:rPr>
        <w:t>分</w:t>
      </w:r>
      <w:r>
        <w:rPr>
          <w:rFonts w:hint="eastAsia" w:ascii="黑体" w:hAnsi="黑体" w:eastAsia="黑体"/>
          <w:szCs w:val="21"/>
        </w:rPr>
        <w:t>（北京时间）</w:t>
      </w:r>
    </w:p>
    <w:p>
      <w:pPr>
        <w:pStyle w:val="30"/>
        <w:tabs>
          <w:tab w:val="left" w:pos="426"/>
        </w:tabs>
        <w:spacing w:line="360" w:lineRule="auto"/>
        <w:ind w:left="420" w:firstLine="0" w:firstLineChars="0"/>
        <w:rPr>
          <w:rFonts w:ascii="黑体" w:hAnsi="黑体" w:eastAsia="黑体"/>
          <w:szCs w:val="21"/>
        </w:rPr>
      </w:pPr>
      <w:r>
        <w:rPr>
          <w:rFonts w:hint="eastAsia" w:ascii="黑体" w:hAnsi="黑体" w:eastAsia="黑体"/>
          <w:szCs w:val="21"/>
        </w:rPr>
        <w:t>地点：</w:t>
      </w:r>
      <w:bookmarkStart w:id="10" w:name="_Hlk90918579"/>
      <w:r>
        <w:rPr>
          <w:rFonts w:hint="eastAsia" w:ascii="黑体" w:hAnsi="黑体" w:eastAsia="黑体"/>
          <w:szCs w:val="21"/>
        </w:rPr>
        <w:t>东莞市东城街道东莞大道19号鼎峰卡布斯国际广场A座</w:t>
      </w:r>
      <w:r>
        <w:rPr>
          <w:rFonts w:ascii="黑体" w:hAnsi="黑体" w:eastAsia="黑体"/>
          <w:szCs w:val="21"/>
        </w:rPr>
        <w:t>1607</w:t>
      </w:r>
      <w:r>
        <w:rPr>
          <w:rFonts w:hint="eastAsia" w:ascii="黑体" w:hAnsi="黑体" w:eastAsia="黑体"/>
          <w:szCs w:val="21"/>
        </w:rPr>
        <w:t>号</w:t>
      </w:r>
      <w:bookmarkEnd w:id="10"/>
    </w:p>
    <w:p>
      <w:pPr>
        <w:pStyle w:val="30"/>
        <w:numPr>
          <w:ilvl w:val="0"/>
          <w:numId w:val="2"/>
        </w:numPr>
        <w:tabs>
          <w:tab w:val="left" w:pos="426"/>
        </w:tabs>
        <w:spacing w:line="360" w:lineRule="auto"/>
        <w:ind w:left="-2" w:leftChars="-1" w:firstLine="1" w:firstLineChars="0"/>
        <w:rPr>
          <w:rFonts w:ascii="黑体" w:hAnsi="黑体" w:eastAsia="黑体"/>
          <w:b/>
          <w:szCs w:val="21"/>
        </w:rPr>
      </w:pPr>
      <w:r>
        <w:rPr>
          <w:rFonts w:hint="eastAsia" w:ascii="黑体" w:hAnsi="黑体" w:eastAsia="黑体"/>
          <w:b/>
          <w:szCs w:val="21"/>
        </w:rPr>
        <w:t>公告期限</w:t>
      </w:r>
    </w:p>
    <w:p>
      <w:pPr>
        <w:pStyle w:val="30"/>
        <w:tabs>
          <w:tab w:val="left" w:pos="426"/>
        </w:tabs>
        <w:spacing w:line="360" w:lineRule="auto"/>
        <w:ind w:left="420" w:firstLine="0" w:firstLineChars="0"/>
        <w:rPr>
          <w:rFonts w:ascii="黑体" w:hAnsi="黑体" w:eastAsia="黑体"/>
          <w:szCs w:val="21"/>
        </w:rPr>
      </w:pPr>
      <w:r>
        <w:rPr>
          <w:rFonts w:hint="eastAsia" w:ascii="黑体" w:hAnsi="黑体" w:eastAsia="黑体"/>
          <w:szCs w:val="21"/>
        </w:rPr>
        <w:t>自本公告发布之日起5个工作日。</w:t>
      </w:r>
    </w:p>
    <w:p>
      <w:pPr>
        <w:pStyle w:val="30"/>
        <w:numPr>
          <w:ilvl w:val="0"/>
          <w:numId w:val="2"/>
        </w:numPr>
        <w:tabs>
          <w:tab w:val="left" w:pos="426"/>
        </w:tabs>
        <w:spacing w:line="360" w:lineRule="auto"/>
        <w:ind w:firstLineChars="0"/>
        <w:rPr>
          <w:rFonts w:ascii="黑体" w:hAnsi="黑体" w:eastAsia="黑体"/>
          <w:b/>
          <w:szCs w:val="21"/>
        </w:rPr>
      </w:pPr>
      <w:r>
        <w:rPr>
          <w:rFonts w:hint="eastAsia" w:ascii="黑体" w:hAnsi="黑体" w:eastAsia="黑体"/>
          <w:b/>
          <w:szCs w:val="21"/>
        </w:rPr>
        <w:t>其他补充事宜</w:t>
      </w:r>
    </w:p>
    <w:p>
      <w:pPr>
        <w:pStyle w:val="30"/>
        <w:numPr>
          <w:ilvl w:val="0"/>
          <w:numId w:val="6"/>
        </w:numPr>
        <w:tabs>
          <w:tab w:val="left" w:pos="709"/>
        </w:tabs>
        <w:spacing w:line="360" w:lineRule="auto"/>
        <w:ind w:firstLineChars="0"/>
        <w:rPr>
          <w:rFonts w:ascii="黑体" w:hAnsi="黑体" w:eastAsia="黑体"/>
          <w:bCs/>
          <w:szCs w:val="21"/>
        </w:rPr>
      </w:pPr>
      <w:bookmarkStart w:id="11" w:name="_Hlk90919351"/>
      <w:r>
        <w:rPr>
          <w:rFonts w:hint="eastAsia" w:ascii="黑体" w:hAnsi="黑体" w:eastAsia="黑体"/>
          <w:bCs/>
          <w:szCs w:val="21"/>
        </w:rPr>
        <w:t>需要落实的政府采购政策：《政府采购促进中小企业发展管理办法》的通知（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市场监管总局关于调整优化节能产品、环境标志产品政府采购执行机制的通知》（财库〔2019〕9号）、《关于印发〈商品包装政府采购需求标准（试行）〉、〈快递包装政府采购需求标准（试行）〉的通知》等。</w:t>
      </w:r>
    </w:p>
    <w:p>
      <w:pPr>
        <w:pStyle w:val="30"/>
        <w:numPr>
          <w:ilvl w:val="0"/>
          <w:numId w:val="6"/>
        </w:numPr>
        <w:ind w:firstLineChars="0"/>
        <w:rPr>
          <w:rFonts w:ascii="黑体" w:hAnsi="黑体" w:eastAsia="黑体"/>
          <w:bCs/>
          <w:szCs w:val="21"/>
        </w:rPr>
      </w:pPr>
      <w:r>
        <w:rPr>
          <w:rFonts w:hint="eastAsia" w:ascii="黑体" w:hAnsi="黑体" w:eastAsia="黑体"/>
          <w:bCs/>
          <w:szCs w:val="21"/>
        </w:rPr>
        <w:t>本项目采购标的所属行业为</w:t>
      </w:r>
      <w:r>
        <w:rPr>
          <w:rFonts w:hint="eastAsia" w:ascii="黑体" w:hAnsi="黑体" w:eastAsia="黑体"/>
          <w:b/>
          <w:szCs w:val="21"/>
          <w:u w:val="single"/>
        </w:rPr>
        <w:t>工业</w:t>
      </w:r>
      <w:r>
        <w:rPr>
          <w:rFonts w:hint="eastAsia" w:ascii="黑体" w:hAnsi="黑体" w:eastAsia="黑体"/>
          <w:bCs/>
          <w:szCs w:val="21"/>
        </w:rPr>
        <w:t>。</w:t>
      </w:r>
    </w:p>
    <w:p>
      <w:pPr>
        <w:pStyle w:val="30"/>
        <w:numPr>
          <w:ilvl w:val="0"/>
          <w:numId w:val="6"/>
        </w:numPr>
        <w:tabs>
          <w:tab w:val="left" w:pos="709"/>
        </w:tabs>
        <w:spacing w:line="360" w:lineRule="auto"/>
        <w:ind w:firstLineChars="0"/>
        <w:rPr>
          <w:rFonts w:ascii="黑体" w:hAnsi="黑体" w:eastAsia="黑体"/>
          <w:bCs/>
          <w:szCs w:val="21"/>
        </w:rPr>
      </w:pPr>
      <w:r>
        <w:rPr>
          <w:rFonts w:hint="eastAsia" w:ascii="黑体" w:hAnsi="黑体" w:eastAsia="黑体"/>
          <w:bCs/>
          <w:szCs w:val="21"/>
        </w:rPr>
        <w:t>招标文件公示/下载媒体</w:t>
      </w:r>
    </w:p>
    <w:p>
      <w:pPr>
        <w:pStyle w:val="30"/>
        <w:tabs>
          <w:tab w:val="left" w:pos="709"/>
        </w:tabs>
        <w:spacing w:line="360" w:lineRule="auto"/>
        <w:ind w:left="420" w:firstLine="0" w:firstLineChars="0"/>
        <w:rPr>
          <w:rFonts w:ascii="黑体" w:hAnsi="黑体" w:eastAsia="黑体"/>
          <w:bCs/>
          <w:szCs w:val="21"/>
        </w:rPr>
      </w:pPr>
      <w:r>
        <w:rPr>
          <w:rFonts w:hint="eastAsia" w:ascii="黑体" w:hAnsi="黑体" w:eastAsia="黑体"/>
          <w:bCs/>
          <w:szCs w:val="21"/>
        </w:rPr>
        <w:t>中国政府采购网</w:t>
      </w:r>
      <w:r>
        <w:rPr>
          <w:rFonts w:hint="eastAsia" w:ascii="黑体" w:hAnsi="黑体" w:eastAsia="黑体"/>
          <w:bCs/>
          <w:szCs w:val="21"/>
          <w:u w:val="single"/>
        </w:rPr>
        <w:t>(</w:t>
      </w:r>
      <w:r>
        <w:rPr>
          <w:rFonts w:ascii="黑体" w:hAnsi="黑体" w:eastAsia="黑体"/>
          <w:bCs/>
          <w:szCs w:val="21"/>
          <w:u w:val="single"/>
        </w:rPr>
        <w:t>http://www.ccgp.gov.cn/</w:t>
      </w:r>
      <w:r>
        <w:rPr>
          <w:rFonts w:hint="eastAsia" w:ascii="黑体" w:hAnsi="黑体" w:eastAsia="黑体"/>
          <w:bCs/>
          <w:szCs w:val="21"/>
          <w:u w:val="single"/>
        </w:rPr>
        <w:t>)</w:t>
      </w:r>
      <w:r>
        <w:rPr>
          <w:rFonts w:hint="eastAsia" w:ascii="黑体" w:hAnsi="黑体" w:eastAsia="黑体"/>
          <w:bCs/>
          <w:szCs w:val="21"/>
        </w:rPr>
        <w:t>、</w:t>
      </w:r>
      <w:r>
        <w:rPr>
          <w:rFonts w:hint="eastAsia" w:ascii="黑体" w:hAnsi="黑体" w:eastAsia="黑体"/>
          <w:spacing w:val="-4"/>
          <w:szCs w:val="21"/>
        </w:rPr>
        <w:t>中国采购与招标网（</w:t>
      </w:r>
      <w:r>
        <w:fldChar w:fldCharType="begin"/>
      </w:r>
      <w:r>
        <w:instrText xml:space="preserve"> HYPERLINK "http://www.chinabidding.com.cn/" </w:instrText>
      </w:r>
      <w:r>
        <w:fldChar w:fldCharType="separate"/>
      </w:r>
      <w:r>
        <w:rPr>
          <w:rStyle w:val="26"/>
          <w:rFonts w:ascii="黑体" w:hAnsi="黑体" w:eastAsia="黑体"/>
          <w:color w:val="auto"/>
        </w:rPr>
        <w:t>http://www.chinabidding.com.cn/</w:t>
      </w:r>
      <w:r>
        <w:rPr>
          <w:rStyle w:val="26"/>
          <w:rFonts w:ascii="黑体" w:hAnsi="黑体" w:eastAsia="黑体"/>
          <w:color w:val="auto"/>
        </w:rPr>
        <w:fldChar w:fldCharType="end"/>
      </w:r>
      <w:r>
        <w:rPr>
          <w:rFonts w:hint="eastAsia" w:ascii="黑体" w:hAnsi="黑体" w:eastAsia="黑体"/>
        </w:rPr>
        <w:t>）、</w:t>
      </w:r>
      <w:r>
        <w:rPr>
          <w:rFonts w:hint="eastAsia" w:ascii="黑体" w:hAnsi="黑体" w:eastAsia="黑体"/>
          <w:bCs/>
          <w:szCs w:val="21"/>
        </w:rPr>
        <w:t>广东有德招标采购有限公司网站</w:t>
      </w:r>
      <w:r>
        <w:rPr>
          <w:rFonts w:hint="eastAsia" w:ascii="黑体" w:hAnsi="黑体" w:eastAsia="黑体"/>
          <w:bCs/>
          <w:szCs w:val="21"/>
          <w:u w:val="single"/>
        </w:rPr>
        <w:t>(http://www.youde.net/)</w:t>
      </w:r>
      <w:r>
        <w:rPr>
          <w:rFonts w:ascii="Calibri" w:hAnsi="Calibri" w:eastAsia="黑体" w:cs="Calibri"/>
          <w:bCs/>
          <w:szCs w:val="21"/>
        </w:rPr>
        <w:t> </w:t>
      </w:r>
    </w:p>
    <w:p>
      <w:pPr>
        <w:pStyle w:val="30"/>
        <w:numPr>
          <w:ilvl w:val="0"/>
          <w:numId w:val="6"/>
        </w:numPr>
        <w:tabs>
          <w:tab w:val="left" w:pos="709"/>
        </w:tabs>
        <w:spacing w:line="360" w:lineRule="auto"/>
        <w:ind w:firstLineChars="0"/>
        <w:rPr>
          <w:rFonts w:ascii="黑体" w:hAnsi="黑体" w:eastAsia="黑体"/>
          <w:bCs/>
          <w:szCs w:val="21"/>
        </w:rPr>
      </w:pPr>
      <w:r>
        <w:rPr>
          <w:rFonts w:hint="eastAsia" w:ascii="黑体" w:hAnsi="黑体" w:eastAsia="黑体"/>
          <w:bCs/>
          <w:szCs w:val="21"/>
        </w:rPr>
        <w:t>拟参加本项目的潜在投标人须在规定时间内按要求获取招标文件后方可参与本项目的投标。获取招标文件后而不参加投标的潜在投标人，请在开标日期三日前以书面形式通知采购代理机构。</w:t>
      </w:r>
    </w:p>
    <w:p>
      <w:pPr>
        <w:pStyle w:val="30"/>
        <w:numPr>
          <w:ilvl w:val="0"/>
          <w:numId w:val="6"/>
        </w:numPr>
        <w:spacing w:line="360" w:lineRule="auto"/>
        <w:ind w:firstLineChars="0"/>
        <w:rPr>
          <w:rFonts w:ascii="黑体" w:hAnsi="黑体" w:eastAsia="黑体"/>
          <w:bCs/>
          <w:szCs w:val="21"/>
        </w:rPr>
      </w:pPr>
      <w:r>
        <w:rPr>
          <w:rFonts w:hint="eastAsia" w:ascii="黑体" w:hAnsi="黑体" w:eastAsia="黑体"/>
          <w:bCs/>
          <w:szCs w:val="21"/>
        </w:rPr>
        <w:t>获取招标文件联系人及联系方式：范小姐（0769）23362836</w:t>
      </w:r>
      <w:r>
        <w:rPr>
          <w:rFonts w:ascii="黑体" w:hAnsi="黑体" w:eastAsia="黑体"/>
          <w:bCs/>
          <w:szCs w:val="21"/>
        </w:rPr>
        <w:t xml:space="preserve"> </w:t>
      </w:r>
      <w:bookmarkStart w:id="12" w:name="_Hlk90986682"/>
      <w:r>
        <w:rPr>
          <w:rFonts w:hint="eastAsia" w:ascii="黑体" w:hAnsi="黑体" w:eastAsia="黑体"/>
          <w:bCs/>
          <w:szCs w:val="21"/>
        </w:rPr>
        <w:t>邮箱：</w:t>
      </w:r>
      <w:r>
        <w:t>youdedg@163.com</w:t>
      </w:r>
      <w:r>
        <w:rPr>
          <w:rFonts w:hint="eastAsia" w:ascii="黑体" w:hAnsi="黑体" w:eastAsia="黑体"/>
          <w:bCs/>
          <w:szCs w:val="21"/>
        </w:rPr>
        <w:t>。</w:t>
      </w:r>
      <w:bookmarkEnd w:id="12"/>
    </w:p>
    <w:bookmarkEnd w:id="11"/>
    <w:p>
      <w:pPr>
        <w:pStyle w:val="30"/>
        <w:numPr>
          <w:ilvl w:val="0"/>
          <w:numId w:val="2"/>
        </w:numPr>
        <w:tabs>
          <w:tab w:val="left" w:pos="567"/>
        </w:tabs>
        <w:spacing w:before="156" w:beforeLines="50" w:line="360" w:lineRule="auto"/>
        <w:ind w:firstLineChars="0"/>
        <w:rPr>
          <w:rFonts w:ascii="黑体" w:hAnsi="黑体" w:eastAsia="黑体"/>
          <w:b/>
          <w:szCs w:val="21"/>
        </w:rPr>
      </w:pPr>
      <w:r>
        <w:rPr>
          <w:rFonts w:hint="eastAsia" w:ascii="黑体" w:hAnsi="黑体" w:eastAsia="黑体"/>
          <w:b/>
          <w:szCs w:val="21"/>
        </w:rPr>
        <w:t>对本次招标提出询问，请按以下方式联系。</w:t>
      </w:r>
    </w:p>
    <w:p>
      <w:pPr>
        <w:pStyle w:val="30"/>
        <w:numPr>
          <w:ilvl w:val="0"/>
          <w:numId w:val="7"/>
        </w:numPr>
        <w:tabs>
          <w:tab w:val="left" w:pos="567"/>
        </w:tabs>
        <w:spacing w:line="360" w:lineRule="auto"/>
        <w:ind w:firstLineChars="0"/>
        <w:rPr>
          <w:rFonts w:ascii="黑体" w:hAnsi="黑体" w:eastAsia="黑体"/>
          <w:b/>
          <w:szCs w:val="21"/>
        </w:rPr>
      </w:pPr>
      <w:r>
        <w:rPr>
          <w:rFonts w:hint="eastAsia" w:ascii="黑体" w:hAnsi="黑体" w:eastAsia="黑体"/>
          <w:b/>
          <w:szCs w:val="21"/>
        </w:rPr>
        <w:t>采购人信息</w:t>
      </w:r>
    </w:p>
    <w:p>
      <w:pPr>
        <w:tabs>
          <w:tab w:val="left" w:pos="567"/>
        </w:tabs>
        <w:spacing w:line="360" w:lineRule="auto"/>
        <w:ind w:left="424" w:leftChars="202"/>
        <w:rPr>
          <w:rFonts w:ascii="黑体" w:hAnsi="黑体" w:eastAsia="黑体"/>
          <w:bCs/>
          <w:szCs w:val="21"/>
        </w:rPr>
      </w:pPr>
      <w:r>
        <w:rPr>
          <w:rFonts w:hint="eastAsia" w:ascii="黑体" w:hAnsi="黑体" w:eastAsia="黑体"/>
          <w:bCs/>
          <w:szCs w:val="21"/>
        </w:rPr>
        <w:t>名称：东莞市中医院</w:t>
      </w:r>
    </w:p>
    <w:p>
      <w:pPr>
        <w:tabs>
          <w:tab w:val="left" w:pos="567"/>
        </w:tabs>
        <w:spacing w:line="360" w:lineRule="auto"/>
        <w:ind w:left="424" w:leftChars="202"/>
        <w:rPr>
          <w:rFonts w:ascii="黑体" w:hAnsi="黑体" w:eastAsia="黑体"/>
          <w:bCs/>
          <w:szCs w:val="21"/>
        </w:rPr>
      </w:pPr>
      <w:r>
        <w:rPr>
          <w:rFonts w:hint="eastAsia" w:ascii="黑体" w:hAnsi="黑体" w:eastAsia="黑体"/>
          <w:bCs/>
          <w:szCs w:val="21"/>
        </w:rPr>
        <w:t>地址：东莞市东城街道松山湖大道东城段3号</w:t>
      </w:r>
    </w:p>
    <w:p>
      <w:pPr>
        <w:tabs>
          <w:tab w:val="left" w:pos="567"/>
        </w:tabs>
        <w:spacing w:line="360" w:lineRule="auto"/>
        <w:ind w:left="424" w:leftChars="202"/>
        <w:rPr>
          <w:rFonts w:ascii="黑体" w:hAnsi="黑体" w:eastAsia="黑体"/>
          <w:b/>
          <w:szCs w:val="21"/>
        </w:rPr>
      </w:pPr>
      <w:r>
        <w:rPr>
          <w:rFonts w:hint="eastAsia" w:ascii="黑体" w:hAnsi="黑体" w:eastAsia="黑体"/>
          <w:bCs/>
          <w:szCs w:val="21"/>
        </w:rPr>
        <w:t>联系方式：</w:t>
      </w:r>
      <w:r>
        <w:rPr>
          <w:rFonts w:ascii="黑体" w:hAnsi="黑体" w:eastAsia="黑体"/>
          <w:bCs/>
          <w:szCs w:val="21"/>
        </w:rPr>
        <w:t>0769-26385133</w:t>
      </w:r>
    </w:p>
    <w:p>
      <w:pPr>
        <w:pStyle w:val="30"/>
        <w:numPr>
          <w:ilvl w:val="0"/>
          <w:numId w:val="7"/>
        </w:numPr>
        <w:tabs>
          <w:tab w:val="left" w:pos="567"/>
        </w:tabs>
        <w:spacing w:line="360" w:lineRule="auto"/>
        <w:ind w:firstLineChars="0"/>
        <w:rPr>
          <w:rFonts w:ascii="黑体" w:hAnsi="黑体" w:eastAsia="黑体"/>
          <w:b/>
          <w:szCs w:val="21"/>
        </w:rPr>
      </w:pPr>
      <w:r>
        <w:rPr>
          <w:rFonts w:hint="eastAsia" w:ascii="黑体" w:hAnsi="黑体" w:eastAsia="黑体"/>
          <w:b/>
          <w:szCs w:val="21"/>
        </w:rPr>
        <w:t>采购代理机构信息</w:t>
      </w:r>
    </w:p>
    <w:p>
      <w:pPr>
        <w:tabs>
          <w:tab w:val="left" w:pos="567"/>
        </w:tabs>
        <w:spacing w:line="360" w:lineRule="auto"/>
        <w:ind w:left="424" w:leftChars="202"/>
        <w:rPr>
          <w:rFonts w:ascii="黑体" w:hAnsi="黑体" w:eastAsia="黑体"/>
          <w:bCs/>
          <w:szCs w:val="21"/>
        </w:rPr>
      </w:pPr>
      <w:bookmarkStart w:id="13" w:name="_Hlk90986307"/>
      <w:r>
        <w:rPr>
          <w:rFonts w:hint="eastAsia" w:ascii="黑体" w:hAnsi="黑体" w:eastAsia="黑体"/>
          <w:bCs/>
          <w:szCs w:val="21"/>
        </w:rPr>
        <w:t xml:space="preserve">名 </w:t>
      </w:r>
      <w:r>
        <w:rPr>
          <w:rFonts w:ascii="黑体" w:hAnsi="黑体" w:eastAsia="黑体"/>
          <w:bCs/>
          <w:szCs w:val="21"/>
        </w:rPr>
        <w:t xml:space="preserve"> </w:t>
      </w:r>
      <w:r>
        <w:rPr>
          <w:rFonts w:hint="eastAsia" w:ascii="黑体" w:hAnsi="黑体" w:eastAsia="黑体"/>
          <w:bCs/>
          <w:szCs w:val="21"/>
        </w:rPr>
        <w:t>称：</w:t>
      </w:r>
      <w:bookmarkStart w:id="14" w:name="_Hlk58184619"/>
      <w:r>
        <w:rPr>
          <w:rFonts w:hint="eastAsia" w:ascii="黑体" w:hAnsi="黑体" w:eastAsia="黑体"/>
          <w:bCs/>
          <w:szCs w:val="21"/>
        </w:rPr>
        <w:t>广东有德招标采购有限公司</w:t>
      </w:r>
      <w:bookmarkEnd w:id="14"/>
    </w:p>
    <w:p>
      <w:pPr>
        <w:tabs>
          <w:tab w:val="left" w:pos="567"/>
        </w:tabs>
        <w:spacing w:line="360" w:lineRule="auto"/>
        <w:ind w:left="424" w:leftChars="202"/>
        <w:rPr>
          <w:rFonts w:ascii="黑体" w:hAnsi="黑体" w:eastAsia="黑体"/>
          <w:bCs/>
          <w:szCs w:val="21"/>
        </w:rPr>
      </w:pPr>
      <w:r>
        <w:rPr>
          <w:rFonts w:hint="eastAsia" w:ascii="黑体" w:hAnsi="黑体" w:eastAsia="黑体"/>
          <w:bCs/>
          <w:szCs w:val="21"/>
        </w:rPr>
        <w:t>地　址：东莞市东城街道东莞大道19号鼎峰卡布斯国际广场A座1603A号</w:t>
      </w:r>
    </w:p>
    <w:p>
      <w:pPr>
        <w:tabs>
          <w:tab w:val="left" w:pos="567"/>
        </w:tabs>
        <w:spacing w:line="360" w:lineRule="auto"/>
        <w:ind w:left="424" w:leftChars="202"/>
        <w:rPr>
          <w:rFonts w:ascii="黑体" w:hAnsi="黑体" w:eastAsia="黑体"/>
          <w:b/>
          <w:szCs w:val="21"/>
        </w:rPr>
      </w:pPr>
      <w:r>
        <w:rPr>
          <w:rFonts w:hint="eastAsia" w:ascii="黑体" w:hAnsi="黑体" w:eastAsia="黑体"/>
          <w:bCs/>
          <w:szCs w:val="21"/>
        </w:rPr>
        <w:t>联系方式：（0769）23362836</w:t>
      </w:r>
    </w:p>
    <w:bookmarkEnd w:id="13"/>
    <w:p>
      <w:pPr>
        <w:pStyle w:val="30"/>
        <w:numPr>
          <w:ilvl w:val="0"/>
          <w:numId w:val="7"/>
        </w:numPr>
        <w:tabs>
          <w:tab w:val="left" w:pos="567"/>
        </w:tabs>
        <w:spacing w:line="360" w:lineRule="auto"/>
        <w:ind w:firstLineChars="0"/>
        <w:rPr>
          <w:rFonts w:ascii="黑体" w:hAnsi="黑体" w:eastAsia="黑体"/>
          <w:b/>
          <w:szCs w:val="21"/>
        </w:rPr>
      </w:pPr>
      <w:r>
        <w:rPr>
          <w:rFonts w:hint="eastAsia" w:ascii="黑体" w:hAnsi="黑体" w:eastAsia="黑体"/>
          <w:b/>
          <w:szCs w:val="21"/>
        </w:rPr>
        <w:t>项目联系方式</w:t>
      </w:r>
    </w:p>
    <w:p>
      <w:pPr>
        <w:tabs>
          <w:tab w:val="left" w:pos="567"/>
        </w:tabs>
        <w:spacing w:line="360" w:lineRule="auto"/>
        <w:ind w:left="283" w:leftChars="135" w:firstLine="142" w:firstLineChars="68"/>
        <w:rPr>
          <w:rFonts w:ascii="黑体" w:hAnsi="黑体" w:eastAsia="黑体"/>
          <w:bCs/>
          <w:szCs w:val="21"/>
        </w:rPr>
      </w:pPr>
      <w:r>
        <w:rPr>
          <w:rFonts w:hint="eastAsia" w:ascii="黑体" w:hAnsi="黑体" w:eastAsia="黑体"/>
          <w:bCs/>
          <w:szCs w:val="21"/>
        </w:rPr>
        <w:t>项目联系人：郑翠婷</w:t>
      </w:r>
    </w:p>
    <w:p>
      <w:pPr>
        <w:tabs>
          <w:tab w:val="left" w:pos="567"/>
        </w:tabs>
        <w:spacing w:line="360" w:lineRule="auto"/>
        <w:ind w:left="283" w:leftChars="135" w:firstLine="142" w:firstLineChars="68"/>
        <w:rPr>
          <w:rFonts w:ascii="黑体" w:hAnsi="黑体" w:eastAsia="黑体"/>
          <w:b/>
          <w:szCs w:val="21"/>
        </w:rPr>
      </w:pPr>
      <w:r>
        <w:rPr>
          <w:rFonts w:hint="eastAsia" w:ascii="黑体" w:hAnsi="黑体" w:eastAsia="黑体"/>
          <w:bCs/>
          <w:szCs w:val="21"/>
        </w:rPr>
        <w:t>电　话：（0769）23362836-80</w:t>
      </w:r>
      <w:r>
        <w:rPr>
          <w:rFonts w:ascii="黑体" w:hAnsi="黑体" w:eastAsia="黑体"/>
          <w:bCs/>
          <w:szCs w:val="21"/>
        </w:rPr>
        <w:t>23</w:t>
      </w:r>
    </w:p>
    <w:p>
      <w:pPr>
        <w:tabs>
          <w:tab w:val="left" w:pos="567"/>
        </w:tabs>
        <w:spacing w:line="360" w:lineRule="auto"/>
        <w:jc w:val="right"/>
        <w:rPr>
          <w:rFonts w:ascii="黑体" w:hAnsi="黑体" w:eastAsia="黑体"/>
          <w:b/>
          <w:szCs w:val="21"/>
        </w:rPr>
      </w:pPr>
      <w:r>
        <w:rPr>
          <w:rFonts w:hint="eastAsia" w:ascii="黑体" w:hAnsi="黑体" w:eastAsia="黑体"/>
          <w:b/>
          <w:szCs w:val="21"/>
        </w:rPr>
        <w:t>发布人：广东有德招标采购有限公司</w:t>
      </w:r>
    </w:p>
    <w:p>
      <w:pPr>
        <w:tabs>
          <w:tab w:val="left" w:pos="567"/>
        </w:tabs>
        <w:spacing w:before="156" w:line="360" w:lineRule="auto"/>
        <w:jc w:val="right"/>
        <w:rPr>
          <w:rFonts w:ascii="黑体" w:hAnsi="黑体" w:eastAsia="黑体"/>
          <w:b/>
          <w:szCs w:val="21"/>
        </w:rPr>
      </w:pPr>
      <w:r>
        <w:rPr>
          <w:rFonts w:hint="eastAsia" w:ascii="黑体" w:hAnsi="黑体" w:eastAsia="黑体"/>
          <w:b/>
          <w:szCs w:val="21"/>
        </w:rPr>
        <w:t>发布时间：</w:t>
      </w:r>
      <w:r>
        <w:rPr>
          <w:rFonts w:ascii="黑体" w:hAnsi="黑体" w:eastAsia="黑体"/>
          <w:b/>
          <w:szCs w:val="21"/>
        </w:rPr>
        <w:t>2023</w:t>
      </w:r>
      <w:r>
        <w:rPr>
          <w:rFonts w:hint="eastAsia" w:ascii="黑体" w:hAnsi="黑体" w:eastAsia="黑体"/>
          <w:b/>
          <w:szCs w:val="21"/>
        </w:rPr>
        <w:t>年</w:t>
      </w:r>
      <w:r>
        <w:rPr>
          <w:rFonts w:ascii="黑体" w:hAnsi="黑体" w:eastAsia="黑体"/>
          <w:b/>
          <w:szCs w:val="21"/>
        </w:rPr>
        <w:t>1</w:t>
      </w:r>
      <w:r>
        <w:rPr>
          <w:rFonts w:hint="eastAsia" w:ascii="黑体" w:hAnsi="黑体" w:eastAsia="黑体"/>
          <w:b/>
          <w:szCs w:val="21"/>
        </w:rPr>
        <w:t>月</w:t>
      </w:r>
      <w:r>
        <w:rPr>
          <w:rFonts w:ascii="黑体" w:hAnsi="黑体" w:eastAsia="黑体"/>
          <w:b/>
          <w:szCs w:val="21"/>
        </w:rPr>
        <w:t>13</w:t>
      </w:r>
      <w:r>
        <w:rPr>
          <w:rFonts w:hint="eastAsia" w:ascii="黑体" w:hAnsi="黑体" w:eastAsia="黑体"/>
          <w:b/>
          <w:szCs w:val="21"/>
        </w:rPr>
        <w:t>日</w:t>
      </w:r>
    </w:p>
    <w:p>
      <w:pPr>
        <w:pStyle w:val="2"/>
        <w:keepNext w:val="0"/>
        <w:keepLines w:val="0"/>
        <w:pageBreakBefore/>
        <w:spacing w:line="360" w:lineRule="auto"/>
        <w:jc w:val="center"/>
        <w:rPr>
          <w:rFonts w:ascii="黑体" w:hAnsi="黑体" w:eastAsia="黑体"/>
          <w:spacing w:val="20"/>
          <w:sz w:val="32"/>
          <w:szCs w:val="32"/>
        </w:rPr>
      </w:pPr>
      <w:bookmarkStart w:id="15" w:name="_Toc405313952"/>
      <w:bookmarkStart w:id="16" w:name="_Toc119514286"/>
      <w:bookmarkStart w:id="17" w:name="_Hlk90986704"/>
      <w:r>
        <w:rPr>
          <w:rFonts w:hint="eastAsia" w:ascii="黑体" w:hAnsi="黑体" w:eastAsia="黑体"/>
          <w:spacing w:val="20"/>
          <w:sz w:val="32"/>
          <w:szCs w:val="32"/>
        </w:rPr>
        <w:t>第二部分</w:t>
      </w:r>
      <w:r>
        <w:rPr>
          <w:rFonts w:ascii="黑体" w:hAnsi="黑体" w:eastAsia="黑体"/>
          <w:spacing w:val="20"/>
          <w:sz w:val="32"/>
          <w:szCs w:val="32"/>
        </w:rPr>
        <w:t xml:space="preserve"> </w:t>
      </w:r>
      <w:r>
        <w:rPr>
          <w:rFonts w:hint="eastAsia" w:ascii="黑体" w:hAnsi="黑体" w:eastAsia="黑体"/>
          <w:spacing w:val="20"/>
          <w:sz w:val="32"/>
          <w:szCs w:val="32"/>
        </w:rPr>
        <w:t>采购需求</w:t>
      </w:r>
      <w:bookmarkEnd w:id="15"/>
      <w:bookmarkEnd w:id="16"/>
    </w:p>
    <w:p>
      <w:pPr>
        <w:spacing w:line="360" w:lineRule="auto"/>
        <w:contextualSpacing/>
        <w:rPr>
          <w:rFonts w:ascii="黑体" w:hAnsi="黑体" w:eastAsia="黑体"/>
          <w:b/>
          <w:szCs w:val="21"/>
        </w:rPr>
      </w:pPr>
      <w:bookmarkStart w:id="18" w:name="_Hlk90919605"/>
      <w:r>
        <w:rPr>
          <w:rFonts w:hint="eastAsia" w:ascii="黑体" w:hAnsi="黑体" w:eastAsia="黑体"/>
          <w:b/>
          <w:szCs w:val="21"/>
        </w:rPr>
        <w:t>说明：</w:t>
      </w:r>
    </w:p>
    <w:p>
      <w:pPr>
        <w:numPr>
          <w:ilvl w:val="0"/>
          <w:numId w:val="8"/>
        </w:numPr>
        <w:spacing w:line="360" w:lineRule="auto"/>
        <w:rPr>
          <w:rFonts w:ascii="黑体" w:hAnsi="黑体" w:eastAsia="黑体"/>
          <w:szCs w:val="21"/>
        </w:rPr>
      </w:pPr>
      <w:r>
        <w:rPr>
          <w:rFonts w:hint="eastAsia" w:ascii="黑体" w:hAnsi="黑体" w:eastAsia="黑体"/>
          <w:szCs w:val="21"/>
        </w:rPr>
        <w:t>采购需求中带“◆”符号的内容为采购的核心产品，投标人应在《分项报价表》中清晰列明“货物名称、品牌、规格型号、原产地、价格等”。</w:t>
      </w:r>
    </w:p>
    <w:p>
      <w:pPr>
        <w:numPr>
          <w:ilvl w:val="0"/>
          <w:numId w:val="8"/>
        </w:numPr>
        <w:spacing w:line="360" w:lineRule="auto"/>
        <w:rPr>
          <w:rFonts w:ascii="黑体" w:hAnsi="黑体" w:eastAsia="黑体"/>
          <w:szCs w:val="21"/>
        </w:rPr>
      </w:pPr>
      <w:r>
        <w:rPr>
          <w:rFonts w:hint="eastAsia" w:ascii="黑体" w:hAnsi="黑体" w:eastAsia="黑体"/>
          <w:szCs w:val="21"/>
        </w:rPr>
        <w:t>采购需求中所有列出的相关货物技术要求均不是唯一指定，即投标人可就货物提出替代标准，只要相当于（或优于）规定的货物品质和性能等技术参数要求，并提供满足采购需求要求的证明材料，则视为合格。但凡标有“★”的地方均被视为重要的技术指标要求或性能要求，投标人要特别加以注意，必须对此回答并完全满足这些要求，否则若有一项带“★”的指标未响应或不满足，将按无效投标文件处理。</w:t>
      </w:r>
    </w:p>
    <w:p>
      <w:pPr>
        <w:pStyle w:val="30"/>
        <w:numPr>
          <w:ilvl w:val="0"/>
          <w:numId w:val="8"/>
        </w:numPr>
        <w:spacing w:line="360" w:lineRule="auto"/>
        <w:ind w:firstLineChars="0"/>
        <w:rPr>
          <w:rFonts w:ascii="黑体" w:hAnsi="黑体" w:eastAsia="黑体"/>
          <w:szCs w:val="21"/>
        </w:rPr>
      </w:pPr>
      <w:r>
        <w:rPr>
          <w:rFonts w:hint="eastAsia" w:ascii="黑体" w:hAnsi="黑体" w:eastAsia="黑体"/>
          <w:szCs w:val="21"/>
        </w:rPr>
        <w:t>带“▲”符号的内容为采购需求重点技术参数，若未能响应，则在评标过程中根据评审内容作扣分处理。</w:t>
      </w:r>
    </w:p>
    <w:p>
      <w:pPr>
        <w:pStyle w:val="30"/>
        <w:numPr>
          <w:ilvl w:val="0"/>
          <w:numId w:val="8"/>
        </w:numPr>
        <w:spacing w:line="360" w:lineRule="auto"/>
        <w:ind w:firstLineChars="0"/>
        <w:rPr>
          <w:rFonts w:ascii="黑体" w:hAnsi="黑体" w:eastAsia="黑体"/>
          <w:szCs w:val="21"/>
        </w:rPr>
      </w:pPr>
      <w:r>
        <w:rPr>
          <w:rFonts w:hint="eastAsia" w:ascii="黑体" w:hAnsi="黑体" w:eastAsia="黑体"/>
          <w:szCs w:val="21"/>
        </w:rPr>
        <w:t>投标报价中不得包含招标文件要求以外的内容，否则，在评标时不予核减。若投标报价有缺漏项的，缺漏项部分的价格视为已包含在投标报价中，中标后不作任何调整。</w:t>
      </w:r>
    </w:p>
    <w:p>
      <w:pPr>
        <w:spacing w:line="360" w:lineRule="auto"/>
        <w:contextualSpacing/>
        <w:rPr>
          <w:rFonts w:ascii="黑体" w:hAnsi="黑体" w:eastAsia="黑体"/>
          <w:b/>
          <w:szCs w:val="21"/>
        </w:rPr>
      </w:pPr>
    </w:p>
    <w:p>
      <w:pPr>
        <w:pStyle w:val="30"/>
        <w:numPr>
          <w:ilvl w:val="0"/>
          <w:numId w:val="9"/>
        </w:numPr>
        <w:spacing w:line="360" w:lineRule="auto"/>
        <w:ind w:firstLineChars="0"/>
        <w:contextualSpacing/>
        <w:rPr>
          <w:rFonts w:ascii="黑体" w:hAnsi="黑体" w:eastAsia="黑体"/>
          <w:b/>
          <w:szCs w:val="21"/>
        </w:rPr>
      </w:pPr>
      <w:r>
        <w:rPr>
          <w:rFonts w:ascii="黑体" w:hAnsi="黑体" w:eastAsia="黑体"/>
          <w:b/>
          <w:szCs w:val="21"/>
        </w:rPr>
        <w:t>采购</w:t>
      </w:r>
      <w:r>
        <w:rPr>
          <w:rFonts w:hint="eastAsia" w:ascii="黑体" w:hAnsi="黑体" w:eastAsia="黑体"/>
          <w:b/>
          <w:szCs w:val="21"/>
        </w:rPr>
        <w:t>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383"/>
        <w:gridCol w:w="728"/>
        <w:gridCol w:w="679"/>
        <w:gridCol w:w="1487"/>
        <w:gridCol w:w="148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序号</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货物名称</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单位</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数量</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单价最高限价（万元）</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总价（万元）</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1</w:t>
            </w:r>
          </w:p>
        </w:tc>
        <w:tc>
          <w:tcPr>
            <w:tcW w:w="1359" w:type="pct"/>
            <w:vAlign w:val="center"/>
          </w:tcPr>
          <w:p>
            <w:pPr>
              <w:spacing w:line="360" w:lineRule="auto"/>
              <w:contextualSpacing/>
              <w:jc w:val="center"/>
              <w:rPr>
                <w:rFonts w:ascii="黑体" w:hAnsi="黑体" w:eastAsia="黑体"/>
                <w:bCs/>
                <w:szCs w:val="21"/>
              </w:rPr>
            </w:pPr>
            <w:bookmarkStart w:id="19" w:name="_Hlk124501287"/>
            <w:r>
              <w:rPr>
                <w:rFonts w:hint="eastAsia" w:ascii="黑体" w:hAnsi="黑体" w:eastAsia="黑体"/>
                <w:szCs w:val="21"/>
              </w:rPr>
              <w:t>ICU多功能电动床</w:t>
            </w:r>
            <w:bookmarkEnd w:id="19"/>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张</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18</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2.5</w:t>
            </w:r>
            <w:r>
              <w:rPr>
                <w:rFonts w:ascii="黑体" w:hAnsi="黑体" w:eastAsia="黑体"/>
                <w:szCs w:val="21"/>
              </w:rPr>
              <w:t>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45</w:t>
            </w:r>
            <w:r>
              <w:rPr>
                <w:rFonts w:ascii="黑体" w:hAnsi="黑体" w:eastAsia="黑体"/>
                <w:szCs w:val="21"/>
              </w:rPr>
              <w:t>.00</w:t>
            </w:r>
          </w:p>
        </w:tc>
        <w:tc>
          <w:tcPr>
            <w:tcW w:w="843" w:type="pct"/>
            <w:vAlign w:val="center"/>
          </w:tcPr>
          <w:p>
            <w:pPr>
              <w:spacing w:line="360" w:lineRule="auto"/>
              <w:contextualSpacing/>
              <w:jc w:val="center"/>
              <w:rPr>
                <w:rFonts w:hint="eastAsia"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2</w:t>
            </w:r>
          </w:p>
        </w:tc>
        <w:tc>
          <w:tcPr>
            <w:tcW w:w="1359" w:type="pct"/>
            <w:vAlign w:val="center"/>
          </w:tcPr>
          <w:p>
            <w:pPr>
              <w:spacing w:line="360" w:lineRule="auto"/>
              <w:contextualSpacing/>
              <w:jc w:val="center"/>
              <w:rPr>
                <w:rFonts w:ascii="黑体" w:hAnsi="黑体" w:eastAsia="黑体"/>
                <w:bCs/>
                <w:szCs w:val="21"/>
              </w:rPr>
            </w:pPr>
            <w:bookmarkStart w:id="20" w:name="_Hlk124501334"/>
            <w:r>
              <w:rPr>
                <w:rFonts w:hint="eastAsia" w:ascii="黑体" w:hAnsi="黑体" w:eastAsia="黑体"/>
                <w:szCs w:val="21"/>
              </w:rPr>
              <w:t>肠内营养泵</w:t>
            </w:r>
            <w:bookmarkEnd w:id="20"/>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台</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22</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2.95</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64.9</w:t>
            </w:r>
            <w:r>
              <w:rPr>
                <w:rFonts w:ascii="黑体" w:hAnsi="黑体" w:eastAsia="黑体"/>
                <w:szCs w:val="21"/>
              </w:rPr>
              <w:t>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3</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体外振动排痰机（振动式物理治疗仪）</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台</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w:t>
            </w:r>
            <w:r>
              <w:rPr>
                <w:rFonts w:ascii="黑体" w:hAnsi="黑体" w:eastAsia="黑体"/>
                <w:szCs w:val="21"/>
              </w:rPr>
              <w:t>.00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9</w:t>
            </w:r>
            <w:r>
              <w:rPr>
                <w:rFonts w:ascii="黑体" w:hAnsi="黑体" w:eastAsia="黑体"/>
                <w:szCs w:val="21"/>
              </w:rPr>
              <w:t>.00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4</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医用控温仪</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台</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2.9</w:t>
            </w:r>
            <w:r>
              <w:rPr>
                <w:rFonts w:ascii="黑体" w:hAnsi="黑体" w:eastAsia="黑体"/>
                <w:szCs w:val="21"/>
              </w:rPr>
              <w:t>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8.7</w:t>
            </w:r>
            <w:r>
              <w:rPr>
                <w:rFonts w:ascii="黑体" w:hAnsi="黑体" w:eastAsia="黑体"/>
                <w:szCs w:val="21"/>
              </w:rPr>
              <w:t>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5</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除颤仪</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个</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1</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7.1</w:t>
            </w:r>
            <w:r>
              <w:rPr>
                <w:rFonts w:ascii="黑体" w:hAnsi="黑体" w:eastAsia="黑体"/>
                <w:szCs w:val="21"/>
              </w:rPr>
              <w:t>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7.1</w:t>
            </w:r>
            <w:r>
              <w:rPr>
                <w:rFonts w:ascii="黑体" w:hAnsi="黑体" w:eastAsia="黑体"/>
                <w:szCs w:val="21"/>
              </w:rPr>
              <w:t>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6</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喉镜</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个</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2</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0.78</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1.56</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7</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可视喉镜</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个</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2.38</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7.14</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8</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纤维支气管内窥镜（电子软镜）</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个</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7.9</w:t>
            </w:r>
            <w:r>
              <w:rPr>
                <w:rFonts w:ascii="黑体" w:hAnsi="黑体" w:eastAsia="黑体"/>
                <w:szCs w:val="21"/>
              </w:rPr>
              <w:t>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23.7</w:t>
            </w:r>
            <w:r>
              <w:rPr>
                <w:rFonts w:ascii="黑体" w:hAnsi="黑体" w:eastAsia="黑体"/>
                <w:szCs w:val="21"/>
              </w:rPr>
              <w:t>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9</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体外临时心脏起博器</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个</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1</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6</w:t>
            </w:r>
            <w:r>
              <w:rPr>
                <w:rFonts w:ascii="黑体" w:hAnsi="黑体" w:eastAsia="黑体"/>
                <w:szCs w:val="21"/>
              </w:rPr>
              <w:t>.00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6</w:t>
            </w:r>
            <w:r>
              <w:rPr>
                <w:rFonts w:ascii="黑体" w:hAnsi="黑体" w:eastAsia="黑体"/>
                <w:szCs w:val="21"/>
              </w:rPr>
              <w:t>.00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1</w:t>
            </w:r>
            <w:r>
              <w:rPr>
                <w:rFonts w:ascii="黑体" w:hAnsi="黑体" w:eastAsia="黑体"/>
                <w:bCs/>
                <w:szCs w:val="21"/>
              </w:rPr>
              <w:t>0</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持续血液净化系统</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台</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2</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35</w:t>
            </w:r>
            <w:r>
              <w:rPr>
                <w:rFonts w:ascii="黑体" w:hAnsi="黑体" w:eastAsia="黑体"/>
                <w:szCs w:val="21"/>
              </w:rPr>
              <w:t>.00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70</w:t>
            </w:r>
            <w:r>
              <w:rPr>
                <w:rFonts w:ascii="黑体" w:hAnsi="黑体" w:eastAsia="黑体"/>
                <w:szCs w:val="21"/>
              </w:rPr>
              <w:t>.00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1</w:t>
            </w:r>
            <w:r>
              <w:rPr>
                <w:rFonts w:ascii="黑体" w:hAnsi="黑体" w:eastAsia="黑体"/>
                <w:bCs/>
                <w:szCs w:val="21"/>
              </w:rPr>
              <w:t>1</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压力抗栓泵（肢体压迫系统）</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套</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3.8</w:t>
            </w:r>
            <w:r>
              <w:rPr>
                <w:rFonts w:ascii="黑体" w:hAnsi="黑体" w:eastAsia="黑体"/>
                <w:szCs w:val="21"/>
              </w:rPr>
              <w:t>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11.4</w:t>
            </w:r>
            <w:r>
              <w:rPr>
                <w:rFonts w:ascii="黑体" w:hAnsi="黑体" w:eastAsia="黑体"/>
                <w:szCs w:val="21"/>
              </w:rPr>
              <w:t>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1</w:t>
            </w:r>
            <w:r>
              <w:rPr>
                <w:rFonts w:ascii="黑体" w:hAnsi="黑体" w:eastAsia="黑体"/>
                <w:bCs/>
                <w:szCs w:val="21"/>
              </w:rPr>
              <w:t>2</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◆床旁彩色超声波(三探头)</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台</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1</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89</w:t>
            </w:r>
            <w:r>
              <w:rPr>
                <w:rFonts w:ascii="黑体" w:hAnsi="黑体" w:eastAsia="黑体"/>
                <w:szCs w:val="21"/>
              </w:rPr>
              <w:t>.00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89</w:t>
            </w:r>
            <w:r>
              <w:rPr>
                <w:rFonts w:ascii="黑体" w:hAnsi="黑体" w:eastAsia="黑体"/>
                <w:szCs w:val="21"/>
              </w:rPr>
              <w:t>.00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1</w:t>
            </w:r>
            <w:r>
              <w:rPr>
                <w:rFonts w:ascii="黑体" w:hAnsi="黑体" w:eastAsia="黑体"/>
                <w:bCs/>
                <w:szCs w:val="21"/>
              </w:rPr>
              <w:t>3</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全自动血气分析仪</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台</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1</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18</w:t>
            </w:r>
            <w:r>
              <w:rPr>
                <w:rFonts w:ascii="黑体" w:hAnsi="黑体" w:eastAsia="黑体"/>
                <w:szCs w:val="21"/>
              </w:rPr>
              <w:t>.00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18</w:t>
            </w:r>
            <w:r>
              <w:rPr>
                <w:rFonts w:ascii="黑体" w:hAnsi="黑体" w:eastAsia="黑体"/>
                <w:szCs w:val="21"/>
              </w:rPr>
              <w:t>.00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1</w:t>
            </w:r>
            <w:r>
              <w:rPr>
                <w:rFonts w:ascii="黑体" w:hAnsi="黑体" w:eastAsia="黑体"/>
                <w:bCs/>
                <w:szCs w:val="21"/>
              </w:rPr>
              <w:t>4</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输血加温仪</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台</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4.2</w:t>
            </w:r>
            <w:r>
              <w:rPr>
                <w:rFonts w:ascii="黑体" w:hAnsi="黑体" w:eastAsia="黑体"/>
                <w:szCs w:val="21"/>
              </w:rPr>
              <w:t>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12.6</w:t>
            </w:r>
            <w:r>
              <w:rPr>
                <w:rFonts w:ascii="黑体" w:hAnsi="黑体" w:eastAsia="黑体"/>
                <w:szCs w:val="21"/>
              </w:rPr>
              <w:t>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1</w:t>
            </w:r>
            <w:r>
              <w:rPr>
                <w:rFonts w:ascii="黑体" w:hAnsi="黑体" w:eastAsia="黑体"/>
                <w:bCs/>
                <w:szCs w:val="21"/>
              </w:rPr>
              <w:t>5</w:t>
            </w:r>
          </w:p>
        </w:tc>
        <w:tc>
          <w:tcPr>
            <w:tcW w:w="1359"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空气波压力治疗仪</w:t>
            </w:r>
          </w:p>
        </w:tc>
        <w:tc>
          <w:tcPr>
            <w:tcW w:w="415"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台</w:t>
            </w:r>
          </w:p>
        </w:tc>
        <w:tc>
          <w:tcPr>
            <w:tcW w:w="387"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5</w:t>
            </w:r>
          </w:p>
        </w:tc>
        <w:tc>
          <w:tcPr>
            <w:tcW w:w="848" w:type="pct"/>
            <w:vAlign w:val="center"/>
          </w:tcPr>
          <w:p>
            <w:pPr>
              <w:spacing w:line="360" w:lineRule="auto"/>
              <w:contextualSpacing/>
              <w:jc w:val="center"/>
              <w:rPr>
                <w:rFonts w:ascii="黑体" w:hAnsi="黑体" w:eastAsia="黑体"/>
                <w:bCs/>
                <w:szCs w:val="21"/>
              </w:rPr>
            </w:pPr>
            <w:r>
              <w:rPr>
                <w:rFonts w:hint="eastAsia" w:ascii="黑体" w:hAnsi="黑体" w:eastAsia="黑体"/>
                <w:szCs w:val="21"/>
              </w:rPr>
              <w:t>3.8</w:t>
            </w:r>
            <w:r>
              <w:rPr>
                <w:rFonts w:ascii="黑体" w:hAnsi="黑体" w:eastAsia="黑体"/>
                <w:szCs w:val="21"/>
              </w:rPr>
              <w:t>0</w:t>
            </w:r>
          </w:p>
        </w:tc>
        <w:tc>
          <w:tcPr>
            <w:tcW w:w="848" w:type="pct"/>
            <w:vAlign w:val="center"/>
          </w:tcPr>
          <w:p>
            <w:pPr>
              <w:spacing w:line="360" w:lineRule="auto"/>
              <w:contextualSpacing/>
              <w:jc w:val="center"/>
              <w:rPr>
                <w:rFonts w:ascii="黑体" w:hAnsi="黑体" w:eastAsia="黑体"/>
                <w:szCs w:val="21"/>
              </w:rPr>
            </w:pPr>
            <w:r>
              <w:rPr>
                <w:rFonts w:hint="eastAsia" w:ascii="黑体" w:hAnsi="黑体" w:eastAsia="黑体"/>
                <w:szCs w:val="21"/>
              </w:rPr>
              <w:t>19</w:t>
            </w:r>
            <w:r>
              <w:rPr>
                <w:rFonts w:ascii="黑体" w:hAnsi="黑体" w:eastAsia="黑体"/>
                <w:szCs w:val="21"/>
              </w:rPr>
              <w:t>.00</w:t>
            </w:r>
          </w:p>
        </w:tc>
        <w:tc>
          <w:tcPr>
            <w:tcW w:w="843" w:type="pct"/>
            <w:vAlign w:val="center"/>
          </w:tcPr>
          <w:p>
            <w:pPr>
              <w:spacing w:line="360" w:lineRule="auto"/>
              <w:contextualSpacing/>
              <w:jc w:val="center"/>
              <w:rPr>
                <w:rFonts w:ascii="黑体" w:hAnsi="黑体" w:eastAsia="黑体"/>
                <w:bCs/>
                <w:szCs w:val="21"/>
              </w:rPr>
            </w:pPr>
            <w:r>
              <w:rPr>
                <w:rFonts w:hint="eastAsia" w:ascii="黑体" w:hAnsi="黑体" w:eastAsia="黑体"/>
                <w:bCs/>
                <w:szCs w:val="21"/>
              </w:rPr>
              <w:t>否</w:t>
            </w:r>
          </w:p>
        </w:tc>
      </w:tr>
    </w:tbl>
    <w:p>
      <w:pPr>
        <w:pStyle w:val="30"/>
        <w:numPr>
          <w:ilvl w:val="0"/>
          <w:numId w:val="9"/>
        </w:numPr>
        <w:spacing w:before="312" w:beforeLines="100" w:line="360" w:lineRule="auto"/>
        <w:ind w:left="499" w:hanging="499" w:firstLineChars="0"/>
        <w:contextualSpacing/>
        <w:rPr>
          <w:rFonts w:ascii="黑体" w:hAnsi="黑体" w:eastAsia="黑体"/>
          <w:b/>
          <w:szCs w:val="21"/>
        </w:rPr>
      </w:pPr>
      <w:r>
        <w:rPr>
          <w:rFonts w:ascii="黑体" w:hAnsi="黑体" w:eastAsia="黑体"/>
          <w:b/>
          <w:szCs w:val="21"/>
        </w:rPr>
        <w:t>商务要求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黑体" w:hAnsi="黑体" w:eastAsia="黑体"/>
                <w:szCs w:val="21"/>
              </w:rPr>
            </w:pPr>
            <w:r>
              <w:rPr>
                <w:rFonts w:ascii="黑体" w:hAnsi="黑体" w:eastAsia="黑体"/>
                <w:szCs w:val="21"/>
              </w:rPr>
              <w:t>标的提供的时间</w:t>
            </w:r>
          </w:p>
        </w:tc>
        <w:tc>
          <w:tcPr>
            <w:tcW w:w="6468" w:type="dxa"/>
          </w:tcPr>
          <w:p>
            <w:pPr>
              <w:spacing w:line="360" w:lineRule="auto"/>
              <w:rPr>
                <w:rFonts w:ascii="黑体" w:hAnsi="黑体" w:eastAsia="黑体"/>
                <w:szCs w:val="21"/>
              </w:rPr>
            </w:pPr>
            <w:r>
              <w:rPr>
                <w:rFonts w:ascii="黑体" w:hAnsi="黑体" w:eastAsia="黑体"/>
                <w:szCs w:val="21"/>
              </w:rPr>
              <w:t>自合同签订后</w:t>
            </w:r>
            <w:r>
              <w:rPr>
                <w:rFonts w:hint="eastAsia" w:ascii="黑体" w:hAnsi="黑体" w:eastAsia="黑体"/>
                <w:szCs w:val="21"/>
              </w:rPr>
              <w:t>3</w:t>
            </w:r>
            <w:r>
              <w:rPr>
                <w:rFonts w:ascii="黑体" w:hAnsi="黑体" w:eastAsia="黑体"/>
                <w:szCs w:val="21"/>
              </w:rPr>
              <w:t>0天内交货，并负责货物的安装、验收并交付采购人使用。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黑体" w:hAnsi="黑体" w:eastAsia="黑体"/>
                <w:szCs w:val="21"/>
              </w:rPr>
            </w:pPr>
            <w:r>
              <w:rPr>
                <w:rFonts w:ascii="黑体" w:hAnsi="黑体" w:eastAsia="黑体"/>
                <w:szCs w:val="21"/>
              </w:rPr>
              <w:t>标的提供的地点</w:t>
            </w:r>
          </w:p>
        </w:tc>
        <w:tc>
          <w:tcPr>
            <w:tcW w:w="6468" w:type="dxa"/>
          </w:tcPr>
          <w:p>
            <w:pPr>
              <w:spacing w:line="360" w:lineRule="auto"/>
              <w:rPr>
                <w:rFonts w:ascii="黑体" w:hAnsi="黑体" w:eastAsia="黑体"/>
                <w:szCs w:val="21"/>
              </w:rPr>
            </w:pPr>
            <w:r>
              <w:rPr>
                <w:rFonts w:ascii="黑体" w:hAnsi="黑体" w:eastAsia="黑体"/>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黑体" w:hAnsi="黑体" w:eastAsia="黑体"/>
                <w:szCs w:val="21"/>
              </w:rPr>
            </w:pPr>
            <w:r>
              <w:rPr>
                <w:rFonts w:ascii="黑体" w:hAnsi="黑体" w:eastAsia="黑体"/>
                <w:szCs w:val="21"/>
              </w:rPr>
              <w:t>投标有效期</w:t>
            </w:r>
          </w:p>
        </w:tc>
        <w:tc>
          <w:tcPr>
            <w:tcW w:w="6468" w:type="dxa"/>
          </w:tcPr>
          <w:p>
            <w:pPr>
              <w:spacing w:line="360" w:lineRule="auto"/>
              <w:rPr>
                <w:rFonts w:ascii="黑体" w:hAnsi="黑体" w:eastAsia="黑体"/>
                <w:szCs w:val="21"/>
              </w:rPr>
            </w:pPr>
            <w:r>
              <w:rPr>
                <w:rFonts w:ascii="黑体" w:hAnsi="黑体" w:eastAsia="黑体"/>
                <w:szCs w:val="21"/>
              </w:rPr>
              <w:t>从提交投标（响应）文件的截止之日起90日历天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黑体" w:hAnsi="黑体" w:eastAsia="黑体"/>
                <w:szCs w:val="21"/>
              </w:rPr>
            </w:pPr>
            <w:r>
              <w:rPr>
                <w:rFonts w:hint="eastAsia" w:ascii="黑体" w:hAnsi="黑体" w:eastAsia="黑体"/>
                <w:szCs w:val="21"/>
              </w:rPr>
              <w:t>保修期</w:t>
            </w:r>
          </w:p>
        </w:tc>
        <w:tc>
          <w:tcPr>
            <w:tcW w:w="6468" w:type="dxa"/>
          </w:tcPr>
          <w:p>
            <w:pPr>
              <w:spacing w:line="360" w:lineRule="auto"/>
              <w:rPr>
                <w:rFonts w:ascii="黑体" w:hAnsi="黑体" w:eastAsia="黑体"/>
                <w:szCs w:val="21"/>
              </w:rPr>
            </w:pPr>
            <w:r>
              <w:rPr>
                <w:rFonts w:hint="eastAsia" w:ascii="黑体" w:hAnsi="黑体" w:eastAsia="黑体"/>
                <w:szCs w:val="21"/>
              </w:rPr>
              <w:t>保修期不少于叁年（整机全保）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黑体" w:hAnsi="黑体" w:eastAsia="黑体"/>
                <w:szCs w:val="21"/>
              </w:rPr>
            </w:pPr>
            <w:r>
              <w:rPr>
                <w:rFonts w:ascii="黑体" w:hAnsi="黑体" w:eastAsia="黑体"/>
                <w:szCs w:val="21"/>
              </w:rPr>
              <w:t>付款方式</w:t>
            </w:r>
          </w:p>
        </w:tc>
        <w:tc>
          <w:tcPr>
            <w:tcW w:w="6468" w:type="dxa"/>
          </w:tcPr>
          <w:p>
            <w:pPr>
              <w:spacing w:line="360" w:lineRule="auto"/>
              <w:rPr>
                <w:rFonts w:ascii="黑体" w:hAnsi="黑体" w:eastAsia="黑体"/>
                <w:szCs w:val="21"/>
              </w:rPr>
            </w:pPr>
            <w:r>
              <w:rPr>
                <w:rFonts w:ascii="黑体" w:hAnsi="黑体" w:eastAsia="黑体"/>
                <w:szCs w:val="21"/>
              </w:rPr>
              <w:t>1期：支付比例50%，1、签订合同之日起30天内支付第一期款项为合同金额的50%</w:t>
            </w:r>
          </w:p>
          <w:p>
            <w:pPr>
              <w:spacing w:line="360" w:lineRule="auto"/>
              <w:rPr>
                <w:rFonts w:ascii="黑体" w:hAnsi="黑体" w:eastAsia="黑体"/>
                <w:szCs w:val="21"/>
              </w:rPr>
            </w:pPr>
            <w:r>
              <w:rPr>
                <w:rFonts w:ascii="黑体" w:hAnsi="黑体" w:eastAsia="黑体"/>
                <w:szCs w:val="21"/>
              </w:rPr>
              <w:t xml:space="preserve">2期：支付比例50%，2、安装验收合格后，30天内支付第二期款项为合同金额的50%。 </w:t>
            </w:r>
          </w:p>
          <w:p>
            <w:pPr>
              <w:spacing w:line="360" w:lineRule="auto"/>
              <w:rPr>
                <w:rFonts w:ascii="黑体" w:hAnsi="黑体" w:eastAsia="黑体"/>
                <w:szCs w:val="21"/>
              </w:rPr>
            </w:pPr>
            <w:r>
              <w:rPr>
                <w:rFonts w:ascii="黑体" w:hAnsi="黑体" w:eastAsia="黑体"/>
                <w:szCs w:val="21"/>
              </w:rPr>
              <w:t>3、中标人凭以下资料与采购人结算： （1）合同； （2）中标人开具的全额正式发票（如中标人未按采购人要求开具发票，付款期限相应顺延）； （3）经双方签名确认后的验收合格报告。 4、中标人在保修期内如有违约行为的，经双方协商进行赔偿。双方协商未成，中标人须根据第三方评估的损失结果，向采购人进行赔偿。 5、甲方的付款能力与时间决定于政府财政，如因财政原因未能履行付款义务，乙方同意甲方付款义务自条件具备时履行，甲方不负违约责任。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黑体" w:hAnsi="黑体" w:eastAsia="黑体"/>
                <w:szCs w:val="21"/>
              </w:rPr>
            </w:pPr>
            <w:r>
              <w:rPr>
                <w:rFonts w:ascii="黑体" w:hAnsi="黑体" w:eastAsia="黑体"/>
                <w:szCs w:val="21"/>
              </w:rPr>
              <w:t>验收要求</w:t>
            </w:r>
          </w:p>
        </w:tc>
        <w:tc>
          <w:tcPr>
            <w:tcW w:w="6468" w:type="dxa"/>
          </w:tcPr>
          <w:p>
            <w:pPr>
              <w:spacing w:line="360" w:lineRule="auto"/>
              <w:rPr>
                <w:rFonts w:ascii="黑体" w:hAnsi="黑体" w:eastAsia="黑体"/>
                <w:szCs w:val="21"/>
              </w:rPr>
            </w:pPr>
            <w:r>
              <w:rPr>
                <w:rFonts w:ascii="黑体" w:hAnsi="黑体" w:eastAsia="黑体"/>
                <w:szCs w:val="21"/>
              </w:rPr>
              <w:t>1、采购人与中标人双方按用户需求书及有关规定验收。</w:t>
            </w:r>
          </w:p>
          <w:p>
            <w:pPr>
              <w:spacing w:line="360" w:lineRule="auto"/>
              <w:rPr>
                <w:rFonts w:ascii="黑体" w:hAnsi="黑体" w:eastAsia="黑体"/>
                <w:szCs w:val="21"/>
              </w:rPr>
            </w:pPr>
            <w:r>
              <w:rPr>
                <w:rFonts w:ascii="黑体" w:hAnsi="黑体" w:eastAsia="黑体"/>
                <w:szCs w:val="21"/>
              </w:rPr>
              <w:t>2、因货物的质量问题发生争议，由广东省或东莞市质量技术监督部门进行质量鉴定。货物符合质量标准的，鉴定费由采购人承担；货物与不符合质量标准的，鉴定费由中标人承担。</w:t>
            </w:r>
          </w:p>
          <w:p>
            <w:pPr>
              <w:spacing w:line="360" w:lineRule="auto"/>
              <w:rPr>
                <w:rFonts w:ascii="黑体" w:hAnsi="黑体" w:eastAsia="黑体"/>
                <w:szCs w:val="21"/>
              </w:rPr>
            </w:pPr>
            <w:r>
              <w:rPr>
                <w:rFonts w:ascii="黑体" w:hAnsi="黑体" w:eastAsia="黑体"/>
                <w:szCs w:val="21"/>
              </w:rPr>
              <w:t>3、设备的验收：</w:t>
            </w:r>
          </w:p>
          <w:p>
            <w:pPr>
              <w:spacing w:line="360" w:lineRule="auto"/>
              <w:rPr>
                <w:rFonts w:ascii="黑体" w:hAnsi="黑体" w:eastAsia="黑体"/>
                <w:szCs w:val="21"/>
              </w:rPr>
            </w:pPr>
            <w:r>
              <w:rPr>
                <w:rFonts w:ascii="黑体" w:hAnsi="黑体" w:eastAsia="黑体"/>
                <w:szCs w:val="21"/>
              </w:rPr>
              <w:t>1）设备安装调试，试运行10个工作日内组织验收，验收应在采购人（或采购人指定的单位）和中标人双方共同参加下进行；</w:t>
            </w:r>
          </w:p>
          <w:p>
            <w:pPr>
              <w:spacing w:line="360" w:lineRule="auto"/>
              <w:rPr>
                <w:rFonts w:ascii="黑体" w:hAnsi="黑体" w:eastAsia="黑体"/>
                <w:szCs w:val="21"/>
              </w:rPr>
            </w:pPr>
            <w:r>
              <w:rPr>
                <w:rFonts w:ascii="黑体" w:hAnsi="黑体" w:eastAsia="黑体"/>
                <w:szCs w:val="21"/>
              </w:rPr>
              <w:t>2）验收按国家有关的规定、规范进行。验收时如发现所交付的设备有短装、次品、损坏或其它不符合采购需求之情形者，采购人应做出详尽的现场记录，或由采购人（或采购人指定的单位）和中标人双方签署备忘录。此现场记录或备忘录可用作补充、缺失和更换损坏部件的有效证据。由此产生的有关费用由中标人承担。</w:t>
            </w:r>
          </w:p>
          <w:p>
            <w:pPr>
              <w:spacing w:line="360" w:lineRule="auto"/>
              <w:rPr>
                <w:rFonts w:ascii="黑体" w:hAnsi="黑体" w:eastAsia="黑体"/>
                <w:szCs w:val="21"/>
              </w:rPr>
            </w:pPr>
            <w:r>
              <w:rPr>
                <w:rFonts w:ascii="黑体" w:hAnsi="黑体" w:eastAsia="黑体"/>
                <w:szCs w:val="21"/>
              </w:rPr>
              <w:t>3）如果设备运输和安装调试过程中因事故造成货物短缺、损坏，中标人应及时安排换货，以保证设备安装调试的成功完成。换货的相关费用由中标人承担；</w:t>
            </w:r>
          </w:p>
          <w:p>
            <w:pPr>
              <w:spacing w:line="360" w:lineRule="auto"/>
              <w:rPr>
                <w:rFonts w:ascii="黑体" w:hAnsi="黑体" w:eastAsia="黑体"/>
                <w:szCs w:val="21"/>
              </w:rPr>
            </w:pPr>
            <w:r>
              <w:rPr>
                <w:rFonts w:ascii="黑体" w:hAnsi="黑体" w:eastAsia="黑体"/>
                <w:szCs w:val="21"/>
              </w:rPr>
              <w:t>4）国内产品或合资厂产品必须具备出厂合格证。</w:t>
            </w:r>
          </w:p>
          <w:p>
            <w:pPr>
              <w:spacing w:line="360" w:lineRule="auto"/>
              <w:rPr>
                <w:rFonts w:ascii="黑体" w:hAnsi="黑体" w:eastAsia="黑体"/>
                <w:szCs w:val="21"/>
              </w:rPr>
            </w:pPr>
            <w:r>
              <w:rPr>
                <w:rFonts w:ascii="黑体" w:hAnsi="黑体" w:eastAsia="黑体"/>
                <w:szCs w:val="21"/>
              </w:rPr>
              <w:t>5）验收完毕设备试运行 10 个工作日能正常运转为验收合格，方可开始计算保修期起始日，如在试运行期间出现故障，由故障修复后试运行10个工作日能正常运转起计算保修期起始日，以此类推。</w:t>
            </w:r>
          </w:p>
          <w:p>
            <w:pPr>
              <w:spacing w:line="360" w:lineRule="auto"/>
              <w:rPr>
                <w:rFonts w:ascii="黑体" w:hAnsi="黑体" w:eastAsia="黑体"/>
                <w:szCs w:val="21"/>
              </w:rPr>
            </w:pPr>
            <w:r>
              <w:rPr>
                <w:rFonts w:ascii="黑体" w:hAnsi="黑体" w:eastAsia="黑体"/>
                <w:szCs w:val="21"/>
              </w:rPr>
              <w:t>6）设备在保修期内如因故障停机30天仍未能修复的，待设备修复后能正常运行10个工作日起重新计算保修期，以此类推。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黑体" w:hAnsi="黑体" w:eastAsia="黑体"/>
                <w:szCs w:val="21"/>
              </w:rPr>
            </w:pPr>
            <w:r>
              <w:rPr>
                <w:rFonts w:ascii="黑体" w:hAnsi="黑体" w:eastAsia="黑体"/>
                <w:szCs w:val="21"/>
              </w:rPr>
              <w:t>履约保证金</w:t>
            </w:r>
          </w:p>
        </w:tc>
        <w:tc>
          <w:tcPr>
            <w:tcW w:w="6468" w:type="dxa"/>
          </w:tcPr>
          <w:p>
            <w:pPr>
              <w:spacing w:line="360" w:lineRule="auto"/>
              <w:rPr>
                <w:rFonts w:ascii="黑体" w:hAnsi="黑体" w:eastAsia="黑体"/>
                <w:szCs w:val="21"/>
              </w:rPr>
            </w:pPr>
            <w:r>
              <w:rPr>
                <w:rFonts w:ascii="黑体" w:hAnsi="黑体" w:eastAsia="黑体"/>
                <w:szCs w:val="21"/>
              </w:rPr>
              <w:t>收取比例：5%</w:t>
            </w:r>
            <w:r>
              <w:rPr>
                <w:rFonts w:hint="eastAsia" w:ascii="黑体" w:hAnsi="黑体" w:eastAsia="黑体"/>
                <w:szCs w:val="21"/>
              </w:rPr>
              <w:t>。</w:t>
            </w:r>
          </w:p>
          <w:p>
            <w:pPr>
              <w:spacing w:line="360" w:lineRule="auto"/>
              <w:rPr>
                <w:rFonts w:ascii="黑体" w:hAnsi="黑体" w:eastAsia="黑体"/>
                <w:szCs w:val="21"/>
              </w:rPr>
            </w:pPr>
            <w:r>
              <w:rPr>
                <w:rFonts w:ascii="黑体" w:hAnsi="黑体" w:eastAsia="黑体"/>
                <w:szCs w:val="21"/>
              </w:rPr>
              <w:t>说明：履约保证金可以采用下列任何一种形式：</w:t>
            </w:r>
          </w:p>
          <w:p>
            <w:pPr>
              <w:spacing w:line="360" w:lineRule="auto"/>
              <w:rPr>
                <w:rFonts w:ascii="黑体" w:hAnsi="黑体" w:eastAsia="黑体"/>
                <w:szCs w:val="21"/>
              </w:rPr>
            </w:pPr>
            <w:r>
              <w:rPr>
                <w:rFonts w:ascii="黑体" w:hAnsi="黑体" w:eastAsia="黑体"/>
                <w:szCs w:val="21"/>
              </w:rPr>
              <w:t>1、履约保函：</w:t>
            </w:r>
          </w:p>
          <w:p>
            <w:pPr>
              <w:spacing w:line="360" w:lineRule="auto"/>
              <w:rPr>
                <w:rFonts w:ascii="黑体" w:hAnsi="黑体" w:eastAsia="黑体"/>
                <w:szCs w:val="21"/>
              </w:rPr>
            </w:pPr>
            <w:r>
              <w:rPr>
                <w:rFonts w:ascii="黑体" w:hAnsi="黑体" w:eastAsia="黑体"/>
                <w:szCs w:val="21"/>
              </w:rPr>
              <w:t>1)履约保函应是合法经营的银行机构出具的银行保函，非东莞市范围内银行出具的履约保函必须附上当地公证部门出具的公证文件。履约保函的内容，应符合招标文件、投标响应文件和采购合同的要求。履约保函应在采购合同有效期满后28天内继续有效。</w:t>
            </w:r>
          </w:p>
          <w:p>
            <w:pPr>
              <w:spacing w:line="360" w:lineRule="auto"/>
              <w:rPr>
                <w:rFonts w:ascii="黑体" w:hAnsi="黑体" w:eastAsia="黑体"/>
                <w:szCs w:val="21"/>
              </w:rPr>
            </w:pPr>
            <w:r>
              <w:rPr>
                <w:rFonts w:ascii="黑体" w:hAnsi="黑体" w:eastAsia="黑体"/>
                <w:szCs w:val="21"/>
              </w:rPr>
              <w:t>2)政府采购信用担保：投标人可以以履约担保函的形式交纳履约保证金，依据广东省财政厅文件《关于进一步推进政府采购信用担保试点工作的通知》（粤财采购【2013】15号）和补充通知的文件精神：</w:t>
            </w:r>
          </w:p>
          <w:p>
            <w:pPr>
              <w:spacing w:line="360" w:lineRule="auto"/>
              <w:rPr>
                <w:rFonts w:ascii="黑体" w:hAnsi="黑体" w:eastAsia="黑体"/>
                <w:szCs w:val="21"/>
              </w:rPr>
            </w:pPr>
            <w:r>
              <w:rPr>
                <w:rFonts w:ascii="黑体" w:hAnsi="黑体" w:eastAsia="黑体"/>
                <w:szCs w:val="21"/>
              </w:rPr>
              <w:t>3）为进一步发挥政府采购政策功能作用，支持和促进中小企业发展，有效缓解企业资金短缺压力，投标人可以以履约担保函的形式交纳履约保证金，或按照《中华人民共和国政府采购法》及其实施条例的有关规定与金融机构进行融资贷款或信用担保。</w:t>
            </w:r>
          </w:p>
          <w:p>
            <w:pPr>
              <w:spacing w:line="360" w:lineRule="auto"/>
              <w:rPr>
                <w:rFonts w:ascii="黑体" w:hAnsi="黑体" w:eastAsia="黑体"/>
                <w:szCs w:val="21"/>
              </w:rPr>
            </w:pPr>
            <w:r>
              <w:rPr>
                <w:rFonts w:ascii="黑体" w:hAnsi="黑体" w:eastAsia="黑体"/>
                <w:szCs w:val="21"/>
              </w:rPr>
              <w:t>2、电汇、银行汇票、支票方式等银行转帐方式（不接受现金方式）。 履约保证金账号：</w:t>
            </w:r>
          </w:p>
          <w:p>
            <w:pPr>
              <w:spacing w:line="360" w:lineRule="auto"/>
              <w:rPr>
                <w:rFonts w:ascii="黑体" w:hAnsi="黑体" w:eastAsia="黑体"/>
                <w:szCs w:val="21"/>
              </w:rPr>
            </w:pPr>
            <w:r>
              <w:rPr>
                <w:rFonts w:ascii="黑体" w:hAnsi="黑体" w:eastAsia="黑体"/>
                <w:szCs w:val="21"/>
              </w:rPr>
              <w:t>开户名称：东莞市中医院</w:t>
            </w:r>
          </w:p>
          <w:p>
            <w:pPr>
              <w:spacing w:line="360" w:lineRule="auto"/>
              <w:rPr>
                <w:rFonts w:ascii="黑体" w:hAnsi="黑体" w:eastAsia="黑体"/>
                <w:szCs w:val="21"/>
              </w:rPr>
            </w:pPr>
            <w:r>
              <w:rPr>
                <w:rFonts w:ascii="黑体" w:hAnsi="黑体" w:eastAsia="黑体"/>
                <w:szCs w:val="21"/>
              </w:rPr>
              <w:t>开户银行：东莞银行中心区东湖支行</w:t>
            </w:r>
          </w:p>
          <w:p>
            <w:pPr>
              <w:spacing w:line="360" w:lineRule="auto"/>
              <w:rPr>
                <w:rFonts w:ascii="黑体" w:hAnsi="黑体" w:eastAsia="黑体"/>
                <w:szCs w:val="21"/>
              </w:rPr>
            </w:pPr>
            <w:r>
              <w:rPr>
                <w:rFonts w:ascii="黑体" w:hAnsi="黑体" w:eastAsia="黑体"/>
                <w:szCs w:val="21"/>
              </w:rPr>
              <w:t xml:space="preserve">账号：500088335709016 </w:t>
            </w:r>
          </w:p>
          <w:p>
            <w:pPr>
              <w:spacing w:line="360" w:lineRule="auto"/>
              <w:rPr>
                <w:rFonts w:ascii="黑体" w:hAnsi="黑体" w:eastAsia="黑体"/>
                <w:szCs w:val="21"/>
              </w:rPr>
            </w:pPr>
            <w:r>
              <w:rPr>
                <w:rFonts w:ascii="黑体" w:hAnsi="黑体" w:eastAsia="黑体"/>
                <w:szCs w:val="21"/>
              </w:rPr>
              <w:t>履约保证金的退还条件： 履约保证金在验收合格后，一个月内无息退还。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黑体" w:hAnsi="黑体" w:eastAsia="黑体"/>
                <w:szCs w:val="21"/>
              </w:rPr>
            </w:pPr>
            <w:r>
              <w:rPr>
                <w:rFonts w:ascii="黑体" w:hAnsi="黑体" w:eastAsia="黑体"/>
                <w:szCs w:val="21"/>
              </w:rPr>
              <w:t>其他</w:t>
            </w:r>
          </w:p>
        </w:tc>
        <w:tc>
          <w:tcPr>
            <w:tcW w:w="6468" w:type="dxa"/>
          </w:tcPr>
          <w:p>
            <w:pPr>
              <w:spacing w:line="360" w:lineRule="auto"/>
              <w:rPr>
                <w:rFonts w:ascii="黑体" w:hAnsi="黑体" w:eastAsia="黑体"/>
                <w:szCs w:val="21"/>
              </w:rPr>
            </w:pPr>
            <w:r>
              <w:rPr>
                <w:rFonts w:ascii="黑体" w:hAnsi="黑体" w:eastAsia="黑体"/>
                <w:szCs w:val="21"/>
              </w:rPr>
              <w:t>1、费用说明:合同总价包括了货物及其附件的设计、采购、制造、检测、试验、运输、保险、现场仓储、税费（含进口关税、增值税等）以及安装调试、软件、验收、培训、技术服务（包括技术资料、图纸的提供）、保修期保障等相关服务的全部费用。</w:t>
            </w:r>
          </w:p>
          <w:p>
            <w:pPr>
              <w:spacing w:line="360" w:lineRule="auto"/>
              <w:rPr>
                <w:rFonts w:ascii="黑体" w:hAnsi="黑体" w:eastAsia="黑体"/>
                <w:szCs w:val="21"/>
              </w:rPr>
            </w:pPr>
            <w:r>
              <w:rPr>
                <w:rFonts w:ascii="黑体" w:hAnsi="黑体" w:eastAsia="黑体"/>
                <w:szCs w:val="21"/>
              </w:rPr>
              <w:t>2、交付要求:</w:t>
            </w:r>
          </w:p>
          <w:p>
            <w:pPr>
              <w:spacing w:line="360" w:lineRule="auto"/>
              <w:rPr>
                <w:rFonts w:ascii="黑体" w:hAnsi="黑体" w:eastAsia="黑体"/>
                <w:szCs w:val="21"/>
              </w:rPr>
            </w:pPr>
            <w:r>
              <w:rPr>
                <w:rFonts w:ascii="黑体" w:hAnsi="黑体" w:eastAsia="黑体"/>
                <w:szCs w:val="21"/>
              </w:rPr>
              <w:t>（1）货物（含零部件、配件、随机工具等）应当为全新（原装）未经拆封的，且表面无划伤、无碰撞。</w:t>
            </w:r>
          </w:p>
          <w:p>
            <w:pPr>
              <w:spacing w:line="360" w:lineRule="auto"/>
              <w:rPr>
                <w:rFonts w:ascii="黑体" w:hAnsi="黑体" w:eastAsia="黑体"/>
                <w:szCs w:val="21"/>
              </w:rPr>
            </w:pPr>
            <w:r>
              <w:rPr>
                <w:rFonts w:ascii="黑体" w:hAnsi="黑体" w:eastAsia="黑体"/>
                <w:szCs w:val="21"/>
              </w:rPr>
              <w:t>（2）交付标准：货物及服务应符合采购需求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360" w:lineRule="auto"/>
              <w:rPr>
                <w:rFonts w:ascii="黑体" w:hAnsi="黑体" w:eastAsia="黑体"/>
                <w:szCs w:val="21"/>
              </w:rPr>
            </w:pPr>
            <w:r>
              <w:rPr>
                <w:rFonts w:ascii="黑体" w:hAnsi="黑体" w:eastAsia="黑体"/>
                <w:szCs w:val="21"/>
              </w:rPr>
              <w:t>（3）进口产品必须具备原产地证明和商检局的检验证明及合法进货渠道证明。</w:t>
            </w:r>
          </w:p>
          <w:p>
            <w:pPr>
              <w:spacing w:line="360" w:lineRule="auto"/>
              <w:rPr>
                <w:rFonts w:ascii="黑体" w:hAnsi="黑体" w:eastAsia="黑体"/>
                <w:szCs w:val="21"/>
              </w:rPr>
            </w:pPr>
            <w:r>
              <w:rPr>
                <w:rFonts w:ascii="黑体" w:hAnsi="黑体" w:eastAsia="黑体"/>
                <w:szCs w:val="21"/>
              </w:rPr>
              <w:t>（4）国内产品或合资厂的产品必须具备出厂合格证。</w:t>
            </w:r>
          </w:p>
          <w:p>
            <w:pPr>
              <w:spacing w:line="360" w:lineRule="auto"/>
              <w:rPr>
                <w:rFonts w:ascii="黑体" w:hAnsi="黑体" w:eastAsia="黑体"/>
                <w:szCs w:val="21"/>
              </w:rPr>
            </w:pPr>
            <w:r>
              <w:rPr>
                <w:rFonts w:ascii="黑体" w:hAnsi="黑体" w:eastAsia="黑体"/>
                <w:szCs w:val="21"/>
              </w:rPr>
              <w:t>（5）中标人应将所供货物的用户手册、保修手册、有关资料及配件、随机工具等交付给采购人。</w:t>
            </w:r>
          </w:p>
          <w:p>
            <w:pPr>
              <w:spacing w:line="360" w:lineRule="auto"/>
              <w:rPr>
                <w:rFonts w:ascii="黑体" w:hAnsi="黑体" w:eastAsia="黑体"/>
                <w:szCs w:val="21"/>
              </w:rPr>
            </w:pPr>
            <w:r>
              <w:rPr>
                <w:rFonts w:ascii="黑体" w:hAnsi="黑体" w:eastAsia="黑体"/>
                <w:szCs w:val="21"/>
              </w:rPr>
              <w:t>3、包装要求:</w:t>
            </w:r>
          </w:p>
          <w:p>
            <w:pPr>
              <w:spacing w:line="360" w:lineRule="auto"/>
              <w:rPr>
                <w:rFonts w:ascii="黑体" w:hAnsi="黑体" w:eastAsia="黑体"/>
                <w:szCs w:val="21"/>
              </w:rPr>
            </w:pPr>
            <w:r>
              <w:rPr>
                <w:rFonts w:ascii="黑体" w:hAnsi="黑体" w:eastAsia="黑体"/>
                <w:szCs w:val="21"/>
              </w:rPr>
              <w:t>（1）中标人所供货物应为制造商原装出厂，包装箱号与设备出厂批号须一致。</w:t>
            </w:r>
          </w:p>
          <w:p>
            <w:pPr>
              <w:spacing w:line="360" w:lineRule="auto"/>
              <w:rPr>
                <w:rFonts w:ascii="黑体" w:hAnsi="黑体" w:eastAsia="黑体"/>
                <w:szCs w:val="21"/>
              </w:rPr>
            </w:pPr>
            <w:r>
              <w:rPr>
                <w:rFonts w:ascii="黑体" w:hAnsi="黑体" w:eastAsia="黑体"/>
                <w:szCs w:val="21"/>
              </w:rPr>
              <w:t>（2）中标人应提供货物运至项目规定的最终目的地所需要的包装，以防止货物在转运中损坏或变质。这类包装应采取全新、防潮、防晒、防锈、防腐蚀、防震动及防止其它损坏的必要保护措施，从而保护货物能够经受多次搬运、装卸及远洋和内陆的长途运输。中标人应承担由于其包装或其防护措施不妥而引起货物锈蚀、损坏和丢失的任何损失的责任或费用。</w:t>
            </w:r>
          </w:p>
          <w:p>
            <w:pPr>
              <w:spacing w:line="360" w:lineRule="auto"/>
              <w:rPr>
                <w:rFonts w:ascii="黑体" w:hAnsi="黑体" w:eastAsia="黑体"/>
                <w:szCs w:val="21"/>
              </w:rPr>
            </w:pPr>
            <w:r>
              <w:rPr>
                <w:rFonts w:ascii="黑体" w:hAnsi="黑体" w:eastAsia="黑体"/>
                <w:szCs w:val="21"/>
              </w:rPr>
              <w:t>4、安装与调试:</w:t>
            </w:r>
          </w:p>
          <w:p>
            <w:pPr>
              <w:spacing w:line="360" w:lineRule="auto"/>
              <w:rPr>
                <w:rFonts w:ascii="黑体" w:hAnsi="黑体" w:eastAsia="黑体"/>
                <w:szCs w:val="21"/>
              </w:rPr>
            </w:pPr>
            <w:r>
              <w:rPr>
                <w:rFonts w:ascii="黑体" w:hAnsi="黑体" w:eastAsia="黑体"/>
                <w:szCs w:val="21"/>
              </w:rPr>
              <w:t>（1）中标人必须在交货的同时，向采购人提供符合技术规格、技术规范的要求进行安装调试，并将设备调试到最佳状态。未经采购人书面同意，不得更换所供的货物。</w:t>
            </w:r>
          </w:p>
          <w:p>
            <w:pPr>
              <w:spacing w:line="360" w:lineRule="auto"/>
              <w:rPr>
                <w:rFonts w:ascii="黑体" w:hAnsi="黑体" w:eastAsia="黑体"/>
                <w:szCs w:val="21"/>
              </w:rPr>
            </w:pPr>
            <w:r>
              <w:rPr>
                <w:rFonts w:ascii="黑体" w:hAnsi="黑体" w:eastAsia="黑体"/>
                <w:szCs w:val="21"/>
              </w:rPr>
              <w:t>（2）从安装之日起10天交付使用，包含设备的运输（包括设备上楼）、安装及办理设备使用登记证。</w:t>
            </w:r>
          </w:p>
          <w:p>
            <w:pPr>
              <w:spacing w:line="360" w:lineRule="auto"/>
              <w:rPr>
                <w:rFonts w:ascii="黑体" w:hAnsi="黑体" w:eastAsia="黑体"/>
                <w:szCs w:val="21"/>
              </w:rPr>
            </w:pPr>
            <w:r>
              <w:rPr>
                <w:rFonts w:ascii="黑体" w:hAnsi="黑体" w:eastAsia="黑体"/>
                <w:szCs w:val="21"/>
              </w:rPr>
              <w:t>5、售后服务要求:</w:t>
            </w:r>
          </w:p>
          <w:p>
            <w:pPr>
              <w:spacing w:line="360" w:lineRule="auto"/>
              <w:rPr>
                <w:rFonts w:ascii="黑体" w:hAnsi="黑体" w:eastAsia="黑体"/>
                <w:szCs w:val="21"/>
              </w:rPr>
            </w:pPr>
            <w:r>
              <w:rPr>
                <w:rFonts w:ascii="黑体" w:hAnsi="黑体" w:eastAsia="黑体"/>
                <w:szCs w:val="21"/>
              </w:rPr>
              <w:t>（1）中标人应当在接到采购人通知后2个小时内响应，24小时内予以现场服务，中标人应用备件替代问题件，保证设备继续正常运行；</w:t>
            </w:r>
          </w:p>
          <w:p>
            <w:pPr>
              <w:spacing w:line="360" w:lineRule="auto"/>
              <w:rPr>
                <w:rFonts w:ascii="黑体" w:hAnsi="黑体" w:eastAsia="黑体"/>
                <w:szCs w:val="21"/>
              </w:rPr>
            </w:pPr>
            <w:r>
              <w:rPr>
                <w:rFonts w:ascii="黑体" w:hAnsi="黑体" w:eastAsia="黑体"/>
                <w:szCs w:val="21"/>
              </w:rPr>
              <w:t>（2）包修、包换或包退问题件，均有中标人负责并承担修理、调换或退货的实际费用。中标人不能修理或不能调换，均按不能交货处理，中标人应退回100%设备款。</w:t>
            </w:r>
          </w:p>
          <w:p>
            <w:pPr>
              <w:spacing w:line="360" w:lineRule="auto"/>
              <w:rPr>
                <w:rFonts w:ascii="黑体" w:hAnsi="黑体" w:eastAsia="黑体"/>
                <w:szCs w:val="21"/>
              </w:rPr>
            </w:pPr>
            <w:r>
              <w:rPr>
                <w:rFonts w:ascii="黑体" w:hAnsi="黑体" w:eastAsia="黑体"/>
                <w:szCs w:val="21"/>
              </w:rPr>
              <w:t>（3）中标人不能在限期内按以上要求替代、维修问题设备，采购人有权自行修复，费用由中标人支付。</w:t>
            </w:r>
          </w:p>
          <w:p>
            <w:pPr>
              <w:spacing w:line="360" w:lineRule="auto"/>
              <w:rPr>
                <w:rFonts w:ascii="黑体" w:hAnsi="黑体" w:eastAsia="黑体"/>
                <w:szCs w:val="21"/>
              </w:rPr>
            </w:pPr>
            <w:r>
              <w:rPr>
                <w:rFonts w:ascii="黑体" w:hAnsi="黑体" w:eastAsia="黑体"/>
                <w:szCs w:val="21"/>
              </w:rPr>
              <w:t>（4）中标人应提供交货地点所在地的设备报修电话及联系人。</w:t>
            </w:r>
          </w:p>
          <w:p>
            <w:pPr>
              <w:spacing w:line="360" w:lineRule="auto"/>
              <w:rPr>
                <w:rFonts w:ascii="黑体" w:hAnsi="黑体" w:eastAsia="黑体"/>
                <w:szCs w:val="21"/>
              </w:rPr>
            </w:pPr>
            <w:r>
              <w:rPr>
                <w:rFonts w:ascii="黑体" w:hAnsi="黑体" w:eastAsia="黑体"/>
                <w:szCs w:val="21"/>
              </w:rPr>
              <w:t>（5）免费培训：中标人为采购人提供操作及维护培训，主要内容为设备的基本结构、性能、主要部件的构造及原理，日常使用操作、保养与管理，常见故障的排除，紧急情况的处理等，培训地点主要在设备安装现场或按双方协商安排。①现场培训：中标人在设备的安装、调试、验收完毕后即进行现场培训(至少一周)直至采购人不基本掌握使用操作、维护保养技术。②专门培训：中标人就设备的安装、检验、调试、使用和维护等培训采购人3名技术人员，直到采购人受训人员全部掌握运用操作、维护保养技术，并能达到正确检修、维护、排除一般故障为止。 ③培训方式：技术培训、操作培训。 ④培训人员、地点和时间：受训人员由采购人确定，培训地点和时间由双方商定。</w:t>
            </w:r>
          </w:p>
          <w:p>
            <w:pPr>
              <w:spacing w:line="360" w:lineRule="auto"/>
              <w:rPr>
                <w:rFonts w:ascii="黑体" w:hAnsi="黑体" w:eastAsia="黑体"/>
                <w:szCs w:val="21"/>
              </w:rPr>
            </w:pPr>
            <w:r>
              <w:rPr>
                <w:rFonts w:ascii="黑体" w:hAnsi="黑体" w:eastAsia="黑体"/>
                <w:szCs w:val="21"/>
              </w:rPr>
              <w:t>（6）保修期内每季度定期组织服务工程师对用户进行多种形式的访问活动（包括电话和实地回访）。内容包括设备维护，指导设备的使用和保养、操作使用，解决设备出现的简单故障。</w:t>
            </w:r>
          </w:p>
          <w:p>
            <w:pPr>
              <w:spacing w:line="360" w:lineRule="auto"/>
              <w:rPr>
                <w:rFonts w:ascii="黑体" w:hAnsi="黑体" w:eastAsia="黑体"/>
                <w:szCs w:val="21"/>
              </w:rPr>
            </w:pPr>
            <w:r>
              <w:rPr>
                <w:rFonts w:ascii="黑体" w:hAnsi="黑体" w:eastAsia="黑体"/>
                <w:szCs w:val="21"/>
              </w:rPr>
              <w:t>（7）保修期外服务： ①中标人为设备提供终身维修和保养服务，在保修期外只收取实际发生的维修材料费，不额外收取人工费和差旅费，在接到用户要求对所购仪器设备进行维修的通知后，即给予答复，并派合格的维修工程师在24 小时内到达用户现场进行维修 ②设有专业技术服务热线，最终用户可以通过电话交流的方式直接与服务工程师沟通，了解产品的各种性能、操作方法和简单故障排除。③软件升级：依据实际情况提供不同形式的软件免费升级服务。</w:t>
            </w:r>
          </w:p>
          <w:p>
            <w:pPr>
              <w:spacing w:line="360" w:lineRule="auto"/>
              <w:rPr>
                <w:rFonts w:ascii="黑体" w:hAnsi="黑体" w:eastAsia="黑体"/>
                <w:szCs w:val="21"/>
              </w:rPr>
            </w:pPr>
            <w:r>
              <w:rPr>
                <w:rFonts w:ascii="黑体" w:hAnsi="黑体" w:eastAsia="黑体"/>
                <w:szCs w:val="21"/>
              </w:rPr>
              <w:t>6、知识产权:</w:t>
            </w:r>
          </w:p>
          <w:p>
            <w:pPr>
              <w:spacing w:line="360" w:lineRule="auto"/>
              <w:rPr>
                <w:rFonts w:ascii="黑体" w:hAnsi="黑体" w:eastAsia="黑体"/>
                <w:szCs w:val="21"/>
              </w:rPr>
            </w:pPr>
            <w:r>
              <w:rPr>
                <w:rFonts w:ascii="黑体" w:hAnsi="黑体" w:eastAsia="黑体"/>
                <w:szCs w:val="21"/>
              </w:rPr>
              <w:t>（1）中标人应保证，采购人在中华人民共和国境内使用货物或货物的任何一部分时，免受第三方提出侵其专利权、商标权或其它知识产权的起诉。</w:t>
            </w:r>
          </w:p>
          <w:p>
            <w:pPr>
              <w:spacing w:line="360" w:lineRule="auto"/>
              <w:rPr>
                <w:rFonts w:ascii="黑体" w:hAnsi="黑体" w:eastAsia="黑体"/>
                <w:szCs w:val="21"/>
              </w:rPr>
            </w:pPr>
            <w:r>
              <w:rPr>
                <w:rFonts w:ascii="黑体" w:hAnsi="黑体" w:eastAsia="黑体"/>
                <w:szCs w:val="21"/>
              </w:rPr>
              <w:t>（2）投标报价应包括所有应支付的对专利权和版权、设计或其他知识产权而需要向其他方支付的版税。</w:t>
            </w:r>
          </w:p>
          <w:p>
            <w:pPr>
              <w:spacing w:line="360" w:lineRule="auto"/>
              <w:rPr>
                <w:rFonts w:ascii="黑体" w:hAnsi="黑体" w:eastAsia="黑体"/>
                <w:szCs w:val="21"/>
              </w:rPr>
            </w:pPr>
            <w:r>
              <w:rPr>
                <w:rFonts w:ascii="黑体" w:hAnsi="黑体" w:eastAsia="黑体"/>
                <w:szCs w:val="21"/>
              </w:rPr>
              <w:t>7、其他服务要求:中标人须为采购人提供下述服务：</w:t>
            </w:r>
          </w:p>
          <w:p>
            <w:pPr>
              <w:spacing w:line="360" w:lineRule="auto"/>
              <w:rPr>
                <w:rFonts w:ascii="黑体" w:hAnsi="黑体" w:eastAsia="黑体"/>
                <w:szCs w:val="21"/>
              </w:rPr>
            </w:pPr>
            <w:r>
              <w:rPr>
                <w:rFonts w:ascii="黑体" w:hAnsi="黑体" w:eastAsia="黑体"/>
                <w:szCs w:val="21"/>
              </w:rPr>
              <w:t>（1）提供各分项货物所必需的维修工具；</w:t>
            </w:r>
          </w:p>
          <w:p>
            <w:pPr>
              <w:spacing w:line="360" w:lineRule="auto"/>
              <w:rPr>
                <w:rFonts w:ascii="黑体" w:hAnsi="黑体" w:eastAsia="黑体"/>
                <w:szCs w:val="21"/>
              </w:rPr>
            </w:pPr>
            <w:r>
              <w:rPr>
                <w:rFonts w:ascii="黑体" w:hAnsi="黑体" w:eastAsia="黑体"/>
                <w:szCs w:val="21"/>
              </w:rPr>
              <w:t>（2）提供各分项货物的中文操作、维护手册；</w:t>
            </w:r>
          </w:p>
          <w:p>
            <w:pPr>
              <w:spacing w:line="360" w:lineRule="auto"/>
              <w:rPr>
                <w:rFonts w:ascii="黑体" w:hAnsi="黑体" w:eastAsia="黑体"/>
                <w:szCs w:val="21"/>
              </w:rPr>
            </w:pPr>
            <w:r>
              <w:rPr>
                <w:rFonts w:ascii="黑体" w:hAnsi="黑体" w:eastAsia="黑体"/>
                <w:szCs w:val="21"/>
              </w:rPr>
              <w:t>（3）凡设置了权限的产品，必须向采购人提供密码。</w:t>
            </w:r>
          </w:p>
          <w:p>
            <w:pPr>
              <w:spacing w:line="360" w:lineRule="auto"/>
              <w:rPr>
                <w:rFonts w:ascii="黑体" w:hAnsi="黑体" w:eastAsia="黑体"/>
                <w:b/>
                <w:bCs/>
                <w:szCs w:val="21"/>
              </w:rPr>
            </w:pPr>
            <w:r>
              <w:rPr>
                <w:rFonts w:ascii="黑体" w:hAnsi="黑体" w:eastAsia="黑体" w:cs="Segoe UI Symbol"/>
                <w:b/>
                <w:bCs/>
                <w:szCs w:val="21"/>
              </w:rPr>
              <w:t>★</w:t>
            </w:r>
            <w:r>
              <w:rPr>
                <w:rFonts w:ascii="黑体" w:hAnsi="黑体" w:eastAsia="黑体"/>
                <w:b/>
                <w:bCs/>
                <w:szCs w:val="21"/>
              </w:rPr>
              <w:t>8、设备出厂日期与本项目验收日期间隔必须小于壹年。（注：须投标人响应或提供书面承诺函，格式自拟）</w:t>
            </w:r>
          </w:p>
          <w:p>
            <w:pPr>
              <w:spacing w:line="360" w:lineRule="auto"/>
              <w:rPr>
                <w:rFonts w:ascii="黑体" w:hAnsi="黑体" w:eastAsia="黑体"/>
                <w:b/>
                <w:bCs/>
                <w:szCs w:val="21"/>
              </w:rPr>
            </w:pPr>
            <w:r>
              <w:rPr>
                <w:rFonts w:hint="eastAsia" w:ascii="黑体" w:hAnsi="黑体" w:eastAsia="黑体"/>
                <w:b/>
                <w:bCs/>
                <w:szCs w:val="21"/>
              </w:rPr>
              <w:t>★9、设备需要无条件与东莞市中医院新系统(包括但不限于:HIS、LIS、PACS、CDR平台、集成平台等等)进行数据双向传输对接，稳定传输，无缝对接，不得设置门槛另立项目增加费用，以达到互联互通的目的，并提供具体连接技术文档。同时未经医院允许，不得将设备系统数据，病人信息等资料进行外泄，不得采集医院数据进行商业或公司技术分析，数据所有权归属医院。（投标人响应或提供书面承诺函，格式自拟）</w:t>
            </w:r>
          </w:p>
        </w:tc>
      </w:tr>
    </w:tbl>
    <w:p>
      <w:pPr>
        <w:pStyle w:val="30"/>
        <w:numPr>
          <w:ilvl w:val="0"/>
          <w:numId w:val="9"/>
        </w:numPr>
        <w:spacing w:line="360" w:lineRule="auto"/>
        <w:ind w:left="499" w:hanging="499" w:firstLineChars="0"/>
        <w:contextualSpacing/>
        <w:rPr>
          <w:rFonts w:ascii="黑体" w:hAnsi="黑体" w:eastAsia="黑体"/>
          <w:b/>
          <w:szCs w:val="21"/>
        </w:rPr>
      </w:pPr>
      <w:r>
        <w:rPr>
          <w:rFonts w:ascii="黑体" w:hAnsi="黑体" w:eastAsia="黑体"/>
          <w:b/>
          <w:szCs w:val="21"/>
        </w:rPr>
        <w:t>技术要求</w:t>
      </w:r>
    </w:p>
    <w:p>
      <w:pPr>
        <w:spacing w:line="360" w:lineRule="auto"/>
        <w:rPr>
          <w:rFonts w:ascii="黑体" w:hAnsi="黑体" w:eastAsia="黑体"/>
          <w:b/>
          <w:bCs/>
          <w:szCs w:val="21"/>
        </w:rPr>
      </w:pPr>
      <w:r>
        <w:rPr>
          <w:rFonts w:hint="eastAsia" w:ascii="黑体" w:hAnsi="黑体" w:eastAsia="黑体"/>
          <w:b/>
          <w:bCs/>
          <w:szCs w:val="21"/>
        </w:rPr>
        <w:t>（一）ICU多功能电动床</w:t>
      </w:r>
    </w:p>
    <w:p>
      <w:pPr>
        <w:pStyle w:val="63"/>
        <w:spacing w:line="360" w:lineRule="auto"/>
        <w:ind w:left="420" w:firstLine="0" w:firstLineChars="0"/>
        <w:rPr>
          <w:rFonts w:ascii="黑体" w:hAnsi="黑体" w:eastAsia="黑体"/>
          <w:b/>
          <w:szCs w:val="21"/>
        </w:rPr>
      </w:pPr>
      <w:r>
        <w:rPr>
          <w:rFonts w:hint="eastAsia" w:ascii="黑体" w:hAnsi="黑体" w:eastAsia="黑体"/>
          <w:b/>
          <w:szCs w:val="21"/>
        </w:rPr>
        <w:t>床体参数：</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szCs w:val="21"/>
        </w:rPr>
        <w:t>床面尺寸：</w:t>
      </w:r>
      <w:bookmarkStart w:id="21" w:name="OLE_LINK7"/>
      <w:bookmarkStart w:id="22" w:name="OLE_LINK5"/>
      <w:bookmarkStart w:id="23" w:name="OLE_LINK6"/>
      <w:r>
        <w:rPr>
          <w:rFonts w:hint="eastAsia" w:ascii="黑体" w:hAnsi="黑体" w:eastAsia="黑体"/>
          <w:szCs w:val="21"/>
        </w:rPr>
        <w:t>长≥1855mm，宽≥710mm</w:t>
      </w:r>
      <w:bookmarkEnd w:id="21"/>
      <w:bookmarkEnd w:id="22"/>
      <w:bookmarkEnd w:id="23"/>
      <w:r>
        <w:rPr>
          <w:rFonts w:hint="eastAsia" w:ascii="黑体" w:hAnsi="黑体" w:eastAsia="黑体"/>
          <w:szCs w:val="21"/>
        </w:rPr>
        <w:t>；</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szCs w:val="21"/>
        </w:rPr>
        <w:t>床体尺寸：长度≤2270mm，宽度≤1100mm；</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szCs w:val="21"/>
        </w:rPr>
        <w:t>床面最低高度＜450mm，升降范围≥405mm；</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szCs w:val="21"/>
        </w:rPr>
        <w:t>安全工作负载≥225Kg；</w:t>
      </w:r>
    </w:p>
    <w:p>
      <w:pPr>
        <w:pStyle w:val="63"/>
        <w:spacing w:line="360" w:lineRule="auto"/>
        <w:ind w:left="360" w:firstLine="0" w:firstLineChars="0"/>
        <w:rPr>
          <w:rFonts w:ascii="黑体" w:hAnsi="黑体" w:eastAsia="黑体"/>
          <w:b/>
          <w:szCs w:val="21"/>
        </w:rPr>
      </w:pPr>
      <w:r>
        <w:rPr>
          <w:rFonts w:hint="eastAsia" w:ascii="黑体" w:hAnsi="黑体" w:eastAsia="黑体"/>
          <w:b/>
          <w:szCs w:val="21"/>
        </w:rPr>
        <w:t>电动控制功能：</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kern w:val="0"/>
          <w:szCs w:val="21"/>
        </w:rPr>
        <w:t>电机数量≥</w:t>
      </w:r>
      <w:r>
        <w:rPr>
          <w:rFonts w:ascii="黑体" w:hAnsi="黑体" w:eastAsia="黑体"/>
          <w:kern w:val="0"/>
          <w:szCs w:val="21"/>
        </w:rPr>
        <w:t>4</w:t>
      </w:r>
      <w:r>
        <w:rPr>
          <w:rFonts w:hint="eastAsia" w:ascii="黑体" w:hAnsi="黑体" w:eastAsia="黑体"/>
          <w:kern w:val="0"/>
          <w:szCs w:val="21"/>
        </w:rPr>
        <w:t>个，具有电动控制背板、腿板升降，电动整体升降，电动控制整头倾、脚倾重症病床五功能；安全、恒速、静音、无静电；</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szCs w:val="21"/>
        </w:rPr>
        <w:t>床体电动调节头倾与脚倾角度≥15°；</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szCs w:val="21"/>
        </w:rPr>
        <w:t>背靠板电动抬升倾角度≥65°；</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szCs w:val="21"/>
        </w:rPr>
        <w:t>大腿板电动抬升倾角度</w:t>
      </w:r>
      <w:r>
        <w:rPr>
          <w:rFonts w:hint="eastAsia" w:ascii="黑体" w:hAnsi="黑体" w:eastAsia="黑体"/>
          <w:kern w:val="0"/>
          <w:szCs w:val="21"/>
        </w:rPr>
        <w:t>≥30</w:t>
      </w:r>
      <w:r>
        <w:rPr>
          <w:rFonts w:hint="eastAsia" w:ascii="黑体" w:hAnsi="黑体" w:eastAsia="黑体"/>
          <w:szCs w:val="21"/>
        </w:rPr>
        <w:t>°；</w:t>
      </w:r>
    </w:p>
    <w:p>
      <w:pPr>
        <w:pStyle w:val="63"/>
        <w:numPr>
          <w:ilvl w:val="0"/>
          <w:numId w:val="10"/>
        </w:numPr>
        <w:spacing w:line="360" w:lineRule="auto"/>
        <w:ind w:firstLineChars="0"/>
        <w:rPr>
          <w:rFonts w:ascii="黑体" w:hAnsi="黑体" w:eastAsia="黑体"/>
          <w:b/>
          <w:szCs w:val="21"/>
        </w:rPr>
      </w:pPr>
      <w:r>
        <w:rPr>
          <w:rFonts w:hint="eastAsia" w:ascii="黑体" w:hAnsi="黑体" w:eastAsia="黑体"/>
          <w:szCs w:val="21"/>
        </w:rPr>
        <w:t>配备内置蓄电池，在断开交流电后也可实现对床体的电动调节，满足病人转运供电需求；</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kern w:val="0"/>
          <w:szCs w:val="21"/>
        </w:rPr>
        <w:t>电源：交流电2</w:t>
      </w:r>
      <w:r>
        <w:rPr>
          <w:rFonts w:ascii="黑体" w:hAnsi="黑体" w:eastAsia="黑体"/>
          <w:kern w:val="0"/>
          <w:szCs w:val="21"/>
        </w:rPr>
        <w:t>20V/</w:t>
      </w:r>
      <w:r>
        <w:rPr>
          <w:rFonts w:hint="eastAsia" w:ascii="黑体" w:hAnsi="黑体" w:eastAsia="黑体"/>
          <w:kern w:val="0"/>
          <w:szCs w:val="21"/>
        </w:rPr>
        <w:t>5</w:t>
      </w:r>
      <w:r>
        <w:rPr>
          <w:rFonts w:ascii="黑体" w:hAnsi="黑体" w:eastAsia="黑体"/>
          <w:kern w:val="0"/>
          <w:szCs w:val="21"/>
        </w:rPr>
        <w:t>0Hz</w:t>
      </w:r>
      <w:r>
        <w:rPr>
          <w:rFonts w:hint="eastAsia" w:ascii="黑体" w:hAnsi="黑体" w:eastAsia="黑体"/>
          <w:szCs w:val="21"/>
        </w:rPr>
        <w:t>；</w:t>
      </w:r>
    </w:p>
    <w:p>
      <w:pPr>
        <w:pStyle w:val="63"/>
        <w:spacing w:line="360" w:lineRule="auto"/>
        <w:ind w:left="360" w:firstLine="0" w:firstLineChars="0"/>
        <w:jc w:val="left"/>
        <w:rPr>
          <w:rFonts w:ascii="黑体" w:hAnsi="黑体" w:eastAsia="黑体"/>
          <w:szCs w:val="21"/>
        </w:rPr>
      </w:pPr>
      <w:r>
        <w:rPr>
          <w:rFonts w:hint="eastAsia" w:ascii="黑体" w:hAnsi="黑体" w:eastAsia="黑体"/>
          <w:b/>
          <w:szCs w:val="21"/>
        </w:rPr>
        <w:t>专业重症设计：</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床面为四段设计，符合人体工程学，床面不留孔洞，易于清洁打理；</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采用分体式护拦，</w:t>
      </w:r>
      <w:bookmarkStart w:id="24" w:name="OLE_LINK17"/>
      <w:bookmarkStart w:id="25" w:name="OLE_LINK16"/>
      <w:r>
        <w:rPr>
          <w:rFonts w:hint="eastAsia" w:ascii="黑体" w:hAnsi="黑体" w:eastAsia="黑体"/>
          <w:szCs w:val="21"/>
        </w:rPr>
        <w:t>护栏具备气动缓释，有效保护操作人员及减少噪音；</w:t>
      </w:r>
      <w:bookmarkEnd w:id="24"/>
      <w:bookmarkEnd w:id="25"/>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具有背板和整床倾斜角度显示器各2个，</w:t>
      </w:r>
      <w:r>
        <w:rPr>
          <w:rFonts w:hint="eastAsia" w:ascii="黑体" w:hAnsi="黑体" w:eastAsia="黑体"/>
          <w:kern w:val="0"/>
          <w:szCs w:val="21"/>
        </w:rPr>
        <w:t>方便医护人员确认床面角度；</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快卸床头板、床尾板，无需操作开关装置，上提式快卸结构，保证床头操作从容性；</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引流挂钩≥1</w:t>
      </w:r>
      <w:r>
        <w:rPr>
          <w:rFonts w:ascii="黑体" w:hAnsi="黑体" w:eastAsia="黑体"/>
          <w:szCs w:val="21"/>
        </w:rPr>
        <w:t>0</w:t>
      </w:r>
      <w:r>
        <w:rPr>
          <w:rFonts w:hint="eastAsia" w:ascii="黑体" w:hAnsi="黑体" w:eastAsia="黑体"/>
          <w:szCs w:val="21"/>
        </w:rPr>
        <w:t>个；</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单个引流挂钩承重</w:t>
      </w:r>
      <w:r>
        <w:rPr>
          <w:rFonts w:hint="eastAsia" w:ascii="宋体" w:hAnsi="宋体" w:cs="宋体"/>
          <w:szCs w:val="21"/>
        </w:rPr>
        <w:t>≧</w:t>
      </w:r>
      <w:r>
        <w:rPr>
          <w:rFonts w:hint="eastAsia" w:ascii="黑体" w:hAnsi="黑体" w:eastAsia="黑体"/>
          <w:szCs w:val="21"/>
        </w:rPr>
        <w:t>2kg；</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具有</w:t>
      </w:r>
      <w:r>
        <w:rPr>
          <w:rFonts w:ascii="黑体" w:hAnsi="黑体" w:eastAsia="黑体"/>
          <w:szCs w:val="21"/>
        </w:rPr>
        <w:t>4</w:t>
      </w:r>
      <w:r>
        <w:rPr>
          <w:rFonts w:hint="eastAsia" w:ascii="黑体" w:hAnsi="黑体" w:eastAsia="黑体"/>
          <w:szCs w:val="21"/>
        </w:rPr>
        <w:t>个缓冲防撞装置；</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具有4个输液杆插孔；</w:t>
      </w:r>
    </w:p>
    <w:p>
      <w:pPr>
        <w:pStyle w:val="63"/>
        <w:numPr>
          <w:ilvl w:val="0"/>
          <w:numId w:val="11"/>
        </w:numPr>
        <w:spacing w:line="360" w:lineRule="auto"/>
        <w:ind w:firstLineChars="0"/>
        <w:jc w:val="left"/>
        <w:rPr>
          <w:rFonts w:ascii="黑体" w:hAnsi="黑体" w:eastAsia="黑体"/>
          <w:b/>
          <w:bCs/>
          <w:szCs w:val="21"/>
        </w:rPr>
      </w:pPr>
      <w:r>
        <w:rPr>
          <w:rFonts w:hint="eastAsia" w:ascii="黑体" w:hAnsi="黑体" w:eastAsia="黑体"/>
          <w:b/>
          <w:bCs/>
          <w:szCs w:val="21"/>
        </w:rPr>
        <w:t>▲上床架具有8个约束环；符合人体工程学，可用于上半身、手腕、膝盖、脚踝固定，更好保护病人，防止坠床；（注：护栏约束环不能统计在本参数内，提供实物照片证明）</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配伸缩式输液杆1支，单个挂钩承重≥1.5kg；（承重需提供第三方检测证明文件）</w:t>
      </w:r>
    </w:p>
    <w:p>
      <w:pPr>
        <w:pStyle w:val="63"/>
        <w:numPr>
          <w:ilvl w:val="0"/>
          <w:numId w:val="11"/>
        </w:numPr>
        <w:spacing w:line="360" w:lineRule="auto"/>
        <w:ind w:firstLineChars="0"/>
        <w:jc w:val="left"/>
        <w:rPr>
          <w:rFonts w:ascii="黑体" w:hAnsi="黑体" w:eastAsia="黑体"/>
          <w:b/>
          <w:bCs/>
          <w:szCs w:val="21"/>
        </w:rPr>
      </w:pPr>
      <w:r>
        <w:rPr>
          <w:rFonts w:hint="eastAsia" w:ascii="黑体" w:hAnsi="黑体" w:eastAsia="黑体"/>
          <w:b/>
          <w:bCs/>
          <w:szCs w:val="21"/>
        </w:rPr>
        <w:t>▲需同时具备以下重症9功能：重症基础5功能（背板升降、脚板升降、整体升降、头倾、脚倾）+</w:t>
      </w:r>
      <w:r>
        <w:rPr>
          <w:rFonts w:ascii="黑体" w:hAnsi="黑体" w:eastAsia="黑体"/>
          <w:b/>
          <w:bCs/>
          <w:szCs w:val="21"/>
        </w:rPr>
        <w:t>4</w:t>
      </w:r>
      <w:r>
        <w:rPr>
          <w:rFonts w:hint="eastAsia" w:ascii="黑体" w:hAnsi="黑体" w:eastAsia="黑体"/>
          <w:b/>
          <w:bCs/>
          <w:szCs w:val="21"/>
        </w:rPr>
        <w:t>个一键体位（一键心脏椅位、一键</w:t>
      </w:r>
      <w:r>
        <w:rPr>
          <w:rFonts w:ascii="黑体" w:hAnsi="黑体" w:eastAsia="黑体"/>
          <w:b/>
          <w:bCs/>
          <w:szCs w:val="21"/>
        </w:rPr>
        <w:t>Fowler</w:t>
      </w:r>
      <w:r>
        <w:rPr>
          <w:rFonts w:hint="eastAsia" w:ascii="黑体" w:hAnsi="黑体" w:eastAsia="黑体"/>
          <w:b/>
          <w:bCs/>
          <w:szCs w:val="21"/>
        </w:rPr>
        <w:t>位、一键电动CPR位、一键检查位）；</w:t>
      </w:r>
    </w:p>
    <w:p>
      <w:pPr>
        <w:pStyle w:val="63"/>
        <w:spacing w:line="360" w:lineRule="auto"/>
        <w:ind w:left="360" w:firstLine="0" w:firstLineChars="0"/>
        <w:jc w:val="left"/>
        <w:rPr>
          <w:rFonts w:ascii="黑体" w:hAnsi="黑体" w:eastAsia="黑体"/>
          <w:szCs w:val="21"/>
        </w:rPr>
      </w:pPr>
      <w:r>
        <w:rPr>
          <w:rFonts w:hint="eastAsia" w:ascii="黑体" w:hAnsi="黑体" w:eastAsia="黑体"/>
          <w:b/>
          <w:szCs w:val="21"/>
        </w:rPr>
        <w:t>一键式体位模式：</w:t>
      </w:r>
    </w:p>
    <w:p>
      <w:pPr>
        <w:pStyle w:val="63"/>
        <w:numPr>
          <w:ilvl w:val="0"/>
          <w:numId w:val="11"/>
        </w:numPr>
        <w:spacing w:line="360" w:lineRule="auto"/>
        <w:ind w:firstLineChars="0"/>
        <w:jc w:val="left"/>
        <w:rPr>
          <w:rFonts w:ascii="黑体" w:hAnsi="黑体" w:eastAsia="黑体"/>
          <w:b/>
          <w:bCs/>
          <w:szCs w:val="21"/>
        </w:rPr>
      </w:pPr>
      <w:r>
        <w:rPr>
          <w:rFonts w:hint="eastAsia" w:ascii="黑体" w:hAnsi="黑体" w:eastAsia="黑体"/>
          <w:b/>
          <w:bCs/>
          <w:szCs w:val="21"/>
        </w:rPr>
        <w:t>▲具备重症电动一键式体位设计，一键体位≥</w:t>
      </w:r>
      <w:r>
        <w:rPr>
          <w:rFonts w:ascii="黑体" w:hAnsi="黑体" w:eastAsia="黑体"/>
          <w:b/>
          <w:bCs/>
          <w:szCs w:val="21"/>
        </w:rPr>
        <w:t>4</w:t>
      </w:r>
      <w:r>
        <w:rPr>
          <w:rFonts w:hint="eastAsia" w:ascii="黑体" w:hAnsi="黑体" w:eastAsia="黑体"/>
          <w:b/>
          <w:bCs/>
          <w:szCs w:val="21"/>
        </w:rPr>
        <w:t>个</w:t>
      </w:r>
      <w:r>
        <w:rPr>
          <w:rFonts w:hint="eastAsia" w:ascii="黑体" w:hAnsi="黑体" w:eastAsia="黑体"/>
          <w:b/>
          <w:bCs/>
          <w:kern w:val="0"/>
          <w:szCs w:val="21"/>
        </w:rPr>
        <w:t>；</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具有一键式心脏椅体位功能，此体位能减少静脉回心血量，减轻心脏前负荷；</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具有一键式</w:t>
      </w:r>
      <w:r>
        <w:rPr>
          <w:rFonts w:ascii="黑体" w:hAnsi="黑体" w:eastAsia="黑体"/>
          <w:szCs w:val="21"/>
        </w:rPr>
        <w:t>Fowler</w:t>
      </w:r>
      <w:r>
        <w:rPr>
          <w:rFonts w:hint="eastAsia" w:ascii="黑体" w:hAnsi="黑体" w:eastAsia="黑体"/>
          <w:szCs w:val="21"/>
        </w:rPr>
        <w:t>位，使病人膈肌下降，改善病人通气；</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具有一键式电动CPR位，紧急情况下，可迅速把背板与腿板放至于水平位，床面将至最低位，为病人抢救；</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具有一键式检查位，一键使病人处于方便医护人员检查的体位，减轻医护人员身体疲劳；</w:t>
      </w:r>
    </w:p>
    <w:p>
      <w:pPr>
        <w:pStyle w:val="63"/>
        <w:spacing w:line="360" w:lineRule="auto"/>
        <w:ind w:left="360" w:firstLine="0" w:firstLineChars="0"/>
        <w:jc w:val="left"/>
        <w:rPr>
          <w:rFonts w:ascii="黑体" w:hAnsi="黑体" w:eastAsia="黑体"/>
          <w:szCs w:val="21"/>
        </w:rPr>
      </w:pPr>
      <w:r>
        <w:rPr>
          <w:rFonts w:hint="eastAsia" w:ascii="黑体" w:hAnsi="黑体" w:eastAsia="黑体"/>
          <w:b/>
          <w:szCs w:val="21"/>
        </w:rPr>
        <w:t>脚轮及刹车系统：</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cs="Arial Unicode MS"/>
          <w:szCs w:val="21"/>
        </w:rPr>
        <w:t>采用医用防静电脚轮，脚轮直径≥120mm，易推、耐蚀、耐磨、静音</w:t>
      </w:r>
    </w:p>
    <w:p>
      <w:pPr>
        <w:pStyle w:val="63"/>
        <w:numPr>
          <w:ilvl w:val="0"/>
          <w:numId w:val="11"/>
        </w:numPr>
        <w:spacing w:line="360" w:lineRule="auto"/>
        <w:ind w:firstLineChars="0"/>
        <w:jc w:val="left"/>
        <w:rPr>
          <w:rFonts w:ascii="黑体" w:hAnsi="黑体" w:eastAsia="黑体"/>
          <w:b/>
          <w:bCs/>
          <w:szCs w:val="21"/>
        </w:rPr>
      </w:pPr>
      <w:r>
        <w:rPr>
          <w:rFonts w:hint="eastAsia" w:ascii="黑体" w:hAnsi="黑体" w:eastAsia="黑体"/>
          <w:b/>
          <w:bCs/>
          <w:szCs w:val="21"/>
        </w:rPr>
        <w:t>▲具有四轮联动脚轮锁定装置：四轮均有刹车，且刹车为联动，锁定一轮，即对所有脚轮锁定，减少操作人员工作量；</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脚轮为三段式控制：万向，锁定，直行三种状态，方便医护人员根据需要调整控制模式；</w:t>
      </w:r>
    </w:p>
    <w:p>
      <w:pPr>
        <w:pStyle w:val="63"/>
        <w:spacing w:line="360" w:lineRule="auto"/>
        <w:ind w:left="360" w:firstLine="0" w:firstLineChars="0"/>
        <w:jc w:val="left"/>
        <w:rPr>
          <w:rFonts w:ascii="黑体" w:hAnsi="黑体" w:eastAsia="黑体"/>
          <w:szCs w:val="21"/>
        </w:rPr>
      </w:pPr>
      <w:r>
        <w:rPr>
          <w:rFonts w:hint="eastAsia" w:ascii="黑体" w:hAnsi="黑体" w:eastAsia="黑体"/>
          <w:b/>
          <w:szCs w:val="21"/>
        </w:rPr>
        <w:t>床体控制器：</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具有多功能中央控制器，集成电动调节与一键式体位功能，方便医护人员操作；</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中央控制器有电源提示功能，准确显示内置电源供电状态；</w:t>
      </w:r>
    </w:p>
    <w:p>
      <w:pPr>
        <w:pStyle w:val="63"/>
        <w:numPr>
          <w:ilvl w:val="0"/>
          <w:numId w:val="11"/>
        </w:numPr>
        <w:spacing w:line="360" w:lineRule="auto"/>
        <w:ind w:firstLineChars="0"/>
        <w:jc w:val="left"/>
        <w:rPr>
          <w:rFonts w:ascii="黑体" w:hAnsi="黑体" w:eastAsia="黑体"/>
          <w:szCs w:val="21"/>
        </w:rPr>
      </w:pPr>
      <w:r>
        <w:rPr>
          <w:rFonts w:hint="eastAsia" w:ascii="黑体" w:hAnsi="黑体" w:eastAsia="黑体"/>
          <w:szCs w:val="21"/>
        </w:rPr>
        <w:t>床体整体装配，一体出厂，无需现场施工组装。</w:t>
      </w:r>
    </w:p>
    <w:p>
      <w:pPr>
        <w:spacing w:line="360" w:lineRule="auto"/>
        <w:jc w:val="center"/>
        <w:rPr>
          <w:rFonts w:ascii="黑体" w:hAnsi="黑体" w:eastAsia="黑体"/>
          <w:szCs w:val="21"/>
        </w:rPr>
      </w:pPr>
      <w:r>
        <w:rPr>
          <w:rFonts w:hint="eastAsia" w:ascii="黑体" w:hAnsi="黑体" w:eastAsia="黑体"/>
          <w:szCs w:val="21"/>
        </w:rPr>
        <w:t>配置清单</w:t>
      </w:r>
    </w:p>
    <w:tbl>
      <w:tblPr>
        <w:tblStyle w:val="20"/>
        <w:tblpPr w:leftFromText="180" w:rightFromText="180" w:vertAnchor="text" w:horzAnchor="margin" w:tblpX="-252" w:tblpY="129"/>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4"/>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b/>
                <w:szCs w:val="21"/>
              </w:rPr>
            </w:pPr>
            <w:r>
              <w:rPr>
                <w:rFonts w:hint="eastAsia" w:ascii="黑体" w:hAnsi="黑体" w:eastAsia="黑体"/>
                <w:b/>
                <w:szCs w:val="21"/>
              </w:rPr>
              <w:t>一、标配：</w:t>
            </w:r>
          </w:p>
        </w:tc>
        <w:tc>
          <w:tcPr>
            <w:tcW w:w="2941" w:type="dxa"/>
            <w:tcBorders>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hint="eastAsia" w:ascii="黑体" w:hAnsi="黑体" w:eastAsia="黑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bCs/>
                <w:szCs w:val="21"/>
              </w:rPr>
            </w:pPr>
            <w:r>
              <w:rPr>
                <w:rFonts w:hint="eastAsia" w:ascii="黑体" w:hAnsi="黑体" w:eastAsia="黑体"/>
                <w:bCs/>
                <w:szCs w:val="21"/>
              </w:rPr>
              <w:t>1，床主体</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hint="eastAsia" w:ascii="黑体" w:hAnsi="黑体" w:eastAsia="黑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szCs w:val="21"/>
              </w:rPr>
            </w:pPr>
            <w:r>
              <w:rPr>
                <w:rFonts w:hint="eastAsia" w:ascii="黑体" w:hAnsi="黑体" w:eastAsia="黑体"/>
                <w:szCs w:val="21"/>
              </w:rPr>
              <w:t>2，床头板、床尾板</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hint="eastAsia" w:ascii="黑体" w:hAnsi="黑体" w:eastAsia="黑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szCs w:val="21"/>
              </w:rPr>
            </w:pPr>
            <w:r>
              <w:rPr>
                <w:rFonts w:hint="eastAsia" w:ascii="黑体" w:hAnsi="黑体" w:eastAsia="黑体"/>
                <w:szCs w:val="21"/>
              </w:rPr>
              <w:t>3，</w:t>
            </w:r>
            <w:r>
              <w:rPr>
                <w:rFonts w:hint="eastAsia" w:ascii="黑体" w:hAnsi="黑体" w:eastAsia="黑体"/>
                <w:bCs/>
                <w:szCs w:val="21"/>
              </w:rPr>
              <w:t>电动病床嵌入式控制软件</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ascii="黑体" w:hAnsi="黑体" w:eastAsia="黑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bCs/>
                <w:szCs w:val="21"/>
              </w:rPr>
            </w:pPr>
            <w:r>
              <w:rPr>
                <w:rFonts w:ascii="黑体" w:hAnsi="黑体" w:eastAsia="黑体"/>
                <w:bCs/>
                <w:szCs w:val="21"/>
              </w:rPr>
              <w:t>4</w:t>
            </w:r>
            <w:r>
              <w:rPr>
                <w:rFonts w:hint="eastAsia" w:ascii="黑体" w:hAnsi="黑体" w:eastAsia="黑体"/>
                <w:bCs/>
                <w:szCs w:val="21"/>
              </w:rPr>
              <w:t>，专用输液杆</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hint="eastAsia" w:ascii="黑体" w:hAnsi="黑体" w:eastAsia="黑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szCs w:val="21"/>
              </w:rPr>
            </w:pPr>
            <w:r>
              <w:rPr>
                <w:rFonts w:ascii="黑体" w:hAnsi="黑体" w:eastAsia="黑体"/>
                <w:szCs w:val="21"/>
              </w:rPr>
              <w:t>5</w:t>
            </w:r>
            <w:r>
              <w:rPr>
                <w:rFonts w:hint="eastAsia" w:ascii="黑体" w:hAnsi="黑体" w:eastAsia="黑体"/>
                <w:szCs w:val="21"/>
              </w:rPr>
              <w:t>，</w:t>
            </w:r>
            <w:r>
              <w:rPr>
                <w:rFonts w:hint="eastAsia" w:ascii="黑体" w:hAnsi="黑体" w:eastAsia="黑体"/>
                <w:bCs/>
                <w:szCs w:val="21"/>
              </w:rPr>
              <w:t>分体护栏</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hint="eastAsia" w:ascii="黑体" w:hAnsi="黑体" w:eastAsia="黑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szCs w:val="21"/>
              </w:rPr>
            </w:pPr>
            <w:r>
              <w:rPr>
                <w:rFonts w:ascii="黑体" w:hAnsi="黑体" w:eastAsia="黑体"/>
                <w:szCs w:val="21"/>
              </w:rPr>
              <w:t>6</w:t>
            </w:r>
            <w:r>
              <w:rPr>
                <w:rFonts w:hint="eastAsia" w:ascii="黑体" w:hAnsi="黑体" w:eastAsia="黑体"/>
                <w:szCs w:val="21"/>
              </w:rPr>
              <w:t>，中控脚轮</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hint="eastAsia" w:ascii="黑体" w:hAnsi="黑体" w:eastAsia="黑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szCs w:val="21"/>
              </w:rPr>
            </w:pPr>
            <w:r>
              <w:rPr>
                <w:rFonts w:ascii="黑体" w:hAnsi="黑体" w:eastAsia="黑体"/>
                <w:szCs w:val="21"/>
              </w:rPr>
              <w:t>7</w:t>
            </w:r>
            <w:r>
              <w:rPr>
                <w:rFonts w:hint="eastAsia" w:ascii="黑体" w:hAnsi="黑体" w:eastAsia="黑体"/>
                <w:szCs w:val="21"/>
              </w:rPr>
              <w:t>，中央控制器</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hint="eastAsia" w:ascii="黑体" w:hAnsi="黑体" w:eastAsia="黑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szCs w:val="21"/>
              </w:rPr>
            </w:pPr>
            <w:r>
              <w:rPr>
                <w:rFonts w:ascii="黑体" w:hAnsi="黑体" w:eastAsia="黑体"/>
                <w:szCs w:val="21"/>
              </w:rPr>
              <w:t>8</w:t>
            </w:r>
            <w:r>
              <w:rPr>
                <w:rFonts w:hint="eastAsia" w:ascii="黑体" w:hAnsi="黑体" w:eastAsia="黑体"/>
                <w:szCs w:val="21"/>
              </w:rPr>
              <w:t>，内置电源</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szCs w:val="21"/>
              </w:rPr>
            </w:pPr>
            <w:r>
              <w:rPr>
                <w:rFonts w:hint="eastAsia" w:ascii="黑体" w:hAnsi="黑体" w:eastAsia="黑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4"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eastAsia="黑体"/>
                <w:bCs/>
                <w:szCs w:val="21"/>
              </w:rPr>
            </w:pPr>
            <w:r>
              <w:rPr>
                <w:rFonts w:ascii="黑体" w:hAnsi="黑体" w:eastAsia="黑体"/>
                <w:bCs/>
                <w:szCs w:val="21"/>
              </w:rPr>
              <w:t>9</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专用海绵床垫</w:t>
            </w:r>
          </w:p>
        </w:tc>
        <w:tc>
          <w:tcPr>
            <w:tcW w:w="29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bCs/>
                <w:szCs w:val="21"/>
              </w:rPr>
            </w:pPr>
            <w:r>
              <w:rPr>
                <w:rFonts w:hint="eastAsia" w:ascii="黑体" w:hAnsi="黑体" w:eastAsia="黑体"/>
                <w:bCs/>
                <w:szCs w:val="21"/>
              </w:rPr>
              <w:t>1</w:t>
            </w:r>
          </w:p>
        </w:tc>
      </w:tr>
    </w:tbl>
    <w:p>
      <w:pPr>
        <w:spacing w:line="360" w:lineRule="auto"/>
        <w:jc w:val="left"/>
        <w:rPr>
          <w:rFonts w:ascii="黑体" w:hAnsi="黑体" w:eastAsia="黑体"/>
          <w:szCs w:val="21"/>
        </w:rPr>
      </w:pPr>
    </w:p>
    <w:p>
      <w:pPr>
        <w:pageBreakBefore/>
        <w:spacing w:line="360" w:lineRule="auto"/>
        <w:rPr>
          <w:rFonts w:ascii="黑体" w:hAnsi="黑体" w:eastAsia="黑体"/>
          <w:b/>
          <w:bCs/>
          <w:szCs w:val="21"/>
        </w:rPr>
      </w:pPr>
      <w:r>
        <w:rPr>
          <w:rFonts w:hint="eastAsia" w:ascii="黑体" w:hAnsi="黑体" w:eastAsia="黑体"/>
          <w:b/>
          <w:bCs/>
          <w:szCs w:val="21"/>
        </w:rPr>
        <w:t>（二）肠内营养泵</w:t>
      </w:r>
    </w:p>
    <w:p>
      <w:pPr>
        <w:pStyle w:val="30"/>
        <w:numPr>
          <w:ilvl w:val="0"/>
          <w:numId w:val="12"/>
        </w:numPr>
        <w:spacing w:line="360" w:lineRule="auto"/>
        <w:ind w:firstLineChars="0"/>
        <w:rPr>
          <w:rFonts w:ascii="黑体" w:hAnsi="黑体" w:eastAsia="黑体"/>
        </w:rPr>
      </w:pPr>
      <w:r>
        <w:rPr>
          <w:rFonts w:hint="eastAsia" w:ascii="黑体" w:hAnsi="黑体" w:eastAsia="黑体"/>
        </w:rPr>
        <w:t>支持输血功能，并提供证明文件</w:t>
      </w:r>
    </w:p>
    <w:p>
      <w:pPr>
        <w:pStyle w:val="30"/>
        <w:numPr>
          <w:ilvl w:val="0"/>
          <w:numId w:val="12"/>
        </w:numPr>
        <w:spacing w:line="360" w:lineRule="auto"/>
        <w:ind w:firstLineChars="0"/>
        <w:rPr>
          <w:rFonts w:ascii="黑体" w:hAnsi="黑体" w:eastAsia="黑体"/>
          <w:b/>
          <w:bCs/>
        </w:rPr>
      </w:pPr>
      <w:r>
        <w:rPr>
          <w:rFonts w:hint="eastAsia" w:ascii="黑体" w:hAnsi="黑体" w:eastAsia="黑体"/>
          <w:b/>
          <w:bCs/>
        </w:rPr>
        <w:t>▲支持临床常用输血管路，无需专用输血管路</w:t>
      </w:r>
    </w:p>
    <w:p>
      <w:pPr>
        <w:pStyle w:val="30"/>
        <w:numPr>
          <w:ilvl w:val="0"/>
          <w:numId w:val="12"/>
        </w:numPr>
        <w:spacing w:line="360" w:lineRule="auto"/>
        <w:ind w:firstLineChars="0"/>
        <w:rPr>
          <w:rFonts w:ascii="黑体" w:hAnsi="黑体" w:eastAsia="黑体"/>
          <w:b/>
          <w:bCs/>
        </w:rPr>
      </w:pPr>
      <w:r>
        <w:rPr>
          <w:rFonts w:hint="eastAsia" w:ascii="黑体" w:hAnsi="黑体" w:eastAsia="黑体"/>
          <w:b/>
          <w:bCs/>
        </w:rPr>
        <w:t>▲支持输肠内营养液输液功能</w:t>
      </w:r>
    </w:p>
    <w:p>
      <w:pPr>
        <w:pStyle w:val="30"/>
        <w:numPr>
          <w:ilvl w:val="0"/>
          <w:numId w:val="12"/>
        </w:numPr>
        <w:spacing w:line="360" w:lineRule="auto"/>
        <w:ind w:firstLineChars="0"/>
        <w:rPr>
          <w:rFonts w:ascii="黑体" w:hAnsi="黑体" w:eastAsia="黑体"/>
        </w:rPr>
      </w:pPr>
      <w:r>
        <w:rPr>
          <w:rFonts w:hint="eastAsia" w:ascii="黑体" w:hAnsi="黑体" w:eastAsia="黑体"/>
        </w:rPr>
        <w:t>输液精度≤±5%</w:t>
      </w:r>
    </w:p>
    <w:p>
      <w:pPr>
        <w:pStyle w:val="30"/>
        <w:numPr>
          <w:ilvl w:val="0"/>
          <w:numId w:val="12"/>
        </w:numPr>
        <w:spacing w:line="360" w:lineRule="auto"/>
        <w:ind w:firstLineChars="0"/>
        <w:rPr>
          <w:rFonts w:ascii="黑体" w:hAnsi="黑体" w:eastAsia="黑体"/>
        </w:rPr>
      </w:pPr>
      <w:r>
        <w:rPr>
          <w:rFonts w:hint="eastAsia" w:ascii="黑体" w:hAnsi="黑体" w:eastAsia="黑体"/>
        </w:rPr>
        <w:t>预置输液总量范围：0.1-9999.99ml</w:t>
      </w:r>
    </w:p>
    <w:p>
      <w:pPr>
        <w:pStyle w:val="30"/>
        <w:numPr>
          <w:ilvl w:val="0"/>
          <w:numId w:val="12"/>
        </w:numPr>
        <w:spacing w:line="360" w:lineRule="auto"/>
        <w:ind w:firstLineChars="0"/>
        <w:rPr>
          <w:rFonts w:ascii="黑体" w:hAnsi="黑体" w:eastAsia="黑体"/>
        </w:rPr>
      </w:pPr>
      <w:r>
        <w:rPr>
          <w:rFonts w:hint="eastAsia" w:ascii="黑体" w:hAnsi="黑体" w:eastAsia="黑体"/>
        </w:rPr>
        <w:t>快进流速范围：0.1-2300ml/h，具有自动和手动快进可选；</w:t>
      </w:r>
    </w:p>
    <w:p>
      <w:pPr>
        <w:pStyle w:val="30"/>
        <w:numPr>
          <w:ilvl w:val="0"/>
          <w:numId w:val="12"/>
        </w:numPr>
        <w:spacing w:line="360" w:lineRule="auto"/>
        <w:ind w:firstLineChars="0"/>
        <w:rPr>
          <w:rFonts w:ascii="黑体" w:hAnsi="黑体" w:eastAsia="黑体"/>
          <w:b/>
          <w:bCs/>
        </w:rPr>
      </w:pPr>
      <w:r>
        <w:rPr>
          <w:rFonts w:hint="eastAsia" w:ascii="黑体" w:hAnsi="黑体" w:eastAsia="黑体"/>
          <w:b/>
          <w:bCs/>
        </w:rPr>
        <w:t>▲可自动统计四种累计量：24h累计量、最近累计量、自定义时间段累计量、定时间隔累计量</w:t>
      </w:r>
    </w:p>
    <w:p>
      <w:pPr>
        <w:pStyle w:val="30"/>
        <w:numPr>
          <w:ilvl w:val="0"/>
          <w:numId w:val="12"/>
        </w:numPr>
        <w:spacing w:line="360" w:lineRule="auto"/>
        <w:ind w:firstLineChars="0"/>
        <w:rPr>
          <w:rFonts w:ascii="黑体" w:hAnsi="黑体" w:eastAsia="黑体"/>
        </w:rPr>
      </w:pPr>
      <w:r>
        <w:rPr>
          <w:rFonts w:hint="eastAsia" w:ascii="黑体" w:hAnsi="黑体" w:eastAsia="黑体"/>
        </w:rPr>
        <w:t>全自动止液夹，安装或取出输液管时，无需任何操作，止液夹可自动关闭或打开</w:t>
      </w:r>
    </w:p>
    <w:p>
      <w:pPr>
        <w:pStyle w:val="30"/>
        <w:numPr>
          <w:ilvl w:val="0"/>
          <w:numId w:val="12"/>
        </w:numPr>
        <w:spacing w:line="360" w:lineRule="auto"/>
        <w:ind w:firstLineChars="0"/>
        <w:rPr>
          <w:rFonts w:ascii="黑体" w:hAnsi="黑体" w:eastAsia="黑体"/>
        </w:rPr>
      </w:pPr>
      <w:r>
        <w:rPr>
          <w:rFonts w:hint="eastAsia" w:ascii="黑体" w:hAnsi="黑体" w:eastAsia="黑体"/>
        </w:rPr>
        <w:t>无需额外工具或设备，可直接在输液泵添加输液器品牌名称</w:t>
      </w:r>
    </w:p>
    <w:p>
      <w:pPr>
        <w:pStyle w:val="30"/>
        <w:numPr>
          <w:ilvl w:val="0"/>
          <w:numId w:val="12"/>
        </w:numPr>
        <w:spacing w:line="360" w:lineRule="auto"/>
        <w:ind w:firstLineChars="0"/>
        <w:rPr>
          <w:rFonts w:ascii="黑体" w:hAnsi="黑体" w:eastAsia="黑体"/>
          <w:b/>
          <w:bCs/>
        </w:rPr>
      </w:pPr>
      <w:r>
        <w:rPr>
          <w:rFonts w:hint="eastAsia" w:ascii="黑体" w:hAnsi="黑体" w:eastAsia="黑体"/>
          <w:b/>
          <w:bCs/>
        </w:rPr>
        <w:t>▲9种输液模式：速度模式、时间模式、体重模式、梯度模式、序列模式、剂量时间模式、微量模式、点滴模式、和间断给药模式；具备联机功能</w:t>
      </w:r>
    </w:p>
    <w:p>
      <w:pPr>
        <w:pStyle w:val="30"/>
        <w:numPr>
          <w:ilvl w:val="0"/>
          <w:numId w:val="12"/>
        </w:numPr>
        <w:spacing w:line="360" w:lineRule="auto"/>
        <w:ind w:firstLineChars="0"/>
        <w:rPr>
          <w:rFonts w:ascii="黑体" w:hAnsi="黑体" w:eastAsia="黑体"/>
        </w:rPr>
      </w:pPr>
      <w:r>
        <w:rPr>
          <w:rFonts w:hint="eastAsia" w:ascii="黑体" w:hAnsi="黑体" w:eastAsia="黑体"/>
        </w:rPr>
        <w:t>不小于3.5英寸彩色显示屏，电容触摸屏技术，支持上下左右滑动操作</w:t>
      </w:r>
    </w:p>
    <w:p>
      <w:pPr>
        <w:pStyle w:val="30"/>
        <w:numPr>
          <w:ilvl w:val="0"/>
          <w:numId w:val="12"/>
        </w:numPr>
        <w:spacing w:line="360" w:lineRule="auto"/>
        <w:ind w:firstLineChars="0"/>
        <w:rPr>
          <w:rFonts w:ascii="黑体" w:hAnsi="黑体" w:eastAsia="黑体"/>
        </w:rPr>
      </w:pPr>
      <w:r>
        <w:rPr>
          <w:rFonts w:hint="eastAsia" w:ascii="黑体" w:hAnsi="黑体" w:eastAsia="黑体"/>
        </w:rPr>
        <w:t>全中文软件操作界面</w:t>
      </w:r>
    </w:p>
    <w:p>
      <w:pPr>
        <w:pStyle w:val="30"/>
        <w:numPr>
          <w:ilvl w:val="0"/>
          <w:numId w:val="12"/>
        </w:numPr>
        <w:spacing w:line="360" w:lineRule="auto"/>
        <w:ind w:firstLineChars="0"/>
        <w:rPr>
          <w:rFonts w:ascii="黑体" w:hAnsi="黑体" w:eastAsia="黑体"/>
        </w:rPr>
      </w:pPr>
      <w:r>
        <w:rPr>
          <w:rFonts w:hint="eastAsia" w:ascii="黑体" w:hAnsi="黑体" w:eastAsia="黑体"/>
        </w:rPr>
        <w:t>锁屏功能：支持自动锁屏，自动锁屏时间可调</w:t>
      </w:r>
    </w:p>
    <w:p>
      <w:pPr>
        <w:pStyle w:val="30"/>
        <w:numPr>
          <w:ilvl w:val="0"/>
          <w:numId w:val="12"/>
        </w:numPr>
        <w:spacing w:line="360" w:lineRule="auto"/>
        <w:ind w:firstLineChars="0"/>
        <w:rPr>
          <w:rFonts w:ascii="黑体" w:hAnsi="黑体" w:eastAsia="黑体"/>
        </w:rPr>
      </w:pPr>
      <w:r>
        <w:rPr>
          <w:rFonts w:hint="eastAsia" w:ascii="黑体" w:hAnsi="黑体" w:eastAsia="黑体"/>
        </w:rPr>
        <w:t>支持药物库，可储存5000种药物信息。</w:t>
      </w:r>
    </w:p>
    <w:p>
      <w:pPr>
        <w:pStyle w:val="30"/>
        <w:numPr>
          <w:ilvl w:val="0"/>
          <w:numId w:val="12"/>
        </w:numPr>
        <w:spacing w:line="360" w:lineRule="auto"/>
        <w:ind w:firstLineChars="0"/>
        <w:rPr>
          <w:rFonts w:ascii="黑体" w:hAnsi="黑体" w:eastAsia="黑体"/>
        </w:rPr>
      </w:pPr>
      <w:r>
        <w:rPr>
          <w:rFonts w:hint="eastAsia" w:ascii="黑体" w:hAnsi="黑体" w:eastAsia="黑体"/>
        </w:rPr>
        <w:t>支持药物色彩标识，选择不同类型药物时对应的药物色彩标识自动显示在屏幕上，支持10种以上颜色</w:t>
      </w:r>
    </w:p>
    <w:p>
      <w:pPr>
        <w:pStyle w:val="30"/>
        <w:numPr>
          <w:ilvl w:val="0"/>
          <w:numId w:val="12"/>
        </w:numPr>
        <w:spacing w:line="360" w:lineRule="auto"/>
        <w:ind w:firstLineChars="0"/>
        <w:rPr>
          <w:rFonts w:ascii="黑体" w:hAnsi="黑体" w:eastAsia="黑体"/>
        </w:rPr>
      </w:pPr>
      <w:r>
        <w:rPr>
          <w:rFonts w:hint="eastAsia" w:ascii="黑体" w:hAnsi="黑体" w:eastAsia="黑体"/>
        </w:rPr>
        <w:t>报警时可通过示意图片直观提示报警信息</w:t>
      </w:r>
    </w:p>
    <w:p>
      <w:pPr>
        <w:pStyle w:val="30"/>
        <w:numPr>
          <w:ilvl w:val="0"/>
          <w:numId w:val="12"/>
        </w:numPr>
        <w:spacing w:line="360" w:lineRule="auto"/>
        <w:ind w:firstLineChars="0"/>
        <w:rPr>
          <w:rFonts w:ascii="黑体" w:hAnsi="黑体" w:eastAsia="黑体"/>
        </w:rPr>
      </w:pPr>
      <w:r>
        <w:rPr>
          <w:rFonts w:hint="eastAsia" w:ascii="黑体" w:hAnsi="黑体" w:eastAsia="黑体"/>
        </w:rPr>
        <w:t>在线动态压力监测，可实时显示当前压力数值；</w:t>
      </w:r>
    </w:p>
    <w:p>
      <w:pPr>
        <w:pStyle w:val="30"/>
        <w:numPr>
          <w:ilvl w:val="0"/>
          <w:numId w:val="12"/>
        </w:numPr>
        <w:spacing w:line="360" w:lineRule="auto"/>
        <w:ind w:firstLineChars="0"/>
        <w:rPr>
          <w:rFonts w:ascii="黑体" w:hAnsi="黑体" w:eastAsia="黑体"/>
        </w:rPr>
      </w:pPr>
      <w:r>
        <w:rPr>
          <w:rFonts w:hint="eastAsia" w:ascii="黑体" w:hAnsi="黑体" w:eastAsia="黑体"/>
        </w:rPr>
        <w:t>压力报警阈值至少15档可调，最低50mmHg</w:t>
      </w:r>
    </w:p>
    <w:p>
      <w:pPr>
        <w:pStyle w:val="30"/>
        <w:numPr>
          <w:ilvl w:val="0"/>
          <w:numId w:val="12"/>
        </w:numPr>
        <w:spacing w:line="360" w:lineRule="auto"/>
        <w:ind w:firstLineChars="0"/>
        <w:rPr>
          <w:rFonts w:ascii="黑体" w:hAnsi="黑体" w:eastAsia="黑体"/>
        </w:rPr>
      </w:pPr>
      <w:r>
        <w:rPr>
          <w:rFonts w:hint="eastAsia" w:ascii="黑体" w:hAnsi="黑体" w:eastAsia="黑体"/>
        </w:rPr>
        <w:t>具备阻塞前预警提示功能，当管路压力未触发阻塞报警时，泵可自动识别压力上升并在屏幕上进行提示</w:t>
      </w:r>
    </w:p>
    <w:p>
      <w:pPr>
        <w:pStyle w:val="30"/>
        <w:numPr>
          <w:ilvl w:val="0"/>
          <w:numId w:val="12"/>
        </w:numPr>
        <w:spacing w:line="360" w:lineRule="auto"/>
        <w:ind w:firstLineChars="0"/>
        <w:rPr>
          <w:rFonts w:ascii="黑体" w:hAnsi="黑体" w:eastAsia="黑体"/>
          <w:b/>
          <w:bCs/>
        </w:rPr>
      </w:pPr>
      <w:r>
        <w:rPr>
          <w:rFonts w:hint="eastAsia" w:ascii="黑体" w:hAnsi="黑体" w:eastAsia="黑体"/>
          <w:b/>
          <w:bCs/>
        </w:rPr>
        <w:t>▲具备阻塞后自动重启输液功能，短暂性阻塞触发报警后，泵检测到阻塞压力缓解时，无需人为干预，泵自动重新启动输液</w:t>
      </w:r>
    </w:p>
    <w:p>
      <w:pPr>
        <w:pStyle w:val="30"/>
        <w:numPr>
          <w:ilvl w:val="0"/>
          <w:numId w:val="12"/>
        </w:numPr>
        <w:spacing w:line="360" w:lineRule="auto"/>
        <w:ind w:firstLineChars="0"/>
        <w:rPr>
          <w:rFonts w:ascii="黑体" w:hAnsi="黑体" w:eastAsia="黑体"/>
          <w:b/>
          <w:bCs/>
        </w:rPr>
      </w:pPr>
      <w:r>
        <w:rPr>
          <w:rFonts w:hint="eastAsia" w:ascii="黑体" w:hAnsi="黑体" w:eastAsia="黑体"/>
          <w:b/>
          <w:bCs/>
        </w:rPr>
        <w:t>▲具备双压力传感器，可检测管路上下端的压力变化</w:t>
      </w:r>
    </w:p>
    <w:p>
      <w:pPr>
        <w:pStyle w:val="30"/>
        <w:numPr>
          <w:ilvl w:val="0"/>
          <w:numId w:val="12"/>
        </w:numPr>
        <w:spacing w:line="360" w:lineRule="auto"/>
        <w:ind w:firstLineChars="0"/>
        <w:rPr>
          <w:rFonts w:ascii="黑体" w:hAnsi="黑体" w:eastAsia="黑体"/>
        </w:rPr>
      </w:pPr>
      <w:r>
        <w:rPr>
          <w:rFonts w:hint="eastAsia" w:ascii="黑体" w:hAnsi="黑体" w:eastAsia="黑体"/>
        </w:rPr>
        <w:t>具备双超声气泡检测技术，双重保障，防止气泡漏检漏报问题</w:t>
      </w:r>
    </w:p>
    <w:p>
      <w:pPr>
        <w:pStyle w:val="30"/>
        <w:numPr>
          <w:ilvl w:val="0"/>
          <w:numId w:val="12"/>
        </w:numPr>
        <w:spacing w:line="360" w:lineRule="auto"/>
        <w:ind w:firstLineChars="0"/>
        <w:rPr>
          <w:rFonts w:ascii="黑体" w:hAnsi="黑体" w:eastAsia="黑体"/>
        </w:rPr>
      </w:pPr>
      <w:r>
        <w:rPr>
          <w:rFonts w:hint="eastAsia" w:ascii="黑体" w:hAnsi="黑体" w:eastAsia="黑体"/>
        </w:rPr>
        <w:t>具备单个气泡和累积气泡报警功能，支持最小15μL的单个气泡报警</w:t>
      </w:r>
    </w:p>
    <w:p>
      <w:pPr>
        <w:pStyle w:val="30"/>
        <w:numPr>
          <w:ilvl w:val="0"/>
          <w:numId w:val="12"/>
        </w:numPr>
        <w:spacing w:line="360" w:lineRule="auto"/>
        <w:ind w:firstLineChars="0"/>
        <w:rPr>
          <w:rFonts w:ascii="黑体" w:hAnsi="黑体" w:eastAsia="黑体"/>
        </w:rPr>
      </w:pPr>
      <w:r>
        <w:rPr>
          <w:rFonts w:hint="eastAsia" w:ascii="黑体" w:hAnsi="黑体" w:eastAsia="黑体"/>
        </w:rPr>
        <w:t>无需滴数传感器，泵可自动识别空瓶状态并报警</w:t>
      </w:r>
    </w:p>
    <w:p>
      <w:pPr>
        <w:pStyle w:val="30"/>
        <w:numPr>
          <w:ilvl w:val="0"/>
          <w:numId w:val="12"/>
        </w:numPr>
        <w:spacing w:line="360" w:lineRule="auto"/>
        <w:ind w:firstLineChars="0"/>
        <w:rPr>
          <w:rFonts w:ascii="黑体" w:hAnsi="黑体" w:eastAsia="黑体"/>
        </w:rPr>
      </w:pPr>
      <w:r>
        <w:rPr>
          <w:rFonts w:hint="eastAsia" w:ascii="黑体" w:hAnsi="黑体" w:eastAsia="黑体"/>
        </w:rPr>
        <w:t>信息储存：可存储3500条的历史记录</w:t>
      </w:r>
    </w:p>
    <w:p>
      <w:pPr>
        <w:pStyle w:val="30"/>
        <w:numPr>
          <w:ilvl w:val="0"/>
          <w:numId w:val="12"/>
        </w:numPr>
        <w:spacing w:line="360" w:lineRule="auto"/>
        <w:ind w:firstLineChars="0"/>
        <w:rPr>
          <w:rFonts w:ascii="黑体" w:hAnsi="黑体" w:eastAsia="黑体"/>
        </w:rPr>
      </w:pPr>
      <w:r>
        <w:rPr>
          <w:rFonts w:hint="eastAsia" w:ascii="黑体" w:hAnsi="黑体" w:eastAsia="黑体"/>
        </w:rPr>
        <w:t>电池工作时间≥5小时@25ml/h</w:t>
      </w:r>
    </w:p>
    <w:p>
      <w:pPr>
        <w:pStyle w:val="30"/>
        <w:numPr>
          <w:ilvl w:val="0"/>
          <w:numId w:val="12"/>
        </w:numPr>
        <w:spacing w:line="360" w:lineRule="auto"/>
        <w:ind w:firstLineChars="0"/>
        <w:rPr>
          <w:rFonts w:ascii="黑体" w:hAnsi="黑体" w:eastAsia="黑体"/>
        </w:rPr>
      </w:pPr>
      <w:r>
        <w:rPr>
          <w:rFonts w:hint="eastAsia" w:ascii="黑体" w:hAnsi="黑体" w:eastAsia="黑体"/>
        </w:rPr>
        <w:t>防异物及进液等级IP33</w:t>
      </w:r>
    </w:p>
    <w:p>
      <w:pPr>
        <w:spacing w:line="360" w:lineRule="auto"/>
        <w:rPr>
          <w:rFonts w:ascii="黑体" w:hAnsi="黑体" w:eastAsia="黑体"/>
          <w:szCs w:val="21"/>
        </w:rPr>
      </w:pPr>
      <w:r>
        <w:rPr>
          <w:rFonts w:hint="eastAsia" w:ascii="黑体" w:hAnsi="黑体" w:eastAsia="黑体"/>
          <w:szCs w:val="21"/>
        </w:rPr>
        <w:t>配置清单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0"/>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cs="宋体"/>
                <w:w w:val="99"/>
                <w:szCs w:val="21"/>
              </w:rPr>
            </w:pPr>
            <w:r>
              <w:rPr>
                <w:rFonts w:hint="eastAsia" w:ascii="黑体" w:hAnsi="黑体" w:eastAsia="黑体"/>
                <w:szCs w:val="21"/>
              </w:rPr>
              <w:t>输液泵主机</w:t>
            </w:r>
          </w:p>
        </w:tc>
        <w:tc>
          <w:tcPr>
            <w:tcW w:w="1601" w:type="pct"/>
          </w:tcPr>
          <w:p>
            <w:pPr>
              <w:spacing w:line="360" w:lineRule="auto"/>
              <w:jc w:val="center"/>
              <w:rPr>
                <w:rFonts w:ascii="黑体" w:hAnsi="黑体" w:eastAsia="黑体" w:cs="宋体"/>
                <w:w w:val="99"/>
                <w:szCs w:val="21"/>
              </w:rPr>
            </w:pPr>
            <w:r>
              <w:rPr>
                <w:rFonts w:ascii="黑体" w:hAnsi="黑体" w:eastAsia="黑体"/>
                <w:szCs w:val="21"/>
              </w:rPr>
              <w:t>1</w:t>
            </w:r>
            <w:r>
              <w:rPr>
                <w:rFonts w:hint="eastAsia" w:ascii="黑体" w:hAnsi="黑体" w:eastAsia="黑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cs="宋体"/>
                <w:w w:val="99"/>
                <w:szCs w:val="21"/>
              </w:rPr>
            </w:pPr>
            <w:r>
              <w:rPr>
                <w:rFonts w:hint="eastAsia" w:ascii="黑体" w:hAnsi="黑体" w:eastAsia="黑体"/>
                <w:szCs w:val="21"/>
              </w:rPr>
              <w:t>电源线</w:t>
            </w:r>
          </w:p>
        </w:tc>
        <w:tc>
          <w:tcPr>
            <w:tcW w:w="1601" w:type="pct"/>
          </w:tcPr>
          <w:p>
            <w:pPr>
              <w:spacing w:line="360" w:lineRule="auto"/>
              <w:jc w:val="center"/>
              <w:rPr>
                <w:rFonts w:ascii="黑体" w:hAnsi="黑体" w:eastAsia="黑体" w:cs="宋体"/>
                <w:w w:val="99"/>
                <w:szCs w:val="21"/>
              </w:rPr>
            </w:pPr>
            <w:r>
              <w:rPr>
                <w:rFonts w:ascii="黑体" w:hAnsi="黑体" w:eastAsia="黑体"/>
                <w:szCs w:val="21"/>
              </w:rPr>
              <w:t>1</w:t>
            </w:r>
            <w:r>
              <w:rPr>
                <w:rFonts w:hint="eastAsia" w:ascii="黑体" w:hAnsi="黑体" w:eastAsia="黑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cs="宋体"/>
                <w:w w:val="99"/>
                <w:szCs w:val="21"/>
              </w:rPr>
            </w:pPr>
            <w:r>
              <w:rPr>
                <w:rFonts w:hint="eastAsia" w:ascii="黑体" w:hAnsi="黑体" w:eastAsia="黑体"/>
                <w:szCs w:val="21"/>
              </w:rPr>
              <w:t>说明书</w:t>
            </w:r>
          </w:p>
        </w:tc>
        <w:tc>
          <w:tcPr>
            <w:tcW w:w="1601" w:type="pct"/>
          </w:tcPr>
          <w:p>
            <w:pPr>
              <w:spacing w:line="360" w:lineRule="auto"/>
              <w:jc w:val="center"/>
              <w:rPr>
                <w:rFonts w:ascii="黑体" w:hAnsi="黑体" w:eastAsia="黑体" w:cs="宋体"/>
                <w:w w:val="99"/>
                <w:szCs w:val="21"/>
              </w:rPr>
            </w:pPr>
            <w:r>
              <w:rPr>
                <w:rFonts w:ascii="黑体" w:hAnsi="黑体" w:eastAsia="黑体"/>
                <w:szCs w:val="21"/>
              </w:rPr>
              <w:t>1</w:t>
            </w:r>
            <w:r>
              <w:rPr>
                <w:rFonts w:hint="eastAsia" w:ascii="黑体" w:hAnsi="黑体" w:eastAsia="黑体"/>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cs="宋体"/>
                <w:w w:val="99"/>
                <w:szCs w:val="21"/>
              </w:rPr>
            </w:pPr>
            <w:r>
              <w:rPr>
                <w:rFonts w:hint="eastAsia" w:ascii="黑体" w:hAnsi="黑体" w:eastAsia="黑体"/>
                <w:szCs w:val="21"/>
              </w:rPr>
              <w:t>合格证</w:t>
            </w:r>
          </w:p>
        </w:tc>
        <w:tc>
          <w:tcPr>
            <w:tcW w:w="1601" w:type="pct"/>
          </w:tcPr>
          <w:p>
            <w:pPr>
              <w:spacing w:line="360" w:lineRule="auto"/>
              <w:jc w:val="center"/>
              <w:rPr>
                <w:rFonts w:ascii="黑体" w:hAnsi="黑体" w:eastAsia="黑体" w:cs="宋体"/>
                <w:w w:val="99"/>
                <w:szCs w:val="21"/>
              </w:rPr>
            </w:pPr>
            <w:r>
              <w:rPr>
                <w:rFonts w:ascii="黑体" w:hAnsi="黑体" w:eastAsia="黑体"/>
                <w:szCs w:val="21"/>
              </w:rPr>
              <w:t>1</w:t>
            </w:r>
            <w:r>
              <w:rPr>
                <w:rFonts w:hint="eastAsia" w:ascii="黑体" w:hAnsi="黑体" w:eastAsia="黑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cs="宋体"/>
                <w:w w:val="99"/>
                <w:szCs w:val="21"/>
              </w:rPr>
            </w:pPr>
            <w:r>
              <w:rPr>
                <w:rFonts w:hint="eastAsia" w:ascii="黑体" w:hAnsi="黑体" w:eastAsia="黑体"/>
                <w:szCs w:val="21"/>
              </w:rPr>
              <w:t>固定夹</w:t>
            </w:r>
          </w:p>
        </w:tc>
        <w:tc>
          <w:tcPr>
            <w:tcW w:w="1601" w:type="pct"/>
          </w:tcPr>
          <w:p>
            <w:pPr>
              <w:spacing w:line="360" w:lineRule="auto"/>
              <w:jc w:val="center"/>
              <w:rPr>
                <w:rFonts w:ascii="黑体" w:hAnsi="黑体" w:eastAsia="黑体" w:cs="宋体"/>
                <w:w w:val="99"/>
                <w:szCs w:val="21"/>
              </w:rPr>
            </w:pPr>
            <w:r>
              <w:rPr>
                <w:rFonts w:ascii="黑体" w:hAnsi="黑体" w:eastAsia="黑体"/>
                <w:szCs w:val="21"/>
              </w:rPr>
              <w:t>1</w:t>
            </w:r>
            <w:r>
              <w:rPr>
                <w:rFonts w:hint="eastAsia" w:ascii="黑体" w:hAnsi="黑体" w:eastAsia="黑体"/>
                <w:szCs w:val="21"/>
              </w:rPr>
              <w:t>套</w:t>
            </w:r>
          </w:p>
        </w:tc>
      </w:tr>
    </w:tbl>
    <w:p>
      <w:pPr>
        <w:spacing w:line="360" w:lineRule="auto"/>
        <w:rPr>
          <w:rFonts w:ascii="黑体" w:hAnsi="黑体" w:eastAsia="黑体"/>
          <w:b/>
          <w:bCs/>
          <w:szCs w:val="21"/>
        </w:rPr>
      </w:pPr>
    </w:p>
    <w:p>
      <w:pPr>
        <w:pageBreakBefore/>
        <w:spacing w:line="360" w:lineRule="auto"/>
        <w:rPr>
          <w:rFonts w:ascii="黑体" w:hAnsi="黑体" w:eastAsia="黑体"/>
          <w:b/>
          <w:bCs/>
          <w:szCs w:val="21"/>
        </w:rPr>
      </w:pPr>
      <w:r>
        <w:rPr>
          <w:rFonts w:hint="eastAsia" w:ascii="黑体" w:hAnsi="黑体" w:eastAsia="黑体"/>
          <w:b/>
          <w:bCs/>
          <w:szCs w:val="21"/>
        </w:rPr>
        <w:t>（三）体外振动排痰机（振动式物理治疗仪）</w:t>
      </w:r>
    </w:p>
    <w:p>
      <w:pPr>
        <w:spacing w:line="360" w:lineRule="auto"/>
        <w:rPr>
          <w:rFonts w:ascii="黑体" w:hAnsi="黑体" w:eastAsia="黑体"/>
        </w:rPr>
      </w:pPr>
      <w:r>
        <w:rPr>
          <w:rFonts w:hint="eastAsia" w:ascii="黑体" w:hAnsi="黑体" w:eastAsia="黑体"/>
        </w:rPr>
        <w:t>1.适应范围：适用于多种原因引起的呼吸道分泌物增多、排出不畅的患者，辅助患者痰液的排出。预防、减少呼吸系统并发症的发生。</w:t>
      </w:r>
    </w:p>
    <w:p>
      <w:pPr>
        <w:spacing w:line="360" w:lineRule="auto"/>
        <w:rPr>
          <w:rFonts w:ascii="黑体" w:hAnsi="黑体" w:eastAsia="黑体"/>
        </w:rPr>
      </w:pPr>
      <w:r>
        <w:rPr>
          <w:rFonts w:hint="eastAsia" w:ascii="黑体" w:hAnsi="黑体" w:eastAsia="黑体"/>
        </w:rPr>
        <w:t>2.产品组成：主机、双空气导管、背心式气囊、线控器</w:t>
      </w:r>
    </w:p>
    <w:p>
      <w:pPr>
        <w:spacing w:line="360" w:lineRule="auto"/>
        <w:rPr>
          <w:rFonts w:ascii="黑体" w:hAnsi="黑体" w:eastAsia="黑体"/>
          <w:b/>
          <w:bCs/>
        </w:rPr>
      </w:pPr>
      <w:r>
        <w:rPr>
          <w:rFonts w:hint="eastAsia" w:ascii="黑体" w:hAnsi="黑体" w:eastAsia="黑体"/>
          <w:b/>
          <w:bCs/>
        </w:rPr>
        <w:t>3.▲压力范围：3-30mmHg，步进1mmHg，压力27级可调</w:t>
      </w:r>
    </w:p>
    <w:p>
      <w:pPr>
        <w:spacing w:line="360" w:lineRule="auto"/>
        <w:rPr>
          <w:rFonts w:ascii="黑体" w:hAnsi="黑体" w:eastAsia="黑体"/>
        </w:rPr>
      </w:pPr>
      <w:r>
        <w:rPr>
          <w:rFonts w:hint="eastAsia" w:ascii="黑体" w:hAnsi="黑体" w:eastAsia="黑体"/>
        </w:rPr>
        <w:t>4.工作频率：1-20Hz</w:t>
      </w:r>
    </w:p>
    <w:p>
      <w:pPr>
        <w:spacing w:line="360" w:lineRule="auto"/>
        <w:rPr>
          <w:rFonts w:ascii="黑体" w:hAnsi="黑体" w:eastAsia="黑体"/>
          <w:b/>
          <w:bCs/>
        </w:rPr>
      </w:pPr>
      <w:r>
        <w:rPr>
          <w:rFonts w:hint="eastAsia" w:ascii="黑体" w:hAnsi="黑体" w:eastAsia="黑体"/>
          <w:b/>
          <w:bCs/>
        </w:rPr>
        <w:t>5.工作噪声：正常工作≤65dB(A)，最大功率工作≤75dB(A)</w:t>
      </w:r>
    </w:p>
    <w:p>
      <w:pPr>
        <w:spacing w:line="360" w:lineRule="auto"/>
        <w:rPr>
          <w:rFonts w:ascii="黑体" w:hAnsi="黑体" w:eastAsia="黑体"/>
        </w:rPr>
      </w:pPr>
      <w:r>
        <w:rPr>
          <w:rFonts w:hint="eastAsia" w:ascii="黑体" w:hAnsi="黑体" w:eastAsia="黑体"/>
        </w:rPr>
        <w:t>5.时间调节：1-99min</w:t>
      </w:r>
    </w:p>
    <w:p>
      <w:pPr>
        <w:spacing w:line="360" w:lineRule="auto"/>
        <w:rPr>
          <w:rFonts w:ascii="黑体" w:hAnsi="黑体" w:eastAsia="黑体"/>
          <w:b/>
          <w:bCs/>
        </w:rPr>
      </w:pPr>
      <w:r>
        <w:rPr>
          <w:rFonts w:hint="eastAsia" w:ascii="黑体" w:hAnsi="黑体" w:eastAsia="黑体"/>
          <w:b/>
          <w:bCs/>
        </w:rPr>
        <w:t>6.▲操作模式：7.2英寸液晶触摸屏和参数设置旋钮同步操作，同时具有紧急机械停止按键</w:t>
      </w:r>
    </w:p>
    <w:p>
      <w:pPr>
        <w:spacing w:line="360" w:lineRule="auto"/>
        <w:rPr>
          <w:rFonts w:ascii="黑体" w:hAnsi="黑体" w:eastAsia="黑体"/>
        </w:rPr>
      </w:pPr>
      <w:r>
        <w:rPr>
          <w:rFonts w:hint="eastAsia" w:ascii="黑体" w:hAnsi="黑体" w:eastAsia="黑体"/>
        </w:rPr>
        <w:t>7.工作模式：</w:t>
      </w:r>
    </w:p>
    <w:p>
      <w:pPr>
        <w:spacing w:line="360" w:lineRule="auto"/>
        <w:rPr>
          <w:rFonts w:ascii="黑体" w:hAnsi="黑体" w:eastAsia="黑体"/>
        </w:rPr>
      </w:pPr>
      <w:r>
        <w:rPr>
          <w:rFonts w:ascii="黑体" w:hAnsi="黑体" w:eastAsia="黑体"/>
        </w:rPr>
        <w:t>①</w:t>
      </w:r>
      <w:r>
        <w:rPr>
          <w:rFonts w:hint="eastAsia" w:ascii="黑体" w:hAnsi="黑体" w:eastAsia="黑体"/>
        </w:rPr>
        <w:t>常规模式，自动保存上次治疗参数，下次直接使用</w:t>
      </w:r>
    </w:p>
    <w:p>
      <w:pPr>
        <w:spacing w:line="360" w:lineRule="auto"/>
        <w:rPr>
          <w:rFonts w:ascii="黑体" w:hAnsi="黑体" w:eastAsia="黑体"/>
        </w:rPr>
      </w:pPr>
      <w:r>
        <w:rPr>
          <w:rFonts w:ascii="黑体" w:hAnsi="黑体" w:eastAsia="黑体"/>
        </w:rPr>
        <w:t>②</w:t>
      </w:r>
      <w:r>
        <w:rPr>
          <w:rFonts w:hint="eastAsia" w:ascii="黑体" w:hAnsi="黑体" w:eastAsia="黑体"/>
        </w:rPr>
        <w:t>循环模式，有根据不同体型设置的三种循环模式</w:t>
      </w:r>
    </w:p>
    <w:p>
      <w:pPr>
        <w:spacing w:line="360" w:lineRule="auto"/>
        <w:rPr>
          <w:rFonts w:ascii="黑体" w:hAnsi="黑体" w:eastAsia="黑体"/>
        </w:rPr>
      </w:pPr>
      <w:r>
        <w:rPr>
          <w:rFonts w:ascii="黑体" w:hAnsi="黑体" w:eastAsia="黑体"/>
        </w:rPr>
        <w:t>③</w:t>
      </w:r>
      <w:r>
        <w:rPr>
          <w:rFonts w:hint="eastAsia" w:ascii="黑体" w:hAnsi="黑体" w:eastAsia="黑体"/>
        </w:rPr>
        <w:t>梯度模式，有根据不同体型设置的三种梯度模式</w:t>
      </w:r>
    </w:p>
    <w:p>
      <w:pPr>
        <w:spacing w:line="360" w:lineRule="auto"/>
        <w:rPr>
          <w:rFonts w:ascii="黑体" w:hAnsi="黑体" w:eastAsia="黑体"/>
        </w:rPr>
      </w:pPr>
      <w:r>
        <w:rPr>
          <w:rFonts w:hint="eastAsia" w:ascii="黑体" w:hAnsi="黑体" w:eastAsia="黑体"/>
        </w:rPr>
        <w:t>④自定义模式，可根据治疗具体差别，自定义更改治疗模式</w:t>
      </w:r>
    </w:p>
    <w:p>
      <w:pPr>
        <w:spacing w:line="360" w:lineRule="auto"/>
        <w:rPr>
          <w:rFonts w:ascii="黑体" w:hAnsi="黑体" w:eastAsia="黑体"/>
        </w:rPr>
      </w:pPr>
      <w:r>
        <w:rPr>
          <w:rFonts w:hint="eastAsia" w:ascii="黑体" w:hAnsi="黑体" w:eastAsia="黑体"/>
        </w:rPr>
        <w:t>8.线控手柄功能：可通过线控手柄中断或恢复振动排痰</w:t>
      </w:r>
    </w:p>
    <w:p>
      <w:pPr>
        <w:spacing w:line="360" w:lineRule="auto"/>
        <w:rPr>
          <w:rFonts w:ascii="黑体" w:hAnsi="黑体" w:eastAsia="黑体"/>
          <w:b/>
          <w:bCs/>
        </w:rPr>
      </w:pPr>
      <w:r>
        <w:rPr>
          <w:rFonts w:hint="eastAsia" w:ascii="黑体" w:hAnsi="黑体" w:eastAsia="黑体"/>
          <w:b/>
          <w:bCs/>
        </w:rPr>
        <w:t>9.▲压力与频率自动调节功能：可实现治疗压力和治疗频率自动检测、反馈、和调节功能，保证患者治疗过程中的安全性</w:t>
      </w:r>
    </w:p>
    <w:p>
      <w:pPr>
        <w:spacing w:line="360" w:lineRule="auto"/>
        <w:rPr>
          <w:rFonts w:ascii="黑体" w:hAnsi="黑体" w:eastAsia="黑体"/>
        </w:rPr>
      </w:pPr>
      <w:r>
        <w:rPr>
          <w:rFonts w:hint="eastAsia" w:ascii="黑体" w:hAnsi="黑体" w:eastAsia="黑体"/>
        </w:rPr>
        <w:t>10.治疗信息储存查询功能：具有储存和查询患者历史治疗信息的功能</w:t>
      </w:r>
    </w:p>
    <w:p>
      <w:pPr>
        <w:spacing w:line="360" w:lineRule="auto"/>
        <w:rPr>
          <w:rFonts w:ascii="黑体" w:hAnsi="黑体" w:eastAsia="黑体"/>
        </w:rPr>
      </w:pPr>
      <w:r>
        <w:rPr>
          <w:rFonts w:hint="eastAsia" w:ascii="黑体" w:hAnsi="黑体" w:eastAsia="黑体"/>
        </w:rPr>
        <w:t>11.空气导管配置：双空气导管，可自动锁定</w:t>
      </w:r>
    </w:p>
    <w:p>
      <w:pPr>
        <w:spacing w:line="360" w:lineRule="auto"/>
        <w:rPr>
          <w:rFonts w:ascii="黑体" w:hAnsi="黑体" w:eastAsia="黑体"/>
        </w:rPr>
      </w:pPr>
      <w:r>
        <w:rPr>
          <w:rFonts w:hint="eastAsia" w:ascii="黑体" w:hAnsi="黑体" w:eastAsia="黑体"/>
        </w:rPr>
        <w:t>12.背心气囊类型：背心式或胸带式气囊，各种规格型号可选</w:t>
      </w:r>
    </w:p>
    <w:p>
      <w:pPr>
        <w:spacing w:line="360" w:lineRule="auto"/>
        <w:rPr>
          <w:rFonts w:ascii="黑体" w:hAnsi="黑体" w:eastAsia="黑体"/>
        </w:rPr>
      </w:pPr>
      <w:r>
        <w:rPr>
          <w:rFonts w:hint="eastAsia" w:ascii="黑体" w:hAnsi="黑体" w:eastAsia="黑体"/>
        </w:rPr>
        <w:t>13背心气囊设计：背心气囊可拆卸式设计，外层可干洗和机洗，洗后可与内层气囊重新组装</w:t>
      </w:r>
    </w:p>
    <w:p>
      <w:pPr>
        <w:spacing w:line="360" w:lineRule="auto"/>
        <w:rPr>
          <w:rFonts w:ascii="黑体" w:hAnsi="黑体" w:eastAsia="黑体"/>
        </w:rPr>
      </w:pPr>
      <w:r>
        <w:rPr>
          <w:rFonts w:hint="eastAsia" w:ascii="黑体" w:hAnsi="黑体" w:eastAsia="黑体"/>
        </w:rPr>
        <w:t>背心气囊内衬：可选择一次性使用气囊内衬，避免交叉污染</w:t>
      </w:r>
    </w:p>
    <w:p>
      <w:pPr>
        <w:spacing w:line="360" w:lineRule="auto"/>
        <w:rPr>
          <w:rFonts w:ascii="黑体" w:hAnsi="黑体" w:eastAsia="黑体"/>
        </w:rPr>
      </w:pPr>
      <w:r>
        <w:rPr>
          <w:rFonts w:hint="eastAsia" w:ascii="黑体" w:hAnsi="黑体" w:eastAsia="黑体"/>
        </w:rPr>
        <w:t>配置清单：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0"/>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高频振动排痰系统</w:t>
            </w:r>
          </w:p>
        </w:tc>
        <w:tc>
          <w:tcPr>
            <w:tcW w:w="1601" w:type="pct"/>
          </w:tcPr>
          <w:p>
            <w:pPr>
              <w:spacing w:line="360" w:lineRule="auto"/>
              <w:jc w:val="center"/>
              <w:rPr>
                <w:rFonts w:ascii="黑体" w:hAnsi="黑体" w:eastAsia="黑体"/>
              </w:rPr>
            </w:pPr>
            <w:r>
              <w:rPr>
                <w:rFonts w:hint="eastAsia" w:ascii="黑体" w:hAnsi="黑体" w:eastAsia="黑体"/>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空气导</w:t>
            </w:r>
          </w:p>
        </w:tc>
        <w:tc>
          <w:tcPr>
            <w:tcW w:w="1601" w:type="pct"/>
          </w:tcPr>
          <w:p>
            <w:pPr>
              <w:spacing w:line="360" w:lineRule="auto"/>
              <w:jc w:val="center"/>
              <w:rPr>
                <w:rFonts w:ascii="黑体" w:hAnsi="黑体" w:eastAsia="黑体"/>
              </w:rPr>
            </w:pPr>
            <w:r>
              <w:rPr>
                <w:rFonts w:hint="eastAsia" w:ascii="黑体" w:hAnsi="黑体" w:eastAsia="黑体"/>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线控开关</w:t>
            </w:r>
          </w:p>
        </w:tc>
        <w:tc>
          <w:tcPr>
            <w:tcW w:w="1601" w:type="pct"/>
          </w:tcPr>
          <w:p>
            <w:pPr>
              <w:spacing w:line="360" w:lineRule="auto"/>
              <w:jc w:val="center"/>
              <w:rPr>
                <w:rFonts w:ascii="黑体" w:hAnsi="黑体" w:eastAsia="黑体"/>
              </w:rPr>
            </w:pPr>
            <w:r>
              <w:rPr>
                <w:rFonts w:hint="eastAsia" w:ascii="黑体" w:hAnsi="黑体" w:eastAsia="黑体"/>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电源线</w:t>
            </w:r>
          </w:p>
        </w:tc>
        <w:tc>
          <w:tcPr>
            <w:tcW w:w="1601" w:type="pct"/>
          </w:tcPr>
          <w:p>
            <w:pPr>
              <w:spacing w:line="360" w:lineRule="auto"/>
              <w:jc w:val="center"/>
              <w:rPr>
                <w:rFonts w:ascii="黑体" w:hAnsi="黑体" w:eastAsia="黑体"/>
              </w:rPr>
            </w:pPr>
            <w:r>
              <w:rPr>
                <w:rFonts w:hint="eastAsia" w:ascii="黑体" w:hAnsi="黑体" w:eastAsia="黑体"/>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3.15A熔断器</w:t>
            </w:r>
          </w:p>
        </w:tc>
        <w:tc>
          <w:tcPr>
            <w:tcW w:w="1601" w:type="pct"/>
          </w:tcPr>
          <w:p>
            <w:pPr>
              <w:spacing w:line="360" w:lineRule="auto"/>
              <w:jc w:val="center"/>
              <w:rPr>
                <w:rFonts w:ascii="黑体" w:hAnsi="黑体" w:eastAsia="黑体"/>
              </w:rPr>
            </w:pPr>
            <w:r>
              <w:rPr>
                <w:rFonts w:hint="eastAsia" w:ascii="黑体" w:hAnsi="黑体" w:eastAsia="黑体"/>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产品说明书</w:t>
            </w:r>
          </w:p>
        </w:tc>
        <w:tc>
          <w:tcPr>
            <w:tcW w:w="1601" w:type="pct"/>
          </w:tcPr>
          <w:p>
            <w:pPr>
              <w:spacing w:line="360" w:lineRule="auto"/>
              <w:jc w:val="center"/>
              <w:rPr>
                <w:rFonts w:ascii="黑体" w:hAnsi="黑体" w:eastAsia="黑体"/>
              </w:rPr>
            </w:pPr>
            <w:r>
              <w:rPr>
                <w:rFonts w:hint="eastAsia" w:ascii="黑体" w:hAnsi="黑体" w:eastAsia="黑体"/>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操作指南</w:t>
            </w:r>
          </w:p>
        </w:tc>
        <w:tc>
          <w:tcPr>
            <w:tcW w:w="1601" w:type="pct"/>
          </w:tcPr>
          <w:p>
            <w:pPr>
              <w:spacing w:line="360" w:lineRule="auto"/>
              <w:jc w:val="center"/>
              <w:rPr>
                <w:rFonts w:ascii="黑体" w:hAnsi="黑体" w:eastAsia="黑体"/>
              </w:rPr>
            </w:pPr>
            <w:r>
              <w:rPr>
                <w:rFonts w:hint="eastAsia" w:ascii="黑体" w:hAnsi="黑体" w:eastAsia="黑体"/>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保修卡</w:t>
            </w:r>
          </w:p>
        </w:tc>
        <w:tc>
          <w:tcPr>
            <w:tcW w:w="1601" w:type="pct"/>
          </w:tcPr>
          <w:p>
            <w:pPr>
              <w:spacing w:line="360" w:lineRule="auto"/>
              <w:jc w:val="center"/>
              <w:rPr>
                <w:rFonts w:ascii="黑体" w:hAnsi="黑体" w:eastAsia="黑体"/>
              </w:rPr>
            </w:pPr>
            <w:r>
              <w:rPr>
                <w:rFonts w:hint="eastAsia" w:ascii="黑体" w:hAnsi="黑体" w:eastAsia="黑体"/>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合格证</w:t>
            </w:r>
          </w:p>
        </w:tc>
        <w:tc>
          <w:tcPr>
            <w:tcW w:w="1601" w:type="pct"/>
          </w:tcPr>
          <w:p>
            <w:pPr>
              <w:spacing w:line="360" w:lineRule="auto"/>
              <w:jc w:val="center"/>
              <w:rPr>
                <w:rFonts w:ascii="黑体" w:hAnsi="黑体" w:eastAsia="黑体"/>
              </w:rPr>
            </w:pPr>
            <w:r>
              <w:rPr>
                <w:rFonts w:hint="eastAsia" w:ascii="黑体" w:hAnsi="黑体" w:eastAsia="黑体"/>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珠形束线带</w:t>
            </w:r>
          </w:p>
        </w:tc>
        <w:tc>
          <w:tcPr>
            <w:tcW w:w="1601" w:type="pct"/>
          </w:tcPr>
          <w:p>
            <w:pPr>
              <w:spacing w:line="360" w:lineRule="auto"/>
              <w:jc w:val="center"/>
              <w:rPr>
                <w:rFonts w:ascii="黑体" w:hAnsi="黑体" w:eastAsia="黑体"/>
              </w:rPr>
            </w:pPr>
            <w:r>
              <w:rPr>
                <w:rFonts w:hint="eastAsia" w:ascii="黑体" w:hAnsi="黑体" w:eastAsia="黑体"/>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pct"/>
          </w:tcPr>
          <w:p>
            <w:pPr>
              <w:spacing w:line="360" w:lineRule="auto"/>
              <w:rPr>
                <w:rFonts w:ascii="黑体" w:hAnsi="黑体" w:eastAsia="黑体"/>
              </w:rPr>
            </w:pPr>
            <w:r>
              <w:rPr>
                <w:rFonts w:hint="eastAsia" w:ascii="黑体" w:hAnsi="黑体" w:eastAsia="黑体"/>
              </w:rPr>
              <w:t>排痰背心</w:t>
            </w:r>
          </w:p>
        </w:tc>
        <w:tc>
          <w:tcPr>
            <w:tcW w:w="1601" w:type="pct"/>
          </w:tcPr>
          <w:p>
            <w:pPr>
              <w:spacing w:line="360" w:lineRule="auto"/>
              <w:jc w:val="center"/>
              <w:rPr>
                <w:rFonts w:ascii="黑体" w:hAnsi="黑体" w:eastAsia="黑体"/>
              </w:rPr>
            </w:pPr>
            <w:r>
              <w:rPr>
                <w:rFonts w:hint="eastAsia" w:ascii="黑体" w:hAnsi="黑体" w:eastAsia="黑体"/>
              </w:rPr>
              <w:t>各1个（大号和中号）</w:t>
            </w:r>
          </w:p>
        </w:tc>
      </w:tr>
    </w:tbl>
    <w:p>
      <w:pPr>
        <w:spacing w:line="360" w:lineRule="auto"/>
        <w:rPr>
          <w:rFonts w:ascii="黑体" w:hAnsi="黑体" w:eastAsia="黑体"/>
          <w:b/>
          <w:bCs/>
          <w:szCs w:val="21"/>
        </w:rPr>
      </w:pPr>
    </w:p>
    <w:p>
      <w:pPr>
        <w:pageBreakBefore/>
        <w:spacing w:line="360" w:lineRule="auto"/>
        <w:rPr>
          <w:rFonts w:ascii="黑体" w:hAnsi="黑体" w:eastAsia="黑体"/>
          <w:b/>
          <w:bCs/>
          <w:szCs w:val="21"/>
        </w:rPr>
      </w:pPr>
      <w:r>
        <w:rPr>
          <w:rFonts w:hint="eastAsia" w:ascii="黑体" w:hAnsi="黑体" w:eastAsia="黑体"/>
          <w:b/>
          <w:bCs/>
          <w:szCs w:val="21"/>
        </w:rPr>
        <w:t>（四）医用控温仪</w:t>
      </w:r>
    </w:p>
    <w:p>
      <w:pPr>
        <w:spacing w:line="360" w:lineRule="auto"/>
        <w:rPr>
          <w:rFonts w:ascii="黑体" w:hAnsi="黑体" w:eastAsia="黑体"/>
          <w:szCs w:val="21"/>
        </w:rPr>
      </w:pPr>
      <w:r>
        <w:rPr>
          <w:rFonts w:hint="eastAsia" w:ascii="黑体" w:hAnsi="黑体" w:eastAsia="黑体"/>
          <w:szCs w:val="21"/>
        </w:rPr>
        <w:t>1、配置要求：主机、控温毯1条、控温帽1个,传感器4条</w:t>
      </w:r>
    </w:p>
    <w:p>
      <w:pPr>
        <w:spacing w:line="360" w:lineRule="auto"/>
        <w:rPr>
          <w:rFonts w:ascii="黑体" w:hAnsi="黑体" w:eastAsia="黑体"/>
          <w:szCs w:val="21"/>
        </w:rPr>
      </w:pPr>
      <w:r>
        <w:rPr>
          <w:rFonts w:hint="eastAsia" w:ascii="黑体" w:hAnsi="黑体" w:eastAsia="黑体"/>
          <w:szCs w:val="21"/>
        </w:rPr>
        <w:t>2、安全</w:t>
      </w:r>
    </w:p>
    <w:p>
      <w:pPr>
        <w:spacing w:line="360" w:lineRule="auto"/>
        <w:rPr>
          <w:rFonts w:ascii="黑体" w:hAnsi="黑体" w:eastAsia="黑体"/>
          <w:szCs w:val="21"/>
        </w:rPr>
      </w:pPr>
      <w:r>
        <w:rPr>
          <w:rFonts w:hint="eastAsia" w:ascii="黑体" w:hAnsi="黑体" w:eastAsia="黑体"/>
          <w:szCs w:val="21"/>
        </w:rPr>
        <w:t>2.3通过全项目电磁兼容EMC检测，抗电磁干扰能力强。符合YY0505-2012标准，并可提供专业权威机构出具的检测报告。</w:t>
      </w:r>
    </w:p>
    <w:p>
      <w:pPr>
        <w:spacing w:line="360" w:lineRule="auto"/>
        <w:rPr>
          <w:rFonts w:ascii="黑体" w:hAnsi="黑体" w:eastAsia="黑体"/>
          <w:szCs w:val="21"/>
        </w:rPr>
      </w:pPr>
      <w:r>
        <w:rPr>
          <w:rFonts w:hint="eastAsia" w:ascii="黑体" w:hAnsi="黑体" w:eastAsia="黑体"/>
          <w:szCs w:val="21"/>
        </w:rPr>
        <w:t>3、主机性能特点</w:t>
      </w:r>
    </w:p>
    <w:p>
      <w:pPr>
        <w:spacing w:line="360" w:lineRule="auto"/>
        <w:rPr>
          <w:rFonts w:ascii="黑体" w:hAnsi="黑体" w:eastAsia="黑体"/>
          <w:szCs w:val="21"/>
        </w:rPr>
      </w:pPr>
      <w:r>
        <w:rPr>
          <w:rFonts w:hint="eastAsia" w:ascii="黑体" w:hAnsi="黑体" w:eastAsia="黑体"/>
          <w:szCs w:val="21"/>
        </w:rPr>
        <w:t>3.1</w:t>
      </w:r>
      <w:r>
        <w:rPr>
          <w:rFonts w:ascii="黑体" w:hAnsi="黑体" w:eastAsia="黑体"/>
          <w:szCs w:val="21"/>
        </w:rPr>
        <w:t>制冷/制热，双重功能，降温/升温迅速</w:t>
      </w:r>
      <w:r>
        <w:rPr>
          <w:rFonts w:hint="eastAsia" w:ascii="黑体" w:hAnsi="黑体" w:eastAsia="黑体"/>
          <w:szCs w:val="21"/>
        </w:rPr>
        <w:t>。机控/体控，双重测温，可任意选择。</w:t>
      </w:r>
    </w:p>
    <w:p>
      <w:pPr>
        <w:spacing w:line="360" w:lineRule="auto"/>
        <w:rPr>
          <w:rFonts w:ascii="黑体" w:hAnsi="黑体" w:eastAsia="黑体"/>
          <w:szCs w:val="21"/>
        </w:rPr>
      </w:pPr>
      <w:r>
        <w:rPr>
          <w:rFonts w:hint="eastAsia" w:ascii="黑体" w:hAnsi="黑体" w:eastAsia="黑体"/>
          <w:szCs w:val="21"/>
        </w:rPr>
        <w:t>3.2制冷方式：高效的进口全无氟压缩机制冷系统，功耗低，降温迅速，为患者抢救赢得宝贵时间。</w:t>
      </w:r>
    </w:p>
    <w:p>
      <w:pPr>
        <w:spacing w:line="360" w:lineRule="auto"/>
        <w:rPr>
          <w:rFonts w:ascii="黑体" w:hAnsi="黑体" w:eastAsia="黑体"/>
          <w:szCs w:val="21"/>
        </w:rPr>
      </w:pPr>
      <w:r>
        <w:rPr>
          <w:rFonts w:hint="eastAsia" w:ascii="黑体" w:hAnsi="黑体" w:eastAsia="黑体"/>
          <w:szCs w:val="21"/>
        </w:rPr>
        <w:t>3.3全电脑自动控制，控温精确，运行数据随时查询。</w:t>
      </w:r>
    </w:p>
    <w:p>
      <w:pPr>
        <w:spacing w:line="360" w:lineRule="auto"/>
        <w:rPr>
          <w:rFonts w:ascii="黑体" w:hAnsi="黑体" w:eastAsia="黑体"/>
          <w:szCs w:val="21"/>
        </w:rPr>
      </w:pPr>
      <w:r>
        <w:rPr>
          <w:rFonts w:hint="eastAsia" w:ascii="黑体" w:hAnsi="黑体" w:eastAsia="黑体"/>
          <w:szCs w:val="21"/>
        </w:rPr>
        <w:t>3.4双路输出，快接装置，毯帽可同时使用，也可分开独立使用。</w:t>
      </w:r>
    </w:p>
    <w:p>
      <w:pPr>
        <w:spacing w:line="360" w:lineRule="auto"/>
        <w:rPr>
          <w:rFonts w:ascii="黑体" w:hAnsi="黑体" w:eastAsia="黑体"/>
          <w:szCs w:val="21"/>
        </w:rPr>
      </w:pPr>
      <w:r>
        <w:rPr>
          <w:rFonts w:hint="eastAsia" w:ascii="黑体" w:hAnsi="黑体" w:eastAsia="黑体"/>
          <w:szCs w:val="21"/>
        </w:rPr>
        <w:t>3.5语音和声光智能报警功能：系统故障报警，水温超温报警，传感器脱落报落报警、传感器损坏报警，缺水报警、除尘报警。</w:t>
      </w:r>
    </w:p>
    <w:p>
      <w:pPr>
        <w:spacing w:line="360" w:lineRule="auto"/>
        <w:jc w:val="left"/>
        <w:rPr>
          <w:rFonts w:ascii="黑体" w:hAnsi="黑体" w:eastAsia="黑体"/>
          <w:szCs w:val="21"/>
        </w:rPr>
      </w:pPr>
      <w:r>
        <w:rPr>
          <w:rFonts w:hint="eastAsia" w:ascii="黑体" w:hAnsi="黑体" w:eastAsia="黑体"/>
          <w:szCs w:val="21"/>
        </w:rPr>
        <w:t>4、毯帽特点：控温帽、控温毯采用TPU(热塑性聚氨酯）材料，具有耐低温及耐臭氧性能，使用寿命更长久，蜂窝状设计，水循环更通畅。表面柔软，可任意折叠、卷曲、清洗、消毒，并配有同规格毯罩，易拆洗，美观、舒适。</w:t>
      </w:r>
    </w:p>
    <w:p>
      <w:pPr>
        <w:spacing w:line="360" w:lineRule="auto"/>
        <w:rPr>
          <w:rFonts w:ascii="黑体" w:hAnsi="黑体" w:eastAsia="黑体"/>
          <w:szCs w:val="21"/>
        </w:rPr>
      </w:pPr>
      <w:r>
        <w:rPr>
          <w:rFonts w:hint="eastAsia" w:ascii="黑体" w:hAnsi="黑体" w:eastAsia="黑体"/>
          <w:szCs w:val="21"/>
        </w:rPr>
        <w:t>5、技术指标</w:t>
      </w:r>
    </w:p>
    <w:p>
      <w:pPr>
        <w:spacing w:line="360" w:lineRule="auto"/>
        <w:rPr>
          <w:rFonts w:ascii="黑体" w:hAnsi="黑体" w:eastAsia="黑体"/>
          <w:szCs w:val="21"/>
        </w:rPr>
      </w:pPr>
      <w:r>
        <w:rPr>
          <w:rFonts w:hint="eastAsia" w:ascii="黑体" w:hAnsi="黑体" w:eastAsia="黑体"/>
          <w:szCs w:val="21"/>
        </w:rPr>
        <w:t xml:space="preserve">5.1电源（AC）：220V±10%     </w:t>
      </w:r>
    </w:p>
    <w:p>
      <w:pPr>
        <w:spacing w:line="360" w:lineRule="auto"/>
        <w:rPr>
          <w:rFonts w:ascii="黑体" w:hAnsi="黑体" w:eastAsia="黑体"/>
          <w:szCs w:val="21"/>
        </w:rPr>
      </w:pPr>
      <w:r>
        <w:rPr>
          <w:rFonts w:hint="eastAsia" w:ascii="黑体" w:hAnsi="黑体" w:eastAsia="黑体"/>
          <w:szCs w:val="21"/>
        </w:rPr>
        <w:t>5.2毯、帽温度范围：2-2</w:t>
      </w:r>
      <w:r>
        <w:rPr>
          <w:rFonts w:ascii="黑体" w:hAnsi="黑体" w:eastAsia="黑体"/>
          <w:szCs w:val="21"/>
        </w:rPr>
        <w:t>3</w:t>
      </w:r>
      <w:r>
        <w:rPr>
          <w:rFonts w:hint="eastAsia" w:ascii="黑体" w:hAnsi="黑体" w:eastAsia="黑体" w:cs="宋体"/>
          <w:szCs w:val="21"/>
        </w:rPr>
        <w:t>℃</w:t>
      </w:r>
    </w:p>
    <w:p>
      <w:pPr>
        <w:spacing w:line="360" w:lineRule="auto"/>
        <w:rPr>
          <w:rFonts w:ascii="黑体" w:hAnsi="黑体" w:eastAsia="黑体"/>
          <w:szCs w:val="21"/>
        </w:rPr>
      </w:pPr>
      <w:r>
        <w:rPr>
          <w:rFonts w:hint="eastAsia" w:ascii="黑体" w:hAnsi="黑体" w:eastAsia="黑体"/>
          <w:szCs w:val="21"/>
        </w:rPr>
        <w:t>5.3体温控温范围：2</w:t>
      </w:r>
      <w:r>
        <w:rPr>
          <w:rFonts w:ascii="黑体" w:hAnsi="黑体" w:eastAsia="黑体"/>
          <w:szCs w:val="21"/>
        </w:rPr>
        <w:t>8</w:t>
      </w:r>
      <w:r>
        <w:rPr>
          <w:rFonts w:hint="eastAsia" w:ascii="黑体" w:hAnsi="黑体" w:eastAsia="黑体"/>
          <w:szCs w:val="21"/>
        </w:rPr>
        <w:t>-39</w:t>
      </w:r>
      <w:r>
        <w:rPr>
          <w:rFonts w:hint="eastAsia" w:ascii="黑体" w:hAnsi="黑体" w:eastAsia="黑体" w:cs="宋体"/>
          <w:szCs w:val="21"/>
        </w:rPr>
        <w:t>℃</w:t>
      </w:r>
    </w:p>
    <w:p>
      <w:pPr>
        <w:spacing w:line="360" w:lineRule="auto"/>
        <w:rPr>
          <w:rFonts w:ascii="黑体" w:hAnsi="黑体" w:eastAsia="黑体"/>
          <w:szCs w:val="21"/>
        </w:rPr>
      </w:pPr>
      <w:r>
        <w:rPr>
          <w:rFonts w:hint="eastAsia" w:ascii="黑体" w:hAnsi="黑体" w:eastAsia="黑体"/>
          <w:szCs w:val="21"/>
        </w:rPr>
        <w:t>5.4水温范围：-</w:t>
      </w:r>
      <w:r>
        <w:rPr>
          <w:rFonts w:ascii="黑体" w:hAnsi="黑体" w:eastAsia="黑体"/>
          <w:szCs w:val="21"/>
        </w:rPr>
        <w:t>1</w:t>
      </w:r>
      <w:r>
        <w:rPr>
          <w:rFonts w:hint="eastAsia" w:ascii="黑体" w:hAnsi="黑体" w:eastAsia="黑体"/>
          <w:szCs w:val="21"/>
        </w:rPr>
        <w:t>-2</w:t>
      </w:r>
      <w:r>
        <w:rPr>
          <w:rFonts w:ascii="黑体" w:hAnsi="黑体" w:eastAsia="黑体"/>
          <w:szCs w:val="21"/>
        </w:rPr>
        <w:t>5</w:t>
      </w:r>
      <w:r>
        <w:rPr>
          <w:rFonts w:hint="eastAsia" w:ascii="黑体" w:hAnsi="黑体" w:eastAsia="黑体" w:cs="宋体"/>
          <w:szCs w:val="21"/>
        </w:rPr>
        <w:t>℃</w:t>
      </w:r>
    </w:p>
    <w:p>
      <w:pPr>
        <w:spacing w:line="360" w:lineRule="auto"/>
        <w:rPr>
          <w:rFonts w:ascii="黑体" w:hAnsi="黑体" w:eastAsia="黑体"/>
          <w:szCs w:val="21"/>
        </w:rPr>
      </w:pPr>
      <w:r>
        <w:rPr>
          <w:rFonts w:hint="eastAsia" w:ascii="黑体" w:hAnsi="黑体" w:eastAsia="黑体"/>
          <w:szCs w:val="21"/>
        </w:rPr>
        <w:t>5.5空载降温速度：2.</w:t>
      </w:r>
      <w:r>
        <w:rPr>
          <w:rFonts w:ascii="黑体" w:hAnsi="黑体" w:eastAsia="黑体"/>
          <w:szCs w:val="21"/>
        </w:rPr>
        <w:t>6</w:t>
      </w:r>
      <w:r>
        <w:rPr>
          <w:rFonts w:hint="eastAsia" w:ascii="黑体" w:hAnsi="黑体" w:eastAsia="黑体"/>
          <w:szCs w:val="21"/>
        </w:rPr>
        <w:t>℃/分</w:t>
      </w:r>
    </w:p>
    <w:p>
      <w:pPr>
        <w:spacing w:line="360" w:lineRule="auto"/>
        <w:rPr>
          <w:rFonts w:ascii="黑体" w:hAnsi="黑体" w:eastAsia="黑体"/>
          <w:szCs w:val="21"/>
        </w:rPr>
      </w:pPr>
      <w:r>
        <w:rPr>
          <w:rFonts w:hint="eastAsia" w:ascii="黑体" w:hAnsi="黑体" w:eastAsia="黑体"/>
          <w:szCs w:val="21"/>
        </w:rPr>
        <w:t>5.</w:t>
      </w:r>
      <w:r>
        <w:rPr>
          <w:rFonts w:ascii="黑体" w:hAnsi="黑体" w:eastAsia="黑体"/>
          <w:szCs w:val="21"/>
        </w:rPr>
        <w:t>6</w:t>
      </w:r>
      <w:r>
        <w:rPr>
          <w:rFonts w:hint="eastAsia" w:ascii="黑体" w:hAnsi="黑体" w:eastAsia="黑体"/>
          <w:szCs w:val="21"/>
        </w:rPr>
        <w:t>工作方式：连续</w:t>
      </w:r>
    </w:p>
    <w:p>
      <w:pPr>
        <w:spacing w:line="360" w:lineRule="auto"/>
        <w:rPr>
          <w:rFonts w:ascii="黑体" w:hAnsi="黑体" w:eastAsia="黑体"/>
          <w:szCs w:val="21"/>
        </w:rPr>
      </w:pPr>
      <w:r>
        <w:rPr>
          <w:rFonts w:hint="eastAsia" w:ascii="黑体" w:hAnsi="黑体" w:eastAsia="黑体"/>
          <w:szCs w:val="21"/>
        </w:rPr>
        <w:t>5.</w:t>
      </w:r>
      <w:r>
        <w:rPr>
          <w:rFonts w:ascii="黑体" w:hAnsi="黑体" w:eastAsia="黑体"/>
          <w:szCs w:val="21"/>
        </w:rPr>
        <w:t>7</w:t>
      </w:r>
      <w:r>
        <w:rPr>
          <w:rFonts w:hint="eastAsia" w:ascii="黑体" w:hAnsi="黑体" w:eastAsia="黑体"/>
          <w:szCs w:val="21"/>
        </w:rPr>
        <w:t>噪音：≤4</w:t>
      </w:r>
      <w:r>
        <w:rPr>
          <w:rFonts w:ascii="黑体" w:hAnsi="黑体" w:eastAsia="黑体"/>
          <w:szCs w:val="21"/>
        </w:rPr>
        <w:t>8</w:t>
      </w:r>
      <w:r>
        <w:rPr>
          <w:rFonts w:hint="eastAsia" w:ascii="黑体" w:hAnsi="黑体" w:eastAsia="黑体"/>
          <w:szCs w:val="21"/>
        </w:rPr>
        <w:t>db</w:t>
      </w:r>
    </w:p>
    <w:p>
      <w:pPr>
        <w:spacing w:line="360" w:lineRule="auto"/>
        <w:rPr>
          <w:rFonts w:ascii="黑体" w:hAnsi="黑体" w:eastAsia="黑体"/>
          <w:szCs w:val="21"/>
        </w:rPr>
      </w:pPr>
      <w:r>
        <w:rPr>
          <w:rFonts w:hint="eastAsia" w:ascii="黑体" w:hAnsi="黑体" w:eastAsia="黑体"/>
          <w:szCs w:val="21"/>
        </w:rPr>
        <w:t>5.</w:t>
      </w:r>
      <w:r>
        <w:rPr>
          <w:rFonts w:ascii="黑体" w:hAnsi="黑体" w:eastAsia="黑体"/>
          <w:szCs w:val="21"/>
        </w:rPr>
        <w:t>8</w:t>
      </w:r>
      <w:r>
        <w:rPr>
          <w:rFonts w:hint="eastAsia" w:ascii="黑体" w:hAnsi="黑体" w:eastAsia="黑体"/>
          <w:szCs w:val="21"/>
        </w:rPr>
        <w:t>整机功耗：660VA</w:t>
      </w:r>
    </w:p>
    <w:p>
      <w:pPr>
        <w:spacing w:line="360" w:lineRule="auto"/>
        <w:rPr>
          <w:rFonts w:ascii="黑体" w:hAnsi="黑体" w:eastAsia="黑体" w:cs="宋体"/>
          <w:szCs w:val="21"/>
        </w:rPr>
      </w:pPr>
      <w:r>
        <w:rPr>
          <w:rFonts w:hint="eastAsia" w:ascii="黑体" w:hAnsi="黑体" w:eastAsia="黑体"/>
          <w:szCs w:val="21"/>
        </w:rPr>
        <w:t>5.</w:t>
      </w:r>
      <w:r>
        <w:rPr>
          <w:rFonts w:ascii="黑体" w:hAnsi="黑体" w:eastAsia="黑体"/>
          <w:szCs w:val="21"/>
        </w:rPr>
        <w:t>9</w:t>
      </w:r>
      <w:r>
        <w:rPr>
          <w:rFonts w:hint="eastAsia" w:ascii="黑体" w:hAnsi="黑体" w:eastAsia="黑体"/>
          <w:szCs w:val="21"/>
        </w:rPr>
        <w:t>环境温度：0-40</w:t>
      </w:r>
      <w:r>
        <w:rPr>
          <w:rFonts w:hint="eastAsia" w:ascii="黑体" w:hAnsi="黑体" w:eastAsia="黑体" w:cs="宋体"/>
          <w:szCs w:val="21"/>
        </w:rPr>
        <w:t>℃</w:t>
      </w:r>
    </w:p>
    <w:p>
      <w:pPr>
        <w:spacing w:line="360" w:lineRule="auto"/>
        <w:rPr>
          <w:rFonts w:ascii="黑体" w:hAnsi="黑体" w:eastAsia="黑体" w:cs="宋体"/>
          <w:szCs w:val="21"/>
        </w:rPr>
      </w:pPr>
      <w:r>
        <w:rPr>
          <w:rFonts w:hint="eastAsia" w:ascii="黑体" w:hAnsi="黑体" w:eastAsia="黑体" w:cs="宋体"/>
          <w:szCs w:val="21"/>
        </w:rPr>
        <w:t>5.1</w:t>
      </w:r>
      <w:r>
        <w:rPr>
          <w:rFonts w:ascii="黑体" w:hAnsi="黑体" w:eastAsia="黑体" w:cs="宋体"/>
          <w:szCs w:val="21"/>
        </w:rPr>
        <w:t>0</w:t>
      </w:r>
      <w:r>
        <w:rPr>
          <w:rFonts w:hint="eastAsia" w:ascii="黑体" w:hAnsi="黑体" w:eastAsia="黑体" w:cs="宋体"/>
          <w:szCs w:val="21"/>
        </w:rPr>
        <w:t>控温精度：±0.1℃</w:t>
      </w:r>
    </w:p>
    <w:p>
      <w:pPr>
        <w:spacing w:line="360" w:lineRule="auto"/>
        <w:rPr>
          <w:rFonts w:ascii="黑体" w:hAnsi="黑体" w:eastAsia="黑体" w:cs="宋体"/>
          <w:szCs w:val="21"/>
        </w:rPr>
      </w:pPr>
      <w:r>
        <w:rPr>
          <w:rFonts w:ascii="黑体" w:hAnsi="黑体" w:eastAsia="黑体" w:cs="宋体"/>
          <w:szCs w:val="21"/>
        </w:rPr>
        <w:t>5.11</w:t>
      </w:r>
      <w:r>
        <w:rPr>
          <w:rFonts w:hint="eastAsia" w:ascii="黑体" w:hAnsi="黑体" w:eastAsia="黑体" w:cs="宋体"/>
          <w:szCs w:val="21"/>
        </w:rPr>
        <w:t>步进</w:t>
      </w:r>
      <w:r>
        <w:rPr>
          <w:rFonts w:ascii="黑体" w:hAnsi="黑体" w:eastAsia="黑体" w:cs="宋体"/>
          <w:szCs w:val="21"/>
        </w:rPr>
        <w:t>:</w:t>
      </w:r>
      <w:r>
        <w:rPr>
          <w:rFonts w:hint="eastAsia" w:ascii="黑体" w:hAnsi="黑体" w:eastAsia="黑体" w:cs="宋体"/>
          <w:szCs w:val="21"/>
        </w:rPr>
        <w:t>±</w:t>
      </w:r>
      <w:r>
        <w:rPr>
          <w:rFonts w:ascii="黑体" w:hAnsi="黑体" w:eastAsia="黑体" w:cs="宋体"/>
          <w:szCs w:val="21"/>
        </w:rPr>
        <w:t>0.1</w:t>
      </w:r>
      <w:r>
        <w:rPr>
          <w:rFonts w:hint="eastAsia" w:ascii="黑体" w:hAnsi="黑体" w:eastAsia="黑体" w:cs="宋体"/>
          <w:szCs w:val="21"/>
        </w:rPr>
        <w:t>℃</w:t>
      </w:r>
    </w:p>
    <w:p>
      <w:pPr>
        <w:pageBreakBefore/>
        <w:spacing w:line="360" w:lineRule="auto"/>
        <w:rPr>
          <w:rFonts w:ascii="黑体" w:hAnsi="黑体" w:eastAsia="黑体"/>
          <w:b/>
          <w:bCs/>
          <w:szCs w:val="21"/>
        </w:rPr>
      </w:pPr>
      <w:r>
        <w:rPr>
          <w:rFonts w:hint="eastAsia" w:ascii="黑体" w:hAnsi="黑体" w:eastAsia="黑体"/>
          <w:b/>
          <w:bCs/>
          <w:szCs w:val="21"/>
        </w:rPr>
        <w:t>（五）除颤仪</w:t>
      </w:r>
    </w:p>
    <w:p>
      <w:pPr>
        <w:spacing w:line="360" w:lineRule="auto"/>
        <w:rPr>
          <w:rFonts w:ascii="黑体" w:hAnsi="黑体" w:eastAsia="黑体"/>
          <w:b/>
          <w:szCs w:val="21"/>
        </w:rPr>
      </w:pPr>
      <w:r>
        <w:rPr>
          <w:rFonts w:hint="eastAsia" w:ascii="黑体" w:hAnsi="黑体" w:eastAsia="黑体"/>
          <w:b/>
          <w:szCs w:val="21"/>
        </w:rPr>
        <w:t>1、适用范围及必备功能要求：</w:t>
      </w:r>
    </w:p>
    <w:p>
      <w:pPr>
        <w:spacing w:line="360" w:lineRule="auto"/>
        <w:rPr>
          <w:rFonts w:ascii="黑体" w:hAnsi="黑体" w:eastAsia="黑体"/>
          <w:szCs w:val="21"/>
        </w:rPr>
      </w:pPr>
      <w:r>
        <w:rPr>
          <w:rFonts w:hint="eastAsia" w:ascii="黑体" w:hAnsi="黑体" w:eastAsia="黑体"/>
          <w:szCs w:val="21"/>
        </w:rPr>
        <w:t>1.1、适用于小儿和成人患者进行手动除颤、半自动体外除颤、同步心脏复律、体外起搏治疗。</w:t>
      </w:r>
    </w:p>
    <w:p>
      <w:pPr>
        <w:spacing w:line="360" w:lineRule="auto"/>
        <w:rPr>
          <w:rFonts w:ascii="黑体" w:hAnsi="黑体" w:eastAsia="黑体"/>
          <w:szCs w:val="21"/>
        </w:rPr>
      </w:pPr>
      <w:r>
        <w:rPr>
          <w:rFonts w:hint="eastAsia" w:ascii="黑体" w:hAnsi="黑体" w:eastAsia="黑体"/>
          <w:szCs w:val="21"/>
        </w:rPr>
        <w:t>1.2、可以对患者进行心电监护，呼吸监护，血氧监测和血压测量。</w:t>
      </w:r>
    </w:p>
    <w:p>
      <w:pPr>
        <w:spacing w:line="360" w:lineRule="auto"/>
        <w:rPr>
          <w:rFonts w:ascii="黑体" w:hAnsi="黑体" w:eastAsia="黑体"/>
          <w:szCs w:val="21"/>
        </w:rPr>
      </w:pPr>
      <w:r>
        <w:rPr>
          <w:rFonts w:hint="eastAsia" w:ascii="黑体" w:hAnsi="黑体" w:eastAsia="黑体"/>
          <w:szCs w:val="21"/>
        </w:rPr>
        <w:t>1.3、具有胸外按压反馈功能，并提供按压频率和按压深度指示。</w:t>
      </w:r>
    </w:p>
    <w:p>
      <w:pPr>
        <w:spacing w:line="360" w:lineRule="auto"/>
        <w:rPr>
          <w:rFonts w:ascii="黑体" w:hAnsi="黑体" w:eastAsia="黑体"/>
          <w:b/>
          <w:szCs w:val="21"/>
        </w:rPr>
      </w:pPr>
      <w:r>
        <w:rPr>
          <w:rFonts w:hint="eastAsia" w:ascii="黑体" w:hAnsi="黑体" w:eastAsia="黑体"/>
          <w:b/>
          <w:szCs w:val="21"/>
        </w:rPr>
        <w:t>2、除颤功能：</w:t>
      </w:r>
    </w:p>
    <w:p>
      <w:pPr>
        <w:spacing w:line="360" w:lineRule="auto"/>
        <w:rPr>
          <w:rFonts w:ascii="黑体" w:hAnsi="黑体" w:eastAsia="黑体"/>
          <w:szCs w:val="21"/>
        </w:rPr>
      </w:pPr>
      <w:r>
        <w:rPr>
          <w:rFonts w:hint="eastAsia" w:ascii="黑体" w:hAnsi="黑体" w:eastAsia="黑体"/>
          <w:szCs w:val="21"/>
        </w:rPr>
        <w:t>2.1、中文语音提示、中文字符显示、中文仪器操作面板以及中文输入等方式，方便医护人员使用。</w:t>
      </w:r>
    </w:p>
    <w:p>
      <w:pPr>
        <w:spacing w:line="360" w:lineRule="auto"/>
        <w:rPr>
          <w:rFonts w:ascii="黑体" w:hAnsi="黑体" w:eastAsia="黑体"/>
          <w:szCs w:val="21"/>
        </w:rPr>
      </w:pPr>
      <w:r>
        <w:rPr>
          <w:rFonts w:hint="eastAsia" w:ascii="黑体" w:hAnsi="黑体" w:eastAsia="黑体"/>
          <w:szCs w:val="21"/>
        </w:rPr>
        <w:t>2.2、机器可预设开机除颤档为手动或自动模式，自动体外除颤模式可随时切换为手动除颤。</w:t>
      </w:r>
    </w:p>
    <w:p>
      <w:pPr>
        <w:spacing w:line="360" w:lineRule="auto"/>
        <w:rPr>
          <w:rFonts w:ascii="黑体" w:hAnsi="黑体" w:eastAsia="黑体"/>
          <w:szCs w:val="21"/>
        </w:rPr>
      </w:pPr>
      <w:r>
        <w:rPr>
          <w:rFonts w:hint="eastAsia" w:ascii="黑体" w:hAnsi="黑体" w:eastAsia="黑体"/>
          <w:szCs w:val="21"/>
        </w:rPr>
        <w:t>2.3、体外除颤把手功能键：能量调节、充电、放电及打印控制按钮，方便单人急救操作。</w:t>
      </w:r>
    </w:p>
    <w:p>
      <w:pPr>
        <w:spacing w:line="360" w:lineRule="auto"/>
        <w:rPr>
          <w:rFonts w:ascii="黑体" w:hAnsi="黑体" w:eastAsia="黑体"/>
          <w:b/>
          <w:bCs/>
          <w:szCs w:val="21"/>
        </w:rPr>
      </w:pPr>
      <w:r>
        <w:rPr>
          <w:rFonts w:hint="eastAsia" w:ascii="黑体" w:hAnsi="黑体" w:eastAsia="黑体"/>
          <w:b/>
          <w:bCs/>
          <w:szCs w:val="21"/>
        </w:rPr>
        <w:t>▲2.</w:t>
      </w:r>
      <w:r>
        <w:rPr>
          <w:rFonts w:ascii="黑体" w:hAnsi="黑体" w:eastAsia="黑体"/>
          <w:b/>
          <w:bCs/>
          <w:szCs w:val="21"/>
        </w:rPr>
        <w:t>4</w:t>
      </w:r>
      <w:r>
        <w:rPr>
          <w:rFonts w:hint="eastAsia" w:ascii="黑体" w:hAnsi="黑体" w:eastAsia="黑体"/>
          <w:b/>
          <w:bCs/>
          <w:szCs w:val="21"/>
        </w:rPr>
        <w:t>、采用低能量双相方波除颤技术，能有效终止成人室颤的首次除颤能量值：≤120焦耳。</w:t>
      </w:r>
    </w:p>
    <w:p>
      <w:pPr>
        <w:spacing w:line="360" w:lineRule="auto"/>
        <w:rPr>
          <w:rFonts w:ascii="黑体" w:hAnsi="黑体" w:eastAsia="黑体"/>
          <w:b/>
          <w:szCs w:val="21"/>
        </w:rPr>
      </w:pPr>
      <w:r>
        <w:rPr>
          <w:rFonts w:hint="eastAsia" w:ascii="黑体" w:hAnsi="黑体" w:eastAsia="黑体"/>
          <w:szCs w:val="21"/>
        </w:rPr>
        <w:t>2.</w:t>
      </w:r>
      <w:r>
        <w:rPr>
          <w:rFonts w:ascii="黑体" w:hAnsi="黑体" w:eastAsia="黑体"/>
          <w:szCs w:val="21"/>
        </w:rPr>
        <w:t>5</w:t>
      </w:r>
      <w:r>
        <w:rPr>
          <w:rFonts w:hint="eastAsia" w:ascii="黑体" w:hAnsi="黑体" w:eastAsia="黑体"/>
          <w:szCs w:val="21"/>
        </w:rPr>
        <w:t>、最高能量：≤200焦耳。</w:t>
      </w:r>
    </w:p>
    <w:p>
      <w:pPr>
        <w:spacing w:line="360" w:lineRule="auto"/>
        <w:rPr>
          <w:rFonts w:ascii="黑体" w:hAnsi="黑体" w:eastAsia="黑体"/>
          <w:szCs w:val="21"/>
        </w:rPr>
      </w:pPr>
      <w:r>
        <w:rPr>
          <w:rFonts w:hint="eastAsia" w:ascii="黑体" w:hAnsi="黑体" w:eastAsia="黑体"/>
          <w:szCs w:val="21"/>
        </w:rPr>
        <w:t>2.</w:t>
      </w:r>
      <w:r>
        <w:rPr>
          <w:rFonts w:ascii="黑体" w:hAnsi="黑体" w:eastAsia="黑体"/>
          <w:szCs w:val="21"/>
        </w:rPr>
        <w:t>6</w:t>
      </w:r>
      <w:r>
        <w:rPr>
          <w:rFonts w:hint="eastAsia" w:ascii="黑体" w:hAnsi="黑体" w:eastAsia="黑体"/>
          <w:szCs w:val="21"/>
        </w:rPr>
        <w:t>、</w:t>
      </w:r>
      <w:r>
        <w:rPr>
          <w:rFonts w:hint="eastAsia" w:ascii="黑体" w:hAnsi="黑体" w:eastAsia="黑体" w:cs="宋体"/>
          <w:kern w:val="0"/>
          <w:szCs w:val="21"/>
        </w:rPr>
        <w:t>最小除颤能量≤1J，适用于低体重儿等特殊情况的婴幼儿患者</w:t>
      </w:r>
      <w:r>
        <w:rPr>
          <w:rFonts w:hint="eastAsia" w:ascii="黑体" w:hAnsi="黑体" w:eastAsia="黑体"/>
          <w:szCs w:val="21"/>
        </w:rPr>
        <w:t>。</w:t>
      </w:r>
    </w:p>
    <w:p>
      <w:pPr>
        <w:spacing w:line="360" w:lineRule="auto"/>
        <w:rPr>
          <w:rFonts w:ascii="黑体" w:hAnsi="黑体" w:eastAsia="黑体"/>
          <w:szCs w:val="21"/>
        </w:rPr>
      </w:pPr>
      <w:r>
        <w:rPr>
          <w:rFonts w:hint="eastAsia" w:ascii="黑体" w:hAnsi="黑体" w:eastAsia="黑体"/>
          <w:szCs w:val="21"/>
        </w:rPr>
        <w:t>2.</w:t>
      </w:r>
      <w:r>
        <w:rPr>
          <w:rFonts w:ascii="黑体" w:hAnsi="黑体" w:eastAsia="黑体"/>
          <w:szCs w:val="21"/>
        </w:rPr>
        <w:t>7</w:t>
      </w:r>
      <w:r>
        <w:rPr>
          <w:rFonts w:hint="eastAsia" w:ascii="黑体" w:hAnsi="黑体" w:eastAsia="黑体"/>
          <w:szCs w:val="21"/>
        </w:rPr>
        <w:t>、最高能量充电时间: ≦7秒（充满电的新电池）</w:t>
      </w:r>
    </w:p>
    <w:p>
      <w:pPr>
        <w:spacing w:line="360" w:lineRule="auto"/>
        <w:rPr>
          <w:rFonts w:ascii="黑体" w:hAnsi="黑体" w:eastAsia="黑体"/>
          <w:b/>
          <w:bCs/>
          <w:szCs w:val="21"/>
        </w:rPr>
      </w:pPr>
      <w:r>
        <w:rPr>
          <w:rFonts w:hint="eastAsia" w:ascii="黑体" w:hAnsi="黑体" w:eastAsia="黑体"/>
          <w:b/>
          <w:bCs/>
          <w:szCs w:val="21"/>
        </w:rPr>
        <w:t>▲2.</w:t>
      </w:r>
      <w:r>
        <w:rPr>
          <w:rFonts w:ascii="黑体" w:hAnsi="黑体" w:eastAsia="黑体"/>
          <w:b/>
          <w:bCs/>
          <w:szCs w:val="21"/>
        </w:rPr>
        <w:t>8</w:t>
      </w:r>
      <w:r>
        <w:rPr>
          <w:rFonts w:hint="eastAsia" w:ascii="黑体" w:hAnsi="黑体" w:eastAsia="黑体"/>
          <w:b/>
          <w:bCs/>
          <w:szCs w:val="21"/>
        </w:rPr>
        <w:t>、病人阻抗不影响放电时间，避免高阻抗患者放电时间过长而诱发的再次室颤的发生。</w:t>
      </w:r>
    </w:p>
    <w:p>
      <w:pPr>
        <w:spacing w:line="360" w:lineRule="auto"/>
        <w:rPr>
          <w:rFonts w:ascii="黑体" w:hAnsi="黑体" w:eastAsia="黑体"/>
          <w:szCs w:val="21"/>
        </w:rPr>
      </w:pPr>
      <w:r>
        <w:rPr>
          <w:rFonts w:hint="eastAsia" w:ascii="黑体" w:hAnsi="黑体" w:eastAsia="黑体"/>
          <w:szCs w:val="21"/>
        </w:rPr>
        <w:t>2.</w:t>
      </w:r>
      <w:r>
        <w:rPr>
          <w:rFonts w:ascii="黑体" w:hAnsi="黑体" w:eastAsia="黑体"/>
          <w:szCs w:val="21"/>
        </w:rPr>
        <w:t>9</w:t>
      </w:r>
      <w:r>
        <w:rPr>
          <w:rFonts w:hint="eastAsia" w:ascii="黑体" w:hAnsi="黑体" w:eastAsia="黑体"/>
          <w:szCs w:val="21"/>
        </w:rPr>
        <w:t>、放电总时间：≤12毫秒。</w:t>
      </w:r>
    </w:p>
    <w:p>
      <w:pPr>
        <w:spacing w:line="360" w:lineRule="auto"/>
        <w:rPr>
          <w:rFonts w:ascii="黑体" w:hAnsi="黑体" w:eastAsia="黑体"/>
          <w:szCs w:val="21"/>
        </w:rPr>
      </w:pPr>
      <w:r>
        <w:rPr>
          <w:rFonts w:hint="eastAsia" w:ascii="黑体" w:hAnsi="黑体" w:eastAsia="黑体"/>
          <w:szCs w:val="21"/>
        </w:rPr>
        <w:t>2.1</w:t>
      </w:r>
      <w:r>
        <w:rPr>
          <w:rFonts w:ascii="黑体" w:hAnsi="黑体" w:eastAsia="黑体"/>
          <w:szCs w:val="21"/>
        </w:rPr>
        <w:t>0</w:t>
      </w:r>
      <w:r>
        <w:rPr>
          <w:rFonts w:hint="eastAsia" w:ascii="黑体" w:hAnsi="黑体" w:eastAsia="黑体"/>
          <w:szCs w:val="21"/>
        </w:rPr>
        <w:t>、正相放电时间≤7毫秒。</w:t>
      </w:r>
    </w:p>
    <w:p>
      <w:pPr>
        <w:spacing w:line="360" w:lineRule="auto"/>
        <w:rPr>
          <w:rFonts w:ascii="黑体" w:hAnsi="黑体" w:eastAsia="黑体"/>
          <w:szCs w:val="21"/>
        </w:rPr>
      </w:pPr>
      <w:r>
        <w:rPr>
          <w:rFonts w:hint="eastAsia" w:ascii="黑体" w:hAnsi="黑体" w:eastAsia="黑体"/>
          <w:szCs w:val="21"/>
        </w:rPr>
        <w:t>2.1</w:t>
      </w:r>
      <w:r>
        <w:rPr>
          <w:rFonts w:ascii="黑体" w:hAnsi="黑体" w:eastAsia="黑体"/>
          <w:szCs w:val="21"/>
        </w:rPr>
        <w:t>1</w:t>
      </w:r>
      <w:r>
        <w:rPr>
          <w:rFonts w:hint="eastAsia" w:ascii="黑体" w:hAnsi="黑体" w:eastAsia="黑体"/>
          <w:b/>
          <w:szCs w:val="21"/>
        </w:rPr>
        <w:t>、</w:t>
      </w:r>
      <w:r>
        <w:rPr>
          <w:rFonts w:hint="eastAsia" w:ascii="黑体" w:hAnsi="黑体" w:eastAsia="黑体"/>
          <w:szCs w:val="21"/>
        </w:rPr>
        <w:t>反相放电时间≤5毫秒。</w:t>
      </w:r>
    </w:p>
    <w:p>
      <w:pPr>
        <w:spacing w:line="360" w:lineRule="auto"/>
        <w:rPr>
          <w:rFonts w:ascii="黑体" w:hAnsi="黑体" w:eastAsia="黑体"/>
          <w:szCs w:val="21"/>
        </w:rPr>
      </w:pPr>
      <w:r>
        <w:rPr>
          <w:rFonts w:hint="eastAsia" w:ascii="黑体" w:hAnsi="黑体" w:eastAsia="黑体"/>
          <w:szCs w:val="21"/>
        </w:rPr>
        <w:t>2.1</w:t>
      </w:r>
      <w:r>
        <w:rPr>
          <w:rFonts w:ascii="黑体" w:hAnsi="黑体" w:eastAsia="黑体"/>
          <w:szCs w:val="21"/>
        </w:rPr>
        <w:t>2</w:t>
      </w:r>
      <w:r>
        <w:rPr>
          <w:rFonts w:hint="eastAsia" w:ascii="黑体" w:hAnsi="黑体" w:eastAsia="黑体"/>
          <w:szCs w:val="21"/>
        </w:rPr>
        <w:t>、能测定病人阻抗，自动补充病人阻抗对除颤电流的影响，病人阻抗测量最大值：≥30</w:t>
      </w:r>
      <w:r>
        <w:rPr>
          <w:rFonts w:ascii="黑体" w:hAnsi="黑体" w:eastAsia="黑体"/>
          <w:szCs w:val="21"/>
        </w:rPr>
        <w:t>0欧姆</w:t>
      </w:r>
      <w:r>
        <w:rPr>
          <w:rFonts w:hint="eastAsia" w:ascii="黑体" w:hAnsi="黑体" w:eastAsia="黑体"/>
          <w:szCs w:val="21"/>
        </w:rPr>
        <w:t>。</w:t>
      </w:r>
    </w:p>
    <w:p>
      <w:pPr>
        <w:spacing w:line="360" w:lineRule="auto"/>
        <w:rPr>
          <w:rFonts w:ascii="黑体" w:hAnsi="黑体" w:eastAsia="黑体"/>
          <w:szCs w:val="21"/>
        </w:rPr>
      </w:pPr>
      <w:r>
        <w:rPr>
          <w:rFonts w:hint="eastAsia" w:ascii="黑体" w:hAnsi="黑体" w:eastAsia="黑体"/>
          <w:szCs w:val="21"/>
        </w:rPr>
        <w:t>2.1</w:t>
      </w:r>
      <w:r>
        <w:rPr>
          <w:rFonts w:ascii="黑体" w:hAnsi="黑体" w:eastAsia="黑体"/>
          <w:szCs w:val="21"/>
        </w:rPr>
        <w:t>3</w:t>
      </w:r>
      <w:r>
        <w:rPr>
          <w:rFonts w:hint="eastAsia" w:ascii="黑体" w:hAnsi="黑体" w:eastAsia="黑体"/>
          <w:szCs w:val="21"/>
        </w:rPr>
        <w:t>、病人阻抗测量最小值：≤</w:t>
      </w:r>
      <w:r>
        <w:rPr>
          <w:rFonts w:ascii="黑体" w:hAnsi="黑体" w:eastAsia="黑体"/>
          <w:szCs w:val="21"/>
        </w:rPr>
        <w:t>15欧姆</w:t>
      </w:r>
    </w:p>
    <w:p>
      <w:pPr>
        <w:spacing w:line="360" w:lineRule="auto"/>
        <w:rPr>
          <w:rFonts w:ascii="黑体" w:hAnsi="黑体" w:eastAsia="黑体"/>
          <w:b/>
          <w:szCs w:val="21"/>
        </w:rPr>
      </w:pPr>
      <w:r>
        <w:rPr>
          <w:rFonts w:hint="eastAsia" w:ascii="黑体" w:hAnsi="黑体" w:eastAsia="黑体"/>
          <w:b/>
          <w:szCs w:val="21"/>
        </w:rPr>
        <w:t>3、体外无创起搏：</w:t>
      </w:r>
      <w:r>
        <w:rPr>
          <w:rFonts w:ascii="黑体" w:hAnsi="黑体" w:eastAsia="黑体"/>
          <w:b/>
          <w:szCs w:val="21"/>
        </w:rPr>
        <w:t xml:space="preserve"> </w:t>
      </w:r>
    </w:p>
    <w:p>
      <w:pPr>
        <w:spacing w:line="360" w:lineRule="auto"/>
        <w:rPr>
          <w:rFonts w:ascii="黑体" w:hAnsi="黑体" w:eastAsia="黑体"/>
          <w:szCs w:val="21"/>
        </w:rPr>
      </w:pPr>
      <w:r>
        <w:rPr>
          <w:rFonts w:hint="eastAsia" w:ascii="黑体" w:hAnsi="黑体" w:eastAsia="黑体"/>
          <w:szCs w:val="21"/>
        </w:rPr>
        <w:t>3.1、起搏类型：VVI 型按需或异步起搏（固定频率）</w:t>
      </w:r>
    </w:p>
    <w:p>
      <w:pPr>
        <w:spacing w:line="360" w:lineRule="auto"/>
        <w:rPr>
          <w:rFonts w:ascii="黑体" w:hAnsi="黑体" w:eastAsia="黑体"/>
          <w:szCs w:val="21"/>
        </w:rPr>
      </w:pPr>
      <w:r>
        <w:rPr>
          <w:rFonts w:hint="eastAsia" w:ascii="黑体" w:hAnsi="黑体" w:eastAsia="黑体"/>
          <w:szCs w:val="21"/>
        </w:rPr>
        <w:t>3.2、脉冲类型：直线，恒流</w:t>
      </w:r>
    </w:p>
    <w:p>
      <w:pPr>
        <w:spacing w:line="360" w:lineRule="auto"/>
        <w:rPr>
          <w:rFonts w:ascii="黑体" w:hAnsi="黑体" w:eastAsia="黑体"/>
          <w:szCs w:val="21"/>
        </w:rPr>
      </w:pPr>
      <w:r>
        <w:rPr>
          <w:rFonts w:hint="eastAsia" w:ascii="黑体" w:hAnsi="黑体" w:eastAsia="黑体"/>
          <w:szCs w:val="21"/>
        </w:rPr>
        <w:t>3.3、脉冲宽度：≥40毫秒</w:t>
      </w:r>
    </w:p>
    <w:p>
      <w:pPr>
        <w:spacing w:line="360" w:lineRule="auto"/>
        <w:rPr>
          <w:rFonts w:ascii="黑体" w:hAnsi="黑体" w:eastAsia="黑体"/>
          <w:szCs w:val="21"/>
        </w:rPr>
      </w:pPr>
      <w:r>
        <w:rPr>
          <w:rFonts w:hint="eastAsia" w:ascii="黑体" w:hAnsi="黑体" w:eastAsia="黑体"/>
          <w:szCs w:val="21"/>
        </w:rPr>
        <w:t>3.4、起搏电流最大值：≤1</w:t>
      </w:r>
      <w:r>
        <w:rPr>
          <w:rFonts w:ascii="黑体" w:hAnsi="黑体" w:eastAsia="黑体"/>
          <w:szCs w:val="21"/>
        </w:rPr>
        <w:t>4</w:t>
      </w:r>
      <w:r>
        <w:rPr>
          <w:rFonts w:hint="eastAsia" w:ascii="黑体" w:hAnsi="黑体" w:eastAsia="黑体"/>
          <w:szCs w:val="21"/>
        </w:rPr>
        <w:t>0mA</w:t>
      </w:r>
    </w:p>
    <w:p>
      <w:pPr>
        <w:spacing w:line="360" w:lineRule="auto"/>
        <w:rPr>
          <w:rFonts w:ascii="黑体" w:hAnsi="黑体" w:eastAsia="黑体"/>
          <w:szCs w:val="21"/>
        </w:rPr>
      </w:pPr>
      <w:r>
        <w:rPr>
          <w:rFonts w:hint="eastAsia" w:ascii="黑体" w:hAnsi="黑体" w:eastAsia="黑体"/>
          <w:szCs w:val="21"/>
        </w:rPr>
        <w:t>3.5、起搏电流最小值：</w:t>
      </w:r>
      <w:r>
        <w:rPr>
          <w:rFonts w:ascii="黑体" w:hAnsi="黑体" w:eastAsia="黑体"/>
          <w:szCs w:val="21"/>
        </w:rPr>
        <w:t>8</w:t>
      </w:r>
      <w:r>
        <w:rPr>
          <w:rFonts w:hint="eastAsia" w:ascii="黑体" w:hAnsi="黑体" w:eastAsia="黑体"/>
          <w:szCs w:val="21"/>
        </w:rPr>
        <w:t>mA</w:t>
      </w:r>
    </w:p>
    <w:p>
      <w:pPr>
        <w:spacing w:line="360" w:lineRule="auto"/>
        <w:rPr>
          <w:rFonts w:ascii="黑体" w:hAnsi="黑体" w:eastAsia="黑体"/>
          <w:szCs w:val="21"/>
        </w:rPr>
      </w:pPr>
      <w:r>
        <w:rPr>
          <w:rFonts w:hint="eastAsia" w:ascii="黑体" w:hAnsi="黑体" w:eastAsia="黑体"/>
          <w:szCs w:val="21"/>
        </w:rPr>
        <w:t>3.6、起搏频率：30到180次/分</w:t>
      </w:r>
    </w:p>
    <w:p>
      <w:pPr>
        <w:spacing w:line="360" w:lineRule="auto"/>
        <w:rPr>
          <w:rFonts w:ascii="黑体" w:hAnsi="黑体" w:eastAsia="黑体"/>
          <w:b/>
          <w:bCs/>
          <w:szCs w:val="21"/>
        </w:rPr>
      </w:pPr>
      <w:r>
        <w:rPr>
          <w:rFonts w:hint="eastAsia" w:ascii="黑体" w:hAnsi="黑体" w:eastAsia="黑体"/>
          <w:b/>
          <w:bCs/>
          <w:szCs w:val="21"/>
        </w:rPr>
        <w:t>▲3</w:t>
      </w:r>
      <w:r>
        <w:rPr>
          <w:rFonts w:ascii="黑体" w:hAnsi="黑体" w:eastAsia="黑体"/>
          <w:b/>
          <w:bCs/>
          <w:szCs w:val="21"/>
        </w:rPr>
        <w:t xml:space="preserve">.7  </w:t>
      </w:r>
      <w:r>
        <w:rPr>
          <w:rFonts w:hint="eastAsia" w:ascii="黑体" w:hAnsi="黑体" w:eastAsia="黑体"/>
          <w:b/>
          <w:bCs/>
          <w:szCs w:val="21"/>
        </w:rPr>
        <w:t>具备起搏暂停功能（起搏模式下具有</w:t>
      </w:r>
      <w:r>
        <w:rPr>
          <w:rFonts w:ascii="黑体" w:hAnsi="黑体" w:eastAsia="黑体"/>
          <w:b/>
          <w:bCs/>
          <w:szCs w:val="21"/>
        </w:rPr>
        <w:t>4:1功能，即按照设置的起搏率的1/4发送起搏电刺激，在3/4的未发送起搏电流的期间观察患者真实心率</w:t>
      </w:r>
      <w:r>
        <w:rPr>
          <w:rFonts w:hint="eastAsia" w:ascii="黑体" w:hAnsi="黑体" w:eastAsia="黑体"/>
          <w:b/>
          <w:bCs/>
          <w:szCs w:val="21"/>
        </w:rPr>
        <w:t>），起搏率及起搏电流步进</w:t>
      </w:r>
      <w:r>
        <w:rPr>
          <w:rFonts w:ascii="Cambria Math" w:hAnsi="Cambria Math" w:eastAsia="黑体" w:cs="Cambria Math"/>
          <w:b/>
          <w:bCs/>
          <w:szCs w:val="21"/>
        </w:rPr>
        <w:t>⩽</w:t>
      </w:r>
      <w:r>
        <w:rPr>
          <w:rFonts w:ascii="黑体" w:hAnsi="黑体" w:eastAsia="黑体"/>
          <w:b/>
          <w:bCs/>
          <w:szCs w:val="21"/>
        </w:rPr>
        <w:t>2</w:t>
      </w:r>
      <w:r>
        <w:rPr>
          <w:rFonts w:hint="eastAsia" w:ascii="黑体" w:hAnsi="黑体" w:eastAsia="黑体"/>
          <w:b/>
          <w:bCs/>
          <w:szCs w:val="21"/>
        </w:rPr>
        <w:t>ppm</w:t>
      </w:r>
      <w:r>
        <w:rPr>
          <w:rFonts w:ascii="黑体" w:hAnsi="黑体" w:eastAsia="黑体"/>
          <w:b/>
          <w:bCs/>
          <w:szCs w:val="21"/>
        </w:rPr>
        <w:t>/</w:t>
      </w:r>
      <w:r>
        <w:rPr>
          <w:rFonts w:hint="eastAsia" w:ascii="黑体" w:hAnsi="黑体" w:eastAsia="黑体"/>
          <w:b/>
          <w:bCs/>
          <w:szCs w:val="21"/>
        </w:rPr>
        <w:t>m</w:t>
      </w:r>
      <w:r>
        <w:rPr>
          <w:rFonts w:ascii="黑体" w:hAnsi="黑体" w:eastAsia="黑体"/>
          <w:b/>
          <w:bCs/>
          <w:szCs w:val="21"/>
        </w:rPr>
        <w:t>A</w:t>
      </w:r>
      <w:r>
        <w:rPr>
          <w:rFonts w:hint="eastAsia" w:ascii="黑体" w:hAnsi="黑体" w:eastAsia="黑体"/>
          <w:b/>
          <w:bCs/>
          <w:szCs w:val="21"/>
        </w:rPr>
        <w:t>。</w:t>
      </w:r>
    </w:p>
    <w:p>
      <w:pPr>
        <w:spacing w:line="360" w:lineRule="auto"/>
        <w:rPr>
          <w:rFonts w:ascii="黑体" w:hAnsi="黑体" w:eastAsia="黑体"/>
          <w:szCs w:val="21"/>
        </w:rPr>
      </w:pPr>
      <w:r>
        <w:rPr>
          <w:rFonts w:hint="eastAsia" w:ascii="黑体" w:hAnsi="黑体" w:eastAsia="黑体"/>
          <w:b/>
          <w:szCs w:val="21"/>
        </w:rPr>
        <w:t>4、内置心肺复苏质量监护及反馈功能</w:t>
      </w:r>
      <w:r>
        <w:rPr>
          <w:rFonts w:hint="eastAsia" w:ascii="黑体" w:hAnsi="黑体" w:eastAsia="黑体"/>
          <w:szCs w:val="21"/>
        </w:rPr>
        <w:t>：</w:t>
      </w:r>
    </w:p>
    <w:p>
      <w:pPr>
        <w:spacing w:line="360" w:lineRule="auto"/>
        <w:rPr>
          <w:rFonts w:ascii="黑体" w:hAnsi="黑体" w:eastAsia="黑体"/>
          <w:szCs w:val="21"/>
        </w:rPr>
      </w:pPr>
      <w:r>
        <w:rPr>
          <w:rFonts w:hint="eastAsia" w:ascii="黑体" w:hAnsi="黑体" w:eastAsia="黑体"/>
          <w:szCs w:val="21"/>
        </w:rPr>
        <w:t>4.1、按压深度测量最小值：≤2厘米</w:t>
      </w:r>
    </w:p>
    <w:p>
      <w:pPr>
        <w:spacing w:line="360" w:lineRule="auto"/>
        <w:rPr>
          <w:rFonts w:ascii="黑体" w:hAnsi="黑体" w:eastAsia="黑体"/>
          <w:szCs w:val="21"/>
        </w:rPr>
      </w:pPr>
      <w:r>
        <w:rPr>
          <w:rFonts w:hint="eastAsia" w:ascii="黑体" w:hAnsi="黑体" w:eastAsia="黑体"/>
          <w:szCs w:val="21"/>
        </w:rPr>
        <w:t>4.2、按压深度测量最大值：≥7.5厘米</w:t>
      </w:r>
    </w:p>
    <w:p>
      <w:pPr>
        <w:spacing w:line="360" w:lineRule="auto"/>
        <w:rPr>
          <w:rFonts w:ascii="黑体" w:hAnsi="黑体" w:eastAsia="黑体"/>
          <w:szCs w:val="21"/>
        </w:rPr>
      </w:pPr>
      <w:r>
        <w:rPr>
          <w:rFonts w:hint="eastAsia" w:ascii="黑体" w:hAnsi="黑体" w:eastAsia="黑体"/>
          <w:szCs w:val="21"/>
        </w:rPr>
        <w:t>4.3、具有按压频率节拍器功能，按压频率提示可预设定。</w:t>
      </w:r>
    </w:p>
    <w:p>
      <w:pPr>
        <w:spacing w:line="360" w:lineRule="auto"/>
        <w:rPr>
          <w:rFonts w:ascii="黑体" w:hAnsi="黑体" w:eastAsia="黑体"/>
          <w:szCs w:val="21"/>
        </w:rPr>
      </w:pPr>
      <w:r>
        <w:rPr>
          <w:rFonts w:hint="eastAsia" w:ascii="黑体" w:hAnsi="黑体" w:eastAsia="黑体"/>
          <w:szCs w:val="21"/>
        </w:rPr>
        <w:t>4.4、按压频率测量最小值：≤50次/分钟</w:t>
      </w:r>
    </w:p>
    <w:p>
      <w:pPr>
        <w:spacing w:line="360" w:lineRule="auto"/>
        <w:rPr>
          <w:rFonts w:ascii="黑体" w:hAnsi="黑体" w:eastAsia="黑体"/>
          <w:szCs w:val="21"/>
        </w:rPr>
      </w:pPr>
      <w:r>
        <w:rPr>
          <w:rFonts w:hint="eastAsia" w:ascii="黑体" w:hAnsi="黑体" w:eastAsia="黑体"/>
          <w:szCs w:val="21"/>
        </w:rPr>
        <w:t>4.5、按压频率测量最大值：≥150次/分钟</w:t>
      </w:r>
    </w:p>
    <w:p>
      <w:pPr>
        <w:spacing w:line="360" w:lineRule="auto"/>
        <w:rPr>
          <w:rFonts w:ascii="黑体" w:hAnsi="黑体" w:eastAsia="黑体"/>
          <w:b/>
          <w:szCs w:val="21"/>
        </w:rPr>
      </w:pPr>
      <w:r>
        <w:rPr>
          <w:rFonts w:hint="eastAsia" w:ascii="黑体" w:hAnsi="黑体" w:eastAsia="黑体"/>
          <w:b/>
          <w:szCs w:val="21"/>
        </w:rPr>
        <w:t>5、心电监护：</w:t>
      </w:r>
    </w:p>
    <w:p>
      <w:pPr>
        <w:spacing w:line="360" w:lineRule="auto"/>
        <w:rPr>
          <w:rFonts w:ascii="黑体" w:hAnsi="黑体" w:eastAsia="黑体"/>
          <w:szCs w:val="21"/>
        </w:rPr>
      </w:pPr>
      <w:r>
        <w:rPr>
          <w:rFonts w:hint="eastAsia" w:ascii="黑体" w:hAnsi="黑体" w:eastAsia="黑体"/>
          <w:szCs w:val="21"/>
        </w:rPr>
        <w:t>5.1、心电导联选择：除颤电极导联及标准3导联心电监护</w:t>
      </w:r>
    </w:p>
    <w:p>
      <w:pPr>
        <w:spacing w:line="360" w:lineRule="auto"/>
        <w:rPr>
          <w:rFonts w:ascii="黑体" w:hAnsi="黑体" w:eastAsia="黑体"/>
          <w:szCs w:val="21"/>
        </w:rPr>
      </w:pPr>
      <w:r>
        <w:rPr>
          <w:rFonts w:hint="eastAsia" w:ascii="黑体" w:hAnsi="黑体" w:eastAsia="黑体"/>
          <w:szCs w:val="21"/>
        </w:rPr>
        <w:t>5.2、符合心肺复苏质量控制新标准，开机监护导联为除颤电极导联，以最快速度获得患者心电图。</w:t>
      </w:r>
    </w:p>
    <w:p>
      <w:pPr>
        <w:spacing w:line="360" w:lineRule="auto"/>
        <w:rPr>
          <w:rFonts w:ascii="黑体" w:hAnsi="黑体" w:eastAsia="黑体"/>
          <w:b/>
          <w:bCs/>
          <w:szCs w:val="21"/>
        </w:rPr>
      </w:pPr>
      <w:r>
        <w:rPr>
          <w:rFonts w:hint="eastAsia" w:ascii="黑体" w:hAnsi="黑体" w:eastAsia="黑体"/>
          <w:b/>
          <w:bCs/>
          <w:szCs w:val="21"/>
        </w:rPr>
        <w:t>▲5.3、心电幅度：多档位(≥</w:t>
      </w:r>
      <w:r>
        <w:rPr>
          <w:rFonts w:ascii="黑体" w:hAnsi="黑体" w:eastAsia="黑体"/>
          <w:b/>
          <w:bCs/>
          <w:szCs w:val="21"/>
        </w:rPr>
        <w:t>5</w:t>
      </w:r>
      <w:r>
        <w:rPr>
          <w:rFonts w:hint="eastAsia" w:ascii="黑体" w:hAnsi="黑体" w:eastAsia="黑体"/>
          <w:b/>
          <w:bCs/>
          <w:szCs w:val="21"/>
        </w:rPr>
        <w:t>档)及自动</w:t>
      </w:r>
    </w:p>
    <w:p>
      <w:pPr>
        <w:spacing w:line="360" w:lineRule="auto"/>
        <w:rPr>
          <w:rFonts w:ascii="黑体" w:hAnsi="黑体" w:eastAsia="黑体"/>
          <w:szCs w:val="21"/>
        </w:rPr>
      </w:pPr>
      <w:r>
        <w:rPr>
          <w:rFonts w:hint="eastAsia" w:ascii="黑体" w:hAnsi="黑体" w:eastAsia="黑体"/>
          <w:szCs w:val="21"/>
        </w:rPr>
        <w:t>5.4、心率测量范围：20到300次/分</w:t>
      </w:r>
    </w:p>
    <w:p>
      <w:pPr>
        <w:spacing w:line="360" w:lineRule="auto"/>
        <w:rPr>
          <w:rFonts w:ascii="黑体" w:hAnsi="黑体" w:eastAsia="黑体"/>
          <w:szCs w:val="21"/>
        </w:rPr>
      </w:pPr>
      <w:r>
        <w:rPr>
          <w:rFonts w:hint="eastAsia" w:ascii="黑体" w:hAnsi="黑体" w:eastAsia="黑体"/>
          <w:szCs w:val="21"/>
        </w:rPr>
        <w:t>5.5、有心率报警功能</w:t>
      </w:r>
    </w:p>
    <w:p>
      <w:pPr>
        <w:spacing w:line="360" w:lineRule="auto"/>
        <w:rPr>
          <w:rFonts w:ascii="黑体" w:hAnsi="黑体" w:eastAsia="黑体"/>
          <w:szCs w:val="21"/>
        </w:rPr>
      </w:pPr>
      <w:r>
        <w:rPr>
          <w:rFonts w:hint="eastAsia" w:ascii="黑体" w:hAnsi="黑体" w:eastAsia="黑体"/>
          <w:szCs w:val="21"/>
        </w:rPr>
        <w:t>5</w:t>
      </w:r>
      <w:r>
        <w:rPr>
          <w:rFonts w:ascii="黑体" w:hAnsi="黑体" w:eastAsia="黑体"/>
          <w:szCs w:val="21"/>
        </w:rPr>
        <w:t xml:space="preserve">.6  </w:t>
      </w:r>
      <w:r>
        <w:rPr>
          <w:rFonts w:hint="eastAsia" w:ascii="黑体" w:hAnsi="黑体" w:eastAsia="黑体"/>
          <w:szCs w:val="21"/>
        </w:rPr>
        <w:t>阻抗呼吸描记（RESP），显示呼吸频率数值、阻抗波形等信息，呼吸频率范围：2</w:t>
      </w:r>
      <w:r>
        <w:rPr>
          <w:rFonts w:ascii="黑体" w:hAnsi="黑体" w:eastAsia="黑体"/>
          <w:szCs w:val="21"/>
        </w:rPr>
        <w:t>-150</w:t>
      </w:r>
      <w:r>
        <w:rPr>
          <w:rFonts w:hint="eastAsia" w:ascii="黑体" w:hAnsi="黑体" w:eastAsia="黑体"/>
          <w:szCs w:val="21"/>
        </w:rPr>
        <w:t>bpm和无呼吸</w:t>
      </w:r>
    </w:p>
    <w:p>
      <w:pPr>
        <w:spacing w:line="360" w:lineRule="auto"/>
        <w:rPr>
          <w:rFonts w:ascii="黑体" w:hAnsi="黑体" w:eastAsia="黑体"/>
          <w:b/>
          <w:szCs w:val="21"/>
        </w:rPr>
      </w:pPr>
      <w:r>
        <w:rPr>
          <w:rFonts w:ascii="黑体" w:hAnsi="黑体" w:eastAsia="黑体"/>
          <w:b/>
          <w:szCs w:val="21"/>
        </w:rPr>
        <w:t>6</w:t>
      </w:r>
      <w:r>
        <w:rPr>
          <w:rFonts w:hint="eastAsia" w:ascii="黑体" w:hAnsi="黑体" w:eastAsia="黑体"/>
          <w:b/>
          <w:szCs w:val="21"/>
        </w:rPr>
        <w:t>、显示及打印功能：</w:t>
      </w:r>
    </w:p>
    <w:p>
      <w:pPr>
        <w:spacing w:line="360" w:lineRule="auto"/>
        <w:rPr>
          <w:rFonts w:ascii="黑体" w:hAnsi="黑体" w:eastAsia="黑体"/>
          <w:szCs w:val="21"/>
        </w:rPr>
      </w:pPr>
      <w:r>
        <w:rPr>
          <w:rFonts w:ascii="黑体" w:hAnsi="黑体" w:eastAsia="黑体"/>
          <w:szCs w:val="21"/>
        </w:rPr>
        <w:t>6</w:t>
      </w:r>
      <w:r>
        <w:rPr>
          <w:rFonts w:hint="eastAsia" w:ascii="黑体" w:hAnsi="黑体" w:eastAsia="黑体"/>
          <w:szCs w:val="21"/>
        </w:rPr>
        <w:t>.1、显示器种类：彩色LCD</w:t>
      </w:r>
    </w:p>
    <w:p>
      <w:pPr>
        <w:spacing w:line="360" w:lineRule="auto"/>
        <w:rPr>
          <w:rFonts w:ascii="黑体" w:hAnsi="黑体" w:eastAsia="黑体"/>
          <w:szCs w:val="21"/>
        </w:rPr>
      </w:pPr>
      <w:r>
        <w:rPr>
          <w:rFonts w:ascii="黑体" w:hAnsi="黑体" w:eastAsia="黑体"/>
          <w:szCs w:val="21"/>
        </w:rPr>
        <w:t>6</w:t>
      </w:r>
      <w:r>
        <w:rPr>
          <w:rFonts w:hint="eastAsia" w:ascii="黑体" w:hAnsi="黑体" w:eastAsia="黑体"/>
          <w:szCs w:val="21"/>
        </w:rPr>
        <w:t xml:space="preserve">.2、显示器尺寸：≥ </w:t>
      </w:r>
      <w:r>
        <w:rPr>
          <w:rFonts w:ascii="黑体" w:hAnsi="黑体" w:eastAsia="黑体"/>
          <w:szCs w:val="21"/>
        </w:rPr>
        <w:t>7</w:t>
      </w:r>
      <w:r>
        <w:rPr>
          <w:rFonts w:hint="eastAsia" w:ascii="黑体" w:hAnsi="黑体" w:eastAsia="黑体"/>
          <w:szCs w:val="21"/>
        </w:rPr>
        <w:t>英寸</w:t>
      </w:r>
    </w:p>
    <w:p>
      <w:pPr>
        <w:spacing w:line="360" w:lineRule="auto"/>
        <w:rPr>
          <w:rFonts w:ascii="黑体" w:hAnsi="黑体" w:eastAsia="黑体"/>
          <w:szCs w:val="21"/>
        </w:rPr>
      </w:pPr>
      <w:r>
        <w:rPr>
          <w:rFonts w:ascii="黑体" w:hAnsi="黑体" w:eastAsia="黑体"/>
          <w:szCs w:val="21"/>
        </w:rPr>
        <w:t>6</w:t>
      </w:r>
      <w:r>
        <w:rPr>
          <w:rFonts w:hint="eastAsia" w:ascii="黑体" w:hAnsi="黑体" w:eastAsia="黑体"/>
          <w:szCs w:val="21"/>
        </w:rPr>
        <w:t>.3、显示波形：≥</w:t>
      </w:r>
      <w:r>
        <w:rPr>
          <w:rFonts w:ascii="黑体" w:hAnsi="黑体" w:eastAsia="黑体"/>
          <w:szCs w:val="21"/>
        </w:rPr>
        <w:t>4</w:t>
      </w:r>
      <w:r>
        <w:rPr>
          <w:rFonts w:hint="eastAsia" w:ascii="黑体" w:hAnsi="黑体" w:eastAsia="黑体"/>
          <w:szCs w:val="21"/>
        </w:rPr>
        <w:t>道波形图</w:t>
      </w:r>
    </w:p>
    <w:p>
      <w:pPr>
        <w:spacing w:line="360" w:lineRule="auto"/>
        <w:rPr>
          <w:rFonts w:ascii="黑体" w:hAnsi="黑体" w:eastAsia="黑体" w:cs="Arial"/>
          <w:b/>
          <w:bCs/>
          <w:szCs w:val="21"/>
        </w:rPr>
      </w:pPr>
      <w:r>
        <w:rPr>
          <w:rFonts w:hint="eastAsia" w:ascii="黑体" w:hAnsi="黑体" w:eastAsia="黑体"/>
          <w:b/>
          <w:bCs/>
          <w:szCs w:val="21"/>
        </w:rPr>
        <w:t>▲</w:t>
      </w:r>
      <w:r>
        <w:rPr>
          <w:rFonts w:ascii="黑体" w:hAnsi="黑体" w:eastAsia="黑体"/>
          <w:b/>
          <w:bCs/>
          <w:szCs w:val="21"/>
        </w:rPr>
        <w:t>7</w:t>
      </w:r>
      <w:r>
        <w:rPr>
          <w:rFonts w:hint="eastAsia" w:ascii="黑体" w:hAnsi="黑体" w:eastAsia="黑体"/>
          <w:b/>
          <w:bCs/>
          <w:szCs w:val="21"/>
        </w:rPr>
        <w:t>、内置打印机，可打印波形及心肺复苏参数，包括</w:t>
      </w:r>
      <w:r>
        <w:rPr>
          <w:rFonts w:ascii="黑体" w:hAnsi="黑体" w:eastAsia="黑体" w:cs="Arial"/>
          <w:b/>
          <w:bCs/>
          <w:szCs w:val="21"/>
        </w:rPr>
        <w:t>除颤打印参数：时间、日期、心率、选择能量、实际除颤能量、透心肌除颤电流、人体阻抗、心电幅度、导联</w:t>
      </w:r>
      <w:r>
        <w:rPr>
          <w:rFonts w:hint="eastAsia" w:ascii="黑体" w:hAnsi="黑体" w:eastAsia="黑体" w:cs="Arial"/>
          <w:b/>
          <w:bCs/>
          <w:szCs w:val="21"/>
        </w:rPr>
        <w:t>等</w:t>
      </w:r>
      <w:r>
        <w:rPr>
          <w:rFonts w:ascii="黑体" w:hAnsi="黑体" w:eastAsia="黑体" w:cs="Arial"/>
          <w:b/>
          <w:bCs/>
          <w:szCs w:val="21"/>
        </w:rPr>
        <w:t>。</w:t>
      </w:r>
    </w:p>
    <w:p>
      <w:pPr>
        <w:spacing w:line="360" w:lineRule="auto"/>
        <w:rPr>
          <w:rFonts w:ascii="黑体" w:hAnsi="黑体" w:eastAsia="黑体"/>
          <w:b/>
          <w:szCs w:val="21"/>
        </w:rPr>
      </w:pPr>
      <w:r>
        <w:rPr>
          <w:rFonts w:ascii="黑体" w:hAnsi="黑体" w:eastAsia="黑体"/>
          <w:b/>
          <w:szCs w:val="21"/>
        </w:rPr>
        <w:t>8</w:t>
      </w:r>
      <w:r>
        <w:rPr>
          <w:rFonts w:hint="eastAsia" w:ascii="黑体" w:hAnsi="黑体" w:eastAsia="黑体"/>
          <w:b/>
          <w:szCs w:val="21"/>
        </w:rPr>
        <w:t>、电源及电池：</w:t>
      </w:r>
    </w:p>
    <w:p>
      <w:pPr>
        <w:spacing w:line="360" w:lineRule="auto"/>
        <w:rPr>
          <w:rFonts w:ascii="黑体" w:hAnsi="黑体" w:eastAsia="黑体" w:cs="Arial"/>
          <w:szCs w:val="21"/>
        </w:rPr>
      </w:pPr>
      <w:r>
        <w:rPr>
          <w:rFonts w:ascii="黑体" w:hAnsi="黑体" w:eastAsia="黑体" w:cs="Arial"/>
          <w:szCs w:val="21"/>
        </w:rPr>
        <w:t>8</w:t>
      </w:r>
      <w:r>
        <w:rPr>
          <w:rFonts w:hint="eastAsia" w:ascii="黑体" w:hAnsi="黑体" w:eastAsia="黑体" w:cs="Arial"/>
          <w:szCs w:val="21"/>
        </w:rPr>
        <w:t>.1、交流电源：220V/50Hz</w:t>
      </w:r>
      <w:r>
        <w:rPr>
          <w:rFonts w:ascii="黑体" w:hAnsi="黑体" w:eastAsia="黑体" w:cs="Arial"/>
          <w:szCs w:val="21"/>
        </w:rPr>
        <w:t xml:space="preserve"> </w:t>
      </w:r>
    </w:p>
    <w:p>
      <w:pPr>
        <w:spacing w:line="360" w:lineRule="auto"/>
        <w:rPr>
          <w:rFonts w:ascii="黑体" w:hAnsi="黑体" w:eastAsia="黑体" w:cs="Arial"/>
          <w:szCs w:val="21"/>
        </w:rPr>
      </w:pPr>
      <w:r>
        <w:rPr>
          <w:rFonts w:ascii="黑体" w:hAnsi="黑体" w:eastAsia="黑体" w:cs="Arial"/>
          <w:szCs w:val="21"/>
        </w:rPr>
        <w:t>8</w:t>
      </w:r>
      <w:r>
        <w:rPr>
          <w:rFonts w:hint="eastAsia" w:ascii="黑体" w:hAnsi="黑体" w:eastAsia="黑体" w:cs="Arial"/>
          <w:szCs w:val="21"/>
        </w:rPr>
        <w:t>.2、电池：可充电式锂电池，</w:t>
      </w:r>
    </w:p>
    <w:p>
      <w:pPr>
        <w:spacing w:line="360" w:lineRule="auto"/>
        <w:rPr>
          <w:rFonts w:ascii="黑体" w:hAnsi="黑体" w:eastAsia="黑体" w:cs="Arial"/>
          <w:szCs w:val="21"/>
        </w:rPr>
      </w:pPr>
      <w:r>
        <w:rPr>
          <w:rFonts w:ascii="黑体" w:hAnsi="黑体" w:eastAsia="黑体" w:cs="Arial"/>
          <w:szCs w:val="21"/>
        </w:rPr>
        <w:t>8</w:t>
      </w:r>
      <w:r>
        <w:rPr>
          <w:rFonts w:hint="eastAsia" w:ascii="黑体" w:hAnsi="黑体" w:eastAsia="黑体" w:cs="Arial"/>
          <w:szCs w:val="21"/>
        </w:rPr>
        <w:t>.3、充电时间：≤</w:t>
      </w:r>
      <w:r>
        <w:rPr>
          <w:rFonts w:ascii="黑体" w:hAnsi="黑体" w:eastAsia="黑体" w:cs="Arial"/>
          <w:szCs w:val="21"/>
        </w:rPr>
        <w:t>5</w:t>
      </w:r>
      <w:r>
        <w:rPr>
          <w:rFonts w:hint="eastAsia" w:ascii="黑体" w:hAnsi="黑体" w:eastAsia="黑体" w:cs="Arial"/>
          <w:szCs w:val="21"/>
        </w:rPr>
        <w:t>小时</w:t>
      </w:r>
    </w:p>
    <w:p>
      <w:pPr>
        <w:spacing w:line="360" w:lineRule="auto"/>
        <w:ind w:left="420" w:hanging="420" w:hangingChars="200"/>
        <w:rPr>
          <w:rFonts w:ascii="黑体" w:hAnsi="黑体" w:eastAsia="黑体"/>
          <w:szCs w:val="21"/>
        </w:rPr>
      </w:pPr>
      <w:r>
        <w:rPr>
          <w:rFonts w:ascii="黑体" w:hAnsi="黑体" w:eastAsia="黑体" w:cs="Arial"/>
          <w:szCs w:val="21"/>
        </w:rPr>
        <w:t>8</w:t>
      </w:r>
      <w:r>
        <w:rPr>
          <w:rFonts w:hint="eastAsia" w:ascii="黑体" w:hAnsi="黑体" w:eastAsia="黑体" w:cs="Arial"/>
          <w:szCs w:val="21"/>
        </w:rPr>
        <w:t>.4、工作时间：</w:t>
      </w:r>
      <w:r>
        <w:rPr>
          <w:rFonts w:hint="eastAsia" w:ascii="黑体" w:hAnsi="黑体" w:eastAsia="黑体"/>
          <w:szCs w:val="21"/>
        </w:rPr>
        <w:t>心电监护时间≥</w:t>
      </w:r>
      <w:r>
        <w:rPr>
          <w:rFonts w:ascii="黑体" w:hAnsi="黑体" w:eastAsia="黑体"/>
          <w:szCs w:val="21"/>
        </w:rPr>
        <w:t>4</w:t>
      </w:r>
      <w:r>
        <w:rPr>
          <w:rFonts w:hint="eastAsia" w:ascii="黑体" w:hAnsi="黑体" w:eastAsia="黑体"/>
          <w:szCs w:val="21"/>
        </w:rPr>
        <w:t>小时或最高除颤能量充放电≥</w:t>
      </w:r>
      <w:r>
        <w:rPr>
          <w:rFonts w:ascii="黑体" w:hAnsi="黑体" w:eastAsia="黑体"/>
          <w:szCs w:val="21"/>
        </w:rPr>
        <w:t>100</w:t>
      </w:r>
      <w:r>
        <w:rPr>
          <w:rFonts w:hint="eastAsia" w:ascii="黑体" w:hAnsi="黑体" w:eastAsia="黑体"/>
          <w:szCs w:val="21"/>
        </w:rPr>
        <w:t>次或至少</w:t>
      </w:r>
      <w:r>
        <w:rPr>
          <w:rFonts w:ascii="黑体" w:hAnsi="黑体" w:eastAsia="黑体"/>
          <w:szCs w:val="21"/>
        </w:rPr>
        <w:t xml:space="preserve">3.5 </w:t>
      </w:r>
      <w:r>
        <w:rPr>
          <w:rFonts w:hint="eastAsia" w:ascii="黑体" w:hAnsi="黑体" w:eastAsia="黑体"/>
          <w:szCs w:val="21"/>
        </w:rPr>
        <w:t>小时起搏（</w:t>
      </w:r>
      <w:r>
        <w:rPr>
          <w:rFonts w:ascii="黑体" w:hAnsi="黑体" w:eastAsia="黑体"/>
          <w:szCs w:val="21"/>
        </w:rPr>
        <w:t>180 ppm 140mA</w:t>
      </w:r>
      <w:r>
        <w:rPr>
          <w:rFonts w:hint="eastAsia" w:ascii="黑体" w:hAnsi="黑体" w:eastAsia="黑体"/>
          <w:szCs w:val="21"/>
        </w:rPr>
        <w:t>）同时</w:t>
      </w:r>
      <w:r>
        <w:rPr>
          <w:rFonts w:ascii="黑体" w:hAnsi="黑体" w:eastAsia="黑体"/>
          <w:szCs w:val="21"/>
        </w:rPr>
        <w:t xml:space="preserve"> ECG</w:t>
      </w:r>
      <w:r>
        <w:rPr>
          <w:rFonts w:hint="eastAsia" w:ascii="黑体" w:hAnsi="黑体" w:eastAsia="黑体"/>
          <w:szCs w:val="21"/>
        </w:rPr>
        <w:t>监护</w:t>
      </w:r>
    </w:p>
    <w:p>
      <w:pPr>
        <w:spacing w:line="360" w:lineRule="auto"/>
        <w:rPr>
          <w:rFonts w:ascii="黑体" w:hAnsi="黑体" w:eastAsia="黑体"/>
          <w:szCs w:val="21"/>
        </w:rPr>
      </w:pPr>
      <w:r>
        <w:rPr>
          <w:rFonts w:ascii="黑体" w:hAnsi="黑体" w:eastAsia="黑体"/>
          <w:szCs w:val="21"/>
        </w:rPr>
        <w:t>8</w:t>
      </w:r>
      <w:r>
        <w:rPr>
          <w:rFonts w:hint="eastAsia" w:ascii="黑体" w:hAnsi="黑体" w:eastAsia="黑体"/>
          <w:szCs w:val="21"/>
        </w:rPr>
        <w:t>.</w:t>
      </w:r>
      <w:r>
        <w:rPr>
          <w:rFonts w:ascii="黑体" w:hAnsi="黑体" w:eastAsia="黑体"/>
          <w:szCs w:val="21"/>
        </w:rPr>
        <w:t>5</w:t>
      </w:r>
      <w:r>
        <w:rPr>
          <w:rFonts w:hint="eastAsia" w:ascii="黑体" w:hAnsi="黑体" w:eastAsia="黑体"/>
          <w:szCs w:val="21"/>
        </w:rPr>
        <w:t>、电池低电量情况下，可≥1</w:t>
      </w:r>
      <w:r>
        <w:rPr>
          <w:rFonts w:ascii="黑体" w:hAnsi="黑体" w:eastAsia="黑体"/>
          <w:szCs w:val="21"/>
        </w:rPr>
        <w:t>0</w:t>
      </w:r>
      <w:r>
        <w:rPr>
          <w:rFonts w:hint="eastAsia" w:ascii="黑体" w:hAnsi="黑体" w:eastAsia="黑体"/>
          <w:szCs w:val="21"/>
        </w:rPr>
        <w:t>次最高能量放电</w:t>
      </w:r>
    </w:p>
    <w:p>
      <w:pPr>
        <w:spacing w:line="360" w:lineRule="auto"/>
        <w:rPr>
          <w:rFonts w:ascii="黑体" w:hAnsi="黑体" w:eastAsia="黑体"/>
          <w:b/>
          <w:szCs w:val="21"/>
        </w:rPr>
      </w:pPr>
      <w:r>
        <w:rPr>
          <w:rFonts w:ascii="黑体" w:hAnsi="黑体" w:eastAsia="黑体"/>
          <w:b/>
          <w:szCs w:val="21"/>
        </w:rPr>
        <w:t>9</w:t>
      </w:r>
      <w:r>
        <w:rPr>
          <w:rFonts w:hint="eastAsia" w:ascii="黑体" w:hAnsi="黑体" w:eastAsia="黑体"/>
          <w:b/>
          <w:szCs w:val="21"/>
        </w:rPr>
        <w:t>、数据保存、趋势和事件记录：</w:t>
      </w:r>
    </w:p>
    <w:p>
      <w:pPr>
        <w:spacing w:line="360" w:lineRule="auto"/>
        <w:rPr>
          <w:rFonts w:ascii="黑体" w:hAnsi="黑体" w:eastAsia="黑体"/>
          <w:szCs w:val="21"/>
        </w:rPr>
      </w:pPr>
      <w:r>
        <w:rPr>
          <w:rFonts w:ascii="黑体" w:hAnsi="黑体" w:eastAsia="黑体"/>
          <w:szCs w:val="21"/>
        </w:rPr>
        <w:t>9</w:t>
      </w:r>
      <w:r>
        <w:rPr>
          <w:rFonts w:hint="eastAsia" w:ascii="黑体" w:hAnsi="黑体" w:eastAsia="黑体"/>
          <w:szCs w:val="21"/>
        </w:rPr>
        <w:t>.</w:t>
      </w:r>
      <w:r>
        <w:rPr>
          <w:rFonts w:ascii="黑体" w:hAnsi="黑体" w:eastAsia="黑体"/>
          <w:szCs w:val="21"/>
        </w:rPr>
        <w:t>1</w:t>
      </w:r>
      <w:r>
        <w:rPr>
          <w:rFonts w:hint="eastAsia" w:ascii="黑体" w:hAnsi="黑体" w:eastAsia="黑体"/>
          <w:szCs w:val="21"/>
        </w:rPr>
        <w:t>、所有数据均被储存并可在趋势界面浏览，趋势浏览间隔时间≥5种选择</w:t>
      </w:r>
    </w:p>
    <w:p>
      <w:pPr>
        <w:spacing w:line="360" w:lineRule="auto"/>
        <w:rPr>
          <w:rFonts w:ascii="黑体" w:hAnsi="黑体" w:eastAsia="黑体"/>
          <w:szCs w:val="21"/>
        </w:rPr>
      </w:pPr>
      <w:r>
        <w:rPr>
          <w:rFonts w:ascii="黑体" w:hAnsi="黑体" w:eastAsia="黑体"/>
          <w:szCs w:val="21"/>
        </w:rPr>
        <w:t>9</w:t>
      </w:r>
      <w:r>
        <w:rPr>
          <w:rFonts w:hint="eastAsia" w:ascii="黑体" w:hAnsi="黑体" w:eastAsia="黑体"/>
          <w:szCs w:val="21"/>
        </w:rPr>
        <w:t>.</w:t>
      </w:r>
      <w:r>
        <w:rPr>
          <w:rFonts w:ascii="黑体" w:hAnsi="黑体" w:eastAsia="黑体"/>
          <w:szCs w:val="21"/>
        </w:rPr>
        <w:t>2</w:t>
      </w:r>
      <w:r>
        <w:rPr>
          <w:rFonts w:hint="eastAsia" w:ascii="黑体" w:hAnsi="黑体" w:eastAsia="黑体"/>
          <w:szCs w:val="21"/>
        </w:rPr>
        <w:t>、持续记录/存储重要急救事件信息，可存储&gt;100个急救病例，≥2 GB数据</w:t>
      </w:r>
    </w:p>
    <w:p>
      <w:pPr>
        <w:spacing w:line="360" w:lineRule="auto"/>
        <w:rPr>
          <w:rFonts w:ascii="黑体" w:hAnsi="黑体" w:eastAsia="黑体"/>
          <w:szCs w:val="21"/>
        </w:rPr>
      </w:pPr>
      <w:r>
        <w:rPr>
          <w:rFonts w:ascii="黑体" w:hAnsi="黑体" w:eastAsia="黑体"/>
          <w:szCs w:val="21"/>
        </w:rPr>
        <w:t>9</w:t>
      </w:r>
      <w:r>
        <w:rPr>
          <w:rFonts w:hint="eastAsia" w:ascii="黑体" w:hAnsi="黑体" w:eastAsia="黑体"/>
          <w:szCs w:val="21"/>
        </w:rPr>
        <w:t>.</w:t>
      </w:r>
      <w:r>
        <w:rPr>
          <w:rFonts w:ascii="黑体" w:hAnsi="黑体" w:eastAsia="黑体"/>
          <w:szCs w:val="21"/>
        </w:rPr>
        <w:t>3</w:t>
      </w:r>
      <w:r>
        <w:rPr>
          <w:rFonts w:hint="eastAsia" w:ascii="黑体" w:hAnsi="黑体" w:eastAsia="黑体"/>
          <w:szCs w:val="21"/>
        </w:rPr>
        <w:t>、按时间顺序存储和打印摘要信息，可存储超过1000个除颤或记录触发事件</w:t>
      </w:r>
    </w:p>
    <w:p>
      <w:pPr>
        <w:spacing w:line="360" w:lineRule="auto"/>
        <w:rPr>
          <w:rFonts w:ascii="黑体" w:hAnsi="黑体" w:eastAsia="黑体"/>
          <w:szCs w:val="21"/>
        </w:rPr>
      </w:pPr>
      <w:r>
        <w:rPr>
          <w:rFonts w:ascii="黑体" w:hAnsi="黑体" w:eastAsia="黑体"/>
          <w:szCs w:val="21"/>
        </w:rPr>
        <w:t>9</w:t>
      </w:r>
      <w:r>
        <w:rPr>
          <w:rFonts w:hint="eastAsia" w:ascii="黑体" w:hAnsi="黑体" w:eastAsia="黑体"/>
          <w:szCs w:val="21"/>
        </w:rPr>
        <w:t>.</w:t>
      </w:r>
      <w:r>
        <w:rPr>
          <w:rFonts w:ascii="黑体" w:hAnsi="黑体" w:eastAsia="黑体"/>
          <w:szCs w:val="21"/>
        </w:rPr>
        <w:t>4</w:t>
      </w:r>
      <w:r>
        <w:rPr>
          <w:rFonts w:hint="eastAsia" w:ascii="黑体" w:hAnsi="黑体" w:eastAsia="黑体"/>
          <w:szCs w:val="21"/>
        </w:rPr>
        <w:t>、具有快照功能，记录事件发生前6秒，事件后12秒的生理参数波形和患者数据</w:t>
      </w:r>
    </w:p>
    <w:p>
      <w:pPr>
        <w:spacing w:line="360" w:lineRule="auto"/>
        <w:rPr>
          <w:rFonts w:ascii="黑体" w:hAnsi="黑体" w:eastAsia="黑体"/>
          <w:szCs w:val="21"/>
        </w:rPr>
      </w:pPr>
      <w:r>
        <w:rPr>
          <w:rFonts w:ascii="黑体" w:hAnsi="黑体" w:eastAsia="黑体"/>
          <w:szCs w:val="21"/>
        </w:rPr>
        <w:t>9</w:t>
      </w:r>
      <w:r>
        <w:rPr>
          <w:rFonts w:hint="eastAsia" w:ascii="黑体" w:hAnsi="黑体" w:eastAsia="黑体"/>
          <w:szCs w:val="21"/>
        </w:rPr>
        <w:t>.</w:t>
      </w:r>
      <w:r>
        <w:rPr>
          <w:rFonts w:ascii="黑体" w:hAnsi="黑体" w:eastAsia="黑体"/>
          <w:szCs w:val="21"/>
        </w:rPr>
        <w:t>5</w:t>
      </w:r>
      <w:r>
        <w:rPr>
          <w:rFonts w:hint="eastAsia" w:ascii="黑体" w:hAnsi="黑体" w:eastAsia="黑体"/>
          <w:szCs w:val="21"/>
        </w:rPr>
        <w:t>、具备USB数据读取</w:t>
      </w:r>
      <w:r>
        <w:rPr>
          <w:rFonts w:ascii="黑体" w:hAnsi="黑体" w:eastAsia="黑体"/>
          <w:szCs w:val="21"/>
        </w:rPr>
        <w:t>/</w:t>
      </w:r>
      <w:r>
        <w:rPr>
          <w:rFonts w:hint="eastAsia" w:ascii="黑体" w:hAnsi="黑体" w:eastAsia="黑体"/>
          <w:szCs w:val="21"/>
        </w:rPr>
        <w:t>导出功能，方便患者数据收集</w:t>
      </w:r>
    </w:p>
    <w:p>
      <w:pPr>
        <w:spacing w:line="360" w:lineRule="auto"/>
        <w:rPr>
          <w:rFonts w:ascii="黑体" w:hAnsi="黑体" w:eastAsia="黑体"/>
          <w:b/>
          <w:bCs/>
          <w:szCs w:val="21"/>
        </w:rPr>
      </w:pPr>
      <w:r>
        <w:rPr>
          <w:rFonts w:hint="eastAsia" w:ascii="黑体" w:hAnsi="黑体" w:eastAsia="黑体"/>
          <w:b/>
          <w:bCs/>
          <w:szCs w:val="21"/>
        </w:rPr>
        <w:t>▲</w:t>
      </w:r>
      <w:r>
        <w:rPr>
          <w:rFonts w:ascii="黑体" w:hAnsi="黑体" w:eastAsia="黑体"/>
          <w:b/>
          <w:bCs/>
          <w:szCs w:val="21"/>
        </w:rPr>
        <w:t>9</w:t>
      </w:r>
      <w:r>
        <w:rPr>
          <w:rFonts w:hint="eastAsia" w:ascii="黑体" w:hAnsi="黑体" w:eastAsia="黑体"/>
          <w:b/>
          <w:bCs/>
          <w:szCs w:val="21"/>
        </w:rPr>
        <w:t>.</w:t>
      </w:r>
      <w:r>
        <w:rPr>
          <w:rFonts w:ascii="黑体" w:hAnsi="黑体" w:eastAsia="黑体"/>
          <w:b/>
          <w:bCs/>
          <w:szCs w:val="21"/>
        </w:rPr>
        <w:t>6</w:t>
      </w:r>
      <w:r>
        <w:rPr>
          <w:rFonts w:hint="eastAsia" w:ascii="黑体" w:hAnsi="黑体" w:eastAsia="黑体"/>
          <w:b/>
          <w:bCs/>
          <w:szCs w:val="21"/>
        </w:rPr>
        <w:t>、可在官网免费下载安装数据回顾分析软件</w:t>
      </w:r>
    </w:p>
    <w:p>
      <w:pPr>
        <w:spacing w:line="360" w:lineRule="auto"/>
        <w:rPr>
          <w:rFonts w:ascii="黑体" w:hAnsi="黑体" w:eastAsia="黑体"/>
          <w:b/>
          <w:szCs w:val="21"/>
        </w:rPr>
      </w:pPr>
      <w:r>
        <w:rPr>
          <w:rFonts w:ascii="黑体" w:hAnsi="黑体" w:eastAsia="黑体"/>
          <w:b/>
          <w:szCs w:val="21"/>
        </w:rPr>
        <w:t>10</w:t>
      </w:r>
      <w:r>
        <w:rPr>
          <w:rFonts w:hint="eastAsia" w:ascii="黑体" w:hAnsi="黑体" w:eastAsia="黑体"/>
          <w:b/>
          <w:szCs w:val="21"/>
        </w:rPr>
        <w:t>、安全性能：</w:t>
      </w:r>
    </w:p>
    <w:p>
      <w:pPr>
        <w:spacing w:line="360" w:lineRule="auto"/>
        <w:rPr>
          <w:rFonts w:ascii="黑体" w:hAnsi="黑体" w:eastAsia="黑体"/>
          <w:szCs w:val="21"/>
        </w:rPr>
      </w:pPr>
      <w:r>
        <w:rPr>
          <w:rFonts w:ascii="黑体" w:hAnsi="黑体" w:eastAsia="黑体"/>
          <w:szCs w:val="21"/>
        </w:rPr>
        <w:t>10</w:t>
      </w:r>
      <w:r>
        <w:rPr>
          <w:rFonts w:hint="eastAsia" w:ascii="黑体" w:hAnsi="黑体" w:eastAsia="黑体"/>
          <w:szCs w:val="21"/>
        </w:rPr>
        <w:t>.</w:t>
      </w:r>
      <w:r>
        <w:rPr>
          <w:rFonts w:ascii="黑体" w:hAnsi="黑体" w:eastAsia="黑体"/>
          <w:szCs w:val="21"/>
        </w:rPr>
        <w:t>1</w:t>
      </w:r>
      <w:r>
        <w:rPr>
          <w:rFonts w:hint="eastAsia" w:ascii="黑体" w:hAnsi="黑体" w:eastAsia="黑体"/>
          <w:szCs w:val="21"/>
        </w:rPr>
        <w:t>、工作温度：0℃至</w:t>
      </w:r>
      <w:r>
        <w:rPr>
          <w:rFonts w:ascii="黑体" w:hAnsi="黑体" w:eastAsia="黑体"/>
          <w:szCs w:val="21"/>
        </w:rPr>
        <w:t>5</w:t>
      </w:r>
      <w:r>
        <w:rPr>
          <w:rFonts w:hint="eastAsia" w:ascii="黑体" w:hAnsi="黑体" w:eastAsia="黑体"/>
          <w:szCs w:val="21"/>
        </w:rPr>
        <w:t>0℃</w:t>
      </w:r>
    </w:p>
    <w:p>
      <w:pPr>
        <w:spacing w:line="360" w:lineRule="auto"/>
        <w:rPr>
          <w:rFonts w:ascii="黑体" w:hAnsi="黑体" w:eastAsia="黑体"/>
          <w:szCs w:val="21"/>
        </w:rPr>
      </w:pPr>
      <w:r>
        <w:rPr>
          <w:rFonts w:ascii="黑体" w:hAnsi="黑体" w:eastAsia="黑体"/>
          <w:szCs w:val="21"/>
        </w:rPr>
        <w:t>10</w:t>
      </w:r>
      <w:r>
        <w:rPr>
          <w:rFonts w:hint="eastAsia" w:ascii="黑体" w:hAnsi="黑体" w:eastAsia="黑体"/>
          <w:szCs w:val="21"/>
        </w:rPr>
        <w:t>.</w:t>
      </w:r>
      <w:r>
        <w:rPr>
          <w:rFonts w:ascii="黑体" w:hAnsi="黑体" w:eastAsia="黑体"/>
          <w:szCs w:val="21"/>
        </w:rPr>
        <w:t>2</w:t>
      </w:r>
      <w:r>
        <w:rPr>
          <w:rFonts w:hint="eastAsia" w:ascii="黑体" w:hAnsi="黑体" w:eastAsia="黑体"/>
          <w:szCs w:val="21"/>
        </w:rPr>
        <w:t>、储存温度：-</w:t>
      </w:r>
      <w:r>
        <w:rPr>
          <w:rFonts w:ascii="黑体" w:hAnsi="黑体" w:eastAsia="黑体"/>
          <w:szCs w:val="21"/>
        </w:rPr>
        <w:t>3</w:t>
      </w:r>
      <w:r>
        <w:rPr>
          <w:rFonts w:hint="eastAsia" w:ascii="黑体" w:hAnsi="黑体" w:eastAsia="黑体"/>
          <w:szCs w:val="21"/>
        </w:rPr>
        <w:t>0℃至</w:t>
      </w:r>
      <w:r>
        <w:rPr>
          <w:rFonts w:ascii="黑体" w:hAnsi="黑体" w:eastAsia="黑体"/>
          <w:szCs w:val="21"/>
        </w:rPr>
        <w:t>7</w:t>
      </w:r>
      <w:r>
        <w:rPr>
          <w:rFonts w:hint="eastAsia" w:ascii="黑体" w:hAnsi="黑体" w:eastAsia="黑体"/>
          <w:szCs w:val="21"/>
        </w:rPr>
        <w:t>0℃</w:t>
      </w:r>
    </w:p>
    <w:p>
      <w:pPr>
        <w:spacing w:line="360" w:lineRule="auto"/>
        <w:rPr>
          <w:rFonts w:ascii="黑体" w:hAnsi="黑体" w:eastAsia="黑体"/>
          <w:szCs w:val="21"/>
        </w:rPr>
      </w:pPr>
      <w:r>
        <w:rPr>
          <w:rFonts w:ascii="黑体" w:hAnsi="黑体" w:eastAsia="黑体"/>
          <w:szCs w:val="21"/>
        </w:rPr>
        <w:t>10</w:t>
      </w:r>
      <w:r>
        <w:rPr>
          <w:rFonts w:hint="eastAsia" w:ascii="黑体" w:hAnsi="黑体" w:eastAsia="黑体"/>
          <w:szCs w:val="21"/>
        </w:rPr>
        <w:t>.</w:t>
      </w:r>
      <w:r>
        <w:rPr>
          <w:rFonts w:ascii="黑体" w:hAnsi="黑体" w:eastAsia="黑体"/>
          <w:szCs w:val="21"/>
        </w:rPr>
        <w:t>3</w:t>
      </w:r>
      <w:r>
        <w:rPr>
          <w:rFonts w:hint="eastAsia" w:ascii="黑体" w:hAnsi="黑体" w:eastAsia="黑体"/>
          <w:szCs w:val="21"/>
        </w:rPr>
        <w:t>、工作湿度：相对湿度5% 至95% ，无结霜。</w:t>
      </w:r>
    </w:p>
    <w:p>
      <w:pPr>
        <w:spacing w:line="360" w:lineRule="auto"/>
        <w:rPr>
          <w:rFonts w:ascii="黑体" w:hAnsi="黑体" w:eastAsia="黑体"/>
          <w:szCs w:val="21"/>
        </w:rPr>
      </w:pPr>
      <w:r>
        <w:rPr>
          <w:rFonts w:ascii="黑体" w:hAnsi="黑体" w:eastAsia="黑体"/>
          <w:szCs w:val="21"/>
        </w:rPr>
        <w:t>10</w:t>
      </w:r>
      <w:r>
        <w:rPr>
          <w:rFonts w:hint="eastAsia" w:ascii="黑体" w:hAnsi="黑体" w:eastAsia="黑体"/>
          <w:szCs w:val="21"/>
        </w:rPr>
        <w:t>.</w:t>
      </w:r>
      <w:r>
        <w:rPr>
          <w:rFonts w:ascii="黑体" w:hAnsi="黑体" w:eastAsia="黑体"/>
          <w:szCs w:val="21"/>
        </w:rPr>
        <w:t>4</w:t>
      </w:r>
      <w:r>
        <w:rPr>
          <w:rFonts w:hint="eastAsia" w:ascii="黑体" w:hAnsi="黑体" w:eastAsia="黑体"/>
          <w:szCs w:val="21"/>
        </w:rPr>
        <w:t>、防尘防水指标：</w:t>
      </w:r>
      <w:r>
        <w:rPr>
          <w:rFonts w:ascii="黑体" w:hAnsi="黑体" w:eastAsia="黑体"/>
          <w:szCs w:val="21"/>
        </w:rPr>
        <w:t>IP44</w:t>
      </w:r>
      <w:r>
        <w:rPr>
          <w:rFonts w:hint="eastAsia" w:ascii="黑体" w:hAnsi="黑体" w:eastAsia="黑体"/>
          <w:szCs w:val="21"/>
        </w:rPr>
        <w:t xml:space="preserve"> </w:t>
      </w:r>
    </w:p>
    <w:p>
      <w:pPr>
        <w:spacing w:line="360" w:lineRule="auto"/>
        <w:rPr>
          <w:rFonts w:ascii="黑体" w:hAnsi="黑体" w:eastAsia="黑体"/>
          <w:szCs w:val="21"/>
        </w:rPr>
      </w:pPr>
      <w:r>
        <w:rPr>
          <w:rFonts w:ascii="黑体" w:hAnsi="黑体" w:eastAsia="黑体"/>
          <w:szCs w:val="21"/>
        </w:rPr>
        <w:t>10</w:t>
      </w:r>
      <w:r>
        <w:rPr>
          <w:rFonts w:hint="eastAsia" w:ascii="黑体" w:hAnsi="黑体" w:eastAsia="黑体"/>
          <w:szCs w:val="21"/>
        </w:rPr>
        <w:t>.</w:t>
      </w:r>
      <w:r>
        <w:rPr>
          <w:rFonts w:ascii="黑体" w:hAnsi="黑体" w:eastAsia="黑体"/>
          <w:szCs w:val="21"/>
        </w:rPr>
        <w:t>5</w:t>
      </w:r>
      <w:r>
        <w:rPr>
          <w:rFonts w:hint="eastAsia" w:ascii="黑体" w:hAnsi="黑体" w:eastAsia="黑体"/>
          <w:szCs w:val="21"/>
        </w:rPr>
        <w:t>、救护车防震测标准：</w:t>
      </w:r>
      <w:r>
        <w:rPr>
          <w:rFonts w:ascii="黑体" w:hAnsi="黑体" w:eastAsia="黑体"/>
          <w:szCs w:val="21"/>
        </w:rPr>
        <w:t xml:space="preserve">EN 1789 </w:t>
      </w:r>
      <w:r>
        <w:rPr>
          <w:rFonts w:hint="eastAsia" w:ascii="黑体" w:hAnsi="黑体" w:eastAsia="黑体"/>
          <w:szCs w:val="21"/>
        </w:rPr>
        <w:t>，</w:t>
      </w:r>
      <w:r>
        <w:rPr>
          <w:rFonts w:ascii="黑体" w:hAnsi="黑体" w:eastAsia="黑体"/>
          <w:szCs w:val="21"/>
        </w:rPr>
        <w:t>0.75</w:t>
      </w:r>
      <w:r>
        <w:rPr>
          <w:rFonts w:hint="eastAsia" w:ascii="黑体" w:hAnsi="黑体" w:eastAsia="黑体"/>
          <w:szCs w:val="21"/>
        </w:rPr>
        <w:t>米坠落试验</w:t>
      </w:r>
    </w:p>
    <w:p>
      <w:pPr>
        <w:spacing w:line="360" w:lineRule="auto"/>
        <w:rPr>
          <w:rFonts w:ascii="黑体" w:hAnsi="黑体" w:eastAsia="黑体"/>
          <w:szCs w:val="21"/>
        </w:rPr>
      </w:pPr>
      <w:r>
        <w:rPr>
          <w:rFonts w:ascii="黑体" w:hAnsi="黑体" w:eastAsia="黑体"/>
          <w:szCs w:val="21"/>
        </w:rPr>
        <w:t>10</w:t>
      </w:r>
      <w:r>
        <w:rPr>
          <w:rFonts w:hint="eastAsia" w:ascii="黑体" w:hAnsi="黑体" w:eastAsia="黑体"/>
          <w:szCs w:val="21"/>
        </w:rPr>
        <w:t>.</w:t>
      </w:r>
      <w:r>
        <w:rPr>
          <w:rFonts w:ascii="黑体" w:hAnsi="黑体" w:eastAsia="黑体"/>
          <w:szCs w:val="21"/>
        </w:rPr>
        <w:t>6</w:t>
      </w:r>
      <w:r>
        <w:rPr>
          <w:rFonts w:hint="eastAsia" w:ascii="黑体" w:hAnsi="黑体" w:eastAsia="黑体"/>
          <w:szCs w:val="21"/>
        </w:rPr>
        <w:t>、重量：≤</w:t>
      </w:r>
      <w:r>
        <w:rPr>
          <w:rFonts w:ascii="黑体" w:hAnsi="黑体" w:eastAsia="黑体"/>
          <w:szCs w:val="21"/>
        </w:rPr>
        <w:t>6</w:t>
      </w:r>
      <w:r>
        <w:rPr>
          <w:rFonts w:hint="eastAsia" w:ascii="黑体" w:hAnsi="黑体" w:eastAsia="黑体"/>
          <w:szCs w:val="21"/>
        </w:rPr>
        <w:t>.</w:t>
      </w:r>
      <w:r>
        <w:rPr>
          <w:rFonts w:ascii="黑体" w:hAnsi="黑体" w:eastAsia="黑体"/>
          <w:szCs w:val="21"/>
        </w:rPr>
        <w:t>5</w:t>
      </w:r>
      <w:r>
        <w:rPr>
          <w:rFonts w:hint="eastAsia" w:ascii="黑体" w:hAnsi="黑体" w:eastAsia="黑体"/>
          <w:szCs w:val="21"/>
        </w:rPr>
        <w:t>千克（含电池和打印纸）</w:t>
      </w:r>
    </w:p>
    <w:p>
      <w:pPr>
        <w:spacing w:line="360" w:lineRule="auto"/>
        <w:rPr>
          <w:rFonts w:ascii="黑体" w:hAnsi="黑体" w:eastAsia="黑体"/>
          <w:b/>
          <w:bCs/>
          <w:szCs w:val="21"/>
        </w:rPr>
      </w:pPr>
      <w:r>
        <w:rPr>
          <w:rFonts w:hint="eastAsia" w:ascii="黑体" w:hAnsi="黑体" w:eastAsia="黑体"/>
          <w:b/>
          <w:bCs/>
          <w:szCs w:val="21"/>
        </w:rPr>
        <w:t>1</w:t>
      </w:r>
      <w:r>
        <w:rPr>
          <w:rFonts w:ascii="黑体" w:hAnsi="黑体" w:eastAsia="黑体"/>
          <w:b/>
          <w:bCs/>
          <w:szCs w:val="21"/>
        </w:rPr>
        <w:t>1</w:t>
      </w:r>
      <w:r>
        <w:rPr>
          <w:rFonts w:hint="eastAsia" w:ascii="黑体" w:hAnsi="黑体" w:eastAsia="黑体"/>
          <w:b/>
          <w:bCs/>
          <w:szCs w:val="21"/>
        </w:rPr>
        <w:t>. 配置清单</w:t>
      </w:r>
    </w:p>
    <w:tbl>
      <w:tblPr>
        <w:tblStyle w:val="20"/>
        <w:tblW w:w="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8"/>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体外</w:t>
            </w:r>
            <w:r>
              <w:rPr>
                <w:rFonts w:ascii="黑体" w:hAnsi="黑体" w:eastAsia="黑体"/>
                <w:szCs w:val="21"/>
              </w:rPr>
              <w:t>除颤监护仪主机</w:t>
            </w:r>
          </w:p>
        </w:tc>
        <w:tc>
          <w:tcPr>
            <w:tcW w:w="2201" w:type="dxa"/>
          </w:tcPr>
          <w:p>
            <w:pPr>
              <w:spacing w:line="360" w:lineRule="auto"/>
              <w:rPr>
                <w:rFonts w:ascii="黑体" w:hAnsi="黑体" w:eastAsia="黑体"/>
                <w:szCs w:val="21"/>
              </w:rPr>
            </w:pPr>
            <w:r>
              <w:rPr>
                <w:rFonts w:ascii="黑体" w:hAnsi="黑体" w:eastAsia="黑体"/>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ascii="黑体" w:hAnsi="黑体" w:eastAsia="黑体"/>
                <w:szCs w:val="21"/>
              </w:rPr>
              <w:t>3</w:t>
            </w:r>
            <w:r>
              <w:rPr>
                <w:rFonts w:hint="eastAsia" w:ascii="黑体" w:hAnsi="黑体" w:eastAsia="黑体"/>
                <w:szCs w:val="21"/>
              </w:rPr>
              <w:t>导标准导联心电患者缆线</w:t>
            </w:r>
          </w:p>
        </w:tc>
        <w:tc>
          <w:tcPr>
            <w:tcW w:w="2201" w:type="dxa"/>
          </w:tcPr>
          <w:p>
            <w:pPr>
              <w:spacing w:line="360" w:lineRule="auto"/>
              <w:rPr>
                <w:rFonts w:ascii="黑体" w:hAnsi="黑体" w:eastAsia="黑体"/>
                <w:szCs w:val="21"/>
              </w:rPr>
            </w:pPr>
            <w:r>
              <w:rPr>
                <w:rFonts w:ascii="黑体" w:hAnsi="黑体" w:eastAsia="黑体"/>
                <w:szCs w:val="21"/>
              </w:rPr>
              <w:t xml:space="preserve">1 </w:t>
            </w:r>
            <w:r>
              <w:rPr>
                <w:rFonts w:hint="eastAsia" w:ascii="黑体" w:hAnsi="黑体" w:eastAsia="黑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可充</w:t>
            </w:r>
            <w:r>
              <w:rPr>
                <w:rFonts w:ascii="黑体" w:hAnsi="黑体" w:eastAsia="黑体"/>
                <w:szCs w:val="21"/>
              </w:rPr>
              <w:t>电电池</w:t>
            </w:r>
          </w:p>
        </w:tc>
        <w:tc>
          <w:tcPr>
            <w:tcW w:w="2201" w:type="dxa"/>
          </w:tcPr>
          <w:p>
            <w:pPr>
              <w:spacing w:line="360" w:lineRule="auto"/>
              <w:rPr>
                <w:rFonts w:ascii="黑体" w:hAnsi="黑体" w:eastAsia="黑体"/>
                <w:szCs w:val="21"/>
              </w:rPr>
            </w:pPr>
            <w:r>
              <w:rPr>
                <w:rFonts w:ascii="黑体" w:hAnsi="黑体" w:eastAsia="黑体"/>
                <w:szCs w:val="21"/>
              </w:rPr>
              <w:t>1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ascii="黑体" w:hAnsi="黑体" w:eastAsia="黑体"/>
                <w:szCs w:val="21"/>
              </w:rPr>
              <w:t>交流电源线</w:t>
            </w:r>
          </w:p>
        </w:tc>
        <w:tc>
          <w:tcPr>
            <w:tcW w:w="2201" w:type="dxa"/>
          </w:tcPr>
          <w:p>
            <w:pPr>
              <w:spacing w:line="360" w:lineRule="auto"/>
              <w:rPr>
                <w:rFonts w:ascii="黑体" w:hAnsi="黑体" w:eastAsia="黑体"/>
                <w:szCs w:val="21"/>
              </w:rPr>
            </w:pPr>
            <w:r>
              <w:rPr>
                <w:rFonts w:ascii="黑体" w:hAnsi="黑体" w:eastAsia="黑体"/>
                <w:szCs w:val="21"/>
              </w:rPr>
              <w:t xml:space="preserve">1 </w:t>
            </w:r>
            <w:r>
              <w:rPr>
                <w:rFonts w:hint="eastAsia" w:ascii="黑体" w:hAnsi="黑体" w:eastAsia="黑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ascii="黑体" w:hAnsi="黑体" w:eastAsia="黑体"/>
                <w:szCs w:val="21"/>
              </w:rPr>
              <w:t>操作说明书</w:t>
            </w:r>
          </w:p>
        </w:tc>
        <w:tc>
          <w:tcPr>
            <w:tcW w:w="2201" w:type="dxa"/>
          </w:tcPr>
          <w:p>
            <w:pPr>
              <w:spacing w:line="360" w:lineRule="auto"/>
              <w:rPr>
                <w:rFonts w:ascii="黑体" w:hAnsi="黑体" w:eastAsia="黑体"/>
                <w:szCs w:val="21"/>
              </w:rPr>
            </w:pPr>
            <w:r>
              <w:rPr>
                <w:rFonts w:ascii="黑体" w:hAnsi="黑体" w:eastAsia="黑体"/>
                <w:szCs w:val="21"/>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ascii="黑体" w:hAnsi="黑体" w:eastAsia="黑体"/>
                <w:szCs w:val="21"/>
              </w:rPr>
              <w:t>记录纸</w:t>
            </w:r>
          </w:p>
        </w:tc>
        <w:tc>
          <w:tcPr>
            <w:tcW w:w="2201" w:type="dxa"/>
          </w:tcPr>
          <w:p>
            <w:pPr>
              <w:spacing w:line="360" w:lineRule="auto"/>
              <w:rPr>
                <w:rFonts w:ascii="黑体" w:hAnsi="黑体" w:eastAsia="黑体"/>
                <w:szCs w:val="21"/>
              </w:rPr>
            </w:pPr>
            <w:r>
              <w:rPr>
                <w:rFonts w:ascii="黑体" w:hAnsi="黑体" w:eastAsia="黑体"/>
                <w:szCs w:val="21"/>
              </w:rPr>
              <w:t>5本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体外</w:t>
            </w:r>
            <w:r>
              <w:rPr>
                <w:rFonts w:ascii="黑体" w:hAnsi="黑体" w:eastAsia="黑体"/>
                <w:szCs w:val="21"/>
              </w:rPr>
              <w:t>除颤</w:t>
            </w:r>
            <w:r>
              <w:rPr>
                <w:rFonts w:hint="eastAsia" w:ascii="黑体" w:hAnsi="黑体" w:eastAsia="黑体"/>
                <w:szCs w:val="21"/>
              </w:rPr>
              <w:t>手柄</w:t>
            </w:r>
          </w:p>
        </w:tc>
        <w:tc>
          <w:tcPr>
            <w:tcW w:w="2201" w:type="dxa"/>
          </w:tcPr>
          <w:p>
            <w:pPr>
              <w:spacing w:line="360" w:lineRule="auto"/>
              <w:rPr>
                <w:rFonts w:ascii="黑体" w:hAnsi="黑体" w:eastAsia="黑体"/>
                <w:szCs w:val="21"/>
              </w:rPr>
            </w:pPr>
            <w:r>
              <w:rPr>
                <w:rFonts w:ascii="黑体" w:hAnsi="黑体" w:eastAsia="黑体"/>
                <w:szCs w:val="21"/>
              </w:rPr>
              <w:t>1 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ascii="黑体" w:hAnsi="黑体" w:eastAsia="黑体"/>
                <w:szCs w:val="21"/>
              </w:rPr>
              <w:t>除颤电极</w:t>
            </w:r>
            <w:r>
              <w:rPr>
                <w:rFonts w:hint="eastAsia" w:ascii="黑体" w:hAnsi="黑体" w:eastAsia="黑体"/>
                <w:szCs w:val="21"/>
              </w:rPr>
              <w:t>片</w:t>
            </w:r>
          </w:p>
        </w:tc>
        <w:tc>
          <w:tcPr>
            <w:tcW w:w="2201" w:type="dxa"/>
          </w:tcPr>
          <w:p>
            <w:pPr>
              <w:spacing w:line="360" w:lineRule="auto"/>
              <w:rPr>
                <w:rFonts w:ascii="黑体" w:hAnsi="黑体" w:eastAsia="黑体"/>
                <w:szCs w:val="21"/>
              </w:rPr>
            </w:pPr>
            <w:r>
              <w:rPr>
                <w:rFonts w:hint="eastAsia" w:ascii="黑体" w:hAnsi="黑体" w:eastAsia="黑体"/>
                <w:szCs w:val="21"/>
              </w:rPr>
              <w:t>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医用</w:t>
            </w:r>
            <w:r>
              <w:rPr>
                <w:rFonts w:ascii="黑体" w:hAnsi="黑体" w:eastAsia="黑体"/>
                <w:szCs w:val="21"/>
              </w:rPr>
              <w:t>导电</w:t>
            </w:r>
            <w:r>
              <w:rPr>
                <w:rFonts w:hint="eastAsia" w:ascii="黑体" w:hAnsi="黑体" w:eastAsia="黑体"/>
                <w:szCs w:val="21"/>
              </w:rPr>
              <w:t>膏</w:t>
            </w:r>
          </w:p>
        </w:tc>
        <w:tc>
          <w:tcPr>
            <w:tcW w:w="2201" w:type="dxa"/>
          </w:tcPr>
          <w:p>
            <w:pPr>
              <w:spacing w:line="360" w:lineRule="auto"/>
              <w:rPr>
                <w:rFonts w:ascii="黑体" w:hAnsi="黑体" w:eastAsia="黑体"/>
                <w:szCs w:val="21"/>
              </w:rPr>
            </w:pPr>
            <w:r>
              <w:rPr>
                <w:rFonts w:ascii="黑体" w:hAnsi="黑体" w:eastAsia="黑体"/>
                <w:szCs w:val="21"/>
              </w:rPr>
              <w:t>1 支</w:t>
            </w:r>
          </w:p>
        </w:tc>
      </w:tr>
    </w:tbl>
    <w:p>
      <w:pPr>
        <w:spacing w:line="360" w:lineRule="auto"/>
        <w:rPr>
          <w:rFonts w:ascii="黑体" w:hAnsi="黑体" w:eastAsia="黑体"/>
          <w:b/>
          <w:bCs/>
          <w:szCs w:val="21"/>
        </w:rPr>
      </w:pPr>
    </w:p>
    <w:p>
      <w:pPr>
        <w:spacing w:line="360" w:lineRule="auto"/>
        <w:rPr>
          <w:rFonts w:ascii="黑体" w:hAnsi="黑体" w:eastAsia="黑体"/>
          <w:b/>
          <w:bCs/>
          <w:szCs w:val="21"/>
        </w:rPr>
      </w:pPr>
    </w:p>
    <w:p>
      <w:pPr>
        <w:pageBreakBefore/>
        <w:spacing w:line="360" w:lineRule="auto"/>
        <w:rPr>
          <w:rFonts w:ascii="黑体" w:hAnsi="黑体" w:eastAsia="黑体"/>
          <w:b/>
          <w:bCs/>
          <w:szCs w:val="21"/>
        </w:rPr>
      </w:pPr>
      <w:r>
        <w:rPr>
          <w:rFonts w:hint="eastAsia" w:ascii="黑体" w:hAnsi="黑体" w:eastAsia="黑体"/>
          <w:b/>
          <w:bCs/>
          <w:szCs w:val="21"/>
        </w:rPr>
        <w:t>（六）喉镜</w:t>
      </w:r>
    </w:p>
    <w:p>
      <w:pPr>
        <w:spacing w:line="360" w:lineRule="auto"/>
        <w:rPr>
          <w:rFonts w:ascii="黑体" w:hAnsi="黑体" w:eastAsia="黑体"/>
        </w:rPr>
      </w:pPr>
      <w:r>
        <w:rPr>
          <w:rFonts w:hint="eastAsia" w:ascii="黑体" w:hAnsi="黑体" w:eastAsia="黑体"/>
        </w:rPr>
        <w:t>产品技术参数</w:t>
      </w:r>
    </w:p>
    <w:p>
      <w:pPr>
        <w:spacing w:line="360" w:lineRule="auto"/>
        <w:rPr>
          <w:rFonts w:ascii="黑体" w:hAnsi="黑体" w:eastAsia="黑体"/>
        </w:rPr>
      </w:pPr>
      <w:r>
        <w:rPr>
          <w:rFonts w:hint="eastAsia" w:ascii="黑体" w:hAnsi="黑体" w:eastAsia="黑体"/>
        </w:rPr>
        <w:t>1、材料：镜片，镜钩都是采用304医用不锈钢，手柄采用H62铜材及铝合金桶材车加工而成。</w:t>
      </w:r>
    </w:p>
    <w:p>
      <w:pPr>
        <w:spacing w:line="360" w:lineRule="auto"/>
        <w:rPr>
          <w:rFonts w:ascii="黑体" w:hAnsi="黑体" w:eastAsia="黑体"/>
        </w:rPr>
      </w:pPr>
      <w:r>
        <w:rPr>
          <w:rFonts w:hint="eastAsia" w:ascii="黑体" w:hAnsi="黑体" w:eastAsia="黑体"/>
        </w:rPr>
        <w:t>2、特点：无残留，易于清洁，高品质的不锈钢（表面亚光处理），可用于134℃高压进行4000次以上消毒。（可高温高压消毒）装置简便：采用挂钩连接式，可快速、简便地更换镜片</w:t>
      </w:r>
    </w:p>
    <w:p>
      <w:pPr>
        <w:spacing w:line="360" w:lineRule="auto"/>
        <w:rPr>
          <w:rFonts w:ascii="黑体" w:hAnsi="黑体" w:eastAsia="黑体"/>
        </w:rPr>
      </w:pPr>
      <w:r>
        <w:rPr>
          <w:rFonts w:hint="eastAsia" w:ascii="黑体" w:hAnsi="黑体" w:eastAsia="黑体"/>
        </w:rPr>
        <w:t>3、镜片尺寸:MAC2-100mm</w:t>
      </w:r>
      <w:r>
        <w:rPr>
          <w:rFonts w:ascii="黑体" w:hAnsi="黑体" w:eastAsia="黑体"/>
        </w:rPr>
        <w:t>±</w:t>
      </w:r>
      <w:r>
        <w:rPr>
          <w:rFonts w:hint="eastAsia" w:ascii="黑体" w:hAnsi="黑体" w:eastAsia="黑体"/>
        </w:rPr>
        <w:t>2</w:t>
      </w:r>
      <w:r>
        <w:rPr>
          <w:rFonts w:ascii="黑体" w:hAnsi="黑体" w:eastAsia="黑体"/>
        </w:rPr>
        <w:t>mm</w:t>
      </w:r>
      <w:r>
        <w:rPr>
          <w:rFonts w:hint="eastAsia" w:ascii="黑体" w:hAnsi="黑体" w:eastAsia="黑体"/>
        </w:rPr>
        <w:t xml:space="preserve">     MAC3-130mm</w:t>
      </w:r>
      <w:r>
        <w:rPr>
          <w:rFonts w:ascii="黑体" w:hAnsi="黑体" w:eastAsia="黑体"/>
        </w:rPr>
        <w:t>±</w:t>
      </w:r>
      <w:r>
        <w:rPr>
          <w:rFonts w:hint="eastAsia" w:ascii="黑体" w:hAnsi="黑体" w:eastAsia="黑体"/>
        </w:rPr>
        <w:t>2</w:t>
      </w:r>
      <w:r>
        <w:rPr>
          <w:rFonts w:ascii="黑体" w:hAnsi="黑体" w:eastAsia="黑体"/>
        </w:rPr>
        <w:t>mm</w:t>
      </w:r>
      <w:r>
        <w:rPr>
          <w:rFonts w:hint="eastAsia" w:ascii="黑体" w:hAnsi="黑体" w:eastAsia="黑体"/>
        </w:rPr>
        <w:t xml:space="preserve">     MAC4-</w:t>
      </w:r>
      <w:r>
        <w:rPr>
          <w:rFonts w:ascii="黑体" w:hAnsi="黑体" w:eastAsia="黑体"/>
        </w:rPr>
        <w:t>1</w:t>
      </w:r>
      <w:r>
        <w:rPr>
          <w:rFonts w:hint="eastAsia" w:ascii="黑体" w:hAnsi="黑体" w:eastAsia="黑体"/>
        </w:rPr>
        <w:t>55</w:t>
      </w:r>
      <w:r>
        <w:rPr>
          <w:rFonts w:ascii="黑体" w:hAnsi="黑体" w:eastAsia="黑体"/>
        </w:rPr>
        <w:t>±</w:t>
      </w:r>
      <w:r>
        <w:rPr>
          <w:rFonts w:hint="eastAsia" w:ascii="黑体" w:hAnsi="黑体" w:eastAsia="黑体"/>
        </w:rPr>
        <w:t>2</w:t>
      </w:r>
      <w:r>
        <w:rPr>
          <w:rFonts w:ascii="黑体" w:hAnsi="黑体" w:eastAsia="黑体"/>
        </w:rPr>
        <w:t>mm</w:t>
      </w:r>
    </w:p>
    <w:p>
      <w:pPr>
        <w:spacing w:line="360" w:lineRule="auto"/>
        <w:rPr>
          <w:rFonts w:ascii="黑体" w:hAnsi="黑体" w:eastAsia="黑体"/>
        </w:rPr>
      </w:pPr>
      <w:r>
        <w:rPr>
          <w:rFonts w:hint="eastAsia" w:ascii="黑体" w:hAnsi="黑体" w:eastAsia="黑体"/>
        </w:rPr>
        <w:t xml:space="preserve">           MIL0-75mm</w:t>
      </w:r>
      <w:r>
        <w:rPr>
          <w:rFonts w:ascii="黑体" w:hAnsi="黑体" w:eastAsia="黑体"/>
        </w:rPr>
        <w:t>±</w:t>
      </w:r>
      <w:r>
        <w:rPr>
          <w:rFonts w:hint="eastAsia" w:ascii="黑体" w:hAnsi="黑体" w:eastAsia="黑体"/>
        </w:rPr>
        <w:t>5</w:t>
      </w:r>
      <w:r>
        <w:rPr>
          <w:rFonts w:ascii="黑体" w:hAnsi="黑体" w:eastAsia="黑体"/>
        </w:rPr>
        <w:t>mm</w:t>
      </w:r>
      <w:r>
        <w:rPr>
          <w:rFonts w:hint="eastAsia" w:ascii="黑体" w:hAnsi="黑体" w:eastAsia="黑体"/>
        </w:rPr>
        <w:t xml:space="preserve">     MIL1-102</w:t>
      </w:r>
      <w:r>
        <w:rPr>
          <w:rFonts w:ascii="黑体" w:hAnsi="黑体" w:eastAsia="黑体"/>
        </w:rPr>
        <w:t>±</w:t>
      </w:r>
      <w:r>
        <w:rPr>
          <w:rFonts w:hint="eastAsia" w:ascii="黑体" w:hAnsi="黑体" w:eastAsia="黑体"/>
        </w:rPr>
        <w:t>2</w:t>
      </w:r>
      <w:r>
        <w:rPr>
          <w:rFonts w:ascii="黑体" w:hAnsi="黑体" w:eastAsia="黑体"/>
        </w:rPr>
        <w:t>mm</w:t>
      </w:r>
    </w:p>
    <w:p>
      <w:pPr>
        <w:spacing w:line="360" w:lineRule="auto"/>
        <w:rPr>
          <w:rFonts w:ascii="黑体" w:hAnsi="黑体" w:eastAsia="黑体"/>
        </w:rPr>
      </w:pPr>
      <w:r>
        <w:rPr>
          <w:rFonts w:hint="eastAsia" w:ascii="黑体" w:hAnsi="黑体" w:eastAsia="黑体"/>
        </w:rPr>
        <w:t>4、手柄---28.5 mm（成人）   18.5mm(小儿)</w:t>
      </w:r>
    </w:p>
    <w:p>
      <w:pPr>
        <w:spacing w:line="360" w:lineRule="auto"/>
        <w:rPr>
          <w:rFonts w:ascii="黑体" w:hAnsi="黑体" w:eastAsia="黑体"/>
        </w:rPr>
      </w:pPr>
      <w:r>
        <w:rPr>
          <w:rFonts w:hint="eastAsia" w:ascii="黑体" w:hAnsi="黑体" w:eastAsia="黑体"/>
        </w:rPr>
        <w:t>5、发光方式:卤素灯泡(暖光直接照明式)</w:t>
      </w:r>
    </w:p>
    <w:p>
      <w:pPr>
        <w:spacing w:line="360" w:lineRule="auto"/>
        <w:rPr>
          <w:rFonts w:ascii="黑体" w:hAnsi="黑体" w:eastAsia="黑体"/>
        </w:rPr>
      </w:pPr>
      <w:r>
        <w:rPr>
          <w:rFonts w:hint="eastAsia" w:ascii="黑体" w:hAnsi="黑体" w:eastAsia="黑体"/>
        </w:rPr>
        <w:t>6、灯泡功率:2.5V600MA</w:t>
      </w:r>
    </w:p>
    <w:p>
      <w:pPr>
        <w:spacing w:line="360" w:lineRule="auto"/>
        <w:rPr>
          <w:rFonts w:ascii="黑体" w:hAnsi="黑体" w:eastAsia="黑体"/>
        </w:rPr>
      </w:pPr>
      <w:r>
        <w:rPr>
          <w:rFonts w:hint="eastAsia" w:ascii="黑体" w:hAnsi="黑体" w:eastAsia="黑体"/>
        </w:rPr>
        <w:t>7、产品配置:</w:t>
      </w:r>
    </w:p>
    <w:p>
      <w:pPr>
        <w:spacing w:line="360" w:lineRule="auto"/>
        <w:rPr>
          <w:rFonts w:ascii="黑体" w:hAnsi="黑体" w:eastAsia="黑体"/>
        </w:rPr>
      </w:pPr>
      <w:r>
        <w:rPr>
          <w:rFonts w:hint="eastAsia" w:ascii="黑体" w:hAnsi="黑体" w:eastAsia="黑体"/>
        </w:rPr>
        <w:t>塑料盒一个，成人每套内含MAC2，MAC3，MAC4灯泡镜片各一片，成人手柄一只，备用灯泡两个。</w:t>
      </w:r>
    </w:p>
    <w:p>
      <w:pPr>
        <w:spacing w:line="360" w:lineRule="auto"/>
        <w:rPr>
          <w:rFonts w:ascii="黑体" w:hAnsi="黑体" w:eastAsia="黑体"/>
        </w:rPr>
      </w:pPr>
      <w:r>
        <w:rPr>
          <w:rFonts w:hint="eastAsia" w:ascii="黑体" w:hAnsi="黑体" w:eastAsia="黑体"/>
        </w:rPr>
        <w:t>小儿每套内含MIL0，MIL1灯泡镜片各一只，小儿手柄一只，备用灯泡两颗。</w:t>
      </w:r>
    </w:p>
    <w:p>
      <w:pPr>
        <w:spacing w:line="360" w:lineRule="auto"/>
        <w:rPr>
          <w:rFonts w:ascii="黑体" w:hAnsi="黑体" w:eastAsia="黑体"/>
        </w:rPr>
      </w:pPr>
      <w:r>
        <w:rPr>
          <w:rFonts w:hint="eastAsia" w:ascii="黑体" w:hAnsi="黑体" w:eastAsia="黑体"/>
        </w:rPr>
        <w:t>8、重量:0.6kg/套（成人）           0.4KG（小儿）</w:t>
      </w:r>
    </w:p>
    <w:p>
      <w:pPr>
        <w:spacing w:line="360" w:lineRule="auto"/>
        <w:rPr>
          <w:rFonts w:ascii="黑体" w:hAnsi="黑体" w:eastAsia="黑体"/>
        </w:rPr>
      </w:pPr>
      <w:r>
        <w:rPr>
          <w:rFonts w:hint="eastAsia" w:ascii="黑体" w:hAnsi="黑体" w:eastAsia="黑体"/>
        </w:rPr>
        <w:t>9、单套尺寸:22.5cm*16.8cm*2.5cm</w:t>
      </w:r>
    </w:p>
    <w:p>
      <w:pPr>
        <w:spacing w:line="360" w:lineRule="auto"/>
        <w:rPr>
          <w:rFonts w:ascii="黑体" w:hAnsi="黑体" w:eastAsia="黑体"/>
          <w:b/>
          <w:bCs/>
          <w:szCs w:val="21"/>
        </w:rPr>
      </w:pPr>
    </w:p>
    <w:p>
      <w:pPr>
        <w:spacing w:line="360" w:lineRule="auto"/>
        <w:rPr>
          <w:rFonts w:ascii="黑体" w:hAnsi="黑体" w:eastAsia="黑体"/>
          <w:b/>
          <w:bCs/>
          <w:szCs w:val="21"/>
        </w:rPr>
      </w:pPr>
    </w:p>
    <w:p>
      <w:pPr>
        <w:pageBreakBefore/>
        <w:spacing w:line="360" w:lineRule="auto"/>
        <w:rPr>
          <w:rFonts w:ascii="黑体" w:hAnsi="黑体" w:eastAsia="黑体"/>
          <w:b/>
          <w:bCs/>
          <w:szCs w:val="21"/>
        </w:rPr>
      </w:pPr>
      <w:r>
        <w:rPr>
          <w:rFonts w:hint="eastAsia" w:ascii="黑体" w:hAnsi="黑体" w:eastAsia="黑体"/>
          <w:b/>
          <w:bCs/>
          <w:szCs w:val="21"/>
        </w:rPr>
        <w:t>（七）可视喉镜</w:t>
      </w:r>
    </w:p>
    <w:p>
      <w:pPr>
        <w:pStyle w:val="63"/>
        <w:numPr>
          <w:ilvl w:val="0"/>
          <w:numId w:val="13"/>
        </w:numPr>
        <w:spacing w:line="360" w:lineRule="auto"/>
        <w:ind w:firstLineChars="0"/>
        <w:jc w:val="left"/>
        <w:rPr>
          <w:rFonts w:ascii="黑体" w:hAnsi="黑体" w:eastAsia="黑体"/>
          <w:b/>
          <w:szCs w:val="21"/>
        </w:rPr>
      </w:pPr>
      <w:r>
        <w:rPr>
          <w:rFonts w:hint="eastAsia" w:ascii="黑体" w:hAnsi="黑体" w:eastAsia="黑体"/>
          <w:b/>
          <w:szCs w:val="21"/>
        </w:rPr>
        <w:t>显示器</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1. 显示屏：3</w:t>
      </w:r>
      <w:r>
        <w:rPr>
          <w:rFonts w:ascii="黑体" w:hAnsi="黑体" w:eastAsia="黑体"/>
          <w:szCs w:val="21"/>
        </w:rPr>
        <w:t>.0</w:t>
      </w:r>
      <w:r>
        <w:rPr>
          <w:rFonts w:hint="eastAsia" w:ascii="黑体" w:hAnsi="黑体" w:eastAsia="黑体"/>
          <w:szCs w:val="21"/>
        </w:rPr>
        <w:t>″TFT显示屏，像素：1</w:t>
      </w:r>
      <w:r>
        <w:rPr>
          <w:rFonts w:ascii="黑体" w:hAnsi="黑体" w:eastAsia="黑体"/>
          <w:szCs w:val="21"/>
        </w:rPr>
        <w:t>00</w:t>
      </w:r>
      <w:r>
        <w:rPr>
          <w:rFonts w:hint="eastAsia" w:ascii="黑体" w:hAnsi="黑体" w:eastAsia="黑体"/>
          <w:szCs w:val="21"/>
        </w:rPr>
        <w:t>万</w:t>
      </w:r>
    </w:p>
    <w:p>
      <w:pPr>
        <w:pStyle w:val="63"/>
        <w:spacing w:line="360" w:lineRule="auto"/>
        <w:ind w:left="141" w:firstLine="0" w:firstLineChars="0"/>
        <w:rPr>
          <w:rFonts w:ascii="黑体" w:hAnsi="黑体" w:eastAsia="黑体"/>
          <w:b/>
          <w:bCs/>
          <w:szCs w:val="21"/>
        </w:rPr>
      </w:pPr>
      <w:r>
        <w:rPr>
          <w:rFonts w:hint="eastAsia" w:ascii="黑体" w:hAnsi="黑体" w:eastAsia="黑体"/>
          <w:b/>
          <w:bCs/>
          <w:szCs w:val="21"/>
        </w:rPr>
        <w:t>▲2. 显示器上下转动角度0-130°</w:t>
      </w:r>
    </w:p>
    <w:p>
      <w:pPr>
        <w:pStyle w:val="63"/>
        <w:spacing w:line="360" w:lineRule="auto"/>
        <w:ind w:left="141" w:firstLine="0" w:firstLineChars="0"/>
        <w:rPr>
          <w:rFonts w:ascii="黑体" w:hAnsi="黑体" w:eastAsia="黑体"/>
          <w:b/>
          <w:bCs/>
          <w:szCs w:val="21"/>
        </w:rPr>
      </w:pPr>
      <w:r>
        <w:rPr>
          <w:rFonts w:hint="eastAsia" w:ascii="黑体" w:hAnsi="黑体" w:eastAsia="黑体"/>
          <w:b/>
          <w:bCs/>
          <w:szCs w:val="21"/>
        </w:rPr>
        <w:t>▲3. 显示器左右转动角度0-270°</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4. 内置锂电池</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5. 电池放电时间≥</w:t>
      </w:r>
      <w:r>
        <w:rPr>
          <w:rFonts w:ascii="黑体" w:hAnsi="黑体" w:eastAsia="黑体"/>
          <w:szCs w:val="21"/>
        </w:rPr>
        <w:t>4</w:t>
      </w:r>
      <w:r>
        <w:rPr>
          <w:rFonts w:hint="eastAsia" w:ascii="黑体" w:hAnsi="黑体" w:eastAsia="黑体"/>
          <w:szCs w:val="21"/>
        </w:rPr>
        <w:t>h</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6. 电池充电次数＞300次</w:t>
      </w:r>
    </w:p>
    <w:p>
      <w:pPr>
        <w:pStyle w:val="63"/>
        <w:numPr>
          <w:ilvl w:val="0"/>
          <w:numId w:val="13"/>
        </w:numPr>
        <w:spacing w:line="360" w:lineRule="auto"/>
        <w:ind w:firstLineChars="0"/>
        <w:jc w:val="left"/>
        <w:rPr>
          <w:rFonts w:ascii="黑体" w:hAnsi="黑体" w:eastAsia="黑体"/>
          <w:b/>
          <w:szCs w:val="21"/>
        </w:rPr>
      </w:pPr>
      <w:r>
        <w:rPr>
          <w:rFonts w:hint="eastAsia" w:ascii="黑体" w:hAnsi="黑体" w:eastAsia="黑体"/>
          <w:b/>
          <w:szCs w:val="21"/>
        </w:rPr>
        <w:t>镜柄部</w:t>
      </w:r>
    </w:p>
    <w:p>
      <w:pPr>
        <w:pStyle w:val="63"/>
        <w:spacing w:line="360" w:lineRule="auto"/>
        <w:ind w:left="141" w:firstLine="0" w:firstLineChars="0"/>
        <w:rPr>
          <w:rFonts w:ascii="黑体" w:hAnsi="黑体" w:eastAsia="黑体"/>
          <w:b/>
          <w:bCs/>
          <w:szCs w:val="21"/>
        </w:rPr>
      </w:pPr>
      <w:r>
        <w:rPr>
          <w:rFonts w:hint="eastAsia" w:ascii="黑体" w:hAnsi="黑体" w:eastAsia="黑体"/>
          <w:b/>
          <w:bCs/>
          <w:szCs w:val="21"/>
        </w:rPr>
        <w:t>▲1. 摄像头与镜片前端的最高垂直距离：≤30mm</w:t>
      </w:r>
    </w:p>
    <w:p>
      <w:pPr>
        <w:pStyle w:val="63"/>
        <w:spacing w:line="360" w:lineRule="auto"/>
        <w:ind w:left="141" w:firstLine="0" w:firstLineChars="0"/>
        <w:rPr>
          <w:rFonts w:ascii="黑体" w:hAnsi="黑体" w:eastAsia="黑体"/>
          <w:b/>
          <w:bCs/>
          <w:szCs w:val="21"/>
        </w:rPr>
      </w:pPr>
      <w:r>
        <w:rPr>
          <w:rFonts w:hint="eastAsia" w:ascii="黑体" w:hAnsi="黑体" w:eastAsia="黑体"/>
          <w:b/>
          <w:bCs/>
          <w:szCs w:val="21"/>
        </w:rPr>
        <w:t>▲2. 可插入镜片长度</w:t>
      </w:r>
      <w:bookmarkStart w:id="26" w:name="OLE_LINK1"/>
      <w:r>
        <w:rPr>
          <w:rFonts w:hint="eastAsia" w:ascii="黑体" w:hAnsi="黑体" w:eastAsia="黑体"/>
          <w:b/>
          <w:bCs/>
          <w:szCs w:val="21"/>
        </w:rPr>
        <w:t>：108mm</w:t>
      </w:r>
      <w:bookmarkEnd w:id="26"/>
    </w:p>
    <w:p>
      <w:pPr>
        <w:pStyle w:val="63"/>
        <w:spacing w:line="360" w:lineRule="auto"/>
        <w:ind w:left="141" w:firstLine="0" w:firstLineChars="0"/>
        <w:rPr>
          <w:rFonts w:ascii="黑体" w:hAnsi="黑体" w:eastAsia="黑体"/>
          <w:b/>
          <w:bCs/>
          <w:szCs w:val="21"/>
        </w:rPr>
      </w:pPr>
      <w:r>
        <w:rPr>
          <w:rFonts w:hint="eastAsia" w:ascii="黑体" w:hAnsi="黑体" w:eastAsia="黑体"/>
          <w:b/>
          <w:bCs/>
          <w:szCs w:val="21"/>
        </w:rPr>
        <w:t>▲3. 渐缩型镜片前段厚度：12.5mm</w:t>
      </w:r>
    </w:p>
    <w:p>
      <w:pPr>
        <w:pStyle w:val="63"/>
        <w:spacing w:line="360" w:lineRule="auto"/>
        <w:ind w:left="141" w:firstLine="0" w:firstLineChars="0"/>
        <w:rPr>
          <w:rFonts w:ascii="黑体" w:hAnsi="黑体" w:eastAsia="黑体"/>
          <w:b/>
          <w:bCs/>
          <w:szCs w:val="21"/>
        </w:rPr>
      </w:pPr>
      <w:r>
        <w:rPr>
          <w:rFonts w:hint="eastAsia" w:ascii="黑体" w:hAnsi="黑体" w:eastAsia="黑体"/>
          <w:b/>
          <w:bCs/>
          <w:szCs w:val="21"/>
        </w:rPr>
        <w:t>▲4. 镜片角度：42°</w:t>
      </w:r>
    </w:p>
    <w:p>
      <w:pPr>
        <w:pStyle w:val="63"/>
        <w:spacing w:line="360" w:lineRule="auto"/>
        <w:ind w:left="141" w:firstLine="0" w:firstLineChars="0"/>
        <w:rPr>
          <w:rFonts w:ascii="黑体" w:hAnsi="黑体" w:eastAsia="黑体"/>
          <w:b/>
          <w:bCs/>
          <w:szCs w:val="21"/>
        </w:rPr>
      </w:pPr>
      <w:r>
        <w:rPr>
          <w:rFonts w:hint="eastAsia" w:ascii="黑体" w:hAnsi="黑体" w:eastAsia="黑体"/>
          <w:b/>
          <w:bCs/>
          <w:szCs w:val="21"/>
        </w:rPr>
        <w:t>▲5. 视场角：60</w:t>
      </w:r>
      <w:r>
        <w:rPr>
          <w:rFonts w:eastAsia="黑体" w:cs="Calibri"/>
          <w:b/>
          <w:bCs/>
          <w:szCs w:val="21"/>
        </w:rPr>
        <w:t>º</w:t>
      </w:r>
      <w:r>
        <w:rPr>
          <w:rFonts w:hint="eastAsia" w:ascii="黑体" w:hAnsi="黑体" w:eastAsia="黑体" w:cs="黑体"/>
          <w:b/>
          <w:bCs/>
          <w:szCs w:val="21"/>
        </w:rPr>
        <w:t>±</w:t>
      </w:r>
      <w:r>
        <w:rPr>
          <w:rFonts w:hint="eastAsia" w:ascii="黑体" w:hAnsi="黑体" w:eastAsia="黑体"/>
          <w:b/>
          <w:bCs/>
          <w:szCs w:val="21"/>
        </w:rPr>
        <w:t>15%</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6. 材质：医用高分子复合材料</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7. 纺锤型短手柄设计，握持舒适</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8. 具有特殊防雾功能</w:t>
      </w:r>
    </w:p>
    <w:p>
      <w:pPr>
        <w:spacing w:line="360" w:lineRule="auto"/>
        <w:jc w:val="left"/>
        <w:rPr>
          <w:rFonts w:ascii="黑体" w:hAnsi="黑体" w:eastAsia="黑体"/>
          <w:b/>
          <w:szCs w:val="21"/>
        </w:rPr>
      </w:pPr>
      <w:r>
        <w:rPr>
          <w:rFonts w:hint="eastAsia" w:ascii="黑体" w:hAnsi="黑体" w:eastAsia="黑体"/>
          <w:b/>
          <w:szCs w:val="21"/>
        </w:rPr>
        <w:t>三、充电器</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1. 充电器输入：100-240V AC，50-60Hz</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2. 充电器输出：5V DC,1A</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3. 充电时间：&lt;4小时</w:t>
      </w:r>
    </w:p>
    <w:p>
      <w:pPr>
        <w:pStyle w:val="63"/>
        <w:spacing w:line="360" w:lineRule="auto"/>
        <w:ind w:firstLine="0" w:firstLineChars="0"/>
        <w:jc w:val="left"/>
        <w:rPr>
          <w:rFonts w:ascii="黑体" w:hAnsi="黑体" w:eastAsia="黑体"/>
          <w:b/>
          <w:szCs w:val="21"/>
        </w:rPr>
      </w:pPr>
      <w:r>
        <w:rPr>
          <w:rFonts w:hint="eastAsia" w:ascii="黑体" w:hAnsi="黑体" w:eastAsia="黑体"/>
          <w:b/>
          <w:szCs w:val="21"/>
        </w:rPr>
        <w:t>四、工作环境</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1. 温  度：-5℃～+40℃</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2. 湿  度：10%～90%</w:t>
      </w:r>
    </w:p>
    <w:p>
      <w:pPr>
        <w:pStyle w:val="63"/>
        <w:spacing w:line="360" w:lineRule="auto"/>
        <w:ind w:left="141" w:firstLine="210" w:firstLineChars="100"/>
        <w:rPr>
          <w:rFonts w:ascii="黑体" w:hAnsi="黑体" w:eastAsia="黑体"/>
          <w:b/>
          <w:szCs w:val="21"/>
        </w:rPr>
      </w:pPr>
      <w:r>
        <w:rPr>
          <w:rFonts w:hint="eastAsia" w:ascii="黑体" w:hAnsi="黑体" w:eastAsia="黑体"/>
          <w:szCs w:val="21"/>
        </w:rPr>
        <w:t>3. 大气压力：860hpa～1060hpa</w:t>
      </w:r>
    </w:p>
    <w:p>
      <w:pPr>
        <w:pStyle w:val="63"/>
        <w:spacing w:line="360" w:lineRule="auto"/>
        <w:ind w:firstLine="0" w:firstLineChars="0"/>
        <w:jc w:val="left"/>
        <w:rPr>
          <w:rFonts w:ascii="黑体" w:hAnsi="黑体" w:eastAsia="黑体"/>
          <w:b/>
          <w:szCs w:val="21"/>
        </w:rPr>
      </w:pPr>
      <w:r>
        <w:rPr>
          <w:rFonts w:hint="eastAsia" w:ascii="黑体" w:hAnsi="黑体" w:eastAsia="黑体"/>
          <w:b/>
          <w:szCs w:val="21"/>
        </w:rPr>
        <w:t>五、运输储存环境</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1. 温  度：-40℃～55℃</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2. 湿  度：≤93%</w:t>
      </w:r>
    </w:p>
    <w:p>
      <w:pPr>
        <w:pStyle w:val="63"/>
        <w:spacing w:line="360" w:lineRule="auto"/>
        <w:ind w:left="141" w:firstLine="210" w:firstLineChars="100"/>
        <w:rPr>
          <w:rFonts w:ascii="黑体" w:hAnsi="黑体" w:eastAsia="黑体"/>
          <w:szCs w:val="21"/>
        </w:rPr>
      </w:pPr>
      <w:r>
        <w:rPr>
          <w:rFonts w:hint="eastAsia" w:ascii="黑体" w:hAnsi="黑体" w:eastAsia="黑体"/>
          <w:szCs w:val="21"/>
        </w:rPr>
        <w:t>3. 大气压力：500hpa～1060hpa</w:t>
      </w:r>
    </w:p>
    <w:p>
      <w:pPr>
        <w:pStyle w:val="63"/>
        <w:spacing w:line="360" w:lineRule="auto"/>
        <w:ind w:firstLine="0" w:firstLineChars="0"/>
        <w:jc w:val="left"/>
        <w:rPr>
          <w:rFonts w:ascii="黑体" w:hAnsi="黑体" w:eastAsia="黑体"/>
          <w:szCs w:val="21"/>
        </w:rPr>
      </w:pPr>
      <w:r>
        <w:rPr>
          <w:rFonts w:hint="eastAsia" w:ascii="黑体" w:hAnsi="黑体" w:eastAsia="黑体"/>
          <w:b/>
          <w:szCs w:val="21"/>
        </w:rPr>
        <w:t>六、配置清单</w:t>
      </w:r>
    </w:p>
    <w:tbl>
      <w:tblPr>
        <w:tblStyle w:val="20"/>
        <w:tblW w:w="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8"/>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主机</w:t>
            </w:r>
          </w:p>
        </w:tc>
        <w:tc>
          <w:tcPr>
            <w:tcW w:w="2201" w:type="dxa"/>
          </w:tcPr>
          <w:p>
            <w:pPr>
              <w:spacing w:line="360" w:lineRule="auto"/>
              <w:rPr>
                <w:rFonts w:ascii="黑体" w:hAnsi="黑体" w:eastAsia="黑体"/>
                <w:szCs w:val="21"/>
              </w:rPr>
            </w:pPr>
            <w:r>
              <w:rPr>
                <w:rFonts w:hint="eastAsia" w:ascii="黑体" w:hAnsi="黑体" w:eastAsia="黑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电源适配器</w:t>
            </w:r>
          </w:p>
        </w:tc>
        <w:tc>
          <w:tcPr>
            <w:tcW w:w="2201" w:type="dxa"/>
          </w:tcPr>
          <w:p>
            <w:pPr>
              <w:spacing w:line="360" w:lineRule="auto"/>
              <w:rPr>
                <w:rFonts w:ascii="黑体" w:hAnsi="黑体" w:eastAsia="黑体"/>
                <w:szCs w:val="21"/>
              </w:rPr>
            </w:pPr>
            <w:r>
              <w:rPr>
                <w:rFonts w:hint="eastAsia" w:ascii="黑体" w:hAnsi="黑体" w:eastAsia="黑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环保专用箱</w:t>
            </w:r>
          </w:p>
        </w:tc>
        <w:tc>
          <w:tcPr>
            <w:tcW w:w="2201" w:type="dxa"/>
          </w:tcPr>
          <w:p>
            <w:pPr>
              <w:spacing w:line="360" w:lineRule="auto"/>
              <w:rPr>
                <w:rFonts w:ascii="黑体" w:hAnsi="黑体" w:eastAsia="黑体"/>
                <w:szCs w:val="21"/>
              </w:rPr>
            </w:pPr>
            <w:r>
              <w:rPr>
                <w:rFonts w:hint="eastAsia" w:ascii="黑体" w:hAnsi="黑体" w:eastAsia="黑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保修卡</w:t>
            </w:r>
          </w:p>
        </w:tc>
        <w:tc>
          <w:tcPr>
            <w:tcW w:w="2201" w:type="dxa"/>
          </w:tcPr>
          <w:p>
            <w:pPr>
              <w:spacing w:line="360" w:lineRule="auto"/>
              <w:rPr>
                <w:rFonts w:ascii="黑体" w:hAnsi="黑体" w:eastAsia="黑体"/>
                <w:szCs w:val="21"/>
              </w:rPr>
            </w:pPr>
            <w:r>
              <w:rPr>
                <w:rFonts w:hint="eastAsia" w:ascii="黑体" w:hAnsi="黑体" w:eastAsia="黑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说明书</w:t>
            </w:r>
          </w:p>
        </w:tc>
        <w:tc>
          <w:tcPr>
            <w:tcW w:w="2201" w:type="dxa"/>
          </w:tcPr>
          <w:p>
            <w:pPr>
              <w:spacing w:line="360" w:lineRule="auto"/>
              <w:rPr>
                <w:rFonts w:ascii="黑体" w:hAnsi="黑体" w:eastAsia="黑体"/>
                <w:szCs w:val="21"/>
              </w:rPr>
            </w:pPr>
            <w:r>
              <w:rPr>
                <w:rFonts w:hint="eastAsia" w:ascii="黑体" w:hAnsi="黑体" w:eastAsia="黑体"/>
                <w:szCs w:val="21"/>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合格证</w:t>
            </w:r>
          </w:p>
        </w:tc>
        <w:tc>
          <w:tcPr>
            <w:tcW w:w="2201" w:type="dxa"/>
          </w:tcPr>
          <w:p>
            <w:pPr>
              <w:spacing w:line="360" w:lineRule="auto"/>
              <w:rPr>
                <w:rFonts w:ascii="黑体" w:hAnsi="黑体" w:eastAsia="黑体"/>
                <w:szCs w:val="21"/>
              </w:rPr>
            </w:pPr>
            <w:r>
              <w:rPr>
                <w:rFonts w:hint="eastAsia" w:ascii="黑体" w:hAnsi="黑体" w:eastAsia="黑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8" w:type="dxa"/>
          </w:tcPr>
          <w:p>
            <w:pPr>
              <w:spacing w:line="360" w:lineRule="auto"/>
              <w:rPr>
                <w:rFonts w:ascii="黑体" w:hAnsi="黑体" w:eastAsia="黑体"/>
                <w:szCs w:val="21"/>
              </w:rPr>
            </w:pPr>
            <w:r>
              <w:rPr>
                <w:rFonts w:hint="eastAsia" w:ascii="黑体" w:hAnsi="黑体" w:eastAsia="黑体"/>
                <w:szCs w:val="21"/>
              </w:rPr>
              <w:t>装箱单</w:t>
            </w:r>
          </w:p>
        </w:tc>
        <w:tc>
          <w:tcPr>
            <w:tcW w:w="2201" w:type="dxa"/>
          </w:tcPr>
          <w:p>
            <w:pPr>
              <w:spacing w:line="360" w:lineRule="auto"/>
              <w:rPr>
                <w:rFonts w:ascii="黑体" w:hAnsi="黑体" w:eastAsia="黑体"/>
                <w:szCs w:val="21"/>
              </w:rPr>
            </w:pPr>
            <w:r>
              <w:rPr>
                <w:rFonts w:hint="eastAsia" w:ascii="黑体" w:hAnsi="黑体" w:eastAsia="黑体"/>
                <w:szCs w:val="21"/>
              </w:rPr>
              <w:t>1个</w:t>
            </w:r>
          </w:p>
        </w:tc>
      </w:tr>
    </w:tbl>
    <w:p>
      <w:pPr>
        <w:spacing w:line="360" w:lineRule="auto"/>
        <w:rPr>
          <w:rFonts w:ascii="黑体" w:hAnsi="黑体" w:eastAsia="黑体"/>
          <w:szCs w:val="21"/>
        </w:rPr>
      </w:pPr>
    </w:p>
    <w:p>
      <w:pPr>
        <w:pageBreakBefore/>
        <w:spacing w:line="360" w:lineRule="auto"/>
        <w:rPr>
          <w:rFonts w:ascii="黑体" w:hAnsi="黑体" w:eastAsia="黑体"/>
          <w:b/>
          <w:bCs/>
          <w:szCs w:val="21"/>
        </w:rPr>
      </w:pPr>
      <w:r>
        <w:rPr>
          <w:rFonts w:hint="eastAsia" w:ascii="黑体" w:hAnsi="黑体" w:eastAsia="黑体"/>
          <w:b/>
          <w:bCs/>
          <w:szCs w:val="21"/>
        </w:rPr>
        <w:t>（八）纤维支气管内窥镜（电子软镜）</w:t>
      </w:r>
    </w:p>
    <w:p>
      <w:pPr>
        <w:spacing w:line="360" w:lineRule="auto"/>
        <w:rPr>
          <w:rFonts w:ascii="黑体" w:hAnsi="黑体" w:eastAsia="黑体"/>
          <w:b/>
          <w:bCs/>
        </w:rPr>
      </w:pPr>
      <w:r>
        <w:rPr>
          <w:rFonts w:hint="eastAsia" w:ascii="黑体" w:hAnsi="黑体" w:eastAsia="黑体"/>
        </w:rPr>
        <w:t>1、整机由</w:t>
      </w:r>
      <w:r>
        <w:rPr>
          <w:rFonts w:ascii="黑体" w:hAnsi="黑体" w:eastAsia="黑体"/>
        </w:rPr>
        <w:t>机身软管</w:t>
      </w:r>
      <w:r>
        <w:rPr>
          <w:rFonts w:hint="eastAsia" w:ascii="黑体" w:hAnsi="黑体" w:eastAsia="黑体"/>
        </w:rPr>
        <w:t>和显示器两部分组成，整机具有拍照录像、数据存取</w:t>
      </w:r>
      <w:r>
        <w:rPr>
          <w:rFonts w:ascii="黑体" w:hAnsi="黑体" w:eastAsia="黑体"/>
        </w:rPr>
        <w:t>、有线视频输出</w:t>
      </w:r>
      <w:r>
        <w:rPr>
          <w:rFonts w:hint="eastAsia" w:ascii="黑体" w:hAnsi="黑体" w:eastAsia="黑体"/>
        </w:rPr>
        <w:t>,兼容</w:t>
      </w:r>
      <w:r>
        <w:rPr>
          <w:rFonts w:ascii="黑体" w:hAnsi="黑体" w:eastAsia="黑体"/>
        </w:rPr>
        <w:t>av输出、</w:t>
      </w:r>
      <w:r>
        <w:rPr>
          <w:rFonts w:hint="eastAsia" w:ascii="黑体" w:hAnsi="黑体" w:eastAsia="黑体"/>
        </w:rPr>
        <w:t>吸痰</w:t>
      </w:r>
      <w:r>
        <w:rPr>
          <w:rFonts w:ascii="黑体" w:hAnsi="黑体" w:eastAsia="黑体"/>
        </w:rPr>
        <w:t>、</w:t>
      </w:r>
      <w:r>
        <w:rPr>
          <w:rFonts w:hint="eastAsia" w:ascii="黑体" w:hAnsi="黑体" w:eastAsia="黑体"/>
        </w:rPr>
        <w:t>给药</w:t>
      </w:r>
      <w:r>
        <w:rPr>
          <w:rFonts w:ascii="黑体" w:hAnsi="黑体" w:eastAsia="黑体"/>
        </w:rPr>
        <w:t>、</w:t>
      </w:r>
      <w:r>
        <w:rPr>
          <w:rFonts w:hint="eastAsia" w:ascii="黑体" w:hAnsi="黑体" w:eastAsia="黑体"/>
        </w:rPr>
        <w:t>吹氧、活检</w:t>
      </w:r>
      <w:r>
        <w:rPr>
          <w:rFonts w:ascii="黑体" w:hAnsi="黑体" w:eastAsia="黑体"/>
        </w:rPr>
        <w:t>等</w:t>
      </w:r>
      <w:r>
        <w:rPr>
          <w:rFonts w:hint="eastAsia" w:ascii="黑体" w:hAnsi="黑体" w:eastAsia="黑体"/>
        </w:rPr>
        <w:t>功能</w:t>
      </w:r>
    </w:p>
    <w:p>
      <w:pPr>
        <w:adjustRightInd w:val="0"/>
        <w:spacing w:line="360" w:lineRule="auto"/>
        <w:jc w:val="left"/>
        <w:rPr>
          <w:rFonts w:ascii="黑体" w:hAnsi="黑体" w:eastAsia="黑体"/>
          <w:b/>
          <w:bCs/>
          <w:szCs w:val="21"/>
        </w:rPr>
      </w:pPr>
      <w:r>
        <w:rPr>
          <w:rFonts w:hint="eastAsia" w:ascii="黑体" w:hAnsi="黑体" w:eastAsia="黑体"/>
          <w:b/>
          <w:bCs/>
          <w:szCs w:val="21"/>
        </w:rPr>
        <w:t>▲ 2、</w:t>
      </w:r>
      <w:r>
        <w:rPr>
          <w:rFonts w:ascii="黑体" w:hAnsi="黑体" w:eastAsia="黑体"/>
          <w:b/>
          <w:bCs/>
          <w:szCs w:val="21"/>
        </w:rPr>
        <w:t>显示器能上下0</w:t>
      </w:r>
      <w:r>
        <w:rPr>
          <w:rFonts w:ascii="Calibri" w:hAnsi="Calibri" w:eastAsia="黑体" w:cs="Calibri"/>
          <w:b/>
          <w:bCs/>
          <w:szCs w:val="21"/>
        </w:rPr>
        <w:t>º</w:t>
      </w:r>
      <w:r>
        <w:rPr>
          <w:rFonts w:ascii="黑体" w:hAnsi="黑体" w:eastAsia="黑体"/>
          <w:b/>
          <w:bCs/>
          <w:szCs w:val="21"/>
        </w:rPr>
        <w:t>～</w:t>
      </w:r>
      <w:r>
        <w:rPr>
          <w:rFonts w:hint="eastAsia" w:ascii="黑体" w:hAnsi="黑体" w:eastAsia="黑体"/>
          <w:b/>
          <w:bCs/>
          <w:szCs w:val="21"/>
        </w:rPr>
        <w:t>180</w:t>
      </w:r>
      <w:r>
        <w:rPr>
          <w:rFonts w:ascii="Calibri" w:hAnsi="Calibri" w:eastAsia="黑体" w:cs="Calibri"/>
          <w:b/>
          <w:bCs/>
          <w:szCs w:val="21"/>
        </w:rPr>
        <w:t>º</w:t>
      </w:r>
      <w:r>
        <w:rPr>
          <w:rFonts w:ascii="黑体" w:hAnsi="黑体" w:eastAsia="黑体"/>
          <w:b/>
          <w:bCs/>
          <w:szCs w:val="21"/>
        </w:rPr>
        <w:t>转动，左右0</w:t>
      </w:r>
      <w:r>
        <w:rPr>
          <w:rFonts w:ascii="Calibri" w:hAnsi="Calibri" w:eastAsia="黑体" w:cs="Calibri"/>
          <w:b/>
          <w:bCs/>
          <w:szCs w:val="21"/>
        </w:rPr>
        <w:t>º</w:t>
      </w:r>
      <w:r>
        <w:rPr>
          <w:rFonts w:ascii="黑体" w:hAnsi="黑体" w:eastAsia="黑体"/>
          <w:b/>
          <w:bCs/>
          <w:szCs w:val="21"/>
        </w:rPr>
        <w:t>～</w:t>
      </w:r>
      <w:r>
        <w:rPr>
          <w:rFonts w:hint="eastAsia" w:ascii="黑体" w:hAnsi="黑体" w:eastAsia="黑体"/>
          <w:b/>
          <w:bCs/>
          <w:szCs w:val="21"/>
        </w:rPr>
        <w:t>18</w:t>
      </w:r>
      <w:r>
        <w:rPr>
          <w:rFonts w:ascii="黑体" w:hAnsi="黑体" w:eastAsia="黑体"/>
          <w:b/>
          <w:bCs/>
          <w:szCs w:val="21"/>
        </w:rPr>
        <w:t>0</w:t>
      </w:r>
      <w:r>
        <w:rPr>
          <w:rFonts w:ascii="Calibri" w:hAnsi="Calibri" w:eastAsia="黑体" w:cs="Calibri"/>
          <w:b/>
          <w:bCs/>
          <w:szCs w:val="21"/>
        </w:rPr>
        <w:t>º</w:t>
      </w:r>
      <w:r>
        <w:rPr>
          <w:rFonts w:ascii="黑体" w:hAnsi="黑体" w:eastAsia="黑体"/>
          <w:b/>
          <w:bCs/>
          <w:szCs w:val="21"/>
        </w:rPr>
        <w:t>转动</w:t>
      </w:r>
    </w:p>
    <w:p>
      <w:pPr>
        <w:adjustRightInd w:val="0"/>
        <w:spacing w:line="360" w:lineRule="auto"/>
        <w:jc w:val="left"/>
        <w:rPr>
          <w:rFonts w:ascii="黑体" w:hAnsi="黑体" w:eastAsia="黑体"/>
          <w:bCs/>
          <w:szCs w:val="21"/>
        </w:rPr>
      </w:pPr>
      <w:r>
        <w:rPr>
          <w:rFonts w:hint="eastAsia" w:ascii="黑体" w:hAnsi="黑体" w:eastAsia="黑体"/>
          <w:bCs/>
          <w:szCs w:val="21"/>
        </w:rPr>
        <w:t>3、</w:t>
      </w:r>
      <w:r>
        <w:rPr>
          <w:rFonts w:ascii="黑体" w:hAnsi="黑体" w:eastAsia="黑体"/>
          <w:bCs/>
          <w:szCs w:val="21"/>
        </w:rPr>
        <w:t>软管直径</w:t>
      </w:r>
      <w:r>
        <w:rPr>
          <w:rFonts w:hint="eastAsia" w:ascii="黑体" w:hAnsi="黑体" w:eastAsia="黑体"/>
          <w:bCs/>
          <w:szCs w:val="21"/>
        </w:rPr>
        <w:t>：</w:t>
      </w:r>
      <w:r>
        <w:rPr>
          <w:rFonts w:ascii="黑体" w:hAnsi="黑体" w:eastAsia="黑体"/>
          <w:bCs/>
          <w:szCs w:val="21"/>
        </w:rPr>
        <w:t>5.</w:t>
      </w:r>
      <w:r>
        <w:rPr>
          <w:rFonts w:hint="eastAsia" w:ascii="黑体" w:hAnsi="黑体" w:eastAsia="黑体"/>
          <w:bCs/>
          <w:szCs w:val="21"/>
        </w:rPr>
        <w:t>2mm</w:t>
      </w:r>
    </w:p>
    <w:p>
      <w:pPr>
        <w:adjustRightInd w:val="0"/>
        <w:spacing w:line="360" w:lineRule="auto"/>
        <w:jc w:val="left"/>
        <w:rPr>
          <w:rFonts w:ascii="黑体" w:hAnsi="黑体" w:eastAsia="黑体"/>
          <w:b/>
          <w:bCs/>
          <w:szCs w:val="21"/>
        </w:rPr>
      </w:pPr>
      <w:r>
        <w:rPr>
          <w:rFonts w:hint="eastAsia" w:ascii="黑体" w:hAnsi="黑体" w:eastAsia="黑体"/>
          <w:b/>
          <w:bCs/>
          <w:szCs w:val="21"/>
        </w:rPr>
        <w:t>▲ 4、</w:t>
      </w:r>
      <w:r>
        <w:rPr>
          <w:rFonts w:ascii="黑体" w:hAnsi="黑体" w:eastAsia="黑体"/>
          <w:b/>
          <w:bCs/>
          <w:szCs w:val="21"/>
        </w:rPr>
        <w:t>工作通道：≥2.</w:t>
      </w:r>
      <w:r>
        <w:rPr>
          <w:rFonts w:hint="eastAsia" w:ascii="黑体" w:hAnsi="黑体" w:eastAsia="黑体"/>
          <w:b/>
          <w:bCs/>
          <w:szCs w:val="21"/>
        </w:rPr>
        <w:t>1mm</w:t>
      </w:r>
    </w:p>
    <w:p>
      <w:pPr>
        <w:adjustRightInd w:val="0"/>
        <w:spacing w:line="360" w:lineRule="auto"/>
        <w:jc w:val="left"/>
        <w:rPr>
          <w:rFonts w:ascii="黑体" w:hAnsi="黑体" w:eastAsia="黑体"/>
          <w:bCs/>
          <w:szCs w:val="21"/>
        </w:rPr>
      </w:pPr>
      <w:r>
        <w:rPr>
          <w:rFonts w:ascii="黑体" w:hAnsi="黑体" w:eastAsia="黑体"/>
          <w:bCs/>
          <w:szCs w:val="21"/>
        </w:rPr>
        <w:t>5</w:t>
      </w:r>
      <w:r>
        <w:rPr>
          <w:rFonts w:hint="eastAsia" w:ascii="黑体" w:hAnsi="黑体" w:eastAsia="黑体"/>
          <w:bCs/>
          <w:szCs w:val="21"/>
        </w:rPr>
        <w:t>、</w:t>
      </w:r>
      <w:r>
        <w:rPr>
          <w:rFonts w:ascii="黑体" w:hAnsi="黑体" w:eastAsia="黑体"/>
          <w:bCs/>
          <w:szCs w:val="21"/>
        </w:rPr>
        <w:t>最大插入</w:t>
      </w:r>
      <w:r>
        <w:rPr>
          <w:rFonts w:hint="eastAsia" w:ascii="黑体" w:hAnsi="黑体" w:eastAsia="黑体"/>
          <w:bCs/>
          <w:szCs w:val="21"/>
        </w:rPr>
        <w:t>部</w:t>
      </w:r>
      <w:r>
        <w:rPr>
          <w:rFonts w:ascii="黑体" w:hAnsi="黑体" w:eastAsia="黑体"/>
          <w:bCs/>
          <w:szCs w:val="21"/>
        </w:rPr>
        <w:t>外径：≤6.0mm</w:t>
      </w:r>
    </w:p>
    <w:p>
      <w:pPr>
        <w:adjustRightInd w:val="0"/>
        <w:spacing w:line="360" w:lineRule="auto"/>
        <w:jc w:val="left"/>
        <w:rPr>
          <w:rFonts w:ascii="黑体" w:hAnsi="黑体" w:eastAsia="黑体"/>
          <w:bCs/>
          <w:szCs w:val="21"/>
        </w:rPr>
      </w:pPr>
      <w:r>
        <w:rPr>
          <w:rFonts w:ascii="黑体" w:hAnsi="黑体" w:eastAsia="黑体"/>
          <w:bCs/>
          <w:szCs w:val="21"/>
        </w:rPr>
        <w:t>6</w:t>
      </w:r>
      <w:r>
        <w:rPr>
          <w:rFonts w:hint="eastAsia" w:ascii="黑体" w:hAnsi="黑体" w:eastAsia="黑体"/>
          <w:bCs/>
          <w:szCs w:val="21"/>
        </w:rPr>
        <w:t>、</w:t>
      </w:r>
      <w:r>
        <w:rPr>
          <w:rFonts w:ascii="黑体" w:hAnsi="黑体" w:eastAsia="黑体"/>
          <w:bCs/>
          <w:szCs w:val="21"/>
        </w:rPr>
        <w:t>前端</w:t>
      </w:r>
      <w:r>
        <w:rPr>
          <w:rFonts w:hint="eastAsia" w:ascii="黑体" w:hAnsi="黑体" w:eastAsia="黑体"/>
          <w:bCs/>
          <w:szCs w:val="21"/>
        </w:rPr>
        <w:t>蛇骨</w:t>
      </w:r>
      <w:r>
        <w:rPr>
          <w:rFonts w:ascii="黑体" w:hAnsi="黑体" w:eastAsia="黑体"/>
          <w:bCs/>
          <w:szCs w:val="21"/>
        </w:rPr>
        <w:t>弯曲角度</w:t>
      </w:r>
      <w:r>
        <w:rPr>
          <w:rFonts w:hint="eastAsia" w:ascii="黑体" w:hAnsi="黑体" w:eastAsia="黑体"/>
          <w:bCs/>
          <w:szCs w:val="21"/>
        </w:rPr>
        <w:t>：向上≥</w:t>
      </w:r>
      <w:r>
        <w:rPr>
          <w:rFonts w:ascii="黑体" w:hAnsi="黑体" w:eastAsia="黑体"/>
          <w:bCs/>
          <w:szCs w:val="21"/>
        </w:rPr>
        <w:t>130</w:t>
      </w:r>
      <w:r>
        <w:rPr>
          <w:rFonts w:hint="eastAsia" w:ascii="黑体" w:hAnsi="黑体" w:eastAsia="黑体"/>
          <w:bCs/>
          <w:szCs w:val="21"/>
        </w:rPr>
        <w:t>°，向下≥</w:t>
      </w:r>
      <w:r>
        <w:rPr>
          <w:rFonts w:ascii="黑体" w:hAnsi="黑体" w:eastAsia="黑体"/>
          <w:bCs/>
          <w:szCs w:val="21"/>
        </w:rPr>
        <w:t>130</w:t>
      </w:r>
      <w:r>
        <w:rPr>
          <w:rFonts w:hint="eastAsia" w:ascii="黑体" w:hAnsi="黑体" w:eastAsia="黑体"/>
          <w:bCs/>
          <w:szCs w:val="21"/>
        </w:rPr>
        <w:t>°</w:t>
      </w:r>
    </w:p>
    <w:p>
      <w:pPr>
        <w:adjustRightInd w:val="0"/>
        <w:spacing w:line="360" w:lineRule="auto"/>
        <w:jc w:val="left"/>
        <w:rPr>
          <w:rFonts w:ascii="黑体" w:hAnsi="黑体" w:eastAsia="黑体"/>
          <w:bCs/>
          <w:szCs w:val="21"/>
        </w:rPr>
      </w:pPr>
      <w:r>
        <w:rPr>
          <w:rFonts w:ascii="黑体" w:hAnsi="黑体" w:eastAsia="黑体"/>
          <w:szCs w:val="21"/>
        </w:rPr>
        <w:t>7</w:t>
      </w:r>
      <w:r>
        <w:rPr>
          <w:rFonts w:hint="eastAsia" w:ascii="黑体" w:hAnsi="黑体" w:eastAsia="黑体"/>
          <w:szCs w:val="21"/>
        </w:rPr>
        <w:t>、视场角</w:t>
      </w:r>
      <w:r>
        <w:rPr>
          <w:rFonts w:ascii="黑体" w:hAnsi="黑体" w:eastAsia="黑体" w:cs="宋体"/>
          <w:szCs w:val="21"/>
        </w:rPr>
        <w:t>：</w:t>
      </w:r>
      <w:r>
        <w:rPr>
          <w:rFonts w:hint="eastAsia" w:ascii="黑体" w:hAnsi="黑体" w:eastAsia="黑体" w:cs="宋体"/>
          <w:szCs w:val="21"/>
        </w:rPr>
        <w:t>90°</w:t>
      </w:r>
    </w:p>
    <w:p>
      <w:pPr>
        <w:adjustRightInd w:val="0"/>
        <w:spacing w:line="360" w:lineRule="auto"/>
        <w:jc w:val="left"/>
        <w:rPr>
          <w:rFonts w:ascii="黑体" w:hAnsi="黑体" w:eastAsia="黑体"/>
          <w:b/>
          <w:bCs/>
          <w:szCs w:val="21"/>
        </w:rPr>
      </w:pPr>
      <w:r>
        <w:rPr>
          <w:rFonts w:hint="eastAsia" w:ascii="黑体" w:hAnsi="黑体" w:eastAsia="黑体"/>
          <w:b/>
          <w:bCs/>
          <w:szCs w:val="21"/>
        </w:rPr>
        <w:t>▲</w:t>
      </w:r>
      <w:r>
        <w:rPr>
          <w:rFonts w:ascii="黑体" w:hAnsi="黑体" w:eastAsia="黑体" w:cs="Arial"/>
          <w:b/>
          <w:bCs/>
          <w:kern w:val="0"/>
          <w:szCs w:val="21"/>
          <w:lang w:eastAsia="zh-Hans"/>
        </w:rPr>
        <w:t xml:space="preserve"> </w:t>
      </w:r>
      <w:r>
        <w:rPr>
          <w:rFonts w:ascii="黑体" w:hAnsi="黑体" w:eastAsia="黑体"/>
          <w:b/>
          <w:bCs/>
          <w:szCs w:val="21"/>
        </w:rPr>
        <w:t>8</w:t>
      </w:r>
      <w:r>
        <w:rPr>
          <w:rFonts w:hint="eastAsia" w:ascii="黑体" w:hAnsi="黑体" w:eastAsia="黑体"/>
          <w:b/>
          <w:bCs/>
          <w:szCs w:val="21"/>
        </w:rPr>
        <w:t>、摄像头内置的全密封防水设计,蓝宝石镜片，防止腐蚀、刮坏。</w:t>
      </w:r>
    </w:p>
    <w:p>
      <w:pPr>
        <w:adjustRightInd w:val="0"/>
        <w:spacing w:line="360" w:lineRule="auto"/>
        <w:jc w:val="left"/>
        <w:rPr>
          <w:rFonts w:ascii="黑体" w:hAnsi="黑体" w:eastAsia="黑体"/>
          <w:b/>
          <w:bCs/>
          <w:szCs w:val="21"/>
        </w:rPr>
      </w:pPr>
      <w:r>
        <w:rPr>
          <w:rFonts w:hint="eastAsia" w:ascii="黑体" w:hAnsi="黑体" w:eastAsia="黑体"/>
          <w:b/>
          <w:bCs/>
          <w:szCs w:val="21"/>
        </w:rPr>
        <w:t>▲</w:t>
      </w:r>
      <w:r>
        <w:rPr>
          <w:rFonts w:ascii="黑体" w:hAnsi="黑体" w:eastAsia="黑体" w:cs="Arial"/>
          <w:b/>
          <w:bCs/>
          <w:kern w:val="0"/>
          <w:szCs w:val="21"/>
          <w:lang w:eastAsia="zh-Hans"/>
        </w:rPr>
        <w:t xml:space="preserve"> 9</w:t>
      </w:r>
      <w:r>
        <w:rPr>
          <w:rFonts w:hint="eastAsia" w:ascii="黑体" w:hAnsi="黑体" w:eastAsia="黑体" w:cs="Arial"/>
          <w:b/>
          <w:bCs/>
          <w:kern w:val="0"/>
          <w:szCs w:val="21"/>
          <w:lang w:eastAsia="zh-Hans"/>
        </w:rPr>
        <w:t>、</w:t>
      </w:r>
      <w:r>
        <w:rPr>
          <w:rFonts w:hint="eastAsia" w:ascii="黑体" w:hAnsi="黑体" w:eastAsia="黑体"/>
          <w:b/>
          <w:bCs/>
          <w:szCs w:val="21"/>
        </w:rPr>
        <w:t>高功率LED光源，光照度</w:t>
      </w:r>
      <w:r>
        <w:rPr>
          <w:rFonts w:ascii="黑体" w:hAnsi="黑体" w:eastAsia="黑体"/>
          <w:b/>
          <w:bCs/>
          <w:szCs w:val="21"/>
        </w:rPr>
        <w:t>：</w:t>
      </w:r>
      <w:r>
        <w:rPr>
          <w:rFonts w:hint="eastAsia" w:ascii="黑体" w:hAnsi="黑体" w:eastAsia="黑体"/>
          <w:b/>
          <w:bCs/>
          <w:szCs w:val="21"/>
        </w:rPr>
        <w:t>≥700Lux</w:t>
      </w:r>
      <w:r>
        <w:rPr>
          <w:rFonts w:ascii="黑体" w:hAnsi="黑体" w:eastAsia="黑体"/>
          <w:b/>
          <w:bCs/>
          <w:szCs w:val="21"/>
        </w:rPr>
        <w:t xml:space="preserve"> </w:t>
      </w:r>
      <w:r>
        <w:rPr>
          <w:rFonts w:hint="eastAsia" w:ascii="黑体" w:hAnsi="黑体" w:eastAsia="黑体"/>
          <w:b/>
          <w:bCs/>
          <w:szCs w:val="21"/>
        </w:rPr>
        <w:t>，先端零发热（先端L</w:t>
      </w:r>
      <w:r>
        <w:rPr>
          <w:rFonts w:ascii="黑体" w:hAnsi="黑体" w:eastAsia="黑体"/>
          <w:b/>
          <w:bCs/>
          <w:szCs w:val="21"/>
        </w:rPr>
        <w:t>ED</w:t>
      </w:r>
      <w:r>
        <w:rPr>
          <w:rFonts w:hint="eastAsia" w:ascii="黑体" w:hAnsi="黑体" w:eastAsia="黑体"/>
          <w:b/>
          <w:bCs/>
          <w:szCs w:val="21"/>
        </w:rPr>
        <w:t>光源存在热量堆积风险</w:t>
      </w:r>
    </w:p>
    <w:p>
      <w:pPr>
        <w:adjustRightInd w:val="0"/>
        <w:spacing w:line="360" w:lineRule="auto"/>
        <w:jc w:val="left"/>
        <w:rPr>
          <w:rFonts w:ascii="黑体" w:hAnsi="黑体" w:eastAsia="黑体"/>
          <w:b/>
          <w:bCs/>
          <w:szCs w:val="21"/>
        </w:rPr>
      </w:pPr>
      <w:r>
        <w:rPr>
          <w:rFonts w:hint="eastAsia" w:ascii="黑体" w:hAnsi="黑体" w:eastAsia="黑体"/>
          <w:b/>
          <w:bCs/>
          <w:szCs w:val="21"/>
        </w:rPr>
        <w:t>▲</w:t>
      </w:r>
      <w:r>
        <w:rPr>
          <w:rFonts w:ascii="黑体" w:hAnsi="黑体" w:eastAsia="黑体"/>
          <w:b/>
          <w:bCs/>
          <w:szCs w:val="21"/>
        </w:rPr>
        <w:t xml:space="preserve"> 10</w:t>
      </w:r>
      <w:r>
        <w:rPr>
          <w:rFonts w:hint="eastAsia" w:ascii="黑体" w:hAnsi="黑体" w:eastAsia="黑体"/>
          <w:b/>
          <w:bCs/>
          <w:szCs w:val="21"/>
        </w:rPr>
        <w:t>、显示器采用蓝宝石玻璃，透光高、防刮花，像素不低于</w:t>
      </w:r>
      <w:r>
        <w:rPr>
          <w:rFonts w:ascii="黑体" w:hAnsi="黑体" w:eastAsia="黑体"/>
          <w:b/>
          <w:bCs/>
          <w:szCs w:val="21"/>
        </w:rPr>
        <w:t>1920</w:t>
      </w:r>
      <w:r>
        <w:rPr>
          <w:rFonts w:hint="eastAsia" w:ascii="黑体" w:hAnsi="黑体" w:eastAsia="黑体"/>
          <w:b/>
          <w:bCs/>
          <w:szCs w:val="21"/>
        </w:rPr>
        <w:t>（R</w:t>
      </w:r>
      <w:r>
        <w:rPr>
          <w:rFonts w:ascii="黑体" w:hAnsi="黑体" w:eastAsia="黑体"/>
          <w:b/>
          <w:bCs/>
          <w:szCs w:val="21"/>
        </w:rPr>
        <w:t>GB</w:t>
      </w:r>
      <w:r>
        <w:rPr>
          <w:rFonts w:hint="eastAsia" w:ascii="黑体" w:hAnsi="黑体" w:eastAsia="黑体"/>
          <w:b/>
          <w:bCs/>
          <w:szCs w:val="21"/>
        </w:rPr>
        <w:t>）*480</w:t>
      </w:r>
    </w:p>
    <w:p>
      <w:pPr>
        <w:adjustRightInd w:val="0"/>
        <w:spacing w:line="360" w:lineRule="auto"/>
        <w:jc w:val="left"/>
        <w:rPr>
          <w:rFonts w:ascii="黑体" w:hAnsi="黑体" w:eastAsia="黑体"/>
          <w:szCs w:val="21"/>
        </w:rPr>
      </w:pPr>
      <w:r>
        <w:rPr>
          <w:rFonts w:ascii="黑体" w:hAnsi="黑体" w:eastAsia="黑体"/>
          <w:szCs w:val="21"/>
        </w:rPr>
        <w:t>11</w:t>
      </w:r>
      <w:r>
        <w:rPr>
          <w:rFonts w:hint="eastAsia" w:ascii="黑体" w:hAnsi="黑体" w:eastAsia="黑体"/>
          <w:szCs w:val="21"/>
        </w:rPr>
        <w:t>、分辨率≥9.92 LP/mm</w:t>
      </w:r>
    </w:p>
    <w:p>
      <w:pPr>
        <w:adjustRightInd w:val="0"/>
        <w:spacing w:line="360" w:lineRule="auto"/>
        <w:jc w:val="left"/>
        <w:rPr>
          <w:rFonts w:ascii="黑体" w:hAnsi="黑体" w:eastAsia="黑体"/>
          <w:szCs w:val="21"/>
        </w:rPr>
      </w:pPr>
      <w:r>
        <w:rPr>
          <w:rFonts w:hint="eastAsia" w:ascii="黑体" w:hAnsi="黑体" w:eastAsia="黑体"/>
          <w:szCs w:val="21"/>
        </w:rPr>
        <w:t>1</w:t>
      </w:r>
      <w:r>
        <w:rPr>
          <w:rFonts w:ascii="黑体" w:hAnsi="黑体" w:eastAsia="黑体"/>
          <w:szCs w:val="21"/>
        </w:rPr>
        <w:t>2</w:t>
      </w:r>
      <w:r>
        <w:rPr>
          <w:rFonts w:hint="eastAsia" w:ascii="黑体" w:hAnsi="黑体" w:eastAsia="黑体"/>
          <w:szCs w:val="21"/>
        </w:rPr>
        <w:t>、</w:t>
      </w:r>
      <w:r>
        <w:rPr>
          <w:rFonts w:ascii="黑体" w:hAnsi="黑体" w:eastAsia="黑体"/>
          <w:szCs w:val="21"/>
        </w:rPr>
        <w:t>显示屏尺寸：</w:t>
      </w:r>
      <w:r>
        <w:rPr>
          <w:rFonts w:hint="eastAsia" w:ascii="黑体" w:hAnsi="黑体" w:eastAsia="黑体"/>
          <w:szCs w:val="21"/>
        </w:rPr>
        <w:t>3.0″TFT</w:t>
      </w:r>
      <w:r>
        <w:rPr>
          <w:rFonts w:ascii="黑体" w:hAnsi="黑体" w:eastAsia="黑体"/>
          <w:szCs w:val="21"/>
        </w:rPr>
        <w:t>屏</w:t>
      </w:r>
      <w:r>
        <w:rPr>
          <w:rFonts w:hint="eastAsia" w:ascii="黑体" w:hAnsi="黑体" w:eastAsia="黑体"/>
          <w:szCs w:val="21"/>
        </w:rPr>
        <w:t xml:space="preserve"> ，</w:t>
      </w:r>
      <w:r>
        <w:rPr>
          <w:rFonts w:ascii="黑体" w:hAnsi="黑体" w:eastAsia="黑体"/>
          <w:szCs w:val="21"/>
        </w:rPr>
        <w:t>显示器与机身手柄可分离拆卸</w:t>
      </w:r>
    </w:p>
    <w:p>
      <w:pPr>
        <w:adjustRightInd w:val="0"/>
        <w:spacing w:line="360" w:lineRule="auto"/>
        <w:jc w:val="left"/>
        <w:rPr>
          <w:rFonts w:ascii="黑体" w:hAnsi="黑体" w:eastAsia="黑体"/>
          <w:szCs w:val="21"/>
        </w:rPr>
      </w:pPr>
      <w:r>
        <w:rPr>
          <w:rFonts w:hint="eastAsia" w:ascii="黑体" w:hAnsi="黑体" w:eastAsia="黑体"/>
          <w:szCs w:val="21"/>
        </w:rPr>
        <w:t>1</w:t>
      </w:r>
      <w:r>
        <w:rPr>
          <w:rFonts w:ascii="黑体" w:hAnsi="黑体" w:eastAsia="黑体"/>
          <w:szCs w:val="21"/>
        </w:rPr>
        <w:t>3</w:t>
      </w:r>
      <w:r>
        <w:rPr>
          <w:rFonts w:hint="eastAsia" w:ascii="黑体" w:hAnsi="黑体" w:eastAsia="黑体"/>
          <w:szCs w:val="21"/>
        </w:rPr>
        <w:t>、</w:t>
      </w:r>
      <w:r>
        <w:rPr>
          <w:rFonts w:ascii="黑体" w:hAnsi="黑体" w:eastAsia="黑体"/>
          <w:szCs w:val="21"/>
        </w:rPr>
        <w:t>景</w:t>
      </w:r>
      <w:r>
        <w:rPr>
          <w:rFonts w:hint="eastAsia" w:ascii="黑体" w:hAnsi="黑体" w:eastAsia="黑体"/>
          <w:szCs w:val="21"/>
        </w:rPr>
        <w:t>深：3-100mm</w:t>
      </w:r>
      <w:r>
        <w:rPr>
          <w:rFonts w:ascii="黑体" w:hAnsi="黑体" w:eastAsia="黑体"/>
          <w:szCs w:val="21"/>
        </w:rPr>
        <w:t xml:space="preserve">  </w:t>
      </w:r>
    </w:p>
    <w:p>
      <w:pPr>
        <w:adjustRightInd w:val="0"/>
        <w:spacing w:line="360" w:lineRule="auto"/>
        <w:jc w:val="left"/>
        <w:rPr>
          <w:rFonts w:ascii="黑体" w:hAnsi="黑体" w:eastAsia="黑体"/>
          <w:szCs w:val="21"/>
        </w:rPr>
      </w:pPr>
      <w:r>
        <w:rPr>
          <w:rFonts w:hint="eastAsia" w:ascii="黑体" w:hAnsi="黑体" w:eastAsia="黑体"/>
          <w:szCs w:val="21"/>
        </w:rPr>
        <w:t>1</w:t>
      </w:r>
      <w:r>
        <w:rPr>
          <w:rFonts w:ascii="黑体" w:hAnsi="黑体" w:eastAsia="黑体"/>
          <w:szCs w:val="21"/>
        </w:rPr>
        <w:t>4</w:t>
      </w:r>
      <w:r>
        <w:rPr>
          <w:rFonts w:hint="eastAsia" w:ascii="黑体" w:hAnsi="黑体" w:eastAsia="黑体"/>
          <w:szCs w:val="21"/>
        </w:rPr>
        <w:t>、具备拍照录像功能，数据存储</w:t>
      </w:r>
      <w:r>
        <w:rPr>
          <w:rFonts w:ascii="黑体" w:hAnsi="黑体" w:eastAsia="黑体"/>
          <w:szCs w:val="21"/>
        </w:rPr>
        <w:t>，</w:t>
      </w:r>
      <w:r>
        <w:rPr>
          <w:rFonts w:hint="eastAsia" w:ascii="黑体" w:hAnsi="黑体" w:eastAsia="黑体"/>
          <w:szCs w:val="21"/>
        </w:rPr>
        <w:t>8G内存</w:t>
      </w:r>
      <w:r>
        <w:rPr>
          <w:rFonts w:ascii="黑体" w:hAnsi="黑体" w:eastAsia="黑体"/>
          <w:szCs w:val="21"/>
        </w:rPr>
        <w:t>，</w:t>
      </w:r>
      <w:r>
        <w:rPr>
          <w:rFonts w:hint="eastAsia" w:ascii="黑体" w:hAnsi="黑体" w:eastAsia="黑体"/>
          <w:szCs w:val="21"/>
        </w:rPr>
        <w:t>可存储照片数量＞1</w:t>
      </w:r>
      <w:r>
        <w:rPr>
          <w:rFonts w:ascii="黑体" w:hAnsi="黑体" w:eastAsia="黑体"/>
          <w:szCs w:val="21"/>
        </w:rPr>
        <w:t>0</w:t>
      </w:r>
      <w:r>
        <w:rPr>
          <w:rFonts w:hint="eastAsia" w:ascii="黑体" w:hAnsi="黑体" w:eastAsia="黑体"/>
          <w:szCs w:val="21"/>
        </w:rPr>
        <w:t>万张</w:t>
      </w:r>
      <w:r>
        <w:rPr>
          <w:rFonts w:ascii="黑体" w:hAnsi="黑体" w:eastAsia="黑体"/>
          <w:szCs w:val="21"/>
        </w:rPr>
        <w:t>，可</w:t>
      </w:r>
      <w:r>
        <w:rPr>
          <w:rFonts w:hint="eastAsia" w:ascii="黑体" w:hAnsi="黑体" w:eastAsia="黑体"/>
          <w:szCs w:val="21"/>
        </w:rPr>
        <w:t>存储</w:t>
      </w:r>
      <w:r>
        <w:rPr>
          <w:rFonts w:ascii="黑体" w:hAnsi="黑体" w:eastAsia="黑体"/>
          <w:szCs w:val="21"/>
        </w:rPr>
        <w:t>录像时长</w:t>
      </w:r>
      <w:r>
        <w:rPr>
          <w:rFonts w:hint="eastAsia" w:ascii="黑体" w:hAnsi="黑体" w:eastAsia="黑体"/>
          <w:szCs w:val="21"/>
        </w:rPr>
        <w:t>≥</w:t>
      </w:r>
      <w:r>
        <w:rPr>
          <w:rFonts w:ascii="黑体" w:hAnsi="黑体" w:eastAsia="黑体"/>
          <w:szCs w:val="21"/>
        </w:rPr>
        <w:t>4.5</w:t>
      </w:r>
      <w:r>
        <w:rPr>
          <w:rFonts w:hint="eastAsia" w:ascii="黑体" w:hAnsi="黑体" w:eastAsia="黑体"/>
          <w:szCs w:val="21"/>
        </w:rPr>
        <w:t>小时，</w:t>
      </w:r>
      <w:r>
        <w:rPr>
          <w:rFonts w:ascii="黑体" w:hAnsi="黑体" w:eastAsia="黑体"/>
          <w:szCs w:val="21"/>
        </w:rPr>
        <w:t>最大可支持</w:t>
      </w:r>
      <w:r>
        <w:rPr>
          <w:rFonts w:hint="eastAsia" w:ascii="黑体" w:hAnsi="黑体" w:eastAsia="黑体"/>
          <w:szCs w:val="21"/>
        </w:rPr>
        <w:t>32G。</w:t>
      </w:r>
    </w:p>
    <w:p>
      <w:pPr>
        <w:adjustRightInd w:val="0"/>
        <w:spacing w:line="360" w:lineRule="auto"/>
        <w:jc w:val="left"/>
        <w:rPr>
          <w:rFonts w:ascii="黑体" w:hAnsi="黑体" w:eastAsia="黑体"/>
          <w:szCs w:val="21"/>
        </w:rPr>
      </w:pPr>
      <w:r>
        <w:rPr>
          <w:rFonts w:hint="eastAsia" w:ascii="黑体" w:hAnsi="黑体" w:eastAsia="黑体"/>
          <w:szCs w:val="21"/>
        </w:rPr>
        <w:t>1</w:t>
      </w:r>
      <w:r>
        <w:rPr>
          <w:rFonts w:ascii="黑体" w:hAnsi="黑体" w:eastAsia="黑体"/>
          <w:szCs w:val="21"/>
        </w:rPr>
        <w:t>5</w:t>
      </w:r>
      <w:r>
        <w:rPr>
          <w:rFonts w:hint="eastAsia" w:ascii="黑体" w:hAnsi="黑体" w:eastAsia="黑体"/>
          <w:szCs w:val="21"/>
        </w:rPr>
        <w:t>、</w:t>
      </w:r>
      <w:r>
        <w:rPr>
          <w:rFonts w:ascii="黑体" w:hAnsi="黑体" w:eastAsia="黑体"/>
          <w:szCs w:val="21"/>
        </w:rPr>
        <w:t>充电器输入</w:t>
      </w:r>
      <w:r>
        <w:rPr>
          <w:rFonts w:hint="eastAsia" w:ascii="黑体" w:hAnsi="黑体" w:eastAsia="黑体"/>
          <w:szCs w:val="21"/>
        </w:rPr>
        <w:t>：</w:t>
      </w:r>
      <w:r>
        <w:rPr>
          <w:rFonts w:hint="eastAsia" w:ascii="黑体" w:hAnsi="黑体" w:eastAsia="黑体" w:cs="微软雅黑"/>
          <w:szCs w:val="21"/>
        </w:rPr>
        <w:t>1</w:t>
      </w:r>
      <w:r>
        <w:rPr>
          <w:rFonts w:hint="eastAsia" w:ascii="黑体" w:hAnsi="黑体" w:eastAsia="黑体"/>
          <w:szCs w:val="21"/>
        </w:rPr>
        <w:t>00</w:t>
      </w:r>
      <w:r>
        <w:rPr>
          <w:rFonts w:ascii="黑体" w:hAnsi="黑体" w:eastAsia="黑体"/>
          <w:szCs w:val="21"/>
        </w:rPr>
        <w:t>-</w:t>
      </w:r>
      <w:r>
        <w:rPr>
          <w:rFonts w:hint="eastAsia" w:ascii="黑体" w:hAnsi="黑体" w:eastAsia="黑体"/>
          <w:szCs w:val="21"/>
        </w:rPr>
        <w:t>240V</w:t>
      </w:r>
      <w:r>
        <w:rPr>
          <w:rFonts w:ascii="黑体" w:hAnsi="黑体" w:eastAsia="黑体"/>
          <w:szCs w:val="21"/>
        </w:rPr>
        <w:t xml:space="preserve"> </w:t>
      </w:r>
      <w:r>
        <w:rPr>
          <w:rFonts w:hint="eastAsia" w:ascii="黑体" w:hAnsi="黑体" w:eastAsia="黑体"/>
          <w:szCs w:val="21"/>
        </w:rPr>
        <w:t>AC，50-60Hz</w:t>
      </w:r>
      <w:r>
        <w:rPr>
          <w:rFonts w:ascii="黑体" w:hAnsi="黑体" w:eastAsia="黑体"/>
          <w:szCs w:val="21"/>
        </w:rPr>
        <w:t xml:space="preserve"> </w:t>
      </w:r>
    </w:p>
    <w:p>
      <w:pPr>
        <w:adjustRightInd w:val="0"/>
        <w:spacing w:line="360" w:lineRule="auto"/>
        <w:jc w:val="left"/>
        <w:rPr>
          <w:rFonts w:ascii="黑体" w:hAnsi="黑体" w:eastAsia="黑体"/>
          <w:szCs w:val="21"/>
        </w:rPr>
      </w:pPr>
      <w:r>
        <w:rPr>
          <w:rFonts w:hint="eastAsia" w:ascii="黑体" w:hAnsi="黑体" w:eastAsia="黑体"/>
          <w:szCs w:val="21"/>
        </w:rPr>
        <w:t>1</w:t>
      </w:r>
      <w:r>
        <w:rPr>
          <w:rFonts w:ascii="黑体" w:hAnsi="黑体" w:eastAsia="黑体"/>
          <w:szCs w:val="21"/>
        </w:rPr>
        <w:t>6</w:t>
      </w:r>
      <w:r>
        <w:rPr>
          <w:rFonts w:hint="eastAsia" w:ascii="黑体" w:hAnsi="黑体" w:eastAsia="黑体"/>
          <w:szCs w:val="21"/>
        </w:rPr>
        <w:t>、</w:t>
      </w:r>
      <w:r>
        <w:rPr>
          <w:rFonts w:ascii="黑体" w:hAnsi="黑体" w:eastAsia="黑体"/>
          <w:szCs w:val="21"/>
        </w:rPr>
        <w:t>充电器输出</w:t>
      </w:r>
      <w:r>
        <w:rPr>
          <w:rFonts w:hint="eastAsia" w:ascii="黑体" w:hAnsi="黑体" w:eastAsia="黑体"/>
          <w:szCs w:val="21"/>
        </w:rPr>
        <w:t>：</w:t>
      </w:r>
      <w:r>
        <w:rPr>
          <w:rFonts w:ascii="黑体" w:hAnsi="黑体" w:eastAsia="黑体"/>
          <w:szCs w:val="21"/>
        </w:rPr>
        <w:t xml:space="preserve">5V DC,1A </w:t>
      </w:r>
    </w:p>
    <w:p>
      <w:pPr>
        <w:adjustRightInd w:val="0"/>
        <w:spacing w:line="360" w:lineRule="auto"/>
        <w:jc w:val="left"/>
        <w:rPr>
          <w:rFonts w:ascii="黑体" w:hAnsi="黑体" w:eastAsia="黑体"/>
          <w:szCs w:val="21"/>
        </w:rPr>
      </w:pPr>
      <w:r>
        <w:rPr>
          <w:rFonts w:hint="eastAsia" w:ascii="黑体" w:hAnsi="黑体" w:eastAsia="黑体"/>
          <w:szCs w:val="21"/>
        </w:rPr>
        <w:t>1</w:t>
      </w:r>
      <w:r>
        <w:rPr>
          <w:rFonts w:ascii="黑体" w:hAnsi="黑体" w:eastAsia="黑体"/>
          <w:szCs w:val="21"/>
        </w:rPr>
        <w:t>7</w:t>
      </w:r>
      <w:r>
        <w:rPr>
          <w:rFonts w:hint="eastAsia" w:ascii="黑体" w:hAnsi="黑体" w:eastAsia="黑体"/>
          <w:szCs w:val="21"/>
        </w:rPr>
        <w:t>、</w:t>
      </w:r>
      <w:r>
        <w:rPr>
          <w:rFonts w:ascii="黑体" w:hAnsi="黑体" w:eastAsia="黑体"/>
          <w:szCs w:val="21"/>
        </w:rPr>
        <w:t>电池容量：</w:t>
      </w:r>
      <w:r>
        <w:rPr>
          <w:rFonts w:hint="eastAsia" w:ascii="黑体" w:hAnsi="黑体" w:eastAsia="黑体"/>
          <w:szCs w:val="21"/>
        </w:rPr>
        <w:t>1700</w:t>
      </w:r>
      <w:r>
        <w:rPr>
          <w:rFonts w:ascii="黑体" w:hAnsi="黑体" w:eastAsia="黑体"/>
          <w:szCs w:val="21"/>
        </w:rPr>
        <w:t>mA</w:t>
      </w:r>
    </w:p>
    <w:p>
      <w:pPr>
        <w:adjustRightInd w:val="0"/>
        <w:spacing w:line="360" w:lineRule="auto"/>
        <w:jc w:val="left"/>
        <w:rPr>
          <w:rFonts w:ascii="黑体" w:hAnsi="黑体" w:eastAsia="黑体"/>
          <w:szCs w:val="21"/>
        </w:rPr>
      </w:pPr>
      <w:r>
        <w:rPr>
          <w:rFonts w:hint="eastAsia" w:ascii="黑体" w:hAnsi="黑体" w:eastAsia="黑体"/>
          <w:szCs w:val="21"/>
        </w:rPr>
        <w:t>1</w:t>
      </w:r>
      <w:r>
        <w:rPr>
          <w:rFonts w:ascii="黑体" w:hAnsi="黑体" w:eastAsia="黑体"/>
          <w:szCs w:val="21"/>
        </w:rPr>
        <w:t>8</w:t>
      </w:r>
      <w:r>
        <w:rPr>
          <w:rFonts w:hint="eastAsia" w:ascii="黑体" w:hAnsi="黑体" w:eastAsia="黑体"/>
          <w:szCs w:val="21"/>
        </w:rPr>
        <w:t>、</w:t>
      </w:r>
      <w:r>
        <w:rPr>
          <w:rFonts w:ascii="黑体" w:hAnsi="黑体" w:eastAsia="黑体"/>
          <w:szCs w:val="21"/>
        </w:rPr>
        <w:t>充电时间</w:t>
      </w:r>
      <w:r>
        <w:rPr>
          <w:rFonts w:hint="eastAsia" w:ascii="黑体" w:hAnsi="黑体" w:eastAsia="黑体"/>
          <w:szCs w:val="21"/>
        </w:rPr>
        <w:t>：</w:t>
      </w:r>
      <w:r>
        <w:rPr>
          <w:rFonts w:hint="eastAsia" w:ascii="黑体" w:hAnsi="黑体" w:eastAsia="黑体" w:cs="微软雅黑"/>
          <w:szCs w:val="21"/>
        </w:rPr>
        <w:t>&lt;</w:t>
      </w:r>
      <w:r>
        <w:rPr>
          <w:rFonts w:ascii="黑体" w:hAnsi="黑体" w:eastAsia="黑体" w:cs="微软雅黑"/>
          <w:szCs w:val="21"/>
        </w:rPr>
        <w:t>4</w:t>
      </w:r>
      <w:r>
        <w:rPr>
          <w:rFonts w:hint="eastAsia" w:ascii="黑体" w:hAnsi="黑体" w:eastAsia="黑体" w:cs="微软雅黑"/>
          <w:szCs w:val="21"/>
        </w:rPr>
        <w:t xml:space="preserve">小时 </w:t>
      </w:r>
    </w:p>
    <w:p>
      <w:pPr>
        <w:adjustRightInd w:val="0"/>
        <w:spacing w:line="360" w:lineRule="auto"/>
        <w:jc w:val="left"/>
        <w:rPr>
          <w:rFonts w:ascii="黑体" w:hAnsi="黑体" w:eastAsia="黑体"/>
          <w:szCs w:val="21"/>
        </w:rPr>
      </w:pPr>
      <w:r>
        <w:rPr>
          <w:rFonts w:hint="eastAsia" w:ascii="黑体" w:hAnsi="黑体" w:eastAsia="黑体"/>
          <w:szCs w:val="21"/>
        </w:rPr>
        <w:t>1</w:t>
      </w:r>
      <w:r>
        <w:rPr>
          <w:rFonts w:ascii="黑体" w:hAnsi="黑体" w:eastAsia="黑体"/>
          <w:szCs w:val="21"/>
        </w:rPr>
        <w:t>9</w:t>
      </w:r>
      <w:r>
        <w:rPr>
          <w:rFonts w:hint="eastAsia" w:ascii="黑体" w:hAnsi="黑体" w:eastAsia="黑体"/>
          <w:szCs w:val="21"/>
        </w:rPr>
        <w:t>、持续放</w:t>
      </w:r>
      <w:r>
        <w:rPr>
          <w:rFonts w:ascii="黑体" w:hAnsi="黑体" w:eastAsia="黑体"/>
          <w:szCs w:val="21"/>
        </w:rPr>
        <w:t>电时间</w:t>
      </w:r>
      <w:r>
        <w:rPr>
          <w:rFonts w:hint="eastAsia" w:ascii="黑体" w:hAnsi="黑体" w:eastAsia="黑体"/>
          <w:szCs w:val="21"/>
        </w:rPr>
        <w:t>：＞</w:t>
      </w:r>
      <w:r>
        <w:rPr>
          <w:rFonts w:ascii="黑体" w:hAnsi="黑体" w:eastAsia="黑体"/>
          <w:szCs w:val="21"/>
        </w:rPr>
        <w:t>4小时</w:t>
      </w:r>
    </w:p>
    <w:p>
      <w:pPr>
        <w:adjustRightInd w:val="0"/>
        <w:spacing w:line="360" w:lineRule="auto"/>
        <w:jc w:val="left"/>
        <w:rPr>
          <w:rFonts w:ascii="黑体" w:hAnsi="黑体" w:eastAsia="黑体"/>
          <w:szCs w:val="21"/>
        </w:rPr>
      </w:pPr>
      <w:r>
        <w:rPr>
          <w:rFonts w:ascii="黑体" w:hAnsi="黑体" w:eastAsia="黑体"/>
          <w:szCs w:val="21"/>
        </w:rPr>
        <w:t>20</w:t>
      </w:r>
      <w:r>
        <w:rPr>
          <w:rFonts w:hint="eastAsia" w:ascii="黑体" w:hAnsi="黑体" w:eastAsia="黑体"/>
          <w:szCs w:val="21"/>
        </w:rPr>
        <w:t>、</w:t>
      </w:r>
      <w:r>
        <w:rPr>
          <w:rFonts w:ascii="黑体" w:hAnsi="黑体" w:eastAsia="黑体"/>
          <w:szCs w:val="21"/>
        </w:rPr>
        <w:t>充电次数</w:t>
      </w:r>
      <w:r>
        <w:rPr>
          <w:rFonts w:hint="eastAsia" w:ascii="黑体" w:hAnsi="黑体" w:eastAsia="黑体"/>
          <w:szCs w:val="21"/>
        </w:rPr>
        <w:t>：＞</w:t>
      </w:r>
      <w:r>
        <w:rPr>
          <w:rFonts w:ascii="黑体" w:hAnsi="黑体" w:eastAsia="黑体"/>
          <w:szCs w:val="21"/>
        </w:rPr>
        <w:t>300次</w:t>
      </w:r>
      <w:r>
        <w:rPr>
          <w:rFonts w:hint="eastAsia" w:ascii="黑体" w:hAnsi="黑体" w:eastAsia="黑体"/>
          <w:szCs w:val="21"/>
        </w:rPr>
        <w:t xml:space="preserve"> </w:t>
      </w:r>
    </w:p>
    <w:p>
      <w:pPr>
        <w:adjustRightInd w:val="0"/>
        <w:spacing w:line="360" w:lineRule="auto"/>
        <w:jc w:val="left"/>
        <w:rPr>
          <w:rFonts w:ascii="黑体" w:hAnsi="黑体" w:eastAsia="黑体"/>
          <w:szCs w:val="21"/>
        </w:rPr>
      </w:pPr>
      <w:r>
        <w:rPr>
          <w:rFonts w:hint="eastAsia" w:ascii="黑体" w:hAnsi="黑体" w:eastAsia="黑体"/>
          <w:szCs w:val="21"/>
        </w:rPr>
        <w:t>2</w:t>
      </w:r>
      <w:r>
        <w:rPr>
          <w:rFonts w:ascii="黑体" w:hAnsi="黑体" w:eastAsia="黑体"/>
          <w:szCs w:val="21"/>
        </w:rPr>
        <w:t>1</w:t>
      </w:r>
      <w:r>
        <w:rPr>
          <w:rFonts w:hint="eastAsia" w:ascii="黑体" w:hAnsi="黑体" w:eastAsia="黑体"/>
          <w:szCs w:val="21"/>
        </w:rPr>
        <w:t>、内置可充电式锂电子聚合物电池</w:t>
      </w:r>
    </w:p>
    <w:p>
      <w:pPr>
        <w:adjustRightInd w:val="0"/>
        <w:spacing w:line="360" w:lineRule="auto"/>
        <w:jc w:val="left"/>
        <w:rPr>
          <w:rFonts w:ascii="黑体" w:hAnsi="黑体" w:eastAsia="黑体"/>
          <w:szCs w:val="21"/>
        </w:rPr>
      </w:pPr>
      <w:r>
        <w:rPr>
          <w:rFonts w:hint="eastAsia" w:ascii="黑体" w:hAnsi="黑体" w:eastAsia="黑体"/>
          <w:szCs w:val="21"/>
        </w:rPr>
        <w:t>2</w:t>
      </w:r>
      <w:r>
        <w:rPr>
          <w:rFonts w:ascii="黑体" w:hAnsi="黑体" w:eastAsia="黑体"/>
          <w:szCs w:val="21"/>
        </w:rPr>
        <w:t>2</w:t>
      </w:r>
      <w:r>
        <w:rPr>
          <w:rFonts w:hint="eastAsia" w:ascii="黑体" w:hAnsi="黑体" w:eastAsia="黑体"/>
          <w:szCs w:val="21"/>
        </w:rPr>
        <w:t>、主机具备同步实时分屏功能，方便教学</w:t>
      </w:r>
    </w:p>
    <w:p>
      <w:pPr>
        <w:adjustRightInd w:val="0"/>
        <w:spacing w:line="360" w:lineRule="auto"/>
        <w:jc w:val="left"/>
        <w:rPr>
          <w:rFonts w:ascii="黑体" w:hAnsi="黑体" w:eastAsia="黑体"/>
          <w:szCs w:val="21"/>
        </w:rPr>
      </w:pPr>
      <w:r>
        <w:rPr>
          <w:rFonts w:hint="eastAsia" w:ascii="黑体" w:hAnsi="黑体" w:eastAsia="黑体"/>
          <w:szCs w:val="21"/>
        </w:rPr>
        <w:t>2</w:t>
      </w:r>
      <w:r>
        <w:rPr>
          <w:rFonts w:ascii="黑体" w:hAnsi="黑体" w:eastAsia="黑体"/>
          <w:szCs w:val="21"/>
        </w:rPr>
        <w:t>3</w:t>
      </w:r>
      <w:r>
        <w:rPr>
          <w:rFonts w:hint="eastAsia" w:ascii="黑体" w:hAnsi="黑体" w:eastAsia="黑体"/>
          <w:szCs w:val="21"/>
        </w:rPr>
        <w:t>、存储的图片和视频为常规格式，无需其他软件支持即可查看</w:t>
      </w:r>
    </w:p>
    <w:p>
      <w:pPr>
        <w:spacing w:line="360" w:lineRule="auto"/>
        <w:rPr>
          <w:rFonts w:ascii="黑体" w:hAnsi="黑体" w:eastAsia="黑体"/>
          <w:b/>
          <w:szCs w:val="21"/>
        </w:rPr>
      </w:pPr>
      <w:r>
        <w:rPr>
          <w:rFonts w:ascii="黑体" w:hAnsi="黑体" w:eastAsia="黑体"/>
          <w:b/>
          <w:szCs w:val="21"/>
        </w:rPr>
        <w:t>标准配置清单：</w:t>
      </w:r>
    </w:p>
    <w:tbl>
      <w:tblPr>
        <w:tblStyle w:val="20"/>
        <w:tblW w:w="5000" w:type="pct"/>
        <w:tblInd w:w="0" w:type="dxa"/>
        <w:tblLayout w:type="autofit"/>
        <w:tblCellMar>
          <w:top w:w="15" w:type="dxa"/>
          <w:left w:w="15" w:type="dxa"/>
          <w:bottom w:w="15" w:type="dxa"/>
          <w:right w:w="15" w:type="dxa"/>
        </w:tblCellMar>
      </w:tblPr>
      <w:tblGrid>
        <w:gridCol w:w="1716"/>
        <w:gridCol w:w="3036"/>
        <w:gridCol w:w="2125"/>
        <w:gridCol w:w="1704"/>
      </w:tblGrid>
      <w:tr>
        <w:tblPrEx>
          <w:tblCellMar>
            <w:top w:w="15" w:type="dxa"/>
            <w:left w:w="15" w:type="dxa"/>
            <w:bottom w:w="15" w:type="dxa"/>
            <w:right w:w="15" w:type="dxa"/>
          </w:tblCellMar>
        </w:tblPrEx>
        <w:trPr>
          <w:trHeight w:val="45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序号</w:t>
            </w:r>
          </w:p>
        </w:tc>
        <w:tc>
          <w:tcPr>
            <w:tcW w:w="1769"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名称</w:t>
            </w:r>
          </w:p>
        </w:tc>
        <w:tc>
          <w:tcPr>
            <w:tcW w:w="1238"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数量</w:t>
            </w:r>
          </w:p>
        </w:tc>
        <w:tc>
          <w:tcPr>
            <w:tcW w:w="993"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单位</w:t>
            </w:r>
          </w:p>
        </w:tc>
      </w:tr>
      <w:tr>
        <w:tblPrEx>
          <w:tblCellMar>
            <w:top w:w="15" w:type="dxa"/>
            <w:left w:w="15" w:type="dxa"/>
            <w:bottom w:w="15" w:type="dxa"/>
            <w:right w:w="15" w:type="dxa"/>
          </w:tblCellMar>
        </w:tblPrEx>
        <w:trPr>
          <w:trHeight w:val="380"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显示器部件</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86"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2</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软管部件</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91"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3</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消毒帽</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83"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4</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测漏仪</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90"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5</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充电器</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82"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6</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数据线</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根</w:t>
            </w:r>
          </w:p>
        </w:tc>
      </w:tr>
      <w:tr>
        <w:tblPrEx>
          <w:tblCellMar>
            <w:top w:w="15" w:type="dxa"/>
            <w:left w:w="15" w:type="dxa"/>
            <w:bottom w:w="15" w:type="dxa"/>
            <w:right w:w="15" w:type="dxa"/>
          </w:tblCellMar>
        </w:tblPrEx>
        <w:trPr>
          <w:trHeight w:val="373"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7</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环保专用箱</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94"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8</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保修卡</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张</w:t>
            </w:r>
          </w:p>
        </w:tc>
      </w:tr>
      <w:tr>
        <w:tblPrEx>
          <w:tblCellMar>
            <w:top w:w="15" w:type="dxa"/>
            <w:left w:w="15" w:type="dxa"/>
            <w:bottom w:w="15" w:type="dxa"/>
            <w:right w:w="15" w:type="dxa"/>
          </w:tblCellMar>
        </w:tblPrEx>
        <w:trPr>
          <w:trHeight w:val="386"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9</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说明书</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本</w:t>
            </w:r>
          </w:p>
        </w:tc>
      </w:tr>
      <w:tr>
        <w:tblPrEx>
          <w:tblCellMar>
            <w:top w:w="15" w:type="dxa"/>
            <w:left w:w="15" w:type="dxa"/>
            <w:bottom w:w="15" w:type="dxa"/>
            <w:right w:w="15" w:type="dxa"/>
          </w:tblCellMar>
        </w:tblPrEx>
        <w:trPr>
          <w:trHeight w:val="392"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10</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合格证</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张</w:t>
            </w:r>
          </w:p>
        </w:tc>
      </w:tr>
      <w:tr>
        <w:tblPrEx>
          <w:tblCellMar>
            <w:top w:w="15" w:type="dxa"/>
            <w:left w:w="15" w:type="dxa"/>
            <w:bottom w:w="15" w:type="dxa"/>
            <w:right w:w="15" w:type="dxa"/>
          </w:tblCellMar>
        </w:tblPrEx>
        <w:trPr>
          <w:trHeight w:val="384"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11</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装箱单</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张</w:t>
            </w:r>
          </w:p>
        </w:tc>
      </w:tr>
    </w:tbl>
    <w:p>
      <w:pPr>
        <w:spacing w:line="360" w:lineRule="auto"/>
        <w:rPr>
          <w:rFonts w:ascii="黑体" w:hAnsi="黑体" w:eastAsia="黑体"/>
          <w:bCs/>
          <w:szCs w:val="21"/>
        </w:rPr>
      </w:pPr>
    </w:p>
    <w:p>
      <w:pPr>
        <w:spacing w:line="360" w:lineRule="auto"/>
        <w:rPr>
          <w:rFonts w:ascii="黑体" w:hAnsi="黑体" w:eastAsia="黑体"/>
          <w:szCs w:val="21"/>
        </w:rPr>
      </w:pPr>
    </w:p>
    <w:p>
      <w:pPr>
        <w:pageBreakBefore/>
        <w:spacing w:line="360" w:lineRule="auto"/>
        <w:rPr>
          <w:rFonts w:ascii="黑体" w:hAnsi="黑体" w:eastAsia="黑体"/>
          <w:b/>
          <w:bCs/>
          <w:szCs w:val="21"/>
        </w:rPr>
      </w:pPr>
      <w:r>
        <w:rPr>
          <w:rFonts w:hint="eastAsia" w:ascii="黑体" w:hAnsi="黑体" w:eastAsia="黑体"/>
          <w:b/>
          <w:bCs/>
          <w:szCs w:val="21"/>
        </w:rPr>
        <w:t>（九）体外临时心脏起博器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824"/>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1</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起搏模式</w:t>
            </w:r>
          </w:p>
        </w:tc>
        <w:tc>
          <w:tcPr>
            <w:tcW w:w="3463" w:type="pct"/>
          </w:tcPr>
          <w:p>
            <w:pPr>
              <w:widowControl/>
              <w:spacing w:line="360" w:lineRule="auto"/>
              <w:jc w:val="left"/>
              <w:rPr>
                <w:rFonts w:ascii="黑体" w:hAnsi="黑体" w:eastAsia="黑体" w:cs="宋体"/>
                <w:kern w:val="0"/>
                <w:szCs w:val="21"/>
              </w:rPr>
            </w:pPr>
            <w:r>
              <w:rPr>
                <w:rFonts w:ascii="黑体" w:hAnsi="黑体" w:eastAsia="黑体" w:cs="宋体"/>
                <w:kern w:val="0"/>
                <w:szCs w:val="21"/>
              </w:rPr>
              <w:t>A00, AAI, AAT, V00, VVI, VVT</w:t>
            </w:r>
          </w:p>
          <w:p>
            <w:pPr>
              <w:widowControl/>
              <w:spacing w:line="360" w:lineRule="auto"/>
              <w:jc w:val="left"/>
              <w:rPr>
                <w:rFonts w:ascii="黑体" w:hAnsi="黑体" w:eastAsia="黑体" w:cs="宋体"/>
                <w:kern w:val="0"/>
                <w:szCs w:val="21"/>
              </w:rPr>
            </w:pPr>
            <w:r>
              <w:rPr>
                <w:rFonts w:ascii="黑体" w:hAnsi="黑体" w:eastAsia="黑体" w:cs="宋体"/>
                <w:kern w:val="0"/>
                <w:szCs w:val="21"/>
              </w:rPr>
              <w:t>高频起搏，紧急起搏和0S0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2</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电压</w:t>
            </w:r>
          </w:p>
        </w:tc>
        <w:tc>
          <w:tcPr>
            <w:tcW w:w="3463" w:type="pct"/>
          </w:tcPr>
          <w:p>
            <w:pPr>
              <w:spacing w:line="360" w:lineRule="auto"/>
              <w:rPr>
                <w:rFonts w:ascii="黑体" w:hAnsi="黑体" w:eastAsia="黑体"/>
                <w:szCs w:val="21"/>
              </w:rPr>
            </w:pPr>
            <w:r>
              <w:rPr>
                <w:rStyle w:val="65"/>
                <w:rFonts w:ascii="黑体" w:hAnsi="黑体" w:eastAsia="黑体"/>
                <w:szCs w:val="21"/>
              </w:rPr>
              <w:t>0.1-20V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3</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感知灵敏度</w:t>
            </w:r>
          </w:p>
        </w:tc>
        <w:tc>
          <w:tcPr>
            <w:tcW w:w="3463" w:type="pct"/>
          </w:tcPr>
          <w:p>
            <w:pPr>
              <w:spacing w:line="360" w:lineRule="auto"/>
              <w:rPr>
                <w:rFonts w:ascii="黑体" w:hAnsi="黑体" w:eastAsia="黑体"/>
                <w:szCs w:val="21"/>
              </w:rPr>
            </w:pPr>
            <w:r>
              <w:rPr>
                <w:rFonts w:hint="eastAsia" w:ascii="黑体" w:hAnsi="黑体" w:eastAsia="黑体"/>
                <w:szCs w:val="21"/>
              </w:rPr>
              <w:t>0.1-</w:t>
            </w:r>
            <w:r>
              <w:rPr>
                <w:rStyle w:val="65"/>
                <w:rFonts w:ascii="黑体" w:hAnsi="黑体" w:eastAsia="黑体"/>
                <w:szCs w:val="21"/>
              </w:rPr>
              <w:t>-20mV</w:t>
            </w:r>
            <w:r>
              <w:rPr>
                <w:rStyle w:val="65"/>
                <w:rFonts w:hint="eastAsia" w:ascii="黑体" w:hAnsi="黑体" w:eastAsia="黑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4</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起搏频率</w:t>
            </w:r>
          </w:p>
        </w:tc>
        <w:tc>
          <w:tcPr>
            <w:tcW w:w="3463" w:type="pct"/>
          </w:tcPr>
          <w:p>
            <w:pPr>
              <w:spacing w:line="360" w:lineRule="auto"/>
              <w:rPr>
                <w:rFonts w:ascii="黑体" w:hAnsi="黑体" w:eastAsia="黑体"/>
                <w:szCs w:val="21"/>
              </w:rPr>
            </w:pPr>
            <w:r>
              <w:rPr>
                <w:rFonts w:hint="eastAsia" w:ascii="黑体" w:hAnsi="黑体" w:eastAsia="黑体"/>
                <w:szCs w:val="21"/>
              </w:rPr>
              <w:t>40-180ppm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5</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高频起搏频率</w:t>
            </w:r>
          </w:p>
        </w:tc>
        <w:tc>
          <w:tcPr>
            <w:tcW w:w="3463" w:type="pct"/>
          </w:tcPr>
          <w:p>
            <w:pPr>
              <w:widowControl/>
              <w:spacing w:line="360" w:lineRule="auto"/>
              <w:jc w:val="left"/>
              <w:rPr>
                <w:rFonts w:ascii="黑体" w:hAnsi="黑体" w:eastAsia="黑体" w:cs="宋体"/>
                <w:kern w:val="0"/>
                <w:szCs w:val="21"/>
              </w:rPr>
            </w:pPr>
            <w:r>
              <w:rPr>
                <w:rFonts w:ascii="黑体" w:hAnsi="黑体" w:eastAsia="黑体" w:cs="宋体"/>
                <w:kern w:val="0"/>
                <w:szCs w:val="21"/>
              </w:rPr>
              <w:t>40-1000ppm</w:t>
            </w:r>
          </w:p>
          <w:p>
            <w:pPr>
              <w:widowControl/>
              <w:spacing w:line="360" w:lineRule="auto"/>
              <w:jc w:val="left"/>
              <w:rPr>
                <w:rFonts w:ascii="黑体" w:hAnsi="黑体" w:eastAsia="黑体" w:cs="宋体"/>
                <w:kern w:val="0"/>
                <w:szCs w:val="21"/>
              </w:rPr>
            </w:pPr>
            <w:r>
              <w:rPr>
                <w:rFonts w:ascii="黑体" w:hAnsi="黑体" w:eastAsia="黑体" w:cs="宋体"/>
                <w:kern w:val="0"/>
                <w:szCs w:val="21"/>
              </w:rPr>
              <w:t>预设频率400ppm</w:t>
            </w:r>
          </w:p>
          <w:p>
            <w:pPr>
              <w:widowControl/>
              <w:spacing w:line="360" w:lineRule="auto"/>
              <w:jc w:val="left"/>
              <w:rPr>
                <w:rFonts w:ascii="黑体" w:hAnsi="黑体" w:eastAsia="黑体" w:cs="宋体"/>
                <w:kern w:val="0"/>
                <w:szCs w:val="21"/>
              </w:rPr>
            </w:pPr>
            <w:r>
              <w:rPr>
                <w:rFonts w:ascii="黑体" w:hAnsi="黑体" w:eastAsia="黑体" w:cs="宋体"/>
                <w:kern w:val="0"/>
                <w:szCs w:val="21"/>
              </w:rPr>
              <w:t>爆发式或持续性起搏</w:t>
            </w:r>
          </w:p>
          <w:p>
            <w:pPr>
              <w:spacing w:line="360" w:lineRule="auto"/>
              <w:rPr>
                <w:rFonts w:ascii="黑体" w:hAnsi="黑体" w:eastAsia="黑体"/>
                <w:szCs w:val="21"/>
              </w:rPr>
            </w:pPr>
            <w:r>
              <w:rPr>
                <w:rFonts w:hint="eastAsia" w:ascii="黑体" w:hAnsi="黑体" w:eastAsia="黑体"/>
                <w:szCs w:val="21"/>
              </w:rPr>
              <w:t>松开高频起搏键，高频起搏模式自动终止，起搏器继续以先前的模式和频率起搏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6</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一键紧急起搏模式</w:t>
            </w:r>
          </w:p>
        </w:tc>
        <w:tc>
          <w:tcPr>
            <w:tcW w:w="3463" w:type="pct"/>
          </w:tcPr>
          <w:p>
            <w:pPr>
              <w:spacing w:line="360" w:lineRule="auto"/>
              <w:rPr>
                <w:rFonts w:ascii="黑体" w:hAnsi="黑体" w:eastAsia="黑体"/>
                <w:szCs w:val="21"/>
              </w:rPr>
            </w:pPr>
            <w:r>
              <w:rPr>
                <w:rStyle w:val="65"/>
                <w:rFonts w:ascii="黑体" w:hAnsi="黑体" w:eastAsia="黑体"/>
                <w:szCs w:val="21"/>
              </w:rPr>
              <w:t>V00/10V/80ppm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7</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不应期</w:t>
            </w:r>
          </w:p>
        </w:tc>
        <w:tc>
          <w:tcPr>
            <w:tcW w:w="3463" w:type="pct"/>
          </w:tcPr>
          <w:p>
            <w:pPr>
              <w:widowControl/>
              <w:spacing w:line="360" w:lineRule="auto"/>
              <w:jc w:val="left"/>
              <w:rPr>
                <w:rFonts w:ascii="黑体" w:hAnsi="黑体" w:eastAsia="黑体" w:cs="宋体"/>
                <w:kern w:val="0"/>
                <w:szCs w:val="21"/>
              </w:rPr>
            </w:pPr>
            <w:r>
              <w:rPr>
                <w:rFonts w:ascii="黑体" w:hAnsi="黑体" w:eastAsia="黑体" w:cs="宋体"/>
                <w:kern w:val="0"/>
                <w:szCs w:val="21"/>
              </w:rPr>
              <w:t>400ms-300ms for AXX模式</w:t>
            </w:r>
          </w:p>
          <w:p>
            <w:pPr>
              <w:widowControl/>
              <w:spacing w:line="360" w:lineRule="auto"/>
              <w:jc w:val="left"/>
              <w:rPr>
                <w:rFonts w:ascii="黑体" w:hAnsi="黑体" w:eastAsia="黑体" w:cs="宋体"/>
                <w:kern w:val="0"/>
                <w:szCs w:val="21"/>
              </w:rPr>
            </w:pPr>
            <w:r>
              <w:rPr>
                <w:rFonts w:ascii="黑体" w:hAnsi="黑体" w:eastAsia="黑体" w:cs="宋体"/>
                <w:kern w:val="0"/>
                <w:szCs w:val="21"/>
              </w:rPr>
              <w:t>250ms for VXX模式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8</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频率奔放保护</w:t>
            </w:r>
          </w:p>
        </w:tc>
        <w:tc>
          <w:tcPr>
            <w:tcW w:w="3463" w:type="pct"/>
          </w:tcPr>
          <w:p>
            <w:pPr>
              <w:spacing w:line="360" w:lineRule="auto"/>
              <w:rPr>
                <w:rFonts w:ascii="黑体" w:hAnsi="黑体" w:eastAsia="黑体"/>
                <w:szCs w:val="21"/>
              </w:rPr>
            </w:pPr>
            <w:r>
              <w:rPr>
                <w:rFonts w:hint="eastAsia" w:ascii="黑体" w:hAnsi="黑体" w:eastAsia="黑体"/>
                <w:szCs w:val="21"/>
              </w:rPr>
              <w:t>有，取决于心律设置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9</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噪声监测</w:t>
            </w:r>
          </w:p>
        </w:tc>
        <w:tc>
          <w:tcPr>
            <w:tcW w:w="3463" w:type="pct"/>
          </w:tcPr>
          <w:p>
            <w:pPr>
              <w:widowControl/>
              <w:spacing w:line="360" w:lineRule="auto"/>
              <w:jc w:val="left"/>
              <w:rPr>
                <w:rFonts w:ascii="黑体" w:hAnsi="黑体" w:eastAsia="黑体" w:cs="宋体"/>
                <w:kern w:val="0"/>
                <w:szCs w:val="21"/>
              </w:rPr>
            </w:pPr>
            <w:r>
              <w:rPr>
                <w:rFonts w:hint="eastAsia" w:ascii="宋体" w:hAnsi="宋体" w:eastAsia="宋体" w:cs="宋体"/>
                <w:kern w:val="0"/>
                <w:szCs w:val="21"/>
              </w:rPr>
              <w:t>≦</w:t>
            </w:r>
            <w:r>
              <w:rPr>
                <w:rFonts w:ascii="黑体" w:hAnsi="黑体" w:eastAsia="黑体" w:cs="宋体"/>
                <w:kern w:val="0"/>
                <w:szCs w:val="21"/>
              </w:rPr>
              <w:t>125ms</w:t>
            </w:r>
          </w:p>
          <w:p>
            <w:pPr>
              <w:widowControl/>
              <w:spacing w:line="360" w:lineRule="auto"/>
              <w:jc w:val="left"/>
              <w:rPr>
                <w:rFonts w:ascii="黑体" w:hAnsi="黑体" w:eastAsia="黑体" w:cs="宋体"/>
                <w:kern w:val="0"/>
                <w:szCs w:val="21"/>
              </w:rPr>
            </w:pPr>
            <w:r>
              <w:rPr>
                <w:rFonts w:ascii="黑体" w:hAnsi="黑体" w:eastAsia="黑体" w:cs="宋体"/>
                <w:kern w:val="0"/>
                <w:szCs w:val="21"/>
              </w:rPr>
              <w:t>自动切换至A00/V00模式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10</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报警(可视化加声音)</w:t>
            </w:r>
          </w:p>
        </w:tc>
        <w:tc>
          <w:tcPr>
            <w:tcW w:w="3463" w:type="pct"/>
          </w:tcPr>
          <w:p>
            <w:pPr>
              <w:widowControl/>
              <w:spacing w:line="360" w:lineRule="auto"/>
              <w:jc w:val="left"/>
              <w:rPr>
                <w:rFonts w:ascii="黑体" w:hAnsi="黑体" w:eastAsia="黑体" w:cs="宋体"/>
                <w:kern w:val="0"/>
                <w:szCs w:val="21"/>
              </w:rPr>
            </w:pPr>
            <w:r>
              <w:rPr>
                <w:rFonts w:ascii="黑体" w:hAnsi="黑体" w:eastAsia="黑体" w:cs="宋体"/>
                <w:kern w:val="0"/>
                <w:szCs w:val="21"/>
              </w:rPr>
              <w:t>高／低 阻抗</w:t>
            </w:r>
          </w:p>
          <w:p>
            <w:pPr>
              <w:widowControl/>
              <w:spacing w:line="360" w:lineRule="auto"/>
              <w:jc w:val="left"/>
              <w:rPr>
                <w:rFonts w:ascii="黑体" w:hAnsi="黑体" w:eastAsia="黑体" w:cs="宋体"/>
                <w:kern w:val="0"/>
                <w:szCs w:val="21"/>
              </w:rPr>
            </w:pPr>
            <w:r>
              <w:rPr>
                <w:rFonts w:ascii="黑体" w:hAnsi="黑体" w:eastAsia="黑体" w:cs="宋体"/>
                <w:kern w:val="0"/>
                <w:szCs w:val="21"/>
              </w:rPr>
              <w:t>心率报警</w:t>
            </w:r>
            <w:r>
              <w:rPr>
                <w:rFonts w:hint="eastAsia" w:ascii="黑体" w:hAnsi="黑体" w:eastAsia="黑体" w:cs="宋体"/>
                <w:kern w:val="0"/>
                <w:szCs w:val="21"/>
              </w:rPr>
              <w:t>（≥</w:t>
            </w:r>
            <w:r>
              <w:rPr>
                <w:rFonts w:ascii="黑体" w:hAnsi="黑体" w:eastAsia="黑体" w:cs="宋体"/>
                <w:kern w:val="0"/>
                <w:szCs w:val="21"/>
              </w:rPr>
              <w:t>150ppm）</w:t>
            </w:r>
          </w:p>
          <w:p>
            <w:pPr>
              <w:widowControl/>
              <w:spacing w:line="360" w:lineRule="auto"/>
              <w:jc w:val="left"/>
              <w:rPr>
                <w:rFonts w:ascii="黑体" w:hAnsi="黑体" w:eastAsia="黑体" w:cs="宋体"/>
                <w:kern w:val="0"/>
                <w:szCs w:val="21"/>
              </w:rPr>
            </w:pPr>
            <w:r>
              <w:rPr>
                <w:rFonts w:ascii="黑体" w:hAnsi="黑体" w:eastAsia="黑体" w:cs="宋体"/>
                <w:kern w:val="0"/>
                <w:szCs w:val="21"/>
              </w:rPr>
              <w:t>电池和后备电源</w:t>
            </w:r>
          </w:p>
          <w:p>
            <w:pPr>
              <w:widowControl/>
              <w:spacing w:line="360" w:lineRule="auto"/>
              <w:jc w:val="left"/>
              <w:rPr>
                <w:rFonts w:ascii="黑体" w:hAnsi="黑体" w:eastAsia="黑体" w:cs="宋体"/>
                <w:kern w:val="0"/>
                <w:szCs w:val="21"/>
              </w:rPr>
            </w:pPr>
            <w:r>
              <w:rPr>
                <w:rFonts w:ascii="黑体" w:hAnsi="黑体" w:eastAsia="黑体" w:cs="宋体"/>
                <w:kern w:val="0"/>
                <w:szCs w:val="21"/>
              </w:rPr>
              <w:t>噪声</w:t>
            </w:r>
          </w:p>
          <w:p>
            <w:pPr>
              <w:widowControl/>
              <w:spacing w:line="360" w:lineRule="auto"/>
              <w:jc w:val="left"/>
              <w:rPr>
                <w:rFonts w:ascii="黑体" w:hAnsi="黑体" w:eastAsia="黑体" w:cs="宋体"/>
                <w:kern w:val="0"/>
                <w:szCs w:val="21"/>
              </w:rPr>
            </w:pPr>
            <w:r>
              <w:rPr>
                <w:rFonts w:ascii="黑体" w:hAnsi="黑体" w:eastAsia="黑体" w:cs="宋体"/>
                <w:kern w:val="0"/>
                <w:szCs w:val="21"/>
              </w:rPr>
              <w:t>自检或系统错误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11</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接头</w:t>
            </w:r>
          </w:p>
        </w:tc>
        <w:tc>
          <w:tcPr>
            <w:tcW w:w="3463" w:type="pct"/>
          </w:tcPr>
          <w:p>
            <w:pPr>
              <w:spacing w:line="360" w:lineRule="auto"/>
              <w:rPr>
                <w:rFonts w:ascii="黑体" w:hAnsi="黑体" w:eastAsia="黑体"/>
                <w:szCs w:val="21"/>
              </w:rPr>
            </w:pPr>
            <w:r>
              <w:rPr>
                <w:rFonts w:hint="eastAsia" w:ascii="黑体" w:hAnsi="黑体" w:eastAsia="黑体"/>
                <w:szCs w:val="21"/>
              </w:rPr>
              <w:t>2个接头 适用接头直径范围：0.85-2.1mm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12</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电池</w:t>
            </w:r>
          </w:p>
        </w:tc>
        <w:tc>
          <w:tcPr>
            <w:tcW w:w="3463" w:type="pct"/>
          </w:tcPr>
          <w:p>
            <w:pPr>
              <w:spacing w:line="360" w:lineRule="auto"/>
              <w:rPr>
                <w:rFonts w:ascii="黑体" w:hAnsi="黑体" w:eastAsia="黑体"/>
                <w:szCs w:val="21"/>
              </w:rPr>
            </w:pPr>
            <w:r>
              <w:rPr>
                <w:rStyle w:val="64"/>
                <w:rFonts w:ascii="黑体" w:hAnsi="黑体" w:eastAsia="黑体"/>
                <w:szCs w:val="21"/>
              </w:rPr>
              <w:t>2xAA, 2600mAh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13</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电池使用时间</w:t>
            </w:r>
          </w:p>
        </w:tc>
        <w:tc>
          <w:tcPr>
            <w:tcW w:w="3463" w:type="pct"/>
          </w:tcPr>
          <w:p>
            <w:pPr>
              <w:spacing w:line="360" w:lineRule="auto"/>
              <w:rPr>
                <w:rFonts w:ascii="黑体" w:hAnsi="黑体" w:eastAsia="黑体"/>
                <w:szCs w:val="21"/>
              </w:rPr>
            </w:pPr>
            <w:r>
              <w:rPr>
                <w:rFonts w:hint="eastAsia" w:ascii="黑体" w:hAnsi="黑体" w:eastAsia="黑体"/>
                <w:szCs w:val="21"/>
              </w:rPr>
              <w:t>≥200h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14</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后备电池</w:t>
            </w:r>
          </w:p>
        </w:tc>
        <w:tc>
          <w:tcPr>
            <w:tcW w:w="3463" w:type="pct"/>
          </w:tcPr>
          <w:p>
            <w:pPr>
              <w:spacing w:line="360" w:lineRule="auto"/>
              <w:rPr>
                <w:rFonts w:ascii="黑体" w:hAnsi="黑体" w:eastAsia="黑体"/>
                <w:szCs w:val="21"/>
              </w:rPr>
            </w:pPr>
            <w:r>
              <w:rPr>
                <w:rFonts w:hint="eastAsia" w:ascii="黑体" w:hAnsi="黑体" w:eastAsia="黑体"/>
                <w:szCs w:val="21"/>
              </w:rPr>
              <w:t>约1350mAh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15</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菜单语言</w:t>
            </w:r>
          </w:p>
        </w:tc>
        <w:tc>
          <w:tcPr>
            <w:tcW w:w="3463" w:type="pct"/>
          </w:tcPr>
          <w:p>
            <w:pPr>
              <w:widowControl/>
              <w:spacing w:line="360" w:lineRule="auto"/>
              <w:jc w:val="left"/>
              <w:rPr>
                <w:rFonts w:ascii="黑体" w:hAnsi="黑体" w:eastAsia="黑体" w:cs="宋体"/>
                <w:kern w:val="0"/>
                <w:szCs w:val="21"/>
              </w:rPr>
            </w:pPr>
            <w:r>
              <w:rPr>
                <w:rFonts w:ascii="黑体" w:hAnsi="黑体" w:eastAsia="黑体" w:cs="宋体"/>
                <w:kern w:val="0"/>
                <w:szCs w:val="21"/>
              </w:rPr>
              <w:t>英语、德语、法语、西班牙语、葡萄牙语、意大利语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7" w:type="pct"/>
            <w:vAlign w:val="center"/>
          </w:tcPr>
          <w:p>
            <w:pPr>
              <w:spacing w:line="360" w:lineRule="auto"/>
              <w:jc w:val="center"/>
              <w:rPr>
                <w:rFonts w:ascii="黑体" w:hAnsi="黑体" w:eastAsia="黑体"/>
                <w:szCs w:val="21"/>
              </w:rPr>
            </w:pPr>
            <w:r>
              <w:rPr>
                <w:rFonts w:hint="eastAsia" w:ascii="黑体" w:hAnsi="黑体" w:eastAsia="黑体"/>
                <w:szCs w:val="21"/>
              </w:rPr>
              <w:t>16</w:t>
            </w:r>
          </w:p>
        </w:tc>
        <w:tc>
          <w:tcPr>
            <w:tcW w:w="1040" w:type="pct"/>
            <w:vAlign w:val="center"/>
          </w:tcPr>
          <w:p>
            <w:pPr>
              <w:spacing w:line="360" w:lineRule="auto"/>
              <w:jc w:val="center"/>
              <w:rPr>
                <w:rFonts w:ascii="黑体" w:hAnsi="黑体" w:eastAsia="黑体"/>
                <w:szCs w:val="21"/>
              </w:rPr>
            </w:pPr>
            <w:r>
              <w:rPr>
                <w:rFonts w:hint="eastAsia" w:ascii="黑体" w:hAnsi="黑体" w:eastAsia="黑体"/>
                <w:szCs w:val="21"/>
              </w:rPr>
              <w:t>重量</w:t>
            </w:r>
          </w:p>
        </w:tc>
        <w:tc>
          <w:tcPr>
            <w:tcW w:w="3463" w:type="pct"/>
          </w:tcPr>
          <w:p>
            <w:pPr>
              <w:spacing w:line="360" w:lineRule="auto"/>
              <w:rPr>
                <w:rFonts w:ascii="黑体" w:hAnsi="黑体" w:eastAsia="黑体"/>
                <w:szCs w:val="21"/>
              </w:rPr>
            </w:pPr>
            <w:r>
              <w:rPr>
                <w:rFonts w:hint="eastAsia" w:ascii="宋体" w:hAnsi="宋体" w:eastAsia="宋体" w:cs="宋体"/>
                <w:szCs w:val="21"/>
              </w:rPr>
              <w:t>≦</w:t>
            </w:r>
            <w:r>
              <w:rPr>
                <w:rFonts w:hint="eastAsia" w:ascii="黑体" w:hAnsi="黑体" w:eastAsia="黑体"/>
                <w:szCs w:val="21"/>
              </w:rPr>
              <w:t>285g</w:t>
            </w:r>
          </w:p>
        </w:tc>
      </w:tr>
    </w:tbl>
    <w:p>
      <w:pPr>
        <w:spacing w:line="360" w:lineRule="auto"/>
        <w:rPr>
          <w:rFonts w:ascii="黑体" w:hAnsi="黑体" w:eastAsia="黑体"/>
          <w:szCs w:val="21"/>
        </w:rPr>
      </w:pPr>
    </w:p>
    <w:p>
      <w:pPr>
        <w:spacing w:line="360" w:lineRule="auto"/>
        <w:rPr>
          <w:rFonts w:ascii="黑体" w:hAnsi="黑体" w:eastAsia="黑体"/>
          <w:szCs w:val="21"/>
        </w:rPr>
      </w:pPr>
      <w:r>
        <w:rPr>
          <w:rFonts w:hint="eastAsia" w:ascii="黑体" w:hAnsi="黑体" w:eastAsia="黑体"/>
          <w:szCs w:val="21"/>
        </w:rPr>
        <w:t>起搏器配置清单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4632"/>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spacing w:line="360" w:lineRule="auto"/>
              <w:jc w:val="center"/>
              <w:rPr>
                <w:rFonts w:ascii="黑体" w:hAnsi="黑体" w:eastAsia="黑体"/>
                <w:szCs w:val="21"/>
              </w:rPr>
            </w:pPr>
            <w:r>
              <w:rPr>
                <w:rFonts w:hint="eastAsia" w:ascii="黑体" w:hAnsi="黑体" w:eastAsia="黑体"/>
                <w:szCs w:val="21"/>
              </w:rPr>
              <w:t>序号</w:t>
            </w:r>
          </w:p>
        </w:tc>
        <w:tc>
          <w:tcPr>
            <w:tcW w:w="4632" w:type="dxa"/>
          </w:tcPr>
          <w:p>
            <w:pPr>
              <w:spacing w:line="360" w:lineRule="auto"/>
              <w:jc w:val="center"/>
              <w:rPr>
                <w:rFonts w:ascii="黑体" w:hAnsi="黑体" w:eastAsia="黑体"/>
                <w:szCs w:val="21"/>
              </w:rPr>
            </w:pPr>
            <w:r>
              <w:rPr>
                <w:rFonts w:hint="eastAsia" w:ascii="黑体" w:hAnsi="黑体" w:eastAsia="黑体"/>
                <w:szCs w:val="21"/>
              </w:rPr>
              <w:t>名称</w:t>
            </w:r>
          </w:p>
        </w:tc>
        <w:tc>
          <w:tcPr>
            <w:tcW w:w="2923" w:type="dxa"/>
          </w:tcPr>
          <w:p>
            <w:pPr>
              <w:spacing w:line="360" w:lineRule="auto"/>
              <w:jc w:val="center"/>
              <w:rPr>
                <w:rFonts w:ascii="黑体" w:hAnsi="黑体" w:eastAsia="黑体"/>
                <w:szCs w:val="21"/>
              </w:rPr>
            </w:pPr>
            <w:r>
              <w:rPr>
                <w:rFonts w:hint="eastAsia" w:ascii="黑体" w:hAnsi="黑体" w:eastAsia="黑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spacing w:line="360" w:lineRule="auto"/>
              <w:jc w:val="center"/>
              <w:rPr>
                <w:rFonts w:ascii="黑体" w:hAnsi="黑体" w:eastAsia="黑体"/>
                <w:szCs w:val="21"/>
              </w:rPr>
            </w:pPr>
            <w:r>
              <w:rPr>
                <w:rFonts w:hint="eastAsia" w:ascii="黑体" w:hAnsi="黑体" w:eastAsia="黑体"/>
                <w:szCs w:val="21"/>
              </w:rPr>
              <w:t>1</w:t>
            </w:r>
          </w:p>
        </w:tc>
        <w:tc>
          <w:tcPr>
            <w:tcW w:w="4632" w:type="dxa"/>
          </w:tcPr>
          <w:p>
            <w:pPr>
              <w:spacing w:line="360" w:lineRule="auto"/>
              <w:rPr>
                <w:rFonts w:ascii="黑体" w:hAnsi="黑体" w:eastAsia="黑体"/>
                <w:szCs w:val="21"/>
              </w:rPr>
            </w:pPr>
            <w:r>
              <w:rPr>
                <w:rFonts w:hint="eastAsia" w:ascii="黑体" w:hAnsi="黑体" w:eastAsia="黑体"/>
                <w:szCs w:val="21"/>
              </w:rPr>
              <w:t>主机</w:t>
            </w:r>
          </w:p>
        </w:tc>
        <w:tc>
          <w:tcPr>
            <w:tcW w:w="2923" w:type="dxa"/>
          </w:tcPr>
          <w:p>
            <w:pPr>
              <w:spacing w:line="360" w:lineRule="auto"/>
              <w:rPr>
                <w:rFonts w:ascii="黑体" w:hAnsi="黑体" w:eastAsia="黑体"/>
                <w:szCs w:val="21"/>
              </w:rPr>
            </w:pPr>
            <w:r>
              <w:rPr>
                <w:rFonts w:hint="eastAsia" w:ascii="黑体" w:hAnsi="黑体" w:eastAsia="黑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spacing w:line="360" w:lineRule="auto"/>
              <w:jc w:val="center"/>
              <w:rPr>
                <w:rFonts w:ascii="黑体" w:hAnsi="黑体" w:eastAsia="黑体"/>
                <w:szCs w:val="21"/>
              </w:rPr>
            </w:pPr>
            <w:r>
              <w:rPr>
                <w:rFonts w:hint="eastAsia" w:ascii="黑体" w:hAnsi="黑体" w:eastAsia="黑体"/>
                <w:szCs w:val="21"/>
              </w:rPr>
              <w:t>2</w:t>
            </w:r>
          </w:p>
        </w:tc>
        <w:tc>
          <w:tcPr>
            <w:tcW w:w="4632" w:type="dxa"/>
          </w:tcPr>
          <w:p>
            <w:pPr>
              <w:spacing w:line="360" w:lineRule="auto"/>
              <w:rPr>
                <w:rFonts w:ascii="黑体" w:hAnsi="黑体" w:eastAsia="黑体"/>
                <w:szCs w:val="21"/>
              </w:rPr>
            </w:pPr>
            <w:r>
              <w:rPr>
                <w:rFonts w:hint="eastAsia" w:ascii="黑体" w:hAnsi="黑体" w:eastAsia="黑体"/>
                <w:szCs w:val="21"/>
              </w:rPr>
              <w:t>电池</w:t>
            </w:r>
          </w:p>
        </w:tc>
        <w:tc>
          <w:tcPr>
            <w:tcW w:w="2923" w:type="dxa"/>
          </w:tcPr>
          <w:p>
            <w:pPr>
              <w:spacing w:line="360" w:lineRule="auto"/>
              <w:rPr>
                <w:rFonts w:ascii="黑体" w:hAnsi="黑体" w:eastAsia="黑体"/>
                <w:szCs w:val="21"/>
              </w:rPr>
            </w:pPr>
            <w:r>
              <w:rPr>
                <w:rFonts w:hint="eastAsia" w:ascii="黑体" w:hAnsi="黑体" w:eastAsia="黑体"/>
                <w:szCs w:val="21"/>
              </w:rPr>
              <w:t>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spacing w:line="360" w:lineRule="auto"/>
              <w:jc w:val="center"/>
              <w:rPr>
                <w:rFonts w:ascii="黑体" w:hAnsi="黑体" w:eastAsia="黑体"/>
                <w:szCs w:val="21"/>
              </w:rPr>
            </w:pPr>
            <w:r>
              <w:rPr>
                <w:rFonts w:hint="eastAsia" w:ascii="黑体" w:hAnsi="黑体" w:eastAsia="黑体"/>
                <w:szCs w:val="21"/>
              </w:rPr>
              <w:t>3</w:t>
            </w:r>
          </w:p>
        </w:tc>
        <w:tc>
          <w:tcPr>
            <w:tcW w:w="4632" w:type="dxa"/>
          </w:tcPr>
          <w:p>
            <w:pPr>
              <w:spacing w:line="360" w:lineRule="auto"/>
              <w:rPr>
                <w:rFonts w:ascii="黑体" w:hAnsi="黑体" w:eastAsia="黑体"/>
                <w:szCs w:val="21"/>
              </w:rPr>
            </w:pPr>
            <w:r>
              <w:rPr>
                <w:rFonts w:hint="eastAsia" w:ascii="黑体" w:hAnsi="黑体" w:eastAsia="黑体"/>
                <w:szCs w:val="21"/>
              </w:rPr>
              <w:t>电池盒</w:t>
            </w:r>
          </w:p>
        </w:tc>
        <w:tc>
          <w:tcPr>
            <w:tcW w:w="2923" w:type="dxa"/>
          </w:tcPr>
          <w:p>
            <w:pPr>
              <w:spacing w:line="360" w:lineRule="auto"/>
              <w:rPr>
                <w:rFonts w:ascii="黑体" w:hAnsi="黑体" w:eastAsia="黑体"/>
                <w:szCs w:val="21"/>
              </w:rPr>
            </w:pPr>
            <w:r>
              <w:rPr>
                <w:rFonts w:hint="eastAsia" w:ascii="黑体" w:hAnsi="黑体" w:eastAsia="黑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spacing w:line="360" w:lineRule="auto"/>
              <w:jc w:val="center"/>
              <w:rPr>
                <w:rFonts w:ascii="黑体" w:hAnsi="黑体" w:eastAsia="黑体"/>
                <w:szCs w:val="21"/>
              </w:rPr>
            </w:pPr>
            <w:r>
              <w:rPr>
                <w:rFonts w:hint="eastAsia" w:ascii="黑体" w:hAnsi="黑体" w:eastAsia="黑体"/>
                <w:szCs w:val="21"/>
              </w:rPr>
              <w:t>4</w:t>
            </w:r>
          </w:p>
        </w:tc>
        <w:tc>
          <w:tcPr>
            <w:tcW w:w="4632" w:type="dxa"/>
          </w:tcPr>
          <w:p>
            <w:pPr>
              <w:spacing w:line="360" w:lineRule="auto"/>
              <w:rPr>
                <w:rFonts w:ascii="黑体" w:hAnsi="黑体" w:eastAsia="黑体"/>
                <w:szCs w:val="21"/>
              </w:rPr>
            </w:pPr>
            <w:r>
              <w:rPr>
                <w:rFonts w:hint="eastAsia" w:ascii="黑体" w:hAnsi="黑体" w:eastAsia="黑体"/>
                <w:szCs w:val="21"/>
              </w:rPr>
              <w:t>固定装置(手臂用，三角架用)</w:t>
            </w:r>
          </w:p>
        </w:tc>
        <w:tc>
          <w:tcPr>
            <w:tcW w:w="2923" w:type="dxa"/>
          </w:tcPr>
          <w:p>
            <w:pPr>
              <w:spacing w:line="360" w:lineRule="auto"/>
              <w:rPr>
                <w:rFonts w:ascii="黑体" w:hAnsi="黑体" w:eastAsia="黑体"/>
                <w:szCs w:val="21"/>
              </w:rPr>
            </w:pPr>
            <w:r>
              <w:rPr>
                <w:rFonts w:hint="eastAsia" w:ascii="黑体" w:hAnsi="黑体" w:eastAsia="黑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spacing w:line="360" w:lineRule="auto"/>
              <w:jc w:val="center"/>
              <w:rPr>
                <w:rFonts w:ascii="黑体" w:hAnsi="黑体" w:eastAsia="黑体"/>
                <w:szCs w:val="21"/>
              </w:rPr>
            </w:pPr>
            <w:r>
              <w:rPr>
                <w:rFonts w:hint="eastAsia" w:ascii="黑体" w:hAnsi="黑体" w:eastAsia="黑体"/>
                <w:szCs w:val="21"/>
              </w:rPr>
              <w:t>5</w:t>
            </w:r>
          </w:p>
        </w:tc>
        <w:tc>
          <w:tcPr>
            <w:tcW w:w="4632" w:type="dxa"/>
          </w:tcPr>
          <w:p>
            <w:pPr>
              <w:spacing w:line="360" w:lineRule="auto"/>
              <w:rPr>
                <w:rFonts w:ascii="黑体" w:hAnsi="黑体" w:eastAsia="黑体"/>
                <w:szCs w:val="21"/>
              </w:rPr>
            </w:pPr>
            <w:r>
              <w:rPr>
                <w:rFonts w:hint="eastAsia" w:ascii="黑体" w:hAnsi="黑体" w:eastAsia="黑体"/>
                <w:szCs w:val="21"/>
              </w:rPr>
              <w:t>密封套</w:t>
            </w:r>
          </w:p>
        </w:tc>
        <w:tc>
          <w:tcPr>
            <w:tcW w:w="2923" w:type="dxa"/>
          </w:tcPr>
          <w:p>
            <w:pPr>
              <w:spacing w:line="360" w:lineRule="auto"/>
              <w:rPr>
                <w:rFonts w:ascii="黑体" w:hAnsi="黑体" w:eastAsia="黑体"/>
                <w:szCs w:val="21"/>
              </w:rPr>
            </w:pPr>
            <w:r>
              <w:rPr>
                <w:rFonts w:hint="eastAsia" w:ascii="黑体" w:hAnsi="黑体" w:eastAsia="黑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spacing w:line="360" w:lineRule="auto"/>
              <w:jc w:val="center"/>
              <w:rPr>
                <w:rFonts w:ascii="黑体" w:hAnsi="黑体" w:eastAsia="黑体"/>
                <w:szCs w:val="21"/>
              </w:rPr>
            </w:pPr>
            <w:r>
              <w:rPr>
                <w:rFonts w:hint="eastAsia" w:ascii="黑体" w:hAnsi="黑体" w:eastAsia="黑体"/>
                <w:szCs w:val="21"/>
              </w:rPr>
              <w:t>6</w:t>
            </w:r>
          </w:p>
        </w:tc>
        <w:tc>
          <w:tcPr>
            <w:tcW w:w="4632" w:type="dxa"/>
          </w:tcPr>
          <w:p>
            <w:pPr>
              <w:spacing w:line="360" w:lineRule="auto"/>
              <w:rPr>
                <w:rFonts w:ascii="黑体" w:hAnsi="黑体" w:eastAsia="黑体"/>
                <w:szCs w:val="21"/>
              </w:rPr>
            </w:pPr>
            <w:r>
              <w:rPr>
                <w:rFonts w:hint="eastAsia" w:ascii="黑体" w:hAnsi="黑体" w:eastAsia="黑体"/>
                <w:szCs w:val="21"/>
              </w:rPr>
              <w:t>用户手册</w:t>
            </w:r>
          </w:p>
        </w:tc>
        <w:tc>
          <w:tcPr>
            <w:tcW w:w="2923" w:type="dxa"/>
          </w:tcPr>
          <w:p>
            <w:pPr>
              <w:spacing w:line="360" w:lineRule="auto"/>
              <w:rPr>
                <w:rFonts w:ascii="黑体" w:hAnsi="黑体" w:eastAsia="黑体"/>
                <w:szCs w:val="21"/>
              </w:rPr>
            </w:pPr>
            <w:r>
              <w:rPr>
                <w:rFonts w:hint="eastAsia" w:ascii="黑体" w:hAnsi="黑体" w:eastAsia="黑体"/>
                <w:szCs w:val="21"/>
              </w:rPr>
              <w:t>1本</w:t>
            </w:r>
          </w:p>
        </w:tc>
      </w:tr>
    </w:tbl>
    <w:p>
      <w:pPr>
        <w:spacing w:line="360" w:lineRule="auto"/>
        <w:rPr>
          <w:rFonts w:ascii="黑体" w:hAnsi="黑体" w:eastAsia="黑体"/>
          <w:szCs w:val="21"/>
        </w:rPr>
      </w:pPr>
    </w:p>
    <w:p>
      <w:pPr>
        <w:spacing w:line="360" w:lineRule="auto"/>
        <w:rPr>
          <w:rFonts w:ascii="黑体" w:hAnsi="黑体" w:eastAsia="黑体"/>
          <w:szCs w:val="21"/>
        </w:rPr>
      </w:pPr>
    </w:p>
    <w:p>
      <w:pPr>
        <w:pageBreakBefore/>
        <w:spacing w:line="360" w:lineRule="auto"/>
        <w:rPr>
          <w:rFonts w:ascii="黑体" w:hAnsi="黑体" w:eastAsia="黑体"/>
          <w:b/>
          <w:bCs/>
          <w:szCs w:val="21"/>
        </w:rPr>
      </w:pPr>
      <w:r>
        <w:rPr>
          <w:rFonts w:hint="eastAsia" w:ascii="黑体" w:hAnsi="黑体" w:eastAsia="黑体"/>
          <w:b/>
          <w:bCs/>
          <w:szCs w:val="21"/>
        </w:rPr>
        <w:t>（十）持续血液净化系统</w:t>
      </w:r>
    </w:p>
    <w:p>
      <w:pPr>
        <w:snapToGrid w:val="0"/>
        <w:spacing w:line="360" w:lineRule="auto"/>
        <w:rPr>
          <w:rFonts w:ascii="黑体" w:hAnsi="黑体" w:eastAsia="黑体"/>
          <w:b/>
          <w:szCs w:val="21"/>
        </w:rPr>
      </w:pPr>
      <w:r>
        <w:rPr>
          <w:rFonts w:ascii="黑体" w:hAnsi="黑体" w:eastAsia="黑体"/>
          <w:b/>
          <w:szCs w:val="21"/>
        </w:rPr>
        <w:t>1</w:t>
      </w:r>
      <w:r>
        <w:rPr>
          <w:rFonts w:hint="eastAsia" w:ascii="黑体" w:hAnsi="黑体" w:eastAsia="黑体"/>
          <w:b/>
          <w:szCs w:val="21"/>
        </w:rPr>
        <w:t>、主机</w:t>
      </w:r>
    </w:p>
    <w:p>
      <w:pPr>
        <w:snapToGrid w:val="0"/>
        <w:spacing w:line="360" w:lineRule="auto"/>
        <w:ind w:firstLine="420" w:firstLineChars="200"/>
        <w:rPr>
          <w:rFonts w:ascii="黑体" w:hAnsi="黑体" w:eastAsia="黑体"/>
          <w:szCs w:val="21"/>
        </w:rPr>
      </w:pPr>
      <w:r>
        <w:rPr>
          <w:rFonts w:ascii="黑体" w:hAnsi="黑体" w:eastAsia="黑体"/>
          <w:szCs w:val="21"/>
        </w:rPr>
        <w:t>1.1</w:t>
      </w:r>
      <w:r>
        <w:rPr>
          <w:rFonts w:ascii="黑体" w:hAnsi="黑体" w:eastAsia="黑体"/>
          <w:szCs w:val="21"/>
        </w:rPr>
        <w:tab/>
      </w:r>
      <w:r>
        <w:rPr>
          <w:rFonts w:hint="eastAsia" w:ascii="黑体" w:hAnsi="黑体" w:eastAsia="黑体"/>
          <w:szCs w:val="21"/>
        </w:rPr>
        <w:t>具有全中文引导自助式操作系统；</w:t>
      </w:r>
    </w:p>
    <w:p>
      <w:pPr>
        <w:snapToGrid w:val="0"/>
        <w:spacing w:line="360" w:lineRule="auto"/>
        <w:ind w:firstLine="422" w:firstLineChars="200"/>
        <w:rPr>
          <w:rFonts w:ascii="黑体" w:hAnsi="黑体" w:eastAsia="黑体"/>
          <w:b/>
          <w:bCs/>
          <w:szCs w:val="21"/>
        </w:rPr>
      </w:pPr>
      <w:r>
        <w:rPr>
          <w:rFonts w:ascii="黑体" w:hAnsi="黑体" w:eastAsia="黑体"/>
          <w:b/>
          <w:bCs/>
          <w:szCs w:val="21"/>
        </w:rPr>
        <w:t>1.2</w:t>
      </w:r>
      <w:r>
        <w:rPr>
          <w:rFonts w:ascii="黑体" w:hAnsi="黑体" w:eastAsia="黑体"/>
          <w:b/>
          <w:bCs/>
          <w:szCs w:val="21"/>
        </w:rPr>
        <w:tab/>
      </w:r>
      <w:r>
        <w:rPr>
          <w:rFonts w:ascii="黑体" w:hAnsi="黑体" w:eastAsia="黑体"/>
          <w:b/>
          <w:bCs/>
          <w:szCs w:val="21"/>
        </w:rPr>
        <w:t>▲6</w:t>
      </w:r>
      <w:r>
        <w:rPr>
          <w:rFonts w:hint="eastAsia" w:ascii="黑体" w:hAnsi="黑体" w:eastAsia="黑体"/>
          <w:b/>
          <w:bCs/>
          <w:szCs w:val="21"/>
        </w:rPr>
        <w:t>泵（含一个肝素泵</w:t>
      </w:r>
      <w:r>
        <w:rPr>
          <w:rFonts w:ascii="黑体" w:hAnsi="黑体" w:eastAsia="黑体"/>
          <w:b/>
          <w:bCs/>
          <w:szCs w:val="21"/>
        </w:rPr>
        <w:t>/</w:t>
      </w:r>
      <w:r>
        <w:rPr>
          <w:rFonts w:hint="eastAsia" w:ascii="黑体" w:hAnsi="黑体" w:eastAsia="黑体"/>
          <w:b/>
          <w:bCs/>
          <w:szCs w:val="21"/>
        </w:rPr>
        <w:t>钙泵），能够提供全面</w:t>
      </w:r>
      <w:r>
        <w:rPr>
          <w:rFonts w:ascii="黑体" w:hAnsi="黑体" w:eastAsia="黑体"/>
          <w:b/>
          <w:bCs/>
          <w:szCs w:val="21"/>
        </w:rPr>
        <w:t>CRRT</w:t>
      </w:r>
      <w:r>
        <w:rPr>
          <w:rFonts w:hint="eastAsia" w:ascii="黑体" w:hAnsi="黑体" w:eastAsia="黑体"/>
          <w:b/>
          <w:bCs/>
          <w:szCs w:val="21"/>
        </w:rPr>
        <w:t>治疗方案；</w:t>
      </w:r>
    </w:p>
    <w:p>
      <w:pPr>
        <w:snapToGrid w:val="0"/>
        <w:spacing w:line="360" w:lineRule="auto"/>
        <w:ind w:firstLine="422" w:firstLineChars="200"/>
        <w:rPr>
          <w:rFonts w:ascii="黑体" w:hAnsi="黑体" w:eastAsia="黑体"/>
          <w:b/>
          <w:bCs/>
          <w:szCs w:val="21"/>
        </w:rPr>
      </w:pPr>
      <w:r>
        <w:rPr>
          <w:rFonts w:ascii="黑体" w:hAnsi="黑体" w:eastAsia="黑体"/>
          <w:b/>
          <w:bCs/>
          <w:szCs w:val="21"/>
        </w:rPr>
        <w:t>1.3</w:t>
      </w:r>
      <w:r>
        <w:rPr>
          <w:rFonts w:ascii="黑体" w:hAnsi="黑体" w:eastAsia="黑体"/>
          <w:b/>
          <w:bCs/>
          <w:szCs w:val="21"/>
        </w:rPr>
        <w:tab/>
      </w:r>
      <w:r>
        <w:rPr>
          <w:rFonts w:ascii="黑体" w:hAnsi="黑体" w:eastAsia="黑体"/>
          <w:b/>
          <w:bCs/>
          <w:szCs w:val="21"/>
        </w:rPr>
        <w:t>▲4</w:t>
      </w:r>
      <w:r>
        <w:rPr>
          <w:rFonts w:hint="eastAsia" w:ascii="黑体" w:hAnsi="黑体" w:eastAsia="黑体"/>
          <w:b/>
          <w:bCs/>
          <w:szCs w:val="21"/>
        </w:rPr>
        <w:t>个手柄推拉式电子秤（色彩标识）；</w:t>
      </w:r>
    </w:p>
    <w:p>
      <w:pPr>
        <w:snapToGrid w:val="0"/>
        <w:spacing w:line="360" w:lineRule="auto"/>
        <w:ind w:firstLine="422" w:firstLineChars="200"/>
        <w:rPr>
          <w:rFonts w:ascii="黑体" w:hAnsi="黑体" w:eastAsia="黑体"/>
          <w:b/>
          <w:bCs/>
          <w:szCs w:val="21"/>
        </w:rPr>
      </w:pPr>
      <w:r>
        <w:rPr>
          <w:rFonts w:ascii="黑体" w:hAnsi="黑体" w:eastAsia="黑体"/>
          <w:b/>
          <w:bCs/>
          <w:szCs w:val="21"/>
        </w:rPr>
        <w:t>1.4</w:t>
      </w:r>
      <w:r>
        <w:rPr>
          <w:rFonts w:ascii="黑体" w:hAnsi="黑体" w:eastAsia="黑体"/>
          <w:b/>
          <w:bCs/>
          <w:szCs w:val="21"/>
        </w:rPr>
        <w:tab/>
      </w:r>
      <w:r>
        <w:rPr>
          <w:rFonts w:ascii="黑体" w:hAnsi="黑体" w:eastAsia="黑体"/>
          <w:b/>
          <w:bCs/>
          <w:szCs w:val="21"/>
        </w:rPr>
        <w:t>▲2</w:t>
      </w:r>
      <w:r>
        <w:rPr>
          <w:rFonts w:hint="eastAsia" w:ascii="黑体" w:hAnsi="黑体" w:eastAsia="黑体"/>
          <w:b/>
          <w:bCs/>
          <w:szCs w:val="21"/>
        </w:rPr>
        <w:t>个夹管阀，允许治疗期间控制前</w:t>
      </w:r>
      <w:r>
        <w:rPr>
          <w:rFonts w:ascii="黑体" w:hAnsi="黑体" w:eastAsia="黑体"/>
          <w:b/>
          <w:bCs/>
          <w:szCs w:val="21"/>
        </w:rPr>
        <w:t>/</w:t>
      </w:r>
      <w:r>
        <w:rPr>
          <w:rFonts w:hint="eastAsia" w:ascii="黑体" w:hAnsi="黑体" w:eastAsia="黑体"/>
          <w:b/>
          <w:bCs/>
          <w:szCs w:val="21"/>
        </w:rPr>
        <w:t>后稀释比率；</w:t>
      </w:r>
    </w:p>
    <w:p>
      <w:pPr>
        <w:snapToGrid w:val="0"/>
        <w:spacing w:line="360" w:lineRule="auto"/>
        <w:ind w:firstLine="420" w:firstLineChars="200"/>
        <w:rPr>
          <w:rFonts w:ascii="黑体" w:hAnsi="黑体" w:eastAsia="黑体"/>
          <w:szCs w:val="21"/>
        </w:rPr>
      </w:pPr>
      <w:r>
        <w:rPr>
          <w:rFonts w:ascii="黑体" w:hAnsi="黑体" w:eastAsia="黑体"/>
          <w:szCs w:val="21"/>
        </w:rPr>
        <w:t>1.5</w:t>
      </w:r>
      <w:r>
        <w:rPr>
          <w:rFonts w:ascii="黑体" w:hAnsi="黑体" w:eastAsia="黑体"/>
          <w:szCs w:val="21"/>
        </w:rPr>
        <w:tab/>
      </w:r>
      <w:r>
        <w:rPr>
          <w:rFonts w:hint="eastAsia" w:ascii="黑体" w:hAnsi="黑体" w:eastAsia="黑体"/>
          <w:szCs w:val="21"/>
        </w:rPr>
        <w:t>一体化整机和预连接管路，具备人体工程学设计；</w:t>
      </w:r>
    </w:p>
    <w:p>
      <w:pPr>
        <w:snapToGrid w:val="0"/>
        <w:spacing w:line="360" w:lineRule="auto"/>
        <w:ind w:firstLine="420" w:firstLineChars="200"/>
        <w:rPr>
          <w:rFonts w:ascii="黑体" w:hAnsi="黑体" w:eastAsia="黑体"/>
          <w:szCs w:val="21"/>
        </w:rPr>
      </w:pPr>
      <w:r>
        <w:rPr>
          <w:rFonts w:ascii="黑体" w:hAnsi="黑体" w:eastAsia="黑体"/>
          <w:szCs w:val="21"/>
        </w:rPr>
        <w:t>1.6</w:t>
      </w:r>
      <w:r>
        <w:rPr>
          <w:rFonts w:ascii="黑体" w:hAnsi="黑体" w:eastAsia="黑体"/>
          <w:szCs w:val="21"/>
        </w:rPr>
        <w:tab/>
      </w:r>
      <w:r>
        <w:rPr>
          <w:rFonts w:hint="eastAsia" w:ascii="黑体" w:hAnsi="黑体" w:eastAsia="黑体"/>
          <w:szCs w:val="21"/>
        </w:rPr>
        <w:t>防静电装置：避免</w:t>
      </w:r>
      <w:r>
        <w:rPr>
          <w:rFonts w:ascii="黑体" w:hAnsi="黑体" w:eastAsia="黑体"/>
          <w:szCs w:val="21"/>
        </w:rPr>
        <w:t>ECG</w:t>
      </w:r>
      <w:r>
        <w:rPr>
          <w:rFonts w:hint="eastAsia" w:ascii="黑体" w:hAnsi="黑体" w:eastAsia="黑体"/>
          <w:szCs w:val="21"/>
        </w:rPr>
        <w:t>心电图干扰；</w:t>
      </w:r>
      <w:r>
        <w:rPr>
          <w:rFonts w:ascii="黑体" w:hAnsi="黑体" w:eastAsia="黑体"/>
          <w:szCs w:val="21"/>
        </w:rPr>
        <w:t>CF</w:t>
      </w:r>
      <w:r>
        <w:rPr>
          <w:rFonts w:hint="eastAsia" w:ascii="黑体" w:hAnsi="黑体" w:eastAsia="黑体"/>
          <w:szCs w:val="21"/>
        </w:rPr>
        <w:t>电器兼容；</w:t>
      </w:r>
    </w:p>
    <w:p>
      <w:pPr>
        <w:snapToGrid w:val="0"/>
        <w:spacing w:line="360" w:lineRule="auto"/>
        <w:ind w:firstLine="420" w:firstLineChars="200"/>
        <w:rPr>
          <w:rFonts w:ascii="黑体" w:hAnsi="黑体" w:eastAsia="黑体"/>
          <w:szCs w:val="21"/>
        </w:rPr>
      </w:pPr>
      <w:r>
        <w:rPr>
          <w:rFonts w:ascii="黑体" w:hAnsi="黑体" w:eastAsia="黑体"/>
          <w:szCs w:val="21"/>
        </w:rPr>
        <w:t>1.</w:t>
      </w:r>
      <w:r>
        <w:rPr>
          <w:rFonts w:hint="eastAsia" w:ascii="黑体" w:hAnsi="黑体" w:eastAsia="黑体"/>
          <w:szCs w:val="21"/>
        </w:rPr>
        <w:t>7</w:t>
      </w:r>
      <w:r>
        <w:rPr>
          <w:rFonts w:ascii="黑体" w:hAnsi="黑体" w:eastAsia="黑体"/>
          <w:szCs w:val="21"/>
        </w:rPr>
        <w:tab/>
      </w:r>
      <w:r>
        <w:rPr>
          <w:rFonts w:hint="eastAsia" w:ascii="黑体" w:hAnsi="黑体" w:eastAsia="黑体"/>
          <w:szCs w:val="21"/>
        </w:rPr>
        <w:t>一体化条形码识别器自动识别安装耗材。</w:t>
      </w:r>
    </w:p>
    <w:p>
      <w:pPr>
        <w:snapToGrid w:val="0"/>
        <w:spacing w:line="360" w:lineRule="auto"/>
        <w:rPr>
          <w:rFonts w:ascii="黑体" w:hAnsi="黑体" w:eastAsia="黑体"/>
          <w:b/>
          <w:szCs w:val="21"/>
        </w:rPr>
      </w:pPr>
      <w:r>
        <w:rPr>
          <w:rFonts w:ascii="黑体" w:hAnsi="黑体" w:eastAsia="黑体"/>
          <w:b/>
          <w:szCs w:val="21"/>
        </w:rPr>
        <w:t>2</w:t>
      </w:r>
      <w:r>
        <w:rPr>
          <w:rFonts w:hint="eastAsia" w:ascii="黑体" w:hAnsi="黑体" w:eastAsia="黑体"/>
          <w:b/>
          <w:szCs w:val="21"/>
        </w:rPr>
        <w:t>、</w:t>
      </w:r>
      <w:r>
        <w:rPr>
          <w:rFonts w:ascii="黑体" w:hAnsi="黑体" w:eastAsia="黑体"/>
          <w:b/>
          <w:szCs w:val="21"/>
        </w:rPr>
        <w:tab/>
      </w:r>
      <w:r>
        <w:rPr>
          <w:rFonts w:hint="eastAsia" w:ascii="黑体" w:hAnsi="黑体" w:eastAsia="黑体"/>
          <w:b/>
          <w:szCs w:val="21"/>
        </w:rPr>
        <w:t>操作屏幕</w:t>
      </w:r>
      <w:r>
        <w:rPr>
          <w:rFonts w:ascii="黑体" w:hAnsi="黑体" w:eastAsia="黑体"/>
          <w:b/>
          <w:szCs w:val="21"/>
        </w:rPr>
        <w:t xml:space="preserve"> </w:t>
      </w:r>
    </w:p>
    <w:p>
      <w:pPr>
        <w:snapToGrid w:val="0"/>
        <w:spacing w:line="360" w:lineRule="auto"/>
        <w:ind w:firstLine="422" w:firstLineChars="200"/>
        <w:rPr>
          <w:rFonts w:ascii="黑体" w:hAnsi="黑体" w:eastAsia="黑体"/>
          <w:b/>
          <w:bCs/>
          <w:szCs w:val="21"/>
        </w:rPr>
      </w:pPr>
      <w:r>
        <w:rPr>
          <w:rFonts w:ascii="黑体" w:hAnsi="黑体" w:eastAsia="黑体"/>
          <w:b/>
          <w:bCs/>
          <w:szCs w:val="21"/>
        </w:rPr>
        <w:t>2.1 ▲12</w:t>
      </w:r>
      <w:r>
        <w:rPr>
          <w:rFonts w:hint="eastAsia" w:ascii="黑体" w:hAnsi="黑体" w:eastAsia="黑体"/>
          <w:b/>
          <w:bCs/>
          <w:szCs w:val="21"/>
        </w:rPr>
        <w:t>英寸彩色液晶触摸式显示屏，引导式操作系统。</w:t>
      </w:r>
    </w:p>
    <w:p>
      <w:pPr>
        <w:snapToGrid w:val="0"/>
        <w:spacing w:line="360" w:lineRule="auto"/>
        <w:rPr>
          <w:rFonts w:ascii="黑体" w:hAnsi="黑体" w:eastAsia="黑体"/>
          <w:b/>
          <w:szCs w:val="21"/>
        </w:rPr>
      </w:pPr>
      <w:r>
        <w:rPr>
          <w:rFonts w:ascii="黑体" w:hAnsi="黑体" w:eastAsia="黑体"/>
          <w:b/>
          <w:szCs w:val="21"/>
        </w:rPr>
        <w:t>3</w:t>
      </w:r>
      <w:r>
        <w:rPr>
          <w:rFonts w:hint="eastAsia" w:ascii="黑体" w:hAnsi="黑体" w:eastAsia="黑体"/>
          <w:b/>
          <w:szCs w:val="21"/>
        </w:rPr>
        <w:t>、</w:t>
      </w:r>
      <w:r>
        <w:rPr>
          <w:rFonts w:ascii="黑体" w:hAnsi="黑体" w:eastAsia="黑体"/>
          <w:b/>
          <w:szCs w:val="21"/>
        </w:rPr>
        <w:tab/>
      </w:r>
      <w:r>
        <w:rPr>
          <w:rFonts w:hint="eastAsia" w:ascii="黑体" w:hAnsi="黑体" w:eastAsia="黑体"/>
          <w:b/>
          <w:szCs w:val="21"/>
        </w:rPr>
        <w:t>治疗模式</w:t>
      </w:r>
      <w:r>
        <w:rPr>
          <w:rFonts w:ascii="黑体" w:hAnsi="黑体" w:eastAsia="黑体"/>
          <w:b/>
          <w:szCs w:val="21"/>
        </w:rPr>
        <w:t xml:space="preserve"> </w:t>
      </w:r>
    </w:p>
    <w:p>
      <w:pPr>
        <w:snapToGrid w:val="0"/>
        <w:spacing w:line="360" w:lineRule="auto"/>
        <w:ind w:firstLine="420" w:firstLineChars="200"/>
        <w:rPr>
          <w:rFonts w:ascii="黑体" w:hAnsi="黑体" w:eastAsia="黑体"/>
          <w:szCs w:val="21"/>
        </w:rPr>
      </w:pPr>
      <w:r>
        <w:rPr>
          <w:rFonts w:ascii="黑体" w:hAnsi="黑体" w:eastAsia="黑体"/>
          <w:szCs w:val="21"/>
        </w:rPr>
        <w:t>3.1</w:t>
      </w:r>
      <w:r>
        <w:rPr>
          <w:rFonts w:ascii="黑体" w:hAnsi="黑体" w:eastAsia="黑体"/>
          <w:szCs w:val="21"/>
        </w:rPr>
        <w:tab/>
      </w:r>
      <w:r>
        <w:rPr>
          <w:rFonts w:hint="eastAsia" w:ascii="黑体" w:hAnsi="黑体" w:eastAsia="黑体"/>
          <w:szCs w:val="21"/>
        </w:rPr>
        <w:t>可选择的</w:t>
      </w:r>
      <w:r>
        <w:rPr>
          <w:rFonts w:ascii="黑体" w:hAnsi="黑体" w:eastAsia="黑体"/>
          <w:szCs w:val="21"/>
        </w:rPr>
        <w:t>CRRT</w:t>
      </w:r>
      <w:r>
        <w:rPr>
          <w:rFonts w:hint="eastAsia" w:ascii="黑体" w:hAnsi="黑体" w:eastAsia="黑体"/>
          <w:szCs w:val="21"/>
        </w:rPr>
        <w:t>治疗方式：</w:t>
      </w:r>
    </w:p>
    <w:p>
      <w:pPr>
        <w:snapToGrid w:val="0"/>
        <w:spacing w:line="360" w:lineRule="auto"/>
        <w:ind w:firstLine="840" w:firstLineChars="400"/>
        <w:rPr>
          <w:rFonts w:ascii="黑体" w:hAnsi="黑体" w:eastAsia="黑体"/>
          <w:szCs w:val="21"/>
        </w:rPr>
      </w:pPr>
      <w:r>
        <w:rPr>
          <w:rFonts w:ascii="黑体" w:hAnsi="黑体" w:eastAsia="黑体"/>
          <w:szCs w:val="21"/>
        </w:rPr>
        <w:t>3.1.1</w:t>
      </w:r>
      <w:r>
        <w:rPr>
          <w:rFonts w:ascii="黑体" w:hAnsi="黑体" w:eastAsia="黑体"/>
          <w:szCs w:val="21"/>
        </w:rPr>
        <w:tab/>
      </w:r>
      <w:r>
        <w:rPr>
          <w:rFonts w:hint="eastAsia" w:ascii="黑体" w:hAnsi="黑体" w:eastAsia="黑体"/>
          <w:szCs w:val="21"/>
        </w:rPr>
        <w:t>连续静脉</w:t>
      </w:r>
      <w:r>
        <w:rPr>
          <w:rStyle w:val="66"/>
          <w:rFonts w:ascii="黑体" w:hAnsi="黑体" w:eastAsia="黑体" w:cs="Arial"/>
          <w:szCs w:val="21"/>
        </w:rPr>
        <w:t>-</w:t>
      </w:r>
      <w:r>
        <w:rPr>
          <w:rFonts w:hint="eastAsia" w:ascii="黑体" w:hAnsi="黑体" w:eastAsia="黑体"/>
          <w:szCs w:val="21"/>
        </w:rPr>
        <w:t>静脉血液滤过（</w:t>
      </w:r>
      <w:r>
        <w:rPr>
          <w:rFonts w:ascii="黑体" w:hAnsi="黑体" w:eastAsia="黑体"/>
          <w:szCs w:val="21"/>
        </w:rPr>
        <w:t>CVVH</w:t>
      </w:r>
      <w:r>
        <w:rPr>
          <w:rFonts w:hint="eastAsia" w:ascii="黑体" w:hAnsi="黑体" w:eastAsia="黑体"/>
          <w:szCs w:val="21"/>
        </w:rPr>
        <w:t>）</w:t>
      </w:r>
    </w:p>
    <w:p>
      <w:pPr>
        <w:snapToGrid w:val="0"/>
        <w:spacing w:line="360" w:lineRule="auto"/>
        <w:ind w:firstLine="840" w:firstLineChars="400"/>
        <w:rPr>
          <w:rFonts w:ascii="黑体" w:hAnsi="黑体" w:eastAsia="黑体"/>
          <w:szCs w:val="21"/>
        </w:rPr>
      </w:pPr>
      <w:r>
        <w:rPr>
          <w:rFonts w:ascii="黑体" w:hAnsi="黑体" w:eastAsia="黑体"/>
          <w:szCs w:val="21"/>
        </w:rPr>
        <w:t>3.1.2</w:t>
      </w:r>
      <w:r>
        <w:rPr>
          <w:rFonts w:ascii="黑体" w:hAnsi="黑体" w:eastAsia="黑体"/>
          <w:szCs w:val="21"/>
        </w:rPr>
        <w:tab/>
      </w:r>
      <w:r>
        <w:rPr>
          <w:rFonts w:hint="eastAsia" w:ascii="黑体" w:hAnsi="黑体" w:eastAsia="黑体"/>
          <w:szCs w:val="21"/>
        </w:rPr>
        <w:t>连续静脉</w:t>
      </w:r>
      <w:r>
        <w:rPr>
          <w:rFonts w:ascii="黑体" w:hAnsi="黑体" w:eastAsia="黑体"/>
          <w:szCs w:val="21"/>
        </w:rPr>
        <w:t>-</w:t>
      </w:r>
      <w:r>
        <w:rPr>
          <w:rFonts w:hint="eastAsia" w:ascii="黑体" w:hAnsi="黑体" w:eastAsia="黑体"/>
          <w:szCs w:val="21"/>
        </w:rPr>
        <w:t>静脉血液透析（</w:t>
      </w:r>
      <w:r>
        <w:rPr>
          <w:rFonts w:ascii="黑体" w:hAnsi="黑体" w:eastAsia="黑体"/>
          <w:szCs w:val="21"/>
        </w:rPr>
        <w:t>CVVHD</w:t>
      </w:r>
      <w:r>
        <w:rPr>
          <w:rFonts w:hint="eastAsia" w:ascii="黑体" w:hAnsi="黑体" w:eastAsia="黑体"/>
          <w:szCs w:val="21"/>
        </w:rPr>
        <w:t>）</w:t>
      </w:r>
    </w:p>
    <w:p>
      <w:pPr>
        <w:snapToGrid w:val="0"/>
        <w:spacing w:line="360" w:lineRule="auto"/>
        <w:ind w:firstLine="840" w:firstLineChars="400"/>
        <w:rPr>
          <w:rFonts w:ascii="黑体" w:hAnsi="黑体" w:eastAsia="黑体"/>
          <w:szCs w:val="21"/>
        </w:rPr>
      </w:pPr>
      <w:r>
        <w:rPr>
          <w:rFonts w:ascii="黑体" w:hAnsi="黑体" w:eastAsia="黑体"/>
          <w:szCs w:val="21"/>
        </w:rPr>
        <w:t>3.1.3</w:t>
      </w:r>
      <w:r>
        <w:rPr>
          <w:rFonts w:ascii="黑体" w:hAnsi="黑体" w:eastAsia="黑体"/>
          <w:szCs w:val="21"/>
        </w:rPr>
        <w:tab/>
      </w:r>
      <w:r>
        <w:rPr>
          <w:rFonts w:hint="eastAsia" w:ascii="黑体" w:hAnsi="黑体" w:eastAsia="黑体"/>
          <w:szCs w:val="21"/>
        </w:rPr>
        <w:t>连续静脉</w:t>
      </w:r>
      <w:r>
        <w:rPr>
          <w:rFonts w:ascii="黑体" w:hAnsi="黑体" w:eastAsia="黑体"/>
          <w:szCs w:val="21"/>
        </w:rPr>
        <w:t>-</w:t>
      </w:r>
      <w:r>
        <w:rPr>
          <w:rFonts w:hint="eastAsia" w:ascii="黑体" w:hAnsi="黑体" w:eastAsia="黑体"/>
          <w:szCs w:val="21"/>
        </w:rPr>
        <w:t>静脉血液透析滤过（</w:t>
      </w:r>
      <w:r>
        <w:rPr>
          <w:rFonts w:ascii="黑体" w:hAnsi="黑体" w:eastAsia="黑体"/>
          <w:szCs w:val="21"/>
        </w:rPr>
        <w:t>CVVHDF</w:t>
      </w:r>
      <w:r>
        <w:rPr>
          <w:rFonts w:hint="eastAsia" w:ascii="黑体" w:hAnsi="黑体" w:eastAsia="黑体"/>
          <w:szCs w:val="21"/>
        </w:rPr>
        <w:t>）</w:t>
      </w:r>
      <w:r>
        <w:rPr>
          <w:rFonts w:ascii="黑体" w:hAnsi="黑体" w:eastAsia="黑体"/>
          <w:szCs w:val="21"/>
        </w:rPr>
        <w:t xml:space="preserve">  </w:t>
      </w:r>
    </w:p>
    <w:p>
      <w:pPr>
        <w:snapToGrid w:val="0"/>
        <w:spacing w:line="360" w:lineRule="auto"/>
        <w:ind w:firstLine="840" w:firstLineChars="400"/>
        <w:rPr>
          <w:rFonts w:ascii="黑体" w:hAnsi="黑体" w:eastAsia="黑体"/>
          <w:szCs w:val="21"/>
        </w:rPr>
      </w:pPr>
      <w:r>
        <w:rPr>
          <w:rFonts w:ascii="黑体" w:hAnsi="黑体" w:eastAsia="黑体"/>
          <w:szCs w:val="21"/>
        </w:rPr>
        <w:t>3.1.4</w:t>
      </w:r>
      <w:r>
        <w:rPr>
          <w:rFonts w:ascii="黑体" w:hAnsi="黑体" w:eastAsia="黑体"/>
          <w:szCs w:val="21"/>
        </w:rPr>
        <w:tab/>
      </w:r>
      <w:r>
        <w:rPr>
          <w:rFonts w:hint="eastAsia" w:ascii="黑体" w:hAnsi="黑体" w:eastAsia="黑体"/>
          <w:szCs w:val="21"/>
        </w:rPr>
        <w:t>缓慢持续超滤（</w:t>
      </w:r>
      <w:r>
        <w:rPr>
          <w:rFonts w:ascii="黑体" w:hAnsi="黑体" w:eastAsia="黑体"/>
          <w:szCs w:val="21"/>
        </w:rPr>
        <w:t>SCUF</w:t>
      </w:r>
      <w:r>
        <w:rPr>
          <w:rFonts w:hint="eastAsia" w:ascii="黑体" w:hAnsi="黑体" w:eastAsia="黑体"/>
          <w:szCs w:val="21"/>
        </w:rPr>
        <w:t>）</w:t>
      </w:r>
    </w:p>
    <w:p>
      <w:pPr>
        <w:snapToGrid w:val="0"/>
        <w:spacing w:line="360" w:lineRule="auto"/>
        <w:ind w:left="840" w:leftChars="200" w:hanging="420" w:hangingChars="200"/>
        <w:rPr>
          <w:rFonts w:ascii="黑体" w:hAnsi="黑体" w:eastAsia="黑体"/>
          <w:szCs w:val="21"/>
        </w:rPr>
      </w:pPr>
      <w:r>
        <w:rPr>
          <w:rFonts w:ascii="黑体" w:hAnsi="黑体" w:eastAsia="黑体"/>
          <w:szCs w:val="21"/>
        </w:rPr>
        <w:t>3.2</w:t>
      </w:r>
      <w:r>
        <w:rPr>
          <w:rFonts w:ascii="黑体" w:hAnsi="黑体" w:eastAsia="黑体"/>
          <w:szCs w:val="21"/>
        </w:rPr>
        <w:tab/>
      </w:r>
      <w:r>
        <w:rPr>
          <w:rFonts w:hint="eastAsia" w:ascii="黑体" w:hAnsi="黑体" w:eastAsia="黑体"/>
          <w:szCs w:val="21"/>
        </w:rPr>
        <w:t>开放系统可联合不同的滤器扩展新的治疗，包括血液灌流（</w:t>
      </w:r>
      <w:r>
        <w:rPr>
          <w:rFonts w:ascii="黑体" w:hAnsi="黑体" w:eastAsia="黑体"/>
          <w:szCs w:val="21"/>
        </w:rPr>
        <w:t>HP</w:t>
      </w:r>
      <w:r>
        <w:rPr>
          <w:rFonts w:hint="eastAsia" w:ascii="黑体" w:hAnsi="黑体" w:eastAsia="黑体"/>
          <w:szCs w:val="21"/>
        </w:rPr>
        <w:t>）、血浆分离、置换、吸附（</w:t>
      </w:r>
      <w:r>
        <w:rPr>
          <w:rFonts w:ascii="黑体" w:hAnsi="黑体" w:eastAsia="黑体"/>
          <w:szCs w:val="21"/>
        </w:rPr>
        <w:t>TPE</w:t>
      </w:r>
      <w:r>
        <w:rPr>
          <w:rFonts w:hint="eastAsia" w:ascii="黑体" w:hAnsi="黑体" w:eastAsia="黑体"/>
          <w:szCs w:val="21"/>
        </w:rPr>
        <w:t>）、</w:t>
      </w:r>
      <w:r>
        <w:rPr>
          <w:rFonts w:ascii="黑体" w:hAnsi="黑体" w:eastAsia="黑体"/>
          <w:szCs w:val="21"/>
        </w:rPr>
        <w:t>ECMO</w:t>
      </w:r>
      <w:r>
        <w:rPr>
          <w:rFonts w:hint="eastAsia" w:ascii="黑体" w:hAnsi="黑体" w:eastAsia="黑体"/>
          <w:szCs w:val="21"/>
        </w:rPr>
        <w:t>等</w:t>
      </w:r>
    </w:p>
    <w:p>
      <w:pPr>
        <w:snapToGrid w:val="0"/>
        <w:spacing w:line="360" w:lineRule="auto"/>
        <w:ind w:firstLine="420" w:firstLineChars="200"/>
        <w:rPr>
          <w:rFonts w:ascii="黑体" w:hAnsi="黑体" w:eastAsia="黑体"/>
          <w:szCs w:val="21"/>
        </w:rPr>
      </w:pPr>
      <w:r>
        <w:rPr>
          <w:rFonts w:ascii="黑体" w:hAnsi="黑体" w:eastAsia="黑体"/>
          <w:szCs w:val="21"/>
        </w:rPr>
        <w:t>3.3</w:t>
      </w:r>
      <w:r>
        <w:rPr>
          <w:rFonts w:ascii="黑体" w:hAnsi="黑体" w:eastAsia="黑体"/>
          <w:szCs w:val="21"/>
        </w:rPr>
        <w:tab/>
      </w:r>
      <w:r>
        <w:rPr>
          <w:rFonts w:hint="eastAsia" w:ascii="黑体" w:hAnsi="黑体" w:eastAsia="黑体"/>
          <w:szCs w:val="21"/>
        </w:rPr>
        <w:t>在不更换、不手动分离管路下能够实行：</w:t>
      </w:r>
    </w:p>
    <w:p>
      <w:pPr>
        <w:snapToGrid w:val="0"/>
        <w:spacing w:line="360" w:lineRule="auto"/>
        <w:ind w:firstLine="840" w:firstLineChars="400"/>
        <w:rPr>
          <w:rFonts w:ascii="黑体" w:hAnsi="黑体" w:eastAsia="黑体"/>
          <w:szCs w:val="21"/>
        </w:rPr>
      </w:pPr>
      <w:r>
        <w:rPr>
          <w:rFonts w:ascii="黑体" w:hAnsi="黑体" w:eastAsia="黑体"/>
          <w:szCs w:val="21"/>
        </w:rPr>
        <w:t>3.3.1</w:t>
      </w:r>
      <w:r>
        <w:rPr>
          <w:rFonts w:ascii="黑体" w:hAnsi="黑体" w:eastAsia="黑体"/>
          <w:szCs w:val="21"/>
        </w:rPr>
        <w:tab/>
      </w:r>
      <w:r>
        <w:rPr>
          <w:rFonts w:hint="eastAsia" w:ascii="黑体" w:hAnsi="黑体" w:eastAsia="黑体"/>
          <w:szCs w:val="21"/>
        </w:rPr>
        <w:t>前稀释</w:t>
      </w:r>
      <w:r>
        <w:rPr>
          <w:rFonts w:ascii="黑体" w:hAnsi="黑体" w:eastAsia="黑体"/>
          <w:szCs w:val="21"/>
        </w:rPr>
        <w:t>CVVH/CVVHDF</w:t>
      </w:r>
    </w:p>
    <w:p>
      <w:pPr>
        <w:snapToGrid w:val="0"/>
        <w:spacing w:line="360" w:lineRule="auto"/>
        <w:ind w:firstLine="840" w:firstLineChars="400"/>
        <w:rPr>
          <w:rFonts w:ascii="黑体" w:hAnsi="黑体" w:eastAsia="黑体"/>
          <w:szCs w:val="21"/>
        </w:rPr>
      </w:pPr>
      <w:r>
        <w:rPr>
          <w:rFonts w:ascii="黑体" w:hAnsi="黑体" w:eastAsia="黑体"/>
          <w:szCs w:val="21"/>
        </w:rPr>
        <w:t>3.3.2</w:t>
      </w:r>
      <w:r>
        <w:rPr>
          <w:rFonts w:ascii="黑体" w:hAnsi="黑体" w:eastAsia="黑体"/>
          <w:szCs w:val="21"/>
        </w:rPr>
        <w:tab/>
      </w:r>
      <w:r>
        <w:rPr>
          <w:rFonts w:hint="eastAsia" w:ascii="黑体" w:hAnsi="黑体" w:eastAsia="黑体"/>
          <w:szCs w:val="21"/>
        </w:rPr>
        <w:t>后稀释</w:t>
      </w:r>
      <w:r>
        <w:rPr>
          <w:rFonts w:ascii="黑体" w:hAnsi="黑体" w:eastAsia="黑体"/>
          <w:szCs w:val="21"/>
        </w:rPr>
        <w:t>CVVH/CVVHDF</w:t>
      </w:r>
    </w:p>
    <w:p>
      <w:pPr>
        <w:snapToGrid w:val="0"/>
        <w:spacing w:line="360" w:lineRule="auto"/>
        <w:ind w:firstLine="840" w:firstLineChars="400"/>
        <w:rPr>
          <w:rFonts w:ascii="黑体" w:hAnsi="黑体" w:eastAsia="黑体"/>
          <w:szCs w:val="21"/>
        </w:rPr>
      </w:pPr>
      <w:r>
        <w:rPr>
          <w:rFonts w:ascii="黑体" w:hAnsi="黑体" w:eastAsia="黑体"/>
          <w:szCs w:val="21"/>
        </w:rPr>
        <w:t>3.3.3</w:t>
      </w:r>
      <w:r>
        <w:rPr>
          <w:rFonts w:ascii="黑体" w:hAnsi="黑体" w:eastAsia="黑体"/>
          <w:szCs w:val="21"/>
        </w:rPr>
        <w:tab/>
      </w:r>
      <w:r>
        <w:rPr>
          <w:rFonts w:hint="eastAsia" w:ascii="黑体" w:hAnsi="黑体" w:eastAsia="黑体"/>
          <w:szCs w:val="21"/>
        </w:rPr>
        <w:t>前加后稀释</w:t>
      </w:r>
      <w:r>
        <w:rPr>
          <w:rFonts w:ascii="黑体" w:hAnsi="黑体" w:eastAsia="黑体"/>
          <w:szCs w:val="21"/>
        </w:rPr>
        <w:t>CVVH/CVVHDF</w:t>
      </w:r>
    </w:p>
    <w:p>
      <w:pPr>
        <w:snapToGrid w:val="0"/>
        <w:spacing w:line="360" w:lineRule="auto"/>
        <w:ind w:firstLine="420" w:firstLineChars="200"/>
        <w:rPr>
          <w:rFonts w:ascii="黑体" w:hAnsi="黑体" w:eastAsia="黑体"/>
          <w:szCs w:val="21"/>
        </w:rPr>
      </w:pPr>
      <w:r>
        <w:rPr>
          <w:rFonts w:ascii="黑体" w:hAnsi="黑体" w:eastAsia="黑体"/>
          <w:szCs w:val="21"/>
        </w:rPr>
        <w:t>3.4</w:t>
      </w:r>
      <w:r>
        <w:rPr>
          <w:rFonts w:ascii="黑体" w:hAnsi="黑体" w:eastAsia="黑体"/>
          <w:szCs w:val="21"/>
        </w:rPr>
        <w:tab/>
      </w:r>
      <w:r>
        <w:rPr>
          <w:rFonts w:hint="eastAsia" w:ascii="黑体" w:hAnsi="黑体" w:eastAsia="黑体"/>
          <w:szCs w:val="21"/>
        </w:rPr>
        <w:t>抗凝选择：无抗凝、肝素、枸橼酸</w:t>
      </w:r>
      <w:r>
        <w:rPr>
          <w:rFonts w:ascii="黑体" w:hAnsi="黑体" w:eastAsia="黑体"/>
          <w:szCs w:val="21"/>
        </w:rPr>
        <w:t>/</w:t>
      </w:r>
      <w:r>
        <w:rPr>
          <w:rFonts w:hint="eastAsia" w:ascii="黑体" w:hAnsi="黑体" w:eastAsia="黑体"/>
          <w:szCs w:val="21"/>
        </w:rPr>
        <w:t>钙</w:t>
      </w:r>
    </w:p>
    <w:p>
      <w:pPr>
        <w:snapToGrid w:val="0"/>
        <w:spacing w:line="360" w:lineRule="auto"/>
        <w:rPr>
          <w:rFonts w:ascii="黑体" w:hAnsi="黑体" w:eastAsia="黑体"/>
          <w:b/>
          <w:szCs w:val="21"/>
        </w:rPr>
      </w:pPr>
      <w:r>
        <w:rPr>
          <w:rFonts w:ascii="黑体" w:hAnsi="黑体" w:eastAsia="黑体"/>
          <w:b/>
          <w:szCs w:val="21"/>
        </w:rPr>
        <w:t>4</w:t>
      </w:r>
      <w:r>
        <w:rPr>
          <w:rFonts w:hint="eastAsia" w:ascii="黑体" w:hAnsi="黑体" w:eastAsia="黑体"/>
          <w:b/>
          <w:szCs w:val="21"/>
        </w:rPr>
        <w:t>、流速范围</w:t>
      </w:r>
    </w:p>
    <w:p>
      <w:pPr>
        <w:snapToGrid w:val="0"/>
        <w:spacing w:line="360" w:lineRule="auto"/>
        <w:ind w:firstLine="420" w:firstLineChars="200"/>
        <w:rPr>
          <w:rFonts w:ascii="黑体" w:hAnsi="黑体" w:eastAsia="黑体"/>
          <w:szCs w:val="21"/>
        </w:rPr>
      </w:pPr>
      <w:r>
        <w:rPr>
          <w:rFonts w:ascii="黑体" w:hAnsi="黑体" w:eastAsia="黑体"/>
          <w:szCs w:val="21"/>
        </w:rPr>
        <w:t>4.1</w:t>
      </w:r>
      <w:r>
        <w:rPr>
          <w:rFonts w:ascii="黑体" w:hAnsi="黑体" w:eastAsia="黑体"/>
          <w:szCs w:val="21"/>
        </w:rPr>
        <w:tab/>
      </w:r>
      <w:r>
        <w:rPr>
          <w:rFonts w:hint="eastAsia" w:ascii="黑体" w:hAnsi="黑体" w:eastAsia="黑体"/>
          <w:szCs w:val="21"/>
        </w:rPr>
        <w:t>置换液速度：</w:t>
      </w:r>
      <w:r>
        <w:rPr>
          <w:rFonts w:ascii="黑体" w:hAnsi="黑体" w:eastAsia="黑体"/>
          <w:szCs w:val="21"/>
        </w:rPr>
        <w:t xml:space="preserve">0-8000ml/h </w:t>
      </w:r>
      <w:r>
        <w:rPr>
          <w:rFonts w:hint="eastAsia" w:ascii="黑体" w:hAnsi="黑体" w:eastAsia="黑体"/>
          <w:szCs w:val="21"/>
        </w:rPr>
        <w:t>；增幅</w:t>
      </w:r>
      <w:r>
        <w:rPr>
          <w:rFonts w:ascii="黑体" w:hAnsi="黑体" w:eastAsia="黑体"/>
          <w:szCs w:val="21"/>
        </w:rPr>
        <w:t>:20-50ml/h</w:t>
      </w:r>
    </w:p>
    <w:p>
      <w:pPr>
        <w:snapToGrid w:val="0"/>
        <w:spacing w:line="360" w:lineRule="auto"/>
        <w:ind w:firstLine="420" w:firstLineChars="200"/>
        <w:rPr>
          <w:rFonts w:ascii="黑体" w:hAnsi="黑体" w:eastAsia="黑体"/>
          <w:szCs w:val="21"/>
        </w:rPr>
      </w:pPr>
      <w:r>
        <w:rPr>
          <w:rFonts w:ascii="黑体" w:hAnsi="黑体" w:eastAsia="黑体"/>
          <w:szCs w:val="21"/>
        </w:rPr>
        <w:t>4.2</w:t>
      </w:r>
      <w:r>
        <w:rPr>
          <w:rFonts w:ascii="黑体" w:hAnsi="黑体" w:eastAsia="黑体"/>
          <w:szCs w:val="21"/>
        </w:rPr>
        <w:tab/>
      </w:r>
      <w:r>
        <w:rPr>
          <w:rFonts w:hint="eastAsia" w:ascii="黑体" w:hAnsi="黑体" w:eastAsia="黑体"/>
          <w:szCs w:val="21"/>
        </w:rPr>
        <w:t>血液流速：</w:t>
      </w:r>
      <w:r>
        <w:rPr>
          <w:rFonts w:ascii="黑体" w:hAnsi="黑体" w:eastAsia="黑体"/>
          <w:szCs w:val="21"/>
        </w:rPr>
        <w:t>10-450ml/min</w:t>
      </w:r>
      <w:r>
        <w:rPr>
          <w:rFonts w:hint="eastAsia" w:ascii="黑体" w:hAnsi="黑体" w:eastAsia="黑体"/>
          <w:szCs w:val="21"/>
        </w:rPr>
        <w:t>；增幅</w:t>
      </w:r>
      <w:r>
        <w:rPr>
          <w:rFonts w:ascii="黑体" w:hAnsi="黑体" w:eastAsia="黑体"/>
          <w:szCs w:val="21"/>
        </w:rPr>
        <w:t>:2-10ml/min</w:t>
      </w:r>
    </w:p>
    <w:p>
      <w:pPr>
        <w:snapToGrid w:val="0"/>
        <w:spacing w:line="360" w:lineRule="auto"/>
        <w:ind w:firstLine="420" w:firstLineChars="200"/>
        <w:rPr>
          <w:rFonts w:ascii="黑体" w:hAnsi="黑体" w:eastAsia="黑体"/>
          <w:szCs w:val="21"/>
        </w:rPr>
      </w:pPr>
      <w:r>
        <w:rPr>
          <w:rFonts w:ascii="黑体" w:hAnsi="黑体" w:eastAsia="黑体"/>
          <w:szCs w:val="21"/>
        </w:rPr>
        <w:t>4.3</w:t>
      </w:r>
      <w:r>
        <w:rPr>
          <w:rFonts w:ascii="黑体" w:hAnsi="黑体" w:eastAsia="黑体"/>
          <w:szCs w:val="21"/>
        </w:rPr>
        <w:tab/>
      </w:r>
      <w:r>
        <w:rPr>
          <w:rFonts w:hint="eastAsia" w:ascii="黑体" w:hAnsi="黑体" w:eastAsia="黑体"/>
          <w:szCs w:val="21"/>
        </w:rPr>
        <w:t>透析液速度：</w:t>
      </w:r>
      <w:r>
        <w:rPr>
          <w:rFonts w:ascii="黑体" w:hAnsi="黑体" w:eastAsia="黑体"/>
          <w:szCs w:val="21"/>
        </w:rPr>
        <w:t xml:space="preserve"> 0-8000ml/h</w:t>
      </w:r>
      <w:r>
        <w:rPr>
          <w:rFonts w:hint="eastAsia" w:ascii="黑体" w:hAnsi="黑体" w:eastAsia="黑体"/>
          <w:szCs w:val="21"/>
        </w:rPr>
        <w:t>；增幅</w:t>
      </w:r>
      <w:r>
        <w:rPr>
          <w:rFonts w:ascii="黑体" w:hAnsi="黑体" w:eastAsia="黑体"/>
          <w:szCs w:val="21"/>
        </w:rPr>
        <w:t>:50ml/h</w:t>
      </w:r>
    </w:p>
    <w:p>
      <w:pPr>
        <w:snapToGrid w:val="0"/>
        <w:spacing w:line="360" w:lineRule="auto"/>
        <w:ind w:firstLine="420" w:firstLineChars="200"/>
        <w:rPr>
          <w:rFonts w:ascii="黑体" w:hAnsi="黑体" w:eastAsia="黑体"/>
          <w:szCs w:val="21"/>
        </w:rPr>
      </w:pPr>
      <w:r>
        <w:rPr>
          <w:rFonts w:ascii="黑体" w:hAnsi="黑体" w:eastAsia="黑体"/>
          <w:szCs w:val="21"/>
        </w:rPr>
        <w:t>4.4</w:t>
      </w:r>
      <w:r>
        <w:rPr>
          <w:rFonts w:ascii="黑体" w:hAnsi="黑体" w:eastAsia="黑体"/>
          <w:szCs w:val="21"/>
        </w:rPr>
        <w:tab/>
      </w:r>
      <w:r>
        <w:rPr>
          <w:rFonts w:hint="eastAsia" w:ascii="黑体" w:hAnsi="黑体" w:eastAsia="黑体"/>
          <w:szCs w:val="21"/>
        </w:rPr>
        <w:t>废液速度：</w:t>
      </w:r>
      <w:r>
        <w:rPr>
          <w:rFonts w:ascii="黑体" w:hAnsi="黑体" w:eastAsia="黑体"/>
          <w:szCs w:val="21"/>
        </w:rPr>
        <w:t xml:space="preserve">  0-10000ml/h </w:t>
      </w:r>
    </w:p>
    <w:p>
      <w:pPr>
        <w:snapToGrid w:val="0"/>
        <w:spacing w:line="360" w:lineRule="auto"/>
        <w:ind w:firstLine="420" w:firstLineChars="200"/>
        <w:rPr>
          <w:rFonts w:ascii="黑体" w:hAnsi="黑体" w:eastAsia="黑体"/>
          <w:szCs w:val="21"/>
        </w:rPr>
      </w:pPr>
      <w:r>
        <w:rPr>
          <w:rFonts w:ascii="黑体" w:hAnsi="黑体" w:eastAsia="黑体"/>
          <w:szCs w:val="21"/>
        </w:rPr>
        <w:t>4.5</w:t>
      </w:r>
      <w:r>
        <w:rPr>
          <w:rFonts w:ascii="黑体" w:hAnsi="黑体" w:eastAsia="黑体"/>
          <w:szCs w:val="21"/>
        </w:rPr>
        <w:tab/>
      </w:r>
      <w:r>
        <w:rPr>
          <w:rFonts w:hint="eastAsia" w:ascii="黑体" w:hAnsi="黑体" w:eastAsia="黑体"/>
          <w:szCs w:val="21"/>
        </w:rPr>
        <w:t>血泵前泵（</w:t>
      </w:r>
      <w:r>
        <w:rPr>
          <w:rFonts w:ascii="黑体" w:hAnsi="黑体" w:eastAsia="黑体"/>
          <w:szCs w:val="21"/>
        </w:rPr>
        <w:t>PBP</w:t>
      </w:r>
      <w:r>
        <w:rPr>
          <w:rFonts w:hint="eastAsia" w:ascii="黑体" w:hAnsi="黑体" w:eastAsia="黑体"/>
          <w:szCs w:val="21"/>
        </w:rPr>
        <w:t>）：</w:t>
      </w:r>
      <w:r>
        <w:rPr>
          <w:rFonts w:ascii="黑体" w:hAnsi="黑体" w:eastAsia="黑体"/>
          <w:szCs w:val="21"/>
        </w:rPr>
        <w:t>0-4000 ml/min*</w:t>
      </w:r>
    </w:p>
    <w:p>
      <w:pPr>
        <w:snapToGrid w:val="0"/>
        <w:spacing w:line="360" w:lineRule="auto"/>
        <w:ind w:firstLine="420" w:firstLineChars="200"/>
        <w:rPr>
          <w:rFonts w:ascii="黑体" w:hAnsi="黑体" w:eastAsia="黑体"/>
          <w:szCs w:val="21"/>
        </w:rPr>
      </w:pPr>
      <w:r>
        <w:rPr>
          <w:rFonts w:ascii="黑体" w:hAnsi="黑体" w:eastAsia="黑体"/>
          <w:szCs w:val="21"/>
        </w:rPr>
        <w:t>4.6</w:t>
      </w:r>
      <w:r>
        <w:rPr>
          <w:rFonts w:ascii="黑体" w:hAnsi="黑体" w:eastAsia="黑体"/>
          <w:szCs w:val="21"/>
        </w:rPr>
        <w:tab/>
      </w:r>
      <w:r>
        <w:rPr>
          <w:rFonts w:hint="eastAsia" w:ascii="黑体" w:hAnsi="黑体" w:eastAsia="黑体"/>
          <w:szCs w:val="21"/>
        </w:rPr>
        <w:t>患者脱水：</w:t>
      </w:r>
      <w:r>
        <w:rPr>
          <w:rFonts w:ascii="黑体" w:hAnsi="黑体" w:eastAsia="黑体"/>
          <w:szCs w:val="21"/>
        </w:rPr>
        <w:t>0-2000 ml/h</w:t>
      </w:r>
      <w:r>
        <w:rPr>
          <w:rFonts w:hint="eastAsia" w:ascii="黑体" w:hAnsi="黑体" w:eastAsia="黑体"/>
          <w:szCs w:val="21"/>
        </w:rPr>
        <w:t>；增幅：</w:t>
      </w:r>
      <w:r>
        <w:rPr>
          <w:rFonts w:ascii="黑体" w:hAnsi="黑体" w:eastAsia="黑体"/>
          <w:szCs w:val="21"/>
        </w:rPr>
        <w:t>5-10 ml/min</w:t>
      </w:r>
    </w:p>
    <w:p>
      <w:pPr>
        <w:snapToGrid w:val="0"/>
        <w:spacing w:line="360" w:lineRule="auto"/>
        <w:ind w:firstLine="420" w:firstLineChars="200"/>
        <w:rPr>
          <w:rFonts w:ascii="黑体" w:hAnsi="黑体" w:eastAsia="黑体"/>
          <w:szCs w:val="21"/>
        </w:rPr>
      </w:pPr>
      <w:r>
        <w:rPr>
          <w:rFonts w:ascii="黑体" w:hAnsi="黑体" w:eastAsia="黑体"/>
          <w:szCs w:val="21"/>
        </w:rPr>
        <w:t>4.7</w:t>
      </w:r>
      <w:r>
        <w:rPr>
          <w:rFonts w:ascii="黑体" w:hAnsi="黑体" w:eastAsia="黑体"/>
          <w:szCs w:val="21"/>
        </w:rPr>
        <w:tab/>
      </w:r>
      <w:r>
        <w:rPr>
          <w:rFonts w:hint="eastAsia" w:ascii="黑体" w:hAnsi="黑体" w:eastAsia="黑体"/>
          <w:szCs w:val="21"/>
        </w:rPr>
        <w:t>精确度：</w:t>
      </w:r>
      <w:r>
        <w:rPr>
          <w:rFonts w:ascii="黑体" w:hAnsi="黑体" w:eastAsia="黑体"/>
          <w:szCs w:val="21"/>
        </w:rPr>
        <w:t>±10%</w:t>
      </w:r>
    </w:p>
    <w:p>
      <w:pPr>
        <w:snapToGrid w:val="0"/>
        <w:spacing w:line="360" w:lineRule="auto"/>
        <w:rPr>
          <w:rFonts w:ascii="黑体" w:hAnsi="黑体" w:eastAsia="黑体"/>
          <w:b/>
          <w:szCs w:val="21"/>
        </w:rPr>
      </w:pPr>
      <w:r>
        <w:rPr>
          <w:rFonts w:ascii="黑体" w:hAnsi="黑体" w:eastAsia="黑体"/>
          <w:b/>
          <w:szCs w:val="21"/>
        </w:rPr>
        <w:t>5</w:t>
      </w:r>
      <w:r>
        <w:rPr>
          <w:rFonts w:hint="eastAsia" w:ascii="黑体" w:hAnsi="黑体" w:eastAsia="黑体"/>
          <w:b/>
          <w:szCs w:val="21"/>
        </w:rPr>
        <w:t>、压力监测范围</w:t>
      </w:r>
    </w:p>
    <w:p>
      <w:pPr>
        <w:snapToGrid w:val="0"/>
        <w:spacing w:line="360" w:lineRule="auto"/>
        <w:ind w:firstLine="420" w:firstLineChars="200"/>
        <w:rPr>
          <w:rFonts w:ascii="黑体" w:hAnsi="黑体" w:eastAsia="黑体"/>
          <w:szCs w:val="21"/>
        </w:rPr>
      </w:pPr>
      <w:r>
        <w:rPr>
          <w:rFonts w:ascii="黑体" w:hAnsi="黑体" w:eastAsia="黑体"/>
          <w:szCs w:val="21"/>
        </w:rPr>
        <w:t>5.1</w:t>
      </w:r>
      <w:r>
        <w:rPr>
          <w:rFonts w:ascii="黑体" w:hAnsi="黑体" w:eastAsia="黑体"/>
          <w:szCs w:val="21"/>
        </w:rPr>
        <w:tab/>
      </w:r>
      <w:r>
        <w:rPr>
          <w:rFonts w:hint="eastAsia" w:ascii="黑体" w:hAnsi="黑体" w:eastAsia="黑体"/>
          <w:szCs w:val="21"/>
        </w:rPr>
        <w:t>精确度：</w:t>
      </w:r>
      <w:r>
        <w:rPr>
          <w:rFonts w:ascii="黑体" w:hAnsi="黑体" w:eastAsia="黑体"/>
          <w:szCs w:val="21"/>
        </w:rPr>
        <w:t>±10%</w:t>
      </w:r>
    </w:p>
    <w:p>
      <w:pPr>
        <w:snapToGrid w:val="0"/>
        <w:spacing w:line="360" w:lineRule="auto"/>
        <w:ind w:firstLine="840" w:firstLineChars="400"/>
        <w:rPr>
          <w:rFonts w:ascii="黑体" w:hAnsi="黑体" w:eastAsia="黑体"/>
          <w:szCs w:val="21"/>
        </w:rPr>
      </w:pPr>
      <w:r>
        <w:rPr>
          <w:rFonts w:ascii="黑体" w:hAnsi="黑体" w:eastAsia="黑体"/>
          <w:szCs w:val="21"/>
        </w:rPr>
        <w:t>5.1.1</w:t>
      </w:r>
      <w:r>
        <w:rPr>
          <w:rFonts w:ascii="黑体" w:hAnsi="黑体" w:eastAsia="黑体"/>
          <w:szCs w:val="21"/>
        </w:rPr>
        <w:tab/>
      </w:r>
      <w:r>
        <w:rPr>
          <w:rFonts w:hint="eastAsia" w:ascii="黑体" w:hAnsi="黑体" w:eastAsia="黑体"/>
          <w:szCs w:val="21"/>
        </w:rPr>
        <w:t>输入压：</w:t>
      </w:r>
      <w:r>
        <w:rPr>
          <w:rFonts w:ascii="黑体" w:hAnsi="黑体" w:eastAsia="黑体"/>
          <w:szCs w:val="21"/>
        </w:rPr>
        <w:t>-250- +450 mmHg</w:t>
      </w:r>
      <w:r>
        <w:rPr>
          <w:rFonts w:hint="eastAsia" w:ascii="黑体" w:hAnsi="黑体" w:eastAsia="黑体"/>
          <w:szCs w:val="21"/>
        </w:rPr>
        <w:t>，精准度：</w:t>
      </w:r>
      <w:r>
        <w:rPr>
          <w:rFonts w:ascii="黑体" w:hAnsi="黑体" w:eastAsia="黑体"/>
          <w:szCs w:val="21"/>
        </w:rPr>
        <w:t>+/- 15 mmHg</w:t>
      </w:r>
    </w:p>
    <w:p>
      <w:pPr>
        <w:snapToGrid w:val="0"/>
        <w:spacing w:line="360" w:lineRule="auto"/>
        <w:ind w:firstLine="840" w:firstLineChars="400"/>
        <w:rPr>
          <w:rFonts w:ascii="黑体" w:hAnsi="黑体" w:eastAsia="黑体"/>
          <w:szCs w:val="21"/>
        </w:rPr>
      </w:pPr>
      <w:r>
        <w:rPr>
          <w:rFonts w:ascii="黑体" w:hAnsi="黑体" w:eastAsia="黑体"/>
          <w:szCs w:val="21"/>
        </w:rPr>
        <w:t>5.1.2</w:t>
      </w:r>
      <w:r>
        <w:rPr>
          <w:rFonts w:ascii="黑体" w:hAnsi="黑体" w:eastAsia="黑体"/>
          <w:szCs w:val="21"/>
        </w:rPr>
        <w:tab/>
      </w:r>
      <w:r>
        <w:rPr>
          <w:rFonts w:hint="eastAsia" w:ascii="黑体" w:hAnsi="黑体" w:eastAsia="黑体"/>
          <w:szCs w:val="21"/>
        </w:rPr>
        <w:t>回输压：</w:t>
      </w:r>
      <w:r>
        <w:rPr>
          <w:rFonts w:ascii="黑体" w:hAnsi="黑体" w:eastAsia="黑体"/>
          <w:szCs w:val="21"/>
        </w:rPr>
        <w:t>-50- +350 mmHg</w:t>
      </w:r>
      <w:r>
        <w:rPr>
          <w:rFonts w:hint="eastAsia" w:ascii="黑体" w:hAnsi="黑体" w:eastAsia="黑体"/>
          <w:szCs w:val="21"/>
        </w:rPr>
        <w:t>，精准度：</w:t>
      </w:r>
      <w:r>
        <w:rPr>
          <w:rFonts w:ascii="黑体" w:hAnsi="黑体" w:eastAsia="黑体"/>
          <w:szCs w:val="21"/>
        </w:rPr>
        <w:t>+/- 5 mmHg</w:t>
      </w:r>
    </w:p>
    <w:p>
      <w:pPr>
        <w:snapToGrid w:val="0"/>
        <w:spacing w:line="360" w:lineRule="auto"/>
        <w:ind w:firstLine="840" w:firstLineChars="400"/>
        <w:rPr>
          <w:rFonts w:ascii="黑体" w:hAnsi="黑体" w:eastAsia="黑体"/>
          <w:szCs w:val="21"/>
        </w:rPr>
      </w:pPr>
      <w:r>
        <w:rPr>
          <w:rFonts w:ascii="黑体" w:hAnsi="黑体" w:eastAsia="黑体"/>
          <w:szCs w:val="21"/>
        </w:rPr>
        <w:t>5.1.3</w:t>
      </w:r>
      <w:r>
        <w:rPr>
          <w:rFonts w:ascii="黑体" w:hAnsi="黑体" w:eastAsia="黑体"/>
          <w:szCs w:val="21"/>
        </w:rPr>
        <w:tab/>
      </w:r>
      <w:r>
        <w:rPr>
          <w:rFonts w:hint="eastAsia" w:ascii="黑体" w:hAnsi="黑体" w:eastAsia="黑体"/>
          <w:szCs w:val="21"/>
        </w:rPr>
        <w:t>滤器压：</w:t>
      </w:r>
      <w:r>
        <w:rPr>
          <w:rFonts w:ascii="黑体" w:hAnsi="黑体" w:eastAsia="黑体"/>
          <w:szCs w:val="21"/>
        </w:rPr>
        <w:t>-50- +450 mmHg</w:t>
      </w:r>
      <w:r>
        <w:rPr>
          <w:rFonts w:hint="eastAsia" w:ascii="黑体" w:hAnsi="黑体" w:eastAsia="黑体"/>
          <w:szCs w:val="21"/>
        </w:rPr>
        <w:t>，精准度：</w:t>
      </w:r>
      <w:r>
        <w:rPr>
          <w:rFonts w:ascii="黑体" w:hAnsi="黑体" w:eastAsia="黑体"/>
          <w:szCs w:val="21"/>
        </w:rPr>
        <w:t>+/- 15 mmHg</w:t>
      </w:r>
    </w:p>
    <w:p>
      <w:pPr>
        <w:snapToGrid w:val="0"/>
        <w:spacing w:line="360" w:lineRule="auto"/>
        <w:ind w:firstLine="840" w:firstLineChars="400"/>
        <w:rPr>
          <w:rFonts w:ascii="黑体" w:hAnsi="黑体" w:eastAsia="黑体"/>
          <w:szCs w:val="21"/>
        </w:rPr>
      </w:pPr>
      <w:r>
        <w:rPr>
          <w:rFonts w:ascii="黑体" w:hAnsi="黑体" w:eastAsia="黑体"/>
          <w:szCs w:val="21"/>
        </w:rPr>
        <w:t>5.1.4</w:t>
      </w:r>
      <w:r>
        <w:rPr>
          <w:rFonts w:ascii="黑体" w:hAnsi="黑体" w:eastAsia="黑体"/>
          <w:szCs w:val="21"/>
        </w:rPr>
        <w:tab/>
      </w:r>
      <w:r>
        <w:rPr>
          <w:rFonts w:hint="eastAsia" w:ascii="黑体" w:hAnsi="黑体" w:eastAsia="黑体"/>
          <w:szCs w:val="21"/>
        </w:rPr>
        <w:t>废液压：</w:t>
      </w:r>
      <w:r>
        <w:rPr>
          <w:rFonts w:ascii="黑体" w:hAnsi="黑体" w:eastAsia="黑体"/>
          <w:szCs w:val="21"/>
        </w:rPr>
        <w:t>-350- +400 mmHg</w:t>
      </w:r>
      <w:r>
        <w:rPr>
          <w:rFonts w:hint="eastAsia" w:ascii="黑体" w:hAnsi="黑体" w:eastAsia="黑体"/>
          <w:szCs w:val="21"/>
        </w:rPr>
        <w:t>，精准度：</w:t>
      </w:r>
      <w:r>
        <w:rPr>
          <w:rFonts w:ascii="黑体" w:hAnsi="黑体" w:eastAsia="黑体"/>
          <w:szCs w:val="21"/>
        </w:rPr>
        <w:t>+/- 15 mmHg</w:t>
      </w:r>
    </w:p>
    <w:p>
      <w:pPr>
        <w:snapToGrid w:val="0"/>
        <w:spacing w:line="360" w:lineRule="auto"/>
        <w:rPr>
          <w:rFonts w:ascii="黑体" w:hAnsi="黑体" w:eastAsia="黑体"/>
          <w:b/>
          <w:szCs w:val="21"/>
        </w:rPr>
      </w:pPr>
      <w:r>
        <w:rPr>
          <w:rFonts w:ascii="黑体" w:hAnsi="黑体" w:eastAsia="黑体"/>
          <w:b/>
          <w:szCs w:val="21"/>
        </w:rPr>
        <w:t>6</w:t>
      </w:r>
      <w:r>
        <w:rPr>
          <w:rFonts w:hint="eastAsia" w:ascii="黑体" w:hAnsi="黑体" w:eastAsia="黑体"/>
          <w:b/>
          <w:szCs w:val="21"/>
        </w:rPr>
        <w:t>、液体控制</w:t>
      </w:r>
      <w:r>
        <w:rPr>
          <w:rFonts w:ascii="黑体" w:hAnsi="黑体" w:eastAsia="黑体"/>
          <w:b/>
          <w:szCs w:val="21"/>
        </w:rPr>
        <w:t xml:space="preserve"> </w:t>
      </w:r>
    </w:p>
    <w:p>
      <w:pPr>
        <w:snapToGrid w:val="0"/>
        <w:spacing w:line="360" w:lineRule="auto"/>
        <w:ind w:firstLine="420" w:firstLineChars="200"/>
        <w:rPr>
          <w:rFonts w:ascii="黑体" w:hAnsi="黑体" w:eastAsia="黑体"/>
          <w:szCs w:val="21"/>
        </w:rPr>
      </w:pPr>
      <w:r>
        <w:rPr>
          <w:rFonts w:ascii="黑体" w:hAnsi="黑体" w:eastAsia="黑体"/>
          <w:szCs w:val="21"/>
        </w:rPr>
        <w:t>6.1</w:t>
      </w:r>
      <w:r>
        <w:rPr>
          <w:rFonts w:ascii="黑体" w:hAnsi="黑体" w:eastAsia="黑体"/>
          <w:szCs w:val="21"/>
        </w:rPr>
        <w:tab/>
      </w:r>
      <w:r>
        <w:rPr>
          <w:rFonts w:hint="eastAsia" w:ascii="黑体" w:hAnsi="黑体" w:eastAsia="黑体"/>
          <w:szCs w:val="21"/>
        </w:rPr>
        <w:t>液体平衡秤：</w:t>
      </w:r>
    </w:p>
    <w:p>
      <w:pPr>
        <w:snapToGrid w:val="0"/>
        <w:spacing w:line="360" w:lineRule="auto"/>
        <w:ind w:left="1472" w:leftChars="400" w:hanging="632" w:hangingChars="300"/>
        <w:rPr>
          <w:rFonts w:ascii="黑体" w:hAnsi="黑体" w:eastAsia="黑体"/>
          <w:b/>
          <w:bCs/>
          <w:szCs w:val="21"/>
        </w:rPr>
      </w:pPr>
      <w:r>
        <w:rPr>
          <w:rFonts w:ascii="黑体" w:hAnsi="黑体" w:eastAsia="黑体"/>
          <w:b/>
          <w:bCs/>
          <w:szCs w:val="21"/>
        </w:rPr>
        <w:t>6.1.1</w:t>
      </w:r>
      <w:r>
        <w:rPr>
          <w:rFonts w:ascii="黑体" w:hAnsi="黑体" w:eastAsia="黑体"/>
          <w:b/>
          <w:bCs/>
          <w:szCs w:val="21"/>
        </w:rPr>
        <w:tab/>
      </w:r>
      <w:r>
        <w:rPr>
          <w:rFonts w:ascii="黑体" w:hAnsi="黑体" w:eastAsia="黑体"/>
          <w:b/>
          <w:bCs/>
          <w:szCs w:val="21"/>
        </w:rPr>
        <w:t>▲</w:t>
      </w:r>
      <w:r>
        <w:rPr>
          <w:rFonts w:hint="eastAsia" w:ascii="黑体" w:hAnsi="黑体" w:eastAsia="黑体"/>
          <w:b/>
          <w:bCs/>
          <w:szCs w:val="21"/>
        </w:rPr>
        <w:t>具备</w:t>
      </w:r>
      <w:r>
        <w:rPr>
          <w:rFonts w:ascii="黑体" w:hAnsi="黑体" w:eastAsia="黑体"/>
          <w:b/>
          <w:bCs/>
          <w:szCs w:val="21"/>
        </w:rPr>
        <w:t>4</w:t>
      </w:r>
      <w:r>
        <w:rPr>
          <w:rFonts w:hint="eastAsia" w:ascii="黑体" w:hAnsi="黑体" w:eastAsia="黑体"/>
          <w:b/>
          <w:bCs/>
          <w:szCs w:val="21"/>
        </w:rPr>
        <w:t>个重力电子秤，分别监测透析量、置换液、血泵前输液的使用和排出的废液量；</w:t>
      </w:r>
    </w:p>
    <w:p>
      <w:pPr>
        <w:snapToGrid w:val="0"/>
        <w:spacing w:line="360" w:lineRule="auto"/>
        <w:ind w:firstLine="840" w:firstLineChars="400"/>
        <w:rPr>
          <w:rFonts w:ascii="黑体" w:hAnsi="黑体" w:eastAsia="黑体"/>
          <w:szCs w:val="21"/>
        </w:rPr>
      </w:pPr>
      <w:r>
        <w:rPr>
          <w:rFonts w:ascii="黑体" w:hAnsi="黑体" w:eastAsia="黑体"/>
          <w:szCs w:val="21"/>
        </w:rPr>
        <w:t>6.1.2</w:t>
      </w:r>
      <w:r>
        <w:rPr>
          <w:rFonts w:ascii="黑体" w:hAnsi="黑体" w:eastAsia="黑体"/>
          <w:szCs w:val="21"/>
        </w:rPr>
        <w:tab/>
      </w:r>
      <w:r>
        <w:rPr>
          <w:rFonts w:hint="eastAsia" w:ascii="黑体" w:hAnsi="黑体" w:eastAsia="黑体"/>
          <w:szCs w:val="21"/>
        </w:rPr>
        <w:t>称重范围：</w:t>
      </w:r>
      <w:r>
        <w:rPr>
          <w:rFonts w:ascii="黑体" w:hAnsi="黑体" w:eastAsia="黑体"/>
          <w:szCs w:val="21"/>
        </w:rPr>
        <w:t>0-11kg</w:t>
      </w:r>
      <w:r>
        <w:rPr>
          <w:rFonts w:hint="eastAsia" w:ascii="黑体" w:hAnsi="黑体" w:eastAsia="黑体"/>
          <w:szCs w:val="21"/>
        </w:rPr>
        <w:t>；误差：</w:t>
      </w:r>
      <w:r>
        <w:rPr>
          <w:rFonts w:ascii="黑体" w:hAnsi="黑体" w:eastAsia="黑体"/>
          <w:szCs w:val="21"/>
        </w:rPr>
        <w:t xml:space="preserve">±7 g </w:t>
      </w:r>
      <w:r>
        <w:rPr>
          <w:rFonts w:hint="eastAsia" w:ascii="黑体" w:hAnsi="黑体" w:eastAsia="黑体"/>
          <w:szCs w:val="21"/>
        </w:rPr>
        <w:t>（</w:t>
      </w:r>
      <w:r>
        <w:rPr>
          <w:rFonts w:ascii="黑体" w:hAnsi="黑体" w:eastAsia="黑体"/>
          <w:szCs w:val="21"/>
        </w:rPr>
        <w:t>5200 g</w:t>
      </w:r>
      <w:r>
        <w:rPr>
          <w:rFonts w:hint="eastAsia" w:ascii="黑体" w:hAnsi="黑体" w:eastAsia="黑体"/>
          <w:szCs w:val="21"/>
        </w:rPr>
        <w:t>）</w:t>
      </w:r>
      <w:r>
        <w:rPr>
          <w:rFonts w:ascii="黑体" w:hAnsi="黑体" w:eastAsia="黑体"/>
          <w:szCs w:val="21"/>
        </w:rPr>
        <w:t xml:space="preserve"> </w:t>
      </w:r>
      <w:r>
        <w:rPr>
          <w:rFonts w:hint="eastAsia" w:ascii="黑体" w:hAnsi="黑体" w:eastAsia="黑体"/>
          <w:szCs w:val="21"/>
        </w:rPr>
        <w:t>偏差值：</w:t>
      </w:r>
      <w:r>
        <w:rPr>
          <w:rFonts w:ascii="黑体" w:hAnsi="黑体" w:eastAsia="黑体"/>
          <w:szCs w:val="21"/>
        </w:rPr>
        <w:t>± 0.14%</w:t>
      </w:r>
      <w:r>
        <w:rPr>
          <w:rFonts w:hint="eastAsia" w:ascii="黑体" w:hAnsi="黑体" w:eastAsia="黑体"/>
          <w:szCs w:val="21"/>
        </w:rPr>
        <w:t>；</w:t>
      </w:r>
    </w:p>
    <w:p>
      <w:pPr>
        <w:snapToGrid w:val="0"/>
        <w:spacing w:line="360" w:lineRule="auto"/>
        <w:ind w:firstLine="420" w:firstLineChars="200"/>
        <w:rPr>
          <w:rFonts w:ascii="黑体" w:hAnsi="黑体" w:eastAsia="黑体"/>
          <w:szCs w:val="21"/>
        </w:rPr>
      </w:pPr>
      <w:r>
        <w:rPr>
          <w:rFonts w:ascii="黑体" w:hAnsi="黑体" w:eastAsia="黑体"/>
          <w:szCs w:val="21"/>
        </w:rPr>
        <w:t>6.2</w:t>
      </w:r>
      <w:r>
        <w:rPr>
          <w:rFonts w:ascii="黑体" w:hAnsi="黑体" w:eastAsia="黑体"/>
          <w:szCs w:val="21"/>
        </w:rPr>
        <w:tab/>
      </w:r>
      <w:r>
        <w:rPr>
          <w:rFonts w:hint="eastAsia" w:ascii="黑体" w:hAnsi="黑体" w:eastAsia="黑体"/>
          <w:szCs w:val="21"/>
        </w:rPr>
        <w:t>直接静脉血液加温，避免产生气泡。</w:t>
      </w:r>
    </w:p>
    <w:p>
      <w:pPr>
        <w:snapToGrid w:val="0"/>
        <w:spacing w:line="360" w:lineRule="auto"/>
        <w:rPr>
          <w:rFonts w:ascii="黑体" w:hAnsi="黑体" w:eastAsia="黑体"/>
          <w:b/>
          <w:szCs w:val="21"/>
        </w:rPr>
      </w:pPr>
      <w:r>
        <w:rPr>
          <w:rFonts w:ascii="黑体" w:hAnsi="黑体" w:eastAsia="黑体"/>
          <w:b/>
          <w:szCs w:val="21"/>
        </w:rPr>
        <w:t>7</w:t>
      </w:r>
      <w:r>
        <w:rPr>
          <w:rFonts w:hint="eastAsia" w:ascii="黑体" w:hAnsi="黑体" w:eastAsia="黑体"/>
          <w:b/>
          <w:szCs w:val="21"/>
        </w:rPr>
        <w:t>、报警及安全系统</w:t>
      </w:r>
      <w:r>
        <w:rPr>
          <w:rFonts w:ascii="黑体" w:hAnsi="黑体" w:eastAsia="黑体"/>
          <w:b/>
          <w:szCs w:val="21"/>
        </w:rPr>
        <w:t xml:space="preserve"> </w:t>
      </w:r>
    </w:p>
    <w:p>
      <w:pPr>
        <w:snapToGrid w:val="0"/>
        <w:spacing w:line="360" w:lineRule="auto"/>
        <w:ind w:firstLine="420" w:firstLineChars="200"/>
        <w:rPr>
          <w:rFonts w:ascii="黑体" w:hAnsi="黑体" w:eastAsia="黑体"/>
          <w:szCs w:val="21"/>
        </w:rPr>
      </w:pPr>
      <w:r>
        <w:rPr>
          <w:rFonts w:ascii="黑体" w:hAnsi="黑体" w:eastAsia="黑体"/>
          <w:szCs w:val="21"/>
        </w:rPr>
        <w:t>7.1</w:t>
      </w:r>
      <w:r>
        <w:rPr>
          <w:rFonts w:ascii="黑体" w:hAnsi="黑体" w:eastAsia="黑体"/>
          <w:szCs w:val="21"/>
        </w:rPr>
        <w:tab/>
      </w:r>
      <w:r>
        <w:rPr>
          <w:rFonts w:hint="eastAsia" w:ascii="黑体" w:hAnsi="黑体" w:eastAsia="黑体"/>
          <w:szCs w:val="21"/>
        </w:rPr>
        <w:t>具备</w:t>
      </w:r>
      <w:r>
        <w:rPr>
          <w:rFonts w:ascii="黑体" w:hAnsi="黑体" w:eastAsia="黑体"/>
          <w:szCs w:val="21"/>
        </w:rPr>
        <w:t>5</w:t>
      </w:r>
      <w:r>
        <w:rPr>
          <w:rFonts w:hint="eastAsia" w:ascii="黑体" w:hAnsi="黑体" w:eastAsia="黑体"/>
          <w:szCs w:val="21"/>
        </w:rPr>
        <w:t>个压力传感器；</w:t>
      </w:r>
    </w:p>
    <w:p>
      <w:pPr>
        <w:snapToGrid w:val="0"/>
        <w:spacing w:line="360" w:lineRule="auto"/>
        <w:ind w:firstLine="420" w:firstLineChars="200"/>
        <w:rPr>
          <w:rFonts w:ascii="黑体" w:hAnsi="黑体" w:eastAsia="黑体"/>
          <w:szCs w:val="21"/>
        </w:rPr>
      </w:pPr>
      <w:r>
        <w:rPr>
          <w:rFonts w:ascii="黑体" w:hAnsi="黑体" w:eastAsia="黑体"/>
          <w:szCs w:val="21"/>
        </w:rPr>
        <w:t>7.2</w:t>
      </w:r>
      <w:r>
        <w:rPr>
          <w:rFonts w:ascii="黑体" w:hAnsi="黑体" w:eastAsia="黑体"/>
          <w:szCs w:val="21"/>
        </w:rPr>
        <w:tab/>
      </w:r>
      <w:r>
        <w:rPr>
          <w:rFonts w:hint="eastAsia" w:ascii="黑体" w:hAnsi="黑体" w:eastAsia="黑体"/>
          <w:szCs w:val="21"/>
        </w:rPr>
        <w:t>按钮式回路静脉排气壶液面高度调节和自动排气，全血路包括排气壶无气</w:t>
      </w:r>
      <w:r>
        <w:rPr>
          <w:rFonts w:ascii="黑体" w:hAnsi="黑体" w:eastAsia="黑体"/>
          <w:szCs w:val="21"/>
        </w:rPr>
        <w:t>-</w:t>
      </w:r>
      <w:r>
        <w:rPr>
          <w:rFonts w:hint="eastAsia" w:ascii="黑体" w:hAnsi="黑体" w:eastAsia="黑体"/>
          <w:szCs w:val="21"/>
        </w:rPr>
        <w:t>血界面处理技术，降低凝血风险；</w:t>
      </w:r>
    </w:p>
    <w:p>
      <w:pPr>
        <w:snapToGrid w:val="0"/>
        <w:spacing w:line="360" w:lineRule="auto"/>
        <w:ind w:firstLine="420" w:firstLineChars="200"/>
        <w:rPr>
          <w:rFonts w:ascii="黑体" w:hAnsi="黑体" w:eastAsia="黑体"/>
          <w:szCs w:val="21"/>
        </w:rPr>
      </w:pPr>
      <w:r>
        <w:rPr>
          <w:rFonts w:ascii="黑体" w:hAnsi="黑体" w:eastAsia="黑体"/>
          <w:szCs w:val="21"/>
        </w:rPr>
        <w:t>7.3</w:t>
      </w:r>
      <w:r>
        <w:rPr>
          <w:rFonts w:ascii="黑体" w:hAnsi="黑体" w:eastAsia="黑体"/>
          <w:szCs w:val="21"/>
        </w:rPr>
        <w:tab/>
      </w:r>
      <w:r>
        <w:rPr>
          <w:rFonts w:hint="eastAsia" w:ascii="黑体" w:hAnsi="黑体" w:eastAsia="黑体"/>
          <w:szCs w:val="21"/>
        </w:rPr>
        <w:t>抗静电装置，避免对</w:t>
      </w:r>
      <w:r>
        <w:rPr>
          <w:rFonts w:ascii="黑体" w:hAnsi="黑体" w:eastAsia="黑体"/>
          <w:szCs w:val="21"/>
        </w:rPr>
        <w:t>ECG</w:t>
      </w:r>
      <w:r>
        <w:rPr>
          <w:rFonts w:hint="eastAsia" w:ascii="黑体" w:hAnsi="黑体" w:eastAsia="黑体"/>
          <w:szCs w:val="21"/>
        </w:rPr>
        <w:t>、监护仪的干扰；</w:t>
      </w:r>
    </w:p>
    <w:p>
      <w:pPr>
        <w:snapToGrid w:val="0"/>
        <w:spacing w:line="360" w:lineRule="auto"/>
        <w:ind w:firstLine="420" w:firstLineChars="200"/>
        <w:rPr>
          <w:rFonts w:ascii="黑体" w:hAnsi="黑体" w:eastAsia="黑体"/>
          <w:szCs w:val="21"/>
        </w:rPr>
      </w:pPr>
      <w:r>
        <w:rPr>
          <w:rFonts w:ascii="黑体" w:hAnsi="黑体" w:eastAsia="黑体"/>
          <w:szCs w:val="21"/>
        </w:rPr>
        <w:t>7.4</w:t>
      </w:r>
      <w:r>
        <w:rPr>
          <w:rFonts w:ascii="黑体" w:hAnsi="黑体" w:eastAsia="黑体"/>
          <w:szCs w:val="21"/>
        </w:rPr>
        <w:tab/>
      </w:r>
      <w:r>
        <w:rPr>
          <w:rFonts w:hint="eastAsia" w:ascii="黑体" w:hAnsi="黑体" w:eastAsia="黑体"/>
          <w:szCs w:val="21"/>
        </w:rPr>
        <w:t>可临时中断循环程序，以适合危重病人；</w:t>
      </w:r>
    </w:p>
    <w:p>
      <w:pPr>
        <w:snapToGrid w:val="0"/>
        <w:spacing w:line="360" w:lineRule="auto"/>
        <w:ind w:firstLine="420" w:firstLineChars="200"/>
        <w:rPr>
          <w:rFonts w:ascii="黑体" w:hAnsi="黑体" w:eastAsia="黑体"/>
          <w:szCs w:val="21"/>
        </w:rPr>
      </w:pPr>
      <w:r>
        <w:rPr>
          <w:rFonts w:ascii="黑体" w:hAnsi="黑体" w:eastAsia="黑体"/>
          <w:szCs w:val="21"/>
        </w:rPr>
        <w:t>7.5</w:t>
      </w:r>
      <w:r>
        <w:rPr>
          <w:rFonts w:ascii="黑体" w:hAnsi="黑体" w:eastAsia="黑体"/>
          <w:szCs w:val="21"/>
        </w:rPr>
        <w:tab/>
      </w:r>
      <w:r>
        <w:rPr>
          <w:rFonts w:hint="eastAsia" w:ascii="黑体" w:hAnsi="黑体" w:eastAsia="黑体"/>
          <w:szCs w:val="21"/>
        </w:rPr>
        <w:t>连续对比监测、自动判断、分级提示和报警滤器的血凝状况，并提供解决建议，优化设计减少误报警；</w:t>
      </w:r>
    </w:p>
    <w:p>
      <w:pPr>
        <w:snapToGrid w:val="0"/>
        <w:spacing w:line="360" w:lineRule="auto"/>
        <w:ind w:firstLine="420" w:firstLineChars="200"/>
        <w:rPr>
          <w:rFonts w:ascii="黑体" w:hAnsi="黑体" w:eastAsia="黑体"/>
          <w:szCs w:val="21"/>
        </w:rPr>
      </w:pPr>
      <w:r>
        <w:rPr>
          <w:rFonts w:ascii="黑体" w:hAnsi="黑体" w:eastAsia="黑体"/>
          <w:szCs w:val="21"/>
        </w:rPr>
        <w:t>7.6</w:t>
      </w:r>
      <w:r>
        <w:rPr>
          <w:rFonts w:ascii="黑体" w:hAnsi="黑体" w:eastAsia="黑体"/>
          <w:szCs w:val="21"/>
        </w:rPr>
        <w:tab/>
      </w:r>
      <w:r>
        <w:rPr>
          <w:rFonts w:hint="eastAsia" w:ascii="黑体" w:hAnsi="黑体" w:eastAsia="黑体"/>
          <w:szCs w:val="21"/>
        </w:rPr>
        <w:t>漏血探测器；当废液流速低于</w:t>
      </w:r>
      <w:r>
        <w:rPr>
          <w:rFonts w:ascii="黑体" w:hAnsi="黑体" w:eastAsia="黑体"/>
          <w:szCs w:val="21"/>
        </w:rPr>
        <w:t>5500 ml/h</w:t>
      </w:r>
      <w:r>
        <w:rPr>
          <w:rFonts w:hint="eastAsia" w:ascii="黑体" w:hAnsi="黑体" w:eastAsia="黑体"/>
          <w:szCs w:val="21"/>
        </w:rPr>
        <w:t>时，</w:t>
      </w:r>
      <w:r>
        <w:rPr>
          <w:rFonts w:ascii="黑体" w:hAnsi="黑体" w:eastAsia="黑体"/>
          <w:szCs w:val="21"/>
        </w:rPr>
        <w:t>Hct25%</w:t>
      </w:r>
      <w:r>
        <w:rPr>
          <w:rFonts w:hint="eastAsia" w:ascii="黑体" w:hAnsi="黑体" w:eastAsia="黑体"/>
          <w:szCs w:val="21"/>
        </w:rPr>
        <w:t>，</w:t>
      </w:r>
      <w:r>
        <w:rPr>
          <w:rFonts w:ascii="黑体" w:hAnsi="黑体" w:eastAsia="黑体"/>
          <w:szCs w:val="21"/>
        </w:rPr>
        <w:t xml:space="preserve"> </w:t>
      </w:r>
      <w:r>
        <w:rPr>
          <w:rFonts w:hint="eastAsia" w:ascii="黑体" w:hAnsi="黑体" w:eastAsia="黑体"/>
          <w:szCs w:val="21"/>
        </w:rPr>
        <w:t>漏血</w:t>
      </w:r>
      <w:r>
        <w:rPr>
          <w:rFonts w:ascii="黑体" w:hAnsi="黑体" w:eastAsia="黑体"/>
          <w:szCs w:val="21"/>
        </w:rPr>
        <w:t>≥0.35 ml/min</w:t>
      </w:r>
      <w:r>
        <w:rPr>
          <w:rFonts w:hint="eastAsia" w:ascii="黑体" w:hAnsi="黑体" w:eastAsia="黑体"/>
          <w:szCs w:val="21"/>
        </w:rPr>
        <w:t>；当最大废液流速时，</w:t>
      </w:r>
      <w:r>
        <w:rPr>
          <w:rFonts w:ascii="黑体" w:hAnsi="黑体" w:eastAsia="黑体"/>
          <w:szCs w:val="21"/>
        </w:rPr>
        <w:t>HCT 32%</w:t>
      </w:r>
      <w:r>
        <w:rPr>
          <w:rFonts w:hint="eastAsia" w:ascii="黑体" w:hAnsi="黑体" w:eastAsia="黑体"/>
          <w:szCs w:val="21"/>
        </w:rPr>
        <w:t>，漏血</w:t>
      </w:r>
      <w:r>
        <w:rPr>
          <w:rFonts w:ascii="黑体" w:hAnsi="黑体" w:eastAsia="黑体"/>
          <w:szCs w:val="21"/>
        </w:rPr>
        <w:t>≥0.50 ml/min</w:t>
      </w:r>
    </w:p>
    <w:p>
      <w:pPr>
        <w:snapToGrid w:val="0"/>
        <w:spacing w:line="360" w:lineRule="auto"/>
        <w:ind w:firstLine="420" w:firstLineChars="200"/>
        <w:rPr>
          <w:rFonts w:ascii="黑体" w:hAnsi="黑体" w:eastAsia="黑体"/>
          <w:szCs w:val="21"/>
        </w:rPr>
      </w:pPr>
      <w:r>
        <w:rPr>
          <w:rFonts w:ascii="黑体" w:hAnsi="黑体" w:eastAsia="黑体"/>
          <w:szCs w:val="21"/>
        </w:rPr>
        <w:t>7.7</w:t>
      </w:r>
      <w:r>
        <w:rPr>
          <w:rFonts w:ascii="黑体" w:hAnsi="黑体" w:eastAsia="黑体"/>
          <w:szCs w:val="21"/>
        </w:rPr>
        <w:tab/>
      </w:r>
      <w:r>
        <w:rPr>
          <w:rFonts w:hint="eastAsia" w:ascii="黑体" w:hAnsi="黑体" w:eastAsia="黑体"/>
          <w:szCs w:val="21"/>
        </w:rPr>
        <w:t>超声空气探测器：探测单个气泡</w:t>
      </w:r>
      <w:r>
        <w:rPr>
          <w:rFonts w:ascii="黑体" w:hAnsi="黑体" w:eastAsia="黑体"/>
          <w:szCs w:val="21"/>
        </w:rPr>
        <w:t xml:space="preserve">≥ 20 μl    </w:t>
      </w:r>
    </w:p>
    <w:p>
      <w:pPr>
        <w:snapToGrid w:val="0"/>
        <w:spacing w:line="360" w:lineRule="auto"/>
        <w:ind w:firstLine="420" w:firstLineChars="200"/>
        <w:rPr>
          <w:rFonts w:ascii="黑体" w:hAnsi="黑体" w:eastAsia="黑体"/>
          <w:szCs w:val="21"/>
        </w:rPr>
      </w:pPr>
      <w:r>
        <w:rPr>
          <w:rFonts w:ascii="黑体" w:hAnsi="黑体" w:eastAsia="黑体"/>
          <w:szCs w:val="21"/>
        </w:rPr>
        <w:t>7.8</w:t>
      </w:r>
      <w:r>
        <w:rPr>
          <w:rFonts w:ascii="黑体" w:hAnsi="黑体" w:eastAsia="黑体"/>
          <w:szCs w:val="21"/>
        </w:rPr>
        <w:tab/>
      </w:r>
      <w:r>
        <w:rPr>
          <w:rFonts w:hint="eastAsia" w:ascii="黑体" w:hAnsi="黑体" w:eastAsia="黑体"/>
          <w:szCs w:val="21"/>
        </w:rPr>
        <w:t>漏液探测器：监测漏液范围＜</w:t>
      </w:r>
      <w:r>
        <w:rPr>
          <w:rFonts w:ascii="黑体" w:hAnsi="黑体" w:eastAsia="黑体"/>
          <w:szCs w:val="21"/>
        </w:rPr>
        <w:t xml:space="preserve">50ml </w:t>
      </w:r>
    </w:p>
    <w:p>
      <w:pPr>
        <w:snapToGrid w:val="0"/>
        <w:spacing w:line="360" w:lineRule="auto"/>
        <w:ind w:firstLine="422" w:firstLineChars="200"/>
        <w:rPr>
          <w:rFonts w:ascii="黑体" w:hAnsi="黑体" w:eastAsia="黑体"/>
          <w:b/>
          <w:bCs/>
          <w:szCs w:val="21"/>
        </w:rPr>
      </w:pPr>
      <w:r>
        <w:rPr>
          <w:rFonts w:ascii="黑体" w:hAnsi="黑体" w:eastAsia="黑体"/>
          <w:b/>
          <w:bCs/>
          <w:szCs w:val="21"/>
        </w:rPr>
        <w:t>7.9</w:t>
      </w:r>
      <w:r>
        <w:rPr>
          <w:rFonts w:ascii="黑体" w:hAnsi="黑体" w:eastAsia="黑体"/>
          <w:b/>
          <w:bCs/>
          <w:szCs w:val="21"/>
        </w:rPr>
        <w:tab/>
      </w:r>
      <w:r>
        <w:rPr>
          <w:rFonts w:ascii="黑体" w:hAnsi="黑体" w:eastAsia="黑体"/>
          <w:b/>
          <w:bCs/>
          <w:szCs w:val="21"/>
        </w:rPr>
        <w:t>▲</w:t>
      </w:r>
      <w:r>
        <w:rPr>
          <w:rFonts w:hint="eastAsia" w:ascii="黑体" w:hAnsi="黑体" w:eastAsia="黑体"/>
          <w:b/>
          <w:bCs/>
          <w:szCs w:val="21"/>
        </w:rPr>
        <w:t>配备后备电源：后备电源充满电的情况下，保持整个治疗不中断至少运行</w:t>
      </w:r>
      <w:r>
        <w:rPr>
          <w:rFonts w:ascii="黑体" w:hAnsi="黑体" w:eastAsia="黑体"/>
          <w:b/>
          <w:bCs/>
          <w:szCs w:val="21"/>
        </w:rPr>
        <w:t>10</w:t>
      </w:r>
      <w:r>
        <w:rPr>
          <w:rFonts w:hint="eastAsia" w:ascii="黑体" w:hAnsi="黑体" w:eastAsia="黑体"/>
          <w:b/>
          <w:bCs/>
          <w:szCs w:val="21"/>
        </w:rPr>
        <w:t>分钟。</w:t>
      </w:r>
    </w:p>
    <w:p>
      <w:pPr>
        <w:snapToGrid w:val="0"/>
        <w:spacing w:line="360" w:lineRule="auto"/>
        <w:ind w:firstLine="420" w:firstLineChars="200"/>
        <w:rPr>
          <w:rFonts w:ascii="黑体" w:hAnsi="黑体" w:eastAsia="黑体"/>
          <w:szCs w:val="21"/>
        </w:rPr>
      </w:pPr>
    </w:p>
    <w:p>
      <w:pPr>
        <w:snapToGrid w:val="0"/>
        <w:spacing w:line="360" w:lineRule="auto"/>
        <w:rPr>
          <w:rFonts w:ascii="黑体" w:hAnsi="黑体" w:eastAsia="黑体"/>
          <w:bCs/>
          <w:szCs w:val="21"/>
        </w:rPr>
      </w:pPr>
      <w:r>
        <w:rPr>
          <w:rFonts w:ascii="黑体" w:hAnsi="黑体" w:eastAsia="黑体"/>
          <w:bCs/>
          <w:szCs w:val="21"/>
        </w:rPr>
        <w:t>8</w:t>
      </w:r>
      <w:r>
        <w:rPr>
          <w:rFonts w:hint="eastAsia" w:ascii="黑体" w:hAnsi="黑体" w:eastAsia="黑体"/>
          <w:bCs/>
          <w:szCs w:val="21"/>
        </w:rPr>
        <w:t>、耗材及管路安装</w:t>
      </w:r>
    </w:p>
    <w:p>
      <w:pPr>
        <w:snapToGrid w:val="0"/>
        <w:spacing w:line="360" w:lineRule="auto"/>
        <w:ind w:firstLine="420" w:firstLineChars="200"/>
        <w:rPr>
          <w:rFonts w:ascii="黑体" w:hAnsi="黑体" w:eastAsia="黑体"/>
          <w:szCs w:val="21"/>
        </w:rPr>
      </w:pPr>
      <w:r>
        <w:rPr>
          <w:rFonts w:ascii="黑体" w:hAnsi="黑体" w:eastAsia="黑体"/>
          <w:szCs w:val="21"/>
        </w:rPr>
        <w:t>8.1</w:t>
      </w:r>
      <w:r>
        <w:rPr>
          <w:rFonts w:ascii="黑体" w:hAnsi="黑体" w:eastAsia="黑体"/>
          <w:szCs w:val="21"/>
        </w:rPr>
        <w:tab/>
      </w:r>
      <w:r>
        <w:rPr>
          <w:rFonts w:hint="eastAsia" w:ascii="黑体" w:hAnsi="黑体" w:eastAsia="黑体"/>
          <w:szCs w:val="21"/>
        </w:rPr>
        <w:t>使用一体化耗材：管路和滤器预连接避免污染，颜色标示易于安装，避免误操作；</w:t>
      </w:r>
    </w:p>
    <w:p>
      <w:pPr>
        <w:snapToGrid w:val="0"/>
        <w:spacing w:line="360" w:lineRule="auto"/>
        <w:ind w:firstLine="420" w:firstLineChars="200"/>
        <w:rPr>
          <w:rFonts w:ascii="黑体" w:hAnsi="黑体" w:eastAsia="黑体"/>
          <w:szCs w:val="21"/>
        </w:rPr>
      </w:pPr>
      <w:r>
        <w:rPr>
          <w:rFonts w:ascii="黑体" w:hAnsi="黑体" w:eastAsia="黑体"/>
          <w:szCs w:val="21"/>
        </w:rPr>
        <w:t>8.2</w:t>
      </w:r>
      <w:r>
        <w:rPr>
          <w:rFonts w:ascii="黑体" w:hAnsi="黑体" w:eastAsia="黑体"/>
          <w:szCs w:val="21"/>
        </w:rPr>
        <w:tab/>
      </w:r>
      <w:r>
        <w:rPr>
          <w:rFonts w:hint="eastAsia" w:ascii="黑体" w:hAnsi="黑体" w:eastAsia="黑体"/>
          <w:szCs w:val="21"/>
        </w:rPr>
        <w:t>可以使用能吸附清除血液内细胞因子等炎症介质、清除内毒素的滤器和管路配套，可以更好地进行无抗凝治疗；</w:t>
      </w:r>
    </w:p>
    <w:p>
      <w:pPr>
        <w:snapToGrid w:val="0"/>
        <w:spacing w:line="360" w:lineRule="auto"/>
        <w:ind w:firstLine="420" w:firstLineChars="200"/>
        <w:rPr>
          <w:rFonts w:ascii="黑体" w:hAnsi="黑体" w:eastAsia="黑体"/>
          <w:szCs w:val="21"/>
        </w:rPr>
      </w:pPr>
      <w:r>
        <w:rPr>
          <w:rFonts w:ascii="黑体" w:hAnsi="黑体" w:eastAsia="黑体"/>
          <w:szCs w:val="21"/>
        </w:rPr>
        <w:t>8.3</w:t>
      </w:r>
      <w:r>
        <w:rPr>
          <w:rFonts w:ascii="黑体" w:hAnsi="黑体" w:eastAsia="黑体"/>
          <w:szCs w:val="21"/>
        </w:rPr>
        <w:tab/>
      </w:r>
      <w:r>
        <w:rPr>
          <w:rFonts w:hint="eastAsia" w:ascii="黑体" w:hAnsi="黑体" w:eastAsia="黑体"/>
          <w:szCs w:val="21"/>
        </w:rPr>
        <w:t>一体化预连接管路，全自动安装泵管、配套快速预冲和自检；</w:t>
      </w:r>
    </w:p>
    <w:p>
      <w:pPr>
        <w:snapToGrid w:val="0"/>
        <w:spacing w:line="360" w:lineRule="auto"/>
        <w:ind w:firstLine="420" w:firstLineChars="200"/>
        <w:rPr>
          <w:rFonts w:ascii="黑体" w:hAnsi="黑体" w:eastAsia="黑体"/>
          <w:szCs w:val="21"/>
        </w:rPr>
      </w:pPr>
      <w:r>
        <w:rPr>
          <w:rFonts w:ascii="黑体" w:hAnsi="黑体" w:eastAsia="黑体"/>
          <w:szCs w:val="21"/>
        </w:rPr>
        <w:t>8.4</w:t>
      </w:r>
      <w:r>
        <w:rPr>
          <w:rFonts w:ascii="黑体" w:hAnsi="黑体" w:eastAsia="黑体"/>
          <w:szCs w:val="21"/>
        </w:rPr>
        <w:tab/>
      </w:r>
      <w:r>
        <w:rPr>
          <w:rFonts w:hint="eastAsia" w:ascii="黑体" w:hAnsi="黑体" w:eastAsia="黑体"/>
          <w:szCs w:val="21"/>
        </w:rPr>
        <w:t>体外低血容量管路设计（</w:t>
      </w:r>
      <w:r>
        <w:rPr>
          <w:rFonts w:ascii="黑体" w:hAnsi="黑体" w:eastAsia="黑体"/>
          <w:szCs w:val="21"/>
        </w:rPr>
        <w:t>60-189 ml</w:t>
      </w:r>
      <w:r>
        <w:rPr>
          <w:rFonts w:hint="eastAsia" w:ascii="黑体" w:hAnsi="黑体" w:eastAsia="黑体"/>
          <w:szCs w:val="21"/>
        </w:rPr>
        <w:t>），内置条形码，便于识别；</w:t>
      </w:r>
    </w:p>
    <w:p>
      <w:pPr>
        <w:snapToGrid w:val="0"/>
        <w:spacing w:line="360" w:lineRule="auto"/>
        <w:ind w:firstLine="420" w:firstLineChars="200"/>
        <w:rPr>
          <w:rFonts w:ascii="黑体" w:hAnsi="黑体" w:eastAsia="黑体"/>
          <w:szCs w:val="21"/>
        </w:rPr>
      </w:pPr>
      <w:r>
        <w:rPr>
          <w:rFonts w:ascii="黑体" w:hAnsi="黑体" w:eastAsia="黑体"/>
          <w:szCs w:val="21"/>
        </w:rPr>
        <w:t>8.5</w:t>
      </w:r>
      <w:r>
        <w:rPr>
          <w:rFonts w:ascii="黑体" w:hAnsi="黑体" w:eastAsia="黑体"/>
          <w:szCs w:val="21"/>
        </w:rPr>
        <w:tab/>
      </w:r>
      <w:r>
        <w:rPr>
          <w:rFonts w:hint="eastAsia" w:ascii="黑体" w:hAnsi="黑体" w:eastAsia="黑体"/>
          <w:szCs w:val="21"/>
        </w:rPr>
        <w:t>可满足从小儿到成人不同年龄段的治疗模式；</w:t>
      </w:r>
    </w:p>
    <w:p>
      <w:pPr>
        <w:snapToGrid w:val="0"/>
        <w:spacing w:line="360" w:lineRule="auto"/>
        <w:ind w:firstLine="420" w:firstLineChars="200"/>
        <w:rPr>
          <w:rFonts w:ascii="黑体" w:hAnsi="黑体" w:eastAsia="黑体"/>
          <w:szCs w:val="21"/>
        </w:rPr>
      </w:pPr>
      <w:r>
        <w:rPr>
          <w:rFonts w:ascii="黑体" w:hAnsi="黑体" w:eastAsia="黑体"/>
          <w:szCs w:val="21"/>
        </w:rPr>
        <w:t>8.6</w:t>
      </w:r>
      <w:r>
        <w:rPr>
          <w:rFonts w:ascii="黑体" w:hAnsi="黑体" w:eastAsia="黑体"/>
          <w:szCs w:val="21"/>
        </w:rPr>
        <w:tab/>
      </w:r>
      <w:r>
        <w:rPr>
          <w:rFonts w:hint="eastAsia" w:ascii="黑体" w:hAnsi="黑体" w:eastAsia="黑体"/>
          <w:szCs w:val="21"/>
        </w:rPr>
        <w:t>无需增加其它设备</w:t>
      </w:r>
      <w:r>
        <w:rPr>
          <w:rFonts w:ascii="黑体" w:hAnsi="黑体" w:eastAsia="黑体"/>
          <w:szCs w:val="21"/>
        </w:rPr>
        <w:t>/</w:t>
      </w:r>
      <w:r>
        <w:rPr>
          <w:rFonts w:hint="eastAsia" w:ascii="黑体" w:hAnsi="黑体" w:eastAsia="黑体"/>
          <w:szCs w:val="21"/>
        </w:rPr>
        <w:t>配件就可以使用枸橼酸或者肝素抗凝。</w:t>
      </w:r>
    </w:p>
    <w:p>
      <w:pPr>
        <w:snapToGrid w:val="0"/>
        <w:spacing w:line="360" w:lineRule="auto"/>
        <w:rPr>
          <w:rFonts w:ascii="黑体" w:hAnsi="黑体" w:eastAsia="黑体"/>
          <w:b/>
          <w:szCs w:val="21"/>
        </w:rPr>
      </w:pPr>
      <w:r>
        <w:rPr>
          <w:rFonts w:ascii="黑体" w:hAnsi="黑体" w:eastAsia="黑体"/>
          <w:b/>
          <w:szCs w:val="21"/>
        </w:rPr>
        <w:t>9</w:t>
      </w:r>
      <w:r>
        <w:rPr>
          <w:rFonts w:hint="eastAsia" w:ascii="黑体" w:hAnsi="黑体" w:eastAsia="黑体"/>
          <w:b/>
          <w:szCs w:val="21"/>
        </w:rPr>
        <w:t>、加温器</w:t>
      </w:r>
    </w:p>
    <w:p>
      <w:pPr>
        <w:snapToGrid w:val="0"/>
        <w:spacing w:line="360" w:lineRule="auto"/>
        <w:ind w:firstLine="420" w:firstLineChars="200"/>
        <w:rPr>
          <w:rFonts w:ascii="黑体" w:hAnsi="黑体" w:eastAsia="黑体"/>
          <w:szCs w:val="21"/>
        </w:rPr>
      </w:pPr>
      <w:r>
        <w:rPr>
          <w:rFonts w:ascii="黑体" w:hAnsi="黑体" w:eastAsia="黑体"/>
          <w:szCs w:val="21"/>
        </w:rPr>
        <w:t>9.1</w:t>
      </w:r>
      <w:r>
        <w:rPr>
          <w:rFonts w:ascii="黑体" w:hAnsi="黑体" w:eastAsia="黑体"/>
          <w:szCs w:val="21"/>
        </w:rPr>
        <w:tab/>
      </w:r>
      <w:r>
        <w:rPr>
          <w:rFonts w:hint="eastAsia" w:ascii="黑体" w:hAnsi="黑体" w:eastAsia="黑体"/>
          <w:szCs w:val="21"/>
        </w:rPr>
        <w:t>直接静脉血液加温；</w:t>
      </w:r>
    </w:p>
    <w:p>
      <w:pPr>
        <w:snapToGrid w:val="0"/>
        <w:spacing w:line="360" w:lineRule="auto"/>
        <w:ind w:firstLine="420" w:firstLineChars="200"/>
        <w:rPr>
          <w:rFonts w:ascii="黑体" w:hAnsi="黑体" w:eastAsia="黑体"/>
          <w:szCs w:val="21"/>
        </w:rPr>
      </w:pPr>
      <w:r>
        <w:rPr>
          <w:rFonts w:ascii="黑体" w:hAnsi="黑体" w:eastAsia="黑体"/>
          <w:szCs w:val="21"/>
        </w:rPr>
        <w:t>9.2</w:t>
      </w:r>
      <w:r>
        <w:rPr>
          <w:rFonts w:ascii="黑体" w:hAnsi="黑体" w:eastAsia="黑体"/>
          <w:szCs w:val="21"/>
        </w:rPr>
        <w:tab/>
      </w:r>
      <w:r>
        <w:rPr>
          <w:rFonts w:hint="eastAsia" w:ascii="黑体" w:hAnsi="黑体" w:eastAsia="黑体"/>
          <w:szCs w:val="21"/>
        </w:rPr>
        <w:t>控制温度：</w:t>
      </w:r>
      <w:r>
        <w:rPr>
          <w:rFonts w:ascii="黑体" w:hAnsi="黑体" w:eastAsia="黑体"/>
          <w:szCs w:val="21"/>
        </w:rPr>
        <w:t>33℃- 43℃</w:t>
      </w:r>
      <w:r>
        <w:rPr>
          <w:rFonts w:hint="eastAsia" w:ascii="黑体" w:hAnsi="黑体" w:eastAsia="黑体"/>
          <w:szCs w:val="21"/>
        </w:rPr>
        <w:t>，连续可调：</w:t>
      </w:r>
      <w:r>
        <w:rPr>
          <w:rFonts w:ascii="黑体" w:hAnsi="黑体" w:eastAsia="黑体"/>
          <w:szCs w:val="21"/>
        </w:rPr>
        <w:t>0.5℃/</w:t>
      </w:r>
      <w:r>
        <w:rPr>
          <w:rFonts w:hint="eastAsia" w:ascii="黑体" w:hAnsi="黑体" w:eastAsia="黑体"/>
          <w:szCs w:val="21"/>
        </w:rPr>
        <w:t>档。</w:t>
      </w:r>
    </w:p>
    <w:p>
      <w:pPr>
        <w:snapToGrid w:val="0"/>
        <w:spacing w:line="360" w:lineRule="auto"/>
        <w:rPr>
          <w:rFonts w:ascii="黑体" w:hAnsi="黑体" w:eastAsia="黑体"/>
          <w:b/>
          <w:szCs w:val="21"/>
        </w:rPr>
      </w:pPr>
      <w:r>
        <w:rPr>
          <w:rFonts w:ascii="黑体" w:hAnsi="黑体" w:eastAsia="黑体"/>
          <w:b/>
          <w:szCs w:val="21"/>
        </w:rPr>
        <w:t>10</w:t>
      </w:r>
      <w:r>
        <w:rPr>
          <w:rFonts w:hint="eastAsia" w:ascii="黑体" w:hAnsi="黑体" w:eastAsia="黑体"/>
          <w:b/>
          <w:szCs w:val="21"/>
        </w:rPr>
        <w:t>、计算机网络接口</w:t>
      </w:r>
    </w:p>
    <w:p>
      <w:pPr>
        <w:snapToGrid w:val="0"/>
        <w:spacing w:line="360" w:lineRule="auto"/>
        <w:ind w:firstLine="420" w:firstLineChars="200"/>
        <w:rPr>
          <w:rFonts w:ascii="黑体" w:hAnsi="黑体" w:eastAsia="黑体"/>
          <w:szCs w:val="21"/>
        </w:rPr>
      </w:pPr>
      <w:r>
        <w:rPr>
          <w:rFonts w:ascii="黑体" w:hAnsi="黑体" w:eastAsia="黑体"/>
          <w:szCs w:val="21"/>
        </w:rPr>
        <w:t>10.1</w:t>
      </w:r>
      <w:r>
        <w:rPr>
          <w:rFonts w:hint="eastAsia" w:ascii="黑体" w:hAnsi="黑体" w:eastAsia="黑体"/>
          <w:szCs w:val="21"/>
        </w:rPr>
        <w:t>具备计算机网络接口以太网接口、</w:t>
      </w:r>
      <w:r>
        <w:rPr>
          <w:rFonts w:ascii="黑体" w:hAnsi="黑体" w:eastAsia="黑体"/>
          <w:szCs w:val="21"/>
        </w:rPr>
        <w:t xml:space="preserve">USB2 </w:t>
      </w:r>
      <w:r>
        <w:rPr>
          <w:rFonts w:hint="eastAsia" w:ascii="黑体" w:hAnsi="黑体" w:eastAsia="黑体"/>
          <w:szCs w:val="21"/>
        </w:rPr>
        <w:t>插口；</w:t>
      </w:r>
    </w:p>
    <w:p>
      <w:pPr>
        <w:snapToGrid w:val="0"/>
        <w:spacing w:line="360" w:lineRule="auto"/>
        <w:ind w:firstLine="422" w:firstLineChars="200"/>
        <w:rPr>
          <w:rFonts w:ascii="黑体" w:hAnsi="黑体" w:eastAsia="黑体"/>
          <w:b/>
          <w:bCs/>
          <w:szCs w:val="21"/>
        </w:rPr>
      </w:pPr>
      <w:r>
        <w:rPr>
          <w:rFonts w:ascii="黑体" w:hAnsi="黑体" w:eastAsia="黑体"/>
          <w:b/>
          <w:bCs/>
          <w:szCs w:val="21"/>
        </w:rPr>
        <w:t>10.2▲</w:t>
      </w:r>
      <w:r>
        <w:rPr>
          <w:rFonts w:hint="eastAsia" w:ascii="黑体" w:hAnsi="黑体" w:eastAsia="黑体"/>
          <w:b/>
          <w:bCs/>
          <w:szCs w:val="21"/>
        </w:rPr>
        <w:t>可通过</w:t>
      </w:r>
      <w:r>
        <w:rPr>
          <w:rFonts w:ascii="黑体" w:hAnsi="黑体" w:eastAsia="黑体"/>
          <w:b/>
          <w:bCs/>
          <w:szCs w:val="21"/>
        </w:rPr>
        <w:t>USB</w:t>
      </w:r>
      <w:r>
        <w:rPr>
          <w:rFonts w:hint="eastAsia" w:ascii="黑体" w:hAnsi="黑体" w:eastAsia="黑体"/>
          <w:b/>
          <w:bCs/>
          <w:szCs w:val="21"/>
        </w:rPr>
        <w:t>转移资料、存储大于</w:t>
      </w:r>
      <w:r>
        <w:rPr>
          <w:rFonts w:ascii="黑体" w:hAnsi="黑体" w:eastAsia="黑体"/>
          <w:b/>
          <w:bCs/>
          <w:szCs w:val="21"/>
        </w:rPr>
        <w:t>90</w:t>
      </w:r>
      <w:r>
        <w:rPr>
          <w:rFonts w:hint="eastAsia" w:ascii="黑体" w:hAnsi="黑体" w:eastAsia="黑体"/>
          <w:b/>
          <w:bCs/>
          <w:szCs w:val="21"/>
        </w:rPr>
        <w:t>个小时的治疗信息，自动存档＞</w:t>
      </w:r>
      <w:r>
        <w:rPr>
          <w:rFonts w:ascii="黑体" w:hAnsi="黑体" w:eastAsia="黑体"/>
          <w:b/>
          <w:bCs/>
          <w:szCs w:val="21"/>
        </w:rPr>
        <w:t>5000</w:t>
      </w:r>
      <w:r>
        <w:rPr>
          <w:rFonts w:hint="eastAsia" w:ascii="黑体" w:hAnsi="黑体" w:eastAsia="黑体"/>
          <w:b/>
          <w:bCs/>
          <w:szCs w:val="21"/>
        </w:rPr>
        <w:t>个报警及治疗参数变更信息；</w:t>
      </w:r>
    </w:p>
    <w:p>
      <w:pPr>
        <w:snapToGrid w:val="0"/>
        <w:spacing w:line="360" w:lineRule="auto"/>
        <w:ind w:firstLine="420" w:firstLineChars="200"/>
        <w:rPr>
          <w:rFonts w:ascii="黑体" w:hAnsi="黑体" w:eastAsia="黑体"/>
          <w:szCs w:val="21"/>
        </w:rPr>
      </w:pPr>
      <w:r>
        <w:rPr>
          <w:rFonts w:ascii="黑体" w:hAnsi="黑体" w:eastAsia="黑体"/>
          <w:szCs w:val="21"/>
        </w:rPr>
        <w:t>10.3</w:t>
      </w:r>
      <w:r>
        <w:rPr>
          <w:rFonts w:hint="eastAsia" w:ascii="黑体" w:hAnsi="黑体" w:eastAsia="黑体"/>
          <w:szCs w:val="21"/>
        </w:rPr>
        <w:t>软件操作系统免费可升级。</w:t>
      </w:r>
    </w:p>
    <w:p>
      <w:pPr>
        <w:spacing w:line="360" w:lineRule="auto"/>
        <w:rPr>
          <w:rFonts w:ascii="黑体" w:hAnsi="黑体" w:eastAsia="黑体"/>
          <w:b/>
          <w:szCs w:val="21"/>
        </w:rPr>
      </w:pPr>
      <w:r>
        <w:rPr>
          <w:rFonts w:ascii="黑体" w:hAnsi="黑体" w:eastAsia="黑体"/>
          <w:b/>
          <w:szCs w:val="21"/>
        </w:rPr>
        <w:t>标准配置清单：</w:t>
      </w:r>
    </w:p>
    <w:tbl>
      <w:tblPr>
        <w:tblStyle w:val="20"/>
        <w:tblW w:w="5000" w:type="pct"/>
        <w:tblInd w:w="0" w:type="dxa"/>
        <w:tblLayout w:type="autofit"/>
        <w:tblCellMar>
          <w:top w:w="15" w:type="dxa"/>
          <w:left w:w="15" w:type="dxa"/>
          <w:bottom w:w="15" w:type="dxa"/>
          <w:right w:w="15" w:type="dxa"/>
        </w:tblCellMar>
      </w:tblPr>
      <w:tblGrid>
        <w:gridCol w:w="1716"/>
        <w:gridCol w:w="3036"/>
        <w:gridCol w:w="2125"/>
        <w:gridCol w:w="1704"/>
      </w:tblGrid>
      <w:tr>
        <w:tblPrEx>
          <w:tblCellMar>
            <w:top w:w="15" w:type="dxa"/>
            <w:left w:w="15" w:type="dxa"/>
            <w:bottom w:w="15" w:type="dxa"/>
            <w:right w:w="15" w:type="dxa"/>
          </w:tblCellMar>
        </w:tblPrEx>
        <w:trPr>
          <w:trHeight w:val="45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序号</w:t>
            </w:r>
          </w:p>
        </w:tc>
        <w:tc>
          <w:tcPr>
            <w:tcW w:w="1769"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名称</w:t>
            </w:r>
          </w:p>
        </w:tc>
        <w:tc>
          <w:tcPr>
            <w:tcW w:w="1238"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数量</w:t>
            </w:r>
          </w:p>
        </w:tc>
        <w:tc>
          <w:tcPr>
            <w:tcW w:w="993"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单位</w:t>
            </w:r>
          </w:p>
        </w:tc>
      </w:tr>
      <w:tr>
        <w:tblPrEx>
          <w:tblCellMar>
            <w:top w:w="15" w:type="dxa"/>
            <w:left w:w="15" w:type="dxa"/>
            <w:bottom w:w="15" w:type="dxa"/>
            <w:right w:w="15" w:type="dxa"/>
          </w:tblCellMar>
        </w:tblPrEx>
        <w:trPr>
          <w:trHeight w:val="380"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主机</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台</w:t>
            </w:r>
          </w:p>
        </w:tc>
      </w:tr>
      <w:tr>
        <w:tblPrEx>
          <w:tblCellMar>
            <w:top w:w="15" w:type="dxa"/>
            <w:left w:w="15" w:type="dxa"/>
            <w:bottom w:w="15" w:type="dxa"/>
            <w:right w:w="15" w:type="dxa"/>
          </w:tblCellMar>
        </w:tblPrEx>
        <w:trPr>
          <w:trHeight w:val="386"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2</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操作手册</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本</w:t>
            </w:r>
          </w:p>
        </w:tc>
      </w:tr>
      <w:tr>
        <w:tblPrEx>
          <w:tblCellMar>
            <w:top w:w="15" w:type="dxa"/>
            <w:left w:w="15" w:type="dxa"/>
            <w:bottom w:w="15" w:type="dxa"/>
            <w:right w:w="15" w:type="dxa"/>
          </w:tblCellMar>
        </w:tblPrEx>
        <w:trPr>
          <w:trHeight w:val="391"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3</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维修手册</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本</w:t>
            </w:r>
          </w:p>
        </w:tc>
      </w:tr>
      <w:tr>
        <w:tblPrEx>
          <w:tblCellMar>
            <w:top w:w="15" w:type="dxa"/>
            <w:left w:w="15" w:type="dxa"/>
            <w:bottom w:w="15" w:type="dxa"/>
            <w:right w:w="15" w:type="dxa"/>
          </w:tblCellMar>
        </w:tblPrEx>
        <w:trPr>
          <w:trHeight w:val="383"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4</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血液加温仪</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台</w:t>
            </w:r>
          </w:p>
        </w:tc>
      </w:tr>
      <w:tr>
        <w:tblPrEx>
          <w:tblCellMar>
            <w:top w:w="15" w:type="dxa"/>
            <w:left w:w="15" w:type="dxa"/>
            <w:bottom w:w="15" w:type="dxa"/>
            <w:right w:w="15" w:type="dxa"/>
          </w:tblCellMar>
        </w:tblPrEx>
        <w:trPr>
          <w:trHeight w:val="390"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5</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加温套管</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套</w:t>
            </w:r>
          </w:p>
        </w:tc>
      </w:tr>
      <w:tr>
        <w:tblPrEx>
          <w:tblCellMar>
            <w:top w:w="15" w:type="dxa"/>
            <w:left w:w="15" w:type="dxa"/>
            <w:bottom w:w="15" w:type="dxa"/>
            <w:right w:w="15" w:type="dxa"/>
          </w:tblCellMar>
        </w:tblPrEx>
        <w:trPr>
          <w:trHeight w:val="382"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6</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加温器支架</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73"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7</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血液加温仪使用说明书</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本</w:t>
            </w:r>
          </w:p>
        </w:tc>
      </w:tr>
      <w:tr>
        <w:tblPrEx>
          <w:tblCellMar>
            <w:top w:w="15" w:type="dxa"/>
            <w:left w:w="15" w:type="dxa"/>
            <w:bottom w:w="15" w:type="dxa"/>
            <w:right w:w="15" w:type="dxa"/>
          </w:tblCellMar>
        </w:tblPrEx>
        <w:trPr>
          <w:trHeight w:val="394"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8</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血液加温仪维修手册</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szCs w:val="21"/>
              </w:rPr>
              <w:t>本</w:t>
            </w:r>
          </w:p>
        </w:tc>
      </w:tr>
      <w:tr>
        <w:tblPrEx>
          <w:tblCellMar>
            <w:top w:w="15" w:type="dxa"/>
            <w:left w:w="15" w:type="dxa"/>
            <w:bottom w:w="15" w:type="dxa"/>
            <w:right w:w="15" w:type="dxa"/>
          </w:tblCellMar>
        </w:tblPrEx>
        <w:trPr>
          <w:trHeight w:val="386"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9</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秤调教套件</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套</w:t>
            </w:r>
          </w:p>
        </w:tc>
      </w:tr>
      <w:tr>
        <w:tblPrEx>
          <w:tblCellMar>
            <w:top w:w="15" w:type="dxa"/>
            <w:left w:w="15" w:type="dxa"/>
            <w:bottom w:w="15" w:type="dxa"/>
            <w:right w:w="15" w:type="dxa"/>
          </w:tblCellMar>
        </w:tblPrEx>
        <w:trPr>
          <w:trHeight w:val="392"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10</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碳肾支架</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84"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11</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后备电池</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bl>
    <w:p>
      <w:pPr>
        <w:spacing w:line="360" w:lineRule="auto"/>
        <w:rPr>
          <w:rFonts w:ascii="黑体" w:hAnsi="黑体" w:eastAsia="黑体"/>
          <w:szCs w:val="21"/>
        </w:rPr>
      </w:pPr>
    </w:p>
    <w:p>
      <w:pPr>
        <w:pageBreakBefore/>
        <w:spacing w:line="360" w:lineRule="auto"/>
        <w:rPr>
          <w:rFonts w:ascii="黑体" w:hAnsi="黑体" w:eastAsia="黑体"/>
          <w:b/>
          <w:bCs/>
          <w:szCs w:val="21"/>
        </w:rPr>
      </w:pPr>
      <w:r>
        <w:rPr>
          <w:rFonts w:hint="eastAsia" w:ascii="黑体" w:hAnsi="黑体" w:eastAsia="黑体"/>
          <w:b/>
          <w:bCs/>
          <w:szCs w:val="21"/>
        </w:rPr>
        <w:t>（十一）压力抗栓泵（肢体压迫系统）及（十五）空气波压力治疗仪</w:t>
      </w:r>
    </w:p>
    <w:p>
      <w:pPr>
        <w:spacing w:line="360" w:lineRule="auto"/>
        <w:rPr>
          <w:rFonts w:ascii="黑体" w:hAnsi="黑体" w:eastAsia="黑体"/>
          <w:szCs w:val="21"/>
        </w:rPr>
      </w:pPr>
      <w:r>
        <w:rPr>
          <w:rFonts w:hint="eastAsia" w:ascii="黑体" w:hAnsi="黑体" w:eastAsia="黑体"/>
          <w:szCs w:val="21"/>
        </w:rPr>
        <w:t>1.操作方式：7寸彩色液晶人体仿生触摸屏操作</w:t>
      </w:r>
    </w:p>
    <w:p>
      <w:pPr>
        <w:spacing w:line="360" w:lineRule="auto"/>
        <w:rPr>
          <w:rFonts w:ascii="黑体" w:hAnsi="黑体" w:eastAsia="黑体"/>
          <w:szCs w:val="21"/>
        </w:rPr>
      </w:pPr>
      <w:r>
        <w:rPr>
          <w:rFonts w:hint="eastAsia" w:ascii="黑体" w:hAnsi="黑体" w:eastAsia="黑体"/>
          <w:szCs w:val="21"/>
        </w:rPr>
        <w:t>2.稳压模式：“双核稳压”，充气过程中，每腔压力始终保持设定梯度压力值</w:t>
      </w:r>
    </w:p>
    <w:p>
      <w:pPr>
        <w:spacing w:line="360" w:lineRule="auto"/>
        <w:rPr>
          <w:rFonts w:ascii="黑体" w:hAnsi="黑体" w:eastAsia="黑体"/>
          <w:b/>
          <w:bCs/>
          <w:szCs w:val="21"/>
        </w:rPr>
      </w:pPr>
      <w:r>
        <w:rPr>
          <w:rFonts w:hint="eastAsia" w:ascii="黑体" w:hAnsi="黑体" w:eastAsia="黑体"/>
          <w:b/>
          <w:bCs/>
          <w:szCs w:val="21"/>
        </w:rPr>
        <w:t>3.▲血液回盈侦测功能：具有</w:t>
      </w:r>
    </w:p>
    <w:p>
      <w:pPr>
        <w:spacing w:line="360" w:lineRule="auto"/>
        <w:rPr>
          <w:rFonts w:ascii="黑体" w:hAnsi="黑体" w:eastAsia="黑体"/>
          <w:szCs w:val="21"/>
        </w:rPr>
      </w:pPr>
      <w:r>
        <w:rPr>
          <w:rFonts w:hint="eastAsia" w:ascii="黑体" w:hAnsi="黑体" w:eastAsia="黑体"/>
          <w:szCs w:val="21"/>
        </w:rPr>
        <w:t>4.通道数：两路物理通道，可同时、间歇、按顺序充放气。</w:t>
      </w:r>
    </w:p>
    <w:p>
      <w:pPr>
        <w:spacing w:line="360" w:lineRule="auto"/>
        <w:rPr>
          <w:rFonts w:ascii="黑体" w:hAnsi="黑体" w:eastAsia="黑体"/>
          <w:szCs w:val="21"/>
        </w:rPr>
      </w:pPr>
      <w:r>
        <w:rPr>
          <w:rFonts w:hint="eastAsia" w:ascii="黑体" w:hAnsi="黑体" w:eastAsia="黑体"/>
          <w:szCs w:val="21"/>
        </w:rPr>
        <w:t>5.气囊腔道数：双腿四腔（或八腔气囊），支持每腔压力单独可调</w:t>
      </w:r>
    </w:p>
    <w:p>
      <w:pPr>
        <w:spacing w:line="360" w:lineRule="auto"/>
        <w:rPr>
          <w:rFonts w:ascii="黑体" w:hAnsi="黑体" w:eastAsia="黑体"/>
          <w:szCs w:val="21"/>
        </w:rPr>
      </w:pPr>
      <w:r>
        <w:rPr>
          <w:rFonts w:hint="eastAsia" w:ascii="黑体" w:hAnsi="黑体" w:eastAsia="黑体"/>
          <w:szCs w:val="21"/>
        </w:rPr>
        <w:t>6.气囊种类支持：腿部四腔气囊（拉链套筒式）、腿部八腔重叠气囊（拉链套筒式）、臂部四腔气囊（套筒式）、腿部三腔分体式气囊（重复性、单人使用）、三腔小腿气囊（重复性、单人使用）、臂部三腔气囊（分体式）、背部四腔气囊、左手气囊、右手气囊、左脚气囊、右脚气囊、手部气囊（KF）</w:t>
      </w:r>
    </w:p>
    <w:p>
      <w:pPr>
        <w:spacing w:line="360" w:lineRule="auto"/>
        <w:rPr>
          <w:rFonts w:ascii="黑体" w:hAnsi="黑体" w:eastAsia="黑体"/>
          <w:b/>
          <w:bCs/>
          <w:szCs w:val="21"/>
        </w:rPr>
      </w:pPr>
      <w:r>
        <w:rPr>
          <w:rFonts w:hint="eastAsia" w:ascii="黑体" w:hAnsi="黑体" w:eastAsia="黑体"/>
          <w:b/>
          <w:bCs/>
          <w:szCs w:val="21"/>
        </w:rPr>
        <w:t>7.▲气囊自动识别：自动实时快速识别气囊种类，并快速定位治疗类型，实现“一键治疗”</w:t>
      </w:r>
    </w:p>
    <w:p>
      <w:pPr>
        <w:spacing w:line="360" w:lineRule="auto"/>
        <w:rPr>
          <w:rFonts w:ascii="黑体" w:hAnsi="黑体" w:eastAsia="黑体"/>
          <w:szCs w:val="21"/>
        </w:rPr>
      </w:pPr>
      <w:r>
        <w:rPr>
          <w:rFonts w:hint="eastAsia" w:ascii="黑体" w:hAnsi="黑体" w:eastAsia="黑体"/>
          <w:szCs w:val="21"/>
        </w:rPr>
        <w:t>8.屏幕界面旋转功能：支持一键式屏幕旋转功能，无需校正即可180度旋转屏幕</w:t>
      </w:r>
    </w:p>
    <w:p>
      <w:pPr>
        <w:spacing w:line="360" w:lineRule="auto"/>
        <w:rPr>
          <w:rFonts w:ascii="黑体" w:hAnsi="黑体" w:eastAsia="黑体"/>
          <w:szCs w:val="21"/>
        </w:rPr>
      </w:pPr>
      <w:r>
        <w:rPr>
          <w:rFonts w:hint="eastAsia" w:ascii="黑体" w:hAnsi="黑体" w:eastAsia="黑体"/>
          <w:szCs w:val="21"/>
        </w:rPr>
        <w:t>9.压力范围：0-240mmHg</w:t>
      </w:r>
    </w:p>
    <w:p>
      <w:pPr>
        <w:spacing w:line="360" w:lineRule="auto"/>
        <w:rPr>
          <w:rFonts w:ascii="黑体" w:hAnsi="黑体" w:eastAsia="黑体"/>
          <w:szCs w:val="21"/>
        </w:rPr>
      </w:pPr>
      <w:r>
        <w:rPr>
          <w:rFonts w:hint="eastAsia" w:ascii="黑体" w:hAnsi="黑体" w:eastAsia="黑体"/>
          <w:szCs w:val="21"/>
        </w:rPr>
        <w:t>10.充气速度：充气速度1-6级可调，充满单腔的时间5s以内</w:t>
      </w:r>
    </w:p>
    <w:p>
      <w:pPr>
        <w:spacing w:line="360" w:lineRule="auto"/>
        <w:rPr>
          <w:rFonts w:ascii="黑体" w:hAnsi="黑体" w:eastAsia="黑体"/>
          <w:b/>
          <w:bCs/>
          <w:szCs w:val="21"/>
        </w:rPr>
      </w:pPr>
      <w:r>
        <w:rPr>
          <w:rFonts w:hint="eastAsia" w:ascii="黑体" w:hAnsi="黑体" w:eastAsia="黑体"/>
          <w:b/>
          <w:bCs/>
          <w:szCs w:val="21"/>
        </w:rPr>
        <w:t>11.▲零压跳过功能：具备单腔零压跳过功能，通过一键式设定实现</w:t>
      </w:r>
    </w:p>
    <w:p>
      <w:pPr>
        <w:spacing w:line="360" w:lineRule="auto"/>
        <w:rPr>
          <w:rFonts w:ascii="黑体" w:hAnsi="黑体" w:eastAsia="黑体"/>
          <w:b/>
          <w:bCs/>
          <w:szCs w:val="21"/>
        </w:rPr>
      </w:pPr>
      <w:r>
        <w:rPr>
          <w:rFonts w:hint="eastAsia" w:ascii="黑体" w:hAnsi="黑体" w:eastAsia="黑体"/>
          <w:b/>
          <w:bCs/>
          <w:szCs w:val="21"/>
        </w:rPr>
        <w:t>12.治疗时间：治疗时间1-600分钟可调，支持不间断治疗</w:t>
      </w:r>
    </w:p>
    <w:p>
      <w:pPr>
        <w:spacing w:line="360" w:lineRule="auto"/>
        <w:rPr>
          <w:rFonts w:ascii="黑体" w:hAnsi="黑体" w:eastAsia="黑体"/>
          <w:szCs w:val="21"/>
        </w:rPr>
      </w:pPr>
      <w:r>
        <w:rPr>
          <w:rFonts w:hint="eastAsia" w:ascii="黑体" w:hAnsi="黑体" w:eastAsia="黑体"/>
          <w:szCs w:val="21"/>
        </w:rPr>
        <w:t>13.治疗模式：支持标准治疗、梯度治疗、逆序挤压模式以及高级治疗模式，可连接8腔手部气囊，实现手部气压治疗</w:t>
      </w:r>
    </w:p>
    <w:p>
      <w:pPr>
        <w:spacing w:line="360" w:lineRule="auto"/>
        <w:rPr>
          <w:rFonts w:ascii="黑体" w:hAnsi="黑体" w:eastAsia="黑体"/>
          <w:szCs w:val="21"/>
        </w:rPr>
      </w:pPr>
      <w:r>
        <w:rPr>
          <w:rFonts w:hint="eastAsia" w:ascii="黑体" w:hAnsi="黑体" w:eastAsia="黑体"/>
          <w:szCs w:val="21"/>
        </w:rPr>
        <w:t>14.治疗方案：＞20种</w:t>
      </w:r>
    </w:p>
    <w:p>
      <w:pPr>
        <w:spacing w:line="360" w:lineRule="auto"/>
        <w:rPr>
          <w:rFonts w:ascii="黑体" w:hAnsi="黑体" w:eastAsia="黑体"/>
          <w:szCs w:val="21"/>
        </w:rPr>
      </w:pPr>
      <w:r>
        <w:rPr>
          <w:rFonts w:hint="eastAsia" w:ascii="黑体" w:hAnsi="黑体" w:eastAsia="黑体"/>
          <w:szCs w:val="21"/>
        </w:rPr>
        <w:t>15.无线扩展功能：支持无线扩展功能，可将多台设备共同连接。可连接空气波中央工作站，实现联网功能</w:t>
      </w:r>
    </w:p>
    <w:p>
      <w:pPr>
        <w:spacing w:line="360" w:lineRule="auto"/>
        <w:rPr>
          <w:rFonts w:ascii="黑体" w:hAnsi="黑体" w:eastAsia="黑体"/>
          <w:szCs w:val="21"/>
        </w:rPr>
      </w:pPr>
      <w:r>
        <w:rPr>
          <w:rFonts w:hint="eastAsia" w:ascii="黑体" w:hAnsi="黑体" w:eastAsia="黑体"/>
          <w:szCs w:val="21"/>
        </w:rPr>
        <w:t>16.提示及报警功能：具有超压、欠压、脱落等安全提示功能，同时具有语音及屏幕双重报警功能</w:t>
      </w:r>
    </w:p>
    <w:p>
      <w:pPr>
        <w:spacing w:line="360" w:lineRule="auto"/>
        <w:rPr>
          <w:rFonts w:ascii="黑体" w:hAnsi="黑体" w:eastAsia="黑体"/>
          <w:szCs w:val="21"/>
        </w:rPr>
      </w:pPr>
      <w:r>
        <w:rPr>
          <w:rFonts w:hint="eastAsia" w:ascii="黑体" w:hAnsi="黑体" w:eastAsia="黑体"/>
          <w:szCs w:val="21"/>
        </w:rPr>
        <w:t>17.患者信息储存：具备无限存储扩展功能，实现患者信息及治疗记录无限量储存</w:t>
      </w:r>
    </w:p>
    <w:p>
      <w:pPr>
        <w:spacing w:line="360" w:lineRule="auto"/>
        <w:rPr>
          <w:rFonts w:ascii="黑体" w:hAnsi="黑体" w:eastAsia="黑体"/>
          <w:szCs w:val="21"/>
        </w:rPr>
      </w:pPr>
      <w:r>
        <w:rPr>
          <w:rFonts w:hint="eastAsia" w:ascii="黑体" w:hAnsi="黑体" w:eastAsia="黑体"/>
          <w:szCs w:val="21"/>
        </w:rPr>
        <w:t>18.安全防护功能：达到阈值时、突然断电或中断治疗时，可自动泄压，避免对病人意外伤害</w:t>
      </w:r>
    </w:p>
    <w:p>
      <w:pPr>
        <w:spacing w:line="360" w:lineRule="auto"/>
        <w:rPr>
          <w:rFonts w:ascii="黑体" w:hAnsi="黑体" w:eastAsia="黑体"/>
          <w:szCs w:val="21"/>
        </w:rPr>
      </w:pPr>
      <w:r>
        <w:rPr>
          <w:rFonts w:hint="eastAsia" w:ascii="黑体" w:hAnsi="黑体" w:eastAsia="黑体"/>
          <w:szCs w:val="21"/>
        </w:rPr>
        <w:t>19.售后服务：省内有厂家售后服务人员，并开通400服务热线</w:t>
      </w:r>
    </w:p>
    <w:p>
      <w:pPr>
        <w:spacing w:line="360" w:lineRule="auto"/>
        <w:rPr>
          <w:rFonts w:ascii="黑体" w:hAnsi="黑体" w:eastAsia="黑体"/>
          <w:b/>
          <w:bCs/>
          <w:szCs w:val="21"/>
        </w:rPr>
      </w:pPr>
      <w:r>
        <w:rPr>
          <w:rFonts w:hint="eastAsia" w:ascii="黑体" w:hAnsi="黑体" w:eastAsia="黑体"/>
          <w:b/>
          <w:bCs/>
          <w:szCs w:val="21"/>
        </w:rPr>
        <w:t>配置清单</w:t>
      </w:r>
    </w:p>
    <w:tbl>
      <w:tblPr>
        <w:tblStyle w:val="20"/>
        <w:tblW w:w="5000" w:type="pct"/>
        <w:tblInd w:w="0" w:type="dxa"/>
        <w:tblLayout w:type="autofit"/>
        <w:tblCellMar>
          <w:top w:w="15" w:type="dxa"/>
          <w:left w:w="15" w:type="dxa"/>
          <w:bottom w:w="15" w:type="dxa"/>
          <w:right w:w="15" w:type="dxa"/>
        </w:tblCellMar>
      </w:tblPr>
      <w:tblGrid>
        <w:gridCol w:w="1716"/>
        <w:gridCol w:w="3036"/>
        <w:gridCol w:w="2125"/>
        <w:gridCol w:w="1704"/>
      </w:tblGrid>
      <w:tr>
        <w:tblPrEx>
          <w:tblCellMar>
            <w:top w:w="15" w:type="dxa"/>
            <w:left w:w="15" w:type="dxa"/>
            <w:bottom w:w="15" w:type="dxa"/>
            <w:right w:w="15" w:type="dxa"/>
          </w:tblCellMar>
        </w:tblPrEx>
        <w:trPr>
          <w:trHeight w:val="45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序号</w:t>
            </w:r>
          </w:p>
        </w:tc>
        <w:tc>
          <w:tcPr>
            <w:tcW w:w="1769"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名称</w:t>
            </w:r>
          </w:p>
        </w:tc>
        <w:tc>
          <w:tcPr>
            <w:tcW w:w="1238"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数量</w:t>
            </w:r>
          </w:p>
        </w:tc>
        <w:tc>
          <w:tcPr>
            <w:tcW w:w="993"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单位</w:t>
            </w:r>
          </w:p>
        </w:tc>
      </w:tr>
      <w:tr>
        <w:tblPrEx>
          <w:tblCellMar>
            <w:top w:w="15" w:type="dxa"/>
            <w:left w:w="15" w:type="dxa"/>
            <w:bottom w:w="15" w:type="dxa"/>
            <w:right w:w="15" w:type="dxa"/>
          </w:tblCellMar>
        </w:tblPrEx>
        <w:trPr>
          <w:trHeight w:val="380"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空气波压力治疗系统主机</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台</w:t>
            </w:r>
          </w:p>
        </w:tc>
      </w:tr>
      <w:tr>
        <w:tblPrEx>
          <w:tblCellMar>
            <w:top w:w="15" w:type="dxa"/>
            <w:left w:w="15" w:type="dxa"/>
            <w:bottom w:w="15" w:type="dxa"/>
            <w:right w:w="15" w:type="dxa"/>
          </w:tblCellMar>
        </w:tblPrEx>
        <w:trPr>
          <w:trHeight w:val="386"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2</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电源线</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szCs w:val="21"/>
              </w:rPr>
              <w:t>根</w:t>
            </w:r>
          </w:p>
        </w:tc>
      </w:tr>
      <w:tr>
        <w:tblPrEx>
          <w:tblCellMar>
            <w:top w:w="15" w:type="dxa"/>
            <w:left w:w="15" w:type="dxa"/>
            <w:bottom w:w="15" w:type="dxa"/>
            <w:right w:w="15" w:type="dxa"/>
          </w:tblCellMar>
        </w:tblPrEx>
        <w:trPr>
          <w:trHeight w:val="391"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3</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电源适配器</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83"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4</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说明书</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本</w:t>
            </w:r>
          </w:p>
        </w:tc>
      </w:tr>
      <w:tr>
        <w:tblPrEx>
          <w:tblCellMar>
            <w:top w:w="15" w:type="dxa"/>
            <w:left w:w="15" w:type="dxa"/>
            <w:bottom w:w="15" w:type="dxa"/>
            <w:right w:w="15" w:type="dxa"/>
          </w:tblCellMar>
        </w:tblPrEx>
        <w:trPr>
          <w:trHeight w:val="390"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5</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线控开关</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根</w:t>
            </w:r>
          </w:p>
        </w:tc>
      </w:tr>
      <w:tr>
        <w:tblPrEx>
          <w:tblCellMar>
            <w:top w:w="15" w:type="dxa"/>
            <w:left w:w="15" w:type="dxa"/>
            <w:bottom w:w="15" w:type="dxa"/>
            <w:right w:w="15" w:type="dxa"/>
          </w:tblCellMar>
        </w:tblPrEx>
        <w:trPr>
          <w:trHeight w:val="382"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6</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合格证</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张</w:t>
            </w:r>
          </w:p>
        </w:tc>
      </w:tr>
      <w:tr>
        <w:tblPrEx>
          <w:tblCellMar>
            <w:top w:w="15" w:type="dxa"/>
            <w:left w:w="15" w:type="dxa"/>
            <w:bottom w:w="15" w:type="dxa"/>
            <w:right w:w="15" w:type="dxa"/>
          </w:tblCellMar>
        </w:tblPrEx>
        <w:trPr>
          <w:trHeight w:val="373"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7</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保修卡</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张</w:t>
            </w:r>
          </w:p>
        </w:tc>
      </w:tr>
      <w:tr>
        <w:tblPrEx>
          <w:tblCellMar>
            <w:top w:w="15" w:type="dxa"/>
            <w:left w:w="15" w:type="dxa"/>
            <w:bottom w:w="15" w:type="dxa"/>
            <w:right w:w="15" w:type="dxa"/>
          </w:tblCellMar>
        </w:tblPrEx>
        <w:trPr>
          <w:trHeight w:val="394"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8</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操作指南卡</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szCs w:val="21"/>
              </w:rPr>
              <w:t>张</w:t>
            </w:r>
          </w:p>
        </w:tc>
      </w:tr>
      <w:tr>
        <w:tblPrEx>
          <w:tblCellMar>
            <w:top w:w="15" w:type="dxa"/>
            <w:left w:w="15" w:type="dxa"/>
            <w:bottom w:w="15" w:type="dxa"/>
            <w:right w:w="15" w:type="dxa"/>
          </w:tblCellMar>
        </w:tblPrEx>
        <w:trPr>
          <w:trHeight w:val="386"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9</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延长管组件</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92"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10</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安装手册</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szCs w:val="21"/>
              </w:rPr>
              <w:t>份</w:t>
            </w:r>
          </w:p>
        </w:tc>
      </w:tr>
      <w:tr>
        <w:tblPrEx>
          <w:tblCellMar>
            <w:top w:w="15" w:type="dxa"/>
            <w:left w:w="15" w:type="dxa"/>
            <w:bottom w:w="15" w:type="dxa"/>
            <w:right w:w="15" w:type="dxa"/>
          </w:tblCellMar>
        </w:tblPrEx>
        <w:trPr>
          <w:trHeight w:val="384"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11</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rPr>
              <w:t>左腿气囊组件</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个</w:t>
            </w:r>
          </w:p>
        </w:tc>
      </w:tr>
      <w:tr>
        <w:tblPrEx>
          <w:tblCellMar>
            <w:top w:w="15" w:type="dxa"/>
            <w:left w:w="15" w:type="dxa"/>
            <w:bottom w:w="15" w:type="dxa"/>
            <w:right w:w="15" w:type="dxa"/>
          </w:tblCellMar>
        </w:tblPrEx>
        <w:trPr>
          <w:trHeight w:val="384"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kern w:val="0"/>
                <w:szCs w:val="21"/>
                <w:lang w:bidi="ar"/>
              </w:rPr>
            </w:pPr>
            <w:r>
              <w:rPr>
                <w:rFonts w:hint="eastAsia" w:ascii="黑体" w:hAnsi="黑体" w:eastAsia="黑体" w:cs="宋体"/>
                <w:kern w:val="0"/>
                <w:szCs w:val="21"/>
                <w:lang w:bidi="ar"/>
              </w:rPr>
              <w:t>1</w:t>
            </w:r>
            <w:r>
              <w:rPr>
                <w:rFonts w:ascii="黑体" w:hAnsi="黑体" w:eastAsia="黑体" w:cs="宋体"/>
                <w:kern w:val="0"/>
                <w:szCs w:val="21"/>
                <w:lang w:bidi="ar"/>
              </w:rPr>
              <w:t>2</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kern w:val="0"/>
                <w:szCs w:val="21"/>
              </w:rPr>
            </w:pPr>
            <w:r>
              <w:rPr>
                <w:rFonts w:hint="eastAsia" w:ascii="黑体" w:hAnsi="黑体" w:eastAsia="黑体" w:cs="宋体"/>
                <w:kern w:val="0"/>
                <w:szCs w:val="21"/>
              </w:rPr>
              <w:t>右腿气囊组件</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kern w:val="0"/>
                <w:szCs w:val="21"/>
                <w:lang w:bidi="ar"/>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kern w:val="0"/>
                <w:szCs w:val="21"/>
                <w:lang w:bidi="ar"/>
              </w:rPr>
            </w:pPr>
            <w:r>
              <w:rPr>
                <w:rFonts w:hint="eastAsia" w:ascii="黑体" w:hAnsi="黑体" w:eastAsia="黑体" w:cs="宋体"/>
                <w:kern w:val="0"/>
                <w:szCs w:val="21"/>
                <w:lang w:bidi="ar"/>
              </w:rPr>
              <w:t>个</w:t>
            </w:r>
          </w:p>
        </w:tc>
      </w:tr>
    </w:tbl>
    <w:p>
      <w:pPr>
        <w:spacing w:line="360" w:lineRule="auto"/>
        <w:rPr>
          <w:rFonts w:ascii="黑体" w:hAnsi="黑体" w:eastAsia="黑体"/>
          <w:szCs w:val="21"/>
        </w:rPr>
      </w:pPr>
    </w:p>
    <w:p>
      <w:pPr>
        <w:pageBreakBefore/>
        <w:spacing w:line="360" w:lineRule="auto"/>
        <w:rPr>
          <w:rFonts w:ascii="黑体" w:hAnsi="黑体" w:eastAsia="黑体"/>
          <w:b/>
          <w:bCs/>
          <w:szCs w:val="21"/>
        </w:rPr>
      </w:pPr>
      <w:r>
        <w:rPr>
          <w:rFonts w:hint="eastAsia" w:ascii="黑体" w:hAnsi="黑体" w:eastAsia="黑体"/>
          <w:b/>
          <w:bCs/>
          <w:szCs w:val="21"/>
        </w:rPr>
        <w:t>（十二）床旁彩色超声波(三探头)</w:t>
      </w:r>
    </w:p>
    <w:p>
      <w:pPr>
        <w:tabs>
          <w:tab w:val="left" w:pos="426"/>
        </w:tabs>
        <w:spacing w:line="360" w:lineRule="auto"/>
        <w:jc w:val="left"/>
        <w:rPr>
          <w:rFonts w:ascii="黑体" w:hAnsi="黑体" w:eastAsia="黑体"/>
          <w:b/>
          <w:szCs w:val="21"/>
        </w:rPr>
      </w:pPr>
      <w:r>
        <w:rPr>
          <w:rFonts w:hint="eastAsia" w:ascii="黑体" w:hAnsi="黑体" w:eastAsia="黑体"/>
          <w:b/>
          <w:szCs w:val="21"/>
        </w:rPr>
        <w:t>一、系统规格及功能概述</w:t>
      </w:r>
    </w:p>
    <w:p>
      <w:pPr>
        <w:spacing w:line="360" w:lineRule="auto"/>
        <w:rPr>
          <w:rFonts w:ascii="黑体" w:hAnsi="黑体" w:eastAsia="黑体"/>
          <w:szCs w:val="21"/>
        </w:rPr>
      </w:pPr>
      <w:r>
        <w:rPr>
          <w:rFonts w:ascii="黑体" w:hAnsi="黑体" w:eastAsia="黑体"/>
          <w:szCs w:val="21"/>
        </w:rPr>
        <w:t>1.</w:t>
      </w:r>
      <w:r>
        <w:rPr>
          <w:rFonts w:ascii="黑体" w:hAnsi="黑体" w:eastAsia="黑体"/>
          <w:szCs w:val="21"/>
        </w:rPr>
        <w:tab/>
      </w:r>
      <w:r>
        <w:rPr>
          <w:rFonts w:ascii="黑体" w:hAnsi="黑体" w:eastAsia="黑体"/>
          <w:szCs w:val="21"/>
        </w:rPr>
        <w:t>系统通用功能</w:t>
      </w:r>
    </w:p>
    <w:p>
      <w:pPr>
        <w:spacing w:line="360" w:lineRule="auto"/>
        <w:rPr>
          <w:rFonts w:ascii="黑体" w:hAnsi="黑体" w:eastAsia="黑体"/>
          <w:szCs w:val="21"/>
        </w:rPr>
      </w:pPr>
      <w:r>
        <w:rPr>
          <w:rFonts w:ascii="黑体" w:hAnsi="黑体" w:eastAsia="黑体"/>
          <w:szCs w:val="21"/>
        </w:rPr>
        <w:t>1.1</w:t>
      </w:r>
      <w:r>
        <w:rPr>
          <w:rFonts w:ascii="黑体" w:hAnsi="黑体" w:eastAsia="黑体"/>
          <w:szCs w:val="21"/>
        </w:rPr>
        <w:tab/>
      </w:r>
      <w:r>
        <w:rPr>
          <w:rFonts w:hint="eastAsia" w:ascii="黑体" w:hAnsi="黑体" w:eastAsia="黑体"/>
          <w:szCs w:val="21"/>
        </w:rPr>
        <w:t>≥</w:t>
      </w:r>
      <w:r>
        <w:rPr>
          <w:rFonts w:ascii="黑体" w:hAnsi="黑体" w:eastAsia="黑体"/>
          <w:szCs w:val="21"/>
        </w:rPr>
        <w:t>15寸高清晰、医用专业彩色显示屏，可根据环境光变化自动调节亮度</w:t>
      </w:r>
    </w:p>
    <w:p>
      <w:pPr>
        <w:spacing w:line="360" w:lineRule="auto"/>
        <w:rPr>
          <w:rFonts w:ascii="黑体" w:hAnsi="黑体" w:eastAsia="黑体"/>
          <w:szCs w:val="21"/>
        </w:rPr>
      </w:pPr>
      <w:r>
        <w:rPr>
          <w:rFonts w:ascii="黑体" w:hAnsi="黑体" w:eastAsia="黑体"/>
          <w:szCs w:val="21"/>
        </w:rPr>
        <w:t>1.2</w:t>
      </w:r>
      <w:r>
        <w:rPr>
          <w:rFonts w:ascii="黑体" w:hAnsi="黑体" w:eastAsia="黑体"/>
          <w:szCs w:val="21"/>
        </w:rPr>
        <w:tab/>
      </w:r>
      <w:r>
        <w:rPr>
          <w:rFonts w:ascii="黑体" w:hAnsi="黑体" w:eastAsia="黑体"/>
          <w:szCs w:val="21"/>
        </w:rPr>
        <w:t>探头接口</w:t>
      </w:r>
      <w:r>
        <w:rPr>
          <w:rFonts w:hint="eastAsia" w:ascii="黑体" w:hAnsi="黑体" w:eastAsia="黑体"/>
          <w:szCs w:val="21"/>
        </w:rPr>
        <w:t>≥</w:t>
      </w:r>
      <w:r>
        <w:rPr>
          <w:rFonts w:ascii="黑体" w:hAnsi="黑体" w:eastAsia="黑体"/>
          <w:szCs w:val="21"/>
        </w:rPr>
        <w:t>1个，可扩展到</w:t>
      </w:r>
      <w:r>
        <w:rPr>
          <w:rFonts w:hint="eastAsia" w:ascii="黑体" w:hAnsi="黑体" w:eastAsia="黑体"/>
          <w:szCs w:val="21"/>
        </w:rPr>
        <w:t>≥</w:t>
      </w:r>
      <w:r>
        <w:rPr>
          <w:rFonts w:ascii="黑体" w:hAnsi="黑体" w:eastAsia="黑体"/>
          <w:szCs w:val="21"/>
        </w:rPr>
        <w:t>3个</w:t>
      </w:r>
    </w:p>
    <w:p>
      <w:pPr>
        <w:spacing w:line="360" w:lineRule="auto"/>
        <w:rPr>
          <w:rFonts w:ascii="黑体" w:hAnsi="黑体" w:eastAsia="黑体"/>
          <w:szCs w:val="21"/>
        </w:rPr>
      </w:pPr>
      <w:r>
        <w:rPr>
          <w:rFonts w:ascii="黑体" w:hAnsi="黑体" w:eastAsia="黑体"/>
          <w:szCs w:val="21"/>
        </w:rPr>
        <w:t>1.3</w:t>
      </w:r>
      <w:r>
        <w:rPr>
          <w:rFonts w:ascii="黑体" w:hAnsi="黑体" w:eastAsia="黑体"/>
          <w:szCs w:val="21"/>
        </w:rPr>
        <w:tab/>
      </w:r>
      <w:r>
        <w:rPr>
          <w:rFonts w:ascii="黑体" w:hAnsi="黑体" w:eastAsia="黑体"/>
          <w:szCs w:val="21"/>
        </w:rPr>
        <w:t>整机含电池重量</w:t>
      </w:r>
      <w:r>
        <w:rPr>
          <w:rFonts w:hint="eastAsia" w:ascii="黑体" w:hAnsi="黑体" w:eastAsia="黑体"/>
          <w:szCs w:val="21"/>
        </w:rPr>
        <w:t>≤</w:t>
      </w:r>
      <w:r>
        <w:rPr>
          <w:rFonts w:ascii="黑体" w:hAnsi="黑体" w:eastAsia="黑体"/>
          <w:szCs w:val="21"/>
        </w:rPr>
        <w:t xml:space="preserve">6.5kg </w:t>
      </w:r>
    </w:p>
    <w:p>
      <w:pPr>
        <w:spacing w:line="360" w:lineRule="auto"/>
        <w:rPr>
          <w:rFonts w:ascii="黑体" w:hAnsi="黑体" w:eastAsia="黑体"/>
          <w:b/>
          <w:bCs/>
          <w:szCs w:val="21"/>
        </w:rPr>
      </w:pPr>
      <w:r>
        <w:rPr>
          <w:rFonts w:ascii="黑体" w:hAnsi="黑体" w:eastAsia="黑体"/>
          <w:b/>
          <w:bCs/>
          <w:szCs w:val="21"/>
        </w:rPr>
        <w:t>1.4</w:t>
      </w:r>
      <w:r>
        <w:rPr>
          <w:rFonts w:ascii="黑体" w:hAnsi="黑体" w:eastAsia="黑体"/>
          <w:b/>
          <w:bCs/>
          <w:szCs w:val="21"/>
        </w:rPr>
        <w:tab/>
      </w:r>
      <w:r>
        <w:rPr>
          <w:rFonts w:hint="eastAsia" w:ascii="黑体" w:hAnsi="黑体" w:eastAsia="黑体"/>
          <w:b/>
          <w:bCs/>
          <w:szCs w:val="21"/>
        </w:rPr>
        <w:t>▲采用全物理按键（非触摸屏）操作，</w:t>
      </w:r>
      <w:r>
        <w:rPr>
          <w:rFonts w:ascii="黑体" w:hAnsi="黑体" w:eastAsia="黑体"/>
          <w:b/>
          <w:bCs/>
          <w:szCs w:val="21"/>
        </w:rPr>
        <w:t>支持用户自定义按键数量≥4个，同一个自定义键支持≥4个功能</w:t>
      </w:r>
    </w:p>
    <w:p>
      <w:pPr>
        <w:spacing w:line="360" w:lineRule="auto"/>
        <w:rPr>
          <w:rFonts w:ascii="黑体" w:hAnsi="黑体" w:eastAsia="黑体"/>
          <w:szCs w:val="21"/>
        </w:rPr>
      </w:pPr>
      <w:r>
        <w:rPr>
          <w:rFonts w:ascii="黑体" w:hAnsi="黑体" w:eastAsia="黑体"/>
          <w:szCs w:val="21"/>
        </w:rPr>
        <w:t>1.5</w:t>
      </w:r>
      <w:r>
        <w:rPr>
          <w:rFonts w:ascii="黑体" w:hAnsi="黑体" w:eastAsia="黑体"/>
          <w:szCs w:val="21"/>
        </w:rPr>
        <w:tab/>
      </w:r>
      <w:r>
        <w:rPr>
          <w:rFonts w:ascii="黑体" w:hAnsi="黑体" w:eastAsia="黑体"/>
          <w:szCs w:val="21"/>
        </w:rPr>
        <w:t>支持英语，中文，法语等语种（包括键盘输入、注释、操作面板等）</w:t>
      </w:r>
    </w:p>
    <w:p>
      <w:pPr>
        <w:spacing w:line="360" w:lineRule="auto"/>
        <w:rPr>
          <w:rFonts w:ascii="黑体" w:hAnsi="黑体" w:eastAsia="黑体"/>
          <w:szCs w:val="21"/>
        </w:rPr>
      </w:pPr>
      <w:r>
        <w:rPr>
          <w:rFonts w:hint="eastAsia" w:ascii="黑体" w:hAnsi="黑体" w:eastAsia="黑体"/>
          <w:szCs w:val="21"/>
        </w:rPr>
        <w:t>1</w:t>
      </w:r>
      <w:r>
        <w:rPr>
          <w:rFonts w:ascii="黑体" w:hAnsi="黑体" w:eastAsia="黑体"/>
          <w:szCs w:val="21"/>
        </w:rPr>
        <w:t>.6 一键自动优化</w:t>
      </w:r>
      <w:r>
        <w:rPr>
          <w:rFonts w:hint="eastAsia" w:ascii="黑体" w:hAnsi="黑体" w:eastAsia="黑体"/>
          <w:szCs w:val="21"/>
        </w:rPr>
        <w:t>，可</w:t>
      </w:r>
      <w:r>
        <w:rPr>
          <w:rFonts w:ascii="黑体" w:hAnsi="黑体" w:eastAsia="黑体"/>
          <w:szCs w:val="21"/>
        </w:rPr>
        <w:t>应用于二维、彩色、频谱模式及造影</w:t>
      </w:r>
    </w:p>
    <w:p>
      <w:pPr>
        <w:spacing w:line="360" w:lineRule="auto"/>
        <w:rPr>
          <w:rFonts w:ascii="黑体" w:hAnsi="黑体" w:eastAsia="黑体"/>
          <w:b/>
          <w:bCs/>
          <w:szCs w:val="21"/>
        </w:rPr>
      </w:pPr>
      <w:r>
        <w:rPr>
          <w:rFonts w:hint="eastAsia" w:ascii="黑体" w:hAnsi="黑体" w:eastAsia="黑体"/>
          <w:b/>
          <w:bCs/>
          <w:szCs w:val="21"/>
        </w:rPr>
        <w:t>1</w:t>
      </w:r>
      <w:r>
        <w:rPr>
          <w:rFonts w:ascii="黑体" w:hAnsi="黑体" w:eastAsia="黑体"/>
          <w:b/>
          <w:bCs/>
          <w:szCs w:val="21"/>
        </w:rPr>
        <w:t xml:space="preserve">.7 </w:t>
      </w:r>
      <w:r>
        <w:rPr>
          <w:rFonts w:hint="eastAsia" w:ascii="黑体" w:hAnsi="黑体" w:eastAsia="黑体"/>
          <w:b/>
          <w:bCs/>
          <w:szCs w:val="21"/>
        </w:rPr>
        <w:t>▲</w:t>
      </w:r>
      <w:r>
        <w:rPr>
          <w:rFonts w:ascii="黑体" w:hAnsi="黑体" w:eastAsia="黑体"/>
          <w:b/>
          <w:bCs/>
          <w:szCs w:val="21"/>
        </w:rPr>
        <w:t>超声教学助手，能提供标准超声声像图、解剖示意图、手法图及扫查技巧提示等</w:t>
      </w:r>
      <w:r>
        <w:rPr>
          <w:rFonts w:hint="eastAsia" w:ascii="黑体" w:hAnsi="黑体" w:eastAsia="黑体"/>
          <w:b/>
          <w:bCs/>
          <w:szCs w:val="21"/>
        </w:rPr>
        <w:t>。</w:t>
      </w:r>
    </w:p>
    <w:p>
      <w:pPr>
        <w:spacing w:line="360" w:lineRule="auto"/>
        <w:rPr>
          <w:rFonts w:ascii="黑体" w:hAnsi="黑体" w:eastAsia="黑体"/>
          <w:szCs w:val="21"/>
        </w:rPr>
      </w:pPr>
      <w:r>
        <w:rPr>
          <w:rFonts w:ascii="黑体" w:hAnsi="黑体" w:eastAsia="黑体"/>
          <w:szCs w:val="21"/>
        </w:rPr>
        <w:t>2.</w:t>
      </w:r>
      <w:r>
        <w:rPr>
          <w:rFonts w:ascii="黑体" w:hAnsi="黑体" w:eastAsia="黑体"/>
          <w:szCs w:val="21"/>
        </w:rPr>
        <w:tab/>
      </w:r>
      <w:r>
        <w:rPr>
          <w:rFonts w:ascii="黑体" w:hAnsi="黑体" w:eastAsia="黑体"/>
          <w:szCs w:val="21"/>
        </w:rPr>
        <w:t>二维灰阶模式</w:t>
      </w:r>
    </w:p>
    <w:p>
      <w:pPr>
        <w:spacing w:line="360" w:lineRule="auto"/>
        <w:rPr>
          <w:rFonts w:ascii="黑体" w:hAnsi="黑体" w:eastAsia="黑体"/>
          <w:szCs w:val="21"/>
        </w:rPr>
      </w:pPr>
      <w:r>
        <w:rPr>
          <w:rFonts w:ascii="黑体" w:hAnsi="黑体" w:eastAsia="黑体"/>
          <w:szCs w:val="21"/>
        </w:rPr>
        <w:t>2.1</w:t>
      </w:r>
      <w:r>
        <w:rPr>
          <w:rFonts w:ascii="黑体" w:hAnsi="黑体" w:eastAsia="黑体"/>
          <w:szCs w:val="21"/>
        </w:rPr>
        <w:tab/>
      </w:r>
      <w:r>
        <w:rPr>
          <w:rFonts w:ascii="黑体" w:hAnsi="黑体" w:eastAsia="黑体"/>
          <w:szCs w:val="21"/>
        </w:rPr>
        <w:t>组织谐波成像模式</w:t>
      </w:r>
    </w:p>
    <w:p>
      <w:pPr>
        <w:spacing w:line="360" w:lineRule="auto"/>
        <w:rPr>
          <w:rFonts w:ascii="黑体" w:hAnsi="黑体" w:eastAsia="黑体"/>
          <w:szCs w:val="21"/>
        </w:rPr>
      </w:pPr>
      <w:r>
        <w:rPr>
          <w:rFonts w:ascii="黑体" w:hAnsi="黑体" w:eastAsia="黑体"/>
          <w:szCs w:val="21"/>
        </w:rPr>
        <w:t>2.2</w:t>
      </w:r>
      <w:r>
        <w:rPr>
          <w:rFonts w:ascii="黑体" w:hAnsi="黑体" w:eastAsia="黑体"/>
          <w:szCs w:val="21"/>
        </w:rPr>
        <w:tab/>
      </w:r>
      <w:r>
        <w:rPr>
          <w:rFonts w:ascii="黑体" w:hAnsi="黑体" w:eastAsia="黑体"/>
          <w:szCs w:val="21"/>
        </w:rPr>
        <w:t>组织特异性成像</w:t>
      </w:r>
    </w:p>
    <w:p>
      <w:pPr>
        <w:spacing w:line="360" w:lineRule="auto"/>
        <w:rPr>
          <w:rFonts w:ascii="黑体" w:hAnsi="黑体" w:eastAsia="黑体"/>
          <w:szCs w:val="21"/>
        </w:rPr>
      </w:pPr>
      <w:r>
        <w:rPr>
          <w:rFonts w:ascii="黑体" w:hAnsi="黑体" w:eastAsia="黑体"/>
          <w:szCs w:val="21"/>
        </w:rPr>
        <w:t>2.3</w:t>
      </w:r>
      <w:r>
        <w:rPr>
          <w:rFonts w:ascii="黑体" w:hAnsi="黑体" w:eastAsia="黑体"/>
          <w:szCs w:val="21"/>
        </w:rPr>
        <w:tab/>
      </w:r>
      <w:r>
        <w:rPr>
          <w:rFonts w:ascii="黑体" w:hAnsi="黑体" w:eastAsia="黑体"/>
          <w:szCs w:val="21"/>
        </w:rPr>
        <w:t>多角度空间复合成像技术，支持≥7条偏转线，多级可调，支持线阵和凸阵探头</w:t>
      </w:r>
    </w:p>
    <w:p>
      <w:pPr>
        <w:spacing w:line="360" w:lineRule="auto"/>
        <w:rPr>
          <w:rFonts w:ascii="黑体" w:hAnsi="黑体" w:eastAsia="黑体"/>
          <w:szCs w:val="21"/>
        </w:rPr>
      </w:pPr>
      <w:r>
        <w:rPr>
          <w:rFonts w:ascii="黑体" w:hAnsi="黑体" w:eastAsia="黑体"/>
          <w:szCs w:val="21"/>
        </w:rPr>
        <w:t>2.4</w:t>
      </w:r>
      <w:r>
        <w:rPr>
          <w:rFonts w:ascii="黑体" w:hAnsi="黑体" w:eastAsia="黑体"/>
          <w:szCs w:val="21"/>
        </w:rPr>
        <w:tab/>
      </w:r>
      <w:r>
        <w:rPr>
          <w:rFonts w:ascii="黑体" w:hAnsi="黑体" w:eastAsia="黑体"/>
          <w:szCs w:val="21"/>
        </w:rPr>
        <w:t>频率复合成像</w:t>
      </w:r>
    </w:p>
    <w:p>
      <w:pPr>
        <w:spacing w:line="360" w:lineRule="auto"/>
        <w:rPr>
          <w:rFonts w:ascii="黑体" w:hAnsi="黑体" w:eastAsia="黑体"/>
          <w:szCs w:val="21"/>
        </w:rPr>
      </w:pPr>
      <w:r>
        <w:rPr>
          <w:rFonts w:ascii="黑体" w:hAnsi="黑体" w:eastAsia="黑体"/>
          <w:szCs w:val="21"/>
        </w:rPr>
        <w:t>2.5</w:t>
      </w:r>
      <w:r>
        <w:rPr>
          <w:rFonts w:ascii="黑体" w:hAnsi="黑体" w:eastAsia="黑体"/>
          <w:szCs w:val="21"/>
        </w:rPr>
        <w:tab/>
      </w:r>
      <w:r>
        <w:rPr>
          <w:rFonts w:ascii="黑体" w:hAnsi="黑体" w:eastAsia="黑体"/>
          <w:szCs w:val="21"/>
        </w:rPr>
        <w:t>斑点噪声抑制成像</w:t>
      </w:r>
    </w:p>
    <w:p>
      <w:pPr>
        <w:spacing w:line="360" w:lineRule="auto"/>
        <w:rPr>
          <w:rFonts w:ascii="黑体" w:hAnsi="黑体" w:eastAsia="黑体"/>
          <w:szCs w:val="21"/>
        </w:rPr>
      </w:pPr>
      <w:r>
        <w:rPr>
          <w:rFonts w:ascii="黑体" w:hAnsi="黑体" w:eastAsia="黑体"/>
          <w:szCs w:val="21"/>
        </w:rPr>
        <w:t>2.6</w:t>
      </w:r>
      <w:r>
        <w:rPr>
          <w:rFonts w:ascii="黑体" w:hAnsi="黑体" w:eastAsia="黑体"/>
          <w:szCs w:val="21"/>
        </w:rPr>
        <w:tab/>
      </w:r>
      <w:r>
        <w:rPr>
          <w:rFonts w:ascii="黑体" w:hAnsi="黑体" w:eastAsia="黑体"/>
          <w:szCs w:val="21"/>
        </w:rPr>
        <w:t>回波增强技术</w:t>
      </w:r>
    </w:p>
    <w:p>
      <w:pPr>
        <w:spacing w:line="360" w:lineRule="auto"/>
        <w:rPr>
          <w:rFonts w:ascii="黑体" w:hAnsi="黑体" w:eastAsia="黑体"/>
          <w:szCs w:val="21"/>
        </w:rPr>
      </w:pPr>
      <w:r>
        <w:rPr>
          <w:rFonts w:ascii="黑体" w:hAnsi="黑体" w:eastAsia="黑体"/>
          <w:szCs w:val="21"/>
        </w:rPr>
        <w:t>3.</w:t>
      </w:r>
      <w:r>
        <w:rPr>
          <w:rFonts w:ascii="黑体" w:hAnsi="黑体" w:eastAsia="黑体"/>
          <w:szCs w:val="21"/>
        </w:rPr>
        <w:tab/>
      </w:r>
      <w:r>
        <w:rPr>
          <w:rFonts w:ascii="黑体" w:hAnsi="黑体" w:eastAsia="黑体"/>
          <w:szCs w:val="21"/>
        </w:rPr>
        <w:t>M型成像模式</w:t>
      </w:r>
    </w:p>
    <w:p>
      <w:pPr>
        <w:spacing w:line="360" w:lineRule="auto"/>
        <w:rPr>
          <w:rFonts w:ascii="黑体" w:hAnsi="黑体" w:eastAsia="黑体"/>
          <w:szCs w:val="21"/>
        </w:rPr>
      </w:pPr>
      <w:r>
        <w:rPr>
          <w:rFonts w:ascii="黑体" w:hAnsi="黑体" w:eastAsia="黑体"/>
          <w:szCs w:val="21"/>
        </w:rPr>
        <w:t>3.1</w:t>
      </w:r>
      <w:r>
        <w:rPr>
          <w:rFonts w:ascii="黑体" w:hAnsi="黑体" w:eastAsia="黑体"/>
          <w:szCs w:val="21"/>
        </w:rPr>
        <w:tab/>
      </w:r>
      <w:r>
        <w:rPr>
          <w:rFonts w:ascii="黑体" w:hAnsi="黑体" w:eastAsia="黑体"/>
          <w:szCs w:val="21"/>
        </w:rPr>
        <w:t>彩色M型</w:t>
      </w:r>
    </w:p>
    <w:p>
      <w:pPr>
        <w:spacing w:line="360" w:lineRule="auto"/>
        <w:rPr>
          <w:rFonts w:ascii="黑体" w:hAnsi="黑体" w:eastAsia="黑体"/>
          <w:szCs w:val="21"/>
        </w:rPr>
      </w:pPr>
      <w:r>
        <w:rPr>
          <w:rFonts w:ascii="黑体" w:hAnsi="黑体" w:eastAsia="黑体"/>
          <w:szCs w:val="21"/>
        </w:rPr>
        <w:t>3.2</w:t>
      </w:r>
      <w:r>
        <w:rPr>
          <w:rFonts w:ascii="黑体" w:hAnsi="黑体" w:eastAsia="黑体"/>
          <w:szCs w:val="21"/>
        </w:rPr>
        <w:tab/>
      </w:r>
      <w:r>
        <w:rPr>
          <w:rFonts w:ascii="黑体" w:hAnsi="黑体" w:eastAsia="黑体"/>
          <w:szCs w:val="21"/>
        </w:rPr>
        <w:t>解剖M型，取样线≥2 条，可360度任意旋转，支持实时扫描以及离线重构M型图像</w:t>
      </w:r>
    </w:p>
    <w:p>
      <w:pPr>
        <w:spacing w:line="360" w:lineRule="auto"/>
        <w:rPr>
          <w:rFonts w:ascii="黑体" w:hAnsi="黑体" w:eastAsia="黑体"/>
          <w:b/>
          <w:bCs/>
          <w:szCs w:val="21"/>
        </w:rPr>
      </w:pPr>
      <w:r>
        <w:rPr>
          <w:rFonts w:hint="eastAsia" w:ascii="黑体" w:hAnsi="黑体" w:eastAsia="黑体"/>
          <w:b/>
          <w:bCs/>
          <w:szCs w:val="21"/>
        </w:rPr>
        <w:t>3</w:t>
      </w:r>
      <w:r>
        <w:rPr>
          <w:rFonts w:ascii="黑体" w:hAnsi="黑体" w:eastAsia="黑体"/>
          <w:b/>
          <w:bCs/>
          <w:szCs w:val="21"/>
        </w:rPr>
        <w:t xml:space="preserve">.3 </w:t>
      </w:r>
      <w:r>
        <w:rPr>
          <w:rFonts w:hint="eastAsia" w:ascii="黑体" w:hAnsi="黑体" w:eastAsia="黑体"/>
          <w:b/>
          <w:bCs/>
          <w:szCs w:val="21"/>
        </w:rPr>
        <w:t>▲曲线解剖</w:t>
      </w:r>
      <w:r>
        <w:rPr>
          <w:rFonts w:ascii="黑体" w:hAnsi="黑体" w:eastAsia="黑体"/>
          <w:b/>
          <w:bCs/>
          <w:szCs w:val="21"/>
        </w:rPr>
        <w:t>M型模式，可在二维彩色多普勒速度图像上，对于扫查切面内任意一段心肌组织作M型取样，其取样线走行可为任意方向、任意形状，从而获得心肌节段的舒缩运动时相信息。</w:t>
      </w:r>
    </w:p>
    <w:p>
      <w:pPr>
        <w:spacing w:line="360" w:lineRule="auto"/>
        <w:rPr>
          <w:rFonts w:ascii="黑体" w:hAnsi="黑体" w:eastAsia="黑体"/>
          <w:szCs w:val="21"/>
        </w:rPr>
      </w:pPr>
      <w:r>
        <w:rPr>
          <w:rFonts w:ascii="黑体" w:hAnsi="黑体" w:eastAsia="黑体"/>
          <w:szCs w:val="21"/>
        </w:rPr>
        <w:t>4.</w:t>
      </w:r>
      <w:r>
        <w:rPr>
          <w:rFonts w:ascii="黑体" w:hAnsi="黑体" w:eastAsia="黑体"/>
          <w:szCs w:val="21"/>
        </w:rPr>
        <w:tab/>
      </w:r>
      <w:r>
        <w:rPr>
          <w:rFonts w:ascii="黑体" w:hAnsi="黑体" w:eastAsia="黑体"/>
          <w:szCs w:val="21"/>
        </w:rPr>
        <w:t>彩色多普勒成像（包括彩色、能量、方向能量多普勒模式）</w:t>
      </w:r>
    </w:p>
    <w:p>
      <w:pPr>
        <w:spacing w:line="360" w:lineRule="auto"/>
        <w:rPr>
          <w:rFonts w:ascii="黑体" w:hAnsi="黑体" w:eastAsia="黑体"/>
          <w:szCs w:val="21"/>
        </w:rPr>
      </w:pPr>
      <w:r>
        <w:rPr>
          <w:rFonts w:ascii="黑体" w:hAnsi="黑体" w:eastAsia="黑体"/>
          <w:szCs w:val="21"/>
        </w:rPr>
        <w:t>4.1</w:t>
      </w:r>
      <w:r>
        <w:rPr>
          <w:rFonts w:ascii="黑体" w:hAnsi="黑体" w:eastAsia="黑体"/>
          <w:szCs w:val="21"/>
        </w:rPr>
        <w:tab/>
      </w:r>
      <w:r>
        <w:rPr>
          <w:rFonts w:ascii="黑体" w:hAnsi="黑体" w:eastAsia="黑体"/>
          <w:szCs w:val="21"/>
        </w:rPr>
        <w:t>超宽动态血流技术</w:t>
      </w:r>
    </w:p>
    <w:p>
      <w:pPr>
        <w:spacing w:line="360" w:lineRule="auto"/>
        <w:rPr>
          <w:rFonts w:ascii="黑体" w:hAnsi="黑体" w:eastAsia="黑体"/>
          <w:szCs w:val="21"/>
        </w:rPr>
      </w:pPr>
      <w:r>
        <w:rPr>
          <w:rFonts w:ascii="黑体" w:hAnsi="黑体" w:eastAsia="黑体"/>
          <w:szCs w:val="21"/>
        </w:rPr>
        <w:t>4.2</w:t>
      </w:r>
      <w:r>
        <w:rPr>
          <w:rFonts w:ascii="黑体" w:hAnsi="黑体" w:eastAsia="黑体"/>
          <w:szCs w:val="21"/>
        </w:rPr>
        <w:tab/>
      </w:r>
      <w:r>
        <w:rPr>
          <w:rFonts w:ascii="黑体" w:hAnsi="黑体" w:eastAsia="黑体"/>
          <w:szCs w:val="21"/>
        </w:rPr>
        <w:t>高分辨率血流成像</w:t>
      </w:r>
    </w:p>
    <w:p>
      <w:pPr>
        <w:spacing w:line="360" w:lineRule="auto"/>
        <w:rPr>
          <w:rFonts w:ascii="黑体" w:hAnsi="黑体" w:eastAsia="黑体"/>
          <w:szCs w:val="21"/>
        </w:rPr>
      </w:pPr>
      <w:r>
        <w:rPr>
          <w:rFonts w:ascii="黑体" w:hAnsi="黑体" w:eastAsia="黑体"/>
          <w:szCs w:val="21"/>
        </w:rPr>
        <w:t>4.3</w:t>
      </w:r>
      <w:r>
        <w:rPr>
          <w:rFonts w:ascii="黑体" w:hAnsi="黑体" w:eastAsia="黑体"/>
          <w:szCs w:val="21"/>
        </w:rPr>
        <w:tab/>
      </w:r>
      <w:r>
        <w:rPr>
          <w:rFonts w:ascii="黑体" w:hAnsi="黑体" w:eastAsia="黑体"/>
          <w:szCs w:val="21"/>
        </w:rPr>
        <w:t>双实时同屏对比显示</w:t>
      </w:r>
    </w:p>
    <w:p>
      <w:pPr>
        <w:spacing w:line="360" w:lineRule="auto"/>
        <w:rPr>
          <w:rFonts w:ascii="黑体" w:hAnsi="黑体" w:eastAsia="黑体"/>
          <w:szCs w:val="21"/>
        </w:rPr>
      </w:pPr>
      <w:r>
        <w:rPr>
          <w:rFonts w:ascii="黑体" w:hAnsi="黑体" w:eastAsia="黑体"/>
          <w:szCs w:val="21"/>
        </w:rPr>
        <w:t>4.4</w:t>
      </w:r>
      <w:r>
        <w:rPr>
          <w:rFonts w:ascii="黑体" w:hAnsi="黑体" w:eastAsia="黑体"/>
          <w:szCs w:val="21"/>
        </w:rPr>
        <w:tab/>
      </w:r>
      <w:r>
        <w:rPr>
          <w:rFonts w:ascii="黑体" w:hAnsi="黑体" w:eastAsia="黑体"/>
          <w:szCs w:val="21"/>
        </w:rPr>
        <w:t>自动调节取样框的角度及位置</w:t>
      </w:r>
    </w:p>
    <w:p>
      <w:pPr>
        <w:spacing w:line="360" w:lineRule="auto"/>
        <w:rPr>
          <w:rFonts w:ascii="黑体" w:hAnsi="黑体" w:eastAsia="黑体"/>
          <w:szCs w:val="21"/>
        </w:rPr>
      </w:pPr>
      <w:r>
        <w:rPr>
          <w:rFonts w:ascii="黑体" w:hAnsi="黑体" w:eastAsia="黑体"/>
          <w:szCs w:val="21"/>
        </w:rPr>
        <w:t>5.</w:t>
      </w:r>
      <w:r>
        <w:rPr>
          <w:rFonts w:ascii="黑体" w:hAnsi="黑体" w:eastAsia="黑体"/>
          <w:szCs w:val="21"/>
        </w:rPr>
        <w:tab/>
      </w:r>
      <w:r>
        <w:rPr>
          <w:rFonts w:ascii="黑体" w:hAnsi="黑体" w:eastAsia="黑体"/>
          <w:szCs w:val="21"/>
        </w:rPr>
        <w:t>频谱多普勒成像</w:t>
      </w:r>
    </w:p>
    <w:p>
      <w:pPr>
        <w:spacing w:line="360" w:lineRule="auto"/>
        <w:rPr>
          <w:rFonts w:ascii="黑体" w:hAnsi="黑体" w:eastAsia="黑体"/>
          <w:szCs w:val="21"/>
        </w:rPr>
      </w:pPr>
      <w:r>
        <w:rPr>
          <w:rFonts w:ascii="黑体" w:hAnsi="黑体" w:eastAsia="黑体"/>
          <w:szCs w:val="21"/>
        </w:rPr>
        <w:t>5.1</w:t>
      </w:r>
      <w:r>
        <w:rPr>
          <w:rFonts w:ascii="黑体" w:hAnsi="黑体" w:eastAsia="黑体"/>
          <w:szCs w:val="21"/>
        </w:rPr>
        <w:tab/>
      </w:r>
      <w:r>
        <w:rPr>
          <w:rFonts w:ascii="黑体" w:hAnsi="黑体" w:eastAsia="黑体"/>
          <w:szCs w:val="21"/>
        </w:rPr>
        <w:t>脉冲多普勒、高脉冲重复频率</w:t>
      </w:r>
    </w:p>
    <w:p>
      <w:pPr>
        <w:spacing w:line="360" w:lineRule="auto"/>
        <w:rPr>
          <w:rFonts w:ascii="黑体" w:hAnsi="黑体" w:eastAsia="黑体"/>
          <w:szCs w:val="21"/>
        </w:rPr>
      </w:pPr>
      <w:r>
        <w:rPr>
          <w:rFonts w:ascii="黑体" w:hAnsi="黑体" w:eastAsia="黑体"/>
          <w:szCs w:val="21"/>
        </w:rPr>
        <w:t>5.2</w:t>
      </w:r>
      <w:r>
        <w:rPr>
          <w:rFonts w:ascii="黑体" w:hAnsi="黑体" w:eastAsia="黑体"/>
          <w:szCs w:val="21"/>
        </w:rPr>
        <w:tab/>
      </w:r>
      <w:r>
        <w:rPr>
          <w:rFonts w:ascii="黑体" w:hAnsi="黑体" w:eastAsia="黑体"/>
          <w:szCs w:val="21"/>
        </w:rPr>
        <w:t>连续多普勒</w:t>
      </w:r>
    </w:p>
    <w:p>
      <w:pPr>
        <w:spacing w:line="360" w:lineRule="auto"/>
        <w:rPr>
          <w:rFonts w:ascii="黑体" w:hAnsi="黑体" w:eastAsia="黑体"/>
          <w:szCs w:val="21"/>
        </w:rPr>
      </w:pPr>
      <w:r>
        <w:rPr>
          <w:rFonts w:ascii="黑体" w:hAnsi="黑体" w:eastAsia="黑体"/>
          <w:szCs w:val="21"/>
        </w:rPr>
        <w:t>5.3</w:t>
      </w:r>
      <w:r>
        <w:rPr>
          <w:rFonts w:ascii="黑体" w:hAnsi="黑体" w:eastAsia="黑体"/>
          <w:szCs w:val="21"/>
        </w:rPr>
        <w:tab/>
      </w:r>
      <w:r>
        <w:rPr>
          <w:rFonts w:ascii="黑体" w:hAnsi="黑体" w:eastAsia="黑体"/>
          <w:szCs w:val="21"/>
        </w:rPr>
        <w:t>智能多普勒自动优化频谱多普勒取样线角度，以及快速矫正取样角度</w:t>
      </w:r>
    </w:p>
    <w:p>
      <w:pPr>
        <w:spacing w:line="360" w:lineRule="auto"/>
        <w:rPr>
          <w:rFonts w:ascii="黑体" w:hAnsi="黑体" w:eastAsia="黑体"/>
          <w:szCs w:val="21"/>
        </w:rPr>
      </w:pPr>
      <w:r>
        <w:rPr>
          <w:rFonts w:ascii="黑体" w:hAnsi="黑体" w:eastAsia="黑体"/>
          <w:szCs w:val="21"/>
        </w:rPr>
        <w:t>6.</w:t>
      </w:r>
      <w:r>
        <w:rPr>
          <w:rFonts w:ascii="黑体" w:hAnsi="黑体" w:eastAsia="黑体"/>
          <w:szCs w:val="21"/>
        </w:rPr>
        <w:tab/>
      </w:r>
      <w:r>
        <w:rPr>
          <w:rFonts w:ascii="黑体" w:hAnsi="黑体" w:eastAsia="黑体"/>
          <w:szCs w:val="21"/>
        </w:rPr>
        <w:t>组织多普勒成像及定量分析单元</w:t>
      </w:r>
    </w:p>
    <w:p>
      <w:pPr>
        <w:spacing w:line="360" w:lineRule="auto"/>
        <w:rPr>
          <w:rFonts w:ascii="黑体" w:hAnsi="黑体" w:eastAsia="黑体"/>
          <w:szCs w:val="21"/>
        </w:rPr>
      </w:pPr>
      <w:r>
        <w:rPr>
          <w:rFonts w:ascii="黑体" w:hAnsi="黑体" w:eastAsia="黑体"/>
          <w:szCs w:val="21"/>
        </w:rPr>
        <w:t>6.1</w:t>
      </w:r>
      <w:r>
        <w:rPr>
          <w:rFonts w:ascii="黑体" w:hAnsi="黑体" w:eastAsia="黑体"/>
          <w:szCs w:val="21"/>
        </w:rPr>
        <w:tab/>
      </w:r>
      <w:r>
        <w:rPr>
          <w:rFonts w:ascii="黑体" w:hAnsi="黑体" w:eastAsia="黑体"/>
          <w:szCs w:val="21"/>
        </w:rPr>
        <w:t>支持TDI、TVI、TDI-PW、TDI-M四种模式</w:t>
      </w:r>
    </w:p>
    <w:p>
      <w:pPr>
        <w:spacing w:line="360" w:lineRule="auto"/>
        <w:rPr>
          <w:rFonts w:ascii="黑体" w:hAnsi="黑体" w:eastAsia="黑体"/>
          <w:b/>
          <w:bCs/>
          <w:szCs w:val="21"/>
        </w:rPr>
      </w:pPr>
      <w:r>
        <w:rPr>
          <w:rFonts w:ascii="黑体" w:hAnsi="黑体" w:eastAsia="黑体"/>
          <w:b/>
          <w:bCs/>
          <w:szCs w:val="21"/>
        </w:rPr>
        <w:t>6.2</w:t>
      </w:r>
      <w:r>
        <w:rPr>
          <w:rFonts w:ascii="黑体" w:hAnsi="黑体" w:eastAsia="黑体"/>
          <w:b/>
          <w:bCs/>
          <w:szCs w:val="21"/>
        </w:rPr>
        <w:tab/>
      </w:r>
      <w:r>
        <w:rPr>
          <w:rFonts w:hint="eastAsia" w:ascii="黑体" w:hAnsi="黑体" w:eastAsia="黑体"/>
          <w:b/>
          <w:bCs/>
          <w:szCs w:val="21"/>
        </w:rPr>
        <w:t>▲支持运动追踪功能，可同步显示≥</w:t>
      </w:r>
      <w:r>
        <w:rPr>
          <w:rFonts w:ascii="黑体" w:hAnsi="黑体" w:eastAsia="黑体"/>
          <w:b/>
          <w:bCs/>
          <w:szCs w:val="21"/>
        </w:rPr>
        <w:t>6段心肌组织运动速度曲线图</w:t>
      </w:r>
      <w:r>
        <w:rPr>
          <w:rFonts w:hint="eastAsia" w:ascii="黑体" w:hAnsi="黑体" w:eastAsia="黑体"/>
          <w:b/>
          <w:bCs/>
          <w:szCs w:val="21"/>
        </w:rPr>
        <w:t>（须提供所投产品厂家出具的技术白皮书或所投产品厂家所作的技术参数说明或第三方检测机构出具的检测报告）</w:t>
      </w:r>
    </w:p>
    <w:p>
      <w:pPr>
        <w:spacing w:line="360" w:lineRule="auto"/>
        <w:rPr>
          <w:rFonts w:ascii="黑体" w:hAnsi="黑体" w:eastAsia="黑体"/>
          <w:szCs w:val="21"/>
        </w:rPr>
      </w:pPr>
      <w:r>
        <w:rPr>
          <w:rFonts w:ascii="黑体" w:hAnsi="黑体" w:eastAsia="黑体"/>
          <w:szCs w:val="21"/>
        </w:rPr>
        <w:t>7.</w:t>
      </w:r>
      <w:r>
        <w:rPr>
          <w:rFonts w:ascii="黑体" w:hAnsi="黑体" w:eastAsia="黑体"/>
          <w:szCs w:val="21"/>
        </w:rPr>
        <w:tab/>
      </w:r>
      <w:r>
        <w:rPr>
          <w:rFonts w:ascii="黑体" w:hAnsi="黑体" w:eastAsia="黑体"/>
          <w:szCs w:val="21"/>
        </w:rPr>
        <w:t>图像放大技术</w:t>
      </w:r>
    </w:p>
    <w:p>
      <w:pPr>
        <w:spacing w:line="360" w:lineRule="auto"/>
        <w:rPr>
          <w:rFonts w:ascii="黑体" w:hAnsi="黑体" w:eastAsia="黑体"/>
          <w:szCs w:val="21"/>
        </w:rPr>
      </w:pPr>
      <w:r>
        <w:rPr>
          <w:rFonts w:ascii="黑体" w:hAnsi="黑体" w:eastAsia="黑体"/>
          <w:szCs w:val="21"/>
        </w:rPr>
        <w:t>7.1</w:t>
      </w:r>
      <w:r>
        <w:rPr>
          <w:rFonts w:ascii="黑体" w:hAnsi="黑体" w:eastAsia="黑体"/>
          <w:szCs w:val="21"/>
        </w:rPr>
        <w:tab/>
      </w:r>
      <w:r>
        <w:rPr>
          <w:rFonts w:ascii="黑体" w:hAnsi="黑体" w:eastAsia="黑体"/>
          <w:szCs w:val="21"/>
        </w:rPr>
        <w:t xml:space="preserve"> </w:t>
      </w:r>
      <w:r>
        <w:rPr>
          <w:rFonts w:hint="eastAsia" w:ascii="黑体" w:hAnsi="黑体" w:eastAsia="黑体"/>
          <w:szCs w:val="21"/>
        </w:rPr>
        <w:t>可</w:t>
      </w:r>
      <w:r>
        <w:rPr>
          <w:rFonts w:ascii="黑体" w:hAnsi="黑体" w:eastAsia="黑体"/>
          <w:szCs w:val="21"/>
        </w:rPr>
        <w:t>一键实现全屏放大</w:t>
      </w:r>
    </w:p>
    <w:p>
      <w:pPr>
        <w:spacing w:line="360" w:lineRule="auto"/>
        <w:rPr>
          <w:rFonts w:ascii="黑体" w:hAnsi="黑体" w:eastAsia="黑体"/>
          <w:szCs w:val="21"/>
        </w:rPr>
      </w:pPr>
      <w:r>
        <w:rPr>
          <w:rFonts w:ascii="黑体" w:hAnsi="黑体" w:eastAsia="黑体"/>
          <w:szCs w:val="21"/>
        </w:rPr>
        <w:t>7.2</w:t>
      </w:r>
      <w:r>
        <w:rPr>
          <w:rFonts w:ascii="黑体" w:hAnsi="黑体" w:eastAsia="黑体"/>
          <w:szCs w:val="21"/>
        </w:rPr>
        <w:tab/>
      </w:r>
      <w:r>
        <w:rPr>
          <w:rFonts w:ascii="黑体" w:hAnsi="黑体" w:eastAsia="黑体"/>
          <w:szCs w:val="21"/>
        </w:rPr>
        <w:t xml:space="preserve"> 10倍局部放大</w:t>
      </w:r>
      <w:r>
        <w:rPr>
          <w:rFonts w:hint="eastAsia" w:ascii="黑体" w:hAnsi="黑体" w:eastAsia="黑体"/>
          <w:szCs w:val="21"/>
        </w:rPr>
        <w:t>，</w:t>
      </w:r>
      <w:r>
        <w:rPr>
          <w:rFonts w:ascii="黑体" w:hAnsi="黑体" w:eastAsia="黑体"/>
          <w:szCs w:val="21"/>
        </w:rPr>
        <w:t>支持前端、后端放大</w:t>
      </w:r>
    </w:p>
    <w:p>
      <w:pPr>
        <w:spacing w:line="360" w:lineRule="auto"/>
        <w:rPr>
          <w:rFonts w:ascii="黑体" w:hAnsi="黑体" w:eastAsia="黑体"/>
          <w:szCs w:val="21"/>
        </w:rPr>
      </w:pPr>
      <w:r>
        <w:rPr>
          <w:rFonts w:hint="eastAsia" w:ascii="黑体" w:hAnsi="黑体" w:eastAsia="黑体"/>
          <w:szCs w:val="21"/>
        </w:rPr>
        <w:t>8</w:t>
      </w:r>
      <w:r>
        <w:rPr>
          <w:rFonts w:ascii="黑体" w:hAnsi="黑体" w:eastAsia="黑体"/>
          <w:szCs w:val="21"/>
        </w:rPr>
        <w:t>.</w:t>
      </w:r>
      <w:r>
        <w:rPr>
          <w:rFonts w:ascii="黑体" w:hAnsi="黑体" w:eastAsia="黑体"/>
          <w:szCs w:val="21"/>
        </w:rPr>
        <w:tab/>
      </w:r>
      <w:r>
        <w:rPr>
          <w:rFonts w:hint="eastAsia" w:ascii="黑体" w:hAnsi="黑体" w:eastAsia="黑体"/>
          <w:szCs w:val="21"/>
        </w:rPr>
        <w:t>穿刺针增强技术</w:t>
      </w:r>
    </w:p>
    <w:p>
      <w:pPr>
        <w:spacing w:line="360" w:lineRule="auto"/>
        <w:jc w:val="left"/>
        <w:rPr>
          <w:rFonts w:ascii="黑体" w:hAnsi="黑体" w:eastAsia="黑体" w:cs="Arial"/>
          <w:szCs w:val="21"/>
        </w:rPr>
      </w:pPr>
      <w:r>
        <w:rPr>
          <w:rFonts w:hint="eastAsia" w:ascii="黑体" w:hAnsi="黑体" w:eastAsia="黑体"/>
          <w:szCs w:val="21"/>
        </w:rPr>
        <w:t>8</w:t>
      </w:r>
      <w:r>
        <w:rPr>
          <w:rFonts w:ascii="黑体" w:hAnsi="黑体" w:eastAsia="黑体"/>
          <w:szCs w:val="21"/>
        </w:rPr>
        <w:t>.1</w:t>
      </w:r>
      <w:r>
        <w:rPr>
          <w:rFonts w:ascii="黑体" w:hAnsi="黑体" w:eastAsia="黑体"/>
          <w:szCs w:val="21"/>
        </w:rPr>
        <w:tab/>
      </w:r>
      <w:r>
        <w:rPr>
          <w:rFonts w:hint="eastAsia" w:ascii="黑体" w:hAnsi="黑体" w:eastAsia="黑体" w:cs="Arial"/>
          <w:szCs w:val="21"/>
        </w:rPr>
        <w:t>双屏实时对比显示增强前后效果</w:t>
      </w:r>
    </w:p>
    <w:p>
      <w:pPr>
        <w:spacing w:line="360" w:lineRule="auto"/>
        <w:jc w:val="left"/>
        <w:rPr>
          <w:rFonts w:ascii="黑体" w:hAnsi="黑体" w:eastAsia="黑体" w:cs="Arial"/>
          <w:szCs w:val="21"/>
        </w:rPr>
      </w:pPr>
      <w:r>
        <w:rPr>
          <w:rFonts w:hint="eastAsia" w:ascii="黑体" w:hAnsi="黑体" w:eastAsia="黑体" w:cs="Arial"/>
          <w:szCs w:val="21"/>
        </w:rPr>
        <w:t>8</w:t>
      </w:r>
      <w:r>
        <w:rPr>
          <w:rFonts w:ascii="黑体" w:hAnsi="黑体" w:eastAsia="黑体" w:cs="Arial"/>
          <w:szCs w:val="21"/>
        </w:rPr>
        <w:t>.2</w:t>
      </w:r>
      <w:r>
        <w:rPr>
          <w:rFonts w:ascii="黑体" w:hAnsi="黑体" w:eastAsia="黑体" w:cs="Arial"/>
          <w:szCs w:val="21"/>
        </w:rPr>
        <w:tab/>
      </w:r>
      <w:r>
        <w:rPr>
          <w:rFonts w:hint="eastAsia" w:ascii="黑体" w:hAnsi="黑体" w:eastAsia="黑体" w:cs="Arial"/>
          <w:szCs w:val="21"/>
        </w:rPr>
        <w:t>增强平面角度可调，</w:t>
      </w:r>
      <w:r>
        <w:rPr>
          <w:rFonts w:ascii="黑体" w:hAnsi="黑体" w:eastAsia="黑体" w:cs="Arial"/>
          <w:szCs w:val="21"/>
        </w:rPr>
        <w:t>步进</w:t>
      </w:r>
      <w:r>
        <w:rPr>
          <w:rFonts w:hint="eastAsia" w:ascii="黑体" w:hAnsi="黑体" w:eastAsia="黑体" w:cs="Arial"/>
          <w:szCs w:val="21"/>
        </w:rPr>
        <w:t>10°</w:t>
      </w:r>
    </w:p>
    <w:p>
      <w:pPr>
        <w:spacing w:line="360" w:lineRule="auto"/>
        <w:jc w:val="left"/>
        <w:rPr>
          <w:rFonts w:ascii="黑体" w:hAnsi="黑体" w:eastAsia="黑体" w:cs="Arial"/>
          <w:szCs w:val="21"/>
        </w:rPr>
      </w:pPr>
      <w:r>
        <w:rPr>
          <w:rFonts w:hint="eastAsia" w:ascii="黑体" w:hAnsi="黑体" w:eastAsia="黑体" w:cs="Arial"/>
          <w:szCs w:val="21"/>
        </w:rPr>
        <w:t>9</w:t>
      </w:r>
      <w:r>
        <w:rPr>
          <w:rFonts w:ascii="黑体" w:hAnsi="黑体" w:eastAsia="黑体" w:cs="Arial"/>
          <w:szCs w:val="21"/>
        </w:rPr>
        <w:t>.</w:t>
      </w:r>
      <w:r>
        <w:rPr>
          <w:rFonts w:ascii="黑体" w:hAnsi="黑体" w:eastAsia="黑体" w:cs="Arial"/>
          <w:szCs w:val="21"/>
        </w:rPr>
        <w:tab/>
      </w:r>
      <w:r>
        <w:rPr>
          <w:rFonts w:hint="eastAsia" w:ascii="黑体" w:hAnsi="黑体" w:eastAsia="黑体" w:cs="Arial"/>
          <w:szCs w:val="21"/>
        </w:rPr>
        <w:t>造影</w:t>
      </w:r>
      <w:r>
        <w:rPr>
          <w:rFonts w:ascii="黑体" w:hAnsi="黑体" w:eastAsia="黑体" w:cs="Arial"/>
          <w:szCs w:val="21"/>
        </w:rPr>
        <w:t>成像</w:t>
      </w:r>
      <w:r>
        <w:rPr>
          <w:rFonts w:hint="eastAsia" w:ascii="黑体" w:hAnsi="黑体" w:eastAsia="黑体" w:cs="Arial"/>
          <w:szCs w:val="21"/>
        </w:rPr>
        <w:t>及</w:t>
      </w:r>
      <w:r>
        <w:rPr>
          <w:rFonts w:ascii="黑体" w:hAnsi="黑体" w:eastAsia="黑体" w:cs="Arial"/>
          <w:szCs w:val="21"/>
        </w:rPr>
        <w:t>定量分析单元</w:t>
      </w:r>
    </w:p>
    <w:p>
      <w:pPr>
        <w:spacing w:line="360" w:lineRule="auto"/>
        <w:jc w:val="left"/>
        <w:rPr>
          <w:rFonts w:ascii="黑体" w:hAnsi="黑体" w:eastAsia="黑体" w:cs="Arial"/>
          <w:b/>
          <w:bCs/>
          <w:szCs w:val="21"/>
        </w:rPr>
      </w:pPr>
      <w:r>
        <w:rPr>
          <w:rFonts w:ascii="黑体" w:hAnsi="黑体" w:eastAsia="黑体" w:cs="Arial"/>
          <w:b/>
          <w:bCs/>
          <w:szCs w:val="21"/>
        </w:rPr>
        <w:t>9.1</w:t>
      </w:r>
      <w:r>
        <w:rPr>
          <w:rFonts w:ascii="黑体" w:hAnsi="黑体" w:eastAsia="黑体" w:cs="Arial"/>
          <w:b/>
          <w:bCs/>
          <w:szCs w:val="21"/>
        </w:rPr>
        <w:tab/>
      </w:r>
      <w:r>
        <w:rPr>
          <w:rFonts w:hint="eastAsia" w:ascii="黑体" w:hAnsi="黑体" w:eastAsia="黑体"/>
          <w:b/>
          <w:bCs/>
          <w:szCs w:val="21"/>
        </w:rPr>
        <w:t>▲</w:t>
      </w:r>
      <w:r>
        <w:rPr>
          <w:rFonts w:hint="eastAsia" w:ascii="黑体" w:hAnsi="黑体" w:eastAsia="黑体" w:cs="Arial"/>
          <w:b/>
          <w:bCs/>
          <w:szCs w:val="21"/>
        </w:rPr>
        <w:t>用于凸阵探头</w:t>
      </w:r>
      <w:r>
        <w:rPr>
          <w:rFonts w:ascii="黑体" w:hAnsi="黑体" w:eastAsia="黑体" w:cs="Arial"/>
          <w:b/>
          <w:bCs/>
          <w:szCs w:val="21"/>
        </w:rPr>
        <w:t>、</w:t>
      </w:r>
      <w:r>
        <w:rPr>
          <w:rFonts w:hint="eastAsia" w:ascii="黑体" w:hAnsi="黑体" w:eastAsia="黑体" w:cs="Arial"/>
          <w:b/>
          <w:bCs/>
          <w:szCs w:val="21"/>
        </w:rPr>
        <w:t>线阵探头</w:t>
      </w:r>
      <w:r>
        <w:rPr>
          <w:rFonts w:ascii="黑体" w:hAnsi="黑体" w:eastAsia="黑体" w:cs="Arial"/>
          <w:b/>
          <w:bCs/>
          <w:szCs w:val="21"/>
        </w:rPr>
        <w:t>造影</w:t>
      </w:r>
    </w:p>
    <w:p>
      <w:pPr>
        <w:spacing w:line="360" w:lineRule="auto"/>
        <w:jc w:val="left"/>
        <w:rPr>
          <w:rFonts w:ascii="黑体" w:hAnsi="黑体" w:eastAsia="黑体"/>
          <w:szCs w:val="21"/>
        </w:rPr>
      </w:pPr>
      <w:r>
        <w:rPr>
          <w:rFonts w:hint="eastAsia" w:ascii="黑体" w:hAnsi="黑体" w:eastAsia="黑体" w:cs="Arial"/>
          <w:szCs w:val="21"/>
        </w:rPr>
        <w:t>9</w:t>
      </w:r>
      <w:r>
        <w:rPr>
          <w:rFonts w:ascii="黑体" w:hAnsi="黑体" w:eastAsia="黑体" w:cs="Arial"/>
          <w:szCs w:val="21"/>
        </w:rPr>
        <w:t>.2</w:t>
      </w:r>
      <w:r>
        <w:rPr>
          <w:rFonts w:ascii="黑体" w:hAnsi="黑体" w:eastAsia="黑体" w:cs="Arial"/>
          <w:szCs w:val="21"/>
        </w:rPr>
        <w:tab/>
      </w:r>
      <w:r>
        <w:rPr>
          <w:rFonts w:hint="eastAsia" w:ascii="黑体" w:hAnsi="黑体" w:eastAsia="黑体" w:cs="Arial"/>
          <w:szCs w:val="21"/>
        </w:rPr>
        <w:t>支持造影成像时间</w:t>
      </w:r>
      <w:r>
        <w:rPr>
          <w:rFonts w:ascii="黑体" w:hAnsi="黑体" w:eastAsia="黑体" w:cs="Arial"/>
          <w:szCs w:val="21"/>
        </w:rPr>
        <w:t>强度分析曲线和运动追踪</w:t>
      </w:r>
    </w:p>
    <w:p>
      <w:pPr>
        <w:spacing w:line="360" w:lineRule="auto"/>
        <w:rPr>
          <w:rFonts w:ascii="黑体" w:hAnsi="黑体" w:eastAsia="黑体"/>
          <w:b/>
          <w:szCs w:val="21"/>
        </w:rPr>
      </w:pPr>
      <w:r>
        <w:rPr>
          <w:rFonts w:hint="eastAsia" w:ascii="黑体" w:hAnsi="黑体" w:eastAsia="黑体"/>
          <w:b/>
          <w:szCs w:val="21"/>
        </w:rPr>
        <w:t>三、</w:t>
      </w:r>
      <w:r>
        <w:rPr>
          <w:rFonts w:ascii="黑体" w:hAnsi="黑体" w:eastAsia="黑体"/>
          <w:b/>
          <w:szCs w:val="21"/>
        </w:rPr>
        <w:t>检查存储和管理</w:t>
      </w:r>
    </w:p>
    <w:p>
      <w:pPr>
        <w:spacing w:line="360" w:lineRule="auto"/>
        <w:rPr>
          <w:rFonts w:ascii="黑体" w:hAnsi="黑体" w:eastAsia="黑体"/>
          <w:szCs w:val="21"/>
        </w:rPr>
      </w:pPr>
      <w:r>
        <w:rPr>
          <w:rFonts w:ascii="黑体" w:hAnsi="黑体" w:eastAsia="黑体"/>
          <w:szCs w:val="21"/>
        </w:rPr>
        <w:t>1.</w:t>
      </w:r>
      <w:r>
        <w:rPr>
          <w:rFonts w:ascii="黑体" w:hAnsi="黑体" w:eastAsia="黑体"/>
          <w:szCs w:val="21"/>
        </w:rPr>
        <w:tab/>
      </w:r>
      <w:r>
        <w:rPr>
          <w:rFonts w:hint="eastAsia" w:ascii="黑体" w:hAnsi="黑体" w:eastAsia="黑体"/>
          <w:szCs w:val="21"/>
        </w:rPr>
        <w:t>≥</w:t>
      </w:r>
      <w:r>
        <w:rPr>
          <w:rFonts w:ascii="黑体" w:hAnsi="黑体" w:eastAsia="黑体"/>
          <w:szCs w:val="21"/>
        </w:rPr>
        <w:t>240G固态硬盘</w:t>
      </w:r>
    </w:p>
    <w:p>
      <w:pPr>
        <w:spacing w:line="360" w:lineRule="auto"/>
        <w:rPr>
          <w:rFonts w:ascii="黑体" w:hAnsi="黑体" w:eastAsia="黑体"/>
          <w:szCs w:val="21"/>
        </w:rPr>
      </w:pPr>
      <w:r>
        <w:rPr>
          <w:rFonts w:ascii="黑体" w:hAnsi="黑体" w:eastAsia="黑体"/>
          <w:szCs w:val="21"/>
        </w:rPr>
        <w:t>2.</w:t>
      </w:r>
      <w:r>
        <w:rPr>
          <w:rFonts w:ascii="黑体" w:hAnsi="黑体" w:eastAsia="黑体"/>
          <w:szCs w:val="21"/>
        </w:rPr>
        <w:tab/>
      </w:r>
      <w:r>
        <w:rPr>
          <w:rFonts w:ascii="黑体" w:hAnsi="黑体" w:eastAsia="黑体"/>
          <w:szCs w:val="21"/>
        </w:rPr>
        <w:t>内置超声工作站，支持同步存储，即后台存储或导出图像数据的同时前台可以完成实时扫描，不影响检查操作</w:t>
      </w:r>
    </w:p>
    <w:p>
      <w:pPr>
        <w:spacing w:line="360" w:lineRule="auto"/>
        <w:rPr>
          <w:rFonts w:ascii="黑体" w:hAnsi="黑体" w:eastAsia="黑体"/>
          <w:szCs w:val="21"/>
        </w:rPr>
      </w:pPr>
      <w:r>
        <w:rPr>
          <w:rFonts w:ascii="黑体" w:hAnsi="黑体" w:eastAsia="黑体"/>
          <w:szCs w:val="21"/>
        </w:rPr>
        <w:t>3.</w:t>
      </w:r>
      <w:r>
        <w:rPr>
          <w:rFonts w:ascii="黑体" w:hAnsi="黑体" w:eastAsia="黑体"/>
          <w:szCs w:val="21"/>
        </w:rPr>
        <w:tab/>
      </w:r>
      <w:r>
        <w:rPr>
          <w:rFonts w:ascii="黑体" w:hAnsi="黑体" w:eastAsia="黑体"/>
          <w:szCs w:val="21"/>
        </w:rPr>
        <w:t>支持直接一键存储至硬盘或U盘，突然关机或未结束检查关机资料不丢失</w:t>
      </w:r>
    </w:p>
    <w:p>
      <w:pPr>
        <w:spacing w:line="360" w:lineRule="auto"/>
        <w:rPr>
          <w:rFonts w:ascii="黑体" w:hAnsi="黑体" w:eastAsia="黑体"/>
          <w:szCs w:val="21"/>
        </w:rPr>
      </w:pPr>
      <w:r>
        <w:rPr>
          <w:rFonts w:ascii="黑体" w:hAnsi="黑体" w:eastAsia="黑体"/>
          <w:szCs w:val="21"/>
        </w:rPr>
        <w:t>4.</w:t>
      </w:r>
      <w:r>
        <w:rPr>
          <w:rFonts w:ascii="黑体" w:hAnsi="黑体" w:eastAsia="黑体"/>
          <w:szCs w:val="21"/>
        </w:rPr>
        <w:tab/>
      </w:r>
      <w:r>
        <w:rPr>
          <w:rFonts w:ascii="黑体" w:hAnsi="黑体" w:eastAsia="黑体"/>
          <w:szCs w:val="21"/>
        </w:rPr>
        <w:t>动态图像、静态图像以PC格式直接导出（支持单帧图像文件包含： DCM、TIFF、BMP、JPG单帧，电影文件包括：CIN、AVI、DCM），无需特殊软件即能在普通PC 机上直接观看图像。</w:t>
      </w:r>
    </w:p>
    <w:p>
      <w:pPr>
        <w:spacing w:line="360" w:lineRule="auto"/>
        <w:rPr>
          <w:rFonts w:ascii="黑体" w:hAnsi="黑体" w:eastAsia="黑体"/>
          <w:b/>
          <w:szCs w:val="21"/>
        </w:rPr>
      </w:pPr>
      <w:r>
        <w:rPr>
          <w:rFonts w:hint="eastAsia" w:ascii="黑体" w:hAnsi="黑体" w:eastAsia="黑体"/>
          <w:b/>
          <w:szCs w:val="21"/>
        </w:rPr>
        <w:t>四、</w:t>
      </w:r>
      <w:r>
        <w:rPr>
          <w:rFonts w:ascii="黑体" w:hAnsi="黑体" w:eastAsia="黑体"/>
          <w:b/>
          <w:szCs w:val="21"/>
        </w:rPr>
        <w:t>技术参数及要求</w:t>
      </w:r>
    </w:p>
    <w:p>
      <w:pPr>
        <w:spacing w:line="360" w:lineRule="auto"/>
        <w:rPr>
          <w:rFonts w:ascii="黑体" w:hAnsi="黑体" w:eastAsia="黑体"/>
          <w:szCs w:val="21"/>
        </w:rPr>
      </w:pPr>
      <w:r>
        <w:rPr>
          <w:rFonts w:ascii="黑体" w:hAnsi="黑体" w:eastAsia="黑体"/>
          <w:szCs w:val="21"/>
        </w:rPr>
        <w:t>1.</w:t>
      </w:r>
      <w:r>
        <w:rPr>
          <w:rFonts w:ascii="黑体" w:hAnsi="黑体" w:eastAsia="黑体"/>
          <w:szCs w:val="21"/>
        </w:rPr>
        <w:tab/>
      </w:r>
      <w:r>
        <w:rPr>
          <w:rFonts w:ascii="黑体" w:hAnsi="黑体" w:eastAsia="黑体"/>
          <w:szCs w:val="21"/>
        </w:rPr>
        <w:t>二维灰阶模式</w:t>
      </w:r>
    </w:p>
    <w:p>
      <w:pPr>
        <w:spacing w:line="360" w:lineRule="auto"/>
        <w:rPr>
          <w:rFonts w:ascii="黑体" w:hAnsi="黑体" w:eastAsia="黑体"/>
          <w:szCs w:val="21"/>
        </w:rPr>
      </w:pPr>
      <w:r>
        <w:rPr>
          <w:rFonts w:ascii="黑体" w:hAnsi="黑体" w:eastAsia="黑体"/>
          <w:szCs w:val="21"/>
        </w:rPr>
        <w:t>1.1</w:t>
      </w:r>
      <w:r>
        <w:rPr>
          <w:rFonts w:ascii="黑体" w:hAnsi="黑体" w:eastAsia="黑体"/>
          <w:szCs w:val="21"/>
        </w:rPr>
        <w:tab/>
      </w:r>
      <w:r>
        <w:rPr>
          <w:rFonts w:ascii="黑体" w:hAnsi="黑体" w:eastAsia="黑体"/>
          <w:szCs w:val="21"/>
        </w:rPr>
        <w:t>焦点</w:t>
      </w:r>
      <w:r>
        <w:rPr>
          <w:rFonts w:hint="eastAsia" w:ascii="黑体" w:hAnsi="黑体" w:eastAsia="黑体"/>
          <w:szCs w:val="21"/>
        </w:rPr>
        <w:t>≥</w:t>
      </w:r>
      <w:r>
        <w:rPr>
          <w:rFonts w:ascii="黑体" w:hAnsi="黑体" w:eastAsia="黑体"/>
          <w:szCs w:val="21"/>
        </w:rPr>
        <w:t>4个，动态可调</w:t>
      </w:r>
    </w:p>
    <w:p>
      <w:pPr>
        <w:spacing w:line="360" w:lineRule="auto"/>
        <w:rPr>
          <w:rFonts w:ascii="黑体" w:hAnsi="黑体" w:eastAsia="黑体"/>
          <w:szCs w:val="21"/>
        </w:rPr>
      </w:pPr>
      <w:r>
        <w:rPr>
          <w:rFonts w:ascii="黑体" w:hAnsi="黑体" w:eastAsia="黑体"/>
          <w:szCs w:val="21"/>
        </w:rPr>
        <w:t>1.2</w:t>
      </w:r>
      <w:r>
        <w:rPr>
          <w:rFonts w:ascii="黑体" w:hAnsi="黑体" w:eastAsia="黑体"/>
          <w:szCs w:val="21"/>
        </w:rPr>
        <w:tab/>
      </w:r>
      <w:r>
        <w:rPr>
          <w:rFonts w:ascii="黑体" w:hAnsi="黑体" w:eastAsia="黑体"/>
          <w:szCs w:val="21"/>
        </w:rPr>
        <w:t>伪彩图谱: ≥8种</w:t>
      </w:r>
    </w:p>
    <w:p>
      <w:pPr>
        <w:spacing w:line="360" w:lineRule="auto"/>
        <w:rPr>
          <w:rFonts w:ascii="黑体" w:hAnsi="黑体" w:eastAsia="黑体"/>
          <w:szCs w:val="21"/>
        </w:rPr>
      </w:pPr>
      <w:r>
        <w:rPr>
          <w:rFonts w:ascii="黑体" w:hAnsi="黑体" w:eastAsia="黑体"/>
          <w:szCs w:val="21"/>
        </w:rPr>
        <w:t>1.3</w:t>
      </w:r>
      <w:r>
        <w:rPr>
          <w:rFonts w:ascii="黑体" w:hAnsi="黑体" w:eastAsia="黑体"/>
          <w:szCs w:val="21"/>
        </w:rPr>
        <w:tab/>
      </w:r>
      <w:r>
        <w:rPr>
          <w:rFonts w:ascii="黑体" w:hAnsi="黑体" w:eastAsia="黑体"/>
          <w:szCs w:val="21"/>
        </w:rPr>
        <w:t>最大显示深度:≥39cm</w:t>
      </w:r>
    </w:p>
    <w:p>
      <w:pPr>
        <w:spacing w:line="360" w:lineRule="auto"/>
        <w:rPr>
          <w:rFonts w:ascii="黑体" w:hAnsi="黑体" w:eastAsia="黑体"/>
          <w:szCs w:val="21"/>
        </w:rPr>
      </w:pPr>
      <w:r>
        <w:rPr>
          <w:rFonts w:ascii="黑体" w:hAnsi="黑体" w:eastAsia="黑体"/>
          <w:szCs w:val="21"/>
        </w:rPr>
        <w:t>1.4</w:t>
      </w:r>
      <w:r>
        <w:rPr>
          <w:rFonts w:ascii="黑体" w:hAnsi="黑体" w:eastAsia="黑体"/>
          <w:szCs w:val="21"/>
        </w:rPr>
        <w:tab/>
      </w:r>
      <w:r>
        <w:rPr>
          <w:rFonts w:ascii="黑体" w:hAnsi="黑体" w:eastAsia="黑体"/>
          <w:szCs w:val="21"/>
        </w:rPr>
        <w:t xml:space="preserve">TGC: ≥8段，LGC: ≥4段 </w:t>
      </w:r>
    </w:p>
    <w:p>
      <w:pPr>
        <w:spacing w:line="360" w:lineRule="auto"/>
        <w:rPr>
          <w:rFonts w:ascii="黑体" w:hAnsi="黑体" w:eastAsia="黑体"/>
          <w:szCs w:val="21"/>
        </w:rPr>
      </w:pPr>
      <w:r>
        <w:rPr>
          <w:rFonts w:ascii="黑体" w:hAnsi="黑体" w:eastAsia="黑体"/>
          <w:szCs w:val="21"/>
        </w:rPr>
        <w:t>1.5</w:t>
      </w:r>
      <w:r>
        <w:rPr>
          <w:rFonts w:ascii="黑体" w:hAnsi="黑体" w:eastAsia="黑体"/>
          <w:szCs w:val="21"/>
        </w:rPr>
        <w:tab/>
      </w:r>
      <w:r>
        <w:rPr>
          <w:rFonts w:ascii="黑体" w:hAnsi="黑体" w:eastAsia="黑体"/>
          <w:szCs w:val="21"/>
        </w:rPr>
        <w:t>动态范围: 30-190dB，可视可调</w:t>
      </w:r>
    </w:p>
    <w:p>
      <w:pPr>
        <w:spacing w:line="360" w:lineRule="auto"/>
        <w:rPr>
          <w:rFonts w:ascii="黑体" w:hAnsi="黑体" w:eastAsia="黑体"/>
          <w:szCs w:val="21"/>
        </w:rPr>
      </w:pPr>
      <w:r>
        <w:rPr>
          <w:rFonts w:ascii="黑体" w:hAnsi="黑体" w:eastAsia="黑体"/>
          <w:szCs w:val="21"/>
        </w:rPr>
        <w:t>1.6</w:t>
      </w:r>
      <w:r>
        <w:rPr>
          <w:rFonts w:ascii="黑体" w:hAnsi="黑体" w:eastAsia="黑体"/>
          <w:szCs w:val="21"/>
        </w:rPr>
        <w:tab/>
      </w:r>
      <w:r>
        <w:rPr>
          <w:rFonts w:ascii="黑体" w:hAnsi="黑体" w:eastAsia="黑体"/>
          <w:szCs w:val="21"/>
        </w:rPr>
        <w:t>增益调节: B/M/D分别独立可调，≥100</w:t>
      </w:r>
    </w:p>
    <w:p>
      <w:pPr>
        <w:spacing w:line="360" w:lineRule="auto"/>
        <w:rPr>
          <w:rFonts w:ascii="黑体" w:hAnsi="黑体" w:eastAsia="黑体"/>
          <w:szCs w:val="21"/>
        </w:rPr>
      </w:pPr>
      <w:r>
        <w:rPr>
          <w:rFonts w:ascii="黑体" w:hAnsi="黑体" w:eastAsia="黑体"/>
          <w:szCs w:val="21"/>
        </w:rPr>
        <w:t>1.7</w:t>
      </w:r>
      <w:r>
        <w:rPr>
          <w:rFonts w:ascii="黑体" w:hAnsi="黑体" w:eastAsia="黑体"/>
          <w:szCs w:val="21"/>
        </w:rPr>
        <w:tab/>
      </w:r>
      <w:r>
        <w:rPr>
          <w:rFonts w:ascii="黑体" w:hAnsi="黑体" w:eastAsia="黑体"/>
          <w:szCs w:val="21"/>
        </w:rPr>
        <w:t>扫描帧率：相控阵探头18cm深，全视野二维帧频≥50帧/秒；凸阵探头18cm深，全视野二维帧频≥40帧/秒</w:t>
      </w:r>
    </w:p>
    <w:p>
      <w:pPr>
        <w:spacing w:line="360" w:lineRule="auto"/>
        <w:rPr>
          <w:rFonts w:ascii="黑体" w:hAnsi="黑体" w:eastAsia="黑体"/>
          <w:szCs w:val="21"/>
        </w:rPr>
      </w:pPr>
      <w:r>
        <w:rPr>
          <w:rFonts w:ascii="黑体" w:hAnsi="黑体" w:eastAsia="黑体"/>
          <w:szCs w:val="21"/>
        </w:rPr>
        <w:t>2.</w:t>
      </w:r>
      <w:r>
        <w:rPr>
          <w:rFonts w:ascii="黑体" w:hAnsi="黑体" w:eastAsia="黑体"/>
          <w:szCs w:val="21"/>
        </w:rPr>
        <w:tab/>
      </w:r>
      <w:r>
        <w:rPr>
          <w:rFonts w:ascii="黑体" w:hAnsi="黑体" w:eastAsia="黑体"/>
          <w:szCs w:val="21"/>
        </w:rPr>
        <w:t>彩色多普勒成像</w:t>
      </w:r>
    </w:p>
    <w:p>
      <w:pPr>
        <w:spacing w:line="360" w:lineRule="auto"/>
        <w:rPr>
          <w:rFonts w:ascii="黑体" w:hAnsi="黑体" w:eastAsia="黑体"/>
          <w:szCs w:val="21"/>
        </w:rPr>
      </w:pPr>
      <w:r>
        <w:rPr>
          <w:rFonts w:ascii="黑体" w:hAnsi="黑体" w:eastAsia="黑体"/>
          <w:szCs w:val="21"/>
        </w:rPr>
        <w:t>2.1</w:t>
      </w:r>
      <w:r>
        <w:rPr>
          <w:rFonts w:ascii="黑体" w:hAnsi="黑体" w:eastAsia="黑体"/>
          <w:szCs w:val="21"/>
        </w:rPr>
        <w:tab/>
      </w:r>
      <w:r>
        <w:rPr>
          <w:rFonts w:ascii="黑体" w:hAnsi="黑体" w:eastAsia="黑体"/>
          <w:szCs w:val="21"/>
        </w:rPr>
        <w:t>包括速度、速度方差、能量、方向能量显示等</w:t>
      </w:r>
    </w:p>
    <w:p>
      <w:pPr>
        <w:spacing w:line="360" w:lineRule="auto"/>
        <w:rPr>
          <w:rFonts w:ascii="黑体" w:hAnsi="黑体" w:eastAsia="黑体"/>
          <w:szCs w:val="21"/>
        </w:rPr>
      </w:pPr>
      <w:r>
        <w:rPr>
          <w:rFonts w:ascii="黑体" w:hAnsi="黑体" w:eastAsia="黑体"/>
          <w:szCs w:val="21"/>
        </w:rPr>
        <w:t>2.2</w:t>
      </w:r>
      <w:r>
        <w:rPr>
          <w:rFonts w:ascii="黑体" w:hAnsi="黑体" w:eastAsia="黑体"/>
          <w:szCs w:val="21"/>
        </w:rPr>
        <w:tab/>
      </w:r>
      <w:r>
        <w:rPr>
          <w:rFonts w:ascii="黑体" w:hAnsi="黑体" w:eastAsia="黑体"/>
          <w:szCs w:val="21"/>
        </w:rPr>
        <w:t>显示方式：B/C、B/C/M、B/POWER、B/C/PW</w:t>
      </w:r>
    </w:p>
    <w:p>
      <w:pPr>
        <w:spacing w:line="360" w:lineRule="auto"/>
        <w:rPr>
          <w:rFonts w:ascii="黑体" w:hAnsi="黑体" w:eastAsia="黑体"/>
          <w:b/>
          <w:bCs/>
          <w:szCs w:val="21"/>
        </w:rPr>
      </w:pPr>
      <w:r>
        <w:rPr>
          <w:rFonts w:ascii="黑体" w:hAnsi="黑体" w:eastAsia="黑体"/>
          <w:b/>
          <w:bCs/>
          <w:szCs w:val="21"/>
        </w:rPr>
        <w:t>2.3</w:t>
      </w:r>
      <w:r>
        <w:rPr>
          <w:rFonts w:ascii="黑体" w:hAnsi="黑体" w:eastAsia="黑体"/>
          <w:b/>
          <w:bCs/>
          <w:szCs w:val="21"/>
        </w:rPr>
        <w:tab/>
      </w:r>
      <w:r>
        <w:rPr>
          <w:rFonts w:hint="eastAsia" w:ascii="黑体" w:hAnsi="黑体" w:eastAsia="黑体"/>
          <w:b/>
          <w:bCs/>
          <w:szCs w:val="21"/>
        </w:rPr>
        <w:t>▲</w:t>
      </w:r>
      <w:r>
        <w:rPr>
          <w:rFonts w:ascii="黑体" w:hAnsi="黑体" w:eastAsia="黑体"/>
          <w:b/>
          <w:bCs/>
          <w:szCs w:val="21"/>
        </w:rPr>
        <w:t>取样框偏转: ≥±30度 (线阵探头)</w:t>
      </w:r>
      <w:r>
        <w:rPr>
          <w:rFonts w:hint="eastAsia" w:ascii="黑体" w:hAnsi="黑体" w:eastAsia="黑体"/>
          <w:b/>
          <w:bCs/>
          <w:szCs w:val="21"/>
        </w:rPr>
        <w:t xml:space="preserve"> （须提供所投产品厂家出具的技术白皮书或所投产品厂家所作的技术参数说明或第三方检测机构出具的检测报告）</w:t>
      </w:r>
    </w:p>
    <w:p>
      <w:pPr>
        <w:spacing w:line="360" w:lineRule="auto"/>
        <w:rPr>
          <w:rFonts w:ascii="黑体" w:hAnsi="黑体" w:eastAsia="黑体"/>
          <w:szCs w:val="21"/>
        </w:rPr>
      </w:pPr>
      <w:r>
        <w:rPr>
          <w:rFonts w:ascii="黑体" w:hAnsi="黑体" w:eastAsia="黑体"/>
          <w:szCs w:val="21"/>
        </w:rPr>
        <w:t>2.4</w:t>
      </w:r>
      <w:r>
        <w:rPr>
          <w:rFonts w:ascii="黑体" w:hAnsi="黑体" w:eastAsia="黑体"/>
          <w:szCs w:val="21"/>
        </w:rPr>
        <w:tab/>
      </w:r>
      <w:r>
        <w:rPr>
          <w:rFonts w:ascii="黑体" w:hAnsi="黑体" w:eastAsia="黑体"/>
          <w:szCs w:val="21"/>
        </w:rPr>
        <w:t xml:space="preserve">扫描帧率：相控阵探头18cm深，高线密度全视野彩色帧频≥4帧/秒；凸阵探头18cm深，高线密度全视野彩色帧频≥6帧/秒 </w:t>
      </w:r>
    </w:p>
    <w:p>
      <w:pPr>
        <w:spacing w:line="360" w:lineRule="auto"/>
        <w:rPr>
          <w:rFonts w:ascii="黑体" w:hAnsi="黑体" w:eastAsia="黑体"/>
          <w:szCs w:val="21"/>
        </w:rPr>
      </w:pPr>
      <w:r>
        <w:rPr>
          <w:rFonts w:ascii="黑体" w:hAnsi="黑体" w:eastAsia="黑体"/>
          <w:szCs w:val="21"/>
        </w:rPr>
        <w:t>2.5</w:t>
      </w:r>
      <w:r>
        <w:rPr>
          <w:rFonts w:ascii="黑体" w:hAnsi="黑体" w:eastAsia="黑体"/>
          <w:szCs w:val="21"/>
        </w:rPr>
        <w:tab/>
      </w:r>
      <w:r>
        <w:rPr>
          <w:rFonts w:ascii="黑体" w:hAnsi="黑体" w:eastAsia="黑体"/>
          <w:szCs w:val="21"/>
        </w:rPr>
        <w:t>支持B/C 同宽</w:t>
      </w:r>
    </w:p>
    <w:p>
      <w:pPr>
        <w:spacing w:line="360" w:lineRule="auto"/>
        <w:rPr>
          <w:rFonts w:ascii="黑体" w:hAnsi="黑体" w:eastAsia="黑体"/>
          <w:szCs w:val="21"/>
        </w:rPr>
      </w:pPr>
      <w:r>
        <w:rPr>
          <w:rFonts w:ascii="黑体" w:hAnsi="黑体" w:eastAsia="黑体"/>
          <w:szCs w:val="21"/>
        </w:rPr>
        <w:t>3.</w:t>
      </w:r>
      <w:r>
        <w:rPr>
          <w:rFonts w:ascii="黑体" w:hAnsi="黑体" w:eastAsia="黑体"/>
          <w:szCs w:val="21"/>
        </w:rPr>
        <w:tab/>
      </w:r>
      <w:r>
        <w:rPr>
          <w:rFonts w:ascii="黑体" w:hAnsi="黑体" w:eastAsia="黑体"/>
          <w:szCs w:val="21"/>
        </w:rPr>
        <w:t>频谱多普勒模式</w:t>
      </w:r>
    </w:p>
    <w:p>
      <w:pPr>
        <w:spacing w:line="360" w:lineRule="auto"/>
        <w:rPr>
          <w:rFonts w:ascii="黑体" w:hAnsi="黑体" w:eastAsia="黑体"/>
          <w:szCs w:val="21"/>
        </w:rPr>
      </w:pPr>
      <w:r>
        <w:rPr>
          <w:rFonts w:ascii="黑体" w:hAnsi="黑体" w:eastAsia="黑体"/>
          <w:szCs w:val="21"/>
        </w:rPr>
        <w:t>3.1</w:t>
      </w:r>
      <w:r>
        <w:rPr>
          <w:rFonts w:ascii="黑体" w:hAnsi="黑体" w:eastAsia="黑体"/>
          <w:szCs w:val="21"/>
        </w:rPr>
        <w:tab/>
      </w:r>
      <w:r>
        <w:rPr>
          <w:rFonts w:ascii="黑体" w:hAnsi="黑体" w:eastAsia="黑体"/>
          <w:szCs w:val="21"/>
        </w:rPr>
        <w:t>显示控制：反转、零移位、B刷新、D扩展、B/D扩展等</w:t>
      </w:r>
    </w:p>
    <w:p>
      <w:pPr>
        <w:spacing w:line="360" w:lineRule="auto"/>
        <w:rPr>
          <w:rFonts w:ascii="黑体" w:hAnsi="黑体" w:eastAsia="黑体"/>
          <w:szCs w:val="21"/>
        </w:rPr>
      </w:pPr>
      <w:r>
        <w:rPr>
          <w:rFonts w:ascii="黑体" w:hAnsi="黑体" w:eastAsia="黑体"/>
          <w:szCs w:val="21"/>
        </w:rPr>
        <w:t>3.2</w:t>
      </w:r>
      <w:r>
        <w:rPr>
          <w:rFonts w:ascii="黑体" w:hAnsi="黑体" w:eastAsia="黑体"/>
          <w:szCs w:val="21"/>
        </w:rPr>
        <w:tab/>
      </w:r>
      <w:r>
        <w:rPr>
          <w:rFonts w:ascii="黑体" w:hAnsi="黑体" w:eastAsia="黑体"/>
          <w:szCs w:val="21"/>
        </w:rPr>
        <w:t>PW最大速度: ≥9.21m/s</w:t>
      </w:r>
    </w:p>
    <w:p>
      <w:pPr>
        <w:spacing w:line="360" w:lineRule="auto"/>
        <w:rPr>
          <w:rFonts w:ascii="黑体" w:hAnsi="黑体" w:eastAsia="黑体"/>
          <w:szCs w:val="21"/>
        </w:rPr>
      </w:pPr>
      <w:r>
        <w:rPr>
          <w:rFonts w:ascii="黑体" w:hAnsi="黑体" w:eastAsia="黑体"/>
          <w:szCs w:val="21"/>
        </w:rPr>
        <w:t>3.3</w:t>
      </w:r>
      <w:r>
        <w:rPr>
          <w:rFonts w:ascii="黑体" w:hAnsi="黑体" w:eastAsia="黑体"/>
          <w:szCs w:val="21"/>
        </w:rPr>
        <w:tab/>
      </w:r>
      <w:r>
        <w:rPr>
          <w:rFonts w:ascii="黑体" w:hAnsi="黑体" w:eastAsia="黑体"/>
          <w:szCs w:val="21"/>
        </w:rPr>
        <w:t>最小速度: ≤5mm/s</w:t>
      </w:r>
    </w:p>
    <w:p>
      <w:pPr>
        <w:spacing w:line="360" w:lineRule="auto"/>
        <w:rPr>
          <w:rFonts w:ascii="黑体" w:hAnsi="黑体" w:eastAsia="黑体"/>
          <w:szCs w:val="21"/>
        </w:rPr>
      </w:pPr>
      <w:r>
        <w:rPr>
          <w:rFonts w:ascii="黑体" w:hAnsi="黑体" w:eastAsia="黑体"/>
          <w:szCs w:val="21"/>
        </w:rPr>
        <w:t>3.4</w:t>
      </w:r>
      <w:r>
        <w:rPr>
          <w:rFonts w:ascii="黑体" w:hAnsi="黑体" w:eastAsia="黑体"/>
          <w:szCs w:val="21"/>
        </w:rPr>
        <w:tab/>
      </w:r>
      <w:r>
        <w:rPr>
          <w:rFonts w:ascii="黑体" w:hAnsi="黑体" w:eastAsia="黑体"/>
          <w:szCs w:val="21"/>
        </w:rPr>
        <w:t xml:space="preserve">取样容积: 0.5-20mm </w:t>
      </w:r>
    </w:p>
    <w:p>
      <w:pPr>
        <w:spacing w:line="360" w:lineRule="auto"/>
        <w:rPr>
          <w:rFonts w:ascii="黑体" w:hAnsi="黑体" w:eastAsia="黑体"/>
          <w:b/>
          <w:bCs/>
          <w:szCs w:val="21"/>
        </w:rPr>
      </w:pPr>
      <w:r>
        <w:rPr>
          <w:rFonts w:ascii="黑体" w:hAnsi="黑体" w:eastAsia="黑体"/>
          <w:b/>
          <w:bCs/>
          <w:szCs w:val="21"/>
        </w:rPr>
        <w:t>3.5</w:t>
      </w:r>
      <w:r>
        <w:rPr>
          <w:rFonts w:ascii="黑体" w:hAnsi="黑体" w:eastAsia="黑体"/>
          <w:b/>
          <w:bCs/>
          <w:szCs w:val="21"/>
        </w:rPr>
        <w:tab/>
      </w:r>
      <w:r>
        <w:rPr>
          <w:rFonts w:hint="eastAsia" w:ascii="黑体" w:hAnsi="黑体" w:eastAsia="黑体"/>
          <w:b/>
          <w:bCs/>
          <w:szCs w:val="21"/>
        </w:rPr>
        <w:t>▲</w:t>
      </w:r>
      <w:r>
        <w:rPr>
          <w:rFonts w:ascii="黑体" w:hAnsi="黑体" w:eastAsia="黑体"/>
          <w:b/>
          <w:bCs/>
          <w:szCs w:val="21"/>
        </w:rPr>
        <w:t>偏转角度: ≥±30度 (线阵探头)</w:t>
      </w:r>
      <w:r>
        <w:rPr>
          <w:rFonts w:hint="eastAsia" w:ascii="黑体" w:hAnsi="黑体" w:eastAsia="黑体"/>
          <w:b/>
          <w:bCs/>
          <w:szCs w:val="21"/>
        </w:rPr>
        <w:t xml:space="preserve"> （须提供所投产品厂家出具的技术白皮书或所投产品厂家所作的技术参数说明或第三方检测机构出具的检测报告）</w:t>
      </w:r>
    </w:p>
    <w:p>
      <w:pPr>
        <w:spacing w:line="360" w:lineRule="auto"/>
        <w:rPr>
          <w:rFonts w:ascii="黑体" w:hAnsi="黑体" w:eastAsia="黑体"/>
          <w:szCs w:val="21"/>
        </w:rPr>
      </w:pPr>
      <w:r>
        <w:rPr>
          <w:rFonts w:ascii="黑体" w:hAnsi="黑体" w:eastAsia="黑体"/>
          <w:szCs w:val="21"/>
        </w:rPr>
        <w:t>3.6</w:t>
      </w:r>
      <w:r>
        <w:rPr>
          <w:rFonts w:ascii="黑体" w:hAnsi="黑体" w:eastAsia="黑体"/>
          <w:szCs w:val="21"/>
        </w:rPr>
        <w:tab/>
      </w:r>
      <w:r>
        <w:rPr>
          <w:rFonts w:ascii="黑体" w:hAnsi="黑体" w:eastAsia="黑体"/>
          <w:szCs w:val="21"/>
        </w:rPr>
        <w:t>零位移动：≥8 级</w:t>
      </w:r>
    </w:p>
    <w:p>
      <w:pPr>
        <w:spacing w:line="360" w:lineRule="auto"/>
        <w:rPr>
          <w:rFonts w:ascii="黑体" w:hAnsi="黑体" w:eastAsia="黑体"/>
          <w:szCs w:val="21"/>
        </w:rPr>
      </w:pPr>
      <w:r>
        <w:rPr>
          <w:rFonts w:ascii="黑体" w:hAnsi="黑体" w:eastAsia="黑体"/>
          <w:szCs w:val="21"/>
        </w:rPr>
        <w:t>3.7</w:t>
      </w:r>
      <w:r>
        <w:rPr>
          <w:rFonts w:ascii="黑体" w:hAnsi="黑体" w:eastAsia="黑体"/>
          <w:szCs w:val="21"/>
        </w:rPr>
        <w:tab/>
      </w:r>
      <w:r>
        <w:rPr>
          <w:rFonts w:ascii="黑体" w:hAnsi="黑体" w:eastAsia="黑体"/>
          <w:szCs w:val="21"/>
        </w:rPr>
        <w:t>快速角度校正</w:t>
      </w:r>
    </w:p>
    <w:p>
      <w:pPr>
        <w:spacing w:line="360" w:lineRule="auto"/>
        <w:rPr>
          <w:rFonts w:ascii="黑体" w:hAnsi="黑体" w:eastAsia="黑体"/>
          <w:b/>
          <w:szCs w:val="21"/>
        </w:rPr>
      </w:pPr>
      <w:r>
        <w:rPr>
          <w:rFonts w:hint="eastAsia" w:ascii="黑体" w:hAnsi="黑体" w:eastAsia="黑体"/>
          <w:b/>
          <w:szCs w:val="21"/>
        </w:rPr>
        <w:t>六、</w:t>
      </w:r>
      <w:r>
        <w:rPr>
          <w:rFonts w:ascii="黑体" w:hAnsi="黑体" w:eastAsia="黑体"/>
          <w:b/>
          <w:szCs w:val="21"/>
        </w:rPr>
        <w:t>连通性</w:t>
      </w:r>
    </w:p>
    <w:p>
      <w:pPr>
        <w:spacing w:line="360" w:lineRule="auto"/>
        <w:rPr>
          <w:rFonts w:ascii="黑体" w:hAnsi="黑体" w:eastAsia="黑体"/>
          <w:szCs w:val="21"/>
        </w:rPr>
      </w:pPr>
      <w:r>
        <w:rPr>
          <w:rFonts w:ascii="黑体" w:hAnsi="黑体" w:eastAsia="黑体"/>
          <w:szCs w:val="21"/>
        </w:rPr>
        <w:t>1.1</w:t>
      </w:r>
      <w:r>
        <w:rPr>
          <w:rFonts w:ascii="黑体" w:hAnsi="黑体" w:eastAsia="黑体"/>
          <w:szCs w:val="21"/>
        </w:rPr>
        <w:tab/>
      </w:r>
      <w:r>
        <w:rPr>
          <w:rFonts w:ascii="黑体" w:hAnsi="黑体" w:eastAsia="黑体"/>
          <w:szCs w:val="21"/>
        </w:rPr>
        <w:t>参考信号:心电，呼吸波，心电触发</w:t>
      </w:r>
    </w:p>
    <w:p>
      <w:pPr>
        <w:spacing w:line="360" w:lineRule="auto"/>
        <w:rPr>
          <w:rFonts w:ascii="黑体" w:hAnsi="黑体" w:eastAsia="黑体"/>
          <w:szCs w:val="21"/>
        </w:rPr>
      </w:pPr>
      <w:r>
        <w:rPr>
          <w:rFonts w:ascii="黑体" w:hAnsi="黑体" w:eastAsia="黑体"/>
          <w:szCs w:val="21"/>
        </w:rPr>
        <w:t>1.2</w:t>
      </w:r>
      <w:r>
        <w:rPr>
          <w:rFonts w:ascii="黑体" w:hAnsi="黑体" w:eastAsia="黑体"/>
          <w:szCs w:val="21"/>
        </w:rPr>
        <w:tab/>
      </w:r>
      <w:r>
        <w:rPr>
          <w:rFonts w:ascii="黑体" w:hAnsi="黑体" w:eastAsia="黑体"/>
          <w:szCs w:val="21"/>
        </w:rPr>
        <w:t>数据接口:HDMI、USB3.0接口、音频接口</w:t>
      </w:r>
    </w:p>
    <w:p>
      <w:pPr>
        <w:spacing w:line="360" w:lineRule="auto"/>
        <w:rPr>
          <w:rFonts w:ascii="黑体" w:hAnsi="黑体" w:eastAsia="黑体"/>
          <w:szCs w:val="21"/>
        </w:rPr>
      </w:pPr>
      <w:r>
        <w:rPr>
          <w:rFonts w:ascii="黑体" w:hAnsi="黑体" w:eastAsia="黑体"/>
          <w:szCs w:val="21"/>
        </w:rPr>
        <w:t>1.3</w:t>
      </w:r>
      <w:r>
        <w:rPr>
          <w:rFonts w:ascii="黑体" w:hAnsi="黑体" w:eastAsia="黑体"/>
          <w:szCs w:val="21"/>
        </w:rPr>
        <w:tab/>
      </w:r>
      <w:r>
        <w:rPr>
          <w:rFonts w:ascii="黑体" w:hAnsi="黑体" w:eastAsia="黑体"/>
          <w:szCs w:val="21"/>
        </w:rPr>
        <w:t>支持数据无线传输</w:t>
      </w:r>
    </w:p>
    <w:p>
      <w:pPr>
        <w:spacing w:line="360" w:lineRule="auto"/>
        <w:rPr>
          <w:rFonts w:ascii="黑体" w:hAnsi="黑体" w:eastAsia="黑体"/>
          <w:szCs w:val="21"/>
        </w:rPr>
      </w:pPr>
      <w:r>
        <w:rPr>
          <w:rFonts w:ascii="黑体" w:hAnsi="黑体" w:eastAsia="黑体"/>
          <w:szCs w:val="21"/>
        </w:rPr>
        <w:t>1.4</w:t>
      </w:r>
      <w:r>
        <w:rPr>
          <w:rFonts w:ascii="黑体" w:hAnsi="黑体" w:eastAsia="黑体"/>
          <w:szCs w:val="21"/>
        </w:rPr>
        <w:tab/>
      </w:r>
      <w:r>
        <w:rPr>
          <w:rFonts w:ascii="黑体" w:hAnsi="黑体" w:eastAsia="黑体"/>
          <w:szCs w:val="21"/>
        </w:rPr>
        <w:t>支持DICOM3.0系统</w:t>
      </w:r>
    </w:p>
    <w:p>
      <w:pPr>
        <w:spacing w:line="360" w:lineRule="auto"/>
        <w:rPr>
          <w:rFonts w:ascii="黑体" w:hAnsi="黑体" w:eastAsia="黑体"/>
          <w:szCs w:val="21"/>
        </w:rPr>
      </w:pPr>
      <w:r>
        <w:rPr>
          <w:rFonts w:ascii="黑体" w:hAnsi="黑体" w:eastAsia="黑体"/>
          <w:szCs w:val="21"/>
        </w:rPr>
        <w:t>1.5</w:t>
      </w:r>
      <w:r>
        <w:rPr>
          <w:rFonts w:ascii="黑体" w:hAnsi="黑体" w:eastAsia="黑体"/>
          <w:szCs w:val="21"/>
        </w:rPr>
        <w:tab/>
      </w:r>
      <w:r>
        <w:rPr>
          <w:rFonts w:ascii="黑体" w:hAnsi="黑体" w:eastAsia="黑体"/>
          <w:szCs w:val="21"/>
        </w:rPr>
        <w:t>外设数据模块：包含S---视频、VGA视频接口、高清音视频接口</w:t>
      </w:r>
    </w:p>
    <w:p>
      <w:pPr>
        <w:spacing w:line="360" w:lineRule="auto"/>
        <w:rPr>
          <w:rFonts w:ascii="黑体" w:hAnsi="黑体" w:eastAsia="黑体"/>
          <w:b/>
          <w:szCs w:val="21"/>
        </w:rPr>
      </w:pPr>
      <w:r>
        <w:rPr>
          <w:rFonts w:hint="eastAsia" w:ascii="黑体" w:hAnsi="黑体" w:eastAsia="黑体"/>
          <w:b/>
          <w:szCs w:val="21"/>
        </w:rPr>
        <w:t>七、探头规格</w:t>
      </w:r>
    </w:p>
    <w:p>
      <w:pPr>
        <w:spacing w:line="360" w:lineRule="auto"/>
        <w:rPr>
          <w:rFonts w:ascii="黑体" w:hAnsi="黑体" w:eastAsia="黑体"/>
          <w:szCs w:val="21"/>
        </w:rPr>
      </w:pPr>
      <w:r>
        <w:rPr>
          <w:rFonts w:ascii="黑体" w:hAnsi="黑体" w:eastAsia="黑体"/>
          <w:szCs w:val="21"/>
        </w:rPr>
        <w:t>1.</w:t>
      </w:r>
      <w:r>
        <w:rPr>
          <w:rFonts w:ascii="黑体" w:hAnsi="黑体" w:eastAsia="黑体"/>
          <w:szCs w:val="21"/>
        </w:rPr>
        <w:tab/>
      </w:r>
      <w:r>
        <w:rPr>
          <w:rFonts w:ascii="黑体" w:hAnsi="黑体" w:eastAsia="黑体"/>
          <w:szCs w:val="21"/>
        </w:rPr>
        <w:t>频率：超宽频带或变频探头</w:t>
      </w:r>
    </w:p>
    <w:p>
      <w:pPr>
        <w:spacing w:line="360" w:lineRule="auto"/>
        <w:rPr>
          <w:rFonts w:ascii="黑体" w:hAnsi="黑体" w:eastAsia="黑体"/>
          <w:szCs w:val="21"/>
        </w:rPr>
      </w:pPr>
      <w:r>
        <w:rPr>
          <w:rFonts w:ascii="黑体" w:hAnsi="黑体" w:eastAsia="黑体"/>
          <w:szCs w:val="21"/>
        </w:rPr>
        <w:t>2.</w:t>
      </w:r>
      <w:r>
        <w:rPr>
          <w:rFonts w:ascii="黑体" w:hAnsi="黑体" w:eastAsia="黑体"/>
          <w:szCs w:val="21"/>
        </w:rPr>
        <w:tab/>
      </w:r>
      <w:r>
        <w:rPr>
          <w:rFonts w:ascii="黑体" w:hAnsi="黑体" w:eastAsia="黑体"/>
          <w:szCs w:val="21"/>
        </w:rPr>
        <w:t>二维、彩色、多普勒均可独立变频</w:t>
      </w:r>
    </w:p>
    <w:p>
      <w:pPr>
        <w:spacing w:line="360" w:lineRule="auto"/>
        <w:rPr>
          <w:rFonts w:ascii="黑体" w:hAnsi="黑体" w:eastAsia="黑体"/>
          <w:szCs w:val="21"/>
        </w:rPr>
      </w:pPr>
      <w:r>
        <w:rPr>
          <w:rFonts w:ascii="黑体" w:hAnsi="黑体" w:eastAsia="黑体"/>
          <w:szCs w:val="21"/>
        </w:rPr>
        <w:t>3.</w:t>
      </w:r>
      <w:r>
        <w:rPr>
          <w:rFonts w:ascii="黑体" w:hAnsi="黑体" w:eastAsia="黑体"/>
          <w:szCs w:val="21"/>
        </w:rPr>
        <w:tab/>
      </w:r>
      <w:r>
        <w:rPr>
          <w:rFonts w:hint="eastAsia" w:ascii="黑体" w:hAnsi="黑体" w:eastAsia="黑体"/>
          <w:szCs w:val="21"/>
        </w:rPr>
        <w:t>可搭载</w:t>
      </w:r>
      <w:r>
        <w:rPr>
          <w:rFonts w:ascii="黑体" w:hAnsi="黑体" w:eastAsia="黑体"/>
          <w:szCs w:val="21"/>
        </w:rPr>
        <w:t>探头频率带宽</w:t>
      </w:r>
      <w:r>
        <w:rPr>
          <w:rFonts w:hint="eastAsia" w:ascii="黑体" w:hAnsi="黑体" w:eastAsia="黑体"/>
          <w:szCs w:val="21"/>
        </w:rPr>
        <w:t>：</w:t>
      </w:r>
      <w:r>
        <w:rPr>
          <w:rFonts w:ascii="黑体" w:hAnsi="黑体" w:eastAsia="黑体"/>
          <w:szCs w:val="21"/>
        </w:rPr>
        <w:t>1.2-20 MHz（依赖不同探头）</w:t>
      </w:r>
    </w:p>
    <w:p>
      <w:pPr>
        <w:spacing w:line="360" w:lineRule="auto"/>
        <w:rPr>
          <w:rFonts w:ascii="黑体" w:hAnsi="黑体" w:eastAsia="黑体"/>
          <w:szCs w:val="21"/>
        </w:rPr>
      </w:pPr>
      <w:r>
        <w:rPr>
          <w:rFonts w:ascii="黑体" w:hAnsi="黑体" w:eastAsia="黑体"/>
          <w:szCs w:val="21"/>
        </w:rPr>
        <w:t>4.</w:t>
      </w:r>
      <w:r>
        <w:rPr>
          <w:rFonts w:ascii="黑体" w:hAnsi="黑体" w:eastAsia="黑体"/>
          <w:szCs w:val="21"/>
        </w:rPr>
        <w:tab/>
      </w:r>
      <w:r>
        <w:rPr>
          <w:rFonts w:ascii="黑体" w:hAnsi="黑体" w:eastAsia="黑体"/>
          <w:szCs w:val="21"/>
        </w:rPr>
        <w:t>所有探头均为宽频变频探头,二维、谐波、彩色及频谱多普勒模式分别独立变频，≥3段，阵元：最大有效阵元数≥576阵元</w:t>
      </w:r>
    </w:p>
    <w:p>
      <w:pPr>
        <w:spacing w:line="360" w:lineRule="auto"/>
        <w:rPr>
          <w:rFonts w:ascii="黑体" w:hAnsi="黑体" w:eastAsia="黑体"/>
          <w:szCs w:val="21"/>
        </w:rPr>
      </w:pPr>
      <w:r>
        <w:rPr>
          <w:rFonts w:ascii="黑体" w:hAnsi="黑体" w:eastAsia="黑体"/>
          <w:szCs w:val="21"/>
        </w:rPr>
        <w:t>5.</w:t>
      </w:r>
      <w:r>
        <w:rPr>
          <w:rFonts w:ascii="黑体" w:hAnsi="黑体" w:eastAsia="黑体"/>
          <w:szCs w:val="21"/>
        </w:rPr>
        <w:tab/>
      </w:r>
      <w:r>
        <w:rPr>
          <w:rFonts w:ascii="黑体" w:hAnsi="黑体" w:eastAsia="黑体"/>
          <w:szCs w:val="21"/>
        </w:rPr>
        <w:t>穿刺引导，凸阵、线阵、相控阵具备多角度穿刺引导功能</w:t>
      </w:r>
    </w:p>
    <w:p>
      <w:pPr>
        <w:spacing w:line="360" w:lineRule="auto"/>
        <w:rPr>
          <w:rFonts w:ascii="黑体" w:hAnsi="黑体" w:eastAsia="黑体"/>
          <w:szCs w:val="21"/>
        </w:rPr>
      </w:pPr>
      <w:r>
        <w:rPr>
          <w:rFonts w:ascii="黑体" w:hAnsi="黑体" w:eastAsia="黑体"/>
          <w:szCs w:val="21"/>
        </w:rPr>
        <w:t>6.</w:t>
      </w:r>
      <w:r>
        <w:rPr>
          <w:rFonts w:ascii="黑体" w:hAnsi="黑体" w:eastAsia="黑体"/>
          <w:szCs w:val="21"/>
        </w:rPr>
        <w:tab/>
      </w:r>
      <w:r>
        <w:rPr>
          <w:rFonts w:hint="eastAsia" w:ascii="黑体" w:hAnsi="黑体" w:eastAsia="黑体"/>
          <w:szCs w:val="21"/>
        </w:rPr>
        <w:t>探头规格要求：</w:t>
      </w:r>
    </w:p>
    <w:p>
      <w:pPr>
        <w:spacing w:line="360" w:lineRule="auto"/>
        <w:rPr>
          <w:rFonts w:ascii="黑体" w:hAnsi="黑体" w:eastAsia="黑体" w:cs="Arial"/>
          <w:szCs w:val="21"/>
        </w:rPr>
      </w:pPr>
      <w:r>
        <w:rPr>
          <w:rFonts w:hint="eastAsia" w:ascii="黑体" w:hAnsi="黑体" w:eastAsia="黑体" w:cs="Arial"/>
          <w:szCs w:val="21"/>
        </w:rPr>
        <w:t>凸阵探头，</w:t>
      </w:r>
      <w:r>
        <w:rPr>
          <w:rFonts w:ascii="黑体" w:hAnsi="黑体" w:eastAsia="黑体" w:cs="Arial"/>
          <w:szCs w:val="21"/>
        </w:rPr>
        <w:t>带宽:</w:t>
      </w:r>
      <w:r>
        <w:rPr>
          <w:rFonts w:hint="eastAsia" w:ascii="黑体" w:hAnsi="黑体" w:eastAsia="黑体" w:cs="Arial"/>
          <w:szCs w:val="21"/>
        </w:rPr>
        <w:t>：1.8-</w:t>
      </w:r>
      <w:r>
        <w:rPr>
          <w:rFonts w:ascii="黑体" w:hAnsi="黑体" w:eastAsia="黑体" w:cs="Arial"/>
          <w:szCs w:val="21"/>
        </w:rPr>
        <w:t xml:space="preserve"> </w:t>
      </w:r>
      <w:r>
        <w:rPr>
          <w:rFonts w:hint="eastAsia" w:ascii="黑体" w:hAnsi="黑体" w:eastAsia="黑体" w:cs="Arial"/>
          <w:szCs w:val="21"/>
        </w:rPr>
        <w:t xml:space="preserve">5.5 </w:t>
      </w:r>
      <w:r>
        <w:rPr>
          <w:rFonts w:ascii="黑体" w:hAnsi="黑体" w:eastAsia="黑体" w:cs="Arial"/>
          <w:szCs w:val="21"/>
        </w:rPr>
        <w:t>MHz</w:t>
      </w:r>
    </w:p>
    <w:p>
      <w:pPr>
        <w:spacing w:line="360" w:lineRule="auto"/>
        <w:jc w:val="left"/>
        <w:rPr>
          <w:rFonts w:ascii="黑体" w:hAnsi="黑体" w:eastAsia="黑体"/>
          <w:szCs w:val="21"/>
        </w:rPr>
      </w:pPr>
      <w:r>
        <w:rPr>
          <w:rFonts w:ascii="黑体" w:hAnsi="黑体" w:eastAsia="黑体"/>
          <w:szCs w:val="21"/>
        </w:rPr>
        <w:t>线阵</w:t>
      </w:r>
      <w:r>
        <w:rPr>
          <w:rFonts w:hint="eastAsia" w:ascii="黑体" w:hAnsi="黑体" w:eastAsia="黑体"/>
          <w:szCs w:val="21"/>
        </w:rPr>
        <w:t>探头</w:t>
      </w:r>
      <w:r>
        <w:rPr>
          <w:rFonts w:ascii="黑体" w:hAnsi="黑体" w:eastAsia="黑体"/>
          <w:szCs w:val="21"/>
        </w:rPr>
        <w:t>，带宽:</w:t>
      </w:r>
      <w:r>
        <w:rPr>
          <w:rFonts w:hint="eastAsia" w:ascii="黑体" w:hAnsi="黑体" w:eastAsia="黑体"/>
          <w:szCs w:val="21"/>
        </w:rPr>
        <w:t>：5-13</w:t>
      </w:r>
      <w:r>
        <w:rPr>
          <w:rFonts w:ascii="黑体" w:hAnsi="黑体" w:eastAsia="黑体"/>
          <w:szCs w:val="21"/>
        </w:rPr>
        <w:t>MHz</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4799"/>
        <w:gridCol w:w="1603"/>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360" w:lineRule="auto"/>
              <w:jc w:val="center"/>
              <w:rPr>
                <w:rFonts w:ascii="黑体" w:hAnsi="黑体" w:eastAsia="黑体"/>
                <w:b/>
                <w:bCs/>
                <w:szCs w:val="21"/>
              </w:rPr>
            </w:pPr>
            <w:r>
              <w:rPr>
                <w:rFonts w:hint="eastAsia" w:ascii="黑体" w:hAnsi="黑体" w:eastAsia="黑体"/>
                <w:b/>
                <w:bCs/>
              </w:rPr>
              <w:t>高端便携彩超配置清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b/>
                <w:bCs/>
                <w:szCs w:val="21"/>
              </w:rPr>
            </w:pPr>
            <w:r>
              <w:rPr>
                <w:rFonts w:hint="eastAsia"/>
                <w:b/>
                <w:bCs/>
              </w:rPr>
              <w:t>序号</w:t>
            </w:r>
          </w:p>
        </w:tc>
        <w:tc>
          <w:tcPr>
            <w:tcW w:w="2737" w:type="pct"/>
          </w:tcPr>
          <w:p>
            <w:pPr>
              <w:spacing w:line="360" w:lineRule="auto"/>
              <w:jc w:val="center"/>
              <w:rPr>
                <w:rFonts w:ascii="黑体" w:hAnsi="黑体" w:eastAsia="黑体"/>
                <w:b/>
                <w:bCs/>
                <w:szCs w:val="21"/>
              </w:rPr>
            </w:pPr>
            <w:r>
              <w:rPr>
                <w:rFonts w:hint="eastAsia" w:ascii="黑体" w:hAnsi="黑体" w:eastAsia="黑体"/>
                <w:b/>
                <w:bCs/>
              </w:rPr>
              <w:t>配置名称</w:t>
            </w:r>
          </w:p>
        </w:tc>
        <w:tc>
          <w:tcPr>
            <w:tcW w:w="914" w:type="pct"/>
          </w:tcPr>
          <w:p>
            <w:pPr>
              <w:spacing w:line="360" w:lineRule="auto"/>
              <w:jc w:val="center"/>
              <w:rPr>
                <w:rFonts w:ascii="黑体" w:hAnsi="黑体" w:eastAsia="黑体"/>
                <w:b/>
                <w:bCs/>
                <w:szCs w:val="21"/>
              </w:rPr>
            </w:pPr>
            <w:r>
              <w:rPr>
                <w:rFonts w:hint="eastAsia" w:ascii="黑体" w:hAnsi="黑体" w:eastAsia="黑体"/>
                <w:b/>
                <w:bCs/>
              </w:rPr>
              <w:t>数量</w:t>
            </w:r>
          </w:p>
        </w:tc>
        <w:tc>
          <w:tcPr>
            <w:tcW w:w="687" w:type="pct"/>
          </w:tcPr>
          <w:p>
            <w:pPr>
              <w:spacing w:line="360" w:lineRule="auto"/>
              <w:jc w:val="center"/>
              <w:rPr>
                <w:rFonts w:ascii="黑体" w:hAnsi="黑体" w:eastAsia="黑体"/>
                <w:b/>
                <w:bCs/>
                <w:szCs w:val="21"/>
              </w:rPr>
            </w:pPr>
            <w:r>
              <w:rPr>
                <w:rFonts w:hint="eastAsia" w:ascii="黑体" w:hAnsi="黑体" w:eastAsia="黑体"/>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szCs w:val="21"/>
              </w:rPr>
            </w:pPr>
            <w:r>
              <w:rPr>
                <w:rFonts w:hint="eastAsia" w:ascii="黑体" w:hAnsi="黑体" w:eastAsia="黑体"/>
                <w:szCs w:val="21"/>
              </w:rPr>
              <w:t>1</w:t>
            </w:r>
          </w:p>
        </w:tc>
        <w:tc>
          <w:tcPr>
            <w:tcW w:w="2737" w:type="pct"/>
          </w:tcPr>
          <w:p>
            <w:pPr>
              <w:spacing w:line="360" w:lineRule="auto"/>
              <w:jc w:val="center"/>
              <w:rPr>
                <w:rFonts w:ascii="黑体" w:hAnsi="黑体" w:eastAsia="黑体"/>
                <w:szCs w:val="21"/>
              </w:rPr>
            </w:pPr>
            <w:r>
              <w:rPr>
                <w:rFonts w:hint="eastAsia" w:ascii="黑体" w:hAnsi="黑体" w:eastAsia="黑体"/>
              </w:rPr>
              <w:t>高端便携彩色多普勒系统主机</w:t>
            </w:r>
          </w:p>
        </w:tc>
        <w:tc>
          <w:tcPr>
            <w:tcW w:w="913" w:type="pct"/>
          </w:tcPr>
          <w:p>
            <w:pPr>
              <w:spacing w:line="360" w:lineRule="auto"/>
              <w:jc w:val="center"/>
              <w:rPr>
                <w:rFonts w:ascii="黑体" w:hAnsi="黑体" w:eastAsia="黑体"/>
                <w:szCs w:val="21"/>
              </w:rPr>
            </w:pPr>
            <w:r>
              <w:rPr>
                <w:rFonts w:hint="eastAsia" w:ascii="黑体" w:hAnsi="黑体" w:eastAsia="黑体"/>
                <w:szCs w:val="21"/>
              </w:rPr>
              <w:t>1</w:t>
            </w:r>
          </w:p>
        </w:tc>
        <w:tc>
          <w:tcPr>
            <w:tcW w:w="687" w:type="pct"/>
          </w:tcPr>
          <w:p>
            <w:pPr>
              <w:spacing w:line="360" w:lineRule="auto"/>
              <w:jc w:val="center"/>
              <w:rPr>
                <w:rFonts w:ascii="黑体" w:hAnsi="黑体" w:eastAsia="黑体"/>
                <w:szCs w:val="21"/>
              </w:rPr>
            </w:pPr>
            <w:r>
              <w:rPr>
                <w:rFonts w:hint="eastAsia" w:ascii="黑体" w:hAnsi="黑体" w:eastAsia="黑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szCs w:val="21"/>
              </w:rPr>
            </w:pPr>
            <w:r>
              <w:rPr>
                <w:rFonts w:hint="eastAsia" w:ascii="黑体" w:hAnsi="黑体" w:eastAsia="黑体"/>
                <w:szCs w:val="21"/>
              </w:rPr>
              <w:t>2</w:t>
            </w:r>
          </w:p>
        </w:tc>
        <w:tc>
          <w:tcPr>
            <w:tcW w:w="2737" w:type="pct"/>
          </w:tcPr>
          <w:p>
            <w:pPr>
              <w:spacing w:line="360" w:lineRule="auto"/>
              <w:jc w:val="center"/>
              <w:rPr>
                <w:rFonts w:ascii="黑体" w:hAnsi="黑体" w:eastAsia="黑体"/>
                <w:szCs w:val="21"/>
              </w:rPr>
            </w:pPr>
            <w:r>
              <w:rPr>
                <w:rFonts w:hint="eastAsia" w:ascii="黑体" w:hAnsi="黑体" w:eastAsia="黑体"/>
              </w:rPr>
              <w:t>内置电池</w:t>
            </w:r>
          </w:p>
        </w:tc>
        <w:tc>
          <w:tcPr>
            <w:tcW w:w="913" w:type="pct"/>
          </w:tcPr>
          <w:p>
            <w:pPr>
              <w:spacing w:line="360" w:lineRule="auto"/>
              <w:jc w:val="center"/>
              <w:rPr>
                <w:rFonts w:ascii="黑体" w:hAnsi="黑体" w:eastAsia="黑体"/>
                <w:szCs w:val="21"/>
              </w:rPr>
            </w:pPr>
            <w:r>
              <w:rPr>
                <w:rFonts w:hint="eastAsia" w:ascii="黑体" w:hAnsi="黑体" w:eastAsia="黑体"/>
                <w:szCs w:val="21"/>
              </w:rPr>
              <w:t>1</w:t>
            </w:r>
          </w:p>
        </w:tc>
        <w:tc>
          <w:tcPr>
            <w:tcW w:w="687" w:type="pct"/>
          </w:tcPr>
          <w:p>
            <w:pPr>
              <w:spacing w:line="360" w:lineRule="auto"/>
              <w:jc w:val="center"/>
              <w:rPr>
                <w:rFonts w:ascii="黑体" w:hAnsi="黑体" w:eastAsia="黑体"/>
                <w:szCs w:val="21"/>
              </w:rPr>
            </w:pPr>
            <w:r>
              <w:rPr>
                <w:rFonts w:hint="eastAsia" w:ascii="黑体" w:hAnsi="黑体" w:eastAsia="黑体"/>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szCs w:val="21"/>
              </w:rPr>
            </w:pPr>
            <w:r>
              <w:rPr>
                <w:rFonts w:hint="eastAsia" w:ascii="黑体" w:hAnsi="黑体" w:eastAsia="黑体"/>
                <w:szCs w:val="21"/>
              </w:rPr>
              <w:t>3</w:t>
            </w:r>
          </w:p>
        </w:tc>
        <w:tc>
          <w:tcPr>
            <w:tcW w:w="2737" w:type="pct"/>
          </w:tcPr>
          <w:p>
            <w:pPr>
              <w:spacing w:line="360" w:lineRule="auto"/>
              <w:jc w:val="center"/>
              <w:rPr>
                <w:rFonts w:ascii="黑体" w:hAnsi="黑体" w:eastAsia="黑体"/>
                <w:szCs w:val="21"/>
              </w:rPr>
            </w:pPr>
            <w:r>
              <w:rPr>
                <w:rFonts w:hint="eastAsia" w:ascii="黑体" w:hAnsi="黑体" w:eastAsia="黑体"/>
              </w:rPr>
              <w:t>探头扩展器</w:t>
            </w:r>
          </w:p>
        </w:tc>
        <w:tc>
          <w:tcPr>
            <w:tcW w:w="913" w:type="pct"/>
          </w:tcPr>
          <w:p>
            <w:pPr>
              <w:spacing w:line="360" w:lineRule="auto"/>
              <w:jc w:val="center"/>
              <w:rPr>
                <w:rFonts w:ascii="黑体" w:hAnsi="黑体" w:eastAsia="黑体"/>
                <w:szCs w:val="21"/>
              </w:rPr>
            </w:pPr>
            <w:r>
              <w:rPr>
                <w:rFonts w:hint="eastAsia" w:ascii="黑体" w:hAnsi="黑体" w:eastAsia="黑体"/>
                <w:szCs w:val="21"/>
              </w:rPr>
              <w:t>1</w:t>
            </w:r>
          </w:p>
        </w:tc>
        <w:tc>
          <w:tcPr>
            <w:tcW w:w="687" w:type="pct"/>
          </w:tcPr>
          <w:p>
            <w:pPr>
              <w:spacing w:line="360" w:lineRule="auto"/>
              <w:jc w:val="center"/>
              <w:rPr>
                <w:rFonts w:ascii="黑体" w:hAnsi="黑体" w:eastAsia="黑体"/>
                <w:szCs w:val="21"/>
              </w:rPr>
            </w:pPr>
            <w:r>
              <w:rPr>
                <w:rFonts w:hint="eastAsia" w:ascii="黑体" w:hAnsi="黑体" w:eastAsia="黑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szCs w:val="21"/>
              </w:rPr>
            </w:pPr>
            <w:r>
              <w:rPr>
                <w:rFonts w:hint="eastAsia" w:ascii="黑体" w:hAnsi="黑体" w:eastAsia="黑体"/>
                <w:szCs w:val="21"/>
              </w:rPr>
              <w:t>4</w:t>
            </w:r>
          </w:p>
        </w:tc>
        <w:tc>
          <w:tcPr>
            <w:tcW w:w="2737" w:type="pct"/>
          </w:tcPr>
          <w:p>
            <w:pPr>
              <w:spacing w:line="360" w:lineRule="auto"/>
              <w:jc w:val="center"/>
              <w:rPr>
                <w:rFonts w:ascii="黑体" w:hAnsi="黑体" w:eastAsia="黑体"/>
                <w:szCs w:val="21"/>
              </w:rPr>
            </w:pPr>
            <w:r>
              <w:rPr>
                <w:rFonts w:hint="eastAsia" w:ascii="黑体" w:hAnsi="黑体" w:eastAsia="黑体"/>
              </w:rPr>
              <w:t>专用拉杆箱</w:t>
            </w:r>
          </w:p>
        </w:tc>
        <w:tc>
          <w:tcPr>
            <w:tcW w:w="913" w:type="pct"/>
          </w:tcPr>
          <w:p>
            <w:pPr>
              <w:spacing w:line="360" w:lineRule="auto"/>
              <w:jc w:val="center"/>
              <w:rPr>
                <w:rFonts w:ascii="黑体" w:hAnsi="黑体" w:eastAsia="黑体"/>
                <w:szCs w:val="21"/>
              </w:rPr>
            </w:pPr>
            <w:r>
              <w:rPr>
                <w:rFonts w:hint="eastAsia" w:ascii="黑体" w:hAnsi="黑体" w:eastAsia="黑体"/>
                <w:szCs w:val="21"/>
              </w:rPr>
              <w:t>1</w:t>
            </w:r>
          </w:p>
        </w:tc>
        <w:tc>
          <w:tcPr>
            <w:tcW w:w="687" w:type="pct"/>
          </w:tcPr>
          <w:p>
            <w:pPr>
              <w:spacing w:line="360" w:lineRule="auto"/>
              <w:jc w:val="center"/>
              <w:rPr>
                <w:rFonts w:ascii="黑体" w:hAnsi="黑体" w:eastAsia="黑体"/>
                <w:szCs w:val="21"/>
              </w:rPr>
            </w:pPr>
            <w:r>
              <w:rPr>
                <w:rFonts w:hint="eastAsia" w:ascii="黑体" w:hAnsi="黑体" w:eastAsia="黑体"/>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szCs w:val="21"/>
              </w:rPr>
            </w:pPr>
            <w:r>
              <w:rPr>
                <w:rFonts w:hint="eastAsia" w:ascii="黑体" w:hAnsi="黑体" w:eastAsia="黑体"/>
                <w:szCs w:val="21"/>
              </w:rPr>
              <w:t>5</w:t>
            </w:r>
          </w:p>
        </w:tc>
        <w:tc>
          <w:tcPr>
            <w:tcW w:w="2737" w:type="pct"/>
          </w:tcPr>
          <w:p>
            <w:pPr>
              <w:spacing w:line="360" w:lineRule="auto"/>
              <w:jc w:val="center"/>
              <w:rPr>
                <w:rFonts w:ascii="黑体" w:hAnsi="黑体" w:eastAsia="黑体"/>
                <w:szCs w:val="21"/>
              </w:rPr>
            </w:pPr>
            <w:r>
              <w:rPr>
                <w:rFonts w:hint="eastAsia" w:ascii="黑体" w:hAnsi="黑体" w:eastAsia="黑体"/>
              </w:rPr>
              <w:t>可升降台车</w:t>
            </w:r>
          </w:p>
        </w:tc>
        <w:tc>
          <w:tcPr>
            <w:tcW w:w="913" w:type="pct"/>
          </w:tcPr>
          <w:p>
            <w:pPr>
              <w:spacing w:line="360" w:lineRule="auto"/>
              <w:jc w:val="center"/>
              <w:rPr>
                <w:rFonts w:ascii="黑体" w:hAnsi="黑体" w:eastAsia="黑体"/>
                <w:szCs w:val="21"/>
              </w:rPr>
            </w:pPr>
            <w:r>
              <w:rPr>
                <w:rFonts w:hint="eastAsia" w:ascii="黑体" w:hAnsi="黑体" w:eastAsia="黑体"/>
                <w:szCs w:val="21"/>
              </w:rPr>
              <w:t>1</w:t>
            </w:r>
          </w:p>
        </w:tc>
        <w:tc>
          <w:tcPr>
            <w:tcW w:w="687" w:type="pct"/>
          </w:tcPr>
          <w:p>
            <w:pPr>
              <w:spacing w:line="360" w:lineRule="auto"/>
              <w:jc w:val="center"/>
              <w:rPr>
                <w:rFonts w:ascii="黑体" w:hAnsi="黑体" w:eastAsia="黑体"/>
                <w:szCs w:val="21"/>
              </w:rPr>
            </w:pPr>
            <w:r>
              <w:rPr>
                <w:rFonts w:hint="eastAsia" w:ascii="黑体" w:hAnsi="黑体" w:eastAsia="黑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szCs w:val="21"/>
              </w:rPr>
            </w:pPr>
            <w:r>
              <w:rPr>
                <w:rFonts w:hint="eastAsia" w:ascii="黑体" w:hAnsi="黑体" w:eastAsia="黑体"/>
                <w:szCs w:val="21"/>
              </w:rPr>
              <w:t>6</w:t>
            </w:r>
          </w:p>
        </w:tc>
        <w:tc>
          <w:tcPr>
            <w:tcW w:w="2737" w:type="pct"/>
          </w:tcPr>
          <w:p>
            <w:pPr>
              <w:spacing w:line="360" w:lineRule="auto"/>
              <w:jc w:val="center"/>
              <w:rPr>
                <w:rFonts w:ascii="黑体" w:hAnsi="黑体" w:eastAsia="黑体"/>
                <w:szCs w:val="21"/>
              </w:rPr>
            </w:pPr>
            <w:r>
              <w:rPr>
                <w:rFonts w:hint="eastAsia" w:ascii="黑体" w:hAnsi="黑体" w:eastAsia="黑体"/>
              </w:rPr>
              <w:t>凸阵探头</w:t>
            </w:r>
          </w:p>
        </w:tc>
        <w:tc>
          <w:tcPr>
            <w:tcW w:w="913" w:type="pct"/>
          </w:tcPr>
          <w:p>
            <w:pPr>
              <w:spacing w:line="360" w:lineRule="auto"/>
              <w:jc w:val="center"/>
              <w:rPr>
                <w:rFonts w:ascii="黑体" w:hAnsi="黑体" w:eastAsia="黑体"/>
                <w:szCs w:val="21"/>
              </w:rPr>
            </w:pPr>
            <w:r>
              <w:rPr>
                <w:rFonts w:hint="eastAsia" w:ascii="黑体" w:hAnsi="黑体" w:eastAsia="黑体"/>
                <w:szCs w:val="21"/>
              </w:rPr>
              <w:t>1</w:t>
            </w:r>
          </w:p>
        </w:tc>
        <w:tc>
          <w:tcPr>
            <w:tcW w:w="687" w:type="pct"/>
          </w:tcPr>
          <w:p>
            <w:pPr>
              <w:spacing w:line="360" w:lineRule="auto"/>
              <w:jc w:val="center"/>
              <w:rPr>
                <w:rFonts w:ascii="黑体" w:hAnsi="黑体" w:eastAsia="黑体"/>
                <w:szCs w:val="21"/>
              </w:rPr>
            </w:pPr>
            <w:r>
              <w:rPr>
                <w:rFonts w:hint="eastAsia" w:ascii="黑体" w:hAnsi="黑体" w:eastAsia="黑体"/>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szCs w:val="21"/>
              </w:rPr>
            </w:pPr>
            <w:r>
              <w:rPr>
                <w:rFonts w:hint="eastAsia" w:ascii="黑体" w:hAnsi="黑体" w:eastAsia="黑体"/>
                <w:szCs w:val="21"/>
              </w:rPr>
              <w:t>7</w:t>
            </w:r>
          </w:p>
        </w:tc>
        <w:tc>
          <w:tcPr>
            <w:tcW w:w="2737" w:type="pct"/>
          </w:tcPr>
          <w:p>
            <w:pPr>
              <w:spacing w:line="360" w:lineRule="auto"/>
              <w:jc w:val="center"/>
              <w:rPr>
                <w:rFonts w:ascii="黑体" w:hAnsi="黑体" w:eastAsia="黑体"/>
                <w:szCs w:val="21"/>
              </w:rPr>
            </w:pPr>
            <w:r>
              <w:rPr>
                <w:rFonts w:hint="eastAsia" w:ascii="黑体" w:hAnsi="黑体" w:eastAsia="黑体"/>
              </w:rPr>
              <w:t>线阵探头</w:t>
            </w:r>
          </w:p>
        </w:tc>
        <w:tc>
          <w:tcPr>
            <w:tcW w:w="913" w:type="pct"/>
          </w:tcPr>
          <w:p>
            <w:pPr>
              <w:spacing w:line="360" w:lineRule="auto"/>
              <w:jc w:val="center"/>
              <w:rPr>
                <w:rFonts w:ascii="黑体" w:hAnsi="黑体" w:eastAsia="黑体"/>
                <w:szCs w:val="21"/>
              </w:rPr>
            </w:pPr>
            <w:r>
              <w:rPr>
                <w:rFonts w:hint="eastAsia" w:ascii="黑体" w:hAnsi="黑体" w:eastAsia="黑体"/>
                <w:szCs w:val="21"/>
              </w:rPr>
              <w:t>1</w:t>
            </w:r>
          </w:p>
        </w:tc>
        <w:tc>
          <w:tcPr>
            <w:tcW w:w="687" w:type="pct"/>
          </w:tcPr>
          <w:p>
            <w:pPr>
              <w:spacing w:line="360" w:lineRule="auto"/>
              <w:jc w:val="center"/>
              <w:rPr>
                <w:rFonts w:ascii="黑体" w:hAnsi="黑体" w:eastAsia="黑体"/>
                <w:szCs w:val="21"/>
              </w:rPr>
            </w:pPr>
            <w:r>
              <w:rPr>
                <w:rFonts w:hint="eastAsia" w:ascii="黑体" w:hAnsi="黑体" w:eastAsia="黑体"/>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spacing w:line="360" w:lineRule="auto"/>
              <w:jc w:val="center"/>
              <w:rPr>
                <w:rFonts w:ascii="黑体" w:hAnsi="黑体" w:eastAsia="黑体"/>
                <w:szCs w:val="21"/>
              </w:rPr>
            </w:pPr>
            <w:r>
              <w:rPr>
                <w:rFonts w:hint="eastAsia" w:ascii="黑体" w:hAnsi="黑体" w:eastAsia="黑体"/>
                <w:szCs w:val="21"/>
              </w:rPr>
              <w:t>8</w:t>
            </w:r>
          </w:p>
        </w:tc>
        <w:tc>
          <w:tcPr>
            <w:tcW w:w="2737" w:type="pct"/>
          </w:tcPr>
          <w:p>
            <w:pPr>
              <w:spacing w:line="360" w:lineRule="auto"/>
              <w:jc w:val="center"/>
              <w:rPr>
                <w:rFonts w:ascii="黑体" w:hAnsi="黑体" w:eastAsia="黑体"/>
                <w:szCs w:val="21"/>
              </w:rPr>
            </w:pPr>
            <w:r>
              <w:rPr>
                <w:rFonts w:hint="eastAsia" w:ascii="黑体" w:hAnsi="黑体" w:eastAsia="黑体"/>
              </w:rPr>
              <w:t>相控阵探头</w:t>
            </w:r>
          </w:p>
        </w:tc>
        <w:tc>
          <w:tcPr>
            <w:tcW w:w="913" w:type="pct"/>
          </w:tcPr>
          <w:p>
            <w:pPr>
              <w:spacing w:line="360" w:lineRule="auto"/>
              <w:jc w:val="center"/>
              <w:rPr>
                <w:rFonts w:ascii="黑体" w:hAnsi="黑体" w:eastAsia="黑体"/>
                <w:szCs w:val="21"/>
              </w:rPr>
            </w:pPr>
            <w:r>
              <w:rPr>
                <w:rFonts w:hint="eastAsia" w:ascii="黑体" w:hAnsi="黑体" w:eastAsia="黑体"/>
                <w:szCs w:val="21"/>
              </w:rPr>
              <w:t>1</w:t>
            </w:r>
          </w:p>
        </w:tc>
        <w:tc>
          <w:tcPr>
            <w:tcW w:w="687" w:type="pct"/>
          </w:tcPr>
          <w:p>
            <w:pPr>
              <w:spacing w:line="360" w:lineRule="auto"/>
              <w:jc w:val="center"/>
              <w:rPr>
                <w:rFonts w:ascii="黑体" w:hAnsi="黑体" w:eastAsia="黑体"/>
                <w:szCs w:val="21"/>
              </w:rPr>
            </w:pPr>
            <w:r>
              <w:rPr>
                <w:rFonts w:hint="eastAsia" w:ascii="黑体" w:hAnsi="黑体" w:eastAsia="黑体"/>
              </w:rPr>
              <w:t>把</w:t>
            </w:r>
          </w:p>
        </w:tc>
      </w:tr>
    </w:tbl>
    <w:p>
      <w:pPr>
        <w:spacing w:line="360" w:lineRule="auto"/>
        <w:rPr>
          <w:rFonts w:ascii="黑体" w:hAnsi="黑体" w:eastAsia="黑体"/>
          <w:szCs w:val="21"/>
        </w:rPr>
      </w:pPr>
    </w:p>
    <w:p>
      <w:pPr>
        <w:pageBreakBefore/>
        <w:spacing w:line="360" w:lineRule="auto"/>
        <w:rPr>
          <w:rFonts w:ascii="黑体" w:hAnsi="黑体" w:eastAsia="黑体"/>
          <w:b/>
          <w:bCs/>
          <w:szCs w:val="21"/>
        </w:rPr>
      </w:pPr>
      <w:r>
        <w:rPr>
          <w:rFonts w:hint="eastAsia" w:ascii="黑体" w:hAnsi="黑体" w:eastAsia="黑体"/>
          <w:b/>
          <w:bCs/>
          <w:szCs w:val="21"/>
        </w:rPr>
        <w:t>（十三）全自动血气分析仪</w:t>
      </w:r>
    </w:p>
    <w:p>
      <w:pPr>
        <w:numPr>
          <w:ilvl w:val="0"/>
          <w:numId w:val="14"/>
        </w:numPr>
        <w:spacing w:line="360" w:lineRule="auto"/>
        <w:ind w:left="357" w:hanging="357"/>
        <w:rPr>
          <w:rFonts w:ascii="黑体" w:hAnsi="黑体" w:eastAsia="黑体"/>
          <w:szCs w:val="21"/>
        </w:rPr>
      </w:pPr>
      <w:r>
        <w:rPr>
          <w:rFonts w:ascii="黑体" w:hAnsi="黑体" w:eastAsia="黑体"/>
          <w:szCs w:val="21"/>
          <w:lang w:val="de-DE"/>
        </w:rPr>
        <w:t>设备基本性能和要求：该设备应用于血气分析，可进行血气、电解质、代谢物等参数的同时测定，体现当前血气检测最先进水平，精准度高、稳定性好、检测快速、操作维护保养简单方便。</w:t>
      </w:r>
    </w:p>
    <w:p>
      <w:pPr>
        <w:numPr>
          <w:ilvl w:val="0"/>
          <w:numId w:val="14"/>
        </w:numPr>
        <w:spacing w:line="360" w:lineRule="auto"/>
        <w:ind w:left="357" w:hanging="357"/>
        <w:rPr>
          <w:rFonts w:ascii="黑体" w:hAnsi="黑体" w:eastAsia="黑体"/>
          <w:b/>
          <w:bCs/>
          <w:szCs w:val="21"/>
        </w:rPr>
      </w:pPr>
      <w:r>
        <w:rPr>
          <w:rFonts w:hint="eastAsia" w:ascii="黑体" w:hAnsi="黑体" w:eastAsia="黑体" w:cs="楷体"/>
          <w:b/>
          <w:bCs/>
          <w:szCs w:val="21"/>
        </w:rPr>
        <w:t>▲</w:t>
      </w:r>
      <w:r>
        <w:rPr>
          <w:rFonts w:ascii="黑体" w:hAnsi="黑体" w:eastAsia="黑体"/>
          <w:b/>
          <w:bCs/>
          <w:szCs w:val="21"/>
        </w:rPr>
        <w:t>可直接测定的参数应包括以下9项：PH、PCO</w:t>
      </w:r>
      <w:r>
        <w:rPr>
          <w:rFonts w:ascii="黑体" w:hAnsi="黑体" w:eastAsia="黑体"/>
          <w:b/>
          <w:bCs/>
          <w:szCs w:val="21"/>
          <w:vertAlign w:val="subscript"/>
        </w:rPr>
        <w:t>2</w:t>
      </w:r>
      <w:r>
        <w:rPr>
          <w:rFonts w:ascii="黑体" w:hAnsi="黑体" w:eastAsia="黑体"/>
          <w:b/>
          <w:bCs/>
          <w:szCs w:val="21"/>
        </w:rPr>
        <w:t>、PO</w:t>
      </w:r>
      <w:r>
        <w:rPr>
          <w:rFonts w:ascii="黑体" w:hAnsi="黑体" w:eastAsia="黑体"/>
          <w:b/>
          <w:bCs/>
          <w:szCs w:val="21"/>
          <w:vertAlign w:val="subscript"/>
        </w:rPr>
        <w:t>2</w:t>
      </w:r>
      <w:r>
        <w:rPr>
          <w:rFonts w:ascii="黑体" w:hAnsi="黑体" w:eastAsia="黑体"/>
          <w:b/>
          <w:bCs/>
          <w:szCs w:val="21"/>
        </w:rPr>
        <w:t>、Hct、Na</w:t>
      </w:r>
      <w:r>
        <w:rPr>
          <w:rFonts w:ascii="黑体" w:hAnsi="黑体" w:eastAsia="黑体"/>
          <w:b/>
          <w:bCs/>
          <w:szCs w:val="21"/>
          <w:vertAlign w:val="superscript"/>
        </w:rPr>
        <w:t>+</w:t>
      </w:r>
      <w:r>
        <w:rPr>
          <w:rFonts w:ascii="黑体" w:hAnsi="黑体" w:eastAsia="黑体"/>
          <w:b/>
          <w:bCs/>
          <w:szCs w:val="21"/>
        </w:rPr>
        <w:t>、K</w:t>
      </w:r>
      <w:r>
        <w:rPr>
          <w:rFonts w:ascii="黑体" w:hAnsi="黑体" w:eastAsia="黑体"/>
          <w:b/>
          <w:bCs/>
          <w:szCs w:val="21"/>
          <w:vertAlign w:val="superscript"/>
        </w:rPr>
        <w:t>+</w:t>
      </w:r>
      <w:r>
        <w:rPr>
          <w:rFonts w:ascii="黑体" w:hAnsi="黑体" w:eastAsia="黑体"/>
          <w:b/>
          <w:bCs/>
          <w:szCs w:val="21"/>
        </w:rPr>
        <w:t>、Ca</w:t>
      </w:r>
      <w:r>
        <w:rPr>
          <w:rFonts w:ascii="黑体" w:hAnsi="黑体" w:eastAsia="黑体"/>
          <w:b/>
          <w:bCs/>
          <w:szCs w:val="21"/>
          <w:vertAlign w:val="superscript"/>
        </w:rPr>
        <w:t>++</w:t>
      </w:r>
      <w:r>
        <w:rPr>
          <w:rFonts w:ascii="黑体" w:hAnsi="黑体" w:eastAsia="黑体"/>
          <w:b/>
          <w:bCs/>
          <w:szCs w:val="21"/>
        </w:rPr>
        <w:t>、葡萄糖Glu、乳酸Lac。</w:t>
      </w:r>
      <w:r>
        <w:rPr>
          <w:rFonts w:ascii="黑体" w:hAnsi="黑体" w:eastAsia="黑体"/>
          <w:b/>
          <w:bCs/>
          <w:szCs w:val="21"/>
          <w:lang w:val="de-DE"/>
        </w:rPr>
        <w:t>各参数可根据临床需求自定义灵活组合，在不需要进行某项测试的操作或某项测试发生故障时可关闭，不影响其它指标测定。</w:t>
      </w:r>
    </w:p>
    <w:p>
      <w:pPr>
        <w:numPr>
          <w:ilvl w:val="0"/>
          <w:numId w:val="14"/>
        </w:numPr>
        <w:spacing w:line="360" w:lineRule="auto"/>
        <w:ind w:left="357" w:hanging="357"/>
        <w:rPr>
          <w:rFonts w:ascii="黑体" w:hAnsi="黑体" w:eastAsia="黑体"/>
          <w:szCs w:val="21"/>
        </w:rPr>
      </w:pPr>
      <w:r>
        <w:rPr>
          <w:rFonts w:ascii="黑体" w:hAnsi="黑体" w:eastAsia="黑体"/>
          <w:szCs w:val="21"/>
        </w:rPr>
        <w:t>计算参数包括以下18项：Ca</w:t>
      </w:r>
      <w:r>
        <w:rPr>
          <w:rFonts w:ascii="黑体" w:hAnsi="黑体" w:eastAsia="黑体"/>
          <w:szCs w:val="21"/>
          <w:vertAlign w:val="superscript"/>
        </w:rPr>
        <w:t>++</w:t>
      </w:r>
      <w:r>
        <w:rPr>
          <w:rFonts w:ascii="黑体" w:hAnsi="黑体" w:eastAsia="黑体"/>
          <w:szCs w:val="21"/>
        </w:rPr>
        <w:t>（7.4）、HCO</w:t>
      </w:r>
      <w:r>
        <w:rPr>
          <w:rFonts w:ascii="黑体" w:hAnsi="黑体" w:eastAsia="黑体"/>
          <w:szCs w:val="21"/>
          <w:vertAlign w:val="subscript"/>
        </w:rPr>
        <w:t>3</w:t>
      </w:r>
      <w:r>
        <w:rPr>
          <w:rFonts w:ascii="黑体" w:hAnsi="黑体" w:eastAsia="黑体"/>
          <w:szCs w:val="21"/>
          <w:vertAlign w:val="superscript"/>
        </w:rPr>
        <w:t>-</w:t>
      </w:r>
      <w:r>
        <w:rPr>
          <w:rFonts w:ascii="黑体" w:hAnsi="黑体" w:eastAsia="黑体"/>
          <w:szCs w:val="21"/>
        </w:rPr>
        <w:t>、HCO</w:t>
      </w:r>
      <w:r>
        <w:rPr>
          <w:rFonts w:ascii="黑体" w:hAnsi="黑体" w:eastAsia="黑体"/>
          <w:szCs w:val="21"/>
          <w:vertAlign w:val="subscript"/>
        </w:rPr>
        <w:t>3</w:t>
      </w:r>
      <w:r>
        <w:rPr>
          <w:rFonts w:ascii="黑体" w:hAnsi="黑体" w:eastAsia="黑体"/>
          <w:szCs w:val="21"/>
          <w:vertAlign w:val="superscript"/>
        </w:rPr>
        <w:t>-</w:t>
      </w:r>
      <w:r>
        <w:rPr>
          <w:rFonts w:ascii="黑体" w:hAnsi="黑体" w:eastAsia="黑体"/>
          <w:szCs w:val="21"/>
        </w:rPr>
        <w:t>std、TCO</w:t>
      </w:r>
      <w:r>
        <w:rPr>
          <w:rFonts w:ascii="黑体" w:hAnsi="黑体" w:eastAsia="黑体"/>
          <w:szCs w:val="21"/>
          <w:vertAlign w:val="subscript"/>
        </w:rPr>
        <w:t>2</w:t>
      </w:r>
      <w:r>
        <w:rPr>
          <w:rFonts w:ascii="黑体" w:hAnsi="黑体" w:eastAsia="黑体"/>
          <w:szCs w:val="21"/>
        </w:rPr>
        <w:t>、BE (ecf)、BE(B)、SaO</w:t>
      </w:r>
      <w:r>
        <w:rPr>
          <w:rFonts w:ascii="黑体" w:hAnsi="黑体" w:eastAsia="黑体"/>
          <w:szCs w:val="21"/>
          <w:vertAlign w:val="subscript"/>
        </w:rPr>
        <w:t>2</w:t>
      </w:r>
      <w:r>
        <w:rPr>
          <w:rFonts w:ascii="黑体" w:hAnsi="黑体" w:eastAsia="黑体"/>
          <w:szCs w:val="21"/>
        </w:rPr>
        <w:t>、THbc、A-aDO</w:t>
      </w:r>
      <w:r>
        <w:rPr>
          <w:rFonts w:ascii="黑体" w:hAnsi="黑体" w:eastAsia="黑体"/>
          <w:szCs w:val="21"/>
          <w:vertAlign w:val="subscript"/>
        </w:rPr>
        <w:t>2</w:t>
      </w:r>
      <w:r>
        <w:rPr>
          <w:rFonts w:ascii="黑体" w:hAnsi="黑体" w:eastAsia="黑体"/>
          <w:szCs w:val="21"/>
        </w:rPr>
        <w:t>、pAO</w:t>
      </w:r>
      <w:r>
        <w:rPr>
          <w:rFonts w:ascii="黑体" w:hAnsi="黑体" w:eastAsia="黑体"/>
          <w:szCs w:val="21"/>
          <w:vertAlign w:val="subscript"/>
        </w:rPr>
        <w:t>2</w:t>
      </w:r>
      <w:r>
        <w:rPr>
          <w:rFonts w:ascii="黑体" w:hAnsi="黑体" w:eastAsia="黑体"/>
          <w:szCs w:val="21"/>
        </w:rPr>
        <w:t>、paO</w:t>
      </w:r>
      <w:r>
        <w:rPr>
          <w:rFonts w:ascii="黑体" w:hAnsi="黑体" w:eastAsia="黑体"/>
          <w:szCs w:val="21"/>
          <w:vertAlign w:val="subscript"/>
        </w:rPr>
        <w:t>2</w:t>
      </w:r>
      <w:r>
        <w:rPr>
          <w:rFonts w:ascii="黑体" w:hAnsi="黑体" w:eastAsia="黑体"/>
          <w:szCs w:val="21"/>
        </w:rPr>
        <w:t xml:space="preserve"> /pAO</w:t>
      </w:r>
      <w:r>
        <w:rPr>
          <w:rFonts w:ascii="黑体" w:hAnsi="黑体" w:eastAsia="黑体"/>
          <w:szCs w:val="21"/>
          <w:vertAlign w:val="subscript"/>
        </w:rPr>
        <w:t>2</w:t>
      </w:r>
      <w:r>
        <w:rPr>
          <w:rFonts w:ascii="黑体" w:hAnsi="黑体" w:eastAsia="黑体"/>
          <w:szCs w:val="21"/>
        </w:rPr>
        <w:t>、RI、CaO</w:t>
      </w:r>
      <w:r>
        <w:rPr>
          <w:rFonts w:ascii="黑体" w:hAnsi="黑体" w:eastAsia="黑体"/>
          <w:szCs w:val="21"/>
          <w:vertAlign w:val="subscript"/>
        </w:rPr>
        <w:t>2</w:t>
      </w:r>
      <w:r>
        <w:rPr>
          <w:rFonts w:ascii="黑体" w:hAnsi="黑体" w:eastAsia="黑体"/>
          <w:szCs w:val="21"/>
        </w:rPr>
        <w:t>、CvO</w:t>
      </w:r>
      <w:r>
        <w:rPr>
          <w:rFonts w:ascii="黑体" w:hAnsi="黑体" w:eastAsia="黑体"/>
          <w:szCs w:val="21"/>
          <w:vertAlign w:val="subscript"/>
        </w:rPr>
        <w:t>2</w:t>
      </w:r>
      <w:r>
        <w:rPr>
          <w:rFonts w:ascii="黑体" w:hAnsi="黑体" w:eastAsia="黑体"/>
          <w:szCs w:val="21"/>
        </w:rPr>
        <w:t>、CcO</w:t>
      </w:r>
      <w:r>
        <w:rPr>
          <w:rFonts w:ascii="黑体" w:hAnsi="黑体" w:eastAsia="黑体"/>
          <w:szCs w:val="21"/>
          <w:vertAlign w:val="subscript"/>
        </w:rPr>
        <w:t>2</w:t>
      </w:r>
      <w:r>
        <w:rPr>
          <w:rFonts w:ascii="黑体" w:hAnsi="黑体" w:eastAsia="黑体"/>
          <w:szCs w:val="21"/>
        </w:rPr>
        <w:t>、a-vDO</w:t>
      </w:r>
      <w:r>
        <w:rPr>
          <w:rFonts w:ascii="黑体" w:hAnsi="黑体" w:eastAsia="黑体"/>
          <w:szCs w:val="21"/>
          <w:vertAlign w:val="subscript"/>
        </w:rPr>
        <w:t>2</w:t>
      </w:r>
      <w:r>
        <w:rPr>
          <w:rFonts w:ascii="黑体" w:hAnsi="黑体" w:eastAsia="黑体"/>
          <w:szCs w:val="21"/>
        </w:rPr>
        <w:t>、Qsp/Qt、P50</w:t>
      </w:r>
      <w:r>
        <w:rPr>
          <w:rFonts w:ascii="黑体" w:hAnsi="黑体" w:eastAsia="黑体"/>
          <w:bCs/>
          <w:szCs w:val="21"/>
        </w:rPr>
        <w:t>；</w:t>
      </w:r>
      <w:r>
        <w:rPr>
          <w:rFonts w:ascii="黑体" w:hAnsi="黑体" w:eastAsia="黑体"/>
          <w:bCs/>
          <w:szCs w:val="21"/>
        </w:rPr>
        <w:br w:type="textWrapping"/>
      </w:r>
      <w:r>
        <w:rPr>
          <w:rFonts w:ascii="黑体" w:hAnsi="黑体" w:eastAsia="黑体"/>
          <w:bCs/>
          <w:szCs w:val="21"/>
        </w:rPr>
        <w:t>且能根据体温计算：</w:t>
      </w:r>
      <w:r>
        <w:rPr>
          <w:rFonts w:ascii="黑体" w:hAnsi="黑体" w:eastAsia="黑体"/>
          <w:szCs w:val="21"/>
        </w:rPr>
        <w:t>PH、PCO</w:t>
      </w:r>
      <w:r>
        <w:rPr>
          <w:rFonts w:ascii="黑体" w:hAnsi="黑体" w:eastAsia="黑体"/>
          <w:szCs w:val="21"/>
          <w:vertAlign w:val="subscript"/>
        </w:rPr>
        <w:t>2</w:t>
      </w:r>
      <w:r>
        <w:rPr>
          <w:rFonts w:ascii="黑体" w:hAnsi="黑体" w:eastAsia="黑体"/>
          <w:szCs w:val="21"/>
        </w:rPr>
        <w:t>、PO</w:t>
      </w:r>
      <w:r>
        <w:rPr>
          <w:rFonts w:ascii="黑体" w:hAnsi="黑体" w:eastAsia="黑体"/>
          <w:szCs w:val="21"/>
          <w:vertAlign w:val="subscript"/>
        </w:rPr>
        <w:t>2</w:t>
      </w:r>
      <w:r>
        <w:rPr>
          <w:rFonts w:ascii="黑体" w:hAnsi="黑体" w:eastAsia="黑体"/>
          <w:szCs w:val="21"/>
        </w:rPr>
        <w:t>。</w:t>
      </w:r>
    </w:p>
    <w:p>
      <w:pPr>
        <w:numPr>
          <w:ilvl w:val="0"/>
          <w:numId w:val="14"/>
        </w:numPr>
        <w:spacing w:line="360" w:lineRule="auto"/>
        <w:ind w:left="357" w:hanging="357"/>
        <w:rPr>
          <w:rFonts w:ascii="黑体" w:hAnsi="黑体" w:eastAsia="黑体"/>
          <w:szCs w:val="21"/>
        </w:rPr>
      </w:pPr>
      <w:r>
        <w:rPr>
          <w:rFonts w:ascii="黑体" w:hAnsi="黑体" w:eastAsia="黑体"/>
          <w:szCs w:val="21"/>
        </w:rPr>
        <w:t>测定参数可报告范围：PH：6.80 ~ 7.80、PCO</w:t>
      </w:r>
      <w:r>
        <w:rPr>
          <w:rFonts w:ascii="黑体" w:hAnsi="黑体" w:eastAsia="黑体"/>
          <w:szCs w:val="21"/>
          <w:vertAlign w:val="subscript"/>
        </w:rPr>
        <w:t>2</w:t>
      </w:r>
      <w:r>
        <w:rPr>
          <w:rFonts w:ascii="黑体" w:hAnsi="黑体" w:eastAsia="黑体"/>
          <w:szCs w:val="21"/>
        </w:rPr>
        <w:t>：5 ~ 115 mmHg、PO</w:t>
      </w:r>
      <w:r>
        <w:rPr>
          <w:rFonts w:ascii="黑体" w:hAnsi="黑体" w:eastAsia="黑体"/>
          <w:szCs w:val="21"/>
          <w:vertAlign w:val="subscript"/>
        </w:rPr>
        <w:t>2</w:t>
      </w:r>
      <w:r>
        <w:rPr>
          <w:rFonts w:ascii="黑体" w:hAnsi="黑体" w:eastAsia="黑体"/>
          <w:szCs w:val="21"/>
        </w:rPr>
        <w:t>：0 ~ 760 mmHg、Na</w:t>
      </w:r>
      <w:r>
        <w:rPr>
          <w:rFonts w:ascii="黑体" w:hAnsi="黑体" w:eastAsia="黑体"/>
          <w:szCs w:val="21"/>
          <w:vertAlign w:val="superscript"/>
        </w:rPr>
        <w:t>+</w:t>
      </w:r>
      <w:r>
        <w:rPr>
          <w:rFonts w:ascii="黑体" w:hAnsi="黑体" w:eastAsia="黑体"/>
          <w:szCs w:val="21"/>
        </w:rPr>
        <w:t>：100 ~ 200 mmol/L、K</w:t>
      </w:r>
      <w:r>
        <w:rPr>
          <w:rFonts w:ascii="黑体" w:hAnsi="黑体" w:eastAsia="黑体"/>
          <w:szCs w:val="21"/>
          <w:vertAlign w:val="superscript"/>
        </w:rPr>
        <w:t>+</w:t>
      </w:r>
      <w:r>
        <w:rPr>
          <w:rFonts w:ascii="黑体" w:hAnsi="黑体" w:eastAsia="黑体"/>
          <w:szCs w:val="21"/>
        </w:rPr>
        <w:t>：0.1 ~ 20.0 mmol/L、Ca</w:t>
      </w:r>
      <w:r>
        <w:rPr>
          <w:rFonts w:ascii="黑体" w:hAnsi="黑体" w:eastAsia="黑体"/>
          <w:szCs w:val="21"/>
          <w:vertAlign w:val="superscript"/>
        </w:rPr>
        <w:t>++</w:t>
      </w:r>
      <w:r>
        <w:rPr>
          <w:rFonts w:ascii="黑体" w:hAnsi="黑体" w:eastAsia="黑体"/>
          <w:szCs w:val="21"/>
        </w:rPr>
        <w:t>：0.10 ~ 5.00 mmol/L、Glu：1.1 ~ 27.8 mmol/L、Lac：0.3 ~ 15.0 mmol/L、Hct：15 ~ 65% 。</w:t>
      </w:r>
    </w:p>
    <w:p>
      <w:pPr>
        <w:numPr>
          <w:ilvl w:val="0"/>
          <w:numId w:val="14"/>
        </w:numPr>
        <w:spacing w:line="360" w:lineRule="auto"/>
        <w:ind w:left="357" w:hanging="357"/>
        <w:rPr>
          <w:rFonts w:ascii="黑体" w:hAnsi="黑体" w:eastAsia="黑体"/>
          <w:b/>
          <w:bCs/>
          <w:szCs w:val="21"/>
        </w:rPr>
      </w:pPr>
      <w:r>
        <w:rPr>
          <w:rFonts w:hint="eastAsia" w:ascii="黑体" w:hAnsi="黑体" w:eastAsia="黑体"/>
          <w:b/>
          <w:bCs/>
          <w:szCs w:val="21"/>
        </w:rPr>
        <w:t>▲</w:t>
      </w:r>
      <w:r>
        <w:rPr>
          <w:rFonts w:ascii="黑体" w:hAnsi="黑体" w:eastAsia="黑体"/>
          <w:b/>
          <w:bCs/>
          <w:szCs w:val="21"/>
        </w:rPr>
        <w:t>使用包含电极、管路、定标液、废液袋等在内的一体化分析包，无其它耗材；电极免保养，无需单独更换电极。</w:t>
      </w:r>
    </w:p>
    <w:p>
      <w:pPr>
        <w:numPr>
          <w:ilvl w:val="0"/>
          <w:numId w:val="14"/>
        </w:numPr>
        <w:spacing w:line="360" w:lineRule="auto"/>
        <w:ind w:left="357" w:hanging="357"/>
        <w:rPr>
          <w:rFonts w:ascii="黑体" w:hAnsi="黑体" w:eastAsia="黑体"/>
          <w:b/>
          <w:bCs/>
          <w:szCs w:val="21"/>
        </w:rPr>
      </w:pPr>
      <w:r>
        <w:rPr>
          <w:rFonts w:hint="eastAsia" w:ascii="黑体" w:hAnsi="黑体" w:eastAsia="黑体"/>
          <w:b/>
          <w:bCs/>
          <w:szCs w:val="21"/>
        </w:rPr>
        <w:t>▲</w:t>
      </w:r>
      <w:r>
        <w:rPr>
          <w:rFonts w:ascii="黑体" w:hAnsi="黑体" w:eastAsia="黑体"/>
          <w:b/>
          <w:bCs/>
          <w:szCs w:val="21"/>
        </w:rPr>
        <w:t>测试项目及测试量根据分析包的不同可进行选择，无需升级仪器；且能提供75、150、300、450、600等多种测试量的分析包。</w:t>
      </w:r>
    </w:p>
    <w:p>
      <w:pPr>
        <w:numPr>
          <w:ilvl w:val="0"/>
          <w:numId w:val="14"/>
        </w:numPr>
        <w:spacing w:line="360" w:lineRule="auto"/>
        <w:ind w:left="357" w:hanging="357"/>
        <w:rPr>
          <w:rFonts w:ascii="黑体" w:hAnsi="黑体" w:eastAsia="黑体"/>
          <w:b/>
          <w:bCs/>
          <w:szCs w:val="21"/>
        </w:rPr>
      </w:pPr>
      <w:r>
        <w:rPr>
          <w:rFonts w:hint="eastAsia" w:ascii="黑体" w:hAnsi="黑体" w:eastAsia="黑体"/>
          <w:b/>
          <w:bCs/>
          <w:szCs w:val="21"/>
        </w:rPr>
        <w:t>▲</w:t>
      </w:r>
      <w:r>
        <w:rPr>
          <w:rFonts w:ascii="黑体" w:hAnsi="黑体" w:eastAsia="黑体"/>
          <w:b/>
          <w:bCs/>
          <w:szCs w:val="21"/>
        </w:rPr>
        <w:t>具有机内智能化质控系统：质控品集成在分析包内，以高频率主动进行实时、连续的质量控制，及时发现问题，自动识别错误并纠错，自动生成质控报告</w:t>
      </w:r>
    </w:p>
    <w:p>
      <w:pPr>
        <w:numPr>
          <w:ilvl w:val="0"/>
          <w:numId w:val="14"/>
        </w:numPr>
        <w:spacing w:line="360" w:lineRule="auto"/>
        <w:ind w:left="357" w:hanging="357"/>
        <w:rPr>
          <w:rFonts w:ascii="黑体" w:hAnsi="黑体" w:eastAsia="黑体"/>
          <w:szCs w:val="21"/>
        </w:rPr>
      </w:pPr>
      <w:r>
        <w:rPr>
          <w:rFonts w:ascii="黑体" w:hAnsi="黑体" w:eastAsia="黑体"/>
          <w:szCs w:val="21"/>
        </w:rPr>
        <w:t>消耗品（包括试剂包等）均可常温储存，无需冷藏。</w:t>
      </w:r>
    </w:p>
    <w:p>
      <w:pPr>
        <w:numPr>
          <w:ilvl w:val="0"/>
          <w:numId w:val="14"/>
        </w:numPr>
        <w:spacing w:line="360" w:lineRule="auto"/>
        <w:ind w:left="357" w:hanging="357"/>
        <w:rPr>
          <w:rFonts w:ascii="黑体" w:hAnsi="黑体" w:eastAsia="黑体"/>
          <w:szCs w:val="21"/>
        </w:rPr>
      </w:pPr>
      <w:r>
        <w:rPr>
          <w:rFonts w:ascii="黑体" w:hAnsi="黑体" w:eastAsia="黑体"/>
          <w:szCs w:val="21"/>
        </w:rPr>
        <w:t>测试时间：吸入样本后≤100秒出结果。</w:t>
      </w:r>
    </w:p>
    <w:p>
      <w:pPr>
        <w:numPr>
          <w:ilvl w:val="0"/>
          <w:numId w:val="14"/>
        </w:numPr>
        <w:spacing w:line="360" w:lineRule="auto"/>
        <w:ind w:left="357" w:hanging="357"/>
        <w:rPr>
          <w:rFonts w:ascii="黑体" w:hAnsi="黑体" w:eastAsia="黑体"/>
          <w:szCs w:val="21"/>
        </w:rPr>
      </w:pPr>
      <w:r>
        <w:rPr>
          <w:rFonts w:ascii="黑体" w:hAnsi="黑体" w:eastAsia="黑体"/>
          <w:szCs w:val="21"/>
        </w:rPr>
        <w:t>标本用量≤150uL，标本类型可选择动脉血、静脉血、毛细血管血及其它液体。</w:t>
      </w:r>
    </w:p>
    <w:p>
      <w:pPr>
        <w:numPr>
          <w:ilvl w:val="0"/>
          <w:numId w:val="14"/>
        </w:numPr>
        <w:spacing w:line="360" w:lineRule="auto"/>
        <w:ind w:left="357" w:hanging="357"/>
        <w:rPr>
          <w:rFonts w:ascii="黑体" w:hAnsi="黑体" w:eastAsia="黑体"/>
          <w:szCs w:val="21"/>
        </w:rPr>
      </w:pPr>
      <w:r>
        <w:rPr>
          <w:rFonts w:ascii="黑体" w:hAnsi="黑体" w:eastAsia="黑体"/>
          <w:szCs w:val="21"/>
        </w:rPr>
        <w:t>进样方式：自动吸样，避免手工注入样本失误而引起的浪费。进样区安装有LED照明灯，方便夜间进样操作，不影响病人休息。</w:t>
      </w:r>
    </w:p>
    <w:p>
      <w:pPr>
        <w:numPr>
          <w:ilvl w:val="0"/>
          <w:numId w:val="14"/>
        </w:numPr>
        <w:spacing w:line="360" w:lineRule="auto"/>
        <w:ind w:left="357" w:hanging="357"/>
        <w:rPr>
          <w:rFonts w:ascii="黑体" w:hAnsi="黑体" w:eastAsia="黑体"/>
          <w:szCs w:val="21"/>
        </w:rPr>
      </w:pPr>
      <w:r>
        <w:rPr>
          <w:rFonts w:ascii="黑体" w:hAnsi="黑体" w:eastAsia="黑体"/>
          <w:szCs w:val="21"/>
        </w:rPr>
        <w:t>定标：全自动2点定标及手动定标，全自动进行液体、气体二种方式定标；定标时不消耗测试液，不影响测试人份数。</w:t>
      </w:r>
    </w:p>
    <w:p>
      <w:pPr>
        <w:numPr>
          <w:ilvl w:val="0"/>
          <w:numId w:val="14"/>
        </w:numPr>
        <w:spacing w:line="360" w:lineRule="auto"/>
        <w:ind w:left="357" w:hanging="357"/>
        <w:rPr>
          <w:rFonts w:ascii="黑体" w:hAnsi="黑体" w:eastAsia="黑体"/>
          <w:szCs w:val="21"/>
        </w:rPr>
      </w:pPr>
      <w:r>
        <w:rPr>
          <w:rFonts w:ascii="黑体" w:hAnsi="黑体" w:eastAsia="黑体"/>
          <w:szCs w:val="21"/>
        </w:rPr>
        <w:t>仪器自带数据存储功能，可存储3000例以上的病人数据和质控数据，</w:t>
      </w:r>
      <w:r>
        <w:rPr>
          <w:rFonts w:ascii="黑体" w:hAnsi="黑体" w:eastAsia="黑体"/>
          <w:bCs/>
          <w:szCs w:val="21"/>
        </w:rPr>
        <w:t>并带有标准CD刻录机，无限量地增加数据存储量</w:t>
      </w:r>
      <w:r>
        <w:rPr>
          <w:rFonts w:ascii="黑体" w:hAnsi="黑体" w:eastAsia="黑体"/>
          <w:szCs w:val="21"/>
        </w:rPr>
        <w:t>。</w:t>
      </w:r>
    </w:p>
    <w:p>
      <w:pPr>
        <w:numPr>
          <w:ilvl w:val="0"/>
          <w:numId w:val="14"/>
        </w:numPr>
        <w:spacing w:line="360" w:lineRule="auto"/>
        <w:ind w:left="357" w:hanging="357"/>
        <w:rPr>
          <w:rFonts w:ascii="黑体" w:hAnsi="黑体" w:eastAsia="黑体"/>
          <w:szCs w:val="21"/>
        </w:rPr>
      </w:pPr>
      <w:r>
        <w:rPr>
          <w:rFonts w:ascii="黑体" w:hAnsi="黑体" w:eastAsia="黑体"/>
          <w:szCs w:val="21"/>
        </w:rPr>
        <w:t>仪器具有剩余人份数和分析包效期提示功能。</w:t>
      </w:r>
    </w:p>
    <w:p>
      <w:pPr>
        <w:numPr>
          <w:ilvl w:val="0"/>
          <w:numId w:val="14"/>
        </w:numPr>
        <w:spacing w:line="360" w:lineRule="auto"/>
        <w:ind w:left="357" w:hanging="357"/>
        <w:rPr>
          <w:rFonts w:ascii="黑体" w:hAnsi="黑体" w:eastAsia="黑体"/>
          <w:szCs w:val="21"/>
        </w:rPr>
      </w:pPr>
      <w:r>
        <w:rPr>
          <w:rFonts w:ascii="黑体" w:hAnsi="黑体" w:eastAsia="黑体"/>
          <w:szCs w:val="21"/>
        </w:rPr>
        <w:t>配备无线网络，内置远程联网软件，直接通过IE浏览器即可对仪器进行远程控制：查看及打印病人结果、质控结果，查看仪器及分析包的状态，2点定标等。</w:t>
      </w:r>
    </w:p>
    <w:p>
      <w:pPr>
        <w:numPr>
          <w:ilvl w:val="0"/>
          <w:numId w:val="14"/>
        </w:numPr>
        <w:spacing w:line="360" w:lineRule="auto"/>
        <w:ind w:left="357" w:hanging="357"/>
        <w:rPr>
          <w:rFonts w:ascii="黑体" w:hAnsi="黑体" w:eastAsia="黑体"/>
          <w:szCs w:val="21"/>
        </w:rPr>
      </w:pPr>
      <w:r>
        <w:rPr>
          <w:rFonts w:ascii="黑体" w:hAnsi="黑体" w:eastAsia="黑体"/>
          <w:szCs w:val="21"/>
        </w:rPr>
        <w:t>配备蓝牙条码枪，扫描快速精确，USB接口，可随时进行数据拷贝</w:t>
      </w:r>
    </w:p>
    <w:p>
      <w:pPr>
        <w:numPr>
          <w:ilvl w:val="0"/>
          <w:numId w:val="14"/>
        </w:numPr>
        <w:spacing w:line="360" w:lineRule="auto"/>
        <w:ind w:left="357" w:hanging="357"/>
        <w:rPr>
          <w:rFonts w:ascii="黑体" w:hAnsi="黑体" w:eastAsia="黑体"/>
          <w:szCs w:val="21"/>
        </w:rPr>
      </w:pPr>
      <w:r>
        <w:rPr>
          <w:rFonts w:ascii="黑体" w:hAnsi="黑体" w:eastAsia="黑体"/>
          <w:szCs w:val="21"/>
        </w:rPr>
        <w:t>全中文操作菜单</w:t>
      </w:r>
      <w:r>
        <w:rPr>
          <w:rFonts w:ascii="黑体" w:hAnsi="黑体" w:eastAsia="黑体"/>
          <w:bCs/>
          <w:iCs/>
          <w:szCs w:val="21"/>
        </w:rPr>
        <w:t>，</w:t>
      </w:r>
      <w:r>
        <w:rPr>
          <w:rFonts w:hint="eastAsia" w:ascii="黑体" w:hAnsi="黑体" w:eastAsia="黑体"/>
          <w:bCs/>
          <w:iCs/>
          <w:szCs w:val="21"/>
        </w:rPr>
        <w:t>大屏幕</w:t>
      </w:r>
      <w:r>
        <w:rPr>
          <w:rFonts w:ascii="黑体" w:hAnsi="黑体" w:eastAsia="黑体"/>
          <w:szCs w:val="21"/>
        </w:rPr>
        <w:t>彩色触摸显示屏。</w:t>
      </w:r>
    </w:p>
    <w:p>
      <w:pPr>
        <w:numPr>
          <w:ilvl w:val="0"/>
          <w:numId w:val="14"/>
        </w:numPr>
        <w:spacing w:line="360" w:lineRule="auto"/>
        <w:ind w:left="357" w:hanging="357"/>
        <w:rPr>
          <w:rFonts w:ascii="黑体" w:hAnsi="黑体" w:eastAsia="黑体"/>
          <w:szCs w:val="21"/>
        </w:rPr>
      </w:pPr>
      <w:r>
        <w:rPr>
          <w:rFonts w:ascii="黑体" w:hAnsi="黑体" w:eastAsia="黑体"/>
          <w:szCs w:val="21"/>
        </w:rPr>
        <w:t>内置打印机，</w:t>
      </w:r>
      <w:r>
        <w:rPr>
          <w:rFonts w:ascii="黑体" w:hAnsi="黑体" w:eastAsia="黑体"/>
          <w:bCs/>
          <w:szCs w:val="21"/>
        </w:rPr>
        <w:t>并可外接其它打印机</w:t>
      </w:r>
      <w:r>
        <w:rPr>
          <w:rFonts w:ascii="黑体" w:hAnsi="黑体" w:eastAsia="黑体"/>
          <w:szCs w:val="21"/>
        </w:rPr>
        <w:t>。</w:t>
      </w:r>
    </w:p>
    <w:p>
      <w:pPr>
        <w:numPr>
          <w:ilvl w:val="0"/>
          <w:numId w:val="14"/>
        </w:numPr>
        <w:spacing w:line="360" w:lineRule="auto"/>
        <w:ind w:left="357" w:hanging="357"/>
        <w:rPr>
          <w:rFonts w:ascii="黑体" w:hAnsi="黑体" w:eastAsia="黑体"/>
          <w:szCs w:val="21"/>
        </w:rPr>
      </w:pPr>
      <w:r>
        <w:rPr>
          <w:rFonts w:ascii="黑体" w:hAnsi="黑体" w:eastAsia="黑体"/>
          <w:szCs w:val="21"/>
        </w:rPr>
        <w:t>须具有以下接口：打印端口，网络接口，RS232接口，条形码阅读器接口，可连接HIS/LIS系统。</w:t>
      </w:r>
    </w:p>
    <w:p>
      <w:pPr>
        <w:spacing w:line="360" w:lineRule="auto"/>
        <w:rPr>
          <w:rFonts w:ascii="黑体" w:hAnsi="黑体" w:eastAsia="黑体"/>
          <w:b/>
          <w:bCs/>
          <w:szCs w:val="21"/>
        </w:rPr>
      </w:pPr>
      <w:r>
        <w:rPr>
          <w:rFonts w:hint="eastAsia" w:ascii="黑体" w:hAnsi="黑体" w:eastAsia="黑体"/>
          <w:b/>
          <w:bCs/>
          <w:szCs w:val="21"/>
        </w:rPr>
        <w:t>配置清单</w:t>
      </w:r>
    </w:p>
    <w:tbl>
      <w:tblPr>
        <w:tblStyle w:val="20"/>
        <w:tblW w:w="5000" w:type="pct"/>
        <w:tblInd w:w="0" w:type="dxa"/>
        <w:tblLayout w:type="autofit"/>
        <w:tblCellMar>
          <w:top w:w="15" w:type="dxa"/>
          <w:left w:w="15" w:type="dxa"/>
          <w:bottom w:w="15" w:type="dxa"/>
          <w:right w:w="15" w:type="dxa"/>
        </w:tblCellMar>
      </w:tblPr>
      <w:tblGrid>
        <w:gridCol w:w="1716"/>
        <w:gridCol w:w="3036"/>
        <w:gridCol w:w="2125"/>
        <w:gridCol w:w="1704"/>
      </w:tblGrid>
      <w:tr>
        <w:tblPrEx>
          <w:tblCellMar>
            <w:top w:w="15" w:type="dxa"/>
            <w:left w:w="15" w:type="dxa"/>
            <w:bottom w:w="15" w:type="dxa"/>
            <w:right w:w="15" w:type="dxa"/>
          </w:tblCellMar>
        </w:tblPrEx>
        <w:trPr>
          <w:trHeight w:val="45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序号</w:t>
            </w:r>
          </w:p>
        </w:tc>
        <w:tc>
          <w:tcPr>
            <w:tcW w:w="1769"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名称</w:t>
            </w:r>
          </w:p>
        </w:tc>
        <w:tc>
          <w:tcPr>
            <w:tcW w:w="1238"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数量</w:t>
            </w:r>
          </w:p>
        </w:tc>
        <w:tc>
          <w:tcPr>
            <w:tcW w:w="993" w:type="pc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auto"/>
              <w:jc w:val="center"/>
              <w:textAlignment w:val="center"/>
              <w:rPr>
                <w:rFonts w:ascii="黑体" w:hAnsi="黑体" w:eastAsia="黑体" w:cs="宋体"/>
                <w:b/>
                <w:szCs w:val="21"/>
              </w:rPr>
            </w:pPr>
            <w:r>
              <w:rPr>
                <w:rFonts w:hint="eastAsia" w:ascii="黑体" w:hAnsi="黑体" w:eastAsia="黑体" w:cs="宋体"/>
                <w:b/>
                <w:kern w:val="0"/>
                <w:szCs w:val="21"/>
                <w:lang w:bidi="ar"/>
              </w:rPr>
              <w:t>单位</w:t>
            </w:r>
          </w:p>
        </w:tc>
      </w:tr>
      <w:tr>
        <w:tblPrEx>
          <w:tblCellMar>
            <w:top w:w="15" w:type="dxa"/>
            <w:left w:w="15" w:type="dxa"/>
            <w:bottom w:w="15" w:type="dxa"/>
            <w:right w:w="15" w:type="dxa"/>
          </w:tblCellMar>
        </w:tblPrEx>
        <w:trPr>
          <w:trHeight w:val="380"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主机</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套</w:t>
            </w:r>
          </w:p>
        </w:tc>
      </w:tr>
      <w:tr>
        <w:tblPrEx>
          <w:tblCellMar>
            <w:top w:w="15" w:type="dxa"/>
            <w:left w:w="15" w:type="dxa"/>
            <w:bottom w:w="15" w:type="dxa"/>
            <w:right w:w="15" w:type="dxa"/>
          </w:tblCellMar>
        </w:tblPrEx>
        <w:trPr>
          <w:trHeight w:val="386"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2</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电源线</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根</w:t>
            </w:r>
          </w:p>
        </w:tc>
      </w:tr>
      <w:tr>
        <w:tblPrEx>
          <w:tblCellMar>
            <w:top w:w="15" w:type="dxa"/>
            <w:left w:w="15" w:type="dxa"/>
            <w:bottom w:w="15" w:type="dxa"/>
            <w:right w:w="15" w:type="dxa"/>
          </w:tblCellMar>
        </w:tblPrEx>
        <w:trPr>
          <w:trHeight w:val="391"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3</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通讯线</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根</w:t>
            </w:r>
          </w:p>
        </w:tc>
      </w:tr>
      <w:tr>
        <w:tblPrEx>
          <w:tblCellMar>
            <w:top w:w="15" w:type="dxa"/>
            <w:left w:w="15" w:type="dxa"/>
            <w:bottom w:w="15" w:type="dxa"/>
            <w:right w:w="15" w:type="dxa"/>
          </w:tblCellMar>
        </w:tblPrEx>
        <w:trPr>
          <w:trHeight w:val="383"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4</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操作光盘</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张</w:t>
            </w:r>
          </w:p>
        </w:tc>
      </w:tr>
      <w:tr>
        <w:tblPrEx>
          <w:tblCellMar>
            <w:top w:w="15" w:type="dxa"/>
            <w:left w:w="15" w:type="dxa"/>
            <w:bottom w:w="15" w:type="dxa"/>
            <w:right w:w="15" w:type="dxa"/>
          </w:tblCellMar>
        </w:tblPrEx>
        <w:trPr>
          <w:trHeight w:val="390" w:hRule="atLeast"/>
        </w:trPr>
        <w:tc>
          <w:tcPr>
            <w:tcW w:w="100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5</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szCs w:val="21"/>
              </w:rPr>
              <w:t>血气维护记录本</w:t>
            </w:r>
          </w:p>
        </w:tc>
        <w:tc>
          <w:tcPr>
            <w:tcW w:w="123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kern w:val="0"/>
                <w:szCs w:val="21"/>
                <w:lang w:bidi="ar"/>
              </w:rPr>
              <w:t>1</w:t>
            </w:r>
          </w:p>
        </w:tc>
        <w:tc>
          <w:tcPr>
            <w:tcW w:w="9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黑体" w:hAnsi="黑体" w:eastAsia="黑体" w:cs="宋体"/>
                <w:szCs w:val="21"/>
              </w:rPr>
            </w:pPr>
            <w:r>
              <w:rPr>
                <w:rFonts w:hint="eastAsia" w:ascii="黑体" w:hAnsi="黑体" w:eastAsia="黑体" w:cs="宋体"/>
                <w:szCs w:val="21"/>
              </w:rPr>
              <w:t>个</w:t>
            </w:r>
          </w:p>
        </w:tc>
      </w:tr>
    </w:tbl>
    <w:p>
      <w:pPr>
        <w:spacing w:line="360" w:lineRule="auto"/>
        <w:rPr>
          <w:rFonts w:ascii="黑体" w:hAnsi="黑体" w:eastAsia="黑体"/>
          <w:szCs w:val="21"/>
        </w:rPr>
      </w:pPr>
    </w:p>
    <w:p>
      <w:pPr>
        <w:pageBreakBefore/>
        <w:spacing w:line="360" w:lineRule="auto"/>
        <w:rPr>
          <w:rFonts w:ascii="黑体" w:hAnsi="黑体" w:eastAsia="黑体"/>
          <w:b/>
          <w:bCs/>
          <w:szCs w:val="21"/>
        </w:rPr>
      </w:pPr>
      <w:r>
        <w:rPr>
          <w:rFonts w:hint="eastAsia" w:ascii="黑体" w:hAnsi="黑体" w:eastAsia="黑体"/>
          <w:b/>
          <w:bCs/>
          <w:szCs w:val="21"/>
        </w:rPr>
        <w:t>（十四）输血加温仪</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1.控制器采用两套ARM控制系统，一套用于控制系统，另一套用于保护系统。控制系统主要运用PID闭环温度控制，至少具有五种报警：高温报警保护、超温报警保护，传感器故障报警，低温报警功能等功能。</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2.控制器内部有报警装置，具有温度独立保护，确保使用的安全性。</w:t>
      </w:r>
    </w:p>
    <w:p>
      <w:pPr>
        <w:spacing w:line="360" w:lineRule="auto"/>
        <w:rPr>
          <w:rFonts w:ascii="黑体" w:hAnsi="黑体" w:eastAsia="黑体" w:cs="Times New Roman"/>
          <w:b/>
          <w:bCs/>
          <w:szCs w:val="21"/>
          <w:shd w:val="clear" w:color="auto" w:fill="FFFFFF"/>
        </w:rPr>
      </w:pPr>
      <w:r>
        <w:rPr>
          <w:rFonts w:hint="eastAsia" w:ascii="黑体" w:hAnsi="黑体" w:eastAsia="黑体" w:cs="Times New Roman"/>
          <w:b/>
          <w:bCs/>
          <w:szCs w:val="21"/>
          <w:shd w:val="clear" w:color="auto" w:fill="FFFFFF"/>
        </w:rPr>
        <w:t>▲3.高精度微电脑智能控制，32位ARM高速处理芯片，运算速度快，系统每秒采集50次温度，转换精度高，稳定性能高，实时监测控制。</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4.控制器可同时连接两根加热管，且可单独设定每条加热管的温度和控制;</w:t>
      </w:r>
    </w:p>
    <w:p>
      <w:pPr>
        <w:spacing w:line="360" w:lineRule="auto"/>
        <w:rPr>
          <w:rFonts w:ascii="黑体" w:hAnsi="黑体" w:eastAsia="黑体" w:cs="Times New Roman"/>
          <w:b/>
          <w:bCs/>
          <w:szCs w:val="21"/>
          <w:shd w:val="clear" w:color="auto" w:fill="FFFFFF"/>
        </w:rPr>
      </w:pPr>
      <w:r>
        <w:rPr>
          <w:rFonts w:hint="eastAsia" w:ascii="黑体" w:hAnsi="黑体" w:eastAsia="黑体" w:cs="Times New Roman"/>
          <w:b/>
          <w:bCs/>
          <w:szCs w:val="21"/>
          <w:shd w:val="clear" w:color="auto" w:fill="FFFFFF"/>
        </w:rPr>
        <w:t>▲5.控制器采用7寸彩色触摸高清显示屏，可同时显示两路的设定温度、实时温度、加热时间、具体文字报警信息、加热动态进度等信息全屏显示，直观易操作。</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6.主机尺寸：宽≥15cm×高≥26cm×厚≥7.5cm,主机屏幕8.5cm×15cm，显示字体更大，观看更清晰。</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7.设备具备双重安全开关，输出一输出二设有独立开关，主机设有总安全电源开关；</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8.设备具有过流报警保护，提高使用安全；</w:t>
      </w:r>
    </w:p>
    <w:p>
      <w:pPr>
        <w:spacing w:line="360" w:lineRule="auto"/>
        <w:rPr>
          <w:rFonts w:ascii="黑体" w:hAnsi="黑体" w:eastAsia="黑体" w:cs="Times New Roman"/>
          <w:b/>
          <w:bCs/>
          <w:szCs w:val="21"/>
          <w:shd w:val="clear" w:color="auto" w:fill="FFFFFF"/>
        </w:rPr>
      </w:pPr>
      <w:r>
        <w:rPr>
          <w:rFonts w:hint="eastAsia" w:ascii="黑体" w:hAnsi="黑体" w:eastAsia="黑体" w:cs="Times New Roman"/>
          <w:b/>
          <w:bCs/>
          <w:szCs w:val="21"/>
          <w:shd w:val="clear" w:color="auto" w:fill="FFFFFF"/>
        </w:rPr>
        <w:t>▲9.主机端具有标准接口插拔，非电源线转接头，非集成式加热管。</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10.故障报警：具体故障以文字样式显示在屏幕上，方便操作者及时了解故障信息；</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11.主机面板设有报警消音按键，操作简单；</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12.显示屏设有夜间模式：设备分白天模式和夜间模式，更智能化、人性化，体现人文关怀。</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13.主菜单设有报警测试界面，分别可测试低温报警，高温报警，超温报警，一键直达，测试报警过程一目了然，无需复杂按键代码操作，简单方便。</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14.温度调节范围：33℃-41℃，调节幅度为0.1℃。</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15.</w:t>
      </w:r>
      <w:r>
        <w:rPr>
          <w:rFonts w:hint="eastAsia" w:ascii="黑体" w:hAnsi="黑体" w:eastAsia="黑体"/>
          <w:szCs w:val="21"/>
          <w:shd w:val="clear" w:color="auto" w:fill="FFFFFF"/>
        </w:rPr>
        <w:t>设备具有两种温度调节方式：单击按步进调节和长按快速调节；</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16.系统具有双重独立保护系统，保护系统独立于控制系统，不受控制系统影响。</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17.高温报警保护：超过42℃系统声光报警并立即自动停止加热，主界面显示相应文字报警信息；</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18.超温报警保护：超过43℃系统声光报警并立即自动停止加热，主界面显示相应文字报警信息。</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19.低温报警保护：低于32℃系统声光报警并自动停止加热，主界面显示相应文字报警信息。</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20.预热时间：从23℃-36℃小于2分钟。</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21.电气安全保护级别：I类BF型，防除颤保护，防水等级≥IPX2。</w:t>
      </w:r>
    </w:p>
    <w:p>
      <w:pPr>
        <w:spacing w:line="360" w:lineRule="auto"/>
        <w:rPr>
          <w:rFonts w:ascii="黑体" w:hAnsi="黑体" w:eastAsia="黑体" w:cs="Times New Roman"/>
          <w:b/>
          <w:bCs/>
          <w:szCs w:val="21"/>
          <w:shd w:val="clear" w:color="auto" w:fill="FFFFFF"/>
        </w:rPr>
      </w:pPr>
      <w:r>
        <w:rPr>
          <w:rFonts w:hint="eastAsia" w:ascii="黑体" w:hAnsi="黑体" w:eastAsia="黑体" w:cs="Times New Roman"/>
          <w:b/>
          <w:bCs/>
          <w:szCs w:val="21"/>
          <w:shd w:val="clear" w:color="auto" w:fill="FFFFFF"/>
        </w:rPr>
        <w:t>▲22.控制器具有两个芯片和两套系统独立控制功能。</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23.加热管为食品级硅胶材质，安全可靠，内部加热材料采用环状排列结构，加热均匀。</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24.包裹式加温，液体管路无裸露部分，加温后液体直接输入人体，热量不流失，适合寒冷环境使用。</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25.两路加热管可独立同时工作，相互不影响，使用效率高。</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26.</w:t>
      </w:r>
      <w:r>
        <w:rPr>
          <w:rFonts w:hint="eastAsia" w:ascii="黑体" w:hAnsi="黑体" w:eastAsia="黑体"/>
          <w:szCs w:val="21"/>
          <w:shd w:val="clear" w:color="auto" w:fill="FFFFFF"/>
        </w:rPr>
        <w:t>主机可自动识别加热管类型，根据临床需要有4种加热管可选（0.6m、0.9m、1.2m、1.4m），</w:t>
      </w:r>
      <w:r>
        <w:rPr>
          <w:rFonts w:hint="eastAsia" w:ascii="黑体" w:hAnsi="黑体" w:eastAsia="黑体" w:cs="Times New Roman"/>
          <w:szCs w:val="21"/>
          <w:shd w:val="clear" w:color="auto" w:fill="FFFFFF"/>
        </w:rPr>
        <w:t>2种管径（3.5-5mm、6-7mm）。</w:t>
      </w:r>
    </w:p>
    <w:p>
      <w:pPr>
        <w:spacing w:line="360" w:lineRule="auto"/>
        <w:rPr>
          <w:rFonts w:ascii="黑体" w:hAnsi="黑体" w:eastAsia="黑体" w:cs="Times New Roman"/>
          <w:szCs w:val="21"/>
          <w:shd w:val="clear" w:color="auto" w:fill="FFFFFF"/>
        </w:rPr>
      </w:pPr>
      <w:r>
        <w:rPr>
          <w:rFonts w:hint="eastAsia" w:ascii="黑体" w:hAnsi="黑体" w:eastAsia="黑体" w:cs="Times New Roman"/>
          <w:szCs w:val="21"/>
          <w:shd w:val="clear" w:color="auto" w:fill="FFFFFF"/>
        </w:rPr>
        <w:t>27.直接加温常规输血输液管路，无需专用耗材，节约成本。</w:t>
      </w:r>
    </w:p>
    <w:p>
      <w:pPr>
        <w:tabs>
          <w:tab w:val="left" w:pos="312"/>
        </w:tabs>
        <w:spacing w:line="360" w:lineRule="auto"/>
        <w:rPr>
          <w:rFonts w:ascii="黑体" w:hAnsi="黑体" w:eastAsia="黑体"/>
          <w:szCs w:val="21"/>
          <w:shd w:val="clear" w:color="auto" w:fill="FFFFFF"/>
        </w:rPr>
      </w:pPr>
      <w:r>
        <w:rPr>
          <w:rFonts w:hint="eastAsia" w:ascii="黑体" w:hAnsi="黑体" w:eastAsia="黑体"/>
          <w:szCs w:val="21"/>
          <w:shd w:val="clear" w:color="auto" w:fill="FFFFFF"/>
        </w:rPr>
        <w:t>30.主要配置</w:t>
      </w:r>
    </w:p>
    <w:p>
      <w:pPr>
        <w:tabs>
          <w:tab w:val="left" w:pos="312"/>
        </w:tabs>
        <w:spacing w:line="360" w:lineRule="auto"/>
        <w:rPr>
          <w:rFonts w:ascii="黑体" w:hAnsi="黑体" w:eastAsia="黑体"/>
          <w:szCs w:val="21"/>
          <w:shd w:val="clear" w:color="auto" w:fill="FFFFFF"/>
        </w:rPr>
      </w:pPr>
      <w:r>
        <w:rPr>
          <w:rFonts w:hint="eastAsia" w:ascii="黑体" w:hAnsi="黑体" w:eastAsia="黑体"/>
          <w:szCs w:val="21"/>
          <w:shd w:val="clear" w:color="auto" w:fill="FFFFFF"/>
        </w:rPr>
        <w:t>（1）温度控制器（触摸屏）：1台</w:t>
      </w:r>
    </w:p>
    <w:p>
      <w:pPr>
        <w:tabs>
          <w:tab w:val="left" w:pos="312"/>
        </w:tabs>
        <w:spacing w:line="360" w:lineRule="auto"/>
        <w:rPr>
          <w:rFonts w:ascii="黑体" w:hAnsi="黑体" w:eastAsia="黑体"/>
          <w:szCs w:val="21"/>
          <w:shd w:val="clear" w:color="auto" w:fill="FFFFFF"/>
        </w:rPr>
      </w:pPr>
      <w:r>
        <w:rPr>
          <w:rFonts w:hint="eastAsia" w:ascii="黑体" w:hAnsi="黑体" w:eastAsia="黑体"/>
          <w:szCs w:val="21"/>
          <w:shd w:val="clear" w:color="auto" w:fill="FFFFFF"/>
        </w:rPr>
        <w:t>（2）加热管：2条</w:t>
      </w:r>
    </w:p>
    <w:p>
      <w:pPr>
        <w:tabs>
          <w:tab w:val="left" w:pos="312"/>
        </w:tabs>
        <w:spacing w:line="360" w:lineRule="auto"/>
        <w:rPr>
          <w:rFonts w:ascii="黑体" w:hAnsi="黑体" w:eastAsia="黑体"/>
          <w:szCs w:val="21"/>
          <w:shd w:val="clear" w:color="auto" w:fill="FFFFFF"/>
        </w:rPr>
      </w:pPr>
      <w:r>
        <w:rPr>
          <w:rFonts w:hint="eastAsia" w:ascii="黑体" w:hAnsi="黑体" w:eastAsia="黑体"/>
          <w:szCs w:val="21"/>
          <w:shd w:val="clear" w:color="auto" w:fill="FFFFFF"/>
        </w:rPr>
        <w:t>（3）固定夹：2个</w:t>
      </w:r>
    </w:p>
    <w:bookmarkEnd w:id="17"/>
    <w:bookmarkEnd w:id="18"/>
    <w:p>
      <w:pPr>
        <w:pStyle w:val="2"/>
        <w:keepNext w:val="0"/>
        <w:keepLines w:val="0"/>
        <w:pageBreakBefore/>
        <w:spacing w:before="300" w:after="240" w:line="360" w:lineRule="auto"/>
        <w:jc w:val="center"/>
        <w:rPr>
          <w:rFonts w:ascii="黑体" w:hAnsi="黑体" w:eastAsia="黑体"/>
          <w:spacing w:val="20"/>
          <w:sz w:val="32"/>
          <w:szCs w:val="32"/>
        </w:rPr>
      </w:pPr>
      <w:bookmarkStart w:id="27" w:name="_Toc405313953"/>
      <w:bookmarkStart w:id="28" w:name="_Toc391627749"/>
      <w:bookmarkStart w:id="29" w:name="_Toc119514287"/>
      <w:r>
        <w:rPr>
          <w:rFonts w:hint="eastAsia" w:ascii="黑体" w:hAnsi="黑体" w:eastAsia="黑体"/>
          <w:spacing w:val="20"/>
          <w:sz w:val="32"/>
          <w:szCs w:val="32"/>
        </w:rPr>
        <w:t>第三部分</w:t>
      </w:r>
      <w:bookmarkEnd w:id="27"/>
      <w:bookmarkEnd w:id="28"/>
      <w:r>
        <w:rPr>
          <w:rFonts w:hint="eastAsia" w:ascii="黑体" w:hAnsi="黑体" w:eastAsia="黑体"/>
          <w:spacing w:val="20"/>
          <w:sz w:val="32"/>
          <w:szCs w:val="32"/>
        </w:rPr>
        <w:t xml:space="preserve"> 投标人须知前附表</w:t>
      </w:r>
      <w:bookmarkEnd w:id="29"/>
    </w:p>
    <w:p>
      <w:pPr>
        <w:tabs>
          <w:tab w:val="left" w:pos="426"/>
        </w:tabs>
        <w:spacing w:after="156" w:afterLines="50" w:line="360" w:lineRule="auto"/>
        <w:ind w:firstLine="420" w:firstLineChars="200"/>
        <w:rPr>
          <w:rFonts w:ascii="黑体" w:hAnsi="黑体" w:eastAsia="黑体"/>
          <w:szCs w:val="21"/>
        </w:rPr>
      </w:pPr>
      <w:r>
        <w:rPr>
          <w:rFonts w:hint="eastAsia" w:ascii="黑体" w:hAnsi="黑体" w:eastAsia="黑体"/>
          <w:szCs w:val="21"/>
        </w:rPr>
        <w:t>本表的条款项号是与投标须知条款项号对应的，或增加的条款，是对第四部分《投标人须知》的补充、修改和完善，如果有矛盾的话，应以本表为准。</w:t>
      </w:r>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76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szCs w:val="21"/>
                <w:lang w:val="zh-CN"/>
              </w:rPr>
            </w:pPr>
            <w:r>
              <w:rPr>
                <w:rFonts w:hint="eastAsia" w:ascii="黑体" w:hAnsi="黑体" w:eastAsia="黑体"/>
                <w:szCs w:val="21"/>
              </w:rPr>
              <w:t>条款项号</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center"/>
              <w:rPr>
                <w:rFonts w:ascii="黑体" w:hAnsi="黑体" w:eastAsia="黑体"/>
                <w:spacing w:val="20"/>
                <w:szCs w:val="21"/>
              </w:rPr>
            </w:pPr>
            <w:r>
              <w:rPr>
                <w:rFonts w:hint="eastAsia" w:ascii="黑体" w:hAnsi="黑体" w:eastAsia="黑体"/>
                <w:spacing w:val="20"/>
                <w:szCs w:val="21"/>
              </w:rPr>
              <w:t>对应或增加的条款内容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szCs w:val="21"/>
              </w:rPr>
            </w:pPr>
            <w:r>
              <w:rPr>
                <w:rFonts w:hint="eastAsia" w:ascii="黑体" w:hAnsi="黑体" w:eastAsia="黑体"/>
                <w:szCs w:val="21"/>
              </w:rPr>
              <w:t>对第四部分《投标人须知》的修改及补充：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szCs w:val="21"/>
              </w:rPr>
            </w:pPr>
            <w:r>
              <w:rPr>
                <w:rFonts w:hint="eastAsia" w:ascii="黑体" w:hAnsi="黑体" w:eastAsia="黑体"/>
                <w:szCs w:val="21"/>
              </w:rPr>
              <w:t>一</w:t>
            </w:r>
            <w:r>
              <w:rPr>
                <w:rFonts w:ascii="黑体" w:hAnsi="黑体" w:eastAsia="黑体"/>
                <w:szCs w:val="21"/>
              </w:rPr>
              <w:t xml:space="preserve"> </w:t>
            </w:r>
            <w:r>
              <w:rPr>
                <w:rFonts w:hint="eastAsia" w:ascii="黑体" w:hAnsi="黑体" w:eastAsia="黑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46"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黑体" w:hAnsi="黑体" w:eastAsia="黑体"/>
                <w:szCs w:val="21"/>
                <w:lang w:val="zh-CN"/>
              </w:rPr>
            </w:pPr>
            <w:r>
              <w:rPr>
                <w:rFonts w:ascii="黑体" w:hAnsi="黑体" w:eastAsia="黑体"/>
                <w:szCs w:val="21"/>
                <w:lang w:val="zh-CN"/>
              </w:rPr>
              <w:t>2</w:t>
            </w:r>
            <w:r>
              <w:rPr>
                <w:rFonts w:hint="eastAsia" w:ascii="黑体" w:hAnsi="黑体" w:eastAsia="黑体"/>
                <w:szCs w:val="21"/>
                <w:lang w:val="zh-CN"/>
              </w:rPr>
              <w:t>.2</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exact"/>
              <w:ind w:right="-183"/>
              <w:rPr>
                <w:rFonts w:ascii="黑体" w:hAnsi="黑体" w:eastAsia="黑体"/>
                <w:szCs w:val="21"/>
              </w:rPr>
            </w:pPr>
            <w:r>
              <w:rPr>
                <w:rFonts w:hint="eastAsia" w:ascii="黑体" w:hAnsi="黑体" w:eastAsia="黑体"/>
                <w:szCs w:val="21"/>
              </w:rPr>
              <w:t>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46"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黑体" w:hAnsi="黑体" w:eastAsia="黑体"/>
                <w:szCs w:val="21"/>
                <w:lang w:val="zh-CN"/>
              </w:rPr>
            </w:pPr>
            <w:r>
              <w:rPr>
                <w:rFonts w:hint="eastAsia" w:ascii="黑体" w:hAnsi="黑体" w:eastAsia="黑体"/>
                <w:szCs w:val="21"/>
                <w:lang w:val="zh-CN"/>
              </w:rPr>
              <w:t>2</w:t>
            </w:r>
            <w:r>
              <w:rPr>
                <w:rFonts w:ascii="黑体" w:hAnsi="黑体" w:eastAsia="黑体"/>
                <w:szCs w:val="21"/>
                <w:lang w:val="zh-CN"/>
              </w:rPr>
              <w:t>.3</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exact"/>
              <w:ind w:right="-183"/>
              <w:rPr>
                <w:rFonts w:ascii="黑体" w:hAnsi="黑体" w:eastAsia="黑体"/>
                <w:szCs w:val="21"/>
              </w:rPr>
            </w:pPr>
            <w:r>
              <w:rPr>
                <w:rFonts w:hint="eastAsia" w:ascii="黑体" w:hAnsi="黑体" w:eastAsia="黑体"/>
                <w:szCs w:val="21"/>
              </w:rPr>
              <w:t>项目属性：货物类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8" w:hRule="atLeast"/>
          <w:jc w:val="center"/>
        </w:trPr>
        <w:tc>
          <w:tcPr>
            <w:tcW w:w="646"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黑体" w:hAnsi="黑体" w:eastAsia="黑体"/>
                <w:szCs w:val="21"/>
                <w:lang w:val="zh-CN"/>
              </w:rPr>
            </w:pPr>
            <w:r>
              <w:rPr>
                <w:rFonts w:ascii="黑体" w:hAnsi="黑体" w:eastAsia="黑体"/>
                <w:szCs w:val="21"/>
                <w:lang w:val="zh-CN"/>
              </w:rPr>
              <w:t>3</w:t>
            </w:r>
            <w:r>
              <w:rPr>
                <w:rFonts w:hint="eastAsia" w:ascii="黑体" w:hAnsi="黑体" w:eastAsia="黑体"/>
                <w:szCs w:val="21"/>
                <w:lang w:val="zh-CN"/>
              </w:rPr>
              <w:t>.1</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exact"/>
              <w:ind w:right="-183"/>
              <w:rPr>
                <w:rFonts w:ascii="黑体" w:hAnsi="黑体" w:eastAsia="黑体"/>
                <w:szCs w:val="21"/>
                <w:u w:val="single"/>
              </w:rPr>
            </w:pPr>
            <w:r>
              <w:rPr>
                <w:rFonts w:ascii="黑体" w:hAnsi="黑体" w:eastAsia="黑体"/>
                <w:szCs w:val="21"/>
              </w:rPr>
              <w:t>“采购人”是指：</w:t>
            </w:r>
            <w:r>
              <w:rPr>
                <w:rFonts w:hint="eastAsia" w:ascii="黑体" w:hAnsi="黑体" w:eastAsia="黑体"/>
                <w:bCs/>
                <w:szCs w:val="21"/>
              </w:rPr>
              <w:t>东莞市中医院</w:t>
            </w:r>
          </w:p>
          <w:p>
            <w:pPr>
              <w:spacing w:line="360" w:lineRule="exact"/>
              <w:ind w:right="-183" w:firstLine="105" w:firstLineChars="50"/>
              <w:rPr>
                <w:rFonts w:ascii="黑体" w:hAnsi="黑体" w:eastAsia="黑体"/>
                <w:szCs w:val="21"/>
              </w:rPr>
            </w:pPr>
            <w:r>
              <w:rPr>
                <w:rFonts w:hint="eastAsia" w:ascii="黑体" w:hAnsi="黑体" w:eastAsia="黑体"/>
                <w:szCs w:val="21"/>
              </w:rPr>
              <w:t>采购人联系人：黄工</w:t>
            </w:r>
          </w:p>
          <w:p>
            <w:pPr>
              <w:spacing w:line="360" w:lineRule="exact"/>
              <w:ind w:right="-183" w:firstLine="105" w:firstLineChars="50"/>
              <w:rPr>
                <w:rFonts w:ascii="黑体" w:hAnsi="黑体" w:eastAsia="黑体"/>
                <w:szCs w:val="21"/>
              </w:rPr>
            </w:pPr>
            <w:r>
              <w:rPr>
                <w:rFonts w:hint="eastAsia" w:ascii="黑体" w:hAnsi="黑体" w:eastAsia="黑体"/>
                <w:szCs w:val="21"/>
              </w:rPr>
              <w:t>电</w:t>
            </w:r>
            <w:r>
              <w:rPr>
                <w:rFonts w:ascii="黑体" w:hAnsi="黑体" w:eastAsia="黑体"/>
                <w:szCs w:val="21"/>
              </w:rPr>
              <w:t xml:space="preserve">  </w:t>
            </w:r>
            <w:r>
              <w:rPr>
                <w:rFonts w:hint="eastAsia" w:ascii="黑体" w:hAnsi="黑体" w:eastAsia="黑体"/>
                <w:szCs w:val="21"/>
              </w:rPr>
              <w:t>话：</w:t>
            </w:r>
            <w:r>
              <w:rPr>
                <w:rFonts w:ascii="黑体" w:hAnsi="黑体" w:eastAsia="黑体"/>
                <w:bCs/>
                <w:szCs w:val="21"/>
              </w:rPr>
              <w:t>0769-26385133</w:t>
            </w:r>
          </w:p>
          <w:p>
            <w:pPr>
              <w:spacing w:line="360" w:lineRule="exact"/>
              <w:ind w:right="-183" w:firstLine="105" w:firstLineChars="50"/>
              <w:rPr>
                <w:rFonts w:ascii="黑体" w:hAnsi="黑体" w:eastAsia="黑体"/>
                <w:szCs w:val="21"/>
              </w:rPr>
            </w:pPr>
            <w:r>
              <w:rPr>
                <w:rFonts w:hint="eastAsia" w:ascii="黑体" w:hAnsi="黑体" w:eastAsia="黑体"/>
                <w:szCs w:val="21"/>
              </w:rPr>
              <w:t>地</w:t>
            </w:r>
            <w:r>
              <w:rPr>
                <w:rFonts w:ascii="黑体" w:hAnsi="黑体" w:eastAsia="黑体"/>
                <w:szCs w:val="21"/>
              </w:rPr>
              <w:t xml:space="preserve">  </w:t>
            </w:r>
            <w:r>
              <w:rPr>
                <w:rFonts w:hint="eastAsia" w:ascii="黑体" w:hAnsi="黑体" w:eastAsia="黑体"/>
                <w:szCs w:val="21"/>
              </w:rPr>
              <w:t>址：</w:t>
            </w:r>
            <w:r>
              <w:rPr>
                <w:rFonts w:hint="eastAsia" w:ascii="黑体" w:hAnsi="黑体" w:eastAsia="黑体"/>
                <w:bCs/>
                <w:szCs w:val="21"/>
              </w:rPr>
              <w:t>东莞市东城街道松山湖大道东城段3号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黑体" w:hAnsi="黑体" w:eastAsia="黑体"/>
                <w:szCs w:val="21"/>
                <w:lang w:val="zh-CN"/>
              </w:rPr>
            </w:pPr>
            <w:bookmarkStart w:id="30" w:name="_Hlk119327990"/>
            <w:r>
              <w:rPr>
                <w:rFonts w:ascii="黑体" w:hAnsi="黑体" w:eastAsia="黑体"/>
                <w:szCs w:val="21"/>
                <w:lang w:val="zh-CN"/>
              </w:rPr>
              <w:t>3</w:t>
            </w:r>
            <w:r>
              <w:rPr>
                <w:rFonts w:hint="eastAsia" w:ascii="黑体" w:hAnsi="黑体" w:eastAsia="黑体"/>
                <w:szCs w:val="21"/>
                <w:lang w:val="zh-CN"/>
              </w:rPr>
              <w:t>.</w:t>
            </w:r>
            <w:r>
              <w:rPr>
                <w:rFonts w:ascii="黑体" w:hAnsi="黑体" w:eastAsia="黑体"/>
                <w:szCs w:val="21"/>
                <w:lang w:val="zh-CN"/>
              </w:rPr>
              <w:t>2</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exact"/>
              <w:ind w:right="-183"/>
              <w:rPr>
                <w:rFonts w:ascii="黑体" w:hAnsi="黑体" w:eastAsia="黑体"/>
                <w:szCs w:val="21"/>
              </w:rPr>
            </w:pPr>
            <w:r>
              <w:rPr>
                <w:rFonts w:ascii="黑体" w:hAnsi="黑体" w:eastAsia="黑体"/>
                <w:szCs w:val="21"/>
              </w:rPr>
              <w:t>“采购代理机构”是指：</w:t>
            </w:r>
            <w:r>
              <w:rPr>
                <w:rFonts w:hint="eastAsia" w:ascii="黑体" w:hAnsi="黑体" w:eastAsia="黑体"/>
                <w:szCs w:val="21"/>
              </w:rPr>
              <w:t>广东有德招标采购有限公司</w:t>
            </w:r>
          </w:p>
        </w:tc>
      </w:tr>
      <w:bookmarkEnd w:id="3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szCs w:val="21"/>
              </w:rPr>
            </w:pPr>
            <w:r>
              <w:rPr>
                <w:rFonts w:hint="eastAsia" w:ascii="黑体" w:hAnsi="黑体" w:eastAsia="黑体"/>
                <w:szCs w:val="21"/>
              </w:rPr>
              <w:t>二</w:t>
            </w:r>
            <w:r>
              <w:rPr>
                <w:rFonts w:ascii="黑体" w:hAnsi="黑体" w:eastAsia="黑体"/>
                <w:szCs w:val="21"/>
              </w:rPr>
              <w:t xml:space="preserve"> </w:t>
            </w:r>
            <w:r>
              <w:rPr>
                <w:rFonts w:hint="eastAsia" w:ascii="黑体" w:hAnsi="黑体" w:eastAsia="黑体"/>
                <w:szCs w:val="21"/>
              </w:rPr>
              <w:t>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szCs w:val="21"/>
              </w:rPr>
            </w:pPr>
            <w:r>
              <w:rPr>
                <w:rFonts w:ascii="黑体" w:hAnsi="黑体" w:eastAsia="黑体"/>
                <w:szCs w:val="21"/>
              </w:rPr>
              <w:t>8</w:t>
            </w:r>
            <w:r>
              <w:rPr>
                <w:rFonts w:hint="eastAsia" w:ascii="黑体" w:hAnsi="黑体" w:eastAsia="黑体"/>
                <w:szCs w:val="21"/>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szCs w:val="21"/>
              </w:rPr>
            </w:pPr>
            <w:r>
              <w:rPr>
                <w:rFonts w:hint="eastAsia" w:ascii="黑体" w:hAnsi="黑体" w:eastAsia="黑体"/>
                <w:bCs/>
                <w:szCs w:val="21"/>
              </w:rPr>
              <w:t>答疑会或现场考察：本项目不集中举行答疑会或现场考察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szCs w:val="21"/>
              </w:rPr>
            </w:pPr>
            <w:r>
              <w:rPr>
                <w:rFonts w:hint="eastAsia" w:ascii="黑体" w:hAnsi="黑体" w:eastAsia="黑体"/>
                <w:bCs/>
                <w:szCs w:val="21"/>
              </w:rPr>
              <w:t>三</w:t>
            </w:r>
            <w:r>
              <w:rPr>
                <w:rFonts w:ascii="黑体" w:hAnsi="黑体" w:eastAsia="黑体"/>
                <w:bCs/>
                <w:szCs w:val="21"/>
              </w:rPr>
              <w:t xml:space="preserve"> </w:t>
            </w:r>
            <w:r>
              <w:rPr>
                <w:rFonts w:hint="eastAsia" w:ascii="黑体" w:hAnsi="黑体" w:eastAsia="黑体"/>
                <w:bCs/>
                <w:szCs w:val="21"/>
              </w:rPr>
              <w:t>投标文件的编制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szCs w:val="21"/>
              </w:rPr>
            </w:pPr>
            <w:r>
              <w:rPr>
                <w:rFonts w:hint="eastAsia" w:ascii="黑体" w:hAnsi="黑体" w:eastAsia="黑体"/>
                <w:szCs w:val="21"/>
              </w:rPr>
              <w:t>1</w:t>
            </w:r>
            <w:r>
              <w:rPr>
                <w:rFonts w:ascii="黑体" w:hAnsi="黑体" w:eastAsia="黑体"/>
                <w:szCs w:val="21"/>
              </w:rPr>
              <w:t>2.5</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spacing w:val="-4"/>
                <w:szCs w:val="21"/>
              </w:rPr>
            </w:pPr>
            <w:r>
              <w:rPr>
                <w:rFonts w:hint="eastAsia" w:ascii="黑体" w:hAnsi="黑体" w:eastAsia="黑体"/>
                <w:bCs/>
                <w:spacing w:val="-4"/>
                <w:szCs w:val="21"/>
              </w:rPr>
              <w:t>投标人所报的投标价在合同执行过程中是固定不变的，不得以任何理由予以变更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szCs w:val="21"/>
              </w:rPr>
            </w:pPr>
            <w:r>
              <w:rPr>
                <w:rFonts w:ascii="黑体" w:hAnsi="黑体" w:eastAsia="黑体"/>
                <w:szCs w:val="21"/>
              </w:rPr>
              <w:t>12.6</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szCs w:val="21"/>
              </w:rPr>
            </w:pPr>
            <w:r>
              <w:rPr>
                <w:rFonts w:hint="eastAsia" w:ascii="黑体" w:hAnsi="黑体" w:eastAsia="黑体"/>
                <w:bCs/>
                <w:spacing w:val="-4"/>
                <w:szCs w:val="21"/>
              </w:rPr>
              <w:t>不允许有备选方案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szCs w:val="21"/>
              </w:rPr>
            </w:pPr>
            <w:r>
              <w:rPr>
                <w:rFonts w:ascii="黑体" w:hAnsi="黑体" w:eastAsia="黑体"/>
                <w:szCs w:val="21"/>
              </w:rPr>
              <w:t>12.7</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szCs w:val="21"/>
              </w:rPr>
            </w:pPr>
            <w:r>
              <w:rPr>
                <w:rFonts w:hint="eastAsia" w:ascii="黑体" w:hAnsi="黑体" w:eastAsia="黑体"/>
                <w:bCs/>
                <w:spacing w:val="-4"/>
                <w:szCs w:val="21"/>
              </w:rPr>
              <w:t>不允许附加条件报价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bCs/>
                <w:spacing w:val="-4"/>
                <w:szCs w:val="21"/>
              </w:rPr>
            </w:pPr>
            <w:r>
              <w:rPr>
                <w:rFonts w:ascii="黑体" w:hAnsi="黑体" w:eastAsia="黑体"/>
                <w:bCs/>
                <w:spacing w:val="-4"/>
                <w:szCs w:val="21"/>
              </w:rPr>
              <w:t>17</w:t>
            </w:r>
            <w:r>
              <w:rPr>
                <w:rFonts w:hint="eastAsia" w:ascii="黑体" w:hAnsi="黑体" w:eastAsia="黑体"/>
                <w:bCs/>
                <w:spacing w:val="-4"/>
                <w:szCs w:val="21"/>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spacing w:val="-4"/>
                <w:szCs w:val="21"/>
              </w:rPr>
            </w:pPr>
            <w:r>
              <w:rPr>
                <w:rFonts w:hint="eastAsia" w:ascii="黑体" w:hAnsi="黑体" w:eastAsia="黑体"/>
                <w:bCs/>
                <w:spacing w:val="-4"/>
                <w:szCs w:val="21"/>
              </w:rPr>
              <w:t>投标人投标时须</w:t>
            </w:r>
            <w:r>
              <w:rPr>
                <w:rFonts w:ascii="黑体" w:hAnsi="黑体" w:eastAsia="黑体"/>
                <w:bCs/>
                <w:spacing w:val="-4"/>
                <w:szCs w:val="21"/>
              </w:rPr>
              <w:t>附有</w:t>
            </w:r>
            <w:r>
              <w:rPr>
                <w:rFonts w:hint="eastAsia" w:ascii="黑体" w:hAnsi="黑体" w:eastAsia="黑体"/>
                <w:bCs/>
                <w:spacing w:val="-4"/>
                <w:szCs w:val="21"/>
              </w:rPr>
              <w:t>投标保证金为：</w:t>
            </w:r>
            <w:r>
              <w:rPr>
                <w:rFonts w:ascii="黑体" w:hAnsi="黑体" w:eastAsia="黑体"/>
                <w:bCs/>
                <w:spacing w:val="-4"/>
                <w:szCs w:val="21"/>
                <w:u w:val="single"/>
              </w:rPr>
              <w:t xml:space="preserve">￥40,000.00元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bCs/>
                <w:spacing w:val="-4"/>
                <w:szCs w:val="21"/>
              </w:rPr>
            </w:pPr>
            <w:r>
              <w:rPr>
                <w:rFonts w:hint="eastAsia" w:ascii="黑体" w:hAnsi="黑体" w:eastAsia="黑体"/>
                <w:bCs/>
                <w:spacing w:val="-4"/>
                <w:szCs w:val="21"/>
              </w:rPr>
              <w:t>1</w:t>
            </w:r>
            <w:r>
              <w:rPr>
                <w:rFonts w:ascii="黑体" w:hAnsi="黑体" w:eastAsia="黑体"/>
                <w:bCs/>
                <w:spacing w:val="-4"/>
                <w:szCs w:val="21"/>
              </w:rPr>
              <w:t>7</w:t>
            </w:r>
            <w:r>
              <w:rPr>
                <w:rFonts w:hint="eastAsia" w:ascii="黑体" w:hAnsi="黑体" w:eastAsia="黑体"/>
                <w:bCs/>
                <w:spacing w:val="-4"/>
                <w:szCs w:val="21"/>
              </w:rPr>
              <w:t>.2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bCs/>
                <w:szCs w:val="21"/>
              </w:rPr>
            </w:pPr>
            <w:r>
              <w:rPr>
                <w:rFonts w:hint="eastAsia" w:ascii="黑体" w:hAnsi="黑体" w:eastAsia="黑体"/>
                <w:bCs/>
                <w:szCs w:val="21"/>
              </w:rPr>
              <w:t>投标保证金作为供应商投标的组成部分，与投标文件一同递交。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bCs/>
                <w:spacing w:val="-4"/>
                <w:szCs w:val="21"/>
              </w:rPr>
            </w:pPr>
            <w:r>
              <w:rPr>
                <w:rFonts w:hint="eastAsia" w:ascii="黑体" w:hAnsi="黑体" w:eastAsia="黑体"/>
                <w:bCs/>
                <w:szCs w:val="21"/>
              </w:rPr>
              <w:t>1</w:t>
            </w:r>
            <w:r>
              <w:rPr>
                <w:rFonts w:ascii="黑体" w:hAnsi="黑体" w:eastAsia="黑体"/>
                <w:bCs/>
                <w:szCs w:val="21"/>
              </w:rPr>
              <w:t>7</w:t>
            </w:r>
            <w:r>
              <w:rPr>
                <w:rFonts w:hint="eastAsia" w:ascii="黑体" w:hAnsi="黑体" w:eastAsia="黑体"/>
                <w:bCs/>
                <w:szCs w:val="21"/>
              </w:rPr>
              <w:t>.3</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bCs/>
                <w:szCs w:val="21"/>
              </w:rPr>
            </w:pPr>
            <w:bookmarkStart w:id="31" w:name="_Hlk119332312"/>
            <w:r>
              <w:rPr>
                <w:rFonts w:hint="eastAsia" w:ascii="黑体" w:hAnsi="黑体" w:eastAsia="黑体"/>
                <w:bCs/>
                <w:szCs w:val="21"/>
              </w:rPr>
              <w:t>投标保证金应当以支票、汇票、本票或者金融机构、担保机构出具的保函等非现金形式提交。投标人与交款人名称必须一致，非投标人缴纳的投标保证金无效。</w:t>
            </w:r>
            <w:bookmarkEnd w:id="3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bCs/>
                <w:spacing w:val="-4"/>
                <w:szCs w:val="21"/>
              </w:rPr>
            </w:pPr>
            <w:r>
              <w:rPr>
                <w:rFonts w:ascii="黑体" w:hAnsi="黑体" w:eastAsia="黑体"/>
                <w:bCs/>
                <w:spacing w:val="-4"/>
                <w:szCs w:val="21"/>
              </w:rPr>
              <w:t>17</w:t>
            </w:r>
            <w:r>
              <w:rPr>
                <w:rFonts w:hint="eastAsia" w:ascii="黑体" w:hAnsi="黑体" w:eastAsia="黑体"/>
                <w:bCs/>
                <w:spacing w:val="-4"/>
                <w:szCs w:val="21"/>
              </w:rPr>
              <w:t>.5.1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黑体" w:eastAsia="黑体"/>
                <w:bCs/>
                <w:szCs w:val="21"/>
              </w:rPr>
            </w:pPr>
            <w:r>
              <w:rPr>
                <w:rFonts w:hint="eastAsia" w:ascii="黑体" w:hAnsi="黑体" w:eastAsia="黑体"/>
                <w:bCs/>
                <w:szCs w:val="21"/>
              </w:rPr>
              <w:t>投标保证金以转账形式递交的，请务必按以下信息填写汇款单：</w:t>
            </w:r>
          </w:p>
          <w:p>
            <w:pPr>
              <w:spacing w:line="360" w:lineRule="exact"/>
              <w:ind w:right="-183"/>
              <w:rPr>
                <w:rFonts w:ascii="黑体" w:hAnsi="黑体" w:eastAsia="黑体"/>
                <w:bCs/>
                <w:szCs w:val="21"/>
              </w:rPr>
            </w:pPr>
            <w:r>
              <w:rPr>
                <w:rFonts w:hint="eastAsia" w:ascii="黑体" w:hAnsi="黑体" w:eastAsia="黑体"/>
                <w:bCs/>
                <w:szCs w:val="21"/>
              </w:rPr>
              <w:t>收款单位名称：</w:t>
            </w:r>
            <w:r>
              <w:rPr>
                <w:rFonts w:hint="eastAsia" w:ascii="黑体" w:hAnsi="黑体" w:eastAsia="黑体"/>
                <w:szCs w:val="21"/>
              </w:rPr>
              <w:t>广东有德招标采购有限公司东莞分公司</w:t>
            </w:r>
          </w:p>
          <w:p>
            <w:pPr>
              <w:spacing w:line="360" w:lineRule="exact"/>
              <w:ind w:right="-183"/>
              <w:rPr>
                <w:rFonts w:ascii="黑体" w:hAnsi="黑体" w:eastAsia="黑体"/>
                <w:bCs/>
                <w:szCs w:val="21"/>
              </w:rPr>
            </w:pPr>
            <w:r>
              <w:rPr>
                <w:rFonts w:hint="eastAsia" w:ascii="黑体" w:hAnsi="黑体" w:eastAsia="黑体"/>
                <w:bCs/>
                <w:szCs w:val="21"/>
              </w:rPr>
              <w:t>收款单位开户银行：</w:t>
            </w:r>
            <w:r>
              <w:rPr>
                <w:rFonts w:hint="eastAsia" w:ascii="黑体" w:hAnsi="黑体" w:eastAsia="黑体" w:cs="Times New Roman"/>
                <w:bCs/>
                <w:szCs w:val="21"/>
              </w:rPr>
              <w:t>广发银行东莞怡丰路支行</w:t>
            </w:r>
          </w:p>
          <w:p>
            <w:pPr>
              <w:spacing w:line="360" w:lineRule="exact"/>
              <w:ind w:right="-183"/>
              <w:rPr>
                <w:rFonts w:ascii="黑体" w:hAnsi="黑体" w:eastAsia="黑体"/>
                <w:szCs w:val="21"/>
              </w:rPr>
            </w:pPr>
            <w:r>
              <w:rPr>
                <w:rFonts w:hint="eastAsia" w:ascii="黑体" w:hAnsi="黑体" w:eastAsia="黑体"/>
                <w:bCs/>
                <w:spacing w:val="-4"/>
                <w:szCs w:val="21"/>
              </w:rPr>
              <w:t>收款单位账户：</w:t>
            </w:r>
            <w:r>
              <w:rPr>
                <w:rFonts w:ascii="黑体" w:hAnsi="黑体" w:eastAsia="黑体" w:cs="Times New Roman"/>
                <w:szCs w:val="21"/>
              </w:rPr>
              <w:t>106003516010000481</w:t>
            </w:r>
          </w:p>
          <w:p>
            <w:pPr>
              <w:spacing w:line="360" w:lineRule="exact"/>
              <w:ind w:right="-183"/>
              <w:rPr>
                <w:rFonts w:ascii="黑体" w:hAnsi="黑体" w:eastAsia="黑体"/>
                <w:b/>
                <w:bCs/>
                <w:spacing w:val="-4"/>
                <w:szCs w:val="21"/>
              </w:rPr>
            </w:pPr>
            <w:r>
              <w:rPr>
                <w:rFonts w:ascii="黑体" w:hAnsi="黑体" w:eastAsia="黑体"/>
                <w:b/>
                <w:bCs/>
                <w:szCs w:val="21"/>
              </w:rPr>
              <w:t>[</w:t>
            </w:r>
            <w:r>
              <w:rPr>
                <w:rFonts w:hint="eastAsia" w:ascii="黑体" w:hAnsi="黑体" w:eastAsia="黑体"/>
                <w:b/>
                <w:bCs/>
                <w:szCs w:val="21"/>
              </w:rPr>
              <w:t>各投标人在转账或电汇时须在用途栏上写明项目编号及包号</w:t>
            </w:r>
            <w:r>
              <w:rPr>
                <w:rFonts w:ascii="黑体" w:hAnsi="黑体" w:eastAsia="黑体"/>
                <w:b/>
                <w:bCs/>
                <w:szCs w:val="21"/>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黑体" w:eastAsia="黑体"/>
                <w:szCs w:val="21"/>
                <w:lang w:val="zh-CN"/>
              </w:rPr>
            </w:pPr>
            <w:r>
              <w:rPr>
                <w:rFonts w:ascii="黑体" w:hAnsi="黑体" w:eastAsia="黑体"/>
                <w:szCs w:val="21"/>
                <w:lang w:val="zh-CN"/>
              </w:rPr>
              <w:t>18</w:t>
            </w:r>
            <w:r>
              <w:rPr>
                <w:rFonts w:hint="eastAsia" w:ascii="黑体" w:hAnsi="黑体" w:eastAsia="黑体"/>
                <w:szCs w:val="21"/>
                <w:lang w:val="zh-CN"/>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0"/>
              <w:rPr>
                <w:rFonts w:ascii="黑体" w:hAnsi="黑体" w:eastAsia="黑体"/>
                <w:szCs w:val="21"/>
                <w:lang w:val="zh-CN"/>
              </w:rPr>
            </w:pPr>
            <w:r>
              <w:rPr>
                <w:rFonts w:hint="eastAsia" w:ascii="黑体" w:hAnsi="黑体" w:eastAsia="黑体"/>
                <w:szCs w:val="21"/>
                <w:lang w:val="zh-CN"/>
              </w:rPr>
              <w:t>投标有效期：递交投标文件截止日后</w:t>
            </w:r>
            <w:r>
              <w:rPr>
                <w:rFonts w:ascii="黑体" w:hAnsi="黑体" w:eastAsia="黑体"/>
                <w:szCs w:val="21"/>
                <w:u w:val="single"/>
                <w:lang w:val="zh-CN"/>
              </w:rPr>
              <w:t xml:space="preserve"> 90 </w:t>
            </w:r>
            <w:r>
              <w:rPr>
                <w:rFonts w:hint="eastAsia" w:ascii="黑体" w:hAnsi="黑体" w:eastAsia="黑体"/>
                <w:szCs w:val="21"/>
                <w:lang w:val="zh-CN"/>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黑体" w:eastAsia="黑体"/>
                <w:szCs w:val="21"/>
                <w:lang w:val="zh-CN"/>
              </w:rPr>
            </w:pPr>
            <w:r>
              <w:rPr>
                <w:rFonts w:ascii="黑体" w:hAnsi="黑体" w:eastAsia="黑体"/>
                <w:szCs w:val="21"/>
                <w:lang w:val="zh-CN"/>
              </w:rPr>
              <w:t>19</w:t>
            </w:r>
            <w:r>
              <w:rPr>
                <w:rFonts w:hint="eastAsia" w:ascii="黑体" w:hAnsi="黑体" w:eastAsia="黑体"/>
                <w:szCs w:val="21"/>
                <w:lang w:val="zh-CN"/>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szCs w:val="21"/>
                <w:lang w:val="zh-CN"/>
              </w:rPr>
            </w:pPr>
            <w:r>
              <w:rPr>
                <w:rFonts w:hint="eastAsia" w:ascii="黑体" w:hAnsi="黑体" w:eastAsia="黑体"/>
                <w:szCs w:val="21"/>
                <w:lang w:val="zh-CN"/>
              </w:rPr>
              <w:t>投标文件份数：</w:t>
            </w:r>
            <w:r>
              <w:rPr>
                <w:rFonts w:ascii="黑体" w:hAnsi="黑体" w:eastAsia="黑体"/>
                <w:szCs w:val="21"/>
                <w:lang w:val="zh-CN"/>
              </w:rPr>
              <w:t>正本一份，副本</w:t>
            </w:r>
            <w:r>
              <w:rPr>
                <w:rFonts w:hint="eastAsia" w:ascii="黑体" w:hAnsi="黑体" w:eastAsia="黑体"/>
                <w:szCs w:val="21"/>
                <w:lang w:val="zh-CN"/>
              </w:rPr>
              <w:t>五</w:t>
            </w:r>
            <w:r>
              <w:rPr>
                <w:rFonts w:ascii="黑体" w:hAnsi="黑体" w:eastAsia="黑体"/>
                <w:szCs w:val="21"/>
                <w:lang w:val="zh-CN"/>
              </w:rPr>
              <w:t>份，电子文件</w:t>
            </w:r>
            <w:r>
              <w:rPr>
                <w:rFonts w:hint="eastAsia" w:ascii="黑体" w:hAnsi="黑体" w:eastAsia="黑体"/>
                <w:szCs w:val="21"/>
                <w:lang w:val="zh-CN"/>
              </w:rPr>
              <w:t>一</w:t>
            </w:r>
            <w:r>
              <w:rPr>
                <w:rFonts w:ascii="黑体" w:hAnsi="黑体" w:eastAsia="黑体"/>
                <w:szCs w:val="21"/>
                <w:lang w:val="zh-CN"/>
              </w:rPr>
              <w:t>份</w:t>
            </w:r>
            <w:r>
              <w:rPr>
                <w:rFonts w:hint="eastAsia" w:ascii="黑体" w:hAnsi="黑体" w:eastAsia="黑体"/>
                <w:szCs w:val="21"/>
                <w:lang w:val="zh-CN"/>
              </w:rPr>
              <w:t>，唱标信封一个。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szCs w:val="21"/>
                <w:lang w:val="zh-CN"/>
              </w:rPr>
            </w:pPr>
            <w:r>
              <w:rPr>
                <w:rFonts w:hint="eastAsia" w:ascii="黑体" w:hAnsi="黑体" w:eastAsia="黑体"/>
                <w:szCs w:val="21"/>
                <w:lang w:val="zh-CN"/>
              </w:rPr>
              <w:t>五</w:t>
            </w:r>
            <w:r>
              <w:rPr>
                <w:rFonts w:ascii="黑体" w:hAnsi="黑体" w:eastAsia="黑体"/>
                <w:szCs w:val="21"/>
                <w:lang w:val="zh-CN"/>
              </w:rPr>
              <w:t xml:space="preserve"> </w:t>
            </w:r>
            <w:r>
              <w:rPr>
                <w:rFonts w:hint="eastAsia" w:ascii="黑体" w:hAnsi="黑体" w:eastAsia="黑体"/>
                <w:szCs w:val="21"/>
                <w:lang w:val="zh-CN"/>
              </w:rPr>
              <w:t>开标与评标准则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ind w:right="-4"/>
              <w:jc w:val="left"/>
              <w:rPr>
                <w:rFonts w:ascii="黑体" w:hAnsi="黑体" w:eastAsia="黑体"/>
                <w:szCs w:val="21"/>
                <w:lang w:val="zh-CN"/>
              </w:rPr>
            </w:pPr>
            <w:r>
              <w:rPr>
                <w:rFonts w:hint="eastAsia" w:ascii="黑体" w:hAnsi="黑体" w:eastAsia="黑体"/>
                <w:szCs w:val="21"/>
                <w:lang w:val="zh-CN"/>
              </w:rPr>
              <w:t>2</w:t>
            </w:r>
            <w:r>
              <w:rPr>
                <w:rFonts w:ascii="黑体" w:hAnsi="黑体" w:eastAsia="黑体"/>
                <w:szCs w:val="21"/>
                <w:lang w:val="zh-CN"/>
              </w:rPr>
              <w:t>5.2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szCs w:val="21"/>
                <w:lang w:val="zh-CN"/>
              </w:rPr>
            </w:pPr>
            <w:r>
              <w:rPr>
                <w:rFonts w:hint="eastAsia" w:ascii="黑体" w:hAnsi="黑体" w:eastAsia="黑体"/>
                <w:szCs w:val="21"/>
                <w:lang w:val="zh-CN"/>
              </w:rPr>
              <w:t>评标委员会由采购人代表和评审专家组成，成员人数为5人。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ind w:right="-4"/>
              <w:jc w:val="left"/>
              <w:rPr>
                <w:rFonts w:ascii="黑体" w:hAnsi="黑体" w:eastAsia="黑体"/>
                <w:szCs w:val="21"/>
                <w:lang w:val="zh-CN"/>
              </w:rPr>
            </w:pPr>
            <w:r>
              <w:rPr>
                <w:rFonts w:ascii="黑体" w:hAnsi="黑体" w:eastAsia="黑体"/>
                <w:szCs w:val="21"/>
                <w:lang w:val="zh-CN"/>
              </w:rPr>
              <w:t>25</w:t>
            </w:r>
            <w:r>
              <w:rPr>
                <w:rFonts w:hint="eastAsia" w:ascii="黑体" w:hAnsi="黑体" w:eastAsia="黑体"/>
                <w:szCs w:val="21"/>
                <w:lang w:val="zh-CN"/>
              </w:rPr>
              <w:t>.5</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szCs w:val="21"/>
                <w:lang w:val="zh-CN"/>
              </w:rPr>
            </w:pPr>
            <w:r>
              <w:rPr>
                <w:rFonts w:hint="eastAsia" w:ascii="黑体" w:hAnsi="黑体" w:eastAsia="黑体"/>
                <w:szCs w:val="21"/>
                <w:lang w:val="zh-CN"/>
              </w:rPr>
              <w:t>评标方法：采用综合评分法，详见第五部分。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黑体" w:eastAsia="黑体"/>
                <w:szCs w:val="21"/>
                <w:lang w:val="zh-CN"/>
              </w:rPr>
            </w:pPr>
            <w:r>
              <w:rPr>
                <w:rFonts w:hint="eastAsia" w:ascii="黑体" w:hAnsi="黑体" w:eastAsia="黑体"/>
                <w:szCs w:val="21"/>
                <w:lang w:val="zh-CN"/>
              </w:rPr>
              <w:t>六</w:t>
            </w:r>
            <w:r>
              <w:rPr>
                <w:rFonts w:ascii="黑体" w:hAnsi="黑体" w:eastAsia="黑体"/>
                <w:szCs w:val="21"/>
                <w:lang w:val="zh-CN"/>
              </w:rPr>
              <w:t xml:space="preserve"> </w:t>
            </w:r>
            <w:r>
              <w:rPr>
                <w:rFonts w:hint="eastAsia" w:ascii="黑体" w:hAnsi="黑体" w:eastAsia="黑体"/>
                <w:szCs w:val="21"/>
                <w:lang w:val="zh-CN"/>
              </w:rPr>
              <w:t>授予合同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ind w:right="-4"/>
              <w:jc w:val="left"/>
              <w:rPr>
                <w:rFonts w:ascii="黑体" w:hAnsi="黑体" w:eastAsia="黑体"/>
                <w:szCs w:val="21"/>
                <w:lang w:val="zh-CN"/>
              </w:rPr>
            </w:pPr>
            <w:r>
              <w:rPr>
                <w:rFonts w:ascii="黑体" w:hAnsi="黑体" w:eastAsia="黑体"/>
                <w:szCs w:val="21"/>
                <w:lang w:val="zh-CN"/>
              </w:rPr>
              <w:t>3</w:t>
            </w:r>
            <w:r>
              <w:rPr>
                <w:rFonts w:hint="eastAsia" w:ascii="黑体" w:hAnsi="黑体" w:eastAsia="黑体"/>
                <w:szCs w:val="21"/>
                <w:lang w:val="zh-CN"/>
              </w:rPr>
              <w:t>2.1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szCs w:val="21"/>
                <w:lang w:val="zh-CN"/>
              </w:rPr>
            </w:pPr>
            <w:r>
              <w:rPr>
                <w:rFonts w:hint="eastAsia" w:ascii="黑体" w:hAnsi="黑体" w:eastAsia="黑体"/>
                <w:szCs w:val="21"/>
                <w:lang w:val="zh-CN"/>
              </w:rPr>
              <w:t>合同签订时间：自《中标通知书》发出之日起30日内。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46" w:type="pct"/>
            <w:tcBorders>
              <w:top w:val="single" w:color="auto" w:sz="4" w:space="0"/>
              <w:left w:val="single" w:color="auto" w:sz="4" w:space="0"/>
              <w:right w:val="single" w:color="auto" w:sz="4" w:space="0"/>
            </w:tcBorders>
            <w:vAlign w:val="center"/>
          </w:tcPr>
          <w:p>
            <w:pPr>
              <w:spacing w:line="380" w:lineRule="exact"/>
              <w:ind w:right="-4"/>
              <w:jc w:val="left"/>
              <w:rPr>
                <w:rFonts w:ascii="黑体" w:hAnsi="黑体" w:eastAsia="黑体"/>
                <w:szCs w:val="21"/>
                <w:lang w:val="zh-CN"/>
              </w:rPr>
            </w:pPr>
            <w:r>
              <w:rPr>
                <w:rFonts w:ascii="黑体" w:hAnsi="黑体" w:eastAsia="黑体"/>
                <w:szCs w:val="21"/>
                <w:lang w:val="zh-CN"/>
              </w:rPr>
              <w:t>3</w:t>
            </w:r>
            <w:r>
              <w:rPr>
                <w:rFonts w:hint="eastAsia" w:ascii="黑体" w:hAnsi="黑体" w:eastAsia="黑体"/>
                <w:szCs w:val="21"/>
                <w:lang w:val="zh-CN"/>
              </w:rPr>
              <w:t>5.1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szCs w:val="21"/>
                <w:lang w:val="zh-CN"/>
              </w:rPr>
            </w:pPr>
            <w:r>
              <w:rPr>
                <w:rFonts w:hint="eastAsia" w:ascii="黑体" w:hAnsi="黑体" w:eastAsia="黑体"/>
                <w:szCs w:val="21"/>
                <w:lang w:val="zh-CN"/>
              </w:rPr>
              <w:t>履约担保：合同金额的</w:t>
            </w:r>
            <w:r>
              <w:rPr>
                <w:rFonts w:ascii="黑体" w:hAnsi="黑体" w:eastAsia="黑体"/>
                <w:szCs w:val="21"/>
                <w:u w:val="single"/>
                <w:lang w:val="zh-CN"/>
              </w:rPr>
              <w:t xml:space="preserve"> 5 </w:t>
            </w:r>
            <w:r>
              <w:rPr>
                <w:rFonts w:hint="eastAsia" w:ascii="黑体" w:hAnsi="黑体" w:eastAsia="黑体"/>
                <w:szCs w:val="21"/>
                <w:lang w:val="zh-CN"/>
              </w:rPr>
              <w:t>％。</w:t>
            </w:r>
          </w:p>
        </w:tc>
      </w:tr>
    </w:tbl>
    <w:p>
      <w:pPr>
        <w:pStyle w:val="2"/>
        <w:keepNext w:val="0"/>
        <w:keepLines w:val="0"/>
        <w:pageBreakBefore/>
        <w:spacing w:before="300" w:after="240" w:line="360" w:lineRule="auto"/>
        <w:jc w:val="center"/>
        <w:rPr>
          <w:rFonts w:ascii="黑体" w:hAnsi="黑体" w:eastAsia="黑体"/>
          <w:spacing w:val="20"/>
          <w:sz w:val="32"/>
          <w:szCs w:val="32"/>
        </w:rPr>
      </w:pPr>
      <w:bookmarkStart w:id="32" w:name="_Toc119514288"/>
      <w:bookmarkStart w:id="33" w:name="_Toc391627750"/>
      <w:bookmarkStart w:id="34" w:name="_Toc405313954"/>
      <w:r>
        <w:rPr>
          <w:rFonts w:hint="eastAsia" w:ascii="黑体" w:hAnsi="黑体" w:eastAsia="黑体"/>
          <w:spacing w:val="20"/>
          <w:sz w:val="32"/>
          <w:szCs w:val="32"/>
        </w:rPr>
        <w:t>第四部分 投标人须知</w:t>
      </w:r>
      <w:bookmarkEnd w:id="32"/>
      <w:bookmarkEnd w:id="33"/>
      <w:bookmarkEnd w:id="34"/>
    </w:p>
    <w:p>
      <w:pPr>
        <w:pStyle w:val="30"/>
        <w:numPr>
          <w:ilvl w:val="0"/>
          <w:numId w:val="15"/>
        </w:numPr>
        <w:spacing w:before="312" w:beforeLines="100" w:line="360" w:lineRule="auto"/>
        <w:ind w:firstLineChars="0"/>
        <w:rPr>
          <w:rFonts w:ascii="黑体" w:hAnsi="黑体" w:eastAsia="黑体"/>
          <w:b/>
          <w:bCs/>
          <w:sz w:val="24"/>
          <w:szCs w:val="24"/>
        </w:rPr>
      </w:pPr>
      <w:r>
        <w:rPr>
          <w:rFonts w:hint="eastAsia" w:ascii="黑体" w:hAnsi="黑体" w:eastAsia="黑体"/>
          <w:b/>
          <w:bCs/>
          <w:sz w:val="24"/>
          <w:szCs w:val="24"/>
        </w:rPr>
        <w:t>说明</w:t>
      </w:r>
    </w:p>
    <w:p>
      <w:pPr>
        <w:pStyle w:val="30"/>
        <w:numPr>
          <w:ilvl w:val="0"/>
          <w:numId w:val="16"/>
        </w:numPr>
        <w:spacing w:line="360" w:lineRule="auto"/>
        <w:ind w:firstLineChars="0"/>
        <w:rPr>
          <w:rFonts w:ascii="黑体" w:hAnsi="黑体" w:eastAsia="黑体"/>
          <w:b/>
        </w:rPr>
      </w:pPr>
      <w:r>
        <w:rPr>
          <w:rFonts w:hint="eastAsia" w:ascii="黑体" w:hAnsi="黑体" w:eastAsia="黑体"/>
          <w:b/>
        </w:rPr>
        <w:t>总则</w:t>
      </w:r>
    </w:p>
    <w:p>
      <w:pPr>
        <w:spacing w:line="360" w:lineRule="auto"/>
        <w:ind w:firstLine="420" w:firstLineChars="200"/>
        <w:rPr>
          <w:rFonts w:ascii="黑体" w:hAnsi="黑体" w:eastAsia="黑体"/>
          <w:bCs/>
        </w:rPr>
      </w:pPr>
      <w:r>
        <w:rPr>
          <w:rFonts w:hint="eastAsia" w:ascii="黑体" w:hAnsi="黑体" w:eastAsia="黑体"/>
          <w:bCs/>
        </w:rPr>
        <w:t>采购人、采购代理机构及投标人进行的本次采购活动参考《</w:t>
      </w:r>
      <w:bookmarkStart w:id="35" w:name="_Hlk75725950"/>
      <w:r>
        <w:rPr>
          <w:rFonts w:hint="eastAsia" w:ascii="黑体" w:hAnsi="黑体" w:eastAsia="黑体"/>
          <w:bCs/>
        </w:rPr>
        <w:t>中华人民共和国</w:t>
      </w:r>
      <w:bookmarkEnd w:id="35"/>
      <w:r>
        <w:rPr>
          <w:rFonts w:hint="eastAsia" w:ascii="黑体" w:hAnsi="黑体" w:eastAsia="黑体"/>
          <w:bCs/>
        </w:rPr>
        <w:t xml:space="preserve">政府采购法》及其配套的法规、规章、政策。投标人应仔细阅读本项目招标公告及招标文件的所有内容（包括变更、补充、澄清以及修改等，且均为招标文件的组成部分），按照招标文件要求以及格式编制投标文件，并保证其真实性，否则一切后果自负。 </w:t>
      </w:r>
    </w:p>
    <w:p>
      <w:pPr>
        <w:spacing w:line="360" w:lineRule="auto"/>
        <w:ind w:firstLine="420" w:firstLineChars="200"/>
        <w:rPr>
          <w:rFonts w:ascii="黑体" w:hAnsi="黑体" w:eastAsia="黑体"/>
          <w:bCs/>
        </w:rPr>
      </w:pPr>
      <w:r>
        <w:rPr>
          <w:rFonts w:hint="eastAsia" w:ascii="黑体" w:hAnsi="黑体" w:eastAsia="黑体"/>
          <w:bCs/>
        </w:rPr>
        <w:t>本次公开招标项目，是以招标公告的方式邀请非特定的投标人参加投标。</w:t>
      </w:r>
    </w:p>
    <w:p>
      <w:pPr>
        <w:pStyle w:val="30"/>
        <w:numPr>
          <w:ilvl w:val="0"/>
          <w:numId w:val="16"/>
        </w:numPr>
        <w:spacing w:line="360" w:lineRule="auto"/>
        <w:ind w:firstLineChars="0"/>
        <w:rPr>
          <w:rFonts w:ascii="黑体" w:hAnsi="黑体" w:eastAsia="黑体"/>
          <w:b/>
        </w:rPr>
      </w:pPr>
      <w:r>
        <w:rPr>
          <w:rFonts w:hint="eastAsia" w:ascii="黑体" w:hAnsi="黑体" w:eastAsia="黑体"/>
          <w:b/>
        </w:rPr>
        <w:t>适用范围</w:t>
      </w:r>
    </w:p>
    <w:p>
      <w:pPr>
        <w:pStyle w:val="30"/>
        <w:numPr>
          <w:ilvl w:val="0"/>
          <w:numId w:val="17"/>
        </w:numPr>
        <w:spacing w:line="360" w:lineRule="auto"/>
        <w:ind w:firstLineChars="0"/>
        <w:rPr>
          <w:rFonts w:ascii="黑体" w:hAnsi="黑体" w:eastAsia="黑体"/>
        </w:rPr>
      </w:pPr>
      <w:r>
        <w:rPr>
          <w:rFonts w:hint="eastAsia" w:ascii="黑体" w:hAnsi="黑体" w:eastAsia="黑体"/>
        </w:rPr>
        <w:t>本招标文件仅适用于本次招标公告中所涉及的项目和内容。</w:t>
      </w:r>
    </w:p>
    <w:p>
      <w:pPr>
        <w:pStyle w:val="30"/>
        <w:numPr>
          <w:ilvl w:val="0"/>
          <w:numId w:val="17"/>
        </w:numPr>
        <w:spacing w:line="360" w:lineRule="auto"/>
        <w:ind w:firstLineChars="0"/>
        <w:rPr>
          <w:rFonts w:ascii="黑体" w:hAnsi="黑体" w:eastAsia="黑体"/>
          <w:b/>
          <w:u w:val="single"/>
        </w:rPr>
      </w:pPr>
      <w:r>
        <w:rPr>
          <w:rFonts w:hint="eastAsia" w:ascii="黑体" w:hAnsi="黑体" w:eastAsia="黑体"/>
        </w:rPr>
        <w:t>资金来源：</w:t>
      </w:r>
      <w:r>
        <w:rPr>
          <w:rFonts w:hint="eastAsia" w:ascii="黑体" w:hAnsi="黑体" w:eastAsia="黑体"/>
          <w:b/>
          <w:u w:val="single"/>
        </w:rPr>
        <w:t>（详见投标人须知前附表）</w:t>
      </w:r>
      <w:r>
        <w:rPr>
          <w:rFonts w:hint="eastAsia" w:ascii="黑体" w:hAnsi="黑体" w:eastAsia="黑体"/>
        </w:rPr>
        <w:t>。</w:t>
      </w:r>
    </w:p>
    <w:p>
      <w:pPr>
        <w:pStyle w:val="30"/>
        <w:numPr>
          <w:ilvl w:val="0"/>
          <w:numId w:val="17"/>
        </w:numPr>
        <w:ind w:firstLineChars="0"/>
        <w:rPr>
          <w:rFonts w:ascii="黑体" w:hAnsi="黑体" w:eastAsia="黑体"/>
          <w:b/>
        </w:rPr>
      </w:pPr>
      <w:r>
        <w:rPr>
          <w:rFonts w:hint="eastAsia" w:ascii="黑体" w:hAnsi="黑体" w:eastAsia="黑体"/>
          <w:b/>
        </w:rPr>
        <w:t>项目属性：《详见投标人须知前附表》。</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定义</w:t>
      </w:r>
    </w:p>
    <w:p>
      <w:pPr>
        <w:pStyle w:val="30"/>
        <w:numPr>
          <w:ilvl w:val="0"/>
          <w:numId w:val="18"/>
        </w:numPr>
        <w:tabs>
          <w:tab w:val="left" w:pos="426"/>
        </w:tabs>
        <w:spacing w:line="360" w:lineRule="auto"/>
        <w:ind w:left="426" w:hanging="426" w:firstLineChars="0"/>
        <w:rPr>
          <w:rFonts w:ascii="黑体" w:hAnsi="黑体" w:eastAsia="黑体"/>
        </w:rPr>
      </w:pPr>
      <w:r>
        <w:rPr>
          <w:rFonts w:ascii="黑体" w:hAnsi="黑体" w:eastAsia="黑体"/>
        </w:rPr>
        <w:t>采购人</w:t>
      </w:r>
      <w:r>
        <w:rPr>
          <w:rFonts w:hint="eastAsia" w:ascii="黑体" w:hAnsi="黑体" w:eastAsia="黑体"/>
        </w:rPr>
        <w:t>：是采购活动当事人之一，负责项目的整体规划、技术方案可行性设计论证与实施，作为合同采购方（用户）的主体承担质疑回复、履行合同、验收与评价等义务。</w:t>
      </w:r>
      <w:r>
        <w:rPr>
          <w:rFonts w:ascii="黑体" w:hAnsi="黑体" w:eastAsia="黑体"/>
        </w:rPr>
        <w:t xml:space="preserve"> </w:t>
      </w:r>
    </w:p>
    <w:p>
      <w:pPr>
        <w:pStyle w:val="30"/>
        <w:numPr>
          <w:ilvl w:val="0"/>
          <w:numId w:val="18"/>
        </w:numPr>
        <w:tabs>
          <w:tab w:val="left" w:pos="426"/>
        </w:tabs>
        <w:spacing w:line="360" w:lineRule="auto"/>
        <w:ind w:left="426" w:hanging="426" w:firstLineChars="0"/>
        <w:rPr>
          <w:rFonts w:ascii="黑体" w:hAnsi="黑体" w:eastAsia="黑体"/>
        </w:rPr>
      </w:pPr>
      <w:r>
        <w:rPr>
          <w:rFonts w:hint="eastAsia" w:ascii="黑体" w:hAnsi="黑体" w:eastAsia="黑体"/>
        </w:rPr>
        <w:t>采购代理机构：负责整个采购活动的组织，依法负责编制和发布招标文件，对招标文件拥有最终的解释权，不以任何身份出任评标委员会成员。</w:t>
      </w:r>
    </w:p>
    <w:p>
      <w:pPr>
        <w:pStyle w:val="30"/>
        <w:numPr>
          <w:ilvl w:val="0"/>
          <w:numId w:val="18"/>
        </w:numPr>
        <w:tabs>
          <w:tab w:val="left" w:pos="426"/>
        </w:tabs>
        <w:spacing w:line="360" w:lineRule="auto"/>
        <w:ind w:hanging="941" w:firstLineChars="0"/>
        <w:rPr>
          <w:rFonts w:ascii="黑体" w:hAnsi="黑体" w:eastAsia="黑体"/>
        </w:rPr>
      </w:pPr>
      <w:r>
        <w:rPr>
          <w:rFonts w:hint="eastAsia" w:ascii="黑体" w:hAnsi="黑体" w:eastAsia="黑体"/>
        </w:rPr>
        <w:t>投标人：是响应招标参加投标竞争的法人或其他组织或自然人。</w:t>
      </w:r>
    </w:p>
    <w:p>
      <w:pPr>
        <w:pStyle w:val="30"/>
        <w:numPr>
          <w:ilvl w:val="0"/>
          <w:numId w:val="18"/>
        </w:numPr>
        <w:tabs>
          <w:tab w:val="left" w:pos="426"/>
        </w:tabs>
        <w:spacing w:line="360" w:lineRule="auto"/>
        <w:ind w:left="426" w:hanging="426" w:firstLineChars="0"/>
        <w:rPr>
          <w:rFonts w:ascii="黑体" w:hAnsi="黑体" w:eastAsia="黑体"/>
        </w:rPr>
      </w:pPr>
      <w:r>
        <w:rPr>
          <w:rFonts w:hint="eastAsia" w:ascii="黑体" w:hAnsi="黑体" w:eastAsia="黑体"/>
        </w:rPr>
        <w:t xml:space="preserve">评标委员会：是指根据《中华人民共和国政府采购法》等法律法规规定，由采购人代表和有关专家组成以确定中标供应商或者推荐中标候选人的临时组织。 </w:t>
      </w:r>
    </w:p>
    <w:p>
      <w:pPr>
        <w:pStyle w:val="30"/>
        <w:numPr>
          <w:ilvl w:val="0"/>
          <w:numId w:val="18"/>
        </w:numPr>
        <w:tabs>
          <w:tab w:val="left" w:pos="426"/>
        </w:tabs>
        <w:spacing w:line="360" w:lineRule="auto"/>
        <w:ind w:left="426" w:hanging="426" w:firstLineChars="0"/>
        <w:rPr>
          <w:rFonts w:ascii="黑体" w:hAnsi="黑体" w:eastAsia="黑体"/>
        </w:rPr>
      </w:pPr>
      <w:r>
        <w:rPr>
          <w:rFonts w:hint="eastAsia" w:ascii="黑体" w:hAnsi="黑体" w:eastAsia="黑体"/>
        </w:rPr>
        <w:t>中标人：是指经评标委员会评审确定的对招标文件做出实质性响应，经采购人按照规定在评标委员会推荐的中标候选人中确定的或评标委员会受采购人委托直接确认的投标人。</w:t>
      </w:r>
    </w:p>
    <w:p>
      <w:pPr>
        <w:pStyle w:val="30"/>
        <w:numPr>
          <w:ilvl w:val="0"/>
          <w:numId w:val="18"/>
        </w:numPr>
        <w:tabs>
          <w:tab w:val="left" w:pos="426"/>
        </w:tabs>
        <w:spacing w:line="360" w:lineRule="auto"/>
        <w:ind w:hanging="941" w:firstLineChars="0"/>
        <w:rPr>
          <w:rFonts w:ascii="黑体" w:hAnsi="黑体" w:eastAsia="黑体"/>
        </w:rPr>
      </w:pPr>
      <w:r>
        <w:rPr>
          <w:rFonts w:ascii="黑体" w:hAnsi="黑体" w:eastAsia="黑体"/>
        </w:rPr>
        <w:t>合格的投标人</w:t>
      </w:r>
      <w:r>
        <w:rPr>
          <w:rFonts w:hint="eastAsia" w:ascii="黑体" w:hAnsi="黑体" w:eastAsia="黑体"/>
        </w:rPr>
        <w:t>是指：详见《第一部分投标邀请》申请人的资格要求</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合格的货物和服务</w:t>
      </w:r>
    </w:p>
    <w:p>
      <w:pPr>
        <w:pStyle w:val="30"/>
        <w:numPr>
          <w:ilvl w:val="0"/>
          <w:numId w:val="19"/>
        </w:numPr>
        <w:spacing w:line="360" w:lineRule="auto"/>
        <w:ind w:firstLineChars="0"/>
        <w:rPr>
          <w:rFonts w:ascii="黑体" w:hAnsi="黑体" w:eastAsia="黑体"/>
          <w:bCs/>
          <w:szCs w:val="21"/>
        </w:rPr>
      </w:pPr>
      <w:r>
        <w:rPr>
          <w:rFonts w:hint="eastAsia" w:ascii="黑体" w:hAnsi="黑体" w:eastAsia="黑体"/>
          <w:bCs/>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pStyle w:val="30"/>
        <w:numPr>
          <w:ilvl w:val="0"/>
          <w:numId w:val="19"/>
        </w:numPr>
        <w:spacing w:line="360" w:lineRule="auto"/>
        <w:ind w:firstLineChars="0"/>
        <w:rPr>
          <w:rFonts w:ascii="黑体" w:hAnsi="黑体" w:eastAsia="黑体"/>
          <w:bCs/>
          <w:szCs w:val="21"/>
        </w:rPr>
      </w:pPr>
      <w:r>
        <w:rPr>
          <w:rFonts w:hint="eastAsia" w:ascii="黑体" w:hAnsi="黑体" w:eastAsia="黑体"/>
          <w:bCs/>
          <w:szCs w:val="21"/>
        </w:rPr>
        <w:t>服务是指除货物和工程以外的其他政府采购对象，且满足实质性采购需求。</w:t>
      </w:r>
    </w:p>
    <w:p>
      <w:pPr>
        <w:pStyle w:val="30"/>
        <w:numPr>
          <w:ilvl w:val="0"/>
          <w:numId w:val="19"/>
        </w:numPr>
        <w:spacing w:line="360" w:lineRule="auto"/>
        <w:ind w:firstLineChars="0"/>
        <w:rPr>
          <w:rFonts w:ascii="黑体" w:hAnsi="黑体" w:eastAsia="黑体"/>
          <w:bCs/>
          <w:szCs w:val="21"/>
        </w:rPr>
      </w:pPr>
      <w:r>
        <w:rPr>
          <w:rFonts w:hint="eastAsia" w:ascii="黑体" w:hAnsi="黑体" w:eastAsia="黑体"/>
          <w:bCs/>
          <w:szCs w:val="21"/>
        </w:rPr>
        <w:t>政府采购应当采购本国产品，确需采购进口产品（是指通过中国海关报关验放进入中国境内且产自关境外的产品）的，</w:t>
      </w:r>
      <w:bookmarkStart w:id="36" w:name="_Toc211763038"/>
      <w:r>
        <w:rPr>
          <w:rFonts w:hint="eastAsia" w:ascii="黑体" w:hAnsi="黑体" w:eastAsia="黑体"/>
          <w:bCs/>
          <w:szCs w:val="21"/>
        </w:rPr>
        <w:t>应当获得财政部门核准。依据《政府采购进口产品管理办法</w:t>
      </w:r>
      <w:bookmarkEnd w:id="36"/>
      <w:r>
        <w:rPr>
          <w:rFonts w:hint="eastAsia" w:ascii="黑体" w:hAnsi="黑体" w:eastAsia="黑体"/>
          <w:bCs/>
          <w:szCs w:val="21"/>
        </w:rPr>
        <w:t>》优先采购向我国企业转让技术、与我国企业签订消化吸收再创新方案的供应商的进口产品。</w:t>
      </w:r>
    </w:p>
    <w:p>
      <w:pPr>
        <w:pStyle w:val="30"/>
        <w:numPr>
          <w:ilvl w:val="0"/>
          <w:numId w:val="19"/>
        </w:numPr>
        <w:spacing w:line="360" w:lineRule="auto"/>
        <w:ind w:firstLineChars="0"/>
        <w:rPr>
          <w:rFonts w:ascii="黑体" w:hAnsi="黑体" w:eastAsia="黑体"/>
          <w:bCs/>
          <w:szCs w:val="21"/>
        </w:rPr>
      </w:pPr>
      <w:r>
        <w:rPr>
          <w:rFonts w:hint="eastAsia" w:ascii="黑体" w:hAnsi="黑体" w:eastAsia="黑体"/>
          <w:bCs/>
          <w:szCs w:val="21"/>
        </w:rPr>
        <w:t>如本项目采购产品属于实施政府强制采购品目清单范围的节能产品，则投标人所报产品必须获得国家确定的认证机构出具的、处于有效期之内的节能产品认证证书，否则投标无效。</w:t>
      </w:r>
    </w:p>
    <w:p>
      <w:pPr>
        <w:pStyle w:val="30"/>
        <w:numPr>
          <w:ilvl w:val="0"/>
          <w:numId w:val="19"/>
        </w:numPr>
        <w:spacing w:line="360" w:lineRule="auto"/>
        <w:ind w:firstLineChars="0"/>
        <w:rPr>
          <w:rFonts w:ascii="黑体" w:hAnsi="黑体" w:eastAsia="黑体"/>
          <w:bCs/>
          <w:szCs w:val="21"/>
        </w:rPr>
      </w:pPr>
      <w:r>
        <w:rPr>
          <w:rFonts w:hint="eastAsia" w:ascii="黑体" w:hAnsi="黑体" w:eastAsia="黑体"/>
          <w:bCs/>
          <w:szCs w:val="21"/>
        </w:rPr>
        <w:t>投标人提供的所有服务，其质量、技术等特征必须符合国家、行业现行法律、法规的相关标准和《中华人民共和国政府采购法》的有关规定及采购需求。</w:t>
      </w:r>
    </w:p>
    <w:p>
      <w:pPr>
        <w:pStyle w:val="30"/>
        <w:numPr>
          <w:ilvl w:val="0"/>
          <w:numId w:val="19"/>
        </w:numPr>
        <w:spacing w:line="360" w:lineRule="auto"/>
        <w:ind w:firstLineChars="0"/>
        <w:rPr>
          <w:rFonts w:ascii="黑体" w:hAnsi="黑体" w:eastAsia="黑体"/>
          <w:bCs/>
          <w:szCs w:val="21"/>
        </w:rPr>
      </w:pPr>
      <w:r>
        <w:rPr>
          <w:rFonts w:hint="eastAsia" w:ascii="黑体" w:hAnsi="黑体" w:eastAsia="黑体"/>
          <w:bCs/>
          <w:spacing w:val="-6"/>
          <w:szCs w:val="21"/>
        </w:rPr>
        <w:t>采购人有权拒绝接受任何不合格的服务，由此产生的费用及相关后果均由投标人自行承担；</w:t>
      </w:r>
    </w:p>
    <w:p>
      <w:pPr>
        <w:pStyle w:val="30"/>
        <w:numPr>
          <w:ilvl w:val="0"/>
          <w:numId w:val="19"/>
        </w:numPr>
        <w:spacing w:line="360" w:lineRule="auto"/>
        <w:ind w:firstLineChars="0"/>
        <w:rPr>
          <w:rFonts w:ascii="黑体" w:hAnsi="黑体" w:eastAsia="黑体"/>
          <w:bCs/>
          <w:szCs w:val="21"/>
        </w:rPr>
      </w:pPr>
      <w:r>
        <w:rPr>
          <w:rFonts w:hint="eastAsia" w:ascii="黑体" w:hAnsi="黑体" w:eastAsia="黑体"/>
          <w:b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投标费用</w:t>
      </w:r>
    </w:p>
    <w:p>
      <w:pPr>
        <w:pStyle w:val="30"/>
        <w:numPr>
          <w:ilvl w:val="0"/>
          <w:numId w:val="20"/>
        </w:numPr>
        <w:spacing w:line="360" w:lineRule="auto"/>
        <w:ind w:firstLineChars="0"/>
        <w:rPr>
          <w:rFonts w:ascii="黑体" w:hAnsi="黑体" w:eastAsia="黑体"/>
          <w:bCs/>
          <w:szCs w:val="21"/>
        </w:rPr>
      </w:pPr>
      <w:r>
        <w:rPr>
          <w:rFonts w:ascii="黑体" w:hAnsi="黑体" w:eastAsia="黑体"/>
          <w:bCs/>
          <w:szCs w:val="21"/>
        </w:rPr>
        <w:t>投标人应承担所有与准备和参加投标有关的费用。不论投标的结果如何，采购代理机构和采购人均无义务和责任承担</w:t>
      </w:r>
      <w:r>
        <w:rPr>
          <w:rFonts w:hint="eastAsia" w:ascii="黑体" w:hAnsi="黑体" w:eastAsia="黑体"/>
          <w:bCs/>
          <w:szCs w:val="21"/>
        </w:rPr>
        <w:t>相关</w:t>
      </w:r>
      <w:r>
        <w:rPr>
          <w:rFonts w:ascii="黑体" w:hAnsi="黑体" w:eastAsia="黑体"/>
          <w:bCs/>
          <w:szCs w:val="21"/>
        </w:rPr>
        <w:t>费用</w:t>
      </w:r>
      <w:r>
        <w:rPr>
          <w:rFonts w:hint="eastAsia" w:ascii="黑体" w:hAnsi="黑体" w:eastAsia="黑体"/>
          <w:bCs/>
          <w:szCs w:val="21"/>
        </w:rPr>
        <w:t>。</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投标保证金</w:t>
      </w:r>
    </w:p>
    <w:p>
      <w:pPr>
        <w:pStyle w:val="30"/>
        <w:numPr>
          <w:ilvl w:val="0"/>
          <w:numId w:val="21"/>
        </w:numPr>
        <w:spacing w:line="360" w:lineRule="auto"/>
        <w:ind w:firstLineChars="0"/>
        <w:rPr>
          <w:rFonts w:ascii="黑体" w:hAnsi="黑体" w:eastAsia="黑体"/>
          <w:bCs/>
          <w:szCs w:val="21"/>
        </w:rPr>
      </w:pPr>
      <w:r>
        <w:rPr>
          <w:rFonts w:hint="eastAsia" w:ascii="黑体" w:hAnsi="黑体" w:eastAsia="黑体"/>
          <w:bCs/>
          <w:szCs w:val="21"/>
        </w:rPr>
        <w:t>政府采购信用担保，是将信用担保作为政策工具引入政府采购领域，由专业担保机构为供应商向采购人、代理机构、金融机构提供的保证。政府采购信用担保有利于降低中小企业参与政府采购成本，增加参与政府采购的机会和扩大融资渠道，优化中小企业发展环境。</w:t>
      </w:r>
    </w:p>
    <w:p>
      <w:pPr>
        <w:pStyle w:val="30"/>
        <w:numPr>
          <w:ilvl w:val="0"/>
          <w:numId w:val="21"/>
        </w:numPr>
        <w:spacing w:line="360" w:lineRule="auto"/>
        <w:ind w:firstLineChars="0"/>
        <w:rPr>
          <w:rFonts w:ascii="黑体" w:hAnsi="黑体" w:eastAsia="黑体"/>
          <w:bCs/>
          <w:szCs w:val="21"/>
        </w:rPr>
      </w:pPr>
      <w:r>
        <w:rPr>
          <w:rFonts w:hint="eastAsia" w:ascii="黑体" w:hAnsi="黑体" w:eastAsia="黑体"/>
          <w:bCs/>
          <w:szCs w:val="21"/>
        </w:rPr>
        <w:t>参考《中华人民共和国政府采购法实施条例》的规定，允许并接受供应商以专业担保机构出具的担保函的形式交纳投标保证金或履约保证金。供应商提交专业担保机构出具的投标担保函的，不得再要求其提供银行资信证明等类似文件。</w:t>
      </w:r>
    </w:p>
    <w:p>
      <w:pPr>
        <w:pStyle w:val="30"/>
        <w:numPr>
          <w:ilvl w:val="0"/>
          <w:numId w:val="21"/>
        </w:numPr>
        <w:spacing w:line="360" w:lineRule="auto"/>
        <w:ind w:firstLineChars="0"/>
        <w:rPr>
          <w:rFonts w:ascii="黑体" w:hAnsi="黑体" w:eastAsia="黑体"/>
          <w:bCs/>
          <w:szCs w:val="21"/>
        </w:rPr>
      </w:pPr>
      <w:r>
        <w:rPr>
          <w:rFonts w:hint="eastAsia" w:ascii="黑体" w:hAnsi="黑体" w:eastAsia="黑体"/>
          <w:bCs/>
          <w:szCs w:val="21"/>
        </w:rPr>
        <w:t>担保品种</w:t>
      </w:r>
    </w:p>
    <w:p>
      <w:pPr>
        <w:pStyle w:val="30"/>
        <w:numPr>
          <w:ilvl w:val="2"/>
          <w:numId w:val="22"/>
        </w:numPr>
        <w:spacing w:line="360" w:lineRule="auto"/>
        <w:ind w:firstLineChars="0"/>
        <w:rPr>
          <w:rFonts w:ascii="黑体" w:hAnsi="黑体" w:eastAsia="黑体"/>
          <w:bCs/>
          <w:szCs w:val="21"/>
        </w:rPr>
      </w:pPr>
      <w:r>
        <w:rPr>
          <w:rFonts w:hint="eastAsia" w:ascii="黑体" w:hAnsi="黑体" w:eastAsia="黑体"/>
          <w:bCs/>
          <w:szCs w:val="21"/>
        </w:rPr>
        <w:t>投标担保，是指由担保机构为供应商交纳投标保证金向采购人或采购代理机构提供的保证担保。供应商在投标有效期内撤回投标文件或中标后不签订政府采购合同的，由担保机构按照担保函的约定履行支付投标保证金的责任。</w:t>
      </w:r>
    </w:p>
    <w:p>
      <w:pPr>
        <w:pStyle w:val="30"/>
        <w:numPr>
          <w:ilvl w:val="2"/>
          <w:numId w:val="22"/>
        </w:numPr>
        <w:spacing w:line="360" w:lineRule="auto"/>
        <w:ind w:firstLineChars="0"/>
        <w:rPr>
          <w:rFonts w:ascii="黑体" w:hAnsi="黑体" w:eastAsia="黑体"/>
          <w:bCs/>
          <w:szCs w:val="21"/>
        </w:rPr>
      </w:pPr>
      <w:r>
        <w:rPr>
          <w:rFonts w:hint="eastAsia" w:ascii="黑体" w:hAnsi="黑体" w:eastAsia="黑体"/>
          <w:bCs/>
          <w:szCs w:val="21"/>
        </w:rPr>
        <w:t>履约担保，是指由担保机构为供应商交纳履约保证金向采购人或采购代理机构提供的保证担保。供应商未按政府采购合同履行约定义务的，由担保机构按照担保函约定履行支付履约保证金的责任。</w:t>
      </w:r>
    </w:p>
    <w:p>
      <w:pPr>
        <w:pStyle w:val="30"/>
        <w:numPr>
          <w:ilvl w:val="2"/>
          <w:numId w:val="22"/>
        </w:numPr>
        <w:spacing w:line="360" w:lineRule="auto"/>
        <w:ind w:firstLineChars="0"/>
        <w:rPr>
          <w:rFonts w:ascii="黑体" w:hAnsi="黑体" w:eastAsia="黑体"/>
          <w:bCs/>
          <w:szCs w:val="21"/>
        </w:rPr>
      </w:pPr>
      <w:r>
        <w:rPr>
          <w:rFonts w:hint="eastAsia" w:ascii="黑体" w:hAnsi="黑体" w:eastAsia="黑体"/>
          <w:bCs/>
          <w:szCs w:val="21"/>
        </w:rPr>
        <w:t>融资担保，是指担保机构为供应商向银行融资提供的保证担保。</w:t>
      </w:r>
    </w:p>
    <w:p>
      <w:pPr>
        <w:pStyle w:val="30"/>
        <w:numPr>
          <w:ilvl w:val="0"/>
          <w:numId w:val="21"/>
        </w:numPr>
        <w:spacing w:line="360" w:lineRule="auto"/>
        <w:ind w:firstLineChars="0"/>
        <w:rPr>
          <w:rFonts w:ascii="黑体" w:hAnsi="黑体" w:eastAsia="黑体"/>
          <w:bCs/>
          <w:szCs w:val="21"/>
        </w:rPr>
      </w:pPr>
      <w:r>
        <w:rPr>
          <w:rFonts w:hint="eastAsia" w:ascii="黑体" w:hAnsi="黑体" w:eastAsia="黑体"/>
          <w:bCs/>
          <w:szCs w:val="21"/>
        </w:rPr>
        <w:t>供应商可以以投标担保函、履约担保函形式缴纳保证金。</w:t>
      </w:r>
    </w:p>
    <w:p>
      <w:pPr>
        <w:pStyle w:val="30"/>
        <w:numPr>
          <w:ilvl w:val="0"/>
          <w:numId w:val="15"/>
        </w:numPr>
        <w:spacing w:before="312" w:beforeLines="100" w:line="360" w:lineRule="auto"/>
        <w:ind w:firstLineChars="0"/>
        <w:rPr>
          <w:rFonts w:ascii="黑体" w:hAnsi="黑体" w:eastAsia="黑体"/>
          <w:b/>
          <w:bCs/>
          <w:sz w:val="24"/>
          <w:szCs w:val="24"/>
        </w:rPr>
      </w:pPr>
      <w:r>
        <w:rPr>
          <w:rFonts w:hint="eastAsia" w:ascii="黑体" w:hAnsi="黑体" w:eastAsia="黑体"/>
          <w:b/>
          <w:bCs/>
          <w:sz w:val="24"/>
          <w:szCs w:val="24"/>
        </w:rPr>
        <w:t>招标文件</w:t>
      </w:r>
      <w:bookmarkStart w:id="37" w:name="_Toc357676115"/>
    </w:p>
    <w:p>
      <w:pPr>
        <w:pStyle w:val="30"/>
        <w:numPr>
          <w:ilvl w:val="0"/>
          <w:numId w:val="16"/>
        </w:numPr>
        <w:spacing w:line="360" w:lineRule="auto"/>
        <w:ind w:firstLineChars="0"/>
        <w:rPr>
          <w:rFonts w:ascii="黑体" w:hAnsi="黑体" w:eastAsia="黑体"/>
          <w:b/>
        </w:rPr>
      </w:pPr>
      <w:r>
        <w:rPr>
          <w:rFonts w:hint="eastAsia" w:ascii="黑体" w:hAnsi="黑体" w:eastAsia="黑体"/>
          <w:b/>
        </w:rPr>
        <w:t>招标文件的编制依据与构成</w:t>
      </w:r>
      <w:bookmarkEnd w:id="37"/>
    </w:p>
    <w:p>
      <w:pPr>
        <w:pStyle w:val="30"/>
        <w:numPr>
          <w:ilvl w:val="0"/>
          <w:numId w:val="23"/>
        </w:numPr>
        <w:spacing w:line="360" w:lineRule="auto"/>
        <w:ind w:firstLineChars="0"/>
        <w:rPr>
          <w:rFonts w:ascii="黑体" w:hAnsi="黑体" w:eastAsia="黑体"/>
          <w:bCs/>
          <w:szCs w:val="21"/>
        </w:rPr>
      </w:pPr>
      <w:r>
        <w:rPr>
          <w:rFonts w:hint="eastAsia" w:ascii="黑体" w:hAnsi="黑体" w:eastAsia="黑体"/>
          <w:bCs/>
          <w:szCs w:val="21"/>
        </w:rPr>
        <w:t>本招标文件的编制参考是</w:t>
      </w:r>
      <w:r>
        <w:rPr>
          <w:rFonts w:hint="eastAsia" w:ascii="黑体" w:hAnsi="黑体" w:eastAsia="黑体"/>
          <w:szCs w:val="21"/>
        </w:rPr>
        <w:t>《中华人民共和国政府采购法》、《中华人民共和国政府采购法实施条例》、财政部《政府采购货物和服务招标投标管理办法》</w:t>
      </w:r>
      <w:r>
        <w:rPr>
          <w:rFonts w:hint="eastAsia" w:ascii="黑体" w:hAnsi="黑体" w:eastAsia="黑体"/>
          <w:bCs/>
          <w:szCs w:val="21"/>
        </w:rPr>
        <w:t>等法律法规。</w:t>
      </w:r>
    </w:p>
    <w:p>
      <w:pPr>
        <w:pStyle w:val="30"/>
        <w:numPr>
          <w:ilvl w:val="0"/>
          <w:numId w:val="23"/>
        </w:numPr>
        <w:spacing w:line="360" w:lineRule="auto"/>
        <w:ind w:firstLineChars="0"/>
        <w:rPr>
          <w:rFonts w:ascii="黑体" w:hAnsi="黑体" w:eastAsia="黑体"/>
          <w:bCs/>
          <w:szCs w:val="21"/>
        </w:rPr>
      </w:pPr>
      <w:r>
        <w:rPr>
          <w:rFonts w:hint="eastAsia" w:ascii="黑体" w:hAnsi="黑体" w:eastAsia="黑体"/>
          <w:bCs/>
          <w:szCs w:val="21"/>
        </w:rPr>
        <w:t>要求提供的服务、采购过程和合同条件在招标文件中均有说明。招标文件以中文文字编写。招标文件由下列文件以及在招标过程中发出的澄清、修改和补充文件组成，组成内容如下：</w:t>
      </w:r>
    </w:p>
    <w:p>
      <w:pPr>
        <w:spacing w:line="360" w:lineRule="auto"/>
        <w:ind w:firstLine="424" w:firstLineChars="202"/>
        <w:rPr>
          <w:rFonts w:ascii="黑体" w:hAnsi="黑体" w:eastAsia="黑体"/>
          <w:bCs/>
          <w:szCs w:val="21"/>
        </w:rPr>
      </w:pPr>
      <w:r>
        <w:rPr>
          <w:rFonts w:hint="eastAsia" w:ascii="黑体" w:hAnsi="黑体" w:eastAsia="黑体"/>
          <w:bCs/>
          <w:szCs w:val="21"/>
        </w:rPr>
        <w:t>第一部分</w:t>
      </w:r>
      <w:r>
        <w:rPr>
          <w:rFonts w:ascii="黑体" w:hAnsi="黑体" w:eastAsia="黑体"/>
          <w:bCs/>
          <w:szCs w:val="21"/>
        </w:rPr>
        <w:t xml:space="preserve"> </w:t>
      </w:r>
      <w:r>
        <w:rPr>
          <w:rFonts w:hint="eastAsia" w:ascii="黑体" w:hAnsi="黑体" w:eastAsia="黑体"/>
          <w:bCs/>
          <w:szCs w:val="21"/>
        </w:rPr>
        <w:t>投标邀请</w:t>
      </w:r>
    </w:p>
    <w:p>
      <w:pPr>
        <w:spacing w:line="360" w:lineRule="auto"/>
        <w:ind w:firstLine="424" w:firstLineChars="202"/>
        <w:rPr>
          <w:rFonts w:ascii="黑体" w:hAnsi="黑体" w:eastAsia="黑体"/>
          <w:bCs/>
          <w:szCs w:val="21"/>
        </w:rPr>
      </w:pPr>
      <w:r>
        <w:rPr>
          <w:rFonts w:hint="eastAsia" w:ascii="黑体" w:hAnsi="黑体" w:eastAsia="黑体"/>
          <w:bCs/>
          <w:szCs w:val="21"/>
        </w:rPr>
        <w:t>第二部分</w:t>
      </w:r>
      <w:r>
        <w:rPr>
          <w:rFonts w:ascii="黑体" w:hAnsi="黑体" w:eastAsia="黑体"/>
          <w:bCs/>
          <w:szCs w:val="21"/>
        </w:rPr>
        <w:t xml:space="preserve"> </w:t>
      </w:r>
      <w:r>
        <w:rPr>
          <w:rFonts w:hint="eastAsia" w:ascii="黑体" w:hAnsi="黑体" w:eastAsia="黑体"/>
          <w:bCs/>
          <w:szCs w:val="21"/>
        </w:rPr>
        <w:t>采购需求</w:t>
      </w:r>
    </w:p>
    <w:p>
      <w:pPr>
        <w:spacing w:line="360" w:lineRule="auto"/>
        <w:ind w:firstLine="424" w:firstLineChars="202"/>
        <w:rPr>
          <w:rFonts w:ascii="黑体" w:hAnsi="黑体" w:eastAsia="黑体"/>
          <w:bCs/>
          <w:szCs w:val="21"/>
        </w:rPr>
      </w:pPr>
      <w:r>
        <w:rPr>
          <w:rFonts w:hint="eastAsia" w:ascii="黑体" w:hAnsi="黑体" w:eastAsia="黑体"/>
          <w:bCs/>
          <w:szCs w:val="21"/>
        </w:rPr>
        <w:t>第三部分</w:t>
      </w:r>
      <w:r>
        <w:rPr>
          <w:rFonts w:ascii="黑体" w:hAnsi="黑体" w:eastAsia="黑体"/>
          <w:bCs/>
          <w:szCs w:val="21"/>
        </w:rPr>
        <w:t xml:space="preserve"> </w:t>
      </w:r>
      <w:r>
        <w:rPr>
          <w:rFonts w:hint="eastAsia" w:ascii="黑体" w:hAnsi="黑体" w:eastAsia="黑体"/>
          <w:bCs/>
          <w:szCs w:val="21"/>
        </w:rPr>
        <w:t>投标人须知前附表</w:t>
      </w:r>
    </w:p>
    <w:p>
      <w:pPr>
        <w:spacing w:line="360" w:lineRule="auto"/>
        <w:ind w:firstLine="424" w:firstLineChars="202"/>
        <w:rPr>
          <w:rFonts w:ascii="黑体" w:hAnsi="黑体" w:eastAsia="黑体"/>
          <w:bCs/>
          <w:szCs w:val="21"/>
        </w:rPr>
      </w:pPr>
      <w:r>
        <w:rPr>
          <w:rFonts w:hint="eastAsia" w:ascii="黑体" w:hAnsi="黑体" w:eastAsia="黑体"/>
          <w:bCs/>
          <w:szCs w:val="21"/>
        </w:rPr>
        <w:t>第四部分 投标人须知</w:t>
      </w:r>
    </w:p>
    <w:p>
      <w:pPr>
        <w:spacing w:line="360" w:lineRule="auto"/>
        <w:ind w:firstLine="424" w:firstLineChars="202"/>
        <w:rPr>
          <w:rFonts w:ascii="黑体" w:hAnsi="黑体" w:eastAsia="黑体"/>
          <w:bCs/>
          <w:szCs w:val="21"/>
        </w:rPr>
      </w:pPr>
      <w:r>
        <w:rPr>
          <w:rFonts w:hint="eastAsia" w:ascii="黑体" w:hAnsi="黑体" w:eastAsia="黑体"/>
          <w:bCs/>
          <w:szCs w:val="21"/>
        </w:rPr>
        <w:t>第五部分</w:t>
      </w:r>
      <w:r>
        <w:rPr>
          <w:rFonts w:ascii="黑体" w:hAnsi="黑体" w:eastAsia="黑体"/>
          <w:bCs/>
          <w:szCs w:val="21"/>
        </w:rPr>
        <w:t xml:space="preserve"> </w:t>
      </w:r>
      <w:r>
        <w:rPr>
          <w:rFonts w:hint="eastAsia" w:ascii="黑体" w:hAnsi="黑体" w:eastAsia="黑体"/>
          <w:bCs/>
          <w:szCs w:val="21"/>
        </w:rPr>
        <w:t>评标方法、步骤、标准</w:t>
      </w:r>
    </w:p>
    <w:p>
      <w:pPr>
        <w:spacing w:line="360" w:lineRule="auto"/>
        <w:ind w:firstLine="424" w:firstLineChars="202"/>
        <w:rPr>
          <w:rFonts w:ascii="黑体" w:hAnsi="黑体" w:eastAsia="黑体"/>
          <w:bCs/>
          <w:szCs w:val="21"/>
        </w:rPr>
      </w:pPr>
      <w:r>
        <w:rPr>
          <w:rFonts w:hint="eastAsia" w:ascii="黑体" w:hAnsi="黑体" w:eastAsia="黑体"/>
          <w:bCs/>
          <w:szCs w:val="21"/>
        </w:rPr>
        <w:t>第六部分</w:t>
      </w:r>
      <w:r>
        <w:rPr>
          <w:rFonts w:ascii="黑体" w:hAnsi="黑体" w:eastAsia="黑体"/>
          <w:bCs/>
          <w:szCs w:val="21"/>
        </w:rPr>
        <w:t xml:space="preserve"> </w:t>
      </w:r>
      <w:r>
        <w:rPr>
          <w:rFonts w:hint="eastAsia" w:ascii="黑体" w:hAnsi="黑体" w:eastAsia="黑体"/>
          <w:bCs/>
          <w:szCs w:val="21"/>
        </w:rPr>
        <w:t>合同书格式</w:t>
      </w:r>
    </w:p>
    <w:p>
      <w:pPr>
        <w:spacing w:line="360" w:lineRule="auto"/>
        <w:ind w:firstLine="424" w:firstLineChars="202"/>
        <w:rPr>
          <w:rFonts w:ascii="黑体" w:hAnsi="黑体" w:eastAsia="黑体"/>
          <w:bCs/>
          <w:szCs w:val="21"/>
        </w:rPr>
      </w:pPr>
      <w:r>
        <w:rPr>
          <w:rFonts w:hint="eastAsia" w:ascii="黑体" w:hAnsi="黑体" w:eastAsia="黑体"/>
          <w:bCs/>
          <w:szCs w:val="21"/>
        </w:rPr>
        <w:t>第七部分</w:t>
      </w:r>
      <w:r>
        <w:rPr>
          <w:rFonts w:ascii="黑体" w:hAnsi="黑体" w:eastAsia="黑体"/>
          <w:bCs/>
          <w:szCs w:val="21"/>
        </w:rPr>
        <w:t xml:space="preserve"> </w:t>
      </w:r>
      <w:r>
        <w:rPr>
          <w:rFonts w:hint="eastAsia" w:ascii="黑体" w:hAnsi="黑体" w:eastAsia="黑体"/>
          <w:bCs/>
          <w:szCs w:val="21"/>
        </w:rPr>
        <w:t>投标文件格式</w:t>
      </w:r>
    </w:p>
    <w:p>
      <w:pPr>
        <w:pStyle w:val="30"/>
        <w:numPr>
          <w:ilvl w:val="0"/>
          <w:numId w:val="23"/>
        </w:numPr>
        <w:spacing w:line="360" w:lineRule="auto"/>
        <w:ind w:firstLineChars="0"/>
        <w:rPr>
          <w:rFonts w:ascii="黑体" w:hAnsi="黑体" w:eastAsia="黑体"/>
          <w:bCs/>
          <w:szCs w:val="21"/>
        </w:rPr>
      </w:pPr>
      <w:r>
        <w:rPr>
          <w:rFonts w:hint="eastAsia" w:ascii="黑体" w:hAnsi="黑体" w:eastAsia="黑体"/>
          <w:bCs/>
          <w:szCs w:val="21"/>
        </w:rPr>
        <w:t>投标人应认真阅读、并充分理解招标文件的全部内容（包括所有的补充、修改内容重要事项、格式、条款和服务要求等）。投标人没有按照招标文件要求提交全部资料，或者投标文件没有对招标文件在各方面都作出实质性响应是投标人的风险，有可能导致其投标被拒绝，或被认定为无效投标或被确定为投标无效。</w:t>
      </w:r>
    </w:p>
    <w:p>
      <w:pPr>
        <w:pStyle w:val="30"/>
        <w:numPr>
          <w:ilvl w:val="0"/>
          <w:numId w:val="23"/>
        </w:numPr>
        <w:spacing w:line="360" w:lineRule="auto"/>
        <w:ind w:firstLineChars="0"/>
        <w:rPr>
          <w:rFonts w:ascii="黑体" w:hAnsi="黑体" w:eastAsia="黑体"/>
          <w:bCs/>
          <w:szCs w:val="21"/>
        </w:rPr>
      </w:pPr>
      <w:r>
        <w:rPr>
          <w:rFonts w:hint="eastAsia" w:ascii="黑体" w:hAnsi="黑体" w:eastAsia="黑体"/>
          <w:bCs/>
          <w:szCs w:val="21"/>
        </w:rPr>
        <w:t>本招标文件的解释权归“广东有德招标采购有限公司”所有。</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招标文件的答疑、澄清或修改</w:t>
      </w:r>
    </w:p>
    <w:p>
      <w:pPr>
        <w:pStyle w:val="30"/>
        <w:numPr>
          <w:ilvl w:val="0"/>
          <w:numId w:val="24"/>
        </w:numPr>
        <w:spacing w:line="360" w:lineRule="auto"/>
        <w:ind w:firstLineChars="0"/>
        <w:rPr>
          <w:rFonts w:ascii="黑体" w:hAnsi="黑体" w:eastAsia="黑体"/>
          <w:bCs/>
          <w:szCs w:val="21"/>
        </w:rPr>
      </w:pPr>
      <w:r>
        <w:rPr>
          <w:rFonts w:hint="eastAsia" w:ascii="黑体" w:hAnsi="黑体" w:eastAsia="黑体"/>
          <w:bCs/>
          <w:szCs w:val="21"/>
        </w:rPr>
        <w:t>除非</w:t>
      </w:r>
      <w:r>
        <w:rPr>
          <w:rFonts w:hint="eastAsia" w:ascii="黑体" w:hAnsi="黑体" w:eastAsia="黑体"/>
          <w:b/>
          <w:bCs/>
          <w:szCs w:val="21"/>
          <w:u w:val="single"/>
        </w:rPr>
        <w:t>投标人须知前附表</w:t>
      </w:r>
      <w:r>
        <w:rPr>
          <w:rFonts w:ascii="黑体" w:hAnsi="黑体" w:eastAsia="黑体"/>
          <w:b/>
          <w:bCs/>
          <w:szCs w:val="21"/>
          <w:u w:val="single"/>
        </w:rPr>
        <w:t xml:space="preserve"> </w:t>
      </w:r>
      <w:r>
        <w:rPr>
          <w:rFonts w:hint="eastAsia" w:ascii="黑体" w:hAnsi="黑体" w:eastAsia="黑体"/>
          <w:bCs/>
          <w:szCs w:val="21"/>
        </w:rPr>
        <w:t>中另有规定，不举行项目集中答疑会或现场考察，如举行集中答疑会或现场考察的，则按以下规定：</w:t>
      </w:r>
    </w:p>
    <w:p>
      <w:pPr>
        <w:pStyle w:val="30"/>
        <w:numPr>
          <w:ilvl w:val="2"/>
          <w:numId w:val="16"/>
        </w:numPr>
        <w:spacing w:line="360" w:lineRule="auto"/>
        <w:ind w:firstLineChars="0"/>
        <w:rPr>
          <w:rFonts w:ascii="黑体" w:hAnsi="黑体" w:eastAsia="黑体"/>
          <w:bCs/>
          <w:szCs w:val="21"/>
        </w:rPr>
      </w:pPr>
      <w:r>
        <w:rPr>
          <w:rFonts w:hint="eastAsia" w:ascii="黑体" w:hAnsi="黑体" w:eastAsia="黑体"/>
          <w:bCs/>
          <w:szCs w:val="21"/>
        </w:rPr>
        <w:t>在</w:t>
      </w:r>
      <w:r>
        <w:rPr>
          <w:rFonts w:ascii="黑体" w:hAnsi="黑体" w:eastAsia="黑体"/>
          <w:bCs/>
          <w:szCs w:val="21"/>
          <w:u w:val="single"/>
        </w:rPr>
        <w:t xml:space="preserve"> </w:t>
      </w:r>
      <w:r>
        <w:rPr>
          <w:rFonts w:hint="eastAsia" w:ascii="黑体" w:hAnsi="黑体" w:eastAsia="黑体"/>
          <w:b/>
          <w:bCs/>
          <w:szCs w:val="21"/>
          <w:u w:val="single"/>
        </w:rPr>
        <w:t>投标人须知前附表</w:t>
      </w:r>
      <w:r>
        <w:rPr>
          <w:rFonts w:ascii="黑体" w:hAnsi="黑体" w:eastAsia="黑体"/>
          <w:b/>
          <w:bCs/>
          <w:szCs w:val="21"/>
          <w:u w:val="single"/>
        </w:rPr>
        <w:t xml:space="preserve"> </w:t>
      </w:r>
      <w:r>
        <w:rPr>
          <w:rFonts w:hint="eastAsia" w:ascii="黑体" w:hAnsi="黑体" w:eastAsia="黑体"/>
          <w:bCs/>
          <w:szCs w:val="21"/>
        </w:rPr>
        <w:t>中规定的日期、时间和地点组织公开答疑会或现场考察。</w:t>
      </w:r>
    </w:p>
    <w:p>
      <w:pPr>
        <w:pStyle w:val="30"/>
        <w:numPr>
          <w:ilvl w:val="2"/>
          <w:numId w:val="16"/>
        </w:numPr>
        <w:spacing w:line="360" w:lineRule="auto"/>
        <w:ind w:firstLineChars="0"/>
        <w:rPr>
          <w:rFonts w:ascii="黑体" w:hAnsi="黑体" w:eastAsia="黑体"/>
          <w:bCs/>
          <w:szCs w:val="21"/>
        </w:rPr>
      </w:pPr>
      <w:r>
        <w:rPr>
          <w:rFonts w:hint="eastAsia" w:ascii="黑体" w:hAnsi="黑体" w:eastAsia="黑体"/>
          <w:bCs/>
          <w:szCs w:val="21"/>
        </w:rPr>
        <w:t>潜在投标人对本项目提出的疑问，需在答疑会或现场考察召开日前至少一个工作日将问题清单以书面形式（加盖公章）提交至采购代理机构，潜在投标人代表于上述的时间和地点出席答疑会或现场考察。</w:t>
      </w:r>
    </w:p>
    <w:p>
      <w:pPr>
        <w:pStyle w:val="30"/>
        <w:numPr>
          <w:ilvl w:val="2"/>
          <w:numId w:val="16"/>
        </w:numPr>
        <w:spacing w:line="360" w:lineRule="auto"/>
        <w:ind w:firstLineChars="0"/>
        <w:rPr>
          <w:rFonts w:ascii="黑体" w:hAnsi="黑体" w:eastAsia="黑体"/>
          <w:bCs/>
          <w:szCs w:val="21"/>
        </w:rPr>
      </w:pPr>
      <w:r>
        <w:rPr>
          <w:rFonts w:hint="eastAsia" w:ascii="黑体" w:hAnsi="黑体" w:eastAsia="黑体"/>
          <w:bCs/>
          <w:szCs w:val="21"/>
        </w:rPr>
        <w:t>已获取招标文件的投标人如不出席答疑会或现场考察视为对招标文件所有内容无任何异议。</w:t>
      </w:r>
    </w:p>
    <w:p>
      <w:pPr>
        <w:pStyle w:val="30"/>
        <w:numPr>
          <w:ilvl w:val="2"/>
          <w:numId w:val="16"/>
        </w:numPr>
        <w:spacing w:line="360" w:lineRule="auto"/>
        <w:ind w:firstLineChars="0"/>
        <w:rPr>
          <w:rFonts w:ascii="黑体" w:hAnsi="黑体" w:eastAsia="黑体"/>
          <w:bCs/>
          <w:szCs w:val="21"/>
        </w:rPr>
      </w:pPr>
      <w:r>
        <w:rPr>
          <w:rFonts w:hint="eastAsia" w:ascii="黑体" w:hAnsi="黑体" w:eastAsia="黑体"/>
          <w:bCs/>
          <w:szCs w:val="21"/>
        </w:rPr>
        <w:t>投标人在规定的时间内未对招标文件提出澄清或疑问的，采购代理机构将视其为无异议。</w:t>
      </w:r>
    </w:p>
    <w:p>
      <w:pPr>
        <w:pStyle w:val="30"/>
        <w:numPr>
          <w:ilvl w:val="2"/>
          <w:numId w:val="16"/>
        </w:numPr>
        <w:spacing w:line="360" w:lineRule="auto"/>
        <w:ind w:firstLineChars="0"/>
        <w:rPr>
          <w:rFonts w:ascii="黑体" w:hAnsi="黑体" w:eastAsia="黑体"/>
          <w:bCs/>
          <w:szCs w:val="21"/>
        </w:rPr>
      </w:pPr>
      <w:r>
        <w:rPr>
          <w:rFonts w:hint="eastAsia" w:ascii="黑体" w:hAnsi="黑体" w:eastAsia="黑体"/>
          <w:bCs/>
          <w:szCs w:val="21"/>
        </w:rPr>
        <w:t>对招标文件中描述有歧义或前后不一致的地方，评标委员会有权进行评判，但对同一条款的评判应适用于每个投标人。</w:t>
      </w:r>
    </w:p>
    <w:p>
      <w:pPr>
        <w:pStyle w:val="30"/>
        <w:numPr>
          <w:ilvl w:val="0"/>
          <w:numId w:val="24"/>
        </w:numPr>
        <w:spacing w:line="360" w:lineRule="auto"/>
        <w:ind w:firstLineChars="0"/>
        <w:rPr>
          <w:rFonts w:ascii="黑体" w:hAnsi="黑体" w:eastAsia="黑体"/>
          <w:bCs/>
          <w:szCs w:val="21"/>
        </w:rPr>
      </w:pPr>
      <w:r>
        <w:rPr>
          <w:rFonts w:ascii="黑体" w:hAnsi="黑体" w:eastAsia="黑体"/>
          <w:bCs/>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ascii="黑体" w:hAnsi="黑体" w:eastAsia="黑体"/>
          <w:bCs/>
          <w:szCs w:val="21"/>
        </w:rPr>
        <w:t>。</w:t>
      </w:r>
    </w:p>
    <w:p>
      <w:pPr>
        <w:pStyle w:val="30"/>
        <w:numPr>
          <w:ilvl w:val="0"/>
          <w:numId w:val="24"/>
        </w:numPr>
        <w:spacing w:line="360" w:lineRule="auto"/>
        <w:ind w:firstLineChars="0"/>
        <w:rPr>
          <w:rFonts w:ascii="黑体" w:hAnsi="黑体" w:eastAsia="黑体"/>
          <w:bCs/>
          <w:szCs w:val="21"/>
        </w:rPr>
      </w:pPr>
      <w:r>
        <w:rPr>
          <w:rFonts w:ascii="黑体" w:hAnsi="黑体" w:eastAsia="黑体"/>
          <w:bCs/>
          <w:szCs w:val="21"/>
        </w:rPr>
        <w:t>招标文件的</w:t>
      </w:r>
      <w:r>
        <w:rPr>
          <w:rFonts w:hint="eastAsia" w:ascii="黑体" w:hAnsi="黑体" w:eastAsia="黑体"/>
          <w:bCs/>
          <w:szCs w:val="21"/>
        </w:rPr>
        <w:t>澄清或</w:t>
      </w:r>
      <w:r>
        <w:rPr>
          <w:rFonts w:ascii="黑体" w:hAnsi="黑体" w:eastAsia="黑体"/>
          <w:bCs/>
          <w:szCs w:val="21"/>
        </w:rPr>
        <w:t>修改内容作为招标文件的组成部分，具有约束作用</w:t>
      </w:r>
      <w:r>
        <w:rPr>
          <w:rFonts w:hint="eastAsia" w:ascii="黑体" w:hAnsi="黑体" w:eastAsia="黑体"/>
          <w:bCs/>
          <w:szCs w:val="21"/>
        </w:rPr>
        <w:t>。</w:t>
      </w:r>
      <w:r>
        <w:rPr>
          <w:rFonts w:ascii="黑体" w:hAnsi="黑体" w:eastAsia="黑体"/>
          <w:bCs/>
          <w:szCs w:val="21"/>
        </w:rPr>
        <w:t>当招标文件、招标文件的澄清</w:t>
      </w:r>
      <w:r>
        <w:rPr>
          <w:rFonts w:hint="eastAsia" w:ascii="黑体" w:hAnsi="黑体" w:eastAsia="黑体"/>
          <w:bCs/>
          <w:szCs w:val="21"/>
        </w:rPr>
        <w:t>或</w:t>
      </w:r>
      <w:r>
        <w:rPr>
          <w:rFonts w:ascii="黑体" w:hAnsi="黑体" w:eastAsia="黑体"/>
          <w:bCs/>
          <w:szCs w:val="21"/>
        </w:rPr>
        <w:t>修改等在同一内容的表述上不一致时，以最后发出的书面文件为准。</w:t>
      </w:r>
    </w:p>
    <w:p>
      <w:pPr>
        <w:pStyle w:val="30"/>
        <w:numPr>
          <w:ilvl w:val="0"/>
          <w:numId w:val="24"/>
        </w:numPr>
        <w:spacing w:line="360" w:lineRule="auto"/>
        <w:ind w:firstLineChars="0"/>
        <w:rPr>
          <w:rFonts w:ascii="黑体" w:hAnsi="黑体" w:eastAsia="黑体"/>
          <w:bCs/>
          <w:szCs w:val="21"/>
        </w:rPr>
      </w:pPr>
      <w:r>
        <w:rPr>
          <w:rFonts w:hint="eastAsia" w:ascii="黑体" w:hAnsi="黑体" w:eastAsia="黑体"/>
          <w:bCs/>
          <w:szCs w:val="21"/>
        </w:rPr>
        <w:t>招标期间，投标人有义务上网查看，公告一经上网发布，即视为送达。</w:t>
      </w:r>
      <w:r>
        <w:rPr>
          <w:rFonts w:ascii="黑体" w:hAnsi="黑体" w:eastAsia="黑体"/>
          <w:bCs/>
          <w:szCs w:val="21"/>
        </w:rPr>
        <w:t>投标人应于收到该</w:t>
      </w:r>
      <w:r>
        <w:rPr>
          <w:rFonts w:hint="eastAsia" w:ascii="黑体" w:hAnsi="黑体" w:eastAsia="黑体"/>
          <w:bCs/>
          <w:szCs w:val="21"/>
        </w:rPr>
        <w:t>澄清或</w:t>
      </w:r>
      <w:r>
        <w:rPr>
          <w:rFonts w:ascii="黑体" w:hAnsi="黑体" w:eastAsia="黑体"/>
          <w:bCs/>
          <w:szCs w:val="21"/>
        </w:rPr>
        <w:t>修改文件的</w:t>
      </w:r>
      <w:r>
        <w:rPr>
          <w:rFonts w:hint="eastAsia" w:ascii="黑体" w:hAnsi="黑体" w:eastAsia="黑体"/>
          <w:bCs/>
          <w:szCs w:val="21"/>
        </w:rPr>
        <w:t>二十四小时</w:t>
      </w:r>
      <w:r>
        <w:rPr>
          <w:rFonts w:ascii="黑体" w:hAnsi="黑体" w:eastAsia="黑体"/>
          <w:bCs/>
          <w:szCs w:val="21"/>
        </w:rPr>
        <w:t>内以书面形式给予确认</w:t>
      </w:r>
      <w:r>
        <w:rPr>
          <w:rFonts w:hint="eastAsia" w:ascii="黑体" w:hAnsi="黑体" w:eastAsia="黑体"/>
          <w:bCs/>
          <w:szCs w:val="21"/>
        </w:rPr>
        <w:t>。</w:t>
      </w:r>
    </w:p>
    <w:p>
      <w:pPr>
        <w:pStyle w:val="30"/>
        <w:numPr>
          <w:ilvl w:val="0"/>
          <w:numId w:val="15"/>
        </w:numPr>
        <w:spacing w:before="312" w:beforeLines="100" w:line="360" w:lineRule="auto"/>
        <w:ind w:firstLineChars="0"/>
        <w:rPr>
          <w:rFonts w:ascii="黑体" w:hAnsi="黑体" w:eastAsia="黑体"/>
          <w:b/>
          <w:bCs/>
          <w:sz w:val="24"/>
          <w:szCs w:val="24"/>
        </w:rPr>
      </w:pPr>
      <w:r>
        <w:rPr>
          <w:rFonts w:hint="eastAsia" w:ascii="黑体" w:hAnsi="黑体" w:eastAsia="黑体"/>
          <w:b/>
          <w:bCs/>
          <w:sz w:val="24"/>
          <w:szCs w:val="24"/>
        </w:rPr>
        <w:t>投标文件的编制</w:t>
      </w:r>
    </w:p>
    <w:p>
      <w:pPr>
        <w:pStyle w:val="30"/>
        <w:numPr>
          <w:ilvl w:val="0"/>
          <w:numId w:val="16"/>
        </w:numPr>
        <w:spacing w:line="360" w:lineRule="auto"/>
        <w:ind w:firstLineChars="0"/>
        <w:rPr>
          <w:rFonts w:ascii="黑体" w:hAnsi="黑体" w:eastAsia="黑体"/>
          <w:b/>
        </w:rPr>
      </w:pPr>
      <w:r>
        <w:rPr>
          <w:rFonts w:hint="eastAsia" w:ascii="黑体" w:hAnsi="黑体" w:eastAsia="黑体"/>
          <w:b/>
        </w:rPr>
        <w:t>投标的语言</w:t>
      </w:r>
    </w:p>
    <w:p>
      <w:pPr>
        <w:pStyle w:val="30"/>
        <w:numPr>
          <w:ilvl w:val="0"/>
          <w:numId w:val="25"/>
        </w:numPr>
        <w:spacing w:line="360" w:lineRule="auto"/>
        <w:ind w:firstLineChars="0"/>
        <w:rPr>
          <w:rFonts w:ascii="黑体" w:hAnsi="黑体" w:eastAsia="黑体"/>
          <w:bCs/>
          <w:szCs w:val="21"/>
        </w:rPr>
      </w:pPr>
      <w:r>
        <w:rPr>
          <w:rFonts w:hint="eastAsia" w:ascii="黑体" w:hAnsi="黑体" w:eastAsia="黑体"/>
          <w:bCs/>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pPr>
        <w:pStyle w:val="30"/>
        <w:numPr>
          <w:ilvl w:val="0"/>
          <w:numId w:val="16"/>
        </w:numPr>
        <w:spacing w:before="312" w:beforeLines="100" w:line="360" w:lineRule="auto"/>
        <w:ind w:firstLineChars="0"/>
        <w:rPr>
          <w:rFonts w:ascii="黑体" w:hAnsi="黑体" w:eastAsia="黑体"/>
          <w:b/>
        </w:rPr>
      </w:pPr>
      <w:bookmarkStart w:id="38" w:name="_Toc357676120"/>
      <w:r>
        <w:rPr>
          <w:rFonts w:hint="eastAsia" w:ascii="黑体" w:hAnsi="黑体" w:eastAsia="黑体"/>
          <w:b/>
        </w:rPr>
        <w:t>投标文件的构成</w:t>
      </w:r>
      <w:bookmarkEnd w:id="38"/>
    </w:p>
    <w:p>
      <w:pPr>
        <w:pStyle w:val="30"/>
        <w:numPr>
          <w:ilvl w:val="0"/>
          <w:numId w:val="26"/>
        </w:numPr>
        <w:spacing w:line="360" w:lineRule="auto"/>
        <w:ind w:firstLineChars="0"/>
        <w:rPr>
          <w:rFonts w:ascii="黑体" w:hAnsi="黑体" w:eastAsia="黑体"/>
          <w:bCs/>
          <w:szCs w:val="21"/>
        </w:rPr>
      </w:pPr>
      <w:r>
        <w:rPr>
          <w:rFonts w:hint="eastAsia" w:ascii="黑体" w:hAnsi="黑体" w:eastAsia="黑体"/>
          <w:bCs/>
          <w:szCs w:val="21"/>
        </w:rPr>
        <w:t>投标人编写的投标文件，编排顺序参见投标文件格式。投标文件的构成应符合法律法规及招标文件的要求。</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投标文件的编写</w:t>
      </w:r>
    </w:p>
    <w:p>
      <w:pPr>
        <w:pStyle w:val="30"/>
        <w:numPr>
          <w:ilvl w:val="0"/>
          <w:numId w:val="27"/>
        </w:numPr>
        <w:spacing w:line="360" w:lineRule="auto"/>
        <w:ind w:left="567" w:hanging="567" w:firstLineChars="0"/>
        <w:rPr>
          <w:rFonts w:ascii="黑体" w:hAnsi="黑体" w:eastAsia="黑体"/>
          <w:bCs/>
          <w:szCs w:val="21"/>
        </w:rPr>
      </w:pPr>
      <w:r>
        <w:rPr>
          <w:rFonts w:hint="eastAsia" w:ascii="黑体" w:hAnsi="黑体" w:eastAsia="黑体"/>
          <w:bCs/>
          <w:szCs w:val="21"/>
        </w:rPr>
        <w:t>投标人应完整、真实、准确地填写招标文件中提供的投标函、开标一览表、分项报价表（如适用）以及招标文件中规定的其它所有内容。</w:t>
      </w:r>
    </w:p>
    <w:p>
      <w:pPr>
        <w:pStyle w:val="30"/>
        <w:numPr>
          <w:ilvl w:val="0"/>
          <w:numId w:val="27"/>
        </w:numPr>
        <w:spacing w:line="360" w:lineRule="auto"/>
        <w:ind w:left="567" w:hanging="567" w:firstLineChars="0"/>
        <w:rPr>
          <w:rFonts w:ascii="黑体" w:hAnsi="黑体" w:eastAsia="黑体"/>
          <w:bCs/>
          <w:szCs w:val="21"/>
        </w:rPr>
      </w:pPr>
      <w:r>
        <w:rPr>
          <w:rFonts w:hint="eastAsia" w:ascii="黑体" w:hAnsi="黑体" w:eastAsia="黑体"/>
          <w:bCs/>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pPr>
        <w:pStyle w:val="30"/>
        <w:numPr>
          <w:ilvl w:val="0"/>
          <w:numId w:val="27"/>
        </w:numPr>
        <w:spacing w:line="360" w:lineRule="auto"/>
        <w:ind w:left="567" w:hanging="567" w:firstLineChars="0"/>
        <w:rPr>
          <w:rFonts w:ascii="黑体" w:hAnsi="黑体" w:eastAsia="黑体"/>
          <w:bCs/>
          <w:szCs w:val="21"/>
        </w:rPr>
      </w:pPr>
      <w:r>
        <w:rPr>
          <w:rFonts w:hint="eastAsia" w:ascii="黑体" w:hAnsi="黑体" w:eastAsia="黑体"/>
          <w:bCs/>
          <w:szCs w:val="21"/>
        </w:rPr>
        <w:t>投标人必须对投标文件所提供的全部资料的真实性承担法律责任，并无条件接受采购人和政府采购监督管理部门对其中任何资料进行核实（核对原件）的要求。</w:t>
      </w:r>
    </w:p>
    <w:p>
      <w:pPr>
        <w:pStyle w:val="30"/>
        <w:numPr>
          <w:ilvl w:val="0"/>
          <w:numId w:val="27"/>
        </w:numPr>
        <w:spacing w:line="360" w:lineRule="auto"/>
        <w:ind w:left="567" w:hanging="567" w:firstLineChars="0"/>
        <w:rPr>
          <w:rFonts w:ascii="黑体" w:hAnsi="黑体" w:eastAsia="黑体"/>
          <w:bCs/>
          <w:szCs w:val="21"/>
        </w:rPr>
      </w:pPr>
      <w:r>
        <w:rPr>
          <w:rFonts w:hint="eastAsia" w:ascii="黑体" w:hAnsi="黑体" w:eastAsia="黑体"/>
          <w:bCs/>
          <w:szCs w:val="21"/>
        </w:rPr>
        <w:t>如果因为投标人的投标文件只填写和提供了本招标文件要求的部分内容和附件，或没有提供招标文件中所要求的全部资料及数据，由此造成的后果和责任由投标人承担。</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投标报价</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Cs/>
          <w:szCs w:val="21"/>
        </w:rPr>
        <w:t>投标人应按照“第二部分　采购需求”中采购项目服务要求规定的内容、责任范围进行报价。并按《开标一览表》及《分项报价表》（如适用）的要求报出总价和分项价格。</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Cs/>
          <w:szCs w:val="21"/>
        </w:rPr>
        <w:t>投标分项报价表内容应包含：</w:t>
      </w:r>
    </w:p>
    <w:p>
      <w:pPr>
        <w:pStyle w:val="30"/>
        <w:numPr>
          <w:ilvl w:val="2"/>
          <w:numId w:val="29"/>
        </w:numPr>
        <w:spacing w:line="360" w:lineRule="auto"/>
        <w:ind w:firstLineChars="0"/>
        <w:rPr>
          <w:rFonts w:ascii="黑体" w:hAnsi="黑体" w:eastAsia="黑体"/>
          <w:bCs/>
          <w:szCs w:val="21"/>
        </w:rPr>
      </w:pPr>
      <w:r>
        <w:rPr>
          <w:rFonts w:hint="eastAsia" w:ascii="黑体" w:hAnsi="黑体" w:eastAsia="黑体"/>
          <w:bCs/>
          <w:szCs w:val="21"/>
        </w:rPr>
        <w:t>招标文件要求全部货物及服务所需的费用；</w:t>
      </w:r>
    </w:p>
    <w:p>
      <w:pPr>
        <w:pStyle w:val="30"/>
        <w:numPr>
          <w:ilvl w:val="2"/>
          <w:numId w:val="29"/>
        </w:numPr>
        <w:spacing w:line="360" w:lineRule="auto"/>
        <w:ind w:firstLineChars="0"/>
        <w:rPr>
          <w:rFonts w:ascii="黑体" w:hAnsi="黑体" w:eastAsia="黑体"/>
          <w:bCs/>
          <w:szCs w:val="21"/>
        </w:rPr>
      </w:pPr>
      <w:r>
        <w:rPr>
          <w:rFonts w:hint="eastAsia" w:ascii="黑体" w:hAnsi="黑体" w:eastAsia="黑体"/>
          <w:bCs/>
          <w:szCs w:val="21"/>
        </w:rPr>
        <w:t>投标报价包含履行合同所有相关内容所需的费用；</w:t>
      </w:r>
    </w:p>
    <w:p>
      <w:pPr>
        <w:pStyle w:val="30"/>
        <w:numPr>
          <w:ilvl w:val="2"/>
          <w:numId w:val="29"/>
        </w:numPr>
        <w:spacing w:line="360" w:lineRule="auto"/>
        <w:ind w:firstLineChars="0"/>
        <w:rPr>
          <w:rFonts w:ascii="黑体" w:hAnsi="黑体" w:eastAsia="黑体"/>
          <w:bCs/>
          <w:szCs w:val="21"/>
        </w:rPr>
      </w:pPr>
      <w:r>
        <w:rPr>
          <w:rFonts w:hint="eastAsia" w:ascii="黑体" w:hAnsi="黑体" w:eastAsia="黑体"/>
          <w:bCs/>
          <w:szCs w:val="21"/>
        </w:rPr>
        <w:t>投标报价均应包含所有的税费；</w:t>
      </w:r>
    </w:p>
    <w:p>
      <w:pPr>
        <w:pStyle w:val="30"/>
        <w:numPr>
          <w:ilvl w:val="2"/>
          <w:numId w:val="29"/>
        </w:numPr>
        <w:spacing w:line="360" w:lineRule="auto"/>
        <w:ind w:firstLineChars="0"/>
        <w:rPr>
          <w:rFonts w:ascii="黑体" w:hAnsi="黑体" w:eastAsia="黑体"/>
          <w:bCs/>
          <w:szCs w:val="21"/>
        </w:rPr>
      </w:pPr>
      <w:r>
        <w:rPr>
          <w:rFonts w:hint="eastAsia" w:ascii="黑体" w:hAnsi="黑体" w:eastAsia="黑体"/>
          <w:bCs/>
          <w:szCs w:val="21"/>
        </w:rPr>
        <w:t>其他一切隐含及不可预见的费用。</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Cs/>
          <w:szCs w:val="21"/>
        </w:rPr>
        <w:t>投标报价为本次招标内容的总价包干，投标报价即为合同价，不得在中标后提出任何增加费用要求，投标人在投标时应充分考虑相关风险性因素。</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Cs/>
          <w:szCs w:val="21"/>
        </w:rPr>
        <w:t>投标人在中标并签署合同后，服务期限内出现的任何遗漏，均由中标人负责，采购人将不再支付任何费用。</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Cs/>
          <w:szCs w:val="21"/>
        </w:rPr>
        <w:t>除</w:t>
      </w:r>
      <w:r>
        <w:rPr>
          <w:rFonts w:ascii="黑体" w:hAnsi="黑体" w:eastAsia="黑体"/>
          <w:bCs/>
          <w:szCs w:val="21"/>
          <w:u w:val="single"/>
        </w:rPr>
        <w:t xml:space="preserve"> </w:t>
      </w:r>
      <w:r>
        <w:rPr>
          <w:rFonts w:hint="eastAsia" w:ascii="黑体" w:hAnsi="黑体" w:eastAsia="黑体"/>
          <w:b/>
          <w:bCs/>
          <w:szCs w:val="21"/>
          <w:u w:val="single"/>
        </w:rPr>
        <w:t>投标人须知前附表</w:t>
      </w:r>
      <w:r>
        <w:rPr>
          <w:rFonts w:ascii="黑体" w:hAnsi="黑体" w:eastAsia="黑体"/>
          <w:b/>
          <w:bCs/>
          <w:szCs w:val="21"/>
          <w:u w:val="single"/>
        </w:rPr>
        <w:t xml:space="preserve"> </w:t>
      </w:r>
      <w:r>
        <w:rPr>
          <w:rFonts w:hint="eastAsia" w:ascii="黑体" w:hAnsi="黑体" w:eastAsia="黑体"/>
          <w:bCs/>
          <w:szCs w:val="21"/>
        </w:rPr>
        <w:t>中另有规定外，投标人所报的投标价在合同执行过程中是固定不变的，不得以任何理由予以变更。任何包含价格调整要求的投标被认为是非实质性响应投标而予以拒绝。</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Cs/>
          <w:szCs w:val="21"/>
        </w:rPr>
        <w:t>除</w:t>
      </w:r>
      <w:r>
        <w:rPr>
          <w:rFonts w:ascii="黑体" w:hAnsi="黑体" w:eastAsia="黑体"/>
          <w:bCs/>
          <w:szCs w:val="21"/>
          <w:u w:val="single"/>
        </w:rPr>
        <w:t xml:space="preserve"> </w:t>
      </w:r>
      <w:r>
        <w:rPr>
          <w:rFonts w:hint="eastAsia" w:ascii="黑体" w:hAnsi="黑体" w:eastAsia="黑体"/>
          <w:b/>
          <w:bCs/>
          <w:szCs w:val="21"/>
          <w:u w:val="single"/>
        </w:rPr>
        <w:t>投标人须知前附表</w:t>
      </w:r>
      <w:r>
        <w:rPr>
          <w:rFonts w:ascii="黑体" w:hAnsi="黑体" w:eastAsia="黑体"/>
          <w:b/>
          <w:bCs/>
          <w:szCs w:val="21"/>
          <w:u w:val="single"/>
        </w:rPr>
        <w:t xml:space="preserve"> </w:t>
      </w:r>
      <w:r>
        <w:rPr>
          <w:rFonts w:hint="eastAsia" w:ascii="黑体" w:hAnsi="黑体" w:eastAsia="黑体"/>
          <w:bCs/>
          <w:szCs w:val="21"/>
        </w:rPr>
        <w:t>中允许有备选方案外，本次招标不接受选择性报价，否则将被视为无效投标。</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Cs/>
          <w:szCs w:val="21"/>
        </w:rPr>
        <w:t>除</w:t>
      </w:r>
      <w:r>
        <w:rPr>
          <w:rFonts w:ascii="黑体" w:hAnsi="黑体" w:eastAsia="黑体"/>
          <w:bCs/>
          <w:szCs w:val="21"/>
          <w:u w:val="single"/>
        </w:rPr>
        <w:t xml:space="preserve"> </w:t>
      </w:r>
      <w:r>
        <w:rPr>
          <w:rFonts w:hint="eastAsia" w:ascii="黑体" w:hAnsi="黑体" w:eastAsia="黑体"/>
          <w:b/>
          <w:bCs/>
          <w:szCs w:val="21"/>
          <w:u w:val="single"/>
        </w:rPr>
        <w:t>投标须知前附表</w:t>
      </w:r>
      <w:r>
        <w:rPr>
          <w:rFonts w:ascii="黑体" w:hAnsi="黑体" w:eastAsia="黑体"/>
          <w:b/>
          <w:bCs/>
          <w:szCs w:val="21"/>
          <w:u w:val="single"/>
        </w:rPr>
        <w:t xml:space="preserve"> </w:t>
      </w:r>
      <w:r>
        <w:rPr>
          <w:rFonts w:hint="eastAsia" w:ascii="黑体" w:hAnsi="黑体" w:eastAsia="黑体"/>
          <w:bCs/>
          <w:szCs w:val="21"/>
        </w:rPr>
        <w:t>另有规定外，本次招标不接受具有附加条件的报价，否则将被视为无效投标。</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
          <w:bCs/>
          <w:spacing w:val="-6"/>
          <w:szCs w:val="21"/>
        </w:rPr>
        <w:t>投标人的投标报价高于采购预算或最高单价限价的，该投标人的投标文件将被视为非响应性报价作无效投标处理。</w:t>
      </w:r>
    </w:p>
    <w:p>
      <w:pPr>
        <w:pStyle w:val="30"/>
        <w:numPr>
          <w:ilvl w:val="0"/>
          <w:numId w:val="28"/>
        </w:numPr>
        <w:spacing w:line="360" w:lineRule="auto"/>
        <w:ind w:left="567" w:hanging="567" w:firstLineChars="0"/>
        <w:rPr>
          <w:rFonts w:ascii="黑体" w:hAnsi="黑体" w:eastAsia="黑体"/>
          <w:bCs/>
          <w:szCs w:val="21"/>
        </w:rPr>
      </w:pPr>
      <w:r>
        <w:rPr>
          <w:rFonts w:hint="eastAsia" w:ascii="黑体" w:hAnsi="黑体" w:eastAsia="黑体"/>
          <w:bCs/>
          <w:szCs w:val="21"/>
        </w:rPr>
        <w:t>中标人向采购代理机构交纳中标服务费，中标服务费不在投标报价中单列。</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投标货币</w:t>
      </w:r>
    </w:p>
    <w:p>
      <w:pPr>
        <w:pStyle w:val="30"/>
        <w:numPr>
          <w:ilvl w:val="0"/>
          <w:numId w:val="30"/>
        </w:numPr>
        <w:spacing w:line="360" w:lineRule="auto"/>
        <w:ind w:left="567" w:hanging="567" w:firstLineChars="0"/>
        <w:rPr>
          <w:rFonts w:ascii="黑体" w:hAnsi="黑体" w:eastAsia="黑体"/>
          <w:bCs/>
          <w:szCs w:val="21"/>
        </w:rPr>
      </w:pPr>
      <w:r>
        <w:rPr>
          <w:rFonts w:hint="eastAsia" w:ascii="黑体" w:hAnsi="黑体" w:eastAsia="黑体"/>
          <w:bCs/>
          <w:szCs w:val="21"/>
        </w:rPr>
        <w:t>投标货币以人民币标价，以其它货币标价的投标将予以拒绝。</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联合体投标</w:t>
      </w:r>
    </w:p>
    <w:p>
      <w:pPr>
        <w:pStyle w:val="30"/>
        <w:numPr>
          <w:ilvl w:val="0"/>
          <w:numId w:val="31"/>
        </w:numPr>
        <w:spacing w:line="360" w:lineRule="auto"/>
        <w:ind w:left="567" w:hanging="567" w:firstLineChars="0"/>
        <w:rPr>
          <w:rFonts w:ascii="黑体" w:hAnsi="黑体" w:eastAsia="黑体"/>
          <w:bCs/>
          <w:szCs w:val="21"/>
        </w:rPr>
      </w:pPr>
      <w:r>
        <w:rPr>
          <w:rFonts w:hint="eastAsia" w:ascii="黑体" w:hAnsi="黑体" w:eastAsia="黑体"/>
          <w:bCs/>
          <w:szCs w:val="21"/>
        </w:rPr>
        <w:t>除非</w:t>
      </w:r>
      <w:r>
        <w:rPr>
          <w:rFonts w:hint="eastAsia" w:ascii="黑体" w:hAnsi="黑体" w:eastAsia="黑体"/>
          <w:b/>
          <w:bCs/>
          <w:szCs w:val="21"/>
          <w:u w:val="single"/>
        </w:rPr>
        <w:t>投标邀请</w:t>
      </w:r>
      <w:r>
        <w:rPr>
          <w:rFonts w:hint="eastAsia" w:ascii="黑体" w:hAnsi="黑体" w:eastAsia="黑体"/>
          <w:bCs/>
          <w:szCs w:val="21"/>
        </w:rPr>
        <w:t>中另有规定，不接受联合体投标。如果投标邀请中规定允许联合体投标的，则必须满足：</w:t>
      </w:r>
    </w:p>
    <w:p>
      <w:pPr>
        <w:pStyle w:val="30"/>
        <w:numPr>
          <w:ilvl w:val="0"/>
          <w:numId w:val="32"/>
        </w:numPr>
        <w:spacing w:line="360" w:lineRule="auto"/>
        <w:ind w:left="709" w:hanging="709" w:firstLineChars="0"/>
        <w:rPr>
          <w:rFonts w:ascii="黑体" w:hAnsi="黑体" w:eastAsia="黑体"/>
          <w:bCs/>
          <w:szCs w:val="21"/>
        </w:rPr>
      </w:pPr>
      <w:r>
        <w:rPr>
          <w:rFonts w:hint="eastAsia" w:ascii="黑体" w:hAnsi="黑体" w:eastAsia="黑体"/>
          <w:bCs/>
          <w:szCs w:val="21"/>
        </w:rPr>
        <w:t>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pPr>
        <w:pStyle w:val="30"/>
        <w:numPr>
          <w:ilvl w:val="0"/>
          <w:numId w:val="32"/>
        </w:numPr>
        <w:spacing w:line="360" w:lineRule="auto"/>
        <w:ind w:left="709" w:hanging="709" w:firstLineChars="0"/>
        <w:rPr>
          <w:rFonts w:ascii="黑体" w:hAnsi="黑体" w:eastAsia="黑体"/>
          <w:bCs/>
          <w:szCs w:val="21"/>
        </w:rPr>
      </w:pPr>
      <w:r>
        <w:rPr>
          <w:rFonts w:hint="eastAsia" w:ascii="黑体" w:hAnsi="黑体" w:eastAsia="黑体"/>
          <w:bCs/>
          <w:szCs w:val="21"/>
        </w:rPr>
        <w:t>联合体各方签订共同投标协议书后，不得再以自己名义单独在同一项目（采购包）中投标，也不得组成新的联合体参加同一项目（采购包）投标，若违反规定则其参与的所有投标将视为无效投标；</w:t>
      </w:r>
    </w:p>
    <w:p>
      <w:pPr>
        <w:pStyle w:val="30"/>
        <w:numPr>
          <w:ilvl w:val="0"/>
          <w:numId w:val="32"/>
        </w:numPr>
        <w:spacing w:line="360" w:lineRule="auto"/>
        <w:ind w:left="709" w:hanging="709" w:firstLineChars="0"/>
        <w:rPr>
          <w:rFonts w:ascii="黑体" w:hAnsi="黑体" w:eastAsia="黑体"/>
          <w:bCs/>
          <w:szCs w:val="21"/>
        </w:rPr>
      </w:pPr>
      <w:r>
        <w:rPr>
          <w:rFonts w:hint="eastAsia" w:ascii="黑体" w:hAnsi="黑体" w:eastAsia="黑体"/>
          <w:bCs/>
          <w:szCs w:val="21"/>
        </w:rPr>
        <w:t>联合体投标的，可以由联合体中的一方或者共同提交投标保证金，以一方名义提交投标保证金的，对联合体各方均具有约束力；</w:t>
      </w:r>
    </w:p>
    <w:p>
      <w:pPr>
        <w:pStyle w:val="30"/>
        <w:numPr>
          <w:ilvl w:val="0"/>
          <w:numId w:val="32"/>
        </w:numPr>
        <w:spacing w:line="360" w:lineRule="auto"/>
        <w:ind w:left="709" w:hanging="709" w:firstLineChars="0"/>
        <w:rPr>
          <w:rFonts w:ascii="黑体" w:hAnsi="黑体" w:eastAsia="黑体"/>
          <w:bCs/>
          <w:szCs w:val="21"/>
        </w:rPr>
      </w:pPr>
      <w:r>
        <w:rPr>
          <w:rFonts w:hint="eastAsia" w:ascii="黑体" w:hAnsi="黑体" w:eastAsia="黑体"/>
          <w:bCs/>
          <w:szCs w:val="21"/>
        </w:rPr>
        <w:t>联合体中有同类资质的投标人按照联合体分工承担相同工作的，按照资质等级较低的投标人确定资质等级。</w:t>
      </w:r>
    </w:p>
    <w:p>
      <w:pPr>
        <w:pStyle w:val="30"/>
        <w:numPr>
          <w:ilvl w:val="0"/>
          <w:numId w:val="32"/>
        </w:numPr>
        <w:spacing w:line="360" w:lineRule="auto"/>
        <w:ind w:left="709" w:hanging="709" w:firstLineChars="0"/>
        <w:rPr>
          <w:rFonts w:ascii="黑体" w:hAnsi="黑体" w:eastAsia="黑体"/>
          <w:bCs/>
          <w:szCs w:val="21"/>
        </w:rPr>
      </w:pPr>
      <w:r>
        <w:rPr>
          <w:rFonts w:hint="eastAsia" w:ascii="黑体" w:hAnsi="黑体" w:eastAsia="黑体"/>
          <w:bCs/>
          <w:szCs w:val="21"/>
        </w:rPr>
        <w:t>联合体各方应当共同与采购人签订采购合同，就采购合同约定的事项对采购人承担连带责任。</w:t>
      </w:r>
    </w:p>
    <w:p>
      <w:pPr>
        <w:pStyle w:val="30"/>
        <w:numPr>
          <w:ilvl w:val="0"/>
          <w:numId w:val="16"/>
        </w:numPr>
        <w:spacing w:before="312" w:beforeLines="100" w:line="360" w:lineRule="auto"/>
        <w:ind w:firstLineChars="0"/>
        <w:rPr>
          <w:rFonts w:ascii="黑体" w:hAnsi="黑体" w:eastAsia="黑体"/>
          <w:b/>
        </w:rPr>
      </w:pPr>
      <w:bookmarkStart w:id="39" w:name="_Toc357676125"/>
      <w:r>
        <w:rPr>
          <w:rFonts w:hint="eastAsia" w:ascii="黑体" w:hAnsi="黑体" w:eastAsia="黑体"/>
          <w:b/>
        </w:rPr>
        <w:t>关于中小微企业投标</w:t>
      </w:r>
    </w:p>
    <w:p>
      <w:pPr>
        <w:pStyle w:val="30"/>
        <w:numPr>
          <w:ilvl w:val="0"/>
          <w:numId w:val="33"/>
        </w:numPr>
        <w:spacing w:line="360" w:lineRule="auto"/>
        <w:ind w:left="567" w:hanging="567" w:firstLineChars="0"/>
        <w:rPr>
          <w:rFonts w:ascii="黑体" w:hAnsi="黑体" w:eastAsia="黑体"/>
          <w:bCs/>
        </w:rPr>
      </w:pPr>
      <w:r>
        <w:rPr>
          <w:rFonts w:hint="eastAsia" w:ascii="黑体" w:hAnsi="黑体" w:eastAsia="黑体"/>
          <w:bCs/>
        </w:rPr>
        <w:t>中小微企业响应是指在政府采购活动中，供应商提供的货物均由中小微企业制造、工程均由中小微企业承建或者服务均由中小微企业承接，并在投标文件中提供《中小企业声明函》。</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证明投标人合格和资格的文件</w:t>
      </w:r>
      <w:bookmarkEnd w:id="39"/>
    </w:p>
    <w:p>
      <w:pPr>
        <w:pStyle w:val="30"/>
        <w:numPr>
          <w:ilvl w:val="0"/>
          <w:numId w:val="34"/>
        </w:numPr>
        <w:spacing w:line="360" w:lineRule="auto"/>
        <w:ind w:left="567" w:hanging="567" w:firstLineChars="0"/>
        <w:rPr>
          <w:rFonts w:ascii="黑体" w:hAnsi="黑体" w:eastAsia="黑体"/>
          <w:bCs/>
          <w:szCs w:val="21"/>
        </w:rPr>
      </w:pPr>
      <w:r>
        <w:rPr>
          <w:rFonts w:hint="eastAsia" w:ascii="黑体" w:hAnsi="黑体" w:eastAsia="黑体"/>
          <w:bCs/>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pPr>
        <w:pStyle w:val="30"/>
        <w:numPr>
          <w:ilvl w:val="0"/>
          <w:numId w:val="34"/>
        </w:numPr>
        <w:spacing w:line="360" w:lineRule="auto"/>
        <w:ind w:left="567" w:hanging="567" w:firstLineChars="0"/>
        <w:rPr>
          <w:rFonts w:ascii="黑体" w:hAnsi="黑体" w:eastAsia="黑体"/>
          <w:bCs/>
          <w:szCs w:val="21"/>
        </w:rPr>
      </w:pPr>
      <w:r>
        <w:rPr>
          <w:rFonts w:hint="eastAsia" w:ascii="黑体" w:hAnsi="黑体" w:eastAsia="黑体"/>
          <w:bCs/>
          <w:szCs w:val="21"/>
        </w:rPr>
        <w:t>投标人提交的资格证明文件应证明其满足本须知定义的合格投标人。</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投标担保</w:t>
      </w:r>
    </w:p>
    <w:p>
      <w:pPr>
        <w:pStyle w:val="30"/>
        <w:numPr>
          <w:ilvl w:val="0"/>
          <w:numId w:val="35"/>
        </w:numPr>
        <w:spacing w:line="360" w:lineRule="auto"/>
        <w:ind w:left="567" w:hanging="567" w:firstLineChars="0"/>
        <w:rPr>
          <w:rFonts w:ascii="黑体" w:hAnsi="黑体" w:eastAsia="黑体"/>
          <w:bCs/>
          <w:szCs w:val="21"/>
        </w:rPr>
      </w:pPr>
      <w:r>
        <w:rPr>
          <w:rFonts w:hint="eastAsia" w:ascii="黑体" w:hAnsi="黑体" w:eastAsia="黑体"/>
          <w:bCs/>
          <w:szCs w:val="21"/>
        </w:rPr>
        <w:t>投标人投标时须</w:t>
      </w:r>
      <w:r>
        <w:rPr>
          <w:rFonts w:ascii="黑体" w:hAnsi="黑体" w:eastAsia="黑体"/>
          <w:bCs/>
          <w:szCs w:val="21"/>
        </w:rPr>
        <w:t>附有</w:t>
      </w:r>
      <w:r>
        <w:rPr>
          <w:rFonts w:hint="eastAsia" w:ascii="黑体" w:hAnsi="黑体" w:eastAsia="黑体"/>
          <w:bCs/>
          <w:szCs w:val="21"/>
        </w:rPr>
        <w:t>投标保证金为：</w:t>
      </w:r>
      <w:r>
        <w:rPr>
          <w:rFonts w:hint="eastAsia" w:ascii="黑体" w:hAnsi="黑体" w:eastAsia="黑体"/>
          <w:bCs/>
          <w:szCs w:val="21"/>
          <w:u w:val="single"/>
        </w:rPr>
        <w:t>（</w:t>
      </w:r>
      <w:r>
        <w:rPr>
          <w:rFonts w:hint="eastAsia" w:ascii="黑体" w:hAnsi="黑体" w:eastAsia="黑体"/>
          <w:b/>
          <w:bCs/>
          <w:szCs w:val="21"/>
          <w:u w:val="single"/>
        </w:rPr>
        <w:t>详见投标人须知前附表</w:t>
      </w:r>
      <w:r>
        <w:rPr>
          <w:rFonts w:hint="eastAsia" w:ascii="黑体" w:hAnsi="黑体" w:eastAsia="黑体"/>
          <w:bCs/>
          <w:szCs w:val="21"/>
          <w:u w:val="single"/>
        </w:rPr>
        <w:t>）</w:t>
      </w:r>
      <w:r>
        <w:rPr>
          <w:rFonts w:ascii="黑体" w:hAnsi="黑体" w:eastAsia="黑体"/>
          <w:bCs/>
          <w:szCs w:val="21"/>
          <w:u w:val="single"/>
        </w:rPr>
        <w:t xml:space="preserve"> </w:t>
      </w:r>
      <w:r>
        <w:rPr>
          <w:rFonts w:hint="eastAsia" w:ascii="黑体" w:hAnsi="黑体" w:eastAsia="黑体"/>
          <w:bCs/>
          <w:szCs w:val="21"/>
        </w:rPr>
        <w:t>。</w:t>
      </w:r>
    </w:p>
    <w:p>
      <w:pPr>
        <w:pStyle w:val="30"/>
        <w:numPr>
          <w:ilvl w:val="0"/>
          <w:numId w:val="35"/>
        </w:numPr>
        <w:spacing w:line="360" w:lineRule="auto"/>
        <w:ind w:left="567" w:hanging="567" w:firstLineChars="0"/>
        <w:rPr>
          <w:rFonts w:ascii="黑体" w:hAnsi="黑体" w:eastAsia="黑体"/>
          <w:bCs/>
          <w:szCs w:val="21"/>
        </w:rPr>
      </w:pPr>
      <w:r>
        <w:rPr>
          <w:rFonts w:hint="eastAsia" w:ascii="黑体" w:hAnsi="黑体" w:eastAsia="黑体"/>
          <w:bCs/>
          <w:szCs w:val="21"/>
        </w:rPr>
        <w:t>投标保证金作为供应商投标的组成部分，与投标文件一同递交。</w:t>
      </w:r>
    </w:p>
    <w:p>
      <w:pPr>
        <w:pStyle w:val="30"/>
        <w:numPr>
          <w:ilvl w:val="0"/>
          <w:numId w:val="35"/>
        </w:numPr>
        <w:spacing w:line="360" w:lineRule="auto"/>
        <w:ind w:left="567" w:hanging="567" w:firstLineChars="0"/>
        <w:rPr>
          <w:rFonts w:ascii="黑体" w:hAnsi="黑体" w:eastAsia="黑体"/>
          <w:bCs/>
          <w:szCs w:val="21"/>
        </w:rPr>
      </w:pPr>
      <w:r>
        <w:rPr>
          <w:rFonts w:hint="eastAsia" w:ascii="黑体" w:hAnsi="黑体" w:eastAsia="黑体"/>
          <w:bCs/>
          <w:szCs w:val="21"/>
        </w:rPr>
        <w:t>投标保证金应当以支票、汇票、本票或者金融机构、担保机构出具的保函等非现金形式提交。投标人与交款人名称必须一致，非投标人缴纳的投标保证金无效。</w:t>
      </w:r>
    </w:p>
    <w:p>
      <w:pPr>
        <w:pStyle w:val="30"/>
        <w:numPr>
          <w:ilvl w:val="0"/>
          <w:numId w:val="35"/>
        </w:numPr>
        <w:spacing w:line="360" w:lineRule="auto"/>
        <w:ind w:left="567" w:hanging="567" w:firstLineChars="0"/>
        <w:rPr>
          <w:rFonts w:ascii="黑体" w:hAnsi="黑体" w:eastAsia="黑体"/>
          <w:bCs/>
          <w:szCs w:val="21"/>
        </w:rPr>
      </w:pPr>
      <w:r>
        <w:rPr>
          <w:rFonts w:hint="eastAsia" w:ascii="黑体" w:hAnsi="黑体" w:eastAsia="黑体"/>
          <w:bCs/>
          <w:szCs w:val="21"/>
        </w:rPr>
        <w:t>如项目出现分包情况的，投标人必须按包号分别提交投标保证金并注明包号；</w:t>
      </w:r>
    </w:p>
    <w:p>
      <w:pPr>
        <w:pStyle w:val="30"/>
        <w:numPr>
          <w:ilvl w:val="0"/>
          <w:numId w:val="35"/>
        </w:numPr>
        <w:spacing w:line="360" w:lineRule="auto"/>
        <w:ind w:left="567" w:hanging="567" w:firstLineChars="0"/>
        <w:rPr>
          <w:rFonts w:ascii="黑体" w:hAnsi="黑体" w:eastAsia="黑体"/>
          <w:bCs/>
          <w:szCs w:val="21"/>
        </w:rPr>
      </w:pPr>
      <w:r>
        <w:rPr>
          <w:rFonts w:hint="eastAsia" w:ascii="黑体" w:hAnsi="黑体" w:eastAsia="黑体"/>
          <w:bCs/>
          <w:szCs w:val="21"/>
        </w:rPr>
        <w:t>提交保证金时应符合下列规定：</w:t>
      </w:r>
    </w:p>
    <w:p>
      <w:pPr>
        <w:pStyle w:val="30"/>
        <w:numPr>
          <w:ilvl w:val="0"/>
          <w:numId w:val="36"/>
        </w:numPr>
        <w:spacing w:line="360" w:lineRule="auto"/>
        <w:ind w:left="709" w:hanging="709" w:firstLineChars="0"/>
        <w:rPr>
          <w:rFonts w:ascii="黑体" w:hAnsi="黑体" w:eastAsia="黑体"/>
          <w:bCs/>
          <w:szCs w:val="21"/>
        </w:rPr>
      </w:pPr>
      <w:r>
        <w:rPr>
          <w:rFonts w:hint="eastAsia" w:ascii="黑体" w:hAnsi="黑体" w:eastAsia="黑体"/>
          <w:bCs/>
          <w:szCs w:val="21"/>
        </w:rPr>
        <w:t>投标保证金以转账形式递交的，请务必按以下信息填写汇款单：</w:t>
      </w:r>
      <w:r>
        <w:rPr>
          <w:rFonts w:hint="eastAsia" w:ascii="黑体" w:hAnsi="黑体" w:eastAsia="黑体"/>
          <w:bCs/>
          <w:szCs w:val="21"/>
          <w:u w:val="single"/>
        </w:rPr>
        <w:t>（</w:t>
      </w:r>
      <w:r>
        <w:rPr>
          <w:rFonts w:hint="eastAsia" w:ascii="黑体" w:hAnsi="黑体" w:eastAsia="黑体"/>
          <w:b/>
          <w:bCs/>
          <w:szCs w:val="21"/>
          <w:u w:val="single"/>
        </w:rPr>
        <w:t>详见投标人须知前附表</w:t>
      </w:r>
      <w:r>
        <w:rPr>
          <w:rFonts w:hint="eastAsia" w:ascii="黑体" w:hAnsi="黑体" w:eastAsia="黑体"/>
          <w:bCs/>
          <w:szCs w:val="21"/>
          <w:u w:val="single"/>
        </w:rPr>
        <w:t>）</w:t>
      </w:r>
      <w:r>
        <w:rPr>
          <w:rFonts w:hint="eastAsia" w:ascii="黑体" w:hAnsi="黑体" w:eastAsia="黑体"/>
          <w:bCs/>
          <w:szCs w:val="21"/>
        </w:rPr>
        <w:t>账户上；</w:t>
      </w:r>
    </w:p>
    <w:p>
      <w:pPr>
        <w:pStyle w:val="30"/>
        <w:numPr>
          <w:ilvl w:val="0"/>
          <w:numId w:val="36"/>
        </w:numPr>
        <w:spacing w:line="360" w:lineRule="auto"/>
        <w:ind w:left="709" w:hanging="709" w:firstLineChars="0"/>
        <w:rPr>
          <w:rFonts w:ascii="黑体" w:hAnsi="黑体" w:eastAsia="黑体"/>
          <w:bCs/>
          <w:szCs w:val="21"/>
        </w:rPr>
      </w:pPr>
      <w:r>
        <w:rPr>
          <w:rFonts w:hint="eastAsia" w:ascii="黑体" w:hAnsi="黑体" w:eastAsia="黑体"/>
          <w:bCs/>
          <w:szCs w:val="21"/>
        </w:rPr>
        <w:t>采用《政府采购投标担保函》递交的，投标担保函有效期应与投标有效期一致。</w:t>
      </w:r>
    </w:p>
    <w:p>
      <w:pPr>
        <w:pStyle w:val="30"/>
        <w:numPr>
          <w:ilvl w:val="0"/>
          <w:numId w:val="35"/>
        </w:numPr>
        <w:spacing w:line="360" w:lineRule="auto"/>
        <w:ind w:left="567" w:hanging="567" w:firstLineChars="0"/>
        <w:rPr>
          <w:rFonts w:ascii="黑体" w:hAnsi="黑体" w:eastAsia="黑体"/>
          <w:bCs/>
          <w:szCs w:val="21"/>
        </w:rPr>
      </w:pPr>
      <w:r>
        <w:rPr>
          <w:rFonts w:hint="eastAsia" w:ascii="黑体" w:hAnsi="黑体" w:eastAsia="黑体"/>
          <w:bCs/>
          <w:szCs w:val="21"/>
        </w:rPr>
        <w:t>未中标的投标人的投标保证金将在本项目《中标通知书》发出之日起</w:t>
      </w:r>
      <w:r>
        <w:rPr>
          <w:rFonts w:ascii="黑体" w:hAnsi="黑体" w:eastAsia="黑体"/>
          <w:bCs/>
          <w:szCs w:val="21"/>
        </w:rPr>
        <w:t>5个工作日内退还。</w:t>
      </w:r>
      <w:r>
        <w:rPr>
          <w:rFonts w:hint="eastAsia" w:ascii="黑体" w:hAnsi="黑体" w:eastAsia="黑体"/>
          <w:bCs/>
          <w:szCs w:val="21"/>
        </w:rPr>
        <w:t>中标人的投标保证金自政府采购合同签订之日起</w:t>
      </w:r>
      <w:r>
        <w:rPr>
          <w:rFonts w:ascii="黑体" w:hAnsi="黑体" w:eastAsia="黑体"/>
          <w:bCs/>
          <w:szCs w:val="21"/>
        </w:rPr>
        <w:t>5个工作日内退还。</w:t>
      </w:r>
    </w:p>
    <w:p>
      <w:pPr>
        <w:pStyle w:val="30"/>
        <w:numPr>
          <w:ilvl w:val="0"/>
          <w:numId w:val="35"/>
        </w:numPr>
        <w:spacing w:line="360" w:lineRule="auto"/>
        <w:ind w:left="567" w:hanging="567" w:firstLineChars="0"/>
        <w:rPr>
          <w:rFonts w:ascii="黑体" w:hAnsi="黑体" w:eastAsia="黑体"/>
          <w:bCs/>
          <w:szCs w:val="21"/>
        </w:rPr>
      </w:pPr>
      <w:r>
        <w:rPr>
          <w:rFonts w:hint="eastAsia" w:ascii="黑体" w:hAnsi="黑体" w:eastAsia="黑体"/>
          <w:bCs/>
          <w:szCs w:val="21"/>
        </w:rPr>
        <w:t>中标人有下列情形之一的，投标保证金将被没收：</w:t>
      </w:r>
    </w:p>
    <w:p>
      <w:pPr>
        <w:pStyle w:val="30"/>
        <w:numPr>
          <w:ilvl w:val="0"/>
          <w:numId w:val="37"/>
        </w:numPr>
        <w:spacing w:line="360" w:lineRule="auto"/>
        <w:ind w:firstLineChars="0"/>
        <w:rPr>
          <w:rFonts w:ascii="黑体" w:hAnsi="黑体" w:eastAsia="黑体"/>
          <w:bCs/>
          <w:szCs w:val="21"/>
        </w:rPr>
      </w:pPr>
      <w:r>
        <w:rPr>
          <w:rFonts w:hint="eastAsia" w:ascii="黑体" w:hAnsi="黑体" w:eastAsia="黑体"/>
          <w:bCs/>
          <w:szCs w:val="21"/>
        </w:rPr>
        <w:t>投标人在招标文件中规定的投标有效期内撤销其投标文件；</w:t>
      </w:r>
    </w:p>
    <w:p>
      <w:pPr>
        <w:pStyle w:val="30"/>
        <w:numPr>
          <w:ilvl w:val="0"/>
          <w:numId w:val="37"/>
        </w:numPr>
        <w:spacing w:line="360" w:lineRule="auto"/>
        <w:ind w:firstLineChars="0"/>
        <w:rPr>
          <w:rFonts w:ascii="黑体" w:hAnsi="黑体" w:eastAsia="黑体"/>
          <w:bCs/>
          <w:szCs w:val="21"/>
        </w:rPr>
      </w:pPr>
      <w:r>
        <w:rPr>
          <w:rFonts w:hint="eastAsia" w:ascii="黑体" w:hAnsi="黑体" w:eastAsia="黑体"/>
          <w:bCs/>
          <w:szCs w:val="21"/>
        </w:rPr>
        <w:t>提供虚假材料谋取中标的；</w:t>
      </w:r>
    </w:p>
    <w:p>
      <w:pPr>
        <w:pStyle w:val="30"/>
        <w:numPr>
          <w:ilvl w:val="0"/>
          <w:numId w:val="37"/>
        </w:numPr>
        <w:spacing w:line="360" w:lineRule="auto"/>
        <w:ind w:firstLineChars="0"/>
        <w:rPr>
          <w:rFonts w:ascii="黑体" w:hAnsi="黑体" w:eastAsia="黑体"/>
          <w:bCs/>
          <w:szCs w:val="21"/>
        </w:rPr>
      </w:pPr>
      <w:r>
        <w:rPr>
          <w:rFonts w:hint="eastAsia" w:ascii="黑体" w:hAnsi="黑体" w:eastAsia="黑体"/>
          <w:bCs/>
          <w:szCs w:val="21"/>
        </w:rPr>
        <w:t>中标后，无正当理由放弃中标资格；</w:t>
      </w:r>
    </w:p>
    <w:p>
      <w:pPr>
        <w:pStyle w:val="30"/>
        <w:numPr>
          <w:ilvl w:val="0"/>
          <w:numId w:val="37"/>
        </w:numPr>
        <w:spacing w:line="360" w:lineRule="auto"/>
        <w:ind w:firstLineChars="0"/>
        <w:rPr>
          <w:rFonts w:ascii="黑体" w:hAnsi="黑体" w:eastAsia="黑体"/>
          <w:bCs/>
          <w:szCs w:val="21"/>
        </w:rPr>
      </w:pPr>
      <w:r>
        <w:rPr>
          <w:rFonts w:hint="eastAsia" w:ascii="黑体" w:hAnsi="黑体" w:eastAsia="黑体"/>
          <w:bCs/>
          <w:szCs w:val="21"/>
        </w:rPr>
        <w:t>中标后，无正当理由不与采购人签订合同；</w:t>
      </w:r>
    </w:p>
    <w:p>
      <w:pPr>
        <w:pStyle w:val="30"/>
        <w:numPr>
          <w:ilvl w:val="0"/>
          <w:numId w:val="37"/>
        </w:numPr>
        <w:spacing w:line="360" w:lineRule="auto"/>
        <w:ind w:firstLineChars="0"/>
        <w:rPr>
          <w:rFonts w:ascii="黑体" w:hAnsi="黑体" w:eastAsia="黑体"/>
          <w:bCs/>
          <w:szCs w:val="21"/>
        </w:rPr>
      </w:pPr>
      <w:r>
        <w:rPr>
          <w:rFonts w:hint="eastAsia" w:ascii="黑体" w:hAnsi="黑体" w:eastAsia="黑体"/>
          <w:bCs/>
          <w:szCs w:val="21"/>
        </w:rPr>
        <w:t>法律法规规定的其它行为。</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投标有效期</w:t>
      </w:r>
    </w:p>
    <w:p>
      <w:pPr>
        <w:pStyle w:val="30"/>
        <w:numPr>
          <w:ilvl w:val="0"/>
          <w:numId w:val="38"/>
        </w:numPr>
        <w:spacing w:line="360" w:lineRule="auto"/>
        <w:ind w:left="567" w:hanging="567" w:firstLineChars="0"/>
        <w:rPr>
          <w:rFonts w:ascii="黑体" w:hAnsi="黑体" w:eastAsia="黑体"/>
          <w:bCs/>
          <w:spacing w:val="-2"/>
          <w:szCs w:val="21"/>
        </w:rPr>
      </w:pPr>
      <w:r>
        <w:rPr>
          <w:rFonts w:hint="eastAsia" w:ascii="黑体" w:hAnsi="黑体" w:eastAsia="黑体"/>
          <w:bCs/>
          <w:spacing w:val="-2"/>
          <w:szCs w:val="21"/>
        </w:rPr>
        <w:t>投标</w:t>
      </w:r>
      <w:r>
        <w:rPr>
          <w:rFonts w:hint="eastAsia" w:ascii="黑体" w:hAnsi="黑体" w:eastAsia="黑体"/>
        </w:rPr>
        <w:t>有效期自招标文件规定的</w:t>
      </w:r>
      <w:r>
        <w:rPr>
          <w:rFonts w:hint="eastAsia" w:ascii="黑体" w:hAnsi="黑体" w:eastAsia="黑体"/>
          <w:bCs/>
          <w:spacing w:val="-2"/>
          <w:szCs w:val="21"/>
        </w:rPr>
        <w:t>投标文件</w:t>
      </w:r>
      <w:r>
        <w:rPr>
          <w:rFonts w:hint="eastAsia" w:ascii="黑体" w:hAnsi="黑体" w:eastAsia="黑体"/>
        </w:rPr>
        <w:t>递交截止时间起算</w:t>
      </w:r>
      <w:r>
        <w:rPr>
          <w:rFonts w:hint="eastAsia" w:ascii="黑体" w:hAnsi="黑体" w:eastAsia="黑体"/>
          <w:bCs/>
          <w:spacing w:val="-2"/>
          <w:szCs w:val="21"/>
        </w:rPr>
        <w:t>，并在</w:t>
      </w:r>
      <w:r>
        <w:rPr>
          <w:rFonts w:hint="eastAsia" w:ascii="黑体" w:hAnsi="黑体" w:eastAsia="黑体"/>
          <w:b/>
          <w:szCs w:val="21"/>
          <w:u w:val="single"/>
        </w:rPr>
        <w:t>投标人须知前附表</w:t>
      </w:r>
      <w:r>
        <w:rPr>
          <w:rFonts w:hint="eastAsia" w:ascii="黑体" w:hAnsi="黑体" w:eastAsia="黑体"/>
        </w:rPr>
        <w:t>中所述期限内有效</w:t>
      </w:r>
      <w:r>
        <w:rPr>
          <w:rFonts w:hint="eastAsia" w:ascii="黑体" w:hAnsi="黑体" w:eastAsia="黑体"/>
          <w:bCs/>
          <w:spacing w:val="-2"/>
          <w:szCs w:val="21"/>
        </w:rPr>
        <w:t>。投标有效期</w:t>
      </w:r>
      <w:r>
        <w:rPr>
          <w:rFonts w:hint="eastAsia" w:ascii="黑体" w:hAnsi="黑体" w:eastAsia="黑体"/>
        </w:rPr>
        <w:t>比规定时间短</w:t>
      </w:r>
      <w:r>
        <w:rPr>
          <w:rFonts w:hint="eastAsia" w:ascii="黑体" w:hAnsi="黑体" w:eastAsia="黑体"/>
          <w:bCs/>
          <w:spacing w:val="-2"/>
          <w:szCs w:val="21"/>
        </w:rPr>
        <w:t>的投标将被视为非实质性响应，视为无效投标。</w:t>
      </w:r>
    </w:p>
    <w:p>
      <w:pPr>
        <w:pStyle w:val="30"/>
        <w:numPr>
          <w:ilvl w:val="0"/>
          <w:numId w:val="38"/>
        </w:numPr>
        <w:spacing w:line="360" w:lineRule="auto"/>
        <w:ind w:left="567" w:hanging="567" w:firstLineChars="0"/>
        <w:rPr>
          <w:rFonts w:ascii="黑体" w:hAnsi="黑体" w:eastAsia="黑体"/>
          <w:bCs/>
          <w:spacing w:val="-2"/>
          <w:szCs w:val="21"/>
        </w:rPr>
      </w:pPr>
      <w:r>
        <w:rPr>
          <w:rFonts w:hint="eastAsia" w:ascii="黑体" w:hAnsi="黑体" w:eastAsia="黑体"/>
          <w:bCs/>
          <w:szCs w:val="21"/>
        </w:rPr>
        <w:t>出现特殊情况需延长投标有效期的，采购人或采购代理机构可于投标有效期满之前要求投标人同意延长有效期，要求与答复均以书面形式通知所有投标人。投标人同意延长的，应相应延长其投标保证金的有效期，但不得要求或被允许修改或撤销其投标文件；投标人可以拒绝延长有效期，但其投标将会被视为无效，拒绝延长有效期的投标人有权收回其投标保证金。</w:t>
      </w:r>
    </w:p>
    <w:p>
      <w:pPr>
        <w:pStyle w:val="30"/>
        <w:numPr>
          <w:ilvl w:val="0"/>
          <w:numId w:val="16"/>
        </w:numPr>
        <w:spacing w:before="312" w:beforeLines="100" w:line="360" w:lineRule="auto"/>
        <w:ind w:firstLineChars="0"/>
        <w:rPr>
          <w:rFonts w:ascii="黑体" w:hAnsi="黑体" w:eastAsia="黑体"/>
          <w:b/>
        </w:rPr>
      </w:pPr>
      <w:bookmarkStart w:id="40" w:name="_Toc357676129"/>
      <w:r>
        <w:rPr>
          <w:rFonts w:hint="eastAsia" w:ascii="黑体" w:hAnsi="黑体" w:eastAsia="黑体"/>
          <w:b/>
        </w:rPr>
        <w:t>投标文件的式样和签署</w:t>
      </w:r>
      <w:bookmarkEnd w:id="40"/>
    </w:p>
    <w:p>
      <w:pPr>
        <w:pStyle w:val="30"/>
        <w:numPr>
          <w:ilvl w:val="0"/>
          <w:numId w:val="39"/>
        </w:numPr>
        <w:spacing w:line="360" w:lineRule="auto"/>
        <w:ind w:left="567" w:hanging="567" w:firstLineChars="0"/>
        <w:rPr>
          <w:rFonts w:ascii="黑体" w:hAnsi="黑体" w:eastAsia="黑体"/>
          <w:bCs/>
          <w:szCs w:val="21"/>
        </w:rPr>
      </w:pPr>
      <w:r>
        <w:rPr>
          <w:rFonts w:hint="eastAsia" w:ascii="黑体" w:hAnsi="黑体" w:eastAsia="黑体"/>
          <w:bCs/>
          <w:szCs w:val="21"/>
        </w:rPr>
        <w:t>投标文件的式样：投标人应准备一份投标文件正本、电子文件、唱标信封和</w:t>
      </w:r>
      <w:r>
        <w:rPr>
          <w:rFonts w:ascii="黑体" w:hAnsi="黑体" w:eastAsia="黑体"/>
          <w:bCs/>
          <w:szCs w:val="21"/>
          <w:u w:val="single"/>
        </w:rPr>
        <w:t xml:space="preserve"> </w:t>
      </w:r>
      <w:bookmarkStart w:id="41" w:name="_Hlk81180014"/>
      <w:r>
        <w:rPr>
          <w:rFonts w:hint="eastAsia" w:ascii="黑体" w:hAnsi="黑体" w:eastAsia="黑体"/>
          <w:b/>
          <w:szCs w:val="21"/>
          <w:u w:val="single"/>
        </w:rPr>
        <w:t>详见投标人须知前附表</w:t>
      </w:r>
      <w:r>
        <w:rPr>
          <w:rFonts w:ascii="黑体" w:hAnsi="黑体" w:eastAsia="黑体"/>
          <w:b/>
          <w:szCs w:val="21"/>
          <w:u w:val="single"/>
        </w:rPr>
        <w:t xml:space="preserve"> </w:t>
      </w:r>
      <w:bookmarkEnd w:id="41"/>
      <w:r>
        <w:rPr>
          <w:rFonts w:hint="eastAsia" w:ascii="黑体" w:hAnsi="黑体" w:eastAsia="黑体"/>
          <w:bCs/>
          <w:szCs w:val="21"/>
        </w:rPr>
        <w:t>中规定数目的副本，投标文件的副本可采用正本的复印件。每套投标文件须清楚地标明“正本”或“副本”。若副本与正本不符，以正本为准。</w:t>
      </w:r>
    </w:p>
    <w:p>
      <w:pPr>
        <w:pStyle w:val="30"/>
        <w:numPr>
          <w:ilvl w:val="0"/>
          <w:numId w:val="39"/>
        </w:numPr>
        <w:spacing w:line="360" w:lineRule="auto"/>
        <w:ind w:left="567" w:hanging="567" w:firstLineChars="0"/>
        <w:rPr>
          <w:rFonts w:ascii="黑体" w:hAnsi="黑体" w:eastAsia="黑体"/>
          <w:bCs/>
          <w:szCs w:val="21"/>
        </w:rPr>
      </w:pPr>
      <w:r>
        <w:rPr>
          <w:rFonts w:hint="eastAsia" w:ascii="黑体" w:hAnsi="黑体" w:eastAsia="黑体"/>
          <w:bCs/>
          <w:szCs w:val="21"/>
        </w:rPr>
        <w:t>投标文件的签署：</w:t>
      </w:r>
    </w:p>
    <w:p>
      <w:pPr>
        <w:pStyle w:val="30"/>
        <w:numPr>
          <w:ilvl w:val="2"/>
          <w:numId w:val="40"/>
        </w:numPr>
        <w:spacing w:line="360" w:lineRule="auto"/>
        <w:ind w:firstLineChars="0"/>
        <w:rPr>
          <w:rFonts w:ascii="黑体" w:hAnsi="黑体" w:eastAsia="黑体"/>
          <w:bCs/>
          <w:szCs w:val="21"/>
        </w:rPr>
      </w:pPr>
      <w:r>
        <w:rPr>
          <w:rFonts w:hint="eastAsia" w:ascii="黑体" w:hAnsi="黑体" w:eastAsia="黑体"/>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pPr>
        <w:pStyle w:val="30"/>
        <w:numPr>
          <w:ilvl w:val="2"/>
          <w:numId w:val="40"/>
        </w:numPr>
        <w:spacing w:line="360" w:lineRule="auto"/>
        <w:ind w:firstLineChars="0"/>
        <w:rPr>
          <w:rFonts w:ascii="黑体" w:hAnsi="黑体" w:eastAsia="黑体"/>
          <w:bCs/>
          <w:szCs w:val="21"/>
        </w:rPr>
      </w:pPr>
      <w:r>
        <w:rPr>
          <w:rFonts w:hint="eastAsia" w:ascii="黑体" w:hAnsi="黑体" w:eastAsia="黑体"/>
          <w:bCs/>
          <w:szCs w:val="21"/>
        </w:rPr>
        <w:t>投标文件中的任何重要的插字、涂改和增删，必须由法定代表人或经其正式授权的代表在旁边签署。</w:t>
      </w:r>
    </w:p>
    <w:p>
      <w:pPr>
        <w:pStyle w:val="30"/>
        <w:numPr>
          <w:ilvl w:val="0"/>
          <w:numId w:val="39"/>
        </w:numPr>
        <w:spacing w:line="360" w:lineRule="auto"/>
        <w:ind w:left="567" w:hanging="567" w:firstLineChars="0"/>
        <w:rPr>
          <w:rFonts w:ascii="黑体" w:hAnsi="黑体" w:eastAsia="黑体"/>
          <w:bCs/>
          <w:szCs w:val="21"/>
        </w:rPr>
      </w:pPr>
      <w:r>
        <w:rPr>
          <w:rFonts w:hint="eastAsia" w:ascii="黑体" w:hAnsi="黑体" w:eastAsia="黑体" w:cs="Times New Roman"/>
          <w:bCs/>
          <w:szCs w:val="21"/>
        </w:rPr>
        <w:t>投标文件的“正本”及所有“副本”的封面及骑缝均须由投标人加盖投标人公章</w:t>
      </w:r>
      <w:r>
        <w:rPr>
          <w:rFonts w:hint="eastAsia" w:ascii="黑体" w:hAnsi="黑体" w:eastAsia="黑体"/>
          <w:bCs/>
          <w:szCs w:val="21"/>
        </w:rPr>
        <w:t>。</w:t>
      </w:r>
    </w:p>
    <w:p>
      <w:pPr>
        <w:pStyle w:val="30"/>
        <w:numPr>
          <w:ilvl w:val="0"/>
          <w:numId w:val="15"/>
        </w:numPr>
        <w:spacing w:before="312" w:beforeLines="100" w:line="360" w:lineRule="auto"/>
        <w:ind w:firstLineChars="0"/>
        <w:rPr>
          <w:rFonts w:ascii="黑体" w:hAnsi="黑体" w:eastAsia="黑体"/>
          <w:b/>
          <w:bCs/>
          <w:sz w:val="24"/>
          <w:szCs w:val="24"/>
        </w:rPr>
      </w:pPr>
      <w:r>
        <w:rPr>
          <w:rFonts w:hint="eastAsia" w:ascii="黑体" w:hAnsi="黑体" w:eastAsia="黑体"/>
          <w:b/>
          <w:bCs/>
          <w:sz w:val="24"/>
          <w:szCs w:val="24"/>
        </w:rPr>
        <w:t>投标文件的递交</w:t>
      </w:r>
    </w:p>
    <w:p>
      <w:pPr>
        <w:pStyle w:val="30"/>
        <w:numPr>
          <w:ilvl w:val="0"/>
          <w:numId w:val="16"/>
        </w:numPr>
        <w:spacing w:line="360" w:lineRule="auto"/>
        <w:ind w:firstLineChars="0"/>
        <w:rPr>
          <w:rFonts w:ascii="黑体" w:hAnsi="黑体" w:eastAsia="黑体"/>
          <w:b/>
        </w:rPr>
      </w:pPr>
      <w:bookmarkStart w:id="42" w:name="_Toc357676131"/>
      <w:r>
        <w:rPr>
          <w:rFonts w:hint="eastAsia" w:ascii="黑体" w:hAnsi="黑体" w:eastAsia="黑体"/>
          <w:b/>
        </w:rPr>
        <w:t>投标文件的装订、密封和标记</w:t>
      </w:r>
      <w:bookmarkEnd w:id="42"/>
    </w:p>
    <w:p>
      <w:pPr>
        <w:pStyle w:val="30"/>
        <w:numPr>
          <w:ilvl w:val="0"/>
          <w:numId w:val="41"/>
        </w:numPr>
        <w:spacing w:line="360" w:lineRule="auto"/>
        <w:ind w:left="567" w:hanging="567" w:firstLineChars="0"/>
        <w:rPr>
          <w:rFonts w:ascii="黑体" w:hAnsi="黑体" w:eastAsia="黑体"/>
          <w:bCs/>
          <w:szCs w:val="21"/>
        </w:rPr>
      </w:pPr>
      <w:r>
        <w:rPr>
          <w:rFonts w:hint="eastAsia" w:ascii="黑体" w:hAnsi="黑体" w:eastAsia="黑体"/>
          <w:bCs/>
          <w:szCs w:val="21"/>
        </w:rPr>
        <w:t>投标人应当对投标文件进行装订（所有文件均不允许采用活动夹方式装订），如投标人对招标文件多个包组进行投标的，其投标文件的编制应按每个包的要求分别装订和封装。</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78"/>
        <w:gridCol w:w="1624"/>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6" w:type="pct"/>
            <w:vAlign w:val="center"/>
          </w:tcPr>
          <w:p>
            <w:pPr>
              <w:spacing w:line="360" w:lineRule="auto"/>
              <w:jc w:val="center"/>
              <w:rPr>
                <w:rFonts w:ascii="黑体" w:hAnsi="黑体" w:eastAsia="黑体"/>
                <w:b/>
                <w:szCs w:val="21"/>
              </w:rPr>
            </w:pPr>
            <w:r>
              <w:rPr>
                <w:rFonts w:hint="eastAsia" w:ascii="黑体" w:hAnsi="黑体" w:eastAsia="黑体"/>
                <w:b/>
                <w:szCs w:val="21"/>
              </w:rPr>
              <w:t>序号</w:t>
            </w:r>
          </w:p>
        </w:tc>
        <w:tc>
          <w:tcPr>
            <w:tcW w:w="1413" w:type="pct"/>
            <w:vAlign w:val="center"/>
          </w:tcPr>
          <w:p>
            <w:pPr>
              <w:spacing w:line="360" w:lineRule="auto"/>
              <w:jc w:val="center"/>
              <w:rPr>
                <w:rFonts w:ascii="黑体" w:hAnsi="黑体" w:eastAsia="黑体"/>
                <w:b/>
                <w:szCs w:val="21"/>
              </w:rPr>
            </w:pPr>
            <w:r>
              <w:rPr>
                <w:rFonts w:hint="eastAsia" w:ascii="黑体" w:hAnsi="黑体" w:eastAsia="黑体"/>
                <w:b/>
                <w:szCs w:val="21"/>
              </w:rPr>
              <w:t>文件名称</w:t>
            </w:r>
          </w:p>
        </w:tc>
        <w:tc>
          <w:tcPr>
            <w:tcW w:w="926" w:type="pct"/>
            <w:vAlign w:val="center"/>
          </w:tcPr>
          <w:p>
            <w:pPr>
              <w:spacing w:line="360" w:lineRule="auto"/>
              <w:jc w:val="center"/>
              <w:rPr>
                <w:rFonts w:ascii="黑体" w:hAnsi="黑体" w:eastAsia="黑体"/>
                <w:b/>
                <w:szCs w:val="21"/>
              </w:rPr>
            </w:pPr>
            <w:r>
              <w:rPr>
                <w:rFonts w:hint="eastAsia" w:ascii="黑体" w:hAnsi="黑体" w:eastAsia="黑体"/>
                <w:b/>
                <w:szCs w:val="21"/>
              </w:rPr>
              <w:t>装订</w:t>
            </w:r>
          </w:p>
        </w:tc>
        <w:tc>
          <w:tcPr>
            <w:tcW w:w="2264" w:type="pct"/>
            <w:vAlign w:val="center"/>
          </w:tcPr>
          <w:p>
            <w:pPr>
              <w:spacing w:line="360" w:lineRule="auto"/>
              <w:jc w:val="center"/>
              <w:rPr>
                <w:rFonts w:ascii="黑体" w:hAnsi="黑体" w:eastAsia="黑体"/>
                <w:b/>
                <w:szCs w:val="21"/>
              </w:rPr>
            </w:pPr>
            <w:r>
              <w:rPr>
                <w:rFonts w:hint="eastAsia" w:ascii="黑体" w:hAnsi="黑体" w:eastAsia="黑体"/>
                <w:b/>
                <w:szCs w:val="21"/>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pacing w:line="360" w:lineRule="auto"/>
              <w:jc w:val="center"/>
              <w:rPr>
                <w:rFonts w:ascii="黑体" w:hAnsi="黑体" w:eastAsia="黑体"/>
                <w:szCs w:val="21"/>
              </w:rPr>
            </w:pPr>
            <w:r>
              <w:rPr>
                <w:rFonts w:hint="eastAsia" w:ascii="黑体" w:hAnsi="黑体" w:eastAsia="黑体"/>
                <w:szCs w:val="21"/>
              </w:rPr>
              <w:t>1</w:t>
            </w:r>
          </w:p>
        </w:tc>
        <w:tc>
          <w:tcPr>
            <w:tcW w:w="1413" w:type="pct"/>
            <w:vAlign w:val="center"/>
          </w:tcPr>
          <w:p>
            <w:pPr>
              <w:spacing w:line="360" w:lineRule="auto"/>
              <w:jc w:val="center"/>
              <w:rPr>
                <w:rFonts w:ascii="黑体" w:hAnsi="黑体" w:eastAsia="黑体"/>
                <w:szCs w:val="21"/>
              </w:rPr>
            </w:pPr>
            <w:r>
              <w:rPr>
                <w:rFonts w:hint="eastAsia" w:ascii="黑体" w:hAnsi="黑体" w:eastAsia="黑体"/>
                <w:szCs w:val="21"/>
              </w:rPr>
              <w:t>投标文件</w:t>
            </w:r>
          </w:p>
        </w:tc>
        <w:tc>
          <w:tcPr>
            <w:tcW w:w="926" w:type="pct"/>
            <w:vAlign w:val="center"/>
          </w:tcPr>
          <w:p>
            <w:pPr>
              <w:spacing w:line="360" w:lineRule="auto"/>
              <w:jc w:val="center"/>
              <w:rPr>
                <w:rFonts w:ascii="黑体" w:hAnsi="黑体" w:eastAsia="黑体"/>
                <w:szCs w:val="21"/>
              </w:rPr>
            </w:pPr>
            <w:r>
              <w:rPr>
                <w:rFonts w:hint="eastAsia" w:ascii="黑体" w:hAnsi="黑体" w:eastAsia="黑体"/>
                <w:szCs w:val="21"/>
              </w:rPr>
              <w:t>独立装订</w:t>
            </w:r>
          </w:p>
        </w:tc>
        <w:tc>
          <w:tcPr>
            <w:tcW w:w="2264" w:type="pct"/>
            <w:vAlign w:val="center"/>
          </w:tcPr>
          <w:p>
            <w:pPr>
              <w:spacing w:line="360" w:lineRule="auto"/>
              <w:jc w:val="center"/>
              <w:rPr>
                <w:rFonts w:ascii="黑体" w:hAnsi="黑体" w:eastAsia="黑体"/>
                <w:szCs w:val="21"/>
              </w:rPr>
            </w:pPr>
            <w:r>
              <w:rPr>
                <w:rFonts w:hint="eastAsia" w:ascii="黑体" w:hAnsi="黑体" w:eastAsia="黑体"/>
                <w:szCs w:val="21"/>
              </w:rPr>
              <w:t>正本、副本一起密封包装</w:t>
            </w:r>
          </w:p>
          <w:p>
            <w:pPr>
              <w:spacing w:line="360" w:lineRule="auto"/>
              <w:jc w:val="center"/>
              <w:rPr>
                <w:rFonts w:ascii="黑体" w:hAnsi="黑体" w:eastAsia="黑体"/>
                <w:szCs w:val="21"/>
              </w:rPr>
            </w:pPr>
            <w:r>
              <w:rPr>
                <w:rFonts w:hint="eastAsia" w:ascii="黑体" w:hAnsi="黑体" w:eastAsia="黑体"/>
                <w:szCs w:val="21"/>
              </w:rPr>
              <w:t>(内附电子文件)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96" w:type="pct"/>
            <w:vAlign w:val="center"/>
          </w:tcPr>
          <w:p>
            <w:pPr>
              <w:spacing w:line="360" w:lineRule="auto"/>
              <w:jc w:val="center"/>
              <w:rPr>
                <w:rFonts w:ascii="黑体" w:hAnsi="黑体" w:eastAsia="黑体"/>
                <w:szCs w:val="21"/>
              </w:rPr>
            </w:pPr>
            <w:r>
              <w:rPr>
                <w:rFonts w:ascii="黑体" w:hAnsi="黑体" w:eastAsia="黑体"/>
                <w:szCs w:val="21"/>
              </w:rPr>
              <w:t>2</w:t>
            </w:r>
          </w:p>
        </w:tc>
        <w:tc>
          <w:tcPr>
            <w:tcW w:w="1413" w:type="pct"/>
            <w:vAlign w:val="center"/>
          </w:tcPr>
          <w:p>
            <w:pPr>
              <w:spacing w:line="360" w:lineRule="auto"/>
              <w:jc w:val="center"/>
              <w:rPr>
                <w:rFonts w:ascii="黑体" w:hAnsi="黑体" w:eastAsia="黑体"/>
                <w:szCs w:val="21"/>
              </w:rPr>
            </w:pPr>
            <w:r>
              <w:rPr>
                <w:rFonts w:hint="eastAsia" w:ascii="黑体" w:hAnsi="黑体" w:eastAsia="黑体"/>
                <w:szCs w:val="21"/>
              </w:rPr>
              <w:t>唱标信封</w:t>
            </w:r>
          </w:p>
        </w:tc>
        <w:tc>
          <w:tcPr>
            <w:tcW w:w="926" w:type="pct"/>
            <w:vAlign w:val="center"/>
          </w:tcPr>
          <w:p>
            <w:pPr>
              <w:spacing w:line="360" w:lineRule="auto"/>
              <w:jc w:val="center"/>
              <w:rPr>
                <w:rFonts w:ascii="黑体" w:hAnsi="黑体" w:eastAsia="黑体"/>
                <w:szCs w:val="21"/>
              </w:rPr>
            </w:pPr>
            <w:r>
              <w:rPr>
                <w:rFonts w:hint="eastAsia" w:ascii="黑体" w:hAnsi="黑体" w:eastAsia="黑体"/>
                <w:szCs w:val="21"/>
              </w:rPr>
              <w:t>独立装订</w:t>
            </w:r>
          </w:p>
        </w:tc>
        <w:tc>
          <w:tcPr>
            <w:tcW w:w="2264" w:type="pct"/>
            <w:vAlign w:val="center"/>
          </w:tcPr>
          <w:p>
            <w:pPr>
              <w:spacing w:line="360" w:lineRule="auto"/>
              <w:jc w:val="center"/>
              <w:rPr>
                <w:rFonts w:ascii="黑体" w:hAnsi="黑体" w:eastAsia="黑体"/>
                <w:szCs w:val="21"/>
              </w:rPr>
            </w:pPr>
            <w:r>
              <w:rPr>
                <w:rFonts w:hint="eastAsia" w:ascii="黑体" w:hAnsi="黑体" w:eastAsia="黑体"/>
                <w:szCs w:val="21"/>
              </w:rPr>
              <w:t>单独密封包装</w:t>
            </w:r>
          </w:p>
        </w:tc>
      </w:tr>
    </w:tbl>
    <w:p>
      <w:pPr>
        <w:pStyle w:val="30"/>
        <w:numPr>
          <w:ilvl w:val="0"/>
          <w:numId w:val="41"/>
        </w:numPr>
        <w:spacing w:line="360" w:lineRule="auto"/>
        <w:ind w:left="567" w:hanging="567" w:firstLineChars="0"/>
        <w:rPr>
          <w:rFonts w:ascii="黑体" w:hAnsi="黑体" w:eastAsia="黑体"/>
          <w:bCs/>
          <w:szCs w:val="21"/>
        </w:rPr>
      </w:pPr>
      <w:r>
        <w:rPr>
          <w:rFonts w:hint="eastAsia" w:ascii="黑体" w:hAnsi="黑体" w:eastAsia="黑体"/>
          <w:bCs/>
          <w:szCs w:val="21"/>
        </w:rPr>
        <w:t>电子文件</w:t>
      </w:r>
      <w:bookmarkStart w:id="43" w:name="_Hlk86740118"/>
      <w:r>
        <w:rPr>
          <w:rFonts w:hint="eastAsia" w:ascii="黑体" w:hAnsi="黑体" w:eastAsia="黑体"/>
          <w:bCs/>
          <w:szCs w:val="21"/>
        </w:rPr>
        <w:t>须同时提交以下文件</w:t>
      </w:r>
      <w:bookmarkEnd w:id="43"/>
      <w:r>
        <w:rPr>
          <w:rFonts w:hint="eastAsia" w:ascii="黑体" w:hAnsi="黑体" w:eastAsia="黑体"/>
          <w:bCs/>
          <w:szCs w:val="21"/>
        </w:rPr>
        <w:t>：</w:t>
      </w:r>
      <w:bookmarkStart w:id="44" w:name="_Hlk86740096"/>
      <w:r>
        <w:rPr>
          <w:rFonts w:hint="eastAsia" w:ascii="黑体" w:hAnsi="黑体" w:eastAsia="黑体"/>
          <w:bCs/>
          <w:szCs w:val="21"/>
        </w:rPr>
        <w:t>①可编辑的WORD或 EXCEL 格式文件。②按招标文件要求签署、盖章后的正本投标文件扫描成PDF格式文件。</w:t>
      </w:r>
      <w:r>
        <w:rPr>
          <w:rFonts w:ascii="黑体" w:hAnsi="黑体" w:eastAsia="黑体"/>
          <w:bCs/>
          <w:szCs w:val="21"/>
        </w:rPr>
        <w:t>电子文件</w:t>
      </w:r>
      <w:r>
        <w:rPr>
          <w:rFonts w:hint="eastAsia" w:ascii="黑体" w:hAnsi="黑体" w:eastAsia="黑体"/>
          <w:bCs/>
          <w:szCs w:val="21"/>
        </w:rPr>
        <w:t>由</w:t>
      </w:r>
      <w:r>
        <w:rPr>
          <w:rFonts w:ascii="黑体" w:hAnsi="黑体" w:eastAsia="黑体"/>
          <w:bCs/>
          <w:szCs w:val="21"/>
        </w:rPr>
        <w:t>CD-R光盘</w:t>
      </w:r>
      <w:r>
        <w:rPr>
          <w:rFonts w:hint="eastAsia" w:ascii="黑体" w:hAnsi="黑体" w:eastAsia="黑体"/>
          <w:bCs/>
          <w:szCs w:val="21"/>
        </w:rPr>
        <w:t>或U盘</w:t>
      </w:r>
      <w:r>
        <w:rPr>
          <w:rFonts w:ascii="黑体" w:hAnsi="黑体" w:eastAsia="黑体"/>
          <w:bCs/>
          <w:szCs w:val="21"/>
        </w:rPr>
        <w:t>储存</w:t>
      </w:r>
      <w:bookmarkEnd w:id="44"/>
      <w:r>
        <w:rPr>
          <w:rFonts w:hint="eastAsia" w:ascii="黑体" w:hAnsi="黑体" w:eastAsia="黑体"/>
          <w:bCs/>
          <w:szCs w:val="21"/>
        </w:rPr>
        <w:t>。</w:t>
      </w:r>
    </w:p>
    <w:p>
      <w:pPr>
        <w:pStyle w:val="30"/>
        <w:numPr>
          <w:ilvl w:val="0"/>
          <w:numId w:val="41"/>
        </w:numPr>
        <w:spacing w:line="360" w:lineRule="auto"/>
        <w:ind w:left="567" w:hanging="567" w:firstLineChars="0"/>
        <w:rPr>
          <w:rFonts w:ascii="黑体" w:hAnsi="黑体" w:eastAsia="黑体"/>
          <w:bCs/>
          <w:szCs w:val="21"/>
        </w:rPr>
      </w:pPr>
      <w:r>
        <w:rPr>
          <w:rFonts w:hint="eastAsia" w:ascii="黑体" w:hAnsi="黑体" w:eastAsia="黑体"/>
          <w:bCs/>
          <w:szCs w:val="21"/>
        </w:rPr>
        <w:t>为方便开标唱标，投标人应将投标函、开标一览表、分项报价表（如适用）、法定代表人身份证明书或法定代表人授权委托书、投标保证金缴付凭证、投标保证金汇入情况说明一起密封提交，若联合体投标，应将各方共同签署的《联合体投标协议》一并提交；并在信封上标明“唱标信封”的字样。</w:t>
      </w:r>
    </w:p>
    <w:p>
      <w:pPr>
        <w:pStyle w:val="30"/>
        <w:numPr>
          <w:ilvl w:val="0"/>
          <w:numId w:val="16"/>
        </w:numPr>
        <w:spacing w:line="360" w:lineRule="auto"/>
        <w:ind w:firstLineChars="0"/>
        <w:rPr>
          <w:rFonts w:ascii="黑体" w:hAnsi="黑体" w:eastAsia="黑体"/>
          <w:b/>
        </w:rPr>
      </w:pPr>
      <w:r>
        <w:rPr>
          <w:rFonts w:hint="eastAsia" w:ascii="黑体" w:hAnsi="黑体" w:eastAsia="黑体"/>
          <w:b/>
        </w:rPr>
        <w:t>投标文件</w:t>
      </w:r>
      <w:r>
        <w:rPr>
          <w:rFonts w:hint="eastAsia" w:ascii="黑体" w:hAnsi="黑体" w:eastAsia="黑体"/>
          <w:b/>
          <w:bCs/>
          <w:szCs w:val="21"/>
        </w:rPr>
        <w:t>包装密封</w:t>
      </w:r>
    </w:p>
    <w:p>
      <w:pPr>
        <w:pStyle w:val="30"/>
        <w:numPr>
          <w:ilvl w:val="0"/>
          <w:numId w:val="42"/>
        </w:numPr>
        <w:tabs>
          <w:tab w:val="left" w:pos="567"/>
        </w:tabs>
        <w:spacing w:line="360" w:lineRule="auto"/>
        <w:ind w:left="567" w:hanging="567" w:firstLineChars="0"/>
        <w:rPr>
          <w:rFonts w:ascii="黑体" w:hAnsi="黑体" w:eastAsia="黑体"/>
          <w:bCs/>
          <w:szCs w:val="21"/>
        </w:rPr>
      </w:pPr>
      <w:r>
        <w:rPr>
          <w:rFonts w:hint="eastAsia" w:ascii="黑体" w:hAnsi="黑体" w:eastAsia="黑体"/>
          <w:bCs/>
          <w:szCs w:val="21"/>
        </w:rPr>
        <w:t>投标人应将投标文件密封包装；</w:t>
      </w:r>
    </w:p>
    <w:p>
      <w:pPr>
        <w:pStyle w:val="30"/>
        <w:numPr>
          <w:ilvl w:val="0"/>
          <w:numId w:val="42"/>
        </w:numPr>
        <w:tabs>
          <w:tab w:val="left" w:pos="567"/>
        </w:tabs>
        <w:spacing w:line="360" w:lineRule="auto"/>
        <w:ind w:left="567" w:hanging="567" w:firstLineChars="0"/>
        <w:rPr>
          <w:rFonts w:ascii="黑体" w:hAnsi="黑体" w:eastAsia="黑体"/>
          <w:bCs/>
          <w:szCs w:val="21"/>
        </w:rPr>
      </w:pPr>
      <w:r>
        <w:rPr>
          <w:rFonts w:hint="eastAsia" w:ascii="黑体" w:hAnsi="黑体" w:eastAsia="黑体"/>
          <w:bCs/>
          <w:szCs w:val="21"/>
        </w:rPr>
        <w:t>不足以造成投标文件可从外包装内散出而导致投标文件泄密的，不认定为投标文件未密封。</w:t>
      </w:r>
    </w:p>
    <w:p>
      <w:pPr>
        <w:pStyle w:val="30"/>
        <w:numPr>
          <w:ilvl w:val="0"/>
          <w:numId w:val="42"/>
        </w:numPr>
        <w:tabs>
          <w:tab w:val="left" w:pos="567"/>
        </w:tabs>
        <w:spacing w:line="360" w:lineRule="auto"/>
        <w:ind w:left="567" w:hanging="567" w:firstLineChars="0"/>
        <w:rPr>
          <w:rFonts w:ascii="黑体" w:hAnsi="黑体" w:eastAsia="黑体"/>
          <w:bCs/>
          <w:szCs w:val="21"/>
        </w:rPr>
      </w:pPr>
      <w:r>
        <w:rPr>
          <w:rFonts w:hint="eastAsia" w:ascii="黑体" w:hAnsi="黑体" w:eastAsia="黑体"/>
          <w:bCs/>
          <w:szCs w:val="21"/>
        </w:rPr>
        <w:t>包装封套均应注明：</w:t>
      </w:r>
    </w:p>
    <w:p>
      <w:pPr>
        <w:pStyle w:val="30"/>
        <w:spacing w:line="360" w:lineRule="auto"/>
        <w:ind w:left="567" w:firstLine="0" w:firstLineChars="0"/>
        <w:rPr>
          <w:rFonts w:ascii="黑体" w:hAnsi="黑体" w:eastAsia="黑体"/>
          <w:szCs w:val="21"/>
          <w:u w:val="single"/>
        </w:rPr>
      </w:pPr>
      <w:r>
        <w:rPr>
          <w:rFonts w:hint="eastAsia" w:ascii="黑体" w:hAnsi="黑体" w:eastAsia="黑体"/>
          <w:bCs/>
          <w:szCs w:val="21"/>
        </w:rPr>
        <w:t>收件人名称：</w:t>
      </w:r>
      <w:r>
        <w:rPr>
          <w:rFonts w:ascii="黑体" w:hAnsi="黑体" w:eastAsia="黑体"/>
          <w:szCs w:val="21"/>
          <w:u w:val="single"/>
        </w:rPr>
        <w:t xml:space="preserve">广东有德招标采购有限公司         </w:t>
      </w:r>
    </w:p>
    <w:p>
      <w:pPr>
        <w:pStyle w:val="30"/>
        <w:spacing w:line="360" w:lineRule="auto"/>
        <w:ind w:left="567" w:firstLine="0" w:firstLineChars="0"/>
        <w:rPr>
          <w:rFonts w:ascii="黑体" w:hAnsi="黑体" w:eastAsia="黑体"/>
          <w:bCs/>
          <w:szCs w:val="21"/>
        </w:rPr>
      </w:pPr>
      <w:r>
        <w:rPr>
          <w:rFonts w:hint="eastAsia" w:ascii="黑体" w:hAnsi="黑体" w:eastAsia="黑体"/>
          <w:szCs w:val="21"/>
        </w:rPr>
        <w:t>投标人名称：</w:t>
      </w:r>
      <w:r>
        <w:rPr>
          <w:rFonts w:ascii="黑体" w:hAnsi="黑体" w:eastAsia="黑体"/>
          <w:szCs w:val="21"/>
          <w:u w:val="single"/>
        </w:rPr>
        <w:t xml:space="preserve">                                 </w:t>
      </w:r>
    </w:p>
    <w:p>
      <w:pPr>
        <w:pStyle w:val="30"/>
        <w:spacing w:line="360" w:lineRule="auto"/>
        <w:ind w:left="567" w:firstLine="0" w:firstLineChars="0"/>
        <w:rPr>
          <w:rFonts w:ascii="黑体" w:hAnsi="黑体" w:eastAsia="黑体"/>
          <w:bCs/>
          <w:szCs w:val="21"/>
        </w:rPr>
      </w:pPr>
      <w:r>
        <w:rPr>
          <w:rFonts w:hint="eastAsia" w:ascii="黑体" w:hAnsi="黑体" w:eastAsia="黑体"/>
          <w:bCs/>
          <w:szCs w:val="21"/>
        </w:rPr>
        <w:t>项目名称：</w:t>
      </w:r>
      <w:r>
        <w:rPr>
          <w:rFonts w:ascii="黑体" w:hAnsi="黑体" w:eastAsia="黑体"/>
          <w:bCs/>
          <w:szCs w:val="21"/>
          <w:u w:val="single"/>
        </w:rPr>
        <w:t xml:space="preserve">        （详见投标邀请）         </w:t>
      </w:r>
    </w:p>
    <w:p>
      <w:pPr>
        <w:pStyle w:val="30"/>
        <w:spacing w:line="360" w:lineRule="auto"/>
        <w:ind w:left="567" w:firstLine="0" w:firstLineChars="0"/>
        <w:rPr>
          <w:rFonts w:ascii="黑体" w:hAnsi="黑体" w:eastAsia="黑体"/>
          <w:bCs/>
          <w:szCs w:val="21"/>
        </w:rPr>
      </w:pPr>
      <w:r>
        <w:rPr>
          <w:rFonts w:hint="eastAsia" w:ascii="黑体" w:hAnsi="黑体" w:eastAsia="黑体"/>
          <w:bCs/>
          <w:szCs w:val="21"/>
        </w:rPr>
        <w:t>项目编号：</w:t>
      </w:r>
      <w:r>
        <w:rPr>
          <w:rFonts w:ascii="黑体" w:hAnsi="黑体" w:eastAsia="黑体"/>
          <w:bCs/>
          <w:szCs w:val="21"/>
          <w:u w:val="single"/>
        </w:rPr>
        <w:t xml:space="preserve">        （详见投标邀请）         </w:t>
      </w:r>
    </w:p>
    <w:p>
      <w:pPr>
        <w:pStyle w:val="30"/>
        <w:spacing w:line="360" w:lineRule="auto"/>
        <w:ind w:left="567" w:firstLine="0" w:firstLineChars="0"/>
        <w:rPr>
          <w:rFonts w:ascii="黑体" w:hAnsi="黑体" w:eastAsia="黑体"/>
          <w:bCs/>
          <w:szCs w:val="21"/>
        </w:rPr>
      </w:pPr>
      <w:r>
        <w:rPr>
          <w:rFonts w:hint="eastAsia" w:ascii="黑体" w:hAnsi="黑体" w:eastAsia="黑体"/>
          <w:bCs/>
          <w:szCs w:val="21"/>
        </w:rPr>
        <w:t>注明：“</w:t>
      </w:r>
      <w:r>
        <w:rPr>
          <w:rFonts w:hint="eastAsia" w:ascii="黑体" w:hAnsi="黑体" w:eastAsia="黑体"/>
          <w:bCs/>
          <w:szCs w:val="21"/>
          <w:u w:val="single"/>
        </w:rPr>
        <w:t>于</w:t>
      </w:r>
      <w:r>
        <w:rPr>
          <w:rFonts w:ascii="黑体" w:hAnsi="黑体" w:eastAsia="黑体"/>
          <w:bCs/>
          <w:szCs w:val="21"/>
          <w:u w:val="single"/>
        </w:rPr>
        <w:t xml:space="preserve">  </w:t>
      </w:r>
      <w:r>
        <w:rPr>
          <w:rFonts w:hint="eastAsia" w:ascii="黑体" w:hAnsi="黑体" w:eastAsia="黑体"/>
          <w:bCs/>
          <w:szCs w:val="21"/>
          <w:u w:val="single"/>
        </w:rPr>
        <w:t>年</w:t>
      </w:r>
      <w:r>
        <w:rPr>
          <w:rFonts w:ascii="黑体" w:hAnsi="黑体" w:eastAsia="黑体"/>
          <w:bCs/>
          <w:szCs w:val="21"/>
          <w:u w:val="single"/>
        </w:rPr>
        <w:t xml:space="preserve">  </w:t>
      </w:r>
      <w:r>
        <w:rPr>
          <w:rFonts w:hint="eastAsia" w:ascii="黑体" w:hAnsi="黑体" w:eastAsia="黑体"/>
          <w:bCs/>
          <w:szCs w:val="21"/>
          <w:u w:val="single"/>
        </w:rPr>
        <w:t>月</w:t>
      </w:r>
      <w:r>
        <w:rPr>
          <w:rFonts w:ascii="黑体" w:hAnsi="黑体" w:eastAsia="黑体"/>
          <w:bCs/>
          <w:szCs w:val="21"/>
          <w:u w:val="single"/>
        </w:rPr>
        <w:t xml:space="preserve">  </w:t>
      </w:r>
      <w:r>
        <w:rPr>
          <w:rFonts w:hint="eastAsia" w:ascii="黑体" w:hAnsi="黑体" w:eastAsia="黑体"/>
          <w:bCs/>
          <w:szCs w:val="21"/>
          <w:u w:val="single"/>
        </w:rPr>
        <w:t>日北京时间</w:t>
      </w:r>
      <w:r>
        <w:rPr>
          <w:rFonts w:ascii="黑体" w:hAnsi="黑体" w:eastAsia="黑体"/>
          <w:bCs/>
          <w:szCs w:val="21"/>
          <w:u w:val="single"/>
        </w:rPr>
        <w:t xml:space="preserve">  ：</w:t>
      </w:r>
      <w:r>
        <w:rPr>
          <w:rFonts w:hint="eastAsia" w:ascii="黑体" w:hAnsi="黑体" w:eastAsia="黑体"/>
          <w:bCs/>
          <w:szCs w:val="21"/>
          <w:u w:val="single"/>
        </w:rPr>
        <w:t xml:space="preserve"> </w:t>
      </w:r>
      <w:r>
        <w:rPr>
          <w:rFonts w:ascii="黑体" w:hAnsi="黑体" w:eastAsia="黑体"/>
          <w:bCs/>
          <w:szCs w:val="21"/>
          <w:u w:val="single"/>
        </w:rPr>
        <w:t xml:space="preserve"> </w:t>
      </w:r>
      <w:r>
        <w:rPr>
          <w:rFonts w:hint="eastAsia" w:ascii="黑体" w:hAnsi="黑体" w:eastAsia="黑体"/>
          <w:bCs/>
          <w:szCs w:val="21"/>
        </w:rPr>
        <w:t>（详见投标邀请）之前不得启封”的字样。</w:t>
      </w:r>
    </w:p>
    <w:p>
      <w:pPr>
        <w:pStyle w:val="30"/>
        <w:numPr>
          <w:ilvl w:val="0"/>
          <w:numId w:val="42"/>
        </w:numPr>
        <w:tabs>
          <w:tab w:val="left" w:pos="567"/>
        </w:tabs>
        <w:spacing w:line="360" w:lineRule="auto"/>
        <w:ind w:left="567" w:hanging="567" w:firstLineChars="0"/>
        <w:rPr>
          <w:rFonts w:ascii="黑体" w:hAnsi="黑体" w:eastAsia="黑体"/>
          <w:bCs/>
          <w:spacing w:val="-4"/>
          <w:szCs w:val="21"/>
        </w:rPr>
      </w:pPr>
      <w:r>
        <w:rPr>
          <w:rFonts w:hint="eastAsia" w:ascii="黑体" w:hAnsi="黑体" w:eastAsia="黑体"/>
          <w:bCs/>
          <w:spacing w:val="-4"/>
          <w:szCs w:val="21"/>
        </w:rPr>
        <w:t>如果未按本须知上款要求加写标记和密封，采购代理机构对误投或提前启封概不负责。</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投标截止期</w:t>
      </w:r>
    </w:p>
    <w:p>
      <w:pPr>
        <w:pStyle w:val="30"/>
        <w:numPr>
          <w:ilvl w:val="0"/>
          <w:numId w:val="43"/>
        </w:numPr>
        <w:spacing w:line="360" w:lineRule="auto"/>
        <w:ind w:left="567" w:hanging="567" w:firstLineChars="0"/>
        <w:rPr>
          <w:rFonts w:ascii="黑体" w:hAnsi="黑体" w:eastAsia="黑体"/>
          <w:bCs/>
          <w:szCs w:val="21"/>
        </w:rPr>
      </w:pPr>
      <w:r>
        <w:rPr>
          <w:rFonts w:hint="eastAsia" w:ascii="黑体" w:hAnsi="黑体" w:eastAsia="黑体"/>
          <w:bCs/>
          <w:szCs w:val="21"/>
        </w:rPr>
        <w:t>投标人应在不迟于</w:t>
      </w:r>
      <w:r>
        <w:rPr>
          <w:rFonts w:hint="eastAsia" w:ascii="黑体" w:hAnsi="黑体" w:eastAsia="黑体"/>
          <w:b/>
          <w:bCs/>
          <w:szCs w:val="21"/>
          <w:u w:val="single"/>
        </w:rPr>
        <w:t>投标邀请</w:t>
      </w:r>
      <w:r>
        <w:rPr>
          <w:rFonts w:hint="eastAsia" w:ascii="黑体" w:hAnsi="黑体" w:eastAsia="黑体"/>
          <w:bCs/>
          <w:szCs w:val="21"/>
        </w:rPr>
        <w:t>中规定的截止日期和时间将投标文件递交至采购代理机构，递交地点应是</w:t>
      </w:r>
      <w:r>
        <w:rPr>
          <w:rFonts w:hint="eastAsia" w:ascii="黑体" w:hAnsi="黑体" w:eastAsia="黑体"/>
          <w:b/>
          <w:bCs/>
          <w:szCs w:val="21"/>
          <w:u w:val="single"/>
        </w:rPr>
        <w:t>投标邀请</w:t>
      </w:r>
      <w:r>
        <w:rPr>
          <w:rFonts w:hint="eastAsia" w:ascii="黑体" w:hAnsi="黑体" w:eastAsia="黑体"/>
          <w:bCs/>
          <w:szCs w:val="21"/>
        </w:rPr>
        <w:t>中指明的地址。</w:t>
      </w:r>
    </w:p>
    <w:p>
      <w:pPr>
        <w:pStyle w:val="30"/>
        <w:numPr>
          <w:ilvl w:val="0"/>
          <w:numId w:val="43"/>
        </w:numPr>
        <w:spacing w:line="360" w:lineRule="auto"/>
        <w:ind w:left="567" w:hanging="567" w:firstLineChars="0"/>
        <w:rPr>
          <w:rFonts w:ascii="黑体" w:hAnsi="黑体" w:eastAsia="黑体"/>
          <w:bCs/>
          <w:szCs w:val="21"/>
        </w:rPr>
      </w:pPr>
      <w:r>
        <w:rPr>
          <w:rFonts w:hint="eastAsia" w:ascii="黑体" w:hAnsi="黑体" w:eastAsia="黑体"/>
          <w:bCs/>
          <w:szCs w:val="21"/>
        </w:rPr>
        <w:t>采购代理机构将拒绝在规定的投标截止期后收到的任何投标文件。</w:t>
      </w:r>
    </w:p>
    <w:p>
      <w:pPr>
        <w:pStyle w:val="30"/>
        <w:numPr>
          <w:ilvl w:val="0"/>
          <w:numId w:val="16"/>
        </w:numPr>
        <w:spacing w:before="312" w:beforeLines="100" w:line="360" w:lineRule="auto"/>
        <w:ind w:firstLineChars="0"/>
        <w:rPr>
          <w:rFonts w:ascii="黑体" w:hAnsi="黑体" w:eastAsia="黑体"/>
          <w:b/>
        </w:rPr>
      </w:pPr>
      <w:bookmarkStart w:id="45" w:name="_Toc357676133"/>
      <w:r>
        <w:rPr>
          <w:rFonts w:hint="eastAsia" w:ascii="黑体" w:hAnsi="黑体" w:eastAsia="黑体"/>
          <w:b/>
        </w:rPr>
        <w:t>投标文件的修改和撤回</w:t>
      </w:r>
      <w:bookmarkEnd w:id="45"/>
    </w:p>
    <w:p>
      <w:pPr>
        <w:pStyle w:val="30"/>
        <w:numPr>
          <w:ilvl w:val="0"/>
          <w:numId w:val="44"/>
        </w:numPr>
        <w:spacing w:line="360" w:lineRule="auto"/>
        <w:ind w:left="567" w:hanging="567" w:firstLineChars="0"/>
        <w:rPr>
          <w:rFonts w:ascii="黑体" w:hAnsi="黑体" w:eastAsia="黑体"/>
          <w:bCs/>
          <w:szCs w:val="21"/>
        </w:rPr>
      </w:pPr>
      <w:r>
        <w:rPr>
          <w:rFonts w:hint="eastAsia" w:ascii="黑体" w:hAnsi="黑体" w:eastAsia="黑体"/>
          <w:bCs/>
          <w:spacing w:val="-2"/>
          <w:szCs w:val="21"/>
        </w:rPr>
        <w:t>投</w:t>
      </w:r>
      <w:r>
        <w:rPr>
          <w:rFonts w:hint="eastAsia" w:ascii="黑体" w:hAnsi="黑体" w:eastAsia="黑体"/>
          <w:bCs/>
          <w:szCs w:val="21"/>
        </w:rPr>
        <w:t>标人在投标截止时间前，可以对所递交的投标文件进行补充、修改或者撤回，并书面通知采购代理机构。补充、修改的内容应当按照招标文件要求签署、盖章，密封后，作为投标文件的组成部分。</w:t>
      </w:r>
    </w:p>
    <w:p>
      <w:pPr>
        <w:pStyle w:val="30"/>
        <w:numPr>
          <w:ilvl w:val="0"/>
          <w:numId w:val="44"/>
        </w:numPr>
        <w:spacing w:line="360" w:lineRule="auto"/>
        <w:ind w:left="567" w:hanging="567" w:firstLineChars="0"/>
        <w:rPr>
          <w:rFonts w:ascii="黑体" w:hAnsi="黑体" w:eastAsia="黑体"/>
          <w:bCs/>
          <w:szCs w:val="21"/>
        </w:rPr>
      </w:pPr>
      <w:r>
        <w:rPr>
          <w:rFonts w:hint="eastAsia" w:ascii="黑体" w:hAnsi="黑体" w:eastAsia="黑体"/>
          <w:bCs/>
          <w:szCs w:val="21"/>
        </w:rPr>
        <w:t>在投标截止时间之后，投标人不得对其投标文件做任何修改和补充。</w:t>
      </w:r>
    </w:p>
    <w:p>
      <w:pPr>
        <w:pStyle w:val="30"/>
        <w:numPr>
          <w:ilvl w:val="0"/>
          <w:numId w:val="44"/>
        </w:numPr>
        <w:ind w:firstLineChars="0"/>
        <w:rPr>
          <w:rFonts w:ascii="黑体" w:hAnsi="黑体" w:eastAsia="黑体"/>
          <w:bCs/>
          <w:szCs w:val="21"/>
        </w:rPr>
      </w:pPr>
      <w:r>
        <w:rPr>
          <w:rFonts w:hint="eastAsia" w:ascii="黑体" w:hAnsi="黑体" w:eastAsia="黑体"/>
          <w:bCs/>
          <w:szCs w:val="21"/>
        </w:rPr>
        <w:t xml:space="preserve"> 在提交投标文件截止时间至投标有效期满之前，投标人不得撤回其投标文件。</w:t>
      </w:r>
    </w:p>
    <w:p>
      <w:pPr>
        <w:pStyle w:val="30"/>
        <w:numPr>
          <w:ilvl w:val="0"/>
          <w:numId w:val="15"/>
        </w:numPr>
        <w:spacing w:before="312" w:beforeLines="100" w:line="360" w:lineRule="auto"/>
        <w:ind w:firstLineChars="0"/>
        <w:rPr>
          <w:rFonts w:ascii="黑体" w:hAnsi="黑体" w:eastAsia="黑体"/>
          <w:b/>
          <w:bCs/>
          <w:szCs w:val="21"/>
        </w:rPr>
      </w:pPr>
      <w:r>
        <w:rPr>
          <w:rFonts w:hint="eastAsia" w:ascii="黑体" w:hAnsi="黑体" w:eastAsia="黑体"/>
          <w:b/>
          <w:bCs/>
          <w:szCs w:val="21"/>
        </w:rPr>
        <w:t>开标与评标准则</w:t>
      </w:r>
    </w:p>
    <w:p>
      <w:pPr>
        <w:pStyle w:val="30"/>
        <w:numPr>
          <w:ilvl w:val="0"/>
          <w:numId w:val="16"/>
        </w:numPr>
        <w:spacing w:line="360" w:lineRule="auto"/>
        <w:ind w:firstLineChars="0"/>
        <w:rPr>
          <w:rFonts w:ascii="黑体" w:hAnsi="黑体" w:eastAsia="黑体"/>
          <w:b/>
        </w:rPr>
      </w:pPr>
      <w:r>
        <w:rPr>
          <w:rFonts w:hint="eastAsia" w:ascii="黑体" w:hAnsi="黑体" w:eastAsia="黑体"/>
          <w:b/>
        </w:rPr>
        <w:t>开标</w:t>
      </w:r>
    </w:p>
    <w:p>
      <w:pPr>
        <w:pStyle w:val="30"/>
        <w:numPr>
          <w:ilvl w:val="0"/>
          <w:numId w:val="45"/>
        </w:numPr>
        <w:tabs>
          <w:tab w:val="left" w:pos="709"/>
        </w:tabs>
        <w:spacing w:line="360" w:lineRule="auto"/>
        <w:ind w:left="567" w:hanging="567" w:firstLineChars="0"/>
        <w:rPr>
          <w:rFonts w:ascii="黑体" w:hAnsi="黑体" w:eastAsia="黑体"/>
          <w:bCs/>
          <w:szCs w:val="21"/>
        </w:rPr>
      </w:pPr>
      <w:r>
        <w:rPr>
          <w:rFonts w:hint="eastAsia" w:ascii="黑体" w:hAnsi="黑体" w:eastAsia="黑体"/>
          <w:bCs/>
          <w:szCs w:val="21"/>
        </w:rPr>
        <w:t>采购代理机构按</w:t>
      </w:r>
      <w:r>
        <w:rPr>
          <w:rFonts w:hint="eastAsia" w:ascii="黑体" w:hAnsi="黑体" w:eastAsia="黑体"/>
          <w:b/>
          <w:bCs/>
          <w:szCs w:val="21"/>
          <w:u w:val="single"/>
        </w:rPr>
        <w:t>投标邀请</w:t>
      </w:r>
      <w:r>
        <w:rPr>
          <w:rFonts w:hint="eastAsia" w:ascii="黑体" w:hAnsi="黑体" w:eastAsia="黑体"/>
          <w:bCs/>
          <w:szCs w:val="21"/>
        </w:rPr>
        <w:t>中规定的日期、时间和地点组织公开开标。开标时邀请所有投标人代表参加。参加开标的法定代表人或其授权代表携带有效身份证签名报到以证明其出席。</w:t>
      </w:r>
    </w:p>
    <w:p>
      <w:pPr>
        <w:pStyle w:val="30"/>
        <w:numPr>
          <w:ilvl w:val="0"/>
          <w:numId w:val="45"/>
        </w:numPr>
        <w:tabs>
          <w:tab w:val="left" w:pos="709"/>
        </w:tabs>
        <w:spacing w:line="360" w:lineRule="auto"/>
        <w:ind w:left="567" w:hanging="567" w:firstLineChars="0"/>
        <w:rPr>
          <w:rFonts w:ascii="黑体" w:hAnsi="黑体" w:eastAsia="黑体"/>
          <w:bCs/>
          <w:szCs w:val="21"/>
        </w:rPr>
      </w:pPr>
      <w:r>
        <w:rPr>
          <w:rFonts w:hint="eastAsia" w:ascii="黑体" w:hAnsi="黑体" w:eastAsia="黑体"/>
          <w:bCs/>
          <w:szCs w:val="21"/>
        </w:rPr>
        <w:t>开标由采购代理机构主持，邀请投标人参加。评标委员会成员不得参加开标活动。</w:t>
      </w:r>
    </w:p>
    <w:p>
      <w:pPr>
        <w:pStyle w:val="30"/>
        <w:numPr>
          <w:ilvl w:val="0"/>
          <w:numId w:val="45"/>
        </w:numPr>
        <w:tabs>
          <w:tab w:val="left" w:pos="709"/>
        </w:tabs>
        <w:spacing w:line="360" w:lineRule="auto"/>
        <w:ind w:left="567" w:hanging="567" w:firstLineChars="0"/>
        <w:rPr>
          <w:rFonts w:ascii="黑体" w:hAnsi="黑体" w:eastAsia="黑体"/>
          <w:bCs/>
          <w:szCs w:val="21"/>
        </w:rPr>
      </w:pPr>
      <w:r>
        <w:rPr>
          <w:rFonts w:hint="eastAsia" w:ascii="黑体" w:hAnsi="黑体" w:eastAsia="黑体"/>
          <w:bCs/>
          <w:szCs w:val="21"/>
        </w:rPr>
        <w:t>投标人不足</w:t>
      </w:r>
      <w:r>
        <w:rPr>
          <w:rFonts w:ascii="黑体" w:hAnsi="黑体" w:eastAsia="黑体"/>
          <w:bCs/>
          <w:szCs w:val="21"/>
        </w:rPr>
        <w:t>3家的，不得开标。</w:t>
      </w:r>
    </w:p>
    <w:p>
      <w:pPr>
        <w:pStyle w:val="30"/>
        <w:numPr>
          <w:ilvl w:val="0"/>
          <w:numId w:val="45"/>
        </w:numPr>
        <w:tabs>
          <w:tab w:val="left" w:pos="709"/>
        </w:tabs>
        <w:spacing w:line="360" w:lineRule="auto"/>
        <w:ind w:left="567" w:hanging="567" w:firstLineChars="0"/>
        <w:rPr>
          <w:rFonts w:ascii="黑体" w:hAnsi="黑体" w:eastAsia="黑体"/>
          <w:bCs/>
          <w:szCs w:val="21"/>
        </w:rPr>
      </w:pPr>
      <w:r>
        <w:rPr>
          <w:rFonts w:hint="eastAsia" w:ascii="黑体" w:hAnsi="黑体" w:eastAsia="黑体"/>
          <w:bCs/>
          <w:szCs w:val="21"/>
        </w:rPr>
        <w:t>开标时，由投标人或其推选的代表检查投标文件的密封情况；经确认无误后，由采购人或采购代理机构工作人员当众拆封，宣布投标人名称、投标价格和招标文件规定的需要宣布的其他内容。</w:t>
      </w:r>
    </w:p>
    <w:p>
      <w:pPr>
        <w:pStyle w:val="30"/>
        <w:numPr>
          <w:ilvl w:val="0"/>
          <w:numId w:val="45"/>
        </w:numPr>
        <w:tabs>
          <w:tab w:val="left" w:pos="709"/>
        </w:tabs>
        <w:spacing w:line="360" w:lineRule="auto"/>
        <w:ind w:left="567" w:hanging="567" w:firstLineChars="0"/>
        <w:rPr>
          <w:rFonts w:ascii="黑体" w:hAnsi="黑体" w:eastAsia="黑体"/>
          <w:bCs/>
          <w:szCs w:val="21"/>
        </w:rPr>
      </w:pPr>
      <w:r>
        <w:rPr>
          <w:rFonts w:hint="eastAsia" w:ascii="黑体" w:hAnsi="黑体" w:eastAsia="黑体"/>
          <w:bCs/>
          <w:szCs w:val="21"/>
        </w:rPr>
        <w:t>开标过程应当由采购人或者采购代理机构负责记录，由参加开标的各投标人代表和相关工作人员签字确认。</w:t>
      </w:r>
    </w:p>
    <w:p>
      <w:pPr>
        <w:pStyle w:val="30"/>
        <w:numPr>
          <w:ilvl w:val="0"/>
          <w:numId w:val="45"/>
        </w:numPr>
        <w:tabs>
          <w:tab w:val="left" w:pos="709"/>
        </w:tabs>
        <w:spacing w:line="360" w:lineRule="auto"/>
        <w:ind w:left="567" w:hanging="567" w:firstLineChars="0"/>
        <w:rPr>
          <w:rFonts w:ascii="黑体" w:hAnsi="黑体" w:eastAsia="黑体"/>
          <w:bCs/>
          <w:szCs w:val="21"/>
        </w:rPr>
      </w:pPr>
      <w:r>
        <w:rPr>
          <w:rFonts w:hint="eastAsia" w:ascii="黑体" w:hAnsi="黑体" w:eastAsia="黑体"/>
          <w:bCs/>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0"/>
        <w:numPr>
          <w:ilvl w:val="0"/>
          <w:numId w:val="45"/>
        </w:numPr>
        <w:tabs>
          <w:tab w:val="left" w:pos="709"/>
        </w:tabs>
        <w:spacing w:line="360" w:lineRule="auto"/>
        <w:ind w:left="567" w:hanging="567" w:firstLineChars="0"/>
        <w:rPr>
          <w:rFonts w:ascii="黑体" w:hAnsi="黑体" w:eastAsia="黑体"/>
          <w:bCs/>
          <w:szCs w:val="21"/>
        </w:rPr>
      </w:pPr>
      <w:r>
        <w:rPr>
          <w:rFonts w:hint="eastAsia" w:ascii="黑体" w:hAnsi="黑体" w:eastAsia="黑体"/>
          <w:bCs/>
          <w:szCs w:val="21"/>
        </w:rPr>
        <w:t>投标人未参加开标的，视同认可开标结果。</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评标委员会和评标方法</w:t>
      </w:r>
    </w:p>
    <w:p>
      <w:pPr>
        <w:pStyle w:val="30"/>
        <w:numPr>
          <w:ilvl w:val="0"/>
          <w:numId w:val="46"/>
        </w:numPr>
        <w:spacing w:line="360" w:lineRule="auto"/>
        <w:ind w:left="567" w:hanging="567" w:firstLineChars="0"/>
        <w:rPr>
          <w:rFonts w:ascii="黑体" w:hAnsi="黑体" w:eastAsia="黑体"/>
          <w:bCs/>
          <w:szCs w:val="21"/>
        </w:rPr>
      </w:pPr>
      <w:r>
        <w:rPr>
          <w:rFonts w:hint="eastAsia" w:ascii="黑体" w:hAnsi="黑体" w:eastAsia="黑体"/>
          <w:bCs/>
          <w:szCs w:val="21"/>
        </w:rPr>
        <w:t>评标由依照政府采购法律、法规、规章、政策的规定，组建的评标委员会负责。</w:t>
      </w:r>
    </w:p>
    <w:p>
      <w:pPr>
        <w:pStyle w:val="30"/>
        <w:numPr>
          <w:ilvl w:val="0"/>
          <w:numId w:val="46"/>
        </w:numPr>
        <w:spacing w:line="360" w:lineRule="auto"/>
        <w:ind w:left="567" w:hanging="567" w:firstLineChars="0"/>
        <w:rPr>
          <w:rFonts w:ascii="黑体" w:hAnsi="黑体" w:eastAsia="黑体"/>
          <w:bCs/>
          <w:szCs w:val="21"/>
        </w:rPr>
      </w:pPr>
      <w:r>
        <w:rPr>
          <w:rFonts w:hint="eastAsia" w:ascii="黑体" w:hAnsi="黑体" w:eastAsia="黑体"/>
          <w:bCs/>
          <w:szCs w:val="21"/>
        </w:rPr>
        <w:t>评标委员会由采购人代表和评审专家组成，成员人数应为</w:t>
      </w:r>
      <w:r>
        <w:rPr>
          <w:rFonts w:hint="eastAsia" w:ascii="黑体" w:hAnsi="黑体" w:eastAsia="黑体"/>
          <w:b/>
          <w:szCs w:val="21"/>
          <w:u w:val="single"/>
        </w:rPr>
        <w:t>详见投标人须知前附表</w:t>
      </w:r>
      <w:r>
        <w:rPr>
          <w:rFonts w:ascii="黑体" w:hAnsi="黑体" w:eastAsia="黑体"/>
          <w:bCs/>
          <w:szCs w:val="21"/>
        </w:rPr>
        <w:t>，其中评审专家不得少于成员总数的三分之二。</w:t>
      </w:r>
    </w:p>
    <w:p>
      <w:pPr>
        <w:pStyle w:val="30"/>
        <w:numPr>
          <w:ilvl w:val="0"/>
          <w:numId w:val="46"/>
        </w:numPr>
        <w:spacing w:line="360" w:lineRule="auto"/>
        <w:ind w:left="567" w:hanging="567" w:firstLineChars="0"/>
        <w:rPr>
          <w:rFonts w:ascii="黑体" w:hAnsi="黑体" w:eastAsia="黑体"/>
          <w:bCs/>
          <w:szCs w:val="21"/>
        </w:rPr>
      </w:pPr>
      <w:r>
        <w:rPr>
          <w:rFonts w:hint="eastAsia" w:ascii="黑体" w:hAnsi="黑体" w:eastAsia="黑体"/>
          <w:bCs/>
          <w:szCs w:val="21"/>
        </w:rPr>
        <w:t>评标委员会成员依法从政府采购评审专家库中，通过随机方式抽取。</w:t>
      </w:r>
    </w:p>
    <w:p>
      <w:pPr>
        <w:pStyle w:val="30"/>
        <w:numPr>
          <w:ilvl w:val="0"/>
          <w:numId w:val="46"/>
        </w:numPr>
        <w:spacing w:line="360" w:lineRule="auto"/>
        <w:ind w:left="567" w:hanging="567" w:firstLineChars="0"/>
        <w:rPr>
          <w:rFonts w:ascii="黑体" w:hAnsi="黑体" w:eastAsia="黑体"/>
          <w:bCs/>
          <w:szCs w:val="21"/>
        </w:rPr>
      </w:pPr>
      <w:r>
        <w:rPr>
          <w:rFonts w:hint="eastAsia" w:ascii="黑体" w:hAnsi="黑体" w:eastAsia="黑体"/>
          <w:bCs/>
          <w:szCs w:val="21"/>
        </w:rPr>
        <w:t>评标委员会将按照招标文件确定的评标方法进行评标。评标委员会对投标文件的评审分为符合性检查和商务评审、技术评审、价格评审。</w:t>
      </w:r>
    </w:p>
    <w:p>
      <w:pPr>
        <w:pStyle w:val="30"/>
        <w:numPr>
          <w:ilvl w:val="0"/>
          <w:numId w:val="46"/>
        </w:numPr>
        <w:spacing w:line="360" w:lineRule="auto"/>
        <w:ind w:left="567" w:hanging="567" w:firstLineChars="0"/>
        <w:rPr>
          <w:rFonts w:ascii="黑体" w:hAnsi="黑体" w:eastAsia="黑体"/>
          <w:bCs/>
          <w:szCs w:val="21"/>
        </w:rPr>
      </w:pPr>
      <w:r>
        <w:rPr>
          <w:rFonts w:hint="eastAsia" w:ascii="黑体" w:hAnsi="黑体" w:eastAsia="黑体"/>
          <w:bCs/>
          <w:szCs w:val="21"/>
        </w:rPr>
        <w:t>本次评标采用</w:t>
      </w:r>
      <w:r>
        <w:rPr>
          <w:rFonts w:ascii="黑体" w:hAnsi="黑体" w:eastAsia="黑体"/>
          <w:b/>
          <w:bCs/>
          <w:szCs w:val="21"/>
          <w:u w:val="single"/>
        </w:rPr>
        <w:t xml:space="preserve"> 详见</w:t>
      </w:r>
      <w:r>
        <w:rPr>
          <w:rFonts w:hint="eastAsia" w:ascii="黑体" w:hAnsi="黑体" w:eastAsia="黑体"/>
          <w:b/>
          <w:bCs/>
          <w:szCs w:val="21"/>
          <w:u w:val="single"/>
        </w:rPr>
        <w:t>投标人须知前附表</w:t>
      </w:r>
      <w:r>
        <w:rPr>
          <w:rFonts w:ascii="黑体" w:hAnsi="黑体" w:eastAsia="黑体"/>
          <w:b/>
          <w:bCs/>
          <w:szCs w:val="21"/>
          <w:u w:val="single"/>
        </w:rPr>
        <w:t xml:space="preserve"> </w:t>
      </w:r>
      <w:r>
        <w:rPr>
          <w:rFonts w:hint="eastAsia" w:ascii="黑体" w:hAnsi="黑体" w:eastAsia="黑体"/>
          <w:bCs/>
          <w:szCs w:val="21"/>
        </w:rPr>
        <w:t>中选定的方法，具体见招标文件第五部分“评标方法、步骤、标准”。</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投标文件的资格性与符合性审查</w:t>
      </w:r>
    </w:p>
    <w:p>
      <w:pPr>
        <w:pStyle w:val="30"/>
        <w:numPr>
          <w:ilvl w:val="0"/>
          <w:numId w:val="47"/>
        </w:numPr>
        <w:tabs>
          <w:tab w:val="left" w:pos="426"/>
          <w:tab w:val="left" w:pos="567"/>
        </w:tabs>
        <w:spacing w:line="360" w:lineRule="auto"/>
        <w:ind w:left="567" w:hanging="567" w:firstLineChars="0"/>
        <w:rPr>
          <w:rFonts w:ascii="黑体" w:hAnsi="黑体" w:eastAsia="黑体"/>
          <w:bCs/>
          <w:szCs w:val="21"/>
        </w:rPr>
      </w:pPr>
      <w:r>
        <w:rPr>
          <w:rFonts w:hint="eastAsia" w:ascii="黑体" w:hAnsi="黑体" w:eastAsia="黑体"/>
          <w:bCs/>
          <w:szCs w:val="21"/>
        </w:rPr>
        <w:t xml:space="preserve"> 资格性审查：</w:t>
      </w:r>
      <w:bookmarkStart w:id="46" w:name="_Hlk90649924"/>
      <w:bookmarkStart w:id="47" w:name="_Hlk79422321"/>
      <w:r>
        <w:rPr>
          <w:rFonts w:hint="eastAsia" w:ascii="黑体" w:hAnsi="黑体" w:eastAsia="黑体"/>
          <w:bCs/>
          <w:szCs w:val="21"/>
        </w:rPr>
        <w:t>公开招标采购项目开标结束后</w:t>
      </w:r>
      <w:bookmarkEnd w:id="46"/>
      <w:r>
        <w:rPr>
          <w:rFonts w:hint="eastAsia" w:ascii="黑体" w:hAnsi="黑体" w:eastAsia="黑体"/>
          <w:bCs/>
          <w:szCs w:val="21"/>
        </w:rPr>
        <w:t>，采购人或者采购代理机构应当依法对投标人的资格进行审查</w:t>
      </w:r>
      <w:bookmarkEnd w:id="47"/>
      <w:r>
        <w:rPr>
          <w:rFonts w:hint="eastAsia" w:ascii="黑体" w:hAnsi="黑体" w:eastAsia="黑体"/>
          <w:bCs/>
          <w:szCs w:val="21"/>
        </w:rPr>
        <w:t>。</w:t>
      </w:r>
    </w:p>
    <w:p>
      <w:pPr>
        <w:pStyle w:val="30"/>
        <w:numPr>
          <w:ilvl w:val="0"/>
          <w:numId w:val="47"/>
        </w:numPr>
        <w:spacing w:line="360" w:lineRule="auto"/>
        <w:ind w:left="567" w:hanging="567" w:firstLineChars="0"/>
        <w:rPr>
          <w:rFonts w:ascii="黑体" w:hAnsi="黑体" w:eastAsia="黑体"/>
          <w:bCs/>
          <w:szCs w:val="21"/>
        </w:rPr>
      </w:pPr>
      <w:r>
        <w:rPr>
          <w:rFonts w:hint="eastAsia" w:ascii="黑体" w:hAnsi="黑体" w:eastAsia="黑体"/>
          <w:bCs/>
          <w:szCs w:val="21"/>
        </w:rPr>
        <w:t>符合性审查：评标委员会对符合资格的投标人的投标文件进行符合性审查，以确定其是否满足招标文件实质性要求。</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投标文件的澄清</w:t>
      </w:r>
    </w:p>
    <w:p>
      <w:pPr>
        <w:pStyle w:val="30"/>
        <w:numPr>
          <w:ilvl w:val="0"/>
          <w:numId w:val="48"/>
        </w:numPr>
        <w:spacing w:line="360" w:lineRule="auto"/>
        <w:ind w:left="567" w:hanging="567" w:firstLineChars="0"/>
        <w:rPr>
          <w:rFonts w:ascii="黑体" w:hAnsi="黑体" w:eastAsia="黑体"/>
          <w:bCs/>
          <w:szCs w:val="21"/>
        </w:rPr>
      </w:pPr>
      <w:r>
        <w:rPr>
          <w:rFonts w:hint="eastAsia" w:ascii="黑体" w:hAnsi="黑体" w:eastAsia="黑体"/>
          <w:bCs/>
          <w:szCs w:val="21"/>
        </w:rPr>
        <w:t>评标期间，对于投标文件中含义不明确、同类问题表述不一致或者有明显文字和计算错误的内容，评标委员会以书面的形式要求投标人作出必要的澄清、说明或者补正。</w:t>
      </w:r>
    </w:p>
    <w:p>
      <w:pPr>
        <w:pStyle w:val="30"/>
        <w:numPr>
          <w:ilvl w:val="0"/>
          <w:numId w:val="48"/>
        </w:numPr>
        <w:spacing w:line="360" w:lineRule="auto"/>
        <w:ind w:left="567" w:hanging="567" w:firstLineChars="0"/>
        <w:rPr>
          <w:rFonts w:ascii="黑体" w:hAnsi="黑体" w:eastAsia="黑体"/>
          <w:bCs/>
          <w:szCs w:val="21"/>
        </w:rPr>
      </w:pPr>
      <w:r>
        <w:rPr>
          <w:rFonts w:hint="eastAsia" w:ascii="黑体" w:hAnsi="黑体" w:eastAsia="黑体"/>
          <w:bCs/>
          <w:szCs w:val="21"/>
        </w:rPr>
        <w:t>投标人的澄清、说明或者补正采用书面形式，并加盖公章，或者由法定代表人或其授权的代表签字。投标人的澄清、说明或者补正不得超出投标文件的范围或者改变投标文件的实质性内容。</w:t>
      </w:r>
    </w:p>
    <w:p>
      <w:pPr>
        <w:pStyle w:val="30"/>
        <w:numPr>
          <w:ilvl w:val="0"/>
          <w:numId w:val="48"/>
        </w:numPr>
        <w:spacing w:line="360" w:lineRule="auto"/>
        <w:ind w:left="567" w:hanging="567" w:firstLineChars="0"/>
        <w:rPr>
          <w:rFonts w:ascii="黑体" w:hAnsi="黑体" w:eastAsia="黑体"/>
          <w:bCs/>
          <w:szCs w:val="21"/>
        </w:rPr>
      </w:pPr>
      <w:r>
        <w:rPr>
          <w:rFonts w:hint="eastAsia" w:ascii="黑体" w:hAnsi="黑体" w:eastAsia="黑体"/>
          <w:bCs/>
          <w:szCs w:val="21"/>
        </w:rPr>
        <w:t>投标人的澄清文件是其投标文件的组成部分。</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定标原则与授标</w:t>
      </w:r>
    </w:p>
    <w:p>
      <w:pPr>
        <w:pStyle w:val="30"/>
        <w:numPr>
          <w:ilvl w:val="0"/>
          <w:numId w:val="49"/>
        </w:numPr>
        <w:spacing w:line="360" w:lineRule="auto"/>
        <w:ind w:left="567" w:hanging="567" w:firstLineChars="0"/>
        <w:rPr>
          <w:rFonts w:ascii="黑体" w:hAnsi="黑体" w:eastAsia="黑体"/>
          <w:bCs/>
          <w:szCs w:val="21"/>
        </w:rPr>
      </w:pPr>
      <w:r>
        <w:rPr>
          <w:rFonts w:hint="eastAsia" w:ascii="黑体" w:hAnsi="黑体" w:eastAsia="黑体"/>
          <w:bCs/>
          <w:szCs w:val="21"/>
        </w:rPr>
        <w:t>评标委员会按照招标文件确定的评标方法、步骤、标准，对投标文件进行评审，提出书面评标报告。</w:t>
      </w:r>
    </w:p>
    <w:p>
      <w:pPr>
        <w:pStyle w:val="30"/>
        <w:numPr>
          <w:ilvl w:val="0"/>
          <w:numId w:val="49"/>
        </w:numPr>
        <w:spacing w:line="360" w:lineRule="auto"/>
        <w:ind w:left="567" w:hanging="567" w:firstLineChars="0"/>
        <w:rPr>
          <w:rFonts w:ascii="黑体" w:hAnsi="黑体" w:eastAsia="黑体"/>
          <w:bCs/>
          <w:szCs w:val="21"/>
        </w:rPr>
      </w:pPr>
      <w:r>
        <w:rPr>
          <w:rFonts w:ascii="黑体" w:hAnsi="黑体" w:eastAsia="黑体"/>
          <w:bCs/>
          <w:szCs w:val="21"/>
        </w:rPr>
        <w:t>采购代理机构</w:t>
      </w:r>
      <w:r>
        <w:rPr>
          <w:rFonts w:hint="eastAsia" w:ascii="黑体" w:hAnsi="黑体" w:eastAsia="黑体"/>
          <w:bCs/>
          <w:szCs w:val="21"/>
        </w:rPr>
        <w:t>自评标</w:t>
      </w:r>
      <w:r>
        <w:rPr>
          <w:rFonts w:ascii="黑体" w:hAnsi="黑体" w:eastAsia="黑体"/>
          <w:bCs/>
          <w:szCs w:val="21"/>
        </w:rPr>
        <w:t>结束</w:t>
      </w:r>
      <w:r>
        <w:rPr>
          <w:rFonts w:hint="eastAsia" w:ascii="黑体" w:hAnsi="黑体" w:eastAsia="黑体"/>
          <w:bCs/>
          <w:szCs w:val="21"/>
        </w:rPr>
        <w:t>后</w:t>
      </w:r>
      <w:r>
        <w:rPr>
          <w:rFonts w:ascii="黑体" w:hAnsi="黑体" w:eastAsia="黑体"/>
          <w:bCs/>
          <w:szCs w:val="21"/>
        </w:rPr>
        <w:t>2个工作日内将</w:t>
      </w:r>
      <w:r>
        <w:rPr>
          <w:rFonts w:hint="eastAsia" w:ascii="黑体" w:hAnsi="黑体" w:eastAsia="黑体"/>
          <w:bCs/>
          <w:szCs w:val="21"/>
        </w:rPr>
        <w:t>评标</w:t>
      </w:r>
      <w:r>
        <w:rPr>
          <w:rFonts w:ascii="黑体" w:hAnsi="黑体" w:eastAsia="黑体"/>
          <w:bCs/>
          <w:szCs w:val="21"/>
        </w:rPr>
        <w:t>报告送采购人。采购人应当自收到</w:t>
      </w:r>
      <w:r>
        <w:rPr>
          <w:rFonts w:hint="eastAsia" w:ascii="黑体" w:hAnsi="黑体" w:eastAsia="黑体"/>
          <w:bCs/>
          <w:szCs w:val="21"/>
        </w:rPr>
        <w:t>评标</w:t>
      </w:r>
      <w:r>
        <w:rPr>
          <w:rFonts w:ascii="黑体" w:hAnsi="黑体" w:eastAsia="黑体"/>
          <w:bCs/>
          <w:szCs w:val="21"/>
        </w:rPr>
        <w:t>报告之日起5个工作日内在</w:t>
      </w:r>
      <w:r>
        <w:rPr>
          <w:rFonts w:hint="eastAsia" w:ascii="黑体" w:hAnsi="黑体" w:eastAsia="黑体"/>
          <w:bCs/>
          <w:szCs w:val="21"/>
        </w:rPr>
        <w:t>评标报告确定的</w:t>
      </w:r>
      <w:r>
        <w:rPr>
          <w:rFonts w:ascii="黑体" w:hAnsi="黑体" w:eastAsia="黑体"/>
          <w:bCs/>
          <w:szCs w:val="21"/>
        </w:rPr>
        <w:t>中标候选人</w:t>
      </w:r>
      <w:r>
        <w:rPr>
          <w:rFonts w:hint="eastAsia" w:ascii="黑体" w:hAnsi="黑体" w:eastAsia="黑体"/>
          <w:bCs/>
          <w:szCs w:val="21"/>
        </w:rPr>
        <w:t>名单</w:t>
      </w:r>
      <w:r>
        <w:rPr>
          <w:rFonts w:ascii="黑体" w:hAnsi="黑体" w:eastAsia="黑体"/>
          <w:bCs/>
          <w:szCs w:val="21"/>
        </w:rPr>
        <w:t>中按顺序确定中标</w:t>
      </w:r>
      <w:r>
        <w:rPr>
          <w:rFonts w:hint="eastAsia" w:ascii="黑体" w:hAnsi="黑体" w:eastAsia="黑体"/>
          <w:bCs/>
          <w:szCs w:val="21"/>
        </w:rPr>
        <w:t>人。</w:t>
      </w:r>
    </w:p>
    <w:p>
      <w:pPr>
        <w:pStyle w:val="30"/>
        <w:numPr>
          <w:ilvl w:val="0"/>
          <w:numId w:val="49"/>
        </w:numPr>
        <w:spacing w:line="360" w:lineRule="auto"/>
        <w:ind w:left="567" w:hanging="567" w:firstLineChars="0"/>
        <w:rPr>
          <w:rFonts w:ascii="黑体" w:hAnsi="黑体" w:eastAsia="黑体"/>
          <w:bCs/>
          <w:szCs w:val="21"/>
        </w:rPr>
      </w:pPr>
      <w:r>
        <w:rPr>
          <w:rFonts w:hint="eastAsia" w:ascii="黑体" w:hAnsi="黑体" w:eastAsia="黑体"/>
          <w:bCs/>
          <w:szCs w:val="21"/>
        </w:rPr>
        <w:t>采购人在收到评标报告</w:t>
      </w:r>
      <w:r>
        <w:rPr>
          <w:rFonts w:ascii="黑体" w:hAnsi="黑体" w:eastAsia="黑体"/>
          <w:bCs/>
          <w:szCs w:val="21"/>
        </w:rPr>
        <w:t>5个工作日内未按评标报告推荐的中标候选人顺序确定中标人，又不</w:t>
      </w:r>
      <w:r>
        <w:rPr>
          <w:rFonts w:hint="eastAsia" w:ascii="黑体" w:hAnsi="黑体" w:eastAsia="黑体"/>
          <w:bCs/>
          <w:spacing w:val="-4"/>
          <w:szCs w:val="21"/>
        </w:rPr>
        <w:t>能说明合法理由的，视同按评标报告推荐的顺序确定排名第一的中标候选人为中标人。</w:t>
      </w:r>
    </w:p>
    <w:p>
      <w:pPr>
        <w:pStyle w:val="30"/>
        <w:widowControl/>
        <w:numPr>
          <w:ilvl w:val="0"/>
          <w:numId w:val="16"/>
        </w:numPr>
        <w:spacing w:line="360" w:lineRule="auto"/>
        <w:ind w:firstLineChars="0"/>
        <w:jc w:val="left"/>
        <w:rPr>
          <w:rFonts w:ascii="黑体" w:hAnsi="黑体" w:eastAsia="黑体"/>
          <w:b/>
          <w:szCs w:val="21"/>
        </w:rPr>
      </w:pPr>
      <w:r>
        <w:rPr>
          <w:rFonts w:ascii="黑体" w:hAnsi="黑体" w:eastAsia="黑体"/>
          <w:b/>
          <w:szCs w:val="21"/>
        </w:rPr>
        <w:t>特别说明</w:t>
      </w:r>
    </w:p>
    <w:p>
      <w:pPr>
        <w:pStyle w:val="30"/>
        <w:widowControl/>
        <w:numPr>
          <w:ilvl w:val="0"/>
          <w:numId w:val="50"/>
        </w:numPr>
        <w:tabs>
          <w:tab w:val="left" w:pos="567"/>
        </w:tabs>
        <w:spacing w:line="360" w:lineRule="auto"/>
        <w:ind w:firstLineChars="0"/>
        <w:jc w:val="left"/>
        <w:rPr>
          <w:rFonts w:ascii="黑体" w:hAnsi="黑体" w:eastAsia="黑体"/>
          <w:b/>
          <w:bCs/>
          <w:szCs w:val="21"/>
        </w:rPr>
      </w:pPr>
      <w:r>
        <w:rPr>
          <w:rFonts w:hint="eastAsia" w:ascii="黑体" w:hAnsi="黑体" w:eastAsia="黑体"/>
          <w:b/>
          <w:bCs/>
          <w:szCs w:val="21"/>
        </w:rPr>
        <w:t>有下列情形之一的，视为投标人串通投标，其投标无效：</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不同投标人的投标文件由同一单位或者个人编制；</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不同投标人委托同一单位或者个人办理投标事宜；</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不同投标人的投标文件载明的项目管理成员或者联系人员为同一人；</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不同投标人的投标文件异常一致或者投标报价呈规律性差异；</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不同投标人的投标文件相互混装；</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不同投标人的投标保证金从同一单位或者个人的账户转出。</w:t>
      </w:r>
    </w:p>
    <w:p>
      <w:pPr>
        <w:pStyle w:val="30"/>
        <w:widowControl/>
        <w:numPr>
          <w:ilvl w:val="1"/>
          <w:numId w:val="16"/>
        </w:numPr>
        <w:spacing w:line="360" w:lineRule="auto"/>
        <w:ind w:firstLineChars="0"/>
        <w:jc w:val="left"/>
        <w:rPr>
          <w:rFonts w:ascii="黑体" w:hAnsi="黑体" w:eastAsia="黑体"/>
          <w:b/>
          <w:bCs/>
          <w:szCs w:val="21"/>
        </w:rPr>
      </w:pPr>
      <w:r>
        <w:rPr>
          <w:rFonts w:hint="eastAsia" w:ascii="黑体" w:hAnsi="黑体" w:eastAsia="黑体"/>
          <w:b/>
          <w:bCs/>
          <w:szCs w:val="21"/>
        </w:rPr>
        <w:t>投标人存在下列情况之一的，投标无效：</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未按照招标文件的规定提交投标保证金的；</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投标文件未按招标文件要求签署、盖章的；</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不具备招标文件中规定的资格要求的；</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报价超过招标文件中规定的预算金额或者最高限价的；</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投标文件含有采购人不能接受的附加条件的；</w:t>
      </w:r>
    </w:p>
    <w:p>
      <w:pPr>
        <w:pStyle w:val="30"/>
        <w:widowControl/>
        <w:numPr>
          <w:ilvl w:val="2"/>
          <w:numId w:val="16"/>
        </w:numPr>
        <w:spacing w:line="360" w:lineRule="auto"/>
        <w:ind w:firstLineChars="0"/>
        <w:jc w:val="left"/>
        <w:rPr>
          <w:rFonts w:ascii="黑体" w:hAnsi="黑体" w:eastAsia="黑体"/>
          <w:szCs w:val="21"/>
        </w:rPr>
      </w:pPr>
      <w:r>
        <w:rPr>
          <w:rFonts w:hint="eastAsia" w:ascii="黑体" w:hAnsi="黑体" w:eastAsia="黑体"/>
          <w:szCs w:val="21"/>
        </w:rPr>
        <w:t>法律、法规和招标文件规定的其他无效情形。</w:t>
      </w:r>
    </w:p>
    <w:p>
      <w:pPr>
        <w:pStyle w:val="30"/>
        <w:widowControl/>
        <w:numPr>
          <w:ilvl w:val="1"/>
          <w:numId w:val="16"/>
        </w:numPr>
        <w:spacing w:line="360" w:lineRule="auto"/>
        <w:ind w:firstLineChars="0"/>
        <w:jc w:val="left"/>
        <w:rPr>
          <w:rFonts w:ascii="黑体" w:hAnsi="黑体" w:eastAsia="黑体"/>
          <w:b/>
          <w:bCs/>
          <w:szCs w:val="21"/>
        </w:rPr>
      </w:pPr>
      <w:r>
        <w:rPr>
          <w:rFonts w:ascii="黑体" w:hAnsi="黑体" w:eastAsia="黑体"/>
          <w:b/>
          <w:bCs/>
          <w:szCs w:val="21"/>
        </w:rPr>
        <w:t>废标</w:t>
      </w:r>
    </w:p>
    <w:p>
      <w:pPr>
        <w:pStyle w:val="30"/>
        <w:widowControl/>
        <w:numPr>
          <w:ilvl w:val="2"/>
          <w:numId w:val="16"/>
        </w:numPr>
        <w:spacing w:line="360" w:lineRule="auto"/>
        <w:ind w:firstLineChars="0"/>
        <w:jc w:val="left"/>
        <w:rPr>
          <w:rFonts w:ascii="黑体" w:hAnsi="黑体" w:eastAsia="黑体"/>
          <w:szCs w:val="21"/>
        </w:rPr>
      </w:pPr>
      <w:r>
        <w:rPr>
          <w:rFonts w:ascii="黑体" w:hAnsi="黑体" w:eastAsia="黑体"/>
          <w:szCs w:val="21"/>
        </w:rPr>
        <w:t>在招标采购中，出现下列情形之一的，应予废标</w:t>
      </w:r>
      <w:r>
        <w:rPr>
          <w:rFonts w:hint="eastAsia" w:ascii="黑体" w:hAnsi="黑体" w:eastAsia="黑体"/>
          <w:szCs w:val="21"/>
        </w:rPr>
        <w:t>。</w:t>
      </w:r>
    </w:p>
    <w:p>
      <w:pPr>
        <w:pStyle w:val="30"/>
        <w:widowControl/>
        <w:numPr>
          <w:ilvl w:val="3"/>
          <w:numId w:val="51"/>
        </w:numPr>
        <w:tabs>
          <w:tab w:val="left" w:pos="1134"/>
        </w:tabs>
        <w:spacing w:line="360" w:lineRule="auto"/>
        <w:ind w:left="993" w:hanging="993" w:firstLineChars="0"/>
        <w:jc w:val="left"/>
        <w:rPr>
          <w:rFonts w:ascii="黑体" w:hAnsi="黑体" w:eastAsia="黑体"/>
          <w:szCs w:val="21"/>
        </w:rPr>
      </w:pPr>
      <w:r>
        <w:rPr>
          <w:rFonts w:ascii="黑体" w:hAnsi="黑体" w:eastAsia="黑体"/>
          <w:szCs w:val="21"/>
        </w:rPr>
        <w:t>符合专业条件的供应商或者对</w:t>
      </w:r>
      <w:r>
        <w:rPr>
          <w:rFonts w:hint="eastAsia" w:ascii="黑体" w:hAnsi="黑体" w:eastAsia="黑体"/>
          <w:szCs w:val="21"/>
        </w:rPr>
        <w:t>招标</w:t>
      </w:r>
      <w:r>
        <w:rPr>
          <w:rFonts w:ascii="黑体" w:hAnsi="黑体" w:eastAsia="黑体"/>
          <w:szCs w:val="21"/>
        </w:rPr>
        <w:t>文件作实质响应的供应商不足三家的；</w:t>
      </w:r>
    </w:p>
    <w:p>
      <w:pPr>
        <w:pStyle w:val="30"/>
        <w:widowControl/>
        <w:numPr>
          <w:ilvl w:val="3"/>
          <w:numId w:val="51"/>
        </w:numPr>
        <w:tabs>
          <w:tab w:val="left" w:pos="1134"/>
        </w:tabs>
        <w:spacing w:line="360" w:lineRule="auto"/>
        <w:ind w:left="993" w:hanging="993" w:firstLineChars="0"/>
        <w:jc w:val="left"/>
        <w:rPr>
          <w:rFonts w:ascii="黑体" w:hAnsi="黑体" w:eastAsia="黑体"/>
          <w:szCs w:val="21"/>
        </w:rPr>
      </w:pPr>
      <w:r>
        <w:rPr>
          <w:rFonts w:ascii="黑体" w:hAnsi="黑体" w:eastAsia="黑体"/>
          <w:szCs w:val="21"/>
        </w:rPr>
        <w:t>出现影响采购公正的违法、违规行为的；</w:t>
      </w:r>
    </w:p>
    <w:p>
      <w:pPr>
        <w:pStyle w:val="30"/>
        <w:widowControl/>
        <w:numPr>
          <w:ilvl w:val="3"/>
          <w:numId w:val="51"/>
        </w:numPr>
        <w:tabs>
          <w:tab w:val="left" w:pos="1134"/>
        </w:tabs>
        <w:spacing w:line="360" w:lineRule="auto"/>
        <w:ind w:left="993" w:hanging="993" w:firstLineChars="0"/>
        <w:jc w:val="left"/>
        <w:rPr>
          <w:rFonts w:ascii="黑体" w:hAnsi="黑体" w:eastAsia="黑体"/>
          <w:szCs w:val="21"/>
        </w:rPr>
      </w:pPr>
      <w:r>
        <w:rPr>
          <w:rFonts w:ascii="黑体" w:hAnsi="黑体" w:eastAsia="黑体"/>
          <w:szCs w:val="21"/>
        </w:rPr>
        <w:t>投标人的报价均超过了采购预算，采购人不能支付的；</w:t>
      </w:r>
    </w:p>
    <w:p>
      <w:pPr>
        <w:pStyle w:val="30"/>
        <w:widowControl/>
        <w:numPr>
          <w:ilvl w:val="3"/>
          <w:numId w:val="51"/>
        </w:numPr>
        <w:tabs>
          <w:tab w:val="left" w:pos="1134"/>
        </w:tabs>
        <w:spacing w:line="360" w:lineRule="auto"/>
        <w:ind w:left="993" w:hanging="993" w:firstLineChars="0"/>
        <w:jc w:val="left"/>
        <w:rPr>
          <w:rFonts w:ascii="黑体" w:hAnsi="黑体" w:eastAsia="黑体"/>
          <w:szCs w:val="21"/>
        </w:rPr>
      </w:pPr>
      <w:r>
        <w:rPr>
          <w:rFonts w:ascii="黑体" w:hAnsi="黑体" w:eastAsia="黑体"/>
          <w:szCs w:val="21"/>
        </w:rPr>
        <w:t>因重大变故，采购任务取消的</w:t>
      </w:r>
      <w:r>
        <w:rPr>
          <w:rFonts w:hint="eastAsia" w:ascii="黑体" w:hAnsi="黑体" w:eastAsia="黑体"/>
          <w:szCs w:val="21"/>
        </w:rPr>
        <w:t>。</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询问、质疑、投诉</w:t>
      </w:r>
    </w:p>
    <w:p>
      <w:pPr>
        <w:pStyle w:val="30"/>
        <w:numPr>
          <w:ilvl w:val="0"/>
          <w:numId w:val="52"/>
        </w:numPr>
        <w:spacing w:line="360" w:lineRule="auto"/>
        <w:ind w:firstLineChars="0"/>
        <w:rPr>
          <w:rFonts w:ascii="黑体" w:hAnsi="黑体" w:eastAsia="黑体"/>
          <w:bCs/>
          <w:szCs w:val="21"/>
        </w:rPr>
      </w:pPr>
      <w:r>
        <w:rPr>
          <w:rFonts w:hint="eastAsia" w:ascii="黑体" w:hAnsi="黑体" w:eastAsia="黑体"/>
          <w:bCs/>
          <w:szCs w:val="21"/>
        </w:rPr>
        <w:t xml:space="preserve"> 询问</w:t>
      </w:r>
    </w:p>
    <w:p>
      <w:pPr>
        <w:pStyle w:val="30"/>
        <w:numPr>
          <w:ilvl w:val="2"/>
          <w:numId w:val="53"/>
        </w:numPr>
        <w:spacing w:line="360" w:lineRule="auto"/>
        <w:ind w:firstLineChars="0"/>
        <w:rPr>
          <w:rFonts w:ascii="黑体" w:hAnsi="黑体" w:eastAsia="黑体"/>
          <w:bCs/>
          <w:szCs w:val="21"/>
        </w:rPr>
      </w:pPr>
      <w:r>
        <w:rPr>
          <w:rFonts w:hint="eastAsia" w:ascii="黑体" w:hAnsi="黑体" w:eastAsia="黑体"/>
          <w:bCs/>
          <w:szCs w:val="21"/>
        </w:rPr>
        <w:t>供应商对政府采购活动事项有疑问的，可以向采购人或者采购代理机构提出询问，询问可以口头方式提出，也可以书面方式提出。</w:t>
      </w:r>
    </w:p>
    <w:p>
      <w:pPr>
        <w:pStyle w:val="30"/>
        <w:numPr>
          <w:ilvl w:val="2"/>
          <w:numId w:val="53"/>
        </w:numPr>
        <w:spacing w:line="360" w:lineRule="auto"/>
        <w:ind w:firstLineChars="0"/>
        <w:rPr>
          <w:rFonts w:ascii="黑体" w:hAnsi="黑体" w:eastAsia="黑体"/>
          <w:bCs/>
          <w:szCs w:val="21"/>
        </w:rPr>
      </w:pPr>
      <w:r>
        <w:rPr>
          <w:rFonts w:hint="eastAsia" w:ascii="黑体" w:hAnsi="黑体" w:eastAsia="黑体"/>
          <w:bCs/>
          <w:szCs w:val="21"/>
        </w:rPr>
        <w:t>如采用书面方式提出询问，供应商为自然人的，询问函应当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pPr>
        <w:pStyle w:val="30"/>
        <w:numPr>
          <w:ilvl w:val="2"/>
          <w:numId w:val="53"/>
        </w:numPr>
        <w:spacing w:line="360" w:lineRule="auto"/>
        <w:ind w:firstLineChars="0"/>
        <w:rPr>
          <w:rFonts w:ascii="黑体" w:hAnsi="黑体" w:eastAsia="黑体"/>
          <w:bCs/>
          <w:szCs w:val="21"/>
        </w:rPr>
      </w:pPr>
      <w:r>
        <w:rPr>
          <w:rFonts w:hint="eastAsia" w:ascii="黑体" w:hAnsi="黑体" w:eastAsia="黑体"/>
          <w:bCs/>
          <w:szCs w:val="21"/>
        </w:rPr>
        <w:t>采购人或者采购代理机构在三个工作日内对供应商依法提出的询问作出答复。</w:t>
      </w:r>
    </w:p>
    <w:p>
      <w:pPr>
        <w:pStyle w:val="30"/>
        <w:numPr>
          <w:ilvl w:val="0"/>
          <w:numId w:val="52"/>
        </w:numPr>
        <w:spacing w:line="360" w:lineRule="auto"/>
        <w:ind w:firstLineChars="0"/>
        <w:rPr>
          <w:rFonts w:ascii="黑体" w:hAnsi="黑体" w:eastAsia="黑体"/>
          <w:bCs/>
          <w:szCs w:val="21"/>
        </w:rPr>
      </w:pPr>
      <w:r>
        <w:rPr>
          <w:rFonts w:hint="eastAsia" w:ascii="黑体" w:hAnsi="黑体" w:eastAsia="黑体"/>
          <w:bCs/>
          <w:szCs w:val="21"/>
        </w:rPr>
        <w:t xml:space="preserve"> 质疑</w:t>
      </w:r>
    </w:p>
    <w:p>
      <w:pPr>
        <w:pStyle w:val="30"/>
        <w:numPr>
          <w:ilvl w:val="2"/>
          <w:numId w:val="54"/>
        </w:numPr>
        <w:spacing w:line="360" w:lineRule="auto"/>
        <w:ind w:firstLineChars="0"/>
        <w:rPr>
          <w:rFonts w:ascii="黑体" w:hAnsi="黑体" w:eastAsia="黑体"/>
          <w:bCs/>
          <w:szCs w:val="21"/>
        </w:rPr>
      </w:pPr>
      <w:r>
        <w:rPr>
          <w:rFonts w:hint="eastAsia" w:ascii="黑体" w:hAnsi="黑体" w:eastAsia="黑体" w:cs="宋体"/>
          <w:kern w:val="0"/>
          <w:szCs w:val="21"/>
        </w:rPr>
        <w:t>供应商认为采购文件、采购过程、中标或者成交结果使自己的权益受到损害的，可以在知道或者应知其权益受到损害之日起7个工作日内，以书面形式向采购人、采购代理机构提出质疑。</w:t>
      </w:r>
    </w:p>
    <w:p>
      <w:pPr>
        <w:pStyle w:val="30"/>
        <w:numPr>
          <w:ilvl w:val="2"/>
          <w:numId w:val="54"/>
        </w:numPr>
        <w:spacing w:line="360" w:lineRule="auto"/>
        <w:ind w:firstLineChars="0"/>
        <w:rPr>
          <w:rFonts w:ascii="黑体" w:hAnsi="黑体" w:eastAsia="黑体"/>
          <w:bCs/>
          <w:szCs w:val="21"/>
        </w:rPr>
      </w:pPr>
      <w:r>
        <w:rPr>
          <w:rFonts w:hint="eastAsia" w:ascii="黑体" w:hAnsi="黑体" w:eastAsia="黑体"/>
          <w:bCs/>
          <w:szCs w:val="21"/>
        </w:rPr>
        <w:t>提出质疑的供应商应当是参与所质疑项目采购活动的供应商。</w:t>
      </w:r>
    </w:p>
    <w:p>
      <w:pPr>
        <w:pStyle w:val="30"/>
        <w:numPr>
          <w:ilvl w:val="0"/>
          <w:numId w:val="52"/>
        </w:numPr>
        <w:spacing w:line="360" w:lineRule="auto"/>
        <w:ind w:firstLineChars="0"/>
        <w:rPr>
          <w:rFonts w:ascii="黑体" w:hAnsi="黑体" w:eastAsia="黑体"/>
          <w:bCs/>
          <w:szCs w:val="21"/>
        </w:rPr>
      </w:pPr>
      <w:r>
        <w:rPr>
          <w:rFonts w:hint="eastAsia" w:ascii="黑体" w:hAnsi="黑体" w:eastAsia="黑体"/>
          <w:bCs/>
          <w:szCs w:val="21"/>
        </w:rPr>
        <w:t xml:space="preserve"> 提交要求：</w:t>
      </w:r>
    </w:p>
    <w:p>
      <w:pPr>
        <w:pStyle w:val="30"/>
        <w:numPr>
          <w:ilvl w:val="2"/>
          <w:numId w:val="55"/>
        </w:numPr>
        <w:spacing w:line="360" w:lineRule="auto"/>
        <w:ind w:firstLineChars="0"/>
        <w:rPr>
          <w:rFonts w:ascii="黑体" w:hAnsi="黑体" w:eastAsia="黑体"/>
          <w:bCs/>
          <w:szCs w:val="21"/>
        </w:rPr>
      </w:pPr>
      <w:r>
        <w:rPr>
          <w:rFonts w:hint="eastAsia" w:ascii="黑体" w:hAnsi="黑体" w:eastAsia="黑体"/>
          <w:bCs/>
          <w:szCs w:val="21"/>
        </w:rPr>
        <w:t>以书面形式向采购人或者采购代理机构一次性提出针对同一采购程序环节的质疑。</w:t>
      </w:r>
    </w:p>
    <w:p>
      <w:pPr>
        <w:pStyle w:val="30"/>
        <w:numPr>
          <w:ilvl w:val="2"/>
          <w:numId w:val="55"/>
        </w:numPr>
        <w:spacing w:line="360" w:lineRule="auto"/>
        <w:ind w:firstLineChars="0"/>
        <w:rPr>
          <w:rFonts w:ascii="黑体" w:hAnsi="黑体" w:eastAsia="黑体"/>
          <w:bCs/>
          <w:szCs w:val="21"/>
        </w:rPr>
      </w:pPr>
      <w:r>
        <w:rPr>
          <w:rFonts w:hint="eastAsia" w:ascii="黑体" w:hAnsi="黑体" w:eastAsia="黑体"/>
          <w:bCs/>
          <w:spacing w:val="-4"/>
          <w:szCs w:val="21"/>
        </w:rPr>
        <w:t>以联合体形式参加政府采购活动的，其质疑应当由组成联合体的所有供应商共同提出</w:t>
      </w:r>
      <w:r>
        <w:rPr>
          <w:rFonts w:hint="eastAsia" w:ascii="黑体" w:hAnsi="黑体" w:eastAsia="黑体"/>
          <w:bCs/>
          <w:szCs w:val="21"/>
        </w:rPr>
        <w:t>。</w:t>
      </w:r>
    </w:p>
    <w:p>
      <w:pPr>
        <w:pStyle w:val="30"/>
        <w:numPr>
          <w:ilvl w:val="2"/>
          <w:numId w:val="55"/>
        </w:numPr>
        <w:spacing w:line="360" w:lineRule="auto"/>
        <w:ind w:firstLineChars="0"/>
        <w:rPr>
          <w:rFonts w:ascii="黑体" w:hAnsi="黑体" w:eastAsia="黑体"/>
          <w:bCs/>
          <w:szCs w:val="21"/>
        </w:rPr>
      </w:pPr>
      <w:r>
        <w:rPr>
          <w:rFonts w:hint="eastAsia" w:ascii="黑体" w:hAnsi="黑体" w:eastAsia="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pStyle w:val="30"/>
        <w:numPr>
          <w:ilvl w:val="2"/>
          <w:numId w:val="55"/>
        </w:numPr>
        <w:spacing w:line="360" w:lineRule="auto"/>
        <w:ind w:firstLineChars="0"/>
        <w:rPr>
          <w:rFonts w:ascii="黑体" w:hAnsi="黑体" w:eastAsia="黑体"/>
          <w:bCs/>
          <w:szCs w:val="21"/>
        </w:rPr>
      </w:pPr>
      <w:r>
        <w:rPr>
          <w:rFonts w:hint="eastAsia" w:ascii="黑体" w:hAnsi="黑体" w:eastAsia="黑体"/>
          <w:bCs/>
          <w:szCs w:val="21"/>
        </w:rPr>
        <w:t>供应商捏造事实、提供虚假材料或者以非法手段取得证明材料不能作为质疑的证明材料。采购人或者采购代理机构在收到投标人的书面质疑后</w:t>
      </w:r>
      <w:r>
        <w:rPr>
          <w:rFonts w:ascii="黑体" w:hAnsi="黑体" w:eastAsia="黑体"/>
          <w:bCs/>
          <w:szCs w:val="21"/>
        </w:rPr>
        <w:t>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pStyle w:val="30"/>
        <w:numPr>
          <w:ilvl w:val="2"/>
          <w:numId w:val="55"/>
        </w:numPr>
        <w:spacing w:line="360" w:lineRule="auto"/>
        <w:ind w:firstLineChars="0"/>
        <w:rPr>
          <w:rFonts w:ascii="黑体" w:hAnsi="黑体" w:eastAsia="黑体"/>
          <w:bCs/>
          <w:szCs w:val="21"/>
        </w:rPr>
      </w:pPr>
      <w:r>
        <w:rPr>
          <w:rFonts w:hint="eastAsia" w:ascii="黑体" w:hAnsi="黑体" w:eastAsia="黑体"/>
          <w:bCs/>
          <w:szCs w:val="21"/>
        </w:rPr>
        <w:t>采购人或采购代理机构接收以书面形式递交的质疑函，接收质疑函的联系人、联系方式和通讯地址：</w:t>
      </w:r>
    </w:p>
    <w:p>
      <w:pPr>
        <w:ind w:firstLine="707" w:firstLineChars="337"/>
        <w:rPr>
          <w:rFonts w:ascii="黑体" w:hAnsi="黑体" w:eastAsia="黑体"/>
          <w:szCs w:val="21"/>
        </w:rPr>
      </w:pPr>
      <w:r>
        <w:rPr>
          <w:rFonts w:hint="eastAsia" w:ascii="黑体" w:hAnsi="黑体" w:eastAsia="黑体"/>
          <w:szCs w:val="21"/>
        </w:rPr>
        <w:t>联系人：郑小姐</w:t>
      </w:r>
      <w:r>
        <w:rPr>
          <w:rFonts w:ascii="黑体" w:hAnsi="黑体" w:eastAsia="黑体"/>
          <w:szCs w:val="21"/>
        </w:rPr>
        <w:t xml:space="preserve">       </w:t>
      </w:r>
      <w:r>
        <w:rPr>
          <w:rFonts w:hint="eastAsia" w:ascii="黑体" w:hAnsi="黑体" w:eastAsia="黑体"/>
          <w:szCs w:val="21"/>
        </w:rPr>
        <w:t>联系电话：（</w:t>
      </w:r>
      <w:r>
        <w:rPr>
          <w:rFonts w:ascii="黑体" w:hAnsi="黑体" w:eastAsia="黑体"/>
          <w:szCs w:val="21"/>
        </w:rPr>
        <w:t>0769）23362836</w:t>
      </w:r>
    </w:p>
    <w:p>
      <w:pPr>
        <w:spacing w:line="360" w:lineRule="auto"/>
        <w:ind w:firstLine="707" w:firstLineChars="337"/>
        <w:rPr>
          <w:rFonts w:ascii="黑体" w:hAnsi="黑体" w:eastAsia="黑体"/>
          <w:szCs w:val="21"/>
        </w:rPr>
      </w:pPr>
      <w:r>
        <w:rPr>
          <w:rFonts w:hint="eastAsia" w:ascii="黑体" w:hAnsi="黑体" w:eastAsia="黑体"/>
          <w:szCs w:val="21"/>
        </w:rPr>
        <w:t>联系地址：东莞市东城街道东莞大道</w:t>
      </w:r>
      <w:r>
        <w:rPr>
          <w:rFonts w:ascii="黑体" w:hAnsi="黑体" w:eastAsia="黑体"/>
          <w:szCs w:val="21"/>
        </w:rPr>
        <w:t>19号鼎峰卡布斯国际广场A座1603A</w:t>
      </w:r>
      <w:r>
        <w:rPr>
          <w:rFonts w:hint="eastAsia" w:ascii="黑体" w:hAnsi="黑体" w:eastAsia="黑体"/>
          <w:szCs w:val="21"/>
        </w:rPr>
        <w:t>号</w:t>
      </w:r>
    </w:p>
    <w:p>
      <w:pPr>
        <w:pStyle w:val="30"/>
        <w:numPr>
          <w:ilvl w:val="0"/>
          <w:numId w:val="52"/>
        </w:numPr>
        <w:spacing w:line="360" w:lineRule="auto"/>
        <w:ind w:firstLineChars="0"/>
        <w:rPr>
          <w:rFonts w:ascii="黑体" w:hAnsi="黑体" w:eastAsia="黑体"/>
          <w:bCs/>
          <w:szCs w:val="21"/>
        </w:rPr>
      </w:pPr>
      <w:r>
        <w:rPr>
          <w:rFonts w:hint="eastAsia" w:ascii="黑体" w:hAnsi="黑体" w:eastAsia="黑体"/>
          <w:bCs/>
          <w:szCs w:val="21"/>
        </w:rPr>
        <w:t xml:space="preserve">  投诉</w:t>
      </w:r>
    </w:p>
    <w:p>
      <w:pPr>
        <w:pStyle w:val="30"/>
        <w:widowControl/>
        <w:numPr>
          <w:ilvl w:val="2"/>
          <w:numId w:val="56"/>
        </w:numPr>
        <w:shd w:val="clear" w:color="auto" w:fill="FFFFFF"/>
        <w:wordWrap w:val="0"/>
        <w:spacing w:line="360" w:lineRule="auto"/>
        <w:ind w:firstLineChars="0"/>
        <w:jc w:val="left"/>
        <w:rPr>
          <w:rFonts w:ascii="黑体" w:hAnsi="黑体" w:eastAsia="黑体" w:cs="宋体"/>
          <w:kern w:val="0"/>
          <w:szCs w:val="21"/>
        </w:rPr>
      </w:pPr>
      <w:r>
        <w:rPr>
          <w:rFonts w:hint="eastAsia" w:ascii="黑体" w:hAnsi="黑体" w:eastAsia="黑体" w:cs="宋体"/>
          <w:kern w:val="0"/>
          <w:szCs w:val="21"/>
        </w:rPr>
        <w:t>质疑供应商对采购人、采购代理机构的答复不满意，或者采购人、采购代理机构未在规定时间内作出答复的，可以在答复期满后15个工作日内根据《政府采购质疑和投诉办法》(财政部令第94号)第六条规定向财政部门提起投诉。</w:t>
      </w:r>
    </w:p>
    <w:p>
      <w:pPr>
        <w:pStyle w:val="30"/>
        <w:widowControl/>
        <w:numPr>
          <w:ilvl w:val="2"/>
          <w:numId w:val="56"/>
        </w:numPr>
        <w:shd w:val="clear" w:color="auto" w:fill="FFFFFF"/>
        <w:wordWrap w:val="0"/>
        <w:spacing w:line="360" w:lineRule="auto"/>
        <w:ind w:firstLineChars="0"/>
        <w:jc w:val="left"/>
        <w:rPr>
          <w:rFonts w:ascii="黑体" w:hAnsi="黑体" w:eastAsia="黑体" w:cs="宋体"/>
          <w:kern w:val="0"/>
          <w:szCs w:val="21"/>
        </w:rPr>
      </w:pPr>
      <w:r>
        <w:rPr>
          <w:rFonts w:hint="eastAsia" w:ascii="黑体" w:hAnsi="黑体" w:eastAsia="黑体" w:cs="宋体"/>
          <w:kern w:val="0"/>
          <w:szCs w:val="21"/>
        </w:rPr>
        <w:t>投诉人在全国范围12个月内三次以上投诉查无实据的，由财政部门列入不良行为记录名单。</w:t>
      </w:r>
    </w:p>
    <w:p>
      <w:pPr>
        <w:pStyle w:val="30"/>
        <w:widowControl/>
        <w:numPr>
          <w:ilvl w:val="2"/>
          <w:numId w:val="56"/>
        </w:numPr>
        <w:shd w:val="clear" w:color="auto" w:fill="FFFFFF"/>
        <w:wordWrap w:val="0"/>
        <w:spacing w:line="360" w:lineRule="auto"/>
        <w:ind w:firstLineChars="0"/>
        <w:jc w:val="left"/>
        <w:rPr>
          <w:rFonts w:ascii="黑体" w:hAnsi="黑体" w:eastAsia="黑体" w:cs="宋体"/>
          <w:kern w:val="0"/>
          <w:szCs w:val="21"/>
        </w:rPr>
      </w:pPr>
      <w:r>
        <w:rPr>
          <w:rFonts w:hint="eastAsia" w:ascii="黑体" w:hAnsi="黑体" w:eastAsia="黑体" w:cs="宋体"/>
          <w:kern w:val="0"/>
          <w:szCs w:val="21"/>
        </w:rPr>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pPr>
        <w:pStyle w:val="30"/>
        <w:widowControl/>
        <w:numPr>
          <w:ilvl w:val="2"/>
          <w:numId w:val="56"/>
        </w:numPr>
        <w:shd w:val="clear" w:color="auto" w:fill="FFFFFF"/>
        <w:wordWrap w:val="0"/>
        <w:spacing w:line="360" w:lineRule="auto"/>
        <w:ind w:firstLineChars="0"/>
        <w:jc w:val="left"/>
        <w:rPr>
          <w:rFonts w:ascii="黑体" w:hAnsi="黑体" w:eastAsia="黑体" w:cs="宋体"/>
          <w:spacing w:val="-4"/>
          <w:kern w:val="0"/>
          <w:szCs w:val="21"/>
        </w:rPr>
      </w:pPr>
      <w:r>
        <w:rPr>
          <w:rFonts w:hint="eastAsia" w:ascii="黑体" w:hAnsi="黑体" w:eastAsia="黑体" w:cs="宋体"/>
          <w:spacing w:val="-4"/>
          <w:kern w:val="0"/>
          <w:szCs w:val="21"/>
        </w:rPr>
        <w:t>以联合体形式参加政府采购活动的，其投诉应当由组成联合体的所有供应商共同提出。</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中标通知书</w:t>
      </w:r>
    </w:p>
    <w:p>
      <w:pPr>
        <w:pStyle w:val="30"/>
        <w:numPr>
          <w:ilvl w:val="0"/>
          <w:numId w:val="57"/>
        </w:numPr>
        <w:spacing w:line="360" w:lineRule="auto"/>
        <w:ind w:left="567" w:hanging="567" w:firstLineChars="0"/>
        <w:rPr>
          <w:rFonts w:ascii="黑体" w:hAnsi="黑体" w:eastAsia="黑体"/>
          <w:bCs/>
          <w:szCs w:val="21"/>
        </w:rPr>
      </w:pPr>
      <w:r>
        <w:rPr>
          <w:rFonts w:hint="eastAsia" w:ascii="黑体" w:hAnsi="黑体" w:eastAsia="黑体"/>
          <w:bCs/>
          <w:szCs w:val="21"/>
        </w:rPr>
        <w:t>采购人或者采购代理机构应当自中标人确定之日起</w:t>
      </w:r>
      <w:r>
        <w:rPr>
          <w:rFonts w:ascii="黑体" w:hAnsi="黑体" w:eastAsia="黑体"/>
          <w:bCs/>
          <w:szCs w:val="21"/>
        </w:rPr>
        <w:t>2个工作日内在指定媒体公告中标结果和发出中标通知书，公告期为1个工作日</w:t>
      </w:r>
      <w:r>
        <w:rPr>
          <w:rFonts w:hint="eastAsia" w:ascii="黑体" w:hAnsi="黑体" w:eastAsia="黑体"/>
          <w:bCs/>
          <w:szCs w:val="21"/>
        </w:rPr>
        <w:t>。</w:t>
      </w:r>
    </w:p>
    <w:p>
      <w:pPr>
        <w:pStyle w:val="30"/>
        <w:numPr>
          <w:ilvl w:val="0"/>
          <w:numId w:val="57"/>
        </w:numPr>
        <w:spacing w:line="360" w:lineRule="auto"/>
        <w:ind w:left="567" w:hanging="567" w:firstLineChars="0"/>
        <w:rPr>
          <w:rFonts w:ascii="黑体" w:hAnsi="黑体" w:eastAsia="黑体"/>
          <w:bCs/>
          <w:szCs w:val="21"/>
        </w:rPr>
      </w:pPr>
      <w:r>
        <w:rPr>
          <w:rFonts w:hint="eastAsia" w:ascii="黑体" w:hAnsi="黑体" w:eastAsia="黑体"/>
          <w:bCs/>
          <w:szCs w:val="21"/>
        </w:rPr>
        <w:t>《中标通知书》对中标人和采购人具有同等法律效力。</w:t>
      </w:r>
    </w:p>
    <w:p>
      <w:pPr>
        <w:pStyle w:val="30"/>
        <w:numPr>
          <w:ilvl w:val="0"/>
          <w:numId w:val="57"/>
        </w:numPr>
        <w:spacing w:line="360" w:lineRule="auto"/>
        <w:ind w:left="567" w:hanging="567" w:firstLineChars="0"/>
        <w:rPr>
          <w:rFonts w:ascii="黑体" w:hAnsi="黑体" w:eastAsia="黑体"/>
          <w:bCs/>
          <w:szCs w:val="21"/>
        </w:rPr>
      </w:pPr>
      <w:r>
        <w:rPr>
          <w:rFonts w:hint="eastAsia" w:ascii="黑体" w:hAnsi="黑体" w:eastAsia="黑体"/>
          <w:bCs/>
          <w:szCs w:val="21"/>
        </w:rPr>
        <w:t>中标通知书发出后，采购人不得违法改变中标结果，中标人无正当理由不得放弃中标。</w:t>
      </w:r>
    </w:p>
    <w:p>
      <w:pPr>
        <w:pStyle w:val="30"/>
        <w:numPr>
          <w:ilvl w:val="0"/>
          <w:numId w:val="57"/>
        </w:numPr>
        <w:spacing w:line="360" w:lineRule="auto"/>
        <w:ind w:left="567" w:hanging="567" w:firstLineChars="0"/>
        <w:rPr>
          <w:rFonts w:ascii="黑体" w:hAnsi="黑体" w:eastAsia="黑体"/>
          <w:bCs/>
          <w:szCs w:val="21"/>
        </w:rPr>
      </w:pPr>
      <w:r>
        <w:rPr>
          <w:rFonts w:hint="eastAsia" w:ascii="黑体" w:hAnsi="黑体" w:eastAsia="黑体"/>
          <w:bCs/>
          <w:szCs w:val="21"/>
        </w:rPr>
        <w:t>《中标通知书》将作为授予合同资格的合法依据，是合同的一个组成部分。</w:t>
      </w:r>
    </w:p>
    <w:p>
      <w:pPr>
        <w:pStyle w:val="30"/>
        <w:numPr>
          <w:ilvl w:val="0"/>
          <w:numId w:val="15"/>
        </w:numPr>
        <w:spacing w:before="312" w:beforeLines="100" w:line="360" w:lineRule="auto"/>
        <w:ind w:firstLineChars="0"/>
        <w:rPr>
          <w:rFonts w:ascii="黑体" w:hAnsi="黑体" w:eastAsia="黑体"/>
          <w:b/>
          <w:bCs/>
          <w:szCs w:val="21"/>
        </w:rPr>
      </w:pPr>
      <w:r>
        <w:rPr>
          <w:rFonts w:hint="eastAsia" w:ascii="黑体" w:hAnsi="黑体" w:eastAsia="黑体"/>
          <w:b/>
          <w:bCs/>
          <w:szCs w:val="21"/>
        </w:rPr>
        <w:t>授予合同</w:t>
      </w:r>
    </w:p>
    <w:p>
      <w:pPr>
        <w:pStyle w:val="30"/>
        <w:numPr>
          <w:ilvl w:val="0"/>
          <w:numId w:val="16"/>
        </w:numPr>
        <w:spacing w:line="360" w:lineRule="auto"/>
        <w:ind w:firstLineChars="0"/>
        <w:rPr>
          <w:rFonts w:ascii="黑体" w:hAnsi="黑体" w:eastAsia="黑体"/>
          <w:b/>
        </w:rPr>
      </w:pPr>
      <w:r>
        <w:rPr>
          <w:rFonts w:hint="eastAsia" w:ascii="黑体" w:hAnsi="黑体" w:eastAsia="黑体"/>
          <w:b/>
        </w:rPr>
        <w:t>合同的订立</w:t>
      </w:r>
    </w:p>
    <w:p>
      <w:pPr>
        <w:pStyle w:val="30"/>
        <w:numPr>
          <w:ilvl w:val="0"/>
          <w:numId w:val="58"/>
        </w:numPr>
        <w:spacing w:line="360" w:lineRule="auto"/>
        <w:ind w:left="567" w:hanging="567" w:firstLineChars="0"/>
        <w:rPr>
          <w:rFonts w:ascii="黑体" w:hAnsi="黑体" w:eastAsia="黑体"/>
          <w:bCs/>
          <w:szCs w:val="21"/>
        </w:rPr>
      </w:pPr>
      <w:r>
        <w:rPr>
          <w:rFonts w:hint="eastAsia" w:ascii="黑体" w:hAnsi="黑体" w:eastAsia="黑体"/>
          <w:bCs/>
          <w:szCs w:val="21"/>
        </w:rPr>
        <w:t>采购人应当自《中标通知书》发出之日起30日内，按照招标文件和中标人投标文件的约定，与中标人签订书面合同。所签订的合同不得对招标文件确定的事项和中标人投标文件作实质性修改。</w:t>
      </w:r>
    </w:p>
    <w:p>
      <w:pPr>
        <w:pStyle w:val="30"/>
        <w:numPr>
          <w:ilvl w:val="0"/>
          <w:numId w:val="58"/>
        </w:numPr>
        <w:spacing w:line="360" w:lineRule="auto"/>
        <w:ind w:left="567" w:hanging="567" w:firstLineChars="0"/>
        <w:rPr>
          <w:rFonts w:ascii="黑体" w:hAnsi="黑体" w:eastAsia="黑体"/>
          <w:bCs/>
          <w:szCs w:val="21"/>
        </w:rPr>
      </w:pPr>
      <w:r>
        <w:rPr>
          <w:rFonts w:hint="eastAsia" w:ascii="黑体" w:hAnsi="黑体" w:eastAsia="黑体"/>
          <w:bCs/>
          <w:szCs w:val="21"/>
        </w:rPr>
        <w:t>采购人或者采购代理机构不得向中标人提出任何不合理的要求，作为签订合同的条件，不得与中标人私下订立背离合同实质性内容的协议。</w:t>
      </w:r>
    </w:p>
    <w:p>
      <w:pPr>
        <w:pStyle w:val="30"/>
        <w:numPr>
          <w:ilvl w:val="0"/>
          <w:numId w:val="58"/>
        </w:numPr>
        <w:spacing w:line="360" w:lineRule="auto"/>
        <w:ind w:left="567" w:hanging="567" w:firstLineChars="0"/>
        <w:rPr>
          <w:rFonts w:ascii="黑体" w:hAnsi="黑体" w:eastAsia="黑体"/>
          <w:bCs/>
          <w:szCs w:val="21"/>
        </w:rPr>
      </w:pPr>
      <w:r>
        <w:rPr>
          <w:rFonts w:ascii="黑体" w:hAnsi="黑体" w:eastAsia="黑体"/>
          <w:bCs/>
          <w:szCs w:val="21"/>
        </w:rPr>
        <w:t>中标</w:t>
      </w:r>
      <w:r>
        <w:rPr>
          <w:rFonts w:hint="eastAsia" w:ascii="黑体" w:hAnsi="黑体" w:eastAsia="黑体"/>
          <w:bCs/>
          <w:szCs w:val="21"/>
        </w:rPr>
        <w:t>人</w:t>
      </w:r>
      <w:r>
        <w:rPr>
          <w:rFonts w:ascii="黑体" w:hAnsi="黑体" w:eastAsia="黑体"/>
          <w:bCs/>
          <w:szCs w:val="21"/>
        </w:rPr>
        <w:t>拒绝与采购人签订合同的，采购人可以按照评审报告推荐的中标候选人名单排序，确定下一候选人为中标</w:t>
      </w:r>
      <w:r>
        <w:rPr>
          <w:rFonts w:hint="eastAsia" w:ascii="黑体" w:hAnsi="黑体" w:eastAsia="黑体"/>
          <w:bCs/>
          <w:szCs w:val="21"/>
        </w:rPr>
        <w:t>人</w:t>
      </w:r>
      <w:r>
        <w:rPr>
          <w:rFonts w:ascii="黑体" w:hAnsi="黑体" w:eastAsia="黑体"/>
          <w:bCs/>
          <w:szCs w:val="21"/>
        </w:rPr>
        <w:t>，也可以重新开展政府采购活动。</w:t>
      </w:r>
    </w:p>
    <w:p>
      <w:pPr>
        <w:pStyle w:val="30"/>
        <w:numPr>
          <w:ilvl w:val="0"/>
          <w:numId w:val="58"/>
        </w:numPr>
        <w:spacing w:line="360" w:lineRule="auto"/>
        <w:ind w:left="567" w:hanging="567" w:firstLineChars="0"/>
        <w:rPr>
          <w:rFonts w:ascii="黑体" w:hAnsi="黑体" w:eastAsia="黑体"/>
          <w:bCs/>
          <w:szCs w:val="21"/>
        </w:rPr>
      </w:pPr>
    </w:p>
    <w:p>
      <w:pPr>
        <w:pStyle w:val="30"/>
        <w:numPr>
          <w:ilvl w:val="0"/>
          <w:numId w:val="16"/>
        </w:numPr>
        <w:spacing w:line="360" w:lineRule="auto"/>
        <w:ind w:firstLineChars="0"/>
        <w:rPr>
          <w:rFonts w:ascii="黑体" w:hAnsi="黑体" w:eastAsia="黑体"/>
          <w:b/>
        </w:rPr>
      </w:pPr>
      <w:r>
        <w:rPr>
          <w:rFonts w:hint="eastAsia" w:ascii="黑体" w:hAnsi="黑体" w:eastAsia="黑体"/>
          <w:b/>
        </w:rPr>
        <w:t>合同的履行</w:t>
      </w:r>
    </w:p>
    <w:p>
      <w:pPr>
        <w:pStyle w:val="30"/>
        <w:numPr>
          <w:ilvl w:val="0"/>
          <w:numId w:val="59"/>
        </w:numPr>
        <w:spacing w:line="360" w:lineRule="auto"/>
        <w:ind w:firstLineChars="0"/>
        <w:rPr>
          <w:rFonts w:ascii="黑体" w:hAnsi="黑体" w:eastAsia="黑体"/>
          <w:bCs/>
          <w:szCs w:val="21"/>
        </w:rPr>
      </w:pPr>
      <w:r>
        <w:rPr>
          <w:rFonts w:hint="eastAsia" w:ascii="黑体" w:hAnsi="黑体" w:eastAsia="黑体"/>
          <w:bCs/>
          <w:szCs w:val="21"/>
        </w:rPr>
        <w:t xml:space="preserve"> 采购人和中标人应当根据合同的约定依法履行合同义务。</w:t>
      </w:r>
    </w:p>
    <w:p>
      <w:pPr>
        <w:pStyle w:val="30"/>
        <w:numPr>
          <w:ilvl w:val="0"/>
          <w:numId w:val="59"/>
        </w:numPr>
        <w:spacing w:line="360" w:lineRule="auto"/>
        <w:ind w:left="567" w:hanging="567" w:firstLineChars="0"/>
        <w:rPr>
          <w:rFonts w:ascii="黑体" w:hAnsi="黑体" w:eastAsia="黑体"/>
          <w:bCs/>
          <w:szCs w:val="21"/>
        </w:rPr>
      </w:pPr>
      <w:r>
        <w:rPr>
          <w:rFonts w:hint="eastAsia" w:ascii="黑体" w:hAnsi="黑体" w:eastAsia="黑体"/>
          <w:bCs/>
          <w:szCs w:val="21"/>
        </w:rPr>
        <w:t>政府采购合同订立后，合同各方不得擅自变更、中止或者终止合同。政府采购合同需要变更的，采购人应将有关合同变更内容，以书面形式报相关监管部门备案；因特殊情况需要中止或终止合同的，采购人应将中止或终止合同的理由以及相应措施，以书面形式报同级政府采购监督管理部门备案。</w:t>
      </w:r>
    </w:p>
    <w:p>
      <w:pPr>
        <w:pStyle w:val="30"/>
        <w:numPr>
          <w:ilvl w:val="0"/>
          <w:numId w:val="59"/>
        </w:numPr>
        <w:spacing w:line="360" w:lineRule="auto"/>
        <w:ind w:left="567" w:hanging="567" w:firstLineChars="0"/>
        <w:rPr>
          <w:rFonts w:ascii="黑体" w:hAnsi="黑体" w:eastAsia="黑体"/>
          <w:bCs/>
          <w:szCs w:val="21"/>
        </w:rPr>
      </w:pPr>
      <w:r>
        <w:rPr>
          <w:rFonts w:hint="eastAsia" w:ascii="黑体" w:hAnsi="黑体" w:eastAsia="黑体"/>
          <w:bCs/>
          <w:szCs w:val="21"/>
        </w:rPr>
        <w:t>政府采购合同履行中，采购人需追加与合同标的相同的货物、工程或者服务的，在不改变合同其他条款的前提下，可以与中标人签订补充合同，但所补充合同的采购金额不得超过原合同采购金额的百分之十。签订补充合同的必须按规定备案。</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履约担保</w:t>
      </w:r>
    </w:p>
    <w:p>
      <w:pPr>
        <w:pStyle w:val="30"/>
        <w:numPr>
          <w:ilvl w:val="0"/>
          <w:numId w:val="60"/>
        </w:numPr>
        <w:tabs>
          <w:tab w:val="left" w:pos="709"/>
        </w:tabs>
        <w:spacing w:line="360" w:lineRule="auto"/>
        <w:ind w:left="567" w:hanging="567" w:firstLineChars="0"/>
        <w:rPr>
          <w:rFonts w:ascii="黑体" w:hAnsi="黑体" w:eastAsia="黑体"/>
          <w:bCs/>
          <w:szCs w:val="21"/>
        </w:rPr>
      </w:pPr>
      <w:r>
        <w:rPr>
          <w:rFonts w:hint="eastAsia" w:ascii="黑体" w:hAnsi="黑体" w:eastAsia="黑体"/>
          <w:szCs w:val="21"/>
        </w:rPr>
        <w:t>中标人应按</w:t>
      </w:r>
      <w:r>
        <w:rPr>
          <w:rFonts w:hint="eastAsia" w:ascii="黑体" w:hAnsi="黑体" w:eastAsia="黑体"/>
          <w:b/>
          <w:bCs/>
          <w:szCs w:val="21"/>
          <w:u w:val="single"/>
        </w:rPr>
        <w:t>投标人须知前附表</w:t>
      </w:r>
      <w:r>
        <w:rPr>
          <w:rFonts w:hint="eastAsia" w:ascii="黑体" w:hAnsi="黑体" w:eastAsia="黑体"/>
          <w:szCs w:val="21"/>
        </w:rPr>
        <w:t>要求向采购人缴纳履约担保（如采用保函形式，格式详见招标文件第七部分投标文件格式—政府采购履约担保）。履约担保可以采用银行转账或者以专业担保机构、金融机构出具的担保函的形式缴交。履约保函的内容，应符合招标文件、投标响应文件和采购合同的要求。履约保函应在采购合同有效期满后28天内继续有效。</w:t>
      </w:r>
    </w:p>
    <w:p>
      <w:pPr>
        <w:pStyle w:val="30"/>
        <w:numPr>
          <w:ilvl w:val="0"/>
          <w:numId w:val="60"/>
        </w:numPr>
        <w:tabs>
          <w:tab w:val="left" w:pos="709"/>
        </w:tabs>
        <w:spacing w:line="360" w:lineRule="auto"/>
        <w:ind w:left="567" w:hanging="567" w:firstLineChars="0"/>
        <w:rPr>
          <w:rFonts w:ascii="黑体" w:hAnsi="黑体" w:eastAsia="黑体"/>
          <w:bCs/>
          <w:szCs w:val="21"/>
        </w:rPr>
      </w:pPr>
      <w:r>
        <w:rPr>
          <w:rFonts w:hint="eastAsia" w:ascii="黑体" w:hAnsi="黑体" w:eastAsia="黑体"/>
          <w:bCs/>
          <w:szCs w:val="21"/>
        </w:rPr>
        <w:t>在整个项目验收合格后，中标人向采购人提交退回履约保证金的申请，采购人办理履约保证金退还手续，将履约保证金退回原中标人的汇入账户。</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发票</w:t>
      </w:r>
    </w:p>
    <w:p>
      <w:pPr>
        <w:pStyle w:val="30"/>
        <w:numPr>
          <w:ilvl w:val="0"/>
          <w:numId w:val="61"/>
        </w:numPr>
        <w:spacing w:line="360" w:lineRule="auto"/>
        <w:ind w:firstLineChars="0"/>
        <w:rPr>
          <w:rFonts w:ascii="黑体" w:hAnsi="黑体" w:eastAsia="黑体"/>
          <w:bCs/>
          <w:spacing w:val="-2"/>
          <w:szCs w:val="21"/>
        </w:rPr>
      </w:pPr>
      <w:r>
        <w:rPr>
          <w:rFonts w:hint="eastAsia" w:ascii="黑体" w:hAnsi="黑体" w:eastAsia="黑体"/>
          <w:bCs/>
          <w:spacing w:val="-2"/>
          <w:szCs w:val="21"/>
        </w:rPr>
        <w:t xml:space="preserve"> 中标人与采购人签署合同后，开具发票时，开发票的单位名称必须与中标人的名称一致。</w:t>
      </w:r>
    </w:p>
    <w:p>
      <w:pPr>
        <w:pStyle w:val="30"/>
        <w:numPr>
          <w:ilvl w:val="0"/>
          <w:numId w:val="16"/>
        </w:numPr>
        <w:spacing w:before="312" w:beforeLines="100" w:line="360" w:lineRule="auto"/>
        <w:ind w:firstLineChars="0"/>
        <w:rPr>
          <w:rFonts w:ascii="黑体" w:hAnsi="黑体" w:eastAsia="黑体"/>
          <w:b/>
        </w:rPr>
      </w:pPr>
      <w:bookmarkStart w:id="48" w:name="_Toc357676148"/>
      <w:r>
        <w:rPr>
          <w:rFonts w:hint="eastAsia" w:ascii="黑体" w:hAnsi="黑体" w:eastAsia="黑体"/>
          <w:b/>
        </w:rPr>
        <w:t>招标代理服务费</w:t>
      </w:r>
      <w:bookmarkEnd w:id="48"/>
    </w:p>
    <w:p>
      <w:pPr>
        <w:pStyle w:val="30"/>
        <w:numPr>
          <w:ilvl w:val="0"/>
          <w:numId w:val="62"/>
        </w:numPr>
        <w:spacing w:line="360" w:lineRule="auto"/>
        <w:ind w:left="567" w:hanging="567" w:firstLineChars="0"/>
        <w:rPr>
          <w:rFonts w:ascii="黑体" w:hAnsi="黑体" w:eastAsia="黑体"/>
          <w:bCs/>
          <w:szCs w:val="21"/>
        </w:rPr>
      </w:pPr>
      <w:r>
        <w:rPr>
          <w:rFonts w:hint="eastAsia" w:ascii="黑体" w:hAnsi="黑体" w:eastAsia="黑体"/>
          <w:bCs/>
          <w:szCs w:val="21"/>
        </w:rPr>
        <w:t>中标人应在领取《中标通知书》原件时向采购代理机构一次性支付招标代理服务费</w:t>
      </w:r>
      <w:r>
        <w:rPr>
          <w:rFonts w:ascii="黑体" w:hAnsi="黑体" w:eastAsia="黑体"/>
          <w:bCs/>
          <w:szCs w:val="21"/>
        </w:rPr>
        <w:t>(</w:t>
      </w:r>
      <w:r>
        <w:rPr>
          <w:rFonts w:hint="eastAsia" w:ascii="黑体" w:hAnsi="黑体" w:eastAsia="黑体"/>
          <w:bCs/>
          <w:szCs w:val="21"/>
        </w:rPr>
        <w:t>参照国家计委文件</w:t>
      </w:r>
      <w:r>
        <w:rPr>
          <w:rFonts w:ascii="黑体" w:hAnsi="黑体" w:eastAsia="黑体"/>
          <w:bCs/>
          <w:szCs w:val="21"/>
        </w:rPr>
        <w:t>“</w:t>
      </w:r>
      <w:r>
        <w:rPr>
          <w:rFonts w:hint="eastAsia" w:ascii="黑体" w:hAnsi="黑体" w:eastAsia="黑体"/>
          <w:bCs/>
          <w:szCs w:val="21"/>
        </w:rPr>
        <w:t>计价格</w:t>
      </w:r>
      <w:r>
        <w:rPr>
          <w:rFonts w:ascii="黑体" w:hAnsi="黑体" w:eastAsia="黑体"/>
          <w:bCs/>
          <w:szCs w:val="21"/>
        </w:rPr>
        <w:t>[2002]1980</w:t>
      </w:r>
      <w:r>
        <w:rPr>
          <w:rFonts w:hint="eastAsia" w:ascii="黑体" w:hAnsi="黑体" w:eastAsia="黑体"/>
          <w:bCs/>
          <w:szCs w:val="21"/>
        </w:rPr>
        <w:t>号文</w:t>
      </w:r>
      <w:r>
        <w:rPr>
          <w:rFonts w:ascii="黑体" w:hAnsi="黑体" w:eastAsia="黑体"/>
          <w:bCs/>
          <w:szCs w:val="21"/>
        </w:rPr>
        <w:t>”</w:t>
      </w:r>
      <w:r>
        <w:rPr>
          <w:rFonts w:hint="eastAsia" w:ascii="黑体" w:hAnsi="黑体" w:eastAsia="黑体"/>
          <w:bCs/>
          <w:szCs w:val="21"/>
        </w:rPr>
        <w:t>、“发改办价格</w:t>
      </w:r>
      <w:r>
        <w:rPr>
          <w:rFonts w:ascii="黑体" w:hAnsi="黑体" w:eastAsia="黑体"/>
          <w:bCs/>
          <w:szCs w:val="21"/>
        </w:rPr>
        <w:t>[2003]857</w:t>
      </w:r>
      <w:r>
        <w:rPr>
          <w:rFonts w:hint="eastAsia" w:ascii="黑体" w:hAnsi="黑体" w:eastAsia="黑体"/>
          <w:bCs/>
          <w:szCs w:val="21"/>
        </w:rPr>
        <w:t>号文”和“发改价格</w:t>
      </w:r>
      <w:r>
        <w:rPr>
          <w:rFonts w:ascii="黑体" w:hAnsi="黑体" w:eastAsia="黑体"/>
          <w:bCs/>
          <w:szCs w:val="21"/>
        </w:rPr>
        <w:t>[2011]534号文</w:t>
      </w:r>
      <w:r>
        <w:rPr>
          <w:rFonts w:hint="eastAsia" w:ascii="黑体" w:hAnsi="黑体" w:eastAsia="黑体"/>
          <w:bCs/>
          <w:szCs w:val="21"/>
        </w:rPr>
        <w:t>”的规定标准执行</w:t>
      </w:r>
      <w:r>
        <w:rPr>
          <w:rFonts w:ascii="黑体" w:hAnsi="黑体" w:eastAsia="黑体"/>
          <w:bCs/>
          <w:szCs w:val="21"/>
        </w:rPr>
        <w:t>)</w:t>
      </w:r>
      <w:r>
        <w:rPr>
          <w:rFonts w:hint="eastAsia" w:ascii="黑体" w:hAnsi="黑体" w:eastAsia="黑体"/>
          <w:bCs/>
          <w:szCs w:val="21"/>
        </w:rPr>
        <w:t>。</w:t>
      </w:r>
    </w:p>
    <w:p>
      <w:pPr>
        <w:pStyle w:val="30"/>
        <w:numPr>
          <w:ilvl w:val="0"/>
          <w:numId w:val="62"/>
        </w:numPr>
        <w:spacing w:line="360" w:lineRule="auto"/>
        <w:ind w:left="567" w:hanging="567" w:firstLineChars="0"/>
        <w:rPr>
          <w:rFonts w:ascii="黑体" w:hAnsi="黑体" w:eastAsia="黑体"/>
          <w:bCs/>
          <w:szCs w:val="21"/>
        </w:rPr>
      </w:pPr>
      <w:r>
        <w:rPr>
          <w:rFonts w:ascii="黑体" w:hAnsi="黑体" w:eastAsia="黑体"/>
          <w:bCs/>
          <w:szCs w:val="21"/>
        </w:rPr>
        <w:t>招标代理服务收</w:t>
      </w:r>
      <w:r>
        <w:rPr>
          <w:rFonts w:hint="eastAsia" w:ascii="黑体" w:hAnsi="黑体" w:eastAsia="黑体"/>
          <w:bCs/>
          <w:szCs w:val="21"/>
        </w:rPr>
        <w:t>费</w:t>
      </w:r>
      <w:r>
        <w:rPr>
          <w:rFonts w:ascii="黑体" w:hAnsi="黑体" w:eastAsia="黑体"/>
          <w:bCs/>
          <w:szCs w:val="21"/>
        </w:rPr>
        <w:t>标准</w:t>
      </w:r>
      <w:r>
        <w:rPr>
          <w:rFonts w:hint="eastAsia" w:ascii="黑体" w:hAnsi="黑体" w:eastAsia="黑体"/>
          <w:bCs/>
          <w:szCs w:val="21"/>
        </w:rPr>
        <w:t>：</w:t>
      </w:r>
    </w:p>
    <w:tbl>
      <w:tblPr>
        <w:tblStyle w:val="20"/>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45"/>
        <w:gridCol w:w="1457"/>
        <w:gridCol w:w="2332"/>
        <w:gridCol w:w="25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jc w:val="center"/>
        </w:trPr>
        <w:tc>
          <w:tcPr>
            <w:tcW w:w="1394" w:type="pct"/>
            <w:tcBorders>
              <w:tl2br w:val="single" w:color="000000" w:sz="8" w:space="0"/>
            </w:tcBorders>
            <w:shd w:val="clear" w:color="auto" w:fill="auto"/>
          </w:tcPr>
          <w:p>
            <w:pPr>
              <w:rPr>
                <w:rFonts w:ascii="黑体" w:hAnsi="黑体" w:eastAsia="黑体"/>
                <w:szCs w:val="21"/>
              </w:rPr>
            </w:pP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费率</w:t>
            </w:r>
          </w:p>
          <w:p>
            <w:pPr>
              <w:rPr>
                <w:rFonts w:ascii="黑体" w:hAnsi="黑体" w:eastAsia="黑体"/>
                <w:szCs w:val="21"/>
              </w:rPr>
            </w:pPr>
            <w:r>
              <w:rPr>
                <w:rFonts w:hint="eastAsia" w:ascii="黑体" w:hAnsi="黑体" w:eastAsia="黑体"/>
                <w:szCs w:val="21"/>
              </w:rPr>
              <w:t>中标金额</w:t>
            </w:r>
          </w:p>
        </w:tc>
        <w:tc>
          <w:tcPr>
            <w:tcW w:w="831" w:type="pct"/>
            <w:shd w:val="clear" w:color="auto" w:fill="auto"/>
            <w:vAlign w:val="center"/>
          </w:tcPr>
          <w:p>
            <w:pPr>
              <w:jc w:val="center"/>
              <w:rPr>
                <w:rFonts w:ascii="黑体" w:hAnsi="黑体" w:eastAsia="黑体"/>
                <w:szCs w:val="21"/>
              </w:rPr>
            </w:pPr>
            <w:r>
              <w:rPr>
                <w:rFonts w:hint="eastAsia" w:ascii="黑体" w:hAnsi="黑体" w:eastAsia="黑体"/>
                <w:szCs w:val="21"/>
              </w:rPr>
              <w:t>货物招标</w:t>
            </w:r>
          </w:p>
        </w:tc>
        <w:tc>
          <w:tcPr>
            <w:tcW w:w="1330" w:type="pct"/>
            <w:shd w:val="clear" w:color="auto" w:fill="auto"/>
            <w:vAlign w:val="center"/>
          </w:tcPr>
          <w:p>
            <w:pPr>
              <w:jc w:val="center"/>
              <w:rPr>
                <w:rFonts w:ascii="黑体" w:hAnsi="黑体" w:eastAsia="黑体"/>
                <w:szCs w:val="21"/>
              </w:rPr>
            </w:pPr>
            <w:r>
              <w:rPr>
                <w:rFonts w:hint="eastAsia" w:ascii="黑体" w:hAnsi="黑体" w:eastAsia="黑体"/>
                <w:szCs w:val="21"/>
              </w:rPr>
              <w:t>服务招标</w:t>
            </w:r>
          </w:p>
        </w:tc>
        <w:tc>
          <w:tcPr>
            <w:tcW w:w="1446" w:type="pct"/>
            <w:shd w:val="clear" w:color="auto" w:fill="auto"/>
            <w:vAlign w:val="center"/>
          </w:tcPr>
          <w:p>
            <w:pPr>
              <w:jc w:val="center"/>
              <w:rPr>
                <w:rFonts w:ascii="黑体" w:hAnsi="黑体" w:eastAsia="黑体"/>
                <w:szCs w:val="21"/>
              </w:rPr>
            </w:pPr>
            <w:r>
              <w:rPr>
                <w:rFonts w:hint="eastAsia" w:ascii="黑体" w:hAnsi="黑体" w:eastAsia="黑体"/>
                <w:szCs w:val="21"/>
              </w:rPr>
              <w:t>工程招标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0" w:hRule="atLeast"/>
          <w:jc w:val="center"/>
        </w:trPr>
        <w:tc>
          <w:tcPr>
            <w:tcW w:w="1394" w:type="pct"/>
            <w:vAlign w:val="center"/>
          </w:tcPr>
          <w:p>
            <w:pPr>
              <w:jc w:val="center"/>
              <w:rPr>
                <w:rFonts w:ascii="黑体" w:hAnsi="黑体" w:eastAsia="黑体"/>
                <w:szCs w:val="21"/>
              </w:rPr>
            </w:pPr>
            <w:r>
              <w:rPr>
                <w:rFonts w:ascii="黑体" w:hAnsi="黑体" w:eastAsia="黑体"/>
                <w:szCs w:val="21"/>
              </w:rPr>
              <w:t>100万元以下</w:t>
            </w:r>
          </w:p>
        </w:tc>
        <w:tc>
          <w:tcPr>
            <w:tcW w:w="831" w:type="pct"/>
            <w:vAlign w:val="center"/>
          </w:tcPr>
          <w:p>
            <w:pPr>
              <w:jc w:val="center"/>
              <w:rPr>
                <w:rFonts w:ascii="黑体" w:hAnsi="黑体" w:eastAsia="黑体"/>
                <w:szCs w:val="21"/>
              </w:rPr>
            </w:pPr>
            <w:r>
              <w:rPr>
                <w:rFonts w:ascii="黑体" w:hAnsi="黑体" w:eastAsia="黑体"/>
                <w:szCs w:val="21"/>
              </w:rPr>
              <w:t>1.5%</w:t>
            </w:r>
          </w:p>
        </w:tc>
        <w:tc>
          <w:tcPr>
            <w:tcW w:w="1330" w:type="pct"/>
            <w:vAlign w:val="center"/>
          </w:tcPr>
          <w:p>
            <w:pPr>
              <w:jc w:val="center"/>
              <w:rPr>
                <w:rFonts w:ascii="黑体" w:hAnsi="黑体" w:eastAsia="黑体"/>
                <w:szCs w:val="21"/>
              </w:rPr>
            </w:pPr>
            <w:r>
              <w:rPr>
                <w:rFonts w:ascii="黑体" w:hAnsi="黑体" w:eastAsia="黑体"/>
                <w:szCs w:val="21"/>
              </w:rPr>
              <w:t>1.5%</w:t>
            </w:r>
          </w:p>
        </w:tc>
        <w:tc>
          <w:tcPr>
            <w:tcW w:w="1446" w:type="pct"/>
            <w:vAlign w:val="center"/>
          </w:tcPr>
          <w:p>
            <w:pPr>
              <w:jc w:val="center"/>
              <w:rPr>
                <w:rFonts w:ascii="黑体" w:hAnsi="黑体" w:eastAsia="黑体"/>
                <w:szCs w:val="21"/>
              </w:rPr>
            </w:pPr>
            <w:r>
              <w:rPr>
                <w:rFonts w:ascii="黑体" w:hAnsi="黑体" w:eastAsia="黑体"/>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1394" w:type="pct"/>
            <w:vAlign w:val="center"/>
          </w:tcPr>
          <w:p>
            <w:pPr>
              <w:jc w:val="center"/>
              <w:rPr>
                <w:rFonts w:ascii="黑体" w:hAnsi="黑体" w:eastAsia="黑体"/>
                <w:szCs w:val="21"/>
              </w:rPr>
            </w:pPr>
            <w:r>
              <w:rPr>
                <w:rFonts w:ascii="黑体" w:hAnsi="黑体" w:eastAsia="黑体"/>
                <w:szCs w:val="21"/>
              </w:rPr>
              <w:t>100-500万元</w:t>
            </w:r>
          </w:p>
        </w:tc>
        <w:tc>
          <w:tcPr>
            <w:tcW w:w="831" w:type="pct"/>
            <w:vAlign w:val="center"/>
          </w:tcPr>
          <w:p>
            <w:pPr>
              <w:jc w:val="center"/>
              <w:rPr>
                <w:rFonts w:ascii="黑体" w:hAnsi="黑体" w:eastAsia="黑体"/>
                <w:szCs w:val="21"/>
              </w:rPr>
            </w:pPr>
            <w:r>
              <w:rPr>
                <w:rFonts w:ascii="黑体" w:hAnsi="黑体" w:eastAsia="黑体"/>
                <w:szCs w:val="21"/>
              </w:rPr>
              <w:t>1.1%</w:t>
            </w:r>
          </w:p>
        </w:tc>
        <w:tc>
          <w:tcPr>
            <w:tcW w:w="1330" w:type="pct"/>
            <w:vAlign w:val="center"/>
          </w:tcPr>
          <w:p>
            <w:pPr>
              <w:jc w:val="center"/>
              <w:rPr>
                <w:rFonts w:ascii="黑体" w:hAnsi="黑体" w:eastAsia="黑体"/>
                <w:szCs w:val="21"/>
              </w:rPr>
            </w:pPr>
            <w:r>
              <w:rPr>
                <w:rFonts w:ascii="黑体" w:hAnsi="黑体" w:eastAsia="黑体"/>
                <w:szCs w:val="21"/>
              </w:rPr>
              <w:t>0.8%</w:t>
            </w:r>
          </w:p>
        </w:tc>
        <w:tc>
          <w:tcPr>
            <w:tcW w:w="1446" w:type="pct"/>
            <w:vAlign w:val="center"/>
          </w:tcPr>
          <w:p>
            <w:pPr>
              <w:jc w:val="center"/>
              <w:rPr>
                <w:rFonts w:ascii="黑体" w:hAnsi="黑体" w:eastAsia="黑体"/>
                <w:szCs w:val="21"/>
              </w:rPr>
            </w:pPr>
            <w:r>
              <w:rPr>
                <w:rFonts w:ascii="黑体" w:hAnsi="黑体" w:eastAsia="黑体"/>
                <w:szCs w:val="21"/>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jc w:val="center"/>
        </w:trPr>
        <w:tc>
          <w:tcPr>
            <w:tcW w:w="1394" w:type="pct"/>
            <w:vAlign w:val="center"/>
          </w:tcPr>
          <w:p>
            <w:pPr>
              <w:jc w:val="center"/>
              <w:rPr>
                <w:rFonts w:ascii="黑体" w:hAnsi="黑体" w:eastAsia="黑体"/>
                <w:szCs w:val="21"/>
              </w:rPr>
            </w:pPr>
            <w:r>
              <w:rPr>
                <w:rFonts w:ascii="黑体" w:hAnsi="黑体" w:eastAsia="黑体"/>
                <w:szCs w:val="21"/>
              </w:rPr>
              <w:t>500-1000万元</w:t>
            </w:r>
          </w:p>
        </w:tc>
        <w:tc>
          <w:tcPr>
            <w:tcW w:w="831" w:type="pct"/>
            <w:vAlign w:val="center"/>
          </w:tcPr>
          <w:p>
            <w:pPr>
              <w:jc w:val="center"/>
              <w:rPr>
                <w:rFonts w:ascii="黑体" w:hAnsi="黑体" w:eastAsia="黑体"/>
                <w:szCs w:val="21"/>
              </w:rPr>
            </w:pPr>
            <w:r>
              <w:rPr>
                <w:rFonts w:ascii="黑体" w:hAnsi="黑体" w:eastAsia="黑体"/>
                <w:szCs w:val="21"/>
              </w:rPr>
              <w:t>0.8%</w:t>
            </w:r>
          </w:p>
        </w:tc>
        <w:tc>
          <w:tcPr>
            <w:tcW w:w="1330" w:type="pct"/>
            <w:vAlign w:val="center"/>
          </w:tcPr>
          <w:p>
            <w:pPr>
              <w:jc w:val="center"/>
              <w:rPr>
                <w:rFonts w:ascii="黑体" w:hAnsi="黑体" w:eastAsia="黑体"/>
                <w:szCs w:val="21"/>
              </w:rPr>
            </w:pPr>
            <w:r>
              <w:rPr>
                <w:rFonts w:ascii="黑体" w:hAnsi="黑体" w:eastAsia="黑体"/>
                <w:szCs w:val="21"/>
              </w:rPr>
              <w:t>0.45%</w:t>
            </w:r>
          </w:p>
        </w:tc>
        <w:tc>
          <w:tcPr>
            <w:tcW w:w="1446" w:type="pct"/>
            <w:vAlign w:val="center"/>
          </w:tcPr>
          <w:p>
            <w:pPr>
              <w:jc w:val="center"/>
              <w:rPr>
                <w:rFonts w:ascii="黑体" w:hAnsi="黑体" w:eastAsia="黑体"/>
                <w:szCs w:val="21"/>
              </w:rPr>
            </w:pPr>
            <w:r>
              <w:rPr>
                <w:rFonts w:ascii="黑体" w:hAnsi="黑体" w:eastAsia="黑体"/>
                <w:szCs w:val="21"/>
              </w:rPr>
              <w:t>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7" w:hRule="atLeast"/>
          <w:jc w:val="center"/>
        </w:trPr>
        <w:tc>
          <w:tcPr>
            <w:tcW w:w="1394" w:type="pct"/>
            <w:vAlign w:val="center"/>
          </w:tcPr>
          <w:p>
            <w:pPr>
              <w:jc w:val="center"/>
              <w:rPr>
                <w:rFonts w:ascii="黑体" w:hAnsi="黑体" w:eastAsia="黑体"/>
                <w:szCs w:val="21"/>
              </w:rPr>
            </w:pPr>
            <w:r>
              <w:rPr>
                <w:rFonts w:ascii="黑体" w:hAnsi="黑体" w:eastAsia="黑体"/>
                <w:szCs w:val="21"/>
              </w:rPr>
              <w:t>1000-5000万元</w:t>
            </w:r>
          </w:p>
        </w:tc>
        <w:tc>
          <w:tcPr>
            <w:tcW w:w="831" w:type="pct"/>
            <w:vAlign w:val="center"/>
          </w:tcPr>
          <w:p>
            <w:pPr>
              <w:jc w:val="center"/>
              <w:rPr>
                <w:rFonts w:ascii="黑体" w:hAnsi="黑体" w:eastAsia="黑体"/>
                <w:szCs w:val="21"/>
              </w:rPr>
            </w:pPr>
            <w:r>
              <w:rPr>
                <w:rFonts w:ascii="黑体" w:hAnsi="黑体" w:eastAsia="黑体"/>
                <w:szCs w:val="21"/>
              </w:rPr>
              <w:t xml:space="preserve">0.5%                </w:t>
            </w:r>
          </w:p>
        </w:tc>
        <w:tc>
          <w:tcPr>
            <w:tcW w:w="1330" w:type="pct"/>
            <w:vAlign w:val="center"/>
          </w:tcPr>
          <w:p>
            <w:pPr>
              <w:jc w:val="center"/>
              <w:rPr>
                <w:rFonts w:ascii="黑体" w:hAnsi="黑体" w:eastAsia="黑体"/>
                <w:szCs w:val="21"/>
              </w:rPr>
            </w:pPr>
            <w:r>
              <w:rPr>
                <w:rFonts w:ascii="黑体" w:hAnsi="黑体" w:eastAsia="黑体"/>
                <w:szCs w:val="21"/>
              </w:rPr>
              <w:t>0.25%</w:t>
            </w:r>
          </w:p>
        </w:tc>
        <w:tc>
          <w:tcPr>
            <w:tcW w:w="1446" w:type="pct"/>
            <w:vAlign w:val="center"/>
          </w:tcPr>
          <w:p>
            <w:pPr>
              <w:jc w:val="center"/>
              <w:rPr>
                <w:rFonts w:ascii="黑体" w:hAnsi="黑体" w:eastAsia="黑体"/>
                <w:szCs w:val="21"/>
              </w:rPr>
            </w:pPr>
            <w:r>
              <w:rPr>
                <w:rFonts w:ascii="黑体" w:hAnsi="黑体" w:eastAsia="黑体"/>
                <w:szCs w:val="21"/>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jc w:val="center"/>
        </w:trPr>
        <w:tc>
          <w:tcPr>
            <w:tcW w:w="1394" w:type="pct"/>
            <w:vAlign w:val="center"/>
          </w:tcPr>
          <w:p>
            <w:pPr>
              <w:jc w:val="center"/>
              <w:rPr>
                <w:rFonts w:ascii="黑体" w:hAnsi="黑体" w:eastAsia="黑体"/>
                <w:szCs w:val="21"/>
              </w:rPr>
            </w:pPr>
            <w:r>
              <w:rPr>
                <w:rFonts w:ascii="黑体" w:hAnsi="黑体" w:eastAsia="黑体"/>
                <w:szCs w:val="21"/>
              </w:rPr>
              <w:t>5000万元-1亿元</w:t>
            </w:r>
          </w:p>
        </w:tc>
        <w:tc>
          <w:tcPr>
            <w:tcW w:w="831" w:type="pct"/>
            <w:vAlign w:val="center"/>
          </w:tcPr>
          <w:p>
            <w:pPr>
              <w:jc w:val="center"/>
              <w:rPr>
                <w:rFonts w:ascii="黑体" w:hAnsi="黑体" w:eastAsia="黑体"/>
                <w:szCs w:val="21"/>
              </w:rPr>
            </w:pPr>
            <w:r>
              <w:rPr>
                <w:rFonts w:ascii="黑体" w:hAnsi="黑体" w:eastAsia="黑体"/>
                <w:szCs w:val="21"/>
              </w:rPr>
              <w:t xml:space="preserve">0.25%                 </w:t>
            </w:r>
          </w:p>
        </w:tc>
        <w:tc>
          <w:tcPr>
            <w:tcW w:w="1330" w:type="pct"/>
            <w:vAlign w:val="center"/>
          </w:tcPr>
          <w:p>
            <w:pPr>
              <w:jc w:val="center"/>
              <w:rPr>
                <w:rFonts w:ascii="黑体" w:hAnsi="黑体" w:eastAsia="黑体"/>
                <w:szCs w:val="21"/>
              </w:rPr>
            </w:pPr>
            <w:r>
              <w:rPr>
                <w:rFonts w:ascii="黑体" w:hAnsi="黑体" w:eastAsia="黑体"/>
                <w:szCs w:val="21"/>
              </w:rPr>
              <w:t>0.1%</w:t>
            </w:r>
          </w:p>
        </w:tc>
        <w:tc>
          <w:tcPr>
            <w:tcW w:w="1446" w:type="pct"/>
            <w:vAlign w:val="center"/>
          </w:tcPr>
          <w:p>
            <w:pPr>
              <w:jc w:val="center"/>
              <w:rPr>
                <w:rFonts w:ascii="黑体" w:hAnsi="黑体" w:eastAsia="黑体"/>
                <w:szCs w:val="21"/>
              </w:rPr>
            </w:pPr>
            <w:r>
              <w:rPr>
                <w:rFonts w:ascii="黑体" w:hAnsi="黑体" w:eastAsia="黑体"/>
                <w:szCs w:val="21"/>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4" w:hRule="atLeast"/>
          <w:jc w:val="center"/>
        </w:trPr>
        <w:tc>
          <w:tcPr>
            <w:tcW w:w="1394" w:type="pct"/>
            <w:vAlign w:val="center"/>
          </w:tcPr>
          <w:p>
            <w:pPr>
              <w:jc w:val="center"/>
              <w:rPr>
                <w:rFonts w:ascii="黑体" w:hAnsi="黑体" w:eastAsia="黑体"/>
                <w:szCs w:val="21"/>
              </w:rPr>
            </w:pPr>
            <w:r>
              <w:rPr>
                <w:rFonts w:ascii="黑体" w:hAnsi="黑体" w:eastAsia="黑体"/>
                <w:szCs w:val="21"/>
              </w:rPr>
              <w:t>1-5亿元</w:t>
            </w:r>
          </w:p>
        </w:tc>
        <w:tc>
          <w:tcPr>
            <w:tcW w:w="831" w:type="pct"/>
            <w:vAlign w:val="center"/>
          </w:tcPr>
          <w:p>
            <w:pPr>
              <w:jc w:val="center"/>
              <w:rPr>
                <w:rFonts w:ascii="黑体" w:hAnsi="黑体" w:eastAsia="黑体"/>
                <w:szCs w:val="21"/>
              </w:rPr>
            </w:pPr>
            <w:r>
              <w:rPr>
                <w:rFonts w:ascii="黑体" w:hAnsi="黑体" w:eastAsia="黑体"/>
                <w:szCs w:val="21"/>
              </w:rPr>
              <w:t>0.05%</w:t>
            </w:r>
          </w:p>
        </w:tc>
        <w:tc>
          <w:tcPr>
            <w:tcW w:w="1330" w:type="pct"/>
            <w:vAlign w:val="center"/>
          </w:tcPr>
          <w:p>
            <w:pPr>
              <w:jc w:val="center"/>
              <w:rPr>
                <w:rFonts w:ascii="黑体" w:hAnsi="黑体" w:eastAsia="黑体"/>
                <w:szCs w:val="21"/>
              </w:rPr>
            </w:pPr>
            <w:r>
              <w:rPr>
                <w:rFonts w:ascii="黑体" w:hAnsi="黑体" w:eastAsia="黑体"/>
                <w:szCs w:val="21"/>
              </w:rPr>
              <w:t>0.05%</w:t>
            </w:r>
          </w:p>
        </w:tc>
        <w:tc>
          <w:tcPr>
            <w:tcW w:w="1446" w:type="pct"/>
            <w:vAlign w:val="center"/>
          </w:tcPr>
          <w:p>
            <w:pPr>
              <w:jc w:val="center"/>
              <w:rPr>
                <w:rFonts w:ascii="黑体" w:hAnsi="黑体" w:eastAsia="黑体"/>
                <w:szCs w:val="21"/>
              </w:rPr>
            </w:pPr>
            <w:r>
              <w:rPr>
                <w:rFonts w:ascii="黑体" w:hAnsi="黑体" w:eastAsia="黑体"/>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1" w:hRule="atLeast"/>
          <w:jc w:val="center"/>
        </w:trPr>
        <w:tc>
          <w:tcPr>
            <w:tcW w:w="1394" w:type="pct"/>
            <w:vAlign w:val="center"/>
          </w:tcPr>
          <w:p>
            <w:pPr>
              <w:jc w:val="center"/>
              <w:rPr>
                <w:rFonts w:ascii="黑体" w:hAnsi="黑体" w:eastAsia="黑体"/>
                <w:szCs w:val="21"/>
              </w:rPr>
            </w:pPr>
            <w:r>
              <w:rPr>
                <w:rFonts w:ascii="黑体" w:hAnsi="黑体" w:eastAsia="黑体"/>
                <w:szCs w:val="21"/>
              </w:rPr>
              <w:t>5-10亿元</w:t>
            </w:r>
          </w:p>
        </w:tc>
        <w:tc>
          <w:tcPr>
            <w:tcW w:w="831" w:type="pct"/>
            <w:vAlign w:val="center"/>
          </w:tcPr>
          <w:p>
            <w:pPr>
              <w:jc w:val="center"/>
              <w:rPr>
                <w:rFonts w:ascii="黑体" w:hAnsi="黑体" w:eastAsia="黑体"/>
                <w:szCs w:val="21"/>
              </w:rPr>
            </w:pPr>
            <w:r>
              <w:rPr>
                <w:rFonts w:ascii="黑体" w:hAnsi="黑体" w:eastAsia="黑体"/>
                <w:szCs w:val="21"/>
              </w:rPr>
              <w:t>0.035%</w:t>
            </w:r>
          </w:p>
        </w:tc>
        <w:tc>
          <w:tcPr>
            <w:tcW w:w="1330" w:type="pct"/>
            <w:vAlign w:val="center"/>
          </w:tcPr>
          <w:p>
            <w:pPr>
              <w:jc w:val="center"/>
              <w:rPr>
                <w:rFonts w:ascii="黑体" w:hAnsi="黑体" w:eastAsia="黑体"/>
                <w:szCs w:val="21"/>
              </w:rPr>
            </w:pPr>
            <w:r>
              <w:rPr>
                <w:rFonts w:ascii="黑体" w:hAnsi="黑体" w:eastAsia="黑体"/>
                <w:szCs w:val="21"/>
              </w:rPr>
              <w:t>0.035%</w:t>
            </w:r>
          </w:p>
        </w:tc>
        <w:tc>
          <w:tcPr>
            <w:tcW w:w="1446" w:type="pct"/>
            <w:vAlign w:val="center"/>
          </w:tcPr>
          <w:p>
            <w:pPr>
              <w:jc w:val="center"/>
              <w:rPr>
                <w:rFonts w:ascii="黑体" w:hAnsi="黑体" w:eastAsia="黑体"/>
                <w:szCs w:val="21"/>
              </w:rPr>
            </w:pPr>
            <w:r>
              <w:rPr>
                <w:rFonts w:ascii="黑体" w:hAnsi="黑体" w:eastAsia="黑体"/>
                <w:szCs w:val="21"/>
              </w:rPr>
              <w:t>0.035%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3" w:hRule="atLeast"/>
          <w:jc w:val="center"/>
        </w:trPr>
        <w:tc>
          <w:tcPr>
            <w:tcW w:w="1394" w:type="pct"/>
            <w:vAlign w:val="center"/>
          </w:tcPr>
          <w:p>
            <w:pPr>
              <w:jc w:val="center"/>
              <w:rPr>
                <w:rFonts w:ascii="黑体" w:hAnsi="黑体" w:eastAsia="黑体"/>
                <w:szCs w:val="21"/>
              </w:rPr>
            </w:pPr>
            <w:r>
              <w:rPr>
                <w:rFonts w:ascii="黑体" w:hAnsi="黑体" w:eastAsia="黑体"/>
                <w:szCs w:val="21"/>
              </w:rPr>
              <w:t>10-50亿元</w:t>
            </w:r>
          </w:p>
        </w:tc>
        <w:tc>
          <w:tcPr>
            <w:tcW w:w="831" w:type="pct"/>
            <w:vAlign w:val="center"/>
          </w:tcPr>
          <w:p>
            <w:pPr>
              <w:jc w:val="center"/>
              <w:rPr>
                <w:rFonts w:ascii="黑体" w:hAnsi="黑体" w:eastAsia="黑体"/>
                <w:szCs w:val="21"/>
              </w:rPr>
            </w:pPr>
            <w:r>
              <w:rPr>
                <w:rFonts w:ascii="黑体" w:hAnsi="黑体" w:eastAsia="黑体"/>
                <w:szCs w:val="21"/>
              </w:rPr>
              <w:t>0.008%</w:t>
            </w:r>
          </w:p>
        </w:tc>
        <w:tc>
          <w:tcPr>
            <w:tcW w:w="1330" w:type="pct"/>
            <w:vAlign w:val="center"/>
          </w:tcPr>
          <w:p>
            <w:pPr>
              <w:jc w:val="center"/>
              <w:rPr>
                <w:rFonts w:ascii="黑体" w:hAnsi="黑体" w:eastAsia="黑体"/>
                <w:szCs w:val="21"/>
              </w:rPr>
            </w:pPr>
            <w:r>
              <w:rPr>
                <w:rFonts w:ascii="黑体" w:hAnsi="黑体" w:eastAsia="黑体"/>
                <w:szCs w:val="21"/>
              </w:rPr>
              <w:t>0.008%</w:t>
            </w:r>
          </w:p>
        </w:tc>
        <w:tc>
          <w:tcPr>
            <w:tcW w:w="1446" w:type="pct"/>
            <w:vAlign w:val="center"/>
          </w:tcPr>
          <w:p>
            <w:pPr>
              <w:jc w:val="center"/>
              <w:rPr>
                <w:rFonts w:ascii="黑体" w:hAnsi="黑体" w:eastAsia="黑体"/>
                <w:szCs w:val="21"/>
              </w:rPr>
            </w:pPr>
            <w:r>
              <w:rPr>
                <w:rFonts w:ascii="黑体" w:hAnsi="黑体" w:eastAsia="黑体"/>
                <w:szCs w:val="21"/>
              </w:rPr>
              <w:t>0.008%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1394" w:type="pct"/>
            <w:vAlign w:val="center"/>
          </w:tcPr>
          <w:p>
            <w:pPr>
              <w:jc w:val="center"/>
              <w:rPr>
                <w:rFonts w:ascii="黑体" w:hAnsi="黑体" w:eastAsia="黑体"/>
                <w:szCs w:val="21"/>
              </w:rPr>
            </w:pPr>
            <w:r>
              <w:rPr>
                <w:rFonts w:ascii="黑体" w:hAnsi="黑体" w:eastAsia="黑体"/>
                <w:szCs w:val="21"/>
              </w:rPr>
              <w:t>50-100亿元</w:t>
            </w:r>
          </w:p>
        </w:tc>
        <w:tc>
          <w:tcPr>
            <w:tcW w:w="831" w:type="pct"/>
            <w:vAlign w:val="center"/>
          </w:tcPr>
          <w:p>
            <w:pPr>
              <w:jc w:val="center"/>
              <w:rPr>
                <w:rFonts w:ascii="黑体" w:hAnsi="黑体" w:eastAsia="黑体"/>
                <w:szCs w:val="21"/>
              </w:rPr>
            </w:pPr>
            <w:r>
              <w:rPr>
                <w:rFonts w:ascii="黑体" w:hAnsi="黑体" w:eastAsia="黑体"/>
                <w:szCs w:val="21"/>
              </w:rPr>
              <w:t>0.006%</w:t>
            </w:r>
          </w:p>
        </w:tc>
        <w:tc>
          <w:tcPr>
            <w:tcW w:w="1330" w:type="pct"/>
            <w:vAlign w:val="center"/>
          </w:tcPr>
          <w:p>
            <w:pPr>
              <w:jc w:val="center"/>
              <w:rPr>
                <w:rFonts w:ascii="黑体" w:hAnsi="黑体" w:eastAsia="黑体"/>
                <w:szCs w:val="21"/>
              </w:rPr>
            </w:pPr>
            <w:r>
              <w:rPr>
                <w:rFonts w:ascii="黑体" w:hAnsi="黑体" w:eastAsia="黑体"/>
                <w:szCs w:val="21"/>
              </w:rPr>
              <w:t>0.006%</w:t>
            </w:r>
          </w:p>
        </w:tc>
        <w:tc>
          <w:tcPr>
            <w:tcW w:w="1446" w:type="pct"/>
            <w:vAlign w:val="center"/>
          </w:tcPr>
          <w:p>
            <w:pPr>
              <w:jc w:val="center"/>
              <w:rPr>
                <w:rFonts w:ascii="黑体" w:hAnsi="黑体" w:eastAsia="黑体"/>
                <w:szCs w:val="21"/>
              </w:rPr>
            </w:pPr>
            <w:r>
              <w:rPr>
                <w:rFonts w:ascii="黑体" w:hAnsi="黑体" w:eastAsia="黑体"/>
                <w:szCs w:val="21"/>
              </w:rPr>
              <w:t>0.006%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1394" w:type="pct"/>
            <w:vAlign w:val="center"/>
          </w:tcPr>
          <w:p>
            <w:pPr>
              <w:jc w:val="center"/>
              <w:rPr>
                <w:rFonts w:ascii="黑体" w:hAnsi="黑体" w:eastAsia="黑体"/>
              </w:rPr>
            </w:pPr>
            <w:r>
              <w:rPr>
                <w:rFonts w:ascii="黑体" w:hAnsi="黑体" w:eastAsia="黑体"/>
              </w:rPr>
              <w:t>100亿以上</w:t>
            </w:r>
          </w:p>
        </w:tc>
        <w:tc>
          <w:tcPr>
            <w:tcW w:w="831" w:type="pct"/>
            <w:vAlign w:val="center"/>
          </w:tcPr>
          <w:p>
            <w:pPr>
              <w:jc w:val="center"/>
              <w:rPr>
                <w:rFonts w:ascii="黑体" w:hAnsi="黑体" w:eastAsia="黑体"/>
              </w:rPr>
            </w:pPr>
            <w:r>
              <w:rPr>
                <w:rFonts w:ascii="黑体" w:hAnsi="黑体" w:eastAsia="黑体"/>
              </w:rPr>
              <w:t>0.004%</w:t>
            </w:r>
          </w:p>
        </w:tc>
        <w:tc>
          <w:tcPr>
            <w:tcW w:w="1330" w:type="pct"/>
            <w:vAlign w:val="center"/>
          </w:tcPr>
          <w:p>
            <w:pPr>
              <w:jc w:val="center"/>
              <w:rPr>
                <w:rFonts w:ascii="黑体" w:hAnsi="黑体" w:eastAsia="黑体"/>
              </w:rPr>
            </w:pPr>
            <w:r>
              <w:rPr>
                <w:rFonts w:ascii="黑体" w:hAnsi="黑体" w:eastAsia="黑体"/>
              </w:rPr>
              <w:t>0.004%</w:t>
            </w:r>
          </w:p>
        </w:tc>
        <w:tc>
          <w:tcPr>
            <w:tcW w:w="1446" w:type="pct"/>
            <w:vAlign w:val="center"/>
          </w:tcPr>
          <w:p>
            <w:pPr>
              <w:jc w:val="center"/>
              <w:rPr>
                <w:rFonts w:ascii="黑体" w:hAnsi="黑体" w:eastAsia="黑体"/>
              </w:rPr>
            </w:pPr>
            <w:r>
              <w:rPr>
                <w:rFonts w:ascii="黑体" w:hAnsi="黑体" w:eastAsia="黑体"/>
              </w:rPr>
              <w:t>0.004%</w:t>
            </w:r>
          </w:p>
        </w:tc>
      </w:tr>
    </w:tbl>
    <w:p>
      <w:pPr>
        <w:pStyle w:val="30"/>
        <w:numPr>
          <w:ilvl w:val="0"/>
          <w:numId w:val="62"/>
        </w:numPr>
        <w:spacing w:line="360" w:lineRule="auto"/>
        <w:ind w:left="567" w:hanging="567" w:firstLineChars="0"/>
        <w:rPr>
          <w:rFonts w:ascii="黑体" w:hAnsi="黑体" w:eastAsia="黑体"/>
          <w:bCs/>
          <w:szCs w:val="21"/>
        </w:rPr>
      </w:pPr>
      <w:r>
        <w:rPr>
          <w:rFonts w:ascii="黑体" w:hAnsi="黑体" w:eastAsia="黑体"/>
          <w:bCs/>
          <w:szCs w:val="21"/>
        </w:rPr>
        <w:t>招标代理服务费按差额定率累进法计算</w:t>
      </w:r>
      <w:r>
        <w:rPr>
          <w:rFonts w:hint="eastAsia" w:ascii="黑体" w:hAnsi="黑体" w:eastAsia="黑体"/>
          <w:bCs/>
          <w:szCs w:val="21"/>
        </w:rPr>
        <w:t>。</w:t>
      </w:r>
    </w:p>
    <w:p>
      <w:pPr>
        <w:pStyle w:val="30"/>
        <w:numPr>
          <w:ilvl w:val="0"/>
          <w:numId w:val="62"/>
        </w:numPr>
        <w:spacing w:line="360" w:lineRule="auto"/>
        <w:ind w:left="567" w:hanging="567" w:firstLineChars="0"/>
        <w:rPr>
          <w:rFonts w:ascii="黑体" w:hAnsi="黑体" w:eastAsia="黑体"/>
          <w:bCs/>
          <w:szCs w:val="21"/>
        </w:rPr>
      </w:pPr>
      <w:r>
        <w:rPr>
          <w:rFonts w:ascii="黑体" w:hAnsi="黑体" w:eastAsia="黑体"/>
          <w:bCs/>
          <w:szCs w:val="21"/>
        </w:rPr>
        <w:t>招标代理服务费币种为人民币</w:t>
      </w:r>
      <w:r>
        <w:rPr>
          <w:rFonts w:hint="eastAsia" w:ascii="黑体" w:hAnsi="黑体" w:eastAsia="黑体"/>
          <w:bCs/>
          <w:szCs w:val="21"/>
        </w:rPr>
        <w:t>。</w:t>
      </w:r>
    </w:p>
    <w:p>
      <w:pPr>
        <w:pStyle w:val="30"/>
        <w:numPr>
          <w:ilvl w:val="0"/>
          <w:numId w:val="62"/>
        </w:numPr>
        <w:spacing w:line="360" w:lineRule="auto"/>
        <w:ind w:left="567" w:hanging="567" w:firstLineChars="0"/>
        <w:rPr>
          <w:rFonts w:ascii="黑体" w:hAnsi="黑体" w:eastAsia="黑体"/>
          <w:bCs/>
          <w:szCs w:val="21"/>
        </w:rPr>
      </w:pPr>
      <w:r>
        <w:rPr>
          <w:rFonts w:hint="eastAsia" w:ascii="黑体" w:hAnsi="黑体" w:eastAsia="黑体"/>
          <w:bCs/>
          <w:szCs w:val="21"/>
        </w:rPr>
        <w:t>招标服务费只收现金、银行转账或电汇。</w:t>
      </w:r>
    </w:p>
    <w:p>
      <w:pPr>
        <w:pStyle w:val="30"/>
        <w:numPr>
          <w:ilvl w:val="0"/>
          <w:numId w:val="62"/>
        </w:numPr>
        <w:spacing w:line="360" w:lineRule="auto"/>
        <w:ind w:left="567" w:hanging="567" w:firstLineChars="0"/>
        <w:rPr>
          <w:rFonts w:ascii="黑体" w:hAnsi="黑体" w:eastAsia="黑体"/>
          <w:bCs/>
          <w:szCs w:val="21"/>
        </w:rPr>
      </w:pPr>
      <w:r>
        <w:rPr>
          <w:rFonts w:ascii="黑体" w:hAnsi="黑体" w:eastAsia="黑体"/>
          <w:bCs/>
          <w:szCs w:val="21"/>
        </w:rPr>
        <w:t>招标代理服务费收取</w:t>
      </w:r>
      <w:r>
        <w:rPr>
          <w:rFonts w:hint="eastAsia" w:ascii="黑体" w:hAnsi="黑体" w:eastAsia="黑体"/>
          <w:bCs/>
          <w:szCs w:val="21"/>
        </w:rPr>
        <w:t>账户：</w:t>
      </w:r>
    </w:p>
    <w:p>
      <w:pPr>
        <w:pStyle w:val="30"/>
        <w:spacing w:line="360" w:lineRule="auto"/>
        <w:ind w:firstLine="567" w:firstLineChars="270"/>
        <w:rPr>
          <w:rFonts w:ascii="黑体" w:hAnsi="黑体" w:eastAsia="黑体"/>
          <w:bCs/>
          <w:szCs w:val="21"/>
        </w:rPr>
      </w:pPr>
      <w:r>
        <w:rPr>
          <w:rFonts w:ascii="黑体" w:hAnsi="黑体" w:eastAsia="黑体"/>
          <w:bCs/>
          <w:szCs w:val="21"/>
        </w:rPr>
        <w:t>收款单位名称：</w:t>
      </w:r>
      <w:r>
        <w:rPr>
          <w:rFonts w:hint="eastAsia" w:ascii="黑体" w:hAnsi="黑体" w:eastAsia="黑体"/>
          <w:bCs/>
          <w:szCs w:val="21"/>
        </w:rPr>
        <w:t>广东有德招标采购有限公司东莞分公司</w:t>
      </w:r>
    </w:p>
    <w:p>
      <w:pPr>
        <w:pStyle w:val="30"/>
        <w:spacing w:line="360" w:lineRule="auto"/>
        <w:ind w:firstLine="567" w:firstLineChars="270"/>
        <w:rPr>
          <w:rFonts w:ascii="黑体" w:hAnsi="黑体" w:eastAsia="黑体"/>
          <w:bCs/>
          <w:szCs w:val="21"/>
        </w:rPr>
      </w:pPr>
      <w:r>
        <w:rPr>
          <w:rFonts w:ascii="黑体" w:hAnsi="黑体" w:eastAsia="黑体"/>
          <w:bCs/>
          <w:szCs w:val="21"/>
        </w:rPr>
        <w:t>开户银行：</w:t>
      </w:r>
      <w:r>
        <w:rPr>
          <w:rFonts w:hint="eastAsia" w:ascii="黑体" w:hAnsi="黑体" w:eastAsia="黑体"/>
          <w:bCs/>
          <w:szCs w:val="21"/>
        </w:rPr>
        <w:t>中国建设银行股份有限公司东莞南城支行</w:t>
      </w:r>
    </w:p>
    <w:p>
      <w:pPr>
        <w:pStyle w:val="30"/>
        <w:spacing w:line="360" w:lineRule="auto"/>
        <w:ind w:firstLine="567" w:firstLineChars="270"/>
        <w:rPr>
          <w:rFonts w:ascii="黑体" w:hAnsi="黑体" w:eastAsia="黑体"/>
          <w:bCs/>
          <w:szCs w:val="21"/>
        </w:rPr>
      </w:pPr>
      <w:r>
        <w:rPr>
          <w:rFonts w:ascii="黑体" w:hAnsi="黑体" w:eastAsia="黑体"/>
          <w:bCs/>
          <w:szCs w:val="21"/>
        </w:rPr>
        <w:t>收款账号：44001776040053011261</w:t>
      </w:r>
    </w:p>
    <w:p>
      <w:pPr>
        <w:pStyle w:val="30"/>
        <w:numPr>
          <w:ilvl w:val="0"/>
          <w:numId w:val="16"/>
        </w:numPr>
        <w:spacing w:before="312" w:beforeLines="100" w:line="360" w:lineRule="auto"/>
        <w:ind w:firstLineChars="0"/>
        <w:rPr>
          <w:rFonts w:ascii="黑体" w:hAnsi="黑体" w:eastAsia="黑体"/>
          <w:b/>
        </w:rPr>
      </w:pPr>
      <w:r>
        <w:rPr>
          <w:rFonts w:hint="eastAsia" w:ascii="黑体" w:hAnsi="黑体" w:eastAsia="黑体"/>
          <w:b/>
        </w:rPr>
        <w:t>招标文件符号说明</w:t>
      </w:r>
    </w:p>
    <w:p>
      <w:pPr>
        <w:pStyle w:val="30"/>
        <w:numPr>
          <w:ilvl w:val="0"/>
          <w:numId w:val="63"/>
        </w:numPr>
        <w:spacing w:line="360" w:lineRule="auto"/>
        <w:ind w:left="567" w:hanging="567" w:firstLineChars="0"/>
        <w:rPr>
          <w:rFonts w:ascii="黑体" w:hAnsi="黑体" w:eastAsia="黑体"/>
          <w:bCs/>
          <w:szCs w:val="21"/>
        </w:rPr>
      </w:pPr>
      <w:r>
        <w:rPr>
          <w:rFonts w:hint="eastAsia" w:ascii="黑体" w:hAnsi="黑体" w:eastAsia="黑体"/>
          <w:bCs/>
          <w:szCs w:val="21"/>
        </w:rPr>
        <w:t>招标文件中，打“★”号条款为实质性条款，若有任何一条负偏离或不满足则导致投标无效。打“▲”号条款为重要技术参数，若有部分“▲”条款未响应或不满足，将根据评审要求影响其得分，但不作为无效投标条款。打“◆</w:t>
      </w:r>
      <w:r>
        <w:rPr>
          <w:rFonts w:ascii="黑体" w:hAnsi="黑体" w:eastAsia="黑体"/>
          <w:bCs/>
          <w:szCs w:val="21"/>
        </w:rPr>
        <w:t>”</w:t>
      </w:r>
      <w:r>
        <w:rPr>
          <w:rFonts w:hint="eastAsia" w:ascii="黑体" w:hAnsi="黑体" w:eastAsia="黑体"/>
          <w:bCs/>
          <w:szCs w:val="21"/>
        </w:rPr>
        <w:t>号条款为核心产品。</w:t>
      </w:r>
    </w:p>
    <w:p>
      <w:pPr>
        <w:pageBreakBefore/>
        <w:rPr>
          <w:rFonts w:ascii="黑体" w:hAnsi="黑体" w:eastAsia="黑体"/>
        </w:rPr>
      </w:pPr>
      <w:bookmarkStart w:id="49" w:name="_Toc515363625"/>
      <w:bookmarkStart w:id="50" w:name="_Toc515040753"/>
      <w:r>
        <w:rPr>
          <w:rFonts w:hint="eastAsia" w:ascii="黑体" w:hAnsi="黑体" w:eastAsia="黑体"/>
        </w:rPr>
        <w:t>附件1  询问函格式</w:t>
      </w:r>
      <w:bookmarkEnd w:id="49"/>
      <w:bookmarkEnd w:id="50"/>
    </w:p>
    <w:p>
      <w:pPr>
        <w:spacing w:before="312" w:beforeLines="100" w:after="312" w:afterLines="100"/>
        <w:jc w:val="center"/>
        <w:rPr>
          <w:rFonts w:ascii="黑体" w:hAnsi="黑体" w:eastAsia="黑体" w:cs="Times New Roman"/>
          <w:b/>
          <w:bCs/>
          <w:spacing w:val="20"/>
          <w:sz w:val="28"/>
          <w:szCs w:val="28"/>
        </w:rPr>
      </w:pPr>
      <w:r>
        <w:rPr>
          <w:rFonts w:hint="eastAsia" w:ascii="黑体" w:hAnsi="黑体" w:eastAsia="黑体" w:cs="Times New Roman"/>
          <w:b/>
          <w:bCs/>
          <w:spacing w:val="20"/>
          <w:sz w:val="28"/>
          <w:szCs w:val="28"/>
        </w:rPr>
        <w:t>询问函</w:t>
      </w:r>
    </w:p>
    <w:p>
      <w:pPr>
        <w:widowControl/>
        <w:adjustRightInd w:val="0"/>
        <w:spacing w:after="156" w:afterLines="50" w:line="360" w:lineRule="auto"/>
        <w:rPr>
          <w:rFonts w:ascii="黑体" w:hAnsi="黑体" w:eastAsia="黑体"/>
          <w:szCs w:val="21"/>
        </w:rPr>
      </w:pPr>
      <w:r>
        <w:rPr>
          <w:rFonts w:ascii="黑体" w:hAnsi="黑体" w:eastAsia="黑体"/>
          <w:szCs w:val="21"/>
          <w:u w:val="single"/>
        </w:rPr>
        <w:t>广东有德招标采购有限公司</w:t>
      </w:r>
      <w:r>
        <w:rPr>
          <w:rFonts w:hint="eastAsia" w:ascii="黑体" w:hAnsi="黑体" w:eastAsia="黑体"/>
          <w:szCs w:val="21"/>
        </w:rPr>
        <w:t>：</w:t>
      </w:r>
    </w:p>
    <w:p>
      <w:pPr>
        <w:widowControl/>
        <w:tabs>
          <w:tab w:val="left" w:pos="6300"/>
        </w:tabs>
        <w:adjustRightInd w:val="0"/>
        <w:spacing w:line="360" w:lineRule="auto"/>
        <w:ind w:firstLine="420" w:firstLineChars="200"/>
        <w:rPr>
          <w:rFonts w:ascii="黑体" w:hAnsi="黑体" w:eastAsia="黑体"/>
          <w:szCs w:val="21"/>
        </w:rPr>
      </w:pPr>
      <w:r>
        <w:rPr>
          <w:rFonts w:hint="eastAsia" w:ascii="黑体" w:hAnsi="黑体" w:eastAsia="黑体"/>
          <w:szCs w:val="21"/>
        </w:rPr>
        <w:t>我单位已获取招标文件并准备参与</w:t>
      </w:r>
      <w:r>
        <w:rPr>
          <w:rFonts w:ascii="黑体" w:hAnsi="黑体" w:eastAsia="黑体"/>
          <w:i/>
          <w:szCs w:val="21"/>
          <w:u w:val="single"/>
        </w:rPr>
        <w:t xml:space="preserve">           </w:t>
      </w:r>
      <w:r>
        <w:rPr>
          <w:rFonts w:hint="eastAsia" w:ascii="黑体" w:hAnsi="黑体" w:eastAsia="黑体"/>
          <w:szCs w:val="21"/>
        </w:rPr>
        <w:t>项目（项目编号</w:t>
      </w:r>
      <w:r>
        <w:rPr>
          <w:rFonts w:hint="eastAsia" w:ascii="黑体" w:hAnsi="黑体" w:eastAsia="黑体"/>
          <w:szCs w:val="21"/>
          <w:u w:val="single"/>
        </w:rPr>
        <w:t>：</w:t>
      </w:r>
      <w:r>
        <w:rPr>
          <w:rFonts w:ascii="黑体" w:hAnsi="黑体" w:eastAsia="黑体"/>
          <w:szCs w:val="21"/>
          <w:u w:val="single"/>
        </w:rPr>
        <w:t xml:space="preserve">        </w:t>
      </w:r>
      <w:r>
        <w:rPr>
          <w:rFonts w:hint="eastAsia" w:ascii="黑体" w:hAnsi="黑体" w:eastAsia="黑体"/>
          <w:szCs w:val="21"/>
        </w:rPr>
        <w:t>）的投标（或报价）活动，现有以下几个内容（或条款）存在疑问（或无法理解），特提出询问。</w:t>
      </w:r>
    </w:p>
    <w:p>
      <w:pPr>
        <w:widowControl/>
        <w:tabs>
          <w:tab w:val="center" w:pos="5019"/>
        </w:tabs>
        <w:adjustRightInd w:val="0"/>
        <w:spacing w:line="360" w:lineRule="auto"/>
        <w:ind w:firstLine="420" w:firstLineChars="200"/>
        <w:rPr>
          <w:rFonts w:ascii="黑体" w:hAnsi="黑体" w:eastAsia="黑体"/>
          <w:szCs w:val="21"/>
        </w:rPr>
      </w:pPr>
      <w:r>
        <w:rPr>
          <w:rFonts w:hint="eastAsia" w:ascii="黑体" w:hAnsi="黑体" w:eastAsia="黑体"/>
          <w:szCs w:val="21"/>
        </w:rPr>
        <w:t>一、</w:t>
      </w:r>
      <w:r>
        <w:rPr>
          <w:rFonts w:ascii="黑体" w:hAnsi="黑体" w:eastAsia="黑体"/>
          <w:szCs w:val="21"/>
          <w:u w:val="single"/>
        </w:rPr>
        <w:t xml:space="preserve">                        </w:t>
      </w:r>
      <w:r>
        <w:rPr>
          <w:rFonts w:ascii="黑体" w:hAnsi="黑体" w:eastAsia="黑体"/>
          <w:szCs w:val="21"/>
        </w:rPr>
        <w:t>（事项一）</w:t>
      </w:r>
      <w:r>
        <w:rPr>
          <w:rFonts w:ascii="黑体" w:hAnsi="黑体" w:eastAsia="黑体"/>
          <w:szCs w:val="21"/>
        </w:rPr>
        <w:tab/>
      </w:r>
    </w:p>
    <w:p>
      <w:pPr>
        <w:widowControl/>
        <w:tabs>
          <w:tab w:val="left" w:pos="6300"/>
        </w:tabs>
        <w:adjustRightInd w:val="0"/>
        <w:spacing w:line="360" w:lineRule="auto"/>
        <w:ind w:firstLine="420" w:firstLineChars="200"/>
        <w:rPr>
          <w:rFonts w:ascii="黑体" w:hAnsi="黑体" w:eastAsia="黑体"/>
          <w:szCs w:val="21"/>
        </w:rPr>
      </w:pPr>
      <w:r>
        <w:rPr>
          <w:rFonts w:hint="eastAsia" w:ascii="黑体" w:hAnsi="黑体" w:eastAsia="黑体"/>
          <w:szCs w:val="21"/>
        </w:rPr>
        <w:t>（</w:t>
      </w:r>
      <w:r>
        <w:rPr>
          <w:rFonts w:ascii="黑体" w:hAnsi="黑体" w:eastAsia="黑体"/>
          <w:szCs w:val="21"/>
        </w:rPr>
        <w:t>1）</w:t>
      </w:r>
      <w:r>
        <w:rPr>
          <w:rFonts w:ascii="黑体" w:hAnsi="黑体" w:eastAsia="黑体"/>
          <w:szCs w:val="21"/>
          <w:u w:val="single"/>
        </w:rPr>
        <w:t xml:space="preserve">                       </w:t>
      </w:r>
      <w:r>
        <w:rPr>
          <w:rFonts w:ascii="黑体" w:hAnsi="黑体" w:eastAsia="黑体"/>
          <w:szCs w:val="21"/>
        </w:rPr>
        <w:t>（问题或条款内容）</w:t>
      </w:r>
    </w:p>
    <w:p>
      <w:pPr>
        <w:widowControl/>
        <w:tabs>
          <w:tab w:val="left" w:pos="6300"/>
        </w:tabs>
        <w:adjustRightInd w:val="0"/>
        <w:spacing w:line="360" w:lineRule="auto"/>
        <w:ind w:firstLine="420" w:firstLineChars="200"/>
        <w:rPr>
          <w:rFonts w:ascii="黑体" w:hAnsi="黑体" w:eastAsia="黑体"/>
          <w:szCs w:val="21"/>
        </w:rPr>
      </w:pPr>
      <w:r>
        <w:rPr>
          <w:rFonts w:hint="eastAsia" w:ascii="黑体" w:hAnsi="黑体" w:eastAsia="黑体"/>
          <w:szCs w:val="21"/>
        </w:rPr>
        <w:t>（</w:t>
      </w:r>
      <w:r>
        <w:rPr>
          <w:rFonts w:ascii="黑体" w:hAnsi="黑体" w:eastAsia="黑体"/>
          <w:szCs w:val="21"/>
        </w:rPr>
        <w:t>2）</w:t>
      </w:r>
      <w:r>
        <w:rPr>
          <w:rFonts w:ascii="黑体" w:hAnsi="黑体" w:eastAsia="黑体"/>
          <w:szCs w:val="21"/>
          <w:u w:val="single"/>
        </w:rPr>
        <w:t xml:space="preserve">                       </w:t>
      </w:r>
      <w:r>
        <w:rPr>
          <w:rFonts w:ascii="黑体" w:hAnsi="黑体" w:eastAsia="黑体"/>
          <w:szCs w:val="21"/>
        </w:rPr>
        <w:t>（说明疑问或无法理解原因）</w:t>
      </w:r>
    </w:p>
    <w:p>
      <w:pPr>
        <w:widowControl/>
        <w:tabs>
          <w:tab w:val="left" w:pos="6300"/>
        </w:tabs>
        <w:adjustRightInd w:val="0"/>
        <w:spacing w:line="360" w:lineRule="auto"/>
        <w:ind w:firstLine="420" w:firstLineChars="200"/>
        <w:rPr>
          <w:rFonts w:ascii="黑体" w:hAnsi="黑体" w:eastAsia="黑体"/>
          <w:szCs w:val="21"/>
        </w:rPr>
      </w:pPr>
      <w:r>
        <w:rPr>
          <w:rFonts w:hint="eastAsia" w:ascii="黑体" w:hAnsi="黑体" w:eastAsia="黑体"/>
          <w:szCs w:val="21"/>
        </w:rPr>
        <w:t>（</w:t>
      </w:r>
      <w:r>
        <w:rPr>
          <w:rFonts w:ascii="黑体" w:hAnsi="黑体" w:eastAsia="黑体"/>
          <w:szCs w:val="21"/>
        </w:rPr>
        <w:t>3）</w:t>
      </w:r>
      <w:r>
        <w:rPr>
          <w:rFonts w:ascii="黑体" w:hAnsi="黑体" w:eastAsia="黑体"/>
          <w:szCs w:val="21"/>
          <w:u w:val="single"/>
        </w:rPr>
        <w:t xml:space="preserve">                       </w:t>
      </w:r>
      <w:r>
        <w:rPr>
          <w:rFonts w:ascii="黑体" w:hAnsi="黑体" w:eastAsia="黑体"/>
          <w:szCs w:val="21"/>
        </w:rPr>
        <w:t>（建议）</w:t>
      </w:r>
    </w:p>
    <w:p>
      <w:pPr>
        <w:widowControl/>
        <w:tabs>
          <w:tab w:val="left" w:pos="6300"/>
        </w:tabs>
        <w:adjustRightInd w:val="0"/>
        <w:spacing w:line="360" w:lineRule="auto"/>
        <w:ind w:firstLine="420" w:firstLineChars="200"/>
        <w:rPr>
          <w:rFonts w:ascii="黑体" w:hAnsi="黑体" w:eastAsia="黑体"/>
          <w:szCs w:val="21"/>
        </w:rPr>
      </w:pPr>
      <w:r>
        <w:rPr>
          <w:rFonts w:hint="eastAsia" w:ascii="黑体" w:hAnsi="黑体" w:eastAsia="黑体"/>
          <w:szCs w:val="21"/>
        </w:rPr>
        <w:t>二、</w:t>
      </w:r>
      <w:r>
        <w:rPr>
          <w:rFonts w:ascii="黑体" w:hAnsi="黑体" w:eastAsia="黑体"/>
          <w:szCs w:val="21"/>
          <w:u w:val="single"/>
        </w:rPr>
        <w:t xml:space="preserve">                       </w:t>
      </w:r>
      <w:r>
        <w:rPr>
          <w:rFonts w:ascii="黑体" w:hAnsi="黑体" w:eastAsia="黑体"/>
          <w:szCs w:val="21"/>
        </w:rPr>
        <w:t xml:space="preserve"> （事项二）</w:t>
      </w:r>
    </w:p>
    <w:p>
      <w:pPr>
        <w:widowControl/>
        <w:tabs>
          <w:tab w:val="left" w:pos="6300"/>
        </w:tabs>
        <w:adjustRightInd w:val="0"/>
        <w:spacing w:line="360" w:lineRule="auto"/>
        <w:ind w:firstLine="420" w:firstLineChars="200"/>
        <w:rPr>
          <w:rFonts w:ascii="黑体" w:hAnsi="黑体" w:eastAsia="黑体"/>
          <w:szCs w:val="21"/>
        </w:rPr>
      </w:pPr>
      <w:r>
        <w:rPr>
          <w:rFonts w:hint="eastAsia" w:ascii="黑体" w:hAnsi="黑体" w:eastAsia="黑体"/>
          <w:szCs w:val="21"/>
        </w:rPr>
        <w:t>……</w:t>
      </w:r>
    </w:p>
    <w:p>
      <w:pPr>
        <w:widowControl/>
        <w:tabs>
          <w:tab w:val="left" w:pos="6300"/>
        </w:tabs>
        <w:adjustRightInd w:val="0"/>
        <w:spacing w:line="360" w:lineRule="auto"/>
        <w:ind w:firstLine="420" w:firstLineChars="200"/>
        <w:rPr>
          <w:rFonts w:ascii="黑体" w:hAnsi="黑体" w:eastAsia="黑体"/>
          <w:szCs w:val="21"/>
        </w:rPr>
      </w:pPr>
      <w:r>
        <w:rPr>
          <w:rFonts w:hint="eastAsia" w:ascii="黑体" w:hAnsi="黑体" w:eastAsia="黑体"/>
          <w:szCs w:val="21"/>
        </w:rPr>
        <w:t>随附相关证明材料如下：（目录）。</w:t>
      </w:r>
    </w:p>
    <w:p>
      <w:pPr>
        <w:widowControl/>
        <w:tabs>
          <w:tab w:val="left" w:pos="6300"/>
        </w:tabs>
        <w:adjustRightInd w:val="0"/>
        <w:spacing w:line="360" w:lineRule="auto"/>
        <w:ind w:firstLine="1260" w:firstLineChars="600"/>
        <w:rPr>
          <w:rFonts w:ascii="黑体" w:hAnsi="黑体" w:eastAsia="黑体"/>
          <w:szCs w:val="21"/>
        </w:rPr>
      </w:pPr>
      <w:r>
        <w:rPr>
          <w:rFonts w:hint="eastAsia" w:ascii="黑体" w:hAnsi="黑体" w:eastAsia="黑体"/>
          <w:szCs w:val="21"/>
        </w:rPr>
        <w:t>询问人：（公章）</w:t>
      </w:r>
    </w:p>
    <w:p>
      <w:pPr>
        <w:widowControl/>
        <w:tabs>
          <w:tab w:val="left" w:pos="6300"/>
        </w:tabs>
        <w:adjustRightInd w:val="0"/>
        <w:spacing w:line="360" w:lineRule="auto"/>
        <w:ind w:firstLine="1260" w:firstLineChars="600"/>
        <w:rPr>
          <w:rFonts w:ascii="黑体" w:hAnsi="黑体" w:eastAsia="黑体"/>
          <w:szCs w:val="21"/>
        </w:rPr>
      </w:pPr>
      <w:r>
        <w:rPr>
          <w:rFonts w:hint="eastAsia" w:ascii="黑体" w:hAnsi="黑体" w:eastAsia="黑体"/>
          <w:szCs w:val="21"/>
        </w:rPr>
        <w:t>法定代表人（授权代表）：</w:t>
      </w:r>
    </w:p>
    <w:p>
      <w:pPr>
        <w:tabs>
          <w:tab w:val="left" w:pos="6300"/>
        </w:tabs>
        <w:adjustRightInd w:val="0"/>
        <w:spacing w:line="360" w:lineRule="auto"/>
        <w:ind w:firstLine="1260" w:firstLineChars="600"/>
        <w:rPr>
          <w:rFonts w:ascii="黑体" w:hAnsi="黑体" w:eastAsia="黑体"/>
          <w:szCs w:val="21"/>
        </w:rPr>
      </w:pPr>
      <w:r>
        <w:rPr>
          <w:rFonts w:hint="eastAsia" w:ascii="黑体" w:hAnsi="黑体" w:eastAsia="黑体"/>
          <w:szCs w:val="21"/>
        </w:rPr>
        <w:t>地址</w:t>
      </w:r>
      <w:r>
        <w:rPr>
          <w:rFonts w:ascii="黑体" w:hAnsi="黑体" w:eastAsia="黑体"/>
          <w:szCs w:val="21"/>
        </w:rPr>
        <w:t>/邮编：</w:t>
      </w:r>
    </w:p>
    <w:p>
      <w:pPr>
        <w:tabs>
          <w:tab w:val="left" w:pos="6300"/>
        </w:tabs>
        <w:adjustRightInd w:val="0"/>
        <w:spacing w:line="360" w:lineRule="auto"/>
        <w:ind w:firstLine="1260" w:firstLineChars="600"/>
        <w:rPr>
          <w:rFonts w:ascii="黑体" w:hAnsi="黑体" w:eastAsia="黑体"/>
          <w:szCs w:val="21"/>
        </w:rPr>
      </w:pPr>
      <w:r>
        <w:rPr>
          <w:rFonts w:hint="eastAsia" w:ascii="黑体" w:hAnsi="黑体" w:eastAsia="黑体"/>
          <w:szCs w:val="21"/>
        </w:rPr>
        <w:t>电话</w:t>
      </w:r>
      <w:r>
        <w:rPr>
          <w:rFonts w:ascii="黑体" w:hAnsi="黑体" w:eastAsia="黑体"/>
          <w:szCs w:val="21"/>
        </w:rPr>
        <w:t>/传真：</w:t>
      </w:r>
    </w:p>
    <w:p>
      <w:pPr>
        <w:adjustRightInd w:val="0"/>
        <w:spacing w:before="624" w:beforeLines="200" w:line="360" w:lineRule="auto"/>
        <w:jc w:val="right"/>
        <w:rPr>
          <w:rFonts w:ascii="黑体" w:hAnsi="黑体" w:eastAsia="黑体"/>
          <w:szCs w:val="21"/>
        </w:rPr>
      </w:pPr>
      <w:r>
        <w:rPr>
          <w:rFonts w:hint="eastAsia" w:ascii="黑体" w:hAnsi="黑体" w:eastAsia="黑体"/>
          <w:szCs w:val="21"/>
        </w:rPr>
        <w:t>年</w:t>
      </w:r>
      <w:r>
        <w:rPr>
          <w:rFonts w:ascii="黑体" w:hAnsi="黑体" w:eastAsia="黑体"/>
          <w:szCs w:val="21"/>
        </w:rPr>
        <w:t xml:space="preserve">     </w:t>
      </w:r>
      <w:r>
        <w:rPr>
          <w:rFonts w:hint="eastAsia" w:ascii="黑体" w:hAnsi="黑体" w:eastAsia="黑体"/>
          <w:szCs w:val="21"/>
        </w:rPr>
        <w:t>月</w:t>
      </w:r>
      <w:r>
        <w:rPr>
          <w:rFonts w:ascii="黑体" w:hAnsi="黑体" w:eastAsia="黑体"/>
          <w:szCs w:val="21"/>
        </w:rPr>
        <w:t xml:space="preserve">     </w:t>
      </w:r>
      <w:r>
        <w:rPr>
          <w:rFonts w:hint="eastAsia" w:ascii="黑体" w:hAnsi="黑体" w:eastAsia="黑体"/>
          <w:szCs w:val="21"/>
        </w:rPr>
        <w:t>日</w:t>
      </w:r>
    </w:p>
    <w:p>
      <w:pPr>
        <w:snapToGrid w:val="0"/>
        <w:spacing w:line="360" w:lineRule="auto"/>
        <w:ind w:firstLine="422" w:firstLineChars="201"/>
        <w:rPr>
          <w:rFonts w:ascii="黑体" w:hAnsi="黑体" w:eastAsia="黑体"/>
          <w:szCs w:val="21"/>
        </w:rPr>
      </w:pPr>
    </w:p>
    <w:p>
      <w:pPr>
        <w:pageBreakBefore/>
        <w:rPr>
          <w:rFonts w:ascii="黑体" w:hAnsi="黑体" w:eastAsia="黑体"/>
          <w:b/>
        </w:rPr>
      </w:pPr>
      <w:bookmarkStart w:id="51" w:name="_Toc515363626"/>
      <w:bookmarkStart w:id="52" w:name="_Toc515040754"/>
      <w:r>
        <w:rPr>
          <w:rFonts w:hint="eastAsia" w:ascii="黑体" w:hAnsi="黑体" w:eastAsia="黑体"/>
          <w:b/>
        </w:rPr>
        <w:t>附件2  质疑函格式</w:t>
      </w:r>
      <w:bookmarkEnd w:id="51"/>
      <w:bookmarkEnd w:id="52"/>
    </w:p>
    <w:p>
      <w:pPr>
        <w:spacing w:before="312" w:beforeLines="100" w:after="312" w:afterLines="100"/>
        <w:jc w:val="center"/>
        <w:rPr>
          <w:rFonts w:ascii="黑体" w:hAnsi="黑体" w:eastAsia="黑体" w:cs="Times New Roman"/>
          <w:b/>
          <w:spacing w:val="20"/>
          <w:sz w:val="28"/>
          <w:szCs w:val="28"/>
        </w:rPr>
      </w:pPr>
      <w:r>
        <w:rPr>
          <w:rFonts w:hint="eastAsia" w:ascii="黑体" w:hAnsi="黑体" w:eastAsia="黑体" w:cs="Times New Roman"/>
          <w:b/>
          <w:spacing w:val="20"/>
          <w:sz w:val="28"/>
          <w:szCs w:val="28"/>
        </w:rPr>
        <w:t>质疑函</w:t>
      </w:r>
    </w:p>
    <w:p>
      <w:pPr>
        <w:adjustRightInd w:val="0"/>
        <w:snapToGrid w:val="0"/>
        <w:spacing w:line="360" w:lineRule="auto"/>
        <w:rPr>
          <w:rFonts w:ascii="黑体" w:hAnsi="黑体" w:eastAsia="黑体" w:cs="仿宋"/>
          <w:bCs/>
          <w:szCs w:val="21"/>
        </w:rPr>
      </w:pPr>
      <w:r>
        <w:rPr>
          <w:rFonts w:hint="eastAsia" w:ascii="黑体" w:hAnsi="黑体" w:eastAsia="黑体" w:cs="仿宋"/>
          <w:bCs/>
          <w:szCs w:val="21"/>
        </w:rPr>
        <w:t>一、质疑供应商基本信息</w:t>
      </w:r>
    </w:p>
    <w:p>
      <w:pPr>
        <w:adjustRightInd w:val="0"/>
        <w:snapToGrid w:val="0"/>
        <w:spacing w:line="360" w:lineRule="auto"/>
        <w:rPr>
          <w:rFonts w:ascii="黑体" w:hAnsi="黑体" w:eastAsia="黑体" w:cs="仿宋"/>
          <w:szCs w:val="21"/>
          <w:u w:val="dotted"/>
        </w:rPr>
      </w:pPr>
      <w:r>
        <w:rPr>
          <w:rFonts w:hint="eastAsia" w:ascii="黑体" w:hAnsi="黑体" w:eastAsia="黑体" w:cs="仿宋"/>
          <w:szCs w:val="21"/>
        </w:rPr>
        <w:t>质疑供应商：</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rPr>
      </w:pPr>
      <w:r>
        <w:rPr>
          <w:rFonts w:hint="eastAsia" w:ascii="黑体" w:hAnsi="黑体" w:eastAsia="黑体" w:cs="仿宋"/>
          <w:szCs w:val="21"/>
        </w:rPr>
        <w:t>地址：</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rPr>
        <w:t>邮编：</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rPr>
      </w:pPr>
      <w:r>
        <w:rPr>
          <w:rFonts w:hint="eastAsia" w:ascii="黑体" w:hAnsi="黑体" w:eastAsia="黑体" w:cs="仿宋"/>
          <w:szCs w:val="21"/>
        </w:rPr>
        <w:t>联系人：</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hint="eastAsia" w:ascii="黑体" w:hAnsi="黑体" w:eastAsia="黑体" w:cs="仿宋"/>
          <w:szCs w:val="21"/>
        </w:rPr>
        <w:t>联系电话：</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u w:val="dotted"/>
        </w:rPr>
      </w:pPr>
      <w:r>
        <w:rPr>
          <w:rFonts w:hint="eastAsia" w:ascii="黑体" w:hAnsi="黑体" w:eastAsia="黑体" w:cs="仿宋"/>
          <w:szCs w:val="21"/>
        </w:rPr>
        <w:t>授权代表：</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b/>
          <w:szCs w:val="21"/>
        </w:rPr>
      </w:pPr>
      <w:r>
        <w:rPr>
          <w:rFonts w:hint="eastAsia" w:ascii="黑体" w:hAnsi="黑体" w:eastAsia="黑体" w:cs="仿宋"/>
          <w:szCs w:val="21"/>
        </w:rPr>
        <w:t>联系电话：</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b/>
          <w:szCs w:val="21"/>
        </w:rPr>
      </w:pPr>
      <w:r>
        <w:rPr>
          <w:rFonts w:hint="eastAsia" w:ascii="黑体" w:hAnsi="黑体" w:eastAsia="黑体" w:cs="仿宋"/>
          <w:szCs w:val="21"/>
        </w:rPr>
        <w:t>地   址：</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rPr>
        <w:t>邮编：</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before="156" w:beforeLines="50" w:line="360" w:lineRule="auto"/>
        <w:rPr>
          <w:rFonts w:ascii="黑体" w:hAnsi="黑体" w:eastAsia="黑体" w:cs="仿宋"/>
          <w:bCs/>
          <w:szCs w:val="21"/>
        </w:rPr>
      </w:pPr>
      <w:r>
        <w:rPr>
          <w:rFonts w:hint="eastAsia" w:ascii="黑体" w:hAnsi="黑体" w:eastAsia="黑体" w:cs="仿宋"/>
          <w:bCs/>
          <w:szCs w:val="21"/>
        </w:rPr>
        <w:t xml:space="preserve">二、质疑项目基本情况 </w:t>
      </w:r>
    </w:p>
    <w:p>
      <w:pPr>
        <w:adjustRightInd w:val="0"/>
        <w:snapToGrid w:val="0"/>
        <w:spacing w:line="360" w:lineRule="auto"/>
        <w:rPr>
          <w:rFonts w:ascii="黑体" w:hAnsi="黑体" w:eastAsia="黑体" w:cs="仿宋"/>
          <w:szCs w:val="21"/>
        </w:rPr>
      </w:pPr>
      <w:r>
        <w:rPr>
          <w:rFonts w:hint="eastAsia" w:ascii="黑体" w:hAnsi="黑体" w:eastAsia="黑体" w:cs="仿宋"/>
          <w:szCs w:val="21"/>
        </w:rPr>
        <w:t>质疑项目的名称：</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rPr>
      </w:pPr>
      <w:r>
        <w:rPr>
          <w:rFonts w:hint="eastAsia" w:ascii="黑体" w:hAnsi="黑体" w:eastAsia="黑体" w:cs="仿宋"/>
          <w:szCs w:val="21"/>
        </w:rPr>
        <w:t>质疑项目的编号：</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rPr>
        <w:t>包号：</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u w:val="single"/>
        </w:rPr>
      </w:pPr>
      <w:r>
        <w:rPr>
          <w:rFonts w:hint="eastAsia" w:ascii="黑体" w:hAnsi="黑体" w:eastAsia="黑体" w:cs="仿宋"/>
          <w:szCs w:val="21"/>
        </w:rPr>
        <w:t>采购人名称：</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u w:val="single"/>
        </w:rPr>
      </w:pPr>
      <w:r>
        <w:rPr>
          <w:rFonts w:hint="eastAsia" w:ascii="黑体" w:hAnsi="黑体" w:eastAsia="黑体" w:cs="仿宋"/>
          <w:szCs w:val="21"/>
        </w:rPr>
        <w:t>采购文件获取日期：</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before="156" w:beforeLines="50" w:line="360" w:lineRule="auto"/>
        <w:rPr>
          <w:rFonts w:ascii="黑体" w:hAnsi="黑体" w:eastAsia="黑体" w:cs="仿宋"/>
          <w:bCs/>
          <w:szCs w:val="21"/>
        </w:rPr>
      </w:pPr>
      <w:r>
        <w:rPr>
          <w:rFonts w:hint="eastAsia" w:ascii="黑体" w:hAnsi="黑体" w:eastAsia="黑体" w:cs="仿宋"/>
          <w:bCs/>
          <w:szCs w:val="21"/>
        </w:rPr>
        <w:t>三、质疑事项具体内容</w:t>
      </w:r>
    </w:p>
    <w:p>
      <w:pPr>
        <w:adjustRightInd w:val="0"/>
        <w:snapToGrid w:val="0"/>
        <w:spacing w:line="360" w:lineRule="auto"/>
        <w:rPr>
          <w:rFonts w:ascii="黑体" w:hAnsi="黑体" w:eastAsia="黑体" w:cs="仿宋"/>
          <w:szCs w:val="21"/>
          <w:u w:val="single"/>
        </w:rPr>
      </w:pPr>
      <w:r>
        <w:rPr>
          <w:rFonts w:hint="eastAsia" w:ascii="黑体" w:hAnsi="黑体" w:eastAsia="黑体" w:cs="仿宋"/>
          <w:szCs w:val="21"/>
        </w:rPr>
        <w:t>质疑事项</w:t>
      </w:r>
      <w:r>
        <w:rPr>
          <w:rFonts w:ascii="黑体" w:hAnsi="黑体" w:eastAsia="黑体" w:cs="仿宋"/>
          <w:szCs w:val="21"/>
        </w:rPr>
        <w:t>1：</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u w:val="single"/>
        </w:rPr>
      </w:pPr>
      <w:r>
        <w:rPr>
          <w:rFonts w:hint="eastAsia" w:ascii="黑体" w:hAnsi="黑体" w:eastAsia="黑体" w:cs="仿宋"/>
          <w:szCs w:val="21"/>
        </w:rPr>
        <w:t>事实依据：</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u w:val="single"/>
        </w:rPr>
      </w:pPr>
      <w:r>
        <w:rPr>
          <w:rFonts w:hint="eastAsia" w:ascii="黑体" w:hAnsi="黑体" w:eastAsia="黑体" w:cs="仿宋"/>
          <w:szCs w:val="21"/>
        </w:rPr>
        <w:t>法律依据：</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cs="仿宋"/>
          <w:szCs w:val="21"/>
          <w:u w:val="dotted"/>
        </w:rPr>
      </w:pPr>
      <w:r>
        <w:rPr>
          <w:rFonts w:hint="eastAsia" w:ascii="黑体" w:hAnsi="黑体" w:eastAsia="黑体" w:cs="仿宋"/>
          <w:szCs w:val="21"/>
        </w:rPr>
        <w:t>质疑事项</w:t>
      </w:r>
      <w:r>
        <w:rPr>
          <w:rFonts w:ascii="黑体" w:hAnsi="黑体" w:eastAsia="黑体" w:cs="仿宋"/>
          <w:szCs w:val="21"/>
        </w:rPr>
        <w:t>2</w:t>
      </w:r>
    </w:p>
    <w:p>
      <w:pPr>
        <w:adjustRightInd w:val="0"/>
        <w:snapToGrid w:val="0"/>
        <w:spacing w:line="360" w:lineRule="auto"/>
        <w:rPr>
          <w:rFonts w:ascii="黑体" w:hAnsi="黑体" w:eastAsia="黑体" w:cs="仿宋"/>
          <w:szCs w:val="21"/>
        </w:rPr>
      </w:pPr>
      <w:r>
        <w:rPr>
          <w:rFonts w:hint="eastAsia" w:ascii="黑体" w:hAnsi="黑体" w:eastAsia="黑体" w:cs="仿宋"/>
          <w:szCs w:val="21"/>
        </w:rPr>
        <w:t>……</w:t>
      </w:r>
    </w:p>
    <w:p>
      <w:pPr>
        <w:adjustRightInd w:val="0"/>
        <w:snapToGrid w:val="0"/>
        <w:spacing w:line="360" w:lineRule="auto"/>
        <w:rPr>
          <w:rFonts w:ascii="黑体" w:hAnsi="黑体" w:eastAsia="黑体" w:cs="仿宋"/>
          <w:bCs/>
          <w:szCs w:val="21"/>
        </w:rPr>
      </w:pPr>
      <w:r>
        <w:rPr>
          <w:rFonts w:hint="eastAsia" w:ascii="黑体" w:hAnsi="黑体" w:eastAsia="黑体" w:cs="仿宋"/>
          <w:bCs/>
          <w:szCs w:val="21"/>
        </w:rPr>
        <w:t>四、与质疑事项相关的质疑请求</w:t>
      </w:r>
    </w:p>
    <w:p>
      <w:pPr>
        <w:adjustRightInd w:val="0"/>
        <w:snapToGrid w:val="0"/>
        <w:spacing w:line="360" w:lineRule="auto"/>
        <w:rPr>
          <w:rFonts w:ascii="黑体" w:hAnsi="黑体" w:eastAsia="黑体" w:cs="仿宋"/>
          <w:szCs w:val="21"/>
          <w:u w:val="dotted"/>
        </w:rPr>
      </w:pPr>
      <w:r>
        <w:rPr>
          <w:rFonts w:hint="eastAsia" w:ascii="黑体" w:hAnsi="黑体" w:eastAsia="黑体" w:cs="仿宋"/>
          <w:szCs w:val="21"/>
        </w:rPr>
        <w:t>请求：</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r>
        <w:rPr>
          <w:rFonts w:ascii="黑体" w:hAnsi="黑体" w:eastAsia="黑体" w:cs="仿宋"/>
          <w:szCs w:val="21"/>
          <w:u w:val="single"/>
        </w:rPr>
        <w:t xml:space="preserve">  </w:t>
      </w:r>
      <w:r>
        <w:rPr>
          <w:rFonts w:hint="eastAsia" w:ascii="黑体" w:hAnsi="黑体" w:eastAsia="黑体" w:cs="仿宋"/>
          <w:szCs w:val="21"/>
          <w:u w:val="single"/>
        </w:rPr>
        <w:t xml:space="preserve">             </w:t>
      </w:r>
    </w:p>
    <w:p>
      <w:pPr>
        <w:adjustRightInd w:val="0"/>
        <w:snapToGrid w:val="0"/>
        <w:spacing w:line="360" w:lineRule="auto"/>
        <w:rPr>
          <w:rFonts w:ascii="黑体" w:hAnsi="黑体" w:eastAsia="黑体"/>
          <w:szCs w:val="21"/>
        </w:rPr>
      </w:pPr>
      <w:r>
        <w:rPr>
          <w:rFonts w:hint="eastAsia" w:ascii="黑体" w:hAnsi="黑体" w:eastAsia="黑体"/>
          <w:szCs w:val="21"/>
        </w:rPr>
        <w:t>签字</w:t>
      </w:r>
      <w:r>
        <w:rPr>
          <w:rFonts w:ascii="黑体" w:hAnsi="黑体" w:eastAsia="黑体"/>
          <w:szCs w:val="21"/>
        </w:rPr>
        <w:t xml:space="preserve">(签章)：                   公章：                      </w:t>
      </w:r>
    </w:p>
    <w:p>
      <w:pPr>
        <w:adjustRightInd w:val="0"/>
        <w:snapToGrid w:val="0"/>
        <w:spacing w:line="360" w:lineRule="auto"/>
        <w:rPr>
          <w:rFonts w:ascii="黑体" w:hAnsi="黑体" w:eastAsia="黑体"/>
          <w:szCs w:val="21"/>
        </w:rPr>
      </w:pPr>
      <w:r>
        <w:rPr>
          <w:rFonts w:hint="eastAsia" w:ascii="黑体" w:hAnsi="黑体" w:eastAsia="黑体"/>
          <w:szCs w:val="21"/>
        </w:rPr>
        <w:t>日    期：</w:t>
      </w:r>
      <w:r>
        <w:rPr>
          <w:rFonts w:ascii="黑体" w:hAnsi="黑体" w:eastAsia="黑体"/>
          <w:szCs w:val="21"/>
        </w:rPr>
        <w:t xml:space="preserve">    </w:t>
      </w:r>
    </w:p>
    <w:p>
      <w:pPr>
        <w:adjustRightInd w:val="0"/>
        <w:snapToGrid w:val="0"/>
        <w:spacing w:line="360" w:lineRule="auto"/>
        <w:rPr>
          <w:rFonts w:ascii="黑体" w:hAnsi="黑体" w:eastAsia="黑体" w:cs="仿宋"/>
          <w:szCs w:val="21"/>
        </w:rPr>
      </w:pPr>
    </w:p>
    <w:p>
      <w:pPr>
        <w:adjustRightInd w:val="0"/>
        <w:snapToGrid w:val="0"/>
        <w:spacing w:line="360" w:lineRule="auto"/>
        <w:rPr>
          <w:rFonts w:ascii="黑体" w:hAnsi="黑体" w:eastAsia="黑体" w:cs="仿宋"/>
          <w:szCs w:val="21"/>
        </w:rPr>
      </w:pPr>
    </w:p>
    <w:p>
      <w:pPr>
        <w:adjustRightInd w:val="0"/>
        <w:snapToGrid w:val="0"/>
        <w:spacing w:line="360" w:lineRule="auto"/>
        <w:rPr>
          <w:rFonts w:ascii="黑体" w:hAnsi="黑体" w:eastAsia="黑体"/>
          <w:b/>
          <w:szCs w:val="21"/>
        </w:rPr>
      </w:pPr>
      <w:r>
        <w:rPr>
          <w:rFonts w:hint="eastAsia" w:ascii="黑体" w:hAnsi="黑体" w:eastAsia="黑体"/>
          <w:b/>
          <w:szCs w:val="21"/>
        </w:rPr>
        <w:t>质疑函制作说明：</w:t>
      </w:r>
    </w:p>
    <w:p>
      <w:pPr>
        <w:pStyle w:val="30"/>
        <w:widowControl/>
        <w:numPr>
          <w:ilvl w:val="0"/>
          <w:numId w:val="64"/>
        </w:numPr>
        <w:adjustRightInd w:val="0"/>
        <w:snapToGrid w:val="0"/>
        <w:spacing w:line="360" w:lineRule="auto"/>
        <w:ind w:firstLineChars="0"/>
        <w:jc w:val="left"/>
        <w:rPr>
          <w:rFonts w:ascii="黑体" w:hAnsi="黑体" w:eastAsia="黑体"/>
          <w:b/>
          <w:szCs w:val="21"/>
        </w:rPr>
      </w:pPr>
      <w:r>
        <w:rPr>
          <w:rFonts w:ascii="黑体" w:hAnsi="黑体" w:eastAsia="黑体"/>
          <w:szCs w:val="21"/>
        </w:rPr>
        <w:t>供应商提出质疑时，应提交质疑函和必要的证明材料。</w:t>
      </w:r>
    </w:p>
    <w:p>
      <w:pPr>
        <w:pStyle w:val="30"/>
        <w:widowControl/>
        <w:numPr>
          <w:ilvl w:val="0"/>
          <w:numId w:val="64"/>
        </w:numPr>
        <w:adjustRightInd w:val="0"/>
        <w:snapToGrid w:val="0"/>
        <w:spacing w:line="360" w:lineRule="auto"/>
        <w:ind w:firstLineChars="0"/>
        <w:jc w:val="left"/>
        <w:rPr>
          <w:rFonts w:ascii="黑体" w:hAnsi="黑体" w:eastAsia="黑体"/>
          <w:b/>
          <w:szCs w:val="21"/>
        </w:rPr>
      </w:pPr>
      <w:r>
        <w:rPr>
          <w:rFonts w:hint="eastAsia" w:ascii="黑体" w:hAnsi="黑体" w:eastAsia="黑体"/>
          <w:szCs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30"/>
        <w:widowControl/>
        <w:numPr>
          <w:ilvl w:val="0"/>
          <w:numId w:val="64"/>
        </w:numPr>
        <w:adjustRightInd w:val="0"/>
        <w:snapToGrid w:val="0"/>
        <w:spacing w:line="360" w:lineRule="auto"/>
        <w:ind w:firstLineChars="0"/>
        <w:jc w:val="left"/>
        <w:rPr>
          <w:rFonts w:ascii="黑体" w:hAnsi="黑体" w:eastAsia="黑体"/>
          <w:b/>
          <w:szCs w:val="21"/>
        </w:rPr>
      </w:pPr>
      <w:r>
        <w:rPr>
          <w:rFonts w:hint="eastAsia" w:ascii="黑体" w:hAnsi="黑体" w:eastAsia="黑体"/>
          <w:szCs w:val="21"/>
        </w:rPr>
        <w:t>质疑供应商若对项目的某一分包进行质疑，质疑函中应列明具体分包号。</w:t>
      </w:r>
    </w:p>
    <w:p>
      <w:pPr>
        <w:pStyle w:val="30"/>
        <w:widowControl/>
        <w:numPr>
          <w:ilvl w:val="0"/>
          <w:numId w:val="64"/>
        </w:numPr>
        <w:adjustRightInd w:val="0"/>
        <w:snapToGrid w:val="0"/>
        <w:spacing w:line="360" w:lineRule="auto"/>
        <w:ind w:firstLineChars="0"/>
        <w:jc w:val="left"/>
        <w:rPr>
          <w:rFonts w:ascii="黑体" w:hAnsi="黑体" w:eastAsia="黑体"/>
          <w:b/>
          <w:szCs w:val="21"/>
        </w:rPr>
      </w:pPr>
      <w:r>
        <w:rPr>
          <w:rFonts w:hint="eastAsia" w:ascii="黑体" w:hAnsi="黑体" w:eastAsia="黑体"/>
          <w:szCs w:val="21"/>
        </w:rPr>
        <w:t>质疑函的质疑事项应具体、明确，并有必要的事实依据和法律依据。</w:t>
      </w:r>
    </w:p>
    <w:p>
      <w:pPr>
        <w:pStyle w:val="30"/>
        <w:widowControl/>
        <w:numPr>
          <w:ilvl w:val="0"/>
          <w:numId w:val="64"/>
        </w:numPr>
        <w:adjustRightInd w:val="0"/>
        <w:snapToGrid w:val="0"/>
        <w:spacing w:line="360" w:lineRule="auto"/>
        <w:ind w:firstLineChars="0"/>
        <w:jc w:val="left"/>
        <w:rPr>
          <w:rFonts w:ascii="黑体" w:hAnsi="黑体" w:eastAsia="黑体"/>
          <w:b/>
          <w:szCs w:val="21"/>
        </w:rPr>
      </w:pPr>
      <w:r>
        <w:rPr>
          <w:rFonts w:hint="eastAsia" w:ascii="黑体" w:hAnsi="黑体" w:eastAsia="黑体"/>
          <w:szCs w:val="21"/>
        </w:rPr>
        <w:t>质疑函的质疑请求应与质疑事项相关。</w:t>
      </w:r>
    </w:p>
    <w:p>
      <w:pPr>
        <w:pStyle w:val="30"/>
        <w:widowControl/>
        <w:numPr>
          <w:ilvl w:val="0"/>
          <w:numId w:val="64"/>
        </w:numPr>
        <w:adjustRightInd w:val="0"/>
        <w:snapToGrid w:val="0"/>
        <w:spacing w:line="360" w:lineRule="auto"/>
        <w:ind w:firstLineChars="0"/>
        <w:jc w:val="left"/>
        <w:rPr>
          <w:rFonts w:ascii="黑体" w:hAnsi="黑体" w:eastAsia="黑体"/>
          <w:b/>
          <w:szCs w:val="21"/>
        </w:rPr>
      </w:pPr>
      <w:r>
        <w:rPr>
          <w:rFonts w:hint="eastAsia" w:ascii="黑体" w:hAnsi="黑体" w:eastAsia="黑体"/>
          <w:szCs w:val="21"/>
        </w:rPr>
        <w:t>质疑供应商为自然人的，质疑函应由本人签字；质疑供应商为法人或者其他组织的，质疑函应由法定代表人、主要负责人，或者其授权代表签字或者盖章，并加盖公章。</w:t>
      </w:r>
    </w:p>
    <w:p>
      <w:pPr>
        <w:pStyle w:val="30"/>
        <w:spacing w:line="360" w:lineRule="auto"/>
        <w:ind w:left="420" w:firstLine="0" w:firstLineChars="0"/>
        <w:rPr>
          <w:rFonts w:ascii="宋体" w:hAnsi="宋体" w:eastAsia="宋体"/>
          <w:bCs/>
          <w:szCs w:val="21"/>
        </w:rPr>
      </w:pPr>
    </w:p>
    <w:p>
      <w:pPr>
        <w:pStyle w:val="2"/>
        <w:keepNext w:val="0"/>
        <w:keepLines w:val="0"/>
        <w:pageBreakBefore/>
        <w:spacing w:line="360" w:lineRule="auto"/>
        <w:jc w:val="center"/>
        <w:rPr>
          <w:rFonts w:ascii="黑体" w:hAnsi="黑体" w:eastAsia="黑体"/>
          <w:spacing w:val="20"/>
          <w:sz w:val="32"/>
          <w:szCs w:val="32"/>
        </w:rPr>
      </w:pPr>
      <w:bookmarkStart w:id="53" w:name="_Toc405313955"/>
      <w:bookmarkStart w:id="54" w:name="_Toc391627751"/>
      <w:bookmarkStart w:id="55" w:name="_Toc119514289"/>
      <w:r>
        <w:rPr>
          <w:rFonts w:hint="eastAsia" w:ascii="黑体" w:hAnsi="黑体" w:eastAsia="黑体"/>
          <w:spacing w:val="20"/>
          <w:sz w:val="32"/>
          <w:szCs w:val="32"/>
        </w:rPr>
        <w:t>第五部分</w:t>
      </w:r>
      <w:r>
        <w:rPr>
          <w:rFonts w:ascii="黑体" w:hAnsi="黑体" w:eastAsia="黑体"/>
          <w:spacing w:val="20"/>
          <w:sz w:val="32"/>
          <w:szCs w:val="32"/>
        </w:rPr>
        <w:t xml:space="preserve"> </w:t>
      </w:r>
      <w:r>
        <w:rPr>
          <w:rFonts w:hint="eastAsia" w:ascii="黑体" w:hAnsi="黑体" w:eastAsia="黑体"/>
          <w:spacing w:val="20"/>
          <w:sz w:val="32"/>
          <w:szCs w:val="32"/>
        </w:rPr>
        <w:t>评标方法、步骤、标准</w:t>
      </w:r>
      <w:bookmarkEnd w:id="53"/>
      <w:bookmarkEnd w:id="54"/>
      <w:bookmarkEnd w:id="55"/>
    </w:p>
    <w:p>
      <w:pPr>
        <w:pStyle w:val="30"/>
        <w:numPr>
          <w:ilvl w:val="0"/>
          <w:numId w:val="65"/>
        </w:numPr>
        <w:spacing w:before="312" w:beforeLines="100" w:line="360" w:lineRule="auto"/>
        <w:ind w:firstLineChars="0"/>
        <w:rPr>
          <w:rFonts w:ascii="黑体" w:hAnsi="黑体" w:eastAsia="黑体"/>
          <w:b/>
          <w:bCs/>
          <w:sz w:val="24"/>
          <w:szCs w:val="24"/>
        </w:rPr>
      </w:pPr>
      <w:r>
        <w:rPr>
          <w:rFonts w:hint="eastAsia" w:ascii="黑体" w:hAnsi="黑体" w:eastAsia="黑体"/>
          <w:b/>
          <w:bCs/>
          <w:sz w:val="24"/>
          <w:szCs w:val="24"/>
        </w:rPr>
        <w:t>总则</w:t>
      </w:r>
    </w:p>
    <w:p>
      <w:pPr>
        <w:pStyle w:val="30"/>
        <w:numPr>
          <w:ilvl w:val="0"/>
          <w:numId w:val="66"/>
        </w:numPr>
        <w:spacing w:line="360" w:lineRule="auto"/>
        <w:ind w:firstLineChars="0"/>
        <w:rPr>
          <w:rFonts w:ascii="黑体" w:hAnsi="黑体" w:eastAsia="黑体"/>
          <w:b/>
          <w:bCs/>
          <w:szCs w:val="21"/>
        </w:rPr>
      </w:pPr>
      <w:r>
        <w:rPr>
          <w:rFonts w:hint="eastAsia" w:ascii="黑体" w:hAnsi="黑体" w:eastAsia="黑体"/>
          <w:b/>
          <w:bCs/>
          <w:szCs w:val="21"/>
        </w:rPr>
        <w:t>评标委员会</w:t>
      </w:r>
    </w:p>
    <w:p>
      <w:pPr>
        <w:pStyle w:val="30"/>
        <w:numPr>
          <w:ilvl w:val="1"/>
          <w:numId w:val="67"/>
        </w:numPr>
        <w:spacing w:line="360" w:lineRule="auto"/>
        <w:ind w:firstLineChars="0"/>
        <w:rPr>
          <w:rFonts w:ascii="黑体" w:hAnsi="黑体" w:eastAsia="黑体"/>
          <w:bCs/>
          <w:szCs w:val="21"/>
        </w:rPr>
      </w:pPr>
      <w:r>
        <w:rPr>
          <w:rFonts w:hint="eastAsia" w:ascii="黑体" w:hAnsi="黑体" w:eastAsia="黑体"/>
          <w:bCs/>
          <w:szCs w:val="21"/>
        </w:rPr>
        <w:t>本次招标依法组建评标委员会。</w:t>
      </w:r>
    </w:p>
    <w:p>
      <w:pPr>
        <w:pStyle w:val="30"/>
        <w:numPr>
          <w:ilvl w:val="1"/>
          <w:numId w:val="67"/>
        </w:numPr>
        <w:spacing w:line="360" w:lineRule="auto"/>
        <w:ind w:firstLineChars="0"/>
        <w:rPr>
          <w:rFonts w:ascii="黑体" w:hAnsi="黑体" w:eastAsia="黑体"/>
          <w:bCs/>
          <w:szCs w:val="21"/>
        </w:rPr>
      </w:pPr>
      <w:r>
        <w:rPr>
          <w:rFonts w:hint="eastAsia" w:ascii="黑体" w:hAnsi="黑体" w:eastAsia="黑体" w:cs="宋体"/>
          <w:szCs w:val="21"/>
          <w:lang w:eastAsia="zh-TW"/>
        </w:rPr>
        <w:t>评标委员会成员名单在评标结果公告前应当保密。</w:t>
      </w:r>
      <w:r>
        <w:rPr>
          <w:rFonts w:hint="eastAsia" w:ascii="黑体" w:hAnsi="黑体" w:eastAsia="黑体"/>
          <w:bCs/>
          <w:szCs w:val="21"/>
        </w:rPr>
        <w:t>评审专家有下列情形之一的，受到邀请应主动提出回避，采购当事人也可以要求该评审专家回避：</w:t>
      </w:r>
    </w:p>
    <w:p>
      <w:pPr>
        <w:pStyle w:val="30"/>
        <w:numPr>
          <w:ilvl w:val="2"/>
          <w:numId w:val="68"/>
        </w:numPr>
        <w:spacing w:line="360" w:lineRule="auto"/>
        <w:ind w:firstLineChars="0"/>
        <w:rPr>
          <w:rFonts w:ascii="黑体" w:hAnsi="黑体" w:eastAsia="黑体"/>
          <w:bCs/>
          <w:szCs w:val="21"/>
        </w:rPr>
      </w:pPr>
      <w:r>
        <w:rPr>
          <w:rFonts w:hint="eastAsia" w:ascii="黑体" w:hAnsi="黑体" w:eastAsia="黑体" w:cs="宋体"/>
          <w:szCs w:val="21"/>
          <w:lang w:eastAsia="zh-TW"/>
        </w:rPr>
        <w:t>参加采购活动前</w:t>
      </w:r>
      <w:r>
        <w:rPr>
          <w:rFonts w:ascii="黑体" w:hAnsi="黑体" w:eastAsia="黑体" w:cs="宋体"/>
          <w:szCs w:val="21"/>
          <w:lang w:eastAsia="zh-TW"/>
        </w:rPr>
        <w:t>3年内与供应商存在劳动关系</w:t>
      </w:r>
      <w:r>
        <w:rPr>
          <w:rFonts w:hint="eastAsia" w:ascii="黑体" w:hAnsi="黑体" w:eastAsia="黑体" w:cs="宋体"/>
          <w:szCs w:val="21"/>
          <w:lang w:eastAsia="zh-TW"/>
        </w:rPr>
        <w:t>；</w:t>
      </w:r>
    </w:p>
    <w:p>
      <w:pPr>
        <w:pStyle w:val="30"/>
        <w:numPr>
          <w:ilvl w:val="2"/>
          <w:numId w:val="68"/>
        </w:numPr>
        <w:spacing w:line="360" w:lineRule="auto"/>
        <w:ind w:firstLineChars="0"/>
        <w:rPr>
          <w:rFonts w:ascii="黑体" w:hAnsi="黑体" w:eastAsia="黑体"/>
          <w:bCs/>
          <w:szCs w:val="21"/>
        </w:rPr>
      </w:pPr>
      <w:r>
        <w:rPr>
          <w:rFonts w:hint="eastAsia" w:ascii="黑体" w:hAnsi="黑体" w:eastAsia="黑体" w:cs="宋体"/>
          <w:szCs w:val="21"/>
          <w:lang w:eastAsia="zh-TW"/>
        </w:rPr>
        <w:t>参加采购活动前</w:t>
      </w:r>
      <w:r>
        <w:rPr>
          <w:rFonts w:ascii="黑体" w:hAnsi="黑体" w:eastAsia="黑体" w:cs="宋体"/>
          <w:szCs w:val="21"/>
          <w:lang w:eastAsia="zh-TW"/>
        </w:rPr>
        <w:t>3年内担任供应商的董事、监事；</w:t>
      </w:r>
    </w:p>
    <w:p>
      <w:pPr>
        <w:pStyle w:val="30"/>
        <w:numPr>
          <w:ilvl w:val="2"/>
          <w:numId w:val="68"/>
        </w:numPr>
        <w:spacing w:line="360" w:lineRule="auto"/>
        <w:ind w:firstLineChars="0"/>
        <w:rPr>
          <w:rFonts w:ascii="黑体" w:hAnsi="黑体" w:eastAsia="黑体"/>
          <w:bCs/>
          <w:szCs w:val="21"/>
        </w:rPr>
      </w:pPr>
      <w:r>
        <w:rPr>
          <w:rFonts w:hint="eastAsia" w:ascii="黑体" w:hAnsi="黑体" w:eastAsia="黑体"/>
          <w:bCs/>
          <w:szCs w:val="21"/>
        </w:rPr>
        <w:t>参加采购活动前</w:t>
      </w:r>
      <w:r>
        <w:rPr>
          <w:rFonts w:ascii="黑体" w:hAnsi="黑体" w:eastAsia="黑体"/>
          <w:bCs/>
          <w:szCs w:val="21"/>
        </w:rPr>
        <w:t>3年内是供应商的控股股东或者实际控制人</w:t>
      </w:r>
      <w:r>
        <w:rPr>
          <w:rFonts w:hint="eastAsia" w:ascii="黑体" w:hAnsi="黑体" w:eastAsia="黑体"/>
          <w:bCs/>
          <w:szCs w:val="21"/>
        </w:rPr>
        <w:t>；</w:t>
      </w:r>
    </w:p>
    <w:p>
      <w:pPr>
        <w:pStyle w:val="30"/>
        <w:numPr>
          <w:ilvl w:val="2"/>
          <w:numId w:val="68"/>
        </w:numPr>
        <w:spacing w:line="360" w:lineRule="auto"/>
        <w:ind w:firstLineChars="0"/>
        <w:rPr>
          <w:rFonts w:ascii="黑体" w:hAnsi="黑体" w:eastAsia="黑体"/>
          <w:bCs/>
          <w:szCs w:val="21"/>
        </w:rPr>
      </w:pPr>
      <w:r>
        <w:rPr>
          <w:rFonts w:hint="eastAsia" w:ascii="黑体" w:hAnsi="黑体" w:eastAsia="黑体"/>
          <w:bCs/>
          <w:szCs w:val="21"/>
        </w:rPr>
        <w:t>与供应商的法定代表人或者负责人有夫妻、直系血亲、三代以内旁系血亲或者近姻亲关系；</w:t>
      </w:r>
    </w:p>
    <w:p>
      <w:pPr>
        <w:pStyle w:val="30"/>
        <w:numPr>
          <w:ilvl w:val="2"/>
          <w:numId w:val="68"/>
        </w:numPr>
        <w:spacing w:line="360" w:lineRule="auto"/>
        <w:ind w:firstLineChars="0"/>
        <w:rPr>
          <w:rFonts w:ascii="黑体" w:hAnsi="黑体" w:eastAsia="黑体"/>
          <w:bCs/>
          <w:szCs w:val="21"/>
        </w:rPr>
      </w:pPr>
      <w:r>
        <w:rPr>
          <w:rFonts w:hint="eastAsia" w:ascii="黑体" w:hAnsi="黑体" w:eastAsia="黑体" w:cs="宋体"/>
          <w:szCs w:val="21"/>
          <w:lang w:eastAsia="zh-TW"/>
        </w:rPr>
        <w:t>与供应商有其他可能影响政府采购活动公平、公正进行的关系。</w:t>
      </w:r>
    </w:p>
    <w:p>
      <w:pPr>
        <w:pStyle w:val="30"/>
        <w:numPr>
          <w:ilvl w:val="1"/>
          <w:numId w:val="67"/>
        </w:numPr>
        <w:spacing w:line="360" w:lineRule="auto"/>
        <w:ind w:firstLineChars="0"/>
        <w:rPr>
          <w:rFonts w:ascii="黑体" w:hAnsi="黑体" w:eastAsia="黑体"/>
          <w:bCs/>
          <w:szCs w:val="21"/>
        </w:rPr>
      </w:pPr>
      <w:r>
        <w:rPr>
          <w:rFonts w:hint="eastAsia" w:ascii="黑体" w:hAnsi="黑体" w:eastAsia="黑体"/>
          <w:bCs/>
          <w:szCs w:val="21"/>
        </w:rPr>
        <w:t>评标委员会负责具体评标事务，并独立履行下列职责：</w:t>
      </w:r>
    </w:p>
    <w:p>
      <w:pPr>
        <w:pStyle w:val="30"/>
        <w:widowControl/>
        <w:numPr>
          <w:ilvl w:val="2"/>
          <w:numId w:val="67"/>
        </w:numPr>
        <w:spacing w:line="360" w:lineRule="auto"/>
        <w:ind w:firstLineChars="0"/>
        <w:jc w:val="left"/>
        <w:rPr>
          <w:rFonts w:ascii="黑体" w:hAnsi="黑体" w:eastAsia="黑体" w:cs="宋体"/>
          <w:szCs w:val="21"/>
          <w:lang w:eastAsia="zh-TW"/>
        </w:rPr>
      </w:pPr>
      <w:r>
        <w:rPr>
          <w:rFonts w:hint="eastAsia" w:ascii="黑体" w:hAnsi="黑体" w:eastAsia="黑体" w:cs="宋体"/>
          <w:szCs w:val="21"/>
          <w:lang w:eastAsia="zh-TW"/>
        </w:rPr>
        <w:t>审查、评价投标文件是否符合招标文件的商务、技术等实质性要求；</w:t>
      </w:r>
    </w:p>
    <w:p>
      <w:pPr>
        <w:pStyle w:val="30"/>
        <w:widowControl/>
        <w:numPr>
          <w:ilvl w:val="2"/>
          <w:numId w:val="67"/>
        </w:numPr>
        <w:spacing w:line="360" w:lineRule="auto"/>
        <w:ind w:firstLineChars="0"/>
        <w:jc w:val="left"/>
        <w:rPr>
          <w:rFonts w:ascii="黑体" w:hAnsi="黑体" w:eastAsia="黑体" w:cs="宋体"/>
          <w:szCs w:val="21"/>
          <w:lang w:eastAsia="zh-TW"/>
        </w:rPr>
      </w:pPr>
      <w:r>
        <w:rPr>
          <w:rFonts w:hint="eastAsia" w:ascii="黑体" w:hAnsi="黑体" w:eastAsia="黑体" w:cs="宋体"/>
          <w:szCs w:val="21"/>
          <w:lang w:eastAsia="zh-TW"/>
        </w:rPr>
        <w:t>要求投标人对投标文件有关事项作出澄清或者说明；</w:t>
      </w:r>
    </w:p>
    <w:p>
      <w:pPr>
        <w:pStyle w:val="30"/>
        <w:widowControl/>
        <w:numPr>
          <w:ilvl w:val="2"/>
          <w:numId w:val="67"/>
        </w:numPr>
        <w:spacing w:line="360" w:lineRule="auto"/>
        <w:ind w:firstLineChars="0"/>
        <w:jc w:val="left"/>
        <w:rPr>
          <w:rFonts w:ascii="黑体" w:hAnsi="黑体" w:eastAsia="黑体" w:cs="宋体"/>
          <w:szCs w:val="21"/>
          <w:lang w:eastAsia="zh-TW"/>
        </w:rPr>
      </w:pPr>
      <w:r>
        <w:rPr>
          <w:rFonts w:hint="eastAsia" w:ascii="黑体" w:hAnsi="黑体" w:eastAsia="黑体" w:cs="宋体"/>
          <w:szCs w:val="21"/>
          <w:lang w:eastAsia="zh-TW"/>
        </w:rPr>
        <w:t>对投标文件进行比较和评价；</w:t>
      </w:r>
    </w:p>
    <w:p>
      <w:pPr>
        <w:pStyle w:val="30"/>
        <w:widowControl/>
        <w:numPr>
          <w:ilvl w:val="2"/>
          <w:numId w:val="67"/>
        </w:numPr>
        <w:spacing w:line="360" w:lineRule="auto"/>
        <w:ind w:firstLineChars="0"/>
        <w:jc w:val="left"/>
        <w:rPr>
          <w:rFonts w:ascii="黑体" w:hAnsi="黑体" w:eastAsia="黑体" w:cs="宋体"/>
          <w:szCs w:val="21"/>
          <w:lang w:eastAsia="zh-TW"/>
        </w:rPr>
      </w:pPr>
      <w:r>
        <w:rPr>
          <w:rFonts w:hint="eastAsia" w:ascii="黑体" w:hAnsi="黑体" w:eastAsia="黑体" w:cs="宋体"/>
          <w:szCs w:val="21"/>
          <w:lang w:eastAsia="zh-TW"/>
        </w:rPr>
        <w:t>确定中标候选人名单，以及根据采购人委托直接确定中标人；</w:t>
      </w:r>
    </w:p>
    <w:p>
      <w:pPr>
        <w:pStyle w:val="30"/>
        <w:widowControl/>
        <w:numPr>
          <w:ilvl w:val="2"/>
          <w:numId w:val="67"/>
        </w:numPr>
        <w:spacing w:line="360" w:lineRule="auto"/>
        <w:ind w:firstLineChars="0"/>
        <w:jc w:val="left"/>
        <w:rPr>
          <w:rFonts w:ascii="黑体" w:hAnsi="黑体" w:eastAsia="黑体" w:cs="宋体"/>
          <w:szCs w:val="21"/>
          <w:lang w:eastAsia="zh-TW"/>
        </w:rPr>
      </w:pPr>
      <w:r>
        <w:rPr>
          <w:rFonts w:hint="eastAsia" w:ascii="黑体" w:hAnsi="黑体" w:eastAsia="黑体" w:cs="宋体"/>
          <w:szCs w:val="21"/>
          <w:lang w:eastAsia="zh-TW"/>
        </w:rPr>
        <w:t>向采购人、采购代理机构或者有关部门报告评标中发现的违法行为。</w:t>
      </w:r>
    </w:p>
    <w:p>
      <w:pPr>
        <w:pStyle w:val="30"/>
        <w:widowControl/>
        <w:numPr>
          <w:ilvl w:val="1"/>
          <w:numId w:val="67"/>
        </w:numPr>
        <w:spacing w:line="360" w:lineRule="auto"/>
        <w:ind w:firstLineChars="0"/>
        <w:jc w:val="left"/>
        <w:rPr>
          <w:rFonts w:ascii="黑体" w:hAnsi="黑体" w:eastAsia="黑体" w:cs="宋体"/>
          <w:szCs w:val="21"/>
          <w:lang w:eastAsia="zh-TW"/>
        </w:rPr>
      </w:pPr>
      <w:r>
        <w:rPr>
          <w:rFonts w:hint="eastAsia" w:ascii="黑体" w:hAnsi="黑体" w:eastAsia="黑体" w:cs="宋体"/>
          <w:szCs w:val="21"/>
          <w:lang w:eastAsia="zh-TW"/>
        </w:rPr>
        <w:t>对于投标文件中含义不明确、同类问题表述不一致或者有明显文字和计算错误的内容，评标委员会应当以书面形式要求投标人作出必要的澄清、说明或者补正。</w:t>
      </w:r>
    </w:p>
    <w:p>
      <w:pPr>
        <w:pStyle w:val="30"/>
        <w:numPr>
          <w:ilvl w:val="1"/>
          <w:numId w:val="67"/>
        </w:numPr>
        <w:spacing w:line="360" w:lineRule="auto"/>
        <w:ind w:firstLineChars="0"/>
        <w:rPr>
          <w:rFonts w:ascii="黑体" w:hAnsi="黑体" w:eastAsia="黑体"/>
          <w:bCs/>
          <w:szCs w:val="21"/>
        </w:rPr>
      </w:pPr>
      <w:r>
        <w:rPr>
          <w:rFonts w:hint="eastAsia" w:ascii="黑体" w:hAnsi="黑体" w:eastAsia="黑体"/>
          <w:bCs/>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30"/>
        <w:numPr>
          <w:ilvl w:val="1"/>
          <w:numId w:val="67"/>
        </w:numPr>
        <w:spacing w:line="360" w:lineRule="auto"/>
        <w:ind w:firstLineChars="0"/>
        <w:rPr>
          <w:rFonts w:ascii="黑体" w:hAnsi="黑体" w:eastAsia="黑体"/>
          <w:bCs/>
          <w:spacing w:val="-4"/>
          <w:szCs w:val="21"/>
        </w:rPr>
      </w:pPr>
      <w:r>
        <w:rPr>
          <w:rFonts w:hint="eastAsia" w:ascii="黑体" w:hAnsi="黑体" w:eastAsia="黑体"/>
          <w:bCs/>
          <w:spacing w:val="-4"/>
          <w:szCs w:val="21"/>
        </w:rPr>
        <w:t>参与评标工作的所有人员必须遵守</w:t>
      </w:r>
      <w:r>
        <w:rPr>
          <w:rFonts w:hint="eastAsia" w:ascii="黑体" w:hAnsi="黑体" w:eastAsia="黑体"/>
          <w:spacing w:val="-4"/>
          <w:szCs w:val="21"/>
        </w:rPr>
        <w:t>《中华人民共和国政府采购法》、《中华人民共和国政府采购法实施条例》、财政部《政府采购货物和服务招标投标管理办法》、广东省实施《中华人民共和国政府采购法》办法</w:t>
      </w:r>
      <w:r>
        <w:rPr>
          <w:rFonts w:hint="eastAsia" w:ascii="黑体" w:hAnsi="黑体" w:eastAsia="黑体"/>
          <w:bCs/>
          <w:spacing w:val="-4"/>
          <w:szCs w:val="21"/>
        </w:rPr>
        <w:t>及相关法律、法规的规定，以确保评标的公平、公正。</w:t>
      </w:r>
    </w:p>
    <w:p>
      <w:pPr>
        <w:pStyle w:val="30"/>
        <w:numPr>
          <w:ilvl w:val="0"/>
          <w:numId w:val="66"/>
        </w:numPr>
        <w:spacing w:before="312" w:beforeLines="100" w:line="360" w:lineRule="auto"/>
        <w:ind w:firstLineChars="0"/>
        <w:rPr>
          <w:rFonts w:ascii="黑体" w:hAnsi="黑体" w:eastAsia="黑体"/>
          <w:b/>
          <w:bCs/>
          <w:szCs w:val="21"/>
        </w:rPr>
      </w:pPr>
      <w:r>
        <w:rPr>
          <w:rFonts w:hint="eastAsia" w:ascii="黑体" w:hAnsi="黑体" w:eastAsia="黑体"/>
          <w:b/>
          <w:bCs/>
          <w:szCs w:val="21"/>
        </w:rPr>
        <w:t>评标方法</w:t>
      </w:r>
    </w:p>
    <w:p>
      <w:pPr>
        <w:pStyle w:val="30"/>
        <w:numPr>
          <w:ilvl w:val="1"/>
          <w:numId w:val="69"/>
        </w:numPr>
        <w:spacing w:line="360" w:lineRule="auto"/>
        <w:ind w:left="426" w:hanging="426" w:firstLineChars="0"/>
        <w:rPr>
          <w:rFonts w:ascii="黑体" w:hAnsi="黑体" w:eastAsia="黑体"/>
          <w:bCs/>
          <w:szCs w:val="21"/>
        </w:rPr>
      </w:pPr>
      <w:r>
        <w:rPr>
          <w:rFonts w:hint="eastAsia" w:ascii="黑体" w:hAnsi="黑体" w:eastAsia="黑体"/>
          <w:bCs/>
          <w:szCs w:val="21"/>
        </w:rPr>
        <w:t>本项目按照</w:t>
      </w:r>
      <w:r>
        <w:rPr>
          <w:rFonts w:hint="eastAsia" w:ascii="黑体" w:hAnsi="黑体" w:eastAsia="黑体"/>
          <w:b/>
          <w:bCs/>
          <w:szCs w:val="21"/>
          <w:u w:val="single"/>
        </w:rPr>
        <w:t>投标人须知前附表</w:t>
      </w:r>
      <w:r>
        <w:rPr>
          <w:rFonts w:hint="eastAsia" w:ascii="黑体" w:hAnsi="黑体" w:eastAsia="黑体"/>
          <w:b/>
          <w:bCs/>
          <w:szCs w:val="21"/>
        </w:rPr>
        <w:t>规定</w:t>
      </w:r>
      <w:r>
        <w:rPr>
          <w:rFonts w:hint="eastAsia" w:ascii="黑体" w:hAnsi="黑体" w:eastAsia="黑体"/>
          <w:bCs/>
          <w:szCs w:val="21"/>
        </w:rPr>
        <w:t>的评标方法进行评审。</w:t>
      </w:r>
    </w:p>
    <w:p>
      <w:pPr>
        <w:pStyle w:val="30"/>
        <w:numPr>
          <w:ilvl w:val="1"/>
          <w:numId w:val="69"/>
        </w:numPr>
        <w:spacing w:line="360" w:lineRule="auto"/>
        <w:ind w:left="426" w:hanging="426" w:firstLineChars="0"/>
        <w:rPr>
          <w:rFonts w:ascii="黑体" w:hAnsi="黑体" w:eastAsia="黑体"/>
          <w:bCs/>
          <w:szCs w:val="21"/>
        </w:rPr>
      </w:pPr>
      <w:r>
        <w:rPr>
          <w:rFonts w:hint="eastAsia" w:ascii="黑体" w:hAnsi="黑体" w:eastAsia="黑体"/>
          <w:bCs/>
          <w:szCs w:val="21"/>
        </w:rPr>
        <w:t>综合评分法：是指投标文件满足招标文件全部实质性要求，且按照评审因素的量化指标评审得分最高的投标人为中标候选人的评标方法。</w:t>
      </w:r>
    </w:p>
    <w:p>
      <w:pPr>
        <w:pStyle w:val="30"/>
        <w:numPr>
          <w:ilvl w:val="0"/>
          <w:numId w:val="70"/>
        </w:numPr>
        <w:tabs>
          <w:tab w:val="left" w:pos="567"/>
        </w:tabs>
        <w:spacing w:line="360" w:lineRule="auto"/>
        <w:ind w:firstLineChars="0"/>
        <w:rPr>
          <w:rFonts w:ascii="黑体" w:hAnsi="黑体" w:eastAsia="黑体"/>
          <w:bCs/>
          <w:szCs w:val="21"/>
        </w:rPr>
      </w:pPr>
      <w:r>
        <w:rPr>
          <w:rFonts w:hint="eastAsia" w:ascii="黑体" w:hAnsi="黑体" w:eastAsia="黑体"/>
          <w:bCs/>
          <w:szCs w:val="21"/>
        </w:rPr>
        <w:t>各项得分按四舍五入原则精确到小数点后两位。</w:t>
      </w:r>
    </w:p>
    <w:p>
      <w:pPr>
        <w:pStyle w:val="30"/>
        <w:numPr>
          <w:ilvl w:val="0"/>
          <w:numId w:val="66"/>
        </w:numPr>
        <w:spacing w:before="312" w:beforeLines="100" w:line="360" w:lineRule="auto"/>
        <w:ind w:firstLineChars="0"/>
        <w:rPr>
          <w:rFonts w:ascii="黑体" w:hAnsi="黑体" w:eastAsia="黑体"/>
          <w:bCs/>
          <w:szCs w:val="21"/>
        </w:rPr>
      </w:pPr>
      <w:r>
        <w:rPr>
          <w:rFonts w:hint="eastAsia" w:ascii="黑体" w:hAnsi="黑体" w:eastAsia="黑体"/>
          <w:b/>
          <w:bCs/>
          <w:szCs w:val="21"/>
        </w:rPr>
        <w:t>评标步骤</w:t>
      </w:r>
    </w:p>
    <w:p>
      <w:pPr>
        <w:pStyle w:val="30"/>
        <w:numPr>
          <w:ilvl w:val="1"/>
          <w:numId w:val="71"/>
        </w:numPr>
        <w:spacing w:line="360" w:lineRule="auto"/>
        <w:ind w:left="426" w:hanging="426" w:firstLineChars="0"/>
        <w:rPr>
          <w:rFonts w:ascii="黑体" w:hAnsi="黑体" w:eastAsia="黑体"/>
        </w:rPr>
      </w:pPr>
      <w:r>
        <w:rPr>
          <w:rFonts w:hint="eastAsia" w:ascii="黑体" w:hAnsi="黑体" w:eastAsia="黑体"/>
          <w:bCs/>
          <w:szCs w:val="21"/>
        </w:rPr>
        <w:t>综合评分法：</w:t>
      </w:r>
      <w:bookmarkStart w:id="56" w:name="_Hlk81182166"/>
      <w:bookmarkStart w:id="57" w:name="_Hlk81181953"/>
      <w:r>
        <w:rPr>
          <w:rFonts w:hint="eastAsia" w:ascii="黑体" w:hAnsi="黑体" w:eastAsia="黑体"/>
          <w:bCs/>
          <w:szCs w:val="21"/>
        </w:rPr>
        <w:t>公开招标采购项目开标结束后，采购人或者采购代理机构应当依法对投标人的资格进行审查</w:t>
      </w:r>
      <w:bookmarkEnd w:id="56"/>
      <w:r>
        <w:rPr>
          <w:rFonts w:hint="eastAsia" w:ascii="黑体" w:hAnsi="黑体" w:eastAsia="黑体"/>
        </w:rPr>
        <w:t>（</w:t>
      </w:r>
      <w:bookmarkStart w:id="58" w:name="_Hlk79425785"/>
      <w:r>
        <w:rPr>
          <w:rFonts w:hint="eastAsia" w:ascii="黑体" w:hAnsi="黑体" w:eastAsia="黑体"/>
        </w:rPr>
        <w:t>详见附表一资格性审查表</w:t>
      </w:r>
      <w:bookmarkEnd w:id="58"/>
      <w:r>
        <w:rPr>
          <w:rFonts w:hint="eastAsia" w:ascii="黑体" w:hAnsi="黑体" w:eastAsia="黑体"/>
        </w:rPr>
        <w:t>），通过资格性审查的投标人由评标委员会对其投标文件进行符合性评审（</w:t>
      </w:r>
      <w:bookmarkStart w:id="59" w:name="_Hlk79425810"/>
      <w:r>
        <w:rPr>
          <w:rFonts w:hint="eastAsia" w:ascii="黑体" w:hAnsi="黑体" w:eastAsia="黑体"/>
        </w:rPr>
        <w:t>详见附表二</w:t>
      </w:r>
      <w:r>
        <w:rPr>
          <w:rFonts w:ascii="黑体" w:hAnsi="黑体" w:eastAsia="黑体"/>
        </w:rPr>
        <w:t>符合性审查表</w:t>
      </w:r>
      <w:bookmarkEnd w:id="59"/>
      <w:r>
        <w:rPr>
          <w:rFonts w:hint="eastAsia" w:ascii="黑体" w:hAnsi="黑体" w:eastAsia="黑体"/>
        </w:rPr>
        <w:t>），</w:t>
      </w:r>
      <w:bookmarkStart w:id="60" w:name="_Hlk81182229"/>
      <w:r>
        <w:rPr>
          <w:rFonts w:hint="eastAsia" w:ascii="黑体" w:hAnsi="黑体" w:eastAsia="黑体"/>
        </w:rPr>
        <w:t>只有通过符合性审查的投标</w:t>
      </w:r>
      <w:bookmarkEnd w:id="60"/>
      <w:r>
        <w:rPr>
          <w:rFonts w:hint="eastAsia" w:ascii="黑体" w:hAnsi="黑体" w:eastAsia="黑体"/>
        </w:rPr>
        <w:t>才能进入详细的评审和价格评审，</w:t>
      </w:r>
      <w:bookmarkEnd w:id="57"/>
      <w:r>
        <w:rPr>
          <w:rFonts w:hint="eastAsia" w:ascii="黑体" w:hAnsi="黑体" w:eastAsia="黑体"/>
        </w:rPr>
        <w:t>最后评标委员会出具评标报告。</w:t>
      </w:r>
    </w:p>
    <w:p>
      <w:pPr>
        <w:pStyle w:val="30"/>
        <w:numPr>
          <w:ilvl w:val="1"/>
          <w:numId w:val="71"/>
        </w:numPr>
        <w:spacing w:line="360" w:lineRule="auto"/>
        <w:ind w:left="426" w:hanging="426" w:firstLineChars="0"/>
        <w:rPr>
          <w:rFonts w:ascii="黑体" w:hAnsi="黑体" w:eastAsia="黑体"/>
        </w:rPr>
      </w:pPr>
      <w:r>
        <w:rPr>
          <w:rFonts w:hint="eastAsia" w:ascii="黑体" w:hAnsi="黑体" w:eastAsia="黑体"/>
        </w:rPr>
        <w:t>评标时，评标委员会各成员应当独立对每个投标人的投标文件进行评价，并汇总每个投</w:t>
      </w:r>
    </w:p>
    <w:p>
      <w:pPr>
        <w:pStyle w:val="30"/>
        <w:spacing w:line="360" w:lineRule="auto"/>
        <w:ind w:left="426" w:firstLine="0" w:firstLineChars="0"/>
        <w:rPr>
          <w:rFonts w:ascii="黑体" w:hAnsi="黑体" w:eastAsia="黑体"/>
        </w:rPr>
      </w:pPr>
      <w:r>
        <w:rPr>
          <w:rFonts w:hint="eastAsia" w:ascii="黑体" w:hAnsi="黑体" w:eastAsia="黑体"/>
        </w:rPr>
        <w:t>标人的得分。</w:t>
      </w:r>
    </w:p>
    <w:p>
      <w:pPr>
        <w:pStyle w:val="30"/>
        <w:numPr>
          <w:ilvl w:val="1"/>
          <w:numId w:val="71"/>
        </w:numPr>
        <w:spacing w:line="360" w:lineRule="auto"/>
        <w:ind w:left="426" w:hanging="426" w:firstLineChars="0"/>
        <w:rPr>
          <w:rFonts w:ascii="黑体" w:hAnsi="黑体" w:eastAsia="黑体"/>
        </w:rPr>
      </w:pPr>
      <w:r>
        <w:rPr>
          <w:rFonts w:hint="eastAsia" w:ascii="黑体" w:hAnsi="黑体" w:eastAsia="黑体"/>
        </w:rPr>
        <w:t>评标过程中，不得去掉报价中的最高报价和最低报价。</w:t>
      </w:r>
    </w:p>
    <w:p>
      <w:pPr>
        <w:pStyle w:val="30"/>
        <w:numPr>
          <w:ilvl w:val="0"/>
          <w:numId w:val="65"/>
        </w:numPr>
        <w:spacing w:before="312" w:beforeLines="100" w:line="360" w:lineRule="auto"/>
        <w:ind w:firstLineChars="0"/>
        <w:rPr>
          <w:rFonts w:ascii="黑体" w:hAnsi="黑体" w:eastAsia="黑体"/>
          <w:b/>
          <w:bCs/>
          <w:szCs w:val="21"/>
        </w:rPr>
      </w:pPr>
      <w:r>
        <w:rPr>
          <w:rFonts w:hint="eastAsia" w:ascii="黑体" w:hAnsi="黑体" w:eastAsia="黑体"/>
          <w:b/>
          <w:bCs/>
          <w:szCs w:val="21"/>
        </w:rPr>
        <w:t>投标无效的情形</w:t>
      </w:r>
    </w:p>
    <w:p>
      <w:pPr>
        <w:pStyle w:val="30"/>
        <w:numPr>
          <w:ilvl w:val="0"/>
          <w:numId w:val="66"/>
        </w:numPr>
        <w:spacing w:line="360" w:lineRule="auto"/>
        <w:ind w:firstLineChars="0"/>
        <w:rPr>
          <w:rFonts w:ascii="黑体" w:hAnsi="黑体" w:eastAsia="黑体"/>
          <w:bCs/>
          <w:szCs w:val="21"/>
        </w:rPr>
      </w:pPr>
      <w:r>
        <w:rPr>
          <w:rFonts w:hint="eastAsia" w:ascii="黑体" w:hAnsi="黑体" w:eastAsia="黑体"/>
          <w:bCs/>
          <w:szCs w:val="21"/>
        </w:rPr>
        <w:t>详见资格性审查、符合性审查和招标文件其他投标无效条款。</w:t>
      </w:r>
    </w:p>
    <w:p>
      <w:pPr>
        <w:pStyle w:val="30"/>
        <w:numPr>
          <w:ilvl w:val="0"/>
          <w:numId w:val="65"/>
        </w:numPr>
        <w:spacing w:before="312" w:beforeLines="100" w:line="360" w:lineRule="auto"/>
        <w:ind w:firstLineChars="0"/>
        <w:rPr>
          <w:rFonts w:ascii="黑体" w:hAnsi="黑体" w:eastAsia="黑体"/>
          <w:b/>
          <w:bCs/>
          <w:szCs w:val="21"/>
        </w:rPr>
      </w:pPr>
      <w:r>
        <w:rPr>
          <w:rFonts w:hint="eastAsia" w:ascii="黑体" w:hAnsi="黑体" w:eastAsia="黑体"/>
          <w:b/>
          <w:bCs/>
          <w:szCs w:val="21"/>
        </w:rPr>
        <w:t>详细评审</w:t>
      </w:r>
    </w:p>
    <w:p>
      <w:pPr>
        <w:pStyle w:val="30"/>
        <w:numPr>
          <w:ilvl w:val="0"/>
          <w:numId w:val="66"/>
        </w:numPr>
        <w:tabs>
          <w:tab w:val="left" w:pos="426"/>
        </w:tabs>
        <w:spacing w:line="360" w:lineRule="auto"/>
        <w:ind w:firstLineChars="0"/>
        <w:rPr>
          <w:rFonts w:ascii="黑体" w:hAnsi="黑体" w:eastAsia="黑体"/>
          <w:bCs/>
          <w:szCs w:val="21"/>
        </w:rPr>
      </w:pPr>
      <w:r>
        <w:rPr>
          <w:rFonts w:hint="eastAsia" w:ascii="黑体" w:hAnsi="黑体" w:eastAsia="黑体"/>
          <w:bCs/>
          <w:szCs w:val="21"/>
        </w:rPr>
        <w:t>评标委员会应当按照招标文件中规定的评标方法和标准，对符合性审查合格的投标文件进行商务和技术评估，综合比较与评价。具体商务、技术部分的</w:t>
      </w:r>
      <w:bookmarkStart w:id="61" w:name="_Hlk75740750"/>
      <w:r>
        <w:rPr>
          <w:rFonts w:hint="eastAsia" w:ascii="黑体" w:hAnsi="黑体" w:eastAsia="黑体"/>
          <w:bCs/>
          <w:szCs w:val="21"/>
        </w:rPr>
        <w:t>评审</w:t>
      </w:r>
      <w:bookmarkEnd w:id="61"/>
      <w:r>
        <w:rPr>
          <w:rFonts w:hint="eastAsia" w:ascii="黑体" w:hAnsi="黑体" w:eastAsia="黑体"/>
          <w:bCs/>
          <w:szCs w:val="21"/>
        </w:rPr>
        <w:t>因素详见</w:t>
      </w:r>
      <w:r>
        <w:rPr>
          <w:rFonts w:hint="eastAsia" w:ascii="黑体" w:hAnsi="黑体" w:eastAsia="黑体"/>
        </w:rPr>
        <w:t>《商务、技术评审细则》（附表三）。</w:t>
      </w:r>
    </w:p>
    <w:p>
      <w:pPr>
        <w:pStyle w:val="30"/>
        <w:numPr>
          <w:ilvl w:val="0"/>
          <w:numId w:val="65"/>
        </w:numPr>
        <w:spacing w:before="312" w:beforeLines="100" w:line="360" w:lineRule="auto"/>
        <w:ind w:firstLineChars="0"/>
        <w:rPr>
          <w:rFonts w:ascii="黑体" w:hAnsi="黑体" w:eastAsia="黑体"/>
          <w:b/>
          <w:bCs/>
          <w:szCs w:val="21"/>
        </w:rPr>
      </w:pPr>
      <w:r>
        <w:rPr>
          <w:rFonts w:hint="eastAsia" w:ascii="黑体" w:hAnsi="黑体" w:eastAsia="黑体"/>
          <w:b/>
          <w:bCs/>
          <w:szCs w:val="21"/>
        </w:rPr>
        <w:t>价格评审</w:t>
      </w:r>
    </w:p>
    <w:p>
      <w:pPr>
        <w:pStyle w:val="30"/>
        <w:numPr>
          <w:ilvl w:val="0"/>
          <w:numId w:val="66"/>
        </w:numPr>
        <w:tabs>
          <w:tab w:val="left" w:pos="426"/>
        </w:tabs>
        <w:spacing w:line="360" w:lineRule="auto"/>
        <w:ind w:firstLineChars="0"/>
        <w:rPr>
          <w:rFonts w:ascii="黑体" w:hAnsi="黑体" w:eastAsia="黑体"/>
          <w:bCs/>
          <w:szCs w:val="21"/>
        </w:rPr>
      </w:pPr>
      <w:r>
        <w:rPr>
          <w:rFonts w:hint="eastAsia" w:ascii="黑体" w:hAnsi="黑体" w:eastAsia="黑体"/>
          <w:bCs/>
          <w:szCs w:val="21"/>
        </w:rPr>
        <w:t>投标文件报价出现前后不一致的，除招标文件另有规定外，按照下列规定修正：</w:t>
      </w:r>
    </w:p>
    <w:p>
      <w:pPr>
        <w:pStyle w:val="30"/>
        <w:numPr>
          <w:ilvl w:val="1"/>
          <w:numId w:val="72"/>
        </w:numPr>
        <w:spacing w:line="360" w:lineRule="auto"/>
        <w:ind w:firstLineChars="0"/>
        <w:rPr>
          <w:rFonts w:ascii="黑体" w:hAnsi="黑体" w:eastAsia="黑体"/>
          <w:bCs/>
          <w:szCs w:val="21"/>
        </w:rPr>
      </w:pPr>
      <w:r>
        <w:rPr>
          <w:rFonts w:hint="eastAsia" w:ascii="黑体" w:hAnsi="黑体" w:eastAsia="黑体"/>
        </w:rPr>
        <w:t>投标文件中开标一览表（报价表）内容与投标文件中相应内容不一致的，以开标一览表（报价表）为准；</w:t>
      </w:r>
    </w:p>
    <w:p>
      <w:pPr>
        <w:pStyle w:val="30"/>
        <w:numPr>
          <w:ilvl w:val="1"/>
          <w:numId w:val="72"/>
        </w:numPr>
        <w:spacing w:line="360" w:lineRule="auto"/>
        <w:ind w:firstLineChars="0"/>
        <w:rPr>
          <w:rFonts w:ascii="黑体" w:hAnsi="黑体" w:eastAsia="黑体"/>
          <w:bCs/>
          <w:szCs w:val="21"/>
        </w:rPr>
      </w:pPr>
      <w:r>
        <w:rPr>
          <w:rFonts w:hint="eastAsia" w:ascii="黑体" w:hAnsi="黑体" w:eastAsia="黑体"/>
          <w:bCs/>
          <w:szCs w:val="21"/>
        </w:rPr>
        <w:t>大写金额和小写金额不一致的，以大写金额为准；</w:t>
      </w:r>
    </w:p>
    <w:p>
      <w:pPr>
        <w:pStyle w:val="30"/>
        <w:numPr>
          <w:ilvl w:val="1"/>
          <w:numId w:val="72"/>
        </w:numPr>
        <w:spacing w:line="360" w:lineRule="auto"/>
        <w:ind w:firstLineChars="0"/>
        <w:rPr>
          <w:rFonts w:ascii="黑体" w:hAnsi="黑体" w:eastAsia="黑体"/>
          <w:bCs/>
          <w:szCs w:val="21"/>
        </w:rPr>
      </w:pPr>
      <w:r>
        <w:rPr>
          <w:rFonts w:hint="eastAsia" w:ascii="黑体" w:hAnsi="黑体" w:eastAsia="黑体"/>
          <w:bCs/>
          <w:szCs w:val="21"/>
        </w:rPr>
        <w:t>单价金额小数点或者百分比有明显错位的，以开标一览表的总价为准，并修改单价；</w:t>
      </w:r>
    </w:p>
    <w:p>
      <w:pPr>
        <w:pStyle w:val="30"/>
        <w:numPr>
          <w:ilvl w:val="1"/>
          <w:numId w:val="72"/>
        </w:numPr>
        <w:spacing w:line="360" w:lineRule="auto"/>
        <w:ind w:firstLineChars="0"/>
        <w:rPr>
          <w:rFonts w:ascii="黑体" w:hAnsi="黑体" w:eastAsia="黑体"/>
          <w:bCs/>
          <w:szCs w:val="21"/>
        </w:rPr>
      </w:pPr>
      <w:r>
        <w:rPr>
          <w:rFonts w:hint="eastAsia" w:ascii="黑体" w:hAnsi="黑体" w:eastAsia="黑体"/>
          <w:bCs/>
          <w:szCs w:val="21"/>
        </w:rPr>
        <w:t>总价金额与按单价汇总金额不一致的，以单价金额计算结果为准。</w:t>
      </w:r>
    </w:p>
    <w:p>
      <w:pPr>
        <w:pStyle w:val="30"/>
        <w:tabs>
          <w:tab w:val="left" w:pos="426"/>
        </w:tabs>
        <w:spacing w:line="360" w:lineRule="auto"/>
        <w:ind w:left="567" w:firstLine="0" w:firstLineChars="0"/>
        <w:rPr>
          <w:rFonts w:ascii="黑体" w:hAnsi="黑体" w:eastAsia="黑体"/>
          <w:bCs/>
          <w:szCs w:val="21"/>
        </w:rPr>
      </w:pPr>
      <w:r>
        <w:rPr>
          <w:rFonts w:hint="eastAsia" w:ascii="黑体" w:hAnsi="黑体" w:eastAsia="黑体"/>
          <w:bCs/>
          <w:szCs w:val="21"/>
        </w:rPr>
        <w:t>同时出现两种以上不一致的，按照前款规定的顺序修正。修正后的报价</w:t>
      </w:r>
      <w:r>
        <w:rPr>
          <w:rFonts w:hint="eastAsia" w:ascii="黑体" w:hAnsi="黑体" w:eastAsia="黑体" w:cs="宋体"/>
          <w:szCs w:val="21"/>
          <w:lang w:eastAsia="zh-TW"/>
        </w:rPr>
        <w:t>按照《政府采购货物和服务招标投标管理办法》第五十一条第二款的规定</w:t>
      </w:r>
      <w:r>
        <w:rPr>
          <w:rFonts w:hint="eastAsia" w:ascii="黑体" w:hAnsi="黑体" w:eastAsia="黑体"/>
          <w:bCs/>
          <w:szCs w:val="21"/>
        </w:rPr>
        <w:t>经投标人确认后产生约束力，投标人不确认的，其投标无效。</w:t>
      </w:r>
    </w:p>
    <w:p>
      <w:pPr>
        <w:pStyle w:val="30"/>
        <w:numPr>
          <w:ilvl w:val="1"/>
          <w:numId w:val="72"/>
        </w:numPr>
        <w:spacing w:line="360" w:lineRule="auto"/>
        <w:ind w:firstLineChars="0"/>
        <w:rPr>
          <w:rFonts w:ascii="黑体" w:hAnsi="黑体" w:eastAsia="黑体"/>
          <w:bCs/>
          <w:szCs w:val="21"/>
        </w:rPr>
      </w:pPr>
      <w:bookmarkStart w:id="62" w:name="_Hlk86745538"/>
      <w:r>
        <w:rPr>
          <w:rFonts w:hint="eastAsia" w:ascii="黑体" w:hAnsi="黑体" w:eastAsia="黑体"/>
          <w:bCs/>
          <w:szCs w:val="21"/>
        </w:rPr>
        <w:t>投标文件中</w:t>
      </w:r>
      <w:bookmarkStart w:id="63" w:name="_Hlk81348653"/>
      <w:r>
        <w:rPr>
          <w:rFonts w:hint="eastAsia" w:ascii="黑体" w:hAnsi="黑体" w:eastAsia="黑体"/>
          <w:bCs/>
          <w:szCs w:val="21"/>
        </w:rPr>
        <w:t>开标一览表（报价表）、</w:t>
      </w:r>
      <w:r>
        <w:rPr>
          <w:rFonts w:hint="eastAsia" w:ascii="黑体" w:hAnsi="黑体" w:eastAsia="黑体"/>
          <w:szCs w:val="21"/>
        </w:rPr>
        <w:t>分项报价表</w:t>
      </w:r>
      <w:r>
        <w:rPr>
          <w:rFonts w:hint="eastAsia" w:ascii="黑体" w:hAnsi="黑体" w:eastAsia="黑体"/>
          <w:bCs/>
          <w:szCs w:val="21"/>
        </w:rPr>
        <w:t>内容</w:t>
      </w:r>
      <w:bookmarkEnd w:id="63"/>
      <w:r>
        <w:rPr>
          <w:rFonts w:hint="eastAsia" w:ascii="黑体" w:hAnsi="黑体" w:eastAsia="黑体"/>
          <w:bCs/>
          <w:szCs w:val="21"/>
        </w:rPr>
        <w:t>与唱标信封中开标一览表（报价表、</w:t>
      </w:r>
      <w:r>
        <w:rPr>
          <w:rFonts w:hint="eastAsia" w:ascii="黑体" w:hAnsi="黑体" w:eastAsia="黑体"/>
          <w:szCs w:val="21"/>
        </w:rPr>
        <w:t>分项报价报</w:t>
      </w:r>
      <w:r>
        <w:rPr>
          <w:rFonts w:hint="eastAsia" w:ascii="黑体" w:hAnsi="黑体" w:eastAsia="黑体"/>
          <w:bCs/>
          <w:szCs w:val="21"/>
        </w:rPr>
        <w:t>内容不一致的，以唱标信封中开标一览表（报价表）、</w:t>
      </w:r>
      <w:r>
        <w:rPr>
          <w:rFonts w:hint="eastAsia" w:ascii="黑体" w:hAnsi="黑体" w:eastAsia="黑体"/>
          <w:szCs w:val="21"/>
        </w:rPr>
        <w:t>分项报价表</w:t>
      </w:r>
      <w:r>
        <w:rPr>
          <w:rFonts w:hint="eastAsia" w:ascii="黑体" w:hAnsi="黑体" w:eastAsia="黑体"/>
          <w:bCs/>
          <w:szCs w:val="21"/>
        </w:rPr>
        <w:t>内容为准。</w:t>
      </w:r>
    </w:p>
    <w:bookmarkEnd w:id="62"/>
    <w:p>
      <w:pPr>
        <w:pStyle w:val="30"/>
        <w:numPr>
          <w:ilvl w:val="0"/>
          <w:numId w:val="66"/>
        </w:numPr>
        <w:tabs>
          <w:tab w:val="left" w:pos="426"/>
        </w:tabs>
        <w:spacing w:line="360" w:lineRule="auto"/>
        <w:ind w:firstLineChars="0"/>
        <w:rPr>
          <w:rFonts w:ascii="黑体" w:hAnsi="黑体" w:eastAsia="黑体"/>
          <w:bCs/>
          <w:szCs w:val="21"/>
        </w:rPr>
      </w:pPr>
      <w:r>
        <w:rPr>
          <w:rFonts w:hint="eastAsia" w:ascii="黑体" w:hAnsi="黑体" w:eastAsia="黑体"/>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numPr>
          <w:ilvl w:val="0"/>
          <w:numId w:val="66"/>
        </w:numPr>
        <w:tabs>
          <w:tab w:val="left" w:pos="426"/>
        </w:tabs>
        <w:spacing w:before="312" w:beforeLines="100" w:line="360" w:lineRule="auto"/>
        <w:ind w:firstLineChars="0"/>
        <w:rPr>
          <w:rFonts w:ascii="黑体" w:hAnsi="黑体" w:eastAsia="黑体"/>
          <w:b/>
          <w:bCs/>
          <w:szCs w:val="21"/>
        </w:rPr>
      </w:pPr>
      <w:r>
        <w:rPr>
          <w:rFonts w:hint="eastAsia" w:ascii="黑体" w:hAnsi="黑体" w:eastAsia="黑体"/>
          <w:b/>
          <w:bCs/>
          <w:szCs w:val="21"/>
        </w:rPr>
        <w:t>政府采购政策落实</w:t>
      </w:r>
    </w:p>
    <w:p>
      <w:pPr>
        <w:pStyle w:val="30"/>
        <w:numPr>
          <w:ilvl w:val="1"/>
          <w:numId w:val="73"/>
        </w:numPr>
        <w:spacing w:line="360" w:lineRule="auto"/>
        <w:ind w:firstLineChars="0"/>
        <w:rPr>
          <w:rFonts w:ascii="黑体" w:hAnsi="黑体" w:eastAsia="黑体"/>
          <w:b/>
          <w:bCs/>
          <w:szCs w:val="21"/>
        </w:rPr>
      </w:pPr>
      <w:r>
        <w:rPr>
          <w:rFonts w:hint="eastAsia" w:ascii="黑体" w:hAnsi="黑体" w:eastAsia="黑体"/>
          <w:b/>
          <w:bCs/>
          <w:szCs w:val="21"/>
        </w:rPr>
        <w:t>对小型或微型企业投标的扶持</w:t>
      </w:r>
    </w:p>
    <w:p>
      <w:pPr>
        <w:pStyle w:val="30"/>
        <w:numPr>
          <w:ilvl w:val="2"/>
          <w:numId w:val="74"/>
        </w:numPr>
        <w:spacing w:line="360" w:lineRule="auto"/>
        <w:ind w:firstLineChars="0"/>
        <w:rPr>
          <w:rFonts w:ascii="黑体" w:hAnsi="黑体" w:eastAsia="黑体"/>
          <w:bCs/>
          <w:szCs w:val="21"/>
        </w:rPr>
      </w:pPr>
      <w:bookmarkStart w:id="64" w:name="_Hlk90987722"/>
      <w:r>
        <w:rPr>
          <w:rFonts w:hint="eastAsia" w:ascii="黑体" w:hAnsi="黑体" w:eastAsia="黑体"/>
          <w:bCs/>
          <w:szCs w:val="21"/>
        </w:rPr>
        <w:t>根据财政部、工业和信息化部制定《政府采购促进中小企业发展管理办法》（财库[</w:t>
      </w:r>
      <w:r>
        <w:rPr>
          <w:rFonts w:ascii="黑体" w:hAnsi="黑体" w:eastAsia="黑体"/>
          <w:bCs/>
          <w:szCs w:val="21"/>
        </w:rPr>
        <w:t>2020]46</w:t>
      </w:r>
      <w:r>
        <w:rPr>
          <w:rFonts w:hint="eastAsia" w:ascii="黑体" w:hAnsi="黑体" w:eastAsia="黑体"/>
          <w:bCs/>
          <w:szCs w:val="21"/>
        </w:rPr>
        <w:t xml:space="preserve">号）的规定，对小微企业报价给予 </w:t>
      </w:r>
      <w:r>
        <w:rPr>
          <w:rFonts w:ascii="黑体" w:hAnsi="黑体" w:eastAsia="黑体"/>
          <w:bCs/>
          <w:szCs w:val="21"/>
        </w:rPr>
        <w:t>10</w:t>
      </w:r>
      <w:r>
        <w:rPr>
          <w:rFonts w:hint="eastAsia" w:ascii="黑体" w:hAnsi="黑体" w:eastAsia="黑体"/>
          <w:bCs/>
          <w:szCs w:val="21"/>
        </w:rPr>
        <w:t>%的扣除，用扣除后的价格参与评审。参加政府采购活动的中小企业应当提供《中小企业声明函》（</w:t>
      </w:r>
      <w:bookmarkEnd w:id="64"/>
      <w:r>
        <w:rPr>
          <w:rFonts w:hint="eastAsia" w:ascii="黑体" w:hAnsi="黑体" w:eastAsia="黑体"/>
          <w:bCs/>
          <w:szCs w:val="21"/>
        </w:rPr>
        <w:t>格式详见招标文件第七部分投标文件格式）。</w:t>
      </w:r>
    </w:p>
    <w:p>
      <w:pPr>
        <w:pStyle w:val="30"/>
        <w:numPr>
          <w:ilvl w:val="1"/>
          <w:numId w:val="73"/>
        </w:numPr>
        <w:spacing w:line="360" w:lineRule="auto"/>
        <w:ind w:firstLineChars="0"/>
        <w:rPr>
          <w:rFonts w:ascii="黑体" w:hAnsi="黑体" w:eastAsia="黑体"/>
          <w:b/>
          <w:bCs/>
          <w:szCs w:val="21"/>
        </w:rPr>
      </w:pPr>
      <w:r>
        <w:rPr>
          <w:rFonts w:hint="eastAsia" w:ascii="黑体" w:hAnsi="黑体" w:eastAsia="黑体"/>
          <w:b/>
          <w:bCs/>
          <w:szCs w:val="21"/>
        </w:rPr>
        <w:t>对监狱企业投标的扶持</w:t>
      </w:r>
    </w:p>
    <w:p>
      <w:pPr>
        <w:pStyle w:val="30"/>
        <w:numPr>
          <w:ilvl w:val="2"/>
          <w:numId w:val="75"/>
        </w:numPr>
        <w:spacing w:line="360" w:lineRule="auto"/>
        <w:ind w:firstLineChars="0"/>
        <w:rPr>
          <w:rFonts w:ascii="黑体" w:hAnsi="黑体" w:eastAsia="黑体"/>
          <w:bCs/>
          <w:szCs w:val="21"/>
        </w:rPr>
      </w:pPr>
      <w:r>
        <w:rPr>
          <w:rFonts w:hint="eastAsia" w:ascii="黑体" w:hAnsi="黑体" w:eastAsia="黑体"/>
          <w:bCs/>
          <w:szCs w:val="21"/>
        </w:rPr>
        <w:t>为发挥政府采购支持监狱企业发展的作用，根据《关于政府采购支持监狱企业发展有关问题的通知》（财库</w:t>
      </w:r>
      <w:r>
        <w:rPr>
          <w:rFonts w:ascii="黑体" w:hAnsi="黑体" w:eastAsia="黑体"/>
          <w:bCs/>
          <w:szCs w:val="21"/>
        </w:rPr>
        <w:t>[2014]68号）的规定，监狱企业视同小型、微型企业，享受一定比例的价格折扣优惠，用扣除后的价格作为其参与评审的价格。监狱企业参加政府采购活动时，应当提供由省级或以上监狱管理局、戒毒管理局（含新疆生产建设兵团）出具的属于监狱企业的证明文件，否则不予认可。（格式详见招标文件第七部分投标文件格式）</w:t>
      </w:r>
    </w:p>
    <w:p>
      <w:pPr>
        <w:pStyle w:val="30"/>
        <w:numPr>
          <w:ilvl w:val="1"/>
          <w:numId w:val="73"/>
        </w:numPr>
        <w:spacing w:line="360" w:lineRule="auto"/>
        <w:ind w:firstLineChars="0"/>
        <w:rPr>
          <w:rFonts w:ascii="黑体" w:hAnsi="黑体" w:eastAsia="黑体"/>
          <w:b/>
          <w:bCs/>
          <w:szCs w:val="21"/>
        </w:rPr>
      </w:pPr>
      <w:r>
        <w:rPr>
          <w:rFonts w:hint="eastAsia" w:ascii="黑体" w:hAnsi="黑体" w:eastAsia="黑体"/>
          <w:b/>
          <w:bCs/>
          <w:szCs w:val="21"/>
        </w:rPr>
        <w:t>对残疾人福利性单位投标的扶持</w:t>
      </w:r>
    </w:p>
    <w:p>
      <w:pPr>
        <w:pStyle w:val="30"/>
        <w:numPr>
          <w:ilvl w:val="2"/>
          <w:numId w:val="76"/>
        </w:numPr>
        <w:spacing w:line="360" w:lineRule="auto"/>
        <w:ind w:left="708" w:hanging="707" w:hangingChars="337"/>
        <w:rPr>
          <w:rFonts w:ascii="黑体" w:hAnsi="黑体" w:eastAsia="黑体"/>
          <w:bCs/>
          <w:szCs w:val="21"/>
        </w:rPr>
      </w:pPr>
      <w:r>
        <w:rPr>
          <w:rFonts w:hint="eastAsia" w:ascii="黑体" w:hAnsi="黑体" w:eastAsia="黑体"/>
          <w:bCs/>
          <w:szCs w:val="21"/>
        </w:rPr>
        <w:t>为了发挥政府采购促进残疾人就业的作用，根据财政部</w:t>
      </w:r>
      <w:r>
        <w:rPr>
          <w:rFonts w:ascii="黑体" w:hAnsi="黑体" w:eastAsia="黑体"/>
          <w:bCs/>
          <w:szCs w:val="21"/>
        </w:rPr>
        <w:t xml:space="preserve"> </w:t>
      </w:r>
      <w:r>
        <w:rPr>
          <w:rFonts w:hint="eastAsia" w:ascii="黑体" w:hAnsi="黑体" w:eastAsia="黑体"/>
          <w:bCs/>
          <w:szCs w:val="21"/>
        </w:rPr>
        <w:t>民政部</w:t>
      </w:r>
      <w:r>
        <w:rPr>
          <w:rFonts w:ascii="黑体" w:hAnsi="黑体" w:eastAsia="黑体"/>
          <w:bCs/>
          <w:szCs w:val="21"/>
        </w:rPr>
        <w:t xml:space="preserve"> </w:t>
      </w:r>
      <w:r>
        <w:rPr>
          <w:rFonts w:hint="eastAsia" w:ascii="黑体" w:hAnsi="黑体" w:eastAsia="黑体"/>
          <w:bCs/>
          <w:szCs w:val="21"/>
        </w:rPr>
        <w:t>中国残疾人联合会《关于促进残疾人就业政府采购政策的通知》（财库</w:t>
      </w:r>
      <w:r>
        <w:rPr>
          <w:rFonts w:ascii="黑体" w:hAnsi="黑体" w:eastAsia="黑体"/>
          <w:bCs/>
          <w:szCs w:val="21"/>
        </w:rPr>
        <w:t>[2017]</w:t>
      </w:r>
      <w:r>
        <w:rPr>
          <w:rFonts w:hint="eastAsia" w:ascii="黑体" w:hAnsi="黑体" w:eastAsia="黑体"/>
          <w:bCs/>
          <w:szCs w:val="21"/>
        </w:rPr>
        <w:t>1</w:t>
      </w:r>
      <w:r>
        <w:rPr>
          <w:rFonts w:ascii="黑体" w:hAnsi="黑体" w:eastAsia="黑体"/>
          <w:bCs/>
          <w:szCs w:val="21"/>
        </w:rPr>
        <w:t>41号）的规定，残疾人福利性单位视同小型、微型企业，享受一定比例的价格折扣优惠，用扣除后的价格作为其参与评审的价格。参加政府采购活动的残疾人福利性单位应当提供《残疾人福利性单位声明函》</w:t>
      </w:r>
      <w:r>
        <w:rPr>
          <w:rFonts w:hint="eastAsia" w:ascii="黑体" w:hAnsi="黑体" w:eastAsia="黑体"/>
          <w:bCs/>
          <w:szCs w:val="21"/>
        </w:rPr>
        <w:t>（格式详见招标文件第七部分投标文件格式）。</w:t>
      </w:r>
    </w:p>
    <w:p>
      <w:pPr>
        <w:pStyle w:val="30"/>
        <w:numPr>
          <w:ilvl w:val="1"/>
          <w:numId w:val="73"/>
        </w:numPr>
        <w:spacing w:line="360" w:lineRule="auto"/>
        <w:ind w:firstLineChars="0"/>
        <w:rPr>
          <w:rFonts w:ascii="黑体" w:hAnsi="黑体" w:eastAsia="黑体"/>
          <w:bCs/>
          <w:szCs w:val="21"/>
        </w:rPr>
      </w:pPr>
      <w:r>
        <w:rPr>
          <w:rFonts w:hint="eastAsia" w:ascii="黑体" w:hAnsi="黑体" w:eastAsia="黑体"/>
          <w:bCs/>
          <w:szCs w:val="21"/>
        </w:rPr>
        <w:t>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黑体" w:hAnsi="黑体" w:eastAsia="黑体"/>
          <w:bCs/>
          <w:szCs w:val="21"/>
        </w:rPr>
        <w:t>4</w:t>
      </w:r>
      <w:r>
        <w:rPr>
          <w:rFonts w:hint="eastAsia" w:ascii="黑体" w:hAnsi="黑体" w:eastAsia="黑体"/>
          <w:bCs/>
          <w:szCs w:val="21"/>
        </w:rPr>
        <w:t>%的扣除</w:t>
      </w:r>
      <w:r>
        <w:rPr>
          <w:rFonts w:ascii="黑体" w:hAnsi="黑体" w:eastAsia="黑体"/>
          <w:bCs/>
          <w:szCs w:val="21"/>
        </w:rPr>
        <w:t>。</w:t>
      </w:r>
    </w:p>
    <w:p>
      <w:pPr>
        <w:pStyle w:val="30"/>
        <w:numPr>
          <w:ilvl w:val="1"/>
          <w:numId w:val="73"/>
        </w:numPr>
        <w:spacing w:line="360" w:lineRule="auto"/>
        <w:ind w:firstLineChars="0"/>
        <w:rPr>
          <w:rFonts w:ascii="黑体" w:hAnsi="黑体" w:eastAsia="黑体"/>
          <w:b/>
        </w:rPr>
      </w:pPr>
      <w:bookmarkStart w:id="65" w:name="_Hlk86745708"/>
      <w:bookmarkStart w:id="66" w:name="_Hlk90987823"/>
      <w:r>
        <w:rPr>
          <w:rFonts w:hint="eastAsia" w:ascii="黑体" w:hAnsi="黑体" w:eastAsia="黑体"/>
          <w:b/>
        </w:rPr>
        <w:t>监狱企业产品、残疾人福利性单位产品价格扣除</w:t>
      </w:r>
    </w:p>
    <w:p>
      <w:pPr>
        <w:pStyle w:val="30"/>
        <w:spacing w:line="360" w:lineRule="auto"/>
        <w:ind w:left="567" w:firstLine="0" w:firstLineChars="0"/>
        <w:rPr>
          <w:rFonts w:ascii="黑体" w:hAnsi="黑体" w:eastAsia="黑体"/>
          <w:bCs/>
        </w:rPr>
      </w:pPr>
      <w:r>
        <w:rPr>
          <w:rFonts w:hint="eastAsia" w:ascii="黑体" w:hAnsi="黑体" w:eastAsia="黑体"/>
          <w:bCs/>
        </w:rPr>
        <w:t>监狱企业、</w:t>
      </w:r>
      <w:r>
        <w:rPr>
          <w:rFonts w:ascii="黑体" w:hAnsi="黑体" w:eastAsia="黑体"/>
          <w:bCs/>
        </w:rPr>
        <w:t>残疾人福利性单位视同小微企业</w:t>
      </w:r>
      <w:r>
        <w:rPr>
          <w:rFonts w:hint="eastAsia" w:ascii="黑体" w:hAnsi="黑体" w:eastAsia="黑体"/>
          <w:bCs/>
        </w:rPr>
        <w:t>，按上述第</w:t>
      </w:r>
      <w:r>
        <w:rPr>
          <w:rFonts w:ascii="黑体" w:hAnsi="黑体" w:eastAsia="黑体"/>
          <w:bCs/>
        </w:rPr>
        <w:t>8.1.1</w:t>
      </w:r>
      <w:r>
        <w:rPr>
          <w:rFonts w:hint="eastAsia" w:ascii="黑体" w:hAnsi="黑体" w:eastAsia="黑体"/>
          <w:bCs/>
        </w:rPr>
        <w:t>、8</w:t>
      </w:r>
      <w:r>
        <w:rPr>
          <w:rFonts w:ascii="黑体" w:hAnsi="黑体" w:eastAsia="黑体"/>
          <w:bCs/>
        </w:rPr>
        <w:t>.4</w:t>
      </w:r>
      <w:r>
        <w:rPr>
          <w:rFonts w:hint="eastAsia" w:ascii="黑体" w:hAnsi="黑体" w:eastAsia="黑体"/>
          <w:bCs/>
        </w:rPr>
        <w:t>条款享受评审中价格扣除。</w:t>
      </w:r>
    </w:p>
    <w:bookmarkEnd w:id="65"/>
    <w:p>
      <w:pPr>
        <w:pStyle w:val="30"/>
        <w:numPr>
          <w:ilvl w:val="1"/>
          <w:numId w:val="73"/>
        </w:numPr>
        <w:spacing w:line="360" w:lineRule="auto"/>
        <w:ind w:firstLineChars="0"/>
        <w:rPr>
          <w:rFonts w:ascii="黑体" w:hAnsi="黑体" w:eastAsia="黑体"/>
          <w:b/>
          <w:szCs w:val="21"/>
        </w:rPr>
      </w:pPr>
      <w:r>
        <w:rPr>
          <w:rFonts w:hint="eastAsia" w:ascii="黑体" w:hAnsi="黑体" w:eastAsia="黑体"/>
          <w:b/>
          <w:szCs w:val="21"/>
        </w:rPr>
        <w:t>投标人同时为小型、微型企业、监狱企业、残疾人福利性单位任两种或以上情况的，评审中只享受一次价格扣除，不重复进行价格扣除。</w:t>
      </w:r>
    </w:p>
    <w:bookmarkEnd w:id="66"/>
    <w:p>
      <w:pPr>
        <w:pStyle w:val="30"/>
        <w:numPr>
          <w:ilvl w:val="1"/>
          <w:numId w:val="73"/>
        </w:numPr>
        <w:spacing w:line="360" w:lineRule="auto"/>
        <w:ind w:firstLineChars="0"/>
        <w:rPr>
          <w:rFonts w:ascii="黑体" w:hAnsi="黑体" w:eastAsia="黑体"/>
          <w:b/>
        </w:rPr>
      </w:pPr>
      <w:r>
        <w:rPr>
          <w:rFonts w:hint="eastAsia" w:ascii="黑体" w:hAnsi="黑体" w:eastAsia="黑体"/>
          <w:b/>
        </w:rPr>
        <w:t>节能产品、环境标志产品价格扣除：</w:t>
      </w:r>
    </w:p>
    <w:p>
      <w:pPr>
        <w:pStyle w:val="30"/>
        <w:numPr>
          <w:ilvl w:val="0"/>
          <w:numId w:val="77"/>
        </w:numPr>
        <w:spacing w:line="360" w:lineRule="auto"/>
        <w:ind w:left="709" w:hanging="709" w:firstLineChars="0"/>
        <w:rPr>
          <w:rFonts w:ascii="黑体" w:hAnsi="黑体" w:eastAsia="黑体"/>
          <w:szCs w:val="21"/>
        </w:rPr>
      </w:pPr>
      <w:r>
        <w:rPr>
          <w:rFonts w:hint="eastAsia" w:ascii="黑体" w:hAnsi="黑体" w:eastAsia="黑体"/>
          <w:szCs w:val="21"/>
        </w:rPr>
        <w:t>投标产品(针对非政府强制采购产品)纳入财政部、发展改革委颁发最新节能产品政府采购品目清单的，</w:t>
      </w:r>
      <w:r>
        <w:rPr>
          <w:rFonts w:hint="eastAsia" w:ascii="黑体" w:hAnsi="黑体" w:eastAsia="黑体"/>
          <w:bCs/>
        </w:rPr>
        <w:t>对</w:t>
      </w:r>
      <w:r>
        <w:rPr>
          <w:rFonts w:hint="eastAsia" w:ascii="黑体" w:hAnsi="黑体" w:eastAsia="黑体"/>
          <w:szCs w:val="21"/>
        </w:rPr>
        <w:t>节能</w:t>
      </w:r>
      <w:r>
        <w:rPr>
          <w:rFonts w:hint="eastAsia" w:ascii="黑体" w:hAnsi="黑体" w:eastAsia="黑体"/>
          <w:bCs/>
        </w:rPr>
        <w:t>产品的价格给予1%的扣除，用扣除后的价格参与评审。（</w:t>
      </w:r>
      <w:r>
        <w:rPr>
          <w:rFonts w:hint="eastAsia" w:ascii="黑体" w:hAnsi="黑体" w:eastAsia="黑体"/>
          <w:szCs w:val="21"/>
        </w:rPr>
        <w:t>提供投标产品有效期内的节能产品认证证书复印件加盖投标人公章）。</w:t>
      </w:r>
    </w:p>
    <w:p>
      <w:pPr>
        <w:pStyle w:val="30"/>
        <w:numPr>
          <w:ilvl w:val="0"/>
          <w:numId w:val="77"/>
        </w:numPr>
        <w:spacing w:line="360" w:lineRule="auto"/>
        <w:ind w:left="709" w:hanging="709" w:firstLineChars="0"/>
        <w:rPr>
          <w:rFonts w:ascii="黑体" w:hAnsi="黑体" w:eastAsia="黑体"/>
          <w:szCs w:val="21"/>
        </w:rPr>
      </w:pPr>
      <w:r>
        <w:rPr>
          <w:rFonts w:hint="eastAsia" w:ascii="黑体" w:hAnsi="黑体" w:eastAsia="黑体"/>
          <w:szCs w:val="21"/>
        </w:rPr>
        <w:t>投标产品纳入财政部、环境保护部颁布最新环境标志产品政府采购品目清单的，</w:t>
      </w:r>
      <w:r>
        <w:rPr>
          <w:rFonts w:hint="eastAsia" w:ascii="黑体" w:hAnsi="黑体" w:eastAsia="黑体"/>
          <w:bCs/>
        </w:rPr>
        <w:t>对</w:t>
      </w:r>
      <w:r>
        <w:rPr>
          <w:rFonts w:hint="eastAsia" w:ascii="黑体" w:hAnsi="黑体" w:eastAsia="黑体"/>
          <w:szCs w:val="21"/>
        </w:rPr>
        <w:t>环境标志产品</w:t>
      </w:r>
      <w:r>
        <w:rPr>
          <w:rFonts w:hint="eastAsia" w:ascii="黑体" w:hAnsi="黑体" w:eastAsia="黑体"/>
          <w:bCs/>
        </w:rPr>
        <w:t>的价格给予1%的扣除，用扣除后的价格参与评审。（</w:t>
      </w:r>
      <w:r>
        <w:rPr>
          <w:rFonts w:hint="eastAsia" w:ascii="黑体" w:hAnsi="黑体" w:eastAsia="黑体"/>
          <w:szCs w:val="21"/>
        </w:rPr>
        <w:t>提供投标产品有效期内的环境标志产品认证证书复印件加盖投标人公章）。</w:t>
      </w:r>
    </w:p>
    <w:p>
      <w:pPr>
        <w:pStyle w:val="30"/>
        <w:numPr>
          <w:ilvl w:val="1"/>
          <w:numId w:val="73"/>
        </w:numPr>
        <w:spacing w:line="360" w:lineRule="auto"/>
        <w:ind w:firstLineChars="0"/>
        <w:rPr>
          <w:rFonts w:ascii="黑体" w:hAnsi="黑体" w:eastAsia="黑体"/>
          <w:bCs/>
          <w:szCs w:val="21"/>
        </w:rPr>
      </w:pPr>
      <w:r>
        <w:rPr>
          <w:rFonts w:hint="eastAsia" w:ascii="黑体" w:hAnsi="黑体" w:eastAsia="黑体"/>
          <w:bCs/>
          <w:szCs w:val="21"/>
        </w:rPr>
        <w:t>价格分应当采用低价优先法计算，即满足招标文件要求且投标价格最低的投标报价为评标基准价，其价格分为满分。其他投标人的价格分统一按照下列公式计算：</w:t>
      </w:r>
    </w:p>
    <w:p>
      <w:pPr>
        <w:pStyle w:val="30"/>
        <w:spacing w:line="360" w:lineRule="auto"/>
        <w:ind w:left="567" w:firstLine="0" w:firstLineChars="0"/>
        <w:jc w:val="left"/>
        <w:rPr>
          <w:rFonts w:ascii="黑体" w:hAnsi="黑体" w:eastAsia="黑体"/>
        </w:rPr>
      </w:pPr>
      <w:r>
        <w:rPr>
          <w:rFonts w:hint="eastAsia" w:ascii="黑体" w:hAnsi="黑体" w:eastAsia="黑体"/>
          <w:bCs/>
          <w:szCs w:val="21"/>
        </w:rPr>
        <w:t>投标人价格得分</w:t>
      </w:r>
      <w:r>
        <w:rPr>
          <w:rFonts w:ascii="黑体" w:hAnsi="黑体" w:eastAsia="黑体"/>
          <w:bCs/>
          <w:szCs w:val="21"/>
        </w:rPr>
        <w:t>=(评标基准价／</w:t>
      </w:r>
      <w:r>
        <w:rPr>
          <w:rFonts w:hint="eastAsia" w:ascii="黑体" w:hAnsi="黑体" w:eastAsia="黑体"/>
          <w:bCs/>
          <w:szCs w:val="21"/>
        </w:rPr>
        <w:t>投标报价</w:t>
      </w:r>
      <w:r>
        <w:rPr>
          <w:rFonts w:ascii="黑体" w:hAnsi="黑体" w:eastAsia="黑体"/>
          <w:bCs/>
          <w:szCs w:val="21"/>
        </w:rPr>
        <w:t>)×</w:t>
      </w:r>
      <w:r>
        <w:rPr>
          <w:rFonts w:hint="eastAsia" w:ascii="黑体" w:hAnsi="黑体" w:eastAsia="黑体"/>
        </w:rPr>
        <w:t>价格权值</w:t>
      </w:r>
      <w:r>
        <w:rPr>
          <w:rFonts w:ascii="黑体" w:hAnsi="黑体" w:eastAsia="黑体"/>
          <w:bCs/>
          <w:szCs w:val="21"/>
        </w:rPr>
        <w:t>×100</w:t>
      </w:r>
    </w:p>
    <w:p>
      <w:pPr>
        <w:spacing w:line="360" w:lineRule="auto"/>
        <w:ind w:firstLine="565" w:firstLineChars="280"/>
        <w:jc w:val="left"/>
        <w:rPr>
          <w:rFonts w:ascii="黑体" w:hAnsi="黑体" w:eastAsia="黑体"/>
          <w:bCs/>
          <w:spacing w:val="-4"/>
          <w:szCs w:val="21"/>
        </w:rPr>
      </w:pPr>
      <w:r>
        <w:rPr>
          <w:rFonts w:hint="eastAsia" w:ascii="黑体" w:hAnsi="黑体" w:eastAsia="黑体"/>
          <w:bCs/>
          <w:spacing w:val="-4"/>
          <w:szCs w:val="21"/>
        </w:rPr>
        <w:t>注：因落实政府采购政策进行价格调整的，以调整后的价格计算评标基准价和投标报价。</w:t>
      </w:r>
    </w:p>
    <w:p>
      <w:pPr>
        <w:pStyle w:val="30"/>
        <w:numPr>
          <w:ilvl w:val="0"/>
          <w:numId w:val="66"/>
        </w:numPr>
        <w:tabs>
          <w:tab w:val="left" w:pos="426"/>
        </w:tabs>
        <w:spacing w:before="156" w:beforeLines="50" w:after="156" w:afterLines="50" w:line="360" w:lineRule="auto"/>
        <w:ind w:firstLineChars="0"/>
        <w:rPr>
          <w:rFonts w:ascii="黑体" w:hAnsi="黑体" w:eastAsia="黑体"/>
          <w:b/>
          <w:bCs/>
          <w:szCs w:val="21"/>
        </w:rPr>
      </w:pPr>
      <w:r>
        <w:rPr>
          <w:rFonts w:hint="eastAsia" w:ascii="黑体" w:hAnsi="黑体" w:eastAsia="黑体"/>
          <w:b/>
          <w:bCs/>
          <w:szCs w:val="21"/>
        </w:rPr>
        <w:t>商务技术及价格评分</w:t>
      </w:r>
      <w:r>
        <w:rPr>
          <w:rFonts w:hint="eastAsia" w:ascii="黑体" w:hAnsi="黑体" w:eastAsia="黑体"/>
          <w:b/>
          <w:bCs/>
        </w:rPr>
        <w:t>权值</w:t>
      </w:r>
      <w:r>
        <w:rPr>
          <w:rFonts w:hint="eastAsia" w:ascii="黑体" w:hAnsi="黑体" w:eastAsia="黑体"/>
          <w:b/>
          <w:bCs/>
          <w:szCs w:val="21"/>
        </w:rPr>
        <w:t>分配</w:t>
      </w:r>
    </w:p>
    <w:tbl>
      <w:tblPr>
        <w:tblStyle w:val="2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11"/>
        <w:gridCol w:w="1897"/>
        <w:gridCol w:w="1895"/>
        <w:gridCol w:w="1895"/>
        <w:gridCol w:w="13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6" w:type="pct"/>
            <w:vAlign w:val="center"/>
          </w:tcPr>
          <w:p>
            <w:pPr>
              <w:jc w:val="center"/>
              <w:rPr>
                <w:rFonts w:ascii="黑体" w:hAnsi="黑体" w:eastAsia="黑体"/>
              </w:rPr>
            </w:pPr>
            <w:r>
              <w:rPr>
                <w:rFonts w:hint="eastAsia" w:ascii="黑体" w:hAnsi="黑体" w:eastAsia="黑体"/>
              </w:rPr>
              <w:t>评分项目</w:t>
            </w:r>
          </w:p>
        </w:tc>
        <w:tc>
          <w:tcPr>
            <w:tcW w:w="1082" w:type="pct"/>
            <w:vAlign w:val="center"/>
          </w:tcPr>
          <w:p>
            <w:pPr>
              <w:jc w:val="center"/>
              <w:rPr>
                <w:rFonts w:ascii="黑体" w:hAnsi="黑体" w:eastAsia="黑体"/>
              </w:rPr>
            </w:pPr>
            <w:r>
              <w:rPr>
                <w:rFonts w:hint="eastAsia" w:ascii="黑体" w:hAnsi="黑体" w:eastAsia="黑体"/>
              </w:rPr>
              <w:t>价格部分</w:t>
            </w:r>
          </w:p>
        </w:tc>
        <w:tc>
          <w:tcPr>
            <w:tcW w:w="1081" w:type="pct"/>
            <w:vAlign w:val="center"/>
          </w:tcPr>
          <w:p>
            <w:pPr>
              <w:jc w:val="center"/>
              <w:rPr>
                <w:rFonts w:ascii="黑体" w:hAnsi="黑体" w:eastAsia="黑体"/>
              </w:rPr>
            </w:pPr>
            <w:r>
              <w:rPr>
                <w:rFonts w:hint="eastAsia" w:ascii="黑体" w:hAnsi="黑体" w:eastAsia="黑体"/>
              </w:rPr>
              <w:t>商务部分</w:t>
            </w:r>
          </w:p>
        </w:tc>
        <w:tc>
          <w:tcPr>
            <w:tcW w:w="1081" w:type="pct"/>
            <w:vAlign w:val="center"/>
          </w:tcPr>
          <w:p>
            <w:pPr>
              <w:jc w:val="center"/>
              <w:rPr>
                <w:rFonts w:ascii="黑体" w:hAnsi="黑体" w:eastAsia="黑体"/>
              </w:rPr>
            </w:pPr>
            <w:r>
              <w:rPr>
                <w:rFonts w:hint="eastAsia" w:ascii="黑体" w:hAnsi="黑体" w:eastAsia="黑体"/>
              </w:rPr>
              <w:t>技术部分</w:t>
            </w:r>
          </w:p>
        </w:tc>
        <w:tc>
          <w:tcPr>
            <w:tcW w:w="780" w:type="pct"/>
            <w:vAlign w:val="center"/>
          </w:tcPr>
          <w:p>
            <w:pPr>
              <w:jc w:val="center"/>
              <w:rPr>
                <w:rFonts w:ascii="黑体" w:hAnsi="黑体" w:eastAsia="黑体"/>
              </w:rPr>
            </w:pPr>
            <w:r>
              <w:rPr>
                <w:rFonts w:hint="eastAsia" w:ascii="黑体" w:hAnsi="黑体" w:eastAsia="黑体"/>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6" w:type="pct"/>
            <w:vAlign w:val="center"/>
          </w:tcPr>
          <w:p>
            <w:pPr>
              <w:jc w:val="center"/>
              <w:rPr>
                <w:rFonts w:ascii="黑体" w:hAnsi="黑体" w:eastAsia="黑体"/>
              </w:rPr>
            </w:pPr>
            <w:r>
              <w:rPr>
                <w:rFonts w:hint="eastAsia" w:ascii="黑体" w:hAnsi="黑体" w:eastAsia="黑体"/>
              </w:rPr>
              <w:t>权值（%）</w:t>
            </w:r>
          </w:p>
        </w:tc>
        <w:tc>
          <w:tcPr>
            <w:tcW w:w="1082" w:type="pct"/>
            <w:vAlign w:val="center"/>
          </w:tcPr>
          <w:p>
            <w:pPr>
              <w:jc w:val="center"/>
              <w:rPr>
                <w:rFonts w:ascii="黑体" w:hAnsi="黑体" w:eastAsia="黑体"/>
              </w:rPr>
            </w:pPr>
            <w:r>
              <w:rPr>
                <w:rFonts w:ascii="黑体" w:hAnsi="黑体" w:eastAsia="黑体"/>
              </w:rPr>
              <w:t>30</w:t>
            </w:r>
            <w:r>
              <w:rPr>
                <w:rFonts w:hint="eastAsia" w:ascii="黑体" w:hAnsi="黑体" w:eastAsia="黑体"/>
              </w:rPr>
              <w:t>%</w:t>
            </w:r>
          </w:p>
        </w:tc>
        <w:tc>
          <w:tcPr>
            <w:tcW w:w="1081" w:type="pct"/>
            <w:vAlign w:val="center"/>
          </w:tcPr>
          <w:p>
            <w:pPr>
              <w:jc w:val="center"/>
              <w:rPr>
                <w:rFonts w:ascii="黑体" w:hAnsi="黑体" w:eastAsia="黑体"/>
              </w:rPr>
            </w:pPr>
            <w:r>
              <w:rPr>
                <w:rFonts w:ascii="黑体" w:hAnsi="黑体" w:eastAsia="黑体"/>
              </w:rPr>
              <w:t>15</w:t>
            </w:r>
            <w:r>
              <w:rPr>
                <w:rFonts w:hint="eastAsia" w:ascii="黑体" w:hAnsi="黑体" w:eastAsia="黑体"/>
              </w:rPr>
              <w:t>%</w:t>
            </w:r>
          </w:p>
        </w:tc>
        <w:tc>
          <w:tcPr>
            <w:tcW w:w="1081" w:type="pct"/>
            <w:vAlign w:val="center"/>
          </w:tcPr>
          <w:p>
            <w:pPr>
              <w:jc w:val="center"/>
              <w:rPr>
                <w:rFonts w:ascii="黑体" w:hAnsi="黑体" w:eastAsia="黑体"/>
                <w:i/>
              </w:rPr>
            </w:pPr>
            <w:r>
              <w:rPr>
                <w:rFonts w:ascii="黑体" w:hAnsi="黑体" w:eastAsia="黑体"/>
              </w:rPr>
              <w:t>55</w:t>
            </w:r>
            <w:r>
              <w:rPr>
                <w:rFonts w:hint="eastAsia" w:ascii="黑体" w:hAnsi="黑体" w:eastAsia="黑体"/>
              </w:rPr>
              <w:t>%</w:t>
            </w:r>
          </w:p>
        </w:tc>
        <w:tc>
          <w:tcPr>
            <w:tcW w:w="780" w:type="pct"/>
          </w:tcPr>
          <w:p>
            <w:pPr>
              <w:jc w:val="center"/>
              <w:rPr>
                <w:rFonts w:ascii="黑体" w:hAnsi="黑体" w:eastAsia="黑体"/>
              </w:rPr>
            </w:pPr>
            <w:r>
              <w:rPr>
                <w:rFonts w:ascii="黑体" w:hAnsi="黑体" w:eastAsia="黑体"/>
              </w:rPr>
              <w:t>100</w:t>
            </w:r>
            <w:r>
              <w:rPr>
                <w:rFonts w:hint="eastAsia" w:ascii="黑体" w:hAnsi="黑体" w:eastAsia="黑体"/>
              </w:rPr>
              <w:t>%</w:t>
            </w:r>
          </w:p>
        </w:tc>
      </w:tr>
    </w:tbl>
    <w:p>
      <w:pPr>
        <w:pStyle w:val="30"/>
        <w:numPr>
          <w:ilvl w:val="0"/>
          <w:numId w:val="78"/>
        </w:numPr>
        <w:spacing w:before="156" w:beforeLines="50" w:line="360" w:lineRule="auto"/>
        <w:ind w:firstLineChars="0"/>
        <w:rPr>
          <w:rFonts w:ascii="黑体" w:hAnsi="黑体" w:eastAsia="黑体"/>
          <w:bCs/>
          <w:szCs w:val="21"/>
        </w:rPr>
      </w:pPr>
      <w:r>
        <w:rPr>
          <w:rFonts w:hint="eastAsia" w:ascii="黑体" w:hAnsi="黑体" w:eastAsia="黑体"/>
          <w:bCs/>
          <w:szCs w:val="21"/>
        </w:rPr>
        <w:t>综合得分＝商务得分＋技术得分＋价格得分</w:t>
      </w:r>
    </w:p>
    <w:p>
      <w:pPr>
        <w:pStyle w:val="30"/>
        <w:numPr>
          <w:ilvl w:val="0"/>
          <w:numId w:val="66"/>
        </w:numPr>
        <w:tabs>
          <w:tab w:val="left" w:pos="426"/>
        </w:tabs>
        <w:spacing w:line="360" w:lineRule="auto"/>
        <w:ind w:firstLineChars="0"/>
        <w:rPr>
          <w:rFonts w:ascii="黑体" w:hAnsi="黑体" w:eastAsia="黑体"/>
          <w:b/>
          <w:bCs/>
          <w:szCs w:val="21"/>
        </w:rPr>
      </w:pPr>
      <w:r>
        <w:rPr>
          <w:rFonts w:hint="eastAsia" w:ascii="黑体" w:hAnsi="黑体" w:eastAsia="黑体"/>
          <w:b/>
          <w:bCs/>
          <w:szCs w:val="21"/>
        </w:rPr>
        <w:t>中标候选人</w:t>
      </w:r>
    </w:p>
    <w:p>
      <w:pPr>
        <w:pStyle w:val="30"/>
        <w:numPr>
          <w:ilvl w:val="1"/>
          <w:numId w:val="79"/>
        </w:numPr>
        <w:spacing w:line="360" w:lineRule="auto"/>
        <w:ind w:firstLineChars="0"/>
        <w:rPr>
          <w:rFonts w:ascii="黑体" w:hAnsi="黑体" w:eastAsia="黑体"/>
          <w:bCs/>
          <w:szCs w:val="21"/>
        </w:rPr>
      </w:pPr>
      <w:r>
        <w:rPr>
          <w:rFonts w:hint="eastAsia" w:ascii="黑体" w:hAnsi="黑体" w:eastAsia="黑体"/>
          <w:bCs/>
          <w:szCs w:val="21"/>
        </w:rPr>
        <w:t>评标委员会将根据各投标人的评标排序，依次推荐本项目的中标候选人，起草并签署评标报告。本项目评标委员会共推荐</w:t>
      </w:r>
      <w:r>
        <w:rPr>
          <w:rFonts w:ascii="黑体" w:hAnsi="黑体" w:eastAsia="黑体"/>
          <w:bCs/>
          <w:szCs w:val="21"/>
          <w:u w:val="single"/>
        </w:rPr>
        <w:t>2</w:t>
      </w:r>
      <w:r>
        <w:rPr>
          <w:rFonts w:hint="eastAsia" w:ascii="黑体" w:hAnsi="黑体" w:eastAsia="黑体"/>
          <w:bCs/>
          <w:szCs w:val="21"/>
        </w:rPr>
        <w:t>名中标候选人。</w:t>
      </w:r>
    </w:p>
    <w:p>
      <w:pPr>
        <w:pStyle w:val="30"/>
        <w:numPr>
          <w:ilvl w:val="1"/>
          <w:numId w:val="79"/>
        </w:numPr>
        <w:tabs>
          <w:tab w:val="left" w:pos="567"/>
          <w:tab w:val="left" w:pos="709"/>
        </w:tabs>
        <w:spacing w:line="360" w:lineRule="auto"/>
        <w:ind w:firstLineChars="0"/>
        <w:rPr>
          <w:rFonts w:ascii="黑体" w:hAnsi="黑体" w:eastAsia="黑体"/>
          <w:bCs/>
          <w:szCs w:val="21"/>
        </w:rPr>
      </w:pPr>
      <w:r>
        <w:rPr>
          <w:rFonts w:hint="eastAsia" w:ascii="黑体" w:hAnsi="黑体" w:eastAsia="黑体"/>
          <w:bCs/>
          <w:szCs w:val="21"/>
        </w:rPr>
        <w:t>使用综合评分法的采购项目：提供相同品牌产品或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bookmarkStart w:id="67" w:name="_Hlk81183397"/>
      <w:r>
        <w:rPr>
          <w:rFonts w:hint="eastAsia" w:ascii="黑体" w:hAnsi="黑体" w:eastAsia="黑体"/>
          <w:bCs/>
          <w:szCs w:val="21"/>
        </w:rPr>
        <w:t>非单一产品采购项目，采购人将根据采购项目技术构成、产品价格比重等合理确定核心产品，并在招标文件中载明。多家投标人提供的核心产品品牌相同的，按上述规定处理。</w:t>
      </w:r>
    </w:p>
    <w:bookmarkEnd w:id="67"/>
    <w:p>
      <w:pPr>
        <w:pStyle w:val="30"/>
        <w:numPr>
          <w:ilvl w:val="1"/>
          <w:numId w:val="79"/>
        </w:numPr>
        <w:tabs>
          <w:tab w:val="left" w:pos="567"/>
          <w:tab w:val="left" w:pos="709"/>
        </w:tabs>
        <w:spacing w:line="360" w:lineRule="auto"/>
        <w:ind w:firstLineChars="0"/>
        <w:rPr>
          <w:rFonts w:ascii="黑体" w:hAnsi="黑体" w:eastAsia="黑体"/>
        </w:rPr>
      </w:pPr>
      <w:r>
        <w:rPr>
          <w:rFonts w:hint="eastAsia" w:ascii="黑体" w:hAnsi="黑体" w:eastAsia="黑体"/>
          <w:bCs/>
          <w:szCs w:val="21"/>
        </w:rPr>
        <w:t>采</w:t>
      </w:r>
      <w:r>
        <w:rPr>
          <w:rFonts w:ascii="黑体" w:hAnsi="黑体" w:eastAsia="黑体"/>
          <w:bCs/>
          <w:szCs w:val="21"/>
        </w:rPr>
        <w:t>用综合评分法的，</w:t>
      </w:r>
      <w:r>
        <w:rPr>
          <w:rFonts w:hint="eastAsia" w:ascii="黑体" w:hAnsi="黑体" w:eastAsia="黑体"/>
          <w:bCs/>
          <w:szCs w:val="21"/>
        </w:rPr>
        <w:t>评审结果</w:t>
      </w:r>
      <w:r>
        <w:rPr>
          <w:rFonts w:ascii="黑体" w:hAnsi="黑体" w:eastAsia="黑体"/>
          <w:bCs/>
          <w:szCs w:val="21"/>
        </w:rPr>
        <w:t>按评审后得分由高到低的顺序排列。得分相同的，按投标报价由低到高顺序排列。</w:t>
      </w:r>
      <w:r>
        <w:rPr>
          <w:rFonts w:hint="eastAsia" w:ascii="黑体" w:hAnsi="黑体" w:eastAsia="黑体"/>
          <w:bCs/>
          <w:szCs w:val="21"/>
        </w:rPr>
        <w:t>得分且投标报价相同并列的。投标文件满足招标文件全部实质性要求，且按照评审因素的量化指标评审得分最高的投标人为排名第一的中标候选人。</w:t>
      </w:r>
    </w:p>
    <w:p>
      <w:pPr>
        <w:pStyle w:val="30"/>
        <w:pageBreakBefore/>
        <w:numPr>
          <w:ilvl w:val="0"/>
          <w:numId w:val="80"/>
        </w:numPr>
        <w:spacing w:before="156" w:beforeLines="50" w:after="312" w:afterLines="100" w:line="360" w:lineRule="auto"/>
        <w:ind w:left="422" w:hanging="422" w:hangingChars="200"/>
        <w:rPr>
          <w:rFonts w:ascii="黑体" w:hAnsi="黑体" w:eastAsia="黑体"/>
          <w:b/>
          <w:bCs/>
          <w:szCs w:val="21"/>
        </w:rPr>
      </w:pPr>
      <w:r>
        <w:rPr>
          <w:rFonts w:hint="eastAsia" w:ascii="黑体" w:hAnsi="黑体" w:eastAsia="黑体"/>
          <w:b/>
          <w:bCs/>
          <w:szCs w:val="21"/>
        </w:rPr>
        <w:t>附表一</w:t>
      </w:r>
      <w:r>
        <w:rPr>
          <w:rFonts w:ascii="黑体" w:hAnsi="黑体" w:eastAsia="黑体"/>
          <w:b/>
          <w:bCs/>
          <w:szCs w:val="21"/>
        </w:rPr>
        <w:t xml:space="preserve"> </w:t>
      </w:r>
      <w:bookmarkStart w:id="68" w:name="_Hlk79422957"/>
      <w:r>
        <w:rPr>
          <w:rFonts w:hint="eastAsia" w:ascii="黑体" w:hAnsi="黑体" w:eastAsia="黑体"/>
          <w:b/>
          <w:bCs/>
          <w:szCs w:val="21"/>
        </w:rPr>
        <w:t>资格性审查表</w:t>
      </w:r>
      <w:bookmarkEnd w:id="68"/>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421"/>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spacing w:line="360" w:lineRule="auto"/>
              <w:jc w:val="center"/>
              <w:rPr>
                <w:rFonts w:ascii="黑体" w:hAnsi="黑体" w:eastAsia="黑体"/>
                <w:b/>
                <w:szCs w:val="21"/>
              </w:rPr>
            </w:pPr>
            <w:r>
              <w:rPr>
                <w:rFonts w:hint="eastAsia" w:ascii="黑体" w:hAnsi="黑体" w:eastAsia="黑体"/>
                <w:b/>
                <w:szCs w:val="21"/>
              </w:rPr>
              <w:t>序号</w:t>
            </w:r>
          </w:p>
        </w:tc>
        <w:tc>
          <w:tcPr>
            <w:tcW w:w="4558" w:type="pct"/>
            <w:gridSpan w:val="2"/>
            <w:tcBorders>
              <w:tl2br w:val="nil"/>
            </w:tcBorders>
            <w:vAlign w:val="center"/>
          </w:tcPr>
          <w:p>
            <w:pPr>
              <w:spacing w:line="360" w:lineRule="auto"/>
              <w:jc w:val="center"/>
              <w:rPr>
                <w:rFonts w:ascii="黑体" w:hAnsi="黑体" w:eastAsia="黑体"/>
                <w:b/>
                <w:szCs w:val="21"/>
              </w:rPr>
            </w:pPr>
            <w:r>
              <w:rPr>
                <w:rFonts w:hint="eastAsia" w:ascii="黑体" w:hAnsi="黑体" w:eastAsia="黑体"/>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spacing w:line="360" w:lineRule="auto"/>
              <w:jc w:val="center"/>
              <w:rPr>
                <w:rFonts w:ascii="黑体" w:hAnsi="黑体" w:eastAsia="黑体"/>
                <w:bCs/>
                <w:szCs w:val="21"/>
              </w:rPr>
            </w:pPr>
            <w:r>
              <w:rPr>
                <w:rFonts w:hint="eastAsia" w:ascii="黑体" w:hAnsi="黑体" w:eastAsia="黑体"/>
                <w:bCs/>
                <w:szCs w:val="21"/>
              </w:rPr>
              <w:t>1</w:t>
            </w:r>
          </w:p>
        </w:tc>
        <w:tc>
          <w:tcPr>
            <w:tcW w:w="4558" w:type="pct"/>
            <w:gridSpan w:val="2"/>
            <w:tcBorders>
              <w:tl2br w:val="nil"/>
            </w:tcBorders>
            <w:vAlign w:val="center"/>
          </w:tcPr>
          <w:p>
            <w:pPr>
              <w:spacing w:line="360" w:lineRule="auto"/>
              <w:jc w:val="left"/>
              <w:rPr>
                <w:rFonts w:ascii="黑体" w:hAnsi="黑体" w:eastAsia="黑体"/>
                <w:bCs/>
                <w:szCs w:val="21"/>
              </w:rPr>
            </w:pPr>
            <w:r>
              <w:rPr>
                <w:rFonts w:hint="eastAsia" w:ascii="黑体" w:hAnsi="黑体" w:eastAsia="黑体"/>
                <w:szCs w:val="21"/>
              </w:rPr>
              <w:t>投标供应商应具备《中华人民共和国政府采购法》第二十二条规定的条件，提供下列材料：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jc w:val="center"/>
              <w:rPr>
                <w:rFonts w:ascii="黑体" w:hAnsi="黑体" w:eastAsia="黑体"/>
                <w:szCs w:val="21"/>
              </w:rPr>
            </w:pPr>
            <w:r>
              <w:rPr>
                <w:rFonts w:hint="eastAsia" w:ascii="黑体" w:hAnsi="黑体" w:eastAsia="黑体"/>
                <w:szCs w:val="21"/>
              </w:rPr>
              <w:t>1</w:t>
            </w:r>
            <w:r>
              <w:rPr>
                <w:rFonts w:ascii="黑体" w:hAnsi="黑体" w:eastAsia="黑体"/>
                <w:szCs w:val="21"/>
              </w:rPr>
              <w:t>.1</w:t>
            </w:r>
          </w:p>
        </w:tc>
        <w:tc>
          <w:tcPr>
            <w:tcW w:w="1381" w:type="pct"/>
            <w:tcBorders>
              <w:tl2br w:val="nil"/>
            </w:tcBorders>
            <w:vAlign w:val="center"/>
          </w:tcPr>
          <w:p>
            <w:pPr>
              <w:spacing w:line="360" w:lineRule="auto"/>
              <w:jc w:val="left"/>
              <w:rPr>
                <w:rFonts w:ascii="黑体" w:hAnsi="黑体" w:eastAsia="黑体"/>
                <w:szCs w:val="21"/>
              </w:rPr>
            </w:pPr>
            <w:r>
              <w:rPr>
                <w:rFonts w:hint="eastAsia" w:ascii="黑体" w:hAnsi="黑体" w:eastAsia="黑体"/>
                <w:szCs w:val="21"/>
              </w:rPr>
              <w:t>具有独立承担民事责任的能力</w:t>
            </w:r>
          </w:p>
        </w:tc>
        <w:tc>
          <w:tcPr>
            <w:tcW w:w="3177" w:type="pct"/>
            <w:vAlign w:val="center"/>
          </w:tcPr>
          <w:p>
            <w:pPr>
              <w:widowControl/>
              <w:shd w:val="clear" w:color="auto" w:fill="FFFFFF"/>
              <w:spacing w:line="360" w:lineRule="auto"/>
              <w:textAlignment w:val="baseline"/>
              <w:rPr>
                <w:rFonts w:ascii="黑体" w:hAnsi="黑体" w:eastAsia="黑体" w:cs="宋体"/>
                <w:kern w:val="0"/>
                <w:szCs w:val="21"/>
              </w:rPr>
            </w:pPr>
            <w:r>
              <w:rPr>
                <w:rFonts w:hint="eastAsia" w:ascii="黑体" w:hAnsi="黑体" w:eastAsia="黑体" w:cs="宋体"/>
                <w:kern w:val="0"/>
                <w:szCs w:val="21"/>
              </w:rPr>
              <w:t>具有独立承担民事责任的能力：提供在中华人民共和国境内注册的法人或其他组织的营业执照或事业单位法人证书或社会团体法 人登记证书复印件，如投标人为自然人的提供自然人身份证明复印件；如国家另有规定的，则从 其规定。（分支机构投标，须取得具有法人资格的总公司（总所）出具给分支机构的授权书，并 提供总公司（总所）和分支机构的营业执照（执业许可证）复印件。已由总公司（总所）授权的 ，总公司（总所）取得的相关资质证书对分支机构有效，法律法规或者行业另有规定的除外。）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jc w:val="center"/>
              <w:rPr>
                <w:rFonts w:ascii="黑体" w:hAnsi="黑体" w:eastAsia="黑体"/>
                <w:szCs w:val="21"/>
              </w:rPr>
            </w:pPr>
            <w:r>
              <w:rPr>
                <w:rFonts w:ascii="黑体" w:hAnsi="黑体" w:eastAsia="黑体"/>
                <w:szCs w:val="21"/>
              </w:rPr>
              <w:t>1.</w:t>
            </w:r>
            <w:r>
              <w:rPr>
                <w:rFonts w:hint="eastAsia" w:ascii="黑体" w:hAnsi="黑体" w:eastAsia="黑体"/>
                <w:szCs w:val="21"/>
              </w:rPr>
              <w:t>2</w:t>
            </w:r>
          </w:p>
        </w:tc>
        <w:tc>
          <w:tcPr>
            <w:tcW w:w="1381" w:type="pct"/>
            <w:tcBorders>
              <w:tl2br w:val="nil"/>
            </w:tcBorders>
            <w:vAlign w:val="center"/>
          </w:tcPr>
          <w:p>
            <w:pPr>
              <w:spacing w:line="360" w:lineRule="auto"/>
              <w:jc w:val="left"/>
              <w:rPr>
                <w:rFonts w:ascii="黑体" w:hAnsi="黑体" w:eastAsia="黑体"/>
                <w:szCs w:val="21"/>
              </w:rPr>
            </w:pPr>
            <w:r>
              <w:rPr>
                <w:rFonts w:hint="eastAsia" w:ascii="黑体" w:hAnsi="黑体" w:eastAsia="黑体" w:cs="宋体"/>
                <w:kern w:val="0"/>
                <w:szCs w:val="21"/>
              </w:rPr>
              <w:t>有依法缴纳税收和社会保障资金的良好记录</w:t>
            </w:r>
          </w:p>
        </w:tc>
        <w:tc>
          <w:tcPr>
            <w:tcW w:w="3177" w:type="pct"/>
            <w:vAlign w:val="center"/>
          </w:tcPr>
          <w:p>
            <w:pPr>
              <w:spacing w:line="360" w:lineRule="auto"/>
              <w:jc w:val="left"/>
              <w:rPr>
                <w:rFonts w:ascii="黑体" w:hAnsi="黑体" w:eastAsia="黑体"/>
                <w:bCs/>
                <w:szCs w:val="21"/>
              </w:rPr>
            </w:pPr>
            <w:r>
              <w:rPr>
                <w:rFonts w:hint="eastAsia" w:ascii="黑体" w:hAnsi="黑体" w:eastAsia="黑体" w:cs="宋体"/>
                <w:kern w:val="0"/>
                <w:szCs w:val="21"/>
              </w:rPr>
              <w:t>提供资格声明函，详见投标文件格式。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jc w:val="center"/>
              <w:rPr>
                <w:rFonts w:ascii="黑体" w:hAnsi="黑体" w:eastAsia="黑体"/>
                <w:szCs w:val="21"/>
              </w:rPr>
            </w:pPr>
            <w:r>
              <w:rPr>
                <w:rFonts w:ascii="黑体" w:hAnsi="黑体" w:eastAsia="黑体"/>
                <w:szCs w:val="21"/>
              </w:rPr>
              <w:t>1.3</w:t>
            </w:r>
          </w:p>
        </w:tc>
        <w:tc>
          <w:tcPr>
            <w:tcW w:w="1381" w:type="pct"/>
            <w:tcBorders>
              <w:tl2br w:val="nil"/>
            </w:tcBorders>
            <w:vAlign w:val="center"/>
          </w:tcPr>
          <w:p>
            <w:pPr>
              <w:spacing w:line="360" w:lineRule="auto"/>
              <w:jc w:val="left"/>
              <w:rPr>
                <w:rFonts w:ascii="黑体" w:hAnsi="黑体" w:eastAsia="黑体"/>
                <w:szCs w:val="21"/>
              </w:rPr>
            </w:pPr>
            <w:r>
              <w:rPr>
                <w:rFonts w:hint="eastAsia" w:ascii="黑体" w:hAnsi="黑体" w:eastAsia="黑体" w:cs="宋体"/>
                <w:kern w:val="0"/>
                <w:szCs w:val="21"/>
              </w:rPr>
              <w:t>具有良好的商业信誉和健全的财务会计制度</w:t>
            </w:r>
          </w:p>
        </w:tc>
        <w:tc>
          <w:tcPr>
            <w:tcW w:w="3177" w:type="pct"/>
            <w:vAlign w:val="center"/>
          </w:tcPr>
          <w:p>
            <w:pPr>
              <w:spacing w:line="360" w:lineRule="auto"/>
              <w:jc w:val="left"/>
              <w:rPr>
                <w:rFonts w:ascii="黑体" w:hAnsi="黑体" w:eastAsia="黑体"/>
                <w:bCs/>
                <w:szCs w:val="21"/>
              </w:rPr>
            </w:pPr>
            <w:r>
              <w:rPr>
                <w:rFonts w:hint="eastAsia" w:ascii="黑体" w:hAnsi="黑体" w:eastAsia="黑体" w:cs="宋体"/>
                <w:kern w:val="0"/>
                <w:szCs w:val="21"/>
              </w:rPr>
              <w:t>提供资格声明函，详见投标文件格式。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jc w:val="center"/>
              <w:rPr>
                <w:rFonts w:ascii="黑体" w:hAnsi="黑体" w:eastAsia="黑体"/>
                <w:szCs w:val="21"/>
              </w:rPr>
            </w:pPr>
            <w:r>
              <w:rPr>
                <w:rFonts w:ascii="黑体" w:hAnsi="黑体" w:eastAsia="黑体"/>
                <w:szCs w:val="21"/>
              </w:rPr>
              <w:t>1.4</w:t>
            </w:r>
          </w:p>
        </w:tc>
        <w:tc>
          <w:tcPr>
            <w:tcW w:w="1381" w:type="pct"/>
            <w:tcBorders>
              <w:tl2br w:val="nil"/>
            </w:tcBorders>
            <w:vAlign w:val="center"/>
          </w:tcPr>
          <w:p>
            <w:pPr>
              <w:spacing w:line="360" w:lineRule="auto"/>
              <w:jc w:val="left"/>
              <w:rPr>
                <w:rFonts w:ascii="黑体" w:hAnsi="黑体" w:eastAsia="黑体"/>
                <w:szCs w:val="21"/>
              </w:rPr>
            </w:pPr>
            <w:r>
              <w:rPr>
                <w:rFonts w:hint="eastAsia" w:ascii="黑体" w:hAnsi="黑体" w:eastAsia="黑体"/>
                <w:szCs w:val="21"/>
              </w:rPr>
              <w:t>履行合同所必须的设备和专业技术能力</w:t>
            </w:r>
          </w:p>
        </w:tc>
        <w:tc>
          <w:tcPr>
            <w:tcW w:w="3177" w:type="pct"/>
            <w:vAlign w:val="center"/>
          </w:tcPr>
          <w:p>
            <w:pPr>
              <w:spacing w:line="360" w:lineRule="auto"/>
              <w:jc w:val="left"/>
              <w:rPr>
                <w:rFonts w:ascii="黑体" w:hAnsi="黑体" w:eastAsia="黑体"/>
                <w:bCs/>
                <w:szCs w:val="21"/>
              </w:rPr>
            </w:pPr>
            <w:r>
              <w:rPr>
                <w:rFonts w:hint="eastAsia" w:ascii="黑体" w:hAnsi="黑体" w:eastAsia="黑体"/>
                <w:bCs/>
                <w:szCs w:val="21"/>
              </w:rPr>
              <w:t>提供资格声明函，详见投标文件格式。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jc w:val="center"/>
              <w:rPr>
                <w:rFonts w:ascii="黑体" w:hAnsi="黑体" w:eastAsia="黑体"/>
                <w:szCs w:val="21"/>
              </w:rPr>
            </w:pPr>
            <w:r>
              <w:rPr>
                <w:rFonts w:ascii="黑体" w:hAnsi="黑体" w:eastAsia="黑体"/>
                <w:szCs w:val="21"/>
              </w:rPr>
              <w:t>1.</w:t>
            </w:r>
            <w:r>
              <w:rPr>
                <w:rFonts w:hint="eastAsia" w:ascii="黑体" w:hAnsi="黑体" w:eastAsia="黑体"/>
                <w:szCs w:val="21"/>
              </w:rPr>
              <w:t>5</w:t>
            </w:r>
          </w:p>
        </w:tc>
        <w:tc>
          <w:tcPr>
            <w:tcW w:w="1381" w:type="pct"/>
            <w:tcBorders>
              <w:tl2br w:val="nil"/>
            </w:tcBorders>
            <w:vAlign w:val="center"/>
          </w:tcPr>
          <w:p>
            <w:pPr>
              <w:spacing w:line="360" w:lineRule="auto"/>
              <w:jc w:val="left"/>
              <w:rPr>
                <w:rFonts w:ascii="黑体" w:hAnsi="黑体" w:eastAsia="黑体" w:cs="Times New Roman"/>
                <w:szCs w:val="21"/>
              </w:rPr>
            </w:pPr>
            <w:r>
              <w:rPr>
                <w:rFonts w:hint="eastAsia" w:ascii="黑体" w:hAnsi="黑体" w:eastAsia="黑体" w:cs="Times New Roman"/>
                <w:szCs w:val="21"/>
              </w:rPr>
              <w:t>参加采购活动前3年内，在经营活动中没有重大违法记录：</w:t>
            </w:r>
          </w:p>
        </w:tc>
        <w:tc>
          <w:tcPr>
            <w:tcW w:w="3177" w:type="pct"/>
            <w:vAlign w:val="center"/>
          </w:tcPr>
          <w:p>
            <w:pPr>
              <w:spacing w:line="360" w:lineRule="auto"/>
              <w:rPr>
                <w:rFonts w:ascii="黑体" w:hAnsi="黑体" w:eastAsia="黑体"/>
                <w:bCs/>
                <w:szCs w:val="21"/>
              </w:rPr>
            </w:pPr>
            <w:r>
              <w:rPr>
                <w:rFonts w:hint="eastAsia" w:ascii="黑体" w:hAnsi="黑体" w:eastAsia="黑体"/>
                <w:bCs/>
                <w:szCs w:val="21"/>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rPr>
                <w:rFonts w:ascii="黑体" w:hAnsi="黑体" w:eastAsia="黑体"/>
                <w:bCs/>
                <w:szCs w:val="21"/>
              </w:rPr>
            </w:pPr>
            <w:r>
              <w:rPr>
                <w:rFonts w:hint="eastAsia" w:ascii="黑体" w:hAnsi="黑体" w:eastAsia="黑体"/>
                <w:bCs/>
                <w:szCs w:val="21"/>
              </w:rPr>
              <w:t>提供资格声明函，详见投标文件格式。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jc w:val="center"/>
              <w:rPr>
                <w:rFonts w:ascii="黑体" w:hAnsi="黑体" w:eastAsia="黑体"/>
                <w:szCs w:val="21"/>
              </w:rPr>
            </w:pPr>
            <w:r>
              <w:rPr>
                <w:rFonts w:ascii="黑体" w:hAnsi="黑体" w:eastAsia="黑体"/>
                <w:szCs w:val="21"/>
              </w:rPr>
              <w:t>1.</w:t>
            </w:r>
            <w:r>
              <w:rPr>
                <w:rFonts w:hint="eastAsia" w:ascii="黑体" w:hAnsi="黑体" w:eastAsia="黑体"/>
                <w:szCs w:val="21"/>
              </w:rPr>
              <w:t>6</w:t>
            </w:r>
          </w:p>
        </w:tc>
        <w:tc>
          <w:tcPr>
            <w:tcW w:w="1381" w:type="pct"/>
            <w:tcBorders>
              <w:tl2br w:val="nil"/>
            </w:tcBorders>
            <w:vAlign w:val="center"/>
          </w:tcPr>
          <w:p>
            <w:pPr>
              <w:spacing w:line="360" w:lineRule="auto"/>
              <w:jc w:val="left"/>
              <w:rPr>
                <w:rFonts w:ascii="黑体" w:hAnsi="黑体" w:eastAsia="黑体"/>
                <w:szCs w:val="21"/>
              </w:rPr>
            </w:pPr>
            <w:r>
              <w:rPr>
                <w:rFonts w:hint="eastAsia" w:ascii="黑体" w:hAnsi="黑体" w:eastAsia="黑体"/>
                <w:szCs w:val="21"/>
              </w:rPr>
              <w:t>信用记录</w:t>
            </w:r>
          </w:p>
        </w:tc>
        <w:tc>
          <w:tcPr>
            <w:tcW w:w="3177" w:type="pct"/>
            <w:vAlign w:val="center"/>
          </w:tcPr>
          <w:p>
            <w:pPr>
              <w:spacing w:line="360" w:lineRule="auto"/>
              <w:rPr>
                <w:rFonts w:ascii="黑体" w:hAnsi="黑体" w:eastAsia="黑体"/>
                <w:bCs/>
                <w:szCs w:val="21"/>
              </w:rPr>
            </w:pPr>
            <w:r>
              <w:rPr>
                <w:rFonts w:hint="eastAsia" w:ascii="黑体" w:hAnsi="黑体" w:eastAsia="黑体"/>
                <w:bCs/>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442" w:type="pct"/>
            <w:vAlign w:val="center"/>
          </w:tcPr>
          <w:p>
            <w:pPr>
              <w:jc w:val="center"/>
              <w:rPr>
                <w:rFonts w:ascii="黑体" w:hAnsi="黑体" w:eastAsia="黑体"/>
              </w:rPr>
            </w:pPr>
            <w:r>
              <w:rPr>
                <w:rFonts w:ascii="黑体" w:hAnsi="黑体" w:eastAsia="黑体"/>
              </w:rPr>
              <w:t>2</w:t>
            </w:r>
          </w:p>
        </w:tc>
        <w:tc>
          <w:tcPr>
            <w:tcW w:w="1381" w:type="pct"/>
            <w:tcBorders>
              <w:tl2br w:val="nil"/>
            </w:tcBorders>
            <w:vAlign w:val="center"/>
          </w:tcPr>
          <w:p>
            <w:pPr>
              <w:spacing w:line="360" w:lineRule="auto"/>
              <w:rPr>
                <w:rFonts w:ascii="黑体" w:hAnsi="黑体" w:eastAsia="黑体" w:cs="宋体"/>
                <w:kern w:val="0"/>
                <w:szCs w:val="21"/>
              </w:rPr>
            </w:pPr>
            <w:r>
              <w:rPr>
                <w:rFonts w:hint="eastAsia" w:ascii="黑体" w:hAnsi="黑体" w:eastAsia="黑体" w:cs="宋体"/>
                <w:kern w:val="0"/>
                <w:szCs w:val="21"/>
              </w:rPr>
              <w:t>供应商必须符合法律、行政法规规定的其他条件</w:t>
            </w:r>
          </w:p>
        </w:tc>
        <w:tc>
          <w:tcPr>
            <w:tcW w:w="3177" w:type="pct"/>
            <w:tcBorders>
              <w:tl2br w:val="nil"/>
            </w:tcBorders>
            <w:vAlign w:val="center"/>
          </w:tcPr>
          <w:p>
            <w:pPr>
              <w:spacing w:line="360" w:lineRule="auto"/>
              <w:rPr>
                <w:rFonts w:ascii="黑体" w:hAnsi="黑体" w:eastAsia="黑体" w:cs="宋体"/>
                <w:kern w:val="0"/>
                <w:szCs w:val="21"/>
              </w:rPr>
            </w:pPr>
            <w:r>
              <w:rPr>
                <w:rFonts w:hint="eastAsia" w:ascii="黑体" w:hAnsi="黑体" w:eastAsia="黑体" w:cs="宋体"/>
                <w:kern w:val="0"/>
                <w:szCs w:val="21"/>
              </w:rPr>
              <w:t>单位负责人为同一人或者存在直接控股、管理关系的不同供应商，不得同时参加本采购项目（或采购包）投标。为本项目提供整体设计、规范编制或者项目管理、监理、检测等服务的供应商，不得再参与本项目投标。</w:t>
            </w:r>
          </w:p>
          <w:p>
            <w:pPr>
              <w:spacing w:line="360" w:lineRule="auto"/>
              <w:rPr>
                <w:rFonts w:ascii="黑体" w:hAnsi="黑体" w:eastAsia="黑体" w:cs="宋体"/>
                <w:kern w:val="0"/>
                <w:szCs w:val="21"/>
              </w:rPr>
            </w:pPr>
            <w:r>
              <w:rPr>
                <w:rFonts w:hint="eastAsia" w:ascii="黑体" w:hAnsi="黑体" w:eastAsia="黑体" w:cs="宋体"/>
                <w:kern w:val="0"/>
                <w:szCs w:val="21"/>
              </w:rPr>
              <w:t>提供书面声明，格式自定。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jc w:val="center"/>
              <w:rPr>
                <w:rFonts w:ascii="黑体" w:hAnsi="黑体" w:eastAsia="黑体"/>
              </w:rPr>
            </w:pPr>
            <w:r>
              <w:rPr>
                <w:rFonts w:ascii="黑体" w:hAnsi="黑体" w:eastAsia="黑体"/>
              </w:rPr>
              <w:t>3</w:t>
            </w:r>
          </w:p>
        </w:tc>
        <w:tc>
          <w:tcPr>
            <w:tcW w:w="1381" w:type="pct"/>
            <w:tcBorders>
              <w:tl2br w:val="nil"/>
            </w:tcBorders>
            <w:vAlign w:val="center"/>
          </w:tcPr>
          <w:p>
            <w:pPr>
              <w:spacing w:line="360" w:lineRule="auto"/>
              <w:jc w:val="left"/>
              <w:rPr>
                <w:rFonts w:ascii="黑体" w:hAnsi="黑体" w:eastAsia="黑体"/>
                <w:szCs w:val="21"/>
              </w:rPr>
            </w:pPr>
            <w:r>
              <w:rPr>
                <w:rFonts w:hint="eastAsia" w:ascii="黑体" w:hAnsi="黑体" w:eastAsia="黑体"/>
                <w:szCs w:val="21"/>
              </w:rPr>
              <w:t>落实政府采购政策需满足的资格要求</w:t>
            </w:r>
          </w:p>
        </w:tc>
        <w:tc>
          <w:tcPr>
            <w:tcW w:w="3177" w:type="pct"/>
            <w:vAlign w:val="center"/>
          </w:tcPr>
          <w:p>
            <w:pPr>
              <w:spacing w:line="360" w:lineRule="auto"/>
              <w:jc w:val="center"/>
              <w:rPr>
                <w:rFonts w:ascii="黑体" w:hAnsi="黑体" w:eastAsia="黑体"/>
                <w:bCs/>
                <w:szCs w:val="21"/>
              </w:rPr>
            </w:pPr>
            <w:r>
              <w:rPr>
                <w:rFonts w:hint="eastAsia" w:ascii="黑体" w:hAnsi="黑体" w:eastAsia="黑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2" w:type="pct"/>
            <w:vAlign w:val="center"/>
          </w:tcPr>
          <w:p>
            <w:pPr>
              <w:jc w:val="center"/>
              <w:rPr>
                <w:rFonts w:ascii="黑体" w:hAnsi="黑体" w:eastAsia="黑体"/>
              </w:rPr>
            </w:pPr>
            <w:r>
              <w:rPr>
                <w:rFonts w:ascii="黑体" w:hAnsi="黑体" w:eastAsia="黑体"/>
              </w:rPr>
              <w:t>4</w:t>
            </w:r>
          </w:p>
        </w:tc>
        <w:tc>
          <w:tcPr>
            <w:tcW w:w="1381" w:type="pct"/>
            <w:tcBorders>
              <w:tl2br w:val="nil"/>
            </w:tcBorders>
            <w:vAlign w:val="center"/>
          </w:tcPr>
          <w:p>
            <w:pPr>
              <w:spacing w:line="360" w:lineRule="auto"/>
              <w:jc w:val="left"/>
              <w:rPr>
                <w:rFonts w:ascii="黑体" w:hAnsi="黑体" w:eastAsia="黑体"/>
                <w:szCs w:val="21"/>
              </w:rPr>
            </w:pPr>
            <w:r>
              <w:rPr>
                <w:rFonts w:hint="eastAsia" w:ascii="黑体" w:hAnsi="黑体" w:eastAsia="黑体"/>
                <w:szCs w:val="21"/>
              </w:rPr>
              <w:t>本项目的特定资格要求</w:t>
            </w:r>
          </w:p>
        </w:tc>
        <w:tc>
          <w:tcPr>
            <w:tcW w:w="3177" w:type="pct"/>
            <w:vAlign w:val="center"/>
          </w:tcPr>
          <w:p>
            <w:pPr>
              <w:spacing w:line="360" w:lineRule="auto"/>
              <w:rPr>
                <w:rFonts w:ascii="黑体" w:hAnsi="黑体" w:eastAsia="黑体"/>
              </w:rPr>
            </w:pPr>
            <w:r>
              <w:rPr>
                <w:rFonts w:hint="eastAsia" w:ascii="黑体" w:hAnsi="黑体" w:eastAsia="黑体"/>
              </w:rPr>
              <w:t>1）①</w:t>
            </w:r>
            <w:r>
              <w:rPr>
                <w:rFonts w:ascii="黑体" w:hAnsi="黑体" w:eastAsia="黑体"/>
              </w:rPr>
              <w:t>投标人为代理商的，从事第三类医疗器械经营的应取得《医疗器械经营许可证》或《医疗器械经营企业许可证》；</w:t>
            </w:r>
            <w:r>
              <w:rPr>
                <w:rFonts w:hint="eastAsia" w:ascii="黑体" w:hAnsi="黑体" w:eastAsia="黑体"/>
              </w:rPr>
              <w:t>②</w:t>
            </w:r>
            <w:r>
              <w:rPr>
                <w:rFonts w:ascii="黑体" w:hAnsi="黑体" w:eastAsia="黑体"/>
              </w:rPr>
              <w:t>投标人为生产厂商的，从事第二类或第三类医疗器械生产的厂商，应取得药品监督管理部门颁发的《医疗器械生产许可证》或《医疗器械生产企业许可证》</w:t>
            </w:r>
            <w:r>
              <w:rPr>
                <w:rFonts w:hint="eastAsia" w:ascii="黑体" w:hAnsi="黑体" w:eastAsia="黑体"/>
              </w:rPr>
              <w:t>。</w:t>
            </w:r>
          </w:p>
          <w:p>
            <w:pPr>
              <w:spacing w:line="360" w:lineRule="auto"/>
              <w:rPr>
                <w:rFonts w:ascii="黑体" w:hAnsi="黑体" w:eastAsia="黑体"/>
                <w:szCs w:val="21"/>
              </w:rPr>
            </w:pPr>
            <w:r>
              <w:rPr>
                <w:rFonts w:hint="eastAsia" w:ascii="黑体" w:hAnsi="黑体" w:eastAsia="黑体"/>
              </w:rPr>
              <w:t>2）</w:t>
            </w:r>
            <w:r>
              <w:rPr>
                <w:rFonts w:ascii="黑体" w:hAnsi="黑体" w:eastAsia="黑体"/>
              </w:rPr>
              <w:t>投标货物若属于中国医疗器械注册管理范围内的，则应取得监督管理部门颁发的相应的《中华人民共和国医疗器械注册证》。（注：须提供相关证明材料复印件加盖投标人公章）</w:t>
            </w:r>
          </w:p>
        </w:tc>
      </w:tr>
    </w:tbl>
    <w:p/>
    <w:p>
      <w:pPr>
        <w:pStyle w:val="30"/>
        <w:numPr>
          <w:ilvl w:val="0"/>
          <w:numId w:val="81"/>
        </w:numPr>
        <w:spacing w:before="156" w:beforeLines="50" w:line="360" w:lineRule="auto"/>
        <w:ind w:firstLineChars="0"/>
        <w:rPr>
          <w:rFonts w:ascii="黑体" w:hAnsi="黑体" w:eastAsia="黑体"/>
          <w:b/>
          <w:bCs/>
          <w:szCs w:val="21"/>
        </w:rPr>
      </w:pPr>
      <w:r>
        <w:rPr>
          <w:rFonts w:hint="eastAsia" w:ascii="黑体" w:hAnsi="黑体" w:eastAsia="黑体"/>
          <w:b/>
          <w:bCs/>
          <w:szCs w:val="21"/>
        </w:rPr>
        <w:t>说明：</w:t>
      </w:r>
    </w:p>
    <w:p>
      <w:pPr>
        <w:spacing w:line="360" w:lineRule="auto"/>
        <w:ind w:firstLine="420" w:firstLineChars="200"/>
        <w:rPr>
          <w:rFonts w:ascii="黑体" w:hAnsi="黑体" w:eastAsia="黑体"/>
          <w:szCs w:val="21"/>
        </w:rPr>
      </w:pPr>
      <w:r>
        <w:rPr>
          <w:rFonts w:hint="eastAsia" w:ascii="黑体" w:hAnsi="黑体" w:eastAsia="黑体"/>
          <w:szCs w:val="21"/>
        </w:rPr>
        <w:t>投标人必须严格按照《资格性审查表》的评审内容的要求如实提供证明材料并应加盖投标人公章，若投标人不满足《资格性审查表》中任何情形之一的，则其投标无效。</w:t>
      </w:r>
      <w:r>
        <w:rPr>
          <w:rFonts w:ascii="黑体" w:hAnsi="黑体" w:eastAsia="黑体"/>
          <w:szCs w:val="21"/>
        </w:rPr>
        <w:cr/>
      </w:r>
    </w:p>
    <w:p>
      <w:pPr>
        <w:pStyle w:val="30"/>
        <w:pageBreakBefore/>
        <w:numPr>
          <w:ilvl w:val="0"/>
          <w:numId w:val="80"/>
        </w:numPr>
        <w:spacing w:before="156" w:beforeLines="50" w:after="312" w:afterLines="100" w:line="360" w:lineRule="auto"/>
        <w:ind w:left="422" w:hanging="422" w:hangingChars="200"/>
        <w:rPr>
          <w:rFonts w:ascii="黑体" w:hAnsi="黑体" w:eastAsia="黑体"/>
          <w:b/>
          <w:bCs/>
          <w:szCs w:val="21"/>
        </w:rPr>
      </w:pPr>
      <w:r>
        <w:rPr>
          <w:rFonts w:hint="eastAsia" w:ascii="黑体" w:hAnsi="黑体" w:eastAsia="黑体"/>
          <w:b/>
          <w:bCs/>
          <w:szCs w:val="21"/>
        </w:rPr>
        <w:t>附表二</w:t>
      </w:r>
      <w:r>
        <w:rPr>
          <w:rFonts w:ascii="黑体" w:hAnsi="黑体" w:eastAsia="黑体"/>
          <w:b/>
          <w:bCs/>
          <w:szCs w:val="21"/>
        </w:rPr>
        <w:t xml:space="preserve"> </w:t>
      </w:r>
      <w:bookmarkStart w:id="69" w:name="_Hlk79425582"/>
      <w:r>
        <w:rPr>
          <w:rFonts w:ascii="黑体" w:hAnsi="黑体" w:eastAsia="黑体"/>
          <w:b/>
          <w:bCs/>
          <w:szCs w:val="21"/>
        </w:rPr>
        <w:t xml:space="preserve"> </w:t>
      </w:r>
      <w:bookmarkStart w:id="70" w:name="_Hlk80867805"/>
      <w:r>
        <w:rPr>
          <w:rFonts w:ascii="黑体" w:hAnsi="黑体" w:eastAsia="黑体"/>
          <w:b/>
          <w:bCs/>
          <w:szCs w:val="21"/>
        </w:rPr>
        <w:t>符合性审查表</w:t>
      </w:r>
      <w:bookmarkEnd w:id="69"/>
      <w:bookmarkEnd w:id="7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78" w:type="pct"/>
            <w:vAlign w:val="center"/>
          </w:tcPr>
          <w:p>
            <w:pPr>
              <w:spacing w:line="360" w:lineRule="auto"/>
              <w:jc w:val="center"/>
              <w:rPr>
                <w:rFonts w:ascii="黑体" w:hAnsi="黑体" w:eastAsia="黑体"/>
                <w:b/>
                <w:szCs w:val="21"/>
              </w:rPr>
            </w:pPr>
            <w:r>
              <w:rPr>
                <w:rFonts w:hint="eastAsia" w:ascii="黑体" w:hAnsi="黑体" w:eastAsia="黑体"/>
                <w:b/>
                <w:szCs w:val="21"/>
              </w:rPr>
              <w:t>序号</w:t>
            </w:r>
          </w:p>
        </w:tc>
        <w:tc>
          <w:tcPr>
            <w:tcW w:w="4422" w:type="pct"/>
            <w:vAlign w:val="center"/>
          </w:tcPr>
          <w:p>
            <w:pPr>
              <w:spacing w:line="360" w:lineRule="auto"/>
              <w:jc w:val="center"/>
              <w:rPr>
                <w:rFonts w:ascii="黑体" w:hAnsi="黑体" w:eastAsia="黑体" w:cs="Times New Roman"/>
                <w:b/>
                <w:szCs w:val="21"/>
              </w:rPr>
            </w:pPr>
            <w:r>
              <w:rPr>
                <w:rFonts w:hint="eastAsia" w:ascii="黑体" w:hAnsi="黑体" w:eastAsia="黑体" w:cs="Times New Roman"/>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1</w:t>
            </w:r>
          </w:p>
        </w:tc>
        <w:tc>
          <w:tcPr>
            <w:tcW w:w="4422" w:type="pct"/>
            <w:vAlign w:val="center"/>
          </w:tcPr>
          <w:p>
            <w:pPr>
              <w:spacing w:line="360" w:lineRule="auto"/>
              <w:jc w:val="left"/>
              <w:rPr>
                <w:rFonts w:ascii="黑体" w:hAnsi="黑体" w:eastAsia="黑体" w:cs="Times New Roman"/>
                <w:szCs w:val="21"/>
              </w:rPr>
            </w:pPr>
            <w:r>
              <w:rPr>
                <w:rFonts w:hint="eastAsia" w:ascii="黑体" w:hAnsi="黑体" w:eastAsia="黑体" w:cs="Times New Roman"/>
                <w:szCs w:val="21"/>
              </w:rPr>
              <w:t>合格的投标保证金。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2</w:t>
            </w:r>
          </w:p>
        </w:tc>
        <w:tc>
          <w:tcPr>
            <w:tcW w:w="4422" w:type="pct"/>
            <w:vAlign w:val="center"/>
          </w:tcPr>
          <w:p>
            <w:pPr>
              <w:spacing w:line="360" w:lineRule="auto"/>
              <w:jc w:val="left"/>
              <w:rPr>
                <w:rFonts w:ascii="黑体" w:hAnsi="黑体" w:eastAsia="黑体" w:cs="Times New Roman"/>
                <w:szCs w:val="21"/>
              </w:rPr>
            </w:pPr>
            <w:r>
              <w:rPr>
                <w:rFonts w:hint="eastAsia" w:ascii="黑体" w:hAnsi="黑体" w:eastAsia="黑体" w:cs="Times New Roman"/>
                <w:szCs w:val="21"/>
              </w:rPr>
              <w:t>投标报价不超过</w:t>
            </w:r>
            <w:r>
              <w:rPr>
                <w:rFonts w:hint="eastAsia" w:ascii="黑体" w:hAnsi="黑体" w:eastAsia="黑体"/>
                <w:szCs w:val="21"/>
              </w:rPr>
              <w:t>本项目采购预算或最高限价。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3</w:t>
            </w:r>
          </w:p>
        </w:tc>
        <w:tc>
          <w:tcPr>
            <w:tcW w:w="4422" w:type="pct"/>
            <w:vAlign w:val="center"/>
          </w:tcPr>
          <w:p>
            <w:pPr>
              <w:spacing w:line="360" w:lineRule="auto"/>
              <w:jc w:val="left"/>
              <w:rPr>
                <w:rFonts w:ascii="黑体" w:hAnsi="黑体" w:eastAsia="黑体" w:cs="Times New Roman"/>
                <w:szCs w:val="21"/>
              </w:rPr>
            </w:pPr>
            <w:r>
              <w:rPr>
                <w:rFonts w:hint="eastAsia" w:ascii="黑体" w:hAnsi="黑体" w:eastAsia="黑体" w:cs="Times New Roman"/>
                <w:szCs w:val="21"/>
              </w:rPr>
              <w:t>法人授权委托证明。</w:t>
            </w:r>
          </w:p>
          <w:p>
            <w:pPr>
              <w:spacing w:line="360" w:lineRule="auto"/>
              <w:jc w:val="left"/>
              <w:rPr>
                <w:rFonts w:ascii="黑体" w:hAnsi="黑体" w:eastAsia="黑体" w:cs="Times New Roman"/>
                <w:szCs w:val="21"/>
              </w:rPr>
            </w:pPr>
            <w:r>
              <w:rPr>
                <w:rFonts w:hint="eastAsia" w:ascii="黑体" w:hAnsi="黑体" w:eastAsia="黑体" w:cs="Times New Roman"/>
                <w:szCs w:val="21"/>
              </w:rPr>
              <w:t>(投标人代表为法定代表人的除外)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4</w:t>
            </w:r>
          </w:p>
        </w:tc>
        <w:tc>
          <w:tcPr>
            <w:tcW w:w="4422" w:type="pct"/>
            <w:vAlign w:val="center"/>
          </w:tcPr>
          <w:p>
            <w:pPr>
              <w:spacing w:line="360" w:lineRule="auto"/>
              <w:jc w:val="left"/>
              <w:rPr>
                <w:rFonts w:ascii="黑体" w:hAnsi="黑体" w:eastAsia="黑体" w:cs="Times New Roman"/>
                <w:szCs w:val="21"/>
              </w:rPr>
            </w:pPr>
            <w:r>
              <w:rPr>
                <w:rFonts w:hint="eastAsia" w:ascii="黑体" w:hAnsi="黑体" w:eastAsia="黑体" w:cs="Times New Roman"/>
                <w:szCs w:val="21"/>
              </w:rPr>
              <w:t>投标函已提交并符合招标文件要求的，且投标有效期不少于招标文件中载明的投标有效期。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5</w:t>
            </w:r>
          </w:p>
        </w:tc>
        <w:tc>
          <w:tcPr>
            <w:tcW w:w="4422" w:type="pct"/>
            <w:vAlign w:val="center"/>
          </w:tcPr>
          <w:p>
            <w:pPr>
              <w:spacing w:line="360" w:lineRule="auto"/>
              <w:jc w:val="left"/>
              <w:rPr>
                <w:rFonts w:ascii="黑体" w:hAnsi="黑体" w:eastAsia="黑体"/>
                <w:szCs w:val="21"/>
              </w:rPr>
            </w:pPr>
            <w:r>
              <w:rPr>
                <w:rFonts w:hint="eastAsia" w:ascii="黑体" w:hAnsi="黑体" w:eastAsia="黑体" w:cs="Times New Roman"/>
                <w:szCs w:val="21"/>
              </w:rPr>
              <w:t>投标文件的式样、签署、盖章符合招标文件要求。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6</w:t>
            </w:r>
          </w:p>
        </w:tc>
        <w:tc>
          <w:tcPr>
            <w:tcW w:w="4422" w:type="pct"/>
            <w:vAlign w:val="center"/>
          </w:tcPr>
          <w:p>
            <w:pPr>
              <w:spacing w:line="360" w:lineRule="auto"/>
              <w:jc w:val="left"/>
              <w:rPr>
                <w:rFonts w:ascii="黑体" w:hAnsi="黑体" w:eastAsia="黑体"/>
                <w:bCs/>
                <w:szCs w:val="21"/>
              </w:rPr>
            </w:pPr>
            <w:r>
              <w:rPr>
                <w:rFonts w:hint="eastAsia" w:ascii="黑体" w:hAnsi="黑体" w:eastAsia="黑体"/>
                <w:bCs/>
                <w:szCs w:val="21"/>
              </w:rPr>
              <w:t>采购需求当中的★条款满足要求。</w:t>
            </w:r>
          </w:p>
          <w:p>
            <w:pPr>
              <w:spacing w:line="360" w:lineRule="auto"/>
              <w:jc w:val="left"/>
              <w:rPr>
                <w:rFonts w:ascii="黑体" w:hAnsi="黑体" w:eastAsia="黑体"/>
                <w:bCs/>
                <w:szCs w:val="21"/>
              </w:rPr>
            </w:pPr>
            <w:r>
              <w:rPr>
                <w:rFonts w:hint="eastAsia" w:ascii="黑体" w:hAnsi="黑体" w:eastAsia="黑体"/>
                <w:bCs/>
                <w:szCs w:val="21"/>
              </w:rPr>
              <w:t>(若本项目无★条款，此项通过)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7</w:t>
            </w:r>
          </w:p>
        </w:tc>
        <w:tc>
          <w:tcPr>
            <w:tcW w:w="4422" w:type="pct"/>
            <w:vAlign w:val="center"/>
          </w:tcPr>
          <w:p>
            <w:pPr>
              <w:spacing w:line="360" w:lineRule="auto"/>
              <w:jc w:val="left"/>
              <w:rPr>
                <w:rFonts w:ascii="黑体" w:hAnsi="黑体" w:eastAsia="黑体"/>
                <w:bCs/>
                <w:szCs w:val="21"/>
              </w:rPr>
            </w:pPr>
            <w:r>
              <w:rPr>
                <w:rFonts w:hint="eastAsia" w:ascii="黑体" w:hAnsi="黑体" w:eastAsia="黑体"/>
                <w:bCs/>
                <w:szCs w:val="21"/>
              </w:rPr>
              <w:t>投标文件未出现选择性报价或有附加条件报价的情形。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8</w:t>
            </w:r>
          </w:p>
        </w:tc>
        <w:tc>
          <w:tcPr>
            <w:tcW w:w="4422" w:type="pct"/>
            <w:vAlign w:val="center"/>
          </w:tcPr>
          <w:p>
            <w:pPr>
              <w:spacing w:line="360" w:lineRule="auto"/>
              <w:jc w:val="left"/>
              <w:rPr>
                <w:rFonts w:ascii="黑体" w:hAnsi="黑体" w:eastAsia="黑体"/>
                <w:bCs/>
                <w:szCs w:val="21"/>
              </w:rPr>
            </w:pPr>
            <w:r>
              <w:rPr>
                <w:rFonts w:hint="eastAsia" w:ascii="黑体" w:hAnsi="黑体" w:eastAsia="黑体"/>
                <w:bCs/>
                <w:szCs w:val="21"/>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8" w:type="pct"/>
            <w:vAlign w:val="center"/>
          </w:tcPr>
          <w:p>
            <w:pPr>
              <w:spacing w:line="360" w:lineRule="auto"/>
              <w:jc w:val="center"/>
              <w:rPr>
                <w:rFonts w:ascii="黑体" w:hAnsi="黑体" w:eastAsia="黑体"/>
                <w:bCs/>
                <w:szCs w:val="21"/>
              </w:rPr>
            </w:pPr>
            <w:r>
              <w:rPr>
                <w:rFonts w:hint="eastAsia" w:ascii="黑体" w:hAnsi="黑体" w:eastAsia="黑体"/>
                <w:bCs/>
                <w:szCs w:val="21"/>
              </w:rPr>
              <w:t>9</w:t>
            </w:r>
          </w:p>
        </w:tc>
        <w:tc>
          <w:tcPr>
            <w:tcW w:w="4422" w:type="pct"/>
            <w:vAlign w:val="center"/>
          </w:tcPr>
          <w:p>
            <w:pPr>
              <w:spacing w:line="360" w:lineRule="auto"/>
              <w:jc w:val="left"/>
              <w:rPr>
                <w:rFonts w:ascii="黑体" w:hAnsi="黑体" w:eastAsia="黑体"/>
                <w:bCs/>
                <w:szCs w:val="21"/>
              </w:rPr>
            </w:pPr>
            <w:r>
              <w:rPr>
                <w:rFonts w:hint="eastAsia" w:ascii="黑体" w:hAnsi="黑体" w:eastAsia="黑体"/>
                <w:bCs/>
                <w:szCs w:val="21"/>
              </w:rPr>
              <w:t>按有关法律、法规、规章不属于投标无效的。</w:t>
            </w:r>
          </w:p>
        </w:tc>
      </w:tr>
    </w:tbl>
    <w:p>
      <w:pPr>
        <w:pStyle w:val="30"/>
        <w:numPr>
          <w:ilvl w:val="0"/>
          <w:numId w:val="81"/>
        </w:numPr>
        <w:spacing w:before="468" w:beforeLines="150" w:line="360" w:lineRule="auto"/>
        <w:ind w:firstLineChars="0"/>
        <w:rPr>
          <w:rFonts w:ascii="黑体" w:hAnsi="黑体" w:eastAsia="黑体"/>
          <w:b/>
          <w:bCs/>
          <w:szCs w:val="21"/>
        </w:rPr>
      </w:pPr>
      <w:r>
        <w:rPr>
          <w:rFonts w:hint="eastAsia" w:ascii="黑体" w:hAnsi="黑体" w:eastAsia="黑体"/>
          <w:b/>
          <w:bCs/>
          <w:szCs w:val="21"/>
        </w:rPr>
        <w:t>说明：</w:t>
      </w:r>
    </w:p>
    <w:p>
      <w:pPr>
        <w:spacing w:before="156" w:beforeLines="50" w:line="360" w:lineRule="auto"/>
        <w:ind w:firstLine="420" w:firstLineChars="200"/>
        <w:rPr>
          <w:rFonts w:ascii="宋体" w:hAnsi="宋体" w:eastAsia="宋体"/>
          <w:b/>
          <w:bCs/>
          <w:szCs w:val="21"/>
        </w:rPr>
      </w:pPr>
      <w:r>
        <w:rPr>
          <w:rFonts w:hint="eastAsia" w:ascii="黑体" w:hAnsi="黑体" w:eastAsia="黑体"/>
          <w:szCs w:val="21"/>
        </w:rPr>
        <w:t>投标人必须严格按照《符合性审查表》的评审内容的要求如实提供证明材料并应加盖投标人公章，若投标人不满足《符合性审查表》中任何情形之一的，则其投标无效。</w:t>
      </w:r>
    </w:p>
    <w:p>
      <w:pPr>
        <w:pStyle w:val="30"/>
        <w:pageBreakBefore/>
        <w:numPr>
          <w:ilvl w:val="0"/>
          <w:numId w:val="80"/>
        </w:numPr>
        <w:spacing w:before="312" w:beforeLines="100" w:after="312" w:afterLines="100" w:line="360" w:lineRule="auto"/>
        <w:ind w:left="422" w:hanging="422" w:hangingChars="200"/>
        <w:rPr>
          <w:rFonts w:ascii="黑体" w:hAnsi="黑体" w:eastAsia="黑体"/>
          <w:b/>
          <w:bCs/>
          <w:szCs w:val="21"/>
        </w:rPr>
      </w:pPr>
      <w:r>
        <w:rPr>
          <w:rFonts w:hint="eastAsia" w:ascii="黑体" w:hAnsi="黑体" w:eastAsia="黑体"/>
          <w:b/>
          <w:bCs/>
          <w:szCs w:val="21"/>
        </w:rPr>
        <w:t>附表三</w:t>
      </w:r>
      <w:r>
        <w:rPr>
          <w:rFonts w:ascii="黑体" w:hAnsi="黑体" w:eastAsia="黑体"/>
          <w:b/>
          <w:bCs/>
          <w:szCs w:val="21"/>
        </w:rPr>
        <w:t xml:space="preserve">  详细评审表</w:t>
      </w:r>
      <w:r>
        <w:rPr>
          <w:rFonts w:hint="eastAsia" w:ascii="黑体" w:hAnsi="黑体" w:eastAsia="黑体"/>
          <w:b/>
          <w:bCs/>
          <w:szCs w:val="21"/>
        </w:rPr>
        <w:t>（含商务、技术评审细则）</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58"/>
        <w:gridCol w:w="142"/>
        <w:gridCol w:w="1169"/>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81" w:type="pct"/>
            <w:vAlign w:val="center"/>
          </w:tcPr>
          <w:p>
            <w:pPr>
              <w:pStyle w:val="36"/>
              <w:spacing w:after="62" w:afterLines="20" w:line="440" w:lineRule="exact"/>
              <w:ind w:firstLine="0" w:firstLineChars="0"/>
              <w:jc w:val="center"/>
              <w:rPr>
                <w:rFonts w:ascii="黑体" w:hAnsi="黑体" w:eastAsia="黑体"/>
                <w:b/>
                <w:sz w:val="21"/>
                <w:szCs w:val="21"/>
              </w:rPr>
            </w:pPr>
            <w:r>
              <w:rPr>
                <w:rFonts w:hint="eastAsia" w:ascii="黑体" w:hAnsi="黑体" w:eastAsia="黑体"/>
                <w:b/>
                <w:sz w:val="21"/>
                <w:szCs w:val="21"/>
              </w:rPr>
              <w:t>序号</w:t>
            </w:r>
          </w:p>
        </w:tc>
        <w:tc>
          <w:tcPr>
            <w:tcW w:w="831" w:type="pct"/>
            <w:vAlign w:val="center"/>
          </w:tcPr>
          <w:p>
            <w:pPr>
              <w:pStyle w:val="36"/>
              <w:spacing w:after="62" w:afterLines="20" w:line="440" w:lineRule="exact"/>
              <w:ind w:firstLine="0" w:firstLineChars="0"/>
              <w:jc w:val="center"/>
              <w:rPr>
                <w:rFonts w:ascii="黑体" w:hAnsi="黑体" w:eastAsia="黑体"/>
                <w:b/>
                <w:sz w:val="21"/>
                <w:szCs w:val="21"/>
              </w:rPr>
            </w:pPr>
            <w:r>
              <w:rPr>
                <w:rFonts w:hint="eastAsia" w:ascii="黑体" w:hAnsi="黑体" w:eastAsia="黑体"/>
                <w:b/>
                <w:sz w:val="21"/>
                <w:szCs w:val="21"/>
              </w:rPr>
              <w:t>评分内容</w:t>
            </w:r>
          </w:p>
        </w:tc>
        <w:tc>
          <w:tcPr>
            <w:tcW w:w="748" w:type="pct"/>
            <w:gridSpan w:val="2"/>
            <w:vAlign w:val="center"/>
          </w:tcPr>
          <w:p>
            <w:pPr>
              <w:pStyle w:val="36"/>
              <w:spacing w:after="62" w:afterLines="20" w:line="440" w:lineRule="exact"/>
              <w:ind w:firstLine="0" w:firstLineChars="0"/>
              <w:jc w:val="center"/>
              <w:rPr>
                <w:rFonts w:ascii="黑体" w:hAnsi="黑体" w:eastAsia="黑体"/>
                <w:b/>
                <w:sz w:val="21"/>
                <w:szCs w:val="21"/>
              </w:rPr>
            </w:pPr>
            <w:r>
              <w:rPr>
                <w:rFonts w:hint="eastAsia" w:ascii="黑体" w:hAnsi="黑体" w:eastAsia="黑体"/>
                <w:b/>
                <w:sz w:val="21"/>
                <w:szCs w:val="21"/>
              </w:rPr>
              <w:t>分值</w:t>
            </w:r>
          </w:p>
        </w:tc>
        <w:tc>
          <w:tcPr>
            <w:tcW w:w="2940" w:type="pct"/>
            <w:vAlign w:val="center"/>
          </w:tcPr>
          <w:p>
            <w:pPr>
              <w:pStyle w:val="36"/>
              <w:spacing w:after="62" w:afterLines="20" w:line="440" w:lineRule="exact"/>
              <w:ind w:firstLine="0" w:firstLineChars="0"/>
              <w:jc w:val="center"/>
              <w:rPr>
                <w:rFonts w:ascii="黑体" w:hAnsi="黑体" w:eastAsia="黑体"/>
                <w:b/>
                <w:sz w:val="21"/>
                <w:szCs w:val="21"/>
              </w:rPr>
            </w:pPr>
            <w:r>
              <w:rPr>
                <w:rFonts w:hint="eastAsia" w:ascii="黑体" w:hAnsi="黑体" w:eastAsia="黑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5"/>
            <w:vAlign w:val="center"/>
          </w:tcPr>
          <w:p>
            <w:pPr>
              <w:pStyle w:val="36"/>
              <w:spacing w:after="62" w:afterLines="20" w:line="440" w:lineRule="exact"/>
              <w:ind w:firstLine="0" w:firstLineChars="0"/>
              <w:jc w:val="center"/>
              <w:rPr>
                <w:rFonts w:ascii="黑体" w:hAnsi="黑体" w:eastAsia="黑体"/>
                <w:b/>
                <w:sz w:val="21"/>
                <w:szCs w:val="21"/>
              </w:rPr>
            </w:pPr>
            <w:r>
              <w:rPr>
                <w:rFonts w:hint="eastAsia" w:ascii="黑体" w:hAnsi="黑体" w:eastAsia="黑体"/>
                <w:b/>
                <w:sz w:val="21"/>
                <w:szCs w:val="21"/>
              </w:rPr>
              <w:t>商务评审细则（</w:t>
            </w:r>
            <w:r>
              <w:rPr>
                <w:rFonts w:ascii="黑体" w:hAnsi="黑体" w:eastAsia="黑体"/>
                <w:b/>
                <w:sz w:val="21"/>
                <w:szCs w:val="21"/>
              </w:rPr>
              <w:t>15</w:t>
            </w:r>
            <w:r>
              <w:rPr>
                <w:rFonts w:hint="eastAsia" w:ascii="黑体" w:hAnsi="黑体" w:eastAsia="黑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81" w:type="pct"/>
            <w:vAlign w:val="center"/>
          </w:tcPr>
          <w:p>
            <w:pPr>
              <w:spacing w:before="31" w:beforeLines="10" w:after="30" w:line="440" w:lineRule="exact"/>
              <w:jc w:val="center"/>
              <w:rPr>
                <w:rFonts w:ascii="黑体" w:hAnsi="黑体" w:eastAsia="黑体"/>
                <w:bCs/>
                <w:szCs w:val="21"/>
              </w:rPr>
            </w:pPr>
            <w:r>
              <w:rPr>
                <w:rFonts w:hint="eastAsia" w:ascii="黑体" w:hAnsi="黑体" w:eastAsia="黑体"/>
                <w:bCs/>
                <w:szCs w:val="21"/>
              </w:rPr>
              <w:t>1</w:t>
            </w:r>
          </w:p>
        </w:tc>
        <w:tc>
          <w:tcPr>
            <w:tcW w:w="912" w:type="pct"/>
            <w:gridSpan w:val="2"/>
            <w:vAlign w:val="center"/>
          </w:tcPr>
          <w:p>
            <w:pPr>
              <w:spacing w:before="31" w:beforeLines="10" w:after="30" w:line="440" w:lineRule="exact"/>
              <w:jc w:val="center"/>
              <w:rPr>
                <w:rFonts w:ascii="黑体" w:hAnsi="黑体" w:eastAsia="黑体"/>
                <w:bCs/>
                <w:szCs w:val="21"/>
              </w:rPr>
            </w:pPr>
            <w:r>
              <w:rPr>
                <w:rFonts w:ascii="黑体" w:hAnsi="黑体" w:eastAsia="黑体"/>
                <w:bCs/>
                <w:szCs w:val="21"/>
              </w:rPr>
              <w:t>业绩</w:t>
            </w:r>
          </w:p>
        </w:tc>
        <w:tc>
          <w:tcPr>
            <w:tcW w:w="667" w:type="pct"/>
            <w:vAlign w:val="center"/>
          </w:tcPr>
          <w:p>
            <w:pPr>
              <w:widowControl/>
              <w:spacing w:before="31" w:beforeLines="10" w:after="30" w:line="440" w:lineRule="exact"/>
              <w:jc w:val="center"/>
              <w:rPr>
                <w:rFonts w:ascii="黑体" w:hAnsi="黑体" w:eastAsia="黑体"/>
                <w:bCs/>
                <w:szCs w:val="21"/>
              </w:rPr>
            </w:pPr>
            <w:r>
              <w:rPr>
                <w:rFonts w:hint="eastAsia" w:ascii="黑体" w:hAnsi="黑体" w:eastAsia="黑体"/>
                <w:bCs/>
                <w:szCs w:val="21"/>
              </w:rPr>
              <w:t>9分</w:t>
            </w:r>
          </w:p>
        </w:tc>
        <w:tc>
          <w:tcPr>
            <w:tcW w:w="2940" w:type="pct"/>
            <w:vAlign w:val="center"/>
          </w:tcPr>
          <w:p>
            <w:pPr>
              <w:spacing w:before="31" w:beforeLines="10" w:after="30" w:line="440" w:lineRule="exact"/>
              <w:rPr>
                <w:rFonts w:ascii="黑体" w:hAnsi="黑体" w:eastAsia="黑体"/>
                <w:bCs/>
                <w:szCs w:val="21"/>
              </w:rPr>
            </w:pPr>
            <w:r>
              <w:rPr>
                <w:rFonts w:hint="eastAsia" w:ascii="黑体" w:hAnsi="黑体" w:eastAsia="黑体"/>
                <w:bCs/>
                <w:szCs w:val="21"/>
              </w:rPr>
              <w:t>投标人具有医疗设备项目业绩的，每个得3分，最高得9分。</w:t>
            </w:r>
          </w:p>
          <w:p>
            <w:pPr>
              <w:spacing w:before="31" w:beforeLines="10" w:after="30" w:line="440" w:lineRule="exact"/>
              <w:rPr>
                <w:rFonts w:ascii="黑体" w:hAnsi="黑体" w:eastAsia="黑体"/>
                <w:b/>
                <w:szCs w:val="21"/>
                <w:u w:val="single"/>
              </w:rPr>
            </w:pPr>
            <w:r>
              <w:rPr>
                <w:rFonts w:hint="eastAsia" w:ascii="黑体" w:hAnsi="黑体" w:eastAsia="黑体"/>
                <w:b/>
                <w:szCs w:val="21"/>
              </w:rPr>
              <w:t>注：须提供合同复印件加盖投标人公章。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81" w:type="pct"/>
            <w:vAlign w:val="center"/>
          </w:tcPr>
          <w:p>
            <w:pPr>
              <w:spacing w:before="31" w:beforeLines="10" w:after="93" w:afterLines="30" w:line="440" w:lineRule="exact"/>
              <w:jc w:val="center"/>
              <w:rPr>
                <w:rFonts w:ascii="黑体" w:hAnsi="黑体" w:eastAsia="黑体"/>
                <w:szCs w:val="21"/>
              </w:rPr>
            </w:pPr>
            <w:r>
              <w:rPr>
                <w:rFonts w:hint="eastAsia" w:ascii="黑体" w:hAnsi="黑体" w:eastAsia="黑体"/>
                <w:szCs w:val="21"/>
              </w:rPr>
              <w:t>2</w:t>
            </w:r>
          </w:p>
        </w:tc>
        <w:tc>
          <w:tcPr>
            <w:tcW w:w="912" w:type="pct"/>
            <w:gridSpan w:val="2"/>
            <w:vAlign w:val="center"/>
          </w:tcPr>
          <w:p>
            <w:pPr>
              <w:spacing w:before="31" w:beforeLines="10" w:after="30" w:line="440" w:lineRule="exact"/>
              <w:jc w:val="center"/>
              <w:rPr>
                <w:rFonts w:ascii="黑体" w:hAnsi="黑体" w:eastAsia="黑体"/>
                <w:bCs/>
                <w:szCs w:val="21"/>
              </w:rPr>
            </w:pPr>
            <w:r>
              <w:rPr>
                <w:rFonts w:hint="eastAsia" w:ascii="黑体" w:hAnsi="黑体" w:eastAsia="黑体"/>
                <w:bCs/>
                <w:szCs w:val="21"/>
              </w:rPr>
              <w:t>售后服务响应时间的承诺</w:t>
            </w:r>
          </w:p>
        </w:tc>
        <w:tc>
          <w:tcPr>
            <w:tcW w:w="667" w:type="pct"/>
            <w:vAlign w:val="center"/>
          </w:tcPr>
          <w:p>
            <w:pPr>
              <w:widowControl/>
              <w:spacing w:before="31" w:beforeLines="10" w:after="30" w:line="440" w:lineRule="exact"/>
              <w:jc w:val="center"/>
              <w:rPr>
                <w:rFonts w:ascii="黑体" w:hAnsi="黑体" w:eastAsia="黑体"/>
                <w:bCs/>
                <w:szCs w:val="21"/>
              </w:rPr>
            </w:pPr>
            <w:r>
              <w:rPr>
                <w:rFonts w:hint="eastAsia" w:ascii="黑体" w:hAnsi="黑体" w:eastAsia="黑体"/>
                <w:bCs/>
                <w:szCs w:val="21"/>
              </w:rPr>
              <w:t>6分</w:t>
            </w:r>
          </w:p>
        </w:tc>
        <w:tc>
          <w:tcPr>
            <w:tcW w:w="2940" w:type="pct"/>
            <w:vAlign w:val="center"/>
          </w:tcPr>
          <w:p>
            <w:pPr>
              <w:spacing w:line="440" w:lineRule="exact"/>
              <w:rPr>
                <w:rFonts w:ascii="黑体" w:hAnsi="黑体" w:eastAsia="黑体" w:cs="Times New Roman"/>
                <w:szCs w:val="21"/>
              </w:rPr>
            </w:pPr>
            <w:r>
              <w:rPr>
                <w:rFonts w:hint="eastAsia" w:ascii="黑体" w:hAnsi="黑体" w:eastAsia="黑体" w:cs="Times New Roman"/>
                <w:szCs w:val="21"/>
              </w:rPr>
              <w:t>1、投标人承诺在接到采购人通知1个小时或以内到达现场的，得6分；</w:t>
            </w:r>
          </w:p>
          <w:p>
            <w:pPr>
              <w:spacing w:line="440" w:lineRule="exact"/>
              <w:rPr>
                <w:rFonts w:ascii="黑体" w:hAnsi="黑体" w:eastAsia="黑体" w:cs="Times New Roman"/>
                <w:szCs w:val="21"/>
              </w:rPr>
            </w:pPr>
            <w:r>
              <w:rPr>
                <w:rFonts w:hint="eastAsia" w:ascii="黑体" w:hAnsi="黑体" w:eastAsia="黑体" w:cs="Times New Roman"/>
                <w:szCs w:val="21"/>
              </w:rPr>
              <w:t>2、投标人承诺在接到采购人通知2个小时或以内到达现场的，得3分；</w:t>
            </w:r>
          </w:p>
          <w:p>
            <w:pPr>
              <w:spacing w:line="440" w:lineRule="exact"/>
              <w:rPr>
                <w:rFonts w:ascii="黑体" w:hAnsi="黑体" w:eastAsia="黑体" w:cs="Times New Roman"/>
                <w:szCs w:val="21"/>
              </w:rPr>
            </w:pPr>
            <w:r>
              <w:rPr>
                <w:rFonts w:hint="eastAsia" w:ascii="黑体" w:hAnsi="黑体" w:eastAsia="黑体" w:cs="Times New Roman"/>
                <w:szCs w:val="21"/>
              </w:rPr>
              <w:t>3、投标人承诺在接到采购人通知3个小时或以内到达现场的，得1分；</w:t>
            </w:r>
          </w:p>
          <w:p>
            <w:pPr>
              <w:spacing w:line="440" w:lineRule="exact"/>
              <w:rPr>
                <w:rFonts w:ascii="黑体" w:hAnsi="黑体" w:eastAsia="黑体" w:cs="Times New Roman"/>
                <w:szCs w:val="21"/>
              </w:rPr>
            </w:pPr>
            <w:r>
              <w:rPr>
                <w:rFonts w:hint="eastAsia" w:ascii="黑体" w:hAnsi="黑体" w:eastAsia="黑体" w:cs="Times New Roman"/>
                <w:szCs w:val="21"/>
              </w:rPr>
              <w:t>4、投标人承诺在接到采购人通知3小时以上或没有提供承诺得0分。</w:t>
            </w:r>
          </w:p>
          <w:p>
            <w:pPr>
              <w:spacing w:line="440" w:lineRule="exact"/>
              <w:rPr>
                <w:rFonts w:ascii="黑体" w:hAnsi="黑体" w:eastAsia="黑体"/>
                <w:b/>
                <w:bCs/>
                <w:szCs w:val="21"/>
                <w:u w:val="single"/>
              </w:rPr>
            </w:pPr>
            <w:r>
              <w:rPr>
                <w:rFonts w:hint="eastAsia" w:ascii="黑体" w:hAnsi="黑体" w:eastAsia="黑体" w:cs="Times New Roman"/>
                <w:b/>
                <w:bCs/>
                <w:szCs w:val="21"/>
              </w:rPr>
              <w:t>注：须提供承诺函加盖投标人公章，本项目不接受第三方提供的售后服务。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5"/>
            <w:vAlign w:val="center"/>
          </w:tcPr>
          <w:p>
            <w:pPr>
              <w:pStyle w:val="36"/>
              <w:spacing w:after="62" w:afterLines="20" w:line="440" w:lineRule="exact"/>
              <w:ind w:firstLine="0" w:firstLineChars="0"/>
              <w:jc w:val="center"/>
              <w:rPr>
                <w:rFonts w:ascii="黑体" w:hAnsi="黑体" w:eastAsia="黑体"/>
              </w:rPr>
            </w:pPr>
            <w:r>
              <w:rPr>
                <w:rFonts w:hint="eastAsia" w:ascii="黑体" w:hAnsi="黑体" w:eastAsia="黑体"/>
                <w:b/>
                <w:sz w:val="21"/>
                <w:szCs w:val="21"/>
              </w:rPr>
              <w:t>技术评审细则（</w:t>
            </w:r>
            <w:r>
              <w:rPr>
                <w:rFonts w:ascii="黑体" w:hAnsi="黑体" w:eastAsia="黑体"/>
                <w:b/>
                <w:sz w:val="21"/>
                <w:szCs w:val="21"/>
              </w:rPr>
              <w:t>55</w:t>
            </w:r>
            <w:r>
              <w:rPr>
                <w:rFonts w:hint="eastAsia" w:ascii="黑体" w:hAnsi="黑体" w:eastAsia="黑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81" w:type="pct"/>
            <w:vAlign w:val="center"/>
          </w:tcPr>
          <w:p>
            <w:pPr>
              <w:spacing w:before="31" w:beforeLines="10" w:after="93" w:afterLines="30" w:line="440" w:lineRule="exact"/>
              <w:jc w:val="center"/>
              <w:rPr>
                <w:rFonts w:ascii="黑体" w:hAnsi="黑体" w:eastAsia="黑体"/>
                <w:szCs w:val="21"/>
              </w:rPr>
            </w:pPr>
            <w:r>
              <w:rPr>
                <w:rFonts w:ascii="黑体" w:hAnsi="黑体" w:eastAsia="黑体"/>
                <w:szCs w:val="21"/>
              </w:rPr>
              <w:t>1</w:t>
            </w:r>
          </w:p>
        </w:tc>
        <w:tc>
          <w:tcPr>
            <w:tcW w:w="912" w:type="pct"/>
            <w:gridSpan w:val="2"/>
            <w:vAlign w:val="center"/>
          </w:tcPr>
          <w:p>
            <w:pPr>
              <w:spacing w:before="31" w:beforeLines="10" w:after="30" w:line="440" w:lineRule="exact"/>
              <w:jc w:val="center"/>
              <w:rPr>
                <w:rFonts w:ascii="黑体" w:hAnsi="黑体" w:eastAsia="黑体"/>
                <w:szCs w:val="21"/>
              </w:rPr>
            </w:pPr>
            <w:r>
              <w:rPr>
                <w:rFonts w:ascii="黑体" w:hAnsi="黑体" w:eastAsia="黑体"/>
                <w:szCs w:val="21"/>
              </w:rPr>
              <w:t>对用户需求书的响应程度</w:t>
            </w:r>
          </w:p>
        </w:tc>
        <w:tc>
          <w:tcPr>
            <w:tcW w:w="667" w:type="pct"/>
            <w:vAlign w:val="center"/>
          </w:tcPr>
          <w:p>
            <w:pPr>
              <w:widowControl/>
              <w:spacing w:before="31" w:beforeLines="10" w:after="30" w:line="440" w:lineRule="exact"/>
              <w:jc w:val="center"/>
              <w:rPr>
                <w:rFonts w:ascii="黑体" w:hAnsi="黑体" w:eastAsia="黑体"/>
                <w:szCs w:val="21"/>
              </w:rPr>
            </w:pPr>
            <w:r>
              <w:rPr>
                <w:rFonts w:hint="eastAsia" w:ascii="黑体" w:hAnsi="黑体" w:eastAsia="黑体"/>
                <w:szCs w:val="21"/>
              </w:rPr>
              <w:t>28分</w:t>
            </w:r>
          </w:p>
        </w:tc>
        <w:tc>
          <w:tcPr>
            <w:tcW w:w="2940" w:type="pct"/>
            <w:vAlign w:val="center"/>
          </w:tcPr>
          <w:p>
            <w:pPr>
              <w:spacing w:before="31" w:beforeLines="10" w:after="30" w:line="440" w:lineRule="exact"/>
              <w:rPr>
                <w:rFonts w:ascii="黑体" w:hAnsi="黑体" w:eastAsia="黑体"/>
                <w:szCs w:val="21"/>
              </w:rPr>
            </w:pPr>
            <w:r>
              <w:rPr>
                <w:rFonts w:hint="eastAsia" w:ascii="黑体" w:hAnsi="黑体" w:eastAsia="黑体"/>
                <w:szCs w:val="21"/>
              </w:rPr>
              <w:t xml:space="preserve">对用户需求书中带“▲”技术要求条款的技术指标全部响应为满足或优于的得28分。其中“▲”用户需求参数指标不满足或者不响应的每一个扣0.5分，扣完为止，本项最低得0分。 </w:t>
            </w:r>
          </w:p>
          <w:p>
            <w:pPr>
              <w:spacing w:before="31" w:beforeLines="10" w:after="30" w:line="440" w:lineRule="exact"/>
              <w:rPr>
                <w:rFonts w:ascii="黑体" w:hAnsi="黑体" w:eastAsia="黑体"/>
                <w:b/>
                <w:bCs/>
                <w:szCs w:val="21"/>
              </w:rPr>
            </w:pPr>
            <w:r>
              <w:rPr>
                <w:rFonts w:hint="eastAsia" w:ascii="黑体" w:hAnsi="黑体" w:eastAsia="黑体"/>
                <w:b/>
                <w:bCs/>
                <w:szCs w:val="21"/>
              </w:rPr>
              <w:t>注：①采购需求书要求提供证明资料的，则投标文件中须提供的证明资料为准；②用户需求书未要求提供证明资料的，以投标人投标文件中的《▲号条款要求扣分明细响应表》中的投标文件响应的具体内容填写内容为准，未填写或负偏离的视为不满足。③投标人必须按货物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81" w:type="pct"/>
            <w:vAlign w:val="center"/>
          </w:tcPr>
          <w:p>
            <w:pPr>
              <w:spacing w:before="31" w:beforeLines="10" w:after="93" w:afterLines="30" w:line="440" w:lineRule="exact"/>
              <w:jc w:val="center"/>
              <w:rPr>
                <w:rFonts w:ascii="黑体" w:hAnsi="黑体" w:eastAsia="黑体"/>
                <w:szCs w:val="21"/>
              </w:rPr>
            </w:pPr>
            <w:r>
              <w:rPr>
                <w:rFonts w:hint="eastAsia" w:ascii="黑体" w:hAnsi="黑体" w:eastAsia="黑体"/>
                <w:szCs w:val="21"/>
              </w:rPr>
              <w:t>2</w:t>
            </w:r>
          </w:p>
        </w:tc>
        <w:tc>
          <w:tcPr>
            <w:tcW w:w="912" w:type="pct"/>
            <w:gridSpan w:val="2"/>
            <w:vAlign w:val="center"/>
          </w:tcPr>
          <w:p>
            <w:pPr>
              <w:spacing w:before="31" w:beforeLines="10" w:after="30" w:line="440" w:lineRule="exact"/>
              <w:jc w:val="center"/>
              <w:rPr>
                <w:rFonts w:ascii="黑体" w:hAnsi="黑体" w:eastAsia="黑体"/>
                <w:bCs/>
                <w:szCs w:val="21"/>
              </w:rPr>
            </w:pPr>
            <w:r>
              <w:rPr>
                <w:rFonts w:hint="eastAsia" w:ascii="黑体" w:hAnsi="黑体" w:eastAsia="黑体"/>
                <w:bCs/>
                <w:szCs w:val="21"/>
              </w:rPr>
              <w:t>产品性能及产品临床使用情况</w:t>
            </w:r>
          </w:p>
        </w:tc>
        <w:tc>
          <w:tcPr>
            <w:tcW w:w="667" w:type="pct"/>
            <w:vAlign w:val="center"/>
          </w:tcPr>
          <w:p>
            <w:pPr>
              <w:widowControl/>
              <w:spacing w:before="31" w:beforeLines="10" w:after="30" w:line="440" w:lineRule="exact"/>
              <w:jc w:val="center"/>
              <w:rPr>
                <w:rFonts w:ascii="黑体" w:hAnsi="黑体" w:eastAsia="黑体"/>
                <w:bCs/>
                <w:szCs w:val="21"/>
              </w:rPr>
            </w:pPr>
            <w:r>
              <w:rPr>
                <w:rFonts w:hint="eastAsia" w:ascii="黑体" w:hAnsi="黑体" w:eastAsia="黑体"/>
                <w:bCs/>
                <w:szCs w:val="21"/>
              </w:rPr>
              <w:t>9分</w:t>
            </w:r>
          </w:p>
        </w:tc>
        <w:tc>
          <w:tcPr>
            <w:tcW w:w="2940" w:type="pct"/>
            <w:vAlign w:val="center"/>
          </w:tcPr>
          <w:p>
            <w:pPr>
              <w:spacing w:before="31" w:beforeLines="10" w:after="30" w:line="440" w:lineRule="exact"/>
              <w:rPr>
                <w:rFonts w:ascii="黑体" w:hAnsi="黑体" w:eastAsia="黑体" w:cs="宋体"/>
                <w:kern w:val="0"/>
                <w:szCs w:val="21"/>
              </w:rPr>
            </w:pPr>
            <w:r>
              <w:rPr>
                <w:rFonts w:hint="eastAsia" w:ascii="黑体" w:hAnsi="黑体" w:eastAsia="黑体" w:cs="宋体"/>
                <w:kern w:val="0"/>
                <w:szCs w:val="21"/>
              </w:rPr>
              <w:t>根据投标人所投设备的综合性能及设备的临床使用情况进行综合评审：</w:t>
            </w:r>
          </w:p>
          <w:p>
            <w:pPr>
              <w:spacing w:before="31" w:beforeLines="10" w:after="30" w:line="440" w:lineRule="exact"/>
              <w:rPr>
                <w:rFonts w:ascii="黑体" w:hAnsi="黑体" w:eastAsia="黑体" w:cs="宋体"/>
                <w:kern w:val="0"/>
                <w:szCs w:val="21"/>
              </w:rPr>
            </w:pPr>
            <w:r>
              <w:rPr>
                <w:rFonts w:hint="eastAsia" w:ascii="黑体" w:hAnsi="黑体" w:eastAsia="黑体" w:cs="宋体"/>
                <w:kern w:val="0"/>
                <w:szCs w:val="21"/>
              </w:rPr>
              <w:t>①设备设计及配置先进，材质可靠，实用性、耐用性好，临床使用情况好，得9分；</w:t>
            </w:r>
          </w:p>
          <w:p>
            <w:pPr>
              <w:spacing w:before="31" w:beforeLines="10" w:after="30" w:line="440" w:lineRule="exact"/>
              <w:rPr>
                <w:rFonts w:ascii="黑体" w:hAnsi="黑体" w:eastAsia="黑体" w:cs="宋体"/>
                <w:kern w:val="0"/>
                <w:szCs w:val="21"/>
              </w:rPr>
            </w:pPr>
            <w:r>
              <w:rPr>
                <w:rFonts w:hint="eastAsia" w:ascii="黑体" w:hAnsi="黑体" w:eastAsia="黑体" w:cs="宋体"/>
                <w:kern w:val="0"/>
                <w:szCs w:val="21"/>
              </w:rPr>
              <w:t>②设备设计及配置较为先进，材质可靠，实用性、耐用性一般，临床使用情况较好，得6分；</w:t>
            </w:r>
          </w:p>
          <w:p>
            <w:pPr>
              <w:spacing w:before="31" w:beforeLines="10" w:after="30" w:line="440" w:lineRule="exact"/>
              <w:rPr>
                <w:rFonts w:ascii="黑体" w:hAnsi="黑体" w:eastAsia="黑体" w:cs="宋体"/>
                <w:kern w:val="0"/>
                <w:szCs w:val="21"/>
              </w:rPr>
            </w:pPr>
            <w:r>
              <w:rPr>
                <w:rFonts w:hint="eastAsia" w:ascii="黑体" w:hAnsi="黑体" w:eastAsia="黑体" w:cs="宋体"/>
                <w:kern w:val="0"/>
                <w:szCs w:val="21"/>
              </w:rPr>
              <w:t>③设备设计及配置一般，材质一般，实用性、耐用性一般，临床使用情况一般，得3分；</w:t>
            </w:r>
          </w:p>
          <w:p>
            <w:pPr>
              <w:spacing w:before="31" w:beforeLines="10" w:after="30" w:line="440" w:lineRule="exact"/>
              <w:rPr>
                <w:rFonts w:ascii="黑体" w:hAnsi="黑体" w:eastAsia="黑体" w:cs="宋体"/>
                <w:kern w:val="0"/>
                <w:szCs w:val="21"/>
              </w:rPr>
            </w:pPr>
            <w:r>
              <w:rPr>
                <w:rFonts w:hint="eastAsia" w:ascii="黑体" w:hAnsi="黑体" w:eastAsia="黑体" w:cs="宋体"/>
                <w:kern w:val="0"/>
                <w:szCs w:val="21"/>
              </w:rPr>
              <w:t>④设备设计及配置差，材质差，实用性、耐用性差，临床使用情况差，得1分；</w:t>
            </w:r>
          </w:p>
          <w:p>
            <w:pPr>
              <w:spacing w:before="31" w:beforeLines="10" w:after="30" w:line="440" w:lineRule="exact"/>
              <w:rPr>
                <w:rFonts w:ascii="黑体" w:hAnsi="黑体" w:eastAsia="黑体" w:cs="宋体"/>
                <w:kern w:val="0"/>
                <w:szCs w:val="21"/>
              </w:rPr>
            </w:pPr>
            <w:r>
              <w:rPr>
                <w:rFonts w:hint="eastAsia" w:ascii="黑体" w:hAnsi="黑体" w:eastAsia="黑体" w:cs="宋体"/>
                <w:kern w:val="0"/>
                <w:szCs w:val="21"/>
              </w:rPr>
              <w:t>⑤未提供对应方案的不得分。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81" w:type="pct"/>
            <w:vAlign w:val="center"/>
          </w:tcPr>
          <w:p>
            <w:pPr>
              <w:spacing w:after="93" w:afterLines="30" w:line="360" w:lineRule="auto"/>
              <w:jc w:val="center"/>
              <w:rPr>
                <w:rFonts w:ascii="黑体" w:hAnsi="黑体" w:eastAsia="黑体"/>
                <w:szCs w:val="21"/>
              </w:rPr>
            </w:pPr>
            <w:r>
              <w:rPr>
                <w:rFonts w:hint="eastAsia" w:ascii="黑体" w:hAnsi="黑体" w:eastAsia="黑体"/>
                <w:szCs w:val="21"/>
              </w:rPr>
              <w:t>3</w:t>
            </w:r>
          </w:p>
        </w:tc>
        <w:tc>
          <w:tcPr>
            <w:tcW w:w="912" w:type="pct"/>
            <w:gridSpan w:val="2"/>
            <w:vAlign w:val="center"/>
          </w:tcPr>
          <w:p>
            <w:pPr>
              <w:spacing w:after="30" w:line="360" w:lineRule="auto"/>
              <w:jc w:val="center"/>
              <w:rPr>
                <w:rFonts w:ascii="黑体" w:hAnsi="黑体" w:eastAsia="黑体"/>
                <w:bCs/>
                <w:szCs w:val="21"/>
              </w:rPr>
            </w:pPr>
            <w:r>
              <w:rPr>
                <w:rFonts w:ascii="黑体" w:hAnsi="黑体" w:eastAsia="黑体"/>
              </w:rPr>
              <w:t>使用操作及维护保养</w:t>
            </w:r>
          </w:p>
        </w:tc>
        <w:tc>
          <w:tcPr>
            <w:tcW w:w="667" w:type="pct"/>
            <w:vAlign w:val="center"/>
          </w:tcPr>
          <w:p>
            <w:pPr>
              <w:widowControl/>
              <w:spacing w:after="30" w:line="360" w:lineRule="auto"/>
              <w:jc w:val="center"/>
              <w:rPr>
                <w:rFonts w:ascii="黑体" w:hAnsi="黑体" w:eastAsia="黑体"/>
                <w:szCs w:val="21"/>
              </w:rPr>
            </w:pPr>
            <w:r>
              <w:rPr>
                <w:rFonts w:hint="eastAsia" w:ascii="黑体" w:hAnsi="黑体" w:eastAsia="黑体"/>
                <w:bCs/>
                <w:szCs w:val="21"/>
              </w:rPr>
              <w:t>9分</w:t>
            </w:r>
          </w:p>
        </w:tc>
        <w:tc>
          <w:tcPr>
            <w:tcW w:w="2940" w:type="pct"/>
            <w:vAlign w:val="center"/>
          </w:tcPr>
          <w:p>
            <w:pPr>
              <w:spacing w:after="30" w:line="360" w:lineRule="auto"/>
              <w:rPr>
                <w:rFonts w:ascii="黑体" w:hAnsi="黑体" w:eastAsia="黑体"/>
              </w:rPr>
            </w:pPr>
            <w:r>
              <w:rPr>
                <w:rFonts w:ascii="黑体" w:hAnsi="黑体" w:eastAsia="黑体"/>
              </w:rPr>
              <w:t>根据投标人所投设备的操作难易及维护保养的便利程度进行综合评审：</w:t>
            </w:r>
          </w:p>
          <w:p>
            <w:pPr>
              <w:spacing w:after="30" w:line="360" w:lineRule="auto"/>
              <w:rPr>
                <w:rFonts w:ascii="黑体" w:hAnsi="黑体" w:eastAsia="黑体"/>
              </w:rPr>
            </w:pPr>
            <w:r>
              <w:rPr>
                <w:rFonts w:ascii="黑体" w:hAnsi="黑体" w:eastAsia="黑体"/>
              </w:rPr>
              <w:t>①设备操作简单，保养、维护非常便利，得9分；</w:t>
            </w:r>
          </w:p>
          <w:p>
            <w:pPr>
              <w:spacing w:after="30" w:line="360" w:lineRule="auto"/>
              <w:rPr>
                <w:rFonts w:ascii="黑体" w:hAnsi="黑体" w:eastAsia="黑体"/>
              </w:rPr>
            </w:pPr>
            <w:r>
              <w:rPr>
                <w:rFonts w:ascii="黑体" w:hAnsi="黑体" w:eastAsia="黑体"/>
              </w:rPr>
              <w:t>②设备操作较为简单，保养、维护较为便利，得6分；</w:t>
            </w:r>
          </w:p>
          <w:p>
            <w:pPr>
              <w:spacing w:after="30" w:line="360" w:lineRule="auto"/>
              <w:rPr>
                <w:rFonts w:ascii="黑体" w:hAnsi="黑体" w:eastAsia="黑体"/>
              </w:rPr>
            </w:pPr>
            <w:r>
              <w:rPr>
                <w:rFonts w:ascii="黑体" w:hAnsi="黑体" w:eastAsia="黑体"/>
              </w:rPr>
              <w:t>③设备操作复杂，保养、维护不便利，得3分；</w:t>
            </w:r>
          </w:p>
          <w:p>
            <w:pPr>
              <w:spacing w:after="30" w:line="360" w:lineRule="auto"/>
              <w:rPr>
                <w:rFonts w:ascii="黑体" w:hAnsi="黑体" w:eastAsia="黑体"/>
              </w:rPr>
            </w:pPr>
            <w:r>
              <w:rPr>
                <w:rFonts w:ascii="黑体" w:hAnsi="黑体" w:eastAsia="黑体"/>
              </w:rPr>
              <w:t>④设备操作差，保养、维护操作差，得1分；</w:t>
            </w:r>
          </w:p>
          <w:p>
            <w:pPr>
              <w:spacing w:after="30" w:line="360" w:lineRule="auto"/>
              <w:rPr>
                <w:rFonts w:ascii="黑体" w:hAnsi="黑体" w:eastAsia="黑体"/>
                <w:szCs w:val="21"/>
              </w:rPr>
            </w:pPr>
            <w:r>
              <w:rPr>
                <w:rFonts w:ascii="黑体" w:hAnsi="黑体" w:eastAsia="黑体"/>
              </w:rPr>
              <w:t>⑤未提供对应方案的不得分。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81" w:type="pct"/>
            <w:vAlign w:val="center"/>
          </w:tcPr>
          <w:p>
            <w:pPr>
              <w:spacing w:after="93" w:afterLines="30" w:line="360" w:lineRule="auto"/>
              <w:jc w:val="center"/>
              <w:rPr>
                <w:rFonts w:ascii="黑体" w:hAnsi="黑体" w:eastAsia="黑体"/>
                <w:szCs w:val="21"/>
              </w:rPr>
            </w:pPr>
            <w:r>
              <w:rPr>
                <w:rFonts w:hint="eastAsia" w:ascii="黑体" w:hAnsi="黑体" w:eastAsia="黑体"/>
                <w:szCs w:val="21"/>
              </w:rPr>
              <w:t>4</w:t>
            </w:r>
          </w:p>
        </w:tc>
        <w:tc>
          <w:tcPr>
            <w:tcW w:w="912" w:type="pct"/>
            <w:gridSpan w:val="2"/>
            <w:vAlign w:val="center"/>
          </w:tcPr>
          <w:p>
            <w:pPr>
              <w:spacing w:after="30" w:line="360" w:lineRule="auto"/>
              <w:jc w:val="center"/>
              <w:rPr>
                <w:rFonts w:ascii="黑体" w:hAnsi="黑体" w:eastAsia="黑体"/>
              </w:rPr>
            </w:pPr>
            <w:r>
              <w:rPr>
                <w:rFonts w:ascii="黑体" w:hAnsi="黑体" w:eastAsia="黑体"/>
              </w:rPr>
              <w:t>售后服务及质量保证承诺</w:t>
            </w:r>
          </w:p>
        </w:tc>
        <w:tc>
          <w:tcPr>
            <w:tcW w:w="667" w:type="pct"/>
            <w:vAlign w:val="center"/>
          </w:tcPr>
          <w:p>
            <w:pPr>
              <w:widowControl/>
              <w:spacing w:after="30" w:line="360" w:lineRule="auto"/>
              <w:jc w:val="center"/>
              <w:rPr>
                <w:rFonts w:ascii="黑体" w:hAnsi="黑体" w:eastAsia="黑体"/>
                <w:szCs w:val="21"/>
              </w:rPr>
            </w:pPr>
            <w:r>
              <w:rPr>
                <w:rFonts w:hint="eastAsia" w:ascii="黑体" w:hAnsi="黑体" w:eastAsia="黑体"/>
                <w:bCs/>
                <w:szCs w:val="21"/>
              </w:rPr>
              <w:t>9分</w:t>
            </w:r>
          </w:p>
        </w:tc>
        <w:tc>
          <w:tcPr>
            <w:tcW w:w="2940" w:type="pct"/>
            <w:vAlign w:val="center"/>
          </w:tcPr>
          <w:p>
            <w:pPr>
              <w:spacing w:after="30" w:line="360" w:lineRule="auto"/>
              <w:rPr>
                <w:rFonts w:ascii="黑体" w:hAnsi="黑体" w:eastAsia="黑体"/>
              </w:rPr>
            </w:pPr>
            <w:r>
              <w:rPr>
                <w:rFonts w:ascii="黑体" w:hAnsi="黑体" w:eastAsia="黑体"/>
              </w:rPr>
              <w:t>根据投标人的售后服务方案及质量保证承诺进行评审：</w:t>
            </w:r>
          </w:p>
          <w:p>
            <w:pPr>
              <w:spacing w:after="30" w:line="360" w:lineRule="auto"/>
              <w:rPr>
                <w:rFonts w:ascii="黑体" w:hAnsi="黑体" w:eastAsia="黑体"/>
              </w:rPr>
            </w:pPr>
            <w:r>
              <w:rPr>
                <w:rFonts w:ascii="黑体" w:hAnsi="黑体" w:eastAsia="黑体"/>
              </w:rPr>
              <w:t>①售后服务方案科学完整，可操作性强，质量保证承诺优于文件要求，得</w:t>
            </w:r>
            <w:r>
              <w:rPr>
                <w:rFonts w:hint="eastAsia" w:ascii="黑体" w:hAnsi="黑体" w:eastAsia="黑体"/>
              </w:rPr>
              <w:t>9</w:t>
            </w:r>
            <w:r>
              <w:rPr>
                <w:rFonts w:ascii="黑体" w:hAnsi="黑体" w:eastAsia="黑体"/>
              </w:rPr>
              <w:t>分；</w:t>
            </w:r>
          </w:p>
          <w:p>
            <w:pPr>
              <w:spacing w:after="30" w:line="360" w:lineRule="auto"/>
              <w:rPr>
                <w:rFonts w:ascii="黑体" w:hAnsi="黑体" w:eastAsia="黑体"/>
              </w:rPr>
            </w:pPr>
            <w:r>
              <w:rPr>
                <w:rFonts w:ascii="黑体" w:hAnsi="黑体" w:eastAsia="黑体"/>
              </w:rPr>
              <w:t>②售后服务方案基本完整，可操作性一般，质量保证承诺满足文件要求，得5分；</w:t>
            </w:r>
          </w:p>
          <w:p>
            <w:pPr>
              <w:spacing w:after="30" w:line="360" w:lineRule="auto"/>
              <w:rPr>
                <w:rFonts w:ascii="黑体" w:hAnsi="黑体" w:eastAsia="黑体"/>
              </w:rPr>
            </w:pPr>
            <w:r>
              <w:rPr>
                <w:rFonts w:ascii="黑体" w:hAnsi="黑体" w:eastAsia="黑体"/>
              </w:rPr>
              <w:t>③售后服务方案简单，可操作性差，质量保证承诺简单，不确定是否能满足文件要求，得3分；</w:t>
            </w:r>
          </w:p>
          <w:p>
            <w:pPr>
              <w:spacing w:after="30" w:line="360" w:lineRule="auto"/>
              <w:rPr>
                <w:rFonts w:ascii="黑体" w:hAnsi="黑体" w:eastAsia="黑体"/>
              </w:rPr>
            </w:pPr>
            <w:r>
              <w:rPr>
                <w:rFonts w:ascii="黑体" w:hAnsi="黑体" w:eastAsia="黑体"/>
              </w:rPr>
              <w:t>④售后服务方案差，可操作性差，质量保证承诺差，不能满足文件要求，得1分；</w:t>
            </w:r>
          </w:p>
          <w:p>
            <w:pPr>
              <w:spacing w:after="30" w:line="360" w:lineRule="auto"/>
              <w:rPr>
                <w:rFonts w:ascii="黑体" w:hAnsi="黑体" w:eastAsia="黑体"/>
              </w:rPr>
            </w:pPr>
            <w:r>
              <w:rPr>
                <w:rFonts w:ascii="黑体" w:hAnsi="黑体" w:eastAsia="黑体"/>
              </w:rPr>
              <w:t>⑤未提供对应方案的不得分</w:t>
            </w:r>
          </w:p>
        </w:tc>
      </w:tr>
    </w:tbl>
    <w:p/>
    <w:p>
      <w:pPr>
        <w:pStyle w:val="2"/>
        <w:keepNext w:val="0"/>
        <w:keepLines w:val="0"/>
        <w:pageBreakBefore/>
        <w:spacing w:line="360" w:lineRule="auto"/>
        <w:jc w:val="center"/>
        <w:rPr>
          <w:rFonts w:ascii="黑体" w:hAnsi="黑体" w:eastAsia="黑体"/>
          <w:spacing w:val="20"/>
          <w:sz w:val="32"/>
          <w:szCs w:val="32"/>
        </w:rPr>
      </w:pPr>
      <w:bookmarkStart w:id="71" w:name="_Toc405313956"/>
      <w:bookmarkStart w:id="72" w:name="_Toc119514290"/>
      <w:bookmarkStart w:id="73" w:name="_Toc391627752"/>
      <w:r>
        <w:rPr>
          <w:rFonts w:hint="eastAsia" w:ascii="黑体" w:hAnsi="黑体" w:eastAsia="黑体"/>
          <w:spacing w:val="20"/>
          <w:sz w:val="32"/>
          <w:szCs w:val="32"/>
        </w:rPr>
        <w:t>第六部分</w:t>
      </w:r>
      <w:r>
        <w:rPr>
          <w:rFonts w:ascii="黑体" w:hAnsi="黑体" w:eastAsia="黑体"/>
          <w:spacing w:val="20"/>
          <w:sz w:val="32"/>
          <w:szCs w:val="32"/>
        </w:rPr>
        <w:t xml:space="preserve"> </w:t>
      </w:r>
      <w:r>
        <w:rPr>
          <w:rFonts w:hint="eastAsia" w:ascii="黑体" w:hAnsi="黑体" w:eastAsia="黑体"/>
          <w:spacing w:val="20"/>
          <w:sz w:val="32"/>
          <w:szCs w:val="32"/>
        </w:rPr>
        <w:t>合同书格式</w:t>
      </w:r>
      <w:bookmarkEnd w:id="71"/>
      <w:bookmarkEnd w:id="72"/>
      <w:bookmarkEnd w:id="73"/>
    </w:p>
    <w:p>
      <w:pPr>
        <w:spacing w:line="360" w:lineRule="auto"/>
        <w:jc w:val="center"/>
        <w:rPr>
          <w:rFonts w:ascii="黑体" w:hAnsi="黑体" w:eastAsia="黑体"/>
        </w:rPr>
      </w:pPr>
      <w:r>
        <w:rPr>
          <w:rFonts w:hint="eastAsia" w:ascii="黑体" w:hAnsi="黑体" w:eastAsia="黑体"/>
        </w:rPr>
        <w:t>（本格式编排在招标文件中，供投标人参考，投标时不需填写）</w:t>
      </w:r>
    </w:p>
    <w:p>
      <w:pPr>
        <w:spacing w:line="360" w:lineRule="auto"/>
        <w:jc w:val="center"/>
        <w:rPr>
          <w:rFonts w:ascii="黑体" w:hAnsi="黑体" w:eastAsia="黑体"/>
          <w:bCs/>
          <w:szCs w:val="21"/>
        </w:rPr>
      </w:pPr>
    </w:p>
    <w:p>
      <w:pPr>
        <w:spacing w:before="468" w:beforeLines="150" w:after="780" w:afterLines="250" w:line="360" w:lineRule="auto"/>
        <w:jc w:val="center"/>
        <w:rPr>
          <w:rFonts w:ascii="黑体" w:hAnsi="黑体" w:eastAsia="黑体"/>
          <w:bCs/>
          <w:sz w:val="50"/>
          <w:szCs w:val="50"/>
        </w:rPr>
      </w:pPr>
      <w:r>
        <w:rPr>
          <w:rFonts w:hint="eastAsia" w:ascii="黑体" w:hAnsi="黑体" w:eastAsia="黑体"/>
          <w:bCs/>
          <w:sz w:val="50"/>
          <w:szCs w:val="50"/>
        </w:rPr>
        <w:t>分院ICU医疗设备紧急采购</w:t>
      </w:r>
      <w:r>
        <w:rPr>
          <w:rFonts w:ascii="黑体" w:hAnsi="黑体" w:eastAsia="黑体"/>
          <w:bCs/>
          <w:sz w:val="50"/>
          <w:szCs w:val="50"/>
        </w:rPr>
        <w:t>项目</w:t>
      </w:r>
    </w:p>
    <w:p>
      <w:pPr>
        <w:spacing w:line="360" w:lineRule="auto"/>
        <w:jc w:val="center"/>
        <w:rPr>
          <w:rFonts w:ascii="黑体" w:hAnsi="黑体" w:eastAsia="黑体"/>
          <w:bCs/>
          <w:sz w:val="50"/>
          <w:szCs w:val="50"/>
        </w:rPr>
      </w:pPr>
    </w:p>
    <w:p>
      <w:pPr>
        <w:spacing w:before="1092" w:beforeLines="350" w:after="468" w:afterLines="150" w:line="360" w:lineRule="auto"/>
        <w:jc w:val="center"/>
        <w:rPr>
          <w:rFonts w:ascii="黑体" w:hAnsi="黑体" w:eastAsia="黑体"/>
          <w:b/>
          <w:bCs/>
          <w:spacing w:val="60"/>
          <w:sz w:val="52"/>
          <w:szCs w:val="52"/>
        </w:rPr>
      </w:pPr>
      <w:r>
        <w:rPr>
          <w:rFonts w:hint="eastAsia" w:ascii="黑体" w:hAnsi="黑体" w:eastAsia="黑体"/>
          <w:b/>
          <w:bCs/>
          <w:spacing w:val="60"/>
          <w:sz w:val="52"/>
          <w:szCs w:val="52"/>
        </w:rPr>
        <w:t>合同文件</w:t>
      </w:r>
    </w:p>
    <w:p>
      <w:pPr>
        <w:spacing w:line="360" w:lineRule="auto"/>
        <w:jc w:val="center"/>
        <w:rPr>
          <w:rFonts w:ascii="黑体" w:hAnsi="黑体" w:eastAsia="黑体"/>
          <w:b/>
          <w:bCs/>
          <w:szCs w:val="21"/>
        </w:rPr>
      </w:pPr>
      <w:r>
        <w:rPr>
          <w:rFonts w:hint="eastAsia" w:ascii="黑体" w:hAnsi="黑体" w:eastAsia="黑体"/>
          <w:b/>
          <w:bCs/>
          <w:szCs w:val="21"/>
        </w:rPr>
        <w:t>（合同编号：</w:t>
      </w:r>
      <w:r>
        <w:rPr>
          <w:rFonts w:ascii="黑体" w:hAnsi="黑体" w:eastAsia="黑体"/>
          <w:b/>
          <w:bCs/>
          <w:szCs w:val="21"/>
          <w:u w:val="single"/>
        </w:rPr>
        <w:t xml:space="preserve">         </w:t>
      </w:r>
      <w:r>
        <w:rPr>
          <w:rFonts w:hint="eastAsia" w:ascii="黑体" w:hAnsi="黑体" w:eastAsia="黑体"/>
          <w:b/>
          <w:bCs/>
          <w:szCs w:val="21"/>
        </w:rPr>
        <w:t>）</w:t>
      </w: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0" w:hRule="atLeast"/>
          <w:jc w:val="center"/>
        </w:trPr>
        <w:tc>
          <w:tcPr>
            <w:tcW w:w="2349" w:type="dxa"/>
          </w:tcPr>
          <w:p>
            <w:pPr>
              <w:spacing w:line="360" w:lineRule="auto"/>
              <w:rPr>
                <w:rFonts w:ascii="黑体" w:hAnsi="黑体" w:eastAsia="黑体"/>
                <w:b/>
                <w:bCs/>
                <w:sz w:val="28"/>
                <w:szCs w:val="28"/>
              </w:rPr>
            </w:pPr>
            <w:r>
              <w:rPr>
                <w:rFonts w:hint="eastAsia" w:ascii="黑体" w:hAnsi="黑体" w:eastAsia="黑体"/>
                <w:b/>
                <w:bCs/>
                <w:sz w:val="28"/>
                <w:szCs w:val="28"/>
              </w:rPr>
              <w:t>甲方（采购人）：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349" w:type="dxa"/>
          </w:tcPr>
          <w:p>
            <w:pPr>
              <w:spacing w:line="360" w:lineRule="auto"/>
              <w:rPr>
                <w:rFonts w:ascii="黑体" w:hAnsi="黑体" w:eastAsia="黑体"/>
                <w:b/>
                <w:bCs/>
                <w:sz w:val="28"/>
                <w:szCs w:val="28"/>
              </w:rPr>
            </w:pPr>
            <w:r>
              <w:rPr>
                <w:rFonts w:hint="eastAsia" w:ascii="黑体" w:hAnsi="黑体" w:eastAsia="黑体"/>
                <w:b/>
                <w:bCs/>
                <w:sz w:val="28"/>
                <w:szCs w:val="28"/>
              </w:rPr>
              <w:t>乙方（中标人）：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49" w:type="dxa"/>
          </w:tcPr>
          <w:p>
            <w:pPr>
              <w:spacing w:line="360" w:lineRule="auto"/>
              <w:rPr>
                <w:rFonts w:ascii="黑体" w:hAnsi="黑体" w:eastAsia="黑体"/>
                <w:b/>
                <w:bCs/>
                <w:spacing w:val="9"/>
                <w:sz w:val="28"/>
                <w:szCs w:val="28"/>
              </w:rPr>
            </w:pPr>
            <w:r>
              <w:rPr>
                <w:rFonts w:hint="eastAsia" w:ascii="黑体" w:hAnsi="黑体" w:eastAsia="黑体"/>
                <w:b/>
                <w:bCs/>
                <w:spacing w:val="9"/>
                <w:sz w:val="28"/>
                <w:szCs w:val="28"/>
              </w:rPr>
              <w:t>协议签订时间：</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bl>
    <w:p>
      <w:pPr>
        <w:spacing w:line="360" w:lineRule="auto"/>
        <w:rPr>
          <w:rFonts w:ascii="黑体" w:hAnsi="黑体" w:eastAsia="黑体"/>
          <w:b/>
          <w:bCs/>
          <w:szCs w:val="21"/>
        </w:rPr>
      </w:pPr>
    </w:p>
    <w:p>
      <w:pPr>
        <w:spacing w:line="360" w:lineRule="auto"/>
        <w:rPr>
          <w:rFonts w:ascii="黑体" w:hAnsi="黑体" w:eastAsia="黑体"/>
          <w:b/>
          <w:bCs/>
          <w:szCs w:val="21"/>
        </w:rPr>
      </w:pPr>
    </w:p>
    <w:p>
      <w:pPr>
        <w:tabs>
          <w:tab w:val="left" w:pos="720"/>
        </w:tabs>
        <w:spacing w:line="360" w:lineRule="auto"/>
        <w:jc w:val="center"/>
        <w:rPr>
          <w:rFonts w:ascii="黑体" w:hAnsi="黑体" w:eastAsia="黑体"/>
          <w:spacing w:val="20"/>
          <w:sz w:val="28"/>
          <w:szCs w:val="28"/>
        </w:rPr>
      </w:pPr>
      <w:r>
        <w:rPr>
          <w:rFonts w:hint="eastAsia" w:ascii="黑体" w:hAnsi="黑体" w:eastAsia="黑体"/>
          <w:spacing w:val="20"/>
          <w:sz w:val="28"/>
          <w:szCs w:val="28"/>
        </w:rPr>
        <w:t>二〇二三年</w:t>
      </w:r>
      <w:r>
        <w:rPr>
          <w:rFonts w:ascii="黑体" w:hAnsi="黑体" w:eastAsia="黑体"/>
          <w:spacing w:val="20"/>
          <w:sz w:val="28"/>
          <w:szCs w:val="28"/>
          <w:u w:val="single"/>
        </w:rPr>
        <w:t xml:space="preserve">   </w:t>
      </w:r>
      <w:r>
        <w:rPr>
          <w:rFonts w:hint="eastAsia" w:ascii="黑体" w:hAnsi="黑体" w:eastAsia="黑体"/>
          <w:spacing w:val="20"/>
          <w:sz w:val="28"/>
          <w:szCs w:val="28"/>
        </w:rPr>
        <w:t>月于东莞</w:t>
      </w:r>
    </w:p>
    <w:p>
      <w:pPr>
        <w:spacing w:line="360" w:lineRule="auto"/>
        <w:rPr>
          <w:rFonts w:ascii="黑体" w:hAnsi="黑体" w:eastAsia="黑体"/>
          <w:szCs w:val="21"/>
        </w:rPr>
      </w:pPr>
      <w:r>
        <w:rPr>
          <w:rFonts w:ascii="黑体" w:hAnsi="黑体" w:eastAsia="黑体"/>
          <w:szCs w:val="21"/>
        </w:rPr>
        <w:t>合同编号：</w:t>
      </w:r>
    </w:p>
    <w:p>
      <w:pPr>
        <w:spacing w:line="360" w:lineRule="auto"/>
        <w:rPr>
          <w:rFonts w:ascii="黑体" w:hAnsi="黑体" w:eastAsia="黑体"/>
          <w:szCs w:val="21"/>
        </w:rPr>
      </w:pPr>
      <w:r>
        <w:rPr>
          <w:rFonts w:ascii="黑体" w:hAnsi="黑体" w:eastAsia="黑体"/>
          <w:szCs w:val="21"/>
        </w:rPr>
        <w:t>甲方：</w:t>
      </w:r>
      <w:r>
        <w:rPr>
          <w:rFonts w:ascii="黑体" w:hAnsi="黑体" w:eastAsia="黑体"/>
          <w:szCs w:val="21"/>
          <w:u w:val="single"/>
        </w:rPr>
        <w:t xml:space="preserve">东莞市中医院 </w:t>
      </w:r>
    </w:p>
    <w:p>
      <w:pPr>
        <w:spacing w:line="360" w:lineRule="auto"/>
        <w:rPr>
          <w:rFonts w:ascii="黑体" w:hAnsi="黑体" w:eastAsia="黑体"/>
          <w:szCs w:val="21"/>
        </w:rPr>
      </w:pPr>
      <w:r>
        <w:rPr>
          <w:rFonts w:ascii="黑体" w:hAnsi="黑体" w:eastAsia="黑体"/>
          <w:szCs w:val="21"/>
        </w:rPr>
        <w:t>项目联系人：                                      联系电话：</w:t>
      </w:r>
    </w:p>
    <w:p>
      <w:pPr>
        <w:spacing w:line="360" w:lineRule="auto"/>
        <w:rPr>
          <w:rFonts w:ascii="黑体" w:hAnsi="黑体" w:eastAsia="黑体"/>
          <w:szCs w:val="21"/>
        </w:rPr>
      </w:pPr>
      <w:r>
        <w:rPr>
          <w:rFonts w:ascii="黑体" w:hAnsi="黑体" w:eastAsia="黑体"/>
          <w:szCs w:val="21"/>
        </w:rPr>
        <w:t>乙方：</w:t>
      </w:r>
      <w:r>
        <w:rPr>
          <w:rFonts w:ascii="黑体" w:hAnsi="黑体" w:eastAsia="黑体"/>
          <w:szCs w:val="21"/>
          <w:u w:val="single"/>
        </w:rPr>
        <w:t xml:space="preserve">               </w:t>
      </w:r>
      <w:r>
        <w:rPr>
          <w:rFonts w:ascii="黑体" w:hAnsi="黑体" w:eastAsia="黑体"/>
          <w:szCs w:val="21"/>
        </w:rPr>
        <w:t xml:space="preserve">  </w:t>
      </w:r>
    </w:p>
    <w:p>
      <w:pPr>
        <w:spacing w:line="360" w:lineRule="auto"/>
        <w:rPr>
          <w:rFonts w:ascii="黑体" w:hAnsi="黑体" w:eastAsia="黑体"/>
          <w:szCs w:val="21"/>
        </w:rPr>
      </w:pPr>
      <w:r>
        <w:rPr>
          <w:rFonts w:ascii="黑体" w:hAnsi="黑体" w:eastAsia="黑体"/>
          <w:szCs w:val="21"/>
        </w:rPr>
        <w:t>项目联系人：                                      联系电话：</w:t>
      </w:r>
    </w:p>
    <w:p>
      <w:pPr>
        <w:spacing w:line="360" w:lineRule="auto"/>
        <w:ind w:firstLine="420"/>
        <w:rPr>
          <w:rFonts w:ascii="黑体" w:hAnsi="黑体" w:eastAsia="黑体"/>
          <w:szCs w:val="21"/>
        </w:rPr>
      </w:pPr>
      <w:r>
        <w:rPr>
          <w:rFonts w:ascii="黑体" w:hAnsi="黑体" w:eastAsia="黑体"/>
          <w:szCs w:val="21"/>
        </w:rPr>
        <w:t>受甲方委托，</w:t>
      </w:r>
      <w:r>
        <w:rPr>
          <w:rFonts w:ascii="黑体" w:hAnsi="黑体" w:eastAsia="黑体"/>
          <w:szCs w:val="21"/>
          <w:u w:val="single"/>
        </w:rPr>
        <w:t xml:space="preserve"> （</w:t>
      </w:r>
      <w:r>
        <w:rPr>
          <w:rFonts w:hint="eastAsia" w:ascii="黑体" w:hAnsi="黑体" w:eastAsia="黑体"/>
          <w:szCs w:val="21"/>
          <w:u w:val="single"/>
        </w:rPr>
        <w:t>广东有德招标采购有限公司</w:t>
      </w:r>
      <w:r>
        <w:rPr>
          <w:rFonts w:ascii="黑体" w:hAnsi="黑体" w:eastAsia="黑体"/>
          <w:szCs w:val="21"/>
          <w:u w:val="single"/>
        </w:rPr>
        <w:t>）</w:t>
      </w:r>
      <w:r>
        <w:rPr>
          <w:rFonts w:ascii="黑体" w:hAnsi="黑体" w:eastAsia="黑体"/>
          <w:szCs w:val="21"/>
        </w:rPr>
        <w:t>组织对</w:t>
      </w:r>
      <w:r>
        <w:rPr>
          <w:rFonts w:ascii="黑体" w:hAnsi="黑体" w:eastAsia="黑体"/>
          <w:szCs w:val="21"/>
          <w:u w:val="single"/>
        </w:rPr>
        <w:t xml:space="preserve">      </w:t>
      </w:r>
      <w:r>
        <w:rPr>
          <w:rFonts w:ascii="黑体" w:hAnsi="黑体" w:eastAsia="黑体"/>
          <w:szCs w:val="21"/>
        </w:rPr>
        <w:t>采购项目（采购编号：</w:t>
      </w:r>
      <w:r>
        <w:rPr>
          <w:rFonts w:ascii="黑体" w:hAnsi="黑体" w:eastAsia="黑体"/>
          <w:szCs w:val="21"/>
          <w:u w:val="single"/>
        </w:rPr>
        <w:t xml:space="preserve">     </w:t>
      </w:r>
      <w:r>
        <w:rPr>
          <w:rFonts w:ascii="黑体" w:hAnsi="黑体" w:eastAsia="黑体"/>
          <w:szCs w:val="21"/>
        </w:rPr>
        <w:t>）进行采购，于</w:t>
      </w:r>
      <w:r>
        <w:rPr>
          <w:rFonts w:ascii="黑体" w:hAnsi="黑体" w:eastAsia="黑体"/>
          <w:szCs w:val="21"/>
          <w:u w:val="single"/>
        </w:rPr>
        <w:t xml:space="preserve">   </w:t>
      </w:r>
      <w:r>
        <w:rPr>
          <w:rFonts w:ascii="黑体" w:hAnsi="黑体" w:eastAsia="黑体"/>
          <w:szCs w:val="21"/>
        </w:rPr>
        <w:t>年</w:t>
      </w:r>
      <w:r>
        <w:rPr>
          <w:rFonts w:ascii="黑体" w:hAnsi="黑体" w:eastAsia="黑体"/>
          <w:szCs w:val="21"/>
          <w:u w:val="single"/>
        </w:rPr>
        <w:t xml:space="preserve">  </w:t>
      </w:r>
      <w:r>
        <w:rPr>
          <w:rFonts w:ascii="黑体" w:hAnsi="黑体" w:eastAsia="黑体"/>
          <w:szCs w:val="21"/>
        </w:rPr>
        <w:t>月</w:t>
      </w:r>
      <w:r>
        <w:rPr>
          <w:rFonts w:ascii="黑体" w:hAnsi="黑体" w:eastAsia="黑体"/>
          <w:szCs w:val="21"/>
          <w:u w:val="single"/>
        </w:rPr>
        <w:t xml:space="preserve">  </w:t>
      </w:r>
      <w:r>
        <w:rPr>
          <w:rFonts w:ascii="黑体" w:hAnsi="黑体" w:eastAsia="黑体"/>
          <w:szCs w:val="21"/>
        </w:rPr>
        <w:t>日通过公开招标采购，经评标委员会评定乙方</w:t>
      </w:r>
      <w:r>
        <w:rPr>
          <w:rFonts w:ascii="黑体" w:hAnsi="黑体" w:eastAsia="黑体"/>
          <w:szCs w:val="21"/>
          <w:u w:val="single"/>
        </w:rPr>
        <w:t xml:space="preserve">      </w:t>
      </w:r>
      <w:r>
        <w:rPr>
          <w:rFonts w:ascii="黑体" w:hAnsi="黑体" w:eastAsia="黑体"/>
          <w:szCs w:val="21"/>
        </w:rPr>
        <w:t>为中标供应商。为了保护甲、乙双方合法权益，按照《中华人民共和国政府采购法》及其实施条例、《中华人民共和国民法典》的规定，经双方协商，本着平等互利和诚实信用的原则，一致同意签订本合同如下。</w:t>
      </w:r>
    </w:p>
    <w:p>
      <w:pPr>
        <w:spacing w:line="360" w:lineRule="auto"/>
        <w:rPr>
          <w:rFonts w:ascii="黑体" w:hAnsi="黑体" w:eastAsia="黑体"/>
          <w:szCs w:val="21"/>
        </w:rPr>
      </w:pPr>
      <w:r>
        <w:rPr>
          <w:rFonts w:ascii="黑体" w:hAnsi="黑体" w:eastAsia="黑体"/>
          <w:b/>
          <w:szCs w:val="21"/>
        </w:rPr>
        <w:t>一、合同项目</w:t>
      </w:r>
    </w:p>
    <w:p>
      <w:pPr>
        <w:spacing w:line="360" w:lineRule="auto"/>
        <w:rPr>
          <w:rFonts w:ascii="黑体" w:hAnsi="黑体" w:eastAsia="黑体"/>
          <w:szCs w:val="21"/>
        </w:rPr>
      </w:pPr>
      <w:r>
        <w:rPr>
          <w:rFonts w:ascii="黑体" w:hAnsi="黑体" w:eastAsia="黑体"/>
          <w:szCs w:val="21"/>
        </w:rPr>
        <w:t>1、乙方在投标书所列的设备的供应、安装、调试责任；</w:t>
      </w:r>
    </w:p>
    <w:p>
      <w:pPr>
        <w:spacing w:line="360" w:lineRule="auto"/>
        <w:rPr>
          <w:rFonts w:ascii="黑体" w:hAnsi="黑体" w:eastAsia="黑体"/>
          <w:szCs w:val="21"/>
        </w:rPr>
      </w:pPr>
      <w:r>
        <w:rPr>
          <w:rFonts w:ascii="黑体" w:hAnsi="黑体" w:eastAsia="黑体"/>
          <w:szCs w:val="21"/>
        </w:rPr>
        <w:t>2、乙方完成在投标书中所列的设备、服务的全部承诺；</w:t>
      </w:r>
    </w:p>
    <w:p>
      <w:pPr>
        <w:spacing w:line="360" w:lineRule="auto"/>
        <w:rPr>
          <w:rFonts w:ascii="黑体" w:hAnsi="黑体" w:eastAsia="黑体"/>
          <w:szCs w:val="21"/>
        </w:rPr>
      </w:pPr>
      <w:r>
        <w:rPr>
          <w:rFonts w:ascii="黑体" w:hAnsi="黑体" w:eastAsia="黑体"/>
          <w:szCs w:val="21"/>
        </w:rPr>
        <w:t>3、乙方在投标书中承诺的维护、保养服务；</w:t>
      </w:r>
    </w:p>
    <w:p>
      <w:pPr>
        <w:spacing w:line="360" w:lineRule="auto"/>
        <w:rPr>
          <w:rFonts w:ascii="黑体" w:hAnsi="黑体" w:eastAsia="黑体"/>
          <w:szCs w:val="21"/>
        </w:rPr>
      </w:pPr>
      <w:r>
        <w:rPr>
          <w:rFonts w:hint="eastAsia" w:ascii="黑体" w:hAnsi="黑体" w:eastAsia="黑体"/>
          <w:szCs w:val="21"/>
        </w:rPr>
        <w:t>4、设备需要无条件与我院新系统(包括但不限于:HIS、LIS、PACS、CDR平台、集成平台等等)进行数据双向传输对接，稳定传输，无缝对接，不得设置门槛另立项目增加费用，以达到互联互通的目的，并提供具体连接技术文档。同时未经医院允许，不得将设备系统数据，病人信息等资料进行外泄，不得采集医院数据进行商业或公司技术分析，数据所有权归属医院。</w:t>
      </w:r>
    </w:p>
    <w:p>
      <w:pPr>
        <w:spacing w:line="360" w:lineRule="auto"/>
        <w:rPr>
          <w:rFonts w:ascii="黑体" w:hAnsi="黑体" w:eastAsia="黑体"/>
          <w:szCs w:val="21"/>
        </w:rPr>
      </w:pPr>
      <w:r>
        <w:rPr>
          <w:rFonts w:hint="eastAsia" w:ascii="黑体" w:hAnsi="黑体" w:eastAsia="黑体"/>
          <w:szCs w:val="21"/>
        </w:rPr>
        <w:t>5</w:t>
      </w:r>
      <w:r>
        <w:rPr>
          <w:rFonts w:ascii="黑体" w:hAnsi="黑体" w:eastAsia="黑体"/>
          <w:szCs w:val="21"/>
        </w:rPr>
        <w:t>、乙方提供的设备验收日期与出厂日期间隔必须小于壹年。</w:t>
      </w:r>
    </w:p>
    <w:p>
      <w:pPr>
        <w:spacing w:line="360" w:lineRule="auto"/>
        <w:rPr>
          <w:rFonts w:ascii="黑体" w:hAnsi="黑体" w:eastAsia="黑体"/>
          <w:szCs w:val="21"/>
        </w:rPr>
      </w:pPr>
      <w:r>
        <w:rPr>
          <w:rFonts w:ascii="黑体" w:hAnsi="黑体" w:eastAsia="黑体"/>
          <w:b/>
          <w:szCs w:val="21"/>
        </w:rPr>
        <w:t xml:space="preserve">二、货物名称、品牌、型号、规格、制造商、数量及交货时间 </w:t>
      </w:r>
    </w:p>
    <w:tbl>
      <w:tblPr>
        <w:tblStyle w:val="2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9"/>
        <w:gridCol w:w="1237"/>
        <w:gridCol w:w="1060"/>
        <w:gridCol w:w="1060"/>
        <w:gridCol w:w="619"/>
        <w:gridCol w:w="530"/>
        <w:gridCol w:w="884"/>
        <w:gridCol w:w="1149"/>
        <w:gridCol w:w="11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序号</w:t>
            </w:r>
          </w:p>
        </w:tc>
        <w:tc>
          <w:tcPr>
            <w:tcW w:w="1237" w:type="dxa"/>
            <w:tcBorders>
              <w:top w:val="single" w:color="000000" w:sz="4" w:space="0"/>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货物名称</w:t>
            </w:r>
          </w:p>
        </w:tc>
        <w:tc>
          <w:tcPr>
            <w:tcW w:w="1060" w:type="dxa"/>
            <w:tcBorders>
              <w:top w:val="single" w:color="000000" w:sz="4" w:space="0"/>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型号规格</w:t>
            </w:r>
          </w:p>
        </w:tc>
        <w:tc>
          <w:tcPr>
            <w:tcW w:w="1060" w:type="dxa"/>
            <w:tcBorders>
              <w:top w:val="single" w:color="000000" w:sz="4" w:space="0"/>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制造商</w:t>
            </w:r>
          </w:p>
        </w:tc>
        <w:tc>
          <w:tcPr>
            <w:tcW w:w="619" w:type="dxa"/>
            <w:tcBorders>
              <w:top w:val="single" w:color="000000" w:sz="4" w:space="0"/>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单位</w:t>
            </w:r>
          </w:p>
        </w:tc>
        <w:tc>
          <w:tcPr>
            <w:tcW w:w="530" w:type="dxa"/>
            <w:tcBorders>
              <w:top w:val="single" w:color="000000" w:sz="4" w:space="0"/>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数量</w:t>
            </w:r>
          </w:p>
        </w:tc>
        <w:tc>
          <w:tcPr>
            <w:tcW w:w="884" w:type="dxa"/>
            <w:tcBorders>
              <w:top w:val="single" w:color="000000" w:sz="4" w:space="0"/>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单价</w:t>
            </w:r>
          </w:p>
        </w:tc>
        <w:tc>
          <w:tcPr>
            <w:tcW w:w="1149" w:type="dxa"/>
            <w:tcBorders>
              <w:top w:val="single" w:color="000000" w:sz="4" w:space="0"/>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金额</w:t>
            </w:r>
          </w:p>
        </w:tc>
        <w:tc>
          <w:tcPr>
            <w:tcW w:w="1149" w:type="dxa"/>
            <w:tcBorders>
              <w:top w:val="single" w:color="000000" w:sz="4" w:space="0"/>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b/>
                <w:szCs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szCs w:val="21"/>
              </w:rPr>
              <w:t>1</w:t>
            </w:r>
          </w:p>
        </w:tc>
        <w:tc>
          <w:tcPr>
            <w:tcW w:w="1237"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06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06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61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53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884"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Pr>
          <w:p>
            <w:pPr>
              <w:spacing w:line="360" w:lineRule="auto"/>
              <w:jc w:val="center"/>
              <w:rPr>
                <w:rFonts w:ascii="黑体" w:hAnsi="黑体" w:eastAsia="黑体"/>
                <w:szCs w:val="21"/>
              </w:rPr>
            </w:pPr>
            <w:r>
              <w:rPr>
                <w:rFonts w:hint="eastAsia" w:ascii="黑体" w:hAnsi="黑体" w:eastAsia="黑体"/>
                <w:szCs w:val="21"/>
              </w:rPr>
              <w:t>2</w:t>
            </w:r>
          </w:p>
        </w:tc>
        <w:tc>
          <w:tcPr>
            <w:tcW w:w="1237"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06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06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61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53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884"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Pr>
          <w:p>
            <w:pPr>
              <w:spacing w:line="360" w:lineRule="auto"/>
              <w:jc w:val="center"/>
              <w:rPr>
                <w:rFonts w:ascii="黑体" w:hAnsi="黑体" w:eastAsia="黑体"/>
                <w:szCs w:val="21"/>
              </w:rPr>
            </w:pPr>
            <w:r>
              <w:rPr>
                <w:rFonts w:hint="eastAsia" w:ascii="黑体" w:hAnsi="黑体" w:eastAsia="黑体"/>
                <w:szCs w:val="21"/>
              </w:rPr>
              <w:t>3</w:t>
            </w:r>
          </w:p>
        </w:tc>
        <w:tc>
          <w:tcPr>
            <w:tcW w:w="1237"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06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06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61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53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884"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Pr>
          <w:p>
            <w:pPr>
              <w:spacing w:line="360" w:lineRule="auto"/>
              <w:jc w:val="center"/>
              <w:rPr>
                <w:rFonts w:ascii="黑体" w:hAnsi="黑体" w:eastAsia="黑体"/>
                <w:szCs w:val="21"/>
              </w:rPr>
            </w:pPr>
            <w:r>
              <w:rPr>
                <w:rFonts w:hint="eastAsia" w:ascii="黑体" w:hAnsi="黑体" w:eastAsia="黑体"/>
                <w:szCs w:val="21"/>
              </w:rPr>
              <w:t>4</w:t>
            </w:r>
          </w:p>
        </w:tc>
        <w:tc>
          <w:tcPr>
            <w:tcW w:w="1237"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06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06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61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530"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884"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Pr>
          <w:p>
            <w:pPr>
              <w:spacing w:line="360" w:lineRule="auto"/>
              <w:jc w:val="center"/>
              <w:rPr>
                <w:rFonts w:ascii="黑体" w:hAnsi="黑体" w:eastAsia="黑体"/>
                <w:szCs w:val="21"/>
              </w:rPr>
            </w:pPr>
          </w:p>
        </w:tc>
        <w:tc>
          <w:tcPr>
            <w:tcW w:w="4506" w:type="dxa"/>
            <w:gridSpan w:val="5"/>
            <w:tcBorders>
              <w:top w:val="nil"/>
              <w:left w:val="nil"/>
              <w:bottom w:val="single" w:color="000000" w:sz="4" w:space="0"/>
              <w:right w:val="single" w:color="000000" w:sz="4" w:space="0"/>
            </w:tcBorders>
          </w:tcPr>
          <w:p>
            <w:pPr>
              <w:spacing w:line="360" w:lineRule="auto"/>
              <w:jc w:val="center"/>
              <w:rPr>
                <w:rFonts w:ascii="黑体" w:hAnsi="黑体" w:eastAsia="黑体"/>
                <w:szCs w:val="21"/>
              </w:rPr>
            </w:pPr>
            <w:r>
              <w:rPr>
                <w:rFonts w:ascii="黑体" w:hAnsi="黑体" w:eastAsia="黑体"/>
                <w:szCs w:val="21"/>
              </w:rPr>
              <w:t>金额合计</w:t>
            </w:r>
          </w:p>
        </w:tc>
        <w:tc>
          <w:tcPr>
            <w:tcW w:w="2033" w:type="dxa"/>
            <w:gridSpan w:val="2"/>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c>
          <w:tcPr>
            <w:tcW w:w="1149" w:type="dxa"/>
            <w:tcBorders>
              <w:top w:val="nil"/>
              <w:left w:val="nil"/>
              <w:bottom w:val="single" w:color="000000" w:sz="4" w:space="0"/>
              <w:right w:val="single" w:color="000000" w:sz="4" w:space="0"/>
            </w:tcBorders>
          </w:tcPr>
          <w:p>
            <w:pPr>
              <w:spacing w:line="360" w:lineRule="auto"/>
              <w:jc w:val="center"/>
              <w:rPr>
                <w:rFonts w:ascii="黑体" w:hAnsi="黑体" w:eastAsia="黑体"/>
                <w:szCs w:val="21"/>
              </w:rPr>
            </w:pPr>
          </w:p>
        </w:tc>
      </w:tr>
    </w:tbl>
    <w:p>
      <w:pPr>
        <w:spacing w:line="360" w:lineRule="auto"/>
        <w:rPr>
          <w:rFonts w:ascii="黑体" w:hAnsi="黑体" w:eastAsia="黑体"/>
          <w:szCs w:val="21"/>
        </w:rPr>
      </w:pPr>
      <w:r>
        <w:rPr>
          <w:rFonts w:ascii="黑体" w:hAnsi="黑体" w:eastAsia="黑体"/>
          <w:b/>
          <w:szCs w:val="21"/>
        </w:rPr>
        <w:t>三、价格</w:t>
      </w:r>
    </w:p>
    <w:p>
      <w:pPr>
        <w:spacing w:line="360" w:lineRule="auto"/>
        <w:rPr>
          <w:rFonts w:ascii="黑体" w:hAnsi="黑体" w:eastAsia="黑体"/>
          <w:szCs w:val="21"/>
        </w:rPr>
      </w:pPr>
      <w:r>
        <w:rPr>
          <w:rFonts w:ascii="黑体" w:hAnsi="黑体" w:eastAsia="黑体"/>
          <w:szCs w:val="21"/>
        </w:rPr>
        <w:t>1、合同总价：</w:t>
      </w:r>
    </w:p>
    <w:p>
      <w:pPr>
        <w:spacing w:line="360" w:lineRule="auto"/>
        <w:rPr>
          <w:rFonts w:ascii="黑体" w:hAnsi="黑体" w:eastAsia="黑体"/>
          <w:szCs w:val="21"/>
        </w:rPr>
      </w:pPr>
      <w:r>
        <w:rPr>
          <w:rFonts w:ascii="黑体" w:hAnsi="黑体" w:eastAsia="黑体"/>
          <w:szCs w:val="21"/>
        </w:rPr>
        <w:t>（人民币）大写</w:t>
      </w:r>
      <w:r>
        <w:rPr>
          <w:rFonts w:ascii="黑体" w:hAnsi="黑体" w:eastAsia="黑体"/>
          <w:szCs w:val="21"/>
          <w:u w:val="single"/>
        </w:rPr>
        <w:t xml:space="preserve">        </w:t>
      </w:r>
      <w:r>
        <w:rPr>
          <w:rFonts w:ascii="黑体" w:hAnsi="黑体" w:eastAsia="黑体"/>
          <w:szCs w:val="21"/>
        </w:rPr>
        <w:t>（</w:t>
      </w:r>
      <w:r>
        <w:rPr>
          <w:rFonts w:ascii="Calibri" w:hAnsi="Calibri" w:eastAsia="黑体" w:cs="Calibri"/>
          <w:szCs w:val="21"/>
        </w:rPr>
        <w:t>¥</w:t>
      </w:r>
      <w:r>
        <w:rPr>
          <w:rFonts w:ascii="黑体" w:hAnsi="黑体" w:eastAsia="黑体"/>
          <w:szCs w:val="21"/>
          <w:u w:val="single"/>
        </w:rPr>
        <w:t xml:space="preserve">     </w:t>
      </w:r>
      <w:r>
        <w:rPr>
          <w:rFonts w:ascii="黑体" w:hAnsi="黑体" w:eastAsia="黑体"/>
          <w:szCs w:val="21"/>
        </w:rPr>
        <w:t>）。</w:t>
      </w:r>
    </w:p>
    <w:p>
      <w:pPr>
        <w:spacing w:line="360" w:lineRule="auto"/>
        <w:rPr>
          <w:rFonts w:ascii="黑体" w:hAnsi="黑体" w:eastAsia="黑体"/>
          <w:szCs w:val="21"/>
        </w:rPr>
      </w:pPr>
      <w:r>
        <w:rPr>
          <w:rFonts w:ascii="黑体" w:hAnsi="黑体" w:eastAsia="黑体"/>
          <w:szCs w:val="21"/>
        </w:rPr>
        <w:t>2、总价包括了货物及其附件的设计、采购、制造、检测、试验、运输、保险、现场仓储、税费（含进口关税、增值税等）以及安装调试、软件、验收、培训、技术服务（包括技术资料、图纸的提供）、保修期保障等相关服务的全部费用。</w:t>
      </w:r>
    </w:p>
    <w:p>
      <w:pPr>
        <w:spacing w:line="360" w:lineRule="auto"/>
        <w:rPr>
          <w:rFonts w:ascii="黑体" w:hAnsi="黑体" w:eastAsia="黑体"/>
          <w:szCs w:val="21"/>
        </w:rPr>
      </w:pPr>
      <w:r>
        <w:rPr>
          <w:rFonts w:ascii="黑体" w:hAnsi="黑体" w:eastAsia="黑体"/>
          <w:szCs w:val="21"/>
        </w:rPr>
        <w:t>3、本合同价为固定不变价。</w:t>
      </w:r>
    </w:p>
    <w:p>
      <w:pPr>
        <w:spacing w:line="360" w:lineRule="auto"/>
        <w:rPr>
          <w:rFonts w:ascii="黑体" w:hAnsi="黑体" w:eastAsia="黑体"/>
          <w:szCs w:val="21"/>
        </w:rPr>
      </w:pPr>
      <w:r>
        <w:rPr>
          <w:rFonts w:ascii="黑体" w:hAnsi="黑体" w:eastAsia="黑体"/>
          <w:b/>
          <w:szCs w:val="21"/>
        </w:rPr>
        <w:t>四、货物产地及标准</w:t>
      </w:r>
    </w:p>
    <w:p>
      <w:pPr>
        <w:spacing w:line="360" w:lineRule="auto"/>
        <w:rPr>
          <w:rFonts w:ascii="黑体" w:hAnsi="黑体" w:eastAsia="黑体"/>
          <w:szCs w:val="21"/>
        </w:rPr>
      </w:pPr>
      <w:r>
        <w:rPr>
          <w:rFonts w:ascii="黑体" w:hAnsi="黑体" w:eastAsia="黑体"/>
          <w:szCs w:val="21"/>
        </w:rPr>
        <w:t>1、货物为</w:t>
      </w:r>
      <w:r>
        <w:rPr>
          <w:rFonts w:ascii="黑体" w:hAnsi="黑体" w:eastAsia="黑体"/>
          <w:szCs w:val="21"/>
          <w:u w:val="single"/>
        </w:rPr>
        <w:t xml:space="preserve">           </w:t>
      </w:r>
      <w:r>
        <w:rPr>
          <w:rFonts w:ascii="黑体" w:hAnsi="黑体" w:eastAsia="黑体"/>
          <w:szCs w:val="21"/>
        </w:rPr>
        <w:t>（填写制造商名称）全新的（原装）</w:t>
      </w:r>
      <w:r>
        <w:rPr>
          <w:rFonts w:ascii="黑体" w:hAnsi="黑体" w:eastAsia="黑体"/>
          <w:szCs w:val="21"/>
          <w:u w:val="single"/>
        </w:rPr>
        <w:t xml:space="preserve">       </w:t>
      </w:r>
      <w:r>
        <w:rPr>
          <w:rFonts w:ascii="黑体" w:hAnsi="黑体" w:eastAsia="黑体"/>
          <w:szCs w:val="21"/>
        </w:rPr>
        <w:t>（含零部件、配件、随机工具等），表面无划伤、无碰撞。</w:t>
      </w:r>
    </w:p>
    <w:p>
      <w:pPr>
        <w:spacing w:line="360" w:lineRule="auto"/>
        <w:rPr>
          <w:rFonts w:ascii="黑体" w:hAnsi="黑体" w:eastAsia="黑体"/>
          <w:szCs w:val="21"/>
        </w:rPr>
      </w:pPr>
      <w:r>
        <w:rPr>
          <w:rFonts w:ascii="黑体" w:hAnsi="黑体" w:eastAsia="黑体"/>
          <w:szCs w:val="21"/>
        </w:rPr>
        <w:t>2、标准</w:t>
      </w:r>
    </w:p>
    <w:p>
      <w:pPr>
        <w:spacing w:line="360" w:lineRule="auto"/>
        <w:ind w:firstLine="420"/>
        <w:rPr>
          <w:rFonts w:ascii="黑体" w:hAnsi="黑体" w:eastAsia="黑体"/>
          <w:szCs w:val="21"/>
        </w:rPr>
      </w:pPr>
      <w:r>
        <w:rPr>
          <w:rFonts w:ascii="黑体" w:hAnsi="黑体" w:eastAsia="黑体"/>
          <w:szCs w:val="21"/>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360" w:lineRule="auto"/>
        <w:rPr>
          <w:rFonts w:ascii="黑体" w:hAnsi="黑体" w:eastAsia="黑体"/>
          <w:szCs w:val="21"/>
        </w:rPr>
      </w:pPr>
      <w:r>
        <w:rPr>
          <w:rFonts w:ascii="黑体" w:hAnsi="黑体" w:eastAsia="黑体"/>
          <w:szCs w:val="21"/>
        </w:rPr>
        <w:t>3、进口产品必须具备原产地证明和商检局的检验证明及合法进货渠道证明。</w:t>
      </w:r>
    </w:p>
    <w:p>
      <w:pPr>
        <w:spacing w:line="360" w:lineRule="auto"/>
        <w:rPr>
          <w:rFonts w:ascii="黑体" w:hAnsi="黑体" w:eastAsia="黑体"/>
          <w:szCs w:val="21"/>
        </w:rPr>
      </w:pPr>
      <w:r>
        <w:rPr>
          <w:rFonts w:ascii="黑体" w:hAnsi="黑体" w:eastAsia="黑体"/>
          <w:szCs w:val="21"/>
        </w:rPr>
        <w:t>4、国内产品或合资厂的产品必须具备出厂合格证。</w:t>
      </w:r>
    </w:p>
    <w:p>
      <w:pPr>
        <w:spacing w:line="360" w:lineRule="auto"/>
        <w:rPr>
          <w:rFonts w:ascii="黑体" w:hAnsi="黑体" w:eastAsia="黑体"/>
          <w:szCs w:val="21"/>
        </w:rPr>
      </w:pPr>
      <w:r>
        <w:rPr>
          <w:rFonts w:ascii="黑体" w:hAnsi="黑体" w:eastAsia="黑体"/>
          <w:szCs w:val="21"/>
        </w:rPr>
        <w:t>5、乙方应将所供物品的用户手册、保修手册、有关资料及配件、随机工具等交付给甲方。</w:t>
      </w:r>
    </w:p>
    <w:p>
      <w:pPr>
        <w:spacing w:line="360" w:lineRule="auto"/>
        <w:rPr>
          <w:rFonts w:ascii="黑体" w:hAnsi="黑体" w:eastAsia="黑体"/>
          <w:szCs w:val="21"/>
        </w:rPr>
      </w:pPr>
      <w:r>
        <w:rPr>
          <w:rFonts w:ascii="黑体" w:hAnsi="黑体" w:eastAsia="黑体"/>
          <w:b/>
          <w:szCs w:val="21"/>
        </w:rPr>
        <w:t>五、交货</w:t>
      </w:r>
    </w:p>
    <w:p>
      <w:pPr>
        <w:spacing w:line="360" w:lineRule="auto"/>
        <w:rPr>
          <w:rFonts w:ascii="黑体" w:hAnsi="黑体" w:eastAsia="黑体"/>
          <w:szCs w:val="21"/>
        </w:rPr>
      </w:pPr>
      <w:r>
        <w:rPr>
          <w:rFonts w:ascii="黑体" w:hAnsi="黑体" w:eastAsia="黑体"/>
          <w:szCs w:val="21"/>
        </w:rPr>
        <w:t>1、乙方在合同签订后</w:t>
      </w:r>
      <w:r>
        <w:rPr>
          <w:rFonts w:ascii="黑体" w:hAnsi="黑体" w:eastAsia="黑体"/>
          <w:szCs w:val="21"/>
          <w:u w:val="single"/>
        </w:rPr>
        <w:t xml:space="preserve">   </w:t>
      </w:r>
      <w:r>
        <w:rPr>
          <w:rFonts w:ascii="黑体" w:hAnsi="黑体" w:eastAsia="黑体"/>
          <w:szCs w:val="21"/>
        </w:rPr>
        <w:t>天内交货，并负责货物的安装并交付使用、承担相应费用。</w:t>
      </w:r>
    </w:p>
    <w:p>
      <w:pPr>
        <w:spacing w:line="360" w:lineRule="auto"/>
        <w:rPr>
          <w:rFonts w:ascii="黑体" w:hAnsi="黑体" w:eastAsia="黑体"/>
          <w:szCs w:val="21"/>
        </w:rPr>
      </w:pPr>
      <w:r>
        <w:rPr>
          <w:rFonts w:ascii="黑体" w:hAnsi="黑体" w:eastAsia="黑体"/>
          <w:szCs w:val="21"/>
        </w:rPr>
        <w:t>2、交货地点：用户指定地点</w:t>
      </w:r>
    </w:p>
    <w:p>
      <w:pPr>
        <w:spacing w:line="360" w:lineRule="auto"/>
        <w:rPr>
          <w:rFonts w:ascii="黑体" w:hAnsi="黑体" w:eastAsia="黑体"/>
          <w:szCs w:val="21"/>
        </w:rPr>
      </w:pPr>
      <w:r>
        <w:rPr>
          <w:rFonts w:ascii="黑体" w:hAnsi="黑体" w:eastAsia="黑体"/>
          <w:szCs w:val="21"/>
        </w:rPr>
        <w:t>3、货物毁损、灭失风险自验收合格之日起转移。</w:t>
      </w:r>
    </w:p>
    <w:p>
      <w:pPr>
        <w:spacing w:line="360" w:lineRule="auto"/>
        <w:rPr>
          <w:rFonts w:ascii="黑体" w:hAnsi="黑体" w:eastAsia="黑体"/>
          <w:szCs w:val="21"/>
        </w:rPr>
      </w:pPr>
      <w:r>
        <w:rPr>
          <w:rFonts w:ascii="黑体" w:hAnsi="黑体" w:eastAsia="黑体"/>
          <w:szCs w:val="21"/>
        </w:rPr>
        <w:t>4、甲方在货物签收后7个工作日内可向乙方提出数量异议。</w:t>
      </w:r>
    </w:p>
    <w:p>
      <w:pPr>
        <w:spacing w:line="360" w:lineRule="auto"/>
        <w:rPr>
          <w:rFonts w:ascii="黑体" w:hAnsi="黑体" w:eastAsia="黑体"/>
          <w:szCs w:val="21"/>
        </w:rPr>
      </w:pPr>
      <w:r>
        <w:rPr>
          <w:rFonts w:ascii="黑体" w:hAnsi="黑体" w:eastAsia="黑体"/>
          <w:b/>
          <w:szCs w:val="21"/>
        </w:rPr>
        <w:t>六、包装</w:t>
      </w:r>
    </w:p>
    <w:p>
      <w:pPr>
        <w:spacing w:line="360" w:lineRule="auto"/>
        <w:rPr>
          <w:rFonts w:ascii="黑体" w:hAnsi="黑体" w:eastAsia="黑体"/>
          <w:szCs w:val="21"/>
        </w:rPr>
      </w:pPr>
      <w:r>
        <w:rPr>
          <w:rFonts w:ascii="黑体" w:hAnsi="黑体" w:eastAsia="黑体"/>
          <w:szCs w:val="21"/>
        </w:rPr>
        <w:t>1、乙方所供货物应为制造商原装出厂，包装箱号与设备出厂批号一致。</w:t>
      </w:r>
    </w:p>
    <w:p>
      <w:pPr>
        <w:spacing w:line="360" w:lineRule="auto"/>
        <w:rPr>
          <w:rFonts w:ascii="黑体" w:hAnsi="黑体" w:eastAsia="黑体"/>
          <w:szCs w:val="21"/>
        </w:rPr>
      </w:pPr>
      <w:r>
        <w:rPr>
          <w:rFonts w:ascii="黑体" w:hAnsi="黑体" w:eastAsia="黑体"/>
          <w:szCs w:val="21"/>
        </w:rPr>
        <w:t>2、乙方应提供货物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w:t>
      </w:r>
    </w:p>
    <w:p>
      <w:pPr>
        <w:spacing w:line="360" w:lineRule="auto"/>
        <w:rPr>
          <w:rFonts w:ascii="黑体" w:hAnsi="黑体" w:eastAsia="黑体"/>
          <w:szCs w:val="21"/>
        </w:rPr>
      </w:pPr>
      <w:r>
        <w:rPr>
          <w:rFonts w:ascii="黑体" w:hAnsi="黑体" w:eastAsia="黑体"/>
          <w:b/>
          <w:szCs w:val="21"/>
        </w:rPr>
        <w:t>七、索赔</w:t>
      </w:r>
    </w:p>
    <w:p>
      <w:pPr>
        <w:spacing w:line="360" w:lineRule="auto"/>
        <w:ind w:firstLine="420"/>
        <w:rPr>
          <w:rFonts w:ascii="黑体" w:hAnsi="黑体" w:eastAsia="黑体"/>
          <w:szCs w:val="21"/>
        </w:rPr>
      </w:pPr>
      <w:r>
        <w:rPr>
          <w:rFonts w:ascii="黑体" w:hAnsi="黑体" w:eastAsia="黑体"/>
          <w:szCs w:val="21"/>
        </w:rPr>
        <w:t>设备在安装调试后未能达到乙方在投标书中所承诺的效果，经乙方调试三次以上仍未能达到投标书中要求的效果，甲方有权提出索赔，并可由下列方式之一解决：</w:t>
      </w:r>
    </w:p>
    <w:p>
      <w:pPr>
        <w:spacing w:line="360" w:lineRule="auto"/>
        <w:rPr>
          <w:rFonts w:ascii="黑体" w:hAnsi="黑体" w:eastAsia="黑体"/>
          <w:szCs w:val="21"/>
        </w:rPr>
      </w:pPr>
      <w:r>
        <w:rPr>
          <w:rFonts w:ascii="黑体" w:hAnsi="黑体" w:eastAsia="黑体"/>
          <w:szCs w:val="21"/>
        </w:rPr>
        <w:t>1、若仍未能达到投标书中要求的效果，甲方有权单方终止合同，所发生的费用由乙方自行解决；</w:t>
      </w:r>
    </w:p>
    <w:p>
      <w:pPr>
        <w:spacing w:line="360" w:lineRule="auto"/>
        <w:rPr>
          <w:rFonts w:ascii="黑体" w:hAnsi="黑体" w:eastAsia="黑体"/>
          <w:szCs w:val="21"/>
        </w:rPr>
      </w:pPr>
      <w:r>
        <w:rPr>
          <w:rFonts w:ascii="黑体" w:hAnsi="黑体" w:eastAsia="黑体"/>
          <w:szCs w:val="21"/>
        </w:rPr>
        <w:t>2、由乙方收回该货物的全套设备，所发生的费用由甲方在乙方履约保证金中扣除。</w:t>
      </w:r>
    </w:p>
    <w:p>
      <w:pPr>
        <w:spacing w:line="360" w:lineRule="auto"/>
        <w:rPr>
          <w:rFonts w:ascii="黑体" w:hAnsi="黑体" w:eastAsia="黑体"/>
          <w:szCs w:val="21"/>
        </w:rPr>
      </w:pPr>
      <w:r>
        <w:rPr>
          <w:rFonts w:ascii="黑体" w:hAnsi="黑体" w:eastAsia="黑体"/>
          <w:b/>
          <w:szCs w:val="21"/>
        </w:rPr>
        <w:t>八、付款方式和条件</w:t>
      </w:r>
    </w:p>
    <w:p>
      <w:pPr>
        <w:spacing w:line="360" w:lineRule="auto"/>
        <w:rPr>
          <w:rFonts w:ascii="黑体" w:hAnsi="黑体" w:eastAsia="黑体"/>
          <w:szCs w:val="21"/>
        </w:rPr>
      </w:pPr>
      <w:r>
        <w:rPr>
          <w:rFonts w:ascii="黑体" w:hAnsi="黑体" w:eastAsia="黑体"/>
          <w:szCs w:val="21"/>
        </w:rPr>
        <w:t>1、签订合同之日起30天内支付第一期款项为合同金额的50%；</w:t>
      </w:r>
    </w:p>
    <w:p>
      <w:pPr>
        <w:spacing w:line="360" w:lineRule="auto"/>
        <w:rPr>
          <w:rFonts w:ascii="黑体" w:hAnsi="黑体" w:eastAsia="黑体"/>
          <w:szCs w:val="21"/>
        </w:rPr>
      </w:pPr>
      <w:r>
        <w:rPr>
          <w:rFonts w:ascii="黑体" w:hAnsi="黑体" w:eastAsia="黑体"/>
          <w:szCs w:val="21"/>
        </w:rPr>
        <w:t>2、安装验收合格后，30天内支付第二期款项为合同金额的50%。</w:t>
      </w:r>
    </w:p>
    <w:p>
      <w:pPr>
        <w:spacing w:line="360" w:lineRule="auto"/>
        <w:rPr>
          <w:rFonts w:ascii="黑体" w:hAnsi="黑体" w:eastAsia="黑体"/>
          <w:szCs w:val="21"/>
        </w:rPr>
      </w:pPr>
      <w:r>
        <w:rPr>
          <w:rFonts w:ascii="黑体" w:hAnsi="黑体" w:eastAsia="黑体"/>
          <w:szCs w:val="21"/>
        </w:rPr>
        <w:t>3、中标人凭以下资料与采购人结算：</w:t>
      </w:r>
    </w:p>
    <w:p>
      <w:pPr>
        <w:spacing w:line="360" w:lineRule="auto"/>
        <w:rPr>
          <w:rFonts w:ascii="黑体" w:hAnsi="黑体" w:eastAsia="黑体"/>
          <w:szCs w:val="21"/>
        </w:rPr>
      </w:pPr>
      <w:r>
        <w:rPr>
          <w:rFonts w:ascii="黑体" w:hAnsi="黑体" w:eastAsia="黑体"/>
          <w:szCs w:val="21"/>
        </w:rPr>
        <w:t>（1）合同；</w:t>
      </w:r>
    </w:p>
    <w:p>
      <w:pPr>
        <w:spacing w:line="360" w:lineRule="auto"/>
        <w:rPr>
          <w:rFonts w:ascii="黑体" w:hAnsi="黑体" w:eastAsia="黑体"/>
          <w:szCs w:val="21"/>
        </w:rPr>
      </w:pPr>
      <w:r>
        <w:rPr>
          <w:rFonts w:ascii="黑体" w:hAnsi="黑体" w:eastAsia="黑体"/>
          <w:szCs w:val="21"/>
        </w:rPr>
        <w:t>（2）中标人开具的全额正式发票（如中标人未按采购人要求开具发票，付款期限相应顺延）；</w:t>
      </w:r>
    </w:p>
    <w:p>
      <w:pPr>
        <w:spacing w:line="360" w:lineRule="auto"/>
        <w:rPr>
          <w:rFonts w:ascii="黑体" w:hAnsi="黑体" w:eastAsia="黑体"/>
          <w:szCs w:val="21"/>
        </w:rPr>
      </w:pPr>
      <w:r>
        <w:rPr>
          <w:rFonts w:ascii="黑体" w:hAnsi="黑体" w:eastAsia="黑体"/>
          <w:szCs w:val="21"/>
        </w:rPr>
        <w:t>（3）经双方签名确认后的验收合格报告。</w:t>
      </w:r>
    </w:p>
    <w:p>
      <w:pPr>
        <w:spacing w:line="360" w:lineRule="auto"/>
        <w:rPr>
          <w:rFonts w:ascii="黑体" w:hAnsi="黑体" w:eastAsia="黑体"/>
          <w:szCs w:val="21"/>
        </w:rPr>
      </w:pPr>
      <w:r>
        <w:rPr>
          <w:rFonts w:ascii="黑体" w:hAnsi="黑体" w:eastAsia="黑体"/>
          <w:szCs w:val="21"/>
        </w:rPr>
        <w:t>4、中标人在保修期内如有违约行为的，经双方协商进行赔偿。双方协商未成，中标人须根据第三方评估的损失结果，向采购人进行赔偿。</w:t>
      </w:r>
    </w:p>
    <w:p>
      <w:pPr>
        <w:spacing w:line="360" w:lineRule="auto"/>
        <w:rPr>
          <w:rFonts w:ascii="黑体" w:hAnsi="黑体" w:eastAsia="黑体"/>
          <w:szCs w:val="21"/>
        </w:rPr>
      </w:pPr>
      <w:r>
        <w:rPr>
          <w:rFonts w:ascii="黑体" w:hAnsi="黑体" w:eastAsia="黑体"/>
          <w:szCs w:val="21"/>
        </w:rPr>
        <w:t>5、甲方的付款能力与时间决定于政府财政，如因财政原因未能履行付款义务，乙方同意甲方付款义务自条件具备时履行，甲方不负违约责任。</w:t>
      </w:r>
    </w:p>
    <w:p>
      <w:pPr>
        <w:spacing w:line="360" w:lineRule="auto"/>
        <w:rPr>
          <w:rFonts w:ascii="黑体" w:hAnsi="黑体" w:eastAsia="黑体"/>
          <w:szCs w:val="21"/>
        </w:rPr>
      </w:pPr>
      <w:r>
        <w:rPr>
          <w:rFonts w:ascii="黑体" w:hAnsi="黑体" w:eastAsia="黑体"/>
          <w:b/>
          <w:szCs w:val="21"/>
        </w:rPr>
        <w:t>九、其他服务</w:t>
      </w:r>
    </w:p>
    <w:p>
      <w:pPr>
        <w:spacing w:line="360" w:lineRule="auto"/>
        <w:ind w:firstLine="420"/>
        <w:rPr>
          <w:rFonts w:ascii="黑体" w:hAnsi="黑体" w:eastAsia="黑体"/>
          <w:szCs w:val="21"/>
        </w:rPr>
      </w:pPr>
      <w:r>
        <w:rPr>
          <w:rFonts w:ascii="黑体" w:hAnsi="黑体" w:eastAsia="黑体"/>
          <w:szCs w:val="21"/>
        </w:rPr>
        <w:t>乙方为甲方提供下述免费服务：</w:t>
      </w:r>
    </w:p>
    <w:p>
      <w:pPr>
        <w:spacing w:line="360" w:lineRule="auto"/>
        <w:rPr>
          <w:rFonts w:ascii="黑体" w:hAnsi="黑体" w:eastAsia="黑体"/>
          <w:szCs w:val="21"/>
        </w:rPr>
      </w:pPr>
      <w:r>
        <w:rPr>
          <w:rFonts w:ascii="黑体" w:hAnsi="黑体" w:eastAsia="黑体"/>
          <w:szCs w:val="21"/>
        </w:rPr>
        <w:t>1、提供各分项货物所必需的维修工具；</w:t>
      </w:r>
    </w:p>
    <w:p>
      <w:pPr>
        <w:spacing w:line="360" w:lineRule="auto"/>
        <w:rPr>
          <w:rFonts w:ascii="黑体" w:hAnsi="黑体" w:eastAsia="黑体"/>
          <w:szCs w:val="21"/>
        </w:rPr>
      </w:pPr>
      <w:r>
        <w:rPr>
          <w:rFonts w:ascii="黑体" w:hAnsi="黑体" w:eastAsia="黑体"/>
          <w:szCs w:val="21"/>
        </w:rPr>
        <w:t>2、提供各分项货物的操作、维护手册；</w:t>
      </w:r>
    </w:p>
    <w:p>
      <w:pPr>
        <w:spacing w:line="360" w:lineRule="auto"/>
        <w:rPr>
          <w:rFonts w:ascii="黑体" w:hAnsi="黑体" w:eastAsia="黑体"/>
          <w:szCs w:val="21"/>
        </w:rPr>
      </w:pPr>
      <w:r>
        <w:rPr>
          <w:rFonts w:ascii="黑体" w:hAnsi="黑体" w:eastAsia="黑体"/>
          <w:szCs w:val="21"/>
        </w:rPr>
        <w:t>3、为甲方培训操作维护人员；</w:t>
      </w:r>
    </w:p>
    <w:p>
      <w:pPr>
        <w:spacing w:line="360" w:lineRule="auto"/>
        <w:rPr>
          <w:rFonts w:ascii="黑体" w:hAnsi="黑体" w:eastAsia="黑体"/>
          <w:szCs w:val="21"/>
        </w:rPr>
      </w:pPr>
      <w:r>
        <w:rPr>
          <w:rFonts w:ascii="黑体" w:hAnsi="黑体" w:eastAsia="黑体"/>
          <w:szCs w:val="21"/>
        </w:rPr>
        <w:t>4、凡设置了权限的产品，必须向甲方提供密码。</w:t>
      </w:r>
    </w:p>
    <w:p>
      <w:pPr>
        <w:spacing w:line="360" w:lineRule="auto"/>
        <w:rPr>
          <w:rFonts w:ascii="黑体" w:hAnsi="黑体" w:eastAsia="黑体"/>
          <w:szCs w:val="21"/>
        </w:rPr>
      </w:pPr>
      <w:r>
        <w:rPr>
          <w:rFonts w:ascii="黑体" w:hAnsi="黑体" w:eastAsia="黑体"/>
          <w:b/>
          <w:szCs w:val="21"/>
        </w:rPr>
        <w:t>十、合同的转让和分包</w:t>
      </w:r>
    </w:p>
    <w:p>
      <w:pPr>
        <w:spacing w:line="360" w:lineRule="auto"/>
        <w:rPr>
          <w:rFonts w:ascii="黑体" w:hAnsi="黑体" w:eastAsia="黑体"/>
          <w:szCs w:val="21"/>
        </w:rPr>
      </w:pPr>
      <w:r>
        <w:rPr>
          <w:rFonts w:ascii="黑体" w:hAnsi="黑体" w:eastAsia="黑体"/>
          <w:szCs w:val="21"/>
        </w:rPr>
        <w:t>1、本合同为总承包合同，不能以任何形式进行分包；</w:t>
      </w:r>
    </w:p>
    <w:p>
      <w:pPr>
        <w:spacing w:line="360" w:lineRule="auto"/>
        <w:rPr>
          <w:rFonts w:ascii="黑体" w:hAnsi="黑体" w:eastAsia="黑体"/>
          <w:szCs w:val="21"/>
        </w:rPr>
      </w:pPr>
      <w:r>
        <w:rPr>
          <w:rFonts w:ascii="黑体" w:hAnsi="黑体" w:eastAsia="黑体"/>
          <w:szCs w:val="21"/>
        </w:rPr>
        <w:t>2、乙方不得部分转让或全部转让其应履行的合同义务。如甲方发现乙方转包或分包证据，乙方立刻失去继续供货资格，乙方不得破坏现场与施工效果，甲方不再付款，甲方将对乙方发出书面通知相关事项，给甲方造成的损失，由乙方承担。</w:t>
      </w:r>
    </w:p>
    <w:p>
      <w:pPr>
        <w:spacing w:line="360" w:lineRule="auto"/>
        <w:rPr>
          <w:rFonts w:ascii="黑体" w:hAnsi="黑体" w:eastAsia="黑体"/>
          <w:szCs w:val="21"/>
        </w:rPr>
      </w:pPr>
      <w:r>
        <w:rPr>
          <w:rFonts w:ascii="黑体" w:hAnsi="黑体" w:eastAsia="黑体"/>
          <w:b/>
          <w:szCs w:val="21"/>
        </w:rPr>
        <w:t>十一、安装与调试</w:t>
      </w:r>
    </w:p>
    <w:p>
      <w:pPr>
        <w:spacing w:line="360" w:lineRule="auto"/>
        <w:rPr>
          <w:rFonts w:ascii="黑体" w:hAnsi="黑体" w:eastAsia="黑体"/>
          <w:szCs w:val="21"/>
        </w:rPr>
      </w:pPr>
      <w:r>
        <w:rPr>
          <w:rFonts w:ascii="黑体" w:hAnsi="黑体" w:eastAsia="黑体"/>
          <w:szCs w:val="21"/>
        </w:rPr>
        <w:t>1、乙方必须在交货的同时，向甲方提供按本合同的技术规格、技术规范的要求进行安装调试，并将设备调试到最佳状态。未经甲方书面同意，不得更换合同内签订的货物。</w:t>
      </w:r>
    </w:p>
    <w:p>
      <w:pPr>
        <w:spacing w:line="360" w:lineRule="auto"/>
        <w:rPr>
          <w:rFonts w:ascii="黑体" w:hAnsi="黑体" w:eastAsia="黑体"/>
          <w:szCs w:val="21"/>
        </w:rPr>
      </w:pPr>
      <w:r>
        <w:rPr>
          <w:rFonts w:ascii="黑体" w:hAnsi="黑体" w:eastAsia="黑体"/>
          <w:szCs w:val="21"/>
        </w:rPr>
        <w:t>2、从安装之日起10天交付使用，包含设备的运输（包括设备上楼）、安装及办理设备使用登记证。</w:t>
      </w:r>
    </w:p>
    <w:p>
      <w:pPr>
        <w:spacing w:line="360" w:lineRule="auto"/>
        <w:rPr>
          <w:rFonts w:ascii="黑体" w:hAnsi="黑体" w:eastAsia="黑体"/>
          <w:szCs w:val="21"/>
        </w:rPr>
      </w:pPr>
      <w:r>
        <w:rPr>
          <w:rFonts w:ascii="黑体" w:hAnsi="黑体" w:eastAsia="黑体"/>
          <w:b/>
          <w:szCs w:val="21"/>
        </w:rPr>
        <w:t>十二、验收方式及保修期、售后服务要求</w:t>
      </w:r>
    </w:p>
    <w:p>
      <w:pPr>
        <w:spacing w:line="360" w:lineRule="auto"/>
        <w:rPr>
          <w:rFonts w:ascii="黑体" w:hAnsi="黑体" w:eastAsia="黑体"/>
          <w:szCs w:val="21"/>
        </w:rPr>
      </w:pPr>
      <w:r>
        <w:rPr>
          <w:rFonts w:ascii="黑体" w:hAnsi="黑体" w:eastAsia="黑体"/>
          <w:szCs w:val="21"/>
        </w:rPr>
        <w:t>1、甲乙双方按用户需求书及本合同的有关规定验收。</w:t>
      </w:r>
    </w:p>
    <w:p>
      <w:pPr>
        <w:spacing w:line="360" w:lineRule="auto"/>
        <w:rPr>
          <w:rFonts w:ascii="黑体" w:hAnsi="黑体" w:eastAsia="黑体"/>
          <w:szCs w:val="21"/>
        </w:rPr>
      </w:pPr>
      <w:r>
        <w:rPr>
          <w:rFonts w:ascii="黑体" w:hAnsi="黑体" w:eastAsia="黑体"/>
          <w:szCs w:val="21"/>
        </w:rPr>
        <w:t>2、因物品的质量问题发生争议，由广东省或东莞市质量技术监督部门进行质量鉴定。物品符合质量标准的，鉴定费由甲方承担；物品不符合质量标准的，鉴定费由乙方承担。</w:t>
      </w:r>
    </w:p>
    <w:p>
      <w:pPr>
        <w:spacing w:line="360" w:lineRule="auto"/>
        <w:rPr>
          <w:rFonts w:ascii="黑体" w:hAnsi="黑体" w:eastAsia="黑体"/>
          <w:szCs w:val="21"/>
        </w:rPr>
      </w:pPr>
      <w:r>
        <w:rPr>
          <w:rFonts w:ascii="黑体" w:hAnsi="黑体" w:eastAsia="黑体"/>
          <w:szCs w:val="21"/>
        </w:rPr>
        <w:t>3、设备的验收：</w:t>
      </w:r>
    </w:p>
    <w:p>
      <w:pPr>
        <w:spacing w:line="360" w:lineRule="auto"/>
        <w:rPr>
          <w:rFonts w:ascii="黑体" w:hAnsi="黑体" w:eastAsia="黑体"/>
          <w:szCs w:val="21"/>
        </w:rPr>
      </w:pPr>
      <w:r>
        <w:rPr>
          <w:rFonts w:ascii="黑体" w:hAnsi="黑体" w:eastAsia="黑体"/>
          <w:szCs w:val="21"/>
        </w:rPr>
        <w:t>3.1中标设备安装调试，试运行十个工作日内组织验收，验收应在用户（或用户指定的单位）和供应商双方共同参加下进行；</w:t>
      </w:r>
    </w:p>
    <w:p>
      <w:pPr>
        <w:spacing w:line="360" w:lineRule="auto"/>
        <w:rPr>
          <w:rFonts w:ascii="黑体" w:hAnsi="黑体" w:eastAsia="黑体"/>
          <w:szCs w:val="21"/>
        </w:rPr>
      </w:pPr>
      <w:r>
        <w:rPr>
          <w:rFonts w:ascii="黑体" w:hAnsi="黑体" w:eastAsia="黑体"/>
          <w:szCs w:val="21"/>
        </w:rPr>
        <w:t>3.2验收按国家有关的规定、规范进行。验收时如发现所交付的设备有短装、次品、损坏或其它不符合本合同规定之情形者，用户应做出详尽的现场记录，或由用户（或用户指定的单位）和供应商双方签署备忘录。此现场记录或备忘录可用作补充、缺失和更换损坏部件的有效证据。由此产生的有关费用由供应商承担。</w:t>
      </w:r>
    </w:p>
    <w:p>
      <w:pPr>
        <w:spacing w:line="360" w:lineRule="auto"/>
        <w:rPr>
          <w:rFonts w:ascii="黑体" w:hAnsi="黑体" w:eastAsia="黑体"/>
          <w:szCs w:val="21"/>
        </w:rPr>
      </w:pPr>
      <w:r>
        <w:rPr>
          <w:rFonts w:ascii="黑体" w:hAnsi="黑体" w:eastAsia="黑体"/>
          <w:szCs w:val="21"/>
        </w:rPr>
        <w:t>3.3如果合同设备运输和安装调试过程中因事故造成货物短缺、损坏，供应商应及时安排换货，以保证合同设备安装调试的成功完成。换货的相关费用由供应商承担；</w:t>
      </w:r>
    </w:p>
    <w:p>
      <w:pPr>
        <w:spacing w:line="360" w:lineRule="auto"/>
        <w:rPr>
          <w:rFonts w:ascii="黑体" w:hAnsi="黑体" w:eastAsia="黑体"/>
          <w:szCs w:val="21"/>
        </w:rPr>
      </w:pPr>
      <w:r>
        <w:rPr>
          <w:rFonts w:ascii="黑体" w:hAnsi="黑体" w:eastAsia="黑体"/>
          <w:szCs w:val="21"/>
        </w:rPr>
        <w:t>3.4国内产品或合资厂产品必须具备出厂合格证。</w:t>
      </w:r>
    </w:p>
    <w:p>
      <w:pPr>
        <w:spacing w:line="360" w:lineRule="auto"/>
        <w:rPr>
          <w:rFonts w:ascii="黑体" w:hAnsi="黑体" w:eastAsia="黑体"/>
          <w:szCs w:val="21"/>
        </w:rPr>
      </w:pPr>
      <w:r>
        <w:rPr>
          <w:rFonts w:ascii="黑体" w:hAnsi="黑体" w:eastAsia="黑体"/>
          <w:szCs w:val="21"/>
        </w:rPr>
        <w:t>3.5验收完毕设备试运行</w:t>
      </w:r>
      <w:r>
        <w:rPr>
          <w:rFonts w:ascii="黑体" w:hAnsi="黑体" w:eastAsia="黑体"/>
          <w:szCs w:val="21"/>
          <w:u w:val="single"/>
        </w:rPr>
        <w:t>10</w:t>
      </w:r>
      <w:r>
        <w:rPr>
          <w:rFonts w:ascii="黑体" w:hAnsi="黑体" w:eastAsia="黑体"/>
          <w:szCs w:val="21"/>
        </w:rPr>
        <w:t>个工作日能正常运转为验收合格，方可开始计算保修期起始日，如在试运行期间出现故障，由故障修复后试运行</w:t>
      </w:r>
      <w:r>
        <w:rPr>
          <w:rFonts w:ascii="黑体" w:hAnsi="黑体" w:eastAsia="黑体"/>
          <w:szCs w:val="21"/>
          <w:u w:val="single"/>
        </w:rPr>
        <w:t>10</w:t>
      </w:r>
      <w:r>
        <w:rPr>
          <w:rFonts w:ascii="黑体" w:hAnsi="黑体" w:eastAsia="黑体"/>
          <w:szCs w:val="21"/>
        </w:rPr>
        <w:t>个工作日能正常运转起计算保修期起始日，以此类推。</w:t>
      </w:r>
    </w:p>
    <w:p>
      <w:pPr>
        <w:spacing w:line="360" w:lineRule="auto"/>
        <w:rPr>
          <w:rFonts w:ascii="黑体" w:hAnsi="黑体" w:eastAsia="黑体"/>
          <w:szCs w:val="21"/>
        </w:rPr>
      </w:pPr>
      <w:r>
        <w:rPr>
          <w:rFonts w:ascii="黑体" w:hAnsi="黑体" w:eastAsia="黑体"/>
          <w:szCs w:val="21"/>
        </w:rPr>
        <w:t>3.6设备在保修期内如因故障停机</w:t>
      </w:r>
      <w:r>
        <w:rPr>
          <w:rFonts w:ascii="黑体" w:hAnsi="黑体" w:eastAsia="黑体"/>
          <w:szCs w:val="21"/>
          <w:u w:val="single"/>
        </w:rPr>
        <w:t>30</w:t>
      </w:r>
      <w:r>
        <w:rPr>
          <w:rFonts w:ascii="黑体" w:hAnsi="黑体" w:eastAsia="黑体"/>
          <w:szCs w:val="21"/>
        </w:rPr>
        <w:t>天仍未能修复的，待设备修复后能正常运行</w:t>
      </w:r>
      <w:r>
        <w:rPr>
          <w:rFonts w:ascii="黑体" w:hAnsi="黑体" w:eastAsia="黑体"/>
          <w:szCs w:val="21"/>
          <w:u w:val="single"/>
        </w:rPr>
        <w:t>10</w:t>
      </w:r>
      <w:r>
        <w:rPr>
          <w:rFonts w:ascii="黑体" w:hAnsi="黑体" w:eastAsia="黑体"/>
          <w:szCs w:val="21"/>
        </w:rPr>
        <w:t>个工作日起重新计算保修期，以此类推。</w:t>
      </w:r>
    </w:p>
    <w:p>
      <w:pPr>
        <w:spacing w:line="360" w:lineRule="auto"/>
        <w:rPr>
          <w:rFonts w:ascii="黑体" w:hAnsi="黑体" w:eastAsia="黑体"/>
          <w:szCs w:val="21"/>
        </w:rPr>
      </w:pPr>
      <w:r>
        <w:rPr>
          <w:rFonts w:ascii="黑体" w:hAnsi="黑体" w:eastAsia="黑体"/>
          <w:szCs w:val="21"/>
        </w:rPr>
        <w:t>4、乙方对设备提供</w:t>
      </w:r>
      <w:r>
        <w:rPr>
          <w:rFonts w:ascii="黑体" w:hAnsi="黑体" w:eastAsia="黑体"/>
          <w:szCs w:val="21"/>
          <w:u w:val="single"/>
        </w:rPr>
        <w:t xml:space="preserve"> </w:t>
      </w:r>
      <w:r>
        <w:rPr>
          <w:rFonts w:hint="eastAsia" w:ascii="黑体" w:hAnsi="黑体" w:eastAsia="黑体"/>
          <w:szCs w:val="21"/>
          <w:u w:val="single"/>
        </w:rPr>
        <w:t xml:space="preserve">  </w:t>
      </w:r>
      <w:r>
        <w:rPr>
          <w:rFonts w:ascii="黑体" w:hAnsi="黑体" w:eastAsia="黑体"/>
          <w:szCs w:val="21"/>
          <w:u w:val="single"/>
        </w:rPr>
        <w:t xml:space="preserve"> </w:t>
      </w:r>
      <w:r>
        <w:rPr>
          <w:rFonts w:ascii="黑体" w:hAnsi="黑体" w:eastAsia="黑体"/>
          <w:szCs w:val="21"/>
        </w:rPr>
        <w:t>年</w:t>
      </w:r>
      <w:r>
        <w:rPr>
          <w:rFonts w:hint="eastAsia" w:ascii="黑体" w:hAnsi="黑体" w:eastAsia="黑体"/>
          <w:szCs w:val="21"/>
        </w:rPr>
        <w:t>保修</w:t>
      </w:r>
      <w:r>
        <w:rPr>
          <w:rFonts w:ascii="黑体" w:hAnsi="黑体" w:eastAsia="黑体"/>
          <w:szCs w:val="21"/>
        </w:rPr>
        <w:t>期。在保修期内，如货物非因甲方的人为原因而出现的质量问题由乙方负责①、在接到甲方通知后</w:t>
      </w:r>
      <w:r>
        <w:rPr>
          <w:rFonts w:ascii="黑体" w:hAnsi="黑体" w:eastAsia="黑体"/>
          <w:szCs w:val="21"/>
          <w:u w:val="single"/>
        </w:rPr>
        <w:t>2</w:t>
      </w:r>
      <w:r>
        <w:rPr>
          <w:rFonts w:ascii="黑体" w:hAnsi="黑体" w:eastAsia="黑体"/>
          <w:szCs w:val="21"/>
        </w:rPr>
        <w:t>个小时内响应，</w:t>
      </w:r>
      <w:r>
        <w:rPr>
          <w:rFonts w:ascii="黑体" w:hAnsi="黑体" w:eastAsia="黑体"/>
          <w:szCs w:val="21"/>
          <w:u w:val="single"/>
        </w:rPr>
        <w:t>24</w:t>
      </w:r>
      <w:r>
        <w:rPr>
          <w:rFonts w:ascii="黑体" w:hAnsi="黑体" w:eastAsia="黑体"/>
          <w:szCs w:val="21"/>
        </w:rPr>
        <w:t>小时内予以现场服务，乙方应用备件替代问题件，保证设备继续正常运行；②、包修、包换或包退问题件，并承担修理、调换或退货的实际费用。乙方不能修理或不能调换，均按不能交货处理，乙方应退回100%设备款。</w:t>
      </w:r>
    </w:p>
    <w:p>
      <w:pPr>
        <w:spacing w:line="360" w:lineRule="auto"/>
        <w:rPr>
          <w:rFonts w:ascii="黑体" w:hAnsi="黑体" w:eastAsia="黑体"/>
          <w:szCs w:val="21"/>
        </w:rPr>
      </w:pPr>
      <w:r>
        <w:rPr>
          <w:rFonts w:ascii="黑体" w:hAnsi="黑体" w:eastAsia="黑体"/>
          <w:szCs w:val="21"/>
        </w:rPr>
        <w:t>5、乙方不能在限期内按以上要求替代、维修问题设备，甲方有权自行修复，费用由乙方支付。</w:t>
      </w:r>
    </w:p>
    <w:p>
      <w:pPr>
        <w:spacing w:line="360" w:lineRule="auto"/>
        <w:rPr>
          <w:rFonts w:ascii="黑体" w:hAnsi="黑体" w:eastAsia="黑体"/>
          <w:szCs w:val="21"/>
        </w:rPr>
      </w:pPr>
      <w:r>
        <w:rPr>
          <w:rFonts w:ascii="黑体" w:hAnsi="黑体" w:eastAsia="黑体"/>
          <w:szCs w:val="21"/>
        </w:rPr>
        <w:t>6、乙方应提供交货地点所在地的设备报修电话及联系人。</w:t>
      </w:r>
    </w:p>
    <w:p>
      <w:pPr>
        <w:spacing w:line="360" w:lineRule="auto"/>
        <w:rPr>
          <w:rFonts w:ascii="黑体" w:hAnsi="黑体" w:eastAsia="黑体"/>
          <w:szCs w:val="21"/>
        </w:rPr>
      </w:pPr>
      <w:r>
        <w:rPr>
          <w:rFonts w:ascii="黑体" w:hAnsi="黑体" w:eastAsia="黑体"/>
          <w:szCs w:val="21"/>
        </w:rPr>
        <w:t>7、免费培训：乙方为甲方提供操作及维护培训，主要内容为设备的基本结构、性能、主要部件的构造及原理，日常使用操作、保养与管理，常见故障的排除，紧急情况的处理等，培训地点主要在设备安装现场或按甲乙双方协商安排。</w:t>
      </w:r>
    </w:p>
    <w:p>
      <w:pPr>
        <w:spacing w:line="360" w:lineRule="auto"/>
        <w:rPr>
          <w:rFonts w:ascii="黑体" w:hAnsi="黑体" w:eastAsia="黑体"/>
          <w:szCs w:val="21"/>
        </w:rPr>
      </w:pPr>
      <w:r>
        <w:rPr>
          <w:rFonts w:ascii="黑体" w:hAnsi="黑体" w:eastAsia="黑体"/>
          <w:b/>
          <w:szCs w:val="21"/>
        </w:rPr>
        <w:t>7.1现场培训：</w:t>
      </w:r>
      <w:r>
        <w:rPr>
          <w:rFonts w:ascii="黑体" w:hAnsi="黑体" w:eastAsia="黑体"/>
          <w:szCs w:val="21"/>
        </w:rPr>
        <w:t>供货方在设备的安装、调试、验收完毕后即进行现场培训(至少一周)直至采购方基本掌握使用操作、维护保养技术。</w:t>
      </w:r>
    </w:p>
    <w:p>
      <w:pPr>
        <w:spacing w:line="360" w:lineRule="auto"/>
        <w:rPr>
          <w:rFonts w:ascii="黑体" w:hAnsi="黑体" w:eastAsia="黑体"/>
          <w:szCs w:val="21"/>
        </w:rPr>
      </w:pPr>
      <w:r>
        <w:rPr>
          <w:rFonts w:ascii="黑体" w:hAnsi="黑体" w:eastAsia="黑体"/>
          <w:b/>
          <w:szCs w:val="21"/>
        </w:rPr>
        <w:t>7.2专门培训：</w:t>
      </w:r>
      <w:r>
        <w:rPr>
          <w:rFonts w:ascii="黑体" w:hAnsi="黑体" w:eastAsia="黑体"/>
          <w:szCs w:val="21"/>
        </w:rPr>
        <w:t>供货方就设备的安装、检验、调试、使用和维护等培训采购方3名技术人员，直到采购方受训人员全部掌握运用操作、维护保养技术，并能达到正确检修、维护、排除一般故障为止。</w:t>
      </w:r>
    </w:p>
    <w:p>
      <w:pPr>
        <w:spacing w:line="360" w:lineRule="auto"/>
        <w:rPr>
          <w:rFonts w:ascii="黑体" w:hAnsi="黑体" w:eastAsia="黑体"/>
          <w:szCs w:val="21"/>
        </w:rPr>
      </w:pPr>
      <w:r>
        <w:rPr>
          <w:rFonts w:ascii="黑体" w:hAnsi="黑体" w:eastAsia="黑体"/>
          <w:b/>
          <w:szCs w:val="21"/>
        </w:rPr>
        <w:t>7.3培训方式：</w:t>
      </w:r>
      <w:r>
        <w:rPr>
          <w:rFonts w:ascii="黑体" w:hAnsi="黑体" w:eastAsia="黑体"/>
          <w:szCs w:val="21"/>
        </w:rPr>
        <w:t>技术培训、操作培训。</w:t>
      </w:r>
    </w:p>
    <w:p>
      <w:pPr>
        <w:spacing w:line="360" w:lineRule="auto"/>
        <w:rPr>
          <w:rFonts w:ascii="黑体" w:hAnsi="黑体" w:eastAsia="黑体"/>
          <w:szCs w:val="21"/>
        </w:rPr>
      </w:pPr>
      <w:r>
        <w:rPr>
          <w:rFonts w:ascii="黑体" w:hAnsi="黑体" w:eastAsia="黑体"/>
          <w:b/>
          <w:szCs w:val="21"/>
        </w:rPr>
        <w:t>7.4培训人员、地点和时间：</w:t>
      </w:r>
      <w:r>
        <w:rPr>
          <w:rFonts w:ascii="黑体" w:hAnsi="黑体" w:eastAsia="黑体"/>
          <w:szCs w:val="21"/>
        </w:rPr>
        <w:t>受训人员由采购人确定，培训地点和时间由双方商定。</w:t>
      </w:r>
    </w:p>
    <w:p>
      <w:pPr>
        <w:spacing w:line="360" w:lineRule="auto"/>
        <w:rPr>
          <w:rFonts w:ascii="黑体" w:hAnsi="黑体" w:eastAsia="黑体"/>
          <w:szCs w:val="21"/>
        </w:rPr>
      </w:pPr>
      <w:r>
        <w:rPr>
          <w:rFonts w:ascii="黑体" w:hAnsi="黑体" w:eastAsia="黑体"/>
          <w:szCs w:val="21"/>
        </w:rPr>
        <w:t>8、 如果甲方根据项目要求增加其他必要条款的，甲乙双方可商议后另附补充协议。</w:t>
      </w:r>
    </w:p>
    <w:p>
      <w:pPr>
        <w:spacing w:line="360" w:lineRule="auto"/>
        <w:rPr>
          <w:rFonts w:ascii="黑体" w:hAnsi="黑体" w:eastAsia="黑体"/>
          <w:szCs w:val="21"/>
        </w:rPr>
      </w:pPr>
      <w:r>
        <w:rPr>
          <w:rFonts w:ascii="黑体" w:hAnsi="黑体" w:eastAsia="黑体"/>
          <w:b/>
          <w:szCs w:val="21"/>
        </w:rPr>
        <w:t>十三、违约责任</w:t>
      </w:r>
    </w:p>
    <w:p>
      <w:pPr>
        <w:spacing w:line="360" w:lineRule="auto"/>
        <w:rPr>
          <w:rFonts w:ascii="黑体" w:hAnsi="黑体" w:eastAsia="黑体"/>
          <w:szCs w:val="21"/>
        </w:rPr>
      </w:pPr>
      <w:r>
        <w:rPr>
          <w:rFonts w:ascii="黑体" w:hAnsi="黑体" w:eastAsia="黑体"/>
          <w:szCs w:val="21"/>
        </w:rPr>
        <w:t>1、乙方交付的货物不符合合同规定的，甲方有权拒收，乙方向甲方支付货款总金额</w:t>
      </w:r>
      <w:r>
        <w:rPr>
          <w:rFonts w:ascii="黑体" w:hAnsi="黑体" w:eastAsia="黑体"/>
          <w:szCs w:val="21"/>
          <w:u w:val="single"/>
        </w:rPr>
        <w:t>5</w:t>
      </w:r>
      <w:r>
        <w:rPr>
          <w:rFonts w:ascii="黑体" w:hAnsi="黑体" w:eastAsia="黑体"/>
          <w:szCs w:val="21"/>
        </w:rPr>
        <w:t>%的违约金。</w:t>
      </w:r>
    </w:p>
    <w:p>
      <w:pPr>
        <w:spacing w:line="360" w:lineRule="auto"/>
        <w:rPr>
          <w:rFonts w:ascii="黑体" w:hAnsi="黑体" w:eastAsia="黑体"/>
          <w:szCs w:val="21"/>
        </w:rPr>
      </w:pPr>
      <w:r>
        <w:rPr>
          <w:rFonts w:ascii="黑体" w:hAnsi="黑体" w:eastAsia="黑体"/>
          <w:szCs w:val="21"/>
        </w:rPr>
        <w:t>2、甲方无正当理由拒收货物，拒付货款的，甲方向乙方偿付货物总金额</w:t>
      </w:r>
      <w:r>
        <w:rPr>
          <w:rFonts w:ascii="黑体" w:hAnsi="黑体" w:eastAsia="黑体"/>
          <w:szCs w:val="21"/>
          <w:u w:val="single"/>
        </w:rPr>
        <w:t>5</w:t>
      </w:r>
      <w:r>
        <w:rPr>
          <w:rFonts w:ascii="黑体" w:hAnsi="黑体" w:eastAsia="黑体"/>
          <w:szCs w:val="21"/>
        </w:rPr>
        <w:t>%的违约金。</w:t>
      </w:r>
    </w:p>
    <w:p>
      <w:pPr>
        <w:spacing w:line="360" w:lineRule="auto"/>
        <w:rPr>
          <w:rFonts w:ascii="黑体" w:hAnsi="黑体" w:eastAsia="黑体"/>
          <w:szCs w:val="21"/>
        </w:rPr>
      </w:pPr>
      <w:r>
        <w:rPr>
          <w:rFonts w:ascii="黑体" w:hAnsi="黑体" w:eastAsia="黑体"/>
          <w:szCs w:val="21"/>
        </w:rPr>
        <w:t>3、乙方逾期交付货物，则每日按合同总额</w:t>
      </w:r>
      <w:r>
        <w:rPr>
          <w:rFonts w:ascii="黑体" w:hAnsi="黑体" w:eastAsia="黑体"/>
          <w:szCs w:val="21"/>
          <w:u w:val="single"/>
        </w:rPr>
        <w:t>1</w:t>
      </w:r>
      <w:r>
        <w:rPr>
          <w:rFonts w:ascii="黑体" w:hAnsi="黑体" w:eastAsia="黑体"/>
          <w:szCs w:val="21"/>
        </w:rPr>
        <w:t>‰向对方偿付违约金。逾期交付超过15天，甲方有权终止合同。</w:t>
      </w:r>
    </w:p>
    <w:p>
      <w:pPr>
        <w:spacing w:line="360" w:lineRule="auto"/>
        <w:rPr>
          <w:rFonts w:ascii="黑体" w:hAnsi="黑体" w:eastAsia="黑体"/>
          <w:szCs w:val="21"/>
        </w:rPr>
      </w:pPr>
      <w:r>
        <w:rPr>
          <w:rFonts w:ascii="黑体" w:hAnsi="黑体" w:eastAsia="黑体"/>
          <w:szCs w:val="21"/>
        </w:rPr>
        <w:t>4、甲方逾期付款，则每日按合同总额</w:t>
      </w:r>
      <w:r>
        <w:rPr>
          <w:rFonts w:ascii="黑体" w:hAnsi="黑体" w:eastAsia="黑体"/>
          <w:szCs w:val="21"/>
          <w:u w:val="single"/>
        </w:rPr>
        <w:t>1</w:t>
      </w:r>
      <w:r>
        <w:rPr>
          <w:rFonts w:ascii="黑体" w:hAnsi="黑体" w:eastAsia="黑体"/>
          <w:szCs w:val="21"/>
        </w:rPr>
        <w:t>‰向对方偿付违约金。</w:t>
      </w:r>
    </w:p>
    <w:p>
      <w:pPr>
        <w:spacing w:line="360" w:lineRule="auto"/>
        <w:rPr>
          <w:rFonts w:ascii="黑体" w:hAnsi="黑体" w:eastAsia="黑体"/>
          <w:szCs w:val="21"/>
        </w:rPr>
      </w:pPr>
      <w:r>
        <w:rPr>
          <w:rFonts w:ascii="黑体" w:hAnsi="黑体" w:eastAsia="黑体"/>
          <w:szCs w:val="21"/>
        </w:rPr>
        <w:t>5、因乙方提供的货物原因造成人身、财产损害的，乙方除赔偿受害主体相应损失外，应向甲方承担本合同价款20%的违约责任。</w:t>
      </w:r>
    </w:p>
    <w:p>
      <w:pPr>
        <w:spacing w:line="360" w:lineRule="auto"/>
        <w:rPr>
          <w:rFonts w:ascii="黑体" w:hAnsi="黑体" w:eastAsia="黑体"/>
          <w:szCs w:val="21"/>
        </w:rPr>
      </w:pPr>
      <w:r>
        <w:rPr>
          <w:rFonts w:ascii="黑体" w:hAnsi="黑体" w:eastAsia="黑体"/>
          <w:szCs w:val="21"/>
        </w:rPr>
        <w:t>6、如乙方违反廉洁条款，甲方有权单方终止或解除合同并按下条规定要求乙方承担违约责任。</w:t>
      </w:r>
    </w:p>
    <w:p>
      <w:pPr>
        <w:spacing w:line="360" w:lineRule="auto"/>
        <w:rPr>
          <w:rFonts w:ascii="黑体" w:hAnsi="黑体" w:eastAsia="黑体"/>
          <w:szCs w:val="21"/>
        </w:rPr>
      </w:pPr>
      <w:r>
        <w:rPr>
          <w:rFonts w:ascii="黑体" w:hAnsi="黑体" w:eastAsia="黑体"/>
          <w:szCs w:val="21"/>
        </w:rPr>
        <w:t>7、乙方存违反法定义务及约定义务的，除赔偿损失外，按合同价款10%向甲方承担违约责任。如造成合同目的无法实现，按合同价款或甲方损失（就高原则）的30%向甲方承担违约责任。</w:t>
      </w:r>
    </w:p>
    <w:p>
      <w:pPr>
        <w:spacing w:line="360" w:lineRule="auto"/>
        <w:rPr>
          <w:rFonts w:ascii="黑体" w:hAnsi="黑体" w:eastAsia="黑体"/>
          <w:szCs w:val="21"/>
        </w:rPr>
      </w:pPr>
      <w:r>
        <w:rPr>
          <w:rFonts w:ascii="黑体" w:hAnsi="黑体" w:eastAsia="黑体"/>
          <w:szCs w:val="21"/>
        </w:rPr>
        <w:t>8、乙方承担甲方为实现债权支出的各项费用（包阔但不限于差旅费、律师费、保全费、公证费、鉴定费等）。</w:t>
      </w:r>
    </w:p>
    <w:p>
      <w:pPr>
        <w:spacing w:line="360" w:lineRule="auto"/>
        <w:rPr>
          <w:rFonts w:ascii="黑体" w:hAnsi="黑体" w:eastAsia="黑体"/>
          <w:szCs w:val="21"/>
        </w:rPr>
      </w:pPr>
      <w:r>
        <w:rPr>
          <w:rFonts w:ascii="黑体" w:hAnsi="黑体" w:eastAsia="黑体"/>
          <w:b/>
          <w:szCs w:val="21"/>
        </w:rPr>
        <w:t>十四、争议的解决</w:t>
      </w:r>
    </w:p>
    <w:p>
      <w:pPr>
        <w:spacing w:line="360" w:lineRule="auto"/>
        <w:rPr>
          <w:rFonts w:ascii="黑体" w:hAnsi="黑体" w:eastAsia="黑体"/>
          <w:szCs w:val="21"/>
        </w:rPr>
      </w:pPr>
      <w:r>
        <w:rPr>
          <w:rFonts w:ascii="黑体" w:hAnsi="黑体" w:eastAsia="黑体"/>
          <w:szCs w:val="21"/>
        </w:rPr>
        <w:t>1、凡与本合同有关而引起的一切争议，甲乙双方应首先通过友好协商解决，如经协商后仍不能达成协议时，任何一方可以向法院提出诉讼。</w:t>
      </w:r>
    </w:p>
    <w:p>
      <w:pPr>
        <w:spacing w:line="360" w:lineRule="auto"/>
        <w:rPr>
          <w:rFonts w:ascii="黑体" w:hAnsi="黑体" w:eastAsia="黑体"/>
          <w:szCs w:val="21"/>
        </w:rPr>
      </w:pPr>
      <w:r>
        <w:rPr>
          <w:rFonts w:ascii="黑体" w:hAnsi="黑体" w:eastAsia="黑体"/>
          <w:szCs w:val="21"/>
        </w:rPr>
        <w:t>2、本合同发生的诉讼管辖地为甲方所在地法院。</w:t>
      </w:r>
    </w:p>
    <w:p>
      <w:pPr>
        <w:spacing w:line="360" w:lineRule="auto"/>
        <w:rPr>
          <w:rFonts w:ascii="黑体" w:hAnsi="黑体" w:eastAsia="黑体"/>
          <w:szCs w:val="21"/>
        </w:rPr>
      </w:pPr>
      <w:r>
        <w:rPr>
          <w:rFonts w:ascii="黑体" w:hAnsi="黑体" w:eastAsia="黑体"/>
          <w:szCs w:val="21"/>
        </w:rPr>
        <w:t>3、在进行法院审理期间，除提交法院审理的事项外，合同其他部分仍继续履行。</w:t>
      </w:r>
    </w:p>
    <w:p>
      <w:pPr>
        <w:spacing w:line="360" w:lineRule="auto"/>
        <w:rPr>
          <w:rFonts w:ascii="黑体" w:hAnsi="黑体" w:eastAsia="黑体"/>
          <w:szCs w:val="21"/>
        </w:rPr>
      </w:pPr>
      <w:r>
        <w:rPr>
          <w:rFonts w:ascii="黑体" w:hAnsi="黑体" w:eastAsia="黑体"/>
          <w:szCs w:val="21"/>
        </w:rPr>
        <w:t>4、本合同按照中华人民共和国的法律进行解释。</w:t>
      </w:r>
    </w:p>
    <w:p>
      <w:pPr>
        <w:spacing w:line="360" w:lineRule="auto"/>
        <w:rPr>
          <w:rFonts w:ascii="黑体" w:hAnsi="黑体" w:eastAsia="黑体"/>
          <w:szCs w:val="21"/>
        </w:rPr>
      </w:pPr>
      <w:r>
        <w:rPr>
          <w:rFonts w:ascii="黑体" w:hAnsi="黑体" w:eastAsia="黑体"/>
          <w:b/>
          <w:szCs w:val="21"/>
        </w:rPr>
        <w:t>十五、知识产权</w:t>
      </w:r>
    </w:p>
    <w:p>
      <w:pPr>
        <w:spacing w:line="360" w:lineRule="auto"/>
        <w:rPr>
          <w:rFonts w:ascii="黑体" w:hAnsi="黑体" w:eastAsia="黑体"/>
          <w:szCs w:val="21"/>
        </w:rPr>
      </w:pPr>
      <w:r>
        <w:rPr>
          <w:rFonts w:ascii="黑体" w:hAnsi="黑体" w:eastAsia="黑体"/>
          <w:szCs w:val="21"/>
        </w:rPr>
        <w:t>1、乙方应保证，甲方在中华人民共和国使用货物或货物的任何一部分时，买方免受第三方提出侵其专利权、商标权或其它知识产权的起诉。</w:t>
      </w:r>
    </w:p>
    <w:p>
      <w:pPr>
        <w:spacing w:line="360" w:lineRule="auto"/>
        <w:rPr>
          <w:rFonts w:ascii="黑体" w:hAnsi="黑体" w:eastAsia="黑体"/>
          <w:szCs w:val="21"/>
        </w:rPr>
      </w:pPr>
      <w:r>
        <w:rPr>
          <w:rFonts w:ascii="黑体" w:hAnsi="黑体" w:eastAsia="黑体"/>
          <w:szCs w:val="21"/>
        </w:rPr>
        <w:t>2、投标价应包括所有应支付的对专利权和版权、设计或其他知识产权而需要向其他方支付的版税。</w:t>
      </w:r>
    </w:p>
    <w:p>
      <w:pPr>
        <w:spacing w:line="360" w:lineRule="auto"/>
        <w:rPr>
          <w:rFonts w:ascii="黑体" w:hAnsi="黑体" w:eastAsia="黑体"/>
          <w:szCs w:val="21"/>
        </w:rPr>
      </w:pPr>
      <w:r>
        <w:rPr>
          <w:rFonts w:ascii="黑体" w:hAnsi="黑体" w:eastAsia="黑体"/>
          <w:b/>
          <w:szCs w:val="21"/>
        </w:rPr>
        <w:t>十六、税和关税</w:t>
      </w:r>
    </w:p>
    <w:p>
      <w:pPr>
        <w:spacing w:line="360" w:lineRule="auto"/>
        <w:rPr>
          <w:rFonts w:ascii="黑体" w:hAnsi="黑体" w:eastAsia="黑体"/>
          <w:szCs w:val="21"/>
        </w:rPr>
      </w:pPr>
      <w:r>
        <w:rPr>
          <w:rFonts w:ascii="黑体" w:hAnsi="黑体" w:eastAsia="黑体"/>
          <w:szCs w:val="21"/>
        </w:rPr>
        <w:t>1、中国政府根据现行税法对甲方征收的与本合同有关的一切税费均应由甲方负担。</w:t>
      </w:r>
    </w:p>
    <w:p>
      <w:pPr>
        <w:spacing w:line="360" w:lineRule="auto"/>
        <w:rPr>
          <w:rFonts w:ascii="黑体" w:hAnsi="黑体" w:eastAsia="黑体"/>
          <w:szCs w:val="21"/>
        </w:rPr>
      </w:pPr>
      <w:r>
        <w:rPr>
          <w:rFonts w:ascii="黑体" w:hAnsi="黑体" w:eastAsia="黑体"/>
          <w:szCs w:val="21"/>
        </w:rPr>
        <w:t>2、中国政府根据现行税法规定对乙方或其雇员征收的与本合同有关的一切税费应由乙方负担。</w:t>
      </w:r>
    </w:p>
    <w:p>
      <w:pPr>
        <w:spacing w:line="360" w:lineRule="auto"/>
        <w:rPr>
          <w:rFonts w:ascii="黑体" w:hAnsi="黑体" w:eastAsia="黑体"/>
          <w:szCs w:val="21"/>
        </w:rPr>
      </w:pPr>
      <w:r>
        <w:rPr>
          <w:rFonts w:ascii="黑体" w:hAnsi="黑体" w:eastAsia="黑体"/>
          <w:szCs w:val="21"/>
        </w:rPr>
        <w:t>3、在中国境外发生的与本合同执行有关的一切税费均应由乙方负担。</w:t>
      </w:r>
    </w:p>
    <w:p>
      <w:pPr>
        <w:spacing w:line="360" w:lineRule="auto"/>
        <w:rPr>
          <w:rFonts w:ascii="黑体" w:hAnsi="黑体" w:eastAsia="黑体"/>
          <w:szCs w:val="21"/>
        </w:rPr>
      </w:pPr>
      <w:r>
        <w:rPr>
          <w:rFonts w:ascii="黑体" w:hAnsi="黑体" w:eastAsia="黑体"/>
          <w:b/>
          <w:szCs w:val="21"/>
        </w:rPr>
        <w:t>十七、合同生效</w:t>
      </w:r>
    </w:p>
    <w:p>
      <w:pPr>
        <w:spacing w:line="360" w:lineRule="auto"/>
        <w:rPr>
          <w:rFonts w:ascii="黑体" w:hAnsi="黑体" w:eastAsia="黑体"/>
          <w:szCs w:val="21"/>
        </w:rPr>
      </w:pPr>
      <w:r>
        <w:rPr>
          <w:rFonts w:ascii="黑体" w:hAnsi="黑体" w:eastAsia="黑体"/>
          <w:szCs w:val="21"/>
        </w:rPr>
        <w:t>本合同经双方授权代表签字盖章后生效，生效日以最后一个签字日为准。</w:t>
      </w:r>
    </w:p>
    <w:p>
      <w:pPr>
        <w:spacing w:line="360" w:lineRule="auto"/>
        <w:rPr>
          <w:rFonts w:ascii="黑体" w:hAnsi="黑体" w:eastAsia="黑体"/>
          <w:szCs w:val="21"/>
        </w:rPr>
      </w:pPr>
      <w:r>
        <w:rPr>
          <w:rFonts w:ascii="黑体" w:hAnsi="黑体" w:eastAsia="黑体"/>
          <w:b/>
          <w:szCs w:val="21"/>
        </w:rPr>
        <w:t>十八、廉洁条款</w:t>
      </w:r>
    </w:p>
    <w:p>
      <w:pPr>
        <w:spacing w:line="360" w:lineRule="auto"/>
        <w:rPr>
          <w:rFonts w:ascii="黑体" w:hAnsi="黑体" w:eastAsia="黑体"/>
          <w:szCs w:val="21"/>
        </w:rPr>
      </w:pPr>
      <w:r>
        <w:rPr>
          <w:rFonts w:ascii="黑体" w:hAnsi="黑体" w:eastAsia="黑体"/>
          <w:szCs w:val="21"/>
        </w:rPr>
        <w:t>1、乙方不得在合同签订、履行过程中向甲方工作人员提供任何回-扣、手续费、消费性娱乐活动，向甲方工作人员请客吃饭、馈赠任何礼物。</w:t>
      </w:r>
    </w:p>
    <w:p>
      <w:pPr>
        <w:spacing w:line="360" w:lineRule="auto"/>
        <w:rPr>
          <w:rFonts w:ascii="黑体" w:hAnsi="黑体" w:eastAsia="黑体"/>
          <w:szCs w:val="21"/>
        </w:rPr>
      </w:pPr>
      <w:r>
        <w:rPr>
          <w:rFonts w:ascii="黑体" w:hAnsi="黑体" w:eastAsia="黑体"/>
          <w:szCs w:val="21"/>
        </w:rPr>
        <w:t>2、不得向甲方工作人员以馈赠信用卡、购物卡、购物券的形式进行商业贿赂。</w:t>
      </w:r>
    </w:p>
    <w:p>
      <w:pPr>
        <w:spacing w:line="360" w:lineRule="auto"/>
        <w:rPr>
          <w:rFonts w:ascii="黑体" w:hAnsi="黑体" w:eastAsia="黑体"/>
          <w:szCs w:val="21"/>
        </w:rPr>
      </w:pPr>
      <w:r>
        <w:rPr>
          <w:rFonts w:ascii="黑体" w:hAnsi="黑体" w:eastAsia="黑体"/>
          <w:szCs w:val="21"/>
        </w:rPr>
        <w:t>3、不得向甲方工作人员承诺在合同履行完毕前后兑现任何利益承诺。</w:t>
      </w:r>
    </w:p>
    <w:p>
      <w:pPr>
        <w:spacing w:line="360" w:lineRule="auto"/>
        <w:rPr>
          <w:rFonts w:ascii="黑体" w:hAnsi="黑体" w:eastAsia="黑体"/>
          <w:szCs w:val="21"/>
        </w:rPr>
      </w:pPr>
      <w:r>
        <w:rPr>
          <w:rFonts w:ascii="黑体" w:hAnsi="黑体" w:eastAsia="黑体"/>
          <w:szCs w:val="21"/>
        </w:rPr>
        <w:t>4、不得为谋取不正当利益而实施违反商业贿赂及公平交易的其他行为。</w:t>
      </w:r>
    </w:p>
    <w:p>
      <w:pPr>
        <w:spacing w:line="360" w:lineRule="auto"/>
        <w:rPr>
          <w:rFonts w:ascii="黑体" w:hAnsi="黑体" w:eastAsia="黑体"/>
          <w:szCs w:val="21"/>
        </w:rPr>
      </w:pPr>
      <w:r>
        <w:rPr>
          <w:rFonts w:ascii="黑体" w:hAnsi="黑体" w:eastAsia="黑体"/>
          <w:b/>
          <w:szCs w:val="21"/>
        </w:rPr>
        <w:t>十九、其它</w:t>
      </w:r>
    </w:p>
    <w:p>
      <w:pPr>
        <w:spacing w:line="360" w:lineRule="auto"/>
        <w:rPr>
          <w:rFonts w:ascii="黑体" w:hAnsi="黑体" w:eastAsia="黑体"/>
          <w:szCs w:val="21"/>
        </w:rPr>
      </w:pPr>
      <w:r>
        <w:rPr>
          <w:rFonts w:ascii="黑体" w:hAnsi="黑体" w:eastAsia="黑体"/>
          <w:szCs w:val="21"/>
        </w:rPr>
        <w:t>1、招、投标文件是本合同的一部分，与本合同具有同样法律效力。</w:t>
      </w:r>
    </w:p>
    <w:p>
      <w:pPr>
        <w:spacing w:line="360" w:lineRule="auto"/>
        <w:rPr>
          <w:rFonts w:ascii="黑体" w:hAnsi="黑体" w:eastAsia="黑体"/>
          <w:szCs w:val="21"/>
        </w:rPr>
      </w:pPr>
      <w:r>
        <w:rPr>
          <w:rFonts w:ascii="黑体" w:hAnsi="黑体" w:eastAsia="黑体"/>
          <w:szCs w:val="21"/>
        </w:rPr>
        <w:t>2、在执行本合同的过程中，所有经甲乙双方签署确认的文件（包括会议纪要、补充协议、往来信函）即成为本合同的有效组成部分，其生效日期为双方签字盖章或确认之日期。</w:t>
      </w:r>
    </w:p>
    <w:p>
      <w:pPr>
        <w:spacing w:line="360" w:lineRule="auto"/>
        <w:rPr>
          <w:rFonts w:ascii="黑体" w:hAnsi="黑体" w:eastAsia="黑体"/>
          <w:szCs w:val="21"/>
        </w:rPr>
      </w:pPr>
      <w:r>
        <w:rPr>
          <w:rFonts w:ascii="黑体" w:hAnsi="黑体" w:eastAsia="黑体"/>
          <w:szCs w:val="21"/>
        </w:rPr>
        <w:t>3、除甲方事先书面同意外，乙方不得部分或全部转让其应履行的合同项下的义务。</w:t>
      </w:r>
    </w:p>
    <w:p>
      <w:pPr>
        <w:spacing w:line="360" w:lineRule="auto"/>
        <w:rPr>
          <w:rFonts w:ascii="黑体" w:hAnsi="黑体" w:eastAsia="黑体"/>
          <w:szCs w:val="21"/>
        </w:rPr>
      </w:pPr>
      <w:r>
        <w:rPr>
          <w:rFonts w:ascii="黑体" w:hAnsi="黑体" w:eastAsia="黑体"/>
          <w:szCs w:val="21"/>
        </w:rPr>
        <w:t>4、任何一方的通讯地址发生变化的，应书面通知对方，否则，应自行承担由此造成的一切法律后果。</w:t>
      </w:r>
    </w:p>
    <w:p>
      <w:pPr>
        <w:spacing w:line="360" w:lineRule="auto"/>
        <w:rPr>
          <w:rFonts w:ascii="黑体" w:hAnsi="黑体" w:eastAsia="黑体"/>
          <w:szCs w:val="21"/>
        </w:rPr>
      </w:pPr>
      <w:r>
        <w:rPr>
          <w:rFonts w:ascii="黑体" w:hAnsi="黑体" w:eastAsia="黑体"/>
          <w:szCs w:val="21"/>
        </w:rPr>
        <w:t>5、履约保证金担保金额为合同金额的5﹪，乙方应在汇入履约保证金时在汇款单备注中注明：中标通知书编号。</w:t>
      </w:r>
    </w:p>
    <w:p>
      <w:pPr>
        <w:spacing w:line="360" w:lineRule="auto"/>
        <w:rPr>
          <w:rFonts w:ascii="黑体" w:hAnsi="黑体" w:eastAsia="黑体"/>
          <w:szCs w:val="21"/>
        </w:rPr>
      </w:pPr>
      <w:r>
        <w:rPr>
          <w:rFonts w:ascii="黑体" w:hAnsi="黑体" w:eastAsia="黑体"/>
          <w:szCs w:val="21"/>
        </w:rPr>
        <w:t>履约保证金账号：</w:t>
      </w:r>
    </w:p>
    <w:p>
      <w:pPr>
        <w:spacing w:line="360" w:lineRule="auto"/>
        <w:rPr>
          <w:rFonts w:ascii="黑体" w:hAnsi="黑体" w:eastAsia="黑体"/>
          <w:szCs w:val="21"/>
        </w:rPr>
      </w:pPr>
      <w:r>
        <w:rPr>
          <w:rFonts w:ascii="黑体" w:hAnsi="黑体" w:eastAsia="黑体"/>
          <w:szCs w:val="21"/>
        </w:rPr>
        <w:t>开户名称：东莞市中医院</w:t>
      </w:r>
    </w:p>
    <w:p>
      <w:pPr>
        <w:spacing w:line="360" w:lineRule="auto"/>
        <w:rPr>
          <w:rFonts w:ascii="黑体" w:hAnsi="黑体" w:eastAsia="黑体"/>
          <w:szCs w:val="21"/>
        </w:rPr>
      </w:pPr>
      <w:r>
        <w:rPr>
          <w:rFonts w:ascii="黑体" w:hAnsi="黑体" w:eastAsia="黑体"/>
          <w:szCs w:val="21"/>
        </w:rPr>
        <w:t>开户银行：东莞银行中心区东湖支行</w:t>
      </w:r>
    </w:p>
    <w:p>
      <w:pPr>
        <w:spacing w:line="360" w:lineRule="auto"/>
        <w:rPr>
          <w:rFonts w:ascii="黑体" w:hAnsi="黑体" w:eastAsia="黑体"/>
          <w:szCs w:val="21"/>
        </w:rPr>
      </w:pPr>
      <w:r>
        <w:rPr>
          <w:rFonts w:ascii="黑体" w:hAnsi="黑体" w:eastAsia="黑体"/>
          <w:szCs w:val="21"/>
        </w:rPr>
        <w:t>账    号：500088335709016</w:t>
      </w:r>
    </w:p>
    <w:p>
      <w:pPr>
        <w:spacing w:line="360" w:lineRule="auto"/>
        <w:rPr>
          <w:rFonts w:ascii="黑体" w:hAnsi="黑体" w:eastAsia="黑体"/>
          <w:szCs w:val="21"/>
        </w:rPr>
      </w:pPr>
      <w:r>
        <w:rPr>
          <w:rFonts w:ascii="黑体" w:hAnsi="黑体" w:eastAsia="黑体"/>
          <w:szCs w:val="21"/>
        </w:rPr>
        <w:t>履约保证金在验收合格后，一个月内无息退还。</w:t>
      </w:r>
    </w:p>
    <w:p>
      <w:pPr>
        <w:spacing w:line="360" w:lineRule="auto"/>
        <w:rPr>
          <w:rFonts w:ascii="黑体" w:hAnsi="黑体" w:eastAsia="黑体"/>
          <w:szCs w:val="21"/>
        </w:rPr>
      </w:pPr>
      <w:r>
        <w:rPr>
          <w:rFonts w:ascii="黑体" w:hAnsi="黑体" w:eastAsia="黑体"/>
          <w:szCs w:val="21"/>
        </w:rPr>
        <w:t>6、双方住所地及本合同记载的当事人联系方式和联系信息适用于双方往来联系、书面文件送达及争议解决时法律文书送达，包括在争议进入仲裁、民事诉讼程序后的审判与执行程序。因合同尾部联系方式和联系信息错误而无法直接送达的自交邮后第7日视为送达。</w:t>
      </w:r>
    </w:p>
    <w:p>
      <w:pPr>
        <w:spacing w:line="360" w:lineRule="auto"/>
        <w:rPr>
          <w:rFonts w:ascii="黑体" w:hAnsi="黑体" w:eastAsia="黑体"/>
          <w:szCs w:val="21"/>
        </w:rPr>
      </w:pPr>
      <w:r>
        <w:rPr>
          <w:rFonts w:ascii="黑体" w:hAnsi="黑体" w:eastAsia="黑体"/>
          <w:szCs w:val="21"/>
        </w:rPr>
        <w:t>7、本合同正本一式</w:t>
      </w:r>
      <w:r>
        <w:rPr>
          <w:rFonts w:ascii="黑体" w:hAnsi="黑体" w:eastAsia="黑体"/>
          <w:szCs w:val="21"/>
          <w:u w:val="single"/>
        </w:rPr>
        <w:t xml:space="preserve">   </w:t>
      </w:r>
      <w:r>
        <w:rPr>
          <w:rFonts w:ascii="黑体" w:hAnsi="黑体" w:eastAsia="黑体"/>
          <w:szCs w:val="21"/>
        </w:rPr>
        <w:t>份，具有同等法律效力，甲方</w:t>
      </w:r>
      <w:r>
        <w:rPr>
          <w:rFonts w:ascii="黑体" w:hAnsi="黑体" w:eastAsia="黑体"/>
          <w:szCs w:val="21"/>
          <w:u w:val="single"/>
        </w:rPr>
        <w:t>伍</w:t>
      </w:r>
      <w:r>
        <w:rPr>
          <w:rFonts w:ascii="黑体" w:hAnsi="黑体" w:eastAsia="黑体"/>
          <w:szCs w:val="21"/>
        </w:rPr>
        <w:t>份、乙方</w:t>
      </w:r>
      <w:r>
        <w:rPr>
          <w:rFonts w:ascii="黑体" w:hAnsi="黑体" w:eastAsia="黑体"/>
          <w:szCs w:val="21"/>
          <w:u w:val="single"/>
        </w:rPr>
        <w:t xml:space="preserve">   </w:t>
      </w:r>
      <w:r>
        <w:rPr>
          <w:rFonts w:ascii="黑体" w:hAnsi="黑体" w:eastAsia="黑体"/>
          <w:szCs w:val="21"/>
        </w:rPr>
        <w:t>份，采购代理机构</w:t>
      </w:r>
      <w:r>
        <w:rPr>
          <w:rFonts w:ascii="黑体" w:hAnsi="黑体" w:eastAsia="黑体"/>
          <w:szCs w:val="21"/>
          <w:u w:val="single"/>
        </w:rPr>
        <w:t>壹</w:t>
      </w:r>
      <w:r>
        <w:rPr>
          <w:rFonts w:ascii="黑体" w:hAnsi="黑体" w:eastAsia="黑体"/>
          <w:szCs w:val="21"/>
        </w:rPr>
        <w:t>份。合同自最后一个签字之日起即时生效。</w:t>
      </w:r>
    </w:p>
    <w:p>
      <w:pPr>
        <w:spacing w:line="360" w:lineRule="auto"/>
        <w:rPr>
          <w:rFonts w:ascii="黑体" w:hAnsi="黑体" w:eastAsia="黑体"/>
          <w:szCs w:val="21"/>
        </w:rPr>
      </w:pPr>
      <w:r>
        <w:rPr>
          <w:rFonts w:ascii="黑体" w:hAnsi="黑体" w:eastAsia="黑体"/>
          <w:szCs w:val="21"/>
        </w:rPr>
        <w:t>附件：设备配置清单</w:t>
      </w:r>
    </w:p>
    <w:p>
      <w:pPr>
        <w:spacing w:line="360" w:lineRule="auto"/>
        <w:rPr>
          <w:rFonts w:ascii="黑体" w:hAnsi="黑体" w:eastAsia="黑体"/>
          <w:szCs w:val="21"/>
        </w:rPr>
      </w:pPr>
    </w:p>
    <w:p>
      <w:pPr>
        <w:spacing w:line="360" w:lineRule="auto"/>
        <w:rPr>
          <w:rFonts w:ascii="黑体" w:hAnsi="黑体" w:eastAsia="黑体"/>
          <w:szCs w:val="21"/>
        </w:rPr>
      </w:pPr>
      <w:r>
        <w:rPr>
          <w:rFonts w:ascii="黑体" w:hAnsi="黑体" w:eastAsia="黑体"/>
          <w:szCs w:val="21"/>
        </w:rPr>
        <w:t>甲方（公章）：东莞市中医院                          乙方（公章）：</w:t>
      </w:r>
    </w:p>
    <w:p>
      <w:pPr>
        <w:spacing w:line="360" w:lineRule="auto"/>
        <w:rPr>
          <w:rFonts w:ascii="黑体" w:hAnsi="黑体" w:eastAsia="黑体"/>
          <w:szCs w:val="21"/>
        </w:rPr>
      </w:pPr>
      <w:r>
        <w:rPr>
          <w:rFonts w:ascii="黑体" w:hAnsi="黑体" w:eastAsia="黑体"/>
          <w:szCs w:val="21"/>
        </w:rPr>
        <w:t>法定代表人或授权代表（签字）：                      法定代表人或授权代表（签字）：</w:t>
      </w:r>
    </w:p>
    <w:p>
      <w:pPr>
        <w:spacing w:line="360" w:lineRule="auto"/>
        <w:rPr>
          <w:rFonts w:ascii="黑体" w:hAnsi="黑体" w:eastAsia="黑体"/>
          <w:szCs w:val="21"/>
        </w:rPr>
      </w:pPr>
      <w:r>
        <w:rPr>
          <w:rFonts w:ascii="黑体" w:hAnsi="黑体" w:eastAsia="黑体"/>
          <w:szCs w:val="21"/>
        </w:rPr>
        <w:t>地址：东莞市东城街道松山湖大道东城段3号           地址：</w:t>
      </w:r>
    </w:p>
    <w:p>
      <w:pPr>
        <w:spacing w:line="360" w:lineRule="auto"/>
        <w:rPr>
          <w:rFonts w:ascii="黑体" w:hAnsi="黑体" w:eastAsia="黑体"/>
          <w:szCs w:val="21"/>
        </w:rPr>
      </w:pPr>
      <w:r>
        <w:rPr>
          <w:rFonts w:ascii="黑体" w:hAnsi="黑体" w:eastAsia="黑体"/>
          <w:szCs w:val="21"/>
        </w:rPr>
        <w:t>电话：0769-26385133                                电话：</w:t>
      </w:r>
    </w:p>
    <w:p>
      <w:pPr>
        <w:spacing w:line="360" w:lineRule="auto"/>
        <w:rPr>
          <w:rFonts w:ascii="黑体" w:hAnsi="黑体" w:eastAsia="黑体"/>
          <w:szCs w:val="21"/>
        </w:rPr>
      </w:pPr>
      <w:r>
        <w:rPr>
          <w:rFonts w:ascii="黑体" w:hAnsi="黑体" w:eastAsia="黑体"/>
          <w:szCs w:val="21"/>
        </w:rPr>
        <w:t>传真：0769-26385133                                传真：</w:t>
      </w:r>
    </w:p>
    <w:p>
      <w:pPr>
        <w:spacing w:line="360" w:lineRule="auto"/>
        <w:rPr>
          <w:rFonts w:ascii="黑体" w:hAnsi="黑体" w:eastAsia="黑体"/>
          <w:szCs w:val="21"/>
        </w:rPr>
      </w:pPr>
      <w:r>
        <w:rPr>
          <w:rFonts w:ascii="黑体" w:hAnsi="黑体" w:eastAsia="黑体"/>
          <w:szCs w:val="21"/>
        </w:rPr>
        <w:t>开户银行：东莞银行中心区东湖支行                   开户银行：</w:t>
      </w:r>
    </w:p>
    <w:p>
      <w:pPr>
        <w:spacing w:line="360" w:lineRule="auto"/>
        <w:rPr>
          <w:rFonts w:ascii="黑体" w:hAnsi="黑体" w:eastAsia="黑体"/>
          <w:szCs w:val="21"/>
        </w:rPr>
      </w:pPr>
      <w:r>
        <w:rPr>
          <w:rFonts w:ascii="黑体" w:hAnsi="黑体" w:eastAsia="黑体"/>
          <w:szCs w:val="21"/>
        </w:rPr>
        <w:t>账号：500088335709016                              账号：</w:t>
      </w:r>
    </w:p>
    <w:p>
      <w:pPr>
        <w:spacing w:line="360" w:lineRule="auto"/>
        <w:rPr>
          <w:rFonts w:ascii="黑体" w:hAnsi="黑体" w:eastAsia="黑体"/>
          <w:szCs w:val="21"/>
        </w:rPr>
      </w:pPr>
      <w:r>
        <w:rPr>
          <w:rFonts w:ascii="黑体" w:hAnsi="黑体" w:eastAsia="黑体"/>
          <w:szCs w:val="21"/>
        </w:rPr>
        <w:t>签约时间：    年   月    日</w:t>
      </w:r>
    </w:p>
    <w:p>
      <w:pPr>
        <w:spacing w:line="360" w:lineRule="auto"/>
        <w:rPr>
          <w:rFonts w:ascii="黑体" w:hAnsi="黑体" w:eastAsia="黑体"/>
          <w:szCs w:val="21"/>
        </w:rPr>
      </w:pPr>
      <w:r>
        <w:rPr>
          <w:rFonts w:ascii="黑体" w:hAnsi="黑体" w:eastAsia="黑体"/>
          <w:szCs w:val="21"/>
        </w:rPr>
        <w:t>签约地点：东莞市中医院</w:t>
      </w:r>
    </w:p>
    <w:p>
      <w:pPr>
        <w:spacing w:line="360" w:lineRule="auto"/>
        <w:rPr>
          <w:rFonts w:ascii="黑体" w:hAnsi="黑体" w:eastAsia="黑体"/>
          <w:szCs w:val="21"/>
        </w:rPr>
      </w:pPr>
      <w:r>
        <w:rPr>
          <w:rFonts w:ascii="黑体" w:hAnsi="黑体" w:eastAsia="黑体"/>
          <w:b/>
          <w:szCs w:val="21"/>
        </w:rPr>
        <w:t>备注：</w:t>
      </w:r>
    </w:p>
    <w:p>
      <w:pPr>
        <w:spacing w:line="360" w:lineRule="auto"/>
        <w:rPr>
          <w:rFonts w:ascii="黑体" w:hAnsi="黑体" w:eastAsia="黑体"/>
          <w:szCs w:val="21"/>
        </w:rPr>
      </w:pPr>
      <w:r>
        <w:rPr>
          <w:rFonts w:ascii="黑体" w:hAnsi="黑体" w:eastAsia="黑体"/>
          <w:szCs w:val="21"/>
        </w:rPr>
        <w:t>1、本合同所有附件均在签订合同时编制，其编制依据是用户需求和乙方的投标文件中的相应内容；</w:t>
      </w:r>
    </w:p>
    <w:p>
      <w:pPr>
        <w:spacing w:line="360" w:lineRule="auto"/>
        <w:rPr>
          <w:rFonts w:ascii="黑体" w:hAnsi="黑体" w:eastAsia="黑体"/>
          <w:szCs w:val="21"/>
        </w:rPr>
      </w:pPr>
      <w:r>
        <w:rPr>
          <w:rFonts w:ascii="黑体" w:hAnsi="黑体" w:eastAsia="黑体"/>
          <w:szCs w:val="21"/>
        </w:rPr>
        <w:t>2、合同附件的具体内容由双方在签订合同时确定。</w:t>
      </w:r>
    </w:p>
    <w:p>
      <w:pPr>
        <w:tabs>
          <w:tab w:val="left" w:pos="720"/>
        </w:tabs>
        <w:spacing w:line="360" w:lineRule="auto"/>
        <w:jc w:val="center"/>
        <w:rPr>
          <w:rFonts w:ascii="黑体" w:hAnsi="黑体" w:eastAsia="黑体"/>
          <w:spacing w:val="20"/>
          <w:sz w:val="28"/>
          <w:szCs w:val="28"/>
        </w:rPr>
      </w:pPr>
    </w:p>
    <w:p>
      <w:pPr>
        <w:pStyle w:val="2"/>
        <w:keepNext w:val="0"/>
        <w:keepLines w:val="0"/>
        <w:pageBreakBefore/>
        <w:spacing w:line="360" w:lineRule="auto"/>
        <w:jc w:val="center"/>
        <w:rPr>
          <w:rFonts w:ascii="黑体" w:hAnsi="黑体" w:eastAsia="黑体"/>
          <w:spacing w:val="20"/>
          <w:sz w:val="32"/>
          <w:szCs w:val="32"/>
        </w:rPr>
      </w:pPr>
      <w:bookmarkStart w:id="74" w:name="_Toc119514291"/>
      <w:bookmarkStart w:id="75" w:name="_Toc405313957"/>
      <w:bookmarkStart w:id="76" w:name="_Toc391627753"/>
      <w:r>
        <w:rPr>
          <w:rFonts w:hint="eastAsia" w:ascii="黑体" w:hAnsi="黑体" w:eastAsia="黑体"/>
          <w:spacing w:val="20"/>
          <w:sz w:val="32"/>
          <w:szCs w:val="32"/>
        </w:rPr>
        <w:t>第七部分</w:t>
      </w:r>
      <w:r>
        <w:rPr>
          <w:rFonts w:ascii="黑体" w:hAnsi="黑体" w:eastAsia="黑体"/>
          <w:spacing w:val="20"/>
          <w:sz w:val="32"/>
          <w:szCs w:val="32"/>
        </w:rPr>
        <w:t xml:space="preserve"> </w:t>
      </w:r>
      <w:r>
        <w:rPr>
          <w:rFonts w:hint="eastAsia" w:ascii="黑体" w:hAnsi="黑体" w:eastAsia="黑体"/>
          <w:spacing w:val="20"/>
          <w:sz w:val="32"/>
          <w:szCs w:val="32"/>
        </w:rPr>
        <w:t>投标文件格式</w:t>
      </w:r>
      <w:bookmarkEnd w:id="74"/>
      <w:bookmarkEnd w:id="75"/>
      <w:bookmarkEnd w:id="76"/>
    </w:p>
    <w:p>
      <w:pPr>
        <w:pStyle w:val="30"/>
        <w:spacing w:after="312" w:afterLines="100" w:line="360" w:lineRule="auto"/>
        <w:ind w:left="420" w:right="108" w:firstLine="0" w:firstLineChars="0"/>
        <w:jc w:val="right"/>
        <w:rPr>
          <w:rFonts w:ascii="黑体" w:hAnsi="黑体" w:eastAsia="黑体"/>
          <w:b/>
          <w:sz w:val="36"/>
          <w:szCs w:val="36"/>
        </w:rPr>
      </w:pPr>
      <w:r>
        <w:rPr>
          <w:rFonts w:hint="eastAsia" w:ascii="黑体" w:hAnsi="黑体" w:eastAsia="黑体"/>
          <w:b/>
          <w:sz w:val="36"/>
          <w:szCs w:val="36"/>
        </w:rPr>
        <w:t>正本</w:t>
      </w:r>
      <w:r>
        <w:rPr>
          <w:rFonts w:ascii="黑体" w:hAnsi="黑体" w:eastAsia="黑体"/>
          <w:b/>
          <w:sz w:val="36"/>
          <w:szCs w:val="36"/>
        </w:rPr>
        <w:t>/副本</w:t>
      </w:r>
    </w:p>
    <w:p>
      <w:pPr>
        <w:spacing w:before="1092" w:beforeLines="350" w:after="780" w:afterLines="250" w:line="360" w:lineRule="auto"/>
        <w:jc w:val="center"/>
        <w:rPr>
          <w:rFonts w:ascii="黑体" w:hAnsi="黑体" w:eastAsia="黑体"/>
          <w:bCs/>
          <w:sz w:val="50"/>
          <w:szCs w:val="50"/>
        </w:rPr>
      </w:pPr>
      <w:r>
        <w:rPr>
          <w:rFonts w:hint="eastAsia" w:ascii="黑体" w:hAnsi="黑体" w:eastAsia="黑体"/>
          <w:bCs/>
          <w:sz w:val="50"/>
          <w:szCs w:val="50"/>
        </w:rPr>
        <w:t>分院ICU医疗设备紧急采购</w:t>
      </w:r>
      <w:r>
        <w:rPr>
          <w:rFonts w:ascii="黑体" w:hAnsi="黑体" w:eastAsia="黑体"/>
          <w:bCs/>
          <w:sz w:val="50"/>
          <w:szCs w:val="50"/>
        </w:rPr>
        <w:t>项目</w:t>
      </w:r>
    </w:p>
    <w:p>
      <w:pPr>
        <w:spacing w:line="360" w:lineRule="auto"/>
        <w:jc w:val="center"/>
        <w:rPr>
          <w:rFonts w:ascii="黑体" w:hAnsi="黑体" w:eastAsia="黑体"/>
          <w:b/>
          <w:szCs w:val="21"/>
        </w:rPr>
      </w:pPr>
      <w:r>
        <w:rPr>
          <w:rFonts w:hint="eastAsia" w:ascii="黑体" w:hAnsi="黑体" w:eastAsia="黑体"/>
          <w:b/>
          <w:szCs w:val="21"/>
        </w:rPr>
        <w:t>（项目编号：</w:t>
      </w:r>
      <w:r>
        <w:rPr>
          <w:rFonts w:ascii="黑体" w:hAnsi="黑体" w:eastAsia="黑体"/>
          <w:b/>
          <w:szCs w:val="21"/>
          <w:u w:val="single"/>
        </w:rPr>
        <w:t xml:space="preserve">             </w:t>
      </w:r>
      <w:r>
        <w:rPr>
          <w:rFonts w:hint="eastAsia" w:ascii="黑体" w:hAnsi="黑体" w:eastAsia="黑体"/>
          <w:b/>
          <w:szCs w:val="21"/>
        </w:rPr>
        <w:t>）</w:t>
      </w:r>
    </w:p>
    <w:p>
      <w:pPr>
        <w:spacing w:before="1248" w:beforeLines="400" w:line="360" w:lineRule="auto"/>
        <w:jc w:val="center"/>
        <w:rPr>
          <w:rFonts w:ascii="黑体" w:hAnsi="黑体" w:eastAsia="黑体"/>
          <w:b/>
          <w:spacing w:val="60"/>
          <w:sz w:val="72"/>
          <w:szCs w:val="72"/>
        </w:rPr>
      </w:pPr>
      <w:r>
        <w:rPr>
          <w:rFonts w:hint="eastAsia" w:ascii="黑体" w:hAnsi="黑体" w:eastAsia="黑体"/>
          <w:b/>
          <w:spacing w:val="60"/>
          <w:sz w:val="72"/>
          <w:szCs w:val="72"/>
        </w:rPr>
        <w:t>投标文件</w:t>
      </w:r>
    </w:p>
    <w:p>
      <w:pPr>
        <w:spacing w:after="1560" w:afterLines="500" w:line="360" w:lineRule="auto"/>
        <w:jc w:val="center"/>
        <w:rPr>
          <w:rFonts w:ascii="黑体" w:hAnsi="黑体" w:eastAsia="黑体"/>
          <w:b/>
          <w:szCs w:val="21"/>
        </w:rPr>
      </w:pPr>
      <w:r>
        <w:rPr>
          <w:rFonts w:hint="eastAsia" w:ascii="黑体" w:hAnsi="黑体" w:eastAsia="黑体"/>
          <w:b/>
          <w:szCs w:val="21"/>
        </w:rPr>
        <w:t>（封面格式仅供参考）</w:t>
      </w:r>
    </w:p>
    <w:tbl>
      <w:tblPr>
        <w:tblStyle w:val="21"/>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5"/>
        <w:gridCol w:w="5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right"/>
              <w:rPr>
                <w:rFonts w:ascii="黑体" w:hAnsi="黑体" w:eastAsia="黑体"/>
                <w:sz w:val="24"/>
                <w:szCs w:val="24"/>
              </w:rPr>
            </w:pPr>
            <w:r>
              <w:rPr>
                <w:rFonts w:hint="eastAsia" w:ascii="黑体" w:hAnsi="黑体" w:eastAsia="黑体"/>
                <w:sz w:val="24"/>
                <w:szCs w:val="24"/>
              </w:rPr>
              <w:t>投标人名称：</w:t>
            </w:r>
          </w:p>
        </w:tc>
        <w:tc>
          <w:tcPr>
            <w:tcW w:w="3579" w:type="pct"/>
            <w:vAlign w:val="center"/>
          </w:tcPr>
          <w:p>
            <w:pPr>
              <w:spacing w:line="360" w:lineRule="auto"/>
              <w:jc w:val="left"/>
              <w:rPr>
                <w:rFonts w:ascii="黑体" w:hAnsi="黑体" w:eastAsia="黑体"/>
                <w:sz w:val="24"/>
                <w:szCs w:val="24"/>
                <w:u w:val="single"/>
              </w:rPr>
            </w:pPr>
            <w:r>
              <w:rPr>
                <w:rFonts w:ascii="黑体" w:hAnsi="黑体" w:eastAsia="黑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right"/>
              <w:rPr>
                <w:rFonts w:ascii="黑体" w:hAnsi="黑体" w:eastAsia="黑体"/>
                <w:sz w:val="24"/>
                <w:szCs w:val="24"/>
              </w:rPr>
            </w:pPr>
            <w:r>
              <w:rPr>
                <w:rFonts w:hint="eastAsia" w:ascii="黑体" w:hAnsi="黑体" w:eastAsia="黑体"/>
                <w:sz w:val="24"/>
                <w:szCs w:val="24"/>
              </w:rPr>
              <w:t>投标人地址：</w:t>
            </w:r>
          </w:p>
        </w:tc>
        <w:tc>
          <w:tcPr>
            <w:tcW w:w="3579" w:type="pct"/>
            <w:vAlign w:val="center"/>
          </w:tcPr>
          <w:p>
            <w:pPr>
              <w:spacing w:line="360" w:lineRule="auto"/>
              <w:jc w:val="left"/>
              <w:rPr>
                <w:rFonts w:ascii="黑体" w:hAnsi="黑体" w:eastAsia="黑体"/>
                <w:sz w:val="24"/>
                <w:szCs w:val="24"/>
                <w:u w:val="single"/>
              </w:rPr>
            </w:pPr>
            <w:r>
              <w:rPr>
                <w:rFonts w:ascii="黑体" w:hAnsi="黑体" w:eastAsia="黑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right"/>
              <w:rPr>
                <w:rFonts w:ascii="黑体" w:hAnsi="黑体" w:eastAsia="黑体"/>
                <w:spacing w:val="-10"/>
                <w:sz w:val="24"/>
                <w:szCs w:val="24"/>
              </w:rPr>
            </w:pPr>
            <w:r>
              <w:rPr>
                <w:rFonts w:hint="eastAsia" w:ascii="黑体" w:hAnsi="黑体" w:eastAsia="黑体"/>
                <w:sz w:val="24"/>
                <w:szCs w:val="24"/>
              </w:rPr>
              <w:t>投标联系人</w:t>
            </w:r>
            <w:r>
              <w:rPr>
                <w:rFonts w:hint="eastAsia" w:ascii="黑体" w:hAnsi="黑体" w:eastAsia="黑体"/>
                <w:spacing w:val="-10"/>
                <w:sz w:val="24"/>
                <w:szCs w:val="24"/>
              </w:rPr>
              <w:t>：</w:t>
            </w:r>
          </w:p>
        </w:tc>
        <w:tc>
          <w:tcPr>
            <w:tcW w:w="3579" w:type="pct"/>
            <w:vAlign w:val="center"/>
          </w:tcPr>
          <w:p>
            <w:pPr>
              <w:spacing w:line="360" w:lineRule="auto"/>
              <w:jc w:val="left"/>
              <w:rPr>
                <w:rFonts w:ascii="黑体" w:hAnsi="黑体" w:eastAsia="黑体"/>
                <w:sz w:val="24"/>
                <w:szCs w:val="24"/>
                <w:u w:val="single"/>
              </w:rPr>
            </w:pPr>
            <w:r>
              <w:rPr>
                <w:rFonts w:ascii="黑体" w:hAnsi="黑体" w:eastAsia="黑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tabs>
                <w:tab w:val="left" w:pos="170"/>
              </w:tabs>
              <w:spacing w:line="360" w:lineRule="auto"/>
              <w:jc w:val="right"/>
              <w:rPr>
                <w:rFonts w:ascii="黑体" w:hAnsi="黑体" w:eastAsia="黑体"/>
                <w:sz w:val="24"/>
                <w:szCs w:val="24"/>
              </w:rPr>
            </w:pPr>
            <w:r>
              <w:rPr>
                <w:rFonts w:hint="eastAsia" w:ascii="黑体" w:hAnsi="黑体" w:eastAsia="黑体"/>
                <w:spacing w:val="24"/>
                <w:sz w:val="24"/>
                <w:szCs w:val="24"/>
              </w:rPr>
              <w:t>联系电话</w:t>
            </w:r>
            <w:r>
              <w:rPr>
                <w:rFonts w:hint="eastAsia" w:ascii="黑体" w:hAnsi="黑体" w:eastAsia="黑体"/>
                <w:sz w:val="24"/>
                <w:szCs w:val="24"/>
              </w:rPr>
              <w:t>：</w:t>
            </w:r>
          </w:p>
        </w:tc>
        <w:tc>
          <w:tcPr>
            <w:tcW w:w="3579" w:type="pct"/>
            <w:vAlign w:val="center"/>
          </w:tcPr>
          <w:p>
            <w:pPr>
              <w:spacing w:line="360" w:lineRule="auto"/>
              <w:jc w:val="left"/>
              <w:rPr>
                <w:rFonts w:ascii="黑体" w:hAnsi="黑体" w:eastAsia="黑体"/>
                <w:sz w:val="24"/>
                <w:szCs w:val="24"/>
                <w:u w:val="single"/>
              </w:rPr>
            </w:pPr>
            <w:r>
              <w:rPr>
                <w:rFonts w:ascii="黑体" w:hAnsi="黑体" w:eastAsia="黑体"/>
                <w:sz w:val="24"/>
                <w:szCs w:val="24"/>
                <w:u w:val="single"/>
              </w:rPr>
              <w:t xml:space="preserve">                                       </w:t>
            </w:r>
          </w:p>
        </w:tc>
      </w:tr>
    </w:tbl>
    <w:p>
      <w:pPr>
        <w:spacing w:before="936" w:beforeLines="300" w:line="600" w:lineRule="exact"/>
        <w:jc w:val="center"/>
        <w:rPr>
          <w:rFonts w:ascii="黑体" w:hAnsi="黑体" w:eastAsia="黑体"/>
          <w:b/>
          <w:spacing w:val="40"/>
          <w:sz w:val="24"/>
          <w:szCs w:val="24"/>
        </w:rPr>
      </w:pPr>
      <w:r>
        <w:rPr>
          <w:rFonts w:hint="eastAsia" w:ascii="黑体" w:hAnsi="黑体" w:eastAsia="黑体"/>
          <w:b/>
          <w:spacing w:val="40"/>
          <w:sz w:val="24"/>
          <w:szCs w:val="24"/>
        </w:rPr>
        <w:t>日期：</w:t>
      </w:r>
      <w:r>
        <w:rPr>
          <w:rFonts w:hint="eastAsia" w:ascii="黑体" w:hAnsi="黑体" w:eastAsia="黑体"/>
          <w:b/>
          <w:spacing w:val="20"/>
          <w:szCs w:val="21"/>
        </w:rPr>
        <w:t xml:space="preserve">    </w:t>
      </w:r>
      <w:r>
        <w:rPr>
          <w:rFonts w:hint="eastAsia" w:ascii="黑体" w:hAnsi="黑体" w:eastAsia="黑体"/>
          <w:b/>
          <w:spacing w:val="40"/>
          <w:sz w:val="24"/>
          <w:szCs w:val="24"/>
        </w:rPr>
        <w:t>年</w:t>
      </w:r>
      <w:r>
        <w:rPr>
          <w:rFonts w:ascii="黑体" w:hAnsi="黑体" w:eastAsia="黑体"/>
          <w:b/>
          <w:spacing w:val="40"/>
          <w:sz w:val="24"/>
          <w:szCs w:val="24"/>
        </w:rPr>
        <w:t xml:space="preserve">  </w:t>
      </w:r>
      <w:r>
        <w:rPr>
          <w:rFonts w:hint="eastAsia" w:ascii="黑体" w:hAnsi="黑体" w:eastAsia="黑体"/>
          <w:b/>
          <w:spacing w:val="40"/>
          <w:sz w:val="24"/>
          <w:szCs w:val="24"/>
        </w:rPr>
        <w:t>月</w:t>
      </w:r>
      <w:r>
        <w:rPr>
          <w:rFonts w:ascii="黑体" w:hAnsi="黑体" w:eastAsia="黑体"/>
          <w:b/>
          <w:spacing w:val="40"/>
          <w:sz w:val="24"/>
          <w:szCs w:val="24"/>
        </w:rPr>
        <w:t xml:space="preserve">  </w:t>
      </w:r>
      <w:r>
        <w:rPr>
          <w:rFonts w:hint="eastAsia" w:ascii="黑体" w:hAnsi="黑体" w:eastAsia="黑体"/>
          <w:b/>
          <w:spacing w:val="40"/>
          <w:sz w:val="24"/>
          <w:szCs w:val="24"/>
        </w:rPr>
        <w:t>日</w:t>
      </w:r>
    </w:p>
    <w:p>
      <w:pPr>
        <w:spacing w:before="936" w:beforeLines="300" w:line="600" w:lineRule="exact"/>
        <w:jc w:val="center"/>
        <w:rPr>
          <w:rFonts w:ascii="黑体" w:hAnsi="黑体" w:eastAsia="黑体"/>
          <w:b/>
          <w:spacing w:val="40"/>
          <w:sz w:val="24"/>
          <w:szCs w:val="24"/>
        </w:rPr>
      </w:pPr>
    </w:p>
    <w:p>
      <w:pPr>
        <w:rPr>
          <w:rFonts w:ascii="黑体" w:hAnsi="黑体" w:eastAsia="黑体"/>
          <w:b/>
          <w:bCs/>
        </w:rPr>
      </w:pPr>
      <w:bookmarkStart w:id="77" w:name="_Toc391627754"/>
      <w:bookmarkStart w:id="78" w:name="_Toc405313958"/>
      <w:bookmarkStart w:id="79" w:name="_Hlk81205692"/>
      <w:r>
        <w:rPr>
          <w:rFonts w:hint="eastAsia" w:ascii="黑体" w:hAnsi="黑体" w:eastAsia="黑体"/>
          <w:b/>
          <w:bCs/>
        </w:rPr>
        <w:t>投标文件目录（投标文件包括但不限于以下组成内容，请按顺序制作。）</w:t>
      </w:r>
      <w:r>
        <w:rPr>
          <w:rFonts w:ascii="黑体" w:hAnsi="黑体" w:eastAsia="黑体"/>
          <w:b/>
          <w:bCs/>
        </w:rPr>
        <w:cr/>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资格性自查索引表</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符合性自查索引表</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详细评审索引表</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开标一览表</w:t>
      </w:r>
    </w:p>
    <w:p>
      <w:pPr>
        <w:pStyle w:val="30"/>
        <w:numPr>
          <w:ilvl w:val="3"/>
          <w:numId w:val="82"/>
        </w:numPr>
        <w:spacing w:line="360" w:lineRule="auto"/>
        <w:ind w:left="567" w:hanging="425" w:firstLineChars="0"/>
        <w:jc w:val="left"/>
        <w:rPr>
          <w:rFonts w:ascii="黑体" w:hAnsi="黑体" w:eastAsia="黑体"/>
        </w:rPr>
      </w:pPr>
      <w:r>
        <w:rPr>
          <w:rFonts w:hint="eastAsia" w:ascii="黑体" w:hAnsi="黑体" w:eastAsia="黑体"/>
        </w:rPr>
        <w:t>分项报价表</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中小企业声明函（如需）</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残疾人福利性单位声明函（如需）</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监狱企业的证明文件（如需）</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政策适用性说明（如需）</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投标函</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资格声明函</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法定代表人身份证明书</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法定代表人授权委托书</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投标人基本情况说明</w:t>
      </w:r>
    </w:p>
    <w:p>
      <w:pPr>
        <w:spacing w:line="360" w:lineRule="auto"/>
        <w:ind w:left="567" w:hanging="425"/>
        <w:jc w:val="left"/>
        <w:rPr>
          <w:rFonts w:ascii="黑体" w:hAnsi="黑体" w:eastAsia="黑体"/>
        </w:rPr>
      </w:pPr>
      <w:r>
        <w:rPr>
          <w:rFonts w:hint="eastAsia" w:ascii="黑体" w:hAnsi="黑体" w:eastAsia="黑体"/>
        </w:rPr>
        <w:t>1</w:t>
      </w:r>
      <w:r>
        <w:rPr>
          <w:rFonts w:ascii="黑体" w:hAnsi="黑体" w:eastAsia="黑体"/>
        </w:rPr>
        <w:t>4.1</w:t>
      </w:r>
      <w:bookmarkStart w:id="80" w:name="_Hlk81207453"/>
      <w:r>
        <w:rPr>
          <w:rFonts w:hint="eastAsia" w:ascii="黑体" w:hAnsi="黑体" w:eastAsia="黑体"/>
        </w:rPr>
        <w:t>投标人资格证明文件</w:t>
      </w:r>
      <w:bookmarkEnd w:id="80"/>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业绩表</w:t>
      </w:r>
      <w:r>
        <w:rPr>
          <w:rFonts w:ascii="黑体" w:hAnsi="黑体" w:eastAsia="黑体"/>
        </w:rPr>
        <w:tab/>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商务要求偏离表</w:t>
      </w:r>
      <w:r>
        <w:rPr>
          <w:rFonts w:ascii="黑体" w:hAnsi="黑体" w:eastAsia="黑体"/>
        </w:rPr>
        <w:tab/>
      </w:r>
    </w:p>
    <w:p>
      <w:pPr>
        <w:pStyle w:val="30"/>
        <w:numPr>
          <w:ilvl w:val="3"/>
          <w:numId w:val="82"/>
        </w:numPr>
        <w:spacing w:line="360" w:lineRule="auto"/>
        <w:ind w:left="567" w:hanging="425" w:firstLineChars="0"/>
        <w:jc w:val="left"/>
        <w:rPr>
          <w:rFonts w:ascii="黑体" w:hAnsi="黑体" w:eastAsia="黑体"/>
        </w:rPr>
      </w:pPr>
      <w:r>
        <w:rPr>
          <w:rFonts w:hint="eastAsia" w:ascii="黑体" w:hAnsi="黑体" w:eastAsia="黑体"/>
        </w:rPr>
        <w:t>投标货物详细说明</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拟投入本项目设备情况表</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项目技术服务人员情况表</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项目负责人简历表</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技术要求偏离表</w:t>
      </w:r>
    </w:p>
    <w:p>
      <w:pPr>
        <w:pStyle w:val="30"/>
        <w:numPr>
          <w:ilvl w:val="3"/>
          <w:numId w:val="82"/>
        </w:numPr>
        <w:spacing w:line="360" w:lineRule="auto"/>
        <w:ind w:left="567" w:hanging="425" w:firstLineChars="0"/>
        <w:jc w:val="left"/>
        <w:rPr>
          <w:rFonts w:ascii="黑体" w:hAnsi="黑体" w:eastAsia="黑体"/>
        </w:rPr>
      </w:pPr>
      <w:r>
        <w:rPr>
          <w:rFonts w:hint="eastAsia" w:ascii="黑体" w:hAnsi="黑体" w:eastAsia="黑体"/>
        </w:rPr>
        <w:t>★号条款响应一览表（可选）</w:t>
      </w:r>
    </w:p>
    <w:p>
      <w:pPr>
        <w:pStyle w:val="30"/>
        <w:numPr>
          <w:ilvl w:val="3"/>
          <w:numId w:val="82"/>
        </w:numPr>
        <w:spacing w:line="360" w:lineRule="auto"/>
        <w:ind w:left="567" w:hanging="425" w:firstLineChars="0"/>
        <w:jc w:val="left"/>
        <w:rPr>
          <w:rFonts w:ascii="黑体" w:hAnsi="黑体" w:eastAsia="黑体"/>
        </w:rPr>
      </w:pPr>
      <w:r>
        <w:rPr>
          <w:rFonts w:hint="eastAsia" w:ascii="黑体" w:hAnsi="黑体" w:eastAsia="黑体"/>
        </w:rPr>
        <w:t>▲号条款要求扣分明细响应表（可选）</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投标保证金汇入情况说明（</w:t>
      </w:r>
      <w:r>
        <w:rPr>
          <w:rFonts w:hint="eastAsia" w:ascii="黑体" w:hAnsi="黑体" w:eastAsia="黑体"/>
        </w:rPr>
        <w:t>或</w:t>
      </w:r>
      <w:r>
        <w:rPr>
          <w:rFonts w:ascii="黑体" w:hAnsi="黑体" w:eastAsia="黑体"/>
        </w:rPr>
        <w:t>政府采购投标担保函递交情况说明）</w:t>
      </w:r>
    </w:p>
    <w:p>
      <w:pPr>
        <w:pStyle w:val="30"/>
        <w:numPr>
          <w:ilvl w:val="3"/>
          <w:numId w:val="82"/>
        </w:numPr>
        <w:spacing w:line="360" w:lineRule="auto"/>
        <w:ind w:left="567" w:hanging="425" w:firstLineChars="0"/>
        <w:jc w:val="left"/>
        <w:rPr>
          <w:rFonts w:ascii="黑体" w:hAnsi="黑体" w:eastAsia="黑体"/>
        </w:rPr>
      </w:pPr>
      <w:r>
        <w:rPr>
          <w:rFonts w:ascii="黑体" w:hAnsi="黑体" w:eastAsia="黑体"/>
        </w:rPr>
        <w:t>项目实施方案（投标人自行编写）</w:t>
      </w:r>
    </w:p>
    <w:p>
      <w:pPr>
        <w:spacing w:line="360" w:lineRule="auto"/>
        <w:jc w:val="left"/>
        <w:rPr>
          <w:rFonts w:ascii="黑体" w:hAnsi="黑体" w:eastAsia="黑体"/>
        </w:rPr>
      </w:pPr>
    </w:p>
    <w:p/>
    <w:p>
      <w:pPr>
        <w:pStyle w:val="30"/>
        <w:pageBreakBefore/>
        <w:numPr>
          <w:ilvl w:val="0"/>
          <w:numId w:val="83"/>
        </w:numPr>
        <w:tabs>
          <w:tab w:val="left" w:pos="284"/>
          <w:tab w:val="left" w:pos="426"/>
          <w:tab w:val="left" w:pos="709"/>
        </w:tabs>
        <w:ind w:left="1679" w:hanging="1537" w:firstLineChars="0"/>
        <w:jc w:val="left"/>
        <w:rPr>
          <w:rFonts w:ascii="黑体" w:hAnsi="黑体" w:eastAsia="黑体"/>
          <w:b/>
          <w:bCs/>
        </w:rPr>
      </w:pPr>
      <w:r>
        <w:rPr>
          <w:rFonts w:hint="eastAsia" w:ascii="黑体" w:hAnsi="黑体" w:eastAsia="黑体"/>
          <w:b/>
          <w:bCs/>
        </w:rPr>
        <w:t>资格性自查索引表</w:t>
      </w:r>
    </w:p>
    <w:p>
      <w:pPr>
        <w:spacing w:before="312" w:beforeLines="100" w:after="312" w:afterLines="100"/>
        <w:jc w:val="center"/>
        <w:rPr>
          <w:rFonts w:ascii="黑体" w:hAnsi="黑体" w:eastAsia="黑体" w:cs="Times New Roman"/>
          <w:b/>
          <w:spacing w:val="20"/>
          <w:sz w:val="30"/>
          <w:szCs w:val="30"/>
        </w:rPr>
      </w:pPr>
      <w:r>
        <w:rPr>
          <w:rFonts w:hint="eastAsia" w:ascii="黑体" w:hAnsi="黑体" w:eastAsia="黑体" w:cs="Times New Roman"/>
          <w:b/>
          <w:spacing w:val="20"/>
          <w:sz w:val="30"/>
          <w:szCs w:val="30"/>
        </w:rPr>
        <w:t>资格性自查索引表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936"/>
        <w:gridCol w:w="131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黑体" w:hAnsi="黑体" w:eastAsia="黑体"/>
                <w:b/>
                <w:bCs/>
                <w:szCs w:val="21"/>
              </w:rPr>
            </w:pPr>
            <w:r>
              <w:rPr>
                <w:rFonts w:hint="eastAsia" w:ascii="黑体" w:hAnsi="黑体" w:eastAsia="黑体"/>
                <w:b/>
                <w:bCs/>
                <w:szCs w:val="21"/>
              </w:rPr>
              <w:t>序号</w:t>
            </w:r>
          </w:p>
        </w:tc>
        <w:tc>
          <w:tcPr>
            <w:tcW w:w="2815" w:type="pct"/>
            <w:tcBorders>
              <w:bottom w:val="single" w:color="auto" w:sz="4" w:space="0"/>
              <w:tl2br w:val="nil"/>
            </w:tcBorders>
            <w:vAlign w:val="center"/>
          </w:tcPr>
          <w:p>
            <w:pPr>
              <w:spacing w:line="360" w:lineRule="auto"/>
              <w:ind w:left="211" w:hanging="211" w:hangingChars="100"/>
              <w:jc w:val="center"/>
              <w:rPr>
                <w:rFonts w:ascii="黑体" w:hAnsi="黑体" w:eastAsia="黑体"/>
                <w:b/>
                <w:bCs/>
                <w:szCs w:val="21"/>
              </w:rPr>
            </w:pPr>
            <w:r>
              <w:rPr>
                <w:rFonts w:hint="eastAsia" w:ascii="黑体" w:hAnsi="黑体" w:eastAsia="黑体"/>
                <w:b/>
                <w:bCs/>
                <w:szCs w:val="21"/>
              </w:rPr>
              <w:t>审查内容</w:t>
            </w:r>
          </w:p>
        </w:tc>
        <w:tc>
          <w:tcPr>
            <w:tcW w:w="748" w:type="pct"/>
            <w:vAlign w:val="center"/>
          </w:tcPr>
          <w:p>
            <w:pPr>
              <w:spacing w:line="360" w:lineRule="auto"/>
              <w:jc w:val="center"/>
              <w:rPr>
                <w:rFonts w:ascii="黑体" w:hAnsi="黑体" w:eastAsia="黑体"/>
                <w:b/>
                <w:bCs/>
                <w:szCs w:val="21"/>
              </w:rPr>
            </w:pPr>
            <w:r>
              <w:rPr>
                <w:rFonts w:hint="eastAsia" w:ascii="黑体" w:hAnsi="黑体" w:eastAsia="黑体"/>
                <w:b/>
                <w:bCs/>
                <w:szCs w:val="21"/>
              </w:rPr>
              <w:t>自查</w:t>
            </w:r>
          </w:p>
          <w:p>
            <w:pPr>
              <w:spacing w:line="360" w:lineRule="auto"/>
              <w:jc w:val="center"/>
              <w:rPr>
                <w:rFonts w:ascii="黑体" w:hAnsi="黑体" w:eastAsia="黑体"/>
                <w:b/>
                <w:bCs/>
                <w:szCs w:val="21"/>
              </w:rPr>
            </w:pPr>
            <w:r>
              <w:rPr>
                <w:rFonts w:hint="eastAsia" w:ascii="黑体" w:hAnsi="黑体" w:eastAsia="黑体"/>
                <w:b/>
                <w:bCs/>
                <w:szCs w:val="21"/>
              </w:rPr>
              <w:t>结论</w:t>
            </w:r>
          </w:p>
        </w:tc>
        <w:tc>
          <w:tcPr>
            <w:tcW w:w="1030" w:type="pct"/>
            <w:vAlign w:val="center"/>
          </w:tcPr>
          <w:p>
            <w:pPr>
              <w:spacing w:line="360" w:lineRule="auto"/>
              <w:jc w:val="center"/>
              <w:rPr>
                <w:rFonts w:ascii="黑体" w:hAnsi="黑体" w:eastAsia="黑体"/>
                <w:b/>
                <w:bCs/>
                <w:spacing w:val="-10"/>
                <w:szCs w:val="21"/>
              </w:rPr>
            </w:pPr>
            <w:r>
              <w:rPr>
                <w:rFonts w:ascii="黑体" w:hAnsi="黑体" w:eastAsia="黑体"/>
                <w:b/>
                <w:bCs/>
                <w:spacing w:val="-10"/>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1</w:t>
            </w:r>
          </w:p>
        </w:tc>
        <w:tc>
          <w:tcPr>
            <w:tcW w:w="2815" w:type="pct"/>
            <w:tcBorders>
              <w:tl2br w:val="nil"/>
            </w:tcBorders>
            <w:vAlign w:val="center"/>
          </w:tcPr>
          <w:p>
            <w:pPr>
              <w:jc w:val="left"/>
              <w:rPr>
                <w:rFonts w:ascii="黑体" w:hAnsi="黑体" w:eastAsia="黑体"/>
              </w:rPr>
            </w:pPr>
          </w:p>
        </w:tc>
        <w:tc>
          <w:tcPr>
            <w:tcW w:w="748" w:type="pct"/>
            <w:vAlign w:val="center"/>
          </w:tcPr>
          <w:p>
            <w:pPr>
              <w:spacing w:line="360" w:lineRule="auto"/>
              <w:jc w:val="center"/>
              <w:rPr>
                <w:rFonts w:ascii="黑体" w:hAnsi="黑体" w:eastAsia="黑体"/>
                <w:bCs/>
                <w:szCs w:val="21"/>
              </w:rPr>
            </w:pPr>
          </w:p>
        </w:tc>
        <w:tc>
          <w:tcPr>
            <w:tcW w:w="1030" w:type="pct"/>
            <w:vAlign w:val="center"/>
          </w:tcPr>
          <w:p>
            <w:pPr>
              <w:spacing w:line="360" w:lineRule="auto"/>
              <w:jc w:val="center"/>
              <w:rPr>
                <w:rFonts w:ascii="黑体" w:hAnsi="黑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2</w:t>
            </w:r>
          </w:p>
        </w:tc>
        <w:tc>
          <w:tcPr>
            <w:tcW w:w="2815" w:type="pct"/>
            <w:vAlign w:val="center"/>
          </w:tcPr>
          <w:p>
            <w:pPr>
              <w:spacing w:line="360" w:lineRule="auto"/>
              <w:jc w:val="left"/>
              <w:rPr>
                <w:rFonts w:ascii="黑体" w:hAnsi="黑体" w:eastAsia="黑体"/>
                <w:b/>
                <w:bCs/>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3</w:t>
            </w:r>
          </w:p>
        </w:tc>
        <w:tc>
          <w:tcPr>
            <w:tcW w:w="2815" w:type="pct"/>
            <w:vAlign w:val="center"/>
          </w:tcPr>
          <w:p>
            <w:pPr>
              <w:spacing w:line="360" w:lineRule="auto"/>
              <w:jc w:val="left"/>
              <w:rPr>
                <w:rFonts w:ascii="黑体" w:hAnsi="黑体" w:eastAsia="黑体"/>
                <w:b/>
                <w:bCs/>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4</w:t>
            </w:r>
          </w:p>
        </w:tc>
        <w:tc>
          <w:tcPr>
            <w:tcW w:w="2815" w:type="pct"/>
            <w:vAlign w:val="center"/>
          </w:tcPr>
          <w:p>
            <w:pPr>
              <w:spacing w:line="360" w:lineRule="auto"/>
              <w:jc w:val="left"/>
              <w:rPr>
                <w:rFonts w:ascii="黑体" w:hAnsi="黑体" w:eastAsia="黑体"/>
                <w:b/>
                <w:bCs/>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bl>
    <w:p>
      <w:pPr>
        <w:spacing w:before="156" w:beforeLines="50" w:line="360" w:lineRule="auto"/>
        <w:rPr>
          <w:rFonts w:ascii="黑体" w:hAnsi="黑体" w:eastAsia="黑体"/>
        </w:rPr>
      </w:pPr>
      <w:r>
        <w:rPr>
          <w:rFonts w:hint="eastAsia" w:ascii="黑体" w:hAnsi="黑体" w:eastAsia="黑体"/>
        </w:rPr>
        <w:t>注明：</w:t>
      </w:r>
    </w:p>
    <w:p>
      <w:pPr>
        <w:pStyle w:val="30"/>
        <w:numPr>
          <w:ilvl w:val="0"/>
          <w:numId w:val="84"/>
        </w:numPr>
        <w:spacing w:line="360" w:lineRule="auto"/>
        <w:ind w:firstLineChars="0"/>
        <w:rPr>
          <w:rFonts w:ascii="黑体" w:hAnsi="黑体" w:eastAsia="黑体"/>
        </w:rPr>
      </w:pPr>
      <w:r>
        <w:rPr>
          <w:rFonts w:hint="eastAsia" w:ascii="黑体" w:hAnsi="黑体" w:eastAsia="黑体"/>
        </w:rPr>
        <w:t>自查结论处请填写：通过</w:t>
      </w:r>
      <w:r>
        <w:rPr>
          <w:rFonts w:ascii="黑体" w:hAnsi="黑体" w:eastAsia="黑体"/>
        </w:rPr>
        <w:t>/不通过；</w:t>
      </w:r>
    </w:p>
    <w:p>
      <w:pPr>
        <w:pStyle w:val="30"/>
        <w:numPr>
          <w:ilvl w:val="0"/>
          <w:numId w:val="84"/>
        </w:numPr>
        <w:spacing w:line="360" w:lineRule="auto"/>
        <w:ind w:firstLineChars="0"/>
        <w:rPr>
          <w:rFonts w:ascii="黑体" w:hAnsi="黑体" w:eastAsia="黑体"/>
        </w:rPr>
      </w:pPr>
      <w:r>
        <w:rPr>
          <w:rFonts w:hint="eastAsia" w:ascii="黑体" w:hAnsi="黑体" w:eastAsia="黑体"/>
          <w:szCs w:val="21"/>
        </w:rPr>
        <w:t>按招标文件第五部分</w:t>
      </w:r>
      <w:r>
        <w:rPr>
          <w:rFonts w:ascii="黑体" w:hAnsi="黑体" w:eastAsia="黑体"/>
          <w:szCs w:val="21"/>
        </w:rPr>
        <w:t xml:space="preserve"> </w:t>
      </w:r>
      <w:r>
        <w:rPr>
          <w:rFonts w:hint="eastAsia" w:ascii="黑体" w:hAnsi="黑体" w:eastAsia="黑体"/>
          <w:szCs w:val="21"/>
        </w:rPr>
        <w:t>评标方法、步骤、标准之附表资格性审查表（</w:t>
      </w:r>
      <w:r>
        <w:rPr>
          <w:rFonts w:hint="eastAsia" w:ascii="黑体" w:hAnsi="黑体" w:eastAsia="黑体"/>
          <w:kern w:val="0"/>
          <w:szCs w:val="21"/>
        </w:rPr>
        <w:t>附表一）</w:t>
      </w:r>
      <w:r>
        <w:rPr>
          <w:rFonts w:hint="eastAsia" w:ascii="黑体" w:hAnsi="黑体" w:eastAsia="黑体"/>
          <w:szCs w:val="21"/>
        </w:rPr>
        <w:t>相对应条款填写</w:t>
      </w:r>
      <w:r>
        <w:rPr>
          <w:rFonts w:hint="eastAsia" w:ascii="黑体" w:hAnsi="黑体" w:eastAsia="黑体"/>
        </w:rPr>
        <w:t>。</w:t>
      </w:r>
    </w:p>
    <w:p>
      <w:pPr>
        <w:spacing w:line="360" w:lineRule="auto"/>
        <w:rPr>
          <w:rFonts w:ascii="黑体" w:hAnsi="黑体" w:eastAsia="黑体"/>
        </w:rPr>
      </w:pPr>
    </w:p>
    <w:p>
      <w:pPr>
        <w:spacing w:line="360" w:lineRule="auto"/>
        <w:rPr>
          <w:rFonts w:ascii="黑体" w:hAnsi="黑体" w:eastAsia="黑体"/>
        </w:rPr>
      </w:pPr>
    </w:p>
    <w:p>
      <w:pPr>
        <w:spacing w:line="360" w:lineRule="auto"/>
        <w:rPr>
          <w:rFonts w:ascii="黑体" w:hAnsi="黑体" w:eastAsia="黑体"/>
        </w:rPr>
      </w:pPr>
    </w:p>
    <w:tbl>
      <w:tblPr>
        <w:tblStyle w:val="20"/>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rPr>
          <w:rFonts w:ascii="黑体" w:hAnsi="黑体" w:eastAsia="黑体"/>
        </w:rPr>
      </w:pPr>
    </w:p>
    <w:p>
      <w:pPr>
        <w:rPr>
          <w:rFonts w:ascii="黑体" w:hAnsi="黑体" w:eastAsia="黑体"/>
        </w:rPr>
      </w:pPr>
    </w:p>
    <w:p>
      <w:pPr>
        <w:rPr>
          <w:rFonts w:ascii="黑体" w:hAnsi="黑体" w:eastAsia="黑体"/>
        </w:rPr>
      </w:pPr>
    </w:p>
    <w:p>
      <w:pPr>
        <w:pStyle w:val="30"/>
        <w:pageBreakBefore/>
        <w:numPr>
          <w:ilvl w:val="0"/>
          <w:numId w:val="83"/>
        </w:numPr>
        <w:tabs>
          <w:tab w:val="left" w:pos="284"/>
          <w:tab w:val="left" w:pos="426"/>
          <w:tab w:val="left" w:pos="709"/>
        </w:tabs>
        <w:ind w:left="1679" w:hanging="1537" w:firstLineChars="0"/>
        <w:jc w:val="left"/>
        <w:rPr>
          <w:rFonts w:ascii="黑体" w:hAnsi="黑体" w:eastAsia="黑体"/>
          <w:b/>
          <w:bCs/>
        </w:rPr>
      </w:pPr>
      <w:r>
        <w:rPr>
          <w:rFonts w:hint="eastAsia" w:ascii="黑体" w:hAnsi="黑体" w:eastAsia="黑体"/>
          <w:b/>
          <w:bCs/>
        </w:rPr>
        <w:t>符合性自查索引表</w:t>
      </w:r>
    </w:p>
    <w:p>
      <w:pPr>
        <w:spacing w:before="312" w:beforeLines="100" w:after="312" w:afterLines="100"/>
        <w:jc w:val="center"/>
        <w:rPr>
          <w:rFonts w:ascii="黑体" w:hAnsi="黑体" w:eastAsia="黑体" w:cs="Times New Roman"/>
          <w:b/>
          <w:spacing w:val="20"/>
          <w:sz w:val="30"/>
          <w:szCs w:val="30"/>
        </w:rPr>
      </w:pPr>
      <w:r>
        <w:rPr>
          <w:rFonts w:hint="eastAsia" w:ascii="黑体" w:hAnsi="黑体" w:eastAsia="黑体" w:cs="Times New Roman"/>
          <w:b/>
          <w:spacing w:val="20"/>
          <w:sz w:val="30"/>
          <w:szCs w:val="30"/>
        </w:rPr>
        <w:t>符合性自查索引表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936"/>
        <w:gridCol w:w="131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黑体" w:hAnsi="黑体" w:eastAsia="黑体"/>
                <w:b/>
                <w:bCs/>
                <w:szCs w:val="21"/>
              </w:rPr>
            </w:pPr>
            <w:r>
              <w:rPr>
                <w:rFonts w:hint="eastAsia" w:ascii="黑体" w:hAnsi="黑体" w:eastAsia="黑体"/>
                <w:b/>
                <w:bCs/>
                <w:szCs w:val="21"/>
              </w:rPr>
              <w:t>序号</w:t>
            </w:r>
          </w:p>
        </w:tc>
        <w:tc>
          <w:tcPr>
            <w:tcW w:w="2815" w:type="pct"/>
            <w:tcBorders>
              <w:bottom w:val="single" w:color="auto" w:sz="4" w:space="0"/>
              <w:tl2br w:val="nil"/>
            </w:tcBorders>
            <w:vAlign w:val="center"/>
          </w:tcPr>
          <w:p>
            <w:pPr>
              <w:spacing w:line="360" w:lineRule="auto"/>
              <w:ind w:left="211" w:hanging="211" w:hangingChars="100"/>
              <w:jc w:val="center"/>
              <w:rPr>
                <w:rFonts w:ascii="黑体" w:hAnsi="黑体" w:eastAsia="黑体"/>
                <w:b/>
                <w:bCs/>
                <w:szCs w:val="21"/>
              </w:rPr>
            </w:pPr>
            <w:r>
              <w:rPr>
                <w:rFonts w:hint="eastAsia" w:ascii="黑体" w:hAnsi="黑体" w:eastAsia="黑体"/>
                <w:b/>
                <w:bCs/>
                <w:szCs w:val="21"/>
              </w:rPr>
              <w:t>审查内容</w:t>
            </w:r>
          </w:p>
        </w:tc>
        <w:tc>
          <w:tcPr>
            <w:tcW w:w="748" w:type="pct"/>
            <w:vAlign w:val="center"/>
          </w:tcPr>
          <w:p>
            <w:pPr>
              <w:spacing w:line="360" w:lineRule="auto"/>
              <w:jc w:val="center"/>
              <w:rPr>
                <w:rFonts w:ascii="黑体" w:hAnsi="黑体" w:eastAsia="黑体"/>
                <w:b/>
                <w:bCs/>
                <w:szCs w:val="21"/>
              </w:rPr>
            </w:pPr>
            <w:r>
              <w:rPr>
                <w:rFonts w:hint="eastAsia" w:ascii="黑体" w:hAnsi="黑体" w:eastAsia="黑体"/>
                <w:b/>
                <w:bCs/>
                <w:szCs w:val="21"/>
              </w:rPr>
              <w:t>自查</w:t>
            </w:r>
          </w:p>
          <w:p>
            <w:pPr>
              <w:spacing w:line="360" w:lineRule="auto"/>
              <w:jc w:val="center"/>
              <w:rPr>
                <w:rFonts w:ascii="黑体" w:hAnsi="黑体" w:eastAsia="黑体"/>
                <w:b/>
                <w:bCs/>
                <w:szCs w:val="21"/>
              </w:rPr>
            </w:pPr>
            <w:r>
              <w:rPr>
                <w:rFonts w:hint="eastAsia" w:ascii="黑体" w:hAnsi="黑体" w:eastAsia="黑体"/>
                <w:b/>
                <w:bCs/>
                <w:szCs w:val="21"/>
              </w:rPr>
              <w:t>结论</w:t>
            </w:r>
          </w:p>
        </w:tc>
        <w:tc>
          <w:tcPr>
            <w:tcW w:w="1030" w:type="pct"/>
            <w:vAlign w:val="center"/>
          </w:tcPr>
          <w:p>
            <w:pPr>
              <w:spacing w:line="360" w:lineRule="auto"/>
              <w:jc w:val="center"/>
              <w:rPr>
                <w:rFonts w:ascii="黑体" w:hAnsi="黑体" w:eastAsia="黑体"/>
                <w:b/>
                <w:bCs/>
                <w:spacing w:val="-10"/>
                <w:szCs w:val="21"/>
              </w:rPr>
            </w:pPr>
            <w:r>
              <w:rPr>
                <w:rFonts w:ascii="黑体" w:hAnsi="黑体" w:eastAsia="黑体"/>
                <w:b/>
                <w:bCs/>
                <w:spacing w:val="-10"/>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1</w:t>
            </w:r>
          </w:p>
        </w:tc>
        <w:tc>
          <w:tcPr>
            <w:tcW w:w="2815" w:type="pct"/>
            <w:tcBorders>
              <w:tl2br w:val="nil"/>
            </w:tcBorders>
            <w:vAlign w:val="center"/>
          </w:tcPr>
          <w:p>
            <w:pPr>
              <w:jc w:val="left"/>
              <w:rPr>
                <w:rFonts w:ascii="黑体" w:hAnsi="黑体" w:eastAsia="黑体"/>
              </w:rPr>
            </w:pPr>
          </w:p>
        </w:tc>
        <w:tc>
          <w:tcPr>
            <w:tcW w:w="748" w:type="pct"/>
            <w:vAlign w:val="center"/>
          </w:tcPr>
          <w:p>
            <w:pPr>
              <w:spacing w:line="360" w:lineRule="auto"/>
              <w:jc w:val="center"/>
              <w:rPr>
                <w:rFonts w:ascii="黑体" w:hAnsi="黑体" w:eastAsia="黑体"/>
                <w:bCs/>
                <w:szCs w:val="21"/>
              </w:rPr>
            </w:pPr>
          </w:p>
        </w:tc>
        <w:tc>
          <w:tcPr>
            <w:tcW w:w="1030" w:type="pct"/>
            <w:vAlign w:val="center"/>
          </w:tcPr>
          <w:p>
            <w:pPr>
              <w:spacing w:line="360" w:lineRule="auto"/>
              <w:jc w:val="center"/>
              <w:rPr>
                <w:rFonts w:ascii="黑体" w:hAnsi="黑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2</w:t>
            </w:r>
          </w:p>
        </w:tc>
        <w:tc>
          <w:tcPr>
            <w:tcW w:w="2815" w:type="pct"/>
            <w:vAlign w:val="center"/>
          </w:tcPr>
          <w:p>
            <w:pPr>
              <w:spacing w:line="360" w:lineRule="auto"/>
              <w:jc w:val="left"/>
              <w:rPr>
                <w:rFonts w:ascii="黑体" w:hAnsi="黑体" w:eastAsia="黑体"/>
                <w:b/>
                <w:bCs/>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3</w:t>
            </w:r>
          </w:p>
        </w:tc>
        <w:tc>
          <w:tcPr>
            <w:tcW w:w="2815" w:type="pct"/>
            <w:vAlign w:val="center"/>
          </w:tcPr>
          <w:p>
            <w:pPr>
              <w:spacing w:line="360" w:lineRule="auto"/>
              <w:jc w:val="left"/>
              <w:rPr>
                <w:rFonts w:ascii="黑体" w:hAnsi="黑体" w:eastAsia="黑体"/>
                <w:b/>
                <w:bCs/>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4</w:t>
            </w:r>
          </w:p>
        </w:tc>
        <w:tc>
          <w:tcPr>
            <w:tcW w:w="2815" w:type="pct"/>
            <w:vAlign w:val="center"/>
          </w:tcPr>
          <w:p>
            <w:pPr>
              <w:spacing w:line="360" w:lineRule="auto"/>
              <w:jc w:val="left"/>
              <w:rPr>
                <w:rFonts w:ascii="黑体" w:hAnsi="黑体" w:eastAsia="黑体"/>
                <w:b/>
                <w:bCs/>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5</w:t>
            </w:r>
          </w:p>
        </w:tc>
        <w:tc>
          <w:tcPr>
            <w:tcW w:w="2815" w:type="pct"/>
            <w:vAlign w:val="center"/>
          </w:tcPr>
          <w:p>
            <w:pPr>
              <w:spacing w:line="360" w:lineRule="auto"/>
              <w:jc w:val="left"/>
              <w:rPr>
                <w:rFonts w:ascii="黑体" w:hAnsi="黑体" w:eastAsia="黑体"/>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6</w:t>
            </w:r>
          </w:p>
        </w:tc>
        <w:tc>
          <w:tcPr>
            <w:tcW w:w="2815" w:type="pct"/>
            <w:vAlign w:val="center"/>
          </w:tcPr>
          <w:p>
            <w:pPr>
              <w:spacing w:line="360" w:lineRule="auto"/>
              <w:jc w:val="left"/>
              <w:rPr>
                <w:rFonts w:ascii="黑体" w:hAnsi="黑体" w:eastAsia="黑体"/>
                <w:b/>
                <w:bCs/>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7</w:t>
            </w:r>
          </w:p>
        </w:tc>
        <w:tc>
          <w:tcPr>
            <w:tcW w:w="2815" w:type="pct"/>
            <w:vAlign w:val="center"/>
          </w:tcPr>
          <w:p>
            <w:pPr>
              <w:spacing w:line="360" w:lineRule="auto"/>
              <w:jc w:val="left"/>
              <w:rPr>
                <w:rFonts w:ascii="黑体" w:hAnsi="黑体" w:eastAsia="黑体"/>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8</w:t>
            </w:r>
          </w:p>
        </w:tc>
        <w:tc>
          <w:tcPr>
            <w:tcW w:w="2815" w:type="pct"/>
            <w:vAlign w:val="center"/>
          </w:tcPr>
          <w:p>
            <w:pPr>
              <w:spacing w:line="360" w:lineRule="auto"/>
              <w:jc w:val="left"/>
              <w:rPr>
                <w:rFonts w:ascii="黑体" w:hAnsi="黑体" w:eastAsia="黑体"/>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07" w:type="pct"/>
            <w:vAlign w:val="center"/>
          </w:tcPr>
          <w:p>
            <w:pPr>
              <w:spacing w:line="360" w:lineRule="auto"/>
              <w:jc w:val="center"/>
              <w:rPr>
                <w:rFonts w:ascii="黑体" w:hAnsi="黑体" w:eastAsia="黑体"/>
                <w:bCs/>
                <w:szCs w:val="21"/>
              </w:rPr>
            </w:pPr>
            <w:r>
              <w:rPr>
                <w:rFonts w:ascii="黑体" w:hAnsi="黑体" w:eastAsia="黑体"/>
                <w:bCs/>
                <w:szCs w:val="21"/>
              </w:rPr>
              <w:t>9</w:t>
            </w:r>
          </w:p>
        </w:tc>
        <w:tc>
          <w:tcPr>
            <w:tcW w:w="2815" w:type="pct"/>
            <w:vAlign w:val="center"/>
          </w:tcPr>
          <w:p>
            <w:pPr>
              <w:spacing w:line="360" w:lineRule="auto"/>
              <w:jc w:val="left"/>
              <w:rPr>
                <w:rFonts w:ascii="黑体" w:hAnsi="黑体" w:eastAsia="黑体"/>
                <w:bCs/>
                <w:szCs w:val="21"/>
              </w:rPr>
            </w:pPr>
          </w:p>
        </w:tc>
        <w:tc>
          <w:tcPr>
            <w:tcW w:w="748" w:type="pct"/>
            <w:vAlign w:val="center"/>
          </w:tcPr>
          <w:p>
            <w:pPr>
              <w:spacing w:line="360" w:lineRule="auto"/>
              <w:jc w:val="center"/>
              <w:rPr>
                <w:rFonts w:ascii="黑体" w:hAnsi="黑体" w:eastAsia="黑体"/>
                <w:b/>
                <w:bCs/>
                <w:szCs w:val="21"/>
              </w:rPr>
            </w:pPr>
          </w:p>
        </w:tc>
        <w:tc>
          <w:tcPr>
            <w:tcW w:w="1030" w:type="pct"/>
            <w:vAlign w:val="center"/>
          </w:tcPr>
          <w:p>
            <w:pPr>
              <w:spacing w:line="360" w:lineRule="auto"/>
              <w:jc w:val="center"/>
              <w:rPr>
                <w:rFonts w:ascii="黑体" w:hAnsi="黑体" w:eastAsia="黑体"/>
                <w:b/>
                <w:bCs/>
                <w:szCs w:val="21"/>
              </w:rPr>
            </w:pPr>
          </w:p>
        </w:tc>
      </w:tr>
    </w:tbl>
    <w:p>
      <w:pPr>
        <w:spacing w:before="156" w:beforeLines="50" w:line="360" w:lineRule="auto"/>
        <w:rPr>
          <w:rFonts w:ascii="黑体" w:hAnsi="黑体" w:eastAsia="黑体"/>
        </w:rPr>
      </w:pPr>
      <w:r>
        <w:rPr>
          <w:rFonts w:hint="eastAsia" w:ascii="黑体" w:hAnsi="黑体" w:eastAsia="黑体"/>
        </w:rPr>
        <w:t>注明：</w:t>
      </w:r>
    </w:p>
    <w:p>
      <w:pPr>
        <w:pStyle w:val="30"/>
        <w:numPr>
          <w:ilvl w:val="0"/>
          <w:numId w:val="85"/>
        </w:numPr>
        <w:spacing w:line="360" w:lineRule="auto"/>
        <w:ind w:firstLineChars="0"/>
        <w:rPr>
          <w:rFonts w:ascii="黑体" w:hAnsi="黑体" w:eastAsia="黑体"/>
        </w:rPr>
      </w:pPr>
      <w:r>
        <w:rPr>
          <w:rFonts w:hint="eastAsia" w:ascii="黑体" w:hAnsi="黑体" w:eastAsia="黑体"/>
        </w:rPr>
        <w:t>自查结论处请填写：通过</w:t>
      </w:r>
      <w:r>
        <w:rPr>
          <w:rFonts w:ascii="黑体" w:hAnsi="黑体" w:eastAsia="黑体"/>
        </w:rPr>
        <w:t>/不通过</w:t>
      </w:r>
      <w:r>
        <w:rPr>
          <w:rFonts w:hint="eastAsia" w:ascii="黑体" w:hAnsi="黑体" w:eastAsia="黑体"/>
        </w:rPr>
        <w:t>；</w:t>
      </w:r>
    </w:p>
    <w:p>
      <w:pPr>
        <w:pStyle w:val="30"/>
        <w:numPr>
          <w:ilvl w:val="0"/>
          <w:numId w:val="85"/>
        </w:numPr>
        <w:spacing w:line="360" w:lineRule="auto"/>
        <w:ind w:firstLineChars="0"/>
        <w:rPr>
          <w:rFonts w:ascii="黑体" w:hAnsi="黑体" w:eastAsia="黑体"/>
        </w:rPr>
      </w:pPr>
      <w:r>
        <w:rPr>
          <w:rFonts w:hint="eastAsia" w:ascii="黑体" w:hAnsi="黑体" w:eastAsia="黑体"/>
          <w:szCs w:val="21"/>
        </w:rPr>
        <w:t>按招标文件第五部分</w:t>
      </w:r>
      <w:r>
        <w:rPr>
          <w:rFonts w:ascii="黑体" w:hAnsi="黑体" w:eastAsia="黑体"/>
          <w:szCs w:val="21"/>
        </w:rPr>
        <w:t xml:space="preserve"> </w:t>
      </w:r>
      <w:r>
        <w:rPr>
          <w:rFonts w:hint="eastAsia" w:ascii="黑体" w:hAnsi="黑体" w:eastAsia="黑体"/>
          <w:szCs w:val="21"/>
        </w:rPr>
        <w:t>评标方法、步骤、标准之符合性审查表（</w:t>
      </w:r>
      <w:r>
        <w:rPr>
          <w:rFonts w:hint="eastAsia" w:ascii="黑体" w:hAnsi="黑体" w:eastAsia="黑体"/>
          <w:kern w:val="0"/>
          <w:szCs w:val="21"/>
        </w:rPr>
        <w:t>附表二）</w:t>
      </w:r>
      <w:r>
        <w:rPr>
          <w:rFonts w:hint="eastAsia" w:ascii="黑体" w:hAnsi="黑体" w:eastAsia="黑体"/>
          <w:szCs w:val="21"/>
        </w:rPr>
        <w:t>相对应条款填写</w:t>
      </w:r>
      <w:r>
        <w:rPr>
          <w:rFonts w:hint="eastAsia" w:ascii="黑体" w:hAnsi="黑体" w:eastAsia="黑体"/>
        </w:rPr>
        <w:t>。</w:t>
      </w:r>
    </w:p>
    <w:p>
      <w:pPr>
        <w:spacing w:line="360" w:lineRule="auto"/>
        <w:rPr>
          <w:rFonts w:ascii="黑体" w:hAnsi="黑体" w:eastAsia="黑体"/>
        </w:rPr>
      </w:pPr>
    </w:p>
    <w:p>
      <w:pPr>
        <w:spacing w:line="360" w:lineRule="auto"/>
        <w:rPr>
          <w:rFonts w:ascii="黑体" w:hAnsi="黑体" w:eastAsia="黑体"/>
        </w:rPr>
      </w:pPr>
    </w:p>
    <w:tbl>
      <w:tblPr>
        <w:tblStyle w:val="20"/>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pStyle w:val="30"/>
        <w:pageBreakBefore/>
        <w:numPr>
          <w:ilvl w:val="0"/>
          <w:numId w:val="83"/>
        </w:numPr>
        <w:tabs>
          <w:tab w:val="left" w:pos="284"/>
          <w:tab w:val="left" w:pos="426"/>
          <w:tab w:val="left" w:pos="709"/>
        </w:tabs>
        <w:ind w:left="1679" w:hanging="1537" w:firstLineChars="0"/>
        <w:jc w:val="left"/>
        <w:rPr>
          <w:rFonts w:ascii="黑体" w:hAnsi="黑体" w:eastAsia="黑体"/>
          <w:b/>
          <w:bCs/>
        </w:rPr>
      </w:pPr>
      <w:r>
        <w:rPr>
          <w:rFonts w:hint="eastAsia" w:ascii="黑体" w:hAnsi="黑体" w:eastAsia="黑体"/>
          <w:b/>
          <w:bCs/>
        </w:rPr>
        <w:t>详细评审索引表</w:t>
      </w:r>
    </w:p>
    <w:p>
      <w:pPr>
        <w:spacing w:before="312" w:beforeLines="100" w:after="312" w:afterLines="100"/>
        <w:jc w:val="center"/>
        <w:rPr>
          <w:rFonts w:ascii="黑体" w:hAnsi="黑体" w:eastAsia="黑体"/>
          <w:b/>
          <w:spacing w:val="20"/>
          <w:sz w:val="30"/>
          <w:szCs w:val="30"/>
        </w:rPr>
      </w:pPr>
      <w:r>
        <w:rPr>
          <w:rFonts w:hint="eastAsia" w:ascii="黑体" w:hAnsi="黑体" w:eastAsia="黑体"/>
          <w:b/>
          <w:spacing w:val="20"/>
          <w:sz w:val="30"/>
          <w:szCs w:val="30"/>
        </w:rPr>
        <w:t>详细评审索引表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黑体" w:hAnsi="黑体" w:eastAsia="黑体"/>
                <w:b/>
                <w:szCs w:val="21"/>
              </w:rPr>
            </w:pPr>
            <w:r>
              <w:rPr>
                <w:rFonts w:hint="eastAsia" w:ascii="黑体" w:hAnsi="黑体" w:eastAsia="黑体"/>
                <w:b/>
                <w:szCs w:val="21"/>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r>
              <w:rPr>
                <w:rFonts w:hint="eastAsia" w:ascii="黑体" w:hAnsi="黑体" w:eastAsia="黑体"/>
                <w:b/>
                <w:szCs w:val="21"/>
              </w:rPr>
              <w:t>序号</w:t>
            </w:r>
          </w:p>
        </w:tc>
        <w:tc>
          <w:tcPr>
            <w:tcW w:w="1551" w:type="dxa"/>
            <w:vAlign w:val="center"/>
          </w:tcPr>
          <w:p>
            <w:pPr>
              <w:spacing w:line="360" w:lineRule="auto"/>
              <w:jc w:val="center"/>
              <w:rPr>
                <w:rFonts w:ascii="黑体" w:hAnsi="黑体" w:eastAsia="黑体"/>
                <w:b/>
                <w:szCs w:val="21"/>
              </w:rPr>
            </w:pPr>
            <w:r>
              <w:rPr>
                <w:rFonts w:hint="eastAsia" w:ascii="黑体" w:hAnsi="黑体" w:eastAsia="黑体"/>
                <w:b/>
                <w:szCs w:val="21"/>
              </w:rPr>
              <w:t>评分内容</w:t>
            </w:r>
          </w:p>
        </w:tc>
        <w:tc>
          <w:tcPr>
            <w:tcW w:w="3382" w:type="dxa"/>
            <w:vAlign w:val="center"/>
          </w:tcPr>
          <w:p>
            <w:pPr>
              <w:spacing w:line="360" w:lineRule="auto"/>
              <w:jc w:val="center"/>
              <w:rPr>
                <w:rFonts w:ascii="黑体" w:hAnsi="黑体" w:eastAsia="黑体"/>
                <w:b/>
                <w:szCs w:val="21"/>
              </w:rPr>
            </w:pPr>
            <w:r>
              <w:rPr>
                <w:rFonts w:hint="eastAsia" w:ascii="黑体" w:hAnsi="黑体" w:eastAsia="黑体"/>
                <w:b/>
                <w:szCs w:val="21"/>
              </w:rPr>
              <w:t>评分标准</w:t>
            </w:r>
          </w:p>
        </w:tc>
        <w:tc>
          <w:tcPr>
            <w:tcW w:w="2452" w:type="dxa"/>
            <w:vAlign w:val="center"/>
          </w:tcPr>
          <w:p>
            <w:pPr>
              <w:spacing w:line="360" w:lineRule="auto"/>
              <w:jc w:val="center"/>
              <w:rPr>
                <w:rFonts w:ascii="黑体" w:hAnsi="黑体" w:eastAsia="黑体"/>
                <w:b/>
                <w:szCs w:val="21"/>
              </w:rPr>
            </w:pPr>
            <w:r>
              <w:rPr>
                <w:rFonts w:hint="eastAsia" w:ascii="黑体" w:hAnsi="黑体" w:eastAsia="黑体"/>
                <w:b/>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黑体" w:hAnsi="黑体" w:eastAsia="黑体"/>
                <w:b/>
                <w:szCs w:val="21"/>
              </w:rPr>
            </w:pPr>
            <w:r>
              <w:rPr>
                <w:rFonts w:hint="eastAsia" w:ascii="黑体" w:hAnsi="黑体" w:eastAsia="黑体"/>
                <w:b/>
                <w:szCs w:val="21"/>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r>
              <w:rPr>
                <w:rFonts w:hint="eastAsia" w:ascii="黑体" w:hAnsi="黑体" w:eastAsia="黑体"/>
                <w:b/>
                <w:szCs w:val="21"/>
              </w:rPr>
              <w:t>序号</w:t>
            </w:r>
          </w:p>
        </w:tc>
        <w:tc>
          <w:tcPr>
            <w:tcW w:w="1551" w:type="dxa"/>
            <w:vAlign w:val="center"/>
          </w:tcPr>
          <w:p>
            <w:pPr>
              <w:spacing w:line="360" w:lineRule="auto"/>
              <w:jc w:val="center"/>
              <w:rPr>
                <w:rFonts w:ascii="黑体" w:hAnsi="黑体" w:eastAsia="黑体"/>
                <w:b/>
                <w:szCs w:val="21"/>
              </w:rPr>
            </w:pPr>
            <w:r>
              <w:rPr>
                <w:rFonts w:hint="eastAsia" w:ascii="黑体" w:hAnsi="黑体" w:eastAsia="黑体"/>
                <w:b/>
                <w:szCs w:val="21"/>
              </w:rPr>
              <w:t>评分内容</w:t>
            </w:r>
          </w:p>
        </w:tc>
        <w:tc>
          <w:tcPr>
            <w:tcW w:w="3382" w:type="dxa"/>
            <w:vAlign w:val="center"/>
          </w:tcPr>
          <w:p>
            <w:pPr>
              <w:spacing w:line="360" w:lineRule="auto"/>
              <w:jc w:val="center"/>
              <w:rPr>
                <w:rFonts w:ascii="黑体" w:hAnsi="黑体" w:eastAsia="黑体"/>
                <w:b/>
                <w:szCs w:val="21"/>
              </w:rPr>
            </w:pPr>
            <w:r>
              <w:rPr>
                <w:rFonts w:hint="eastAsia" w:ascii="黑体" w:hAnsi="黑体" w:eastAsia="黑体"/>
                <w:b/>
                <w:szCs w:val="21"/>
              </w:rPr>
              <w:t>评分标准</w:t>
            </w:r>
          </w:p>
        </w:tc>
        <w:tc>
          <w:tcPr>
            <w:tcW w:w="2452" w:type="dxa"/>
            <w:vAlign w:val="center"/>
          </w:tcPr>
          <w:p>
            <w:pPr>
              <w:spacing w:line="360" w:lineRule="auto"/>
              <w:jc w:val="center"/>
              <w:rPr>
                <w:rFonts w:ascii="黑体" w:hAnsi="黑体" w:eastAsia="黑体"/>
                <w:b/>
                <w:szCs w:val="21"/>
              </w:rPr>
            </w:pPr>
            <w:r>
              <w:rPr>
                <w:rFonts w:hint="eastAsia" w:ascii="黑体" w:hAnsi="黑体" w:eastAsia="黑体"/>
                <w:b/>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szCs w:val="21"/>
              </w:rPr>
            </w:pPr>
          </w:p>
        </w:tc>
        <w:tc>
          <w:tcPr>
            <w:tcW w:w="1551" w:type="dxa"/>
            <w:vAlign w:val="center"/>
          </w:tcPr>
          <w:p>
            <w:pPr>
              <w:spacing w:line="360" w:lineRule="auto"/>
              <w:jc w:val="center"/>
              <w:rPr>
                <w:rFonts w:ascii="黑体" w:hAnsi="黑体" w:eastAsia="黑体"/>
                <w:b/>
                <w:szCs w:val="21"/>
              </w:rPr>
            </w:pPr>
          </w:p>
        </w:tc>
        <w:tc>
          <w:tcPr>
            <w:tcW w:w="3382" w:type="dxa"/>
            <w:vAlign w:val="center"/>
          </w:tcPr>
          <w:p>
            <w:pPr>
              <w:spacing w:line="360" w:lineRule="auto"/>
              <w:jc w:val="center"/>
              <w:rPr>
                <w:rFonts w:ascii="黑体" w:hAnsi="黑体" w:eastAsia="黑体"/>
                <w:b/>
                <w:szCs w:val="21"/>
              </w:rPr>
            </w:pPr>
          </w:p>
        </w:tc>
        <w:tc>
          <w:tcPr>
            <w:tcW w:w="2452" w:type="dxa"/>
            <w:vAlign w:val="center"/>
          </w:tcPr>
          <w:p>
            <w:pPr>
              <w:spacing w:line="360" w:lineRule="auto"/>
              <w:jc w:val="center"/>
              <w:rPr>
                <w:rFonts w:ascii="黑体" w:hAnsi="黑体" w:eastAsia="黑体"/>
                <w:b/>
                <w:szCs w:val="21"/>
              </w:rPr>
            </w:pPr>
          </w:p>
        </w:tc>
      </w:tr>
    </w:tbl>
    <w:p>
      <w:pPr>
        <w:spacing w:before="156" w:beforeLines="50" w:line="360" w:lineRule="auto"/>
        <w:rPr>
          <w:rFonts w:ascii="黑体" w:hAnsi="黑体" w:eastAsia="黑体"/>
        </w:rPr>
      </w:pPr>
      <w:r>
        <w:rPr>
          <w:rFonts w:hint="eastAsia" w:ascii="黑体" w:hAnsi="黑体" w:eastAsia="黑体"/>
          <w:szCs w:val="21"/>
        </w:rPr>
        <w:t>注明：按招标文件第五部分</w:t>
      </w:r>
      <w:r>
        <w:rPr>
          <w:rFonts w:ascii="黑体" w:hAnsi="黑体" w:eastAsia="黑体"/>
          <w:szCs w:val="21"/>
        </w:rPr>
        <w:t xml:space="preserve"> </w:t>
      </w:r>
      <w:r>
        <w:rPr>
          <w:rFonts w:hint="eastAsia" w:ascii="黑体" w:hAnsi="黑体" w:eastAsia="黑体"/>
          <w:szCs w:val="21"/>
        </w:rPr>
        <w:t>评标方法、步骤、标准之附表三详细评审表相对应条款填写。</w:t>
      </w:r>
    </w:p>
    <w:p>
      <w:pPr>
        <w:spacing w:line="360" w:lineRule="auto"/>
        <w:rPr>
          <w:rFonts w:ascii="黑体" w:hAnsi="黑体" w:eastAsia="黑体"/>
        </w:rPr>
      </w:pPr>
    </w:p>
    <w:p>
      <w:pPr>
        <w:spacing w:line="360" w:lineRule="auto"/>
        <w:rPr>
          <w:rFonts w:ascii="黑体" w:hAnsi="黑体" w:eastAsia="黑体"/>
        </w:rPr>
      </w:pPr>
    </w:p>
    <w:p>
      <w:pPr>
        <w:spacing w:line="360" w:lineRule="auto"/>
        <w:rPr>
          <w:rFonts w:ascii="黑体" w:hAnsi="黑体" w:eastAsia="黑体"/>
        </w:rPr>
      </w:pPr>
    </w:p>
    <w:tbl>
      <w:tblPr>
        <w:tblStyle w:val="20"/>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pStyle w:val="30"/>
        <w:pageBreakBefore/>
        <w:numPr>
          <w:ilvl w:val="0"/>
          <w:numId w:val="83"/>
        </w:numPr>
        <w:tabs>
          <w:tab w:val="left" w:pos="284"/>
          <w:tab w:val="left" w:pos="426"/>
          <w:tab w:val="left" w:pos="709"/>
        </w:tabs>
        <w:ind w:left="1679" w:hanging="1537" w:firstLineChars="0"/>
        <w:jc w:val="left"/>
        <w:rPr>
          <w:rFonts w:ascii="黑体" w:hAnsi="黑体" w:eastAsia="黑体"/>
          <w:b/>
          <w:bCs/>
        </w:rPr>
      </w:pPr>
      <w:r>
        <w:rPr>
          <w:rFonts w:hint="eastAsia" w:ascii="黑体" w:hAnsi="黑体" w:eastAsia="黑体"/>
          <w:b/>
          <w:bCs/>
        </w:rPr>
        <w:t>开标一览表</w:t>
      </w:r>
      <w:bookmarkEnd w:id="77"/>
      <w:bookmarkEnd w:id="78"/>
    </w:p>
    <w:p>
      <w:pPr>
        <w:spacing w:before="624" w:beforeLines="200" w:after="312" w:afterLines="100" w:line="360" w:lineRule="auto"/>
        <w:jc w:val="center"/>
        <w:rPr>
          <w:rFonts w:ascii="黑体" w:hAnsi="黑体" w:eastAsia="黑体"/>
          <w:b/>
          <w:spacing w:val="20"/>
          <w:sz w:val="28"/>
          <w:szCs w:val="28"/>
        </w:rPr>
      </w:pPr>
      <w:r>
        <w:rPr>
          <w:rFonts w:hint="eastAsia" w:ascii="黑体" w:hAnsi="黑体" w:eastAsia="黑体"/>
          <w:b/>
          <w:spacing w:val="20"/>
          <w:sz w:val="28"/>
          <w:szCs w:val="28"/>
        </w:rPr>
        <w:t>开标一览表</w:t>
      </w:r>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4"/>
        <w:gridCol w:w="3935"/>
        <w:gridCol w:w="3060"/>
        <w:gridCol w:w="1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5" w:hRule="atLeast"/>
          <w:jc w:val="center"/>
        </w:trPr>
        <w:tc>
          <w:tcPr>
            <w:tcW w:w="396"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黑体" w:hAnsi="黑体" w:eastAsia="黑体"/>
                <w:b/>
                <w:szCs w:val="21"/>
              </w:rPr>
            </w:pPr>
            <w:r>
              <w:rPr>
                <w:rFonts w:hint="eastAsia" w:ascii="黑体" w:hAnsi="黑体" w:eastAsia="黑体"/>
                <w:b/>
                <w:szCs w:val="21"/>
              </w:rPr>
              <w:t>序号</w:t>
            </w:r>
          </w:p>
        </w:tc>
        <w:tc>
          <w:tcPr>
            <w:tcW w:w="2244"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黑体" w:hAnsi="黑体" w:eastAsia="黑体"/>
                <w:b/>
                <w:szCs w:val="21"/>
              </w:rPr>
            </w:pPr>
            <w:r>
              <w:rPr>
                <w:rFonts w:hint="eastAsia" w:ascii="黑体" w:hAnsi="黑体" w:eastAsia="黑体"/>
                <w:b/>
                <w:szCs w:val="21"/>
              </w:rPr>
              <w:t>项目名称及项目编号</w:t>
            </w:r>
          </w:p>
        </w:tc>
        <w:tc>
          <w:tcPr>
            <w:tcW w:w="1745"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黑体" w:hAnsi="黑体" w:eastAsia="黑体"/>
                <w:b/>
                <w:szCs w:val="21"/>
              </w:rPr>
            </w:pPr>
            <w:r>
              <w:rPr>
                <w:rFonts w:hint="eastAsia" w:ascii="黑体" w:hAnsi="黑体" w:eastAsia="黑体"/>
                <w:b/>
                <w:szCs w:val="21"/>
              </w:rPr>
              <w:t>总报价（单位：元）</w:t>
            </w:r>
          </w:p>
        </w:tc>
        <w:tc>
          <w:tcPr>
            <w:tcW w:w="615"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黑体" w:hAnsi="黑体" w:eastAsia="黑体"/>
                <w:b/>
                <w:szCs w:val="21"/>
              </w:rPr>
            </w:pPr>
            <w:r>
              <w:rPr>
                <w:rFonts w:hint="eastAsia" w:ascii="黑体" w:hAnsi="黑体" w:eastAsia="黑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3"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黑体" w:hAnsi="黑体" w:eastAsia="黑体"/>
                <w:szCs w:val="21"/>
              </w:rPr>
            </w:pPr>
            <w:r>
              <w:rPr>
                <w:rFonts w:ascii="黑体" w:hAnsi="黑体" w:eastAsia="黑体"/>
                <w:szCs w:val="21"/>
              </w:rPr>
              <w:t>1</w:t>
            </w:r>
          </w:p>
        </w:tc>
        <w:tc>
          <w:tcPr>
            <w:tcW w:w="2244"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黑体" w:hAnsi="黑体" w:eastAsia="黑体"/>
                <w:szCs w:val="21"/>
              </w:rPr>
            </w:pPr>
          </w:p>
        </w:tc>
        <w:tc>
          <w:tcPr>
            <w:tcW w:w="1745"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left"/>
              <w:rPr>
                <w:rFonts w:ascii="黑体" w:hAnsi="黑体" w:eastAsia="黑体"/>
                <w:szCs w:val="21"/>
              </w:rPr>
            </w:pPr>
            <w:r>
              <w:rPr>
                <w:rFonts w:hint="eastAsia" w:ascii="黑体" w:hAnsi="黑体" w:eastAsia="黑体"/>
                <w:szCs w:val="21"/>
              </w:rPr>
              <w:t>大写：</w:t>
            </w:r>
            <w:r>
              <w:rPr>
                <w:rFonts w:ascii="黑体" w:hAnsi="黑体" w:eastAsia="黑体"/>
                <w:szCs w:val="21"/>
                <w:u w:val="single"/>
              </w:rPr>
              <w:t xml:space="preserve">                    </w:t>
            </w:r>
          </w:p>
          <w:p>
            <w:pPr>
              <w:overflowPunct w:val="0"/>
              <w:adjustRightInd w:val="0"/>
              <w:spacing w:line="460" w:lineRule="exact"/>
              <w:jc w:val="left"/>
              <w:rPr>
                <w:rFonts w:ascii="黑体" w:hAnsi="黑体" w:eastAsia="黑体"/>
                <w:szCs w:val="21"/>
              </w:rPr>
            </w:pPr>
            <w:r>
              <w:rPr>
                <w:rFonts w:hint="eastAsia" w:ascii="黑体" w:hAnsi="黑体" w:eastAsia="黑体"/>
                <w:szCs w:val="21"/>
              </w:rPr>
              <w:t>小写：</w:t>
            </w:r>
            <w:r>
              <w:rPr>
                <w:rFonts w:ascii="黑体" w:hAnsi="黑体" w:eastAsia="黑体"/>
                <w:szCs w:val="21"/>
                <w:u w:val="single"/>
              </w:rPr>
              <w:t xml:space="preserve">                    </w:t>
            </w:r>
          </w:p>
        </w:tc>
        <w:tc>
          <w:tcPr>
            <w:tcW w:w="615"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黑体" w:hAnsi="黑体" w:eastAsia="黑体"/>
                <w:szCs w:val="21"/>
              </w:rPr>
            </w:pPr>
          </w:p>
        </w:tc>
      </w:tr>
    </w:tbl>
    <w:p>
      <w:pPr>
        <w:spacing w:before="312" w:beforeLines="100" w:line="360" w:lineRule="auto"/>
        <w:rPr>
          <w:rFonts w:ascii="黑体" w:hAnsi="黑体" w:eastAsia="黑体"/>
          <w:szCs w:val="21"/>
        </w:rPr>
      </w:pPr>
      <w:r>
        <w:rPr>
          <w:rFonts w:hint="eastAsia" w:ascii="黑体" w:hAnsi="黑体" w:eastAsia="黑体"/>
          <w:szCs w:val="21"/>
        </w:rPr>
        <w:t>注明：</w:t>
      </w:r>
    </w:p>
    <w:p>
      <w:pPr>
        <w:pStyle w:val="30"/>
        <w:numPr>
          <w:ilvl w:val="0"/>
          <w:numId w:val="86"/>
        </w:numPr>
        <w:spacing w:line="360" w:lineRule="auto"/>
        <w:ind w:firstLineChars="0"/>
        <w:rPr>
          <w:rFonts w:ascii="黑体" w:hAnsi="黑体" w:eastAsia="黑体"/>
          <w:szCs w:val="21"/>
        </w:rPr>
      </w:pPr>
      <w:r>
        <w:rPr>
          <w:rFonts w:hint="eastAsia" w:ascii="黑体" w:hAnsi="黑体" w:eastAsia="黑体"/>
          <w:szCs w:val="21"/>
        </w:rPr>
        <w:t>投标总价栏须用文字和数字两种方式表示的投标总价。</w:t>
      </w:r>
    </w:p>
    <w:p>
      <w:pPr>
        <w:pStyle w:val="30"/>
        <w:numPr>
          <w:ilvl w:val="0"/>
          <w:numId w:val="86"/>
        </w:numPr>
        <w:spacing w:line="360" w:lineRule="auto"/>
        <w:ind w:firstLineChars="0"/>
        <w:rPr>
          <w:rFonts w:ascii="黑体" w:hAnsi="黑体" w:eastAsia="黑体"/>
          <w:szCs w:val="21"/>
        </w:rPr>
      </w:pPr>
      <w:r>
        <w:rPr>
          <w:rFonts w:hint="eastAsia" w:ascii="黑体" w:hAnsi="黑体" w:eastAsia="黑体"/>
          <w:szCs w:val="21"/>
        </w:rPr>
        <w:t>开标一览表内容与投标文件中相应内容不一致的，以开标一览表为准。</w:t>
      </w:r>
    </w:p>
    <w:p>
      <w:pPr>
        <w:pStyle w:val="30"/>
        <w:numPr>
          <w:ilvl w:val="0"/>
          <w:numId w:val="86"/>
        </w:numPr>
        <w:spacing w:line="360" w:lineRule="auto"/>
        <w:ind w:firstLineChars="0"/>
        <w:rPr>
          <w:rFonts w:ascii="黑体" w:hAnsi="黑体" w:eastAsia="黑体"/>
          <w:szCs w:val="21"/>
        </w:rPr>
      </w:pPr>
      <w:r>
        <w:rPr>
          <w:rFonts w:hint="eastAsia" w:ascii="黑体" w:hAnsi="黑体" w:eastAsia="黑体"/>
          <w:szCs w:val="21"/>
        </w:rPr>
        <w:t>大写金额和小写金额不一致的，以大写金额为准。</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29" w:type="dxa"/>
          </w:tcPr>
          <w:p>
            <w:pPr>
              <w:overflowPunct w:val="0"/>
              <w:adjustRightInd w:val="0"/>
              <w:spacing w:line="48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r>
              <w:rPr>
                <w:rFonts w:hint="eastAsia"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480" w:lineRule="auto"/>
              <w:rPr>
                <w:rFonts w:ascii="黑体" w:hAnsi="黑体" w:eastAsia="黑体"/>
                <w:szCs w:val="21"/>
              </w:rPr>
            </w:pPr>
            <w:r>
              <w:rPr>
                <w:rFonts w:hint="eastAsia" w:ascii="黑体" w:hAnsi="黑体" w:eastAsia="黑体"/>
                <w:szCs w:val="21"/>
              </w:rPr>
              <w:t>投标人法定代表人或被授权人（签名或盖私章）：</w:t>
            </w:r>
            <w:r>
              <w:rPr>
                <w:rFonts w:ascii="黑体" w:hAnsi="黑体" w:eastAsia="黑体"/>
                <w:szCs w:val="21"/>
                <w:u w:val="single"/>
              </w:rPr>
              <w:t xml:space="preserve">     </w:t>
            </w:r>
            <w:r>
              <w:rPr>
                <w:rFonts w:hint="eastAsia"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48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r>
    </w:tbl>
    <w:p>
      <w:pPr>
        <w:spacing w:line="360" w:lineRule="auto"/>
        <w:rPr>
          <w:rFonts w:ascii="黑体" w:hAnsi="黑体" w:eastAsia="黑体"/>
          <w:szCs w:val="21"/>
        </w:rPr>
      </w:pPr>
    </w:p>
    <w:p>
      <w:pPr>
        <w:spacing w:line="360" w:lineRule="auto"/>
        <w:rPr>
          <w:rFonts w:ascii="黑体" w:hAnsi="黑体" w:eastAsia="黑体"/>
          <w:szCs w:val="21"/>
        </w:rPr>
      </w:pPr>
    </w:p>
    <w:p>
      <w:pPr>
        <w:pStyle w:val="30"/>
        <w:pageBreakBefore/>
        <w:numPr>
          <w:ilvl w:val="0"/>
          <w:numId w:val="83"/>
        </w:numPr>
        <w:tabs>
          <w:tab w:val="left" w:pos="284"/>
          <w:tab w:val="left" w:pos="426"/>
          <w:tab w:val="left" w:pos="709"/>
        </w:tabs>
        <w:ind w:left="1679" w:hanging="1537" w:firstLineChars="0"/>
        <w:jc w:val="left"/>
        <w:rPr>
          <w:rFonts w:ascii="黑体" w:hAnsi="黑体" w:eastAsia="黑体"/>
          <w:b/>
          <w:bCs/>
        </w:rPr>
      </w:pPr>
      <w:bookmarkStart w:id="81" w:name="_Toc391627755"/>
      <w:bookmarkStart w:id="82" w:name="_Toc405313959"/>
      <w:r>
        <w:rPr>
          <w:rFonts w:hint="eastAsia" w:ascii="黑体" w:hAnsi="黑体" w:eastAsia="黑体"/>
          <w:b/>
          <w:bCs/>
        </w:rPr>
        <w:t>分项报价表</w:t>
      </w:r>
      <w:bookmarkEnd w:id="81"/>
      <w:bookmarkEnd w:id="82"/>
    </w:p>
    <w:p>
      <w:pPr>
        <w:spacing w:before="312" w:beforeLines="100" w:line="360" w:lineRule="auto"/>
        <w:jc w:val="center"/>
        <w:rPr>
          <w:rFonts w:ascii="黑体" w:hAnsi="黑体" w:eastAsia="黑体"/>
          <w:b/>
          <w:spacing w:val="20"/>
          <w:sz w:val="28"/>
          <w:szCs w:val="28"/>
        </w:rPr>
      </w:pPr>
      <w:r>
        <w:rPr>
          <w:rFonts w:hint="eastAsia" w:ascii="黑体" w:hAnsi="黑体" w:eastAsia="黑体"/>
          <w:b/>
          <w:spacing w:val="20"/>
          <w:sz w:val="28"/>
          <w:szCs w:val="28"/>
        </w:rPr>
        <w:t>分项报价表</w:t>
      </w:r>
    </w:p>
    <w:p>
      <w:pPr>
        <w:spacing w:line="360" w:lineRule="auto"/>
        <w:jc w:val="right"/>
        <w:rPr>
          <w:rFonts w:ascii="黑体" w:hAnsi="黑体" w:eastAsia="黑体"/>
          <w:b/>
          <w:spacing w:val="20"/>
          <w:szCs w:val="21"/>
        </w:rPr>
      </w:pPr>
      <w:r>
        <w:rPr>
          <w:rFonts w:hint="eastAsia" w:ascii="黑体" w:hAnsi="黑体" w:eastAsia="黑体"/>
          <w:b/>
          <w:spacing w:val="20"/>
          <w:szCs w:val="21"/>
        </w:rPr>
        <w:t>报价单位：人民币元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15"/>
        <w:gridCol w:w="1459"/>
        <w:gridCol w:w="1022"/>
        <w:gridCol w:w="1313"/>
        <w:gridCol w:w="1024"/>
        <w:gridCol w:w="72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12" w:type="pct"/>
            <w:vAlign w:val="center"/>
          </w:tcPr>
          <w:p>
            <w:pPr>
              <w:adjustRightInd w:val="0"/>
              <w:snapToGrid w:val="0"/>
              <w:spacing w:line="360" w:lineRule="auto"/>
              <w:jc w:val="center"/>
              <w:rPr>
                <w:rFonts w:ascii="黑体" w:hAnsi="黑体" w:eastAsia="黑体"/>
                <w:b/>
                <w:szCs w:val="21"/>
              </w:rPr>
            </w:pPr>
            <w:bookmarkStart w:id="83" w:name="_Hlk119659673"/>
            <w:r>
              <w:rPr>
                <w:rFonts w:ascii="黑体" w:hAnsi="黑体" w:eastAsia="黑体"/>
                <w:b/>
                <w:szCs w:val="21"/>
              </w:rPr>
              <w:t>序号</w:t>
            </w:r>
          </w:p>
        </w:tc>
        <w:tc>
          <w:tcPr>
            <w:tcW w:w="750" w:type="pct"/>
            <w:vAlign w:val="center"/>
          </w:tcPr>
          <w:p>
            <w:pPr>
              <w:adjustRightInd w:val="0"/>
              <w:snapToGrid w:val="0"/>
              <w:spacing w:line="360" w:lineRule="auto"/>
              <w:jc w:val="center"/>
              <w:rPr>
                <w:rFonts w:ascii="黑体" w:hAnsi="黑体" w:eastAsia="黑体"/>
                <w:b/>
                <w:szCs w:val="21"/>
              </w:rPr>
            </w:pPr>
            <w:r>
              <w:rPr>
                <w:rFonts w:ascii="黑体" w:hAnsi="黑体" w:eastAsia="黑体"/>
                <w:b/>
                <w:szCs w:val="21"/>
              </w:rPr>
              <w:t>分项名称</w:t>
            </w:r>
          </w:p>
        </w:tc>
        <w:tc>
          <w:tcPr>
            <w:tcW w:w="832" w:type="pct"/>
            <w:vAlign w:val="center"/>
          </w:tcPr>
          <w:p>
            <w:pPr>
              <w:adjustRightInd w:val="0"/>
              <w:snapToGrid w:val="0"/>
              <w:spacing w:line="360" w:lineRule="auto"/>
              <w:jc w:val="center"/>
              <w:rPr>
                <w:rFonts w:ascii="黑体" w:hAnsi="黑体" w:eastAsia="黑体"/>
                <w:b/>
                <w:szCs w:val="21"/>
              </w:rPr>
            </w:pPr>
            <w:r>
              <w:rPr>
                <w:rFonts w:ascii="黑体" w:hAnsi="黑体" w:eastAsia="黑体"/>
                <w:b/>
                <w:szCs w:val="21"/>
              </w:rPr>
              <w:t>制造商/</w:t>
            </w:r>
          </w:p>
          <w:p>
            <w:pPr>
              <w:adjustRightInd w:val="0"/>
              <w:snapToGrid w:val="0"/>
              <w:spacing w:line="360" w:lineRule="auto"/>
              <w:jc w:val="center"/>
              <w:rPr>
                <w:rFonts w:ascii="黑体" w:hAnsi="黑体" w:eastAsia="黑体"/>
                <w:b/>
                <w:szCs w:val="21"/>
              </w:rPr>
            </w:pPr>
            <w:r>
              <w:rPr>
                <w:rFonts w:ascii="黑体" w:hAnsi="黑体" w:eastAsia="黑体"/>
                <w:b/>
                <w:szCs w:val="21"/>
              </w:rPr>
              <w:t>生产厂家</w:t>
            </w:r>
          </w:p>
        </w:tc>
        <w:tc>
          <w:tcPr>
            <w:tcW w:w="583" w:type="pct"/>
            <w:vAlign w:val="center"/>
          </w:tcPr>
          <w:p>
            <w:pPr>
              <w:adjustRightInd w:val="0"/>
              <w:snapToGrid w:val="0"/>
              <w:spacing w:line="360" w:lineRule="auto"/>
              <w:jc w:val="center"/>
              <w:rPr>
                <w:rFonts w:ascii="黑体" w:hAnsi="黑体" w:eastAsia="黑体"/>
                <w:b/>
                <w:szCs w:val="21"/>
              </w:rPr>
            </w:pPr>
            <w:r>
              <w:rPr>
                <w:rFonts w:ascii="黑体" w:hAnsi="黑体" w:eastAsia="黑体"/>
                <w:b/>
                <w:szCs w:val="21"/>
              </w:rPr>
              <w:t>产地</w:t>
            </w:r>
          </w:p>
        </w:tc>
        <w:tc>
          <w:tcPr>
            <w:tcW w:w="749" w:type="pct"/>
            <w:vAlign w:val="center"/>
          </w:tcPr>
          <w:p>
            <w:pPr>
              <w:adjustRightInd w:val="0"/>
              <w:snapToGrid w:val="0"/>
              <w:spacing w:line="360" w:lineRule="auto"/>
              <w:jc w:val="center"/>
              <w:rPr>
                <w:rFonts w:ascii="黑体" w:hAnsi="黑体" w:eastAsia="黑体"/>
                <w:b/>
                <w:szCs w:val="21"/>
              </w:rPr>
            </w:pPr>
            <w:r>
              <w:rPr>
                <w:rFonts w:ascii="黑体" w:hAnsi="黑体" w:eastAsia="黑体"/>
                <w:b/>
                <w:szCs w:val="21"/>
              </w:rPr>
              <w:t>品牌、规格、型号</w:t>
            </w:r>
          </w:p>
        </w:tc>
        <w:tc>
          <w:tcPr>
            <w:tcW w:w="584" w:type="pct"/>
            <w:vAlign w:val="center"/>
          </w:tcPr>
          <w:p>
            <w:pPr>
              <w:adjustRightInd w:val="0"/>
              <w:snapToGrid w:val="0"/>
              <w:spacing w:line="360" w:lineRule="auto"/>
              <w:jc w:val="center"/>
              <w:rPr>
                <w:rFonts w:ascii="黑体" w:hAnsi="黑体" w:eastAsia="黑体"/>
                <w:b/>
                <w:szCs w:val="21"/>
              </w:rPr>
            </w:pPr>
            <w:r>
              <w:rPr>
                <w:rFonts w:ascii="黑体" w:hAnsi="黑体" w:eastAsia="黑体"/>
                <w:b/>
                <w:szCs w:val="21"/>
              </w:rPr>
              <w:t>单价（元）</w:t>
            </w:r>
          </w:p>
        </w:tc>
        <w:tc>
          <w:tcPr>
            <w:tcW w:w="416" w:type="pct"/>
            <w:vAlign w:val="center"/>
          </w:tcPr>
          <w:p>
            <w:pPr>
              <w:adjustRightInd w:val="0"/>
              <w:snapToGrid w:val="0"/>
              <w:spacing w:line="360" w:lineRule="auto"/>
              <w:jc w:val="center"/>
              <w:rPr>
                <w:rFonts w:ascii="黑体" w:hAnsi="黑体" w:eastAsia="黑体"/>
                <w:b/>
                <w:szCs w:val="21"/>
              </w:rPr>
            </w:pPr>
            <w:r>
              <w:rPr>
                <w:rFonts w:ascii="黑体" w:hAnsi="黑体" w:eastAsia="黑体"/>
                <w:b/>
                <w:szCs w:val="21"/>
              </w:rPr>
              <w:t>数量</w:t>
            </w:r>
          </w:p>
        </w:tc>
        <w:tc>
          <w:tcPr>
            <w:tcW w:w="674" w:type="pct"/>
            <w:vAlign w:val="center"/>
          </w:tcPr>
          <w:p>
            <w:pPr>
              <w:adjustRightInd w:val="0"/>
              <w:snapToGrid w:val="0"/>
              <w:spacing w:line="360" w:lineRule="auto"/>
              <w:jc w:val="center"/>
              <w:rPr>
                <w:rFonts w:ascii="黑体" w:hAnsi="黑体" w:eastAsia="黑体"/>
                <w:b/>
                <w:szCs w:val="21"/>
              </w:rPr>
            </w:pPr>
            <w:r>
              <w:rPr>
                <w:rFonts w:ascii="黑体" w:hAnsi="黑体" w:eastAsia="黑体"/>
                <w:b/>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adjustRightInd w:val="0"/>
              <w:snapToGrid w:val="0"/>
              <w:spacing w:line="480" w:lineRule="auto"/>
              <w:jc w:val="center"/>
              <w:rPr>
                <w:rFonts w:ascii="黑体" w:hAnsi="黑体" w:eastAsia="黑体"/>
                <w:szCs w:val="21"/>
              </w:rPr>
            </w:pPr>
          </w:p>
        </w:tc>
        <w:tc>
          <w:tcPr>
            <w:tcW w:w="750" w:type="pct"/>
            <w:vAlign w:val="center"/>
          </w:tcPr>
          <w:p>
            <w:pPr>
              <w:adjustRightInd w:val="0"/>
              <w:snapToGrid w:val="0"/>
              <w:spacing w:line="480" w:lineRule="auto"/>
              <w:jc w:val="left"/>
              <w:rPr>
                <w:rFonts w:ascii="黑体" w:hAnsi="黑体" w:eastAsia="黑体"/>
                <w:szCs w:val="21"/>
              </w:rPr>
            </w:pPr>
          </w:p>
        </w:tc>
        <w:tc>
          <w:tcPr>
            <w:tcW w:w="832" w:type="pct"/>
            <w:vAlign w:val="center"/>
          </w:tcPr>
          <w:p>
            <w:pPr>
              <w:adjustRightInd w:val="0"/>
              <w:snapToGrid w:val="0"/>
              <w:spacing w:line="480" w:lineRule="auto"/>
              <w:jc w:val="left"/>
              <w:rPr>
                <w:rFonts w:ascii="黑体" w:hAnsi="黑体" w:eastAsia="黑体"/>
                <w:szCs w:val="21"/>
              </w:rPr>
            </w:pPr>
          </w:p>
        </w:tc>
        <w:tc>
          <w:tcPr>
            <w:tcW w:w="583" w:type="pct"/>
          </w:tcPr>
          <w:p>
            <w:pPr>
              <w:adjustRightInd w:val="0"/>
              <w:snapToGrid w:val="0"/>
              <w:spacing w:line="480" w:lineRule="auto"/>
              <w:jc w:val="left"/>
              <w:rPr>
                <w:rFonts w:ascii="黑体" w:hAnsi="黑体" w:eastAsia="黑体"/>
                <w:szCs w:val="21"/>
              </w:rPr>
            </w:pPr>
          </w:p>
        </w:tc>
        <w:tc>
          <w:tcPr>
            <w:tcW w:w="749" w:type="pct"/>
            <w:vAlign w:val="center"/>
          </w:tcPr>
          <w:p>
            <w:pPr>
              <w:adjustRightInd w:val="0"/>
              <w:snapToGrid w:val="0"/>
              <w:spacing w:line="480" w:lineRule="auto"/>
              <w:jc w:val="left"/>
              <w:rPr>
                <w:rFonts w:ascii="黑体" w:hAnsi="黑体" w:eastAsia="黑体"/>
                <w:szCs w:val="21"/>
              </w:rPr>
            </w:pPr>
          </w:p>
        </w:tc>
        <w:tc>
          <w:tcPr>
            <w:tcW w:w="584" w:type="pct"/>
            <w:vAlign w:val="center"/>
          </w:tcPr>
          <w:p>
            <w:pPr>
              <w:adjustRightInd w:val="0"/>
              <w:snapToGrid w:val="0"/>
              <w:spacing w:line="480" w:lineRule="auto"/>
              <w:jc w:val="left"/>
              <w:rPr>
                <w:rFonts w:ascii="黑体" w:hAnsi="黑体" w:eastAsia="黑体"/>
                <w:szCs w:val="21"/>
              </w:rPr>
            </w:pPr>
          </w:p>
        </w:tc>
        <w:tc>
          <w:tcPr>
            <w:tcW w:w="416" w:type="pct"/>
            <w:vAlign w:val="center"/>
          </w:tcPr>
          <w:p>
            <w:pPr>
              <w:adjustRightInd w:val="0"/>
              <w:snapToGrid w:val="0"/>
              <w:spacing w:line="480" w:lineRule="auto"/>
              <w:jc w:val="left"/>
              <w:rPr>
                <w:rFonts w:ascii="黑体" w:hAnsi="黑体" w:eastAsia="黑体"/>
                <w:szCs w:val="21"/>
              </w:rPr>
            </w:pPr>
          </w:p>
        </w:tc>
        <w:tc>
          <w:tcPr>
            <w:tcW w:w="674" w:type="pct"/>
            <w:vAlign w:val="center"/>
          </w:tcPr>
          <w:p>
            <w:pPr>
              <w:adjustRightInd w:val="0"/>
              <w:snapToGrid w:val="0"/>
              <w:spacing w:line="480" w:lineRule="auto"/>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adjustRightInd w:val="0"/>
              <w:snapToGrid w:val="0"/>
              <w:spacing w:line="480" w:lineRule="auto"/>
              <w:jc w:val="center"/>
              <w:rPr>
                <w:rFonts w:ascii="黑体" w:hAnsi="黑体" w:eastAsia="黑体"/>
                <w:szCs w:val="21"/>
              </w:rPr>
            </w:pPr>
          </w:p>
        </w:tc>
        <w:tc>
          <w:tcPr>
            <w:tcW w:w="750" w:type="pct"/>
            <w:vAlign w:val="center"/>
          </w:tcPr>
          <w:p>
            <w:pPr>
              <w:adjustRightInd w:val="0"/>
              <w:snapToGrid w:val="0"/>
              <w:spacing w:line="480" w:lineRule="auto"/>
              <w:jc w:val="left"/>
              <w:rPr>
                <w:rFonts w:ascii="黑体" w:hAnsi="黑体" w:eastAsia="黑体"/>
                <w:szCs w:val="21"/>
              </w:rPr>
            </w:pPr>
          </w:p>
        </w:tc>
        <w:tc>
          <w:tcPr>
            <w:tcW w:w="832" w:type="pct"/>
            <w:vAlign w:val="center"/>
          </w:tcPr>
          <w:p>
            <w:pPr>
              <w:adjustRightInd w:val="0"/>
              <w:snapToGrid w:val="0"/>
              <w:spacing w:line="480" w:lineRule="auto"/>
              <w:jc w:val="left"/>
              <w:rPr>
                <w:rFonts w:ascii="黑体" w:hAnsi="黑体" w:eastAsia="黑体"/>
                <w:szCs w:val="21"/>
              </w:rPr>
            </w:pPr>
          </w:p>
        </w:tc>
        <w:tc>
          <w:tcPr>
            <w:tcW w:w="583" w:type="pct"/>
          </w:tcPr>
          <w:p>
            <w:pPr>
              <w:adjustRightInd w:val="0"/>
              <w:snapToGrid w:val="0"/>
              <w:spacing w:line="480" w:lineRule="auto"/>
              <w:jc w:val="left"/>
              <w:rPr>
                <w:rFonts w:ascii="黑体" w:hAnsi="黑体" w:eastAsia="黑体"/>
                <w:szCs w:val="21"/>
              </w:rPr>
            </w:pPr>
          </w:p>
        </w:tc>
        <w:tc>
          <w:tcPr>
            <w:tcW w:w="749" w:type="pct"/>
            <w:vAlign w:val="center"/>
          </w:tcPr>
          <w:p>
            <w:pPr>
              <w:adjustRightInd w:val="0"/>
              <w:snapToGrid w:val="0"/>
              <w:spacing w:line="480" w:lineRule="auto"/>
              <w:jc w:val="left"/>
              <w:rPr>
                <w:rFonts w:ascii="黑体" w:hAnsi="黑体" w:eastAsia="黑体"/>
                <w:szCs w:val="21"/>
              </w:rPr>
            </w:pPr>
          </w:p>
        </w:tc>
        <w:tc>
          <w:tcPr>
            <w:tcW w:w="584" w:type="pct"/>
            <w:vAlign w:val="center"/>
          </w:tcPr>
          <w:p>
            <w:pPr>
              <w:adjustRightInd w:val="0"/>
              <w:snapToGrid w:val="0"/>
              <w:spacing w:line="480" w:lineRule="auto"/>
              <w:jc w:val="left"/>
              <w:rPr>
                <w:rFonts w:ascii="黑体" w:hAnsi="黑体" w:eastAsia="黑体"/>
                <w:szCs w:val="21"/>
              </w:rPr>
            </w:pPr>
          </w:p>
        </w:tc>
        <w:tc>
          <w:tcPr>
            <w:tcW w:w="416" w:type="pct"/>
            <w:vAlign w:val="center"/>
          </w:tcPr>
          <w:p>
            <w:pPr>
              <w:adjustRightInd w:val="0"/>
              <w:snapToGrid w:val="0"/>
              <w:spacing w:line="480" w:lineRule="auto"/>
              <w:jc w:val="left"/>
              <w:rPr>
                <w:rFonts w:ascii="黑体" w:hAnsi="黑体" w:eastAsia="黑体"/>
                <w:szCs w:val="21"/>
              </w:rPr>
            </w:pPr>
          </w:p>
        </w:tc>
        <w:tc>
          <w:tcPr>
            <w:tcW w:w="674" w:type="pct"/>
            <w:vAlign w:val="center"/>
          </w:tcPr>
          <w:p>
            <w:pPr>
              <w:adjustRightInd w:val="0"/>
              <w:snapToGrid w:val="0"/>
              <w:spacing w:line="480" w:lineRule="auto"/>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adjustRightInd w:val="0"/>
              <w:snapToGrid w:val="0"/>
              <w:spacing w:line="480" w:lineRule="auto"/>
              <w:jc w:val="center"/>
              <w:rPr>
                <w:rFonts w:ascii="黑体" w:hAnsi="黑体" w:eastAsia="黑体"/>
                <w:szCs w:val="21"/>
              </w:rPr>
            </w:pPr>
          </w:p>
        </w:tc>
        <w:tc>
          <w:tcPr>
            <w:tcW w:w="750" w:type="pct"/>
            <w:vAlign w:val="center"/>
          </w:tcPr>
          <w:p>
            <w:pPr>
              <w:adjustRightInd w:val="0"/>
              <w:snapToGrid w:val="0"/>
              <w:spacing w:line="480" w:lineRule="auto"/>
              <w:jc w:val="left"/>
              <w:rPr>
                <w:rFonts w:ascii="黑体" w:hAnsi="黑体" w:eastAsia="黑体"/>
                <w:szCs w:val="21"/>
              </w:rPr>
            </w:pPr>
          </w:p>
        </w:tc>
        <w:tc>
          <w:tcPr>
            <w:tcW w:w="832" w:type="pct"/>
            <w:vAlign w:val="center"/>
          </w:tcPr>
          <w:p>
            <w:pPr>
              <w:adjustRightInd w:val="0"/>
              <w:snapToGrid w:val="0"/>
              <w:spacing w:line="480" w:lineRule="auto"/>
              <w:jc w:val="left"/>
              <w:rPr>
                <w:rFonts w:ascii="黑体" w:hAnsi="黑体" w:eastAsia="黑体"/>
                <w:szCs w:val="21"/>
              </w:rPr>
            </w:pPr>
          </w:p>
        </w:tc>
        <w:tc>
          <w:tcPr>
            <w:tcW w:w="583" w:type="pct"/>
          </w:tcPr>
          <w:p>
            <w:pPr>
              <w:adjustRightInd w:val="0"/>
              <w:snapToGrid w:val="0"/>
              <w:spacing w:line="480" w:lineRule="auto"/>
              <w:jc w:val="left"/>
              <w:rPr>
                <w:rFonts w:ascii="黑体" w:hAnsi="黑体" w:eastAsia="黑体"/>
                <w:szCs w:val="21"/>
              </w:rPr>
            </w:pPr>
          </w:p>
        </w:tc>
        <w:tc>
          <w:tcPr>
            <w:tcW w:w="749" w:type="pct"/>
            <w:vAlign w:val="center"/>
          </w:tcPr>
          <w:p>
            <w:pPr>
              <w:adjustRightInd w:val="0"/>
              <w:snapToGrid w:val="0"/>
              <w:spacing w:line="480" w:lineRule="auto"/>
              <w:jc w:val="left"/>
              <w:rPr>
                <w:rFonts w:ascii="黑体" w:hAnsi="黑体" w:eastAsia="黑体"/>
                <w:szCs w:val="21"/>
              </w:rPr>
            </w:pPr>
          </w:p>
        </w:tc>
        <w:tc>
          <w:tcPr>
            <w:tcW w:w="584" w:type="pct"/>
            <w:vAlign w:val="center"/>
          </w:tcPr>
          <w:p>
            <w:pPr>
              <w:adjustRightInd w:val="0"/>
              <w:snapToGrid w:val="0"/>
              <w:spacing w:line="480" w:lineRule="auto"/>
              <w:jc w:val="left"/>
              <w:rPr>
                <w:rFonts w:ascii="黑体" w:hAnsi="黑体" w:eastAsia="黑体"/>
                <w:szCs w:val="21"/>
              </w:rPr>
            </w:pPr>
          </w:p>
        </w:tc>
        <w:tc>
          <w:tcPr>
            <w:tcW w:w="416" w:type="pct"/>
            <w:vAlign w:val="center"/>
          </w:tcPr>
          <w:p>
            <w:pPr>
              <w:adjustRightInd w:val="0"/>
              <w:snapToGrid w:val="0"/>
              <w:spacing w:line="480" w:lineRule="auto"/>
              <w:jc w:val="left"/>
              <w:rPr>
                <w:rFonts w:ascii="黑体" w:hAnsi="黑体" w:eastAsia="黑体"/>
                <w:szCs w:val="21"/>
              </w:rPr>
            </w:pPr>
          </w:p>
        </w:tc>
        <w:tc>
          <w:tcPr>
            <w:tcW w:w="674" w:type="pct"/>
            <w:vAlign w:val="center"/>
          </w:tcPr>
          <w:p>
            <w:pPr>
              <w:adjustRightInd w:val="0"/>
              <w:snapToGrid w:val="0"/>
              <w:spacing w:line="480" w:lineRule="auto"/>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adjustRightInd w:val="0"/>
              <w:snapToGrid w:val="0"/>
              <w:spacing w:line="480" w:lineRule="auto"/>
              <w:jc w:val="center"/>
              <w:rPr>
                <w:rFonts w:ascii="黑体" w:hAnsi="黑体" w:eastAsia="黑体"/>
                <w:szCs w:val="21"/>
              </w:rPr>
            </w:pPr>
          </w:p>
        </w:tc>
        <w:tc>
          <w:tcPr>
            <w:tcW w:w="750" w:type="pct"/>
            <w:vAlign w:val="center"/>
          </w:tcPr>
          <w:p>
            <w:pPr>
              <w:adjustRightInd w:val="0"/>
              <w:snapToGrid w:val="0"/>
              <w:spacing w:line="480" w:lineRule="auto"/>
              <w:jc w:val="left"/>
              <w:rPr>
                <w:rFonts w:ascii="黑体" w:hAnsi="黑体" w:eastAsia="黑体"/>
                <w:szCs w:val="21"/>
              </w:rPr>
            </w:pPr>
          </w:p>
        </w:tc>
        <w:tc>
          <w:tcPr>
            <w:tcW w:w="832" w:type="pct"/>
            <w:vAlign w:val="center"/>
          </w:tcPr>
          <w:p>
            <w:pPr>
              <w:adjustRightInd w:val="0"/>
              <w:snapToGrid w:val="0"/>
              <w:spacing w:line="480" w:lineRule="auto"/>
              <w:jc w:val="left"/>
              <w:rPr>
                <w:rFonts w:ascii="黑体" w:hAnsi="黑体" w:eastAsia="黑体"/>
                <w:szCs w:val="21"/>
              </w:rPr>
            </w:pPr>
          </w:p>
        </w:tc>
        <w:tc>
          <w:tcPr>
            <w:tcW w:w="583" w:type="pct"/>
          </w:tcPr>
          <w:p>
            <w:pPr>
              <w:adjustRightInd w:val="0"/>
              <w:snapToGrid w:val="0"/>
              <w:spacing w:line="480" w:lineRule="auto"/>
              <w:jc w:val="left"/>
              <w:rPr>
                <w:rFonts w:ascii="黑体" w:hAnsi="黑体" w:eastAsia="黑体"/>
                <w:szCs w:val="21"/>
              </w:rPr>
            </w:pPr>
          </w:p>
        </w:tc>
        <w:tc>
          <w:tcPr>
            <w:tcW w:w="749" w:type="pct"/>
            <w:vAlign w:val="center"/>
          </w:tcPr>
          <w:p>
            <w:pPr>
              <w:adjustRightInd w:val="0"/>
              <w:snapToGrid w:val="0"/>
              <w:spacing w:line="480" w:lineRule="auto"/>
              <w:jc w:val="left"/>
              <w:rPr>
                <w:rFonts w:ascii="黑体" w:hAnsi="黑体" w:eastAsia="黑体"/>
                <w:szCs w:val="21"/>
              </w:rPr>
            </w:pPr>
          </w:p>
        </w:tc>
        <w:tc>
          <w:tcPr>
            <w:tcW w:w="584" w:type="pct"/>
            <w:vAlign w:val="center"/>
          </w:tcPr>
          <w:p>
            <w:pPr>
              <w:adjustRightInd w:val="0"/>
              <w:snapToGrid w:val="0"/>
              <w:spacing w:line="480" w:lineRule="auto"/>
              <w:jc w:val="left"/>
              <w:rPr>
                <w:rFonts w:ascii="黑体" w:hAnsi="黑体" w:eastAsia="黑体"/>
                <w:szCs w:val="21"/>
              </w:rPr>
            </w:pPr>
          </w:p>
        </w:tc>
        <w:tc>
          <w:tcPr>
            <w:tcW w:w="416" w:type="pct"/>
            <w:vAlign w:val="center"/>
          </w:tcPr>
          <w:p>
            <w:pPr>
              <w:adjustRightInd w:val="0"/>
              <w:snapToGrid w:val="0"/>
              <w:spacing w:line="480" w:lineRule="auto"/>
              <w:jc w:val="left"/>
              <w:rPr>
                <w:rFonts w:ascii="黑体" w:hAnsi="黑体" w:eastAsia="黑体"/>
                <w:szCs w:val="21"/>
              </w:rPr>
            </w:pPr>
          </w:p>
        </w:tc>
        <w:tc>
          <w:tcPr>
            <w:tcW w:w="674" w:type="pct"/>
            <w:vAlign w:val="center"/>
          </w:tcPr>
          <w:p>
            <w:pPr>
              <w:adjustRightInd w:val="0"/>
              <w:snapToGrid w:val="0"/>
              <w:spacing w:line="480" w:lineRule="auto"/>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adjustRightInd w:val="0"/>
              <w:snapToGrid w:val="0"/>
              <w:spacing w:line="480" w:lineRule="auto"/>
              <w:jc w:val="left"/>
              <w:rPr>
                <w:rFonts w:ascii="黑体" w:hAnsi="黑体" w:eastAsia="黑体"/>
                <w:szCs w:val="21"/>
              </w:rPr>
            </w:pPr>
          </w:p>
        </w:tc>
        <w:tc>
          <w:tcPr>
            <w:tcW w:w="750" w:type="pct"/>
            <w:vAlign w:val="center"/>
          </w:tcPr>
          <w:p>
            <w:pPr>
              <w:adjustRightInd w:val="0"/>
              <w:snapToGrid w:val="0"/>
              <w:spacing w:line="480" w:lineRule="auto"/>
              <w:jc w:val="left"/>
              <w:rPr>
                <w:rFonts w:ascii="黑体" w:hAnsi="黑体" w:eastAsia="黑体"/>
                <w:szCs w:val="21"/>
              </w:rPr>
            </w:pPr>
          </w:p>
        </w:tc>
        <w:tc>
          <w:tcPr>
            <w:tcW w:w="832" w:type="pct"/>
            <w:vAlign w:val="center"/>
          </w:tcPr>
          <w:p>
            <w:pPr>
              <w:adjustRightInd w:val="0"/>
              <w:snapToGrid w:val="0"/>
              <w:spacing w:line="480" w:lineRule="auto"/>
              <w:jc w:val="left"/>
              <w:rPr>
                <w:rFonts w:ascii="黑体" w:hAnsi="黑体" w:eastAsia="黑体"/>
                <w:szCs w:val="21"/>
              </w:rPr>
            </w:pPr>
          </w:p>
        </w:tc>
        <w:tc>
          <w:tcPr>
            <w:tcW w:w="583" w:type="pct"/>
          </w:tcPr>
          <w:p>
            <w:pPr>
              <w:adjustRightInd w:val="0"/>
              <w:snapToGrid w:val="0"/>
              <w:spacing w:line="480" w:lineRule="auto"/>
              <w:jc w:val="left"/>
              <w:rPr>
                <w:rFonts w:ascii="黑体" w:hAnsi="黑体" w:eastAsia="黑体"/>
                <w:szCs w:val="21"/>
              </w:rPr>
            </w:pPr>
          </w:p>
        </w:tc>
        <w:tc>
          <w:tcPr>
            <w:tcW w:w="749" w:type="pct"/>
            <w:vAlign w:val="center"/>
          </w:tcPr>
          <w:p>
            <w:pPr>
              <w:adjustRightInd w:val="0"/>
              <w:snapToGrid w:val="0"/>
              <w:spacing w:line="480" w:lineRule="auto"/>
              <w:jc w:val="left"/>
              <w:rPr>
                <w:rFonts w:ascii="黑体" w:hAnsi="黑体" w:eastAsia="黑体"/>
                <w:szCs w:val="21"/>
              </w:rPr>
            </w:pPr>
          </w:p>
        </w:tc>
        <w:tc>
          <w:tcPr>
            <w:tcW w:w="584" w:type="pct"/>
            <w:vAlign w:val="center"/>
          </w:tcPr>
          <w:p>
            <w:pPr>
              <w:adjustRightInd w:val="0"/>
              <w:snapToGrid w:val="0"/>
              <w:spacing w:line="480" w:lineRule="auto"/>
              <w:jc w:val="left"/>
              <w:rPr>
                <w:rFonts w:ascii="黑体" w:hAnsi="黑体" w:eastAsia="黑体"/>
                <w:szCs w:val="21"/>
              </w:rPr>
            </w:pPr>
          </w:p>
        </w:tc>
        <w:tc>
          <w:tcPr>
            <w:tcW w:w="416" w:type="pct"/>
            <w:vAlign w:val="center"/>
          </w:tcPr>
          <w:p>
            <w:pPr>
              <w:adjustRightInd w:val="0"/>
              <w:snapToGrid w:val="0"/>
              <w:spacing w:line="480" w:lineRule="auto"/>
              <w:jc w:val="left"/>
              <w:rPr>
                <w:rFonts w:ascii="黑体" w:hAnsi="黑体" w:eastAsia="黑体"/>
                <w:szCs w:val="21"/>
              </w:rPr>
            </w:pPr>
          </w:p>
        </w:tc>
        <w:tc>
          <w:tcPr>
            <w:tcW w:w="674" w:type="pct"/>
            <w:vAlign w:val="center"/>
          </w:tcPr>
          <w:p>
            <w:pPr>
              <w:adjustRightInd w:val="0"/>
              <w:snapToGrid w:val="0"/>
              <w:spacing w:line="480" w:lineRule="auto"/>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7" w:type="pct"/>
            <w:gridSpan w:val="4"/>
            <w:vAlign w:val="center"/>
          </w:tcPr>
          <w:p>
            <w:pPr>
              <w:adjustRightInd w:val="0"/>
              <w:snapToGrid w:val="0"/>
              <w:spacing w:line="480" w:lineRule="auto"/>
              <w:jc w:val="right"/>
              <w:rPr>
                <w:rFonts w:ascii="黑体" w:hAnsi="黑体" w:eastAsia="黑体"/>
                <w:szCs w:val="21"/>
              </w:rPr>
            </w:pPr>
            <w:r>
              <w:rPr>
                <w:rFonts w:ascii="黑体" w:hAnsi="黑体" w:eastAsia="黑体"/>
                <w:b/>
                <w:szCs w:val="21"/>
              </w:rPr>
              <w:t>总价（元）</w:t>
            </w:r>
          </w:p>
        </w:tc>
        <w:tc>
          <w:tcPr>
            <w:tcW w:w="2423" w:type="pct"/>
            <w:gridSpan w:val="4"/>
            <w:vAlign w:val="center"/>
          </w:tcPr>
          <w:p>
            <w:pPr>
              <w:spacing w:line="360" w:lineRule="auto"/>
              <w:rPr>
                <w:rFonts w:ascii="黑体" w:hAnsi="黑体" w:eastAsia="黑体"/>
                <w:szCs w:val="21"/>
              </w:rPr>
            </w:pPr>
            <w:r>
              <w:rPr>
                <w:rFonts w:hint="eastAsia" w:ascii="黑体" w:hAnsi="黑体" w:eastAsia="黑体"/>
                <w:szCs w:val="21"/>
              </w:rPr>
              <w:t>大写：</w:t>
            </w:r>
            <w:r>
              <w:rPr>
                <w:rFonts w:ascii="黑体" w:hAnsi="黑体" w:eastAsia="黑体"/>
                <w:szCs w:val="21"/>
                <w:u w:val="single"/>
              </w:rPr>
              <w:t xml:space="preserve">       </w:t>
            </w:r>
            <w:r>
              <w:rPr>
                <w:rFonts w:hint="eastAsia" w:ascii="黑体" w:hAnsi="黑体" w:eastAsia="黑体"/>
                <w:szCs w:val="21"/>
                <w:u w:val="single"/>
              </w:rPr>
              <w:t xml:space="preserve">   </w:t>
            </w:r>
            <w:r>
              <w:rPr>
                <w:rFonts w:ascii="黑体" w:hAnsi="黑体" w:eastAsia="黑体"/>
                <w:szCs w:val="21"/>
                <w:u w:val="single"/>
              </w:rPr>
              <w:t xml:space="preserve">          </w:t>
            </w:r>
            <w:r>
              <w:rPr>
                <w:rFonts w:hint="eastAsia" w:ascii="黑体" w:hAnsi="黑体" w:eastAsia="黑体"/>
                <w:szCs w:val="21"/>
                <w:u w:val="single"/>
              </w:rPr>
              <w:t xml:space="preserve"> </w:t>
            </w:r>
            <w:r>
              <w:rPr>
                <w:rFonts w:ascii="黑体" w:hAnsi="黑体" w:eastAsia="黑体"/>
                <w:szCs w:val="21"/>
                <w:u w:val="single"/>
              </w:rPr>
              <w:t xml:space="preserve">  </w:t>
            </w:r>
            <w:r>
              <w:rPr>
                <w:rFonts w:hint="eastAsia" w:ascii="黑体" w:hAnsi="黑体" w:eastAsia="黑体"/>
                <w:szCs w:val="21"/>
                <w:u w:val="single"/>
              </w:rPr>
              <w:t>元</w:t>
            </w:r>
          </w:p>
          <w:p>
            <w:pPr>
              <w:adjustRightInd w:val="0"/>
              <w:snapToGrid w:val="0"/>
              <w:spacing w:line="480" w:lineRule="auto"/>
              <w:rPr>
                <w:rFonts w:ascii="黑体" w:hAnsi="黑体" w:eastAsia="黑体"/>
                <w:szCs w:val="21"/>
              </w:rPr>
            </w:pPr>
            <w:r>
              <w:rPr>
                <w:rFonts w:hint="eastAsia" w:ascii="黑体" w:hAnsi="黑体" w:eastAsia="黑体"/>
                <w:szCs w:val="21"/>
              </w:rPr>
              <w:t>小写：</w:t>
            </w:r>
            <w:r>
              <w:rPr>
                <w:rFonts w:ascii="黑体" w:hAnsi="黑体" w:eastAsia="黑体"/>
                <w:szCs w:val="21"/>
                <w:u w:val="single"/>
              </w:rPr>
              <w:t xml:space="preserve">     </w:t>
            </w:r>
            <w:r>
              <w:rPr>
                <w:rFonts w:hint="eastAsia" w:ascii="黑体" w:hAnsi="黑体" w:eastAsia="黑体"/>
                <w:szCs w:val="21"/>
                <w:u w:val="single"/>
              </w:rPr>
              <w:t xml:space="preserve"> </w:t>
            </w:r>
            <w:r>
              <w:rPr>
                <w:rFonts w:ascii="黑体" w:hAnsi="黑体" w:eastAsia="黑体"/>
                <w:szCs w:val="21"/>
                <w:u w:val="single"/>
              </w:rPr>
              <w:t xml:space="preserve">     </w:t>
            </w:r>
            <w:r>
              <w:rPr>
                <w:rFonts w:hint="eastAsia" w:ascii="黑体" w:hAnsi="黑体" w:eastAsia="黑体"/>
                <w:szCs w:val="21"/>
                <w:u w:val="single"/>
              </w:rPr>
              <w:t xml:space="preserve">  </w:t>
            </w:r>
            <w:r>
              <w:rPr>
                <w:rFonts w:ascii="黑体" w:hAnsi="黑体" w:eastAsia="黑体"/>
                <w:szCs w:val="21"/>
                <w:u w:val="single"/>
              </w:rPr>
              <w:t xml:space="preserve">          </w:t>
            </w:r>
            <w:r>
              <w:rPr>
                <w:rFonts w:hint="eastAsia" w:ascii="黑体" w:hAnsi="黑体" w:eastAsia="黑体"/>
                <w:szCs w:val="21"/>
                <w:u w:val="single"/>
              </w:rPr>
              <w:t>元</w:t>
            </w:r>
          </w:p>
        </w:tc>
      </w:tr>
      <w:bookmarkEnd w:id="83"/>
    </w:tbl>
    <w:p>
      <w:pPr>
        <w:spacing w:before="312" w:beforeLines="100" w:line="360" w:lineRule="auto"/>
        <w:rPr>
          <w:rFonts w:ascii="黑体" w:hAnsi="黑体" w:eastAsia="黑体"/>
          <w:szCs w:val="21"/>
        </w:rPr>
      </w:pPr>
      <w:r>
        <w:rPr>
          <w:rFonts w:hint="eastAsia" w:ascii="黑体" w:hAnsi="黑体" w:eastAsia="黑体"/>
          <w:szCs w:val="21"/>
        </w:rPr>
        <w:t>注明：</w:t>
      </w:r>
    </w:p>
    <w:p>
      <w:pPr>
        <w:pStyle w:val="30"/>
        <w:numPr>
          <w:ilvl w:val="0"/>
          <w:numId w:val="87"/>
        </w:numPr>
        <w:spacing w:line="360" w:lineRule="auto"/>
        <w:ind w:firstLineChars="0"/>
        <w:rPr>
          <w:rFonts w:ascii="黑体" w:hAnsi="黑体" w:eastAsia="黑体"/>
          <w:szCs w:val="21"/>
        </w:rPr>
      </w:pPr>
      <w:r>
        <w:rPr>
          <w:rFonts w:hint="eastAsia" w:ascii="黑体" w:hAnsi="黑体" w:eastAsia="黑体"/>
          <w:szCs w:val="21"/>
        </w:rPr>
        <w:t>此表为报价总表的分项报价表。</w:t>
      </w:r>
    </w:p>
    <w:p>
      <w:pPr>
        <w:pStyle w:val="30"/>
        <w:numPr>
          <w:ilvl w:val="0"/>
          <w:numId w:val="87"/>
        </w:numPr>
        <w:spacing w:line="360" w:lineRule="auto"/>
        <w:ind w:firstLineChars="0"/>
        <w:rPr>
          <w:rFonts w:ascii="黑体" w:hAnsi="黑体" w:eastAsia="黑体"/>
          <w:szCs w:val="21"/>
        </w:rPr>
      </w:pPr>
      <w:r>
        <w:rPr>
          <w:rFonts w:hint="eastAsia" w:ascii="黑体" w:hAnsi="黑体" w:eastAsia="黑体"/>
          <w:szCs w:val="21"/>
        </w:rPr>
        <w:t>如果单价和总价不符时，以单价为准，修正总价。</w:t>
      </w:r>
    </w:p>
    <w:p>
      <w:pPr>
        <w:pStyle w:val="30"/>
        <w:numPr>
          <w:ilvl w:val="0"/>
          <w:numId w:val="87"/>
        </w:numPr>
        <w:spacing w:line="360" w:lineRule="auto"/>
        <w:ind w:firstLineChars="0"/>
        <w:rPr>
          <w:rFonts w:ascii="黑体" w:hAnsi="黑体" w:eastAsia="黑体"/>
          <w:szCs w:val="21"/>
        </w:rPr>
      </w:pPr>
      <w:r>
        <w:rPr>
          <w:rFonts w:hint="eastAsia" w:ascii="黑体" w:hAnsi="黑体" w:eastAsia="黑体"/>
          <w:szCs w:val="21"/>
        </w:rPr>
        <w:t>投标人应列明按“采购需求”所要求提供的所有报价项的价格明细。</w:t>
      </w:r>
    </w:p>
    <w:p>
      <w:pPr>
        <w:tabs>
          <w:tab w:val="left" w:pos="1180"/>
        </w:tabs>
        <w:rPr>
          <w:rFonts w:ascii="黑体" w:hAnsi="黑体" w:eastAsia="黑体"/>
          <w:sz w:val="28"/>
          <w:szCs w:val="28"/>
        </w:rPr>
      </w:pPr>
    </w:p>
    <w:p>
      <w:pPr>
        <w:tabs>
          <w:tab w:val="left" w:pos="1180"/>
        </w:tabs>
        <w:rPr>
          <w:rFonts w:ascii="黑体" w:hAnsi="黑体" w:eastAsia="黑体"/>
          <w:sz w:val="28"/>
          <w:szCs w:val="28"/>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hint="eastAsia"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hint="eastAsia"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tabs>
          <w:tab w:val="left" w:pos="1180"/>
        </w:tabs>
        <w:rPr>
          <w:rFonts w:ascii="黑体" w:hAnsi="黑体" w:eastAsia="黑体"/>
          <w:sz w:val="28"/>
          <w:szCs w:val="28"/>
        </w:rPr>
      </w:pPr>
    </w:p>
    <w:p>
      <w:pPr>
        <w:pStyle w:val="30"/>
        <w:pageBreakBefore/>
        <w:numPr>
          <w:ilvl w:val="0"/>
          <w:numId w:val="83"/>
        </w:numPr>
        <w:tabs>
          <w:tab w:val="left" w:pos="284"/>
          <w:tab w:val="left" w:pos="426"/>
        </w:tabs>
        <w:ind w:left="1679" w:hanging="1537" w:firstLineChars="0"/>
        <w:jc w:val="left"/>
        <w:rPr>
          <w:rFonts w:ascii="黑体" w:hAnsi="黑体" w:eastAsia="黑体"/>
          <w:b/>
          <w:bCs/>
        </w:rPr>
      </w:pPr>
      <w:r>
        <w:rPr>
          <w:rFonts w:hint="eastAsia" w:ascii="黑体" w:hAnsi="黑体" w:eastAsia="黑体"/>
          <w:b/>
          <w:bCs/>
        </w:rPr>
        <w:t>中小企业声明函（如需）</w:t>
      </w:r>
    </w:p>
    <w:p>
      <w:pPr>
        <w:spacing w:before="468" w:beforeLines="150" w:after="312" w:afterLines="100" w:line="360" w:lineRule="auto"/>
        <w:jc w:val="center"/>
        <w:rPr>
          <w:rFonts w:ascii="黑体" w:hAnsi="黑体" w:eastAsia="黑体"/>
          <w:b/>
          <w:spacing w:val="20"/>
          <w:sz w:val="30"/>
          <w:szCs w:val="30"/>
        </w:rPr>
      </w:pPr>
      <w:bookmarkStart w:id="84" w:name="_Hlk90663850"/>
      <w:r>
        <w:rPr>
          <w:rFonts w:hint="eastAsia" w:ascii="黑体" w:hAnsi="黑体" w:eastAsia="黑体"/>
          <w:b/>
          <w:spacing w:val="20"/>
          <w:sz w:val="30"/>
          <w:szCs w:val="30"/>
        </w:rPr>
        <w:t>中小企业声明函（货物）</w:t>
      </w:r>
    </w:p>
    <w:p>
      <w:pPr>
        <w:spacing w:line="360" w:lineRule="auto"/>
        <w:ind w:firstLine="424" w:firstLineChars="202"/>
        <w:rPr>
          <w:rFonts w:ascii="黑体" w:hAnsi="黑体" w:eastAsia="黑体"/>
          <w:szCs w:val="21"/>
        </w:rPr>
      </w:pPr>
      <w:r>
        <w:rPr>
          <w:rFonts w:hint="eastAsia" w:ascii="黑体" w:hAnsi="黑体" w:eastAsia="黑体"/>
          <w:szCs w:val="21"/>
        </w:rPr>
        <w:t>本公司（联合体）郑重声明，根据《政府采购促进中小企业发展管理办法》（财库﹝2020﹞46 号）的规定，本公司（联合体）参加</w:t>
      </w:r>
      <w:r>
        <w:rPr>
          <w:rFonts w:hint="eastAsia" w:ascii="黑体" w:hAnsi="黑体" w:eastAsia="黑体"/>
          <w:szCs w:val="21"/>
          <w:u w:val="single"/>
        </w:rPr>
        <w:t>（单位名称）</w:t>
      </w:r>
      <w:r>
        <w:rPr>
          <w:rFonts w:hint="eastAsia" w:ascii="黑体" w:hAnsi="黑体" w:eastAsia="黑体"/>
          <w:szCs w:val="21"/>
        </w:rPr>
        <w:t>的</w:t>
      </w:r>
      <w:r>
        <w:rPr>
          <w:rFonts w:hint="eastAsia" w:ascii="黑体" w:hAnsi="黑体" w:eastAsia="黑体"/>
          <w:szCs w:val="21"/>
          <w:u w:val="single"/>
        </w:rPr>
        <w:t>（项目名称）</w:t>
      </w:r>
      <w:r>
        <w:rPr>
          <w:rFonts w:hint="eastAsia" w:ascii="黑体" w:hAnsi="黑体" w:eastAsia="黑体"/>
          <w:szCs w:val="21"/>
        </w:rPr>
        <w:t>采购活动，提供的货物全部由符合政策要求的中小企业制造。相关企业（含联合体中的中小企业、签订分包意向协议的中小企业）的具体情况如下：</w:t>
      </w:r>
    </w:p>
    <w:p>
      <w:pPr>
        <w:spacing w:line="360" w:lineRule="auto"/>
        <w:ind w:firstLine="424" w:firstLineChars="202"/>
        <w:rPr>
          <w:rFonts w:ascii="黑体" w:hAnsi="黑体" w:eastAsia="黑体"/>
          <w:szCs w:val="21"/>
        </w:rPr>
      </w:pPr>
      <w:r>
        <w:rPr>
          <w:rFonts w:hint="eastAsia" w:ascii="黑体" w:hAnsi="黑体" w:eastAsia="黑体"/>
          <w:szCs w:val="21"/>
        </w:rPr>
        <w:t>1.</w:t>
      </w:r>
      <w:r>
        <w:rPr>
          <w:rFonts w:hint="eastAsia" w:ascii="黑体" w:hAnsi="黑体" w:eastAsia="黑体"/>
          <w:szCs w:val="21"/>
          <w:u w:val="single"/>
        </w:rPr>
        <w:t xml:space="preserve"> （标的名称） </w:t>
      </w:r>
      <w:r>
        <w:rPr>
          <w:rFonts w:hint="eastAsia" w:ascii="黑体" w:hAnsi="黑体" w:eastAsia="黑体"/>
          <w:szCs w:val="21"/>
        </w:rPr>
        <w:t>，属于</w:t>
      </w:r>
      <w:r>
        <w:rPr>
          <w:rFonts w:hint="eastAsia" w:ascii="黑体" w:hAnsi="黑体" w:eastAsia="黑体"/>
          <w:szCs w:val="21"/>
          <w:u w:val="single"/>
        </w:rPr>
        <w:t>（采购文件中明确的所属行业）</w:t>
      </w:r>
      <w:r>
        <w:rPr>
          <w:rFonts w:hint="eastAsia" w:ascii="黑体" w:hAnsi="黑体" w:eastAsia="黑体"/>
          <w:szCs w:val="21"/>
        </w:rPr>
        <w:t>行业；制造商为</w:t>
      </w:r>
      <w:r>
        <w:rPr>
          <w:rFonts w:hint="eastAsia" w:ascii="黑体" w:hAnsi="黑体" w:eastAsia="黑体"/>
          <w:szCs w:val="21"/>
          <w:u w:val="single"/>
        </w:rPr>
        <w:t>（企业名称）</w:t>
      </w:r>
      <w:r>
        <w:rPr>
          <w:rFonts w:hint="eastAsia" w:ascii="黑体" w:hAnsi="黑体" w:eastAsia="黑体"/>
          <w:szCs w:val="21"/>
        </w:rPr>
        <w:t>，从业人员</w:t>
      </w:r>
      <w:r>
        <w:rPr>
          <w:rFonts w:hint="eastAsia" w:ascii="黑体" w:hAnsi="黑体" w:eastAsia="黑体"/>
          <w:szCs w:val="21"/>
          <w:u w:val="single"/>
        </w:rPr>
        <w:t xml:space="preserve">        </w:t>
      </w:r>
      <w:r>
        <w:rPr>
          <w:rFonts w:hint="eastAsia" w:ascii="黑体" w:hAnsi="黑体" w:eastAsia="黑体"/>
          <w:szCs w:val="21"/>
        </w:rPr>
        <w:t xml:space="preserve">人，营业收入为 </w:t>
      </w:r>
      <w:r>
        <w:rPr>
          <w:rFonts w:hint="eastAsia" w:ascii="黑体" w:hAnsi="黑体" w:eastAsia="黑体"/>
          <w:szCs w:val="21"/>
          <w:u w:val="single"/>
        </w:rPr>
        <w:t xml:space="preserve">      </w:t>
      </w:r>
      <w:r>
        <w:rPr>
          <w:rFonts w:hint="eastAsia" w:ascii="黑体" w:hAnsi="黑体" w:eastAsia="黑体"/>
          <w:szCs w:val="21"/>
        </w:rPr>
        <w:t>万元，资产总额为</w:t>
      </w:r>
      <w:r>
        <w:rPr>
          <w:rFonts w:hint="eastAsia" w:ascii="黑体" w:hAnsi="黑体" w:eastAsia="黑体"/>
          <w:szCs w:val="21"/>
          <w:u w:val="single"/>
        </w:rPr>
        <w:t xml:space="preserve">      </w:t>
      </w:r>
      <w:r>
        <w:rPr>
          <w:rFonts w:hint="eastAsia" w:ascii="黑体" w:hAnsi="黑体" w:eastAsia="黑体"/>
          <w:szCs w:val="21"/>
        </w:rPr>
        <w:t xml:space="preserve"> 万元</w:t>
      </w:r>
      <w:r>
        <w:rPr>
          <w:rFonts w:hint="eastAsia" w:ascii="黑体" w:hAnsi="黑体" w:eastAsia="黑体"/>
          <w:szCs w:val="21"/>
          <w:vertAlign w:val="superscript"/>
        </w:rPr>
        <w:t>1</w:t>
      </w:r>
      <w:r>
        <w:rPr>
          <w:rFonts w:hint="eastAsia" w:ascii="黑体" w:hAnsi="黑体" w:eastAsia="黑体"/>
          <w:szCs w:val="21"/>
        </w:rPr>
        <w:t>，属于</w:t>
      </w:r>
      <w:r>
        <w:rPr>
          <w:rFonts w:hint="eastAsia" w:ascii="黑体" w:hAnsi="黑体" w:eastAsia="黑体"/>
          <w:szCs w:val="21"/>
          <w:u w:val="single"/>
        </w:rPr>
        <w:t>（中型企业、小型企业、微型企业）</w:t>
      </w:r>
      <w:r>
        <w:rPr>
          <w:rFonts w:hint="eastAsia" w:ascii="黑体" w:hAnsi="黑体" w:eastAsia="黑体"/>
          <w:szCs w:val="21"/>
        </w:rPr>
        <w:t>；</w:t>
      </w:r>
    </w:p>
    <w:p>
      <w:pPr>
        <w:spacing w:line="360" w:lineRule="auto"/>
        <w:ind w:firstLine="424" w:firstLineChars="202"/>
        <w:rPr>
          <w:rFonts w:ascii="黑体" w:hAnsi="黑体" w:eastAsia="黑体"/>
          <w:szCs w:val="21"/>
        </w:rPr>
      </w:pPr>
      <w:r>
        <w:rPr>
          <w:rFonts w:hint="eastAsia" w:ascii="黑体" w:hAnsi="黑体" w:eastAsia="黑体"/>
          <w:szCs w:val="21"/>
        </w:rPr>
        <w:t>2.</w:t>
      </w:r>
      <w:r>
        <w:rPr>
          <w:rFonts w:hint="eastAsia" w:ascii="黑体" w:hAnsi="黑体" w:eastAsia="黑体"/>
          <w:szCs w:val="21"/>
          <w:u w:val="single"/>
        </w:rPr>
        <w:t xml:space="preserve"> （标的名称）</w:t>
      </w:r>
      <w:r>
        <w:rPr>
          <w:rFonts w:hint="eastAsia" w:ascii="黑体" w:hAnsi="黑体" w:eastAsia="黑体"/>
          <w:szCs w:val="21"/>
        </w:rPr>
        <w:t xml:space="preserve"> ，属于</w:t>
      </w:r>
      <w:r>
        <w:rPr>
          <w:rFonts w:hint="eastAsia" w:ascii="黑体" w:hAnsi="黑体" w:eastAsia="黑体"/>
          <w:szCs w:val="21"/>
          <w:u w:val="single"/>
        </w:rPr>
        <w:t>（采购文件中明确的所属行业）</w:t>
      </w:r>
      <w:r>
        <w:rPr>
          <w:rFonts w:hint="eastAsia" w:ascii="黑体" w:hAnsi="黑体" w:eastAsia="黑体"/>
          <w:szCs w:val="21"/>
        </w:rPr>
        <w:t>行业；制造商为</w:t>
      </w:r>
      <w:r>
        <w:rPr>
          <w:rFonts w:hint="eastAsia" w:ascii="黑体" w:hAnsi="黑体" w:eastAsia="黑体"/>
          <w:szCs w:val="21"/>
          <w:u w:val="single"/>
        </w:rPr>
        <w:t>（企业名称）</w:t>
      </w:r>
      <w:r>
        <w:rPr>
          <w:rFonts w:hint="eastAsia" w:ascii="黑体" w:hAnsi="黑体" w:eastAsia="黑体"/>
          <w:szCs w:val="21"/>
        </w:rPr>
        <w:t>，从业人员</w:t>
      </w:r>
      <w:r>
        <w:rPr>
          <w:rFonts w:hint="eastAsia" w:ascii="黑体" w:hAnsi="黑体" w:eastAsia="黑体"/>
          <w:szCs w:val="21"/>
          <w:u w:val="single"/>
        </w:rPr>
        <w:t xml:space="preserve">        </w:t>
      </w:r>
      <w:r>
        <w:rPr>
          <w:rFonts w:hint="eastAsia" w:ascii="黑体" w:hAnsi="黑体" w:eastAsia="黑体"/>
          <w:szCs w:val="21"/>
        </w:rPr>
        <w:t>人，营业收入为</w:t>
      </w:r>
      <w:r>
        <w:rPr>
          <w:rFonts w:hint="eastAsia" w:ascii="黑体" w:hAnsi="黑体" w:eastAsia="黑体"/>
          <w:szCs w:val="21"/>
          <w:u w:val="single"/>
        </w:rPr>
        <w:t xml:space="preserve">      </w:t>
      </w:r>
      <w:r>
        <w:rPr>
          <w:rFonts w:hint="eastAsia" w:ascii="黑体" w:hAnsi="黑体" w:eastAsia="黑体"/>
          <w:szCs w:val="21"/>
        </w:rPr>
        <w:t>万元，资产总额为</w:t>
      </w:r>
      <w:r>
        <w:rPr>
          <w:rFonts w:hint="eastAsia" w:ascii="黑体" w:hAnsi="黑体" w:eastAsia="黑体"/>
          <w:szCs w:val="21"/>
          <w:u w:val="single"/>
        </w:rPr>
        <w:t xml:space="preserve">      </w:t>
      </w:r>
      <w:r>
        <w:rPr>
          <w:rFonts w:hint="eastAsia" w:ascii="黑体" w:hAnsi="黑体" w:eastAsia="黑体"/>
          <w:szCs w:val="21"/>
        </w:rPr>
        <w:t>万元，属于</w:t>
      </w:r>
      <w:r>
        <w:rPr>
          <w:rFonts w:hint="eastAsia" w:ascii="黑体" w:hAnsi="黑体" w:eastAsia="黑体"/>
          <w:szCs w:val="21"/>
          <w:u w:val="single"/>
        </w:rPr>
        <w:t>（中型企业、小型企业、微型企业）</w:t>
      </w:r>
      <w:r>
        <w:rPr>
          <w:rFonts w:hint="eastAsia" w:ascii="黑体" w:hAnsi="黑体" w:eastAsia="黑体"/>
          <w:szCs w:val="21"/>
        </w:rPr>
        <w:t>；</w:t>
      </w:r>
    </w:p>
    <w:p>
      <w:pPr>
        <w:spacing w:line="360" w:lineRule="auto"/>
        <w:ind w:firstLine="424" w:firstLineChars="202"/>
        <w:rPr>
          <w:rFonts w:ascii="黑体" w:hAnsi="黑体" w:eastAsia="黑体"/>
          <w:szCs w:val="21"/>
        </w:rPr>
      </w:pPr>
      <w:r>
        <w:rPr>
          <w:rFonts w:hint="eastAsia" w:ascii="黑体" w:hAnsi="黑体" w:eastAsia="黑体"/>
          <w:szCs w:val="21"/>
        </w:rPr>
        <w:t>……</w:t>
      </w:r>
    </w:p>
    <w:p>
      <w:pPr>
        <w:spacing w:line="360" w:lineRule="auto"/>
        <w:ind w:firstLine="424" w:firstLineChars="202"/>
        <w:rPr>
          <w:rFonts w:ascii="黑体" w:hAnsi="黑体" w:eastAsia="黑体"/>
          <w:szCs w:val="21"/>
        </w:rPr>
      </w:pPr>
      <w:r>
        <w:rPr>
          <w:rFonts w:hint="eastAsia" w:ascii="黑体" w:hAnsi="黑体" w:eastAsia="黑体"/>
          <w:szCs w:val="21"/>
        </w:rPr>
        <w:t>以上企业，不属于大企业的分支机构，不存在控股股东为大企业的情形，也不存在与大企业的负责人为同一人的情形。</w:t>
      </w:r>
    </w:p>
    <w:p>
      <w:pPr>
        <w:spacing w:line="360" w:lineRule="auto"/>
        <w:ind w:firstLine="424" w:firstLineChars="202"/>
        <w:rPr>
          <w:rFonts w:ascii="黑体" w:hAnsi="黑体" w:eastAsia="黑体"/>
          <w:szCs w:val="21"/>
        </w:rPr>
      </w:pPr>
      <w:r>
        <w:rPr>
          <w:rFonts w:hint="eastAsia" w:ascii="黑体" w:hAnsi="黑体" w:eastAsia="黑体"/>
          <w:szCs w:val="21"/>
        </w:rPr>
        <w:t>本企业对上述声明内容的真实性负责。如有虚假，将依法承担相应责任。</w:t>
      </w:r>
    </w:p>
    <w:p>
      <w:pPr>
        <w:spacing w:before="936" w:beforeLines="300" w:line="360" w:lineRule="auto"/>
        <w:ind w:right="420"/>
        <w:jc w:val="center"/>
        <w:rPr>
          <w:rFonts w:ascii="黑体" w:hAnsi="黑体" w:eastAsia="黑体"/>
          <w:szCs w:val="21"/>
        </w:rPr>
      </w:pPr>
      <w:r>
        <w:rPr>
          <w:rFonts w:hint="eastAsia" w:ascii="黑体" w:hAnsi="黑体" w:eastAsia="黑体"/>
          <w:szCs w:val="21"/>
        </w:rPr>
        <w:t xml:space="preserve">                        企业名称（盖章）：</w:t>
      </w:r>
    </w:p>
    <w:p>
      <w:pPr>
        <w:spacing w:line="360" w:lineRule="auto"/>
        <w:ind w:firstLine="5527" w:firstLineChars="2632"/>
        <w:jc w:val="left"/>
        <w:rPr>
          <w:rFonts w:ascii="黑体" w:hAnsi="黑体" w:eastAsia="黑体"/>
          <w:szCs w:val="21"/>
        </w:rPr>
      </w:pPr>
      <w:r>
        <w:rPr>
          <w:rFonts w:hint="eastAsia" w:ascii="黑体" w:hAnsi="黑体" w:eastAsia="黑体"/>
          <w:szCs w:val="21"/>
        </w:rPr>
        <w:t>日期：</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r>
        <w:rPr>
          <w:rFonts w:hint="eastAsia" w:ascii="黑体" w:hAnsi="黑体" w:eastAsia="黑体"/>
          <w:szCs w:val="21"/>
        </w:rPr>
        <w:t>1.从业人员、营业收入、资产总额填报上一年度数据，无上一年度数据的新成立企业可不填报。</w:t>
      </w:r>
    </w:p>
    <w:bookmarkEnd w:id="84"/>
    <w:p>
      <w:pPr>
        <w:spacing w:before="936" w:beforeLines="300" w:line="360" w:lineRule="auto"/>
        <w:ind w:right="-51"/>
        <w:jc w:val="left"/>
        <w:rPr>
          <w:rFonts w:ascii="黑体" w:hAnsi="黑体" w:eastAsia="黑体"/>
          <w:spacing w:val="-4"/>
          <w:szCs w:val="21"/>
        </w:rPr>
      </w:pPr>
    </w:p>
    <w:p>
      <w:pPr>
        <w:pStyle w:val="30"/>
        <w:pageBreakBefore/>
        <w:numPr>
          <w:ilvl w:val="0"/>
          <w:numId w:val="83"/>
        </w:numPr>
        <w:tabs>
          <w:tab w:val="left" w:pos="284"/>
          <w:tab w:val="left" w:pos="426"/>
          <w:tab w:val="left" w:pos="709"/>
        </w:tabs>
        <w:ind w:left="1679" w:hanging="1537" w:firstLineChars="0"/>
        <w:jc w:val="left"/>
        <w:rPr>
          <w:rFonts w:ascii="黑体" w:hAnsi="黑体" w:eastAsia="黑体"/>
          <w:b/>
          <w:bCs/>
        </w:rPr>
      </w:pPr>
      <w:r>
        <w:rPr>
          <w:rFonts w:hint="eastAsia" w:ascii="黑体" w:hAnsi="黑体" w:eastAsia="黑体"/>
          <w:b/>
          <w:bCs/>
        </w:rPr>
        <w:t>残疾人福利性单位声明函（如需）</w:t>
      </w:r>
    </w:p>
    <w:p>
      <w:pPr>
        <w:spacing w:before="312" w:beforeLines="100" w:after="312" w:afterLines="100" w:line="360" w:lineRule="auto"/>
        <w:jc w:val="center"/>
        <w:rPr>
          <w:rFonts w:ascii="黑体" w:hAnsi="黑体" w:eastAsia="黑体"/>
          <w:b/>
          <w:spacing w:val="20"/>
          <w:sz w:val="30"/>
          <w:szCs w:val="30"/>
        </w:rPr>
      </w:pPr>
      <w:r>
        <w:rPr>
          <w:rFonts w:hint="eastAsia" w:ascii="黑体" w:hAnsi="黑体" w:eastAsia="黑体"/>
          <w:b/>
          <w:spacing w:val="20"/>
          <w:sz w:val="30"/>
          <w:szCs w:val="30"/>
        </w:rPr>
        <w:t>残疾人福利性单位声明函</w:t>
      </w:r>
    </w:p>
    <w:p>
      <w:pPr>
        <w:spacing w:line="480" w:lineRule="auto"/>
        <w:ind w:firstLine="630" w:firstLineChars="300"/>
        <w:rPr>
          <w:rFonts w:ascii="黑体" w:hAnsi="黑体" w:eastAsia="黑体"/>
        </w:rPr>
      </w:pPr>
      <w:r>
        <w:rPr>
          <w:rFonts w:hint="eastAsia" w:ascii="黑体" w:hAnsi="黑体" w:eastAsia="黑体"/>
          <w:bCs/>
        </w:rPr>
        <w:t>本单位郑重声明，根据《财政部</w:t>
      </w:r>
      <w:r>
        <w:rPr>
          <w:rFonts w:ascii="黑体" w:hAnsi="黑体" w:eastAsia="黑体"/>
          <w:bCs/>
        </w:rPr>
        <w:t xml:space="preserve"> </w:t>
      </w:r>
      <w:r>
        <w:rPr>
          <w:rFonts w:hint="eastAsia" w:ascii="黑体" w:hAnsi="黑体" w:eastAsia="黑体"/>
          <w:bCs/>
        </w:rPr>
        <w:t>民政部</w:t>
      </w:r>
      <w:r>
        <w:rPr>
          <w:rFonts w:ascii="黑体" w:hAnsi="黑体" w:eastAsia="黑体"/>
          <w:bCs/>
        </w:rPr>
        <w:t xml:space="preserve"> </w:t>
      </w:r>
      <w:r>
        <w:rPr>
          <w:rFonts w:hint="eastAsia" w:ascii="黑体" w:hAnsi="黑体" w:eastAsia="黑体"/>
          <w:bCs/>
        </w:rPr>
        <w:t>中国残疾人联合会关于促进残疾人就业政府采购政策的通知》（财库〔</w:t>
      </w:r>
      <w:r>
        <w:rPr>
          <w:rFonts w:ascii="黑体" w:hAnsi="黑体" w:eastAsia="黑体"/>
          <w:bCs/>
        </w:rPr>
        <w:t>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rPr>
          <w:rFonts w:ascii="黑体" w:hAnsi="黑体" w:eastAsia="黑体"/>
        </w:rPr>
      </w:pPr>
      <w:r>
        <w:rPr>
          <w:rFonts w:hint="eastAsia" w:ascii="黑体" w:hAnsi="黑体" w:eastAsia="黑体"/>
        </w:rPr>
        <w:t>本单位对上述声明的真实性负责。如有虚假，将依法承担相应责任。</w:t>
      </w:r>
    </w:p>
    <w:p>
      <w:pPr>
        <w:spacing w:line="360" w:lineRule="auto"/>
        <w:rPr>
          <w:rFonts w:ascii="黑体" w:hAnsi="黑体" w:eastAsia="黑体"/>
        </w:rPr>
      </w:pPr>
    </w:p>
    <w:p>
      <w:pPr>
        <w:spacing w:line="360" w:lineRule="auto"/>
        <w:rPr>
          <w:rFonts w:ascii="黑体" w:hAnsi="黑体" w:eastAsia="黑体"/>
        </w:rPr>
      </w:pPr>
    </w:p>
    <w:p>
      <w:pPr>
        <w:spacing w:line="360" w:lineRule="auto"/>
        <w:rPr>
          <w:rFonts w:ascii="黑体" w:hAnsi="黑体" w:eastAsia="黑体"/>
        </w:rPr>
      </w:pPr>
    </w:p>
    <w:tbl>
      <w:tblPr>
        <w:tblStyle w:val="20"/>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shd w:val="clear" w:color="auto" w:fill="auto"/>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shd w:val="clear" w:color="auto" w:fill="auto"/>
          </w:tcPr>
          <w:p>
            <w:pPr>
              <w:spacing w:line="360" w:lineRule="auto"/>
              <w:rPr>
                <w:rFonts w:ascii="黑体" w:hAnsi="黑体" w:eastAsia="黑体"/>
                <w:szCs w:val="21"/>
              </w:rPr>
            </w:pPr>
          </w:p>
        </w:tc>
      </w:tr>
      <w:tr>
        <w:tblPrEx>
          <w:tblCellMar>
            <w:top w:w="0" w:type="dxa"/>
            <w:left w:w="108" w:type="dxa"/>
            <w:bottom w:w="0" w:type="dxa"/>
            <w:right w:w="108" w:type="dxa"/>
          </w:tblCellMar>
        </w:tblPrEx>
        <w:tc>
          <w:tcPr>
            <w:tcW w:w="5353" w:type="dxa"/>
            <w:shd w:val="clear" w:color="auto" w:fill="auto"/>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shd w:val="clear" w:color="auto" w:fill="auto"/>
          </w:tcPr>
          <w:p>
            <w:pPr>
              <w:spacing w:line="360" w:lineRule="auto"/>
              <w:rPr>
                <w:rFonts w:ascii="黑体" w:hAnsi="黑体" w:eastAsia="黑体"/>
                <w:szCs w:val="21"/>
              </w:rPr>
            </w:pPr>
          </w:p>
        </w:tc>
      </w:tr>
    </w:tbl>
    <w:p>
      <w:pPr>
        <w:rPr>
          <w:rFonts w:ascii="黑体" w:hAnsi="黑体" w:eastAsia="黑体"/>
        </w:rPr>
      </w:pPr>
    </w:p>
    <w:p>
      <w:pPr>
        <w:pStyle w:val="30"/>
        <w:pageBreakBefore/>
        <w:numPr>
          <w:ilvl w:val="0"/>
          <w:numId w:val="83"/>
        </w:numPr>
        <w:tabs>
          <w:tab w:val="left" w:pos="284"/>
          <w:tab w:val="left" w:pos="426"/>
          <w:tab w:val="left" w:pos="709"/>
        </w:tabs>
        <w:ind w:left="1679" w:hanging="1537" w:firstLineChars="0"/>
        <w:jc w:val="left"/>
        <w:rPr>
          <w:rFonts w:ascii="黑体" w:hAnsi="黑体" w:eastAsia="黑体"/>
          <w:b/>
          <w:bCs/>
        </w:rPr>
      </w:pPr>
      <w:r>
        <w:rPr>
          <w:rFonts w:hint="eastAsia" w:ascii="黑体" w:hAnsi="黑体" w:eastAsia="黑体"/>
          <w:b/>
          <w:bCs/>
        </w:rPr>
        <w:t>监狱企业的证明文件（如需）</w:t>
      </w:r>
    </w:p>
    <w:p/>
    <w:p>
      <w:pPr>
        <w:spacing w:before="312" w:beforeLines="100" w:after="312" w:afterLines="100" w:line="360" w:lineRule="auto"/>
        <w:jc w:val="center"/>
        <w:rPr>
          <w:rFonts w:ascii="黑体" w:hAnsi="黑体" w:eastAsia="黑体"/>
          <w:b/>
          <w:spacing w:val="20"/>
          <w:sz w:val="30"/>
          <w:szCs w:val="30"/>
        </w:rPr>
      </w:pPr>
      <w:r>
        <w:rPr>
          <w:rFonts w:hint="eastAsia" w:ascii="黑体" w:hAnsi="黑体" w:eastAsia="黑体"/>
          <w:b/>
          <w:spacing w:val="20"/>
          <w:sz w:val="30"/>
          <w:szCs w:val="30"/>
        </w:rPr>
        <w:t>监狱企业的证明文件</w:t>
      </w:r>
    </w:p>
    <w:p>
      <w:pPr>
        <w:spacing w:line="440" w:lineRule="exact"/>
        <w:rPr>
          <w:rFonts w:ascii="黑体" w:hAnsi="黑体" w:eastAsia="黑体"/>
        </w:rPr>
      </w:pPr>
      <w:r>
        <w:rPr>
          <w:rFonts w:hint="eastAsia" w:ascii="黑体" w:hAnsi="黑体" w:eastAsia="黑体"/>
        </w:rPr>
        <w:t>说明：监狱企业参加政府采购活动时，应当提供由省级以上监狱管理局、戒毒管理局（含新疆生产建设兵团）出具的属于监狱企业的证明文件并加盖投标单位公章。</w:t>
      </w:r>
    </w:p>
    <w:p/>
    <w:p>
      <w:pPr>
        <w:pStyle w:val="30"/>
        <w:pageBreakBefore/>
        <w:numPr>
          <w:ilvl w:val="0"/>
          <w:numId w:val="83"/>
        </w:numPr>
        <w:tabs>
          <w:tab w:val="left" w:pos="284"/>
          <w:tab w:val="left" w:pos="426"/>
          <w:tab w:val="left" w:pos="709"/>
        </w:tabs>
        <w:ind w:left="1679" w:hanging="1537" w:firstLineChars="0"/>
        <w:jc w:val="left"/>
        <w:rPr>
          <w:rFonts w:ascii="黑体" w:hAnsi="黑体" w:eastAsia="黑体"/>
          <w:b/>
          <w:bCs/>
        </w:rPr>
      </w:pPr>
      <w:r>
        <w:rPr>
          <w:rFonts w:hint="eastAsia" w:ascii="黑体" w:hAnsi="黑体" w:eastAsia="黑体"/>
          <w:b/>
          <w:bCs/>
        </w:rPr>
        <w:t>政策适用性说明（如需）</w:t>
      </w:r>
    </w:p>
    <w:p>
      <w:pPr>
        <w:spacing w:before="312" w:beforeLines="100" w:after="312" w:afterLines="100" w:line="360" w:lineRule="auto"/>
        <w:jc w:val="center"/>
        <w:rPr>
          <w:rFonts w:ascii="黑体" w:hAnsi="黑体" w:eastAsia="黑体"/>
          <w:b/>
          <w:spacing w:val="20"/>
          <w:sz w:val="30"/>
          <w:szCs w:val="30"/>
        </w:rPr>
      </w:pPr>
      <w:r>
        <w:rPr>
          <w:rFonts w:hint="eastAsia" w:ascii="黑体" w:hAnsi="黑体" w:eastAsia="黑体"/>
          <w:b/>
          <w:spacing w:val="20"/>
          <w:sz w:val="30"/>
          <w:szCs w:val="30"/>
        </w:rPr>
        <w:t>政策适用性说明</w:t>
      </w:r>
    </w:p>
    <w:p>
      <w:pPr>
        <w:spacing w:after="156" w:afterLines="50" w:line="360" w:lineRule="auto"/>
        <w:rPr>
          <w:rFonts w:ascii="黑体" w:hAnsi="黑体" w:eastAsia="黑体"/>
          <w:bCs/>
          <w:szCs w:val="21"/>
          <w:lang w:val="zh-CN"/>
        </w:rPr>
      </w:pPr>
      <w:r>
        <w:rPr>
          <w:rFonts w:hint="eastAsia" w:ascii="黑体" w:hAnsi="黑体" w:eastAsia="黑体"/>
          <w:bCs/>
          <w:szCs w:val="21"/>
          <w:lang w:val="zh-CN"/>
        </w:rPr>
        <w:t>按照政府采购有关政策的要求，在本次的技术方案中，采用符合政策的小型或微型企业产品、节能产品、环保标志产品，主要产品与核心技术介绍说明如下：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
        <w:gridCol w:w="2185"/>
        <w:gridCol w:w="1020"/>
        <w:gridCol w:w="1022"/>
        <w:gridCol w:w="733"/>
        <w:gridCol w:w="877"/>
        <w:gridCol w:w="86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0" w:type="pct"/>
            <w:vAlign w:val="center"/>
          </w:tcPr>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序号</w:t>
            </w:r>
          </w:p>
        </w:tc>
        <w:tc>
          <w:tcPr>
            <w:tcW w:w="1246" w:type="pct"/>
            <w:vAlign w:val="center"/>
          </w:tcPr>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主要产品</w:t>
            </w:r>
            <w:r>
              <w:rPr>
                <w:rFonts w:ascii="黑体" w:hAnsi="黑体" w:eastAsia="黑体"/>
                <w:szCs w:val="21"/>
                <w:lang w:val="en-GB"/>
              </w:rPr>
              <w:t>/技术名称</w:t>
            </w:r>
          </w:p>
          <w:p>
            <w:pPr>
              <w:tabs>
                <w:tab w:val="left" w:pos="1260"/>
              </w:tabs>
              <w:ind w:left="-53" w:leftChars="-25" w:right="-53" w:rightChars="-25"/>
              <w:jc w:val="center"/>
              <w:rPr>
                <w:rFonts w:ascii="黑体" w:hAnsi="黑体" w:eastAsia="黑体"/>
                <w:szCs w:val="21"/>
                <w:lang w:val="en-GB"/>
              </w:rPr>
            </w:pPr>
            <w:r>
              <w:rPr>
                <w:rFonts w:ascii="黑体" w:hAnsi="黑体" w:eastAsia="黑体"/>
                <w:spacing w:val="-6"/>
                <w:szCs w:val="21"/>
                <w:lang w:val="en-GB"/>
              </w:rPr>
              <w:t>(规格型号、注册商标)</w:t>
            </w:r>
          </w:p>
        </w:tc>
        <w:tc>
          <w:tcPr>
            <w:tcW w:w="582" w:type="pct"/>
            <w:vAlign w:val="center"/>
          </w:tcPr>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制造商</w:t>
            </w:r>
            <w:r>
              <w:rPr>
                <w:rFonts w:ascii="黑体" w:hAnsi="黑体" w:eastAsia="黑体"/>
                <w:szCs w:val="21"/>
                <w:lang w:val="en-GB"/>
              </w:rPr>
              <w:br w:type="textWrapping"/>
            </w:r>
            <w:r>
              <w:rPr>
                <w:rFonts w:ascii="黑体" w:hAnsi="黑体" w:eastAsia="黑体"/>
                <w:spacing w:val="-6"/>
                <w:szCs w:val="21"/>
                <w:lang w:val="en-GB"/>
              </w:rPr>
              <w:t>(开发商)</w:t>
            </w:r>
          </w:p>
        </w:tc>
        <w:tc>
          <w:tcPr>
            <w:tcW w:w="583" w:type="pct"/>
            <w:vAlign w:val="center"/>
          </w:tcPr>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制造商</w:t>
            </w:r>
            <w:r>
              <w:rPr>
                <w:rFonts w:ascii="黑体" w:hAnsi="黑体" w:eastAsia="黑体"/>
                <w:szCs w:val="21"/>
                <w:lang w:val="en-GB"/>
              </w:rPr>
              <w:br w:type="textWrapping"/>
            </w:r>
            <w:r>
              <w:rPr>
                <w:rFonts w:hint="eastAsia" w:ascii="黑体" w:hAnsi="黑体" w:eastAsia="黑体"/>
                <w:spacing w:val="-8"/>
                <w:szCs w:val="21"/>
                <w:lang w:val="en-GB"/>
              </w:rPr>
              <w:t>企业类型</w:t>
            </w:r>
          </w:p>
        </w:tc>
        <w:tc>
          <w:tcPr>
            <w:tcW w:w="418" w:type="pct"/>
            <w:vAlign w:val="center"/>
          </w:tcPr>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节能</w:t>
            </w:r>
            <w:r>
              <w:rPr>
                <w:rFonts w:ascii="黑体" w:hAnsi="黑体" w:eastAsia="黑体"/>
                <w:szCs w:val="21"/>
                <w:lang w:val="en-GB"/>
              </w:rPr>
              <w:br w:type="textWrapping"/>
            </w:r>
            <w:r>
              <w:rPr>
                <w:rFonts w:hint="eastAsia" w:ascii="黑体" w:hAnsi="黑体" w:eastAsia="黑体"/>
                <w:szCs w:val="21"/>
                <w:lang w:val="en-GB"/>
              </w:rPr>
              <w:t>产品</w:t>
            </w:r>
          </w:p>
        </w:tc>
        <w:tc>
          <w:tcPr>
            <w:tcW w:w="500" w:type="pct"/>
            <w:vAlign w:val="center"/>
          </w:tcPr>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环保标</w:t>
            </w:r>
          </w:p>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志产品</w:t>
            </w:r>
          </w:p>
        </w:tc>
        <w:tc>
          <w:tcPr>
            <w:tcW w:w="495" w:type="pct"/>
            <w:vAlign w:val="center"/>
          </w:tcPr>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认证证</w:t>
            </w:r>
          </w:p>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书编号</w:t>
            </w:r>
          </w:p>
        </w:tc>
        <w:tc>
          <w:tcPr>
            <w:tcW w:w="946" w:type="pct"/>
            <w:vAlign w:val="center"/>
          </w:tcPr>
          <w:p>
            <w:pPr>
              <w:tabs>
                <w:tab w:val="left" w:pos="1260"/>
              </w:tabs>
              <w:ind w:left="-53" w:leftChars="-25" w:right="-53" w:rightChars="-25"/>
              <w:jc w:val="center"/>
              <w:rPr>
                <w:rFonts w:ascii="黑体" w:hAnsi="黑体" w:eastAsia="黑体"/>
                <w:szCs w:val="21"/>
                <w:lang w:val="en-GB"/>
              </w:rPr>
            </w:pPr>
            <w:r>
              <w:rPr>
                <w:rFonts w:hint="eastAsia" w:ascii="黑体" w:hAnsi="黑体" w:eastAsia="黑体"/>
                <w:szCs w:val="21"/>
                <w:lang w:val="en-GB"/>
              </w:rPr>
              <w:t>该产品报价在总报价中占比</w:t>
            </w:r>
            <w:r>
              <w:rPr>
                <w:rFonts w:ascii="黑体" w:hAnsi="黑体" w:eastAsia="黑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0" w:type="pct"/>
            <w:vAlign w:val="center"/>
          </w:tcPr>
          <w:p>
            <w:pPr>
              <w:tabs>
                <w:tab w:val="left" w:pos="1260"/>
              </w:tabs>
              <w:ind w:left="-53" w:leftChars="-25" w:right="-53" w:rightChars="-25"/>
              <w:jc w:val="center"/>
              <w:rPr>
                <w:rFonts w:ascii="黑体" w:hAnsi="黑体" w:eastAsia="黑体"/>
                <w:szCs w:val="21"/>
                <w:lang w:val="en-GB"/>
              </w:rPr>
            </w:pPr>
            <w:r>
              <w:rPr>
                <w:rFonts w:ascii="黑体" w:hAnsi="黑体" w:eastAsia="黑体"/>
                <w:szCs w:val="21"/>
                <w:lang w:val="en-GB"/>
              </w:rPr>
              <w:t>1</w:t>
            </w:r>
          </w:p>
        </w:tc>
        <w:tc>
          <w:tcPr>
            <w:tcW w:w="1246" w:type="pct"/>
            <w:vAlign w:val="center"/>
          </w:tcPr>
          <w:p>
            <w:pPr>
              <w:tabs>
                <w:tab w:val="left" w:pos="1260"/>
              </w:tabs>
              <w:ind w:left="-53" w:leftChars="-25" w:right="-53" w:rightChars="-25"/>
              <w:jc w:val="center"/>
              <w:rPr>
                <w:rFonts w:ascii="黑体" w:hAnsi="黑体" w:eastAsia="黑体"/>
                <w:szCs w:val="21"/>
                <w:lang w:val="en-GB"/>
              </w:rPr>
            </w:pPr>
          </w:p>
        </w:tc>
        <w:tc>
          <w:tcPr>
            <w:tcW w:w="582" w:type="pct"/>
            <w:vAlign w:val="center"/>
          </w:tcPr>
          <w:p>
            <w:pPr>
              <w:tabs>
                <w:tab w:val="left" w:pos="1260"/>
              </w:tabs>
              <w:ind w:left="-53" w:leftChars="-25" w:right="-53" w:rightChars="-25"/>
              <w:jc w:val="center"/>
              <w:rPr>
                <w:rFonts w:ascii="黑体" w:hAnsi="黑体" w:eastAsia="黑体"/>
                <w:szCs w:val="21"/>
                <w:lang w:val="en-GB"/>
              </w:rPr>
            </w:pPr>
          </w:p>
        </w:tc>
        <w:tc>
          <w:tcPr>
            <w:tcW w:w="583" w:type="pct"/>
            <w:vAlign w:val="center"/>
          </w:tcPr>
          <w:p>
            <w:pPr>
              <w:tabs>
                <w:tab w:val="left" w:pos="1260"/>
              </w:tabs>
              <w:ind w:left="-53" w:leftChars="-25" w:right="-53" w:rightChars="-25"/>
              <w:jc w:val="center"/>
              <w:rPr>
                <w:rFonts w:ascii="黑体" w:hAnsi="黑体" w:eastAsia="黑体"/>
                <w:szCs w:val="21"/>
                <w:lang w:val="en-GB"/>
              </w:rPr>
            </w:pPr>
          </w:p>
        </w:tc>
        <w:tc>
          <w:tcPr>
            <w:tcW w:w="418" w:type="pct"/>
            <w:vAlign w:val="center"/>
          </w:tcPr>
          <w:p>
            <w:pPr>
              <w:tabs>
                <w:tab w:val="left" w:pos="1260"/>
              </w:tabs>
              <w:ind w:left="-53" w:leftChars="-25" w:right="-53" w:rightChars="-25"/>
              <w:jc w:val="center"/>
              <w:rPr>
                <w:rFonts w:ascii="黑体" w:hAnsi="黑体" w:eastAsia="黑体"/>
                <w:szCs w:val="21"/>
                <w:lang w:val="en-GB"/>
              </w:rPr>
            </w:pPr>
          </w:p>
        </w:tc>
        <w:tc>
          <w:tcPr>
            <w:tcW w:w="500" w:type="pct"/>
            <w:vAlign w:val="center"/>
          </w:tcPr>
          <w:p>
            <w:pPr>
              <w:tabs>
                <w:tab w:val="left" w:pos="1260"/>
              </w:tabs>
              <w:ind w:left="-53" w:leftChars="-25" w:right="-53" w:rightChars="-25"/>
              <w:jc w:val="center"/>
              <w:rPr>
                <w:rFonts w:ascii="黑体" w:hAnsi="黑体" w:eastAsia="黑体"/>
                <w:szCs w:val="21"/>
                <w:lang w:val="en-GB"/>
              </w:rPr>
            </w:pPr>
          </w:p>
        </w:tc>
        <w:tc>
          <w:tcPr>
            <w:tcW w:w="495" w:type="pct"/>
            <w:vAlign w:val="center"/>
          </w:tcPr>
          <w:p>
            <w:pPr>
              <w:tabs>
                <w:tab w:val="left" w:pos="1260"/>
              </w:tabs>
              <w:ind w:left="-53" w:leftChars="-25" w:right="-53" w:rightChars="-25"/>
              <w:jc w:val="center"/>
              <w:rPr>
                <w:rFonts w:ascii="黑体" w:hAnsi="黑体" w:eastAsia="黑体"/>
                <w:szCs w:val="21"/>
                <w:lang w:val="en-GB"/>
              </w:rPr>
            </w:pPr>
          </w:p>
        </w:tc>
        <w:tc>
          <w:tcPr>
            <w:tcW w:w="946" w:type="pct"/>
            <w:vAlign w:val="center"/>
          </w:tcPr>
          <w:p>
            <w:pPr>
              <w:tabs>
                <w:tab w:val="left" w:pos="1260"/>
              </w:tabs>
              <w:ind w:left="-53" w:leftChars="-25" w:right="-53" w:rightChars="-25"/>
              <w:jc w:val="center"/>
              <w:rPr>
                <w:rFonts w:ascii="黑体" w:hAnsi="黑体" w:eastAsia="黑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0" w:type="pct"/>
            <w:vAlign w:val="center"/>
          </w:tcPr>
          <w:p>
            <w:pPr>
              <w:tabs>
                <w:tab w:val="left" w:pos="1260"/>
              </w:tabs>
              <w:ind w:left="-53" w:leftChars="-25" w:right="-53" w:rightChars="-25"/>
              <w:jc w:val="center"/>
              <w:rPr>
                <w:rFonts w:ascii="黑体" w:hAnsi="黑体" w:eastAsia="黑体"/>
                <w:szCs w:val="21"/>
                <w:lang w:val="en-GB"/>
              </w:rPr>
            </w:pPr>
            <w:r>
              <w:rPr>
                <w:rFonts w:ascii="黑体" w:hAnsi="黑体" w:eastAsia="黑体"/>
                <w:szCs w:val="21"/>
                <w:lang w:val="en-GB"/>
              </w:rPr>
              <w:t>2</w:t>
            </w:r>
          </w:p>
        </w:tc>
        <w:tc>
          <w:tcPr>
            <w:tcW w:w="1246" w:type="pct"/>
            <w:vAlign w:val="center"/>
          </w:tcPr>
          <w:p>
            <w:pPr>
              <w:tabs>
                <w:tab w:val="left" w:pos="1260"/>
              </w:tabs>
              <w:ind w:left="-53" w:leftChars="-25" w:right="-53" w:rightChars="-25"/>
              <w:jc w:val="center"/>
              <w:rPr>
                <w:rFonts w:ascii="黑体" w:hAnsi="黑体" w:eastAsia="黑体"/>
                <w:szCs w:val="21"/>
                <w:lang w:val="en-GB"/>
              </w:rPr>
            </w:pPr>
          </w:p>
        </w:tc>
        <w:tc>
          <w:tcPr>
            <w:tcW w:w="582" w:type="pct"/>
            <w:vAlign w:val="center"/>
          </w:tcPr>
          <w:p>
            <w:pPr>
              <w:tabs>
                <w:tab w:val="left" w:pos="1260"/>
              </w:tabs>
              <w:ind w:left="-53" w:leftChars="-25" w:right="-53" w:rightChars="-25"/>
              <w:jc w:val="center"/>
              <w:rPr>
                <w:rFonts w:ascii="黑体" w:hAnsi="黑体" w:eastAsia="黑体"/>
                <w:szCs w:val="21"/>
                <w:lang w:val="en-GB"/>
              </w:rPr>
            </w:pPr>
          </w:p>
        </w:tc>
        <w:tc>
          <w:tcPr>
            <w:tcW w:w="583" w:type="pct"/>
            <w:vAlign w:val="center"/>
          </w:tcPr>
          <w:p>
            <w:pPr>
              <w:tabs>
                <w:tab w:val="left" w:pos="1260"/>
              </w:tabs>
              <w:ind w:left="-53" w:leftChars="-25" w:right="-53" w:rightChars="-25"/>
              <w:jc w:val="center"/>
              <w:rPr>
                <w:rFonts w:ascii="黑体" w:hAnsi="黑体" w:eastAsia="黑体"/>
                <w:szCs w:val="21"/>
                <w:lang w:val="en-GB"/>
              </w:rPr>
            </w:pPr>
          </w:p>
        </w:tc>
        <w:tc>
          <w:tcPr>
            <w:tcW w:w="418" w:type="pct"/>
            <w:vAlign w:val="center"/>
          </w:tcPr>
          <w:p>
            <w:pPr>
              <w:tabs>
                <w:tab w:val="left" w:pos="1260"/>
              </w:tabs>
              <w:ind w:left="-53" w:leftChars="-25" w:right="-53" w:rightChars="-25"/>
              <w:jc w:val="center"/>
              <w:rPr>
                <w:rFonts w:ascii="黑体" w:hAnsi="黑体" w:eastAsia="黑体"/>
                <w:szCs w:val="21"/>
                <w:lang w:val="en-GB"/>
              </w:rPr>
            </w:pPr>
          </w:p>
        </w:tc>
        <w:tc>
          <w:tcPr>
            <w:tcW w:w="500" w:type="pct"/>
            <w:vAlign w:val="center"/>
          </w:tcPr>
          <w:p>
            <w:pPr>
              <w:tabs>
                <w:tab w:val="left" w:pos="1260"/>
              </w:tabs>
              <w:ind w:left="-53" w:leftChars="-25" w:right="-53" w:rightChars="-25"/>
              <w:jc w:val="center"/>
              <w:rPr>
                <w:rFonts w:ascii="黑体" w:hAnsi="黑体" w:eastAsia="黑体"/>
                <w:szCs w:val="21"/>
                <w:lang w:val="en-GB"/>
              </w:rPr>
            </w:pPr>
          </w:p>
        </w:tc>
        <w:tc>
          <w:tcPr>
            <w:tcW w:w="495" w:type="pct"/>
            <w:vAlign w:val="center"/>
          </w:tcPr>
          <w:p>
            <w:pPr>
              <w:tabs>
                <w:tab w:val="left" w:pos="1260"/>
              </w:tabs>
              <w:ind w:left="-53" w:leftChars="-25" w:right="-53" w:rightChars="-25"/>
              <w:jc w:val="center"/>
              <w:rPr>
                <w:rFonts w:ascii="黑体" w:hAnsi="黑体" w:eastAsia="黑体"/>
                <w:szCs w:val="21"/>
                <w:lang w:val="en-GB"/>
              </w:rPr>
            </w:pPr>
          </w:p>
        </w:tc>
        <w:tc>
          <w:tcPr>
            <w:tcW w:w="946" w:type="pct"/>
            <w:vAlign w:val="center"/>
          </w:tcPr>
          <w:p>
            <w:pPr>
              <w:tabs>
                <w:tab w:val="left" w:pos="1260"/>
              </w:tabs>
              <w:ind w:left="-53" w:leftChars="-25" w:right="-53" w:rightChars="-25"/>
              <w:jc w:val="center"/>
              <w:rPr>
                <w:rFonts w:ascii="黑体" w:hAnsi="黑体" w:eastAsia="黑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0" w:type="pct"/>
            <w:vAlign w:val="center"/>
          </w:tcPr>
          <w:p>
            <w:pPr>
              <w:tabs>
                <w:tab w:val="left" w:pos="1260"/>
              </w:tabs>
              <w:ind w:left="-53" w:leftChars="-25" w:right="-53" w:rightChars="-25"/>
              <w:jc w:val="center"/>
              <w:rPr>
                <w:rFonts w:ascii="黑体" w:hAnsi="黑体" w:eastAsia="黑体"/>
                <w:szCs w:val="21"/>
                <w:lang w:val="en-GB"/>
              </w:rPr>
            </w:pPr>
            <w:r>
              <w:rPr>
                <w:rFonts w:ascii="黑体" w:hAnsi="黑体" w:eastAsia="黑体"/>
                <w:szCs w:val="21"/>
                <w:lang w:val="en-GB"/>
              </w:rPr>
              <w:t>3</w:t>
            </w:r>
          </w:p>
        </w:tc>
        <w:tc>
          <w:tcPr>
            <w:tcW w:w="1246" w:type="pct"/>
            <w:vAlign w:val="center"/>
          </w:tcPr>
          <w:p>
            <w:pPr>
              <w:tabs>
                <w:tab w:val="left" w:pos="1260"/>
              </w:tabs>
              <w:ind w:left="-53" w:leftChars="-25" w:right="-53" w:rightChars="-25"/>
              <w:jc w:val="center"/>
              <w:rPr>
                <w:rFonts w:ascii="黑体" w:hAnsi="黑体" w:eastAsia="黑体"/>
                <w:szCs w:val="21"/>
                <w:lang w:val="en-GB"/>
              </w:rPr>
            </w:pPr>
          </w:p>
        </w:tc>
        <w:tc>
          <w:tcPr>
            <w:tcW w:w="582" w:type="pct"/>
            <w:vAlign w:val="center"/>
          </w:tcPr>
          <w:p>
            <w:pPr>
              <w:tabs>
                <w:tab w:val="left" w:pos="1260"/>
              </w:tabs>
              <w:ind w:left="-53" w:leftChars="-25" w:right="-53" w:rightChars="-25"/>
              <w:jc w:val="center"/>
              <w:rPr>
                <w:rFonts w:ascii="黑体" w:hAnsi="黑体" w:eastAsia="黑体"/>
                <w:szCs w:val="21"/>
                <w:lang w:val="en-GB"/>
              </w:rPr>
            </w:pPr>
          </w:p>
        </w:tc>
        <w:tc>
          <w:tcPr>
            <w:tcW w:w="583" w:type="pct"/>
            <w:vAlign w:val="center"/>
          </w:tcPr>
          <w:p>
            <w:pPr>
              <w:tabs>
                <w:tab w:val="left" w:pos="1260"/>
              </w:tabs>
              <w:ind w:left="-53" w:leftChars="-25" w:right="-53" w:rightChars="-25"/>
              <w:jc w:val="center"/>
              <w:rPr>
                <w:rFonts w:ascii="黑体" w:hAnsi="黑体" w:eastAsia="黑体"/>
                <w:szCs w:val="21"/>
                <w:lang w:val="en-GB"/>
              </w:rPr>
            </w:pPr>
          </w:p>
        </w:tc>
        <w:tc>
          <w:tcPr>
            <w:tcW w:w="418" w:type="pct"/>
            <w:vAlign w:val="center"/>
          </w:tcPr>
          <w:p>
            <w:pPr>
              <w:tabs>
                <w:tab w:val="left" w:pos="1260"/>
              </w:tabs>
              <w:ind w:left="-53" w:leftChars="-25" w:right="-53" w:rightChars="-25"/>
              <w:jc w:val="center"/>
              <w:rPr>
                <w:rFonts w:ascii="黑体" w:hAnsi="黑体" w:eastAsia="黑体"/>
                <w:szCs w:val="21"/>
                <w:lang w:val="en-GB"/>
              </w:rPr>
            </w:pPr>
          </w:p>
        </w:tc>
        <w:tc>
          <w:tcPr>
            <w:tcW w:w="500" w:type="pct"/>
            <w:vAlign w:val="center"/>
          </w:tcPr>
          <w:p>
            <w:pPr>
              <w:tabs>
                <w:tab w:val="left" w:pos="1260"/>
              </w:tabs>
              <w:ind w:left="-53" w:leftChars="-25" w:right="-53" w:rightChars="-25"/>
              <w:jc w:val="center"/>
              <w:rPr>
                <w:rFonts w:ascii="黑体" w:hAnsi="黑体" w:eastAsia="黑体"/>
                <w:szCs w:val="21"/>
                <w:lang w:val="en-GB"/>
              </w:rPr>
            </w:pPr>
          </w:p>
        </w:tc>
        <w:tc>
          <w:tcPr>
            <w:tcW w:w="495" w:type="pct"/>
            <w:vAlign w:val="center"/>
          </w:tcPr>
          <w:p>
            <w:pPr>
              <w:tabs>
                <w:tab w:val="left" w:pos="1260"/>
              </w:tabs>
              <w:ind w:left="-53" w:leftChars="-25" w:right="-53" w:rightChars="-25"/>
              <w:jc w:val="center"/>
              <w:rPr>
                <w:rFonts w:ascii="黑体" w:hAnsi="黑体" w:eastAsia="黑体"/>
                <w:szCs w:val="21"/>
                <w:lang w:val="en-GB"/>
              </w:rPr>
            </w:pPr>
          </w:p>
        </w:tc>
        <w:tc>
          <w:tcPr>
            <w:tcW w:w="946" w:type="pct"/>
            <w:vAlign w:val="center"/>
          </w:tcPr>
          <w:p>
            <w:pPr>
              <w:tabs>
                <w:tab w:val="left" w:pos="1260"/>
              </w:tabs>
              <w:ind w:left="-53" w:leftChars="-25" w:right="-53" w:rightChars="-25"/>
              <w:jc w:val="center"/>
              <w:rPr>
                <w:rFonts w:ascii="黑体" w:hAnsi="黑体" w:eastAsia="黑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0" w:type="pct"/>
            <w:vAlign w:val="center"/>
          </w:tcPr>
          <w:p>
            <w:pPr>
              <w:tabs>
                <w:tab w:val="left" w:pos="1260"/>
              </w:tabs>
              <w:ind w:left="-53" w:leftChars="-25" w:right="-53" w:rightChars="-25"/>
              <w:jc w:val="center"/>
              <w:rPr>
                <w:rFonts w:ascii="黑体" w:hAnsi="黑体" w:eastAsia="黑体"/>
                <w:szCs w:val="21"/>
                <w:lang w:val="en-GB"/>
              </w:rPr>
            </w:pPr>
            <w:r>
              <w:rPr>
                <w:rFonts w:ascii="黑体" w:hAnsi="黑体" w:eastAsia="黑体"/>
                <w:szCs w:val="21"/>
                <w:lang w:val="en-GB"/>
              </w:rPr>
              <w:t>4</w:t>
            </w:r>
          </w:p>
        </w:tc>
        <w:tc>
          <w:tcPr>
            <w:tcW w:w="1246" w:type="pct"/>
            <w:vAlign w:val="center"/>
          </w:tcPr>
          <w:p>
            <w:pPr>
              <w:tabs>
                <w:tab w:val="left" w:pos="1260"/>
              </w:tabs>
              <w:ind w:left="-53" w:leftChars="-25" w:right="-53" w:rightChars="-25"/>
              <w:jc w:val="center"/>
              <w:rPr>
                <w:rFonts w:ascii="黑体" w:hAnsi="黑体" w:eastAsia="黑体"/>
                <w:szCs w:val="21"/>
                <w:lang w:val="en-GB"/>
              </w:rPr>
            </w:pPr>
          </w:p>
        </w:tc>
        <w:tc>
          <w:tcPr>
            <w:tcW w:w="582" w:type="pct"/>
            <w:vAlign w:val="center"/>
          </w:tcPr>
          <w:p>
            <w:pPr>
              <w:tabs>
                <w:tab w:val="left" w:pos="1260"/>
              </w:tabs>
              <w:ind w:left="-53" w:leftChars="-25" w:right="-53" w:rightChars="-25"/>
              <w:jc w:val="center"/>
              <w:rPr>
                <w:rFonts w:ascii="黑体" w:hAnsi="黑体" w:eastAsia="黑体"/>
                <w:szCs w:val="21"/>
                <w:lang w:val="en-GB"/>
              </w:rPr>
            </w:pPr>
          </w:p>
        </w:tc>
        <w:tc>
          <w:tcPr>
            <w:tcW w:w="583" w:type="pct"/>
            <w:vAlign w:val="center"/>
          </w:tcPr>
          <w:p>
            <w:pPr>
              <w:tabs>
                <w:tab w:val="left" w:pos="1260"/>
              </w:tabs>
              <w:ind w:left="-53" w:leftChars="-25" w:right="-53" w:rightChars="-25"/>
              <w:jc w:val="center"/>
              <w:rPr>
                <w:rFonts w:ascii="黑体" w:hAnsi="黑体" w:eastAsia="黑体"/>
                <w:szCs w:val="21"/>
                <w:lang w:val="en-GB"/>
              </w:rPr>
            </w:pPr>
          </w:p>
        </w:tc>
        <w:tc>
          <w:tcPr>
            <w:tcW w:w="418" w:type="pct"/>
            <w:vAlign w:val="center"/>
          </w:tcPr>
          <w:p>
            <w:pPr>
              <w:tabs>
                <w:tab w:val="left" w:pos="1260"/>
              </w:tabs>
              <w:ind w:left="-53" w:leftChars="-25" w:right="-53" w:rightChars="-25"/>
              <w:jc w:val="center"/>
              <w:rPr>
                <w:rFonts w:ascii="黑体" w:hAnsi="黑体" w:eastAsia="黑体"/>
                <w:szCs w:val="21"/>
                <w:lang w:val="en-GB"/>
              </w:rPr>
            </w:pPr>
          </w:p>
        </w:tc>
        <w:tc>
          <w:tcPr>
            <w:tcW w:w="500" w:type="pct"/>
            <w:vAlign w:val="center"/>
          </w:tcPr>
          <w:p>
            <w:pPr>
              <w:tabs>
                <w:tab w:val="left" w:pos="1260"/>
              </w:tabs>
              <w:ind w:left="-53" w:leftChars="-25" w:right="-53" w:rightChars="-25"/>
              <w:jc w:val="center"/>
              <w:rPr>
                <w:rFonts w:ascii="黑体" w:hAnsi="黑体" w:eastAsia="黑体"/>
                <w:szCs w:val="21"/>
                <w:lang w:val="en-GB"/>
              </w:rPr>
            </w:pPr>
          </w:p>
        </w:tc>
        <w:tc>
          <w:tcPr>
            <w:tcW w:w="495" w:type="pct"/>
            <w:vAlign w:val="center"/>
          </w:tcPr>
          <w:p>
            <w:pPr>
              <w:tabs>
                <w:tab w:val="left" w:pos="1260"/>
              </w:tabs>
              <w:ind w:left="-53" w:leftChars="-25" w:right="-53" w:rightChars="-25"/>
              <w:jc w:val="center"/>
              <w:rPr>
                <w:rFonts w:ascii="黑体" w:hAnsi="黑体" w:eastAsia="黑体"/>
                <w:szCs w:val="21"/>
                <w:lang w:val="en-GB"/>
              </w:rPr>
            </w:pPr>
          </w:p>
        </w:tc>
        <w:tc>
          <w:tcPr>
            <w:tcW w:w="946" w:type="pct"/>
            <w:vAlign w:val="center"/>
          </w:tcPr>
          <w:p>
            <w:pPr>
              <w:tabs>
                <w:tab w:val="left" w:pos="1260"/>
              </w:tabs>
              <w:ind w:left="-53" w:leftChars="-25" w:right="-53" w:rightChars="-25"/>
              <w:jc w:val="center"/>
              <w:rPr>
                <w:rFonts w:ascii="黑体" w:hAnsi="黑体" w:eastAsia="黑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0" w:type="pct"/>
            <w:vAlign w:val="center"/>
          </w:tcPr>
          <w:p>
            <w:pPr>
              <w:tabs>
                <w:tab w:val="left" w:pos="1260"/>
              </w:tabs>
              <w:ind w:left="-53" w:leftChars="-25" w:right="-53" w:rightChars="-25"/>
              <w:jc w:val="center"/>
              <w:rPr>
                <w:rFonts w:ascii="黑体" w:hAnsi="黑体" w:eastAsia="黑体"/>
                <w:szCs w:val="21"/>
                <w:lang w:val="en-GB"/>
              </w:rPr>
            </w:pPr>
            <w:r>
              <w:rPr>
                <w:rFonts w:ascii="黑体" w:hAnsi="黑体" w:eastAsia="黑体"/>
                <w:szCs w:val="21"/>
                <w:lang w:val="en-GB"/>
              </w:rPr>
              <w:t>5</w:t>
            </w:r>
          </w:p>
        </w:tc>
        <w:tc>
          <w:tcPr>
            <w:tcW w:w="1246" w:type="pct"/>
            <w:vAlign w:val="center"/>
          </w:tcPr>
          <w:p>
            <w:pPr>
              <w:tabs>
                <w:tab w:val="left" w:pos="1260"/>
              </w:tabs>
              <w:ind w:left="-53" w:leftChars="-25" w:right="-53" w:rightChars="-25"/>
              <w:jc w:val="center"/>
              <w:rPr>
                <w:rFonts w:ascii="黑体" w:hAnsi="黑体" w:eastAsia="黑体"/>
                <w:szCs w:val="21"/>
                <w:lang w:val="en-GB"/>
              </w:rPr>
            </w:pPr>
          </w:p>
        </w:tc>
        <w:tc>
          <w:tcPr>
            <w:tcW w:w="582" w:type="pct"/>
            <w:vAlign w:val="center"/>
          </w:tcPr>
          <w:p>
            <w:pPr>
              <w:tabs>
                <w:tab w:val="left" w:pos="1260"/>
              </w:tabs>
              <w:ind w:left="-53" w:leftChars="-25" w:right="-53" w:rightChars="-25"/>
              <w:jc w:val="center"/>
              <w:rPr>
                <w:rFonts w:ascii="黑体" w:hAnsi="黑体" w:eastAsia="黑体"/>
                <w:szCs w:val="21"/>
                <w:lang w:val="en-GB"/>
              </w:rPr>
            </w:pPr>
          </w:p>
        </w:tc>
        <w:tc>
          <w:tcPr>
            <w:tcW w:w="583" w:type="pct"/>
            <w:vAlign w:val="center"/>
          </w:tcPr>
          <w:p>
            <w:pPr>
              <w:tabs>
                <w:tab w:val="left" w:pos="1260"/>
              </w:tabs>
              <w:ind w:left="-53" w:leftChars="-25" w:right="-53" w:rightChars="-25"/>
              <w:jc w:val="center"/>
              <w:rPr>
                <w:rFonts w:ascii="黑体" w:hAnsi="黑体" w:eastAsia="黑体"/>
                <w:szCs w:val="21"/>
                <w:lang w:val="en-GB"/>
              </w:rPr>
            </w:pPr>
          </w:p>
        </w:tc>
        <w:tc>
          <w:tcPr>
            <w:tcW w:w="418" w:type="pct"/>
            <w:vAlign w:val="center"/>
          </w:tcPr>
          <w:p>
            <w:pPr>
              <w:tabs>
                <w:tab w:val="left" w:pos="1260"/>
              </w:tabs>
              <w:ind w:left="-53" w:leftChars="-25" w:right="-53" w:rightChars="-25"/>
              <w:jc w:val="center"/>
              <w:rPr>
                <w:rFonts w:ascii="黑体" w:hAnsi="黑体" w:eastAsia="黑体"/>
                <w:szCs w:val="21"/>
                <w:lang w:val="en-GB"/>
              </w:rPr>
            </w:pPr>
          </w:p>
        </w:tc>
        <w:tc>
          <w:tcPr>
            <w:tcW w:w="500" w:type="pct"/>
            <w:vAlign w:val="center"/>
          </w:tcPr>
          <w:p>
            <w:pPr>
              <w:tabs>
                <w:tab w:val="left" w:pos="1260"/>
              </w:tabs>
              <w:ind w:left="-53" w:leftChars="-25" w:right="-53" w:rightChars="-25"/>
              <w:jc w:val="center"/>
              <w:rPr>
                <w:rFonts w:ascii="黑体" w:hAnsi="黑体" w:eastAsia="黑体"/>
                <w:szCs w:val="21"/>
                <w:lang w:val="en-GB"/>
              </w:rPr>
            </w:pPr>
          </w:p>
        </w:tc>
        <w:tc>
          <w:tcPr>
            <w:tcW w:w="495" w:type="pct"/>
            <w:vAlign w:val="center"/>
          </w:tcPr>
          <w:p>
            <w:pPr>
              <w:tabs>
                <w:tab w:val="left" w:pos="1260"/>
              </w:tabs>
              <w:ind w:left="-53" w:leftChars="-25" w:right="-53" w:rightChars="-25"/>
              <w:jc w:val="center"/>
              <w:rPr>
                <w:rFonts w:ascii="黑体" w:hAnsi="黑体" w:eastAsia="黑体"/>
                <w:szCs w:val="21"/>
                <w:lang w:val="en-GB"/>
              </w:rPr>
            </w:pPr>
          </w:p>
        </w:tc>
        <w:tc>
          <w:tcPr>
            <w:tcW w:w="946" w:type="pct"/>
            <w:vAlign w:val="center"/>
          </w:tcPr>
          <w:p>
            <w:pPr>
              <w:tabs>
                <w:tab w:val="left" w:pos="1260"/>
              </w:tabs>
              <w:ind w:left="-53" w:leftChars="-25" w:right="-53" w:rightChars="-25"/>
              <w:jc w:val="center"/>
              <w:rPr>
                <w:rFonts w:ascii="黑体" w:hAnsi="黑体" w:eastAsia="黑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0" w:type="pct"/>
            <w:vAlign w:val="center"/>
          </w:tcPr>
          <w:p>
            <w:pPr>
              <w:tabs>
                <w:tab w:val="left" w:pos="1260"/>
              </w:tabs>
              <w:ind w:left="-53" w:leftChars="-25" w:right="-53" w:rightChars="-25"/>
              <w:jc w:val="center"/>
              <w:rPr>
                <w:rFonts w:ascii="黑体" w:hAnsi="黑体" w:eastAsia="黑体"/>
                <w:szCs w:val="21"/>
                <w:lang w:val="en-GB"/>
              </w:rPr>
            </w:pPr>
            <w:r>
              <w:rPr>
                <w:rFonts w:ascii="黑体" w:hAnsi="黑体" w:eastAsia="黑体"/>
                <w:szCs w:val="21"/>
                <w:lang w:val="en-GB"/>
              </w:rPr>
              <w:t>…</w:t>
            </w:r>
          </w:p>
        </w:tc>
        <w:tc>
          <w:tcPr>
            <w:tcW w:w="1246" w:type="pct"/>
            <w:vAlign w:val="center"/>
          </w:tcPr>
          <w:p>
            <w:pPr>
              <w:tabs>
                <w:tab w:val="left" w:pos="1260"/>
              </w:tabs>
              <w:ind w:left="-53" w:leftChars="-25" w:right="-53" w:rightChars="-25"/>
              <w:jc w:val="center"/>
              <w:rPr>
                <w:rFonts w:ascii="黑体" w:hAnsi="黑体" w:eastAsia="黑体"/>
                <w:szCs w:val="21"/>
                <w:lang w:val="en-GB"/>
              </w:rPr>
            </w:pPr>
          </w:p>
        </w:tc>
        <w:tc>
          <w:tcPr>
            <w:tcW w:w="582" w:type="pct"/>
            <w:vAlign w:val="center"/>
          </w:tcPr>
          <w:p>
            <w:pPr>
              <w:tabs>
                <w:tab w:val="left" w:pos="1260"/>
              </w:tabs>
              <w:ind w:left="-53" w:leftChars="-25" w:right="-53" w:rightChars="-25"/>
              <w:jc w:val="center"/>
              <w:rPr>
                <w:rFonts w:ascii="黑体" w:hAnsi="黑体" w:eastAsia="黑体"/>
                <w:szCs w:val="21"/>
                <w:lang w:val="en-GB"/>
              </w:rPr>
            </w:pPr>
          </w:p>
        </w:tc>
        <w:tc>
          <w:tcPr>
            <w:tcW w:w="583" w:type="pct"/>
            <w:vAlign w:val="center"/>
          </w:tcPr>
          <w:p>
            <w:pPr>
              <w:tabs>
                <w:tab w:val="left" w:pos="1260"/>
              </w:tabs>
              <w:ind w:left="-53" w:leftChars="-25" w:right="-53" w:rightChars="-25"/>
              <w:jc w:val="center"/>
              <w:rPr>
                <w:rFonts w:ascii="黑体" w:hAnsi="黑体" w:eastAsia="黑体"/>
                <w:szCs w:val="21"/>
                <w:lang w:val="en-GB"/>
              </w:rPr>
            </w:pPr>
          </w:p>
        </w:tc>
        <w:tc>
          <w:tcPr>
            <w:tcW w:w="418" w:type="pct"/>
            <w:vAlign w:val="center"/>
          </w:tcPr>
          <w:p>
            <w:pPr>
              <w:tabs>
                <w:tab w:val="left" w:pos="1260"/>
              </w:tabs>
              <w:ind w:left="-53" w:leftChars="-25" w:right="-53" w:rightChars="-25"/>
              <w:jc w:val="center"/>
              <w:rPr>
                <w:rFonts w:ascii="黑体" w:hAnsi="黑体" w:eastAsia="黑体"/>
                <w:szCs w:val="21"/>
                <w:lang w:val="en-GB"/>
              </w:rPr>
            </w:pPr>
          </w:p>
        </w:tc>
        <w:tc>
          <w:tcPr>
            <w:tcW w:w="500" w:type="pct"/>
            <w:vAlign w:val="center"/>
          </w:tcPr>
          <w:p>
            <w:pPr>
              <w:tabs>
                <w:tab w:val="left" w:pos="1260"/>
              </w:tabs>
              <w:ind w:left="-53" w:leftChars="-25" w:right="-53" w:rightChars="-25"/>
              <w:jc w:val="center"/>
              <w:rPr>
                <w:rFonts w:ascii="黑体" w:hAnsi="黑体" w:eastAsia="黑体"/>
                <w:szCs w:val="21"/>
                <w:lang w:val="en-GB"/>
              </w:rPr>
            </w:pPr>
          </w:p>
        </w:tc>
        <w:tc>
          <w:tcPr>
            <w:tcW w:w="495" w:type="pct"/>
            <w:vAlign w:val="center"/>
          </w:tcPr>
          <w:p>
            <w:pPr>
              <w:tabs>
                <w:tab w:val="left" w:pos="1260"/>
              </w:tabs>
              <w:ind w:left="-53" w:leftChars="-25" w:right="-53" w:rightChars="-25"/>
              <w:jc w:val="center"/>
              <w:rPr>
                <w:rFonts w:ascii="黑体" w:hAnsi="黑体" w:eastAsia="黑体"/>
                <w:szCs w:val="21"/>
                <w:lang w:val="en-GB"/>
              </w:rPr>
            </w:pPr>
          </w:p>
        </w:tc>
        <w:tc>
          <w:tcPr>
            <w:tcW w:w="946" w:type="pct"/>
            <w:vAlign w:val="center"/>
          </w:tcPr>
          <w:p>
            <w:pPr>
              <w:tabs>
                <w:tab w:val="left" w:pos="1260"/>
              </w:tabs>
              <w:ind w:left="-53" w:leftChars="-25" w:right="-53" w:rightChars="-25"/>
              <w:jc w:val="center"/>
              <w:rPr>
                <w:rFonts w:ascii="黑体" w:hAnsi="黑体" w:eastAsia="黑体"/>
                <w:szCs w:val="21"/>
                <w:lang w:val="en-GB"/>
              </w:rPr>
            </w:pPr>
          </w:p>
        </w:tc>
      </w:tr>
    </w:tbl>
    <w:p>
      <w:pPr>
        <w:spacing w:before="156" w:beforeLines="50" w:line="360" w:lineRule="auto"/>
        <w:rPr>
          <w:rFonts w:ascii="黑体" w:hAnsi="黑体" w:eastAsia="黑体"/>
          <w:bCs/>
          <w:szCs w:val="21"/>
          <w:lang w:val="en-GB"/>
        </w:rPr>
      </w:pPr>
      <w:r>
        <w:rPr>
          <w:rFonts w:hint="eastAsia" w:ascii="黑体" w:hAnsi="黑体" w:eastAsia="黑体"/>
          <w:bCs/>
          <w:szCs w:val="21"/>
          <w:lang w:val="en-GB"/>
        </w:rPr>
        <w:t>注明：</w:t>
      </w:r>
    </w:p>
    <w:p>
      <w:pPr>
        <w:pStyle w:val="30"/>
        <w:numPr>
          <w:ilvl w:val="0"/>
          <w:numId w:val="88"/>
        </w:numPr>
        <w:spacing w:line="360" w:lineRule="auto"/>
        <w:ind w:left="284" w:hanging="284" w:firstLineChars="0"/>
        <w:rPr>
          <w:rFonts w:ascii="黑体" w:hAnsi="黑体" w:eastAsia="黑体"/>
          <w:bCs/>
          <w:szCs w:val="21"/>
          <w:lang w:val="en-GB"/>
        </w:rPr>
      </w:pPr>
      <w:r>
        <w:rPr>
          <w:rFonts w:hint="eastAsia" w:ascii="黑体" w:hAnsi="黑体" w:eastAsia="黑体"/>
          <w:bCs/>
          <w:szCs w:val="21"/>
          <w:lang w:val="en-GB"/>
        </w:rPr>
        <w:t>制造商为小型或微型企业时才需要填“制造商企业类型”栏，填写内容为“小型”或“微型”；</w:t>
      </w:r>
    </w:p>
    <w:p>
      <w:pPr>
        <w:pStyle w:val="30"/>
        <w:numPr>
          <w:ilvl w:val="0"/>
          <w:numId w:val="88"/>
        </w:numPr>
        <w:tabs>
          <w:tab w:val="left" w:pos="142"/>
        </w:tabs>
        <w:spacing w:line="360" w:lineRule="auto"/>
        <w:ind w:left="272" w:leftChars="-1" w:hanging="274" w:hangingChars="136"/>
        <w:rPr>
          <w:rFonts w:ascii="黑体" w:hAnsi="黑体" w:eastAsia="黑体"/>
          <w:bCs/>
          <w:spacing w:val="-4"/>
          <w:szCs w:val="21"/>
          <w:lang w:val="en-GB"/>
        </w:rPr>
      </w:pPr>
      <w:r>
        <w:rPr>
          <w:rFonts w:hint="eastAsia" w:ascii="黑体" w:hAnsi="黑体" w:eastAsia="黑体"/>
          <w:bCs/>
          <w:spacing w:val="-4"/>
          <w:szCs w:val="21"/>
          <w:lang w:val="en-GB"/>
        </w:rPr>
        <w:t>节能产品须填写认证证书编号，并提供投标产品的节能产品认证证书复印件加盖投标人公章；</w:t>
      </w:r>
    </w:p>
    <w:p>
      <w:pPr>
        <w:pStyle w:val="30"/>
        <w:numPr>
          <w:ilvl w:val="0"/>
          <w:numId w:val="88"/>
        </w:numPr>
        <w:spacing w:line="360" w:lineRule="auto"/>
        <w:ind w:left="284" w:hanging="284" w:firstLineChars="0"/>
        <w:rPr>
          <w:rFonts w:ascii="黑体" w:hAnsi="黑体" w:eastAsia="黑体"/>
          <w:bCs/>
          <w:szCs w:val="21"/>
          <w:lang w:val="en-GB"/>
        </w:rPr>
      </w:pPr>
      <w:r>
        <w:rPr>
          <w:rFonts w:hint="eastAsia" w:ascii="黑体" w:hAnsi="黑体" w:eastAsia="黑体"/>
          <w:bCs/>
          <w:szCs w:val="21"/>
          <w:lang w:val="en-GB"/>
        </w:rPr>
        <w:t>环保标志产品须填写认证证书编号，并提供投标产品的环保标志产品认证证书复印件加盖投标人公章。</w:t>
      </w:r>
    </w:p>
    <w:p>
      <w:pPr>
        <w:pStyle w:val="30"/>
        <w:numPr>
          <w:ilvl w:val="0"/>
          <w:numId w:val="88"/>
        </w:numPr>
        <w:spacing w:line="360" w:lineRule="auto"/>
        <w:ind w:left="284" w:hanging="284" w:firstLineChars="0"/>
        <w:rPr>
          <w:rFonts w:ascii="黑体" w:hAnsi="黑体" w:eastAsia="黑体"/>
          <w:bCs/>
          <w:szCs w:val="21"/>
          <w:lang w:val="en-GB"/>
        </w:rPr>
      </w:pPr>
      <w:r>
        <w:rPr>
          <w:rFonts w:hint="eastAsia" w:ascii="黑体" w:hAnsi="黑体" w:eastAsia="黑体"/>
          <w:bCs/>
          <w:szCs w:val="21"/>
          <w:lang w:val="en-GB"/>
        </w:rPr>
        <w:t>以上证明资料未按要求提供或未提供完整的，视为未提供处理。</w:t>
      </w:r>
    </w:p>
    <w:p>
      <w:pPr>
        <w:spacing w:line="360" w:lineRule="auto"/>
        <w:rPr>
          <w:rFonts w:ascii="黑体" w:hAnsi="黑体" w:eastAsia="黑体"/>
          <w:bCs/>
          <w:szCs w:val="21"/>
          <w:lang w:val="en-GB"/>
        </w:rPr>
      </w:pPr>
    </w:p>
    <w:tbl>
      <w:tblPr>
        <w:tblStyle w:val="20"/>
        <w:tblW w:w="0" w:type="auto"/>
        <w:tblInd w:w="0" w:type="dxa"/>
        <w:tblLayout w:type="autofit"/>
        <w:tblCellMar>
          <w:top w:w="0" w:type="dxa"/>
          <w:left w:w="108" w:type="dxa"/>
          <w:bottom w:w="0" w:type="dxa"/>
          <w:right w:w="108" w:type="dxa"/>
        </w:tblCellMar>
      </w:tblPr>
      <w:tblGrid>
        <w:gridCol w:w="5991"/>
        <w:gridCol w:w="2537"/>
      </w:tblGrid>
      <w:tr>
        <w:tc>
          <w:tcPr>
            <w:tcW w:w="5991" w:type="dxa"/>
            <w:shd w:val="clear" w:color="auto" w:fill="auto"/>
          </w:tcPr>
          <w:p>
            <w:pPr>
              <w:overflowPunct w:val="0"/>
              <w:adjustRightInd w:val="0"/>
              <w:spacing w:line="360" w:lineRule="auto"/>
              <w:rPr>
                <w:rFonts w:ascii="黑体" w:hAnsi="黑体" w:eastAsia="黑体"/>
                <w:szCs w:val="21"/>
              </w:rPr>
            </w:pPr>
            <w:r>
              <w:rPr>
                <w:rFonts w:hint="eastAsia" w:ascii="黑体" w:hAnsi="黑体" w:eastAsia="黑体"/>
                <w:szCs w:val="21"/>
              </w:rPr>
              <w:t xml:space="preserve">投标人名称（加盖公章）： </w:t>
            </w:r>
            <w:r>
              <w:rPr>
                <w:rFonts w:ascii="黑体" w:hAnsi="黑体" w:eastAsia="黑体"/>
                <w:szCs w:val="21"/>
                <w:u w:val="single"/>
              </w:rPr>
              <w:t xml:space="preserve">                        </w:t>
            </w:r>
          </w:p>
        </w:tc>
        <w:tc>
          <w:tcPr>
            <w:tcW w:w="2537" w:type="dxa"/>
            <w:shd w:val="clear" w:color="auto" w:fill="auto"/>
          </w:tcPr>
          <w:p>
            <w:pPr>
              <w:overflowPunct w:val="0"/>
              <w:adjustRightInd w:val="0"/>
              <w:spacing w:line="360" w:lineRule="auto"/>
              <w:rPr>
                <w:rFonts w:ascii="黑体" w:hAnsi="黑体" w:eastAsia="黑体"/>
                <w:szCs w:val="21"/>
              </w:rPr>
            </w:pPr>
          </w:p>
        </w:tc>
      </w:tr>
      <w:tr>
        <w:tblPrEx>
          <w:tblCellMar>
            <w:top w:w="0" w:type="dxa"/>
            <w:left w:w="108" w:type="dxa"/>
            <w:bottom w:w="0" w:type="dxa"/>
            <w:right w:w="108" w:type="dxa"/>
          </w:tblCellMar>
        </w:tblPrEx>
        <w:tc>
          <w:tcPr>
            <w:tcW w:w="5991" w:type="dxa"/>
            <w:shd w:val="clear" w:color="auto" w:fill="auto"/>
          </w:tcPr>
          <w:p>
            <w:pPr>
              <w:overflowPunct w:val="0"/>
              <w:adjustRightInd w:val="0"/>
              <w:spacing w:line="360" w:lineRule="auto"/>
              <w:rPr>
                <w:rFonts w:ascii="黑体" w:hAnsi="黑体" w:eastAsia="黑体"/>
                <w:szCs w:val="21"/>
                <w:u w:val="single"/>
              </w:rPr>
            </w:pPr>
            <w:r>
              <w:rPr>
                <w:rFonts w:hint="eastAsia" w:ascii="黑体" w:hAnsi="黑体" w:eastAsia="黑体"/>
                <w:szCs w:val="21"/>
              </w:rPr>
              <w:t>日期：</w:t>
            </w:r>
            <w:r>
              <w:rPr>
                <w:rFonts w:ascii="黑体" w:hAnsi="黑体" w:eastAsia="黑体"/>
                <w:szCs w:val="21"/>
              </w:rPr>
              <w:t xml:space="preserve"> </w:t>
            </w:r>
            <w:r>
              <w:rPr>
                <w:rFonts w:ascii="黑体" w:hAnsi="黑体" w:eastAsia="黑体"/>
                <w:szCs w:val="21"/>
                <w:u w:val="single"/>
              </w:rPr>
              <w:t xml:space="preserve">            年           月            日</w:t>
            </w:r>
          </w:p>
        </w:tc>
        <w:tc>
          <w:tcPr>
            <w:tcW w:w="2537" w:type="dxa"/>
            <w:shd w:val="clear" w:color="auto" w:fill="auto"/>
          </w:tcPr>
          <w:p>
            <w:pPr>
              <w:overflowPunct w:val="0"/>
              <w:adjustRightInd w:val="0"/>
              <w:spacing w:line="360" w:lineRule="auto"/>
              <w:rPr>
                <w:rFonts w:ascii="黑体" w:hAnsi="黑体" w:eastAsia="黑体"/>
                <w:szCs w:val="21"/>
                <w:u w:val="single"/>
              </w:rPr>
            </w:pPr>
          </w:p>
        </w:tc>
      </w:tr>
    </w:tbl>
    <w:p>
      <w:pPr>
        <w:tabs>
          <w:tab w:val="left" w:pos="1180"/>
        </w:tabs>
        <w:rPr>
          <w:rFonts w:ascii="黑体" w:hAnsi="黑体" w:eastAsia="黑体"/>
          <w:sz w:val="28"/>
          <w:szCs w:val="28"/>
        </w:rPr>
      </w:pPr>
    </w:p>
    <w:p>
      <w:pPr>
        <w:pStyle w:val="36"/>
        <w:spacing w:before="156" w:beforeLines="50" w:line="360" w:lineRule="auto"/>
        <w:ind w:firstLine="0" w:firstLineChars="0"/>
        <w:rPr>
          <w:rFonts w:ascii="黑体" w:hAnsi="黑体" w:eastAsia="黑体"/>
          <w:b/>
          <w:sz w:val="21"/>
          <w:szCs w:val="21"/>
        </w:rPr>
      </w:pPr>
    </w:p>
    <w:p>
      <w:pPr>
        <w:pStyle w:val="36"/>
        <w:spacing w:before="156" w:beforeLines="50" w:line="360" w:lineRule="auto"/>
        <w:ind w:firstLine="0" w:firstLineChars="0"/>
        <w:rPr>
          <w:rFonts w:ascii="黑体" w:hAnsi="黑体" w:eastAsia="黑体"/>
          <w:b/>
          <w:sz w:val="21"/>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85" w:name="_Toc391627757"/>
      <w:bookmarkStart w:id="86" w:name="_Toc405313961"/>
      <w:r>
        <w:rPr>
          <w:rFonts w:hint="eastAsia" w:ascii="黑体" w:hAnsi="黑体" w:eastAsia="黑体"/>
          <w:b/>
          <w:bCs/>
        </w:rPr>
        <w:t>投标函</w:t>
      </w:r>
      <w:bookmarkEnd w:id="85"/>
      <w:bookmarkEnd w:id="86"/>
    </w:p>
    <w:p>
      <w:pPr>
        <w:spacing w:before="156" w:beforeLines="50" w:after="156" w:afterLines="50" w:line="360" w:lineRule="auto"/>
        <w:jc w:val="center"/>
        <w:rPr>
          <w:rFonts w:ascii="黑体" w:hAnsi="黑体" w:eastAsia="黑体"/>
          <w:b/>
          <w:spacing w:val="20"/>
          <w:sz w:val="30"/>
          <w:szCs w:val="30"/>
        </w:rPr>
      </w:pPr>
      <w:r>
        <w:rPr>
          <w:rFonts w:hint="eastAsia" w:ascii="黑体" w:hAnsi="黑体" w:eastAsia="黑体"/>
          <w:b/>
          <w:spacing w:val="20"/>
          <w:sz w:val="30"/>
          <w:szCs w:val="30"/>
        </w:rPr>
        <w:t>投标函</w:t>
      </w:r>
    </w:p>
    <w:p>
      <w:pPr>
        <w:spacing w:before="156" w:beforeLines="50" w:after="156" w:afterLines="50" w:line="360" w:lineRule="auto"/>
        <w:rPr>
          <w:rFonts w:ascii="黑体" w:hAnsi="黑体" w:eastAsia="黑体"/>
          <w:b/>
        </w:rPr>
      </w:pPr>
      <w:r>
        <w:rPr>
          <w:rFonts w:hint="eastAsia" w:ascii="黑体" w:hAnsi="黑体" w:eastAsia="黑体"/>
          <w:b/>
        </w:rPr>
        <w:t>致：广东有德招标采购有限公司</w:t>
      </w:r>
    </w:p>
    <w:p>
      <w:pPr>
        <w:autoSpaceDE w:val="0"/>
        <w:autoSpaceDN w:val="0"/>
        <w:adjustRightInd w:val="0"/>
        <w:spacing w:line="360" w:lineRule="auto"/>
        <w:ind w:right="26" w:firstLine="420" w:firstLineChars="200"/>
        <w:rPr>
          <w:rFonts w:ascii="黑体" w:hAnsi="黑体" w:eastAsia="黑体"/>
          <w:kern w:val="0"/>
          <w:szCs w:val="21"/>
        </w:rPr>
      </w:pPr>
      <w:r>
        <w:rPr>
          <w:rFonts w:hint="eastAsia" w:ascii="黑体" w:hAnsi="黑体" w:eastAsia="黑体"/>
          <w:bCs/>
          <w:kern w:val="0"/>
          <w:szCs w:val="21"/>
        </w:rPr>
        <w:t>依据贵方</w:t>
      </w:r>
      <w:r>
        <w:rPr>
          <w:rFonts w:ascii="黑体" w:hAnsi="黑体" w:eastAsia="黑体"/>
          <w:bCs/>
          <w:kern w:val="0"/>
          <w:szCs w:val="21"/>
          <w:u w:val="single"/>
        </w:rPr>
        <w:t xml:space="preserve">    </w:t>
      </w:r>
      <w:r>
        <w:rPr>
          <w:rFonts w:hint="eastAsia" w:ascii="黑体" w:hAnsi="黑体" w:eastAsia="黑体"/>
          <w:b/>
          <w:bCs/>
          <w:szCs w:val="21"/>
          <w:u w:val="single"/>
        </w:rPr>
        <w:t>项目名称</w:t>
      </w:r>
      <w:r>
        <w:rPr>
          <w:rFonts w:ascii="黑体" w:hAnsi="黑体" w:eastAsia="黑体"/>
          <w:b/>
          <w:bCs/>
          <w:szCs w:val="21"/>
          <w:u w:val="single"/>
        </w:rPr>
        <w:t xml:space="preserve"> </w:t>
      </w:r>
      <w:r>
        <w:rPr>
          <w:rFonts w:ascii="黑体" w:hAnsi="黑体" w:eastAsia="黑体"/>
          <w:bCs/>
          <w:szCs w:val="21"/>
          <w:u w:val="single"/>
        </w:rPr>
        <w:t xml:space="preserve">    </w:t>
      </w:r>
      <w:r>
        <w:rPr>
          <w:rFonts w:hint="eastAsia" w:ascii="黑体" w:hAnsi="黑体" w:eastAsia="黑体"/>
          <w:bCs/>
          <w:kern w:val="0"/>
          <w:szCs w:val="21"/>
        </w:rPr>
        <w:t>项目</w:t>
      </w:r>
      <w:r>
        <w:rPr>
          <w:rFonts w:hint="eastAsia" w:ascii="黑体" w:hAnsi="黑体" w:eastAsia="黑体"/>
          <w:bCs/>
          <w:szCs w:val="21"/>
          <w:u w:val="single"/>
        </w:rPr>
        <w:t>（</w:t>
      </w:r>
      <w:r>
        <w:rPr>
          <w:rFonts w:hint="eastAsia" w:ascii="黑体" w:hAnsi="黑体" w:eastAsia="黑体"/>
          <w:b/>
          <w:bCs/>
          <w:szCs w:val="21"/>
          <w:u w:val="single"/>
        </w:rPr>
        <w:t>项目编号：</w:t>
      </w:r>
      <w:r>
        <w:rPr>
          <w:rFonts w:ascii="黑体" w:hAnsi="黑体" w:eastAsia="黑体"/>
          <w:bCs/>
          <w:szCs w:val="21"/>
          <w:u w:val="single"/>
        </w:rPr>
        <w:t xml:space="preserve">        )</w:t>
      </w:r>
      <w:r>
        <w:rPr>
          <w:rFonts w:hint="eastAsia" w:ascii="黑体" w:hAnsi="黑体" w:eastAsia="黑体"/>
          <w:bCs/>
          <w:kern w:val="0"/>
          <w:szCs w:val="21"/>
        </w:rPr>
        <w:t>的投标邀请，我方代表</w:t>
      </w:r>
      <w:r>
        <w:rPr>
          <w:rFonts w:ascii="黑体" w:hAnsi="黑体" w:eastAsia="黑体"/>
          <w:bCs/>
          <w:kern w:val="0"/>
          <w:szCs w:val="21"/>
          <w:u w:val="single"/>
        </w:rPr>
        <w:t xml:space="preserve"> </w:t>
      </w:r>
      <w:r>
        <w:rPr>
          <w:rFonts w:hint="eastAsia" w:ascii="黑体" w:hAnsi="黑体" w:eastAsia="黑体"/>
          <w:b/>
          <w:bCs/>
          <w:szCs w:val="21"/>
          <w:u w:val="single"/>
        </w:rPr>
        <w:t>（姓名、职务）</w:t>
      </w:r>
      <w:r>
        <w:rPr>
          <w:rFonts w:ascii="黑体" w:hAnsi="黑体" w:eastAsia="黑体"/>
          <w:bCs/>
          <w:szCs w:val="21"/>
          <w:u w:val="single"/>
        </w:rPr>
        <w:t xml:space="preserve"> </w:t>
      </w:r>
      <w:r>
        <w:rPr>
          <w:rFonts w:hint="eastAsia" w:ascii="黑体" w:hAnsi="黑体" w:eastAsia="黑体"/>
          <w:bCs/>
          <w:kern w:val="0"/>
          <w:szCs w:val="21"/>
        </w:rPr>
        <w:t>经正式授权并代表</w:t>
      </w:r>
      <w:r>
        <w:rPr>
          <w:rFonts w:ascii="黑体" w:hAnsi="黑体" w:eastAsia="黑体"/>
          <w:bCs/>
          <w:kern w:val="0"/>
          <w:szCs w:val="21"/>
          <w:u w:val="single"/>
        </w:rPr>
        <w:t xml:space="preserve"> </w:t>
      </w:r>
      <w:r>
        <w:rPr>
          <w:rFonts w:hint="eastAsia" w:ascii="黑体" w:hAnsi="黑体" w:eastAsia="黑体"/>
          <w:b/>
          <w:bCs/>
          <w:szCs w:val="21"/>
          <w:u w:val="single"/>
        </w:rPr>
        <w:t>（投标人名称）</w:t>
      </w:r>
      <w:r>
        <w:rPr>
          <w:rFonts w:ascii="黑体" w:hAnsi="黑体" w:eastAsia="黑体"/>
          <w:bCs/>
          <w:szCs w:val="21"/>
          <w:u w:val="single"/>
        </w:rPr>
        <w:t xml:space="preserve"> </w:t>
      </w:r>
      <w:r>
        <w:rPr>
          <w:rFonts w:hint="eastAsia" w:ascii="黑体" w:hAnsi="黑体" w:eastAsia="黑体"/>
          <w:bCs/>
          <w:szCs w:val="21"/>
        </w:rPr>
        <w:t>提交唱标信封一份、</w:t>
      </w:r>
      <w:r>
        <w:rPr>
          <w:rFonts w:hint="eastAsia" w:ascii="黑体" w:hAnsi="黑体" w:eastAsia="黑体"/>
          <w:bCs/>
          <w:kern w:val="0"/>
          <w:szCs w:val="21"/>
        </w:rPr>
        <w:t>投标文件</w:t>
      </w:r>
      <w:r>
        <w:rPr>
          <w:rFonts w:ascii="黑体" w:hAnsi="黑体" w:eastAsia="黑体"/>
          <w:bCs/>
          <w:kern w:val="0"/>
          <w:szCs w:val="21"/>
        </w:rPr>
        <w:t>正本一份，副本</w:t>
      </w:r>
      <w:r>
        <w:rPr>
          <w:rFonts w:ascii="黑体" w:hAnsi="黑体" w:eastAsia="黑体"/>
          <w:bCs/>
          <w:kern w:val="0"/>
          <w:szCs w:val="21"/>
          <w:u w:val="single"/>
        </w:rPr>
        <w:t xml:space="preserve"> （</w:t>
      </w:r>
      <w:r>
        <w:rPr>
          <w:rFonts w:hint="eastAsia" w:ascii="黑体" w:hAnsi="黑体" w:eastAsia="黑体"/>
          <w:b/>
          <w:bCs/>
          <w:kern w:val="0"/>
          <w:szCs w:val="21"/>
          <w:u w:val="single"/>
        </w:rPr>
        <w:t>详见投标人须知前附表</w:t>
      </w:r>
      <w:r>
        <w:rPr>
          <w:rFonts w:ascii="黑体" w:hAnsi="黑体" w:eastAsia="黑体"/>
          <w:b/>
          <w:bCs/>
          <w:kern w:val="0"/>
          <w:szCs w:val="21"/>
          <w:u w:val="single"/>
        </w:rPr>
        <w:t xml:space="preserve">） </w:t>
      </w:r>
      <w:r>
        <w:rPr>
          <w:rFonts w:ascii="黑体" w:hAnsi="黑体" w:eastAsia="黑体"/>
          <w:bCs/>
          <w:kern w:val="0"/>
          <w:szCs w:val="21"/>
          <w:u w:val="single"/>
        </w:rPr>
        <w:t xml:space="preserve"> </w:t>
      </w:r>
      <w:r>
        <w:rPr>
          <w:rFonts w:hint="eastAsia" w:ascii="黑体" w:hAnsi="黑体" w:eastAsia="黑体"/>
          <w:bCs/>
          <w:kern w:val="0"/>
          <w:szCs w:val="21"/>
        </w:rPr>
        <w:t>份。</w:t>
      </w:r>
    </w:p>
    <w:p>
      <w:pPr>
        <w:autoSpaceDE w:val="0"/>
        <w:autoSpaceDN w:val="0"/>
        <w:adjustRightInd w:val="0"/>
        <w:spacing w:line="360" w:lineRule="auto"/>
        <w:ind w:right="246"/>
        <w:rPr>
          <w:rFonts w:ascii="黑体" w:hAnsi="黑体" w:eastAsia="黑体"/>
          <w:kern w:val="0"/>
          <w:szCs w:val="21"/>
        </w:rPr>
      </w:pPr>
      <w:r>
        <w:rPr>
          <w:rFonts w:hint="eastAsia" w:ascii="黑体" w:hAnsi="黑体" w:eastAsia="黑体"/>
          <w:kern w:val="0"/>
          <w:szCs w:val="21"/>
        </w:rPr>
        <w:t>在此，我方声明如下：</w:t>
      </w:r>
    </w:p>
    <w:p>
      <w:pPr>
        <w:pStyle w:val="30"/>
        <w:numPr>
          <w:ilvl w:val="0"/>
          <w:numId w:val="89"/>
        </w:numPr>
        <w:spacing w:line="360" w:lineRule="auto"/>
        <w:ind w:firstLineChars="0"/>
        <w:rPr>
          <w:rFonts w:ascii="黑体" w:hAnsi="黑体" w:eastAsia="黑体"/>
          <w:szCs w:val="21"/>
        </w:rPr>
      </w:pPr>
      <w:r>
        <w:rPr>
          <w:rFonts w:hint="eastAsia" w:ascii="黑体" w:hAnsi="黑体" w:eastAsia="黑体"/>
          <w:spacing w:val="-6"/>
          <w:szCs w:val="21"/>
        </w:rPr>
        <w:t>同意并接受招标文件的各项要求，遵守招标文件中的各项规定，按招标文件的要求提供报价</w:t>
      </w:r>
      <w:r>
        <w:rPr>
          <w:rFonts w:hint="eastAsia" w:ascii="黑体" w:hAnsi="黑体" w:eastAsia="黑体"/>
          <w:szCs w:val="21"/>
        </w:rPr>
        <w:t>。</w:t>
      </w:r>
    </w:p>
    <w:p>
      <w:pPr>
        <w:pStyle w:val="30"/>
        <w:numPr>
          <w:ilvl w:val="0"/>
          <w:numId w:val="89"/>
        </w:numPr>
        <w:spacing w:line="360" w:lineRule="auto"/>
        <w:ind w:firstLineChars="0"/>
        <w:rPr>
          <w:rFonts w:ascii="黑体" w:hAnsi="黑体" w:eastAsia="黑体"/>
          <w:szCs w:val="21"/>
        </w:rPr>
      </w:pPr>
      <w:r>
        <w:rPr>
          <w:rFonts w:hint="eastAsia" w:ascii="黑体" w:hAnsi="黑体" w:eastAsia="黑体"/>
          <w:szCs w:val="21"/>
        </w:rPr>
        <w:t>投标有效期为递交投标文件截止日起</w:t>
      </w:r>
      <w:r>
        <w:rPr>
          <w:rFonts w:hint="eastAsia" w:ascii="黑体" w:hAnsi="黑体" w:eastAsia="黑体"/>
          <w:szCs w:val="21"/>
          <w:u w:val="single"/>
        </w:rPr>
        <w:t xml:space="preserve"> </w:t>
      </w:r>
      <w:r>
        <w:rPr>
          <w:rFonts w:ascii="黑体" w:hAnsi="黑体" w:eastAsia="黑体"/>
          <w:szCs w:val="21"/>
          <w:u w:val="single"/>
        </w:rPr>
        <w:t>90</w:t>
      </w:r>
      <w:r>
        <w:rPr>
          <w:rFonts w:hint="eastAsia" w:ascii="黑体" w:hAnsi="黑体" w:eastAsia="黑体"/>
          <w:szCs w:val="21"/>
          <w:u w:val="single"/>
        </w:rPr>
        <w:t xml:space="preserve"> </w:t>
      </w:r>
      <w:r>
        <w:rPr>
          <w:rFonts w:hint="eastAsia" w:ascii="黑体" w:hAnsi="黑体" w:eastAsia="黑体"/>
          <w:szCs w:val="21"/>
        </w:rPr>
        <w:t>天，如中标，有效期将延至合同终止日为止。</w:t>
      </w:r>
    </w:p>
    <w:p>
      <w:pPr>
        <w:pStyle w:val="30"/>
        <w:numPr>
          <w:ilvl w:val="0"/>
          <w:numId w:val="89"/>
        </w:numPr>
        <w:spacing w:line="360" w:lineRule="auto"/>
        <w:ind w:firstLineChars="0"/>
        <w:rPr>
          <w:rFonts w:ascii="黑体" w:hAnsi="黑体" w:eastAsia="黑体"/>
          <w:szCs w:val="21"/>
        </w:rPr>
      </w:pPr>
      <w:r>
        <w:rPr>
          <w:rFonts w:hint="eastAsia" w:ascii="黑体" w:hAnsi="黑体" w:eastAsia="黑体"/>
          <w:szCs w:val="21"/>
        </w:rPr>
        <w:t>我方已经详细地阅读了全部招标文件及其附件，</w:t>
      </w:r>
      <w:bookmarkStart w:id="87" w:name="_Hlk90989655"/>
      <w:r>
        <w:rPr>
          <w:rFonts w:hint="eastAsia" w:ascii="黑体" w:hAnsi="黑体" w:eastAsia="黑体"/>
          <w:szCs w:val="21"/>
        </w:rPr>
        <w:t>包括澄清及参考文件</w:t>
      </w:r>
      <w:r>
        <w:rPr>
          <w:rFonts w:ascii="黑体" w:hAnsi="黑体" w:eastAsia="黑体"/>
          <w:szCs w:val="21"/>
        </w:rPr>
        <w:t>(如有)。我方已完全清晰理解招标文件的要求，不存在任何含糊不清和误解之处，同意放弃对这些文件所提出的</w:t>
      </w:r>
      <w:r>
        <w:rPr>
          <w:rFonts w:hint="eastAsia" w:ascii="黑体" w:hAnsi="黑体" w:eastAsia="黑体"/>
          <w:szCs w:val="21"/>
        </w:rPr>
        <w:t>询问</w:t>
      </w:r>
      <w:r>
        <w:rPr>
          <w:rFonts w:ascii="黑体" w:hAnsi="黑体" w:eastAsia="黑体"/>
          <w:szCs w:val="21"/>
        </w:rPr>
        <w:t>和质疑的权利。</w:t>
      </w:r>
      <w:bookmarkEnd w:id="87"/>
    </w:p>
    <w:p>
      <w:pPr>
        <w:pStyle w:val="30"/>
        <w:numPr>
          <w:ilvl w:val="0"/>
          <w:numId w:val="89"/>
        </w:numPr>
        <w:spacing w:line="360" w:lineRule="auto"/>
        <w:ind w:firstLineChars="0"/>
        <w:rPr>
          <w:rFonts w:ascii="黑体" w:hAnsi="黑体" w:eastAsia="黑体"/>
          <w:szCs w:val="21"/>
        </w:rPr>
      </w:pPr>
      <w:r>
        <w:rPr>
          <w:rFonts w:hint="eastAsia" w:ascii="黑体" w:hAnsi="黑体" w:eastAsia="黑体"/>
          <w:szCs w:val="21"/>
        </w:rPr>
        <w:t>我方已毫无保留地向贵方提供一切所需的证明材料。</w:t>
      </w:r>
    </w:p>
    <w:p>
      <w:pPr>
        <w:pStyle w:val="30"/>
        <w:numPr>
          <w:ilvl w:val="0"/>
          <w:numId w:val="89"/>
        </w:numPr>
        <w:spacing w:line="360" w:lineRule="auto"/>
        <w:ind w:firstLineChars="0"/>
        <w:rPr>
          <w:rFonts w:ascii="黑体" w:hAnsi="黑体" w:eastAsia="黑体"/>
          <w:szCs w:val="21"/>
        </w:rPr>
      </w:pPr>
      <w:r>
        <w:rPr>
          <w:rFonts w:hint="eastAsia" w:ascii="黑体" w:hAnsi="黑体" w:eastAsia="黑体"/>
          <w:szCs w:val="21"/>
        </w:rPr>
        <w:t>我方承诺在本次投标文件中提供的一切文件，无论是原件还是复印件均为真实和准确的，绝无任何虚假、伪造和夸大的成份，否则，愿承担相应的后果和法律责任。</w:t>
      </w:r>
    </w:p>
    <w:p>
      <w:pPr>
        <w:pStyle w:val="30"/>
        <w:numPr>
          <w:ilvl w:val="0"/>
          <w:numId w:val="89"/>
        </w:numPr>
        <w:spacing w:line="360" w:lineRule="auto"/>
        <w:ind w:firstLineChars="0"/>
        <w:rPr>
          <w:rFonts w:ascii="黑体" w:hAnsi="黑体" w:eastAsia="黑体"/>
          <w:szCs w:val="21"/>
        </w:rPr>
      </w:pPr>
      <w:r>
        <w:rPr>
          <w:rFonts w:hint="eastAsia" w:ascii="黑体" w:hAnsi="黑体" w:eastAsia="黑体"/>
          <w:szCs w:val="21"/>
        </w:rPr>
        <w:t>我方完全服从和尊重评委会所作的评定结果，同时清楚理解到报价最低并非意味着必定获得中标资格。</w:t>
      </w:r>
    </w:p>
    <w:p>
      <w:pPr>
        <w:pStyle w:val="30"/>
        <w:numPr>
          <w:ilvl w:val="0"/>
          <w:numId w:val="89"/>
        </w:numPr>
        <w:spacing w:line="360" w:lineRule="auto"/>
        <w:ind w:firstLineChars="0"/>
        <w:rPr>
          <w:rFonts w:ascii="黑体" w:hAnsi="黑体" w:eastAsia="黑体"/>
          <w:szCs w:val="21"/>
        </w:rPr>
      </w:pPr>
      <w:r>
        <w:rPr>
          <w:rFonts w:hint="eastAsia" w:ascii="黑体" w:hAnsi="黑体" w:eastAsia="黑体"/>
          <w:szCs w:val="21"/>
        </w:rPr>
        <w:t>我方同意按招标文件规定向采购代理机构缴纳中标服务费。</w:t>
      </w:r>
    </w:p>
    <w:p>
      <w:pPr>
        <w:pStyle w:val="30"/>
        <w:numPr>
          <w:ilvl w:val="0"/>
          <w:numId w:val="89"/>
        </w:numPr>
        <w:tabs>
          <w:tab w:val="left" w:pos="567"/>
          <w:tab w:val="left" w:pos="709"/>
        </w:tabs>
        <w:spacing w:after="312" w:afterLines="100" w:line="360" w:lineRule="auto"/>
        <w:ind w:firstLineChars="0"/>
        <w:rPr>
          <w:rFonts w:ascii="黑体" w:hAnsi="黑体" w:eastAsia="黑体"/>
          <w:szCs w:val="21"/>
        </w:rPr>
      </w:pPr>
      <w:r>
        <w:rPr>
          <w:rFonts w:ascii="黑体" w:hAnsi="黑体" w:eastAsia="黑体"/>
          <w:szCs w:val="21"/>
        </w:rPr>
        <w:t>所有与本招标有关的函件请发往下列地址：</w:t>
      </w: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3"/>
        <w:gridCol w:w="4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before="156" w:beforeLines="50" w:line="360" w:lineRule="auto"/>
              <w:rPr>
                <w:rFonts w:ascii="黑体" w:hAnsi="黑体" w:eastAsia="黑体"/>
                <w:szCs w:val="21"/>
              </w:rPr>
            </w:pPr>
            <w:r>
              <w:rPr>
                <w:rFonts w:hint="eastAsia" w:ascii="黑体" w:hAnsi="黑体" w:eastAsia="黑体"/>
                <w:szCs w:val="21"/>
              </w:rPr>
              <w:t>投标人地址：</w:t>
            </w:r>
            <w:r>
              <w:rPr>
                <w:rFonts w:ascii="黑体" w:hAnsi="黑体" w:eastAsia="黑体"/>
                <w:szCs w:val="21"/>
                <w:u w:val="single"/>
              </w:rPr>
              <w:t xml:space="preserve">                          </w:t>
            </w:r>
          </w:p>
        </w:tc>
        <w:tc>
          <w:tcPr>
            <w:tcW w:w="2500" w:type="pct"/>
          </w:tcPr>
          <w:p>
            <w:pPr>
              <w:spacing w:before="156" w:beforeLines="50" w:line="360" w:lineRule="auto"/>
              <w:rPr>
                <w:rFonts w:ascii="黑体" w:hAnsi="黑体" w:eastAsia="黑体"/>
                <w:szCs w:val="21"/>
              </w:rPr>
            </w:pPr>
            <w:r>
              <w:rPr>
                <w:rFonts w:hint="eastAsia" w:ascii="黑体" w:hAnsi="黑体" w:eastAsia="黑体"/>
                <w:szCs w:val="21"/>
              </w:rPr>
              <w:t>邮编：</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line="360" w:lineRule="auto"/>
              <w:rPr>
                <w:rFonts w:ascii="黑体" w:hAnsi="黑体" w:eastAsia="黑体"/>
                <w:szCs w:val="21"/>
              </w:rPr>
            </w:pPr>
            <w:r>
              <w:rPr>
                <w:rFonts w:hint="eastAsia" w:ascii="黑体" w:hAnsi="黑体" w:eastAsia="黑体"/>
                <w:szCs w:val="21"/>
              </w:rPr>
              <w:t>联系电话：</w:t>
            </w:r>
            <w:r>
              <w:rPr>
                <w:rFonts w:ascii="黑体" w:hAnsi="黑体" w:eastAsia="黑体"/>
                <w:szCs w:val="21"/>
                <w:u w:val="single"/>
              </w:rPr>
              <w:t xml:space="preserve">                            </w:t>
            </w:r>
          </w:p>
        </w:tc>
        <w:tc>
          <w:tcPr>
            <w:tcW w:w="2500" w:type="pct"/>
          </w:tcPr>
          <w:p>
            <w:pPr>
              <w:spacing w:line="360" w:lineRule="auto"/>
              <w:rPr>
                <w:rFonts w:ascii="黑体" w:hAnsi="黑体" w:eastAsia="黑体"/>
                <w:szCs w:val="21"/>
              </w:rPr>
            </w:pPr>
            <w:r>
              <w:rPr>
                <w:rFonts w:hint="eastAsia" w:ascii="黑体" w:hAnsi="黑体" w:eastAsia="黑体"/>
                <w:szCs w:val="21"/>
              </w:rPr>
              <w:t>传真：</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line="360" w:lineRule="auto"/>
              <w:rPr>
                <w:rFonts w:ascii="黑体" w:hAnsi="黑体" w:eastAsia="黑体"/>
                <w:szCs w:val="21"/>
              </w:rPr>
            </w:pPr>
            <w:r>
              <w:rPr>
                <w:rFonts w:hint="eastAsia" w:ascii="黑体" w:hAnsi="黑体" w:eastAsia="黑体"/>
                <w:szCs w:val="21"/>
              </w:rPr>
              <w:t>项目联系人：</w:t>
            </w:r>
            <w:r>
              <w:rPr>
                <w:rFonts w:ascii="黑体" w:hAnsi="黑体" w:eastAsia="黑体"/>
                <w:szCs w:val="21"/>
                <w:u w:val="single"/>
              </w:rPr>
              <w:t xml:space="preserve">                          </w:t>
            </w:r>
          </w:p>
        </w:tc>
        <w:tc>
          <w:tcPr>
            <w:tcW w:w="2500" w:type="pct"/>
          </w:tcPr>
          <w:p>
            <w:pPr>
              <w:spacing w:line="360" w:lineRule="auto"/>
              <w:rPr>
                <w:rFonts w:ascii="黑体" w:hAnsi="黑体" w:eastAsia="黑体"/>
                <w:szCs w:val="21"/>
              </w:rPr>
            </w:pPr>
            <w:r>
              <w:rPr>
                <w:rFonts w:hint="eastAsia" w:ascii="黑体" w:hAnsi="黑体" w:eastAsia="黑体"/>
                <w:szCs w:val="21"/>
              </w:rPr>
              <w:t>手机：</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jc w:val="left"/>
              <w:rPr>
                <w:rFonts w:ascii="黑体" w:hAnsi="黑体" w:eastAsia="黑体"/>
                <w:szCs w:val="21"/>
              </w:rPr>
            </w:pPr>
            <w:r>
              <w:rPr>
                <w:rFonts w:hint="eastAsia" w:ascii="黑体" w:hAnsi="黑体" w:eastAsia="黑体"/>
                <w:szCs w:val="21"/>
              </w:rPr>
              <w:t>投标人法定代表人或被授权人（签名或盖私章）：</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jc w:val="left"/>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w:t>
            </w:r>
            <w:r>
              <w:rPr>
                <w:rFonts w:hint="eastAsia" w:ascii="黑体" w:hAnsi="黑体" w:eastAsia="黑体"/>
                <w:szCs w:val="21"/>
                <w:u w:val="single"/>
              </w:rPr>
              <w:t>年</w:t>
            </w:r>
            <w:r>
              <w:rPr>
                <w:rFonts w:ascii="黑体" w:hAnsi="黑体" w:eastAsia="黑体"/>
                <w:szCs w:val="21"/>
                <w:u w:val="single"/>
              </w:rPr>
              <w:t xml:space="preserve">        </w:t>
            </w:r>
            <w:r>
              <w:rPr>
                <w:rFonts w:hint="eastAsia" w:ascii="黑体" w:hAnsi="黑体" w:eastAsia="黑体"/>
                <w:szCs w:val="21"/>
                <w:u w:val="single"/>
              </w:rPr>
              <w:t>月</w:t>
            </w:r>
            <w:r>
              <w:rPr>
                <w:rFonts w:ascii="黑体" w:hAnsi="黑体" w:eastAsia="黑体"/>
                <w:szCs w:val="21"/>
                <w:u w:val="single"/>
              </w:rPr>
              <w:t xml:space="preserve">         </w:t>
            </w:r>
            <w:r>
              <w:rPr>
                <w:rFonts w:hint="eastAsia" w:ascii="黑体" w:hAnsi="黑体" w:eastAsia="黑体"/>
                <w:szCs w:val="21"/>
                <w:u w:val="single"/>
              </w:rPr>
              <w:t>日</w:t>
            </w:r>
          </w:p>
        </w:tc>
      </w:tr>
    </w:tbl>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88" w:name="_Toc391627764"/>
      <w:bookmarkStart w:id="89" w:name="_Toc405313969"/>
      <w:bookmarkStart w:id="90" w:name="_Toc75734373"/>
      <w:bookmarkStart w:id="91" w:name="_Toc391627758"/>
      <w:bookmarkStart w:id="92" w:name="_Toc405313962"/>
      <w:r>
        <w:rPr>
          <w:rFonts w:hint="eastAsia" w:ascii="黑体" w:hAnsi="黑体" w:eastAsia="黑体"/>
          <w:b/>
          <w:bCs/>
        </w:rPr>
        <w:t>资格</w:t>
      </w:r>
      <w:bookmarkEnd w:id="88"/>
      <w:bookmarkEnd w:id="89"/>
      <w:r>
        <w:rPr>
          <w:rFonts w:hint="eastAsia" w:ascii="黑体" w:hAnsi="黑体" w:eastAsia="黑体"/>
          <w:b/>
          <w:bCs/>
        </w:rPr>
        <w:t>声明函</w:t>
      </w:r>
      <w:bookmarkEnd w:id="90"/>
    </w:p>
    <w:p>
      <w:pPr>
        <w:spacing w:before="156" w:beforeLines="50" w:after="312" w:afterLines="100" w:line="360" w:lineRule="auto"/>
        <w:jc w:val="center"/>
        <w:rPr>
          <w:rFonts w:ascii="黑体" w:hAnsi="黑体" w:eastAsia="黑体"/>
          <w:b/>
          <w:spacing w:val="20"/>
          <w:sz w:val="30"/>
          <w:szCs w:val="30"/>
        </w:rPr>
      </w:pPr>
      <w:bookmarkStart w:id="93" w:name="_Hlk81177964"/>
      <w:r>
        <w:rPr>
          <w:rFonts w:hint="eastAsia" w:ascii="黑体" w:hAnsi="黑体" w:eastAsia="黑体"/>
          <w:b/>
          <w:spacing w:val="20"/>
          <w:sz w:val="30"/>
          <w:szCs w:val="30"/>
        </w:rPr>
        <w:t>资格声明函</w:t>
      </w:r>
    </w:p>
    <w:bookmarkEnd w:id="93"/>
    <w:p>
      <w:pPr>
        <w:adjustRightInd w:val="0"/>
        <w:snapToGrid w:val="0"/>
        <w:spacing w:after="156" w:afterLines="50" w:line="360" w:lineRule="auto"/>
        <w:rPr>
          <w:rFonts w:ascii="黑体" w:hAnsi="黑体" w:eastAsia="黑体"/>
          <w:b/>
          <w:szCs w:val="21"/>
        </w:rPr>
      </w:pPr>
      <w:r>
        <w:rPr>
          <w:rFonts w:hint="eastAsia" w:ascii="黑体" w:hAnsi="黑体" w:eastAsia="黑体"/>
          <w:b/>
          <w:szCs w:val="21"/>
        </w:rPr>
        <w:t>广东有德招标采购有限公司：</w:t>
      </w:r>
    </w:p>
    <w:p>
      <w:pPr>
        <w:adjustRightInd w:val="0"/>
        <w:snapToGrid w:val="0"/>
        <w:spacing w:line="360" w:lineRule="auto"/>
        <w:ind w:firstLine="424" w:firstLineChars="202"/>
        <w:rPr>
          <w:rFonts w:ascii="黑体" w:hAnsi="黑体" w:eastAsia="黑体"/>
          <w:szCs w:val="21"/>
        </w:rPr>
      </w:pPr>
      <w:r>
        <w:rPr>
          <w:rFonts w:hint="eastAsia" w:ascii="黑体" w:hAnsi="黑体" w:eastAsia="黑体"/>
          <w:szCs w:val="21"/>
        </w:rPr>
        <w:t xml:space="preserve">关于贵公司 </w:t>
      </w:r>
      <w:r>
        <w:rPr>
          <w:rFonts w:hint="eastAsia" w:ascii="黑体" w:hAnsi="黑体" w:eastAsia="黑体"/>
          <w:szCs w:val="21"/>
          <w:u w:val="single"/>
        </w:rPr>
        <w:t xml:space="preserve">     </w:t>
      </w:r>
      <w:r>
        <w:rPr>
          <w:rFonts w:hint="eastAsia" w:ascii="黑体" w:hAnsi="黑体" w:eastAsia="黑体"/>
          <w:szCs w:val="21"/>
        </w:rPr>
        <w:t>年</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rPr>
        <w:t>日发布</w:t>
      </w:r>
      <w:r>
        <w:rPr>
          <w:rFonts w:hint="eastAsia" w:ascii="黑体" w:hAnsi="黑体" w:eastAsia="黑体"/>
          <w:szCs w:val="21"/>
          <w:u w:val="single"/>
        </w:rPr>
        <w:t xml:space="preserve">               </w:t>
      </w:r>
      <w:r>
        <w:rPr>
          <w:rFonts w:hint="eastAsia" w:ascii="黑体" w:hAnsi="黑体" w:eastAsia="黑体"/>
          <w:szCs w:val="21"/>
        </w:rPr>
        <w:t>项目（项目编号：</w:t>
      </w:r>
      <w:r>
        <w:rPr>
          <w:rFonts w:hint="eastAsia" w:ascii="黑体" w:hAnsi="黑体" w:eastAsia="黑体"/>
          <w:szCs w:val="21"/>
          <w:u w:val="single"/>
        </w:rPr>
        <w:t xml:space="preserve">           </w:t>
      </w:r>
      <w:r>
        <w:rPr>
          <w:rFonts w:hint="eastAsia" w:ascii="黑体" w:hAnsi="黑体" w:eastAsia="黑体"/>
          <w:szCs w:val="21"/>
        </w:rPr>
        <w:t>）的采购公告，本单位愿意参加投标，并声明：</w:t>
      </w:r>
    </w:p>
    <w:p>
      <w:pPr>
        <w:pStyle w:val="30"/>
        <w:widowControl/>
        <w:numPr>
          <w:ilvl w:val="0"/>
          <w:numId w:val="90"/>
        </w:numPr>
        <w:adjustRightInd w:val="0"/>
        <w:snapToGrid w:val="0"/>
        <w:spacing w:line="360" w:lineRule="auto"/>
        <w:ind w:firstLineChars="0"/>
        <w:rPr>
          <w:rFonts w:ascii="黑体" w:hAnsi="黑体" w:eastAsia="黑体" w:cs="宋体"/>
          <w:kern w:val="0"/>
          <w:szCs w:val="21"/>
        </w:rPr>
      </w:pPr>
      <w:r>
        <w:rPr>
          <w:rFonts w:hint="eastAsia" w:ascii="黑体" w:hAnsi="黑体" w:eastAsia="黑体" w:cs="宋体"/>
          <w:kern w:val="0"/>
          <w:szCs w:val="21"/>
        </w:rPr>
        <w:t>本单位具有依法缴纳税收和社会保障资金的良好记录。</w:t>
      </w:r>
    </w:p>
    <w:p>
      <w:pPr>
        <w:pStyle w:val="30"/>
        <w:widowControl/>
        <w:numPr>
          <w:ilvl w:val="0"/>
          <w:numId w:val="90"/>
        </w:numPr>
        <w:adjustRightInd w:val="0"/>
        <w:snapToGrid w:val="0"/>
        <w:spacing w:line="360" w:lineRule="auto"/>
        <w:ind w:firstLineChars="0"/>
        <w:rPr>
          <w:rFonts w:ascii="黑体" w:hAnsi="黑体" w:eastAsia="黑体" w:cs="宋体"/>
          <w:kern w:val="0"/>
          <w:szCs w:val="21"/>
        </w:rPr>
      </w:pPr>
      <w:r>
        <w:rPr>
          <w:rFonts w:hint="eastAsia" w:ascii="黑体" w:hAnsi="黑体" w:eastAsia="黑体" w:cs="宋体"/>
          <w:kern w:val="0"/>
          <w:szCs w:val="21"/>
        </w:rPr>
        <w:t>本单位具有良好的商业信誉和健全的财务会计制度。</w:t>
      </w:r>
    </w:p>
    <w:p>
      <w:pPr>
        <w:pStyle w:val="30"/>
        <w:widowControl/>
        <w:numPr>
          <w:ilvl w:val="0"/>
          <w:numId w:val="90"/>
        </w:numPr>
        <w:adjustRightInd w:val="0"/>
        <w:snapToGrid w:val="0"/>
        <w:spacing w:line="360" w:lineRule="auto"/>
        <w:ind w:firstLineChars="0"/>
        <w:rPr>
          <w:rFonts w:ascii="黑体" w:hAnsi="黑体" w:eastAsia="黑体" w:cs="宋体"/>
          <w:kern w:val="0"/>
          <w:szCs w:val="21"/>
        </w:rPr>
      </w:pPr>
      <w:r>
        <w:rPr>
          <w:rFonts w:hint="eastAsia" w:ascii="黑体" w:hAnsi="黑体" w:eastAsia="黑体" w:cs="宋体"/>
          <w:kern w:val="0"/>
          <w:szCs w:val="21"/>
        </w:rPr>
        <w:t>本单位具有履行合同所必需的设备和专业技术能力。</w:t>
      </w:r>
    </w:p>
    <w:p>
      <w:pPr>
        <w:pStyle w:val="30"/>
        <w:widowControl/>
        <w:numPr>
          <w:ilvl w:val="0"/>
          <w:numId w:val="90"/>
        </w:numPr>
        <w:adjustRightInd w:val="0"/>
        <w:snapToGrid w:val="0"/>
        <w:spacing w:line="360" w:lineRule="auto"/>
        <w:ind w:firstLineChars="0"/>
        <w:rPr>
          <w:rFonts w:ascii="黑体" w:hAnsi="黑体" w:eastAsia="黑体" w:cs="宋体"/>
          <w:kern w:val="0"/>
          <w:szCs w:val="21"/>
        </w:rPr>
      </w:pPr>
      <w:r>
        <w:rPr>
          <w:rFonts w:hint="eastAsia" w:ascii="黑体" w:hAnsi="黑体" w:eastAsia="黑体" w:cs="宋体"/>
          <w:kern w:val="0"/>
          <w:szCs w:val="21"/>
        </w:rPr>
        <w:t>本单位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30"/>
        <w:widowControl/>
        <w:numPr>
          <w:ilvl w:val="0"/>
          <w:numId w:val="90"/>
        </w:numPr>
        <w:adjustRightInd w:val="0"/>
        <w:snapToGrid w:val="0"/>
        <w:spacing w:line="360" w:lineRule="auto"/>
        <w:ind w:firstLineChars="0"/>
        <w:rPr>
          <w:rFonts w:ascii="黑体" w:hAnsi="黑体" w:eastAsia="黑体" w:cs="宋体"/>
          <w:kern w:val="0"/>
          <w:szCs w:val="21"/>
        </w:rPr>
      </w:pPr>
      <w:r>
        <w:rPr>
          <w:rFonts w:hint="eastAsia" w:ascii="黑体" w:hAnsi="黑体" w:eastAsia="黑体" w:cs="宋体"/>
          <w:kern w:val="0"/>
          <w:szCs w:val="21"/>
        </w:rPr>
        <w:t>本单位具备法律、行政法规规定的其他条件。</w:t>
      </w:r>
    </w:p>
    <w:p>
      <w:pPr>
        <w:pStyle w:val="30"/>
        <w:widowControl/>
        <w:numPr>
          <w:ilvl w:val="0"/>
          <w:numId w:val="90"/>
        </w:numPr>
        <w:adjustRightInd w:val="0"/>
        <w:snapToGrid w:val="0"/>
        <w:spacing w:line="360" w:lineRule="auto"/>
        <w:ind w:firstLineChars="0"/>
        <w:rPr>
          <w:rFonts w:ascii="黑体" w:hAnsi="黑体" w:eastAsia="黑体" w:cs="宋体"/>
          <w:kern w:val="0"/>
          <w:szCs w:val="21"/>
        </w:rPr>
      </w:pPr>
      <w:r>
        <w:rPr>
          <w:rFonts w:hint="eastAsia" w:ascii="黑体" w:hAnsi="黑体" w:eastAsia="黑体" w:cs="宋体"/>
          <w:kern w:val="0"/>
          <w:szCs w:val="21"/>
        </w:rPr>
        <w:t>本单位承诺单位负责人为同一人或者存在直接控股、管理关系的不同供应商，不得同时参加本采购项目（或采购包）投标。</w:t>
      </w:r>
    </w:p>
    <w:p>
      <w:pPr>
        <w:pStyle w:val="30"/>
        <w:widowControl/>
        <w:numPr>
          <w:ilvl w:val="0"/>
          <w:numId w:val="90"/>
        </w:numPr>
        <w:adjustRightInd w:val="0"/>
        <w:snapToGrid w:val="0"/>
        <w:spacing w:line="360" w:lineRule="auto"/>
        <w:ind w:firstLineChars="0"/>
        <w:rPr>
          <w:rFonts w:ascii="黑体" w:hAnsi="黑体" w:eastAsia="黑体" w:cs="宋体"/>
          <w:kern w:val="0"/>
          <w:szCs w:val="21"/>
        </w:rPr>
      </w:pPr>
      <w:r>
        <w:rPr>
          <w:rFonts w:hint="eastAsia" w:ascii="黑体" w:hAnsi="黑体" w:eastAsia="黑体" w:cs="宋体"/>
          <w:kern w:val="0"/>
          <w:szCs w:val="21"/>
        </w:rPr>
        <w:t>本单位承诺为本项目提供整体设计、规范编制或者项目管理、监理、检测等服务的供应商，不得再参与本项目投标。</w:t>
      </w:r>
    </w:p>
    <w:p>
      <w:pPr>
        <w:adjustRightInd w:val="0"/>
        <w:snapToGrid w:val="0"/>
        <w:spacing w:line="360" w:lineRule="auto"/>
        <w:ind w:firstLine="424" w:firstLineChars="202"/>
        <w:rPr>
          <w:rFonts w:ascii="黑体" w:hAnsi="黑体" w:eastAsia="黑体"/>
          <w:szCs w:val="21"/>
        </w:rPr>
      </w:pPr>
      <w:r>
        <w:rPr>
          <w:rFonts w:hint="eastAsia" w:ascii="黑体" w:hAnsi="黑体" w:eastAsia="黑体"/>
          <w:szCs w:val="21"/>
        </w:rPr>
        <w:t>本单位承诺在本次招标采购活动中，如有违法、违规、弄虚作假行为，所造成的损失、不良后果及法律责任，一律由本单位承担。</w:t>
      </w:r>
    </w:p>
    <w:p>
      <w:pPr>
        <w:adjustRightInd w:val="0"/>
        <w:snapToGrid w:val="0"/>
        <w:spacing w:before="156" w:beforeLines="50" w:line="360" w:lineRule="auto"/>
        <w:ind w:firstLine="420"/>
        <w:rPr>
          <w:rFonts w:ascii="黑体" w:hAnsi="黑体" w:eastAsia="黑体"/>
          <w:szCs w:val="21"/>
        </w:rPr>
      </w:pPr>
      <w:r>
        <w:rPr>
          <w:rFonts w:hint="eastAsia" w:ascii="黑体" w:hAnsi="黑体" w:eastAsia="黑体"/>
          <w:szCs w:val="21"/>
        </w:rPr>
        <w:t>特此声明！</w:t>
      </w:r>
    </w:p>
    <w:p>
      <w:pPr>
        <w:tabs>
          <w:tab w:val="left" w:pos="851"/>
        </w:tabs>
        <w:adjustRightInd w:val="0"/>
        <w:snapToGrid w:val="0"/>
        <w:spacing w:before="312" w:beforeLines="100" w:line="360" w:lineRule="auto"/>
        <w:ind w:firstLine="420"/>
        <w:rPr>
          <w:rFonts w:ascii="黑体" w:hAnsi="黑体" w:eastAsia="黑体"/>
          <w:b/>
          <w:szCs w:val="21"/>
        </w:rPr>
      </w:pPr>
      <w:r>
        <w:rPr>
          <w:rFonts w:hint="eastAsia" w:ascii="黑体" w:hAnsi="黑体" w:eastAsia="黑体"/>
          <w:b/>
          <w:szCs w:val="21"/>
        </w:rPr>
        <w:t>备注： 1.本声明函必须提供且内容不</w:t>
      </w:r>
      <w:bookmarkStart w:id="117" w:name="_GoBack"/>
      <w:bookmarkEnd w:id="117"/>
      <w:r>
        <w:rPr>
          <w:rFonts w:hint="eastAsia" w:ascii="黑体" w:hAnsi="黑体" w:eastAsia="黑体"/>
          <w:b/>
          <w:szCs w:val="21"/>
        </w:rPr>
        <w:t>得擅自删改，否则视为无效投标。</w:t>
      </w:r>
    </w:p>
    <w:p>
      <w:pPr>
        <w:adjustRightInd w:val="0"/>
        <w:snapToGrid w:val="0"/>
        <w:spacing w:line="360" w:lineRule="auto"/>
        <w:ind w:firstLine="1132" w:firstLineChars="537"/>
        <w:rPr>
          <w:rFonts w:ascii="黑体" w:hAnsi="黑体" w:eastAsia="黑体"/>
          <w:b/>
          <w:szCs w:val="21"/>
        </w:rPr>
      </w:pPr>
      <w:r>
        <w:rPr>
          <w:rFonts w:ascii="黑体" w:hAnsi="黑体" w:eastAsia="黑体"/>
          <w:b/>
          <w:szCs w:val="21"/>
        </w:rPr>
        <w:t>2</w:t>
      </w:r>
      <w:r>
        <w:rPr>
          <w:rFonts w:hint="eastAsia" w:ascii="黑体" w:hAnsi="黑体" w:eastAsia="黑体"/>
          <w:b/>
          <w:szCs w:val="21"/>
        </w:rPr>
        <w:t>.</w:t>
      </w:r>
      <w:r>
        <w:rPr>
          <w:rFonts w:ascii="黑体" w:hAnsi="黑体" w:eastAsia="黑体"/>
          <w:b/>
          <w:szCs w:val="21"/>
        </w:rPr>
        <w:t>本</w:t>
      </w:r>
      <w:bookmarkStart w:id="94" w:name="_Hlk20518506"/>
      <w:r>
        <w:rPr>
          <w:rFonts w:ascii="黑体" w:hAnsi="黑体" w:eastAsia="黑体"/>
          <w:b/>
          <w:szCs w:val="21"/>
        </w:rPr>
        <w:t>声明</w:t>
      </w:r>
      <w:bookmarkEnd w:id="94"/>
      <w:r>
        <w:rPr>
          <w:rFonts w:ascii="黑体" w:hAnsi="黑体" w:eastAsia="黑体"/>
          <w:b/>
          <w:szCs w:val="21"/>
        </w:rPr>
        <w:t>函如有虚假或与事实不符的，作无效投标处理。</w:t>
      </w:r>
    </w:p>
    <w:p>
      <w:pPr>
        <w:adjustRightInd w:val="0"/>
        <w:snapToGrid w:val="0"/>
        <w:spacing w:after="156" w:afterLines="50" w:line="360" w:lineRule="auto"/>
        <w:jc w:val="left"/>
        <w:rPr>
          <w:rFonts w:ascii="黑体" w:hAnsi="黑体" w:eastAsia="黑体"/>
          <w:b/>
          <w:szCs w:val="21"/>
        </w:rPr>
      </w:pPr>
    </w:p>
    <w:p>
      <w:pPr>
        <w:adjustRightInd w:val="0"/>
        <w:snapToGrid w:val="0"/>
        <w:spacing w:after="156" w:afterLines="50" w:line="360" w:lineRule="auto"/>
        <w:jc w:val="left"/>
        <w:rPr>
          <w:rFonts w:ascii="黑体" w:hAnsi="黑体" w:eastAsia="黑体"/>
          <w:b/>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r>
        <w:rPr>
          <w:rFonts w:hint="eastAsia" w:ascii="黑体" w:hAnsi="黑体" w:eastAsia="黑体"/>
          <w:b/>
          <w:bCs/>
        </w:rPr>
        <w:t>法定代表人身份证明书</w:t>
      </w:r>
      <w:bookmarkEnd w:id="91"/>
      <w:bookmarkEnd w:id="92"/>
    </w:p>
    <w:p>
      <w:pPr>
        <w:spacing w:before="156" w:beforeLines="50" w:after="156" w:afterLines="50" w:line="360" w:lineRule="auto"/>
        <w:jc w:val="center"/>
        <w:rPr>
          <w:rFonts w:ascii="黑体" w:hAnsi="黑体" w:eastAsia="黑体"/>
          <w:b/>
          <w:spacing w:val="20"/>
          <w:sz w:val="30"/>
          <w:szCs w:val="30"/>
        </w:rPr>
      </w:pPr>
      <w:r>
        <w:rPr>
          <w:rFonts w:hint="eastAsia" w:ascii="黑体" w:hAnsi="黑体" w:eastAsia="黑体"/>
          <w:b/>
          <w:spacing w:val="20"/>
          <w:sz w:val="30"/>
          <w:szCs w:val="30"/>
        </w:rPr>
        <w:t>法定代表人身份证明书</w:t>
      </w:r>
    </w:p>
    <w:p>
      <w:pPr>
        <w:spacing w:before="312" w:beforeLines="100" w:after="156" w:afterLines="50" w:line="360" w:lineRule="auto"/>
        <w:rPr>
          <w:rFonts w:ascii="黑体" w:hAnsi="黑体" w:eastAsia="黑体"/>
          <w:b/>
        </w:rPr>
      </w:pPr>
      <w:r>
        <w:rPr>
          <w:rFonts w:hint="eastAsia" w:ascii="黑体" w:hAnsi="黑体" w:eastAsia="黑体"/>
          <w:b/>
        </w:rPr>
        <w:t>致：广东有德招标采购有限公司</w:t>
      </w: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1"/>
        <w:gridCol w:w="5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rPr>
                <w:rFonts w:ascii="黑体" w:hAnsi="黑体" w:eastAsia="黑体"/>
                <w:szCs w:val="21"/>
              </w:rPr>
            </w:pPr>
            <w:r>
              <w:rPr>
                <w:rFonts w:ascii="黑体" w:hAnsi="黑体" w:eastAsia="黑体"/>
                <w:szCs w:val="21"/>
                <w:u w:val="single"/>
              </w:rPr>
              <w:t xml:space="preserve">                 </w:t>
            </w:r>
            <w:r>
              <w:rPr>
                <w:rFonts w:hint="eastAsia" w:ascii="黑体" w:hAnsi="黑体" w:eastAsia="黑体"/>
                <w:szCs w:val="21"/>
              </w:rPr>
              <w:t>同志，现任我单位</w:t>
            </w:r>
            <w:r>
              <w:rPr>
                <w:rFonts w:ascii="黑体" w:hAnsi="黑体" w:eastAsia="黑体"/>
                <w:szCs w:val="21"/>
                <w:u w:val="single"/>
              </w:rPr>
              <w:t xml:space="preserve">               </w:t>
            </w:r>
            <w:r>
              <w:rPr>
                <w:rFonts w:hint="eastAsia" w:ascii="黑体" w:hAnsi="黑体" w:eastAsia="黑体"/>
                <w:szCs w:val="21"/>
              </w:rPr>
              <w:t>职务，为法定代表人，特此证明。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1" w:hRule="atLeast"/>
          <w:jc w:val="center"/>
        </w:trPr>
        <w:tc>
          <w:tcPr>
            <w:tcW w:w="5000" w:type="pct"/>
            <w:gridSpan w:val="2"/>
          </w:tcPr>
          <w:p>
            <w:pPr>
              <w:spacing w:line="360" w:lineRule="auto"/>
              <w:rPr>
                <w:rFonts w:ascii="黑体" w:hAnsi="黑体" w:eastAsia="黑体"/>
                <w:szCs w:val="21"/>
              </w:rPr>
            </w:pPr>
          </w:p>
          <w:p>
            <w:pPr>
              <w:spacing w:line="360" w:lineRule="auto"/>
              <w:rPr>
                <w:rFonts w:ascii="黑体" w:hAnsi="黑体" w:eastAsia="黑体"/>
                <w:szCs w:val="21"/>
              </w:rPr>
            </w:pPr>
            <w:r>
              <w:rPr>
                <w:rFonts w:hint="eastAsia" w:ascii="黑体" w:hAnsi="黑体" w:eastAsia="黑体"/>
                <w:szCs w:val="21"/>
              </w:rPr>
              <w:t>附：</w:t>
            </w:r>
          </w:p>
          <w:p>
            <w:pPr>
              <w:spacing w:line="360" w:lineRule="auto"/>
              <w:rPr>
                <w:rFonts w:ascii="黑体" w:hAnsi="黑体" w:eastAsia="黑体"/>
                <w:szCs w:val="21"/>
              </w:rPr>
            </w:pPr>
            <w:r>
              <w:rPr>
                <w:rFonts w:hint="eastAsia" w:ascii="黑体" w:hAnsi="黑体" w:eastAsia="黑体"/>
                <w:szCs w:val="21"/>
              </w:rPr>
              <w:t xml:space="preserve">代表人性别：    </w:t>
            </w:r>
          </w:p>
          <w:p>
            <w:pPr>
              <w:spacing w:line="360" w:lineRule="auto"/>
              <w:rPr>
                <w:rFonts w:ascii="黑体" w:hAnsi="黑体" w:eastAsia="黑体"/>
                <w:szCs w:val="21"/>
              </w:rPr>
            </w:pPr>
            <w:r>
              <w:rPr>
                <w:rFonts w:hint="eastAsia" w:ascii="黑体" w:hAnsi="黑体" w:eastAsia="黑体"/>
                <w:szCs w:val="21"/>
              </w:rPr>
              <w:t xml:space="preserve">身份证号码： </w:t>
            </w:r>
          </w:p>
          <w:p>
            <w:pPr>
              <w:spacing w:line="360" w:lineRule="auto"/>
              <w:rPr>
                <w:rFonts w:ascii="黑体" w:hAnsi="黑体" w:eastAsia="黑体"/>
                <w:szCs w:val="21"/>
              </w:rPr>
            </w:pPr>
            <w:r>
              <w:rPr>
                <w:rFonts w:hint="eastAsia" w:ascii="黑体" w:hAnsi="黑体" w:eastAsia="黑体"/>
                <w:szCs w:val="21"/>
              </w:rPr>
              <w:t xml:space="preserve">联系电话：  </w:t>
            </w:r>
          </w:p>
          <w:p>
            <w:pPr>
              <w:spacing w:line="360" w:lineRule="auto"/>
              <w:rPr>
                <w:rFonts w:ascii="黑体" w:hAnsi="黑体" w:eastAsia="黑体"/>
                <w:szCs w:val="21"/>
              </w:rPr>
            </w:pPr>
            <w:r>
              <w:rPr>
                <w:rFonts w:hint="eastAsia" w:ascii="黑体" w:hAnsi="黑体" w:eastAsia="黑体"/>
                <w:szCs w:val="21"/>
              </w:rPr>
              <w:t xml:space="preserve">主营（产）：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000" w:type="pct"/>
            <w:gridSpan w:val="2"/>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szCs w:val="21"/>
              </w:rPr>
            </w:pPr>
          </w:p>
        </w:tc>
        <w:tc>
          <w:tcPr>
            <w:tcW w:w="3357" w:type="pct"/>
          </w:tcPr>
          <w:p>
            <w:pPr>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szCs w:val="21"/>
              </w:rPr>
            </w:pPr>
          </w:p>
        </w:tc>
        <w:tc>
          <w:tcPr>
            <w:tcW w:w="3357" w:type="pct"/>
          </w:tcPr>
          <w:p>
            <w:pPr>
              <w:spacing w:line="360" w:lineRule="auto"/>
              <w:rPr>
                <w:rFonts w:ascii="黑体" w:hAnsi="黑体" w:eastAsia="黑体"/>
                <w:szCs w:val="21"/>
              </w:rPr>
            </w:pPr>
            <w:r>
              <w:rPr>
                <w:rFonts w:hint="eastAsia" w:ascii="黑体" w:hAnsi="黑体" w:eastAsia="黑体"/>
                <w:szCs w:val="21"/>
              </w:rPr>
              <w:t>法定代表人（签名或盖私章）：</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szCs w:val="21"/>
              </w:rPr>
            </w:pPr>
          </w:p>
        </w:tc>
        <w:tc>
          <w:tcPr>
            <w:tcW w:w="3357" w:type="pct"/>
          </w:tcPr>
          <w:p>
            <w:pPr>
              <w:spacing w:after="312" w:afterLines="100"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r>
    </w:tbl>
    <w:p>
      <w:pPr>
        <w:spacing w:before="156" w:beforeLines="50" w:after="156" w:afterLines="50" w:line="360" w:lineRule="auto"/>
        <w:rPr>
          <w:rFonts w:ascii="黑体" w:hAnsi="黑体" w:eastAsia="黑体"/>
          <w:szCs w:val="21"/>
        </w:rPr>
      </w:pPr>
      <w:r>
        <w:rPr>
          <w:rFonts w:hint="eastAsia" w:ascii="黑体" w:hAnsi="黑体" w:eastAsia="黑体"/>
          <w:szCs w:val="21"/>
        </w:rPr>
        <w:t>须附：法定代表人有效期内身份证复印件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383"/>
        <w:gridCol w:w="438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2500" w:type="pct"/>
            <w:vAlign w:val="center"/>
          </w:tcPr>
          <w:p>
            <w:pPr>
              <w:pStyle w:val="36"/>
              <w:spacing w:line="460" w:lineRule="exact"/>
              <w:ind w:firstLine="0" w:firstLineChars="0"/>
              <w:jc w:val="center"/>
              <w:rPr>
                <w:rFonts w:ascii="黑体" w:hAnsi="黑体" w:eastAsia="黑体"/>
                <w:sz w:val="22"/>
                <w:szCs w:val="22"/>
              </w:rPr>
            </w:pPr>
            <w:r>
              <w:rPr>
                <w:rFonts w:hint="eastAsia" w:ascii="黑体" w:hAnsi="黑体" w:eastAsia="黑体"/>
                <w:sz w:val="22"/>
                <w:szCs w:val="22"/>
              </w:rPr>
              <w:t>正面</w:t>
            </w:r>
          </w:p>
        </w:tc>
        <w:tc>
          <w:tcPr>
            <w:tcW w:w="2500" w:type="pct"/>
            <w:vAlign w:val="center"/>
          </w:tcPr>
          <w:p>
            <w:pPr>
              <w:pStyle w:val="36"/>
              <w:spacing w:line="460" w:lineRule="exact"/>
              <w:ind w:firstLine="0" w:firstLineChars="0"/>
              <w:jc w:val="center"/>
              <w:rPr>
                <w:rFonts w:ascii="黑体" w:hAnsi="黑体" w:eastAsia="黑体"/>
                <w:sz w:val="22"/>
                <w:szCs w:val="22"/>
              </w:rPr>
            </w:pPr>
            <w:r>
              <w:rPr>
                <w:rFonts w:hint="eastAsia" w:ascii="黑体" w:hAnsi="黑体" w:eastAsia="黑体"/>
                <w:sz w:val="22"/>
                <w:szCs w:val="22"/>
              </w:rPr>
              <w:t>背面</w:t>
            </w:r>
          </w:p>
        </w:tc>
      </w:tr>
    </w:tbl>
    <w:p>
      <w:pPr>
        <w:spacing w:before="156" w:beforeLines="50" w:after="93" w:afterLines="30" w:line="360" w:lineRule="auto"/>
        <w:rPr>
          <w:rFonts w:ascii="黑体" w:hAnsi="黑体" w:eastAsia="黑体"/>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95" w:name="_Toc391627759"/>
      <w:bookmarkStart w:id="96" w:name="_Toc405313963"/>
      <w:r>
        <w:rPr>
          <w:rFonts w:hint="eastAsia" w:ascii="黑体" w:hAnsi="黑体" w:eastAsia="黑体"/>
          <w:b/>
          <w:bCs/>
        </w:rPr>
        <w:t>法定代表人授权委托书</w:t>
      </w:r>
      <w:bookmarkEnd w:id="95"/>
      <w:bookmarkEnd w:id="96"/>
    </w:p>
    <w:p>
      <w:pPr>
        <w:spacing w:before="156" w:beforeLines="50" w:after="156" w:afterLines="50" w:line="360" w:lineRule="auto"/>
        <w:jc w:val="center"/>
        <w:rPr>
          <w:rFonts w:ascii="黑体" w:hAnsi="黑体" w:eastAsia="黑体"/>
          <w:b/>
          <w:spacing w:val="20"/>
          <w:sz w:val="30"/>
          <w:szCs w:val="30"/>
        </w:rPr>
      </w:pPr>
      <w:r>
        <w:rPr>
          <w:rFonts w:hint="eastAsia" w:ascii="黑体" w:hAnsi="黑体" w:eastAsia="黑体"/>
          <w:b/>
          <w:spacing w:val="20"/>
          <w:sz w:val="30"/>
          <w:szCs w:val="30"/>
        </w:rPr>
        <w:t>法定代表人授权委托书</w:t>
      </w:r>
    </w:p>
    <w:p>
      <w:pPr>
        <w:spacing w:before="468" w:beforeLines="150" w:after="312" w:afterLines="100" w:line="360" w:lineRule="auto"/>
        <w:rPr>
          <w:rFonts w:ascii="黑体" w:hAnsi="黑体" w:eastAsia="黑体"/>
          <w:b/>
        </w:rPr>
      </w:pPr>
      <w:r>
        <w:rPr>
          <w:rFonts w:hint="eastAsia" w:ascii="黑体" w:hAnsi="黑体" w:eastAsia="黑体"/>
          <w:b/>
        </w:rPr>
        <w:t>致：广东有德招标采购有限公司</w:t>
      </w:r>
    </w:p>
    <w:p>
      <w:pPr>
        <w:pStyle w:val="36"/>
        <w:spacing w:line="360" w:lineRule="auto"/>
        <w:ind w:firstLine="450" w:firstLineChars="0"/>
        <w:rPr>
          <w:rFonts w:ascii="黑体" w:hAnsi="黑体" w:eastAsia="黑体"/>
          <w:sz w:val="21"/>
          <w:szCs w:val="21"/>
        </w:rPr>
      </w:pPr>
      <w:r>
        <w:rPr>
          <w:rFonts w:hint="eastAsia" w:ascii="黑体" w:hAnsi="黑体" w:eastAsia="黑体"/>
          <w:sz w:val="21"/>
          <w:szCs w:val="21"/>
        </w:rPr>
        <w:t>本人</w:t>
      </w:r>
      <w:r>
        <w:rPr>
          <w:rFonts w:ascii="黑体" w:hAnsi="黑体" w:eastAsia="黑体"/>
          <w:sz w:val="21"/>
          <w:szCs w:val="21"/>
          <w:u w:val="single"/>
        </w:rPr>
        <w:t xml:space="preserve">   </w:t>
      </w:r>
      <w:r>
        <w:rPr>
          <w:rFonts w:hint="eastAsia" w:ascii="黑体" w:hAnsi="黑体" w:eastAsia="黑体"/>
          <w:sz w:val="21"/>
          <w:szCs w:val="21"/>
          <w:u w:val="single"/>
        </w:rPr>
        <w:t>（姓名）</w:t>
      </w:r>
      <w:r>
        <w:rPr>
          <w:rFonts w:ascii="黑体" w:hAnsi="黑体" w:eastAsia="黑体"/>
          <w:sz w:val="21"/>
          <w:szCs w:val="21"/>
          <w:u w:val="single"/>
        </w:rPr>
        <w:t xml:space="preserve">  </w:t>
      </w:r>
      <w:r>
        <w:rPr>
          <w:rFonts w:hint="eastAsia" w:ascii="黑体" w:hAnsi="黑体" w:eastAsia="黑体"/>
          <w:sz w:val="21"/>
          <w:szCs w:val="21"/>
        </w:rPr>
        <w:t>系</w:t>
      </w:r>
      <w:r>
        <w:rPr>
          <w:rFonts w:ascii="黑体" w:hAnsi="黑体" w:eastAsia="黑体"/>
          <w:sz w:val="21"/>
          <w:szCs w:val="21"/>
          <w:u w:val="single"/>
        </w:rPr>
        <w:t xml:space="preserve">     （投标人名称）    </w:t>
      </w:r>
      <w:r>
        <w:rPr>
          <w:rFonts w:hint="eastAsia" w:ascii="黑体" w:hAnsi="黑体" w:eastAsia="黑体"/>
          <w:sz w:val="21"/>
          <w:szCs w:val="21"/>
        </w:rPr>
        <w:t>的法定代表人，现委托</w:t>
      </w:r>
      <w:r>
        <w:rPr>
          <w:rFonts w:ascii="黑体" w:hAnsi="黑体" w:eastAsia="黑体"/>
          <w:sz w:val="21"/>
          <w:szCs w:val="21"/>
          <w:u w:val="single"/>
        </w:rPr>
        <w:t xml:space="preserve"> （姓名） </w:t>
      </w:r>
      <w:r>
        <w:rPr>
          <w:rFonts w:hint="eastAsia" w:ascii="黑体" w:hAnsi="黑体" w:eastAsia="黑体"/>
          <w:sz w:val="21"/>
          <w:szCs w:val="21"/>
        </w:rPr>
        <w:t>为我方合法代理人。代理人根据授权，以我方名义签署、澄清、说明、补正、递交、撤回、修改</w:t>
      </w:r>
      <w:r>
        <w:rPr>
          <w:rFonts w:ascii="黑体" w:hAnsi="黑体" w:eastAsia="黑体"/>
          <w:sz w:val="21"/>
          <w:szCs w:val="21"/>
          <w:u w:val="single"/>
        </w:rPr>
        <w:t xml:space="preserve">          （项目名称）      </w:t>
      </w:r>
      <w:r>
        <w:rPr>
          <w:rFonts w:hint="eastAsia" w:ascii="黑体" w:hAnsi="黑体" w:eastAsia="黑体"/>
          <w:sz w:val="21"/>
          <w:szCs w:val="21"/>
        </w:rPr>
        <w:t>（项目编号：</w:t>
      </w:r>
      <w:r>
        <w:rPr>
          <w:rFonts w:hint="eastAsia" w:ascii="黑体" w:hAnsi="黑体" w:eastAsia="黑体"/>
          <w:sz w:val="21"/>
          <w:szCs w:val="21"/>
          <w:u w:val="single"/>
        </w:rPr>
        <w:t>　　</w:t>
      </w:r>
      <w:r>
        <w:rPr>
          <w:rFonts w:ascii="黑体" w:hAnsi="黑体" w:eastAsia="黑体"/>
          <w:sz w:val="21"/>
          <w:szCs w:val="21"/>
          <w:u w:val="single"/>
        </w:rPr>
        <w:t xml:space="preserve">     </w:t>
      </w:r>
      <w:r>
        <w:rPr>
          <w:rFonts w:hint="eastAsia" w:ascii="黑体" w:hAnsi="黑体" w:eastAsia="黑体"/>
          <w:sz w:val="21"/>
          <w:szCs w:val="21"/>
          <w:u w:val="single"/>
        </w:rPr>
        <w:t>　</w:t>
      </w:r>
      <w:r>
        <w:rPr>
          <w:rFonts w:hint="eastAsia" w:ascii="黑体" w:hAnsi="黑体" w:eastAsia="黑体"/>
          <w:sz w:val="21"/>
          <w:szCs w:val="21"/>
        </w:rPr>
        <w:t>）投标文件、签订合同和处理有关事宜，其法律后果由我方承担。</w:t>
      </w:r>
    </w:p>
    <w:p>
      <w:pPr>
        <w:pStyle w:val="36"/>
        <w:spacing w:line="360" w:lineRule="auto"/>
        <w:ind w:firstLine="428" w:firstLineChars="204"/>
        <w:rPr>
          <w:rFonts w:ascii="黑体" w:hAnsi="黑体" w:eastAsia="黑体"/>
          <w:sz w:val="21"/>
          <w:szCs w:val="21"/>
        </w:rPr>
      </w:pPr>
      <w:r>
        <w:rPr>
          <w:rFonts w:hint="eastAsia" w:ascii="黑体" w:hAnsi="黑体" w:eastAsia="黑体"/>
          <w:sz w:val="21"/>
          <w:szCs w:val="21"/>
        </w:rPr>
        <w:t>本委托书于</w:t>
      </w:r>
      <w:r>
        <w:rPr>
          <w:rFonts w:hint="eastAsia" w:ascii="黑体" w:hAnsi="黑体" w:eastAsia="黑体"/>
          <w:sz w:val="21"/>
          <w:szCs w:val="21"/>
          <w:u w:val="single"/>
        </w:rPr>
        <w:t>　</w:t>
      </w:r>
      <w:r>
        <w:rPr>
          <w:rFonts w:ascii="黑体" w:hAnsi="黑体" w:eastAsia="黑体"/>
          <w:sz w:val="21"/>
          <w:szCs w:val="21"/>
          <w:u w:val="single"/>
        </w:rPr>
        <w:t xml:space="preserve">    </w:t>
      </w:r>
      <w:r>
        <w:rPr>
          <w:rFonts w:hint="eastAsia" w:ascii="黑体" w:hAnsi="黑体" w:eastAsia="黑体"/>
          <w:sz w:val="21"/>
          <w:szCs w:val="21"/>
        </w:rPr>
        <w:t>年</w:t>
      </w:r>
      <w:r>
        <w:rPr>
          <w:rFonts w:hint="eastAsia" w:ascii="黑体" w:hAnsi="黑体" w:eastAsia="黑体"/>
          <w:sz w:val="21"/>
          <w:szCs w:val="21"/>
          <w:u w:val="single"/>
        </w:rPr>
        <w:t>　</w:t>
      </w:r>
      <w:r>
        <w:rPr>
          <w:rFonts w:ascii="黑体" w:hAnsi="黑体" w:eastAsia="黑体"/>
          <w:sz w:val="21"/>
          <w:szCs w:val="21"/>
          <w:u w:val="single"/>
        </w:rPr>
        <w:t xml:space="preserve"> </w:t>
      </w:r>
      <w:r>
        <w:rPr>
          <w:rFonts w:hint="eastAsia" w:ascii="黑体" w:hAnsi="黑体" w:eastAsia="黑体"/>
          <w:sz w:val="21"/>
          <w:szCs w:val="21"/>
        </w:rPr>
        <w:t>月</w:t>
      </w:r>
      <w:r>
        <w:rPr>
          <w:rFonts w:hint="eastAsia" w:ascii="黑体" w:hAnsi="黑体" w:eastAsia="黑体"/>
          <w:sz w:val="21"/>
          <w:szCs w:val="21"/>
          <w:u w:val="single"/>
        </w:rPr>
        <w:t>　</w:t>
      </w:r>
      <w:r>
        <w:rPr>
          <w:rFonts w:ascii="黑体" w:hAnsi="黑体" w:eastAsia="黑体"/>
          <w:sz w:val="21"/>
          <w:szCs w:val="21"/>
          <w:u w:val="single"/>
        </w:rPr>
        <w:t xml:space="preserve"> </w:t>
      </w:r>
      <w:r>
        <w:rPr>
          <w:rFonts w:hint="eastAsia" w:ascii="黑体" w:hAnsi="黑体" w:eastAsia="黑体"/>
          <w:sz w:val="21"/>
          <w:szCs w:val="21"/>
        </w:rPr>
        <w:t>日签字生效，特此证明。</w:t>
      </w:r>
    </w:p>
    <w:p>
      <w:pPr>
        <w:pStyle w:val="36"/>
        <w:spacing w:line="360" w:lineRule="auto"/>
        <w:ind w:firstLine="428" w:firstLineChars="204"/>
        <w:rPr>
          <w:rFonts w:ascii="黑体" w:hAnsi="黑体" w:eastAsia="黑体"/>
          <w:sz w:val="21"/>
          <w:szCs w:val="21"/>
        </w:rPr>
      </w:pPr>
    </w:p>
    <w:p>
      <w:pPr>
        <w:pStyle w:val="36"/>
        <w:spacing w:line="360" w:lineRule="auto"/>
        <w:ind w:firstLine="0" w:firstLineChars="0"/>
        <w:rPr>
          <w:rFonts w:ascii="黑体" w:hAnsi="黑体" w:eastAsia="黑体"/>
          <w:sz w:val="21"/>
          <w:szCs w:val="21"/>
        </w:rPr>
      </w:pPr>
    </w:p>
    <w:p>
      <w:pPr>
        <w:pStyle w:val="36"/>
        <w:spacing w:line="360" w:lineRule="auto"/>
        <w:ind w:firstLine="0" w:firstLineChars="0"/>
        <w:rPr>
          <w:rFonts w:ascii="黑体" w:hAnsi="黑体" w:eastAsia="黑体"/>
          <w:sz w:val="21"/>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5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6"/>
              <w:spacing w:line="360" w:lineRule="auto"/>
              <w:ind w:firstLine="0" w:firstLineChars="0"/>
              <w:rPr>
                <w:rFonts w:ascii="黑体" w:hAnsi="黑体" w:eastAsia="黑体"/>
                <w:sz w:val="21"/>
                <w:szCs w:val="21"/>
              </w:rPr>
            </w:pPr>
          </w:p>
        </w:tc>
        <w:tc>
          <w:tcPr>
            <w:tcW w:w="5726" w:type="dxa"/>
          </w:tcPr>
          <w:p>
            <w:pPr>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6"/>
              <w:spacing w:line="360" w:lineRule="auto"/>
              <w:ind w:firstLine="0" w:firstLineChars="0"/>
              <w:rPr>
                <w:rFonts w:ascii="黑体" w:hAnsi="黑体" w:eastAsia="黑体"/>
                <w:sz w:val="21"/>
                <w:szCs w:val="21"/>
              </w:rPr>
            </w:pPr>
          </w:p>
        </w:tc>
        <w:tc>
          <w:tcPr>
            <w:tcW w:w="5726" w:type="dxa"/>
          </w:tcPr>
          <w:p>
            <w:pPr>
              <w:spacing w:line="360" w:lineRule="auto"/>
              <w:rPr>
                <w:rFonts w:ascii="黑体" w:hAnsi="黑体" w:eastAsia="黑体"/>
                <w:szCs w:val="21"/>
              </w:rPr>
            </w:pPr>
            <w:r>
              <w:rPr>
                <w:rFonts w:hint="eastAsia" w:ascii="黑体" w:hAnsi="黑体" w:eastAsia="黑体"/>
                <w:szCs w:val="21"/>
              </w:rPr>
              <w:t>法定代表人（签名或盖私章）：</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6"/>
              <w:spacing w:line="360" w:lineRule="auto"/>
              <w:ind w:firstLine="0" w:firstLineChars="0"/>
              <w:rPr>
                <w:rFonts w:ascii="黑体" w:hAnsi="黑体" w:eastAsia="黑体"/>
                <w:sz w:val="21"/>
                <w:szCs w:val="21"/>
              </w:rPr>
            </w:pPr>
          </w:p>
        </w:tc>
        <w:tc>
          <w:tcPr>
            <w:tcW w:w="5726" w:type="dxa"/>
          </w:tcPr>
          <w:p>
            <w:pPr>
              <w:spacing w:line="360" w:lineRule="auto"/>
              <w:rPr>
                <w:rFonts w:ascii="黑体" w:hAnsi="黑体" w:eastAsia="黑体"/>
                <w:szCs w:val="21"/>
              </w:rPr>
            </w:pPr>
            <w:r>
              <w:rPr>
                <w:rFonts w:hint="eastAsia" w:ascii="黑体" w:hAnsi="黑体" w:eastAsia="黑体"/>
                <w:szCs w:val="21"/>
              </w:rPr>
              <w:t>职务：</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6"/>
              <w:spacing w:line="360" w:lineRule="auto"/>
              <w:ind w:firstLine="0" w:firstLineChars="0"/>
              <w:rPr>
                <w:rFonts w:ascii="黑体" w:hAnsi="黑体" w:eastAsia="黑体"/>
                <w:sz w:val="21"/>
                <w:szCs w:val="21"/>
              </w:rPr>
            </w:pPr>
          </w:p>
        </w:tc>
        <w:tc>
          <w:tcPr>
            <w:tcW w:w="5726" w:type="dxa"/>
          </w:tcPr>
          <w:p>
            <w:pPr>
              <w:spacing w:line="360" w:lineRule="auto"/>
              <w:rPr>
                <w:rFonts w:ascii="黑体" w:hAnsi="黑体" w:eastAsia="黑体"/>
                <w:szCs w:val="21"/>
              </w:rPr>
            </w:pPr>
            <w:r>
              <w:rPr>
                <w:rFonts w:hint="eastAsia" w:ascii="黑体" w:hAnsi="黑体" w:eastAsia="黑体"/>
                <w:szCs w:val="21"/>
              </w:rPr>
              <w:t>被授权人（签名或盖私章）：</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6"/>
              <w:spacing w:line="360" w:lineRule="auto"/>
              <w:ind w:firstLine="0" w:firstLineChars="0"/>
              <w:rPr>
                <w:rFonts w:ascii="黑体" w:hAnsi="黑体" w:eastAsia="黑体"/>
                <w:sz w:val="21"/>
                <w:szCs w:val="21"/>
              </w:rPr>
            </w:pPr>
          </w:p>
        </w:tc>
        <w:tc>
          <w:tcPr>
            <w:tcW w:w="5726" w:type="dxa"/>
          </w:tcPr>
          <w:p>
            <w:pPr>
              <w:spacing w:line="360" w:lineRule="auto"/>
              <w:rPr>
                <w:rFonts w:ascii="黑体" w:hAnsi="黑体" w:eastAsia="黑体"/>
                <w:szCs w:val="21"/>
              </w:rPr>
            </w:pPr>
            <w:r>
              <w:rPr>
                <w:rFonts w:hint="eastAsia" w:ascii="黑体" w:hAnsi="黑体" w:eastAsia="黑体"/>
                <w:szCs w:val="21"/>
              </w:rPr>
              <w:t>职务：</w:t>
            </w:r>
            <w:r>
              <w:rPr>
                <w:rFonts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6"/>
              <w:spacing w:line="360" w:lineRule="auto"/>
              <w:ind w:firstLine="0" w:firstLineChars="0"/>
              <w:rPr>
                <w:rFonts w:ascii="黑体" w:hAnsi="黑体" w:eastAsia="黑体"/>
                <w:sz w:val="21"/>
                <w:szCs w:val="21"/>
              </w:rPr>
            </w:pPr>
          </w:p>
        </w:tc>
        <w:tc>
          <w:tcPr>
            <w:tcW w:w="5726"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r>
    </w:tbl>
    <w:p>
      <w:pPr>
        <w:pStyle w:val="36"/>
        <w:spacing w:line="360" w:lineRule="auto"/>
        <w:ind w:firstLine="0" w:firstLineChars="0"/>
        <w:rPr>
          <w:rFonts w:ascii="黑体" w:hAnsi="黑体" w:eastAsia="黑体"/>
          <w:sz w:val="21"/>
          <w:szCs w:val="21"/>
        </w:rPr>
      </w:pPr>
    </w:p>
    <w:p>
      <w:pPr>
        <w:pStyle w:val="36"/>
        <w:spacing w:line="360" w:lineRule="auto"/>
        <w:ind w:firstLine="0" w:firstLineChars="0"/>
        <w:rPr>
          <w:rFonts w:ascii="黑体" w:hAnsi="黑体" w:eastAsia="黑体"/>
          <w:sz w:val="21"/>
          <w:szCs w:val="21"/>
        </w:rPr>
      </w:pPr>
    </w:p>
    <w:p>
      <w:pPr>
        <w:spacing w:after="156" w:afterLines="50" w:line="360" w:lineRule="auto"/>
        <w:rPr>
          <w:rFonts w:ascii="黑体" w:hAnsi="黑体" w:eastAsia="黑体"/>
          <w:szCs w:val="21"/>
        </w:rPr>
      </w:pPr>
      <w:r>
        <w:rPr>
          <w:rFonts w:hint="eastAsia" w:ascii="黑体" w:hAnsi="黑体" w:eastAsia="黑体"/>
          <w:szCs w:val="21"/>
        </w:rPr>
        <w:t>须附：被授权人有效期内身份证复印件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383"/>
        <w:gridCol w:w="438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vAlign w:val="center"/>
          </w:tcPr>
          <w:p>
            <w:pPr>
              <w:pStyle w:val="36"/>
              <w:spacing w:line="460" w:lineRule="exact"/>
              <w:ind w:firstLine="0" w:firstLineChars="0"/>
              <w:jc w:val="center"/>
              <w:rPr>
                <w:rFonts w:ascii="黑体" w:hAnsi="黑体" w:eastAsia="黑体"/>
                <w:sz w:val="22"/>
                <w:szCs w:val="22"/>
              </w:rPr>
            </w:pPr>
            <w:r>
              <w:rPr>
                <w:rFonts w:hint="eastAsia" w:ascii="黑体" w:hAnsi="黑体" w:eastAsia="黑体"/>
                <w:sz w:val="22"/>
                <w:szCs w:val="22"/>
              </w:rPr>
              <w:t>正面</w:t>
            </w:r>
          </w:p>
        </w:tc>
        <w:tc>
          <w:tcPr>
            <w:tcW w:w="2500" w:type="pct"/>
            <w:vAlign w:val="center"/>
          </w:tcPr>
          <w:p>
            <w:pPr>
              <w:pStyle w:val="36"/>
              <w:spacing w:line="460" w:lineRule="exact"/>
              <w:ind w:firstLine="0" w:firstLineChars="0"/>
              <w:jc w:val="center"/>
              <w:rPr>
                <w:rFonts w:ascii="黑体" w:hAnsi="黑体" w:eastAsia="黑体"/>
                <w:sz w:val="22"/>
                <w:szCs w:val="22"/>
              </w:rPr>
            </w:pPr>
            <w:r>
              <w:rPr>
                <w:rFonts w:hint="eastAsia" w:ascii="黑体" w:hAnsi="黑体" w:eastAsia="黑体"/>
                <w:sz w:val="22"/>
                <w:szCs w:val="22"/>
              </w:rPr>
              <w:t>背面</w:t>
            </w:r>
          </w:p>
        </w:tc>
      </w:tr>
    </w:tbl>
    <w:p>
      <w:pPr>
        <w:pStyle w:val="30"/>
        <w:pageBreakBefore/>
        <w:numPr>
          <w:ilvl w:val="0"/>
          <w:numId w:val="83"/>
        </w:numPr>
        <w:tabs>
          <w:tab w:val="left" w:pos="284"/>
          <w:tab w:val="left" w:pos="426"/>
        </w:tabs>
        <w:ind w:left="1679" w:hanging="1679" w:firstLineChars="0"/>
        <w:jc w:val="left"/>
        <w:rPr>
          <w:rFonts w:ascii="黑体" w:hAnsi="黑体" w:eastAsia="黑体"/>
          <w:b/>
          <w:bCs/>
        </w:rPr>
      </w:pPr>
      <w:bookmarkStart w:id="97" w:name="_Toc391627760"/>
      <w:bookmarkStart w:id="98" w:name="_Toc405313964"/>
      <w:r>
        <w:rPr>
          <w:rFonts w:hint="eastAsia" w:ascii="黑体" w:hAnsi="黑体" w:eastAsia="黑体"/>
          <w:b/>
          <w:bCs/>
        </w:rPr>
        <w:t>投标人基本情况说明</w:t>
      </w:r>
      <w:bookmarkEnd w:id="97"/>
      <w:bookmarkEnd w:id="98"/>
    </w:p>
    <w:p>
      <w:pPr>
        <w:spacing w:before="156" w:beforeLines="50" w:after="156" w:afterLines="50" w:line="360" w:lineRule="auto"/>
        <w:jc w:val="center"/>
        <w:rPr>
          <w:rFonts w:ascii="黑体" w:hAnsi="黑体" w:eastAsia="黑体"/>
          <w:b/>
          <w:spacing w:val="20"/>
          <w:sz w:val="30"/>
          <w:szCs w:val="30"/>
        </w:rPr>
      </w:pPr>
      <w:r>
        <w:rPr>
          <w:rFonts w:hint="eastAsia" w:ascii="黑体" w:hAnsi="黑体" w:eastAsia="黑体"/>
          <w:b/>
          <w:spacing w:val="20"/>
          <w:sz w:val="30"/>
          <w:szCs w:val="30"/>
        </w:rPr>
        <w:t>投标人基本情况说明</w:t>
      </w:r>
    </w:p>
    <w:p>
      <w:pPr>
        <w:pStyle w:val="30"/>
        <w:numPr>
          <w:ilvl w:val="0"/>
          <w:numId w:val="91"/>
        </w:numPr>
        <w:spacing w:after="156" w:afterLines="50" w:line="360" w:lineRule="auto"/>
        <w:ind w:firstLineChars="0"/>
        <w:rPr>
          <w:rFonts w:ascii="黑体" w:hAnsi="黑体" w:eastAsia="黑体"/>
          <w:szCs w:val="21"/>
        </w:rPr>
      </w:pPr>
      <w:r>
        <w:rPr>
          <w:rFonts w:ascii="黑体" w:hAnsi="黑体" w:eastAsia="黑体"/>
          <w:szCs w:val="21"/>
        </w:rPr>
        <w:t>公司基本情况</w:t>
      </w: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3"/>
        <w:gridCol w:w="2439"/>
        <w:gridCol w:w="1068"/>
        <w:gridCol w:w="1410"/>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szCs w:val="21"/>
              </w:rPr>
            </w:pPr>
            <w:r>
              <w:rPr>
                <w:rFonts w:ascii="黑体" w:hAnsi="黑体" w:eastAsia="黑体"/>
                <w:szCs w:val="21"/>
              </w:rPr>
              <w:t>公司名称：</w:t>
            </w:r>
            <w:r>
              <w:rPr>
                <w:rFonts w:ascii="黑体" w:hAnsi="黑体" w:eastAsia="黑体"/>
                <w:szCs w:val="21"/>
                <w:u w:val="single"/>
              </w:rPr>
              <w:t xml:space="preserve">           </w:t>
            </w:r>
            <w:r>
              <w:rPr>
                <w:rFonts w:hint="eastAsia" w:ascii="黑体" w:hAnsi="黑体" w:eastAsia="黑体"/>
                <w:szCs w:val="21"/>
                <w:u w:val="single"/>
              </w:rPr>
              <w:t xml:space="preserve">                    </w:t>
            </w:r>
            <w:r>
              <w:rPr>
                <w:rFonts w:ascii="黑体" w:hAnsi="黑体" w:eastAsia="黑体"/>
                <w:szCs w:val="21"/>
                <w:u w:val="single"/>
              </w:rPr>
              <w:t xml:space="preserve">    </w:t>
            </w:r>
            <w:r>
              <w:rPr>
                <w:rFonts w:ascii="黑体" w:hAnsi="黑体" w:eastAsia="黑体"/>
                <w:szCs w:val="21"/>
              </w:rPr>
              <w:t xml:space="preserve"> </w:t>
            </w:r>
          </w:p>
        </w:tc>
        <w:tc>
          <w:tcPr>
            <w:tcW w:w="2000" w:type="pct"/>
            <w:gridSpan w:val="2"/>
          </w:tcPr>
          <w:p>
            <w:pPr>
              <w:spacing w:line="360" w:lineRule="auto"/>
              <w:rPr>
                <w:rFonts w:ascii="黑体" w:hAnsi="黑体" w:eastAsia="黑体"/>
                <w:szCs w:val="21"/>
              </w:rPr>
            </w:pPr>
            <w:r>
              <w:rPr>
                <w:rFonts w:hint="eastAsia" w:ascii="黑体" w:hAnsi="黑体" w:eastAsia="黑体"/>
                <w:szCs w:val="21"/>
              </w:rPr>
              <w:t>公司固话：</w:t>
            </w:r>
            <w:r>
              <w:rPr>
                <w:rFonts w:hint="eastAsia"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szCs w:val="21"/>
              </w:rPr>
            </w:pPr>
            <w:r>
              <w:rPr>
                <w:rFonts w:hint="eastAsia" w:ascii="黑体" w:hAnsi="黑体" w:eastAsia="黑体"/>
                <w:szCs w:val="21"/>
              </w:rPr>
              <w:t>单位地址：</w:t>
            </w:r>
            <w:r>
              <w:rPr>
                <w:rFonts w:hint="eastAsia" w:ascii="黑体" w:hAnsi="黑体" w:eastAsia="黑体"/>
                <w:szCs w:val="21"/>
                <w:u w:val="single"/>
              </w:rPr>
              <w:t xml:space="preserve">                                    </w:t>
            </w:r>
          </w:p>
        </w:tc>
        <w:tc>
          <w:tcPr>
            <w:tcW w:w="2000" w:type="pct"/>
            <w:gridSpan w:val="2"/>
          </w:tcPr>
          <w:p>
            <w:pPr>
              <w:spacing w:line="360" w:lineRule="auto"/>
              <w:rPr>
                <w:rFonts w:ascii="黑体" w:hAnsi="黑体" w:eastAsia="黑体"/>
                <w:szCs w:val="21"/>
              </w:rPr>
            </w:pPr>
            <w:r>
              <w:rPr>
                <w:rFonts w:hint="eastAsia" w:ascii="黑体" w:hAnsi="黑体" w:eastAsia="黑体"/>
                <w:szCs w:val="21"/>
              </w:rPr>
              <w:t>公司传真：</w:t>
            </w:r>
            <w:r>
              <w:rPr>
                <w:rFonts w:hint="eastAsia"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szCs w:val="21"/>
              </w:rPr>
            </w:pPr>
            <w:r>
              <w:rPr>
                <w:rFonts w:hint="eastAsia" w:ascii="黑体" w:hAnsi="黑体" w:eastAsia="黑体"/>
                <w:szCs w:val="21"/>
              </w:rPr>
              <w:t>注册资金：</w:t>
            </w:r>
            <w:r>
              <w:rPr>
                <w:rFonts w:hint="eastAsia" w:ascii="黑体" w:hAnsi="黑体" w:eastAsia="黑体"/>
                <w:szCs w:val="21"/>
                <w:u w:val="single"/>
              </w:rPr>
              <w:t xml:space="preserve">                                    </w:t>
            </w:r>
          </w:p>
        </w:tc>
        <w:tc>
          <w:tcPr>
            <w:tcW w:w="2000" w:type="pct"/>
            <w:gridSpan w:val="2"/>
          </w:tcPr>
          <w:p>
            <w:pPr>
              <w:spacing w:line="360" w:lineRule="auto"/>
              <w:rPr>
                <w:rFonts w:ascii="黑体" w:hAnsi="黑体" w:eastAsia="黑体"/>
                <w:szCs w:val="21"/>
              </w:rPr>
            </w:pPr>
            <w:r>
              <w:rPr>
                <w:rFonts w:hint="eastAsia" w:ascii="黑体" w:hAnsi="黑体" w:eastAsia="黑体"/>
                <w:szCs w:val="21"/>
              </w:rPr>
              <w:t>单位性质：</w:t>
            </w:r>
            <w:r>
              <w:rPr>
                <w:rFonts w:hint="eastAsia"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szCs w:val="21"/>
              </w:rPr>
            </w:pPr>
            <w:r>
              <w:rPr>
                <w:rFonts w:hint="eastAsia" w:ascii="黑体" w:hAnsi="黑体" w:eastAsia="黑体"/>
                <w:szCs w:val="21"/>
              </w:rPr>
              <w:t>公司开户银行名称：</w:t>
            </w:r>
            <w:r>
              <w:rPr>
                <w:rFonts w:hint="eastAsia" w:ascii="黑体" w:hAnsi="黑体" w:eastAsia="黑体"/>
                <w:szCs w:val="21"/>
                <w:u w:val="single"/>
              </w:rPr>
              <w:t xml:space="preserve">                            </w:t>
            </w:r>
          </w:p>
        </w:tc>
        <w:tc>
          <w:tcPr>
            <w:tcW w:w="2000" w:type="pct"/>
            <w:gridSpan w:val="2"/>
          </w:tcPr>
          <w:p>
            <w:pPr>
              <w:spacing w:line="360" w:lineRule="auto"/>
              <w:rPr>
                <w:rFonts w:ascii="黑体" w:hAnsi="黑体" w:eastAsia="黑体"/>
                <w:szCs w:val="21"/>
              </w:rPr>
            </w:pPr>
            <w:r>
              <w:rPr>
                <w:rFonts w:hint="eastAsia" w:ascii="黑体" w:hAnsi="黑体" w:eastAsia="黑体"/>
                <w:szCs w:val="21"/>
              </w:rPr>
              <w:t>开户账号：</w:t>
            </w:r>
            <w:r>
              <w:rPr>
                <w:rFonts w:hint="eastAsia"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Pr>
          <w:p>
            <w:pPr>
              <w:spacing w:line="360" w:lineRule="auto"/>
              <w:rPr>
                <w:rFonts w:ascii="黑体" w:hAnsi="黑体" w:eastAsia="黑体"/>
                <w:szCs w:val="21"/>
              </w:rPr>
            </w:pPr>
            <w:r>
              <w:rPr>
                <w:rFonts w:ascii="黑体" w:hAnsi="黑体" w:eastAsia="黑体"/>
                <w:szCs w:val="21"/>
              </w:rPr>
              <w:t>营业注册执照</w:t>
            </w:r>
            <w:r>
              <w:rPr>
                <w:rFonts w:hint="eastAsia" w:ascii="黑体" w:hAnsi="黑体" w:eastAsia="黑体"/>
                <w:szCs w:val="21"/>
              </w:rPr>
              <w:t>或事业单位法人证书</w:t>
            </w:r>
            <w:r>
              <w:rPr>
                <w:rFonts w:ascii="黑体" w:hAnsi="黑体" w:eastAsia="黑体"/>
                <w:szCs w:val="21"/>
              </w:rPr>
              <w:t>号</w:t>
            </w:r>
            <w:r>
              <w:rPr>
                <w:rFonts w:hint="eastAsia" w:ascii="黑体" w:hAnsi="黑体" w:eastAsia="黑体"/>
                <w:szCs w:val="21"/>
              </w:rPr>
              <w:t>：</w:t>
            </w:r>
            <w:r>
              <w:rPr>
                <w:rFonts w:hint="eastAsia" w:ascii="黑体" w:hAnsi="黑体" w:eastAsia="黑体"/>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5000" w:type="pct"/>
            <w:gridSpan w:val="5"/>
          </w:tcPr>
          <w:p>
            <w:pPr>
              <w:spacing w:line="360" w:lineRule="auto"/>
              <w:rPr>
                <w:rFonts w:ascii="黑体" w:hAnsi="黑体" w:eastAsia="黑体"/>
                <w:szCs w:val="21"/>
              </w:rPr>
            </w:pPr>
            <w:r>
              <w:rPr>
                <w:rFonts w:hint="eastAsia" w:ascii="黑体" w:hAnsi="黑体" w:eastAsia="黑体"/>
                <w:szCs w:val="21"/>
              </w:rPr>
              <w:t>公司财务状况：（如有）                                  【价格单位：（人民币）元】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szCs w:val="21"/>
              </w:rPr>
            </w:pPr>
            <w:r>
              <w:rPr>
                <w:rFonts w:hint="eastAsia" w:ascii="黑体" w:hAnsi="黑体" w:eastAsia="黑体"/>
                <w:szCs w:val="21"/>
              </w:rPr>
              <w:t>年  度</w:t>
            </w:r>
          </w:p>
        </w:tc>
        <w:tc>
          <w:tcPr>
            <w:tcW w:w="1391"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szCs w:val="21"/>
              </w:rPr>
            </w:pPr>
            <w:r>
              <w:rPr>
                <w:rFonts w:hint="eastAsia" w:ascii="黑体" w:hAnsi="黑体" w:eastAsia="黑体"/>
                <w:szCs w:val="21"/>
              </w:rPr>
              <w:t>总资产（元）</w:t>
            </w:r>
          </w:p>
        </w:tc>
        <w:tc>
          <w:tcPr>
            <w:tcW w:w="1413" w:type="pct"/>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szCs w:val="21"/>
              </w:rPr>
            </w:pPr>
            <w:r>
              <w:rPr>
                <w:rFonts w:hint="eastAsia" w:ascii="黑体" w:hAnsi="黑体" w:eastAsia="黑体"/>
                <w:szCs w:val="21"/>
              </w:rPr>
              <w:t>年营业额（元）</w:t>
            </w:r>
          </w:p>
        </w:tc>
        <w:tc>
          <w:tcPr>
            <w:tcW w:w="119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szCs w:val="21"/>
              </w:rPr>
            </w:pPr>
            <w:r>
              <w:rPr>
                <w:rFonts w:hint="eastAsia" w:ascii="黑体" w:hAnsi="黑体" w:eastAsia="黑体"/>
                <w:szCs w:val="21"/>
              </w:rPr>
              <w:t>年净利润（元）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szCs w:val="21"/>
              </w:rPr>
            </w:pPr>
          </w:p>
        </w:tc>
        <w:tc>
          <w:tcPr>
            <w:tcW w:w="1391"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szCs w:val="21"/>
              </w:rPr>
            </w:pPr>
          </w:p>
        </w:tc>
        <w:tc>
          <w:tcPr>
            <w:tcW w:w="14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szCs w:val="21"/>
              </w:rPr>
            </w:pPr>
          </w:p>
        </w:tc>
        <w:tc>
          <w:tcPr>
            <w:tcW w:w="1197"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szCs w:val="21"/>
              </w:rPr>
            </w:pPr>
          </w:p>
        </w:tc>
        <w:tc>
          <w:tcPr>
            <w:tcW w:w="1391"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szCs w:val="21"/>
              </w:rPr>
            </w:pPr>
          </w:p>
        </w:tc>
        <w:tc>
          <w:tcPr>
            <w:tcW w:w="14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szCs w:val="21"/>
              </w:rPr>
            </w:pPr>
          </w:p>
        </w:tc>
        <w:tc>
          <w:tcPr>
            <w:tcW w:w="1197"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szCs w:val="21"/>
              </w:rPr>
            </w:pPr>
          </w:p>
        </w:tc>
      </w:tr>
    </w:tbl>
    <w:p>
      <w:pPr>
        <w:pStyle w:val="30"/>
        <w:numPr>
          <w:ilvl w:val="0"/>
          <w:numId w:val="91"/>
        </w:numPr>
        <w:spacing w:after="156" w:afterLines="50" w:line="360" w:lineRule="auto"/>
        <w:ind w:firstLineChars="0"/>
        <w:rPr>
          <w:rFonts w:ascii="黑体" w:hAnsi="黑体" w:eastAsia="黑体"/>
          <w:szCs w:val="21"/>
        </w:rPr>
      </w:pPr>
      <w:r>
        <w:rPr>
          <w:rFonts w:ascii="黑体" w:hAnsi="黑体" w:eastAsia="黑体"/>
          <w:szCs w:val="21"/>
        </w:rPr>
        <w:t>投标人获得国家有关部门颁发的资质证明</w:t>
      </w:r>
      <w:r>
        <w:rPr>
          <w:rFonts w:hint="eastAsia" w:ascii="黑体" w:hAnsi="黑体" w:eastAsia="黑体"/>
          <w:szCs w:val="21"/>
        </w:rPr>
        <w:t>或荣誉</w:t>
      </w:r>
      <w:r>
        <w:rPr>
          <w:rFonts w:ascii="黑体" w:hAnsi="黑体" w:eastAsia="黑体"/>
          <w:szCs w:val="21"/>
        </w:rPr>
        <w:t>：</w:t>
      </w:r>
      <w:r>
        <w:rPr>
          <w:rFonts w:hint="eastAsia" w:ascii="黑体" w:hAnsi="黑体" w:eastAsia="黑体"/>
          <w:szCs w:val="21"/>
        </w:rPr>
        <w:t>（如有）</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192"/>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spacing w:line="360" w:lineRule="auto"/>
              <w:jc w:val="center"/>
              <w:rPr>
                <w:rFonts w:ascii="黑体" w:hAnsi="黑体" w:eastAsia="黑体"/>
                <w:szCs w:val="21"/>
              </w:rPr>
            </w:pPr>
            <w:r>
              <w:rPr>
                <w:rFonts w:ascii="黑体" w:hAnsi="黑体" w:eastAsia="黑体"/>
                <w:szCs w:val="21"/>
              </w:rPr>
              <w:t>证书名称</w:t>
            </w:r>
          </w:p>
        </w:tc>
        <w:tc>
          <w:tcPr>
            <w:tcW w:w="1250" w:type="pct"/>
            <w:vAlign w:val="center"/>
          </w:tcPr>
          <w:p>
            <w:pPr>
              <w:spacing w:line="360" w:lineRule="auto"/>
              <w:jc w:val="center"/>
              <w:rPr>
                <w:rFonts w:ascii="黑体" w:hAnsi="黑体" w:eastAsia="黑体"/>
                <w:szCs w:val="21"/>
              </w:rPr>
            </w:pPr>
            <w:r>
              <w:rPr>
                <w:rFonts w:ascii="黑体" w:hAnsi="黑体" w:eastAsia="黑体"/>
                <w:szCs w:val="21"/>
              </w:rPr>
              <w:t>发证单位</w:t>
            </w:r>
          </w:p>
        </w:tc>
        <w:tc>
          <w:tcPr>
            <w:tcW w:w="1250" w:type="pct"/>
            <w:vAlign w:val="center"/>
          </w:tcPr>
          <w:p>
            <w:pPr>
              <w:spacing w:line="360" w:lineRule="auto"/>
              <w:jc w:val="center"/>
              <w:rPr>
                <w:rFonts w:ascii="黑体" w:hAnsi="黑体" w:eastAsia="黑体"/>
                <w:szCs w:val="21"/>
              </w:rPr>
            </w:pPr>
            <w:r>
              <w:rPr>
                <w:rFonts w:ascii="黑体" w:hAnsi="黑体" w:eastAsia="黑体"/>
                <w:szCs w:val="21"/>
              </w:rPr>
              <w:t>证书等级</w:t>
            </w:r>
          </w:p>
        </w:tc>
        <w:tc>
          <w:tcPr>
            <w:tcW w:w="1250" w:type="pct"/>
            <w:vAlign w:val="center"/>
          </w:tcPr>
          <w:p>
            <w:pPr>
              <w:spacing w:line="360" w:lineRule="auto"/>
              <w:jc w:val="center"/>
              <w:rPr>
                <w:rFonts w:ascii="黑体" w:hAnsi="黑体" w:eastAsia="黑体"/>
                <w:szCs w:val="21"/>
              </w:rPr>
            </w:pPr>
            <w:r>
              <w:rPr>
                <w:rFonts w:ascii="黑体" w:hAnsi="黑体" w:eastAsia="黑体"/>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360" w:lineRule="auto"/>
              <w:rPr>
                <w:rFonts w:ascii="黑体" w:hAnsi="黑体" w:eastAsia="黑体"/>
                <w:szCs w:val="21"/>
              </w:rPr>
            </w:pPr>
          </w:p>
        </w:tc>
        <w:tc>
          <w:tcPr>
            <w:tcW w:w="1250" w:type="pct"/>
          </w:tcPr>
          <w:p>
            <w:pPr>
              <w:spacing w:line="360" w:lineRule="auto"/>
              <w:rPr>
                <w:rFonts w:ascii="黑体" w:hAnsi="黑体" w:eastAsia="黑体"/>
                <w:szCs w:val="21"/>
              </w:rPr>
            </w:pPr>
          </w:p>
        </w:tc>
        <w:tc>
          <w:tcPr>
            <w:tcW w:w="1250" w:type="pct"/>
          </w:tcPr>
          <w:p>
            <w:pPr>
              <w:spacing w:line="360" w:lineRule="auto"/>
              <w:rPr>
                <w:rFonts w:ascii="黑体" w:hAnsi="黑体" w:eastAsia="黑体"/>
                <w:szCs w:val="21"/>
              </w:rPr>
            </w:pPr>
          </w:p>
        </w:tc>
        <w:tc>
          <w:tcPr>
            <w:tcW w:w="1250" w:type="pct"/>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360" w:lineRule="auto"/>
              <w:rPr>
                <w:rFonts w:ascii="黑体" w:hAnsi="黑体" w:eastAsia="黑体"/>
                <w:szCs w:val="21"/>
              </w:rPr>
            </w:pPr>
          </w:p>
        </w:tc>
        <w:tc>
          <w:tcPr>
            <w:tcW w:w="1250" w:type="pct"/>
          </w:tcPr>
          <w:p>
            <w:pPr>
              <w:spacing w:line="360" w:lineRule="auto"/>
              <w:rPr>
                <w:rFonts w:ascii="黑体" w:hAnsi="黑体" w:eastAsia="黑体"/>
                <w:szCs w:val="21"/>
              </w:rPr>
            </w:pPr>
          </w:p>
        </w:tc>
        <w:tc>
          <w:tcPr>
            <w:tcW w:w="1250" w:type="pct"/>
          </w:tcPr>
          <w:p>
            <w:pPr>
              <w:spacing w:line="360" w:lineRule="auto"/>
              <w:rPr>
                <w:rFonts w:ascii="黑体" w:hAnsi="黑体" w:eastAsia="黑体"/>
                <w:szCs w:val="21"/>
              </w:rPr>
            </w:pPr>
          </w:p>
        </w:tc>
        <w:tc>
          <w:tcPr>
            <w:tcW w:w="1250" w:type="pct"/>
          </w:tcPr>
          <w:p>
            <w:pPr>
              <w:spacing w:line="360" w:lineRule="auto"/>
              <w:rPr>
                <w:rFonts w:ascii="黑体" w:hAnsi="黑体" w:eastAsia="黑体"/>
                <w:szCs w:val="21"/>
              </w:rPr>
            </w:pPr>
          </w:p>
        </w:tc>
      </w:tr>
    </w:tbl>
    <w:p>
      <w:pPr>
        <w:spacing w:before="156" w:beforeLines="50" w:after="624" w:afterLines="200" w:line="360" w:lineRule="auto"/>
        <w:rPr>
          <w:rFonts w:ascii="黑体" w:hAnsi="黑体" w:eastAsia="黑体" w:cs="Times New Roman"/>
          <w:szCs w:val="21"/>
        </w:rPr>
      </w:pPr>
      <w:r>
        <w:rPr>
          <w:rFonts w:hint="eastAsia" w:ascii="黑体" w:hAnsi="黑体" w:eastAsia="黑体" w:cs="Times New Roman"/>
          <w:szCs w:val="21"/>
        </w:rPr>
        <w:t>兹证明上述声明是真实、正确的，并提供了全部能提供的资料和数据，我方同意遵照贵方要求出示有关证明文件。</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hint="eastAsia"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hint="eastAsia"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pageBreakBefore/>
        <w:rPr>
          <w:rFonts w:ascii="黑体" w:hAnsi="黑体" w:eastAsia="黑体"/>
          <w:b/>
          <w:bCs/>
        </w:rPr>
      </w:pPr>
      <w:bookmarkStart w:id="99" w:name="_Toc405313965"/>
      <w:bookmarkStart w:id="100" w:name="_Toc391627761"/>
      <w:r>
        <w:rPr>
          <w:rFonts w:hint="eastAsia" w:ascii="黑体" w:hAnsi="黑体" w:eastAsia="黑体"/>
          <w:b/>
          <w:bCs/>
        </w:rPr>
        <w:t>1</w:t>
      </w:r>
      <w:r>
        <w:rPr>
          <w:rFonts w:ascii="黑体" w:hAnsi="黑体" w:eastAsia="黑体"/>
          <w:b/>
          <w:bCs/>
        </w:rPr>
        <w:t>4.1</w:t>
      </w:r>
      <w:r>
        <w:rPr>
          <w:rFonts w:hint="eastAsia" w:ascii="黑体" w:hAnsi="黑体" w:eastAsia="黑体"/>
          <w:b/>
          <w:bCs/>
        </w:rPr>
        <w:t>投标人资格证明文件</w:t>
      </w:r>
    </w:p>
    <w:bookmarkEnd w:id="99"/>
    <w:bookmarkEnd w:id="100"/>
    <w:p>
      <w:pPr>
        <w:spacing w:line="360" w:lineRule="auto"/>
        <w:rPr>
          <w:rFonts w:ascii="黑体" w:hAnsi="黑体" w:eastAsia="黑体"/>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101" w:name="_Toc391627765"/>
      <w:bookmarkStart w:id="102" w:name="_Toc405313968"/>
      <w:r>
        <w:rPr>
          <w:rFonts w:ascii="黑体" w:hAnsi="黑体" w:eastAsia="黑体"/>
          <w:b/>
          <w:bCs/>
        </w:rPr>
        <w:t>业绩表</w:t>
      </w:r>
      <w:bookmarkEnd w:id="101"/>
      <w:bookmarkEnd w:id="102"/>
    </w:p>
    <w:p>
      <w:pPr>
        <w:spacing w:before="312" w:beforeLines="100" w:after="468" w:afterLines="150" w:line="360" w:lineRule="auto"/>
        <w:jc w:val="center"/>
        <w:rPr>
          <w:rFonts w:ascii="黑体" w:hAnsi="黑体" w:eastAsia="黑体"/>
          <w:b/>
          <w:spacing w:val="20"/>
          <w:sz w:val="30"/>
          <w:szCs w:val="30"/>
        </w:rPr>
      </w:pPr>
      <w:r>
        <w:rPr>
          <w:rFonts w:hint="eastAsia" w:ascii="黑体" w:hAnsi="黑体" w:eastAsia="黑体"/>
          <w:b/>
          <w:spacing w:val="20"/>
          <w:sz w:val="30"/>
          <w:szCs w:val="30"/>
        </w:rPr>
        <w:t>业绩表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362"/>
        <w:gridCol w:w="1606"/>
        <w:gridCol w:w="1601"/>
        <w:gridCol w:w="145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78" w:type="pct"/>
            <w:vAlign w:val="center"/>
          </w:tcPr>
          <w:p>
            <w:pPr>
              <w:spacing w:before="156" w:after="156" w:line="240" w:lineRule="exact"/>
              <w:jc w:val="center"/>
              <w:rPr>
                <w:rFonts w:ascii="黑体" w:hAnsi="黑体" w:eastAsia="黑体"/>
                <w:b/>
                <w:bCs/>
                <w:szCs w:val="21"/>
              </w:rPr>
            </w:pPr>
            <w:r>
              <w:rPr>
                <w:rFonts w:ascii="黑体" w:hAnsi="黑体" w:eastAsia="黑体"/>
                <w:b/>
                <w:bCs/>
                <w:szCs w:val="21"/>
              </w:rPr>
              <w:t>序号</w:t>
            </w:r>
          </w:p>
        </w:tc>
        <w:tc>
          <w:tcPr>
            <w:tcW w:w="1347" w:type="pct"/>
            <w:vAlign w:val="center"/>
          </w:tcPr>
          <w:p>
            <w:pPr>
              <w:spacing w:before="156" w:after="156" w:line="240" w:lineRule="exact"/>
              <w:jc w:val="center"/>
              <w:rPr>
                <w:rFonts w:ascii="黑体" w:hAnsi="黑体" w:eastAsia="黑体"/>
                <w:b/>
                <w:bCs/>
                <w:szCs w:val="21"/>
              </w:rPr>
            </w:pPr>
            <w:r>
              <w:rPr>
                <w:rFonts w:hint="eastAsia" w:ascii="黑体" w:hAnsi="黑体" w:eastAsia="黑体"/>
                <w:b/>
                <w:bCs/>
                <w:szCs w:val="21"/>
              </w:rPr>
              <w:t>项目名称</w:t>
            </w:r>
          </w:p>
        </w:tc>
        <w:tc>
          <w:tcPr>
            <w:tcW w:w="916" w:type="pct"/>
            <w:vAlign w:val="center"/>
          </w:tcPr>
          <w:p>
            <w:pPr>
              <w:spacing w:before="156" w:after="156" w:line="240" w:lineRule="exact"/>
              <w:jc w:val="center"/>
              <w:rPr>
                <w:rFonts w:ascii="黑体" w:hAnsi="黑体" w:eastAsia="黑体"/>
                <w:b/>
                <w:bCs/>
                <w:szCs w:val="21"/>
              </w:rPr>
            </w:pPr>
            <w:r>
              <w:rPr>
                <w:rFonts w:hint="eastAsia" w:ascii="黑体" w:hAnsi="黑体" w:eastAsia="黑体"/>
                <w:b/>
                <w:bCs/>
                <w:szCs w:val="21"/>
              </w:rPr>
              <w:t>合同金额</w:t>
            </w:r>
          </w:p>
        </w:tc>
        <w:tc>
          <w:tcPr>
            <w:tcW w:w="913" w:type="pct"/>
            <w:vAlign w:val="center"/>
          </w:tcPr>
          <w:p>
            <w:pPr>
              <w:spacing w:before="156" w:after="156" w:line="240" w:lineRule="exact"/>
              <w:jc w:val="center"/>
              <w:rPr>
                <w:rFonts w:ascii="黑体" w:hAnsi="黑体" w:eastAsia="黑体"/>
                <w:b/>
                <w:bCs/>
                <w:szCs w:val="21"/>
              </w:rPr>
            </w:pPr>
            <w:r>
              <w:rPr>
                <w:rFonts w:hint="eastAsia" w:ascii="黑体" w:hAnsi="黑体" w:eastAsia="黑体"/>
                <w:b/>
                <w:bCs/>
                <w:szCs w:val="21"/>
              </w:rPr>
              <w:t>签约时间</w:t>
            </w:r>
          </w:p>
        </w:tc>
        <w:tc>
          <w:tcPr>
            <w:tcW w:w="830" w:type="pct"/>
            <w:vAlign w:val="center"/>
          </w:tcPr>
          <w:p>
            <w:pPr>
              <w:spacing w:before="156" w:after="156" w:line="240" w:lineRule="exact"/>
              <w:jc w:val="center"/>
              <w:rPr>
                <w:rFonts w:ascii="黑体" w:hAnsi="黑体" w:eastAsia="黑体"/>
                <w:b/>
                <w:bCs/>
                <w:szCs w:val="21"/>
              </w:rPr>
            </w:pPr>
            <w:r>
              <w:rPr>
                <w:rFonts w:hint="eastAsia" w:ascii="黑体" w:hAnsi="黑体" w:eastAsia="黑体"/>
                <w:b/>
                <w:bCs/>
                <w:szCs w:val="21"/>
              </w:rPr>
              <w:t>完成情况</w:t>
            </w:r>
          </w:p>
        </w:tc>
        <w:tc>
          <w:tcPr>
            <w:tcW w:w="615" w:type="pct"/>
            <w:vAlign w:val="center"/>
          </w:tcPr>
          <w:p>
            <w:pPr>
              <w:spacing w:before="156" w:after="156" w:line="240" w:lineRule="exact"/>
              <w:jc w:val="center"/>
              <w:rPr>
                <w:rFonts w:ascii="黑体" w:hAnsi="黑体" w:eastAsia="黑体"/>
                <w:b/>
                <w:bCs/>
                <w:szCs w:val="21"/>
              </w:rPr>
            </w:pPr>
            <w:r>
              <w:rPr>
                <w:rFonts w:hint="eastAsia" w:ascii="黑体" w:hAnsi="黑体" w:eastAsia="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szCs w:val="21"/>
              </w:rPr>
            </w:pPr>
          </w:p>
        </w:tc>
        <w:tc>
          <w:tcPr>
            <w:tcW w:w="1347" w:type="pct"/>
            <w:vAlign w:val="center"/>
          </w:tcPr>
          <w:p>
            <w:pPr>
              <w:spacing w:before="156" w:after="156" w:line="240" w:lineRule="exact"/>
              <w:jc w:val="center"/>
              <w:rPr>
                <w:rFonts w:ascii="黑体" w:hAnsi="黑体" w:eastAsia="黑体"/>
                <w:szCs w:val="21"/>
              </w:rPr>
            </w:pPr>
          </w:p>
        </w:tc>
        <w:tc>
          <w:tcPr>
            <w:tcW w:w="916" w:type="pct"/>
            <w:vAlign w:val="center"/>
          </w:tcPr>
          <w:p>
            <w:pPr>
              <w:spacing w:before="156" w:after="156" w:line="240" w:lineRule="exact"/>
              <w:jc w:val="center"/>
              <w:rPr>
                <w:rFonts w:ascii="黑体" w:hAnsi="黑体" w:eastAsia="黑体"/>
                <w:szCs w:val="21"/>
              </w:rPr>
            </w:pPr>
          </w:p>
        </w:tc>
        <w:tc>
          <w:tcPr>
            <w:tcW w:w="913" w:type="pct"/>
            <w:vAlign w:val="center"/>
          </w:tcPr>
          <w:p>
            <w:pPr>
              <w:spacing w:before="156" w:after="156" w:line="240" w:lineRule="exact"/>
              <w:jc w:val="center"/>
              <w:rPr>
                <w:rFonts w:ascii="黑体" w:hAnsi="黑体" w:eastAsia="黑体"/>
                <w:szCs w:val="21"/>
              </w:rPr>
            </w:pPr>
          </w:p>
        </w:tc>
        <w:tc>
          <w:tcPr>
            <w:tcW w:w="830" w:type="pct"/>
            <w:vAlign w:val="center"/>
          </w:tcPr>
          <w:p>
            <w:pPr>
              <w:spacing w:before="156" w:after="156" w:line="240" w:lineRule="exact"/>
              <w:jc w:val="center"/>
              <w:rPr>
                <w:rFonts w:ascii="黑体" w:hAnsi="黑体" w:eastAsia="黑体"/>
                <w:szCs w:val="21"/>
              </w:rPr>
            </w:pPr>
          </w:p>
        </w:tc>
        <w:tc>
          <w:tcPr>
            <w:tcW w:w="615" w:type="pct"/>
            <w:vAlign w:val="center"/>
          </w:tcPr>
          <w:p>
            <w:pPr>
              <w:spacing w:before="156" w:after="156" w:line="240" w:lineRule="exact"/>
              <w:jc w:val="center"/>
              <w:rPr>
                <w:rFonts w:ascii="黑体" w:hAnsi="黑体" w:eastAsia="黑体"/>
                <w:szCs w:val="21"/>
              </w:rPr>
            </w:pPr>
          </w:p>
        </w:tc>
      </w:tr>
    </w:tbl>
    <w:p>
      <w:pPr>
        <w:spacing w:before="156" w:beforeLines="50" w:line="360" w:lineRule="auto"/>
        <w:rPr>
          <w:rFonts w:ascii="黑体" w:hAnsi="黑体" w:eastAsia="黑体"/>
          <w:szCs w:val="21"/>
        </w:rPr>
      </w:pPr>
      <w:r>
        <w:rPr>
          <w:rFonts w:hint="eastAsia" w:ascii="黑体" w:hAnsi="黑体" w:eastAsia="黑体"/>
          <w:szCs w:val="21"/>
        </w:rPr>
        <w:t>注明：需提供证明资料内容详见</w:t>
      </w:r>
      <w:r>
        <w:rPr>
          <w:rFonts w:hint="eastAsia" w:ascii="黑体" w:hAnsi="黑体" w:eastAsia="黑体"/>
          <w:szCs w:val="21"/>
          <w:u w:val="single"/>
        </w:rPr>
        <w:t>（招标文件第五部分</w:t>
      </w:r>
      <w:r>
        <w:rPr>
          <w:rFonts w:ascii="黑体" w:hAnsi="黑体" w:eastAsia="黑体"/>
          <w:szCs w:val="21"/>
          <w:u w:val="single"/>
        </w:rPr>
        <w:t xml:space="preserve"> </w:t>
      </w:r>
      <w:r>
        <w:rPr>
          <w:rFonts w:hint="eastAsia" w:ascii="黑体" w:hAnsi="黑体" w:eastAsia="黑体"/>
          <w:szCs w:val="21"/>
          <w:u w:val="single"/>
        </w:rPr>
        <w:t>评标方法、步骤、标准之</w:t>
      </w:r>
      <w:r>
        <w:rPr>
          <w:rFonts w:hint="eastAsia" w:ascii="黑体" w:hAnsi="黑体" w:eastAsia="黑体"/>
          <w:kern w:val="0"/>
          <w:szCs w:val="21"/>
          <w:u w:val="single"/>
        </w:rPr>
        <w:t>附表三</w:t>
      </w:r>
      <w:r>
        <w:rPr>
          <w:rFonts w:hint="eastAsia" w:ascii="黑体" w:hAnsi="黑体" w:eastAsia="黑体"/>
          <w:szCs w:val="21"/>
          <w:u w:val="single"/>
        </w:rPr>
        <w:t>详细评审表相对应条款）</w:t>
      </w:r>
      <w:r>
        <w:rPr>
          <w:rFonts w:ascii="黑体" w:hAnsi="黑体" w:eastAsia="黑体"/>
          <w:szCs w:val="21"/>
          <w:u w:val="single"/>
        </w:rPr>
        <w:t xml:space="preserve"> </w:t>
      </w:r>
      <w:r>
        <w:rPr>
          <w:rFonts w:hint="eastAsia" w:ascii="黑体" w:hAnsi="黑体" w:eastAsia="黑体"/>
          <w:szCs w:val="21"/>
        </w:rPr>
        <w:t>。</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r>
        <w:rPr>
          <w:rFonts w:hint="eastAsia" w:ascii="黑体" w:hAnsi="黑体" w:eastAsia="黑体"/>
          <w:b/>
          <w:bCs/>
        </w:rPr>
        <w:t>商务要求偏离表</w:t>
      </w:r>
    </w:p>
    <w:p>
      <w:pPr>
        <w:spacing w:before="468" w:beforeLines="150" w:after="468" w:afterLines="150" w:line="360" w:lineRule="auto"/>
        <w:jc w:val="center"/>
        <w:rPr>
          <w:rFonts w:ascii="黑体" w:hAnsi="黑体" w:eastAsia="黑体"/>
          <w:b/>
          <w:spacing w:val="20"/>
          <w:sz w:val="30"/>
          <w:szCs w:val="30"/>
        </w:rPr>
      </w:pPr>
      <w:r>
        <w:rPr>
          <w:rFonts w:hint="eastAsia" w:ascii="黑体" w:hAnsi="黑体" w:eastAsia="黑体"/>
          <w:b/>
          <w:spacing w:val="20"/>
          <w:sz w:val="30"/>
          <w:szCs w:val="30"/>
        </w:rPr>
        <w:t>商务要求偏离表</w:t>
      </w: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0" w:type="dxa"/>
            <w:vAlign w:val="center"/>
          </w:tcPr>
          <w:p>
            <w:pPr>
              <w:jc w:val="center"/>
              <w:rPr>
                <w:rFonts w:ascii="黑体" w:hAnsi="黑体" w:eastAsia="黑体"/>
                <w:b/>
                <w:szCs w:val="21"/>
              </w:rPr>
            </w:pPr>
            <w:r>
              <w:rPr>
                <w:rFonts w:hint="eastAsia" w:ascii="黑体" w:hAnsi="黑体" w:eastAsia="黑体"/>
                <w:b/>
                <w:szCs w:val="21"/>
              </w:rPr>
              <w:t>序号</w:t>
            </w:r>
          </w:p>
        </w:tc>
        <w:tc>
          <w:tcPr>
            <w:tcW w:w="2352" w:type="dxa"/>
            <w:vAlign w:val="center"/>
          </w:tcPr>
          <w:p>
            <w:pPr>
              <w:jc w:val="center"/>
              <w:rPr>
                <w:rFonts w:ascii="黑体" w:hAnsi="黑体" w:eastAsia="黑体"/>
                <w:b/>
                <w:szCs w:val="21"/>
              </w:rPr>
            </w:pPr>
            <w:r>
              <w:rPr>
                <w:rFonts w:hint="eastAsia" w:ascii="黑体" w:hAnsi="黑体" w:eastAsia="黑体"/>
                <w:b/>
                <w:szCs w:val="21"/>
              </w:rPr>
              <w:t>招标文件要求</w:t>
            </w:r>
          </w:p>
        </w:tc>
        <w:tc>
          <w:tcPr>
            <w:tcW w:w="2126" w:type="dxa"/>
            <w:vAlign w:val="center"/>
          </w:tcPr>
          <w:p>
            <w:pPr>
              <w:jc w:val="center"/>
              <w:rPr>
                <w:rFonts w:ascii="黑体" w:hAnsi="黑体" w:eastAsia="黑体"/>
                <w:b/>
                <w:szCs w:val="21"/>
              </w:rPr>
            </w:pPr>
            <w:r>
              <w:rPr>
                <w:rFonts w:hint="eastAsia" w:ascii="黑体" w:hAnsi="黑体" w:eastAsia="黑体"/>
                <w:b/>
                <w:bCs/>
                <w:szCs w:val="21"/>
              </w:rPr>
              <w:t>投标文件响应内容</w:t>
            </w:r>
          </w:p>
        </w:tc>
        <w:tc>
          <w:tcPr>
            <w:tcW w:w="1644" w:type="dxa"/>
            <w:vAlign w:val="center"/>
          </w:tcPr>
          <w:p>
            <w:pPr>
              <w:ind w:left="293" w:hanging="293" w:hangingChars="139"/>
              <w:jc w:val="center"/>
              <w:rPr>
                <w:rFonts w:ascii="黑体" w:hAnsi="黑体" w:eastAsia="黑体"/>
                <w:b/>
                <w:szCs w:val="21"/>
              </w:rPr>
            </w:pPr>
            <w:r>
              <w:rPr>
                <w:rFonts w:hint="eastAsia" w:ascii="黑体" w:hAnsi="黑体" w:eastAsia="黑体"/>
                <w:b/>
                <w:szCs w:val="21"/>
              </w:rPr>
              <w:t>偏离情况</w:t>
            </w:r>
          </w:p>
        </w:tc>
        <w:tc>
          <w:tcPr>
            <w:tcW w:w="1575" w:type="dxa"/>
            <w:vAlign w:val="center"/>
          </w:tcPr>
          <w:p>
            <w:pPr>
              <w:jc w:val="center"/>
              <w:rPr>
                <w:rFonts w:ascii="黑体" w:hAnsi="黑体" w:eastAsia="黑体"/>
                <w:b/>
                <w:szCs w:val="21"/>
              </w:rPr>
            </w:pPr>
            <w:r>
              <w:rPr>
                <w:rFonts w:hint="eastAsia" w:ascii="黑体" w:hAnsi="黑体" w:eastAsia="黑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bl>
    <w:p>
      <w:pPr>
        <w:spacing w:before="156" w:beforeLines="50" w:line="360" w:lineRule="auto"/>
        <w:rPr>
          <w:rFonts w:ascii="黑体" w:hAnsi="黑体" w:eastAsia="黑体"/>
          <w:szCs w:val="21"/>
        </w:rPr>
      </w:pPr>
      <w:r>
        <w:rPr>
          <w:rFonts w:hint="eastAsia" w:ascii="黑体" w:hAnsi="黑体" w:eastAsia="黑体"/>
          <w:szCs w:val="21"/>
        </w:rPr>
        <w:t>注明：</w:t>
      </w:r>
    </w:p>
    <w:p>
      <w:pPr>
        <w:pStyle w:val="30"/>
        <w:numPr>
          <w:ilvl w:val="0"/>
          <w:numId w:val="92"/>
        </w:numPr>
        <w:spacing w:line="360" w:lineRule="auto"/>
        <w:ind w:firstLineChars="0"/>
        <w:rPr>
          <w:rFonts w:ascii="黑体" w:hAnsi="黑体" w:eastAsia="黑体"/>
          <w:szCs w:val="21"/>
        </w:rPr>
      </w:pPr>
      <w:r>
        <w:rPr>
          <w:rFonts w:hint="eastAsia" w:ascii="黑体" w:hAnsi="黑体" w:eastAsia="黑体"/>
          <w:szCs w:val="21"/>
        </w:rPr>
        <w:t>偏离情况项填写“正”、“负”或“无”，说明项中填写原因。</w:t>
      </w:r>
    </w:p>
    <w:p>
      <w:pPr>
        <w:pStyle w:val="30"/>
        <w:numPr>
          <w:ilvl w:val="0"/>
          <w:numId w:val="92"/>
        </w:numPr>
        <w:spacing w:line="360" w:lineRule="auto"/>
        <w:ind w:firstLineChars="0"/>
        <w:rPr>
          <w:rFonts w:ascii="黑体" w:hAnsi="黑体" w:eastAsia="黑体"/>
          <w:szCs w:val="21"/>
        </w:rPr>
      </w:pPr>
      <w:r>
        <w:rPr>
          <w:rFonts w:hint="eastAsia" w:ascii="黑体" w:hAnsi="黑体" w:eastAsia="黑体"/>
          <w:szCs w:val="21"/>
        </w:rPr>
        <w:t>投标人应按照招标文件要求，根据“采购需求”内容作出全面响应。对响应有偏离的，则说明偏离的内容。</w:t>
      </w:r>
      <w:r>
        <w:rPr>
          <w:rFonts w:hint="eastAsia" w:ascii="黑体" w:hAnsi="黑体" w:eastAsia="黑体" w:cs="Times New Roman"/>
          <w:szCs w:val="21"/>
        </w:rPr>
        <w:t>“采购需求”内容中若有要求提供相关证明资料的，须按要求提供，否则视为负偏离</w:t>
      </w:r>
      <w:r>
        <w:rPr>
          <w:rFonts w:hint="eastAsia" w:ascii="黑体" w:hAnsi="黑体" w:eastAsia="黑体"/>
          <w:szCs w:val="21"/>
        </w:rPr>
        <w:t>。</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spacing w:line="360" w:lineRule="auto"/>
        <w:rPr>
          <w:rFonts w:ascii="黑体" w:hAnsi="黑体" w:eastAsia="黑体"/>
          <w:szCs w:val="21"/>
        </w:rPr>
      </w:pPr>
    </w:p>
    <w:p>
      <w:pPr>
        <w:spacing w:line="360" w:lineRule="auto"/>
        <w:rPr>
          <w:rFonts w:ascii="黑体" w:hAnsi="黑体" w:eastAsia="黑体"/>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103" w:name="_Toc90980524"/>
      <w:bookmarkStart w:id="104" w:name="_Toc82414662"/>
      <w:bookmarkStart w:id="105" w:name="_Hlk82386912"/>
      <w:r>
        <w:rPr>
          <w:rFonts w:hint="eastAsia" w:ascii="黑体" w:hAnsi="黑体" w:eastAsia="黑体"/>
          <w:b/>
          <w:bCs/>
        </w:rPr>
        <w:t>投标货物详细说明</w:t>
      </w:r>
      <w:bookmarkEnd w:id="103"/>
      <w:bookmarkEnd w:id="104"/>
    </w:p>
    <w:p>
      <w:pPr>
        <w:spacing w:before="156" w:beforeLines="50" w:after="312" w:afterLines="100" w:line="360" w:lineRule="auto"/>
        <w:jc w:val="center"/>
        <w:rPr>
          <w:rFonts w:ascii="黑体" w:hAnsi="黑体" w:eastAsia="黑体"/>
          <w:b/>
          <w:spacing w:val="20"/>
          <w:sz w:val="30"/>
          <w:szCs w:val="30"/>
        </w:rPr>
      </w:pPr>
      <w:r>
        <w:rPr>
          <w:rFonts w:hint="eastAsia" w:ascii="黑体" w:hAnsi="黑体" w:eastAsia="黑体"/>
          <w:b/>
          <w:spacing w:val="20"/>
          <w:sz w:val="30"/>
          <w:szCs w:val="30"/>
        </w:rPr>
        <w:t>投标货物详细说明</w:t>
      </w:r>
    </w:p>
    <w:tbl>
      <w:tblPr>
        <w:tblStyle w:val="20"/>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329"/>
        <w:gridCol w:w="800"/>
        <w:gridCol w:w="1077"/>
        <w:gridCol w:w="1604"/>
        <w:gridCol w:w="875"/>
        <w:gridCol w:w="143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6" w:type="pct"/>
            <w:vAlign w:val="center"/>
          </w:tcPr>
          <w:p>
            <w:pPr>
              <w:jc w:val="center"/>
              <w:rPr>
                <w:rFonts w:ascii="黑体" w:hAnsi="黑体" w:eastAsia="黑体"/>
                <w:b/>
                <w:bCs/>
              </w:rPr>
            </w:pPr>
            <w:r>
              <w:rPr>
                <w:rFonts w:hint="eastAsia" w:ascii="黑体" w:hAnsi="黑体" w:eastAsia="黑体"/>
                <w:b/>
                <w:bCs/>
              </w:rPr>
              <w:t>序号</w:t>
            </w:r>
          </w:p>
        </w:tc>
        <w:tc>
          <w:tcPr>
            <w:tcW w:w="758" w:type="pct"/>
            <w:vAlign w:val="center"/>
          </w:tcPr>
          <w:p>
            <w:pPr>
              <w:jc w:val="center"/>
              <w:rPr>
                <w:rFonts w:ascii="黑体" w:hAnsi="黑体" w:eastAsia="黑体"/>
                <w:b/>
                <w:bCs/>
              </w:rPr>
            </w:pPr>
            <w:r>
              <w:rPr>
                <w:rFonts w:hint="eastAsia" w:ascii="黑体" w:hAnsi="黑体" w:eastAsia="黑体"/>
                <w:b/>
                <w:bCs/>
              </w:rPr>
              <w:t>货物名称</w:t>
            </w:r>
          </w:p>
        </w:tc>
        <w:tc>
          <w:tcPr>
            <w:tcW w:w="456" w:type="pct"/>
            <w:vAlign w:val="center"/>
          </w:tcPr>
          <w:p>
            <w:pPr>
              <w:jc w:val="center"/>
              <w:rPr>
                <w:rFonts w:ascii="黑体" w:hAnsi="黑体" w:eastAsia="黑体"/>
                <w:b/>
                <w:bCs/>
              </w:rPr>
            </w:pPr>
            <w:r>
              <w:rPr>
                <w:rFonts w:hint="eastAsia" w:ascii="黑体" w:hAnsi="黑体" w:eastAsia="黑体"/>
                <w:b/>
                <w:bCs/>
              </w:rPr>
              <w:t>数量</w:t>
            </w:r>
          </w:p>
        </w:tc>
        <w:tc>
          <w:tcPr>
            <w:tcW w:w="614" w:type="pct"/>
            <w:vAlign w:val="center"/>
          </w:tcPr>
          <w:p>
            <w:pPr>
              <w:jc w:val="center"/>
              <w:rPr>
                <w:rFonts w:ascii="黑体" w:hAnsi="黑体" w:eastAsia="黑体"/>
                <w:b/>
                <w:bCs/>
              </w:rPr>
            </w:pPr>
            <w:r>
              <w:rPr>
                <w:rFonts w:hint="eastAsia" w:ascii="黑体" w:hAnsi="黑体" w:eastAsia="黑体"/>
                <w:b/>
                <w:bCs/>
              </w:rPr>
              <w:t>品牌</w:t>
            </w:r>
          </w:p>
        </w:tc>
        <w:tc>
          <w:tcPr>
            <w:tcW w:w="915" w:type="pct"/>
            <w:vAlign w:val="center"/>
          </w:tcPr>
          <w:p>
            <w:pPr>
              <w:jc w:val="center"/>
              <w:rPr>
                <w:rFonts w:ascii="黑体" w:hAnsi="黑体" w:eastAsia="黑体"/>
                <w:b/>
                <w:bCs/>
              </w:rPr>
            </w:pPr>
            <w:r>
              <w:rPr>
                <w:rFonts w:hint="eastAsia" w:ascii="黑体" w:hAnsi="黑体" w:eastAsia="黑体"/>
                <w:b/>
                <w:bCs/>
              </w:rPr>
              <w:t>规格型号</w:t>
            </w:r>
          </w:p>
        </w:tc>
        <w:tc>
          <w:tcPr>
            <w:tcW w:w="499" w:type="pct"/>
            <w:vAlign w:val="center"/>
          </w:tcPr>
          <w:p>
            <w:pPr>
              <w:jc w:val="center"/>
              <w:rPr>
                <w:rFonts w:ascii="黑体" w:hAnsi="黑体" w:eastAsia="黑体"/>
                <w:b/>
                <w:bCs/>
              </w:rPr>
            </w:pPr>
            <w:r>
              <w:rPr>
                <w:rFonts w:hint="eastAsia" w:ascii="黑体" w:hAnsi="黑体" w:eastAsia="黑体"/>
                <w:b/>
                <w:bCs/>
              </w:rPr>
              <w:t>产地</w:t>
            </w:r>
          </w:p>
        </w:tc>
        <w:tc>
          <w:tcPr>
            <w:tcW w:w="817" w:type="pct"/>
            <w:vAlign w:val="center"/>
          </w:tcPr>
          <w:p>
            <w:pPr>
              <w:jc w:val="center"/>
              <w:rPr>
                <w:rFonts w:ascii="黑体" w:hAnsi="黑体" w:eastAsia="黑体"/>
                <w:b/>
                <w:bCs/>
              </w:rPr>
            </w:pPr>
            <w:r>
              <w:rPr>
                <w:rFonts w:hint="eastAsia" w:ascii="黑体" w:hAnsi="黑体" w:eastAsia="黑体"/>
                <w:b/>
                <w:bCs/>
              </w:rPr>
              <w:t>性能及技术参数</w:t>
            </w:r>
          </w:p>
        </w:tc>
        <w:tc>
          <w:tcPr>
            <w:tcW w:w="545" w:type="pct"/>
            <w:vAlign w:val="center"/>
          </w:tcPr>
          <w:p>
            <w:pPr>
              <w:jc w:val="center"/>
              <w:rPr>
                <w:rFonts w:ascii="黑体" w:hAnsi="黑体" w:eastAsia="黑体"/>
                <w:b/>
                <w:bCs/>
              </w:rPr>
            </w:pPr>
            <w:r>
              <w:rPr>
                <w:rFonts w:hint="eastAsia" w:ascii="黑体" w:hAnsi="黑体" w:eastAsia="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96" w:type="pct"/>
            <w:vAlign w:val="center"/>
          </w:tcPr>
          <w:p>
            <w:pPr>
              <w:spacing w:line="480" w:lineRule="auto"/>
              <w:jc w:val="center"/>
              <w:rPr>
                <w:rFonts w:ascii="黑体" w:hAnsi="黑体" w:eastAsia="黑体"/>
                <w:szCs w:val="21"/>
              </w:rPr>
            </w:pPr>
          </w:p>
        </w:tc>
        <w:tc>
          <w:tcPr>
            <w:tcW w:w="758" w:type="pct"/>
            <w:vAlign w:val="center"/>
          </w:tcPr>
          <w:p>
            <w:pPr>
              <w:spacing w:line="480" w:lineRule="auto"/>
              <w:jc w:val="center"/>
              <w:rPr>
                <w:rFonts w:ascii="黑体" w:hAnsi="黑体" w:eastAsia="黑体"/>
                <w:szCs w:val="21"/>
              </w:rPr>
            </w:pPr>
          </w:p>
        </w:tc>
        <w:tc>
          <w:tcPr>
            <w:tcW w:w="456" w:type="pct"/>
            <w:vAlign w:val="center"/>
          </w:tcPr>
          <w:p>
            <w:pPr>
              <w:spacing w:line="480" w:lineRule="auto"/>
              <w:jc w:val="center"/>
              <w:rPr>
                <w:rFonts w:ascii="黑体" w:hAnsi="黑体" w:eastAsia="黑体"/>
                <w:szCs w:val="21"/>
              </w:rPr>
            </w:pPr>
          </w:p>
        </w:tc>
        <w:tc>
          <w:tcPr>
            <w:tcW w:w="614" w:type="pct"/>
            <w:vAlign w:val="center"/>
          </w:tcPr>
          <w:p>
            <w:pPr>
              <w:spacing w:line="480" w:lineRule="auto"/>
              <w:jc w:val="center"/>
              <w:rPr>
                <w:rFonts w:ascii="黑体" w:hAnsi="黑体" w:eastAsia="黑体"/>
                <w:szCs w:val="21"/>
              </w:rPr>
            </w:pPr>
          </w:p>
        </w:tc>
        <w:tc>
          <w:tcPr>
            <w:tcW w:w="915" w:type="pct"/>
            <w:vAlign w:val="center"/>
          </w:tcPr>
          <w:p>
            <w:pPr>
              <w:spacing w:line="480" w:lineRule="auto"/>
              <w:jc w:val="center"/>
              <w:rPr>
                <w:rFonts w:ascii="黑体" w:hAnsi="黑体" w:eastAsia="黑体"/>
                <w:szCs w:val="21"/>
              </w:rPr>
            </w:pPr>
          </w:p>
        </w:tc>
        <w:tc>
          <w:tcPr>
            <w:tcW w:w="499" w:type="pct"/>
            <w:vAlign w:val="center"/>
          </w:tcPr>
          <w:p>
            <w:pPr>
              <w:spacing w:line="480" w:lineRule="auto"/>
              <w:jc w:val="center"/>
              <w:rPr>
                <w:rFonts w:ascii="黑体" w:hAnsi="黑体" w:eastAsia="黑体"/>
                <w:szCs w:val="21"/>
              </w:rPr>
            </w:pPr>
          </w:p>
        </w:tc>
        <w:tc>
          <w:tcPr>
            <w:tcW w:w="817" w:type="pct"/>
          </w:tcPr>
          <w:p>
            <w:pPr>
              <w:spacing w:line="480" w:lineRule="auto"/>
              <w:jc w:val="center"/>
              <w:rPr>
                <w:rFonts w:ascii="黑体" w:hAnsi="黑体" w:eastAsia="黑体"/>
                <w:szCs w:val="21"/>
              </w:rPr>
            </w:pPr>
          </w:p>
        </w:tc>
        <w:tc>
          <w:tcPr>
            <w:tcW w:w="545"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96" w:type="pct"/>
            <w:vAlign w:val="center"/>
          </w:tcPr>
          <w:p>
            <w:pPr>
              <w:spacing w:line="480" w:lineRule="auto"/>
              <w:jc w:val="center"/>
              <w:rPr>
                <w:rFonts w:ascii="黑体" w:hAnsi="黑体" w:eastAsia="黑体"/>
                <w:szCs w:val="21"/>
              </w:rPr>
            </w:pPr>
          </w:p>
        </w:tc>
        <w:tc>
          <w:tcPr>
            <w:tcW w:w="758" w:type="pct"/>
            <w:vAlign w:val="center"/>
          </w:tcPr>
          <w:p>
            <w:pPr>
              <w:spacing w:line="480" w:lineRule="auto"/>
              <w:jc w:val="center"/>
              <w:rPr>
                <w:rFonts w:ascii="黑体" w:hAnsi="黑体" w:eastAsia="黑体"/>
                <w:szCs w:val="21"/>
              </w:rPr>
            </w:pPr>
          </w:p>
        </w:tc>
        <w:tc>
          <w:tcPr>
            <w:tcW w:w="456" w:type="pct"/>
            <w:vAlign w:val="center"/>
          </w:tcPr>
          <w:p>
            <w:pPr>
              <w:spacing w:line="480" w:lineRule="auto"/>
              <w:jc w:val="center"/>
              <w:rPr>
                <w:rFonts w:ascii="黑体" w:hAnsi="黑体" w:eastAsia="黑体"/>
                <w:szCs w:val="21"/>
              </w:rPr>
            </w:pPr>
          </w:p>
        </w:tc>
        <w:tc>
          <w:tcPr>
            <w:tcW w:w="614" w:type="pct"/>
            <w:vAlign w:val="center"/>
          </w:tcPr>
          <w:p>
            <w:pPr>
              <w:spacing w:line="480" w:lineRule="auto"/>
              <w:jc w:val="center"/>
              <w:rPr>
                <w:rFonts w:ascii="黑体" w:hAnsi="黑体" w:eastAsia="黑体"/>
                <w:szCs w:val="21"/>
              </w:rPr>
            </w:pPr>
          </w:p>
        </w:tc>
        <w:tc>
          <w:tcPr>
            <w:tcW w:w="915" w:type="pct"/>
            <w:vAlign w:val="center"/>
          </w:tcPr>
          <w:p>
            <w:pPr>
              <w:spacing w:line="480" w:lineRule="auto"/>
              <w:jc w:val="center"/>
              <w:rPr>
                <w:rFonts w:ascii="黑体" w:hAnsi="黑体" w:eastAsia="黑体"/>
                <w:szCs w:val="21"/>
              </w:rPr>
            </w:pPr>
          </w:p>
        </w:tc>
        <w:tc>
          <w:tcPr>
            <w:tcW w:w="499" w:type="pct"/>
            <w:vAlign w:val="center"/>
          </w:tcPr>
          <w:p>
            <w:pPr>
              <w:spacing w:line="480" w:lineRule="auto"/>
              <w:jc w:val="center"/>
              <w:rPr>
                <w:rFonts w:ascii="黑体" w:hAnsi="黑体" w:eastAsia="黑体"/>
                <w:szCs w:val="21"/>
              </w:rPr>
            </w:pPr>
          </w:p>
        </w:tc>
        <w:tc>
          <w:tcPr>
            <w:tcW w:w="817" w:type="pct"/>
          </w:tcPr>
          <w:p>
            <w:pPr>
              <w:spacing w:line="480" w:lineRule="auto"/>
              <w:jc w:val="center"/>
              <w:rPr>
                <w:rFonts w:ascii="黑体" w:hAnsi="黑体" w:eastAsia="黑体"/>
                <w:szCs w:val="21"/>
              </w:rPr>
            </w:pPr>
          </w:p>
        </w:tc>
        <w:tc>
          <w:tcPr>
            <w:tcW w:w="545"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96" w:type="pct"/>
            <w:vAlign w:val="center"/>
          </w:tcPr>
          <w:p>
            <w:pPr>
              <w:spacing w:line="480" w:lineRule="auto"/>
              <w:jc w:val="center"/>
              <w:rPr>
                <w:rFonts w:ascii="黑体" w:hAnsi="黑体" w:eastAsia="黑体"/>
                <w:szCs w:val="21"/>
              </w:rPr>
            </w:pPr>
          </w:p>
        </w:tc>
        <w:tc>
          <w:tcPr>
            <w:tcW w:w="758" w:type="pct"/>
            <w:vAlign w:val="center"/>
          </w:tcPr>
          <w:p>
            <w:pPr>
              <w:spacing w:line="480" w:lineRule="auto"/>
              <w:jc w:val="center"/>
              <w:rPr>
                <w:rFonts w:ascii="黑体" w:hAnsi="黑体" w:eastAsia="黑体"/>
                <w:szCs w:val="21"/>
              </w:rPr>
            </w:pPr>
          </w:p>
        </w:tc>
        <w:tc>
          <w:tcPr>
            <w:tcW w:w="456" w:type="pct"/>
            <w:vAlign w:val="center"/>
          </w:tcPr>
          <w:p>
            <w:pPr>
              <w:spacing w:line="480" w:lineRule="auto"/>
              <w:jc w:val="center"/>
              <w:rPr>
                <w:rFonts w:ascii="黑体" w:hAnsi="黑体" w:eastAsia="黑体"/>
                <w:szCs w:val="21"/>
              </w:rPr>
            </w:pPr>
          </w:p>
        </w:tc>
        <w:tc>
          <w:tcPr>
            <w:tcW w:w="614" w:type="pct"/>
            <w:vAlign w:val="center"/>
          </w:tcPr>
          <w:p>
            <w:pPr>
              <w:spacing w:line="480" w:lineRule="auto"/>
              <w:jc w:val="center"/>
              <w:rPr>
                <w:rFonts w:ascii="黑体" w:hAnsi="黑体" w:eastAsia="黑体"/>
                <w:szCs w:val="21"/>
              </w:rPr>
            </w:pPr>
          </w:p>
        </w:tc>
        <w:tc>
          <w:tcPr>
            <w:tcW w:w="915" w:type="pct"/>
            <w:vAlign w:val="center"/>
          </w:tcPr>
          <w:p>
            <w:pPr>
              <w:spacing w:line="480" w:lineRule="auto"/>
              <w:jc w:val="center"/>
              <w:rPr>
                <w:rFonts w:ascii="黑体" w:hAnsi="黑体" w:eastAsia="黑体"/>
                <w:szCs w:val="21"/>
              </w:rPr>
            </w:pPr>
          </w:p>
        </w:tc>
        <w:tc>
          <w:tcPr>
            <w:tcW w:w="499" w:type="pct"/>
            <w:vAlign w:val="center"/>
          </w:tcPr>
          <w:p>
            <w:pPr>
              <w:spacing w:line="480" w:lineRule="auto"/>
              <w:jc w:val="center"/>
              <w:rPr>
                <w:rFonts w:ascii="黑体" w:hAnsi="黑体" w:eastAsia="黑体"/>
                <w:szCs w:val="21"/>
              </w:rPr>
            </w:pPr>
          </w:p>
        </w:tc>
        <w:tc>
          <w:tcPr>
            <w:tcW w:w="817" w:type="pct"/>
          </w:tcPr>
          <w:p>
            <w:pPr>
              <w:spacing w:line="480" w:lineRule="auto"/>
              <w:jc w:val="center"/>
              <w:rPr>
                <w:rFonts w:ascii="黑体" w:hAnsi="黑体" w:eastAsia="黑体"/>
                <w:szCs w:val="21"/>
              </w:rPr>
            </w:pPr>
          </w:p>
        </w:tc>
        <w:tc>
          <w:tcPr>
            <w:tcW w:w="545"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96" w:type="pct"/>
            <w:vAlign w:val="center"/>
          </w:tcPr>
          <w:p>
            <w:pPr>
              <w:spacing w:line="480" w:lineRule="auto"/>
              <w:jc w:val="center"/>
              <w:rPr>
                <w:rFonts w:ascii="黑体" w:hAnsi="黑体" w:eastAsia="黑体"/>
                <w:szCs w:val="21"/>
              </w:rPr>
            </w:pPr>
          </w:p>
        </w:tc>
        <w:tc>
          <w:tcPr>
            <w:tcW w:w="758" w:type="pct"/>
            <w:vAlign w:val="center"/>
          </w:tcPr>
          <w:p>
            <w:pPr>
              <w:spacing w:line="480" w:lineRule="auto"/>
              <w:jc w:val="center"/>
              <w:rPr>
                <w:rFonts w:ascii="黑体" w:hAnsi="黑体" w:eastAsia="黑体"/>
                <w:szCs w:val="21"/>
              </w:rPr>
            </w:pPr>
          </w:p>
        </w:tc>
        <w:tc>
          <w:tcPr>
            <w:tcW w:w="456" w:type="pct"/>
            <w:vAlign w:val="center"/>
          </w:tcPr>
          <w:p>
            <w:pPr>
              <w:spacing w:line="480" w:lineRule="auto"/>
              <w:jc w:val="center"/>
              <w:rPr>
                <w:rFonts w:ascii="黑体" w:hAnsi="黑体" w:eastAsia="黑体"/>
                <w:szCs w:val="21"/>
              </w:rPr>
            </w:pPr>
          </w:p>
        </w:tc>
        <w:tc>
          <w:tcPr>
            <w:tcW w:w="614" w:type="pct"/>
            <w:vAlign w:val="center"/>
          </w:tcPr>
          <w:p>
            <w:pPr>
              <w:spacing w:line="480" w:lineRule="auto"/>
              <w:jc w:val="center"/>
              <w:rPr>
                <w:rFonts w:ascii="黑体" w:hAnsi="黑体" w:eastAsia="黑体"/>
                <w:szCs w:val="21"/>
              </w:rPr>
            </w:pPr>
          </w:p>
        </w:tc>
        <w:tc>
          <w:tcPr>
            <w:tcW w:w="915" w:type="pct"/>
            <w:vAlign w:val="center"/>
          </w:tcPr>
          <w:p>
            <w:pPr>
              <w:spacing w:line="480" w:lineRule="auto"/>
              <w:jc w:val="center"/>
              <w:rPr>
                <w:rFonts w:ascii="黑体" w:hAnsi="黑体" w:eastAsia="黑体"/>
                <w:szCs w:val="21"/>
              </w:rPr>
            </w:pPr>
          </w:p>
        </w:tc>
        <w:tc>
          <w:tcPr>
            <w:tcW w:w="499" w:type="pct"/>
            <w:vAlign w:val="center"/>
          </w:tcPr>
          <w:p>
            <w:pPr>
              <w:spacing w:line="480" w:lineRule="auto"/>
              <w:jc w:val="center"/>
              <w:rPr>
                <w:rFonts w:ascii="黑体" w:hAnsi="黑体" w:eastAsia="黑体"/>
                <w:szCs w:val="21"/>
              </w:rPr>
            </w:pPr>
          </w:p>
        </w:tc>
        <w:tc>
          <w:tcPr>
            <w:tcW w:w="817" w:type="pct"/>
          </w:tcPr>
          <w:p>
            <w:pPr>
              <w:spacing w:line="480" w:lineRule="auto"/>
              <w:jc w:val="center"/>
              <w:rPr>
                <w:rFonts w:ascii="黑体" w:hAnsi="黑体" w:eastAsia="黑体"/>
                <w:szCs w:val="21"/>
              </w:rPr>
            </w:pPr>
          </w:p>
        </w:tc>
        <w:tc>
          <w:tcPr>
            <w:tcW w:w="545"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96" w:type="pct"/>
            <w:vAlign w:val="center"/>
          </w:tcPr>
          <w:p>
            <w:pPr>
              <w:spacing w:line="480" w:lineRule="auto"/>
              <w:jc w:val="center"/>
              <w:rPr>
                <w:rFonts w:ascii="黑体" w:hAnsi="黑体" w:eastAsia="黑体"/>
                <w:szCs w:val="21"/>
              </w:rPr>
            </w:pPr>
          </w:p>
        </w:tc>
        <w:tc>
          <w:tcPr>
            <w:tcW w:w="758" w:type="pct"/>
            <w:vAlign w:val="center"/>
          </w:tcPr>
          <w:p>
            <w:pPr>
              <w:spacing w:line="480" w:lineRule="auto"/>
              <w:jc w:val="center"/>
              <w:rPr>
                <w:rFonts w:ascii="黑体" w:hAnsi="黑体" w:eastAsia="黑体"/>
                <w:szCs w:val="21"/>
              </w:rPr>
            </w:pPr>
          </w:p>
        </w:tc>
        <w:tc>
          <w:tcPr>
            <w:tcW w:w="456" w:type="pct"/>
            <w:vAlign w:val="center"/>
          </w:tcPr>
          <w:p>
            <w:pPr>
              <w:spacing w:line="480" w:lineRule="auto"/>
              <w:jc w:val="center"/>
              <w:rPr>
                <w:rFonts w:ascii="黑体" w:hAnsi="黑体" w:eastAsia="黑体"/>
                <w:szCs w:val="21"/>
              </w:rPr>
            </w:pPr>
          </w:p>
        </w:tc>
        <w:tc>
          <w:tcPr>
            <w:tcW w:w="614" w:type="pct"/>
            <w:vAlign w:val="center"/>
          </w:tcPr>
          <w:p>
            <w:pPr>
              <w:spacing w:line="480" w:lineRule="auto"/>
              <w:jc w:val="center"/>
              <w:rPr>
                <w:rFonts w:ascii="黑体" w:hAnsi="黑体" w:eastAsia="黑体"/>
                <w:szCs w:val="21"/>
              </w:rPr>
            </w:pPr>
          </w:p>
        </w:tc>
        <w:tc>
          <w:tcPr>
            <w:tcW w:w="915" w:type="pct"/>
            <w:vAlign w:val="center"/>
          </w:tcPr>
          <w:p>
            <w:pPr>
              <w:spacing w:line="480" w:lineRule="auto"/>
              <w:jc w:val="center"/>
              <w:rPr>
                <w:rFonts w:ascii="黑体" w:hAnsi="黑体" w:eastAsia="黑体"/>
                <w:szCs w:val="21"/>
              </w:rPr>
            </w:pPr>
          </w:p>
        </w:tc>
        <w:tc>
          <w:tcPr>
            <w:tcW w:w="499" w:type="pct"/>
            <w:vAlign w:val="center"/>
          </w:tcPr>
          <w:p>
            <w:pPr>
              <w:spacing w:line="480" w:lineRule="auto"/>
              <w:jc w:val="center"/>
              <w:rPr>
                <w:rFonts w:ascii="黑体" w:hAnsi="黑体" w:eastAsia="黑体"/>
                <w:szCs w:val="21"/>
              </w:rPr>
            </w:pPr>
          </w:p>
        </w:tc>
        <w:tc>
          <w:tcPr>
            <w:tcW w:w="817" w:type="pct"/>
          </w:tcPr>
          <w:p>
            <w:pPr>
              <w:spacing w:line="480" w:lineRule="auto"/>
              <w:jc w:val="center"/>
              <w:rPr>
                <w:rFonts w:ascii="黑体" w:hAnsi="黑体" w:eastAsia="黑体"/>
                <w:szCs w:val="21"/>
              </w:rPr>
            </w:pPr>
          </w:p>
        </w:tc>
        <w:tc>
          <w:tcPr>
            <w:tcW w:w="545"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96" w:type="pct"/>
            <w:vAlign w:val="center"/>
          </w:tcPr>
          <w:p>
            <w:pPr>
              <w:spacing w:line="480" w:lineRule="auto"/>
              <w:jc w:val="center"/>
              <w:rPr>
                <w:rFonts w:ascii="黑体" w:hAnsi="黑体" w:eastAsia="黑体"/>
                <w:szCs w:val="21"/>
              </w:rPr>
            </w:pPr>
          </w:p>
        </w:tc>
        <w:tc>
          <w:tcPr>
            <w:tcW w:w="758" w:type="pct"/>
            <w:vAlign w:val="center"/>
          </w:tcPr>
          <w:p>
            <w:pPr>
              <w:spacing w:line="480" w:lineRule="auto"/>
              <w:jc w:val="center"/>
              <w:rPr>
                <w:rFonts w:ascii="黑体" w:hAnsi="黑体" w:eastAsia="黑体"/>
                <w:szCs w:val="21"/>
              </w:rPr>
            </w:pPr>
          </w:p>
        </w:tc>
        <w:tc>
          <w:tcPr>
            <w:tcW w:w="456" w:type="pct"/>
            <w:vAlign w:val="center"/>
          </w:tcPr>
          <w:p>
            <w:pPr>
              <w:spacing w:line="480" w:lineRule="auto"/>
              <w:jc w:val="center"/>
              <w:rPr>
                <w:rFonts w:ascii="黑体" w:hAnsi="黑体" w:eastAsia="黑体"/>
                <w:szCs w:val="21"/>
              </w:rPr>
            </w:pPr>
          </w:p>
        </w:tc>
        <w:tc>
          <w:tcPr>
            <w:tcW w:w="614" w:type="pct"/>
            <w:vAlign w:val="center"/>
          </w:tcPr>
          <w:p>
            <w:pPr>
              <w:spacing w:line="480" w:lineRule="auto"/>
              <w:jc w:val="center"/>
              <w:rPr>
                <w:rFonts w:ascii="黑体" w:hAnsi="黑体" w:eastAsia="黑体"/>
                <w:szCs w:val="21"/>
              </w:rPr>
            </w:pPr>
          </w:p>
        </w:tc>
        <w:tc>
          <w:tcPr>
            <w:tcW w:w="915" w:type="pct"/>
            <w:vAlign w:val="center"/>
          </w:tcPr>
          <w:p>
            <w:pPr>
              <w:spacing w:line="480" w:lineRule="auto"/>
              <w:jc w:val="center"/>
              <w:rPr>
                <w:rFonts w:ascii="黑体" w:hAnsi="黑体" w:eastAsia="黑体"/>
                <w:szCs w:val="21"/>
              </w:rPr>
            </w:pPr>
          </w:p>
        </w:tc>
        <w:tc>
          <w:tcPr>
            <w:tcW w:w="499" w:type="pct"/>
            <w:vAlign w:val="center"/>
          </w:tcPr>
          <w:p>
            <w:pPr>
              <w:spacing w:line="480" w:lineRule="auto"/>
              <w:jc w:val="center"/>
              <w:rPr>
                <w:rFonts w:ascii="黑体" w:hAnsi="黑体" w:eastAsia="黑体"/>
                <w:szCs w:val="21"/>
              </w:rPr>
            </w:pPr>
          </w:p>
        </w:tc>
        <w:tc>
          <w:tcPr>
            <w:tcW w:w="817" w:type="pct"/>
          </w:tcPr>
          <w:p>
            <w:pPr>
              <w:spacing w:line="480" w:lineRule="auto"/>
              <w:jc w:val="center"/>
              <w:rPr>
                <w:rFonts w:ascii="黑体" w:hAnsi="黑体" w:eastAsia="黑体"/>
                <w:szCs w:val="21"/>
              </w:rPr>
            </w:pPr>
          </w:p>
        </w:tc>
        <w:tc>
          <w:tcPr>
            <w:tcW w:w="545"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96" w:type="pct"/>
            <w:vAlign w:val="center"/>
          </w:tcPr>
          <w:p>
            <w:pPr>
              <w:spacing w:line="480" w:lineRule="auto"/>
              <w:jc w:val="center"/>
              <w:rPr>
                <w:rFonts w:ascii="黑体" w:hAnsi="黑体" w:eastAsia="黑体"/>
                <w:szCs w:val="21"/>
              </w:rPr>
            </w:pPr>
          </w:p>
        </w:tc>
        <w:tc>
          <w:tcPr>
            <w:tcW w:w="758" w:type="pct"/>
            <w:vAlign w:val="center"/>
          </w:tcPr>
          <w:p>
            <w:pPr>
              <w:spacing w:line="480" w:lineRule="auto"/>
              <w:jc w:val="center"/>
              <w:rPr>
                <w:rFonts w:ascii="黑体" w:hAnsi="黑体" w:eastAsia="黑体"/>
                <w:szCs w:val="21"/>
              </w:rPr>
            </w:pPr>
          </w:p>
        </w:tc>
        <w:tc>
          <w:tcPr>
            <w:tcW w:w="456" w:type="pct"/>
            <w:vAlign w:val="center"/>
          </w:tcPr>
          <w:p>
            <w:pPr>
              <w:spacing w:line="480" w:lineRule="auto"/>
              <w:jc w:val="center"/>
              <w:rPr>
                <w:rFonts w:ascii="黑体" w:hAnsi="黑体" w:eastAsia="黑体"/>
                <w:szCs w:val="21"/>
              </w:rPr>
            </w:pPr>
          </w:p>
        </w:tc>
        <w:tc>
          <w:tcPr>
            <w:tcW w:w="614" w:type="pct"/>
            <w:vAlign w:val="center"/>
          </w:tcPr>
          <w:p>
            <w:pPr>
              <w:spacing w:line="480" w:lineRule="auto"/>
              <w:jc w:val="center"/>
              <w:rPr>
                <w:rFonts w:ascii="黑体" w:hAnsi="黑体" w:eastAsia="黑体"/>
                <w:szCs w:val="21"/>
              </w:rPr>
            </w:pPr>
          </w:p>
        </w:tc>
        <w:tc>
          <w:tcPr>
            <w:tcW w:w="915" w:type="pct"/>
            <w:vAlign w:val="center"/>
          </w:tcPr>
          <w:p>
            <w:pPr>
              <w:spacing w:line="480" w:lineRule="auto"/>
              <w:jc w:val="center"/>
              <w:rPr>
                <w:rFonts w:ascii="黑体" w:hAnsi="黑体" w:eastAsia="黑体"/>
                <w:szCs w:val="21"/>
              </w:rPr>
            </w:pPr>
          </w:p>
        </w:tc>
        <w:tc>
          <w:tcPr>
            <w:tcW w:w="499" w:type="pct"/>
            <w:vAlign w:val="center"/>
          </w:tcPr>
          <w:p>
            <w:pPr>
              <w:spacing w:line="480" w:lineRule="auto"/>
              <w:jc w:val="center"/>
              <w:rPr>
                <w:rFonts w:ascii="黑体" w:hAnsi="黑体" w:eastAsia="黑体"/>
                <w:szCs w:val="21"/>
              </w:rPr>
            </w:pPr>
          </w:p>
        </w:tc>
        <w:tc>
          <w:tcPr>
            <w:tcW w:w="817" w:type="pct"/>
          </w:tcPr>
          <w:p>
            <w:pPr>
              <w:spacing w:line="480" w:lineRule="auto"/>
              <w:jc w:val="center"/>
              <w:rPr>
                <w:rFonts w:ascii="黑体" w:hAnsi="黑体" w:eastAsia="黑体"/>
                <w:szCs w:val="21"/>
              </w:rPr>
            </w:pPr>
          </w:p>
        </w:tc>
        <w:tc>
          <w:tcPr>
            <w:tcW w:w="545"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96" w:type="pct"/>
            <w:vAlign w:val="center"/>
          </w:tcPr>
          <w:p>
            <w:pPr>
              <w:spacing w:line="480" w:lineRule="auto"/>
              <w:jc w:val="center"/>
              <w:rPr>
                <w:rFonts w:ascii="黑体" w:hAnsi="黑体" w:eastAsia="黑体"/>
                <w:szCs w:val="21"/>
              </w:rPr>
            </w:pPr>
          </w:p>
        </w:tc>
        <w:tc>
          <w:tcPr>
            <w:tcW w:w="758" w:type="pct"/>
            <w:vAlign w:val="center"/>
          </w:tcPr>
          <w:p>
            <w:pPr>
              <w:spacing w:line="480" w:lineRule="auto"/>
              <w:jc w:val="center"/>
              <w:rPr>
                <w:rFonts w:ascii="黑体" w:hAnsi="黑体" w:eastAsia="黑体"/>
                <w:szCs w:val="21"/>
              </w:rPr>
            </w:pPr>
          </w:p>
        </w:tc>
        <w:tc>
          <w:tcPr>
            <w:tcW w:w="456" w:type="pct"/>
            <w:vAlign w:val="center"/>
          </w:tcPr>
          <w:p>
            <w:pPr>
              <w:spacing w:line="480" w:lineRule="auto"/>
              <w:jc w:val="center"/>
              <w:rPr>
                <w:rFonts w:ascii="黑体" w:hAnsi="黑体" w:eastAsia="黑体"/>
                <w:szCs w:val="21"/>
              </w:rPr>
            </w:pPr>
          </w:p>
        </w:tc>
        <w:tc>
          <w:tcPr>
            <w:tcW w:w="614" w:type="pct"/>
            <w:vAlign w:val="center"/>
          </w:tcPr>
          <w:p>
            <w:pPr>
              <w:spacing w:line="480" w:lineRule="auto"/>
              <w:jc w:val="center"/>
              <w:rPr>
                <w:rFonts w:ascii="黑体" w:hAnsi="黑体" w:eastAsia="黑体"/>
                <w:szCs w:val="21"/>
              </w:rPr>
            </w:pPr>
          </w:p>
        </w:tc>
        <w:tc>
          <w:tcPr>
            <w:tcW w:w="915" w:type="pct"/>
            <w:vAlign w:val="center"/>
          </w:tcPr>
          <w:p>
            <w:pPr>
              <w:spacing w:line="480" w:lineRule="auto"/>
              <w:jc w:val="center"/>
              <w:rPr>
                <w:rFonts w:ascii="黑体" w:hAnsi="黑体" w:eastAsia="黑体"/>
                <w:szCs w:val="21"/>
              </w:rPr>
            </w:pPr>
          </w:p>
        </w:tc>
        <w:tc>
          <w:tcPr>
            <w:tcW w:w="499" w:type="pct"/>
            <w:vAlign w:val="center"/>
          </w:tcPr>
          <w:p>
            <w:pPr>
              <w:spacing w:line="480" w:lineRule="auto"/>
              <w:jc w:val="center"/>
              <w:rPr>
                <w:rFonts w:ascii="黑体" w:hAnsi="黑体" w:eastAsia="黑体"/>
                <w:szCs w:val="21"/>
              </w:rPr>
            </w:pPr>
          </w:p>
        </w:tc>
        <w:tc>
          <w:tcPr>
            <w:tcW w:w="817" w:type="pct"/>
          </w:tcPr>
          <w:p>
            <w:pPr>
              <w:spacing w:line="480" w:lineRule="auto"/>
              <w:jc w:val="center"/>
              <w:rPr>
                <w:rFonts w:ascii="黑体" w:hAnsi="黑体" w:eastAsia="黑体"/>
                <w:szCs w:val="21"/>
              </w:rPr>
            </w:pPr>
          </w:p>
        </w:tc>
        <w:tc>
          <w:tcPr>
            <w:tcW w:w="545" w:type="pct"/>
          </w:tcPr>
          <w:p>
            <w:pPr>
              <w:spacing w:line="480" w:lineRule="auto"/>
              <w:jc w:val="center"/>
              <w:rPr>
                <w:rFonts w:ascii="黑体" w:hAnsi="黑体" w:eastAsia="黑体"/>
                <w:szCs w:val="21"/>
              </w:rPr>
            </w:pPr>
          </w:p>
        </w:tc>
      </w:tr>
    </w:tbl>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rPr>
          <w:rFonts w:ascii="黑体" w:hAnsi="黑体" w:eastAsia="黑体"/>
        </w:rPr>
      </w:pPr>
    </w:p>
    <w:bookmarkEnd w:id="105"/>
    <w:p>
      <w:pPr>
        <w:spacing w:line="360" w:lineRule="auto"/>
        <w:rPr>
          <w:rFonts w:ascii="黑体" w:hAnsi="黑体" w:eastAsia="黑体"/>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106" w:name="_Toc494567328"/>
      <w:bookmarkStart w:id="107" w:name="_Toc405313974"/>
      <w:bookmarkStart w:id="108" w:name="_Toc391627770"/>
      <w:r>
        <w:rPr>
          <w:rFonts w:ascii="黑体" w:hAnsi="黑体" w:eastAsia="黑体"/>
          <w:b/>
          <w:bCs/>
        </w:rPr>
        <w:t>拟投入本项目</w:t>
      </w:r>
      <w:bookmarkEnd w:id="106"/>
      <w:r>
        <w:rPr>
          <w:rFonts w:hint="eastAsia" w:ascii="黑体" w:hAnsi="黑体" w:eastAsia="黑体"/>
          <w:b/>
          <w:bCs/>
        </w:rPr>
        <w:t>设备情况表</w:t>
      </w:r>
    </w:p>
    <w:p>
      <w:pPr>
        <w:spacing w:before="624" w:beforeLines="200" w:after="312" w:afterLines="100" w:line="360" w:lineRule="auto"/>
        <w:jc w:val="center"/>
        <w:rPr>
          <w:rFonts w:ascii="黑体" w:hAnsi="黑体" w:eastAsia="黑体"/>
          <w:b/>
          <w:spacing w:val="10"/>
          <w:sz w:val="30"/>
          <w:szCs w:val="30"/>
        </w:rPr>
      </w:pPr>
      <w:r>
        <w:rPr>
          <w:rFonts w:hint="eastAsia" w:ascii="黑体" w:hAnsi="黑体" w:eastAsia="黑体"/>
          <w:b/>
          <w:spacing w:val="10"/>
          <w:sz w:val="30"/>
          <w:szCs w:val="30"/>
        </w:rPr>
        <w:t>拟投入本项目设备情况表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741"/>
        <w:gridCol w:w="2041"/>
        <w:gridCol w:w="1283"/>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32" w:type="pct"/>
            <w:vAlign w:val="center"/>
          </w:tcPr>
          <w:p>
            <w:pPr>
              <w:spacing w:line="360" w:lineRule="auto"/>
              <w:jc w:val="center"/>
              <w:rPr>
                <w:rFonts w:ascii="黑体" w:hAnsi="黑体" w:eastAsia="黑体"/>
                <w:b/>
                <w:bCs/>
                <w:szCs w:val="21"/>
              </w:rPr>
            </w:pPr>
            <w:r>
              <w:rPr>
                <w:rFonts w:hint="eastAsia" w:ascii="黑体" w:hAnsi="黑体" w:eastAsia="黑体"/>
                <w:b/>
                <w:bCs/>
                <w:szCs w:val="21"/>
              </w:rPr>
              <w:t>序号</w:t>
            </w:r>
          </w:p>
        </w:tc>
        <w:tc>
          <w:tcPr>
            <w:tcW w:w="1563" w:type="pct"/>
            <w:vAlign w:val="center"/>
          </w:tcPr>
          <w:p>
            <w:pPr>
              <w:spacing w:line="360" w:lineRule="auto"/>
              <w:jc w:val="center"/>
              <w:rPr>
                <w:rFonts w:ascii="黑体" w:hAnsi="黑体" w:eastAsia="黑体"/>
                <w:b/>
                <w:bCs/>
                <w:szCs w:val="21"/>
              </w:rPr>
            </w:pPr>
            <w:r>
              <w:rPr>
                <w:rFonts w:hint="eastAsia" w:ascii="黑体" w:hAnsi="黑体" w:eastAsia="黑体"/>
                <w:b/>
                <w:bCs/>
                <w:szCs w:val="21"/>
              </w:rPr>
              <w:t>名称</w:t>
            </w:r>
          </w:p>
        </w:tc>
        <w:tc>
          <w:tcPr>
            <w:tcW w:w="1164" w:type="pct"/>
            <w:vAlign w:val="center"/>
          </w:tcPr>
          <w:p>
            <w:pPr>
              <w:spacing w:line="360" w:lineRule="auto"/>
              <w:jc w:val="center"/>
              <w:rPr>
                <w:rFonts w:ascii="黑体" w:hAnsi="黑体" w:eastAsia="黑体"/>
                <w:b/>
                <w:bCs/>
                <w:szCs w:val="21"/>
              </w:rPr>
            </w:pPr>
            <w:r>
              <w:rPr>
                <w:rFonts w:hint="eastAsia" w:ascii="黑体" w:hAnsi="黑体" w:eastAsia="黑体"/>
                <w:b/>
                <w:bCs/>
                <w:szCs w:val="21"/>
              </w:rPr>
              <w:t>规格型号</w:t>
            </w:r>
          </w:p>
        </w:tc>
        <w:tc>
          <w:tcPr>
            <w:tcW w:w="732" w:type="pct"/>
            <w:vAlign w:val="center"/>
          </w:tcPr>
          <w:p>
            <w:pPr>
              <w:spacing w:line="360" w:lineRule="auto"/>
              <w:jc w:val="center"/>
              <w:rPr>
                <w:rFonts w:ascii="黑体" w:hAnsi="黑体" w:eastAsia="黑体"/>
                <w:b/>
                <w:bCs/>
                <w:szCs w:val="21"/>
              </w:rPr>
            </w:pPr>
            <w:r>
              <w:rPr>
                <w:rFonts w:hint="eastAsia" w:ascii="黑体" w:hAnsi="黑体" w:eastAsia="黑体"/>
                <w:b/>
                <w:bCs/>
                <w:szCs w:val="21"/>
              </w:rPr>
              <w:t>数量</w:t>
            </w:r>
          </w:p>
        </w:tc>
        <w:tc>
          <w:tcPr>
            <w:tcW w:w="1009" w:type="pct"/>
            <w:vAlign w:val="center"/>
          </w:tcPr>
          <w:p>
            <w:pPr>
              <w:spacing w:line="360" w:lineRule="auto"/>
              <w:jc w:val="center"/>
              <w:rPr>
                <w:rFonts w:ascii="黑体" w:hAnsi="黑体" w:eastAsia="黑体"/>
                <w:b/>
                <w:bCs/>
                <w:szCs w:val="21"/>
              </w:rPr>
            </w:pPr>
            <w:r>
              <w:rPr>
                <w:rFonts w:hint="eastAsia" w:ascii="黑体" w:hAnsi="黑体" w:eastAsia="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32" w:type="pct"/>
            <w:vAlign w:val="center"/>
          </w:tcPr>
          <w:p>
            <w:pPr>
              <w:spacing w:line="360" w:lineRule="auto"/>
              <w:jc w:val="center"/>
              <w:rPr>
                <w:rFonts w:ascii="黑体" w:hAnsi="黑体" w:eastAsia="黑体"/>
                <w:szCs w:val="21"/>
              </w:rPr>
            </w:pPr>
          </w:p>
        </w:tc>
        <w:tc>
          <w:tcPr>
            <w:tcW w:w="1563" w:type="pct"/>
            <w:vAlign w:val="center"/>
          </w:tcPr>
          <w:p>
            <w:pPr>
              <w:spacing w:line="360" w:lineRule="auto"/>
              <w:jc w:val="center"/>
              <w:rPr>
                <w:rFonts w:ascii="黑体" w:hAnsi="黑体" w:eastAsia="黑体"/>
                <w:szCs w:val="21"/>
              </w:rPr>
            </w:pPr>
          </w:p>
        </w:tc>
        <w:tc>
          <w:tcPr>
            <w:tcW w:w="1164" w:type="pct"/>
            <w:vAlign w:val="center"/>
          </w:tcPr>
          <w:p>
            <w:pPr>
              <w:spacing w:line="360" w:lineRule="auto"/>
              <w:jc w:val="center"/>
              <w:rPr>
                <w:rFonts w:ascii="黑体" w:hAnsi="黑体" w:eastAsia="黑体"/>
                <w:szCs w:val="21"/>
              </w:rPr>
            </w:pPr>
          </w:p>
        </w:tc>
        <w:tc>
          <w:tcPr>
            <w:tcW w:w="732" w:type="pct"/>
            <w:vAlign w:val="center"/>
          </w:tcPr>
          <w:p>
            <w:pPr>
              <w:spacing w:line="360" w:lineRule="auto"/>
              <w:jc w:val="center"/>
              <w:rPr>
                <w:rFonts w:ascii="黑体" w:hAnsi="黑体" w:eastAsia="黑体"/>
                <w:szCs w:val="21"/>
              </w:rPr>
            </w:pPr>
          </w:p>
        </w:tc>
        <w:tc>
          <w:tcPr>
            <w:tcW w:w="1009" w:type="pct"/>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2" w:type="pct"/>
            <w:vAlign w:val="center"/>
          </w:tcPr>
          <w:p>
            <w:pPr>
              <w:spacing w:line="360" w:lineRule="auto"/>
              <w:jc w:val="center"/>
              <w:rPr>
                <w:rFonts w:ascii="黑体" w:hAnsi="黑体" w:eastAsia="黑体"/>
                <w:szCs w:val="21"/>
              </w:rPr>
            </w:pPr>
          </w:p>
        </w:tc>
        <w:tc>
          <w:tcPr>
            <w:tcW w:w="1563" w:type="pct"/>
            <w:vAlign w:val="center"/>
          </w:tcPr>
          <w:p>
            <w:pPr>
              <w:spacing w:line="360" w:lineRule="auto"/>
              <w:jc w:val="center"/>
              <w:rPr>
                <w:rFonts w:ascii="黑体" w:hAnsi="黑体" w:eastAsia="黑体"/>
                <w:szCs w:val="21"/>
              </w:rPr>
            </w:pPr>
          </w:p>
        </w:tc>
        <w:tc>
          <w:tcPr>
            <w:tcW w:w="1164" w:type="pct"/>
            <w:vAlign w:val="center"/>
          </w:tcPr>
          <w:p>
            <w:pPr>
              <w:spacing w:line="360" w:lineRule="auto"/>
              <w:jc w:val="center"/>
              <w:rPr>
                <w:rFonts w:ascii="黑体" w:hAnsi="黑体" w:eastAsia="黑体"/>
                <w:szCs w:val="21"/>
              </w:rPr>
            </w:pPr>
          </w:p>
        </w:tc>
        <w:tc>
          <w:tcPr>
            <w:tcW w:w="732" w:type="pct"/>
            <w:vAlign w:val="center"/>
          </w:tcPr>
          <w:p>
            <w:pPr>
              <w:spacing w:line="360" w:lineRule="auto"/>
              <w:jc w:val="center"/>
              <w:rPr>
                <w:rFonts w:ascii="黑体" w:hAnsi="黑体" w:eastAsia="黑体"/>
                <w:szCs w:val="21"/>
              </w:rPr>
            </w:pPr>
          </w:p>
        </w:tc>
        <w:tc>
          <w:tcPr>
            <w:tcW w:w="1009" w:type="pct"/>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spacing w:line="360" w:lineRule="auto"/>
              <w:jc w:val="center"/>
              <w:rPr>
                <w:rFonts w:ascii="黑体" w:hAnsi="黑体" w:eastAsia="黑体"/>
                <w:szCs w:val="21"/>
              </w:rPr>
            </w:pPr>
          </w:p>
        </w:tc>
        <w:tc>
          <w:tcPr>
            <w:tcW w:w="1563" w:type="pct"/>
            <w:vAlign w:val="center"/>
          </w:tcPr>
          <w:p>
            <w:pPr>
              <w:spacing w:line="360" w:lineRule="auto"/>
              <w:jc w:val="center"/>
              <w:rPr>
                <w:rFonts w:ascii="黑体" w:hAnsi="黑体" w:eastAsia="黑体"/>
                <w:szCs w:val="21"/>
              </w:rPr>
            </w:pPr>
          </w:p>
        </w:tc>
        <w:tc>
          <w:tcPr>
            <w:tcW w:w="1164" w:type="pct"/>
            <w:vAlign w:val="center"/>
          </w:tcPr>
          <w:p>
            <w:pPr>
              <w:spacing w:line="360" w:lineRule="auto"/>
              <w:jc w:val="center"/>
              <w:rPr>
                <w:rFonts w:ascii="黑体" w:hAnsi="黑体" w:eastAsia="黑体"/>
                <w:szCs w:val="21"/>
              </w:rPr>
            </w:pPr>
          </w:p>
        </w:tc>
        <w:tc>
          <w:tcPr>
            <w:tcW w:w="732" w:type="pct"/>
            <w:vAlign w:val="center"/>
          </w:tcPr>
          <w:p>
            <w:pPr>
              <w:spacing w:line="360" w:lineRule="auto"/>
              <w:jc w:val="center"/>
              <w:rPr>
                <w:rFonts w:ascii="黑体" w:hAnsi="黑体" w:eastAsia="黑体"/>
                <w:szCs w:val="21"/>
              </w:rPr>
            </w:pPr>
          </w:p>
        </w:tc>
        <w:tc>
          <w:tcPr>
            <w:tcW w:w="1009" w:type="pct"/>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spacing w:line="360" w:lineRule="auto"/>
              <w:jc w:val="center"/>
              <w:rPr>
                <w:rFonts w:ascii="黑体" w:hAnsi="黑体" w:eastAsia="黑体"/>
                <w:szCs w:val="21"/>
              </w:rPr>
            </w:pPr>
          </w:p>
        </w:tc>
        <w:tc>
          <w:tcPr>
            <w:tcW w:w="1563" w:type="pct"/>
            <w:vAlign w:val="center"/>
          </w:tcPr>
          <w:p>
            <w:pPr>
              <w:spacing w:line="360" w:lineRule="auto"/>
              <w:jc w:val="center"/>
              <w:rPr>
                <w:rFonts w:ascii="黑体" w:hAnsi="黑体" w:eastAsia="黑体"/>
                <w:szCs w:val="21"/>
              </w:rPr>
            </w:pPr>
          </w:p>
        </w:tc>
        <w:tc>
          <w:tcPr>
            <w:tcW w:w="1164" w:type="pct"/>
            <w:vAlign w:val="center"/>
          </w:tcPr>
          <w:p>
            <w:pPr>
              <w:spacing w:line="360" w:lineRule="auto"/>
              <w:jc w:val="center"/>
              <w:rPr>
                <w:rFonts w:ascii="黑体" w:hAnsi="黑体" w:eastAsia="黑体"/>
                <w:szCs w:val="21"/>
              </w:rPr>
            </w:pPr>
          </w:p>
        </w:tc>
        <w:tc>
          <w:tcPr>
            <w:tcW w:w="732" w:type="pct"/>
            <w:vAlign w:val="center"/>
          </w:tcPr>
          <w:p>
            <w:pPr>
              <w:spacing w:line="360" w:lineRule="auto"/>
              <w:jc w:val="center"/>
              <w:rPr>
                <w:rFonts w:ascii="黑体" w:hAnsi="黑体" w:eastAsia="黑体"/>
                <w:szCs w:val="21"/>
              </w:rPr>
            </w:pPr>
          </w:p>
        </w:tc>
        <w:tc>
          <w:tcPr>
            <w:tcW w:w="1009" w:type="pct"/>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spacing w:line="360" w:lineRule="auto"/>
              <w:jc w:val="center"/>
              <w:rPr>
                <w:rFonts w:ascii="黑体" w:hAnsi="黑体" w:eastAsia="黑体"/>
                <w:szCs w:val="21"/>
              </w:rPr>
            </w:pPr>
          </w:p>
        </w:tc>
        <w:tc>
          <w:tcPr>
            <w:tcW w:w="1563" w:type="pct"/>
            <w:vAlign w:val="center"/>
          </w:tcPr>
          <w:p>
            <w:pPr>
              <w:spacing w:line="360" w:lineRule="auto"/>
              <w:jc w:val="center"/>
              <w:rPr>
                <w:rFonts w:ascii="黑体" w:hAnsi="黑体" w:eastAsia="黑体"/>
                <w:szCs w:val="21"/>
              </w:rPr>
            </w:pPr>
          </w:p>
        </w:tc>
        <w:tc>
          <w:tcPr>
            <w:tcW w:w="1164" w:type="pct"/>
            <w:vAlign w:val="center"/>
          </w:tcPr>
          <w:p>
            <w:pPr>
              <w:spacing w:line="360" w:lineRule="auto"/>
              <w:jc w:val="center"/>
              <w:rPr>
                <w:rFonts w:ascii="黑体" w:hAnsi="黑体" w:eastAsia="黑体"/>
                <w:szCs w:val="21"/>
              </w:rPr>
            </w:pPr>
          </w:p>
        </w:tc>
        <w:tc>
          <w:tcPr>
            <w:tcW w:w="732" w:type="pct"/>
            <w:vAlign w:val="center"/>
          </w:tcPr>
          <w:p>
            <w:pPr>
              <w:spacing w:line="360" w:lineRule="auto"/>
              <w:jc w:val="center"/>
              <w:rPr>
                <w:rFonts w:ascii="黑体" w:hAnsi="黑体" w:eastAsia="黑体"/>
                <w:szCs w:val="21"/>
              </w:rPr>
            </w:pPr>
          </w:p>
        </w:tc>
        <w:tc>
          <w:tcPr>
            <w:tcW w:w="1009" w:type="pct"/>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spacing w:line="360" w:lineRule="auto"/>
              <w:jc w:val="center"/>
              <w:rPr>
                <w:rFonts w:ascii="黑体" w:hAnsi="黑体" w:eastAsia="黑体"/>
                <w:szCs w:val="21"/>
              </w:rPr>
            </w:pPr>
          </w:p>
        </w:tc>
        <w:tc>
          <w:tcPr>
            <w:tcW w:w="1563" w:type="pct"/>
            <w:vAlign w:val="center"/>
          </w:tcPr>
          <w:p>
            <w:pPr>
              <w:spacing w:line="360" w:lineRule="auto"/>
              <w:jc w:val="center"/>
              <w:rPr>
                <w:rFonts w:ascii="黑体" w:hAnsi="黑体" w:eastAsia="黑体"/>
                <w:szCs w:val="21"/>
              </w:rPr>
            </w:pPr>
          </w:p>
        </w:tc>
        <w:tc>
          <w:tcPr>
            <w:tcW w:w="1164" w:type="pct"/>
            <w:vAlign w:val="center"/>
          </w:tcPr>
          <w:p>
            <w:pPr>
              <w:spacing w:line="360" w:lineRule="auto"/>
              <w:jc w:val="center"/>
              <w:rPr>
                <w:rFonts w:ascii="黑体" w:hAnsi="黑体" w:eastAsia="黑体"/>
                <w:szCs w:val="21"/>
              </w:rPr>
            </w:pPr>
          </w:p>
        </w:tc>
        <w:tc>
          <w:tcPr>
            <w:tcW w:w="732" w:type="pct"/>
            <w:vAlign w:val="center"/>
          </w:tcPr>
          <w:p>
            <w:pPr>
              <w:spacing w:line="360" w:lineRule="auto"/>
              <w:jc w:val="center"/>
              <w:rPr>
                <w:rFonts w:ascii="黑体" w:hAnsi="黑体" w:eastAsia="黑体"/>
                <w:szCs w:val="21"/>
              </w:rPr>
            </w:pPr>
          </w:p>
        </w:tc>
        <w:tc>
          <w:tcPr>
            <w:tcW w:w="1009" w:type="pct"/>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spacing w:line="360" w:lineRule="auto"/>
              <w:jc w:val="center"/>
              <w:rPr>
                <w:rFonts w:ascii="黑体" w:hAnsi="黑体" w:eastAsia="黑体"/>
                <w:szCs w:val="21"/>
              </w:rPr>
            </w:pPr>
          </w:p>
        </w:tc>
        <w:tc>
          <w:tcPr>
            <w:tcW w:w="1563" w:type="pct"/>
            <w:vAlign w:val="center"/>
          </w:tcPr>
          <w:p>
            <w:pPr>
              <w:spacing w:line="360" w:lineRule="auto"/>
              <w:jc w:val="center"/>
              <w:rPr>
                <w:rFonts w:ascii="黑体" w:hAnsi="黑体" w:eastAsia="黑体"/>
                <w:szCs w:val="21"/>
              </w:rPr>
            </w:pPr>
          </w:p>
        </w:tc>
        <w:tc>
          <w:tcPr>
            <w:tcW w:w="1164" w:type="pct"/>
            <w:vAlign w:val="center"/>
          </w:tcPr>
          <w:p>
            <w:pPr>
              <w:spacing w:line="360" w:lineRule="auto"/>
              <w:jc w:val="center"/>
              <w:rPr>
                <w:rFonts w:ascii="黑体" w:hAnsi="黑体" w:eastAsia="黑体"/>
                <w:szCs w:val="21"/>
              </w:rPr>
            </w:pPr>
          </w:p>
        </w:tc>
        <w:tc>
          <w:tcPr>
            <w:tcW w:w="732" w:type="pct"/>
            <w:vAlign w:val="center"/>
          </w:tcPr>
          <w:p>
            <w:pPr>
              <w:spacing w:line="360" w:lineRule="auto"/>
              <w:jc w:val="center"/>
              <w:rPr>
                <w:rFonts w:ascii="黑体" w:hAnsi="黑体" w:eastAsia="黑体"/>
                <w:szCs w:val="21"/>
              </w:rPr>
            </w:pPr>
          </w:p>
        </w:tc>
        <w:tc>
          <w:tcPr>
            <w:tcW w:w="1009" w:type="pct"/>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spacing w:line="360" w:lineRule="auto"/>
              <w:jc w:val="center"/>
              <w:rPr>
                <w:rFonts w:ascii="黑体" w:hAnsi="黑体" w:eastAsia="黑体"/>
                <w:szCs w:val="21"/>
              </w:rPr>
            </w:pPr>
          </w:p>
        </w:tc>
        <w:tc>
          <w:tcPr>
            <w:tcW w:w="1563" w:type="pct"/>
            <w:vAlign w:val="center"/>
          </w:tcPr>
          <w:p>
            <w:pPr>
              <w:spacing w:line="360" w:lineRule="auto"/>
              <w:jc w:val="center"/>
              <w:rPr>
                <w:rFonts w:ascii="黑体" w:hAnsi="黑体" w:eastAsia="黑体"/>
                <w:szCs w:val="21"/>
              </w:rPr>
            </w:pPr>
          </w:p>
        </w:tc>
        <w:tc>
          <w:tcPr>
            <w:tcW w:w="1164" w:type="pct"/>
            <w:vAlign w:val="center"/>
          </w:tcPr>
          <w:p>
            <w:pPr>
              <w:spacing w:line="360" w:lineRule="auto"/>
              <w:jc w:val="center"/>
              <w:rPr>
                <w:rFonts w:ascii="黑体" w:hAnsi="黑体" w:eastAsia="黑体"/>
                <w:szCs w:val="21"/>
              </w:rPr>
            </w:pPr>
          </w:p>
        </w:tc>
        <w:tc>
          <w:tcPr>
            <w:tcW w:w="732" w:type="pct"/>
            <w:vAlign w:val="center"/>
          </w:tcPr>
          <w:p>
            <w:pPr>
              <w:spacing w:line="360" w:lineRule="auto"/>
              <w:jc w:val="center"/>
              <w:rPr>
                <w:rFonts w:ascii="黑体" w:hAnsi="黑体" w:eastAsia="黑体"/>
                <w:szCs w:val="21"/>
              </w:rPr>
            </w:pPr>
          </w:p>
        </w:tc>
        <w:tc>
          <w:tcPr>
            <w:tcW w:w="1009" w:type="pct"/>
            <w:vAlign w:val="center"/>
          </w:tcPr>
          <w:p>
            <w:pPr>
              <w:spacing w:line="360" w:lineRule="auto"/>
              <w:jc w:val="center"/>
              <w:rPr>
                <w:rFonts w:ascii="黑体" w:hAnsi="黑体" w:eastAsia="黑体"/>
                <w:szCs w:val="21"/>
              </w:rPr>
            </w:pPr>
          </w:p>
        </w:tc>
      </w:tr>
    </w:tbl>
    <w:p>
      <w:pPr>
        <w:spacing w:before="156" w:beforeLines="50" w:line="360" w:lineRule="auto"/>
        <w:rPr>
          <w:rFonts w:ascii="黑体" w:hAnsi="黑体" w:eastAsia="黑体"/>
          <w:szCs w:val="21"/>
        </w:rPr>
      </w:pPr>
      <w:r>
        <w:rPr>
          <w:rFonts w:hint="eastAsia" w:ascii="黑体" w:hAnsi="黑体" w:eastAsia="黑体"/>
          <w:szCs w:val="21"/>
        </w:rPr>
        <w:t>注明：需提供证明资料内容详见</w:t>
      </w:r>
      <w:r>
        <w:rPr>
          <w:rFonts w:hint="eastAsia" w:ascii="黑体" w:hAnsi="黑体" w:eastAsia="黑体"/>
          <w:szCs w:val="21"/>
          <w:u w:val="single"/>
        </w:rPr>
        <w:t xml:space="preserve">（招标文件第五部分 评标方法、步骤、标准之附表三详细评审表相对应条款） </w:t>
      </w:r>
      <w:r>
        <w:rPr>
          <w:rFonts w:hint="eastAsia" w:ascii="黑体" w:hAnsi="黑体" w:eastAsia="黑体"/>
          <w:szCs w:val="21"/>
        </w:rPr>
        <w:t>。</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hint="eastAsia"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hint="eastAsia"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spacing w:line="360" w:lineRule="auto"/>
        <w:rPr>
          <w:rFonts w:ascii="黑体" w:hAnsi="黑体" w:eastAsia="黑体"/>
          <w:szCs w:val="21"/>
        </w:rPr>
      </w:pPr>
    </w:p>
    <w:bookmarkEnd w:id="107"/>
    <w:bookmarkEnd w:id="108"/>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r>
        <w:rPr>
          <w:rFonts w:hint="eastAsia" w:ascii="黑体" w:hAnsi="黑体" w:eastAsia="黑体"/>
          <w:b/>
          <w:bCs/>
        </w:rPr>
        <w:t>项目技术服务人员情况表</w:t>
      </w:r>
    </w:p>
    <w:p>
      <w:pPr>
        <w:spacing w:before="624" w:beforeLines="200" w:after="312" w:afterLines="100" w:line="360" w:lineRule="auto"/>
        <w:jc w:val="center"/>
        <w:rPr>
          <w:rFonts w:ascii="黑体" w:hAnsi="黑体" w:eastAsia="黑体"/>
          <w:b/>
          <w:spacing w:val="20"/>
          <w:sz w:val="30"/>
          <w:szCs w:val="30"/>
        </w:rPr>
      </w:pPr>
      <w:r>
        <w:rPr>
          <w:rFonts w:hint="eastAsia" w:ascii="黑体" w:hAnsi="黑体" w:eastAsia="黑体"/>
          <w:b/>
          <w:spacing w:val="20"/>
          <w:sz w:val="30"/>
          <w:szCs w:val="30"/>
        </w:rPr>
        <w:t>项目技术服务人员情况表</w:t>
      </w:r>
    </w:p>
    <w:tbl>
      <w:tblPr>
        <w:tblStyle w:val="20"/>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45"/>
        <w:gridCol w:w="1296"/>
        <w:gridCol w:w="1895"/>
        <w:gridCol w:w="1455"/>
        <w:gridCol w:w="102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6" w:type="pct"/>
            <w:vAlign w:val="center"/>
          </w:tcPr>
          <w:p>
            <w:pPr>
              <w:jc w:val="center"/>
              <w:rPr>
                <w:rFonts w:ascii="黑体" w:hAnsi="黑体" w:eastAsia="黑体"/>
                <w:b/>
                <w:bCs/>
                <w:szCs w:val="21"/>
              </w:rPr>
            </w:pPr>
            <w:r>
              <w:rPr>
                <w:rFonts w:hint="eastAsia" w:ascii="黑体" w:hAnsi="黑体" w:eastAsia="黑体"/>
                <w:b/>
                <w:bCs/>
                <w:szCs w:val="21"/>
              </w:rPr>
              <w:t>序号</w:t>
            </w:r>
          </w:p>
        </w:tc>
        <w:tc>
          <w:tcPr>
            <w:tcW w:w="653" w:type="pct"/>
            <w:vAlign w:val="center"/>
          </w:tcPr>
          <w:p>
            <w:pPr>
              <w:jc w:val="center"/>
              <w:rPr>
                <w:rFonts w:ascii="黑体" w:hAnsi="黑体" w:eastAsia="黑体"/>
                <w:b/>
                <w:bCs/>
                <w:szCs w:val="21"/>
              </w:rPr>
            </w:pPr>
            <w:r>
              <w:rPr>
                <w:rFonts w:hint="eastAsia" w:ascii="黑体" w:hAnsi="黑体" w:eastAsia="黑体"/>
                <w:b/>
                <w:bCs/>
                <w:szCs w:val="21"/>
              </w:rPr>
              <w:t>姓名</w:t>
            </w:r>
          </w:p>
        </w:tc>
        <w:tc>
          <w:tcPr>
            <w:tcW w:w="739" w:type="pct"/>
            <w:vAlign w:val="center"/>
          </w:tcPr>
          <w:p>
            <w:pPr>
              <w:jc w:val="center"/>
              <w:rPr>
                <w:rFonts w:ascii="黑体" w:hAnsi="黑体" w:eastAsia="黑体"/>
                <w:b/>
                <w:bCs/>
                <w:szCs w:val="21"/>
              </w:rPr>
            </w:pPr>
            <w:r>
              <w:rPr>
                <w:rFonts w:hint="eastAsia" w:ascii="黑体" w:hAnsi="黑体" w:eastAsia="黑体"/>
                <w:b/>
                <w:bCs/>
                <w:szCs w:val="21"/>
              </w:rPr>
              <w:t>职位</w:t>
            </w:r>
          </w:p>
        </w:tc>
        <w:tc>
          <w:tcPr>
            <w:tcW w:w="1081" w:type="pct"/>
            <w:vAlign w:val="center"/>
          </w:tcPr>
          <w:p>
            <w:pPr>
              <w:jc w:val="center"/>
              <w:rPr>
                <w:rFonts w:ascii="黑体" w:hAnsi="黑体" w:eastAsia="黑体"/>
                <w:b/>
                <w:bCs/>
                <w:szCs w:val="21"/>
              </w:rPr>
            </w:pPr>
            <w:r>
              <w:rPr>
                <w:rFonts w:hint="eastAsia" w:ascii="黑体" w:hAnsi="黑体" w:eastAsia="黑体"/>
                <w:b/>
                <w:bCs/>
                <w:szCs w:val="21"/>
              </w:rPr>
              <w:t>持何种资格证件</w:t>
            </w:r>
          </w:p>
        </w:tc>
        <w:tc>
          <w:tcPr>
            <w:tcW w:w="830" w:type="pct"/>
            <w:vAlign w:val="center"/>
          </w:tcPr>
          <w:p>
            <w:pPr>
              <w:jc w:val="center"/>
              <w:rPr>
                <w:rFonts w:ascii="黑体" w:hAnsi="黑体" w:eastAsia="黑体"/>
                <w:b/>
                <w:bCs/>
                <w:szCs w:val="21"/>
              </w:rPr>
            </w:pPr>
            <w:r>
              <w:rPr>
                <w:rFonts w:hint="eastAsia" w:ascii="黑体" w:hAnsi="黑体" w:eastAsia="黑体"/>
                <w:b/>
                <w:bCs/>
                <w:szCs w:val="21"/>
              </w:rPr>
              <w:t>发证时间</w:t>
            </w:r>
          </w:p>
        </w:tc>
        <w:tc>
          <w:tcPr>
            <w:tcW w:w="582" w:type="pct"/>
            <w:vAlign w:val="center"/>
          </w:tcPr>
          <w:p>
            <w:pPr>
              <w:jc w:val="center"/>
              <w:rPr>
                <w:rFonts w:ascii="黑体" w:hAnsi="黑体" w:eastAsia="黑体"/>
                <w:b/>
                <w:bCs/>
                <w:szCs w:val="21"/>
              </w:rPr>
            </w:pPr>
            <w:r>
              <w:rPr>
                <w:rFonts w:hint="eastAsia" w:ascii="黑体" w:hAnsi="黑体" w:eastAsia="黑体"/>
                <w:b/>
                <w:bCs/>
                <w:szCs w:val="21"/>
              </w:rPr>
              <w:t>学历</w:t>
            </w:r>
          </w:p>
        </w:tc>
        <w:tc>
          <w:tcPr>
            <w:tcW w:w="699" w:type="pct"/>
            <w:vAlign w:val="center"/>
          </w:tcPr>
          <w:p>
            <w:pPr>
              <w:jc w:val="center"/>
              <w:rPr>
                <w:rFonts w:ascii="黑体" w:hAnsi="黑体" w:eastAsia="黑体"/>
                <w:b/>
                <w:bCs/>
                <w:szCs w:val="21"/>
              </w:rPr>
            </w:pPr>
            <w:r>
              <w:rPr>
                <w:rFonts w:hint="eastAsia" w:ascii="黑体" w:hAnsi="黑体" w:eastAsia="黑体"/>
                <w:b/>
                <w:bCs/>
                <w:szCs w:val="21"/>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szCs w:val="21"/>
              </w:rPr>
            </w:pPr>
          </w:p>
        </w:tc>
        <w:tc>
          <w:tcPr>
            <w:tcW w:w="653" w:type="pct"/>
            <w:vAlign w:val="center"/>
          </w:tcPr>
          <w:p>
            <w:pPr>
              <w:spacing w:line="480" w:lineRule="auto"/>
              <w:jc w:val="center"/>
              <w:rPr>
                <w:rFonts w:ascii="黑体" w:hAnsi="黑体" w:eastAsia="黑体"/>
                <w:szCs w:val="21"/>
              </w:rPr>
            </w:pPr>
          </w:p>
        </w:tc>
        <w:tc>
          <w:tcPr>
            <w:tcW w:w="739" w:type="pct"/>
            <w:vAlign w:val="center"/>
          </w:tcPr>
          <w:p>
            <w:pPr>
              <w:spacing w:line="480" w:lineRule="auto"/>
              <w:jc w:val="center"/>
              <w:rPr>
                <w:rFonts w:ascii="黑体" w:hAnsi="黑体" w:eastAsia="黑体"/>
                <w:szCs w:val="21"/>
              </w:rPr>
            </w:pPr>
          </w:p>
        </w:tc>
        <w:tc>
          <w:tcPr>
            <w:tcW w:w="1081" w:type="pct"/>
            <w:vAlign w:val="center"/>
          </w:tcPr>
          <w:p>
            <w:pPr>
              <w:spacing w:line="480" w:lineRule="auto"/>
              <w:jc w:val="center"/>
              <w:rPr>
                <w:rFonts w:ascii="黑体" w:hAnsi="黑体" w:eastAsia="黑体"/>
                <w:szCs w:val="21"/>
              </w:rPr>
            </w:pPr>
          </w:p>
        </w:tc>
        <w:tc>
          <w:tcPr>
            <w:tcW w:w="830" w:type="pct"/>
          </w:tcPr>
          <w:p>
            <w:pPr>
              <w:spacing w:line="480" w:lineRule="auto"/>
              <w:jc w:val="center"/>
              <w:rPr>
                <w:rFonts w:ascii="黑体" w:hAnsi="黑体" w:eastAsia="黑体"/>
                <w:szCs w:val="21"/>
              </w:rPr>
            </w:pPr>
          </w:p>
        </w:tc>
        <w:tc>
          <w:tcPr>
            <w:tcW w:w="582" w:type="pct"/>
            <w:vAlign w:val="center"/>
          </w:tcPr>
          <w:p>
            <w:pPr>
              <w:spacing w:line="480" w:lineRule="auto"/>
              <w:jc w:val="center"/>
              <w:rPr>
                <w:rFonts w:ascii="黑体" w:hAnsi="黑体" w:eastAsia="黑体"/>
                <w:szCs w:val="21"/>
              </w:rPr>
            </w:pPr>
          </w:p>
        </w:tc>
        <w:tc>
          <w:tcPr>
            <w:tcW w:w="699"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szCs w:val="21"/>
              </w:rPr>
            </w:pPr>
          </w:p>
        </w:tc>
        <w:tc>
          <w:tcPr>
            <w:tcW w:w="653" w:type="pct"/>
            <w:vAlign w:val="center"/>
          </w:tcPr>
          <w:p>
            <w:pPr>
              <w:spacing w:line="480" w:lineRule="auto"/>
              <w:jc w:val="center"/>
              <w:rPr>
                <w:rFonts w:ascii="黑体" w:hAnsi="黑体" w:eastAsia="黑体"/>
                <w:szCs w:val="21"/>
              </w:rPr>
            </w:pPr>
          </w:p>
        </w:tc>
        <w:tc>
          <w:tcPr>
            <w:tcW w:w="739" w:type="pct"/>
            <w:vAlign w:val="center"/>
          </w:tcPr>
          <w:p>
            <w:pPr>
              <w:spacing w:line="480" w:lineRule="auto"/>
              <w:jc w:val="center"/>
              <w:rPr>
                <w:rFonts w:ascii="黑体" w:hAnsi="黑体" w:eastAsia="黑体"/>
                <w:szCs w:val="21"/>
              </w:rPr>
            </w:pPr>
          </w:p>
        </w:tc>
        <w:tc>
          <w:tcPr>
            <w:tcW w:w="1081" w:type="pct"/>
            <w:vAlign w:val="center"/>
          </w:tcPr>
          <w:p>
            <w:pPr>
              <w:spacing w:line="480" w:lineRule="auto"/>
              <w:jc w:val="center"/>
              <w:rPr>
                <w:rFonts w:ascii="黑体" w:hAnsi="黑体" w:eastAsia="黑体"/>
                <w:szCs w:val="21"/>
              </w:rPr>
            </w:pPr>
          </w:p>
        </w:tc>
        <w:tc>
          <w:tcPr>
            <w:tcW w:w="830" w:type="pct"/>
          </w:tcPr>
          <w:p>
            <w:pPr>
              <w:spacing w:line="480" w:lineRule="auto"/>
              <w:jc w:val="center"/>
              <w:rPr>
                <w:rFonts w:ascii="黑体" w:hAnsi="黑体" w:eastAsia="黑体"/>
                <w:szCs w:val="21"/>
              </w:rPr>
            </w:pPr>
          </w:p>
        </w:tc>
        <w:tc>
          <w:tcPr>
            <w:tcW w:w="582" w:type="pct"/>
            <w:vAlign w:val="center"/>
          </w:tcPr>
          <w:p>
            <w:pPr>
              <w:spacing w:line="480" w:lineRule="auto"/>
              <w:jc w:val="center"/>
              <w:rPr>
                <w:rFonts w:ascii="黑体" w:hAnsi="黑体" w:eastAsia="黑体"/>
                <w:szCs w:val="21"/>
              </w:rPr>
            </w:pPr>
          </w:p>
        </w:tc>
        <w:tc>
          <w:tcPr>
            <w:tcW w:w="699"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szCs w:val="21"/>
              </w:rPr>
            </w:pPr>
          </w:p>
        </w:tc>
        <w:tc>
          <w:tcPr>
            <w:tcW w:w="653" w:type="pct"/>
            <w:vAlign w:val="center"/>
          </w:tcPr>
          <w:p>
            <w:pPr>
              <w:spacing w:line="480" w:lineRule="auto"/>
              <w:jc w:val="center"/>
              <w:rPr>
                <w:rFonts w:ascii="黑体" w:hAnsi="黑体" w:eastAsia="黑体"/>
                <w:szCs w:val="21"/>
              </w:rPr>
            </w:pPr>
          </w:p>
        </w:tc>
        <w:tc>
          <w:tcPr>
            <w:tcW w:w="739" w:type="pct"/>
            <w:vAlign w:val="center"/>
          </w:tcPr>
          <w:p>
            <w:pPr>
              <w:spacing w:line="480" w:lineRule="auto"/>
              <w:jc w:val="center"/>
              <w:rPr>
                <w:rFonts w:ascii="黑体" w:hAnsi="黑体" w:eastAsia="黑体"/>
                <w:szCs w:val="21"/>
              </w:rPr>
            </w:pPr>
          </w:p>
        </w:tc>
        <w:tc>
          <w:tcPr>
            <w:tcW w:w="1081" w:type="pct"/>
            <w:vAlign w:val="center"/>
          </w:tcPr>
          <w:p>
            <w:pPr>
              <w:spacing w:line="480" w:lineRule="auto"/>
              <w:jc w:val="center"/>
              <w:rPr>
                <w:rFonts w:ascii="黑体" w:hAnsi="黑体" w:eastAsia="黑体"/>
                <w:szCs w:val="21"/>
              </w:rPr>
            </w:pPr>
          </w:p>
        </w:tc>
        <w:tc>
          <w:tcPr>
            <w:tcW w:w="830" w:type="pct"/>
          </w:tcPr>
          <w:p>
            <w:pPr>
              <w:spacing w:line="480" w:lineRule="auto"/>
              <w:jc w:val="center"/>
              <w:rPr>
                <w:rFonts w:ascii="黑体" w:hAnsi="黑体" w:eastAsia="黑体"/>
                <w:szCs w:val="21"/>
              </w:rPr>
            </w:pPr>
          </w:p>
        </w:tc>
        <w:tc>
          <w:tcPr>
            <w:tcW w:w="582" w:type="pct"/>
            <w:vAlign w:val="center"/>
          </w:tcPr>
          <w:p>
            <w:pPr>
              <w:spacing w:line="480" w:lineRule="auto"/>
              <w:jc w:val="center"/>
              <w:rPr>
                <w:rFonts w:ascii="黑体" w:hAnsi="黑体" w:eastAsia="黑体"/>
                <w:szCs w:val="21"/>
              </w:rPr>
            </w:pPr>
          </w:p>
        </w:tc>
        <w:tc>
          <w:tcPr>
            <w:tcW w:w="699"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szCs w:val="21"/>
              </w:rPr>
            </w:pPr>
          </w:p>
        </w:tc>
        <w:tc>
          <w:tcPr>
            <w:tcW w:w="653" w:type="pct"/>
            <w:vAlign w:val="center"/>
          </w:tcPr>
          <w:p>
            <w:pPr>
              <w:spacing w:line="480" w:lineRule="auto"/>
              <w:jc w:val="center"/>
              <w:rPr>
                <w:rFonts w:ascii="黑体" w:hAnsi="黑体" w:eastAsia="黑体"/>
                <w:szCs w:val="21"/>
              </w:rPr>
            </w:pPr>
          </w:p>
        </w:tc>
        <w:tc>
          <w:tcPr>
            <w:tcW w:w="739" w:type="pct"/>
            <w:vAlign w:val="center"/>
          </w:tcPr>
          <w:p>
            <w:pPr>
              <w:spacing w:line="480" w:lineRule="auto"/>
              <w:jc w:val="center"/>
              <w:rPr>
                <w:rFonts w:ascii="黑体" w:hAnsi="黑体" w:eastAsia="黑体"/>
                <w:szCs w:val="21"/>
              </w:rPr>
            </w:pPr>
          </w:p>
        </w:tc>
        <w:tc>
          <w:tcPr>
            <w:tcW w:w="1081" w:type="pct"/>
            <w:vAlign w:val="center"/>
          </w:tcPr>
          <w:p>
            <w:pPr>
              <w:spacing w:line="480" w:lineRule="auto"/>
              <w:jc w:val="center"/>
              <w:rPr>
                <w:rFonts w:ascii="黑体" w:hAnsi="黑体" w:eastAsia="黑体"/>
                <w:szCs w:val="21"/>
              </w:rPr>
            </w:pPr>
          </w:p>
        </w:tc>
        <w:tc>
          <w:tcPr>
            <w:tcW w:w="830" w:type="pct"/>
          </w:tcPr>
          <w:p>
            <w:pPr>
              <w:spacing w:line="480" w:lineRule="auto"/>
              <w:jc w:val="center"/>
              <w:rPr>
                <w:rFonts w:ascii="黑体" w:hAnsi="黑体" w:eastAsia="黑体"/>
                <w:szCs w:val="21"/>
              </w:rPr>
            </w:pPr>
          </w:p>
        </w:tc>
        <w:tc>
          <w:tcPr>
            <w:tcW w:w="582" w:type="pct"/>
            <w:vAlign w:val="center"/>
          </w:tcPr>
          <w:p>
            <w:pPr>
              <w:spacing w:line="480" w:lineRule="auto"/>
              <w:jc w:val="center"/>
              <w:rPr>
                <w:rFonts w:ascii="黑体" w:hAnsi="黑体" w:eastAsia="黑体"/>
                <w:szCs w:val="21"/>
              </w:rPr>
            </w:pPr>
          </w:p>
        </w:tc>
        <w:tc>
          <w:tcPr>
            <w:tcW w:w="699"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szCs w:val="21"/>
              </w:rPr>
            </w:pPr>
          </w:p>
        </w:tc>
        <w:tc>
          <w:tcPr>
            <w:tcW w:w="653" w:type="pct"/>
            <w:vAlign w:val="center"/>
          </w:tcPr>
          <w:p>
            <w:pPr>
              <w:spacing w:line="480" w:lineRule="auto"/>
              <w:jc w:val="center"/>
              <w:rPr>
                <w:rFonts w:ascii="黑体" w:hAnsi="黑体" w:eastAsia="黑体"/>
                <w:szCs w:val="21"/>
              </w:rPr>
            </w:pPr>
          </w:p>
        </w:tc>
        <w:tc>
          <w:tcPr>
            <w:tcW w:w="739" w:type="pct"/>
            <w:vAlign w:val="center"/>
          </w:tcPr>
          <w:p>
            <w:pPr>
              <w:spacing w:line="480" w:lineRule="auto"/>
              <w:jc w:val="center"/>
              <w:rPr>
                <w:rFonts w:ascii="黑体" w:hAnsi="黑体" w:eastAsia="黑体"/>
                <w:szCs w:val="21"/>
              </w:rPr>
            </w:pPr>
          </w:p>
        </w:tc>
        <w:tc>
          <w:tcPr>
            <w:tcW w:w="1081" w:type="pct"/>
            <w:vAlign w:val="center"/>
          </w:tcPr>
          <w:p>
            <w:pPr>
              <w:widowControl/>
              <w:tabs>
                <w:tab w:val="right" w:leader="dot" w:pos="8302"/>
              </w:tabs>
              <w:spacing w:line="480" w:lineRule="auto"/>
              <w:jc w:val="center"/>
              <w:rPr>
                <w:rFonts w:ascii="黑体" w:hAnsi="黑体" w:eastAsia="黑体"/>
                <w:kern w:val="0"/>
                <w:szCs w:val="21"/>
              </w:rPr>
            </w:pPr>
          </w:p>
        </w:tc>
        <w:tc>
          <w:tcPr>
            <w:tcW w:w="830" w:type="pct"/>
          </w:tcPr>
          <w:p>
            <w:pPr>
              <w:spacing w:line="480" w:lineRule="auto"/>
              <w:jc w:val="center"/>
              <w:rPr>
                <w:rFonts w:ascii="黑体" w:hAnsi="黑体" w:eastAsia="黑体"/>
                <w:szCs w:val="21"/>
              </w:rPr>
            </w:pPr>
          </w:p>
        </w:tc>
        <w:tc>
          <w:tcPr>
            <w:tcW w:w="582" w:type="pct"/>
            <w:vAlign w:val="center"/>
          </w:tcPr>
          <w:p>
            <w:pPr>
              <w:spacing w:line="480" w:lineRule="auto"/>
              <w:jc w:val="center"/>
              <w:rPr>
                <w:rFonts w:ascii="黑体" w:hAnsi="黑体" w:eastAsia="黑体"/>
                <w:szCs w:val="21"/>
              </w:rPr>
            </w:pPr>
          </w:p>
        </w:tc>
        <w:tc>
          <w:tcPr>
            <w:tcW w:w="699"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szCs w:val="21"/>
              </w:rPr>
            </w:pPr>
          </w:p>
        </w:tc>
        <w:tc>
          <w:tcPr>
            <w:tcW w:w="653" w:type="pct"/>
            <w:vAlign w:val="center"/>
          </w:tcPr>
          <w:p>
            <w:pPr>
              <w:spacing w:line="480" w:lineRule="auto"/>
              <w:jc w:val="center"/>
              <w:rPr>
                <w:rFonts w:ascii="黑体" w:hAnsi="黑体" w:eastAsia="黑体"/>
                <w:szCs w:val="21"/>
              </w:rPr>
            </w:pPr>
          </w:p>
        </w:tc>
        <w:tc>
          <w:tcPr>
            <w:tcW w:w="739" w:type="pct"/>
            <w:vAlign w:val="center"/>
          </w:tcPr>
          <w:p>
            <w:pPr>
              <w:spacing w:line="480" w:lineRule="auto"/>
              <w:jc w:val="center"/>
              <w:rPr>
                <w:rFonts w:ascii="黑体" w:hAnsi="黑体" w:eastAsia="黑体"/>
                <w:szCs w:val="21"/>
              </w:rPr>
            </w:pPr>
          </w:p>
        </w:tc>
        <w:tc>
          <w:tcPr>
            <w:tcW w:w="1081" w:type="pct"/>
            <w:vAlign w:val="center"/>
          </w:tcPr>
          <w:p>
            <w:pPr>
              <w:widowControl/>
              <w:tabs>
                <w:tab w:val="right" w:leader="dot" w:pos="8302"/>
              </w:tabs>
              <w:spacing w:line="480" w:lineRule="auto"/>
              <w:jc w:val="center"/>
              <w:rPr>
                <w:rFonts w:ascii="黑体" w:hAnsi="黑体" w:eastAsia="黑体"/>
                <w:kern w:val="0"/>
                <w:szCs w:val="21"/>
              </w:rPr>
            </w:pPr>
          </w:p>
        </w:tc>
        <w:tc>
          <w:tcPr>
            <w:tcW w:w="830" w:type="pct"/>
          </w:tcPr>
          <w:p>
            <w:pPr>
              <w:spacing w:line="480" w:lineRule="auto"/>
              <w:jc w:val="center"/>
              <w:rPr>
                <w:rFonts w:ascii="黑体" w:hAnsi="黑体" w:eastAsia="黑体"/>
                <w:szCs w:val="21"/>
              </w:rPr>
            </w:pPr>
          </w:p>
        </w:tc>
        <w:tc>
          <w:tcPr>
            <w:tcW w:w="582" w:type="pct"/>
            <w:vAlign w:val="center"/>
          </w:tcPr>
          <w:p>
            <w:pPr>
              <w:spacing w:line="480" w:lineRule="auto"/>
              <w:jc w:val="center"/>
              <w:rPr>
                <w:rFonts w:ascii="黑体" w:hAnsi="黑体" w:eastAsia="黑体"/>
                <w:szCs w:val="21"/>
              </w:rPr>
            </w:pPr>
          </w:p>
        </w:tc>
        <w:tc>
          <w:tcPr>
            <w:tcW w:w="699"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szCs w:val="21"/>
              </w:rPr>
            </w:pPr>
          </w:p>
        </w:tc>
        <w:tc>
          <w:tcPr>
            <w:tcW w:w="653" w:type="pct"/>
            <w:vAlign w:val="center"/>
          </w:tcPr>
          <w:p>
            <w:pPr>
              <w:spacing w:line="480" w:lineRule="auto"/>
              <w:jc w:val="center"/>
              <w:rPr>
                <w:rFonts w:ascii="黑体" w:hAnsi="黑体" w:eastAsia="黑体"/>
                <w:szCs w:val="21"/>
              </w:rPr>
            </w:pPr>
          </w:p>
        </w:tc>
        <w:tc>
          <w:tcPr>
            <w:tcW w:w="739" w:type="pct"/>
            <w:vAlign w:val="center"/>
          </w:tcPr>
          <w:p>
            <w:pPr>
              <w:spacing w:line="480" w:lineRule="auto"/>
              <w:jc w:val="center"/>
              <w:rPr>
                <w:rFonts w:ascii="黑体" w:hAnsi="黑体" w:eastAsia="黑体"/>
                <w:szCs w:val="21"/>
              </w:rPr>
            </w:pPr>
          </w:p>
        </w:tc>
        <w:tc>
          <w:tcPr>
            <w:tcW w:w="1081" w:type="pct"/>
            <w:vAlign w:val="center"/>
          </w:tcPr>
          <w:p>
            <w:pPr>
              <w:spacing w:line="480" w:lineRule="auto"/>
              <w:jc w:val="center"/>
              <w:rPr>
                <w:rFonts w:ascii="黑体" w:hAnsi="黑体" w:eastAsia="黑体"/>
                <w:szCs w:val="21"/>
              </w:rPr>
            </w:pPr>
          </w:p>
        </w:tc>
        <w:tc>
          <w:tcPr>
            <w:tcW w:w="830" w:type="pct"/>
          </w:tcPr>
          <w:p>
            <w:pPr>
              <w:spacing w:line="480" w:lineRule="auto"/>
              <w:jc w:val="center"/>
              <w:rPr>
                <w:rFonts w:ascii="黑体" w:hAnsi="黑体" w:eastAsia="黑体"/>
                <w:szCs w:val="21"/>
              </w:rPr>
            </w:pPr>
          </w:p>
        </w:tc>
        <w:tc>
          <w:tcPr>
            <w:tcW w:w="582" w:type="pct"/>
            <w:vAlign w:val="center"/>
          </w:tcPr>
          <w:p>
            <w:pPr>
              <w:spacing w:line="480" w:lineRule="auto"/>
              <w:jc w:val="center"/>
              <w:rPr>
                <w:rFonts w:ascii="黑体" w:hAnsi="黑体" w:eastAsia="黑体"/>
                <w:szCs w:val="21"/>
              </w:rPr>
            </w:pPr>
          </w:p>
        </w:tc>
        <w:tc>
          <w:tcPr>
            <w:tcW w:w="699" w:type="pct"/>
          </w:tcPr>
          <w:p>
            <w:pPr>
              <w:spacing w:line="48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szCs w:val="21"/>
              </w:rPr>
            </w:pPr>
          </w:p>
        </w:tc>
        <w:tc>
          <w:tcPr>
            <w:tcW w:w="653" w:type="pct"/>
            <w:vAlign w:val="center"/>
          </w:tcPr>
          <w:p>
            <w:pPr>
              <w:spacing w:line="480" w:lineRule="auto"/>
              <w:jc w:val="center"/>
              <w:rPr>
                <w:rFonts w:ascii="黑体" w:hAnsi="黑体" w:eastAsia="黑体"/>
                <w:szCs w:val="21"/>
              </w:rPr>
            </w:pPr>
          </w:p>
        </w:tc>
        <w:tc>
          <w:tcPr>
            <w:tcW w:w="739" w:type="pct"/>
            <w:vAlign w:val="center"/>
          </w:tcPr>
          <w:p>
            <w:pPr>
              <w:spacing w:line="480" w:lineRule="auto"/>
              <w:jc w:val="center"/>
              <w:rPr>
                <w:rFonts w:ascii="黑体" w:hAnsi="黑体" w:eastAsia="黑体"/>
                <w:szCs w:val="21"/>
              </w:rPr>
            </w:pPr>
          </w:p>
        </w:tc>
        <w:tc>
          <w:tcPr>
            <w:tcW w:w="1081" w:type="pct"/>
            <w:vAlign w:val="center"/>
          </w:tcPr>
          <w:p>
            <w:pPr>
              <w:spacing w:line="480" w:lineRule="auto"/>
              <w:jc w:val="center"/>
              <w:rPr>
                <w:rFonts w:ascii="黑体" w:hAnsi="黑体" w:eastAsia="黑体"/>
                <w:szCs w:val="21"/>
              </w:rPr>
            </w:pPr>
          </w:p>
        </w:tc>
        <w:tc>
          <w:tcPr>
            <w:tcW w:w="830" w:type="pct"/>
          </w:tcPr>
          <w:p>
            <w:pPr>
              <w:spacing w:line="480" w:lineRule="auto"/>
              <w:jc w:val="center"/>
              <w:rPr>
                <w:rFonts w:ascii="黑体" w:hAnsi="黑体" w:eastAsia="黑体"/>
                <w:szCs w:val="21"/>
              </w:rPr>
            </w:pPr>
          </w:p>
        </w:tc>
        <w:tc>
          <w:tcPr>
            <w:tcW w:w="582" w:type="pct"/>
            <w:vAlign w:val="center"/>
          </w:tcPr>
          <w:p>
            <w:pPr>
              <w:spacing w:line="480" w:lineRule="auto"/>
              <w:jc w:val="center"/>
              <w:rPr>
                <w:rFonts w:ascii="黑体" w:hAnsi="黑体" w:eastAsia="黑体"/>
                <w:szCs w:val="21"/>
              </w:rPr>
            </w:pPr>
          </w:p>
        </w:tc>
        <w:tc>
          <w:tcPr>
            <w:tcW w:w="699" w:type="pct"/>
          </w:tcPr>
          <w:p>
            <w:pPr>
              <w:spacing w:line="480" w:lineRule="auto"/>
              <w:jc w:val="center"/>
              <w:rPr>
                <w:rFonts w:ascii="黑体" w:hAnsi="黑体" w:eastAsia="黑体"/>
                <w:szCs w:val="21"/>
              </w:rPr>
            </w:pPr>
          </w:p>
        </w:tc>
      </w:tr>
    </w:tbl>
    <w:p>
      <w:pPr>
        <w:pStyle w:val="8"/>
        <w:overflowPunct w:val="0"/>
        <w:spacing w:before="156" w:beforeLines="50" w:after="0" w:line="360" w:lineRule="auto"/>
        <w:rPr>
          <w:rFonts w:ascii="黑体" w:hAnsi="黑体" w:eastAsia="黑体"/>
          <w:szCs w:val="21"/>
        </w:rPr>
      </w:pPr>
    </w:p>
    <w:p>
      <w:pPr>
        <w:pStyle w:val="8"/>
        <w:overflowPunct w:val="0"/>
        <w:spacing w:before="156" w:beforeLines="50" w:after="0" w:line="360" w:lineRule="auto"/>
        <w:rPr>
          <w:rFonts w:ascii="黑体" w:hAnsi="黑体" w:eastAsia="黑体"/>
          <w:szCs w:val="21"/>
        </w:rPr>
      </w:pPr>
      <w:r>
        <w:rPr>
          <w:rFonts w:hint="eastAsia" w:ascii="黑体" w:hAnsi="黑体" w:eastAsia="黑体"/>
          <w:szCs w:val="21"/>
        </w:rPr>
        <w:t>注明：需提供证明资料内容详见</w:t>
      </w:r>
      <w:r>
        <w:rPr>
          <w:rFonts w:hint="eastAsia" w:ascii="黑体" w:hAnsi="黑体" w:eastAsia="黑体"/>
          <w:szCs w:val="21"/>
          <w:u w:val="single"/>
        </w:rPr>
        <w:t>（招标文件第五部分</w:t>
      </w:r>
      <w:r>
        <w:rPr>
          <w:rFonts w:ascii="黑体" w:hAnsi="黑体" w:eastAsia="黑体"/>
          <w:szCs w:val="21"/>
          <w:u w:val="single"/>
        </w:rPr>
        <w:t xml:space="preserve"> </w:t>
      </w:r>
      <w:r>
        <w:rPr>
          <w:rFonts w:hint="eastAsia" w:ascii="黑体" w:hAnsi="黑体" w:eastAsia="黑体"/>
          <w:szCs w:val="21"/>
          <w:u w:val="single"/>
        </w:rPr>
        <w:t>评标方法、步骤、标准之</w:t>
      </w:r>
      <w:r>
        <w:rPr>
          <w:rFonts w:hint="eastAsia" w:ascii="黑体" w:hAnsi="黑体" w:eastAsia="黑体"/>
          <w:kern w:val="0"/>
          <w:szCs w:val="21"/>
          <w:u w:val="single"/>
        </w:rPr>
        <w:t>附表三</w:t>
      </w:r>
      <w:r>
        <w:rPr>
          <w:rFonts w:hint="eastAsia" w:ascii="黑体" w:hAnsi="黑体" w:eastAsia="黑体"/>
          <w:szCs w:val="21"/>
          <w:u w:val="single"/>
        </w:rPr>
        <w:t>详细评审表相对应条款）</w:t>
      </w:r>
      <w:r>
        <w:rPr>
          <w:rFonts w:ascii="黑体" w:hAnsi="黑体" w:eastAsia="黑体"/>
          <w:szCs w:val="21"/>
          <w:u w:val="single"/>
        </w:rPr>
        <w:t xml:space="preserve"> </w:t>
      </w:r>
      <w:r>
        <w:rPr>
          <w:rFonts w:hint="eastAsia" w:ascii="黑体" w:hAnsi="黑体" w:eastAsia="黑体"/>
          <w:szCs w:val="21"/>
        </w:rPr>
        <w:t>。</w:t>
      </w:r>
    </w:p>
    <w:p>
      <w:pPr>
        <w:spacing w:line="360" w:lineRule="auto"/>
        <w:rPr>
          <w:rFonts w:ascii="黑体" w:hAnsi="黑体" w:eastAsia="黑体"/>
        </w:rPr>
      </w:pPr>
    </w:p>
    <w:p>
      <w:pPr>
        <w:spacing w:line="360" w:lineRule="auto"/>
        <w:rPr>
          <w:rFonts w:ascii="黑体" w:hAnsi="黑体" w:eastAsia="黑体"/>
        </w:rPr>
      </w:pPr>
    </w:p>
    <w:p>
      <w:pPr>
        <w:spacing w:line="360" w:lineRule="auto"/>
        <w:rPr>
          <w:rFonts w:ascii="黑体" w:hAnsi="黑体" w:eastAsia="黑体"/>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109" w:name="_Toc391627771"/>
      <w:bookmarkStart w:id="110" w:name="_Toc405313975"/>
      <w:r>
        <w:rPr>
          <w:rFonts w:hint="eastAsia" w:ascii="黑体" w:hAnsi="黑体" w:eastAsia="黑体"/>
          <w:b/>
          <w:bCs/>
        </w:rPr>
        <w:t>项目负责人简历表</w:t>
      </w:r>
      <w:bookmarkEnd w:id="109"/>
      <w:bookmarkEnd w:id="110"/>
    </w:p>
    <w:p>
      <w:pPr>
        <w:spacing w:before="468" w:beforeLines="150" w:after="312" w:afterLines="100" w:line="360" w:lineRule="auto"/>
        <w:jc w:val="center"/>
        <w:rPr>
          <w:rFonts w:ascii="黑体" w:hAnsi="黑体" w:eastAsia="黑体"/>
          <w:b/>
          <w:spacing w:val="20"/>
          <w:sz w:val="30"/>
          <w:szCs w:val="30"/>
        </w:rPr>
      </w:pPr>
      <w:r>
        <w:rPr>
          <w:rFonts w:hint="eastAsia" w:ascii="黑体" w:hAnsi="黑体" w:eastAsia="黑体"/>
          <w:b/>
          <w:spacing w:val="20"/>
          <w:sz w:val="30"/>
          <w:szCs w:val="30"/>
        </w:rPr>
        <w:t>项目负责人简历表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46"/>
        <w:gridCol w:w="1361"/>
        <w:gridCol w:w="326"/>
        <w:gridCol w:w="184"/>
        <w:gridCol w:w="842"/>
        <w:gridCol w:w="544"/>
        <w:gridCol w:w="14"/>
        <w:gridCol w:w="1129"/>
        <w:gridCol w:w="435"/>
        <w:gridCol w:w="647"/>
        <w:gridCol w:w="409"/>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9" w:type="pct"/>
            <w:vAlign w:val="center"/>
          </w:tcPr>
          <w:p>
            <w:pPr>
              <w:jc w:val="center"/>
              <w:rPr>
                <w:rFonts w:ascii="黑体" w:hAnsi="黑体" w:eastAsia="黑体"/>
                <w:szCs w:val="21"/>
              </w:rPr>
            </w:pPr>
            <w:r>
              <w:rPr>
                <w:rFonts w:hint="eastAsia" w:ascii="黑体" w:hAnsi="黑体" w:eastAsia="黑体"/>
                <w:szCs w:val="21"/>
              </w:rPr>
              <w:t>姓名</w:t>
            </w:r>
          </w:p>
        </w:tc>
        <w:tc>
          <w:tcPr>
            <w:tcW w:w="1493" w:type="pct"/>
            <w:gridSpan w:val="4"/>
            <w:vAlign w:val="center"/>
          </w:tcPr>
          <w:p>
            <w:pPr>
              <w:jc w:val="center"/>
              <w:rPr>
                <w:rFonts w:ascii="黑体" w:hAnsi="黑体" w:eastAsia="黑体"/>
                <w:szCs w:val="21"/>
              </w:rPr>
            </w:pPr>
          </w:p>
        </w:tc>
        <w:tc>
          <w:tcPr>
            <w:tcW w:w="480" w:type="pct"/>
            <w:vAlign w:val="center"/>
          </w:tcPr>
          <w:p>
            <w:pPr>
              <w:jc w:val="center"/>
              <w:rPr>
                <w:rFonts w:ascii="黑体" w:hAnsi="黑体" w:eastAsia="黑体"/>
                <w:szCs w:val="21"/>
              </w:rPr>
            </w:pPr>
            <w:r>
              <w:rPr>
                <w:rFonts w:hint="eastAsia" w:ascii="黑体" w:hAnsi="黑体" w:eastAsia="黑体"/>
                <w:szCs w:val="21"/>
              </w:rPr>
              <w:t>性别</w:t>
            </w:r>
          </w:p>
        </w:tc>
        <w:tc>
          <w:tcPr>
            <w:tcW w:w="962" w:type="pct"/>
            <w:gridSpan w:val="3"/>
            <w:vAlign w:val="center"/>
          </w:tcPr>
          <w:p>
            <w:pPr>
              <w:jc w:val="center"/>
              <w:rPr>
                <w:rFonts w:ascii="黑体" w:hAnsi="黑体" w:eastAsia="黑体"/>
                <w:szCs w:val="21"/>
              </w:rPr>
            </w:pPr>
          </w:p>
        </w:tc>
        <w:tc>
          <w:tcPr>
            <w:tcW w:w="617" w:type="pct"/>
            <w:gridSpan w:val="2"/>
            <w:vAlign w:val="center"/>
          </w:tcPr>
          <w:p>
            <w:pPr>
              <w:jc w:val="center"/>
              <w:rPr>
                <w:rFonts w:ascii="黑体" w:hAnsi="黑体" w:eastAsia="黑体"/>
                <w:szCs w:val="21"/>
              </w:rPr>
            </w:pPr>
            <w:r>
              <w:rPr>
                <w:rFonts w:hint="eastAsia" w:ascii="黑体" w:hAnsi="黑体" w:eastAsia="黑体"/>
                <w:szCs w:val="21"/>
              </w:rPr>
              <w:t>年龄</w:t>
            </w:r>
          </w:p>
        </w:tc>
        <w:tc>
          <w:tcPr>
            <w:tcW w:w="1030" w:type="pct"/>
            <w:gridSpan w:val="2"/>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19" w:type="pct"/>
            <w:vAlign w:val="center"/>
          </w:tcPr>
          <w:p>
            <w:pPr>
              <w:jc w:val="center"/>
              <w:rPr>
                <w:rFonts w:ascii="黑体" w:hAnsi="黑体" w:eastAsia="黑体"/>
                <w:szCs w:val="21"/>
              </w:rPr>
            </w:pPr>
            <w:r>
              <w:rPr>
                <w:rFonts w:hint="eastAsia" w:ascii="黑体" w:hAnsi="黑体" w:eastAsia="黑体"/>
                <w:szCs w:val="21"/>
              </w:rPr>
              <w:t>职务</w:t>
            </w:r>
          </w:p>
        </w:tc>
        <w:tc>
          <w:tcPr>
            <w:tcW w:w="1493" w:type="pct"/>
            <w:gridSpan w:val="4"/>
            <w:vAlign w:val="center"/>
          </w:tcPr>
          <w:p>
            <w:pPr>
              <w:jc w:val="center"/>
              <w:rPr>
                <w:rFonts w:ascii="黑体" w:hAnsi="黑体" w:eastAsia="黑体"/>
                <w:szCs w:val="21"/>
              </w:rPr>
            </w:pPr>
          </w:p>
        </w:tc>
        <w:tc>
          <w:tcPr>
            <w:tcW w:w="480" w:type="pct"/>
            <w:vAlign w:val="center"/>
          </w:tcPr>
          <w:p>
            <w:pPr>
              <w:jc w:val="center"/>
              <w:rPr>
                <w:rFonts w:ascii="黑体" w:hAnsi="黑体" w:eastAsia="黑体"/>
                <w:szCs w:val="21"/>
              </w:rPr>
            </w:pPr>
            <w:r>
              <w:rPr>
                <w:rFonts w:hint="eastAsia" w:ascii="黑体" w:hAnsi="黑体" w:eastAsia="黑体"/>
                <w:szCs w:val="21"/>
              </w:rPr>
              <w:t>职称</w:t>
            </w:r>
          </w:p>
        </w:tc>
        <w:tc>
          <w:tcPr>
            <w:tcW w:w="962" w:type="pct"/>
            <w:gridSpan w:val="3"/>
            <w:vAlign w:val="center"/>
          </w:tcPr>
          <w:p>
            <w:pPr>
              <w:jc w:val="center"/>
              <w:rPr>
                <w:rFonts w:ascii="黑体" w:hAnsi="黑体" w:eastAsia="黑体"/>
                <w:szCs w:val="21"/>
              </w:rPr>
            </w:pPr>
          </w:p>
        </w:tc>
        <w:tc>
          <w:tcPr>
            <w:tcW w:w="617" w:type="pct"/>
            <w:gridSpan w:val="2"/>
            <w:vAlign w:val="center"/>
          </w:tcPr>
          <w:p>
            <w:pPr>
              <w:jc w:val="center"/>
              <w:rPr>
                <w:rFonts w:ascii="黑体" w:hAnsi="黑体" w:eastAsia="黑体"/>
                <w:szCs w:val="21"/>
              </w:rPr>
            </w:pPr>
            <w:r>
              <w:rPr>
                <w:rFonts w:hint="eastAsia" w:ascii="黑体" w:hAnsi="黑体" w:eastAsia="黑体"/>
                <w:szCs w:val="21"/>
              </w:rPr>
              <w:t>学历</w:t>
            </w:r>
          </w:p>
        </w:tc>
        <w:tc>
          <w:tcPr>
            <w:tcW w:w="1030" w:type="pct"/>
            <w:gridSpan w:val="2"/>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jc w:val="center"/>
              <w:rPr>
                <w:rFonts w:ascii="黑体" w:hAnsi="黑体" w:eastAsia="黑体"/>
                <w:szCs w:val="21"/>
              </w:rPr>
            </w:pPr>
            <w:r>
              <w:rPr>
                <w:rFonts w:hint="eastAsia" w:ascii="黑体" w:hAnsi="黑体" w:eastAsia="黑体"/>
                <w:szCs w:val="21"/>
              </w:rPr>
              <w:t>参加工作时间</w:t>
            </w:r>
          </w:p>
        </w:tc>
        <w:tc>
          <w:tcPr>
            <w:tcW w:w="1081" w:type="pct"/>
            <w:gridSpan w:val="4"/>
            <w:vAlign w:val="center"/>
          </w:tcPr>
          <w:p>
            <w:pPr>
              <w:jc w:val="center"/>
              <w:rPr>
                <w:rFonts w:ascii="黑体" w:hAnsi="黑体" w:eastAsia="黑体"/>
                <w:szCs w:val="21"/>
              </w:rPr>
            </w:pPr>
          </w:p>
        </w:tc>
        <w:tc>
          <w:tcPr>
            <w:tcW w:w="1502" w:type="pct"/>
            <w:gridSpan w:val="5"/>
            <w:vAlign w:val="center"/>
          </w:tcPr>
          <w:p>
            <w:pPr>
              <w:jc w:val="center"/>
              <w:rPr>
                <w:rFonts w:ascii="黑体" w:hAnsi="黑体" w:eastAsia="黑体"/>
                <w:szCs w:val="21"/>
              </w:rPr>
            </w:pPr>
            <w:r>
              <w:rPr>
                <w:rFonts w:hint="eastAsia" w:ascii="黑体" w:hAnsi="黑体" w:eastAsia="黑体"/>
                <w:szCs w:val="21"/>
              </w:rPr>
              <w:t>相关经验年限</w:t>
            </w:r>
          </w:p>
        </w:tc>
        <w:tc>
          <w:tcPr>
            <w:tcW w:w="796" w:type="pct"/>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jc w:val="center"/>
              <w:rPr>
                <w:rFonts w:ascii="黑体" w:hAnsi="黑体" w:eastAsia="黑体"/>
                <w:szCs w:val="21"/>
              </w:rPr>
            </w:pPr>
            <w:r>
              <w:rPr>
                <w:rFonts w:hint="eastAsia" w:ascii="黑体" w:hAnsi="黑体" w:eastAsia="黑体"/>
                <w:szCs w:val="21"/>
              </w:rPr>
              <w:t>资格证书名称、编号</w:t>
            </w:r>
          </w:p>
        </w:tc>
        <w:tc>
          <w:tcPr>
            <w:tcW w:w="3379" w:type="pct"/>
            <w:gridSpan w:val="10"/>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vAlign w:val="center"/>
          </w:tcPr>
          <w:p>
            <w:pPr>
              <w:jc w:val="center"/>
              <w:rPr>
                <w:rFonts w:ascii="黑体" w:hAnsi="黑体" w:eastAsia="黑体"/>
                <w:szCs w:val="21"/>
              </w:rPr>
            </w:pPr>
            <w:r>
              <w:rPr>
                <w:rFonts w:hint="eastAsia" w:ascii="黑体" w:hAnsi="黑体" w:eastAsia="黑体"/>
                <w:szCs w:val="21"/>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pct"/>
            <w:gridSpan w:val="2"/>
            <w:vAlign w:val="center"/>
          </w:tcPr>
          <w:p>
            <w:pPr>
              <w:jc w:val="center"/>
              <w:rPr>
                <w:rFonts w:ascii="黑体" w:hAnsi="黑体" w:eastAsia="黑体"/>
                <w:szCs w:val="21"/>
              </w:rPr>
            </w:pPr>
            <w:r>
              <w:rPr>
                <w:rFonts w:hint="eastAsia" w:ascii="黑体" w:hAnsi="黑体" w:eastAsia="黑体"/>
                <w:szCs w:val="21"/>
              </w:rPr>
              <w:t>采购人</w:t>
            </w:r>
          </w:p>
        </w:tc>
        <w:tc>
          <w:tcPr>
            <w:tcW w:w="962" w:type="pct"/>
            <w:gridSpan w:val="2"/>
            <w:vAlign w:val="center"/>
          </w:tcPr>
          <w:p>
            <w:pPr>
              <w:jc w:val="center"/>
              <w:rPr>
                <w:rFonts w:ascii="黑体" w:hAnsi="黑体" w:eastAsia="黑体"/>
                <w:szCs w:val="21"/>
              </w:rPr>
            </w:pPr>
            <w:r>
              <w:rPr>
                <w:rFonts w:hint="eastAsia" w:ascii="黑体" w:hAnsi="黑体" w:eastAsia="黑体"/>
                <w:szCs w:val="21"/>
              </w:rPr>
              <w:t>项目名称</w:t>
            </w:r>
          </w:p>
        </w:tc>
        <w:tc>
          <w:tcPr>
            <w:tcW w:w="903" w:type="pct"/>
            <w:gridSpan w:val="4"/>
            <w:vAlign w:val="center"/>
          </w:tcPr>
          <w:p>
            <w:pPr>
              <w:jc w:val="center"/>
              <w:rPr>
                <w:rFonts w:ascii="黑体" w:hAnsi="黑体" w:eastAsia="黑体"/>
                <w:szCs w:val="21"/>
              </w:rPr>
            </w:pPr>
            <w:r>
              <w:rPr>
                <w:rFonts w:hint="eastAsia" w:ascii="黑体" w:hAnsi="黑体" w:eastAsia="黑体"/>
                <w:szCs w:val="21"/>
              </w:rPr>
              <w:t>项目规模</w:t>
            </w:r>
          </w:p>
        </w:tc>
        <w:tc>
          <w:tcPr>
            <w:tcW w:w="892" w:type="pct"/>
            <w:gridSpan w:val="2"/>
            <w:vAlign w:val="center"/>
          </w:tcPr>
          <w:p>
            <w:pPr>
              <w:jc w:val="center"/>
              <w:rPr>
                <w:rFonts w:ascii="黑体" w:hAnsi="黑体" w:eastAsia="黑体"/>
                <w:szCs w:val="21"/>
              </w:rPr>
            </w:pPr>
            <w:r>
              <w:rPr>
                <w:rFonts w:hint="eastAsia" w:ascii="黑体" w:hAnsi="黑体" w:eastAsia="黑体"/>
                <w:szCs w:val="21"/>
              </w:rPr>
              <w:t>所任职务</w:t>
            </w:r>
          </w:p>
        </w:tc>
        <w:tc>
          <w:tcPr>
            <w:tcW w:w="1399" w:type="pct"/>
            <w:gridSpan w:val="3"/>
            <w:vAlign w:val="center"/>
          </w:tcPr>
          <w:p>
            <w:pPr>
              <w:jc w:val="center"/>
              <w:rPr>
                <w:rFonts w:ascii="黑体" w:hAnsi="黑体" w:eastAsia="黑体"/>
                <w:szCs w:val="21"/>
              </w:rPr>
            </w:pPr>
            <w:r>
              <w:rPr>
                <w:rFonts w:hint="eastAsia" w:ascii="黑体" w:hAnsi="黑体" w:eastAsia="黑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szCs w:val="21"/>
              </w:rPr>
            </w:pPr>
          </w:p>
        </w:tc>
        <w:tc>
          <w:tcPr>
            <w:tcW w:w="962" w:type="pct"/>
            <w:gridSpan w:val="2"/>
            <w:vAlign w:val="center"/>
          </w:tcPr>
          <w:p>
            <w:pPr>
              <w:jc w:val="center"/>
              <w:rPr>
                <w:rFonts w:ascii="黑体" w:hAnsi="黑体" w:eastAsia="黑体"/>
                <w:szCs w:val="21"/>
              </w:rPr>
            </w:pPr>
          </w:p>
        </w:tc>
        <w:tc>
          <w:tcPr>
            <w:tcW w:w="903" w:type="pct"/>
            <w:gridSpan w:val="4"/>
            <w:vAlign w:val="center"/>
          </w:tcPr>
          <w:p>
            <w:pPr>
              <w:jc w:val="center"/>
              <w:rPr>
                <w:rFonts w:ascii="黑体" w:hAnsi="黑体" w:eastAsia="黑体"/>
                <w:szCs w:val="21"/>
              </w:rPr>
            </w:pPr>
          </w:p>
        </w:tc>
        <w:tc>
          <w:tcPr>
            <w:tcW w:w="892" w:type="pct"/>
            <w:gridSpan w:val="2"/>
            <w:vAlign w:val="center"/>
          </w:tcPr>
          <w:p>
            <w:pPr>
              <w:jc w:val="center"/>
              <w:rPr>
                <w:rFonts w:ascii="黑体" w:hAnsi="黑体" w:eastAsia="黑体"/>
                <w:szCs w:val="21"/>
              </w:rPr>
            </w:pPr>
          </w:p>
        </w:tc>
        <w:tc>
          <w:tcPr>
            <w:tcW w:w="1399" w:type="pct"/>
            <w:gridSpan w:val="3"/>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szCs w:val="21"/>
              </w:rPr>
            </w:pPr>
          </w:p>
        </w:tc>
        <w:tc>
          <w:tcPr>
            <w:tcW w:w="962" w:type="pct"/>
            <w:gridSpan w:val="2"/>
            <w:vAlign w:val="center"/>
          </w:tcPr>
          <w:p>
            <w:pPr>
              <w:jc w:val="center"/>
              <w:rPr>
                <w:rFonts w:ascii="黑体" w:hAnsi="黑体" w:eastAsia="黑体"/>
                <w:szCs w:val="21"/>
              </w:rPr>
            </w:pPr>
          </w:p>
        </w:tc>
        <w:tc>
          <w:tcPr>
            <w:tcW w:w="903" w:type="pct"/>
            <w:gridSpan w:val="4"/>
            <w:vAlign w:val="center"/>
          </w:tcPr>
          <w:p>
            <w:pPr>
              <w:jc w:val="center"/>
              <w:rPr>
                <w:rFonts w:ascii="黑体" w:hAnsi="黑体" w:eastAsia="黑体"/>
                <w:szCs w:val="21"/>
              </w:rPr>
            </w:pPr>
          </w:p>
        </w:tc>
        <w:tc>
          <w:tcPr>
            <w:tcW w:w="892" w:type="pct"/>
            <w:gridSpan w:val="2"/>
            <w:vAlign w:val="center"/>
          </w:tcPr>
          <w:p>
            <w:pPr>
              <w:jc w:val="center"/>
              <w:rPr>
                <w:rFonts w:ascii="黑体" w:hAnsi="黑体" w:eastAsia="黑体"/>
                <w:szCs w:val="21"/>
              </w:rPr>
            </w:pPr>
          </w:p>
        </w:tc>
        <w:tc>
          <w:tcPr>
            <w:tcW w:w="1399" w:type="pct"/>
            <w:gridSpan w:val="3"/>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szCs w:val="21"/>
              </w:rPr>
            </w:pPr>
          </w:p>
        </w:tc>
        <w:tc>
          <w:tcPr>
            <w:tcW w:w="962" w:type="pct"/>
            <w:gridSpan w:val="2"/>
            <w:vAlign w:val="center"/>
          </w:tcPr>
          <w:p>
            <w:pPr>
              <w:jc w:val="center"/>
              <w:rPr>
                <w:rFonts w:ascii="黑体" w:hAnsi="黑体" w:eastAsia="黑体"/>
                <w:szCs w:val="21"/>
              </w:rPr>
            </w:pPr>
          </w:p>
        </w:tc>
        <w:tc>
          <w:tcPr>
            <w:tcW w:w="903" w:type="pct"/>
            <w:gridSpan w:val="4"/>
            <w:vAlign w:val="center"/>
          </w:tcPr>
          <w:p>
            <w:pPr>
              <w:jc w:val="center"/>
              <w:rPr>
                <w:rFonts w:ascii="黑体" w:hAnsi="黑体" w:eastAsia="黑体"/>
                <w:szCs w:val="21"/>
              </w:rPr>
            </w:pPr>
          </w:p>
        </w:tc>
        <w:tc>
          <w:tcPr>
            <w:tcW w:w="892" w:type="pct"/>
            <w:gridSpan w:val="2"/>
            <w:vAlign w:val="center"/>
          </w:tcPr>
          <w:p>
            <w:pPr>
              <w:jc w:val="center"/>
              <w:rPr>
                <w:rFonts w:ascii="黑体" w:hAnsi="黑体" w:eastAsia="黑体"/>
                <w:szCs w:val="21"/>
              </w:rPr>
            </w:pPr>
          </w:p>
        </w:tc>
        <w:tc>
          <w:tcPr>
            <w:tcW w:w="1399" w:type="pct"/>
            <w:gridSpan w:val="3"/>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szCs w:val="21"/>
              </w:rPr>
            </w:pPr>
          </w:p>
        </w:tc>
        <w:tc>
          <w:tcPr>
            <w:tcW w:w="962" w:type="pct"/>
            <w:gridSpan w:val="2"/>
            <w:vAlign w:val="center"/>
          </w:tcPr>
          <w:p>
            <w:pPr>
              <w:jc w:val="center"/>
              <w:rPr>
                <w:rFonts w:ascii="黑体" w:hAnsi="黑体" w:eastAsia="黑体"/>
                <w:szCs w:val="21"/>
              </w:rPr>
            </w:pPr>
          </w:p>
        </w:tc>
        <w:tc>
          <w:tcPr>
            <w:tcW w:w="903" w:type="pct"/>
            <w:gridSpan w:val="4"/>
            <w:vAlign w:val="center"/>
          </w:tcPr>
          <w:p>
            <w:pPr>
              <w:jc w:val="center"/>
              <w:rPr>
                <w:rFonts w:ascii="黑体" w:hAnsi="黑体" w:eastAsia="黑体"/>
                <w:szCs w:val="21"/>
              </w:rPr>
            </w:pPr>
          </w:p>
        </w:tc>
        <w:tc>
          <w:tcPr>
            <w:tcW w:w="892" w:type="pct"/>
            <w:gridSpan w:val="2"/>
            <w:vAlign w:val="center"/>
          </w:tcPr>
          <w:p>
            <w:pPr>
              <w:jc w:val="center"/>
              <w:rPr>
                <w:rFonts w:ascii="黑体" w:hAnsi="黑体" w:eastAsia="黑体"/>
                <w:szCs w:val="21"/>
              </w:rPr>
            </w:pPr>
          </w:p>
        </w:tc>
        <w:tc>
          <w:tcPr>
            <w:tcW w:w="1399" w:type="pct"/>
            <w:gridSpan w:val="3"/>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szCs w:val="21"/>
              </w:rPr>
            </w:pPr>
          </w:p>
        </w:tc>
        <w:tc>
          <w:tcPr>
            <w:tcW w:w="962" w:type="pct"/>
            <w:gridSpan w:val="2"/>
            <w:vAlign w:val="center"/>
          </w:tcPr>
          <w:p>
            <w:pPr>
              <w:jc w:val="center"/>
              <w:rPr>
                <w:rFonts w:ascii="黑体" w:hAnsi="黑体" w:eastAsia="黑体"/>
                <w:szCs w:val="21"/>
              </w:rPr>
            </w:pPr>
          </w:p>
        </w:tc>
        <w:tc>
          <w:tcPr>
            <w:tcW w:w="903" w:type="pct"/>
            <w:gridSpan w:val="4"/>
            <w:vAlign w:val="center"/>
          </w:tcPr>
          <w:p>
            <w:pPr>
              <w:jc w:val="center"/>
              <w:rPr>
                <w:rFonts w:ascii="黑体" w:hAnsi="黑体" w:eastAsia="黑体"/>
                <w:szCs w:val="21"/>
              </w:rPr>
            </w:pPr>
          </w:p>
        </w:tc>
        <w:tc>
          <w:tcPr>
            <w:tcW w:w="892" w:type="pct"/>
            <w:gridSpan w:val="2"/>
            <w:vAlign w:val="center"/>
          </w:tcPr>
          <w:p>
            <w:pPr>
              <w:jc w:val="center"/>
              <w:rPr>
                <w:rFonts w:ascii="黑体" w:hAnsi="黑体" w:eastAsia="黑体"/>
                <w:szCs w:val="21"/>
              </w:rPr>
            </w:pPr>
          </w:p>
        </w:tc>
        <w:tc>
          <w:tcPr>
            <w:tcW w:w="1399" w:type="pct"/>
            <w:gridSpan w:val="3"/>
            <w:vAlign w:val="center"/>
          </w:tcPr>
          <w:p>
            <w:pPr>
              <w:jc w:val="center"/>
              <w:rPr>
                <w:rFonts w:ascii="黑体" w:hAnsi="黑体" w:eastAsia="黑体"/>
                <w:szCs w:val="21"/>
              </w:rPr>
            </w:pPr>
          </w:p>
        </w:tc>
      </w:tr>
    </w:tbl>
    <w:p>
      <w:pPr>
        <w:pStyle w:val="8"/>
        <w:overflowPunct w:val="0"/>
        <w:spacing w:before="156" w:beforeLines="50" w:after="0" w:line="360" w:lineRule="auto"/>
        <w:rPr>
          <w:rFonts w:ascii="黑体" w:hAnsi="黑体" w:eastAsia="黑体"/>
          <w:szCs w:val="21"/>
        </w:rPr>
      </w:pPr>
      <w:r>
        <w:rPr>
          <w:rFonts w:hint="eastAsia" w:ascii="黑体" w:hAnsi="黑体" w:eastAsia="黑体"/>
          <w:szCs w:val="21"/>
        </w:rPr>
        <w:t>注明：需提供证明资料内容详见</w:t>
      </w:r>
      <w:r>
        <w:rPr>
          <w:rFonts w:hint="eastAsia" w:ascii="黑体" w:hAnsi="黑体" w:eastAsia="黑体"/>
          <w:szCs w:val="21"/>
          <w:u w:val="single"/>
        </w:rPr>
        <w:t>（招标文件第五部分</w:t>
      </w:r>
      <w:r>
        <w:rPr>
          <w:rFonts w:ascii="黑体" w:hAnsi="黑体" w:eastAsia="黑体"/>
          <w:szCs w:val="21"/>
          <w:u w:val="single"/>
        </w:rPr>
        <w:t xml:space="preserve"> </w:t>
      </w:r>
      <w:r>
        <w:rPr>
          <w:rFonts w:hint="eastAsia" w:ascii="黑体" w:hAnsi="黑体" w:eastAsia="黑体"/>
          <w:szCs w:val="21"/>
          <w:u w:val="single"/>
        </w:rPr>
        <w:t>评标方法、步骤、标准之</w:t>
      </w:r>
      <w:r>
        <w:rPr>
          <w:rFonts w:hint="eastAsia" w:ascii="黑体" w:hAnsi="黑体" w:eastAsia="黑体"/>
          <w:kern w:val="0"/>
          <w:szCs w:val="21"/>
          <w:u w:val="single"/>
        </w:rPr>
        <w:t>附表三</w:t>
      </w:r>
      <w:r>
        <w:rPr>
          <w:rFonts w:hint="eastAsia" w:ascii="黑体" w:hAnsi="黑体" w:eastAsia="黑体"/>
          <w:szCs w:val="21"/>
          <w:u w:val="single"/>
        </w:rPr>
        <w:t>详细评审表相对应条款）</w:t>
      </w:r>
      <w:r>
        <w:rPr>
          <w:rFonts w:ascii="黑体" w:hAnsi="黑体" w:eastAsia="黑体"/>
          <w:szCs w:val="21"/>
          <w:u w:val="single"/>
        </w:rPr>
        <w:t xml:space="preserve"> </w:t>
      </w:r>
      <w:r>
        <w:rPr>
          <w:rFonts w:hint="eastAsia" w:ascii="黑体" w:hAnsi="黑体" w:eastAsia="黑体"/>
          <w:szCs w:val="21"/>
        </w:rPr>
        <w:t>。</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r>
        <w:rPr>
          <w:rFonts w:hint="eastAsia" w:ascii="黑体" w:hAnsi="黑体" w:eastAsia="黑体"/>
          <w:b/>
          <w:bCs/>
        </w:rPr>
        <w:t>技术要求偏离表</w:t>
      </w:r>
    </w:p>
    <w:p>
      <w:pPr>
        <w:spacing w:before="312" w:beforeLines="100" w:after="468" w:afterLines="150" w:line="360" w:lineRule="auto"/>
        <w:jc w:val="center"/>
        <w:rPr>
          <w:rFonts w:ascii="黑体" w:hAnsi="黑体" w:eastAsia="黑体"/>
          <w:b/>
          <w:spacing w:val="20"/>
          <w:sz w:val="30"/>
          <w:szCs w:val="30"/>
        </w:rPr>
      </w:pPr>
      <w:r>
        <w:rPr>
          <w:rFonts w:hint="eastAsia" w:ascii="黑体" w:hAnsi="黑体" w:eastAsia="黑体"/>
          <w:b/>
          <w:spacing w:val="20"/>
          <w:sz w:val="30"/>
          <w:szCs w:val="30"/>
        </w:rPr>
        <w:t>技术要求偏离表</w:t>
      </w: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0" w:type="dxa"/>
            <w:vAlign w:val="center"/>
          </w:tcPr>
          <w:p>
            <w:pPr>
              <w:jc w:val="center"/>
              <w:rPr>
                <w:rFonts w:ascii="黑体" w:hAnsi="黑体" w:eastAsia="黑体"/>
                <w:b/>
                <w:szCs w:val="21"/>
              </w:rPr>
            </w:pPr>
            <w:r>
              <w:rPr>
                <w:rFonts w:hint="eastAsia" w:ascii="黑体" w:hAnsi="黑体" w:eastAsia="黑体"/>
                <w:b/>
                <w:szCs w:val="21"/>
              </w:rPr>
              <w:t>序号</w:t>
            </w:r>
          </w:p>
        </w:tc>
        <w:tc>
          <w:tcPr>
            <w:tcW w:w="2352" w:type="dxa"/>
            <w:vAlign w:val="center"/>
          </w:tcPr>
          <w:p>
            <w:pPr>
              <w:jc w:val="center"/>
              <w:rPr>
                <w:rFonts w:ascii="黑体" w:hAnsi="黑体" w:eastAsia="黑体"/>
                <w:b/>
                <w:szCs w:val="21"/>
              </w:rPr>
            </w:pPr>
            <w:r>
              <w:rPr>
                <w:rFonts w:hint="eastAsia" w:ascii="黑体" w:hAnsi="黑体" w:eastAsia="黑体"/>
                <w:b/>
                <w:szCs w:val="21"/>
              </w:rPr>
              <w:t>招标文件要求</w:t>
            </w:r>
          </w:p>
        </w:tc>
        <w:tc>
          <w:tcPr>
            <w:tcW w:w="2126" w:type="dxa"/>
            <w:vAlign w:val="center"/>
          </w:tcPr>
          <w:p>
            <w:pPr>
              <w:jc w:val="center"/>
              <w:rPr>
                <w:rFonts w:ascii="黑体" w:hAnsi="黑体" w:eastAsia="黑体"/>
                <w:b/>
                <w:szCs w:val="21"/>
              </w:rPr>
            </w:pPr>
            <w:r>
              <w:rPr>
                <w:rFonts w:hint="eastAsia" w:ascii="黑体" w:hAnsi="黑体" w:eastAsia="黑体"/>
                <w:b/>
                <w:bCs/>
                <w:szCs w:val="21"/>
              </w:rPr>
              <w:t>投标文件响应内容</w:t>
            </w:r>
          </w:p>
        </w:tc>
        <w:tc>
          <w:tcPr>
            <w:tcW w:w="1644" w:type="dxa"/>
            <w:vAlign w:val="center"/>
          </w:tcPr>
          <w:p>
            <w:pPr>
              <w:ind w:left="293" w:hanging="293" w:hangingChars="139"/>
              <w:jc w:val="center"/>
              <w:rPr>
                <w:rFonts w:ascii="黑体" w:hAnsi="黑体" w:eastAsia="黑体"/>
                <w:b/>
                <w:szCs w:val="21"/>
              </w:rPr>
            </w:pPr>
            <w:r>
              <w:rPr>
                <w:rFonts w:hint="eastAsia" w:ascii="黑体" w:hAnsi="黑体" w:eastAsia="黑体"/>
                <w:b/>
                <w:szCs w:val="21"/>
              </w:rPr>
              <w:t>偏离情况</w:t>
            </w:r>
          </w:p>
        </w:tc>
        <w:tc>
          <w:tcPr>
            <w:tcW w:w="1575" w:type="dxa"/>
            <w:vAlign w:val="center"/>
          </w:tcPr>
          <w:p>
            <w:pPr>
              <w:jc w:val="center"/>
              <w:rPr>
                <w:rFonts w:ascii="黑体" w:hAnsi="黑体" w:eastAsia="黑体"/>
                <w:b/>
                <w:szCs w:val="21"/>
              </w:rPr>
            </w:pPr>
            <w:r>
              <w:rPr>
                <w:rFonts w:hint="eastAsia" w:ascii="黑体" w:hAnsi="黑体" w:eastAsia="黑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pPr>
              <w:spacing w:line="360" w:lineRule="auto"/>
              <w:jc w:val="center"/>
              <w:rPr>
                <w:rFonts w:ascii="黑体" w:hAnsi="黑体" w:eastAsia="黑体"/>
                <w:szCs w:val="21"/>
              </w:rPr>
            </w:pPr>
          </w:p>
        </w:tc>
        <w:tc>
          <w:tcPr>
            <w:tcW w:w="2352" w:type="dxa"/>
            <w:vAlign w:val="center"/>
          </w:tcPr>
          <w:p>
            <w:pPr>
              <w:spacing w:line="360" w:lineRule="auto"/>
              <w:jc w:val="center"/>
              <w:rPr>
                <w:rFonts w:ascii="黑体" w:hAnsi="黑体" w:eastAsia="黑体"/>
                <w:szCs w:val="21"/>
              </w:rPr>
            </w:pPr>
          </w:p>
        </w:tc>
        <w:tc>
          <w:tcPr>
            <w:tcW w:w="2126" w:type="dxa"/>
            <w:vAlign w:val="center"/>
          </w:tcPr>
          <w:p>
            <w:pPr>
              <w:spacing w:line="360" w:lineRule="auto"/>
              <w:jc w:val="center"/>
              <w:rPr>
                <w:rFonts w:ascii="黑体" w:hAnsi="黑体" w:eastAsia="黑体"/>
                <w:szCs w:val="21"/>
              </w:rPr>
            </w:pPr>
          </w:p>
        </w:tc>
        <w:tc>
          <w:tcPr>
            <w:tcW w:w="1644" w:type="dxa"/>
            <w:vAlign w:val="center"/>
          </w:tcPr>
          <w:p>
            <w:pPr>
              <w:spacing w:line="360" w:lineRule="auto"/>
              <w:jc w:val="center"/>
              <w:rPr>
                <w:rFonts w:ascii="黑体" w:hAnsi="黑体" w:eastAsia="黑体"/>
                <w:szCs w:val="21"/>
              </w:rPr>
            </w:pPr>
          </w:p>
        </w:tc>
        <w:tc>
          <w:tcPr>
            <w:tcW w:w="1575" w:type="dxa"/>
            <w:vAlign w:val="center"/>
          </w:tcPr>
          <w:p>
            <w:pPr>
              <w:spacing w:line="360" w:lineRule="auto"/>
              <w:jc w:val="center"/>
              <w:rPr>
                <w:rFonts w:ascii="黑体" w:hAnsi="黑体" w:eastAsia="黑体"/>
                <w:szCs w:val="21"/>
              </w:rPr>
            </w:pPr>
          </w:p>
        </w:tc>
      </w:tr>
    </w:tbl>
    <w:p>
      <w:pPr>
        <w:spacing w:before="156" w:beforeLines="50" w:line="360" w:lineRule="auto"/>
        <w:rPr>
          <w:rFonts w:ascii="黑体" w:hAnsi="黑体" w:eastAsia="黑体"/>
          <w:szCs w:val="21"/>
        </w:rPr>
      </w:pPr>
      <w:r>
        <w:rPr>
          <w:rFonts w:hint="eastAsia" w:ascii="黑体" w:hAnsi="黑体" w:eastAsia="黑体"/>
          <w:szCs w:val="21"/>
        </w:rPr>
        <w:t>注明：</w:t>
      </w:r>
    </w:p>
    <w:p>
      <w:pPr>
        <w:pStyle w:val="30"/>
        <w:numPr>
          <w:ilvl w:val="0"/>
          <w:numId w:val="92"/>
        </w:numPr>
        <w:spacing w:line="360" w:lineRule="auto"/>
        <w:ind w:firstLineChars="0"/>
        <w:rPr>
          <w:rFonts w:ascii="黑体" w:hAnsi="黑体" w:eastAsia="黑体"/>
          <w:szCs w:val="21"/>
        </w:rPr>
      </w:pPr>
      <w:r>
        <w:rPr>
          <w:rFonts w:hint="eastAsia" w:ascii="黑体" w:hAnsi="黑体" w:eastAsia="黑体"/>
          <w:szCs w:val="21"/>
        </w:rPr>
        <w:t>偏离情况项填写“正”、“负”或“无”，说明项中填写原因。</w:t>
      </w:r>
    </w:p>
    <w:p>
      <w:pPr>
        <w:pStyle w:val="30"/>
        <w:numPr>
          <w:ilvl w:val="0"/>
          <w:numId w:val="92"/>
        </w:numPr>
        <w:spacing w:line="360" w:lineRule="auto"/>
        <w:ind w:firstLineChars="0"/>
        <w:rPr>
          <w:rFonts w:ascii="黑体" w:hAnsi="黑体" w:eastAsia="黑体"/>
          <w:szCs w:val="21"/>
        </w:rPr>
      </w:pPr>
      <w:r>
        <w:rPr>
          <w:rFonts w:hint="eastAsia" w:ascii="黑体" w:hAnsi="黑体" w:eastAsia="黑体"/>
          <w:szCs w:val="21"/>
        </w:rPr>
        <w:t>投标人应按照招标文件要求，根据“采购需求”内容作出全面响应。对响应有偏离的，则说明偏离的内容。</w:t>
      </w:r>
      <w:r>
        <w:rPr>
          <w:rFonts w:hint="eastAsia" w:ascii="黑体" w:hAnsi="黑体" w:eastAsia="黑体" w:cs="Times New Roman"/>
          <w:szCs w:val="21"/>
        </w:rPr>
        <w:t>“采购需求”内容中若有要求提供相关证明资料的，须按要求提供，否则视为负偏离</w:t>
      </w:r>
      <w:r>
        <w:rPr>
          <w:rFonts w:hint="eastAsia" w:ascii="黑体" w:hAnsi="黑体" w:eastAsia="黑体"/>
          <w:szCs w:val="21"/>
        </w:rPr>
        <w:t>。</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spacing w:line="360" w:lineRule="auto"/>
        <w:rPr>
          <w:rFonts w:ascii="黑体" w:hAnsi="黑体" w:eastAsia="黑体"/>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111" w:name="_Toc82388833"/>
      <w:r>
        <w:rPr>
          <w:rFonts w:hint="eastAsia" w:ascii="黑体" w:hAnsi="黑体" w:eastAsia="黑体"/>
          <w:b/>
          <w:bCs/>
        </w:rPr>
        <w:t>★号条款要求响应一览表（可选）</w:t>
      </w:r>
      <w:bookmarkEnd w:id="111"/>
    </w:p>
    <w:p>
      <w:pPr>
        <w:spacing w:before="312" w:beforeLines="100" w:after="312" w:afterLines="100"/>
        <w:jc w:val="center"/>
        <w:rPr>
          <w:rFonts w:ascii="黑体" w:hAnsi="黑体" w:eastAsia="黑体" w:cs="Times New Roman"/>
          <w:b/>
          <w:spacing w:val="20"/>
          <w:sz w:val="30"/>
          <w:szCs w:val="30"/>
        </w:rPr>
      </w:pPr>
      <w:bookmarkStart w:id="112" w:name="_Hlk82385743"/>
      <w:r>
        <w:rPr>
          <w:rFonts w:hint="eastAsia" w:ascii="黑体" w:hAnsi="黑体" w:eastAsia="黑体" w:cs="Times New Roman"/>
          <w:b/>
          <w:spacing w:val="20"/>
          <w:sz w:val="30"/>
          <w:szCs w:val="30"/>
        </w:rPr>
        <w:t>★号条款</w:t>
      </w:r>
      <w:bookmarkEnd w:id="112"/>
      <w:r>
        <w:rPr>
          <w:rFonts w:hint="eastAsia" w:ascii="黑体" w:hAnsi="黑体" w:eastAsia="黑体" w:cs="Times New Roman"/>
          <w:b/>
          <w:spacing w:val="20"/>
          <w:sz w:val="30"/>
          <w:szCs w:val="30"/>
        </w:rPr>
        <w:t>响应一览表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190"/>
        <w:gridCol w:w="1843"/>
        <w:gridCol w:w="184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0" w:type="auto"/>
            <w:shd w:val="clear" w:color="auto" w:fill="auto"/>
            <w:vAlign w:val="center"/>
          </w:tcPr>
          <w:p>
            <w:pPr>
              <w:spacing w:line="360" w:lineRule="auto"/>
              <w:jc w:val="center"/>
              <w:rPr>
                <w:rFonts w:ascii="黑体" w:hAnsi="黑体" w:eastAsia="黑体"/>
              </w:rPr>
            </w:pPr>
            <w:r>
              <w:rPr>
                <w:rFonts w:hint="eastAsia" w:ascii="黑体" w:hAnsi="黑体" w:eastAsia="黑体"/>
              </w:rPr>
              <w:t>序号</w:t>
            </w:r>
          </w:p>
        </w:tc>
        <w:tc>
          <w:tcPr>
            <w:tcW w:w="3190" w:type="dxa"/>
            <w:shd w:val="clear" w:color="auto" w:fill="auto"/>
            <w:vAlign w:val="center"/>
          </w:tcPr>
          <w:p>
            <w:pPr>
              <w:spacing w:line="360" w:lineRule="auto"/>
              <w:jc w:val="center"/>
              <w:rPr>
                <w:rFonts w:ascii="黑体" w:hAnsi="黑体" w:eastAsia="黑体"/>
              </w:rPr>
            </w:pPr>
            <w:r>
              <w:rPr>
                <w:rFonts w:hint="eastAsia" w:ascii="黑体" w:hAnsi="黑体" w:eastAsia="黑体"/>
              </w:rPr>
              <w:t>采购需求★号条款要求</w:t>
            </w:r>
          </w:p>
        </w:tc>
        <w:tc>
          <w:tcPr>
            <w:tcW w:w="1843" w:type="dxa"/>
            <w:shd w:val="clear" w:color="auto" w:fill="auto"/>
            <w:vAlign w:val="center"/>
          </w:tcPr>
          <w:p>
            <w:pPr>
              <w:spacing w:line="360" w:lineRule="auto"/>
              <w:jc w:val="center"/>
              <w:rPr>
                <w:rFonts w:ascii="黑体" w:hAnsi="黑体" w:eastAsia="黑体"/>
              </w:rPr>
            </w:pPr>
            <w:r>
              <w:rPr>
                <w:rFonts w:hint="eastAsia" w:ascii="黑体" w:hAnsi="黑体" w:eastAsia="黑体"/>
              </w:rPr>
              <w:t>投标人响应内容</w:t>
            </w:r>
          </w:p>
        </w:tc>
        <w:tc>
          <w:tcPr>
            <w:tcW w:w="1843" w:type="dxa"/>
            <w:shd w:val="clear" w:color="auto" w:fill="auto"/>
            <w:vAlign w:val="center"/>
          </w:tcPr>
          <w:p>
            <w:pPr>
              <w:spacing w:line="360" w:lineRule="auto"/>
              <w:jc w:val="center"/>
              <w:rPr>
                <w:rFonts w:ascii="黑体" w:hAnsi="黑体" w:eastAsia="黑体"/>
              </w:rPr>
            </w:pPr>
            <w:r>
              <w:rPr>
                <w:rFonts w:hint="eastAsia" w:ascii="黑体" w:hAnsi="黑体" w:eastAsia="黑体"/>
              </w:rPr>
              <w:t>偏离情况及说明</w:t>
            </w:r>
          </w:p>
          <w:p>
            <w:pPr>
              <w:spacing w:line="360" w:lineRule="auto"/>
              <w:jc w:val="center"/>
              <w:rPr>
                <w:rFonts w:ascii="黑体" w:hAnsi="黑体" w:eastAsia="黑体"/>
              </w:rPr>
            </w:pPr>
            <w:r>
              <w:rPr>
                <w:rFonts w:ascii="黑体" w:hAnsi="黑体" w:eastAsia="黑体"/>
              </w:rPr>
              <w:t>(正偏离/</w:t>
            </w:r>
            <w:r>
              <w:rPr>
                <w:rFonts w:hint="eastAsia" w:ascii="黑体" w:hAnsi="黑体" w:eastAsia="黑体"/>
              </w:rPr>
              <w:t>无偏离</w:t>
            </w:r>
            <w:r>
              <w:rPr>
                <w:rFonts w:ascii="黑体" w:hAnsi="黑体" w:eastAsia="黑体"/>
              </w:rPr>
              <w:t>/负偏离)</w:t>
            </w:r>
          </w:p>
        </w:tc>
        <w:tc>
          <w:tcPr>
            <w:tcW w:w="1190" w:type="dxa"/>
            <w:shd w:val="clear" w:color="auto" w:fill="auto"/>
            <w:vAlign w:val="center"/>
          </w:tcPr>
          <w:p>
            <w:pPr>
              <w:spacing w:line="360" w:lineRule="auto"/>
              <w:jc w:val="center"/>
              <w:rPr>
                <w:rFonts w:ascii="黑体" w:hAnsi="黑体" w:eastAsia="黑体"/>
              </w:rPr>
            </w:pPr>
            <w:r>
              <w:rPr>
                <w:rFonts w:hint="eastAsia" w:ascii="黑体" w:hAnsi="黑体" w:eastAsia="黑体"/>
              </w:rPr>
              <w:t>查阅</w:t>
            </w:r>
            <w:r>
              <w:rPr>
                <w:rFonts w:ascii="黑体" w:hAnsi="黑体" w:eastAsia="黑体"/>
              </w:rPr>
              <w:t>/证明文件索引页码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rPr>
            </w:pPr>
            <w:r>
              <w:rPr>
                <w:rFonts w:ascii="黑体" w:hAnsi="黑体" w:eastAsia="黑体"/>
              </w:rPr>
              <w:t>1</w:t>
            </w:r>
          </w:p>
        </w:tc>
        <w:tc>
          <w:tcPr>
            <w:tcW w:w="3190"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190" w:type="dxa"/>
            <w:shd w:val="clear" w:color="auto" w:fill="auto"/>
          </w:tcPr>
          <w:p>
            <w:pPr>
              <w:spacing w:line="360" w:lineRule="auto"/>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rPr>
            </w:pPr>
            <w:r>
              <w:rPr>
                <w:rFonts w:ascii="黑体" w:hAnsi="黑体" w:eastAsia="黑体"/>
              </w:rPr>
              <w:t>2</w:t>
            </w:r>
          </w:p>
        </w:tc>
        <w:tc>
          <w:tcPr>
            <w:tcW w:w="3190"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190" w:type="dxa"/>
            <w:shd w:val="clear" w:color="auto" w:fill="auto"/>
          </w:tcPr>
          <w:p>
            <w:pPr>
              <w:spacing w:line="360" w:lineRule="auto"/>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rPr>
            </w:pPr>
            <w:r>
              <w:rPr>
                <w:rFonts w:ascii="黑体" w:hAnsi="黑体" w:eastAsia="黑体"/>
              </w:rPr>
              <w:t>3</w:t>
            </w:r>
          </w:p>
        </w:tc>
        <w:tc>
          <w:tcPr>
            <w:tcW w:w="3190"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190" w:type="dxa"/>
            <w:shd w:val="clear" w:color="auto" w:fill="auto"/>
          </w:tcPr>
          <w:p>
            <w:pPr>
              <w:spacing w:line="360" w:lineRule="auto"/>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rPr>
            </w:pPr>
            <w:r>
              <w:rPr>
                <w:rFonts w:ascii="黑体" w:hAnsi="黑体" w:eastAsia="黑体"/>
              </w:rPr>
              <w:t>4</w:t>
            </w:r>
          </w:p>
        </w:tc>
        <w:tc>
          <w:tcPr>
            <w:tcW w:w="3190"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190" w:type="dxa"/>
            <w:shd w:val="clear" w:color="auto" w:fill="auto"/>
          </w:tcPr>
          <w:p>
            <w:pPr>
              <w:spacing w:line="360" w:lineRule="auto"/>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rPr>
            </w:pPr>
            <w:r>
              <w:rPr>
                <w:rFonts w:ascii="黑体" w:hAnsi="黑体" w:eastAsia="黑体"/>
              </w:rPr>
              <w:t>…</w:t>
            </w:r>
          </w:p>
        </w:tc>
        <w:tc>
          <w:tcPr>
            <w:tcW w:w="3190"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843" w:type="dxa"/>
            <w:shd w:val="clear" w:color="auto" w:fill="auto"/>
          </w:tcPr>
          <w:p>
            <w:pPr>
              <w:spacing w:line="360" w:lineRule="auto"/>
              <w:rPr>
                <w:rFonts w:ascii="黑体" w:hAnsi="黑体" w:eastAsia="黑体"/>
              </w:rPr>
            </w:pPr>
          </w:p>
        </w:tc>
        <w:tc>
          <w:tcPr>
            <w:tcW w:w="1190" w:type="dxa"/>
            <w:shd w:val="clear" w:color="auto" w:fill="auto"/>
          </w:tcPr>
          <w:p>
            <w:pPr>
              <w:spacing w:line="360" w:lineRule="auto"/>
              <w:rPr>
                <w:rFonts w:ascii="黑体" w:hAnsi="黑体" w:eastAsia="黑体"/>
              </w:rPr>
            </w:pPr>
          </w:p>
        </w:tc>
      </w:tr>
    </w:tbl>
    <w:p>
      <w:pPr>
        <w:spacing w:before="156" w:beforeLines="50" w:line="360" w:lineRule="auto"/>
        <w:rPr>
          <w:rFonts w:ascii="黑体" w:hAnsi="黑体" w:eastAsia="黑体"/>
        </w:rPr>
      </w:pPr>
      <w:r>
        <w:rPr>
          <w:rFonts w:hint="eastAsia" w:ascii="黑体" w:hAnsi="黑体" w:eastAsia="黑体"/>
        </w:rPr>
        <w:t>注明：</w:t>
      </w:r>
    </w:p>
    <w:p>
      <w:pPr>
        <w:pStyle w:val="30"/>
        <w:numPr>
          <w:ilvl w:val="0"/>
          <w:numId w:val="93"/>
        </w:numPr>
        <w:spacing w:line="360" w:lineRule="auto"/>
        <w:ind w:firstLineChars="0"/>
        <w:rPr>
          <w:rFonts w:ascii="黑体" w:hAnsi="黑体" w:eastAsia="黑体"/>
        </w:rPr>
      </w:pPr>
      <w:r>
        <w:rPr>
          <w:rFonts w:hint="eastAsia" w:ascii="黑体" w:hAnsi="黑体" w:eastAsia="黑体"/>
        </w:rPr>
        <w:t>投标人必须对应招标文件“采购需求”要求的</w:t>
      </w:r>
      <w:bookmarkStart w:id="113" w:name="_Hlk82385673"/>
      <w:r>
        <w:rPr>
          <w:rFonts w:ascii="黑体" w:hAnsi="黑体" w:eastAsia="黑体"/>
        </w:rPr>
        <w:t>★号条款</w:t>
      </w:r>
      <w:bookmarkEnd w:id="113"/>
      <w:r>
        <w:rPr>
          <w:rFonts w:ascii="黑体" w:hAnsi="黑体" w:eastAsia="黑体"/>
        </w:rPr>
        <w:t>逐条应答并按要求填写表格</w:t>
      </w:r>
      <w:r>
        <w:rPr>
          <w:rFonts w:hint="eastAsia" w:ascii="黑体" w:hAnsi="黑体" w:eastAsia="黑体"/>
        </w:rPr>
        <w:t>；</w:t>
      </w:r>
    </w:p>
    <w:p>
      <w:pPr>
        <w:pStyle w:val="30"/>
        <w:numPr>
          <w:ilvl w:val="0"/>
          <w:numId w:val="93"/>
        </w:numPr>
        <w:spacing w:line="360" w:lineRule="auto"/>
        <w:ind w:firstLineChars="0"/>
        <w:rPr>
          <w:rFonts w:ascii="黑体" w:hAnsi="黑体" w:eastAsia="黑体"/>
        </w:rPr>
      </w:pPr>
      <w:r>
        <w:rPr>
          <w:rFonts w:hint="eastAsia" w:ascii="黑体" w:hAnsi="黑体" w:eastAsia="黑体"/>
        </w:rPr>
        <w:t>若招标文件“采购需求”中的★号条款中规定须提交相关证明文件的，须按要求提供，并作为附件附于表格后。未按要求提供或未提供完整的，视为负偏离处理。</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spacing w:line="360" w:lineRule="auto"/>
        <w:rPr>
          <w:rFonts w:ascii="黑体" w:hAnsi="黑体" w:eastAsia="黑体"/>
          <w:szCs w:val="21"/>
        </w:rPr>
      </w:pPr>
    </w:p>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bookmarkStart w:id="114" w:name="_Toc82388834"/>
      <w:r>
        <w:rPr>
          <w:rFonts w:hint="eastAsia" w:ascii="黑体" w:hAnsi="黑体" w:eastAsia="黑体"/>
          <w:b/>
          <w:bCs/>
        </w:rPr>
        <w:t>▲号条款要求扣分明细响应表（可选）</w:t>
      </w:r>
      <w:bookmarkEnd w:id="114"/>
    </w:p>
    <w:p>
      <w:pPr>
        <w:spacing w:before="312" w:beforeLines="100" w:after="312" w:afterLines="100"/>
        <w:jc w:val="center"/>
        <w:rPr>
          <w:rFonts w:ascii="黑体" w:hAnsi="黑体" w:eastAsia="黑体" w:cs="Times New Roman"/>
          <w:b/>
          <w:spacing w:val="20"/>
          <w:sz w:val="30"/>
          <w:szCs w:val="30"/>
        </w:rPr>
      </w:pPr>
      <w:bookmarkStart w:id="115" w:name="_Hlk82385592"/>
      <w:r>
        <w:rPr>
          <w:rFonts w:ascii="黑体" w:hAnsi="黑体" w:eastAsia="黑体" w:cs="Times New Roman"/>
          <w:b/>
          <w:spacing w:val="20"/>
          <w:sz w:val="30"/>
          <w:szCs w:val="30"/>
        </w:rPr>
        <w:t>▲号条款</w:t>
      </w:r>
      <w:bookmarkEnd w:id="115"/>
      <w:r>
        <w:rPr>
          <w:rFonts w:hint="eastAsia" w:ascii="黑体" w:hAnsi="黑体" w:eastAsia="黑体" w:cs="Times New Roman"/>
          <w:b/>
          <w:spacing w:val="20"/>
          <w:sz w:val="30"/>
          <w:szCs w:val="30"/>
        </w:rPr>
        <w:t>要求扣分明细响应表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410"/>
        <w:gridCol w:w="2745"/>
        <w:gridCol w:w="193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459" w:type="dxa"/>
            <w:vAlign w:val="center"/>
          </w:tcPr>
          <w:p>
            <w:pPr>
              <w:jc w:val="center"/>
              <w:rPr>
                <w:rFonts w:ascii="黑体" w:hAnsi="黑体" w:eastAsia="黑体"/>
                <w:szCs w:val="21"/>
              </w:rPr>
            </w:pPr>
            <w:r>
              <w:rPr>
                <w:rFonts w:hint="eastAsia" w:ascii="黑体" w:hAnsi="黑体" w:eastAsia="黑体"/>
                <w:szCs w:val="21"/>
              </w:rPr>
              <w:t>序号</w:t>
            </w:r>
          </w:p>
        </w:tc>
        <w:tc>
          <w:tcPr>
            <w:tcW w:w="2410" w:type="dxa"/>
            <w:vAlign w:val="center"/>
          </w:tcPr>
          <w:p>
            <w:pPr>
              <w:jc w:val="center"/>
              <w:rPr>
                <w:rFonts w:ascii="黑体" w:hAnsi="黑体" w:eastAsia="黑体"/>
                <w:szCs w:val="21"/>
              </w:rPr>
            </w:pPr>
            <w:r>
              <w:rPr>
                <w:rFonts w:hint="eastAsia" w:ascii="黑体" w:hAnsi="黑体" w:eastAsia="黑体"/>
              </w:rPr>
              <w:t>采购需求▲号条款</w:t>
            </w:r>
          </w:p>
        </w:tc>
        <w:tc>
          <w:tcPr>
            <w:tcW w:w="2745" w:type="dxa"/>
            <w:vAlign w:val="center"/>
          </w:tcPr>
          <w:p>
            <w:pPr>
              <w:spacing w:line="360" w:lineRule="auto"/>
              <w:jc w:val="center"/>
              <w:rPr>
                <w:rFonts w:ascii="黑体" w:hAnsi="黑体" w:eastAsia="黑体"/>
              </w:rPr>
            </w:pPr>
            <w:r>
              <w:rPr>
                <w:rFonts w:hint="eastAsia" w:ascii="黑体" w:hAnsi="黑体" w:eastAsia="黑体"/>
              </w:rPr>
              <w:t>投标人响应内容</w:t>
            </w:r>
          </w:p>
          <w:p>
            <w:pPr>
              <w:spacing w:line="360" w:lineRule="auto"/>
              <w:jc w:val="center"/>
              <w:rPr>
                <w:rFonts w:ascii="黑体" w:hAnsi="黑体" w:eastAsia="黑体"/>
                <w:szCs w:val="21"/>
              </w:rPr>
            </w:pPr>
            <w:r>
              <w:rPr>
                <w:rFonts w:ascii="黑体" w:hAnsi="黑体" w:eastAsia="黑体"/>
              </w:rPr>
              <w:t>(投标人应按</w:t>
            </w:r>
            <w:r>
              <w:rPr>
                <w:rFonts w:hint="eastAsia" w:ascii="黑体" w:hAnsi="黑体" w:eastAsia="黑体"/>
              </w:rPr>
              <w:t>投标时响应的服务实际数据填写</w:t>
            </w:r>
            <w:r>
              <w:rPr>
                <w:rFonts w:ascii="黑体" w:hAnsi="黑体" w:eastAsia="黑体"/>
              </w:rPr>
              <w:t>)</w:t>
            </w:r>
          </w:p>
        </w:tc>
        <w:tc>
          <w:tcPr>
            <w:tcW w:w="1932" w:type="dxa"/>
            <w:vAlign w:val="center"/>
          </w:tcPr>
          <w:p>
            <w:pPr>
              <w:spacing w:line="360" w:lineRule="auto"/>
              <w:jc w:val="center"/>
              <w:rPr>
                <w:rFonts w:ascii="黑体" w:hAnsi="黑体" w:eastAsia="黑体"/>
              </w:rPr>
            </w:pPr>
            <w:r>
              <w:rPr>
                <w:rFonts w:hint="eastAsia" w:ascii="黑体" w:hAnsi="黑体" w:eastAsia="黑体"/>
              </w:rPr>
              <w:t>响应情况及说明</w:t>
            </w:r>
            <w:r>
              <w:rPr>
                <w:rFonts w:ascii="黑体" w:hAnsi="黑体" w:eastAsia="黑体"/>
              </w:rPr>
              <w:t>(正偏离/无偏离/负偏离)</w:t>
            </w:r>
          </w:p>
        </w:tc>
        <w:tc>
          <w:tcPr>
            <w:tcW w:w="1115" w:type="dxa"/>
            <w:vAlign w:val="center"/>
          </w:tcPr>
          <w:p>
            <w:pPr>
              <w:spacing w:line="360" w:lineRule="auto"/>
              <w:jc w:val="center"/>
              <w:rPr>
                <w:rFonts w:ascii="黑体" w:hAnsi="黑体" w:eastAsia="黑体"/>
              </w:rPr>
            </w:pPr>
            <w:r>
              <w:rPr>
                <w:rFonts w:hint="eastAsia" w:ascii="黑体" w:hAnsi="黑体" w:eastAsia="黑体"/>
              </w:rPr>
              <w:t>查阅</w:t>
            </w:r>
            <w:r>
              <w:rPr>
                <w:rFonts w:ascii="黑体" w:hAnsi="黑体" w:eastAsia="黑体"/>
              </w:rPr>
              <w:t>/证明文件索引页码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9" w:type="dxa"/>
            <w:vAlign w:val="center"/>
          </w:tcPr>
          <w:p>
            <w:pPr>
              <w:jc w:val="center"/>
              <w:rPr>
                <w:rFonts w:ascii="黑体" w:hAnsi="黑体" w:eastAsia="黑体"/>
                <w:szCs w:val="21"/>
              </w:rPr>
            </w:pPr>
            <w:r>
              <w:rPr>
                <w:rFonts w:ascii="黑体" w:hAnsi="黑体" w:eastAsia="黑体"/>
                <w:szCs w:val="21"/>
              </w:rPr>
              <w:t>1</w:t>
            </w:r>
          </w:p>
        </w:tc>
        <w:tc>
          <w:tcPr>
            <w:tcW w:w="2410" w:type="dxa"/>
            <w:vAlign w:val="center"/>
          </w:tcPr>
          <w:p>
            <w:pPr>
              <w:jc w:val="center"/>
              <w:rPr>
                <w:rFonts w:ascii="黑体" w:hAnsi="黑体" w:eastAsia="黑体"/>
                <w:szCs w:val="21"/>
              </w:rPr>
            </w:pPr>
          </w:p>
        </w:tc>
        <w:tc>
          <w:tcPr>
            <w:tcW w:w="2745" w:type="dxa"/>
            <w:vAlign w:val="center"/>
          </w:tcPr>
          <w:p>
            <w:pPr>
              <w:jc w:val="center"/>
              <w:rPr>
                <w:rFonts w:ascii="黑体" w:hAnsi="黑体" w:eastAsia="黑体"/>
                <w:szCs w:val="21"/>
              </w:rPr>
            </w:pPr>
          </w:p>
        </w:tc>
        <w:tc>
          <w:tcPr>
            <w:tcW w:w="1932" w:type="dxa"/>
            <w:vAlign w:val="center"/>
          </w:tcPr>
          <w:p>
            <w:pPr>
              <w:jc w:val="center"/>
              <w:rPr>
                <w:rFonts w:ascii="黑体" w:hAnsi="黑体" w:eastAsia="黑体"/>
                <w:szCs w:val="21"/>
              </w:rPr>
            </w:pPr>
          </w:p>
        </w:tc>
        <w:tc>
          <w:tcPr>
            <w:tcW w:w="1115"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9" w:type="dxa"/>
            <w:vAlign w:val="center"/>
          </w:tcPr>
          <w:p>
            <w:pPr>
              <w:jc w:val="center"/>
              <w:rPr>
                <w:rFonts w:ascii="黑体" w:hAnsi="黑体" w:eastAsia="黑体"/>
                <w:szCs w:val="21"/>
              </w:rPr>
            </w:pPr>
            <w:r>
              <w:rPr>
                <w:rFonts w:ascii="黑体" w:hAnsi="黑体" w:eastAsia="黑体"/>
                <w:szCs w:val="21"/>
              </w:rPr>
              <w:t>2</w:t>
            </w:r>
          </w:p>
        </w:tc>
        <w:tc>
          <w:tcPr>
            <w:tcW w:w="2410" w:type="dxa"/>
            <w:vAlign w:val="center"/>
          </w:tcPr>
          <w:p>
            <w:pPr>
              <w:jc w:val="center"/>
              <w:rPr>
                <w:rFonts w:ascii="黑体" w:hAnsi="黑体" w:eastAsia="黑体"/>
                <w:szCs w:val="21"/>
              </w:rPr>
            </w:pPr>
          </w:p>
        </w:tc>
        <w:tc>
          <w:tcPr>
            <w:tcW w:w="2745" w:type="dxa"/>
            <w:vAlign w:val="center"/>
          </w:tcPr>
          <w:p>
            <w:pPr>
              <w:jc w:val="center"/>
              <w:rPr>
                <w:rFonts w:ascii="黑体" w:hAnsi="黑体" w:eastAsia="黑体"/>
                <w:szCs w:val="21"/>
              </w:rPr>
            </w:pPr>
          </w:p>
        </w:tc>
        <w:tc>
          <w:tcPr>
            <w:tcW w:w="1932" w:type="dxa"/>
            <w:vAlign w:val="center"/>
          </w:tcPr>
          <w:p>
            <w:pPr>
              <w:jc w:val="center"/>
              <w:rPr>
                <w:rFonts w:ascii="黑体" w:hAnsi="黑体" w:eastAsia="黑体"/>
                <w:szCs w:val="21"/>
              </w:rPr>
            </w:pPr>
          </w:p>
        </w:tc>
        <w:tc>
          <w:tcPr>
            <w:tcW w:w="1115"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59" w:type="dxa"/>
            <w:vAlign w:val="center"/>
          </w:tcPr>
          <w:p>
            <w:pPr>
              <w:jc w:val="center"/>
              <w:rPr>
                <w:rFonts w:ascii="黑体" w:hAnsi="黑体" w:eastAsia="黑体"/>
                <w:szCs w:val="21"/>
              </w:rPr>
            </w:pPr>
            <w:r>
              <w:rPr>
                <w:rFonts w:ascii="黑体" w:hAnsi="黑体" w:eastAsia="黑体"/>
                <w:szCs w:val="21"/>
              </w:rPr>
              <w:t>3</w:t>
            </w:r>
          </w:p>
        </w:tc>
        <w:tc>
          <w:tcPr>
            <w:tcW w:w="2410" w:type="dxa"/>
            <w:vAlign w:val="center"/>
          </w:tcPr>
          <w:p>
            <w:pPr>
              <w:jc w:val="center"/>
              <w:rPr>
                <w:rFonts w:ascii="黑体" w:hAnsi="黑体" w:eastAsia="黑体"/>
                <w:szCs w:val="21"/>
              </w:rPr>
            </w:pPr>
          </w:p>
        </w:tc>
        <w:tc>
          <w:tcPr>
            <w:tcW w:w="2745" w:type="dxa"/>
            <w:vAlign w:val="center"/>
          </w:tcPr>
          <w:p>
            <w:pPr>
              <w:jc w:val="center"/>
              <w:rPr>
                <w:rFonts w:ascii="黑体" w:hAnsi="黑体" w:eastAsia="黑体"/>
                <w:szCs w:val="21"/>
              </w:rPr>
            </w:pPr>
          </w:p>
        </w:tc>
        <w:tc>
          <w:tcPr>
            <w:tcW w:w="1932" w:type="dxa"/>
            <w:vAlign w:val="center"/>
          </w:tcPr>
          <w:p>
            <w:pPr>
              <w:jc w:val="center"/>
              <w:rPr>
                <w:rFonts w:ascii="黑体" w:hAnsi="黑体" w:eastAsia="黑体"/>
                <w:szCs w:val="21"/>
              </w:rPr>
            </w:pPr>
          </w:p>
        </w:tc>
        <w:tc>
          <w:tcPr>
            <w:tcW w:w="1115"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59" w:type="dxa"/>
            <w:vAlign w:val="center"/>
          </w:tcPr>
          <w:p>
            <w:pPr>
              <w:jc w:val="center"/>
              <w:rPr>
                <w:rFonts w:ascii="黑体" w:hAnsi="黑体" w:eastAsia="黑体"/>
                <w:szCs w:val="21"/>
              </w:rPr>
            </w:pPr>
            <w:r>
              <w:rPr>
                <w:rFonts w:ascii="黑体" w:hAnsi="黑体" w:eastAsia="黑体"/>
                <w:szCs w:val="21"/>
              </w:rPr>
              <w:t>…</w:t>
            </w:r>
          </w:p>
        </w:tc>
        <w:tc>
          <w:tcPr>
            <w:tcW w:w="2410" w:type="dxa"/>
            <w:vAlign w:val="center"/>
          </w:tcPr>
          <w:p>
            <w:pPr>
              <w:jc w:val="center"/>
              <w:rPr>
                <w:rFonts w:ascii="黑体" w:hAnsi="黑体" w:eastAsia="黑体"/>
                <w:szCs w:val="21"/>
              </w:rPr>
            </w:pPr>
          </w:p>
        </w:tc>
        <w:tc>
          <w:tcPr>
            <w:tcW w:w="2745" w:type="dxa"/>
            <w:vAlign w:val="center"/>
          </w:tcPr>
          <w:p>
            <w:pPr>
              <w:jc w:val="center"/>
              <w:rPr>
                <w:rFonts w:ascii="黑体" w:hAnsi="黑体" w:eastAsia="黑体"/>
                <w:szCs w:val="21"/>
              </w:rPr>
            </w:pPr>
          </w:p>
        </w:tc>
        <w:tc>
          <w:tcPr>
            <w:tcW w:w="1932" w:type="dxa"/>
            <w:vAlign w:val="center"/>
          </w:tcPr>
          <w:p>
            <w:pPr>
              <w:jc w:val="center"/>
              <w:rPr>
                <w:rFonts w:ascii="黑体" w:hAnsi="黑体" w:eastAsia="黑体"/>
                <w:szCs w:val="21"/>
              </w:rPr>
            </w:pPr>
          </w:p>
        </w:tc>
        <w:tc>
          <w:tcPr>
            <w:tcW w:w="1115" w:type="dxa"/>
            <w:vAlign w:val="center"/>
          </w:tcPr>
          <w:p>
            <w:pPr>
              <w:jc w:val="center"/>
              <w:rPr>
                <w:rFonts w:ascii="黑体" w:hAnsi="黑体" w:eastAsia="黑体"/>
                <w:szCs w:val="21"/>
              </w:rPr>
            </w:pPr>
          </w:p>
        </w:tc>
      </w:tr>
    </w:tbl>
    <w:p>
      <w:pPr>
        <w:spacing w:before="156" w:beforeLines="50" w:line="360" w:lineRule="auto"/>
        <w:rPr>
          <w:rFonts w:ascii="黑体" w:hAnsi="黑体" w:eastAsia="黑体"/>
        </w:rPr>
      </w:pPr>
      <w:r>
        <w:rPr>
          <w:rFonts w:hint="eastAsia" w:ascii="黑体" w:hAnsi="黑体" w:eastAsia="黑体"/>
        </w:rPr>
        <w:t>注明：</w:t>
      </w:r>
    </w:p>
    <w:p>
      <w:pPr>
        <w:pStyle w:val="30"/>
        <w:numPr>
          <w:ilvl w:val="0"/>
          <w:numId w:val="94"/>
        </w:numPr>
        <w:spacing w:line="360" w:lineRule="auto"/>
        <w:ind w:firstLineChars="0"/>
        <w:rPr>
          <w:rFonts w:ascii="黑体" w:hAnsi="黑体" w:eastAsia="黑体"/>
          <w:spacing w:val="4"/>
        </w:rPr>
      </w:pPr>
      <w:r>
        <w:rPr>
          <w:rFonts w:hint="eastAsia" w:ascii="黑体" w:hAnsi="黑体" w:eastAsia="黑体"/>
          <w:spacing w:val="4"/>
        </w:rPr>
        <w:t>投标人必须对应招标文件</w:t>
      </w:r>
      <w:r>
        <w:rPr>
          <w:rFonts w:hint="eastAsia" w:ascii="黑体" w:hAnsi="黑体" w:eastAsia="黑体" w:cs="Times New Roman"/>
          <w:bCs/>
          <w:spacing w:val="4"/>
          <w:szCs w:val="21"/>
        </w:rPr>
        <w:t>“采购需求”要求的</w:t>
      </w:r>
      <w:bookmarkStart w:id="116" w:name="_Hlk82385546"/>
      <w:r>
        <w:rPr>
          <w:rFonts w:ascii="黑体" w:hAnsi="黑体" w:eastAsia="黑体"/>
        </w:rPr>
        <w:t>▲号条款</w:t>
      </w:r>
      <w:bookmarkEnd w:id="116"/>
      <w:r>
        <w:rPr>
          <w:rFonts w:hint="eastAsia" w:ascii="黑体" w:hAnsi="黑体" w:eastAsia="黑体"/>
          <w:spacing w:val="4"/>
        </w:rPr>
        <w:t>逐条应答并按要求填写表格。</w:t>
      </w:r>
    </w:p>
    <w:p>
      <w:pPr>
        <w:pStyle w:val="30"/>
        <w:numPr>
          <w:ilvl w:val="0"/>
          <w:numId w:val="94"/>
        </w:numPr>
        <w:spacing w:line="360" w:lineRule="auto"/>
        <w:ind w:firstLineChars="0"/>
        <w:rPr>
          <w:rFonts w:ascii="黑体" w:hAnsi="黑体" w:eastAsia="黑体"/>
        </w:rPr>
      </w:pPr>
      <w:r>
        <w:rPr>
          <w:rFonts w:hint="eastAsia" w:ascii="黑体" w:hAnsi="黑体" w:eastAsia="黑体"/>
          <w:szCs w:val="21"/>
        </w:rPr>
        <w:t>需提供证明资料内容详见</w:t>
      </w:r>
      <w:r>
        <w:rPr>
          <w:rFonts w:hint="eastAsia" w:ascii="黑体" w:hAnsi="黑体" w:eastAsia="黑体"/>
          <w:szCs w:val="21"/>
          <w:u w:val="single"/>
        </w:rPr>
        <w:t>（招标文件第五部分</w:t>
      </w:r>
      <w:r>
        <w:rPr>
          <w:rFonts w:ascii="黑体" w:hAnsi="黑体" w:eastAsia="黑体"/>
          <w:szCs w:val="21"/>
          <w:u w:val="single"/>
        </w:rPr>
        <w:t xml:space="preserve"> </w:t>
      </w:r>
      <w:r>
        <w:rPr>
          <w:rFonts w:hint="eastAsia" w:ascii="黑体" w:hAnsi="黑体" w:eastAsia="黑体"/>
          <w:szCs w:val="21"/>
          <w:u w:val="single"/>
        </w:rPr>
        <w:t>评标方法、步骤、标准之</w:t>
      </w:r>
      <w:r>
        <w:rPr>
          <w:rFonts w:hint="eastAsia" w:ascii="黑体" w:hAnsi="黑体" w:eastAsia="黑体"/>
          <w:kern w:val="0"/>
          <w:szCs w:val="21"/>
          <w:u w:val="single"/>
        </w:rPr>
        <w:t>附表三</w:t>
      </w:r>
      <w:r>
        <w:rPr>
          <w:rFonts w:hint="eastAsia" w:ascii="黑体" w:hAnsi="黑体" w:eastAsia="黑体"/>
          <w:szCs w:val="21"/>
          <w:u w:val="single"/>
        </w:rPr>
        <w:t>详细评审表相对应条款）</w:t>
      </w:r>
      <w:r>
        <w:rPr>
          <w:rFonts w:hint="eastAsia" w:ascii="黑体" w:hAnsi="黑体" w:eastAsia="黑体"/>
          <w:szCs w:val="21"/>
        </w:rPr>
        <w:t>，提供的证明资料</w:t>
      </w:r>
      <w:r>
        <w:rPr>
          <w:rFonts w:hint="eastAsia" w:ascii="黑体" w:hAnsi="黑体" w:eastAsia="黑体"/>
        </w:rPr>
        <w:t>作为附件附于表格后。未按要求提供或未提供完整的，视为负偏离处理。</w:t>
      </w: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szCs w:val="21"/>
              </w:rPr>
            </w:pPr>
            <w:r>
              <w:rPr>
                <w:rFonts w:hint="eastAsia" w:ascii="黑体" w:hAnsi="黑体" w:eastAsia="黑体"/>
                <w:szCs w:val="21"/>
              </w:rPr>
              <w:t>投标人名称（加盖公章）：</w:t>
            </w:r>
            <w:r>
              <w:rPr>
                <w:rFonts w:ascii="黑体" w:hAnsi="黑体" w:eastAsia="黑体"/>
                <w:szCs w:val="21"/>
                <w:u w:val="single"/>
              </w:rPr>
              <w:t xml:space="preserve">                         </w:t>
            </w:r>
          </w:p>
        </w:tc>
        <w:tc>
          <w:tcPr>
            <w:tcW w:w="3175" w:type="dxa"/>
          </w:tcPr>
          <w:p>
            <w:pPr>
              <w:spacing w:line="360" w:lineRule="auto"/>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spacing w:line="360" w:lineRule="auto"/>
              <w:rPr>
                <w:rFonts w:ascii="黑体" w:hAnsi="黑体" w:eastAsia="黑体"/>
                <w:szCs w:val="21"/>
              </w:rPr>
            </w:pPr>
            <w:r>
              <w:rPr>
                <w:rFonts w:hint="eastAsia" w:ascii="黑体" w:hAnsi="黑体" w:eastAsia="黑体"/>
                <w:szCs w:val="21"/>
              </w:rPr>
              <w:t>日期：</w:t>
            </w:r>
            <w:r>
              <w:rPr>
                <w:rFonts w:ascii="黑体" w:hAnsi="黑体" w:eastAsia="黑体"/>
                <w:szCs w:val="21"/>
                <w:u w:val="single"/>
              </w:rPr>
              <w:t xml:space="preserve">             年           月            日</w:t>
            </w:r>
          </w:p>
        </w:tc>
        <w:tc>
          <w:tcPr>
            <w:tcW w:w="3175" w:type="dxa"/>
          </w:tcPr>
          <w:p>
            <w:pPr>
              <w:spacing w:line="360" w:lineRule="auto"/>
              <w:rPr>
                <w:rFonts w:ascii="黑体" w:hAnsi="黑体" w:eastAsia="黑体"/>
                <w:szCs w:val="21"/>
              </w:rPr>
            </w:pPr>
          </w:p>
        </w:tc>
      </w:tr>
    </w:tbl>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r>
        <w:rPr>
          <w:rFonts w:hint="eastAsia" w:ascii="黑体" w:hAnsi="黑体" w:eastAsia="黑体"/>
          <w:b/>
          <w:bCs/>
        </w:rPr>
        <w:t>投标保证金汇入情况说明</w:t>
      </w:r>
    </w:p>
    <w:p>
      <w:pPr>
        <w:spacing w:before="312" w:beforeLines="100" w:after="312" w:afterLines="100"/>
        <w:jc w:val="center"/>
        <w:rPr>
          <w:rFonts w:ascii="黑体" w:hAnsi="黑体" w:eastAsia="黑体"/>
          <w:b/>
          <w:spacing w:val="20"/>
          <w:sz w:val="30"/>
          <w:szCs w:val="30"/>
        </w:rPr>
      </w:pPr>
      <w:r>
        <w:rPr>
          <w:rFonts w:hint="eastAsia" w:ascii="黑体" w:hAnsi="黑体" w:eastAsia="黑体"/>
          <w:b/>
          <w:spacing w:val="20"/>
          <w:sz w:val="30"/>
          <w:szCs w:val="30"/>
        </w:rPr>
        <w:t>投标保证金汇入情况说明</w:t>
      </w:r>
    </w:p>
    <w:p>
      <w:pPr>
        <w:spacing w:before="468" w:beforeLines="150" w:after="312" w:afterLines="100" w:line="360" w:lineRule="auto"/>
        <w:rPr>
          <w:rFonts w:ascii="黑体" w:hAnsi="黑体" w:eastAsia="黑体"/>
          <w:b/>
        </w:rPr>
      </w:pPr>
      <w:r>
        <w:rPr>
          <w:rFonts w:hint="eastAsia" w:ascii="黑体" w:hAnsi="黑体" w:eastAsia="黑体"/>
          <w:b/>
        </w:rPr>
        <w:t>致：广东有德招标采购有限公司</w:t>
      </w:r>
    </w:p>
    <w:p>
      <w:pPr>
        <w:spacing w:line="360" w:lineRule="auto"/>
        <w:ind w:firstLine="422" w:firstLineChars="200"/>
        <w:rPr>
          <w:rFonts w:ascii="黑体" w:hAnsi="黑体" w:eastAsia="黑体"/>
          <w:szCs w:val="21"/>
        </w:rPr>
      </w:pPr>
      <w:r>
        <w:rPr>
          <w:rFonts w:hint="eastAsia" w:ascii="黑体" w:hAnsi="黑体" w:eastAsia="黑体"/>
          <w:b/>
          <w:bCs/>
          <w:szCs w:val="21"/>
        </w:rPr>
        <w:t>本单位已按</w:t>
      </w:r>
      <w:r>
        <w:rPr>
          <w:rFonts w:ascii="黑体" w:hAnsi="黑体" w:eastAsia="黑体"/>
          <w:b/>
          <w:bCs/>
          <w:szCs w:val="21"/>
          <w:u w:val="single"/>
        </w:rPr>
        <w:t xml:space="preserve">     （</w:t>
      </w:r>
      <w:r>
        <w:rPr>
          <w:rFonts w:hint="eastAsia" w:ascii="黑体" w:hAnsi="黑体" w:eastAsia="黑体"/>
          <w:b/>
          <w:bCs/>
          <w:szCs w:val="21"/>
          <w:u w:val="single"/>
        </w:rPr>
        <w:t>项目名称）</w:t>
      </w:r>
      <w:r>
        <w:rPr>
          <w:rFonts w:ascii="黑体" w:hAnsi="黑体" w:eastAsia="黑体"/>
          <w:b/>
          <w:bCs/>
          <w:szCs w:val="21"/>
          <w:u w:val="single"/>
        </w:rPr>
        <w:t xml:space="preserve">     </w:t>
      </w:r>
      <w:r>
        <w:rPr>
          <w:rFonts w:hint="eastAsia" w:ascii="黑体" w:hAnsi="黑体" w:eastAsia="黑体"/>
          <w:b/>
          <w:bCs/>
          <w:szCs w:val="21"/>
        </w:rPr>
        <w:t>项目（项目编号：</w:t>
      </w:r>
      <w:r>
        <w:rPr>
          <w:rFonts w:ascii="黑体" w:hAnsi="黑体" w:eastAsia="黑体"/>
          <w:b/>
          <w:bCs/>
          <w:szCs w:val="21"/>
          <w:u w:val="single"/>
        </w:rPr>
        <w:t xml:space="preserve">             </w:t>
      </w:r>
      <w:r>
        <w:rPr>
          <w:rFonts w:hint="eastAsia" w:ascii="黑体" w:hAnsi="黑体" w:eastAsia="黑体"/>
          <w:b/>
          <w:bCs/>
          <w:szCs w:val="21"/>
        </w:rPr>
        <w:t>）的招标文件要求，于</w:t>
      </w:r>
      <w:r>
        <w:rPr>
          <w:rFonts w:ascii="黑体" w:hAnsi="黑体" w:eastAsia="黑体"/>
          <w:b/>
          <w:bCs/>
          <w:szCs w:val="21"/>
          <w:u w:val="single"/>
        </w:rPr>
        <w:t xml:space="preserve">   </w:t>
      </w:r>
      <w:r>
        <w:rPr>
          <w:rFonts w:hint="eastAsia" w:ascii="黑体" w:hAnsi="黑体" w:eastAsia="黑体"/>
          <w:b/>
          <w:bCs/>
          <w:szCs w:val="21"/>
        </w:rPr>
        <w:t>年</w:t>
      </w:r>
      <w:r>
        <w:rPr>
          <w:rFonts w:ascii="黑体" w:hAnsi="黑体" w:eastAsia="黑体"/>
          <w:b/>
          <w:bCs/>
          <w:szCs w:val="21"/>
          <w:u w:val="single"/>
        </w:rPr>
        <w:t xml:space="preserve">   </w:t>
      </w:r>
      <w:r>
        <w:rPr>
          <w:rFonts w:hint="eastAsia" w:ascii="黑体" w:hAnsi="黑体" w:eastAsia="黑体"/>
          <w:b/>
          <w:bCs/>
          <w:szCs w:val="21"/>
        </w:rPr>
        <w:t>月</w:t>
      </w:r>
      <w:r>
        <w:rPr>
          <w:rFonts w:ascii="黑体" w:hAnsi="黑体" w:eastAsia="黑体"/>
          <w:b/>
          <w:bCs/>
          <w:szCs w:val="21"/>
          <w:u w:val="single"/>
        </w:rPr>
        <w:t xml:space="preserve">   </w:t>
      </w:r>
      <w:r>
        <w:rPr>
          <w:rFonts w:hint="eastAsia" w:ascii="黑体" w:hAnsi="黑体" w:eastAsia="黑体"/>
          <w:b/>
          <w:bCs/>
          <w:szCs w:val="21"/>
        </w:rPr>
        <w:t>日前以</w:t>
      </w:r>
      <w:r>
        <w:rPr>
          <w:rFonts w:ascii="黑体" w:hAnsi="黑体" w:eastAsia="黑体"/>
          <w:b/>
          <w:bCs/>
          <w:szCs w:val="21"/>
          <w:u w:val="single"/>
        </w:rPr>
        <w:t xml:space="preserve">       </w:t>
      </w:r>
      <w:r>
        <w:rPr>
          <w:rFonts w:hint="eastAsia" w:ascii="黑体" w:hAnsi="黑体" w:eastAsia="黑体"/>
          <w:b/>
          <w:bCs/>
          <w:szCs w:val="21"/>
        </w:rPr>
        <w:t>（付款形式）方式汇入指定账户（账户名称：</w:t>
      </w:r>
      <w:r>
        <w:rPr>
          <w:rFonts w:ascii="黑体" w:hAnsi="黑体" w:eastAsia="黑体"/>
          <w:b/>
          <w:bCs/>
          <w:szCs w:val="21"/>
          <w:u w:val="single"/>
        </w:rPr>
        <w:t xml:space="preserve">                  </w:t>
      </w:r>
      <w:r>
        <w:rPr>
          <w:rFonts w:hint="eastAsia" w:ascii="黑体" w:hAnsi="黑体" w:eastAsia="黑体"/>
          <w:b/>
          <w:bCs/>
          <w:szCs w:val="21"/>
        </w:rPr>
        <w:t>，账号：</w:t>
      </w:r>
      <w:r>
        <w:rPr>
          <w:rFonts w:ascii="黑体" w:hAnsi="黑体" w:eastAsia="黑体"/>
          <w:b/>
          <w:bCs/>
          <w:szCs w:val="21"/>
          <w:u w:val="single"/>
        </w:rPr>
        <w:t xml:space="preserve">                  </w:t>
      </w:r>
      <w:r>
        <w:rPr>
          <w:rFonts w:hint="eastAsia" w:ascii="黑体" w:hAnsi="黑体" w:eastAsia="黑体"/>
          <w:b/>
          <w:bCs/>
          <w:szCs w:val="21"/>
        </w:rPr>
        <w:t>，开户银行：</w:t>
      </w:r>
      <w:r>
        <w:rPr>
          <w:rFonts w:ascii="黑体" w:hAnsi="黑体" w:eastAsia="黑体"/>
          <w:b/>
          <w:bCs/>
          <w:szCs w:val="21"/>
          <w:u w:val="single"/>
        </w:rPr>
        <w:t xml:space="preserve">                 </w:t>
      </w:r>
      <w:r>
        <w:rPr>
          <w:rFonts w:hint="eastAsia" w:ascii="黑体" w:hAnsi="黑体" w:eastAsia="黑体"/>
          <w:b/>
          <w:bCs/>
          <w:szCs w:val="21"/>
        </w:rPr>
        <w:t>）。</w:t>
      </w:r>
    </w:p>
    <w:p>
      <w:pPr>
        <w:spacing w:line="360" w:lineRule="auto"/>
        <w:ind w:firstLine="420" w:firstLineChars="200"/>
        <w:rPr>
          <w:rFonts w:ascii="黑体" w:hAnsi="黑体" w:eastAsia="黑体"/>
          <w:szCs w:val="21"/>
        </w:rPr>
      </w:pPr>
      <w:r>
        <w:rPr>
          <w:rFonts w:hint="eastAsia" w:ascii="黑体" w:hAnsi="黑体" w:eastAsia="黑体"/>
          <w:szCs w:val="21"/>
        </w:rPr>
        <w:t>本单位投标保证金的汇款情况：（详见附件－投标保证金汇款凭证）</w:t>
      </w:r>
    </w:p>
    <w:p>
      <w:pPr>
        <w:spacing w:line="360" w:lineRule="auto"/>
        <w:ind w:firstLine="420" w:firstLineChars="200"/>
        <w:rPr>
          <w:rFonts w:ascii="黑体" w:hAnsi="黑体" w:eastAsia="黑体"/>
          <w:szCs w:val="21"/>
        </w:rPr>
      </w:pPr>
      <w:r>
        <w:rPr>
          <w:rFonts w:hint="eastAsia" w:ascii="黑体" w:hAnsi="黑体" w:eastAsia="黑体"/>
          <w:szCs w:val="21"/>
        </w:rPr>
        <w:t>汇出时间：</w:t>
      </w:r>
      <w:r>
        <w:rPr>
          <w:rFonts w:ascii="黑体" w:hAnsi="黑体" w:eastAsia="黑体"/>
          <w:szCs w:val="21"/>
          <w:u w:val="single"/>
        </w:rPr>
        <w:t xml:space="preserve">             </w:t>
      </w:r>
      <w:r>
        <w:rPr>
          <w:rFonts w:hint="eastAsia" w:ascii="黑体" w:hAnsi="黑体" w:eastAsia="黑体"/>
          <w:szCs w:val="21"/>
        </w:rPr>
        <w:t>年</w:t>
      </w:r>
      <w:r>
        <w:rPr>
          <w:rFonts w:ascii="黑体" w:hAnsi="黑体" w:eastAsia="黑体"/>
          <w:szCs w:val="21"/>
          <w:u w:val="single"/>
        </w:rPr>
        <w:t xml:space="preserve">                      </w:t>
      </w:r>
      <w:r>
        <w:rPr>
          <w:rFonts w:hint="eastAsia" w:ascii="黑体" w:hAnsi="黑体" w:eastAsia="黑体"/>
          <w:szCs w:val="21"/>
        </w:rPr>
        <w:t>月</w:t>
      </w:r>
      <w:r>
        <w:rPr>
          <w:rFonts w:ascii="黑体" w:hAnsi="黑体" w:eastAsia="黑体"/>
          <w:szCs w:val="21"/>
          <w:u w:val="single"/>
        </w:rPr>
        <w:t xml:space="preserve">                       </w:t>
      </w:r>
      <w:r>
        <w:rPr>
          <w:rFonts w:hint="eastAsia" w:ascii="黑体" w:hAnsi="黑体" w:eastAsia="黑体"/>
          <w:szCs w:val="21"/>
        </w:rPr>
        <w:t>日；</w:t>
      </w:r>
    </w:p>
    <w:p>
      <w:pPr>
        <w:spacing w:line="360" w:lineRule="auto"/>
        <w:ind w:firstLine="420" w:firstLineChars="200"/>
        <w:rPr>
          <w:rFonts w:ascii="黑体" w:hAnsi="黑体" w:eastAsia="黑体" w:cs="宋体"/>
          <w:szCs w:val="21"/>
          <w:u w:val="single"/>
        </w:rPr>
      </w:pPr>
      <w:r>
        <w:rPr>
          <w:rFonts w:hint="eastAsia" w:ascii="黑体" w:hAnsi="黑体" w:eastAsia="黑体"/>
          <w:szCs w:val="21"/>
        </w:rPr>
        <w:t>汇</w:t>
      </w:r>
      <w:r>
        <w:rPr>
          <w:rFonts w:hint="eastAsia" w:ascii="黑体" w:hAnsi="黑体" w:eastAsia="黑体" w:cs="宋体"/>
          <w:szCs w:val="21"/>
        </w:rPr>
        <w:t>款金额：（大写）人民币</w:t>
      </w:r>
      <w:r>
        <w:rPr>
          <w:rFonts w:ascii="黑体" w:hAnsi="黑体" w:eastAsia="黑体" w:cs="宋体"/>
          <w:szCs w:val="21"/>
          <w:u w:val="single"/>
        </w:rPr>
        <w:t xml:space="preserve">                    </w:t>
      </w:r>
      <w:r>
        <w:rPr>
          <w:rFonts w:hint="eastAsia" w:ascii="黑体" w:hAnsi="黑体" w:eastAsia="黑体" w:cs="宋体"/>
          <w:szCs w:val="21"/>
        </w:rPr>
        <w:t>元（小写：￥</w:t>
      </w:r>
      <w:r>
        <w:rPr>
          <w:rFonts w:ascii="黑体" w:hAnsi="黑体" w:eastAsia="黑体" w:cs="宋体"/>
          <w:szCs w:val="21"/>
          <w:u w:val="single"/>
        </w:rPr>
        <w:t xml:space="preserve">                    </w:t>
      </w:r>
      <w:r>
        <w:rPr>
          <w:rFonts w:hint="eastAsia" w:ascii="黑体" w:hAnsi="黑体" w:eastAsia="黑体" w:cs="宋体"/>
          <w:szCs w:val="21"/>
        </w:rPr>
        <w:t>元），</w:t>
      </w:r>
    </w:p>
    <w:p>
      <w:pPr>
        <w:spacing w:line="360" w:lineRule="auto"/>
        <w:ind w:firstLine="420" w:firstLineChars="200"/>
        <w:rPr>
          <w:rFonts w:ascii="黑体" w:hAnsi="黑体" w:eastAsia="黑体"/>
          <w:szCs w:val="21"/>
          <w:u w:val="single"/>
        </w:rPr>
      </w:pPr>
      <w:r>
        <w:rPr>
          <w:rFonts w:hint="eastAsia" w:ascii="黑体" w:hAnsi="黑体" w:eastAsia="黑体"/>
          <w:szCs w:val="21"/>
        </w:rPr>
        <w:t>汇款账户名称：</w:t>
      </w:r>
      <w:r>
        <w:rPr>
          <w:rFonts w:ascii="黑体" w:hAnsi="黑体" w:eastAsia="黑体"/>
          <w:szCs w:val="21"/>
          <w:u w:val="single"/>
        </w:rPr>
        <w:t xml:space="preserve">         （必须是投标时使用的账户名）                        </w:t>
      </w:r>
    </w:p>
    <w:p>
      <w:pPr>
        <w:spacing w:line="360" w:lineRule="auto"/>
        <w:ind w:firstLine="420" w:firstLineChars="200"/>
        <w:rPr>
          <w:rFonts w:ascii="黑体" w:hAnsi="黑体" w:eastAsia="黑体"/>
          <w:szCs w:val="21"/>
        </w:rPr>
      </w:pPr>
      <w:r>
        <w:rPr>
          <w:rFonts w:hint="eastAsia" w:ascii="黑体" w:hAnsi="黑体" w:eastAsia="黑体"/>
          <w:szCs w:val="21"/>
        </w:rPr>
        <w:t>帐</w:t>
      </w:r>
      <w:r>
        <w:rPr>
          <w:rFonts w:ascii="黑体" w:hAnsi="黑体" w:eastAsia="黑体"/>
          <w:szCs w:val="21"/>
        </w:rPr>
        <w:t xml:space="preserve">    </w:t>
      </w:r>
      <w:r>
        <w:rPr>
          <w:rFonts w:hint="eastAsia" w:ascii="黑体" w:hAnsi="黑体" w:eastAsia="黑体"/>
          <w:szCs w:val="21"/>
        </w:rPr>
        <w:t>号：</w:t>
      </w:r>
      <w:r>
        <w:rPr>
          <w:rFonts w:ascii="黑体" w:hAnsi="黑体" w:eastAsia="黑体"/>
          <w:szCs w:val="21"/>
          <w:u w:val="single"/>
        </w:rPr>
        <w:t xml:space="preserve">              （必须是投标时使用的账号）                         </w:t>
      </w:r>
    </w:p>
    <w:p>
      <w:pPr>
        <w:spacing w:line="360" w:lineRule="auto"/>
        <w:ind w:firstLine="420" w:firstLineChars="200"/>
        <w:rPr>
          <w:rFonts w:ascii="黑体" w:hAnsi="黑体" w:eastAsia="黑体"/>
          <w:szCs w:val="21"/>
          <w:u w:val="single"/>
        </w:rPr>
      </w:pPr>
      <w:r>
        <w:rPr>
          <w:rFonts w:hint="eastAsia" w:ascii="黑体" w:hAnsi="黑体" w:eastAsia="黑体"/>
          <w:szCs w:val="21"/>
        </w:rPr>
        <w:t>开户银行：</w:t>
      </w:r>
      <w:r>
        <w:rPr>
          <w:rFonts w:ascii="黑体" w:hAnsi="黑体" w:eastAsia="黑体"/>
          <w:szCs w:val="21"/>
          <w:u w:val="single"/>
        </w:rPr>
        <w:t xml:space="preserve">            省             市           银行           支行      </w:t>
      </w:r>
    </w:p>
    <w:p>
      <w:pPr>
        <w:spacing w:line="360" w:lineRule="auto"/>
        <w:ind w:firstLine="420" w:firstLineChars="200"/>
        <w:rPr>
          <w:rFonts w:ascii="黑体" w:hAnsi="黑体" w:eastAsia="黑体"/>
          <w:szCs w:val="21"/>
        </w:rPr>
      </w:pPr>
      <w:r>
        <w:rPr>
          <w:rFonts w:hint="eastAsia" w:ascii="黑体" w:hAnsi="黑体" w:eastAsia="黑体"/>
          <w:szCs w:val="21"/>
        </w:rPr>
        <w:t>本单位谨承诺上述资料是正确、真实的，如因上述证明与事实不符导致的一切损失，本单位保证承担赔偿等一切法律责任。</w:t>
      </w:r>
    </w:p>
    <w:p>
      <w:pPr>
        <w:spacing w:line="360" w:lineRule="auto"/>
        <w:ind w:firstLine="420" w:firstLineChars="200"/>
        <w:rPr>
          <w:rFonts w:ascii="黑体" w:hAnsi="黑体" w:eastAsia="黑体"/>
          <w:szCs w:val="21"/>
        </w:rPr>
      </w:pPr>
      <w:r>
        <w:rPr>
          <w:rFonts w:hint="eastAsia" w:ascii="黑体" w:hAnsi="黑体" w:eastAsia="黑体"/>
          <w:szCs w:val="21"/>
        </w:rPr>
        <w:t>投标保证金退回时，请按上述资料退回。</w:t>
      </w:r>
    </w:p>
    <w:p>
      <w:pPr>
        <w:spacing w:line="360" w:lineRule="auto"/>
        <w:ind w:right="844" w:rightChars="402"/>
        <w:jc w:val="right"/>
        <w:rPr>
          <w:rFonts w:ascii="黑体" w:hAnsi="黑体" w:eastAsia="黑体"/>
          <w:szCs w:val="21"/>
        </w:rPr>
      </w:pPr>
      <w:r>
        <w:rPr>
          <w:rFonts w:hint="eastAsia" w:ascii="黑体" w:hAnsi="黑体" w:eastAsia="黑体"/>
          <w:szCs w:val="21"/>
        </w:rPr>
        <w:t>（单位公章）</w:t>
      </w:r>
    </w:p>
    <w:p>
      <w:pPr>
        <w:spacing w:line="360" w:lineRule="auto"/>
        <w:ind w:right="628" w:rightChars="299"/>
        <w:jc w:val="right"/>
        <w:rPr>
          <w:rFonts w:ascii="黑体" w:hAnsi="黑体" w:eastAsia="黑体"/>
          <w:szCs w:val="21"/>
        </w:rPr>
      </w:pPr>
      <w:r>
        <w:rPr>
          <w:rFonts w:hint="eastAsia" w:ascii="黑体" w:hAnsi="黑体" w:eastAsia="黑体"/>
          <w:szCs w:val="21"/>
        </w:rPr>
        <w:t>年</w:t>
      </w:r>
      <w:r>
        <w:rPr>
          <w:rFonts w:ascii="黑体" w:hAnsi="黑体" w:eastAsia="黑体"/>
          <w:szCs w:val="21"/>
        </w:rPr>
        <w:t xml:space="preserve">     </w:t>
      </w:r>
      <w:r>
        <w:rPr>
          <w:rFonts w:hint="eastAsia" w:ascii="黑体" w:hAnsi="黑体" w:eastAsia="黑体"/>
          <w:szCs w:val="21"/>
        </w:rPr>
        <w:t>月</w:t>
      </w:r>
      <w:r>
        <w:rPr>
          <w:rFonts w:ascii="黑体" w:hAnsi="黑体" w:eastAsia="黑体"/>
          <w:szCs w:val="21"/>
        </w:rPr>
        <w:t xml:space="preserve">    </w:t>
      </w:r>
      <w:r>
        <w:rPr>
          <w:rFonts w:hint="eastAsia" w:ascii="黑体" w:hAnsi="黑体" w:eastAsia="黑体"/>
          <w:szCs w:val="21"/>
        </w:rPr>
        <w:t>日</w:t>
      </w:r>
    </w:p>
    <w:p>
      <w:pPr>
        <w:spacing w:line="360" w:lineRule="auto"/>
        <w:rPr>
          <w:rFonts w:ascii="黑体" w:hAnsi="黑体" w:eastAsia="黑体"/>
          <w:szCs w:val="21"/>
          <w:u w:val="single"/>
        </w:rPr>
      </w:pPr>
      <w:r>
        <w:rPr>
          <w:rFonts w:hint="eastAsia" w:ascii="黑体" w:hAnsi="黑体" w:eastAsia="黑体"/>
          <w:szCs w:val="21"/>
        </w:rPr>
        <w:t>单位名称：</w:t>
      </w:r>
      <w:r>
        <w:rPr>
          <w:rFonts w:ascii="黑体" w:hAnsi="黑体" w:eastAsia="黑体"/>
          <w:szCs w:val="21"/>
          <w:u w:val="single"/>
        </w:rPr>
        <w:t xml:space="preserve">                    </w:t>
      </w:r>
    </w:p>
    <w:p>
      <w:pPr>
        <w:spacing w:line="360" w:lineRule="auto"/>
        <w:rPr>
          <w:rFonts w:ascii="黑体" w:hAnsi="黑体" w:eastAsia="黑体"/>
          <w:szCs w:val="21"/>
        </w:rPr>
      </w:pPr>
      <w:r>
        <w:rPr>
          <w:rFonts w:hint="eastAsia" w:ascii="黑体" w:hAnsi="黑体" w:eastAsia="黑体"/>
          <w:szCs w:val="21"/>
        </w:rPr>
        <w:t>单位地址：</w:t>
      </w:r>
      <w:r>
        <w:rPr>
          <w:rFonts w:ascii="黑体" w:hAnsi="黑体" w:eastAsia="黑体"/>
          <w:szCs w:val="21"/>
          <w:u w:val="single"/>
        </w:rPr>
        <w:t xml:space="preserve">                    </w:t>
      </w:r>
    </w:p>
    <w:p>
      <w:pPr>
        <w:spacing w:line="360" w:lineRule="auto"/>
        <w:rPr>
          <w:rFonts w:ascii="黑体" w:hAnsi="黑体" w:eastAsia="黑体"/>
          <w:szCs w:val="21"/>
        </w:rPr>
      </w:pPr>
      <w:r>
        <w:rPr>
          <w:rFonts w:hint="eastAsia" w:ascii="黑体" w:hAnsi="黑体" w:eastAsia="黑体"/>
          <w:szCs w:val="21"/>
        </w:rPr>
        <w:t>联</w:t>
      </w:r>
      <w:r>
        <w:rPr>
          <w:rFonts w:ascii="黑体" w:hAnsi="黑体" w:eastAsia="黑体"/>
          <w:szCs w:val="21"/>
        </w:rPr>
        <w:t xml:space="preserve"> </w:t>
      </w:r>
      <w:r>
        <w:rPr>
          <w:rFonts w:hint="eastAsia" w:ascii="黑体" w:hAnsi="黑体" w:eastAsia="黑体"/>
          <w:szCs w:val="21"/>
        </w:rPr>
        <w:t>系</w:t>
      </w:r>
      <w:r>
        <w:rPr>
          <w:rFonts w:ascii="黑体" w:hAnsi="黑体" w:eastAsia="黑体"/>
          <w:szCs w:val="21"/>
        </w:rPr>
        <w:t xml:space="preserve"> </w:t>
      </w:r>
      <w:r>
        <w:rPr>
          <w:rFonts w:hint="eastAsia" w:ascii="黑体" w:hAnsi="黑体" w:eastAsia="黑体"/>
          <w:szCs w:val="21"/>
        </w:rPr>
        <w:t>人：</w:t>
      </w:r>
      <w:r>
        <w:rPr>
          <w:rFonts w:ascii="黑体" w:hAnsi="黑体" w:eastAsia="黑体"/>
          <w:szCs w:val="21"/>
          <w:u w:val="single"/>
        </w:rPr>
        <w:t xml:space="preserve">  </w:t>
      </w:r>
      <w:r>
        <w:rPr>
          <w:rFonts w:hint="eastAsia" w:ascii="黑体" w:hAnsi="黑体" w:eastAsia="黑体"/>
          <w:i/>
          <w:szCs w:val="21"/>
          <w:u w:val="single"/>
        </w:rPr>
        <w:t>（投标单位财务）</w:t>
      </w:r>
      <w:r>
        <w:rPr>
          <w:rFonts w:ascii="黑体" w:hAnsi="黑体" w:eastAsia="黑体"/>
          <w:szCs w:val="21"/>
          <w:u w:val="single"/>
        </w:rPr>
        <w:t xml:space="preserve">  </w:t>
      </w:r>
    </w:p>
    <w:p>
      <w:pPr>
        <w:spacing w:line="360" w:lineRule="auto"/>
        <w:rPr>
          <w:rFonts w:ascii="黑体" w:hAnsi="黑体" w:eastAsia="黑体"/>
          <w:szCs w:val="21"/>
        </w:rPr>
      </w:pPr>
      <w:r>
        <w:rPr>
          <w:rFonts w:hint="eastAsia" w:ascii="黑体" w:hAnsi="黑体" w:eastAsia="黑体"/>
          <w:szCs w:val="21"/>
        </w:rPr>
        <w:t>单位电话：</w:t>
      </w:r>
      <w:r>
        <w:rPr>
          <w:rFonts w:ascii="黑体" w:hAnsi="黑体" w:eastAsia="黑体"/>
          <w:szCs w:val="21"/>
          <w:u w:val="single"/>
        </w:rPr>
        <w:t xml:space="preserve">                    </w:t>
      </w:r>
      <w:r>
        <w:rPr>
          <w:rFonts w:ascii="黑体" w:hAnsi="黑体" w:eastAsia="黑体"/>
          <w:szCs w:val="21"/>
        </w:rPr>
        <w:t xml:space="preserve">      联系人手机：</w:t>
      </w:r>
      <w:r>
        <w:rPr>
          <w:rFonts w:ascii="黑体" w:hAnsi="黑体" w:eastAsia="黑体"/>
          <w:szCs w:val="21"/>
          <w:u w:val="single"/>
        </w:rPr>
        <w:t xml:space="preserve">              </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5000" w:type="pct"/>
            <w:vAlign w:val="center"/>
          </w:tcPr>
          <w:p>
            <w:pPr>
              <w:jc w:val="center"/>
              <w:rPr>
                <w:rFonts w:ascii="黑体" w:hAnsi="黑体" w:eastAsia="黑体"/>
                <w:szCs w:val="21"/>
              </w:rPr>
            </w:pPr>
            <w:r>
              <w:rPr>
                <w:rFonts w:hint="eastAsia" w:ascii="黑体" w:hAnsi="黑体" w:eastAsia="黑体"/>
                <w:szCs w:val="21"/>
              </w:rPr>
              <w:t>附件一：我方投标保证金汇款凭证（复印件加盖投标人公章）</w:t>
            </w:r>
          </w:p>
        </w:tc>
      </w:tr>
    </w:tbl>
    <w:p>
      <w:pPr>
        <w:spacing w:line="360" w:lineRule="auto"/>
        <w:rPr>
          <w:rFonts w:ascii="黑体" w:hAnsi="黑体" w:eastAsia="黑体"/>
          <w:bCs/>
          <w:szCs w:val="21"/>
          <w:lang w:val="zh-CN"/>
        </w:rPr>
      </w:pPr>
      <w:r>
        <w:rPr>
          <w:rFonts w:hint="eastAsia" w:ascii="黑体" w:hAnsi="黑体" w:eastAsia="黑体"/>
          <w:bCs/>
          <w:szCs w:val="21"/>
          <w:lang w:val="zh-CN"/>
        </w:rPr>
        <w:t>注：本情况说明手写无效。</w:t>
      </w:r>
    </w:p>
    <w:p>
      <w:pPr>
        <w:pageBreakBefore/>
        <w:rPr>
          <w:rFonts w:ascii="黑体" w:hAnsi="黑体" w:eastAsia="黑体"/>
          <w:b/>
          <w:bCs/>
        </w:rPr>
      </w:pPr>
      <w:r>
        <w:rPr>
          <w:rFonts w:hint="eastAsia" w:ascii="黑体" w:hAnsi="黑体" w:eastAsia="黑体"/>
          <w:b/>
          <w:bCs/>
        </w:rPr>
        <w:t>政府采购投标担保函递交情况说明</w:t>
      </w:r>
    </w:p>
    <w:p>
      <w:pPr>
        <w:spacing w:before="312" w:beforeLines="100" w:after="312" w:afterLines="100"/>
        <w:jc w:val="center"/>
        <w:rPr>
          <w:rFonts w:ascii="黑体" w:hAnsi="黑体" w:eastAsia="黑体"/>
          <w:b/>
          <w:spacing w:val="20"/>
          <w:sz w:val="30"/>
          <w:szCs w:val="30"/>
        </w:rPr>
      </w:pPr>
      <w:r>
        <w:rPr>
          <w:rFonts w:hint="eastAsia" w:ascii="黑体" w:hAnsi="黑体" w:eastAsia="黑体"/>
          <w:b/>
          <w:spacing w:val="20"/>
          <w:sz w:val="30"/>
          <w:szCs w:val="30"/>
        </w:rPr>
        <w:t>政府采购投标担保函递交情况说明</w:t>
      </w:r>
    </w:p>
    <w:p>
      <w:pPr>
        <w:spacing w:before="468" w:beforeLines="150" w:after="312" w:afterLines="100" w:line="360" w:lineRule="auto"/>
        <w:rPr>
          <w:rFonts w:ascii="黑体" w:hAnsi="黑体" w:eastAsia="黑体"/>
          <w:b/>
        </w:rPr>
      </w:pPr>
      <w:r>
        <w:rPr>
          <w:rFonts w:hint="eastAsia" w:ascii="黑体" w:hAnsi="黑体" w:eastAsia="黑体"/>
          <w:b/>
        </w:rPr>
        <w:t>致：广东有德招标采购有限公司</w:t>
      </w:r>
    </w:p>
    <w:p>
      <w:pPr>
        <w:spacing w:line="480" w:lineRule="auto"/>
        <w:ind w:firstLine="420" w:firstLineChars="200"/>
        <w:rPr>
          <w:rFonts w:ascii="黑体" w:hAnsi="黑体" w:eastAsia="黑体"/>
          <w:szCs w:val="21"/>
        </w:rPr>
      </w:pPr>
      <w:r>
        <w:rPr>
          <w:rFonts w:hint="eastAsia" w:ascii="黑体" w:hAnsi="黑体" w:eastAsia="黑体"/>
          <w:bCs/>
          <w:szCs w:val="21"/>
        </w:rPr>
        <w:t>本单位已按</w:t>
      </w:r>
      <w:r>
        <w:rPr>
          <w:rFonts w:ascii="黑体" w:hAnsi="黑体" w:eastAsia="黑体"/>
          <w:bCs/>
          <w:szCs w:val="21"/>
          <w:u w:val="single"/>
        </w:rPr>
        <w:t xml:space="preserve">     （</w:t>
      </w:r>
      <w:r>
        <w:rPr>
          <w:rFonts w:hint="eastAsia" w:ascii="黑体" w:hAnsi="黑体" w:eastAsia="黑体"/>
          <w:bCs/>
          <w:szCs w:val="21"/>
          <w:u w:val="single"/>
        </w:rPr>
        <w:t>项目名称）</w:t>
      </w:r>
      <w:r>
        <w:rPr>
          <w:rFonts w:ascii="黑体" w:hAnsi="黑体" w:eastAsia="黑体"/>
          <w:bCs/>
          <w:szCs w:val="21"/>
          <w:u w:val="single"/>
        </w:rPr>
        <w:t xml:space="preserve">     </w:t>
      </w:r>
      <w:r>
        <w:rPr>
          <w:rFonts w:hint="eastAsia" w:ascii="黑体" w:hAnsi="黑体" w:eastAsia="黑体"/>
          <w:bCs/>
          <w:szCs w:val="21"/>
        </w:rPr>
        <w:t>项目（项目编号：</w:t>
      </w:r>
      <w:r>
        <w:rPr>
          <w:rFonts w:ascii="黑体" w:hAnsi="黑体" w:eastAsia="黑体"/>
          <w:bCs/>
          <w:szCs w:val="21"/>
          <w:u w:val="single"/>
        </w:rPr>
        <w:t xml:space="preserve">             </w:t>
      </w:r>
      <w:r>
        <w:rPr>
          <w:rFonts w:hint="eastAsia" w:ascii="黑体" w:hAnsi="黑体" w:eastAsia="黑体"/>
          <w:bCs/>
          <w:szCs w:val="21"/>
        </w:rPr>
        <w:t>）的招标文件要求，于</w:t>
      </w:r>
      <w:r>
        <w:rPr>
          <w:rFonts w:hint="eastAsia" w:ascii="黑体" w:hAnsi="黑体" w:eastAsia="黑体"/>
          <w:szCs w:val="21"/>
          <w:u w:val="single"/>
        </w:rPr>
        <w:t xml:space="preserve">      年</w:t>
      </w:r>
      <w:r>
        <w:rPr>
          <w:rFonts w:ascii="黑体" w:hAnsi="黑体" w:eastAsia="黑体"/>
          <w:szCs w:val="21"/>
          <w:u w:val="single"/>
        </w:rPr>
        <w:t xml:space="preserve">   月   日    </w:t>
      </w:r>
      <w:r>
        <w:rPr>
          <w:rFonts w:hint="eastAsia" w:ascii="黑体" w:hAnsi="黑体" w:eastAsia="黑体"/>
          <w:szCs w:val="21"/>
          <w:u w:val="single"/>
        </w:rPr>
        <w:t>时</w:t>
      </w:r>
      <w:r>
        <w:rPr>
          <w:rFonts w:ascii="黑体" w:hAnsi="黑体" w:eastAsia="黑体"/>
          <w:szCs w:val="21"/>
          <w:u w:val="single"/>
        </w:rPr>
        <w:t xml:space="preserve">   </w:t>
      </w:r>
      <w:r>
        <w:rPr>
          <w:rFonts w:hint="eastAsia" w:ascii="黑体" w:hAnsi="黑体" w:eastAsia="黑体"/>
          <w:szCs w:val="21"/>
          <w:u w:val="single"/>
        </w:rPr>
        <w:t>分（北京时间）</w:t>
      </w:r>
      <w:r>
        <w:rPr>
          <w:rFonts w:hint="eastAsia" w:ascii="黑体" w:hAnsi="黑体" w:eastAsia="黑体"/>
          <w:bCs/>
          <w:szCs w:val="21"/>
        </w:rPr>
        <w:t>前以</w:t>
      </w:r>
      <w:r>
        <w:rPr>
          <w:rFonts w:hint="eastAsia" w:ascii="黑体" w:hAnsi="黑体" w:eastAsia="黑体"/>
          <w:bCs/>
          <w:szCs w:val="21"/>
          <w:u w:val="single"/>
        </w:rPr>
        <w:t>政府采购投标担保函</w:t>
      </w:r>
      <w:r>
        <w:rPr>
          <w:rFonts w:hint="eastAsia" w:ascii="黑体" w:hAnsi="黑体" w:eastAsia="黑体"/>
          <w:bCs/>
          <w:szCs w:val="21"/>
        </w:rPr>
        <w:t>方式与投标文件一同递交。</w:t>
      </w:r>
    </w:p>
    <w:p>
      <w:pPr>
        <w:spacing w:line="360" w:lineRule="auto"/>
        <w:ind w:right="844" w:rightChars="402"/>
        <w:jc w:val="right"/>
        <w:rPr>
          <w:rFonts w:ascii="黑体" w:hAnsi="黑体" w:eastAsia="黑体"/>
          <w:szCs w:val="21"/>
        </w:rPr>
      </w:pPr>
    </w:p>
    <w:p>
      <w:pPr>
        <w:spacing w:line="360" w:lineRule="auto"/>
        <w:ind w:right="844" w:rightChars="402"/>
        <w:jc w:val="right"/>
        <w:rPr>
          <w:rFonts w:ascii="黑体" w:hAnsi="黑体" w:eastAsia="黑体"/>
          <w:szCs w:val="21"/>
        </w:rPr>
      </w:pPr>
      <w:r>
        <w:rPr>
          <w:rFonts w:hint="eastAsia" w:ascii="黑体" w:hAnsi="黑体" w:eastAsia="黑体"/>
          <w:szCs w:val="21"/>
        </w:rPr>
        <w:t>（单位公章）</w:t>
      </w:r>
    </w:p>
    <w:p>
      <w:pPr>
        <w:spacing w:after="624" w:afterLines="200" w:line="360" w:lineRule="auto"/>
        <w:ind w:right="628" w:rightChars="299"/>
        <w:jc w:val="right"/>
        <w:rPr>
          <w:rFonts w:ascii="黑体" w:hAnsi="黑体" w:eastAsia="黑体"/>
          <w:szCs w:val="21"/>
        </w:rPr>
      </w:pPr>
      <w:r>
        <w:rPr>
          <w:rFonts w:hint="eastAsia" w:ascii="黑体" w:hAnsi="黑体" w:eastAsia="黑体"/>
          <w:szCs w:val="21"/>
        </w:rPr>
        <w:t>年</w:t>
      </w:r>
      <w:r>
        <w:rPr>
          <w:rFonts w:ascii="黑体" w:hAnsi="黑体" w:eastAsia="黑体"/>
          <w:szCs w:val="21"/>
        </w:rPr>
        <w:t xml:space="preserve">     </w:t>
      </w:r>
      <w:r>
        <w:rPr>
          <w:rFonts w:hint="eastAsia" w:ascii="黑体" w:hAnsi="黑体" w:eastAsia="黑体"/>
          <w:szCs w:val="21"/>
        </w:rPr>
        <w:t>月</w:t>
      </w:r>
      <w:r>
        <w:rPr>
          <w:rFonts w:ascii="黑体" w:hAnsi="黑体" w:eastAsia="黑体"/>
          <w:szCs w:val="21"/>
        </w:rPr>
        <w:t xml:space="preserve">    </w:t>
      </w:r>
      <w:r>
        <w:rPr>
          <w:rFonts w:hint="eastAsia" w:ascii="黑体" w:hAnsi="黑体" w:eastAsia="黑体"/>
          <w:szCs w:val="21"/>
        </w:rPr>
        <w:t>日</w:t>
      </w:r>
    </w:p>
    <w:p>
      <w:pPr>
        <w:spacing w:line="360" w:lineRule="auto"/>
        <w:rPr>
          <w:rFonts w:ascii="黑体" w:hAnsi="黑体" w:eastAsia="黑体"/>
          <w:szCs w:val="21"/>
          <w:u w:val="single"/>
        </w:rPr>
      </w:pPr>
      <w:r>
        <w:rPr>
          <w:rFonts w:hint="eastAsia" w:ascii="黑体" w:hAnsi="黑体" w:eastAsia="黑体"/>
          <w:szCs w:val="21"/>
        </w:rPr>
        <w:t>单位名称：</w:t>
      </w:r>
      <w:r>
        <w:rPr>
          <w:rFonts w:ascii="黑体" w:hAnsi="黑体" w:eastAsia="黑体"/>
          <w:szCs w:val="21"/>
          <w:u w:val="single"/>
        </w:rPr>
        <w:t xml:space="preserve">                    </w:t>
      </w:r>
    </w:p>
    <w:p>
      <w:pPr>
        <w:spacing w:line="360" w:lineRule="auto"/>
        <w:rPr>
          <w:rFonts w:ascii="黑体" w:hAnsi="黑体" w:eastAsia="黑体"/>
          <w:szCs w:val="21"/>
        </w:rPr>
      </w:pPr>
      <w:r>
        <w:rPr>
          <w:rFonts w:hint="eastAsia" w:ascii="黑体" w:hAnsi="黑体" w:eastAsia="黑体"/>
          <w:szCs w:val="21"/>
        </w:rPr>
        <w:t>单位地址：</w:t>
      </w:r>
      <w:r>
        <w:rPr>
          <w:rFonts w:ascii="黑体" w:hAnsi="黑体" w:eastAsia="黑体"/>
          <w:szCs w:val="21"/>
          <w:u w:val="single"/>
        </w:rPr>
        <w:t xml:space="preserve">                    </w:t>
      </w:r>
    </w:p>
    <w:p>
      <w:pPr>
        <w:spacing w:line="360" w:lineRule="auto"/>
        <w:rPr>
          <w:rFonts w:ascii="黑体" w:hAnsi="黑体" w:eastAsia="黑体"/>
          <w:szCs w:val="21"/>
        </w:rPr>
      </w:pPr>
      <w:r>
        <w:rPr>
          <w:rFonts w:hint="eastAsia" w:ascii="黑体" w:hAnsi="黑体" w:eastAsia="黑体"/>
          <w:szCs w:val="21"/>
        </w:rPr>
        <w:t>联</w:t>
      </w:r>
      <w:r>
        <w:rPr>
          <w:rFonts w:ascii="黑体" w:hAnsi="黑体" w:eastAsia="黑体"/>
          <w:szCs w:val="21"/>
        </w:rPr>
        <w:t xml:space="preserve"> </w:t>
      </w:r>
      <w:r>
        <w:rPr>
          <w:rFonts w:hint="eastAsia" w:ascii="黑体" w:hAnsi="黑体" w:eastAsia="黑体"/>
          <w:szCs w:val="21"/>
        </w:rPr>
        <w:t>系</w:t>
      </w:r>
      <w:r>
        <w:rPr>
          <w:rFonts w:ascii="黑体" w:hAnsi="黑体" w:eastAsia="黑体"/>
          <w:szCs w:val="21"/>
        </w:rPr>
        <w:t xml:space="preserve"> </w:t>
      </w:r>
      <w:r>
        <w:rPr>
          <w:rFonts w:hint="eastAsia" w:ascii="黑体" w:hAnsi="黑体" w:eastAsia="黑体"/>
          <w:szCs w:val="21"/>
        </w:rPr>
        <w:t>人：</w:t>
      </w:r>
      <w:r>
        <w:rPr>
          <w:rFonts w:ascii="黑体" w:hAnsi="黑体" w:eastAsia="黑体"/>
          <w:szCs w:val="21"/>
          <w:u w:val="single"/>
        </w:rPr>
        <w:t xml:space="preserve">  </w:t>
      </w:r>
      <w:r>
        <w:rPr>
          <w:rFonts w:hint="eastAsia" w:ascii="黑体" w:hAnsi="黑体" w:eastAsia="黑体"/>
          <w:i/>
          <w:szCs w:val="21"/>
          <w:u w:val="single"/>
        </w:rPr>
        <w:t>（投标单位财务）</w:t>
      </w:r>
      <w:r>
        <w:rPr>
          <w:rFonts w:ascii="黑体" w:hAnsi="黑体" w:eastAsia="黑体"/>
          <w:szCs w:val="21"/>
          <w:u w:val="single"/>
        </w:rPr>
        <w:t xml:space="preserve">  </w:t>
      </w:r>
    </w:p>
    <w:p>
      <w:pPr>
        <w:spacing w:line="360" w:lineRule="auto"/>
        <w:rPr>
          <w:rFonts w:ascii="黑体" w:hAnsi="黑体" w:eastAsia="黑体"/>
          <w:szCs w:val="21"/>
        </w:rPr>
      </w:pPr>
      <w:r>
        <w:rPr>
          <w:rFonts w:hint="eastAsia" w:ascii="黑体" w:hAnsi="黑体" w:eastAsia="黑体"/>
          <w:szCs w:val="21"/>
        </w:rPr>
        <w:t>单位电话：</w:t>
      </w:r>
      <w:r>
        <w:rPr>
          <w:rFonts w:ascii="黑体" w:hAnsi="黑体" w:eastAsia="黑体"/>
          <w:szCs w:val="21"/>
          <w:u w:val="single"/>
        </w:rPr>
        <w:t xml:space="preserve">                    </w:t>
      </w:r>
      <w:r>
        <w:rPr>
          <w:rFonts w:ascii="黑体" w:hAnsi="黑体" w:eastAsia="黑体"/>
          <w:szCs w:val="21"/>
        </w:rPr>
        <w:t xml:space="preserve">      联系人手机：</w:t>
      </w:r>
      <w:r>
        <w:rPr>
          <w:rFonts w:ascii="黑体" w:hAnsi="黑体" w:eastAsia="黑体"/>
          <w:szCs w:val="21"/>
          <w:u w:val="single"/>
        </w:rPr>
        <w:t xml:space="preserve">              </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5000" w:type="pct"/>
            <w:vAlign w:val="center"/>
          </w:tcPr>
          <w:p>
            <w:pPr>
              <w:jc w:val="center"/>
              <w:rPr>
                <w:rFonts w:ascii="黑体" w:hAnsi="黑体" w:eastAsia="黑体"/>
                <w:b/>
                <w:szCs w:val="21"/>
              </w:rPr>
            </w:pPr>
            <w:r>
              <w:rPr>
                <w:rFonts w:hint="eastAsia" w:ascii="黑体" w:hAnsi="黑体" w:eastAsia="黑体"/>
                <w:b/>
                <w:szCs w:val="21"/>
              </w:rPr>
              <w:t>附件一：</w:t>
            </w:r>
            <w:r>
              <w:rPr>
                <w:rFonts w:hint="eastAsia" w:ascii="黑体" w:hAnsi="黑体" w:eastAsia="黑体"/>
                <w:b/>
                <w:szCs w:val="21"/>
                <w:lang w:val="zh-CN"/>
              </w:rPr>
              <w:t>《政府采购投标担保函》</w:t>
            </w:r>
            <w:r>
              <w:rPr>
                <w:rFonts w:hint="eastAsia" w:ascii="黑体" w:hAnsi="黑体" w:eastAsia="黑体"/>
                <w:b/>
                <w:szCs w:val="21"/>
              </w:rPr>
              <w:t>（原件）</w:t>
            </w:r>
          </w:p>
        </w:tc>
      </w:tr>
    </w:tbl>
    <w:p>
      <w:pPr>
        <w:pStyle w:val="30"/>
        <w:pageBreakBefore/>
        <w:numPr>
          <w:ilvl w:val="0"/>
          <w:numId w:val="83"/>
        </w:numPr>
        <w:tabs>
          <w:tab w:val="left" w:pos="284"/>
          <w:tab w:val="left" w:pos="567"/>
          <w:tab w:val="left" w:pos="709"/>
        </w:tabs>
        <w:ind w:left="1679" w:hanging="1537" w:firstLineChars="0"/>
        <w:jc w:val="left"/>
        <w:rPr>
          <w:rFonts w:ascii="黑体" w:hAnsi="黑体" w:eastAsia="黑体"/>
          <w:b/>
          <w:bCs/>
        </w:rPr>
      </w:pPr>
      <w:r>
        <w:rPr>
          <w:rFonts w:hint="eastAsia" w:ascii="黑体" w:hAnsi="黑体" w:eastAsia="黑体"/>
          <w:b/>
          <w:bCs/>
        </w:rPr>
        <w:t>相关保函格式</w:t>
      </w:r>
    </w:p>
    <w:p>
      <w:pPr>
        <w:spacing w:before="312" w:beforeLines="100" w:after="312" w:afterLines="100" w:line="360" w:lineRule="auto"/>
        <w:jc w:val="center"/>
        <w:rPr>
          <w:rFonts w:ascii="黑体" w:hAnsi="黑体" w:eastAsia="黑体"/>
          <w:b/>
          <w:spacing w:val="20"/>
          <w:sz w:val="30"/>
          <w:szCs w:val="30"/>
        </w:rPr>
      </w:pPr>
      <w:r>
        <w:rPr>
          <w:rFonts w:hint="eastAsia" w:ascii="黑体" w:hAnsi="黑体" w:eastAsia="黑体"/>
          <w:b/>
          <w:spacing w:val="20"/>
          <w:sz w:val="30"/>
          <w:szCs w:val="30"/>
        </w:rPr>
        <w:t>政府采购投标担保函</w:t>
      </w:r>
    </w:p>
    <w:p>
      <w:pPr>
        <w:spacing w:line="360" w:lineRule="auto"/>
        <w:ind w:firstLine="6261" w:firstLineChars="2970"/>
        <w:rPr>
          <w:rFonts w:ascii="黑体" w:hAnsi="黑体" w:eastAsia="黑体"/>
          <w:b/>
          <w:szCs w:val="21"/>
        </w:rPr>
      </w:pPr>
      <w:r>
        <w:rPr>
          <w:rFonts w:hint="eastAsia" w:ascii="黑体" w:hAnsi="黑体" w:eastAsia="黑体"/>
          <w:b/>
          <w:szCs w:val="21"/>
        </w:rPr>
        <w:t>编号：</w:t>
      </w:r>
    </w:p>
    <w:p>
      <w:pPr>
        <w:spacing w:line="360" w:lineRule="auto"/>
        <w:rPr>
          <w:rFonts w:ascii="黑体" w:hAnsi="黑体" w:eastAsia="黑体"/>
          <w:szCs w:val="21"/>
          <w:u w:val="single"/>
        </w:rPr>
      </w:pPr>
      <w:r>
        <w:rPr>
          <w:rFonts w:hint="eastAsia" w:ascii="黑体" w:hAnsi="黑体" w:eastAsia="黑体"/>
          <w:szCs w:val="21"/>
          <w:u w:val="single"/>
        </w:rPr>
        <w:t xml:space="preserve">                     </w:t>
      </w:r>
      <w:r>
        <w:rPr>
          <w:rFonts w:hint="eastAsia" w:ascii="黑体" w:hAnsi="黑体" w:eastAsia="黑体"/>
          <w:szCs w:val="21"/>
        </w:rPr>
        <w:t>(采购人或采购代理机构)：</w:t>
      </w:r>
    </w:p>
    <w:p>
      <w:pPr>
        <w:spacing w:line="360" w:lineRule="auto"/>
        <w:ind w:firstLine="420" w:firstLineChars="200"/>
        <w:rPr>
          <w:rFonts w:ascii="黑体" w:hAnsi="黑体" w:eastAsia="黑体"/>
          <w:szCs w:val="21"/>
          <w:u w:val="single"/>
        </w:rPr>
      </w:pPr>
      <w:r>
        <w:rPr>
          <w:rFonts w:hint="eastAsia" w:ascii="黑体" w:hAnsi="黑体" w:eastAsia="黑体"/>
          <w:szCs w:val="21"/>
        </w:rPr>
        <w:t>鉴于</w:t>
      </w:r>
      <w:r>
        <w:rPr>
          <w:rFonts w:hint="eastAsia" w:ascii="黑体" w:hAnsi="黑体" w:eastAsia="黑体"/>
          <w:szCs w:val="21"/>
          <w:u w:val="single"/>
        </w:rPr>
        <w:t xml:space="preserve">                   </w:t>
      </w:r>
      <w:r>
        <w:rPr>
          <w:rFonts w:hint="eastAsia" w:ascii="黑体" w:hAnsi="黑体" w:eastAsia="黑体"/>
          <w:szCs w:val="21"/>
        </w:rPr>
        <w:t>(以下简称“投标人”)拟参加编号为</w:t>
      </w:r>
      <w:r>
        <w:rPr>
          <w:rFonts w:hint="eastAsia" w:ascii="黑体" w:hAnsi="黑体" w:eastAsia="黑体"/>
          <w:szCs w:val="21"/>
          <w:u w:val="single"/>
        </w:rPr>
        <w:t xml:space="preserve">                   </w:t>
      </w:r>
      <w:r>
        <w:rPr>
          <w:rFonts w:hint="eastAsia" w:ascii="黑体" w:hAnsi="黑体" w:eastAsia="黑体"/>
          <w:szCs w:val="21"/>
        </w:rPr>
        <w:t>的</w:t>
      </w:r>
      <w:r>
        <w:rPr>
          <w:rFonts w:hint="eastAsia" w:ascii="黑体" w:hAnsi="黑体" w:eastAsia="黑体"/>
          <w:szCs w:val="21"/>
          <w:u w:val="single"/>
        </w:rPr>
        <w:t xml:space="preserve">      </w:t>
      </w:r>
    </w:p>
    <w:p>
      <w:pPr>
        <w:spacing w:line="360" w:lineRule="auto"/>
        <w:rPr>
          <w:rFonts w:ascii="黑体" w:hAnsi="黑体" w:eastAsia="黑体"/>
          <w:szCs w:val="21"/>
          <w:u w:val="single"/>
        </w:rPr>
      </w:pPr>
      <w:r>
        <w:rPr>
          <w:rFonts w:hint="eastAsia" w:ascii="黑体" w:hAnsi="黑体" w:eastAsia="黑体"/>
          <w:szCs w:val="21"/>
          <w:u w:val="single"/>
        </w:rPr>
        <w:t xml:space="preserve">                   </w:t>
      </w:r>
      <w:r>
        <w:rPr>
          <w:rFonts w:hint="eastAsia" w:ascii="黑体" w:hAnsi="黑体" w:eastAsia="黑体"/>
          <w:szCs w:val="21"/>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rPr>
          <w:rFonts w:ascii="黑体" w:hAnsi="黑体" w:eastAsia="黑体"/>
          <w:szCs w:val="21"/>
        </w:rPr>
      </w:pPr>
      <w:r>
        <w:rPr>
          <w:rFonts w:hint="eastAsia" w:ascii="黑体" w:hAnsi="黑体" w:eastAsia="黑体"/>
          <w:szCs w:val="21"/>
        </w:rPr>
        <w:t>一、保证责任的情形及保证金额</w:t>
      </w:r>
    </w:p>
    <w:p>
      <w:pPr>
        <w:tabs>
          <w:tab w:val="left" w:pos="284"/>
        </w:tabs>
        <w:spacing w:line="360" w:lineRule="auto"/>
        <w:ind w:left="283" w:leftChars="135"/>
        <w:rPr>
          <w:rFonts w:ascii="黑体" w:hAnsi="黑体" w:eastAsia="黑体"/>
          <w:szCs w:val="21"/>
        </w:rPr>
      </w:pPr>
      <w:r>
        <w:rPr>
          <w:rFonts w:hint="eastAsia" w:ascii="黑体" w:hAnsi="黑体" w:eastAsia="黑体"/>
          <w:szCs w:val="21"/>
        </w:rPr>
        <w:t>(一)在投标人出现下列情形之一时,，我方承担保证责任：</w:t>
      </w:r>
    </w:p>
    <w:p>
      <w:pPr>
        <w:tabs>
          <w:tab w:val="left" w:pos="284"/>
        </w:tabs>
        <w:spacing w:line="360" w:lineRule="auto"/>
        <w:ind w:left="283" w:leftChars="135"/>
        <w:rPr>
          <w:rFonts w:ascii="黑体" w:hAnsi="黑体" w:eastAsia="黑体"/>
          <w:szCs w:val="21"/>
        </w:rPr>
      </w:pPr>
      <w:r>
        <w:rPr>
          <w:rFonts w:hint="eastAsia" w:ascii="黑体" w:hAnsi="黑体" w:eastAsia="黑体"/>
          <w:szCs w:val="21"/>
        </w:rPr>
        <w:t>1.中标后投标人无正当理由不与采购人或者采购代理机构签订《政府采购合同》；</w:t>
      </w:r>
    </w:p>
    <w:p>
      <w:pPr>
        <w:tabs>
          <w:tab w:val="left" w:pos="284"/>
        </w:tabs>
        <w:spacing w:line="360" w:lineRule="auto"/>
        <w:ind w:left="283" w:leftChars="135"/>
        <w:rPr>
          <w:rFonts w:ascii="黑体" w:hAnsi="黑体" w:eastAsia="黑体"/>
          <w:szCs w:val="21"/>
        </w:rPr>
      </w:pPr>
      <w:r>
        <w:rPr>
          <w:rFonts w:hint="eastAsia" w:ascii="黑体" w:hAnsi="黑体" w:eastAsia="黑体"/>
          <w:szCs w:val="21"/>
        </w:rPr>
        <w:t>2.招标文件规定的投标人应当缴纳保证金的其他情形。</w:t>
      </w:r>
    </w:p>
    <w:p>
      <w:pPr>
        <w:tabs>
          <w:tab w:val="left" w:pos="284"/>
        </w:tabs>
        <w:spacing w:line="360" w:lineRule="auto"/>
        <w:ind w:left="283" w:leftChars="135"/>
        <w:rPr>
          <w:rFonts w:ascii="黑体" w:hAnsi="黑体" w:eastAsia="黑体"/>
          <w:szCs w:val="21"/>
        </w:rPr>
      </w:pPr>
      <w:r>
        <w:rPr>
          <w:rFonts w:hint="eastAsia" w:ascii="黑体" w:hAnsi="黑体" w:eastAsia="黑体"/>
          <w:szCs w:val="21"/>
        </w:rPr>
        <w:t>(二)我方承担保证责任的最高金额为人民币</w:t>
      </w:r>
      <w:r>
        <w:rPr>
          <w:rFonts w:hint="eastAsia" w:ascii="黑体" w:hAnsi="黑体" w:eastAsia="黑体"/>
          <w:szCs w:val="21"/>
          <w:u w:val="single"/>
        </w:rPr>
        <w:t xml:space="preserve">         </w:t>
      </w:r>
      <w:r>
        <w:rPr>
          <w:rFonts w:hint="eastAsia" w:ascii="黑体" w:hAnsi="黑体" w:eastAsia="黑体"/>
          <w:szCs w:val="21"/>
        </w:rPr>
        <w:t>元(大写：</w:t>
      </w:r>
      <w:r>
        <w:rPr>
          <w:rFonts w:hint="eastAsia" w:ascii="黑体" w:hAnsi="黑体" w:eastAsia="黑体"/>
          <w:szCs w:val="21"/>
          <w:u w:val="single"/>
        </w:rPr>
        <w:t xml:space="preserve">        </w:t>
      </w:r>
      <w:r>
        <w:rPr>
          <w:rFonts w:hint="eastAsia" w:ascii="黑体" w:hAnsi="黑体" w:eastAsia="黑体"/>
          <w:szCs w:val="21"/>
        </w:rPr>
        <w:t xml:space="preserve"> )；即本项目的投标保证金金额。</w:t>
      </w:r>
    </w:p>
    <w:p>
      <w:pPr>
        <w:spacing w:line="360" w:lineRule="auto"/>
        <w:rPr>
          <w:rFonts w:ascii="黑体" w:hAnsi="黑体" w:eastAsia="黑体"/>
          <w:szCs w:val="21"/>
        </w:rPr>
      </w:pPr>
      <w:r>
        <w:rPr>
          <w:rFonts w:hint="eastAsia" w:ascii="黑体" w:hAnsi="黑体" w:eastAsia="黑体"/>
          <w:szCs w:val="21"/>
        </w:rPr>
        <w:t>二、保证的方式及保证期间</w:t>
      </w:r>
    </w:p>
    <w:p>
      <w:pPr>
        <w:tabs>
          <w:tab w:val="left" w:pos="142"/>
          <w:tab w:val="left" w:pos="284"/>
        </w:tabs>
        <w:spacing w:line="360" w:lineRule="auto"/>
        <w:ind w:left="283" w:leftChars="135"/>
        <w:rPr>
          <w:rFonts w:ascii="黑体" w:hAnsi="黑体" w:eastAsia="黑体"/>
          <w:szCs w:val="21"/>
        </w:rPr>
      </w:pPr>
      <w:r>
        <w:rPr>
          <w:rFonts w:hint="eastAsia" w:ascii="黑体" w:hAnsi="黑体" w:eastAsia="黑体"/>
          <w:szCs w:val="21"/>
        </w:rPr>
        <w:t>我方保证的方式为：连带责任保证。</w:t>
      </w:r>
    </w:p>
    <w:p>
      <w:pPr>
        <w:spacing w:line="360" w:lineRule="auto"/>
        <w:ind w:left="283" w:leftChars="135"/>
        <w:rPr>
          <w:rFonts w:ascii="黑体" w:hAnsi="黑体" w:eastAsia="黑体"/>
          <w:szCs w:val="21"/>
        </w:rPr>
      </w:pPr>
      <w:r>
        <w:rPr>
          <w:rFonts w:hint="eastAsia" w:ascii="黑体" w:hAnsi="黑体" w:eastAsia="黑体"/>
          <w:szCs w:val="21"/>
        </w:rPr>
        <w:t>我方的保证期间为：自本保函生效之日起</w:t>
      </w:r>
      <w:r>
        <w:rPr>
          <w:rFonts w:hint="eastAsia" w:ascii="黑体" w:hAnsi="黑体" w:eastAsia="黑体"/>
          <w:szCs w:val="21"/>
          <w:u w:val="single"/>
        </w:rPr>
        <w:t xml:space="preserve">      </w:t>
      </w:r>
      <w:r>
        <w:rPr>
          <w:rFonts w:hint="eastAsia" w:ascii="黑体" w:hAnsi="黑体" w:eastAsia="黑体"/>
          <w:szCs w:val="21"/>
        </w:rPr>
        <w:t>个月止。</w:t>
      </w:r>
    </w:p>
    <w:p>
      <w:pPr>
        <w:spacing w:line="360" w:lineRule="auto"/>
        <w:rPr>
          <w:rFonts w:ascii="黑体" w:hAnsi="黑体" w:eastAsia="黑体"/>
          <w:szCs w:val="21"/>
        </w:rPr>
      </w:pPr>
      <w:r>
        <w:rPr>
          <w:rFonts w:hint="eastAsia" w:ascii="黑体" w:hAnsi="黑体" w:eastAsia="黑体"/>
          <w:szCs w:val="21"/>
        </w:rPr>
        <w:t>三、承担保证责任的程序</w:t>
      </w:r>
    </w:p>
    <w:p>
      <w:pPr>
        <w:spacing w:line="360" w:lineRule="auto"/>
        <w:ind w:left="281" w:leftChars="134"/>
        <w:rPr>
          <w:rFonts w:ascii="黑体" w:hAnsi="黑体" w:eastAsia="黑体"/>
          <w:szCs w:val="21"/>
        </w:rPr>
      </w:pPr>
      <w:r>
        <w:rPr>
          <w:rFonts w:hint="eastAsia" w:ascii="黑体" w:hAnsi="黑体" w:eastAsia="黑体"/>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left="281" w:leftChars="134"/>
        <w:rPr>
          <w:rFonts w:ascii="黑体" w:hAnsi="黑体" w:eastAsia="黑体"/>
          <w:szCs w:val="21"/>
        </w:rPr>
      </w:pPr>
      <w:r>
        <w:rPr>
          <w:rFonts w:hint="eastAsia" w:ascii="黑体" w:hAnsi="黑体" w:eastAsia="黑体"/>
          <w:szCs w:val="21"/>
        </w:rPr>
        <w:t>2.我方在收到索赔通知及相关证明材料后，在</w:t>
      </w:r>
      <w:r>
        <w:rPr>
          <w:rFonts w:hint="eastAsia" w:ascii="黑体" w:hAnsi="黑体" w:eastAsia="黑体"/>
          <w:szCs w:val="21"/>
          <w:u w:val="single"/>
        </w:rPr>
        <w:t xml:space="preserve">      </w:t>
      </w:r>
      <w:r>
        <w:rPr>
          <w:rFonts w:hint="eastAsia" w:ascii="黑体" w:hAnsi="黑体" w:eastAsia="黑体"/>
          <w:szCs w:val="21"/>
        </w:rPr>
        <w:t>个工作日内进行审查，符合应承担保证责任情形的，我方应按照你方的要求代投标人向你方支付投标保证金。</w:t>
      </w:r>
    </w:p>
    <w:p>
      <w:pPr>
        <w:spacing w:line="360" w:lineRule="auto"/>
        <w:rPr>
          <w:rFonts w:ascii="黑体" w:hAnsi="黑体" w:eastAsia="黑体"/>
          <w:szCs w:val="21"/>
        </w:rPr>
      </w:pPr>
      <w:r>
        <w:rPr>
          <w:rFonts w:hint="eastAsia" w:ascii="黑体" w:hAnsi="黑体" w:eastAsia="黑体"/>
          <w:szCs w:val="21"/>
        </w:rPr>
        <w:t>四、保证责任的终止</w:t>
      </w:r>
    </w:p>
    <w:p>
      <w:pPr>
        <w:spacing w:line="360" w:lineRule="auto"/>
        <w:ind w:left="283" w:leftChars="135"/>
        <w:rPr>
          <w:rFonts w:ascii="黑体" w:hAnsi="黑体" w:eastAsia="黑体"/>
          <w:szCs w:val="21"/>
        </w:rPr>
      </w:pPr>
      <w:r>
        <w:rPr>
          <w:rFonts w:hint="eastAsia" w:ascii="黑体" w:hAnsi="黑体" w:eastAsia="黑体"/>
          <w:szCs w:val="21"/>
        </w:rPr>
        <w:t>1.保证期间届满你方未向我方书面主张保证责任的，自保证期间届满次日起，我方保证责任自动终止。</w:t>
      </w:r>
    </w:p>
    <w:p>
      <w:pPr>
        <w:spacing w:line="360" w:lineRule="auto"/>
        <w:ind w:left="283" w:leftChars="135"/>
        <w:rPr>
          <w:rFonts w:ascii="黑体" w:hAnsi="黑体" w:eastAsia="黑体"/>
          <w:szCs w:val="21"/>
        </w:rPr>
      </w:pPr>
      <w:r>
        <w:rPr>
          <w:rFonts w:hint="eastAsia" w:ascii="黑体" w:hAnsi="黑体" w:eastAsia="黑体"/>
          <w:szCs w:val="21"/>
        </w:rPr>
        <w:t>2.我方按照本保函向你贵方履行了保证责任后，自我方向你贵方支付款项(支付款项从我方账户划出)之日起,保证责任终止。</w:t>
      </w:r>
    </w:p>
    <w:p>
      <w:pPr>
        <w:spacing w:line="360" w:lineRule="auto"/>
        <w:ind w:left="283" w:leftChars="135"/>
        <w:rPr>
          <w:rFonts w:ascii="黑体" w:hAnsi="黑体" w:eastAsia="黑体"/>
          <w:szCs w:val="21"/>
        </w:rPr>
      </w:pPr>
      <w:r>
        <w:rPr>
          <w:rFonts w:hint="eastAsia" w:ascii="黑体" w:hAnsi="黑体" w:eastAsia="黑体"/>
          <w:szCs w:val="21"/>
        </w:rPr>
        <w:t>3.按照法律法规的规定或出现我方保证责任终止的其它情形的，我方在本保函项下的保证责任亦终止。</w:t>
      </w:r>
    </w:p>
    <w:p>
      <w:pPr>
        <w:spacing w:line="360" w:lineRule="auto"/>
        <w:rPr>
          <w:rFonts w:ascii="黑体" w:hAnsi="黑体" w:eastAsia="黑体"/>
          <w:szCs w:val="21"/>
        </w:rPr>
      </w:pPr>
      <w:r>
        <w:rPr>
          <w:rFonts w:hint="eastAsia" w:ascii="黑体" w:hAnsi="黑体" w:eastAsia="黑体"/>
          <w:szCs w:val="21"/>
        </w:rPr>
        <w:t>五、免责条款</w:t>
      </w:r>
    </w:p>
    <w:p>
      <w:pPr>
        <w:spacing w:line="360" w:lineRule="auto"/>
        <w:ind w:left="283" w:leftChars="135"/>
        <w:rPr>
          <w:rFonts w:ascii="黑体" w:hAnsi="黑体" w:eastAsia="黑体"/>
          <w:szCs w:val="21"/>
        </w:rPr>
      </w:pPr>
      <w:r>
        <w:rPr>
          <w:rFonts w:hint="eastAsia" w:ascii="黑体" w:hAnsi="黑体" w:eastAsia="黑体"/>
          <w:szCs w:val="21"/>
        </w:rPr>
        <w:t>1.依照法律规定或你方与投标人的另行约定，全部或者部分免除投标人投标保证金义务时，我方亦免除相应的保证责任。</w:t>
      </w:r>
    </w:p>
    <w:p>
      <w:pPr>
        <w:spacing w:line="360" w:lineRule="auto"/>
        <w:ind w:left="283" w:leftChars="135"/>
        <w:rPr>
          <w:rFonts w:ascii="黑体" w:hAnsi="黑体" w:eastAsia="黑体"/>
          <w:szCs w:val="21"/>
        </w:rPr>
      </w:pPr>
      <w:r>
        <w:rPr>
          <w:rFonts w:hint="eastAsia" w:ascii="黑体" w:hAnsi="黑体" w:eastAsia="黑体"/>
          <w:szCs w:val="21"/>
        </w:rPr>
        <w:t>2.因你方原因致使投标人发生本保函第一条第（一）款约定情形的，我方不承担保证责任。</w:t>
      </w:r>
    </w:p>
    <w:p>
      <w:pPr>
        <w:spacing w:line="360" w:lineRule="auto"/>
        <w:ind w:left="283" w:leftChars="135"/>
        <w:rPr>
          <w:rFonts w:ascii="黑体" w:hAnsi="黑体" w:eastAsia="黑体"/>
          <w:szCs w:val="21"/>
        </w:rPr>
      </w:pPr>
      <w:r>
        <w:rPr>
          <w:rFonts w:hint="eastAsia" w:ascii="黑体" w:hAnsi="黑体" w:eastAsia="黑体"/>
          <w:szCs w:val="21"/>
        </w:rPr>
        <w:t>3.因不可抗力造成投标人发生本保函第一条约定情形的，我方不承担保证责任。</w:t>
      </w:r>
    </w:p>
    <w:p>
      <w:pPr>
        <w:spacing w:line="360" w:lineRule="auto"/>
        <w:ind w:left="283" w:leftChars="135"/>
        <w:rPr>
          <w:rFonts w:ascii="黑体" w:hAnsi="黑体" w:eastAsia="黑体"/>
          <w:szCs w:val="21"/>
        </w:rPr>
      </w:pPr>
      <w:r>
        <w:rPr>
          <w:rFonts w:hint="eastAsia" w:ascii="黑体" w:hAnsi="黑体" w:eastAsia="黑体"/>
          <w:szCs w:val="21"/>
        </w:rPr>
        <w:t>4.你方或其他有权机关对招标文件进行任何澄清或修改，加重我方保证责任的，我方对加重部分不承担保证责任，但该澄清或修改经我方事先书面同意的除外。</w:t>
      </w:r>
    </w:p>
    <w:p>
      <w:pPr>
        <w:spacing w:line="360" w:lineRule="auto"/>
        <w:rPr>
          <w:rFonts w:ascii="黑体" w:hAnsi="黑体" w:eastAsia="黑体"/>
          <w:szCs w:val="21"/>
        </w:rPr>
      </w:pPr>
      <w:r>
        <w:rPr>
          <w:rFonts w:hint="eastAsia" w:ascii="黑体" w:hAnsi="黑体" w:eastAsia="黑体"/>
          <w:szCs w:val="21"/>
        </w:rPr>
        <w:t>六、争议的解决</w:t>
      </w:r>
    </w:p>
    <w:p>
      <w:pPr>
        <w:spacing w:line="360" w:lineRule="auto"/>
        <w:ind w:firstLine="420" w:firstLineChars="200"/>
        <w:rPr>
          <w:rFonts w:ascii="黑体" w:hAnsi="黑体" w:eastAsia="黑体"/>
          <w:szCs w:val="21"/>
        </w:rPr>
      </w:pPr>
      <w:r>
        <w:rPr>
          <w:rFonts w:hint="eastAsia" w:ascii="黑体" w:hAnsi="黑体" w:eastAsia="黑体"/>
          <w:szCs w:val="21"/>
        </w:rPr>
        <w:t>因本保函发生的纠纷，由你我双方协商解决，协商不成的，通过诉讼程序解决,诉讼管辖地法院为</w:t>
      </w:r>
      <w:r>
        <w:rPr>
          <w:rFonts w:hint="eastAsia" w:ascii="黑体" w:hAnsi="黑体" w:eastAsia="黑体"/>
          <w:szCs w:val="21"/>
          <w:u w:val="single"/>
        </w:rPr>
        <w:t xml:space="preserve">           </w:t>
      </w:r>
      <w:r>
        <w:rPr>
          <w:rFonts w:hint="eastAsia" w:ascii="黑体" w:hAnsi="黑体" w:eastAsia="黑体"/>
          <w:szCs w:val="21"/>
        </w:rPr>
        <w:t>法院。</w:t>
      </w:r>
    </w:p>
    <w:p>
      <w:pPr>
        <w:spacing w:line="360" w:lineRule="auto"/>
        <w:rPr>
          <w:rFonts w:ascii="黑体" w:hAnsi="黑体" w:eastAsia="黑体"/>
          <w:szCs w:val="21"/>
        </w:rPr>
      </w:pPr>
      <w:r>
        <w:rPr>
          <w:rFonts w:hint="eastAsia" w:ascii="黑体" w:hAnsi="黑体" w:eastAsia="黑体"/>
          <w:szCs w:val="21"/>
        </w:rPr>
        <w:t>七、保函的生效</w:t>
      </w:r>
    </w:p>
    <w:p>
      <w:pPr>
        <w:spacing w:line="360" w:lineRule="auto"/>
        <w:ind w:firstLine="420" w:firstLineChars="200"/>
        <w:rPr>
          <w:rFonts w:ascii="黑体" w:hAnsi="黑体" w:eastAsia="黑体"/>
          <w:szCs w:val="21"/>
        </w:rPr>
      </w:pPr>
      <w:r>
        <w:rPr>
          <w:rFonts w:hint="eastAsia" w:ascii="黑体" w:hAnsi="黑体" w:eastAsia="黑体"/>
          <w:szCs w:val="21"/>
        </w:rPr>
        <w:t>本保函自我方加盖公章之日起生效。</w:t>
      </w:r>
    </w:p>
    <w:p>
      <w:pPr>
        <w:spacing w:before="936" w:beforeLines="300" w:line="360" w:lineRule="auto"/>
        <w:jc w:val="right"/>
        <w:rPr>
          <w:rFonts w:ascii="黑体" w:hAnsi="黑体" w:eastAsia="黑体"/>
          <w:szCs w:val="21"/>
        </w:rPr>
      </w:pPr>
      <w:r>
        <w:rPr>
          <w:rFonts w:hint="eastAsia" w:ascii="黑体" w:hAnsi="黑体" w:eastAsia="黑体"/>
          <w:szCs w:val="21"/>
        </w:rPr>
        <w:t>保证人：(公章)</w:t>
      </w:r>
    </w:p>
    <w:p>
      <w:pPr>
        <w:spacing w:line="360" w:lineRule="auto"/>
        <w:jc w:val="right"/>
        <w:rPr>
          <w:rFonts w:ascii="黑体" w:hAnsi="黑体" w:eastAsia="黑体"/>
          <w:szCs w:val="21"/>
        </w:rPr>
      </w:pPr>
      <w:r>
        <w:rPr>
          <w:rFonts w:hint="eastAsia" w:ascii="黑体" w:hAnsi="黑体" w:eastAsia="黑体"/>
          <w:szCs w:val="21"/>
        </w:rPr>
        <w:t>年   月   日</w:t>
      </w:r>
    </w:p>
    <w:p/>
    <w:p>
      <w:pPr>
        <w:pageBreakBefore/>
        <w:spacing w:before="312" w:beforeLines="100" w:after="312" w:afterLines="100" w:line="360" w:lineRule="auto"/>
        <w:jc w:val="center"/>
        <w:rPr>
          <w:rFonts w:ascii="黑体" w:hAnsi="黑体" w:eastAsia="黑体"/>
          <w:b/>
          <w:spacing w:val="20"/>
          <w:sz w:val="30"/>
          <w:szCs w:val="30"/>
        </w:rPr>
      </w:pPr>
      <w:r>
        <w:rPr>
          <w:rFonts w:hint="eastAsia" w:ascii="黑体" w:hAnsi="黑体" w:eastAsia="黑体"/>
          <w:b/>
          <w:spacing w:val="20"/>
          <w:sz w:val="30"/>
          <w:szCs w:val="30"/>
        </w:rPr>
        <w:t>政府采购履约担保</w:t>
      </w:r>
    </w:p>
    <w:p>
      <w:pPr>
        <w:spacing w:line="360" w:lineRule="auto"/>
        <w:ind w:firstLine="6261" w:firstLineChars="2970"/>
        <w:rPr>
          <w:rFonts w:ascii="黑体" w:hAnsi="黑体" w:eastAsia="黑体"/>
          <w:b/>
          <w:szCs w:val="21"/>
        </w:rPr>
      </w:pPr>
      <w:r>
        <w:rPr>
          <w:rFonts w:hint="eastAsia" w:ascii="黑体" w:hAnsi="黑体" w:eastAsia="黑体"/>
          <w:b/>
          <w:szCs w:val="21"/>
        </w:rPr>
        <w:t>编号：</w:t>
      </w:r>
    </w:p>
    <w:p>
      <w:pPr>
        <w:spacing w:line="360" w:lineRule="auto"/>
        <w:rPr>
          <w:rFonts w:ascii="黑体" w:hAnsi="黑体" w:eastAsia="黑体"/>
          <w:szCs w:val="21"/>
        </w:rPr>
      </w:pPr>
      <w:r>
        <w:rPr>
          <w:rFonts w:hint="eastAsia" w:ascii="黑体" w:hAnsi="黑体" w:eastAsia="黑体"/>
          <w:szCs w:val="21"/>
          <w:u w:val="single"/>
        </w:rPr>
        <w:t xml:space="preserve">                 </w:t>
      </w:r>
      <w:r>
        <w:rPr>
          <w:rFonts w:hint="eastAsia" w:ascii="黑体" w:hAnsi="黑体" w:eastAsia="黑体"/>
          <w:szCs w:val="21"/>
        </w:rPr>
        <w:t>(采购人)：</w:t>
      </w:r>
    </w:p>
    <w:p>
      <w:pPr>
        <w:spacing w:line="360" w:lineRule="auto"/>
        <w:ind w:firstLine="420" w:firstLineChars="200"/>
        <w:rPr>
          <w:rFonts w:ascii="黑体" w:hAnsi="黑体" w:eastAsia="黑体"/>
          <w:szCs w:val="21"/>
        </w:rPr>
      </w:pPr>
      <w:r>
        <w:rPr>
          <w:rFonts w:hint="eastAsia" w:ascii="黑体" w:hAnsi="黑体" w:eastAsia="黑体"/>
          <w:szCs w:val="21"/>
        </w:rPr>
        <w:t>鉴于你方与</w:t>
      </w:r>
      <w:r>
        <w:rPr>
          <w:rFonts w:hint="eastAsia" w:ascii="黑体" w:hAnsi="黑体" w:eastAsia="黑体"/>
          <w:szCs w:val="21"/>
          <w:u w:val="single"/>
        </w:rPr>
        <w:t xml:space="preserve">                      </w:t>
      </w:r>
      <w:r>
        <w:rPr>
          <w:rFonts w:hint="eastAsia" w:ascii="黑体" w:hAnsi="黑体" w:eastAsia="黑体"/>
          <w:szCs w:val="21"/>
        </w:rPr>
        <w:t>（以下简称供应商）于</w:t>
      </w:r>
      <w:r>
        <w:rPr>
          <w:rFonts w:hint="eastAsia" w:ascii="黑体" w:hAnsi="黑体" w:eastAsia="黑体"/>
          <w:szCs w:val="21"/>
          <w:u w:val="single"/>
        </w:rPr>
        <w:t xml:space="preserve">    </w:t>
      </w:r>
      <w:r>
        <w:rPr>
          <w:rFonts w:hint="eastAsia" w:ascii="黑体" w:hAnsi="黑体" w:eastAsia="黑体"/>
          <w:szCs w:val="21"/>
        </w:rPr>
        <w:t>年</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rPr>
        <w:t>日 自签定编号为</w:t>
      </w:r>
      <w:r>
        <w:rPr>
          <w:rFonts w:hint="eastAsia" w:ascii="黑体" w:hAnsi="黑体" w:eastAsia="黑体"/>
          <w:szCs w:val="21"/>
          <w:u w:val="single"/>
        </w:rPr>
        <w:t xml:space="preserve">             </w:t>
      </w:r>
      <w:r>
        <w:rPr>
          <w:rFonts w:hint="eastAsia" w:ascii="黑体" w:hAnsi="黑体" w:eastAsia="黑体"/>
          <w:szCs w:val="21"/>
        </w:rPr>
        <w:t>的《</w:t>
      </w:r>
      <w:r>
        <w:rPr>
          <w:rFonts w:hint="eastAsia" w:ascii="黑体" w:hAnsi="黑体" w:eastAsia="黑体"/>
          <w:szCs w:val="21"/>
          <w:u w:val="single"/>
        </w:rPr>
        <w:t xml:space="preserve">                  </w:t>
      </w:r>
      <w:r>
        <w:rPr>
          <w:rFonts w:hint="eastAsia" w:ascii="黑体" w:hAnsi="黑体" w:eastAsia="黑体"/>
          <w:szCs w:val="21"/>
        </w:rPr>
        <w:t>政府采购合同》 (以下简称主合同)，且依据该合同的约定，供应商应在</w:t>
      </w:r>
      <w:r>
        <w:rPr>
          <w:rFonts w:hint="eastAsia" w:ascii="黑体" w:hAnsi="黑体" w:eastAsia="黑体"/>
          <w:szCs w:val="21"/>
          <w:u w:val="single"/>
        </w:rPr>
        <w:t xml:space="preserve">       </w:t>
      </w:r>
      <w:r>
        <w:rPr>
          <w:rFonts w:hint="eastAsia" w:ascii="黑体" w:hAnsi="黑体" w:eastAsia="黑体"/>
          <w:szCs w:val="21"/>
        </w:rPr>
        <w:t>年</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rPr>
        <w:t>日前向你方交纳履约保证金，且可以履约担保函的形式交纳厦约保证金。应供应商的申请，我方以保证的方式向你方提供如下履约保证金担保：</w:t>
      </w:r>
    </w:p>
    <w:p>
      <w:pPr>
        <w:spacing w:line="360" w:lineRule="auto"/>
        <w:rPr>
          <w:rFonts w:ascii="黑体" w:hAnsi="黑体" w:eastAsia="黑体"/>
          <w:szCs w:val="21"/>
        </w:rPr>
      </w:pPr>
      <w:r>
        <w:rPr>
          <w:rFonts w:hint="eastAsia" w:ascii="黑体" w:hAnsi="黑体" w:eastAsia="黑体"/>
          <w:szCs w:val="21"/>
        </w:rPr>
        <w:t>一、保证责任的情形及保证金额</w:t>
      </w:r>
    </w:p>
    <w:p>
      <w:pPr>
        <w:spacing w:line="360" w:lineRule="auto"/>
        <w:ind w:left="141" w:leftChars="67"/>
        <w:rPr>
          <w:rFonts w:ascii="黑体" w:hAnsi="黑体" w:eastAsia="黑体"/>
          <w:szCs w:val="21"/>
        </w:rPr>
      </w:pPr>
      <w:r>
        <w:rPr>
          <w:rFonts w:hint="eastAsia" w:ascii="黑体" w:hAnsi="黑体" w:eastAsia="黑体"/>
          <w:szCs w:val="21"/>
        </w:rPr>
        <w:t>（一）在供应商出现下列情形之一时，我方承担保证责任：</w:t>
      </w:r>
    </w:p>
    <w:p>
      <w:pPr>
        <w:spacing w:line="360" w:lineRule="auto"/>
        <w:ind w:left="283" w:leftChars="135"/>
        <w:rPr>
          <w:rFonts w:ascii="黑体" w:hAnsi="黑体" w:eastAsia="黑体"/>
          <w:szCs w:val="21"/>
        </w:rPr>
      </w:pPr>
      <w:r>
        <w:rPr>
          <w:rFonts w:hint="eastAsia" w:ascii="黑体" w:hAnsi="黑体" w:eastAsia="黑体"/>
          <w:szCs w:val="21"/>
        </w:rPr>
        <w:t>1.将中标项目转让给他人，或者在投标文件中未说明，且未经采购招标机构人同意,将中标项目分包给他人的；</w:t>
      </w:r>
    </w:p>
    <w:p>
      <w:pPr>
        <w:spacing w:line="360" w:lineRule="auto"/>
        <w:ind w:left="283" w:leftChars="135"/>
        <w:rPr>
          <w:rFonts w:ascii="黑体" w:hAnsi="黑体" w:eastAsia="黑体"/>
          <w:szCs w:val="21"/>
        </w:rPr>
      </w:pPr>
      <w:r>
        <w:rPr>
          <w:rFonts w:hint="eastAsia" w:ascii="黑体" w:hAnsi="黑体" w:eastAsia="黑体"/>
          <w:szCs w:val="21"/>
        </w:rPr>
        <w:t>2.主合同约定的应当缴约履约保证金的情形</w:t>
      </w:r>
    </w:p>
    <w:p>
      <w:pPr>
        <w:spacing w:line="360" w:lineRule="auto"/>
        <w:ind w:left="283" w:leftChars="135"/>
        <w:rPr>
          <w:rFonts w:ascii="黑体" w:hAnsi="黑体" w:eastAsia="黑体"/>
          <w:szCs w:val="21"/>
        </w:rPr>
      </w:pPr>
      <w:r>
        <w:rPr>
          <w:rFonts w:hint="eastAsia" w:ascii="黑体" w:hAnsi="黑体" w:eastAsia="黑体"/>
          <w:szCs w:val="21"/>
        </w:rPr>
        <w:t>(1)未按主合同约定的质量、数量和期限供应货物/提供服务/完成工程的；</w:t>
      </w:r>
    </w:p>
    <w:p>
      <w:pPr>
        <w:spacing w:line="360" w:lineRule="auto"/>
        <w:ind w:left="283" w:leftChars="135"/>
        <w:rPr>
          <w:rFonts w:ascii="黑体" w:hAnsi="黑体" w:eastAsia="黑体"/>
          <w:szCs w:val="21"/>
        </w:rPr>
      </w:pPr>
      <w:r>
        <w:rPr>
          <w:rFonts w:hint="eastAsia" w:ascii="黑体" w:hAnsi="黑体" w:eastAsia="黑体"/>
          <w:szCs w:val="21"/>
        </w:rPr>
        <w:t>(2)</w:t>
      </w:r>
      <w:r>
        <w:rPr>
          <w:rFonts w:hint="eastAsia" w:ascii="黑体" w:hAnsi="黑体" w:eastAsia="黑体"/>
          <w:szCs w:val="21"/>
          <w:u w:val="single"/>
        </w:rPr>
        <w:t xml:space="preserve">                                                            。</w:t>
      </w:r>
    </w:p>
    <w:p>
      <w:pPr>
        <w:spacing w:line="360" w:lineRule="auto"/>
        <w:ind w:left="283" w:leftChars="135"/>
        <w:rPr>
          <w:rFonts w:ascii="黑体" w:hAnsi="黑体" w:eastAsia="黑体"/>
          <w:szCs w:val="21"/>
        </w:rPr>
      </w:pPr>
      <w:r>
        <w:rPr>
          <w:rFonts w:hint="eastAsia" w:ascii="黑体" w:hAnsi="黑体" w:eastAsia="黑体"/>
          <w:szCs w:val="21"/>
        </w:rPr>
        <w:t>(二)我方的保证范围是主合同约定的合同价款总额的</w:t>
      </w:r>
      <w:r>
        <w:rPr>
          <w:rFonts w:hint="eastAsia" w:ascii="黑体" w:hAnsi="黑体" w:eastAsia="黑体"/>
          <w:szCs w:val="21"/>
          <w:u w:val="single"/>
        </w:rPr>
        <w:t xml:space="preserve">      </w:t>
      </w:r>
      <w:r>
        <w:rPr>
          <w:rFonts w:hint="eastAsia" w:ascii="黑体" w:hAnsi="黑体" w:eastAsia="黑体"/>
          <w:szCs w:val="21"/>
        </w:rPr>
        <w:t>%数额为</w:t>
      </w:r>
      <w:r>
        <w:rPr>
          <w:rFonts w:hint="eastAsia" w:ascii="黑体" w:hAnsi="黑体" w:eastAsia="黑体"/>
          <w:szCs w:val="21"/>
          <w:u w:val="single"/>
        </w:rPr>
        <w:t xml:space="preserve">        </w:t>
      </w:r>
      <w:r>
        <w:rPr>
          <w:rFonts w:hint="eastAsia" w:ascii="黑体" w:hAnsi="黑体" w:eastAsia="黑体"/>
          <w:szCs w:val="21"/>
        </w:rPr>
        <w:t>元(大写：</w:t>
      </w:r>
      <w:r>
        <w:rPr>
          <w:rFonts w:hint="eastAsia" w:ascii="黑体" w:hAnsi="黑体" w:eastAsia="黑体"/>
          <w:szCs w:val="21"/>
          <w:u w:val="single"/>
        </w:rPr>
        <w:t xml:space="preserve">          </w:t>
      </w:r>
      <w:r>
        <w:rPr>
          <w:rFonts w:hint="eastAsia" w:ascii="黑体" w:hAnsi="黑体" w:eastAsia="黑体"/>
          <w:szCs w:val="21"/>
        </w:rPr>
        <w:t>)，币种为</w:t>
      </w:r>
      <w:r>
        <w:rPr>
          <w:rFonts w:hint="eastAsia" w:ascii="黑体" w:hAnsi="黑体" w:eastAsia="黑体"/>
          <w:szCs w:val="21"/>
          <w:u w:val="single"/>
        </w:rPr>
        <w:t xml:space="preserve">                。</w:t>
      </w:r>
      <w:r>
        <w:rPr>
          <w:rFonts w:hint="eastAsia" w:ascii="黑体" w:hAnsi="黑体" w:eastAsia="黑体"/>
          <w:szCs w:val="21"/>
        </w:rPr>
        <w:t>（即主合同履约保证金金额）</w:t>
      </w:r>
    </w:p>
    <w:p>
      <w:pPr>
        <w:spacing w:line="360" w:lineRule="auto"/>
        <w:rPr>
          <w:rFonts w:ascii="黑体" w:hAnsi="黑体" w:eastAsia="黑体"/>
          <w:szCs w:val="21"/>
        </w:rPr>
      </w:pPr>
      <w:r>
        <w:rPr>
          <w:rFonts w:hint="eastAsia" w:ascii="黑体" w:hAnsi="黑体" w:eastAsia="黑体"/>
          <w:szCs w:val="21"/>
        </w:rPr>
        <w:t>二、保证的方式及保证期间</w:t>
      </w:r>
    </w:p>
    <w:p>
      <w:pPr>
        <w:spacing w:line="360" w:lineRule="auto"/>
        <w:ind w:firstLine="420" w:firstLineChars="200"/>
        <w:rPr>
          <w:rFonts w:ascii="黑体" w:hAnsi="黑体" w:eastAsia="黑体"/>
          <w:szCs w:val="21"/>
        </w:rPr>
      </w:pPr>
      <w:r>
        <w:rPr>
          <w:rFonts w:hint="eastAsia" w:ascii="黑体" w:hAnsi="黑体" w:eastAsia="黑体"/>
          <w:szCs w:val="21"/>
        </w:rPr>
        <w:t>我方保证的方式为：连带责任保证。</w:t>
      </w:r>
    </w:p>
    <w:p>
      <w:pPr>
        <w:spacing w:line="360" w:lineRule="auto"/>
        <w:ind w:firstLine="420" w:firstLineChars="200"/>
        <w:rPr>
          <w:rFonts w:ascii="黑体" w:hAnsi="黑体" w:eastAsia="黑体"/>
          <w:szCs w:val="21"/>
        </w:rPr>
      </w:pPr>
      <w:r>
        <w:rPr>
          <w:rFonts w:hint="eastAsia" w:ascii="黑体" w:hAnsi="黑体" w:eastAsia="黑体"/>
          <w:szCs w:val="21"/>
        </w:rPr>
        <w:t>我方保证的期间为：自本合同生效之日起至供应商按照主合同约定的供货/完工期限届满后</w:t>
      </w:r>
      <w:r>
        <w:rPr>
          <w:rFonts w:hint="eastAsia" w:ascii="黑体" w:hAnsi="黑体" w:eastAsia="黑体"/>
          <w:szCs w:val="21"/>
          <w:u w:val="single"/>
        </w:rPr>
        <w:t xml:space="preserve">    </w:t>
      </w:r>
      <w:r>
        <w:rPr>
          <w:rFonts w:hint="eastAsia" w:ascii="黑体" w:hAnsi="黑体" w:eastAsia="黑体"/>
          <w:szCs w:val="21"/>
        </w:rPr>
        <w:t>日内。</w:t>
      </w:r>
    </w:p>
    <w:p>
      <w:pPr>
        <w:spacing w:line="360" w:lineRule="auto"/>
        <w:ind w:firstLine="420" w:firstLineChars="200"/>
        <w:rPr>
          <w:rFonts w:ascii="黑体" w:hAnsi="黑体" w:eastAsia="黑体"/>
          <w:szCs w:val="21"/>
        </w:rPr>
      </w:pPr>
      <w:r>
        <w:rPr>
          <w:rFonts w:hint="eastAsia" w:ascii="黑体" w:hAnsi="黑体" w:eastAsia="黑体"/>
          <w:szCs w:val="21"/>
        </w:rPr>
        <w:t>如果供应商未按主合同约定向贵方供应货物/提供服务/完成工程的，由我方在保证金额内向你方支付上述款项。</w:t>
      </w:r>
    </w:p>
    <w:p>
      <w:pPr>
        <w:spacing w:line="360" w:lineRule="auto"/>
        <w:rPr>
          <w:rFonts w:ascii="黑体" w:hAnsi="黑体" w:eastAsia="黑体"/>
          <w:szCs w:val="21"/>
        </w:rPr>
      </w:pPr>
      <w:r>
        <w:rPr>
          <w:rFonts w:hint="eastAsia" w:ascii="黑体" w:hAnsi="黑体" w:eastAsia="黑体"/>
          <w:szCs w:val="21"/>
        </w:rPr>
        <w:t>三、承担保证责任的程序</w:t>
      </w:r>
    </w:p>
    <w:p>
      <w:pPr>
        <w:spacing w:line="360" w:lineRule="auto"/>
        <w:ind w:left="283" w:leftChars="135"/>
        <w:rPr>
          <w:rFonts w:ascii="黑体" w:hAnsi="黑体" w:eastAsia="黑体"/>
          <w:szCs w:val="21"/>
        </w:rPr>
      </w:pPr>
      <w:r>
        <w:rPr>
          <w:rFonts w:hint="eastAsia" w:ascii="黑体" w:hAnsi="黑体" w:eastAsia="黑体"/>
          <w:szCs w:val="21"/>
        </w:rPr>
        <w:t>1.你方要求我方承担保证责任的，应在本保函保证期间内向我方发出书面索赔通知，索赔通知应写明要求索赔的金额，支付款项应到达的账号并附有证明供应商违约事实的证明材料。</w:t>
      </w:r>
    </w:p>
    <w:p>
      <w:pPr>
        <w:spacing w:line="360" w:lineRule="auto"/>
        <w:ind w:left="283" w:leftChars="135"/>
        <w:rPr>
          <w:rFonts w:ascii="黑体" w:hAnsi="黑体" w:eastAsia="黑体"/>
          <w:szCs w:val="21"/>
        </w:rPr>
      </w:pPr>
      <w:r>
        <w:rPr>
          <w:rFonts w:hint="eastAsia" w:ascii="黑体" w:hAnsi="黑体" w:eastAsia="黑体"/>
          <w:szCs w:val="21"/>
        </w:rPr>
        <w:t>如果你方与供应商因货物质量问题产生争议，你方还需同时提供</w:t>
      </w:r>
      <w:r>
        <w:rPr>
          <w:rFonts w:hint="eastAsia" w:ascii="黑体" w:hAnsi="黑体" w:eastAsia="黑体"/>
          <w:szCs w:val="21"/>
          <w:u w:val="single"/>
        </w:rPr>
        <w:t xml:space="preserve">          </w:t>
      </w:r>
      <w:r>
        <w:rPr>
          <w:rFonts w:hint="eastAsia" w:ascii="黑体" w:hAnsi="黑体" w:eastAsia="黑体"/>
          <w:szCs w:val="21"/>
        </w:rPr>
        <w:t>部门出具的质量检测报告，或经诉讼(仲裁)程序裁决后的裁决书、调解书，本保证人即按照检测结果或裁决书、调解书决定是否承担保证责任。</w:t>
      </w:r>
    </w:p>
    <w:p>
      <w:pPr>
        <w:spacing w:line="360" w:lineRule="auto"/>
        <w:ind w:left="283" w:leftChars="135"/>
        <w:rPr>
          <w:rFonts w:ascii="黑体" w:hAnsi="黑体" w:eastAsia="黑体"/>
          <w:szCs w:val="21"/>
        </w:rPr>
      </w:pPr>
      <w:r>
        <w:rPr>
          <w:rFonts w:hint="eastAsia" w:ascii="黑体" w:hAnsi="黑体" w:eastAsia="黑体"/>
          <w:szCs w:val="21"/>
        </w:rPr>
        <w:t>2.我方收到你方的书面索赔通知及相应证明材料，在</w:t>
      </w:r>
      <w:r>
        <w:rPr>
          <w:rFonts w:hint="eastAsia" w:ascii="黑体" w:hAnsi="黑体" w:eastAsia="黑体"/>
          <w:szCs w:val="21"/>
          <w:u w:val="single"/>
        </w:rPr>
        <w:t xml:space="preserve">     </w:t>
      </w:r>
      <w:r>
        <w:rPr>
          <w:rFonts w:hint="eastAsia" w:ascii="黑体" w:hAnsi="黑体" w:eastAsia="黑体"/>
          <w:szCs w:val="21"/>
        </w:rPr>
        <w:t>工作日内进行核定后按照本保函的承诺承担保证责任。</w:t>
      </w:r>
    </w:p>
    <w:p>
      <w:pPr>
        <w:spacing w:line="360" w:lineRule="auto"/>
        <w:rPr>
          <w:rFonts w:ascii="黑体" w:hAnsi="黑体" w:eastAsia="黑体"/>
          <w:szCs w:val="21"/>
        </w:rPr>
      </w:pPr>
      <w:r>
        <w:rPr>
          <w:rFonts w:hint="eastAsia" w:ascii="黑体" w:hAnsi="黑体" w:eastAsia="黑体"/>
          <w:szCs w:val="21"/>
        </w:rPr>
        <w:t>四、保证责任的终止</w:t>
      </w:r>
    </w:p>
    <w:p>
      <w:pPr>
        <w:spacing w:line="360" w:lineRule="auto"/>
        <w:ind w:left="281" w:leftChars="134"/>
        <w:rPr>
          <w:rFonts w:ascii="黑体" w:hAnsi="黑体" w:eastAsia="黑体"/>
          <w:szCs w:val="21"/>
        </w:rPr>
      </w:pPr>
      <w:r>
        <w:rPr>
          <w:rFonts w:hint="eastAsia" w:ascii="黑体" w:hAnsi="黑体" w:eastAsia="黑体"/>
          <w:szCs w:val="21"/>
        </w:rPr>
        <w:t>1.保证期间届满你方未向我方书面主张保证责任的，自保证期间届满次日超，我方保证责任自动终止。保证期间届满前，主合同约定的货物\工程\服务全部验收合格的，自验收合格日起，我方保证责任自动终止。</w:t>
      </w:r>
    </w:p>
    <w:p>
      <w:pPr>
        <w:spacing w:line="360" w:lineRule="auto"/>
        <w:ind w:left="281" w:leftChars="134"/>
        <w:rPr>
          <w:rFonts w:ascii="黑体" w:hAnsi="黑体" w:eastAsia="黑体"/>
          <w:szCs w:val="21"/>
        </w:rPr>
      </w:pPr>
      <w:r>
        <w:rPr>
          <w:rFonts w:hint="eastAsia" w:ascii="黑体" w:hAnsi="黑体" w:eastAsia="黑体"/>
          <w:szCs w:val="21"/>
        </w:rPr>
        <w:t>2.我方按照本保函向你方履行了保证责任后，自我方向你方支付款项(支付款项从我方账户划出)之日起，保证责任即终止。</w:t>
      </w:r>
    </w:p>
    <w:p>
      <w:pPr>
        <w:spacing w:line="360" w:lineRule="auto"/>
        <w:ind w:left="281" w:leftChars="134"/>
        <w:rPr>
          <w:rFonts w:ascii="黑体" w:hAnsi="黑体" w:eastAsia="黑体"/>
          <w:szCs w:val="21"/>
        </w:rPr>
      </w:pPr>
      <w:r>
        <w:rPr>
          <w:rFonts w:hint="eastAsia" w:ascii="黑体" w:hAnsi="黑体" w:eastAsia="黑体"/>
          <w:szCs w:val="21"/>
        </w:rPr>
        <w:t>3.按照法律法规的规定或出现应终止我方保证责任的其它情形的，我方在本保函项下的保证责任亦终止。</w:t>
      </w:r>
    </w:p>
    <w:p>
      <w:pPr>
        <w:spacing w:line="360" w:lineRule="auto"/>
        <w:ind w:left="281" w:leftChars="134"/>
        <w:rPr>
          <w:rFonts w:ascii="黑体" w:hAnsi="黑体" w:eastAsia="黑体"/>
          <w:szCs w:val="21"/>
        </w:rPr>
      </w:pPr>
      <w:r>
        <w:rPr>
          <w:rFonts w:hint="eastAsia" w:ascii="黑体" w:hAnsi="黑体" w:eastAsia="黑体"/>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rPr>
          <w:rFonts w:ascii="黑体" w:hAnsi="黑体" w:eastAsia="黑体"/>
          <w:szCs w:val="21"/>
        </w:rPr>
      </w:pPr>
      <w:r>
        <w:rPr>
          <w:rFonts w:hint="eastAsia" w:ascii="黑体" w:hAnsi="黑体" w:eastAsia="黑体"/>
          <w:szCs w:val="21"/>
        </w:rPr>
        <w:t>五,免责条款</w:t>
      </w:r>
    </w:p>
    <w:p>
      <w:pPr>
        <w:spacing w:line="360" w:lineRule="auto"/>
        <w:ind w:left="283" w:leftChars="135"/>
        <w:rPr>
          <w:rFonts w:ascii="黑体" w:hAnsi="黑体" w:eastAsia="黑体"/>
          <w:szCs w:val="21"/>
        </w:rPr>
      </w:pPr>
      <w:r>
        <w:rPr>
          <w:rFonts w:hint="eastAsia" w:ascii="黑体" w:hAnsi="黑体" w:eastAsia="黑体"/>
          <w:szCs w:val="21"/>
        </w:rPr>
        <w:t>1.因你方违反主合同约定致使供应商不能履行义务的，我方不承担保证责任。</w:t>
      </w:r>
    </w:p>
    <w:p>
      <w:pPr>
        <w:spacing w:line="360" w:lineRule="auto"/>
        <w:ind w:left="283" w:leftChars="135"/>
        <w:rPr>
          <w:rFonts w:ascii="黑体" w:hAnsi="黑体" w:eastAsia="黑体"/>
          <w:szCs w:val="21"/>
        </w:rPr>
      </w:pPr>
      <w:r>
        <w:rPr>
          <w:rFonts w:hint="eastAsia" w:ascii="黑体" w:hAnsi="黑体" w:eastAsia="黑体"/>
          <w:szCs w:val="21"/>
        </w:rPr>
        <w:t>2.依照法律法规的规定或你方与供应商的另行约定,全部或者部分免除供应商应缴纳的保证金义务的，我方亦免除相应的保证责任。</w:t>
      </w:r>
    </w:p>
    <w:p>
      <w:pPr>
        <w:spacing w:line="360" w:lineRule="auto"/>
        <w:ind w:left="283" w:leftChars="135"/>
        <w:rPr>
          <w:rFonts w:ascii="黑体" w:hAnsi="黑体" w:eastAsia="黑体"/>
          <w:szCs w:val="21"/>
        </w:rPr>
      </w:pPr>
      <w:r>
        <w:rPr>
          <w:rFonts w:hint="eastAsia" w:ascii="黑体" w:hAnsi="黑体" w:eastAsia="黑体"/>
          <w:szCs w:val="21"/>
        </w:rPr>
        <w:t>3.因不可抗力造成供应商不能履行供货义务的，我方不承担保证责任。</w:t>
      </w:r>
    </w:p>
    <w:p>
      <w:pPr>
        <w:spacing w:line="360" w:lineRule="auto"/>
        <w:rPr>
          <w:rFonts w:ascii="黑体" w:hAnsi="黑体" w:eastAsia="黑体"/>
          <w:szCs w:val="21"/>
        </w:rPr>
      </w:pPr>
      <w:r>
        <w:rPr>
          <w:rFonts w:hint="eastAsia" w:ascii="黑体" w:hAnsi="黑体" w:eastAsia="黑体"/>
          <w:szCs w:val="21"/>
        </w:rPr>
        <w:t>六、争议的解决</w:t>
      </w:r>
    </w:p>
    <w:p>
      <w:pPr>
        <w:spacing w:line="360" w:lineRule="auto"/>
        <w:ind w:firstLine="420" w:firstLineChars="200"/>
        <w:rPr>
          <w:rFonts w:ascii="黑体" w:hAnsi="黑体" w:eastAsia="黑体"/>
          <w:szCs w:val="21"/>
        </w:rPr>
      </w:pPr>
      <w:r>
        <w:rPr>
          <w:rFonts w:hint="eastAsia" w:ascii="黑体" w:hAnsi="黑体" w:eastAsia="黑体"/>
          <w:szCs w:val="21"/>
        </w:rPr>
        <w:t>因本保函发生的纠纷,由你我双方协商解决，协商不成的，通过诉讼程序解决，诉讼管辖地法院为</w:t>
      </w:r>
      <w:r>
        <w:rPr>
          <w:rFonts w:hint="eastAsia" w:ascii="黑体" w:hAnsi="黑体" w:eastAsia="黑体"/>
          <w:szCs w:val="21"/>
          <w:u w:val="single"/>
        </w:rPr>
        <w:t xml:space="preserve">               </w:t>
      </w:r>
      <w:r>
        <w:rPr>
          <w:rFonts w:hint="eastAsia" w:ascii="黑体" w:hAnsi="黑体" w:eastAsia="黑体"/>
          <w:szCs w:val="21"/>
        </w:rPr>
        <w:t>法院。</w:t>
      </w:r>
    </w:p>
    <w:p>
      <w:pPr>
        <w:spacing w:line="360" w:lineRule="auto"/>
        <w:rPr>
          <w:rFonts w:ascii="黑体" w:hAnsi="黑体" w:eastAsia="黑体"/>
          <w:szCs w:val="21"/>
        </w:rPr>
      </w:pPr>
      <w:r>
        <w:rPr>
          <w:rFonts w:hint="eastAsia" w:ascii="黑体" w:hAnsi="黑体" w:eastAsia="黑体"/>
          <w:szCs w:val="21"/>
        </w:rPr>
        <w:t>七、保函的生效</w:t>
      </w:r>
    </w:p>
    <w:p>
      <w:pPr>
        <w:spacing w:line="360" w:lineRule="auto"/>
        <w:ind w:firstLine="420" w:firstLineChars="200"/>
        <w:rPr>
          <w:rFonts w:ascii="黑体" w:hAnsi="黑体" w:eastAsia="黑体"/>
          <w:szCs w:val="21"/>
        </w:rPr>
      </w:pPr>
      <w:r>
        <w:rPr>
          <w:rFonts w:hint="eastAsia" w:ascii="黑体" w:hAnsi="黑体" w:eastAsia="黑体"/>
          <w:szCs w:val="21"/>
        </w:rPr>
        <w:t>本保函自我方加盖公章之日起生效。</w:t>
      </w:r>
    </w:p>
    <w:p>
      <w:pPr>
        <w:spacing w:before="780" w:beforeLines="250" w:line="360" w:lineRule="auto"/>
        <w:jc w:val="right"/>
        <w:rPr>
          <w:rFonts w:ascii="黑体" w:hAnsi="黑体" w:eastAsia="黑体"/>
          <w:szCs w:val="21"/>
        </w:rPr>
      </w:pPr>
      <w:r>
        <w:rPr>
          <w:rFonts w:hint="eastAsia" w:ascii="黑体" w:hAnsi="黑体" w:eastAsia="黑体"/>
          <w:szCs w:val="21"/>
        </w:rPr>
        <w:t>保证人：(公章)</w:t>
      </w:r>
    </w:p>
    <w:p>
      <w:pPr>
        <w:spacing w:line="360" w:lineRule="auto"/>
        <w:ind w:firstLine="420" w:firstLineChars="200"/>
        <w:jc w:val="right"/>
        <w:rPr>
          <w:rFonts w:ascii="黑体" w:hAnsi="黑体" w:eastAsia="黑体"/>
          <w:szCs w:val="21"/>
        </w:rPr>
      </w:pPr>
      <w:r>
        <w:rPr>
          <w:rFonts w:hint="eastAsia" w:ascii="黑体" w:hAnsi="黑体" w:eastAsia="黑体"/>
          <w:szCs w:val="21"/>
        </w:rPr>
        <w:t>年   月   日</w:t>
      </w:r>
    </w:p>
    <w:p/>
    <w:p>
      <w:pPr>
        <w:spacing w:line="360" w:lineRule="auto"/>
        <w:rPr>
          <w:rFonts w:ascii="黑体" w:hAnsi="黑体" w:eastAsia="黑体"/>
        </w:rPr>
      </w:pPr>
    </w:p>
    <w:bookmarkEnd w:id="79"/>
    <w:p>
      <w:pPr>
        <w:spacing w:line="360" w:lineRule="auto"/>
        <w:rPr>
          <w:rFonts w:ascii="黑体" w:hAnsi="黑体" w:eastAsia="黑体"/>
        </w:rPr>
      </w:pPr>
    </w:p>
    <w:p>
      <w:pPr>
        <w:pStyle w:val="30"/>
        <w:pageBreakBefore/>
        <w:numPr>
          <w:ilvl w:val="0"/>
          <w:numId w:val="83"/>
        </w:numPr>
        <w:tabs>
          <w:tab w:val="left" w:pos="284"/>
          <w:tab w:val="left" w:pos="426"/>
          <w:tab w:val="left" w:pos="709"/>
        </w:tabs>
        <w:ind w:left="1679" w:hanging="1537" w:firstLineChars="0"/>
        <w:jc w:val="left"/>
        <w:rPr>
          <w:bCs/>
        </w:rPr>
      </w:pPr>
      <w:r>
        <w:rPr>
          <w:rFonts w:hint="eastAsia"/>
          <w:bCs/>
        </w:rPr>
        <w:t>唱标信封格式</w:t>
      </w:r>
    </w:p>
    <w:p>
      <w:pPr>
        <w:spacing w:line="360" w:lineRule="auto"/>
        <w:jc w:val="center"/>
        <w:rPr>
          <w:rFonts w:ascii="黑体" w:hAnsi="黑体" w:eastAsia="黑体"/>
          <w:bCs/>
          <w:sz w:val="50"/>
          <w:szCs w:val="50"/>
        </w:rPr>
      </w:pPr>
    </w:p>
    <w:p>
      <w:pPr>
        <w:spacing w:line="360" w:lineRule="auto"/>
        <w:jc w:val="center"/>
        <w:rPr>
          <w:rFonts w:ascii="黑体" w:hAnsi="黑体" w:eastAsia="黑体"/>
          <w:bCs/>
          <w:sz w:val="50"/>
          <w:szCs w:val="50"/>
        </w:rPr>
      </w:pPr>
      <w:r>
        <w:rPr>
          <w:rFonts w:hint="eastAsia" w:ascii="黑体" w:hAnsi="黑体" w:eastAsia="黑体"/>
          <w:bCs/>
          <w:sz w:val="50"/>
          <w:szCs w:val="50"/>
        </w:rPr>
        <w:t>分院ICU医疗设备紧急采购</w:t>
      </w:r>
      <w:r>
        <w:rPr>
          <w:rFonts w:ascii="黑体" w:hAnsi="黑体" w:eastAsia="黑体"/>
          <w:bCs/>
          <w:sz w:val="50"/>
          <w:szCs w:val="50"/>
        </w:rPr>
        <w:t>项目</w:t>
      </w: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r>
        <w:rPr>
          <w:rFonts w:hint="eastAsia" w:ascii="黑体" w:hAnsi="黑体" w:eastAsia="黑体"/>
          <w:b/>
          <w:szCs w:val="21"/>
        </w:rPr>
        <w:t>（项目编号：</w:t>
      </w:r>
      <w:r>
        <w:rPr>
          <w:rFonts w:ascii="黑体" w:hAnsi="黑体" w:eastAsia="黑体"/>
          <w:b/>
          <w:szCs w:val="21"/>
          <w:u w:val="single"/>
        </w:rPr>
        <w:t xml:space="preserve">             </w:t>
      </w:r>
      <w:r>
        <w:rPr>
          <w:rFonts w:hint="eastAsia" w:ascii="黑体" w:hAnsi="黑体" w:eastAsia="黑体"/>
          <w:b/>
          <w:szCs w:val="21"/>
        </w:rPr>
        <w:t>）</w:t>
      </w:r>
    </w:p>
    <w:p>
      <w:pPr>
        <w:spacing w:before="1404" w:beforeLines="450" w:line="360" w:lineRule="auto"/>
        <w:jc w:val="center"/>
        <w:rPr>
          <w:rFonts w:ascii="黑体" w:hAnsi="黑体" w:eastAsia="黑体"/>
          <w:b/>
          <w:spacing w:val="60"/>
          <w:sz w:val="72"/>
          <w:szCs w:val="72"/>
        </w:rPr>
      </w:pPr>
      <w:r>
        <w:rPr>
          <w:rFonts w:hint="eastAsia" w:ascii="黑体" w:hAnsi="黑体" w:eastAsia="黑体"/>
          <w:b/>
          <w:spacing w:val="60"/>
          <w:sz w:val="72"/>
          <w:szCs w:val="72"/>
        </w:rPr>
        <w:t>唱标信封</w:t>
      </w:r>
    </w:p>
    <w:p>
      <w:pPr>
        <w:spacing w:after="2028" w:afterLines="650" w:line="360" w:lineRule="auto"/>
        <w:jc w:val="center"/>
        <w:rPr>
          <w:rFonts w:ascii="黑体" w:hAnsi="黑体" w:eastAsia="黑体"/>
          <w:b/>
          <w:szCs w:val="21"/>
        </w:rPr>
      </w:pPr>
      <w:r>
        <w:rPr>
          <w:rFonts w:hint="eastAsia" w:ascii="黑体" w:hAnsi="黑体" w:eastAsia="黑体"/>
          <w:b/>
          <w:szCs w:val="21"/>
        </w:rPr>
        <w:t>（封面格式仅供参考）</w:t>
      </w:r>
    </w:p>
    <w:tbl>
      <w:tblPr>
        <w:tblStyle w:val="21"/>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5"/>
        <w:gridCol w:w="5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right"/>
              <w:rPr>
                <w:rFonts w:ascii="黑体" w:hAnsi="黑体" w:eastAsia="黑体"/>
                <w:sz w:val="24"/>
                <w:szCs w:val="24"/>
              </w:rPr>
            </w:pPr>
            <w:r>
              <w:rPr>
                <w:rFonts w:hint="eastAsia" w:ascii="黑体" w:hAnsi="黑体" w:eastAsia="黑体"/>
                <w:sz w:val="24"/>
                <w:szCs w:val="24"/>
              </w:rPr>
              <w:t>投标人名称：</w:t>
            </w:r>
          </w:p>
        </w:tc>
        <w:tc>
          <w:tcPr>
            <w:tcW w:w="3579" w:type="pct"/>
            <w:vAlign w:val="center"/>
          </w:tcPr>
          <w:p>
            <w:pPr>
              <w:spacing w:line="360" w:lineRule="auto"/>
              <w:jc w:val="left"/>
              <w:rPr>
                <w:rFonts w:ascii="黑体" w:hAnsi="黑体" w:eastAsia="黑体"/>
                <w:sz w:val="24"/>
                <w:szCs w:val="24"/>
                <w:u w:val="single"/>
              </w:rPr>
            </w:pPr>
            <w:r>
              <w:rPr>
                <w:rFonts w:ascii="黑体" w:hAnsi="黑体" w:eastAsia="黑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right"/>
              <w:rPr>
                <w:rFonts w:ascii="黑体" w:hAnsi="黑体" w:eastAsia="黑体"/>
                <w:sz w:val="24"/>
                <w:szCs w:val="24"/>
              </w:rPr>
            </w:pPr>
            <w:r>
              <w:rPr>
                <w:rFonts w:hint="eastAsia" w:ascii="黑体" w:hAnsi="黑体" w:eastAsia="黑体"/>
                <w:sz w:val="24"/>
                <w:szCs w:val="24"/>
              </w:rPr>
              <w:t>投标人地址：</w:t>
            </w:r>
          </w:p>
        </w:tc>
        <w:tc>
          <w:tcPr>
            <w:tcW w:w="3579" w:type="pct"/>
            <w:vAlign w:val="center"/>
          </w:tcPr>
          <w:p>
            <w:pPr>
              <w:spacing w:line="360" w:lineRule="auto"/>
              <w:jc w:val="left"/>
              <w:rPr>
                <w:rFonts w:ascii="黑体" w:hAnsi="黑体" w:eastAsia="黑体"/>
                <w:sz w:val="24"/>
                <w:szCs w:val="24"/>
                <w:u w:val="single"/>
              </w:rPr>
            </w:pPr>
            <w:r>
              <w:rPr>
                <w:rFonts w:ascii="黑体" w:hAnsi="黑体" w:eastAsia="黑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right"/>
              <w:rPr>
                <w:rFonts w:ascii="黑体" w:hAnsi="黑体" w:eastAsia="黑体"/>
                <w:spacing w:val="-10"/>
                <w:sz w:val="24"/>
                <w:szCs w:val="24"/>
              </w:rPr>
            </w:pPr>
            <w:r>
              <w:rPr>
                <w:rFonts w:hint="eastAsia" w:ascii="黑体" w:hAnsi="黑体" w:eastAsia="黑体"/>
                <w:sz w:val="24"/>
                <w:szCs w:val="24"/>
              </w:rPr>
              <w:t>投标联系人</w:t>
            </w:r>
            <w:r>
              <w:rPr>
                <w:rFonts w:hint="eastAsia" w:ascii="黑体" w:hAnsi="黑体" w:eastAsia="黑体"/>
                <w:spacing w:val="-10"/>
                <w:sz w:val="24"/>
                <w:szCs w:val="24"/>
              </w:rPr>
              <w:t>：</w:t>
            </w:r>
          </w:p>
        </w:tc>
        <w:tc>
          <w:tcPr>
            <w:tcW w:w="3579" w:type="pct"/>
            <w:vAlign w:val="center"/>
          </w:tcPr>
          <w:p>
            <w:pPr>
              <w:spacing w:line="360" w:lineRule="auto"/>
              <w:jc w:val="left"/>
              <w:rPr>
                <w:rFonts w:ascii="黑体" w:hAnsi="黑体" w:eastAsia="黑体"/>
                <w:sz w:val="24"/>
                <w:szCs w:val="24"/>
                <w:u w:val="single"/>
              </w:rPr>
            </w:pPr>
            <w:r>
              <w:rPr>
                <w:rFonts w:ascii="黑体" w:hAnsi="黑体" w:eastAsia="黑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tabs>
                <w:tab w:val="left" w:pos="170"/>
              </w:tabs>
              <w:spacing w:line="360" w:lineRule="auto"/>
              <w:jc w:val="right"/>
              <w:rPr>
                <w:rFonts w:ascii="黑体" w:hAnsi="黑体" w:eastAsia="黑体"/>
                <w:sz w:val="24"/>
                <w:szCs w:val="24"/>
              </w:rPr>
            </w:pPr>
            <w:r>
              <w:rPr>
                <w:rFonts w:hint="eastAsia" w:ascii="黑体" w:hAnsi="黑体" w:eastAsia="黑体"/>
                <w:spacing w:val="24"/>
                <w:sz w:val="24"/>
                <w:szCs w:val="24"/>
              </w:rPr>
              <w:t>联系电话</w:t>
            </w:r>
            <w:r>
              <w:rPr>
                <w:rFonts w:hint="eastAsia" w:ascii="黑体" w:hAnsi="黑体" w:eastAsia="黑体"/>
                <w:sz w:val="24"/>
                <w:szCs w:val="24"/>
              </w:rPr>
              <w:t>：</w:t>
            </w:r>
          </w:p>
        </w:tc>
        <w:tc>
          <w:tcPr>
            <w:tcW w:w="3579" w:type="pct"/>
            <w:vAlign w:val="center"/>
          </w:tcPr>
          <w:p>
            <w:pPr>
              <w:spacing w:line="360" w:lineRule="auto"/>
              <w:jc w:val="left"/>
              <w:rPr>
                <w:rFonts w:ascii="黑体" w:hAnsi="黑体" w:eastAsia="黑体"/>
                <w:sz w:val="24"/>
                <w:szCs w:val="24"/>
                <w:u w:val="single"/>
              </w:rPr>
            </w:pPr>
            <w:r>
              <w:rPr>
                <w:rFonts w:ascii="黑体" w:hAnsi="黑体" w:eastAsia="黑体"/>
                <w:sz w:val="24"/>
                <w:szCs w:val="24"/>
                <w:u w:val="single"/>
              </w:rPr>
              <w:t xml:space="preserve">                                       </w:t>
            </w:r>
          </w:p>
        </w:tc>
      </w:tr>
    </w:tbl>
    <w:p>
      <w:pPr>
        <w:spacing w:before="468" w:beforeLines="150" w:line="600" w:lineRule="exact"/>
        <w:jc w:val="center"/>
        <w:rPr>
          <w:rFonts w:ascii="黑体" w:hAnsi="黑体" w:eastAsia="黑体"/>
          <w:b/>
          <w:bCs/>
          <w:spacing w:val="40"/>
          <w:sz w:val="24"/>
          <w:szCs w:val="24"/>
        </w:rPr>
      </w:pPr>
      <w:r>
        <w:rPr>
          <w:rFonts w:hint="eastAsia" w:ascii="黑体" w:hAnsi="黑体" w:eastAsia="黑体"/>
          <w:b/>
          <w:spacing w:val="40"/>
          <w:sz w:val="24"/>
          <w:szCs w:val="24"/>
        </w:rPr>
        <w:t>日期：</w:t>
      </w:r>
      <w:r>
        <w:rPr>
          <w:rFonts w:hint="eastAsia" w:ascii="黑体" w:hAnsi="黑体" w:eastAsia="黑体"/>
          <w:b/>
          <w:spacing w:val="20"/>
          <w:szCs w:val="21"/>
        </w:rPr>
        <w:t xml:space="preserve">    </w:t>
      </w:r>
      <w:r>
        <w:rPr>
          <w:rFonts w:hint="eastAsia" w:ascii="黑体" w:hAnsi="黑体" w:eastAsia="黑体"/>
          <w:b/>
          <w:spacing w:val="40"/>
          <w:sz w:val="24"/>
          <w:szCs w:val="24"/>
        </w:rPr>
        <w:t xml:space="preserve">年 </w:t>
      </w:r>
      <w:r>
        <w:rPr>
          <w:rFonts w:ascii="黑体" w:hAnsi="黑体" w:eastAsia="黑体"/>
          <w:b/>
          <w:spacing w:val="40"/>
          <w:sz w:val="24"/>
          <w:szCs w:val="24"/>
        </w:rPr>
        <w:t xml:space="preserve"> </w:t>
      </w:r>
      <w:r>
        <w:rPr>
          <w:rFonts w:hint="eastAsia" w:ascii="黑体" w:hAnsi="黑体" w:eastAsia="黑体"/>
          <w:b/>
          <w:spacing w:val="40"/>
          <w:sz w:val="24"/>
          <w:szCs w:val="24"/>
        </w:rPr>
        <w:t xml:space="preserve">月 </w:t>
      </w:r>
      <w:r>
        <w:rPr>
          <w:rFonts w:ascii="黑体" w:hAnsi="黑体" w:eastAsia="黑体"/>
          <w:b/>
          <w:spacing w:val="40"/>
          <w:sz w:val="24"/>
          <w:szCs w:val="24"/>
        </w:rPr>
        <w:t xml:space="preserve"> </w:t>
      </w:r>
      <w:r>
        <w:rPr>
          <w:rFonts w:hint="eastAsia" w:ascii="黑体" w:hAnsi="黑体" w:eastAsia="黑体"/>
          <w:b/>
          <w:spacing w:val="40"/>
          <w:sz w:val="24"/>
          <w:szCs w:val="24"/>
        </w:rPr>
        <w:t>日</w:t>
      </w:r>
    </w:p>
    <w:p>
      <w:pPr>
        <w:spacing w:line="360" w:lineRule="auto"/>
        <w:rPr>
          <w:rFonts w:ascii="黑体" w:hAnsi="黑体" w:eastAsia="黑体"/>
        </w:rPr>
      </w:pPr>
    </w:p>
    <w:p>
      <w:pPr>
        <w:spacing w:line="360" w:lineRule="auto"/>
        <w:rPr>
          <w:rFonts w:ascii="黑体" w:hAnsi="黑体" w:eastAsia="黑体"/>
        </w:rPr>
      </w:pPr>
    </w:p>
    <w:p>
      <w:pPr>
        <w:spacing w:line="360" w:lineRule="auto"/>
        <w:rPr>
          <w:rFonts w:ascii="黑体" w:hAnsi="黑体" w:eastAsia="黑体"/>
        </w:rPr>
      </w:pPr>
    </w:p>
    <w:p>
      <w:pPr>
        <w:spacing w:line="360" w:lineRule="auto"/>
        <w:rPr>
          <w:rFonts w:ascii="黑体" w:hAnsi="黑体" w:eastAsia="黑体"/>
        </w:rPr>
      </w:pPr>
    </w:p>
    <w:p>
      <w:pPr>
        <w:pStyle w:val="30"/>
        <w:numPr>
          <w:ilvl w:val="0"/>
          <w:numId w:val="95"/>
        </w:numPr>
        <w:spacing w:before="312" w:beforeLines="100" w:after="312" w:afterLines="100" w:line="360" w:lineRule="auto"/>
        <w:ind w:firstLineChars="0"/>
        <w:jc w:val="left"/>
        <w:rPr>
          <w:rFonts w:ascii="黑体" w:hAnsi="黑体" w:eastAsia="黑体"/>
          <w:b/>
          <w:spacing w:val="20"/>
          <w:sz w:val="28"/>
          <w:szCs w:val="28"/>
        </w:rPr>
      </w:pPr>
      <w:r>
        <w:rPr>
          <w:rFonts w:hint="eastAsia" w:ascii="黑体" w:hAnsi="黑体" w:eastAsia="黑体"/>
          <w:b/>
          <w:spacing w:val="20"/>
          <w:sz w:val="28"/>
          <w:szCs w:val="28"/>
        </w:rPr>
        <w:t>唱标信封内装：</w:t>
      </w:r>
    </w:p>
    <w:p>
      <w:pPr>
        <w:pStyle w:val="30"/>
        <w:numPr>
          <w:ilvl w:val="0"/>
          <w:numId w:val="96"/>
        </w:numPr>
        <w:spacing w:line="360" w:lineRule="auto"/>
        <w:ind w:firstLineChars="0"/>
        <w:rPr>
          <w:rFonts w:ascii="黑体" w:hAnsi="黑体" w:eastAsia="黑体"/>
          <w:szCs w:val="21"/>
        </w:rPr>
      </w:pPr>
      <w:r>
        <w:rPr>
          <w:rFonts w:hint="eastAsia" w:ascii="黑体" w:hAnsi="黑体" w:eastAsia="黑体"/>
          <w:szCs w:val="21"/>
        </w:rPr>
        <w:t>开标一览表加盖投标人公章；</w:t>
      </w:r>
    </w:p>
    <w:p>
      <w:pPr>
        <w:pStyle w:val="30"/>
        <w:numPr>
          <w:ilvl w:val="0"/>
          <w:numId w:val="96"/>
        </w:numPr>
        <w:spacing w:line="360" w:lineRule="auto"/>
        <w:ind w:firstLineChars="0"/>
        <w:rPr>
          <w:rFonts w:ascii="黑体" w:hAnsi="黑体" w:eastAsia="黑体"/>
          <w:szCs w:val="21"/>
        </w:rPr>
      </w:pPr>
      <w:r>
        <w:rPr>
          <w:rFonts w:hint="eastAsia" w:ascii="黑体" w:hAnsi="黑体" w:eastAsia="黑体"/>
          <w:szCs w:val="21"/>
        </w:rPr>
        <w:t>分项报价表加盖投标人公章；</w:t>
      </w:r>
    </w:p>
    <w:p>
      <w:pPr>
        <w:pStyle w:val="30"/>
        <w:numPr>
          <w:ilvl w:val="0"/>
          <w:numId w:val="96"/>
        </w:numPr>
        <w:spacing w:line="360" w:lineRule="auto"/>
        <w:ind w:firstLineChars="0"/>
        <w:rPr>
          <w:rFonts w:ascii="黑体" w:hAnsi="黑体" w:eastAsia="黑体"/>
          <w:szCs w:val="21"/>
        </w:rPr>
      </w:pPr>
      <w:r>
        <w:rPr>
          <w:rFonts w:hint="eastAsia" w:ascii="黑体" w:hAnsi="黑体" w:eastAsia="黑体"/>
          <w:szCs w:val="21"/>
        </w:rPr>
        <w:t>法定代表人证明书或法定代表人授权委托书加盖投标人公章；</w:t>
      </w:r>
    </w:p>
    <w:p>
      <w:pPr>
        <w:pStyle w:val="30"/>
        <w:numPr>
          <w:ilvl w:val="0"/>
          <w:numId w:val="96"/>
        </w:numPr>
        <w:spacing w:line="360" w:lineRule="auto"/>
        <w:ind w:firstLineChars="0"/>
        <w:rPr>
          <w:rFonts w:ascii="黑体" w:hAnsi="黑体" w:eastAsia="黑体"/>
          <w:szCs w:val="21"/>
        </w:rPr>
      </w:pPr>
      <w:r>
        <w:rPr>
          <w:rFonts w:hint="eastAsia" w:ascii="黑体" w:hAnsi="黑体" w:eastAsia="黑体"/>
          <w:szCs w:val="21"/>
        </w:rPr>
        <w:t>投标保证金汇入情况说明加盖投标人公章或政府采购投标担保函递交情况说明加盖投标人公章；</w:t>
      </w:r>
    </w:p>
    <w:p>
      <w:pPr>
        <w:pStyle w:val="30"/>
        <w:numPr>
          <w:ilvl w:val="0"/>
          <w:numId w:val="96"/>
        </w:numPr>
        <w:spacing w:line="360" w:lineRule="auto"/>
        <w:ind w:firstLineChars="0"/>
        <w:rPr>
          <w:rFonts w:ascii="黑体" w:hAnsi="黑体" w:eastAsia="黑体"/>
          <w:szCs w:val="21"/>
        </w:rPr>
      </w:pPr>
      <w:r>
        <w:rPr>
          <w:rFonts w:hint="eastAsia" w:ascii="黑体" w:hAnsi="黑体" w:eastAsia="黑体"/>
          <w:szCs w:val="21"/>
        </w:rPr>
        <w:t>银行汇款凭证加盖投标人公章或《政府采购投标担保函》原件；</w:t>
      </w:r>
    </w:p>
    <w:p>
      <w:pPr>
        <w:pStyle w:val="30"/>
        <w:numPr>
          <w:ilvl w:val="0"/>
          <w:numId w:val="96"/>
        </w:numPr>
        <w:spacing w:line="360" w:lineRule="auto"/>
        <w:ind w:firstLineChars="0"/>
        <w:rPr>
          <w:rFonts w:ascii="黑体" w:hAnsi="黑体" w:eastAsia="黑体"/>
          <w:szCs w:val="21"/>
        </w:rPr>
      </w:pPr>
      <w:r>
        <w:rPr>
          <w:rFonts w:hint="eastAsia" w:ascii="黑体" w:hAnsi="黑体" w:eastAsia="黑体"/>
          <w:szCs w:val="21"/>
        </w:rPr>
        <w:t>电子文件（</w:t>
      </w:r>
      <w:r>
        <w:rPr>
          <w:rFonts w:ascii="黑体" w:hAnsi="黑体" w:eastAsia="黑体"/>
          <w:szCs w:val="21"/>
        </w:rPr>
        <w:t>CD-R光盘或</w:t>
      </w:r>
      <w:r>
        <w:rPr>
          <w:rFonts w:hint="eastAsia" w:ascii="黑体" w:hAnsi="黑体" w:eastAsia="黑体"/>
          <w:szCs w:val="21"/>
        </w:rPr>
        <w:t>U</w:t>
      </w:r>
      <w:r>
        <w:rPr>
          <w:rFonts w:ascii="黑体" w:hAnsi="黑体" w:eastAsia="黑体"/>
          <w:szCs w:val="21"/>
        </w:rPr>
        <w:t>盘）；</w:t>
      </w:r>
    </w:p>
    <w:p>
      <w:pPr>
        <w:pStyle w:val="30"/>
        <w:numPr>
          <w:ilvl w:val="0"/>
          <w:numId w:val="96"/>
        </w:numPr>
        <w:spacing w:line="360" w:lineRule="auto"/>
        <w:ind w:firstLineChars="0"/>
        <w:rPr>
          <w:rFonts w:ascii="黑体" w:hAnsi="黑体" w:eastAsia="黑体"/>
          <w:szCs w:val="21"/>
        </w:rPr>
      </w:pPr>
      <w:r>
        <w:rPr>
          <w:rFonts w:hint="eastAsia" w:ascii="黑体" w:hAnsi="黑体" w:eastAsia="黑体"/>
          <w:bCs/>
          <w:szCs w:val="21"/>
        </w:rPr>
        <w:t>其他格式（如有）</w:t>
      </w:r>
      <w:r>
        <w:rPr>
          <w:rFonts w:hint="eastAsia" w:ascii="黑体" w:hAnsi="黑体" w:eastAsia="黑体"/>
          <w:szCs w:val="21"/>
        </w:rPr>
        <w:t>。</w:t>
      </w:r>
    </w:p>
    <w:sectPr>
      <w:headerReference r:id="rId3" w:type="default"/>
      <w:footerReference r:id="rId4" w:type="default"/>
      <w:pgSz w:w="11906" w:h="16838"/>
      <w:pgMar w:top="1521" w:right="1558" w:bottom="993" w:left="1797" w:header="851" w:footer="68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 w:name="Arial Unicode MS">
    <w:altName w:val="Arial"/>
    <w:panose1 w:val="020B0604020202020204"/>
    <w:charset w:val="00"/>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5469"/>
    </w:sdtPr>
    <w:sdtContent>
      <w:p>
        <w:pPr>
          <w:pStyle w:val="13"/>
          <w:jc w:val="center"/>
        </w:pPr>
        <w:r>
          <w:fldChar w:fldCharType="begin"/>
        </w:r>
        <w:r>
          <w:instrText xml:space="preserve"> PAGE   \* MERGEFORMAT </w:instrText>
        </w:r>
        <w:r>
          <w:fldChar w:fldCharType="separate"/>
        </w:r>
        <w:r>
          <w:rPr>
            <w:lang w:val="zh-CN"/>
          </w:rPr>
          <w:t>7</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hAnsi="黑体" w:eastAsia="黑体"/>
        <w:color w:val="FF0000"/>
      </w:rPr>
    </w:pPr>
    <w:r>
      <w:rPr>
        <w:rFonts w:hint="eastAsia" w:ascii="黑体" w:hAnsi="黑体" w:eastAsia="黑体"/>
        <w:sz w:val="21"/>
        <w:szCs w:val="21"/>
      </w:rPr>
      <w:drawing>
        <wp:inline distT="0" distB="0" distL="0" distR="0">
          <wp:extent cx="835660" cy="253365"/>
          <wp:effectExtent l="19050" t="0" r="2323" b="0"/>
          <wp:docPr id="4" name="图片 4"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东莞分公司（内部综合）\东莞分公司（各类事项表格）\东莞分公司（LOGO）\有德横向LOGO.jpg"/>
                  <pic:cNvPicPr>
                    <a:picLocks noChangeAspect="1" noChangeArrowheads="1"/>
                  </pic:cNvPicPr>
                </pic:nvPicPr>
                <pic:blipFill>
                  <a:blip r:embed="rId1"/>
                  <a:srcRect/>
                  <a:stretch>
                    <a:fillRect/>
                  </a:stretch>
                </pic:blipFill>
                <pic:spPr>
                  <a:xfrm>
                    <a:off x="0" y="0"/>
                    <a:ext cx="844330" cy="256246"/>
                  </a:xfrm>
                  <a:prstGeom prst="rect">
                    <a:avLst/>
                  </a:prstGeom>
                  <a:noFill/>
                  <a:ln w="9525">
                    <a:noFill/>
                    <a:miter lim="800000"/>
                    <a:headEnd/>
                    <a:tailEnd/>
                  </a:ln>
                </pic:spPr>
              </pic:pic>
            </a:graphicData>
          </a:graphic>
        </wp:inline>
      </w:drawing>
    </w:r>
    <w:r>
      <w:rPr>
        <w:rFonts w:hint="eastAsia" w:ascii="黑体" w:hAnsi="黑体" w:eastAsia="黑体"/>
        <w:sz w:val="21"/>
        <w:szCs w:val="21"/>
      </w:rPr>
      <w:t xml:space="preserve">                                   </w:t>
    </w:r>
    <w:r>
      <w:rPr>
        <w:rFonts w:hint="eastAsia" w:ascii="黑体" w:hAnsi="黑体" w:eastAsia="黑体"/>
        <w:color w:val="FF0000"/>
        <w:sz w:val="21"/>
        <w:szCs w:val="21"/>
      </w:rPr>
      <w:t xml:space="preserve">         </w:t>
    </w:r>
    <w:r>
      <w:rPr>
        <w:rFonts w:ascii="黑体" w:hAnsi="黑体" w:eastAsia="黑体"/>
        <w:color w:val="FF0000"/>
        <w:sz w:val="21"/>
        <w:szCs w:val="21"/>
      </w:rPr>
      <w:t xml:space="preserve">   </w:t>
    </w:r>
    <w:r>
      <w:rPr>
        <w:rFonts w:hint="eastAsia" w:ascii="黑体" w:hAnsi="黑体" w:eastAsia="黑体"/>
        <w:color w:val="FF0000"/>
        <w:sz w:val="21"/>
        <w:szCs w:val="21"/>
      </w:rPr>
      <w:t xml:space="preserve"> </w:t>
    </w:r>
    <w:r>
      <w:rPr>
        <w:rFonts w:hint="eastAsia" w:ascii="黑体" w:hAnsi="黑体" w:eastAsia="黑体"/>
        <w:color w:val="FF0000"/>
      </w:rPr>
      <w:t>广东有德招标采购有限公司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8A63D2"/>
    <w:multiLevelType w:val="multilevel"/>
    <w:tmpl w:val="038A63D2"/>
    <w:lvl w:ilvl="0" w:tentative="0">
      <w:start w:val="29"/>
      <w:numFmt w:val="decimal"/>
      <w:lvlText w:val="%1"/>
      <w:lvlJc w:val="left"/>
      <w:pPr>
        <w:ind w:left="425" w:hanging="425"/>
      </w:pPr>
      <w:rPr>
        <w:rFonts w:hint="eastAsia"/>
        <w:b/>
        <w:i w:val="0"/>
        <w:color w:val="auto"/>
        <w:sz w:val="21"/>
      </w:rPr>
    </w:lvl>
    <w:lvl w:ilvl="1" w:tentative="0">
      <w:start w:val="1"/>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3.%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40A34B3"/>
    <w:multiLevelType w:val="multilevel"/>
    <w:tmpl w:val="040A34B3"/>
    <w:lvl w:ilvl="0" w:tentative="0">
      <w:start w:val="1"/>
      <w:numFmt w:val="decimal"/>
      <w:lvlText w:val="1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3631BE"/>
    <w:multiLevelType w:val="multilevel"/>
    <w:tmpl w:val="043631BE"/>
    <w:lvl w:ilvl="0" w:tentative="0">
      <w:start w:val="1"/>
      <w:numFmt w:val="decimal"/>
      <w:lvlText w:val="2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523C1C"/>
    <w:multiLevelType w:val="multilevel"/>
    <w:tmpl w:val="05523C1C"/>
    <w:lvl w:ilvl="0" w:tentative="0">
      <w:start w:val="10"/>
      <w:numFmt w:val="decimal"/>
      <w:lvlText w:val="%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8.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8AF46D7"/>
    <w:multiLevelType w:val="multilevel"/>
    <w:tmpl w:val="08AF46D7"/>
    <w:lvl w:ilvl="0" w:tentative="0">
      <w:start w:val="1"/>
      <w:numFmt w:val="decimal"/>
      <w:lvlText w:val="3.%1"/>
      <w:lvlJc w:val="left"/>
      <w:pPr>
        <w:ind w:left="94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9528F9"/>
    <w:multiLevelType w:val="multilevel"/>
    <w:tmpl w:val="0A9528F9"/>
    <w:lvl w:ilvl="0" w:tentative="0">
      <w:start w:val="1"/>
      <w:numFmt w:val="decimal"/>
      <w:lvlText w:val="1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5D1CF6"/>
    <w:multiLevelType w:val="multilevel"/>
    <w:tmpl w:val="0B5D1CF6"/>
    <w:lvl w:ilvl="0" w:tentative="0">
      <w:start w:val="1"/>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5C6350"/>
    <w:multiLevelType w:val="multilevel"/>
    <w:tmpl w:val="0C5C6350"/>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E76AD9"/>
    <w:multiLevelType w:val="multilevel"/>
    <w:tmpl w:val="0EE76AD9"/>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FE07D7"/>
    <w:multiLevelType w:val="multilevel"/>
    <w:tmpl w:val="10FE07D7"/>
    <w:lvl w:ilvl="0" w:tentative="0">
      <w:start w:val="1"/>
      <w:numFmt w:val="decimal"/>
      <w:lvlText w:val="2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854C77"/>
    <w:multiLevelType w:val="multilevel"/>
    <w:tmpl w:val="11854C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76E0134"/>
    <w:multiLevelType w:val="multilevel"/>
    <w:tmpl w:val="176E0134"/>
    <w:lvl w:ilvl="0" w:tentative="0">
      <w:start w:val="1"/>
      <w:numFmt w:val="decimal"/>
      <w:lvlText w:val="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3154B4"/>
    <w:multiLevelType w:val="multilevel"/>
    <w:tmpl w:val="183154B4"/>
    <w:lvl w:ilvl="0" w:tentative="0">
      <w:start w:val="1"/>
      <w:numFmt w:val="decimal"/>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CD77AF"/>
    <w:multiLevelType w:val="multilevel"/>
    <w:tmpl w:val="19CD77AF"/>
    <w:lvl w:ilvl="0" w:tentative="0">
      <w:start w:val="1"/>
      <w:numFmt w:val="decimal"/>
      <w:lvlText w:val="3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A600377"/>
    <w:multiLevelType w:val="multilevel"/>
    <w:tmpl w:val="1A600377"/>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A973E3B"/>
    <w:multiLevelType w:val="multilevel"/>
    <w:tmpl w:val="1A973E3B"/>
    <w:lvl w:ilvl="0" w:tentative="0">
      <w:start w:val="1"/>
      <w:numFmt w:val="decimal"/>
      <w:lvlText w:val="1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4E0595"/>
    <w:multiLevelType w:val="multilevel"/>
    <w:tmpl w:val="1C4E05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DA21561"/>
    <w:multiLevelType w:val="multilevel"/>
    <w:tmpl w:val="1DA2156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30.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1E0E2DA0"/>
    <w:multiLevelType w:val="multilevel"/>
    <w:tmpl w:val="1E0E2DA0"/>
    <w:lvl w:ilvl="0" w:tentative="0">
      <w:start w:val="1"/>
      <w:numFmt w:val="decimal"/>
      <w:lvlText w:val="%1"/>
      <w:lvlJc w:val="left"/>
      <w:pPr>
        <w:ind w:left="425" w:hanging="425"/>
      </w:pPr>
      <w:rPr>
        <w:rFonts w:hint="eastAsia"/>
        <w:b/>
        <w:i w:val="0"/>
        <w:color w:val="auto"/>
        <w:sz w:val="21"/>
      </w:rPr>
    </w:lvl>
    <w:lvl w:ilvl="1" w:tentative="0">
      <w:start w:val="1"/>
      <w:numFmt w:val="decimal"/>
      <w:lvlText w:val="29.%2"/>
      <w:lvlJc w:val="left"/>
      <w:pPr>
        <w:ind w:left="567" w:hanging="567"/>
      </w:pPr>
      <w:rPr>
        <w:rFonts w:hint="eastAsia"/>
        <w:b/>
        <w:bCs w:val="0"/>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1F1F0EBB"/>
    <w:multiLevelType w:val="multilevel"/>
    <w:tmpl w:val="1F1F0EBB"/>
    <w:lvl w:ilvl="0" w:tentative="0">
      <w:start w:val="1"/>
      <w:numFmt w:val="decimal"/>
      <w:lvlText w:val="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2C938AD"/>
    <w:multiLevelType w:val="multilevel"/>
    <w:tmpl w:val="22C938AD"/>
    <w:lvl w:ilvl="0" w:tentative="0">
      <w:start w:val="10"/>
      <w:numFmt w:val="decimal"/>
      <w:lvlText w:val="%1"/>
      <w:lvlJc w:val="left"/>
      <w:pPr>
        <w:ind w:left="425" w:hanging="425"/>
      </w:pPr>
      <w:rPr>
        <w:rFonts w:hint="eastAsia"/>
      </w:rPr>
    </w:lvl>
    <w:lvl w:ilvl="1" w:tentative="0">
      <w:start w:val="1"/>
      <w:numFmt w:val="decimal"/>
      <w:lvlText w:val="8.%2"/>
      <w:lvlJc w:val="left"/>
      <w:pPr>
        <w:ind w:left="567" w:hanging="567"/>
      </w:pPr>
      <w:rPr>
        <w:rFonts w:hint="eastAsia"/>
        <w:b/>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25F566EF"/>
    <w:multiLevelType w:val="multilevel"/>
    <w:tmpl w:val="25F566EF"/>
    <w:lvl w:ilvl="0" w:tentative="0">
      <w:start w:val="1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2A16535C"/>
    <w:multiLevelType w:val="multilevel"/>
    <w:tmpl w:val="2A16535C"/>
    <w:lvl w:ilvl="0" w:tentative="0">
      <w:start w:val="1"/>
      <w:numFmt w:val="decimal"/>
      <w:lvlText w:val="1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B1320B6"/>
    <w:multiLevelType w:val="multilevel"/>
    <w:tmpl w:val="2B1320B6"/>
    <w:lvl w:ilvl="0" w:tentative="0">
      <w:start w:val="1"/>
      <w:numFmt w:val="decimal"/>
      <w:lvlText w:val="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B8721E3"/>
    <w:multiLevelType w:val="multilevel"/>
    <w:tmpl w:val="2B8721E3"/>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2C2B1E1F"/>
    <w:multiLevelType w:val="multilevel"/>
    <w:tmpl w:val="2C2B1E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E8F60A7"/>
    <w:multiLevelType w:val="multilevel"/>
    <w:tmpl w:val="2E8F60A7"/>
    <w:lvl w:ilvl="0" w:tentative="0">
      <w:start w:val="1"/>
      <w:numFmt w:val="decimal"/>
      <w:lvlText w:val="2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F8426FB"/>
    <w:multiLevelType w:val="multilevel"/>
    <w:tmpl w:val="2F8426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FF332FE"/>
    <w:multiLevelType w:val="multilevel"/>
    <w:tmpl w:val="2FF332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0E620E1"/>
    <w:multiLevelType w:val="multilevel"/>
    <w:tmpl w:val="30E620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2A23873"/>
    <w:multiLevelType w:val="multilevel"/>
    <w:tmpl w:val="32A23873"/>
    <w:lvl w:ilvl="0" w:tentative="0">
      <w:start w:val="1"/>
      <w:numFmt w:val="decimal"/>
      <w:lvlText w:val="1.%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2BF1864"/>
    <w:multiLevelType w:val="multilevel"/>
    <w:tmpl w:val="32BF1864"/>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46F47EE"/>
    <w:multiLevelType w:val="multilevel"/>
    <w:tmpl w:val="346F47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4CE7977"/>
    <w:multiLevelType w:val="multilevel"/>
    <w:tmpl w:val="34CE797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5EA1EC4"/>
    <w:multiLevelType w:val="multilevel"/>
    <w:tmpl w:val="35EA1EC4"/>
    <w:lvl w:ilvl="0" w:tentative="0">
      <w:start w:val="1"/>
      <w:numFmt w:val="chineseCountingThousand"/>
      <w:lvlText w:val="%1 "/>
      <w:lvlJc w:val="left"/>
      <w:pPr>
        <w:ind w:left="420" w:hanging="420"/>
      </w:pPr>
      <w:rPr>
        <w:rFonts w:hint="eastAsia"/>
        <w:b/>
        <w:i w:val="0"/>
        <w:color w:val="auto"/>
        <w:sz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6603967"/>
    <w:multiLevelType w:val="multilevel"/>
    <w:tmpl w:val="36603967"/>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A1627FA"/>
    <w:multiLevelType w:val="multilevel"/>
    <w:tmpl w:val="3A1627F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B5D1229"/>
    <w:multiLevelType w:val="multilevel"/>
    <w:tmpl w:val="3B5D1229"/>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BFF7564"/>
    <w:multiLevelType w:val="multilevel"/>
    <w:tmpl w:val="3BFF7564"/>
    <w:lvl w:ilvl="0" w:tentative="0">
      <w:start w:val="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0">
    <w:nsid w:val="3E7B3266"/>
    <w:multiLevelType w:val="multilevel"/>
    <w:tmpl w:val="3E7B3266"/>
    <w:lvl w:ilvl="0" w:tentative="0">
      <w:start w:val="1"/>
      <w:numFmt w:val="decimal"/>
      <w:lvlText w:val="3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EDA68BD"/>
    <w:multiLevelType w:val="multilevel"/>
    <w:tmpl w:val="3EDA68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01E01F1"/>
    <w:multiLevelType w:val="multilevel"/>
    <w:tmpl w:val="401E01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26A2696"/>
    <w:multiLevelType w:val="multilevel"/>
    <w:tmpl w:val="426A2696"/>
    <w:lvl w:ilvl="0" w:tentative="0">
      <w:start w:val="13"/>
      <w:numFmt w:val="decimal"/>
      <w:lvlText w:val="%1"/>
      <w:lvlJc w:val="left"/>
      <w:pPr>
        <w:ind w:left="425" w:hanging="425"/>
      </w:pPr>
      <w:rPr>
        <w:rFonts w:hint="eastAsia"/>
      </w:rPr>
    </w:lvl>
    <w:lvl w:ilvl="1" w:tentative="0">
      <w:start w:val="1"/>
      <w:numFmt w:val="decimal"/>
      <w:lvlText w:val="10.%2"/>
      <w:lvlJc w:val="left"/>
      <w:pPr>
        <w:ind w:left="567" w:hanging="567"/>
      </w:pPr>
      <w:rPr>
        <w:rFonts w:hint="eastAsia"/>
      </w:rPr>
    </w:lvl>
    <w:lvl w:ilvl="2" w:tentative="0">
      <w:start w:val="3"/>
      <w:numFmt w:val="decimal"/>
      <w:lvlText w:val="%1.2.1"/>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4">
    <w:nsid w:val="44A4036E"/>
    <w:multiLevelType w:val="multilevel"/>
    <w:tmpl w:val="44A4036E"/>
    <w:lvl w:ilvl="0" w:tentative="0">
      <w:start w:val="11"/>
      <w:numFmt w:val="decimal"/>
      <w:lvlText w:val="%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8.1.%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5">
    <w:nsid w:val="47DD1ACD"/>
    <w:multiLevelType w:val="multilevel"/>
    <w:tmpl w:val="47DD1ACD"/>
    <w:lvl w:ilvl="0" w:tentative="0">
      <w:start w:val="1"/>
      <w:numFmt w:val="decimal"/>
      <w:lvlText w:val="%1．"/>
      <w:lvlJc w:val="left"/>
      <w:pPr>
        <w:ind w:left="360" w:hanging="360"/>
      </w:pPr>
      <w:rPr>
        <w:rFonts w:hint="default" w:ascii="黑体" w:hAnsi="黑体" w:eastAsia="黑体"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82F7A7A"/>
    <w:multiLevelType w:val="multilevel"/>
    <w:tmpl w:val="482F7A7A"/>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8785470"/>
    <w:multiLevelType w:val="multilevel"/>
    <w:tmpl w:val="48785470"/>
    <w:lvl w:ilvl="0" w:tentative="0">
      <w:start w:val="1"/>
      <w:numFmt w:val="decimal"/>
      <w:lvlText w:val="8.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A804453"/>
    <w:multiLevelType w:val="multilevel"/>
    <w:tmpl w:val="4A804453"/>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AD52286"/>
    <w:multiLevelType w:val="multilevel"/>
    <w:tmpl w:val="4AD52286"/>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AE21275"/>
    <w:multiLevelType w:val="multilevel"/>
    <w:tmpl w:val="4AE21275"/>
    <w:lvl w:ilvl="0" w:tentative="0">
      <w:start w:val="8"/>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2">
    <w:nsid w:val="4BAE0827"/>
    <w:multiLevelType w:val="multilevel"/>
    <w:tmpl w:val="4BAE0827"/>
    <w:lvl w:ilvl="0" w:tentative="0">
      <w:start w:val="1"/>
      <w:numFmt w:val="decimal"/>
      <w:lvlText w:val="3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1062AD7"/>
    <w:multiLevelType w:val="multilevel"/>
    <w:tmpl w:val="51062AD7"/>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1502957"/>
    <w:multiLevelType w:val="multilevel"/>
    <w:tmpl w:val="51502957"/>
    <w:lvl w:ilvl="0" w:tentative="0">
      <w:start w:val="18"/>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19.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5">
    <w:nsid w:val="52BA71BE"/>
    <w:multiLevelType w:val="multilevel"/>
    <w:tmpl w:val="52BA71B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6">
    <w:nsid w:val="52CF0B72"/>
    <w:multiLevelType w:val="multilevel"/>
    <w:tmpl w:val="52CF0B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53331BC6"/>
    <w:multiLevelType w:val="multilevel"/>
    <w:tmpl w:val="53331BC6"/>
    <w:lvl w:ilvl="0" w:tentative="0">
      <w:start w:val="3"/>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8">
    <w:nsid w:val="53BB02E6"/>
    <w:multiLevelType w:val="multilevel"/>
    <w:tmpl w:val="53BB02E6"/>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9">
    <w:nsid w:val="54F200C9"/>
    <w:multiLevelType w:val="multilevel"/>
    <w:tmpl w:val="54F200C9"/>
    <w:lvl w:ilvl="0" w:tentative="0">
      <w:start w:val="1"/>
      <w:numFmt w:val="decimal"/>
      <w:lvlText w:val="2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5CF31B5"/>
    <w:multiLevelType w:val="multilevel"/>
    <w:tmpl w:val="55CF31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5E32074"/>
    <w:multiLevelType w:val="multilevel"/>
    <w:tmpl w:val="55E320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7E64E5F"/>
    <w:multiLevelType w:val="multilevel"/>
    <w:tmpl w:val="57E64E5F"/>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8643DD7"/>
    <w:multiLevelType w:val="multilevel"/>
    <w:tmpl w:val="58643DD7"/>
    <w:lvl w:ilvl="0" w:tentative="0">
      <w:start w:val="1"/>
      <w:numFmt w:val="decimal"/>
      <w:lvlText w:val="17.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8DC2BF5"/>
    <w:multiLevelType w:val="multilevel"/>
    <w:tmpl w:val="58DC2BF5"/>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92B198C"/>
    <w:multiLevelType w:val="multilevel"/>
    <w:tmpl w:val="592B198C"/>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95A2D4C"/>
    <w:multiLevelType w:val="multilevel"/>
    <w:tmpl w:val="595A2D4C"/>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9B65BD9"/>
    <w:multiLevelType w:val="multilevel"/>
    <w:tmpl w:val="59B65B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9D633E9"/>
    <w:multiLevelType w:val="multilevel"/>
    <w:tmpl w:val="59D633E9"/>
    <w:lvl w:ilvl="0" w:tentative="0">
      <w:start w:val="5"/>
      <w:numFmt w:val="decimal"/>
      <w:lvlText w:val="%1"/>
      <w:lvlJc w:val="left"/>
      <w:pPr>
        <w:ind w:left="425" w:hanging="425"/>
      </w:pPr>
      <w:rPr>
        <w:rFonts w:hint="eastAsia"/>
        <w:b/>
        <w:i w:val="0"/>
        <w:color w:val="auto"/>
        <w:sz w:val="21"/>
      </w:rPr>
    </w:lvl>
    <w:lvl w:ilvl="1" w:tentative="0">
      <w:start w:val="1"/>
      <w:numFmt w:val="none"/>
      <w:lvlText w:val="5.3.1"/>
      <w:lvlJc w:val="left"/>
      <w:pPr>
        <w:ind w:left="567" w:hanging="567"/>
      </w:pPr>
      <w:rPr>
        <w:rFonts w:hint="eastAsia"/>
        <w:b w:val="0"/>
      </w:rPr>
    </w:lvl>
    <w:lvl w:ilvl="2" w:tentative="0">
      <w:start w:val="1"/>
      <w:numFmt w:val="decimal"/>
      <w:lvlText w:val="6.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9">
    <w:nsid w:val="5C0E4467"/>
    <w:multiLevelType w:val="multilevel"/>
    <w:tmpl w:val="5C0E4467"/>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5FD40241"/>
    <w:multiLevelType w:val="multilevel"/>
    <w:tmpl w:val="5FD40241"/>
    <w:lvl w:ilvl="0" w:tentative="0">
      <w:start w:val="1"/>
      <w:numFmt w:val="decimal"/>
      <w:lvlText w:val="17.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1636B35"/>
    <w:multiLevelType w:val="multilevel"/>
    <w:tmpl w:val="61636B35"/>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2A80407"/>
    <w:multiLevelType w:val="multilevel"/>
    <w:tmpl w:val="62A80407"/>
    <w:lvl w:ilvl="0" w:tentative="0">
      <w:start w:val="1"/>
      <w:numFmt w:val="decimal"/>
      <w:lvlText w:val="1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3173248"/>
    <w:multiLevelType w:val="multilevel"/>
    <w:tmpl w:val="63173248"/>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33D5B12"/>
    <w:multiLevelType w:val="multilevel"/>
    <w:tmpl w:val="633D5B12"/>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65715ED9"/>
    <w:multiLevelType w:val="multilevel"/>
    <w:tmpl w:val="65715E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65C87B74"/>
    <w:multiLevelType w:val="multilevel"/>
    <w:tmpl w:val="65C87B74"/>
    <w:lvl w:ilvl="0" w:tentative="0">
      <w:start w:val="1"/>
      <w:numFmt w:val="decimal"/>
      <w:lvlText w:val="2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69F3625"/>
    <w:multiLevelType w:val="multilevel"/>
    <w:tmpl w:val="669F3625"/>
    <w:lvl w:ilvl="0" w:tentative="0">
      <w:start w:val="1"/>
      <w:numFmt w:val="japaneseCounting"/>
      <w:lvlText w:val="%1、"/>
      <w:lvlJc w:val="left"/>
      <w:pPr>
        <w:ind w:left="720" w:hanging="72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67F55E3A"/>
    <w:multiLevelType w:val="multilevel"/>
    <w:tmpl w:val="67F55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86F395C"/>
    <w:multiLevelType w:val="multilevel"/>
    <w:tmpl w:val="686F395C"/>
    <w:lvl w:ilvl="0" w:tentative="0">
      <w:start w:val="10"/>
      <w:numFmt w:val="decimal"/>
      <w:lvlText w:val="%1."/>
      <w:lvlJc w:val="left"/>
      <w:pPr>
        <w:ind w:left="360" w:hanging="360"/>
      </w:pPr>
      <w:rPr>
        <w:rFonts w:hint="default" w:ascii="黑体" w:hAnsi="黑体" w:eastAsia="黑体"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6A2271FD"/>
    <w:multiLevelType w:val="multilevel"/>
    <w:tmpl w:val="6A2271FD"/>
    <w:lvl w:ilvl="0" w:tentative="0">
      <w:start w:val="1"/>
      <w:numFmt w:val="decimal"/>
      <w:lvlText w:val="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6BCC430F"/>
    <w:multiLevelType w:val="multilevel"/>
    <w:tmpl w:val="6BCC43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08621A4"/>
    <w:multiLevelType w:val="multilevel"/>
    <w:tmpl w:val="708621A4"/>
    <w:lvl w:ilvl="0" w:tentative="0">
      <w:start w:val="1"/>
      <w:numFmt w:val="decimal"/>
      <w:lvlText w:val="37.%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1580BEF"/>
    <w:multiLevelType w:val="multilevel"/>
    <w:tmpl w:val="71580BEF"/>
    <w:lvl w:ilvl="0" w:tentative="0">
      <w:start w:val="30"/>
      <w:numFmt w:val="decimal"/>
      <w:lvlText w:val="%1"/>
      <w:lvlJc w:val="left"/>
      <w:pPr>
        <w:ind w:left="425" w:hanging="425"/>
      </w:pPr>
      <w:rPr>
        <w:rFonts w:hint="eastAsia"/>
        <w:b/>
        <w:i w:val="0"/>
        <w:color w:val="auto"/>
        <w:sz w:val="21"/>
      </w:rPr>
    </w:lvl>
    <w:lvl w:ilvl="1" w:tentative="0">
      <w:start w:val="4"/>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4">
    <w:nsid w:val="7264255B"/>
    <w:multiLevelType w:val="multilevel"/>
    <w:tmpl w:val="7264255B"/>
    <w:lvl w:ilvl="0" w:tentative="0">
      <w:start w:val="1"/>
      <w:numFmt w:val="chineseCountingThousand"/>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28821B6"/>
    <w:multiLevelType w:val="multilevel"/>
    <w:tmpl w:val="728821B6"/>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2E62A6A"/>
    <w:multiLevelType w:val="multilevel"/>
    <w:tmpl w:val="72E62A6A"/>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61A1D84"/>
    <w:multiLevelType w:val="multilevel"/>
    <w:tmpl w:val="761A1D84"/>
    <w:lvl w:ilvl="0" w:tentative="0">
      <w:start w:val="1"/>
      <w:numFmt w:val="decimal"/>
      <w:lvlText w:val="1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6C06892"/>
    <w:multiLevelType w:val="multilevel"/>
    <w:tmpl w:val="76C06892"/>
    <w:lvl w:ilvl="0" w:tentative="0">
      <w:start w:val="1"/>
      <w:numFmt w:val="decimal"/>
      <w:lvlText w:val="1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A1B3571"/>
    <w:multiLevelType w:val="multilevel"/>
    <w:tmpl w:val="7A1B3571"/>
    <w:lvl w:ilvl="0" w:tentative="0">
      <w:start w:val="11"/>
      <w:numFmt w:val="decimal"/>
      <w:lvlText w:val="%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8.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0">
    <w:nsid w:val="7BA40B41"/>
    <w:multiLevelType w:val="multilevel"/>
    <w:tmpl w:val="7BA40B4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1.%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1">
    <w:nsid w:val="7C2C7A19"/>
    <w:multiLevelType w:val="multilevel"/>
    <w:tmpl w:val="7C2C7A19"/>
    <w:lvl w:ilvl="0" w:tentative="0">
      <w:start w:val="1"/>
      <w:numFmt w:val="decimal"/>
      <w:lvlText w:val="%1"/>
      <w:lvlJc w:val="left"/>
      <w:pPr>
        <w:ind w:left="420" w:hanging="420"/>
      </w:pPr>
      <w:rPr>
        <w:rFonts w:hint="eastAsia"/>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C9C2E3E"/>
    <w:multiLevelType w:val="multilevel"/>
    <w:tmpl w:val="7C9C2E3E"/>
    <w:lvl w:ilvl="0" w:tentative="0">
      <w:start w:val="2"/>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3">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E8F7E29"/>
    <w:multiLevelType w:val="multilevel"/>
    <w:tmpl w:val="7E8F7E29"/>
    <w:lvl w:ilvl="0" w:tentative="0">
      <w:start w:val="1"/>
      <w:numFmt w:val="decimal"/>
      <w:lvlText w:val="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FEF4FD5"/>
    <w:multiLevelType w:val="multilevel"/>
    <w:tmpl w:val="7FEF4FD5"/>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35"/>
  </w:num>
  <w:num w:numId="3">
    <w:abstractNumId w:val="9"/>
  </w:num>
  <w:num w:numId="4">
    <w:abstractNumId w:val="31"/>
  </w:num>
  <w:num w:numId="5">
    <w:abstractNumId w:val="67"/>
  </w:num>
  <w:num w:numId="6">
    <w:abstractNumId w:val="8"/>
  </w:num>
  <w:num w:numId="7">
    <w:abstractNumId w:val="91"/>
  </w:num>
  <w:num w:numId="8">
    <w:abstractNumId w:val="66"/>
  </w:num>
  <w:num w:numId="9">
    <w:abstractNumId w:val="74"/>
  </w:num>
  <w:num w:numId="10">
    <w:abstractNumId w:val="45"/>
  </w:num>
  <w:num w:numId="11">
    <w:abstractNumId w:val="79"/>
  </w:num>
  <w:num w:numId="12">
    <w:abstractNumId w:val="42"/>
  </w:num>
  <w:num w:numId="13">
    <w:abstractNumId w:val="77"/>
  </w:num>
  <w:num w:numId="14">
    <w:abstractNumId w:val="0"/>
  </w:num>
  <w:num w:numId="15">
    <w:abstractNumId w:val="32"/>
  </w:num>
  <w:num w:numId="16">
    <w:abstractNumId w:val="19"/>
  </w:num>
  <w:num w:numId="17">
    <w:abstractNumId w:val="69"/>
  </w:num>
  <w:num w:numId="18">
    <w:abstractNumId w:val="5"/>
  </w:num>
  <w:num w:numId="19">
    <w:abstractNumId w:val="15"/>
  </w:num>
  <w:num w:numId="20">
    <w:abstractNumId w:val="73"/>
  </w:num>
  <w:num w:numId="21">
    <w:abstractNumId w:val="49"/>
  </w:num>
  <w:num w:numId="22">
    <w:abstractNumId w:val="68"/>
  </w:num>
  <w:num w:numId="23">
    <w:abstractNumId w:val="85"/>
  </w:num>
  <w:num w:numId="24">
    <w:abstractNumId w:val="46"/>
  </w:num>
  <w:num w:numId="25">
    <w:abstractNumId w:val="86"/>
  </w:num>
  <w:num w:numId="26">
    <w:abstractNumId w:val="64"/>
  </w:num>
  <w:num w:numId="27">
    <w:abstractNumId w:val="7"/>
  </w:num>
  <w:num w:numId="28">
    <w:abstractNumId w:val="95"/>
  </w:num>
  <w:num w:numId="29">
    <w:abstractNumId w:val="22"/>
  </w:num>
  <w:num w:numId="30">
    <w:abstractNumId w:val="38"/>
  </w:num>
  <w:num w:numId="31">
    <w:abstractNumId w:val="6"/>
  </w:num>
  <w:num w:numId="32">
    <w:abstractNumId w:val="2"/>
  </w:num>
  <w:num w:numId="33">
    <w:abstractNumId w:val="72"/>
  </w:num>
  <w:num w:numId="34">
    <w:abstractNumId w:val="87"/>
  </w:num>
  <w:num w:numId="35">
    <w:abstractNumId w:val="88"/>
  </w:num>
  <w:num w:numId="36">
    <w:abstractNumId w:val="70"/>
  </w:num>
  <w:num w:numId="37">
    <w:abstractNumId w:val="63"/>
  </w:num>
  <w:num w:numId="38">
    <w:abstractNumId w:val="23"/>
  </w:num>
  <w:num w:numId="39">
    <w:abstractNumId w:val="16"/>
  </w:num>
  <w:num w:numId="40">
    <w:abstractNumId w:val="54"/>
  </w:num>
  <w:num w:numId="41">
    <w:abstractNumId w:val="13"/>
  </w:num>
  <w:num w:numId="42">
    <w:abstractNumId w:val="12"/>
  </w:num>
  <w:num w:numId="43">
    <w:abstractNumId w:val="50"/>
  </w:num>
  <w:num w:numId="44">
    <w:abstractNumId w:val="53"/>
  </w:num>
  <w:num w:numId="45">
    <w:abstractNumId w:val="76"/>
  </w:num>
  <w:num w:numId="46">
    <w:abstractNumId w:val="24"/>
  </w:num>
  <w:num w:numId="47">
    <w:abstractNumId w:val="10"/>
  </w:num>
  <w:num w:numId="48">
    <w:abstractNumId w:val="59"/>
  </w:num>
  <w:num w:numId="49">
    <w:abstractNumId w:val="3"/>
  </w:num>
  <w:num w:numId="50">
    <w:abstractNumId w:val="27"/>
  </w:num>
  <w:num w:numId="51">
    <w:abstractNumId w:val="1"/>
  </w:num>
  <w:num w:numId="52">
    <w:abstractNumId w:val="14"/>
  </w:num>
  <w:num w:numId="53">
    <w:abstractNumId w:val="90"/>
  </w:num>
  <w:num w:numId="54">
    <w:abstractNumId w:val="18"/>
  </w:num>
  <w:num w:numId="55">
    <w:abstractNumId w:val="25"/>
  </w:num>
  <w:num w:numId="56">
    <w:abstractNumId w:val="83"/>
  </w:num>
  <w:num w:numId="57">
    <w:abstractNumId w:val="80"/>
  </w:num>
  <w:num w:numId="58">
    <w:abstractNumId w:val="36"/>
  </w:num>
  <w:num w:numId="59">
    <w:abstractNumId w:val="52"/>
  </w:num>
  <w:num w:numId="60">
    <w:abstractNumId w:val="94"/>
  </w:num>
  <w:num w:numId="61">
    <w:abstractNumId w:val="20"/>
  </w:num>
  <w:num w:numId="62">
    <w:abstractNumId w:val="40"/>
  </w:num>
  <w:num w:numId="63">
    <w:abstractNumId w:val="82"/>
  </w:num>
  <w:num w:numId="64">
    <w:abstractNumId w:val="34"/>
  </w:num>
  <w:num w:numId="65">
    <w:abstractNumId w:val="65"/>
  </w:num>
  <w:num w:numId="66">
    <w:abstractNumId w:val="62"/>
  </w:num>
  <w:num w:numId="67">
    <w:abstractNumId w:val="55"/>
  </w:num>
  <w:num w:numId="68">
    <w:abstractNumId w:val="39"/>
  </w:num>
  <w:num w:numId="69">
    <w:abstractNumId w:val="92"/>
  </w:num>
  <w:num w:numId="70">
    <w:abstractNumId w:val="71"/>
  </w:num>
  <w:num w:numId="71">
    <w:abstractNumId w:val="57"/>
  </w:num>
  <w:num w:numId="72">
    <w:abstractNumId w:val="51"/>
  </w:num>
  <w:num w:numId="73">
    <w:abstractNumId w:val="21"/>
  </w:num>
  <w:num w:numId="74">
    <w:abstractNumId w:val="44"/>
  </w:num>
  <w:num w:numId="75">
    <w:abstractNumId w:val="89"/>
  </w:num>
  <w:num w:numId="76">
    <w:abstractNumId w:val="4"/>
  </w:num>
  <w:num w:numId="77">
    <w:abstractNumId w:val="47"/>
  </w:num>
  <w:num w:numId="78">
    <w:abstractNumId w:val="56"/>
  </w:num>
  <w:num w:numId="79">
    <w:abstractNumId w:val="43"/>
  </w:num>
  <w:num w:numId="80">
    <w:abstractNumId w:val="81"/>
  </w:num>
  <w:num w:numId="81">
    <w:abstractNumId w:val="17"/>
  </w:num>
  <w:num w:numId="82">
    <w:abstractNumId w:val="30"/>
  </w:num>
  <w:num w:numId="83">
    <w:abstractNumId w:val="58"/>
  </w:num>
  <w:num w:numId="84">
    <w:abstractNumId w:val="26"/>
  </w:num>
  <w:num w:numId="85">
    <w:abstractNumId w:val="75"/>
  </w:num>
  <w:num w:numId="86">
    <w:abstractNumId w:val="78"/>
  </w:num>
  <w:num w:numId="87">
    <w:abstractNumId w:val="11"/>
  </w:num>
  <w:num w:numId="88">
    <w:abstractNumId w:val="28"/>
  </w:num>
  <w:num w:numId="89">
    <w:abstractNumId w:val="84"/>
  </w:num>
  <w:num w:numId="90">
    <w:abstractNumId w:val="37"/>
  </w:num>
  <w:num w:numId="91">
    <w:abstractNumId w:val="93"/>
  </w:num>
  <w:num w:numId="92">
    <w:abstractNumId w:val="48"/>
  </w:num>
  <w:num w:numId="93">
    <w:abstractNumId w:val="41"/>
  </w:num>
  <w:num w:numId="94">
    <w:abstractNumId w:val="60"/>
  </w:num>
  <w:num w:numId="95">
    <w:abstractNumId w:val="29"/>
  </w:num>
  <w:num w:numId="96">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MzRmNWE5YTU4NjhhNTQ3ZTQ0Y2E1Y2E4MmQyZGQifQ=="/>
  </w:docVars>
  <w:rsids>
    <w:rsidRoot w:val="00113B06"/>
    <w:rsid w:val="000003F9"/>
    <w:rsid w:val="00001F97"/>
    <w:rsid w:val="00002932"/>
    <w:rsid w:val="00002B11"/>
    <w:rsid w:val="00002E7B"/>
    <w:rsid w:val="00003266"/>
    <w:rsid w:val="00003270"/>
    <w:rsid w:val="00003C75"/>
    <w:rsid w:val="000047C9"/>
    <w:rsid w:val="0000569B"/>
    <w:rsid w:val="0000591B"/>
    <w:rsid w:val="00005D02"/>
    <w:rsid w:val="0000736C"/>
    <w:rsid w:val="00007AFD"/>
    <w:rsid w:val="000100E9"/>
    <w:rsid w:val="0001065E"/>
    <w:rsid w:val="00011C70"/>
    <w:rsid w:val="0001212F"/>
    <w:rsid w:val="00012350"/>
    <w:rsid w:val="000124F8"/>
    <w:rsid w:val="00012887"/>
    <w:rsid w:val="000129CC"/>
    <w:rsid w:val="000132B0"/>
    <w:rsid w:val="00013C52"/>
    <w:rsid w:val="00013F69"/>
    <w:rsid w:val="00014FD9"/>
    <w:rsid w:val="000155C8"/>
    <w:rsid w:val="0001578E"/>
    <w:rsid w:val="000163DA"/>
    <w:rsid w:val="00016A0A"/>
    <w:rsid w:val="00017A0F"/>
    <w:rsid w:val="00017A69"/>
    <w:rsid w:val="0002022E"/>
    <w:rsid w:val="00020A70"/>
    <w:rsid w:val="00020E65"/>
    <w:rsid w:val="00021869"/>
    <w:rsid w:val="00022516"/>
    <w:rsid w:val="00023D47"/>
    <w:rsid w:val="00023E8B"/>
    <w:rsid w:val="0002428A"/>
    <w:rsid w:val="0002432C"/>
    <w:rsid w:val="00024720"/>
    <w:rsid w:val="00025686"/>
    <w:rsid w:val="00025BA4"/>
    <w:rsid w:val="00025EC9"/>
    <w:rsid w:val="000262C8"/>
    <w:rsid w:val="0002647E"/>
    <w:rsid w:val="000274FC"/>
    <w:rsid w:val="00032773"/>
    <w:rsid w:val="000329D9"/>
    <w:rsid w:val="000338CE"/>
    <w:rsid w:val="00033A70"/>
    <w:rsid w:val="00034A59"/>
    <w:rsid w:val="00034B87"/>
    <w:rsid w:val="0003507B"/>
    <w:rsid w:val="0003526D"/>
    <w:rsid w:val="00035599"/>
    <w:rsid w:val="00036B6D"/>
    <w:rsid w:val="00036DF6"/>
    <w:rsid w:val="0004007C"/>
    <w:rsid w:val="00040EF7"/>
    <w:rsid w:val="00041895"/>
    <w:rsid w:val="00041A8A"/>
    <w:rsid w:val="00042437"/>
    <w:rsid w:val="00042B14"/>
    <w:rsid w:val="0004306E"/>
    <w:rsid w:val="000431F9"/>
    <w:rsid w:val="00043882"/>
    <w:rsid w:val="0004426E"/>
    <w:rsid w:val="000445A8"/>
    <w:rsid w:val="0004489A"/>
    <w:rsid w:val="00046138"/>
    <w:rsid w:val="00047632"/>
    <w:rsid w:val="00047959"/>
    <w:rsid w:val="000500B4"/>
    <w:rsid w:val="000504E2"/>
    <w:rsid w:val="00050CF5"/>
    <w:rsid w:val="00051B0A"/>
    <w:rsid w:val="000527EE"/>
    <w:rsid w:val="0005311F"/>
    <w:rsid w:val="00053409"/>
    <w:rsid w:val="00053536"/>
    <w:rsid w:val="00053CF7"/>
    <w:rsid w:val="0005542F"/>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C3D"/>
    <w:rsid w:val="00065E30"/>
    <w:rsid w:val="000665A0"/>
    <w:rsid w:val="00067EA1"/>
    <w:rsid w:val="00070C6C"/>
    <w:rsid w:val="00071077"/>
    <w:rsid w:val="0007138C"/>
    <w:rsid w:val="000714D9"/>
    <w:rsid w:val="00071BBD"/>
    <w:rsid w:val="0007298C"/>
    <w:rsid w:val="00073109"/>
    <w:rsid w:val="0007397B"/>
    <w:rsid w:val="00073BAC"/>
    <w:rsid w:val="00074C07"/>
    <w:rsid w:val="00074CF9"/>
    <w:rsid w:val="0007527F"/>
    <w:rsid w:val="00075F80"/>
    <w:rsid w:val="00077996"/>
    <w:rsid w:val="00077E5C"/>
    <w:rsid w:val="000801BF"/>
    <w:rsid w:val="000806B8"/>
    <w:rsid w:val="0008077E"/>
    <w:rsid w:val="00080905"/>
    <w:rsid w:val="00080AD6"/>
    <w:rsid w:val="00080FAB"/>
    <w:rsid w:val="0008149C"/>
    <w:rsid w:val="000815EF"/>
    <w:rsid w:val="00081949"/>
    <w:rsid w:val="00081DE6"/>
    <w:rsid w:val="00081FD7"/>
    <w:rsid w:val="00084527"/>
    <w:rsid w:val="00084E44"/>
    <w:rsid w:val="000852B5"/>
    <w:rsid w:val="00085AB9"/>
    <w:rsid w:val="00085BA3"/>
    <w:rsid w:val="00086FA0"/>
    <w:rsid w:val="0008752B"/>
    <w:rsid w:val="000900E1"/>
    <w:rsid w:val="0009074A"/>
    <w:rsid w:val="00091A52"/>
    <w:rsid w:val="00091FAD"/>
    <w:rsid w:val="00092D1E"/>
    <w:rsid w:val="00092D68"/>
    <w:rsid w:val="00092E16"/>
    <w:rsid w:val="00093733"/>
    <w:rsid w:val="00093820"/>
    <w:rsid w:val="00094D9E"/>
    <w:rsid w:val="00094E0E"/>
    <w:rsid w:val="00095543"/>
    <w:rsid w:val="00095955"/>
    <w:rsid w:val="000959C1"/>
    <w:rsid w:val="000963E9"/>
    <w:rsid w:val="000972D0"/>
    <w:rsid w:val="00097AD4"/>
    <w:rsid w:val="00097BB6"/>
    <w:rsid w:val="000A03C5"/>
    <w:rsid w:val="000A04F5"/>
    <w:rsid w:val="000A08A8"/>
    <w:rsid w:val="000A0BCA"/>
    <w:rsid w:val="000A0CC5"/>
    <w:rsid w:val="000A1CAB"/>
    <w:rsid w:val="000A23C1"/>
    <w:rsid w:val="000A23F0"/>
    <w:rsid w:val="000A25AB"/>
    <w:rsid w:val="000A265E"/>
    <w:rsid w:val="000A2680"/>
    <w:rsid w:val="000A2C5A"/>
    <w:rsid w:val="000A58FA"/>
    <w:rsid w:val="000A607E"/>
    <w:rsid w:val="000A6863"/>
    <w:rsid w:val="000A69B0"/>
    <w:rsid w:val="000A70DF"/>
    <w:rsid w:val="000A74D7"/>
    <w:rsid w:val="000A7FB6"/>
    <w:rsid w:val="000B0F74"/>
    <w:rsid w:val="000B1390"/>
    <w:rsid w:val="000B1392"/>
    <w:rsid w:val="000B144C"/>
    <w:rsid w:val="000B1DAF"/>
    <w:rsid w:val="000B1E77"/>
    <w:rsid w:val="000B262E"/>
    <w:rsid w:val="000B2764"/>
    <w:rsid w:val="000B2938"/>
    <w:rsid w:val="000B31F5"/>
    <w:rsid w:val="000B3561"/>
    <w:rsid w:val="000B3DF5"/>
    <w:rsid w:val="000B3FB3"/>
    <w:rsid w:val="000B4A00"/>
    <w:rsid w:val="000B4B82"/>
    <w:rsid w:val="000B4BC4"/>
    <w:rsid w:val="000B526B"/>
    <w:rsid w:val="000B5EE4"/>
    <w:rsid w:val="000B6B90"/>
    <w:rsid w:val="000B6FC4"/>
    <w:rsid w:val="000B7383"/>
    <w:rsid w:val="000B7C39"/>
    <w:rsid w:val="000C00D1"/>
    <w:rsid w:val="000C08ED"/>
    <w:rsid w:val="000C0DC8"/>
    <w:rsid w:val="000C0DE5"/>
    <w:rsid w:val="000C1825"/>
    <w:rsid w:val="000C2830"/>
    <w:rsid w:val="000C2A31"/>
    <w:rsid w:val="000C2D6A"/>
    <w:rsid w:val="000C5349"/>
    <w:rsid w:val="000C6825"/>
    <w:rsid w:val="000C68BB"/>
    <w:rsid w:val="000C6999"/>
    <w:rsid w:val="000C794C"/>
    <w:rsid w:val="000D07B5"/>
    <w:rsid w:val="000D0B4B"/>
    <w:rsid w:val="000D0F8D"/>
    <w:rsid w:val="000D15BF"/>
    <w:rsid w:val="000D2E90"/>
    <w:rsid w:val="000D35C4"/>
    <w:rsid w:val="000D3BBD"/>
    <w:rsid w:val="000D557C"/>
    <w:rsid w:val="000D55E7"/>
    <w:rsid w:val="000D6325"/>
    <w:rsid w:val="000D6972"/>
    <w:rsid w:val="000D6CD5"/>
    <w:rsid w:val="000D739B"/>
    <w:rsid w:val="000D74C5"/>
    <w:rsid w:val="000D775F"/>
    <w:rsid w:val="000D7760"/>
    <w:rsid w:val="000D780C"/>
    <w:rsid w:val="000D7E59"/>
    <w:rsid w:val="000D7EA9"/>
    <w:rsid w:val="000E015F"/>
    <w:rsid w:val="000E07AC"/>
    <w:rsid w:val="000E203E"/>
    <w:rsid w:val="000E2612"/>
    <w:rsid w:val="000E2CA1"/>
    <w:rsid w:val="000E2ED0"/>
    <w:rsid w:val="000E32B6"/>
    <w:rsid w:val="000E3365"/>
    <w:rsid w:val="000E3C2F"/>
    <w:rsid w:val="000E4F35"/>
    <w:rsid w:val="000E5389"/>
    <w:rsid w:val="000E5D11"/>
    <w:rsid w:val="000E5DB4"/>
    <w:rsid w:val="000E72C8"/>
    <w:rsid w:val="000E7361"/>
    <w:rsid w:val="000E78A6"/>
    <w:rsid w:val="000F07C3"/>
    <w:rsid w:val="000F1889"/>
    <w:rsid w:val="000F1995"/>
    <w:rsid w:val="000F1D0D"/>
    <w:rsid w:val="000F22ED"/>
    <w:rsid w:val="000F2CF4"/>
    <w:rsid w:val="000F2D20"/>
    <w:rsid w:val="000F33B5"/>
    <w:rsid w:val="000F345D"/>
    <w:rsid w:val="000F4431"/>
    <w:rsid w:val="000F47AB"/>
    <w:rsid w:val="000F5DEF"/>
    <w:rsid w:val="000F6D8A"/>
    <w:rsid w:val="000F75BE"/>
    <w:rsid w:val="000F7A57"/>
    <w:rsid w:val="00100361"/>
    <w:rsid w:val="00100683"/>
    <w:rsid w:val="0010105C"/>
    <w:rsid w:val="0010114C"/>
    <w:rsid w:val="00101869"/>
    <w:rsid w:val="00101A88"/>
    <w:rsid w:val="00101CF4"/>
    <w:rsid w:val="00101E31"/>
    <w:rsid w:val="001033B6"/>
    <w:rsid w:val="001034F2"/>
    <w:rsid w:val="00106979"/>
    <w:rsid w:val="00106BE0"/>
    <w:rsid w:val="001071E3"/>
    <w:rsid w:val="00107643"/>
    <w:rsid w:val="00107A76"/>
    <w:rsid w:val="0011039A"/>
    <w:rsid w:val="001103D0"/>
    <w:rsid w:val="00111143"/>
    <w:rsid w:val="001114DA"/>
    <w:rsid w:val="00111726"/>
    <w:rsid w:val="0011264A"/>
    <w:rsid w:val="00112CD1"/>
    <w:rsid w:val="00112D11"/>
    <w:rsid w:val="0011304C"/>
    <w:rsid w:val="001136AE"/>
    <w:rsid w:val="00113B06"/>
    <w:rsid w:val="00114454"/>
    <w:rsid w:val="001144BF"/>
    <w:rsid w:val="001158FA"/>
    <w:rsid w:val="00115CFE"/>
    <w:rsid w:val="001165DE"/>
    <w:rsid w:val="001170E9"/>
    <w:rsid w:val="00120AFE"/>
    <w:rsid w:val="00120EB5"/>
    <w:rsid w:val="0012116F"/>
    <w:rsid w:val="00121E2B"/>
    <w:rsid w:val="00122058"/>
    <w:rsid w:val="0012389E"/>
    <w:rsid w:val="00125CD6"/>
    <w:rsid w:val="0013097B"/>
    <w:rsid w:val="00130D4F"/>
    <w:rsid w:val="00131000"/>
    <w:rsid w:val="0013349D"/>
    <w:rsid w:val="00133F8B"/>
    <w:rsid w:val="00134B18"/>
    <w:rsid w:val="00134C2C"/>
    <w:rsid w:val="00134C66"/>
    <w:rsid w:val="00135634"/>
    <w:rsid w:val="001357A4"/>
    <w:rsid w:val="00135FE9"/>
    <w:rsid w:val="001370F0"/>
    <w:rsid w:val="00141848"/>
    <w:rsid w:val="00142323"/>
    <w:rsid w:val="001424FB"/>
    <w:rsid w:val="001437CB"/>
    <w:rsid w:val="00143A7D"/>
    <w:rsid w:val="00143C09"/>
    <w:rsid w:val="00143C47"/>
    <w:rsid w:val="00144242"/>
    <w:rsid w:val="001452A6"/>
    <w:rsid w:val="00145567"/>
    <w:rsid w:val="00145E3F"/>
    <w:rsid w:val="001465A5"/>
    <w:rsid w:val="001470A4"/>
    <w:rsid w:val="00150234"/>
    <w:rsid w:val="00150C6F"/>
    <w:rsid w:val="001514DC"/>
    <w:rsid w:val="00151976"/>
    <w:rsid w:val="00151A3C"/>
    <w:rsid w:val="00151D66"/>
    <w:rsid w:val="00153C2C"/>
    <w:rsid w:val="00153E9A"/>
    <w:rsid w:val="00154445"/>
    <w:rsid w:val="00154D5B"/>
    <w:rsid w:val="001551DD"/>
    <w:rsid w:val="00156336"/>
    <w:rsid w:val="00156355"/>
    <w:rsid w:val="00160209"/>
    <w:rsid w:val="0016042C"/>
    <w:rsid w:val="0016044E"/>
    <w:rsid w:val="00160475"/>
    <w:rsid w:val="00161EE8"/>
    <w:rsid w:val="001624FF"/>
    <w:rsid w:val="00162DC0"/>
    <w:rsid w:val="00163179"/>
    <w:rsid w:val="00163810"/>
    <w:rsid w:val="00163B71"/>
    <w:rsid w:val="00166DCE"/>
    <w:rsid w:val="00167FE2"/>
    <w:rsid w:val="00171882"/>
    <w:rsid w:val="001721B7"/>
    <w:rsid w:val="0017294B"/>
    <w:rsid w:val="001729CC"/>
    <w:rsid w:val="00173C77"/>
    <w:rsid w:val="001747FB"/>
    <w:rsid w:val="001754CC"/>
    <w:rsid w:val="001754F0"/>
    <w:rsid w:val="00175D4E"/>
    <w:rsid w:val="00175DA9"/>
    <w:rsid w:val="00175FD5"/>
    <w:rsid w:val="001772E3"/>
    <w:rsid w:val="00177B0F"/>
    <w:rsid w:val="00177C63"/>
    <w:rsid w:val="00177CCE"/>
    <w:rsid w:val="001802F0"/>
    <w:rsid w:val="0018082A"/>
    <w:rsid w:val="0018096A"/>
    <w:rsid w:val="00180B97"/>
    <w:rsid w:val="001819A8"/>
    <w:rsid w:val="00182072"/>
    <w:rsid w:val="001821C9"/>
    <w:rsid w:val="001825C9"/>
    <w:rsid w:val="00183C32"/>
    <w:rsid w:val="0018408E"/>
    <w:rsid w:val="0018410F"/>
    <w:rsid w:val="00184637"/>
    <w:rsid w:val="0018482A"/>
    <w:rsid w:val="00187F02"/>
    <w:rsid w:val="00190A98"/>
    <w:rsid w:val="00190F74"/>
    <w:rsid w:val="00191E78"/>
    <w:rsid w:val="00192955"/>
    <w:rsid w:val="00192CDF"/>
    <w:rsid w:val="001933AA"/>
    <w:rsid w:val="0019398D"/>
    <w:rsid w:val="00194B7C"/>
    <w:rsid w:val="00194F0E"/>
    <w:rsid w:val="001952DB"/>
    <w:rsid w:val="001953FB"/>
    <w:rsid w:val="00195ED0"/>
    <w:rsid w:val="00196D21"/>
    <w:rsid w:val="001A0F34"/>
    <w:rsid w:val="001A1A00"/>
    <w:rsid w:val="001A2059"/>
    <w:rsid w:val="001A23EE"/>
    <w:rsid w:val="001A241E"/>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759"/>
    <w:rsid w:val="001B0F54"/>
    <w:rsid w:val="001B0F69"/>
    <w:rsid w:val="001B111C"/>
    <w:rsid w:val="001B21E6"/>
    <w:rsid w:val="001B2313"/>
    <w:rsid w:val="001B31F4"/>
    <w:rsid w:val="001B40EE"/>
    <w:rsid w:val="001B5098"/>
    <w:rsid w:val="001B538C"/>
    <w:rsid w:val="001B59A7"/>
    <w:rsid w:val="001B5EB0"/>
    <w:rsid w:val="001B617D"/>
    <w:rsid w:val="001B65B2"/>
    <w:rsid w:val="001B6BE1"/>
    <w:rsid w:val="001B6EFA"/>
    <w:rsid w:val="001B7206"/>
    <w:rsid w:val="001B7CB7"/>
    <w:rsid w:val="001B7D53"/>
    <w:rsid w:val="001C0FF2"/>
    <w:rsid w:val="001C24A2"/>
    <w:rsid w:val="001C2B7A"/>
    <w:rsid w:val="001C3417"/>
    <w:rsid w:val="001C3AEF"/>
    <w:rsid w:val="001C43B5"/>
    <w:rsid w:val="001C59C0"/>
    <w:rsid w:val="001C5C11"/>
    <w:rsid w:val="001C6D02"/>
    <w:rsid w:val="001C700E"/>
    <w:rsid w:val="001C747C"/>
    <w:rsid w:val="001C7550"/>
    <w:rsid w:val="001C79CC"/>
    <w:rsid w:val="001D20A2"/>
    <w:rsid w:val="001D2383"/>
    <w:rsid w:val="001D23D5"/>
    <w:rsid w:val="001D2542"/>
    <w:rsid w:val="001D321C"/>
    <w:rsid w:val="001D3F56"/>
    <w:rsid w:val="001D423C"/>
    <w:rsid w:val="001D4D1A"/>
    <w:rsid w:val="001D58DC"/>
    <w:rsid w:val="001D6369"/>
    <w:rsid w:val="001D6CB4"/>
    <w:rsid w:val="001D7096"/>
    <w:rsid w:val="001D70AB"/>
    <w:rsid w:val="001D70E2"/>
    <w:rsid w:val="001D7F3B"/>
    <w:rsid w:val="001E0958"/>
    <w:rsid w:val="001E1320"/>
    <w:rsid w:val="001E1953"/>
    <w:rsid w:val="001E2190"/>
    <w:rsid w:val="001E2261"/>
    <w:rsid w:val="001E237E"/>
    <w:rsid w:val="001E302A"/>
    <w:rsid w:val="001E38C2"/>
    <w:rsid w:val="001E4B2A"/>
    <w:rsid w:val="001E59B6"/>
    <w:rsid w:val="001E5D22"/>
    <w:rsid w:val="001E6196"/>
    <w:rsid w:val="001E70BE"/>
    <w:rsid w:val="001E7316"/>
    <w:rsid w:val="001F0A03"/>
    <w:rsid w:val="001F0E98"/>
    <w:rsid w:val="001F132E"/>
    <w:rsid w:val="001F23D8"/>
    <w:rsid w:val="001F2462"/>
    <w:rsid w:val="001F286A"/>
    <w:rsid w:val="001F31F7"/>
    <w:rsid w:val="001F3E3E"/>
    <w:rsid w:val="001F4EFE"/>
    <w:rsid w:val="001F57E3"/>
    <w:rsid w:val="001F6059"/>
    <w:rsid w:val="001F6582"/>
    <w:rsid w:val="001F6EE7"/>
    <w:rsid w:val="001F737C"/>
    <w:rsid w:val="001F73CE"/>
    <w:rsid w:val="001F7963"/>
    <w:rsid w:val="001F7C7E"/>
    <w:rsid w:val="00200527"/>
    <w:rsid w:val="00200C6B"/>
    <w:rsid w:val="00201183"/>
    <w:rsid w:val="00201240"/>
    <w:rsid w:val="0020139E"/>
    <w:rsid w:val="0020271E"/>
    <w:rsid w:val="00202DB5"/>
    <w:rsid w:val="00203C74"/>
    <w:rsid w:val="00204087"/>
    <w:rsid w:val="0020462F"/>
    <w:rsid w:val="00205E57"/>
    <w:rsid w:val="0020658C"/>
    <w:rsid w:val="002066DD"/>
    <w:rsid w:val="00206B08"/>
    <w:rsid w:val="00207447"/>
    <w:rsid w:val="002075E1"/>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4707"/>
    <w:rsid w:val="00214A72"/>
    <w:rsid w:val="00214C58"/>
    <w:rsid w:val="00215084"/>
    <w:rsid w:val="00221055"/>
    <w:rsid w:val="0022195F"/>
    <w:rsid w:val="00221A11"/>
    <w:rsid w:val="002220BC"/>
    <w:rsid w:val="00222411"/>
    <w:rsid w:val="00222690"/>
    <w:rsid w:val="00225376"/>
    <w:rsid w:val="002254FC"/>
    <w:rsid w:val="0022562B"/>
    <w:rsid w:val="00225737"/>
    <w:rsid w:val="0022611D"/>
    <w:rsid w:val="002261D4"/>
    <w:rsid w:val="002263E9"/>
    <w:rsid w:val="00226858"/>
    <w:rsid w:val="002268A7"/>
    <w:rsid w:val="002269B6"/>
    <w:rsid w:val="00226B98"/>
    <w:rsid w:val="00227078"/>
    <w:rsid w:val="002271C8"/>
    <w:rsid w:val="00227640"/>
    <w:rsid w:val="00227C6A"/>
    <w:rsid w:val="002307B1"/>
    <w:rsid w:val="00230C32"/>
    <w:rsid w:val="00230D95"/>
    <w:rsid w:val="00231176"/>
    <w:rsid w:val="00232622"/>
    <w:rsid w:val="00233096"/>
    <w:rsid w:val="002337A9"/>
    <w:rsid w:val="002338E9"/>
    <w:rsid w:val="00234854"/>
    <w:rsid w:val="00234A4F"/>
    <w:rsid w:val="00235A7E"/>
    <w:rsid w:val="00236077"/>
    <w:rsid w:val="00236F48"/>
    <w:rsid w:val="002370E3"/>
    <w:rsid w:val="0024025C"/>
    <w:rsid w:val="002403BF"/>
    <w:rsid w:val="00240C44"/>
    <w:rsid w:val="002416A8"/>
    <w:rsid w:val="00241D1D"/>
    <w:rsid w:val="002421C0"/>
    <w:rsid w:val="002423DF"/>
    <w:rsid w:val="00242F8C"/>
    <w:rsid w:val="00243C71"/>
    <w:rsid w:val="00243F51"/>
    <w:rsid w:val="0024507E"/>
    <w:rsid w:val="00246E57"/>
    <w:rsid w:val="00246E8A"/>
    <w:rsid w:val="00250236"/>
    <w:rsid w:val="00250717"/>
    <w:rsid w:val="002507E3"/>
    <w:rsid w:val="002507F3"/>
    <w:rsid w:val="00250EAB"/>
    <w:rsid w:val="00251207"/>
    <w:rsid w:val="0025154B"/>
    <w:rsid w:val="002515E8"/>
    <w:rsid w:val="0025164E"/>
    <w:rsid w:val="00251C83"/>
    <w:rsid w:val="00253370"/>
    <w:rsid w:val="00253546"/>
    <w:rsid w:val="00254329"/>
    <w:rsid w:val="002554DC"/>
    <w:rsid w:val="00255559"/>
    <w:rsid w:val="00255947"/>
    <w:rsid w:val="00255A4A"/>
    <w:rsid w:val="00255D3D"/>
    <w:rsid w:val="00256603"/>
    <w:rsid w:val="0025726A"/>
    <w:rsid w:val="00260D2A"/>
    <w:rsid w:val="002613ED"/>
    <w:rsid w:val="002615A1"/>
    <w:rsid w:val="00261617"/>
    <w:rsid w:val="00261A39"/>
    <w:rsid w:val="0026201B"/>
    <w:rsid w:val="0026213E"/>
    <w:rsid w:val="0026286F"/>
    <w:rsid w:val="002634D2"/>
    <w:rsid w:val="00263550"/>
    <w:rsid w:val="0026533C"/>
    <w:rsid w:val="00265BCE"/>
    <w:rsid w:val="002663F6"/>
    <w:rsid w:val="00266BBB"/>
    <w:rsid w:val="00266BE7"/>
    <w:rsid w:val="0026704D"/>
    <w:rsid w:val="00267C4F"/>
    <w:rsid w:val="002701BD"/>
    <w:rsid w:val="00270447"/>
    <w:rsid w:val="00270594"/>
    <w:rsid w:val="00270822"/>
    <w:rsid w:val="00270C0F"/>
    <w:rsid w:val="00270F9F"/>
    <w:rsid w:val="0027137A"/>
    <w:rsid w:val="002714B0"/>
    <w:rsid w:val="0027168B"/>
    <w:rsid w:val="0027195E"/>
    <w:rsid w:val="00271EB5"/>
    <w:rsid w:val="00272522"/>
    <w:rsid w:val="00272D6E"/>
    <w:rsid w:val="00272F44"/>
    <w:rsid w:val="002733A0"/>
    <w:rsid w:val="00275549"/>
    <w:rsid w:val="00276B74"/>
    <w:rsid w:val="0027765F"/>
    <w:rsid w:val="00277CC1"/>
    <w:rsid w:val="00280439"/>
    <w:rsid w:val="0028083D"/>
    <w:rsid w:val="00281353"/>
    <w:rsid w:val="002825E2"/>
    <w:rsid w:val="00283352"/>
    <w:rsid w:val="0028420E"/>
    <w:rsid w:val="00284A19"/>
    <w:rsid w:val="00285A9C"/>
    <w:rsid w:val="00286319"/>
    <w:rsid w:val="002867E0"/>
    <w:rsid w:val="0028687B"/>
    <w:rsid w:val="00290C97"/>
    <w:rsid w:val="0029144F"/>
    <w:rsid w:val="00291911"/>
    <w:rsid w:val="00292448"/>
    <w:rsid w:val="002927E9"/>
    <w:rsid w:val="00292AD3"/>
    <w:rsid w:val="002932A0"/>
    <w:rsid w:val="0029349C"/>
    <w:rsid w:val="00293CDA"/>
    <w:rsid w:val="00293D3E"/>
    <w:rsid w:val="00294D11"/>
    <w:rsid w:val="002963B4"/>
    <w:rsid w:val="002965DD"/>
    <w:rsid w:val="0029694E"/>
    <w:rsid w:val="00296B5C"/>
    <w:rsid w:val="002A0127"/>
    <w:rsid w:val="002A0904"/>
    <w:rsid w:val="002A1678"/>
    <w:rsid w:val="002A178D"/>
    <w:rsid w:val="002A1796"/>
    <w:rsid w:val="002A2871"/>
    <w:rsid w:val="002A4CF8"/>
    <w:rsid w:val="002A4FF9"/>
    <w:rsid w:val="002A5140"/>
    <w:rsid w:val="002A51D4"/>
    <w:rsid w:val="002A6416"/>
    <w:rsid w:val="002A66DA"/>
    <w:rsid w:val="002A6A9C"/>
    <w:rsid w:val="002A76C8"/>
    <w:rsid w:val="002A7850"/>
    <w:rsid w:val="002A7AD7"/>
    <w:rsid w:val="002A7B49"/>
    <w:rsid w:val="002B0BA7"/>
    <w:rsid w:val="002B0DFA"/>
    <w:rsid w:val="002B0EB2"/>
    <w:rsid w:val="002B262B"/>
    <w:rsid w:val="002B3425"/>
    <w:rsid w:val="002B3C61"/>
    <w:rsid w:val="002B4174"/>
    <w:rsid w:val="002B5493"/>
    <w:rsid w:val="002B70E8"/>
    <w:rsid w:val="002B73B0"/>
    <w:rsid w:val="002B7942"/>
    <w:rsid w:val="002C0A98"/>
    <w:rsid w:val="002C0BCC"/>
    <w:rsid w:val="002C11CB"/>
    <w:rsid w:val="002C25D7"/>
    <w:rsid w:val="002C27B7"/>
    <w:rsid w:val="002C2940"/>
    <w:rsid w:val="002C2BC6"/>
    <w:rsid w:val="002C3064"/>
    <w:rsid w:val="002C36D9"/>
    <w:rsid w:val="002C6B61"/>
    <w:rsid w:val="002C6CCF"/>
    <w:rsid w:val="002C6E75"/>
    <w:rsid w:val="002C6FEB"/>
    <w:rsid w:val="002C7DB0"/>
    <w:rsid w:val="002C7E0E"/>
    <w:rsid w:val="002D0038"/>
    <w:rsid w:val="002D0053"/>
    <w:rsid w:val="002D0672"/>
    <w:rsid w:val="002D0793"/>
    <w:rsid w:val="002D273A"/>
    <w:rsid w:val="002D2BAA"/>
    <w:rsid w:val="002D34D6"/>
    <w:rsid w:val="002D375C"/>
    <w:rsid w:val="002D3C57"/>
    <w:rsid w:val="002D3E94"/>
    <w:rsid w:val="002D3F17"/>
    <w:rsid w:val="002D49E7"/>
    <w:rsid w:val="002D4E71"/>
    <w:rsid w:val="002D4EFB"/>
    <w:rsid w:val="002D4F22"/>
    <w:rsid w:val="002D6273"/>
    <w:rsid w:val="002D6E10"/>
    <w:rsid w:val="002D6ECF"/>
    <w:rsid w:val="002E076A"/>
    <w:rsid w:val="002E0A8F"/>
    <w:rsid w:val="002E3B14"/>
    <w:rsid w:val="002E3F27"/>
    <w:rsid w:val="002E3FDD"/>
    <w:rsid w:val="002E4973"/>
    <w:rsid w:val="002E4A46"/>
    <w:rsid w:val="002E5CA5"/>
    <w:rsid w:val="002E65A1"/>
    <w:rsid w:val="002E666B"/>
    <w:rsid w:val="002E7B2E"/>
    <w:rsid w:val="002F00FF"/>
    <w:rsid w:val="002F0156"/>
    <w:rsid w:val="002F0FDD"/>
    <w:rsid w:val="002F169E"/>
    <w:rsid w:val="002F177C"/>
    <w:rsid w:val="002F28A1"/>
    <w:rsid w:val="002F3E5C"/>
    <w:rsid w:val="002F43D6"/>
    <w:rsid w:val="002F463C"/>
    <w:rsid w:val="002F49B3"/>
    <w:rsid w:val="002F4AFD"/>
    <w:rsid w:val="002F55D5"/>
    <w:rsid w:val="002F6227"/>
    <w:rsid w:val="002F63CD"/>
    <w:rsid w:val="002F7012"/>
    <w:rsid w:val="002F715F"/>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65DC"/>
    <w:rsid w:val="0030754A"/>
    <w:rsid w:val="00311093"/>
    <w:rsid w:val="00311207"/>
    <w:rsid w:val="00312452"/>
    <w:rsid w:val="00312EF0"/>
    <w:rsid w:val="00313774"/>
    <w:rsid w:val="00314E00"/>
    <w:rsid w:val="003151FD"/>
    <w:rsid w:val="00315BFE"/>
    <w:rsid w:val="00315FC8"/>
    <w:rsid w:val="003164D9"/>
    <w:rsid w:val="00317027"/>
    <w:rsid w:val="00320076"/>
    <w:rsid w:val="003201B1"/>
    <w:rsid w:val="003203E9"/>
    <w:rsid w:val="00320B7C"/>
    <w:rsid w:val="00321E22"/>
    <w:rsid w:val="003220D4"/>
    <w:rsid w:val="003223A6"/>
    <w:rsid w:val="00322462"/>
    <w:rsid w:val="0032257F"/>
    <w:rsid w:val="00323CEA"/>
    <w:rsid w:val="00324245"/>
    <w:rsid w:val="00324BCF"/>
    <w:rsid w:val="00324C44"/>
    <w:rsid w:val="00324DFE"/>
    <w:rsid w:val="003257E5"/>
    <w:rsid w:val="0032684F"/>
    <w:rsid w:val="00326AAF"/>
    <w:rsid w:val="00326F02"/>
    <w:rsid w:val="00327402"/>
    <w:rsid w:val="00327730"/>
    <w:rsid w:val="0033094A"/>
    <w:rsid w:val="00330952"/>
    <w:rsid w:val="0033104E"/>
    <w:rsid w:val="0033256A"/>
    <w:rsid w:val="00333077"/>
    <w:rsid w:val="00334009"/>
    <w:rsid w:val="0033468A"/>
    <w:rsid w:val="003346D6"/>
    <w:rsid w:val="003351E2"/>
    <w:rsid w:val="003351E6"/>
    <w:rsid w:val="00335EDC"/>
    <w:rsid w:val="00336528"/>
    <w:rsid w:val="00337356"/>
    <w:rsid w:val="00337FCB"/>
    <w:rsid w:val="00340560"/>
    <w:rsid w:val="00340EE3"/>
    <w:rsid w:val="00341014"/>
    <w:rsid w:val="003415CF"/>
    <w:rsid w:val="0034231A"/>
    <w:rsid w:val="0034249B"/>
    <w:rsid w:val="003427D9"/>
    <w:rsid w:val="00342D43"/>
    <w:rsid w:val="00344A03"/>
    <w:rsid w:val="0034530A"/>
    <w:rsid w:val="00345C3E"/>
    <w:rsid w:val="0034634B"/>
    <w:rsid w:val="003475BB"/>
    <w:rsid w:val="003478BB"/>
    <w:rsid w:val="0035009D"/>
    <w:rsid w:val="00350258"/>
    <w:rsid w:val="0035054D"/>
    <w:rsid w:val="003505F6"/>
    <w:rsid w:val="003513E7"/>
    <w:rsid w:val="00351B28"/>
    <w:rsid w:val="00351DDD"/>
    <w:rsid w:val="00351F0E"/>
    <w:rsid w:val="0035253A"/>
    <w:rsid w:val="00352A72"/>
    <w:rsid w:val="003530D5"/>
    <w:rsid w:val="00353B26"/>
    <w:rsid w:val="00353B32"/>
    <w:rsid w:val="00353BF5"/>
    <w:rsid w:val="00354383"/>
    <w:rsid w:val="00354DEB"/>
    <w:rsid w:val="0035513C"/>
    <w:rsid w:val="00355B21"/>
    <w:rsid w:val="00355C6C"/>
    <w:rsid w:val="00356107"/>
    <w:rsid w:val="003563ED"/>
    <w:rsid w:val="00356963"/>
    <w:rsid w:val="00357221"/>
    <w:rsid w:val="003577B3"/>
    <w:rsid w:val="00357D5D"/>
    <w:rsid w:val="00360498"/>
    <w:rsid w:val="00360BC9"/>
    <w:rsid w:val="0036107A"/>
    <w:rsid w:val="00361298"/>
    <w:rsid w:val="003613BD"/>
    <w:rsid w:val="003617CE"/>
    <w:rsid w:val="00361888"/>
    <w:rsid w:val="003618FB"/>
    <w:rsid w:val="00361AFD"/>
    <w:rsid w:val="0036274B"/>
    <w:rsid w:val="00362EA1"/>
    <w:rsid w:val="00363141"/>
    <w:rsid w:val="003632F2"/>
    <w:rsid w:val="003637FF"/>
    <w:rsid w:val="003650F2"/>
    <w:rsid w:val="0036547F"/>
    <w:rsid w:val="0036647B"/>
    <w:rsid w:val="0036695F"/>
    <w:rsid w:val="00367098"/>
    <w:rsid w:val="003674F1"/>
    <w:rsid w:val="003718E2"/>
    <w:rsid w:val="003723C0"/>
    <w:rsid w:val="003729AC"/>
    <w:rsid w:val="00373BDD"/>
    <w:rsid w:val="00373CCB"/>
    <w:rsid w:val="0037429D"/>
    <w:rsid w:val="00375540"/>
    <w:rsid w:val="00375CEB"/>
    <w:rsid w:val="003761CC"/>
    <w:rsid w:val="00376254"/>
    <w:rsid w:val="00376792"/>
    <w:rsid w:val="00376B66"/>
    <w:rsid w:val="00380D37"/>
    <w:rsid w:val="003813B5"/>
    <w:rsid w:val="00381706"/>
    <w:rsid w:val="00381BDA"/>
    <w:rsid w:val="003820D6"/>
    <w:rsid w:val="00382C8B"/>
    <w:rsid w:val="00382DDB"/>
    <w:rsid w:val="003839BF"/>
    <w:rsid w:val="00383B66"/>
    <w:rsid w:val="00384036"/>
    <w:rsid w:val="003840CB"/>
    <w:rsid w:val="00384B72"/>
    <w:rsid w:val="00384FA7"/>
    <w:rsid w:val="00384FB4"/>
    <w:rsid w:val="0038567D"/>
    <w:rsid w:val="00385946"/>
    <w:rsid w:val="00385B2C"/>
    <w:rsid w:val="00386439"/>
    <w:rsid w:val="00387503"/>
    <w:rsid w:val="00387CCC"/>
    <w:rsid w:val="003908CE"/>
    <w:rsid w:val="0039092A"/>
    <w:rsid w:val="0039209A"/>
    <w:rsid w:val="003920BC"/>
    <w:rsid w:val="0039310D"/>
    <w:rsid w:val="00394B59"/>
    <w:rsid w:val="00396815"/>
    <w:rsid w:val="00396F76"/>
    <w:rsid w:val="00396F97"/>
    <w:rsid w:val="00397524"/>
    <w:rsid w:val="003A0597"/>
    <w:rsid w:val="003A060B"/>
    <w:rsid w:val="003A0760"/>
    <w:rsid w:val="003A0C5B"/>
    <w:rsid w:val="003A138D"/>
    <w:rsid w:val="003A17A9"/>
    <w:rsid w:val="003A23EE"/>
    <w:rsid w:val="003A286E"/>
    <w:rsid w:val="003A2CA7"/>
    <w:rsid w:val="003A3B91"/>
    <w:rsid w:val="003A3DE5"/>
    <w:rsid w:val="003A492B"/>
    <w:rsid w:val="003A4A7D"/>
    <w:rsid w:val="003A56A8"/>
    <w:rsid w:val="003A5B1D"/>
    <w:rsid w:val="003A5F4A"/>
    <w:rsid w:val="003A5F9C"/>
    <w:rsid w:val="003A6D39"/>
    <w:rsid w:val="003A71C5"/>
    <w:rsid w:val="003A7E49"/>
    <w:rsid w:val="003B0308"/>
    <w:rsid w:val="003B0A92"/>
    <w:rsid w:val="003B0C54"/>
    <w:rsid w:val="003B0CA0"/>
    <w:rsid w:val="003B0E33"/>
    <w:rsid w:val="003B1B0F"/>
    <w:rsid w:val="003B1DB4"/>
    <w:rsid w:val="003B3051"/>
    <w:rsid w:val="003B4B26"/>
    <w:rsid w:val="003B50E7"/>
    <w:rsid w:val="003B53B8"/>
    <w:rsid w:val="003B5491"/>
    <w:rsid w:val="003B6F1D"/>
    <w:rsid w:val="003C04D2"/>
    <w:rsid w:val="003C096C"/>
    <w:rsid w:val="003C13B1"/>
    <w:rsid w:val="003C16A4"/>
    <w:rsid w:val="003C1977"/>
    <w:rsid w:val="003C1E05"/>
    <w:rsid w:val="003C1E48"/>
    <w:rsid w:val="003C22CA"/>
    <w:rsid w:val="003C26CF"/>
    <w:rsid w:val="003C2EDD"/>
    <w:rsid w:val="003C3367"/>
    <w:rsid w:val="003C40FB"/>
    <w:rsid w:val="003C4C7E"/>
    <w:rsid w:val="003C584D"/>
    <w:rsid w:val="003C6811"/>
    <w:rsid w:val="003C6AF7"/>
    <w:rsid w:val="003C6E30"/>
    <w:rsid w:val="003C7489"/>
    <w:rsid w:val="003C787B"/>
    <w:rsid w:val="003C7BA3"/>
    <w:rsid w:val="003C7C73"/>
    <w:rsid w:val="003D033E"/>
    <w:rsid w:val="003D06A7"/>
    <w:rsid w:val="003D0E64"/>
    <w:rsid w:val="003D0FCD"/>
    <w:rsid w:val="003D1B8C"/>
    <w:rsid w:val="003D2164"/>
    <w:rsid w:val="003D31D5"/>
    <w:rsid w:val="003D49A7"/>
    <w:rsid w:val="003D4E7C"/>
    <w:rsid w:val="003D5200"/>
    <w:rsid w:val="003D5F39"/>
    <w:rsid w:val="003D6BB8"/>
    <w:rsid w:val="003D70C1"/>
    <w:rsid w:val="003D713B"/>
    <w:rsid w:val="003D7B40"/>
    <w:rsid w:val="003E12D0"/>
    <w:rsid w:val="003E1BA6"/>
    <w:rsid w:val="003E1C1E"/>
    <w:rsid w:val="003E23A2"/>
    <w:rsid w:val="003E267F"/>
    <w:rsid w:val="003E2BD3"/>
    <w:rsid w:val="003E2E55"/>
    <w:rsid w:val="003E341C"/>
    <w:rsid w:val="003E347A"/>
    <w:rsid w:val="003E356D"/>
    <w:rsid w:val="003E3D8A"/>
    <w:rsid w:val="003E41E6"/>
    <w:rsid w:val="003E51A3"/>
    <w:rsid w:val="003E64EE"/>
    <w:rsid w:val="003E753A"/>
    <w:rsid w:val="003E7944"/>
    <w:rsid w:val="003F0666"/>
    <w:rsid w:val="003F2351"/>
    <w:rsid w:val="003F23EF"/>
    <w:rsid w:val="003F270C"/>
    <w:rsid w:val="003F2DE4"/>
    <w:rsid w:val="003F39A7"/>
    <w:rsid w:val="003F3C8B"/>
    <w:rsid w:val="003F47B6"/>
    <w:rsid w:val="003F5009"/>
    <w:rsid w:val="003F55D5"/>
    <w:rsid w:val="003F59F6"/>
    <w:rsid w:val="003F5C83"/>
    <w:rsid w:val="003F678D"/>
    <w:rsid w:val="003F6AD6"/>
    <w:rsid w:val="003F6BE1"/>
    <w:rsid w:val="003F799D"/>
    <w:rsid w:val="0040021D"/>
    <w:rsid w:val="00400222"/>
    <w:rsid w:val="00400F10"/>
    <w:rsid w:val="00400F6E"/>
    <w:rsid w:val="004011DB"/>
    <w:rsid w:val="00401722"/>
    <w:rsid w:val="004022B2"/>
    <w:rsid w:val="004045B1"/>
    <w:rsid w:val="00404FAE"/>
    <w:rsid w:val="00406B91"/>
    <w:rsid w:val="00406D1A"/>
    <w:rsid w:val="00407F51"/>
    <w:rsid w:val="00410584"/>
    <w:rsid w:val="00410C1B"/>
    <w:rsid w:val="00410DC2"/>
    <w:rsid w:val="00411222"/>
    <w:rsid w:val="00412252"/>
    <w:rsid w:val="004122F9"/>
    <w:rsid w:val="00412A24"/>
    <w:rsid w:val="00412A29"/>
    <w:rsid w:val="00413E83"/>
    <w:rsid w:val="004144D6"/>
    <w:rsid w:val="004158B3"/>
    <w:rsid w:val="00416AAB"/>
    <w:rsid w:val="004173BA"/>
    <w:rsid w:val="004176B6"/>
    <w:rsid w:val="00417CA2"/>
    <w:rsid w:val="00417EDD"/>
    <w:rsid w:val="0042082F"/>
    <w:rsid w:val="00420C78"/>
    <w:rsid w:val="00421109"/>
    <w:rsid w:val="00421463"/>
    <w:rsid w:val="00421A9F"/>
    <w:rsid w:val="0042493E"/>
    <w:rsid w:val="00424959"/>
    <w:rsid w:val="004250EE"/>
    <w:rsid w:val="004253C7"/>
    <w:rsid w:val="004260A6"/>
    <w:rsid w:val="00426631"/>
    <w:rsid w:val="004267CA"/>
    <w:rsid w:val="00426FE4"/>
    <w:rsid w:val="004272A4"/>
    <w:rsid w:val="004273E7"/>
    <w:rsid w:val="00427CAD"/>
    <w:rsid w:val="0043018B"/>
    <w:rsid w:val="004306CD"/>
    <w:rsid w:val="00431246"/>
    <w:rsid w:val="0043147B"/>
    <w:rsid w:val="004328D8"/>
    <w:rsid w:val="00433B49"/>
    <w:rsid w:val="00436F5C"/>
    <w:rsid w:val="00437329"/>
    <w:rsid w:val="00437B94"/>
    <w:rsid w:val="00437B9B"/>
    <w:rsid w:val="00437C98"/>
    <w:rsid w:val="0044009B"/>
    <w:rsid w:val="00440380"/>
    <w:rsid w:val="00441324"/>
    <w:rsid w:val="00441EBE"/>
    <w:rsid w:val="0044212F"/>
    <w:rsid w:val="0044336F"/>
    <w:rsid w:val="0044440C"/>
    <w:rsid w:val="004455CF"/>
    <w:rsid w:val="00445C46"/>
    <w:rsid w:val="00445C8E"/>
    <w:rsid w:val="00446610"/>
    <w:rsid w:val="00446C37"/>
    <w:rsid w:val="00447802"/>
    <w:rsid w:val="00447D12"/>
    <w:rsid w:val="00450A37"/>
    <w:rsid w:val="00450C87"/>
    <w:rsid w:val="00451639"/>
    <w:rsid w:val="00452328"/>
    <w:rsid w:val="00452A3B"/>
    <w:rsid w:val="00452CCA"/>
    <w:rsid w:val="0045345C"/>
    <w:rsid w:val="0045484C"/>
    <w:rsid w:val="00455341"/>
    <w:rsid w:val="004554ED"/>
    <w:rsid w:val="00455BB9"/>
    <w:rsid w:val="00455C02"/>
    <w:rsid w:val="00455E0C"/>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E84"/>
    <w:rsid w:val="00464F1F"/>
    <w:rsid w:val="00465FC5"/>
    <w:rsid w:val="00466001"/>
    <w:rsid w:val="00467062"/>
    <w:rsid w:val="004713AF"/>
    <w:rsid w:val="00472258"/>
    <w:rsid w:val="00472E95"/>
    <w:rsid w:val="00473178"/>
    <w:rsid w:val="00473AFD"/>
    <w:rsid w:val="00476377"/>
    <w:rsid w:val="0047690C"/>
    <w:rsid w:val="004769F0"/>
    <w:rsid w:val="00476F3A"/>
    <w:rsid w:val="004772FE"/>
    <w:rsid w:val="004776EC"/>
    <w:rsid w:val="00477986"/>
    <w:rsid w:val="004803A7"/>
    <w:rsid w:val="00480513"/>
    <w:rsid w:val="00480990"/>
    <w:rsid w:val="00480DAD"/>
    <w:rsid w:val="00480F40"/>
    <w:rsid w:val="004810B1"/>
    <w:rsid w:val="004812DD"/>
    <w:rsid w:val="0048182D"/>
    <w:rsid w:val="00481DF1"/>
    <w:rsid w:val="00482590"/>
    <w:rsid w:val="004826C7"/>
    <w:rsid w:val="00482E60"/>
    <w:rsid w:val="0048430C"/>
    <w:rsid w:val="00484759"/>
    <w:rsid w:val="00484D8A"/>
    <w:rsid w:val="00486658"/>
    <w:rsid w:val="00486C65"/>
    <w:rsid w:val="00486D90"/>
    <w:rsid w:val="004871E2"/>
    <w:rsid w:val="00487858"/>
    <w:rsid w:val="00487E4F"/>
    <w:rsid w:val="00487E6F"/>
    <w:rsid w:val="00487FDB"/>
    <w:rsid w:val="004901E8"/>
    <w:rsid w:val="00490B72"/>
    <w:rsid w:val="0049115A"/>
    <w:rsid w:val="00491581"/>
    <w:rsid w:val="004925A6"/>
    <w:rsid w:val="00492B9D"/>
    <w:rsid w:val="00492C1D"/>
    <w:rsid w:val="00492E1B"/>
    <w:rsid w:val="004932FC"/>
    <w:rsid w:val="00493322"/>
    <w:rsid w:val="0049356E"/>
    <w:rsid w:val="00493924"/>
    <w:rsid w:val="004943D5"/>
    <w:rsid w:val="00494B02"/>
    <w:rsid w:val="00494C7E"/>
    <w:rsid w:val="00494FE2"/>
    <w:rsid w:val="00494FF1"/>
    <w:rsid w:val="004956BA"/>
    <w:rsid w:val="00495FA0"/>
    <w:rsid w:val="00496011"/>
    <w:rsid w:val="004966B9"/>
    <w:rsid w:val="004967D1"/>
    <w:rsid w:val="0049722C"/>
    <w:rsid w:val="0049747B"/>
    <w:rsid w:val="004975AF"/>
    <w:rsid w:val="004A05B1"/>
    <w:rsid w:val="004A06B4"/>
    <w:rsid w:val="004A07AC"/>
    <w:rsid w:val="004A11CF"/>
    <w:rsid w:val="004A2A57"/>
    <w:rsid w:val="004A2F57"/>
    <w:rsid w:val="004A3FFD"/>
    <w:rsid w:val="004A4473"/>
    <w:rsid w:val="004A5056"/>
    <w:rsid w:val="004A56D4"/>
    <w:rsid w:val="004A5B63"/>
    <w:rsid w:val="004A68C7"/>
    <w:rsid w:val="004A7430"/>
    <w:rsid w:val="004B007C"/>
    <w:rsid w:val="004B01C5"/>
    <w:rsid w:val="004B06B0"/>
    <w:rsid w:val="004B0B1F"/>
    <w:rsid w:val="004B0F0F"/>
    <w:rsid w:val="004B115C"/>
    <w:rsid w:val="004B136F"/>
    <w:rsid w:val="004B1658"/>
    <w:rsid w:val="004B165B"/>
    <w:rsid w:val="004B2716"/>
    <w:rsid w:val="004B2EAA"/>
    <w:rsid w:val="004B3A10"/>
    <w:rsid w:val="004B3A2E"/>
    <w:rsid w:val="004B3C31"/>
    <w:rsid w:val="004B4A56"/>
    <w:rsid w:val="004B4FA3"/>
    <w:rsid w:val="004B50B0"/>
    <w:rsid w:val="004B67F4"/>
    <w:rsid w:val="004B6F18"/>
    <w:rsid w:val="004B73DF"/>
    <w:rsid w:val="004B7BD3"/>
    <w:rsid w:val="004B7CB7"/>
    <w:rsid w:val="004B7E72"/>
    <w:rsid w:val="004C013C"/>
    <w:rsid w:val="004C0C5C"/>
    <w:rsid w:val="004C23B4"/>
    <w:rsid w:val="004C24DE"/>
    <w:rsid w:val="004C2FFB"/>
    <w:rsid w:val="004C3445"/>
    <w:rsid w:val="004C40BC"/>
    <w:rsid w:val="004C451F"/>
    <w:rsid w:val="004C4BA2"/>
    <w:rsid w:val="004C4D5A"/>
    <w:rsid w:val="004C509C"/>
    <w:rsid w:val="004C60BA"/>
    <w:rsid w:val="004C61D4"/>
    <w:rsid w:val="004C63B9"/>
    <w:rsid w:val="004C6897"/>
    <w:rsid w:val="004C6D0E"/>
    <w:rsid w:val="004C71BC"/>
    <w:rsid w:val="004D06E6"/>
    <w:rsid w:val="004D0719"/>
    <w:rsid w:val="004D0FC5"/>
    <w:rsid w:val="004D1E12"/>
    <w:rsid w:val="004D23D9"/>
    <w:rsid w:val="004D3B88"/>
    <w:rsid w:val="004D3E10"/>
    <w:rsid w:val="004D40E5"/>
    <w:rsid w:val="004D479D"/>
    <w:rsid w:val="004D535C"/>
    <w:rsid w:val="004D6002"/>
    <w:rsid w:val="004D6CD0"/>
    <w:rsid w:val="004D6F95"/>
    <w:rsid w:val="004D7302"/>
    <w:rsid w:val="004D7AF4"/>
    <w:rsid w:val="004E034A"/>
    <w:rsid w:val="004E0AE1"/>
    <w:rsid w:val="004E13FC"/>
    <w:rsid w:val="004E149F"/>
    <w:rsid w:val="004E217C"/>
    <w:rsid w:val="004E2380"/>
    <w:rsid w:val="004E2432"/>
    <w:rsid w:val="004E277F"/>
    <w:rsid w:val="004E35E1"/>
    <w:rsid w:val="004E3BEB"/>
    <w:rsid w:val="004E3FD5"/>
    <w:rsid w:val="004E427D"/>
    <w:rsid w:val="004E44D7"/>
    <w:rsid w:val="004E4656"/>
    <w:rsid w:val="004E4DA0"/>
    <w:rsid w:val="004E5168"/>
    <w:rsid w:val="004E5326"/>
    <w:rsid w:val="004E6576"/>
    <w:rsid w:val="004E7D05"/>
    <w:rsid w:val="004E7D75"/>
    <w:rsid w:val="004F1DEC"/>
    <w:rsid w:val="004F2B73"/>
    <w:rsid w:val="004F2E1C"/>
    <w:rsid w:val="004F32AF"/>
    <w:rsid w:val="004F3D71"/>
    <w:rsid w:val="004F508B"/>
    <w:rsid w:val="004F5181"/>
    <w:rsid w:val="004F5AE2"/>
    <w:rsid w:val="004F5D57"/>
    <w:rsid w:val="004F614A"/>
    <w:rsid w:val="004F6680"/>
    <w:rsid w:val="004F6DBE"/>
    <w:rsid w:val="004F740A"/>
    <w:rsid w:val="004F7AF2"/>
    <w:rsid w:val="004F7D80"/>
    <w:rsid w:val="004F7E8F"/>
    <w:rsid w:val="00500663"/>
    <w:rsid w:val="005006FC"/>
    <w:rsid w:val="00500DB4"/>
    <w:rsid w:val="00501B34"/>
    <w:rsid w:val="00501C0F"/>
    <w:rsid w:val="0050228A"/>
    <w:rsid w:val="0050339C"/>
    <w:rsid w:val="005034DF"/>
    <w:rsid w:val="0050363D"/>
    <w:rsid w:val="005037EE"/>
    <w:rsid w:val="005053BB"/>
    <w:rsid w:val="00505515"/>
    <w:rsid w:val="005076C0"/>
    <w:rsid w:val="005105B8"/>
    <w:rsid w:val="00511572"/>
    <w:rsid w:val="00511CCC"/>
    <w:rsid w:val="00513488"/>
    <w:rsid w:val="0051363C"/>
    <w:rsid w:val="005147BF"/>
    <w:rsid w:val="00515645"/>
    <w:rsid w:val="005159F7"/>
    <w:rsid w:val="00515E10"/>
    <w:rsid w:val="00520382"/>
    <w:rsid w:val="005203FF"/>
    <w:rsid w:val="0052084E"/>
    <w:rsid w:val="00520A68"/>
    <w:rsid w:val="005215D5"/>
    <w:rsid w:val="0052164C"/>
    <w:rsid w:val="0052170B"/>
    <w:rsid w:val="00521DDD"/>
    <w:rsid w:val="00522169"/>
    <w:rsid w:val="00522BFC"/>
    <w:rsid w:val="00523E15"/>
    <w:rsid w:val="00525ADF"/>
    <w:rsid w:val="00525E80"/>
    <w:rsid w:val="005261ED"/>
    <w:rsid w:val="00526D52"/>
    <w:rsid w:val="00527C39"/>
    <w:rsid w:val="00527EFF"/>
    <w:rsid w:val="00532154"/>
    <w:rsid w:val="0053220B"/>
    <w:rsid w:val="00532922"/>
    <w:rsid w:val="00533A50"/>
    <w:rsid w:val="00533CF1"/>
    <w:rsid w:val="0053475A"/>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1D1D"/>
    <w:rsid w:val="005428E6"/>
    <w:rsid w:val="00542C53"/>
    <w:rsid w:val="00543871"/>
    <w:rsid w:val="00544487"/>
    <w:rsid w:val="00544CC3"/>
    <w:rsid w:val="00545188"/>
    <w:rsid w:val="0054598B"/>
    <w:rsid w:val="00546581"/>
    <w:rsid w:val="00547523"/>
    <w:rsid w:val="0055026E"/>
    <w:rsid w:val="00550E27"/>
    <w:rsid w:val="005514F5"/>
    <w:rsid w:val="00551C4F"/>
    <w:rsid w:val="00551F90"/>
    <w:rsid w:val="005526F6"/>
    <w:rsid w:val="005530E8"/>
    <w:rsid w:val="005535A1"/>
    <w:rsid w:val="00553E91"/>
    <w:rsid w:val="00554724"/>
    <w:rsid w:val="00554B5E"/>
    <w:rsid w:val="00555336"/>
    <w:rsid w:val="00555854"/>
    <w:rsid w:val="00555B78"/>
    <w:rsid w:val="00555CF4"/>
    <w:rsid w:val="005571E1"/>
    <w:rsid w:val="00557256"/>
    <w:rsid w:val="00557344"/>
    <w:rsid w:val="00557A9A"/>
    <w:rsid w:val="00557B0B"/>
    <w:rsid w:val="00557CB4"/>
    <w:rsid w:val="00560893"/>
    <w:rsid w:val="0056102C"/>
    <w:rsid w:val="005625F3"/>
    <w:rsid w:val="00562EA1"/>
    <w:rsid w:val="00563146"/>
    <w:rsid w:val="00563514"/>
    <w:rsid w:val="005635B3"/>
    <w:rsid w:val="0056368B"/>
    <w:rsid w:val="005654B3"/>
    <w:rsid w:val="00565EF6"/>
    <w:rsid w:val="005664D6"/>
    <w:rsid w:val="00566D9C"/>
    <w:rsid w:val="00567610"/>
    <w:rsid w:val="00567FF2"/>
    <w:rsid w:val="005703CB"/>
    <w:rsid w:val="00570431"/>
    <w:rsid w:val="005709F3"/>
    <w:rsid w:val="00570AC3"/>
    <w:rsid w:val="00570B54"/>
    <w:rsid w:val="00571582"/>
    <w:rsid w:val="00571684"/>
    <w:rsid w:val="005716CB"/>
    <w:rsid w:val="0057349F"/>
    <w:rsid w:val="00573C15"/>
    <w:rsid w:val="00574817"/>
    <w:rsid w:val="005748DB"/>
    <w:rsid w:val="00575D45"/>
    <w:rsid w:val="00577649"/>
    <w:rsid w:val="00577702"/>
    <w:rsid w:val="00577FEC"/>
    <w:rsid w:val="0058029D"/>
    <w:rsid w:val="005814EE"/>
    <w:rsid w:val="00581698"/>
    <w:rsid w:val="00581D9E"/>
    <w:rsid w:val="00582F75"/>
    <w:rsid w:val="005830B1"/>
    <w:rsid w:val="005838D2"/>
    <w:rsid w:val="00584379"/>
    <w:rsid w:val="00585750"/>
    <w:rsid w:val="00585CB6"/>
    <w:rsid w:val="00585E85"/>
    <w:rsid w:val="00585F59"/>
    <w:rsid w:val="0058616A"/>
    <w:rsid w:val="005861D3"/>
    <w:rsid w:val="00586F98"/>
    <w:rsid w:val="00587037"/>
    <w:rsid w:val="0058786A"/>
    <w:rsid w:val="00590F47"/>
    <w:rsid w:val="00591E25"/>
    <w:rsid w:val="0059229F"/>
    <w:rsid w:val="0059261F"/>
    <w:rsid w:val="00593334"/>
    <w:rsid w:val="00593C15"/>
    <w:rsid w:val="0059471F"/>
    <w:rsid w:val="00594E97"/>
    <w:rsid w:val="0059575F"/>
    <w:rsid w:val="00595B5B"/>
    <w:rsid w:val="005978DE"/>
    <w:rsid w:val="005A0239"/>
    <w:rsid w:val="005A03CF"/>
    <w:rsid w:val="005A041A"/>
    <w:rsid w:val="005A0F2A"/>
    <w:rsid w:val="005A1277"/>
    <w:rsid w:val="005A14DF"/>
    <w:rsid w:val="005A1980"/>
    <w:rsid w:val="005A2075"/>
    <w:rsid w:val="005A21D7"/>
    <w:rsid w:val="005A2968"/>
    <w:rsid w:val="005A29BB"/>
    <w:rsid w:val="005A32EC"/>
    <w:rsid w:val="005A35F4"/>
    <w:rsid w:val="005A4475"/>
    <w:rsid w:val="005A46AE"/>
    <w:rsid w:val="005A48DB"/>
    <w:rsid w:val="005A4D74"/>
    <w:rsid w:val="005A4EF5"/>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B7E7C"/>
    <w:rsid w:val="005C006E"/>
    <w:rsid w:val="005C0816"/>
    <w:rsid w:val="005C10E0"/>
    <w:rsid w:val="005C149F"/>
    <w:rsid w:val="005C1776"/>
    <w:rsid w:val="005C1FAE"/>
    <w:rsid w:val="005C2D73"/>
    <w:rsid w:val="005C2F0E"/>
    <w:rsid w:val="005C3DCF"/>
    <w:rsid w:val="005C4038"/>
    <w:rsid w:val="005C42C9"/>
    <w:rsid w:val="005C42F5"/>
    <w:rsid w:val="005C4772"/>
    <w:rsid w:val="005C57B0"/>
    <w:rsid w:val="005C5C22"/>
    <w:rsid w:val="005C5DAC"/>
    <w:rsid w:val="005C6195"/>
    <w:rsid w:val="005C6284"/>
    <w:rsid w:val="005C6B5B"/>
    <w:rsid w:val="005C6DDB"/>
    <w:rsid w:val="005C76F8"/>
    <w:rsid w:val="005C7D42"/>
    <w:rsid w:val="005D0E45"/>
    <w:rsid w:val="005D0E4B"/>
    <w:rsid w:val="005D0EC4"/>
    <w:rsid w:val="005D1A1A"/>
    <w:rsid w:val="005D1EB5"/>
    <w:rsid w:val="005D1ED8"/>
    <w:rsid w:val="005D31FE"/>
    <w:rsid w:val="005D3BB9"/>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50F1"/>
    <w:rsid w:val="005E6B5D"/>
    <w:rsid w:val="005E6B87"/>
    <w:rsid w:val="005E7159"/>
    <w:rsid w:val="005E75C4"/>
    <w:rsid w:val="005F0EE9"/>
    <w:rsid w:val="005F11CC"/>
    <w:rsid w:val="005F2121"/>
    <w:rsid w:val="005F27AD"/>
    <w:rsid w:val="005F2C74"/>
    <w:rsid w:val="005F30B5"/>
    <w:rsid w:val="005F34D0"/>
    <w:rsid w:val="005F3C70"/>
    <w:rsid w:val="005F3F99"/>
    <w:rsid w:val="005F62A3"/>
    <w:rsid w:val="006000F1"/>
    <w:rsid w:val="00601749"/>
    <w:rsid w:val="00601D40"/>
    <w:rsid w:val="00602457"/>
    <w:rsid w:val="00604305"/>
    <w:rsid w:val="00604640"/>
    <w:rsid w:val="006048BC"/>
    <w:rsid w:val="00604977"/>
    <w:rsid w:val="00605674"/>
    <w:rsid w:val="0060578F"/>
    <w:rsid w:val="00605C67"/>
    <w:rsid w:val="00605F0E"/>
    <w:rsid w:val="0060635A"/>
    <w:rsid w:val="00606577"/>
    <w:rsid w:val="006065DC"/>
    <w:rsid w:val="006069AC"/>
    <w:rsid w:val="006077EA"/>
    <w:rsid w:val="00610A6C"/>
    <w:rsid w:val="00610D57"/>
    <w:rsid w:val="00610DCE"/>
    <w:rsid w:val="00611BED"/>
    <w:rsid w:val="00611D71"/>
    <w:rsid w:val="006122CF"/>
    <w:rsid w:val="00612321"/>
    <w:rsid w:val="0061488B"/>
    <w:rsid w:val="00614C35"/>
    <w:rsid w:val="006156BD"/>
    <w:rsid w:val="00615A52"/>
    <w:rsid w:val="00616B0D"/>
    <w:rsid w:val="00616F9A"/>
    <w:rsid w:val="00617636"/>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1115"/>
    <w:rsid w:val="0063227D"/>
    <w:rsid w:val="006325FC"/>
    <w:rsid w:val="00632707"/>
    <w:rsid w:val="006333E0"/>
    <w:rsid w:val="0063403F"/>
    <w:rsid w:val="006343EE"/>
    <w:rsid w:val="00634B9A"/>
    <w:rsid w:val="006356BC"/>
    <w:rsid w:val="00636C8D"/>
    <w:rsid w:val="0063703D"/>
    <w:rsid w:val="006375F9"/>
    <w:rsid w:val="00640D62"/>
    <w:rsid w:val="00640F46"/>
    <w:rsid w:val="00641D61"/>
    <w:rsid w:val="00641ECA"/>
    <w:rsid w:val="00642680"/>
    <w:rsid w:val="006428CE"/>
    <w:rsid w:val="00642B6A"/>
    <w:rsid w:val="00643170"/>
    <w:rsid w:val="006433C6"/>
    <w:rsid w:val="0064490B"/>
    <w:rsid w:val="00645020"/>
    <w:rsid w:val="00645525"/>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49"/>
    <w:rsid w:val="006536F5"/>
    <w:rsid w:val="00655663"/>
    <w:rsid w:val="00656FA5"/>
    <w:rsid w:val="0065703D"/>
    <w:rsid w:val="00657CEB"/>
    <w:rsid w:val="00657CFA"/>
    <w:rsid w:val="0066034A"/>
    <w:rsid w:val="0066089F"/>
    <w:rsid w:val="00660EEB"/>
    <w:rsid w:val="00661541"/>
    <w:rsid w:val="00661BE5"/>
    <w:rsid w:val="00662314"/>
    <w:rsid w:val="0066241F"/>
    <w:rsid w:val="0066381F"/>
    <w:rsid w:val="00663A5A"/>
    <w:rsid w:val="00663E07"/>
    <w:rsid w:val="006643AE"/>
    <w:rsid w:val="006649F6"/>
    <w:rsid w:val="00664C78"/>
    <w:rsid w:val="0066511E"/>
    <w:rsid w:val="006653D5"/>
    <w:rsid w:val="00665654"/>
    <w:rsid w:val="00665AE4"/>
    <w:rsid w:val="00666190"/>
    <w:rsid w:val="00666388"/>
    <w:rsid w:val="00666466"/>
    <w:rsid w:val="00666C33"/>
    <w:rsid w:val="00666C48"/>
    <w:rsid w:val="00666D3B"/>
    <w:rsid w:val="00667649"/>
    <w:rsid w:val="00667B80"/>
    <w:rsid w:val="00667DA6"/>
    <w:rsid w:val="00667E29"/>
    <w:rsid w:val="00670BC9"/>
    <w:rsid w:val="00671301"/>
    <w:rsid w:val="0067140D"/>
    <w:rsid w:val="00671BE1"/>
    <w:rsid w:val="00672906"/>
    <w:rsid w:val="006757BF"/>
    <w:rsid w:val="00675970"/>
    <w:rsid w:val="006773F6"/>
    <w:rsid w:val="0067779F"/>
    <w:rsid w:val="00680163"/>
    <w:rsid w:val="0068108E"/>
    <w:rsid w:val="006810E5"/>
    <w:rsid w:val="006813A2"/>
    <w:rsid w:val="0068196C"/>
    <w:rsid w:val="00681AE5"/>
    <w:rsid w:val="00681AFE"/>
    <w:rsid w:val="006828F7"/>
    <w:rsid w:val="00683B34"/>
    <w:rsid w:val="00683E19"/>
    <w:rsid w:val="00684C76"/>
    <w:rsid w:val="00684E24"/>
    <w:rsid w:val="00686A5C"/>
    <w:rsid w:val="00686C78"/>
    <w:rsid w:val="00687CA7"/>
    <w:rsid w:val="0069075C"/>
    <w:rsid w:val="00690B26"/>
    <w:rsid w:val="00690BDC"/>
    <w:rsid w:val="00690E1D"/>
    <w:rsid w:val="006917FC"/>
    <w:rsid w:val="006922B2"/>
    <w:rsid w:val="00692E47"/>
    <w:rsid w:val="00692FA6"/>
    <w:rsid w:val="006933FC"/>
    <w:rsid w:val="006933FE"/>
    <w:rsid w:val="00693498"/>
    <w:rsid w:val="006946A9"/>
    <w:rsid w:val="006948F1"/>
    <w:rsid w:val="00694EE7"/>
    <w:rsid w:val="006959A0"/>
    <w:rsid w:val="00696069"/>
    <w:rsid w:val="00696081"/>
    <w:rsid w:val="0069629C"/>
    <w:rsid w:val="00696436"/>
    <w:rsid w:val="00696D7F"/>
    <w:rsid w:val="0069743F"/>
    <w:rsid w:val="00697B3C"/>
    <w:rsid w:val="00697EE8"/>
    <w:rsid w:val="006A01D3"/>
    <w:rsid w:val="006A0507"/>
    <w:rsid w:val="006A0721"/>
    <w:rsid w:val="006A0A5C"/>
    <w:rsid w:val="006A0C72"/>
    <w:rsid w:val="006A1B77"/>
    <w:rsid w:val="006A1BCD"/>
    <w:rsid w:val="006A3568"/>
    <w:rsid w:val="006A54F7"/>
    <w:rsid w:val="006A5B2C"/>
    <w:rsid w:val="006A7A57"/>
    <w:rsid w:val="006B0946"/>
    <w:rsid w:val="006B1015"/>
    <w:rsid w:val="006B1D3E"/>
    <w:rsid w:val="006B2401"/>
    <w:rsid w:val="006B24B4"/>
    <w:rsid w:val="006B29F0"/>
    <w:rsid w:val="006B2F90"/>
    <w:rsid w:val="006B3048"/>
    <w:rsid w:val="006B312A"/>
    <w:rsid w:val="006B36FC"/>
    <w:rsid w:val="006B41B8"/>
    <w:rsid w:val="006B54E4"/>
    <w:rsid w:val="006B56F1"/>
    <w:rsid w:val="006B64C3"/>
    <w:rsid w:val="006B6841"/>
    <w:rsid w:val="006B695C"/>
    <w:rsid w:val="006B7286"/>
    <w:rsid w:val="006B7AD6"/>
    <w:rsid w:val="006B7C65"/>
    <w:rsid w:val="006C021F"/>
    <w:rsid w:val="006C0486"/>
    <w:rsid w:val="006C068F"/>
    <w:rsid w:val="006C0B1F"/>
    <w:rsid w:val="006C1924"/>
    <w:rsid w:val="006C1E47"/>
    <w:rsid w:val="006C2248"/>
    <w:rsid w:val="006C2533"/>
    <w:rsid w:val="006C33FC"/>
    <w:rsid w:val="006C3416"/>
    <w:rsid w:val="006C4FF6"/>
    <w:rsid w:val="006C5680"/>
    <w:rsid w:val="006C652A"/>
    <w:rsid w:val="006C684E"/>
    <w:rsid w:val="006C76CB"/>
    <w:rsid w:val="006D043F"/>
    <w:rsid w:val="006D067B"/>
    <w:rsid w:val="006D13B1"/>
    <w:rsid w:val="006D178E"/>
    <w:rsid w:val="006D1C37"/>
    <w:rsid w:val="006D1F2C"/>
    <w:rsid w:val="006D23F3"/>
    <w:rsid w:val="006D2709"/>
    <w:rsid w:val="006D29B1"/>
    <w:rsid w:val="006D2BAA"/>
    <w:rsid w:val="006D2E74"/>
    <w:rsid w:val="006D2F4B"/>
    <w:rsid w:val="006D311C"/>
    <w:rsid w:val="006D3CDA"/>
    <w:rsid w:val="006D512C"/>
    <w:rsid w:val="006D5397"/>
    <w:rsid w:val="006D5E8B"/>
    <w:rsid w:val="006D5EA4"/>
    <w:rsid w:val="006D66CC"/>
    <w:rsid w:val="006D75C8"/>
    <w:rsid w:val="006D7679"/>
    <w:rsid w:val="006E0C09"/>
    <w:rsid w:val="006E1174"/>
    <w:rsid w:val="006E1A75"/>
    <w:rsid w:val="006E2A1C"/>
    <w:rsid w:val="006E2C09"/>
    <w:rsid w:val="006E3226"/>
    <w:rsid w:val="006E32A1"/>
    <w:rsid w:val="006E3981"/>
    <w:rsid w:val="006E3F4B"/>
    <w:rsid w:val="006E4DE0"/>
    <w:rsid w:val="006E583C"/>
    <w:rsid w:val="006E5886"/>
    <w:rsid w:val="006E670F"/>
    <w:rsid w:val="006E7345"/>
    <w:rsid w:val="006F0E20"/>
    <w:rsid w:val="006F183B"/>
    <w:rsid w:val="006F190F"/>
    <w:rsid w:val="006F208F"/>
    <w:rsid w:val="006F3621"/>
    <w:rsid w:val="006F3988"/>
    <w:rsid w:val="006F3D8D"/>
    <w:rsid w:val="006F3DD0"/>
    <w:rsid w:val="006F41D5"/>
    <w:rsid w:val="006F46C5"/>
    <w:rsid w:val="006F5389"/>
    <w:rsid w:val="006F5A04"/>
    <w:rsid w:val="006F73BC"/>
    <w:rsid w:val="00700BDB"/>
    <w:rsid w:val="007010AF"/>
    <w:rsid w:val="00701400"/>
    <w:rsid w:val="0070239A"/>
    <w:rsid w:val="00702A5E"/>
    <w:rsid w:val="00702BD0"/>
    <w:rsid w:val="00703408"/>
    <w:rsid w:val="00703666"/>
    <w:rsid w:val="00704DFA"/>
    <w:rsid w:val="00704F6D"/>
    <w:rsid w:val="00705959"/>
    <w:rsid w:val="0070737A"/>
    <w:rsid w:val="007075C5"/>
    <w:rsid w:val="00707D80"/>
    <w:rsid w:val="00707F07"/>
    <w:rsid w:val="0071021F"/>
    <w:rsid w:val="00710936"/>
    <w:rsid w:val="007117A0"/>
    <w:rsid w:val="00712D41"/>
    <w:rsid w:val="007134C0"/>
    <w:rsid w:val="007137A6"/>
    <w:rsid w:val="00714643"/>
    <w:rsid w:val="007148A4"/>
    <w:rsid w:val="0071509B"/>
    <w:rsid w:val="007150AC"/>
    <w:rsid w:val="00715311"/>
    <w:rsid w:val="007156D8"/>
    <w:rsid w:val="00715C8D"/>
    <w:rsid w:val="00716215"/>
    <w:rsid w:val="00716896"/>
    <w:rsid w:val="00716C67"/>
    <w:rsid w:val="00721121"/>
    <w:rsid w:val="00721C60"/>
    <w:rsid w:val="00721E72"/>
    <w:rsid w:val="00722BD5"/>
    <w:rsid w:val="00722F54"/>
    <w:rsid w:val="0072392A"/>
    <w:rsid w:val="007251C4"/>
    <w:rsid w:val="0072521A"/>
    <w:rsid w:val="00725B93"/>
    <w:rsid w:val="00725E2A"/>
    <w:rsid w:val="00726176"/>
    <w:rsid w:val="007262FC"/>
    <w:rsid w:val="00727321"/>
    <w:rsid w:val="00727537"/>
    <w:rsid w:val="00727716"/>
    <w:rsid w:val="00727BA1"/>
    <w:rsid w:val="0073015C"/>
    <w:rsid w:val="00730CBE"/>
    <w:rsid w:val="0073137F"/>
    <w:rsid w:val="00731436"/>
    <w:rsid w:val="00732B6C"/>
    <w:rsid w:val="00732C26"/>
    <w:rsid w:val="00733418"/>
    <w:rsid w:val="00733622"/>
    <w:rsid w:val="007342BF"/>
    <w:rsid w:val="0073475F"/>
    <w:rsid w:val="0073566C"/>
    <w:rsid w:val="00735F3D"/>
    <w:rsid w:val="0073666A"/>
    <w:rsid w:val="00736B8B"/>
    <w:rsid w:val="00737D81"/>
    <w:rsid w:val="007403D2"/>
    <w:rsid w:val="00740BC4"/>
    <w:rsid w:val="00740E44"/>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0CCE"/>
    <w:rsid w:val="00751848"/>
    <w:rsid w:val="0075241F"/>
    <w:rsid w:val="007542B3"/>
    <w:rsid w:val="00754F8B"/>
    <w:rsid w:val="0075508C"/>
    <w:rsid w:val="007554DD"/>
    <w:rsid w:val="00755788"/>
    <w:rsid w:val="007558CD"/>
    <w:rsid w:val="00756074"/>
    <w:rsid w:val="00757581"/>
    <w:rsid w:val="00757879"/>
    <w:rsid w:val="007606BD"/>
    <w:rsid w:val="0076089C"/>
    <w:rsid w:val="007611DF"/>
    <w:rsid w:val="0076130D"/>
    <w:rsid w:val="00761565"/>
    <w:rsid w:val="0076197B"/>
    <w:rsid w:val="00762396"/>
    <w:rsid w:val="00762754"/>
    <w:rsid w:val="00762B40"/>
    <w:rsid w:val="007632B5"/>
    <w:rsid w:val="00763310"/>
    <w:rsid w:val="00764839"/>
    <w:rsid w:val="00764919"/>
    <w:rsid w:val="0076573A"/>
    <w:rsid w:val="0076582D"/>
    <w:rsid w:val="0076592A"/>
    <w:rsid w:val="00766719"/>
    <w:rsid w:val="00766B0E"/>
    <w:rsid w:val="007679EE"/>
    <w:rsid w:val="00770025"/>
    <w:rsid w:val="0077037D"/>
    <w:rsid w:val="00770B62"/>
    <w:rsid w:val="00770FCF"/>
    <w:rsid w:val="0077184D"/>
    <w:rsid w:val="0077194E"/>
    <w:rsid w:val="00771CE2"/>
    <w:rsid w:val="00772C38"/>
    <w:rsid w:val="00772F75"/>
    <w:rsid w:val="00773A7E"/>
    <w:rsid w:val="007746D4"/>
    <w:rsid w:val="00774F01"/>
    <w:rsid w:val="007750CB"/>
    <w:rsid w:val="00775686"/>
    <w:rsid w:val="00775B8E"/>
    <w:rsid w:val="007765AF"/>
    <w:rsid w:val="0077760A"/>
    <w:rsid w:val="00777FBA"/>
    <w:rsid w:val="00780828"/>
    <w:rsid w:val="007811F8"/>
    <w:rsid w:val="007812E9"/>
    <w:rsid w:val="00781631"/>
    <w:rsid w:val="00781D94"/>
    <w:rsid w:val="00781DE5"/>
    <w:rsid w:val="00783EEF"/>
    <w:rsid w:val="0078414B"/>
    <w:rsid w:val="00784616"/>
    <w:rsid w:val="0078481B"/>
    <w:rsid w:val="00785663"/>
    <w:rsid w:val="00785AD3"/>
    <w:rsid w:val="007868C5"/>
    <w:rsid w:val="00786BD9"/>
    <w:rsid w:val="0078792E"/>
    <w:rsid w:val="00790BF9"/>
    <w:rsid w:val="00790E82"/>
    <w:rsid w:val="00791D93"/>
    <w:rsid w:val="0079218A"/>
    <w:rsid w:val="007921D3"/>
    <w:rsid w:val="00792652"/>
    <w:rsid w:val="007928A2"/>
    <w:rsid w:val="00792D84"/>
    <w:rsid w:val="007933D0"/>
    <w:rsid w:val="00793D61"/>
    <w:rsid w:val="00794388"/>
    <w:rsid w:val="00794A7A"/>
    <w:rsid w:val="00794CF3"/>
    <w:rsid w:val="007956B1"/>
    <w:rsid w:val="0079579F"/>
    <w:rsid w:val="0079590A"/>
    <w:rsid w:val="00795D0C"/>
    <w:rsid w:val="00795DB8"/>
    <w:rsid w:val="00796811"/>
    <w:rsid w:val="00797307"/>
    <w:rsid w:val="007A0F11"/>
    <w:rsid w:val="007A1DA0"/>
    <w:rsid w:val="007A1F7C"/>
    <w:rsid w:val="007A24D3"/>
    <w:rsid w:val="007A3709"/>
    <w:rsid w:val="007A3D5F"/>
    <w:rsid w:val="007A41F0"/>
    <w:rsid w:val="007A4384"/>
    <w:rsid w:val="007A444D"/>
    <w:rsid w:val="007A47A0"/>
    <w:rsid w:val="007A4843"/>
    <w:rsid w:val="007A5C24"/>
    <w:rsid w:val="007A6167"/>
    <w:rsid w:val="007A73FB"/>
    <w:rsid w:val="007A772B"/>
    <w:rsid w:val="007A7E95"/>
    <w:rsid w:val="007A7FA1"/>
    <w:rsid w:val="007A7FE1"/>
    <w:rsid w:val="007B0423"/>
    <w:rsid w:val="007B0F82"/>
    <w:rsid w:val="007B1828"/>
    <w:rsid w:val="007B1F93"/>
    <w:rsid w:val="007B2693"/>
    <w:rsid w:val="007B2926"/>
    <w:rsid w:val="007B2CDF"/>
    <w:rsid w:val="007B3789"/>
    <w:rsid w:val="007B3D00"/>
    <w:rsid w:val="007B427E"/>
    <w:rsid w:val="007B4C16"/>
    <w:rsid w:val="007B4D0F"/>
    <w:rsid w:val="007B53A2"/>
    <w:rsid w:val="007B55A9"/>
    <w:rsid w:val="007B5ADF"/>
    <w:rsid w:val="007B5AEE"/>
    <w:rsid w:val="007B6106"/>
    <w:rsid w:val="007B62C6"/>
    <w:rsid w:val="007B665D"/>
    <w:rsid w:val="007B667F"/>
    <w:rsid w:val="007B67C5"/>
    <w:rsid w:val="007B6999"/>
    <w:rsid w:val="007B69E6"/>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4A64"/>
    <w:rsid w:val="007C5FA2"/>
    <w:rsid w:val="007C6574"/>
    <w:rsid w:val="007C6635"/>
    <w:rsid w:val="007C7551"/>
    <w:rsid w:val="007D1124"/>
    <w:rsid w:val="007D2A0E"/>
    <w:rsid w:val="007D2CD3"/>
    <w:rsid w:val="007D2DD6"/>
    <w:rsid w:val="007D4062"/>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1104"/>
    <w:rsid w:val="007E2158"/>
    <w:rsid w:val="007E2260"/>
    <w:rsid w:val="007E2E32"/>
    <w:rsid w:val="007E36B0"/>
    <w:rsid w:val="007E4022"/>
    <w:rsid w:val="007E4A47"/>
    <w:rsid w:val="007E4FC0"/>
    <w:rsid w:val="007E516A"/>
    <w:rsid w:val="007E570D"/>
    <w:rsid w:val="007E5838"/>
    <w:rsid w:val="007E60A0"/>
    <w:rsid w:val="007E68B8"/>
    <w:rsid w:val="007E745B"/>
    <w:rsid w:val="007F10E0"/>
    <w:rsid w:val="007F118D"/>
    <w:rsid w:val="007F19D7"/>
    <w:rsid w:val="007F1D03"/>
    <w:rsid w:val="007F2431"/>
    <w:rsid w:val="007F2821"/>
    <w:rsid w:val="007F282E"/>
    <w:rsid w:val="007F287A"/>
    <w:rsid w:val="007F2AF5"/>
    <w:rsid w:val="007F2D79"/>
    <w:rsid w:val="007F44E1"/>
    <w:rsid w:val="007F4769"/>
    <w:rsid w:val="007F4B97"/>
    <w:rsid w:val="007F5EE7"/>
    <w:rsid w:val="007F6A5A"/>
    <w:rsid w:val="007F6EB5"/>
    <w:rsid w:val="007F6FED"/>
    <w:rsid w:val="007F746D"/>
    <w:rsid w:val="007F77E4"/>
    <w:rsid w:val="007F7904"/>
    <w:rsid w:val="007F7964"/>
    <w:rsid w:val="008007D9"/>
    <w:rsid w:val="00803105"/>
    <w:rsid w:val="008038D1"/>
    <w:rsid w:val="00804732"/>
    <w:rsid w:val="00804D49"/>
    <w:rsid w:val="00804DB0"/>
    <w:rsid w:val="00804E26"/>
    <w:rsid w:val="00805A33"/>
    <w:rsid w:val="0080625E"/>
    <w:rsid w:val="00806314"/>
    <w:rsid w:val="008067F0"/>
    <w:rsid w:val="00806866"/>
    <w:rsid w:val="008074E0"/>
    <w:rsid w:val="00810E56"/>
    <w:rsid w:val="00812058"/>
    <w:rsid w:val="00813087"/>
    <w:rsid w:val="008135FB"/>
    <w:rsid w:val="008138F7"/>
    <w:rsid w:val="00813951"/>
    <w:rsid w:val="00813C06"/>
    <w:rsid w:val="00813F8B"/>
    <w:rsid w:val="00814590"/>
    <w:rsid w:val="0081492C"/>
    <w:rsid w:val="00815512"/>
    <w:rsid w:val="00816B1C"/>
    <w:rsid w:val="00816E01"/>
    <w:rsid w:val="0081763A"/>
    <w:rsid w:val="0081798F"/>
    <w:rsid w:val="00820EEB"/>
    <w:rsid w:val="00820EF8"/>
    <w:rsid w:val="00821D32"/>
    <w:rsid w:val="00821FD9"/>
    <w:rsid w:val="008222BE"/>
    <w:rsid w:val="00822B83"/>
    <w:rsid w:val="00822BCF"/>
    <w:rsid w:val="008234BE"/>
    <w:rsid w:val="00823C5F"/>
    <w:rsid w:val="00824B02"/>
    <w:rsid w:val="0082613C"/>
    <w:rsid w:val="00826F29"/>
    <w:rsid w:val="00827D47"/>
    <w:rsid w:val="008300FD"/>
    <w:rsid w:val="00830F5D"/>
    <w:rsid w:val="008310D3"/>
    <w:rsid w:val="0083115B"/>
    <w:rsid w:val="0083122F"/>
    <w:rsid w:val="0083151A"/>
    <w:rsid w:val="00831B9B"/>
    <w:rsid w:val="00831E9B"/>
    <w:rsid w:val="0083240C"/>
    <w:rsid w:val="00832491"/>
    <w:rsid w:val="00832530"/>
    <w:rsid w:val="008335C3"/>
    <w:rsid w:val="008338B5"/>
    <w:rsid w:val="00833922"/>
    <w:rsid w:val="00833E73"/>
    <w:rsid w:val="00834499"/>
    <w:rsid w:val="00834520"/>
    <w:rsid w:val="00835C05"/>
    <w:rsid w:val="008371A2"/>
    <w:rsid w:val="0083752C"/>
    <w:rsid w:val="00840371"/>
    <w:rsid w:val="0084141C"/>
    <w:rsid w:val="008415DA"/>
    <w:rsid w:val="008416A3"/>
    <w:rsid w:val="0084189F"/>
    <w:rsid w:val="0084219D"/>
    <w:rsid w:val="0084321A"/>
    <w:rsid w:val="0084339B"/>
    <w:rsid w:val="00844EBA"/>
    <w:rsid w:val="00845079"/>
    <w:rsid w:val="00845301"/>
    <w:rsid w:val="0084561B"/>
    <w:rsid w:val="00845960"/>
    <w:rsid w:val="008468C9"/>
    <w:rsid w:val="00847557"/>
    <w:rsid w:val="00850624"/>
    <w:rsid w:val="00850C87"/>
    <w:rsid w:val="008512E7"/>
    <w:rsid w:val="008514F1"/>
    <w:rsid w:val="00851AFB"/>
    <w:rsid w:val="00851D91"/>
    <w:rsid w:val="008524E7"/>
    <w:rsid w:val="00852806"/>
    <w:rsid w:val="00852846"/>
    <w:rsid w:val="00854856"/>
    <w:rsid w:val="008549CD"/>
    <w:rsid w:val="0085505C"/>
    <w:rsid w:val="008559EF"/>
    <w:rsid w:val="00856273"/>
    <w:rsid w:val="008573A8"/>
    <w:rsid w:val="00857D67"/>
    <w:rsid w:val="00857ECB"/>
    <w:rsid w:val="008607F8"/>
    <w:rsid w:val="00861397"/>
    <w:rsid w:val="00861973"/>
    <w:rsid w:val="008619CD"/>
    <w:rsid w:val="00861A28"/>
    <w:rsid w:val="00861A4C"/>
    <w:rsid w:val="00861A73"/>
    <w:rsid w:val="00861EBE"/>
    <w:rsid w:val="008627FF"/>
    <w:rsid w:val="00863C7C"/>
    <w:rsid w:val="00863D85"/>
    <w:rsid w:val="00863F5A"/>
    <w:rsid w:val="008642DD"/>
    <w:rsid w:val="00864318"/>
    <w:rsid w:val="0086496C"/>
    <w:rsid w:val="00865208"/>
    <w:rsid w:val="00865F07"/>
    <w:rsid w:val="008661CC"/>
    <w:rsid w:val="008662A7"/>
    <w:rsid w:val="00867483"/>
    <w:rsid w:val="008675C5"/>
    <w:rsid w:val="0087022C"/>
    <w:rsid w:val="0087102A"/>
    <w:rsid w:val="008728E5"/>
    <w:rsid w:val="00873C32"/>
    <w:rsid w:val="0087405A"/>
    <w:rsid w:val="008745A4"/>
    <w:rsid w:val="008752ED"/>
    <w:rsid w:val="008762DD"/>
    <w:rsid w:val="00876303"/>
    <w:rsid w:val="00877686"/>
    <w:rsid w:val="00877B01"/>
    <w:rsid w:val="00877E08"/>
    <w:rsid w:val="008806C6"/>
    <w:rsid w:val="0088097E"/>
    <w:rsid w:val="00880A1E"/>
    <w:rsid w:val="00881849"/>
    <w:rsid w:val="00882204"/>
    <w:rsid w:val="00882B3D"/>
    <w:rsid w:val="00882D1F"/>
    <w:rsid w:val="00883F90"/>
    <w:rsid w:val="0088438B"/>
    <w:rsid w:val="00886679"/>
    <w:rsid w:val="00886B47"/>
    <w:rsid w:val="0088770C"/>
    <w:rsid w:val="00887AE8"/>
    <w:rsid w:val="00890467"/>
    <w:rsid w:val="008907BD"/>
    <w:rsid w:val="00890F8D"/>
    <w:rsid w:val="00891285"/>
    <w:rsid w:val="00891958"/>
    <w:rsid w:val="00891E34"/>
    <w:rsid w:val="008928FE"/>
    <w:rsid w:val="0089293A"/>
    <w:rsid w:val="00892BAB"/>
    <w:rsid w:val="00892C92"/>
    <w:rsid w:val="00892E4C"/>
    <w:rsid w:val="00892F9F"/>
    <w:rsid w:val="0089326D"/>
    <w:rsid w:val="0089420D"/>
    <w:rsid w:val="00894407"/>
    <w:rsid w:val="008946F7"/>
    <w:rsid w:val="00894783"/>
    <w:rsid w:val="00894D6F"/>
    <w:rsid w:val="0089619B"/>
    <w:rsid w:val="00896B70"/>
    <w:rsid w:val="00896BA3"/>
    <w:rsid w:val="0089709D"/>
    <w:rsid w:val="008978C8"/>
    <w:rsid w:val="00897917"/>
    <w:rsid w:val="008A08F8"/>
    <w:rsid w:val="008A0B74"/>
    <w:rsid w:val="008A0EFC"/>
    <w:rsid w:val="008A1144"/>
    <w:rsid w:val="008A17A6"/>
    <w:rsid w:val="008A1AA2"/>
    <w:rsid w:val="008A1AE4"/>
    <w:rsid w:val="008A1C56"/>
    <w:rsid w:val="008A231F"/>
    <w:rsid w:val="008A23E2"/>
    <w:rsid w:val="008A257D"/>
    <w:rsid w:val="008A27D4"/>
    <w:rsid w:val="008A3000"/>
    <w:rsid w:val="008A3A67"/>
    <w:rsid w:val="008A3A78"/>
    <w:rsid w:val="008A4086"/>
    <w:rsid w:val="008A42E6"/>
    <w:rsid w:val="008A4902"/>
    <w:rsid w:val="008A7950"/>
    <w:rsid w:val="008B03E2"/>
    <w:rsid w:val="008B05C5"/>
    <w:rsid w:val="008B0824"/>
    <w:rsid w:val="008B0EC4"/>
    <w:rsid w:val="008B410D"/>
    <w:rsid w:val="008B5E05"/>
    <w:rsid w:val="008B7345"/>
    <w:rsid w:val="008B7C63"/>
    <w:rsid w:val="008B7DAD"/>
    <w:rsid w:val="008C0007"/>
    <w:rsid w:val="008C0349"/>
    <w:rsid w:val="008C0FDD"/>
    <w:rsid w:val="008C104F"/>
    <w:rsid w:val="008C12EA"/>
    <w:rsid w:val="008C16F4"/>
    <w:rsid w:val="008C34FC"/>
    <w:rsid w:val="008C387F"/>
    <w:rsid w:val="008C44CE"/>
    <w:rsid w:val="008C4A0E"/>
    <w:rsid w:val="008C5288"/>
    <w:rsid w:val="008C59C7"/>
    <w:rsid w:val="008C5CCC"/>
    <w:rsid w:val="008C5F47"/>
    <w:rsid w:val="008C5FE6"/>
    <w:rsid w:val="008C6326"/>
    <w:rsid w:val="008C6530"/>
    <w:rsid w:val="008D00ED"/>
    <w:rsid w:val="008D0A63"/>
    <w:rsid w:val="008D2B29"/>
    <w:rsid w:val="008D2CB1"/>
    <w:rsid w:val="008D2F94"/>
    <w:rsid w:val="008D305C"/>
    <w:rsid w:val="008D34D5"/>
    <w:rsid w:val="008D3D28"/>
    <w:rsid w:val="008D48A5"/>
    <w:rsid w:val="008D4A67"/>
    <w:rsid w:val="008D4FBB"/>
    <w:rsid w:val="008D5339"/>
    <w:rsid w:val="008D6B16"/>
    <w:rsid w:val="008D724F"/>
    <w:rsid w:val="008D7A9D"/>
    <w:rsid w:val="008E0974"/>
    <w:rsid w:val="008E0EAE"/>
    <w:rsid w:val="008E1130"/>
    <w:rsid w:val="008E1B2C"/>
    <w:rsid w:val="008E2259"/>
    <w:rsid w:val="008E2502"/>
    <w:rsid w:val="008E2F09"/>
    <w:rsid w:val="008E36C4"/>
    <w:rsid w:val="008E3F72"/>
    <w:rsid w:val="008E431C"/>
    <w:rsid w:val="008E4B9D"/>
    <w:rsid w:val="008E4FE7"/>
    <w:rsid w:val="008E50E6"/>
    <w:rsid w:val="008E5547"/>
    <w:rsid w:val="008E5E69"/>
    <w:rsid w:val="008E6D54"/>
    <w:rsid w:val="008E6E39"/>
    <w:rsid w:val="008E7502"/>
    <w:rsid w:val="008E78E5"/>
    <w:rsid w:val="008E796B"/>
    <w:rsid w:val="008E7BEE"/>
    <w:rsid w:val="008F08A8"/>
    <w:rsid w:val="008F1998"/>
    <w:rsid w:val="008F22BF"/>
    <w:rsid w:val="008F4B9A"/>
    <w:rsid w:val="008F4D79"/>
    <w:rsid w:val="008F5DA9"/>
    <w:rsid w:val="008F686D"/>
    <w:rsid w:val="008F6892"/>
    <w:rsid w:val="008F6985"/>
    <w:rsid w:val="008F7066"/>
    <w:rsid w:val="008F77FD"/>
    <w:rsid w:val="008F7995"/>
    <w:rsid w:val="008F7E88"/>
    <w:rsid w:val="00900904"/>
    <w:rsid w:val="0090128F"/>
    <w:rsid w:val="00901C97"/>
    <w:rsid w:val="00902526"/>
    <w:rsid w:val="00903358"/>
    <w:rsid w:val="00903819"/>
    <w:rsid w:val="0090418D"/>
    <w:rsid w:val="00904ACB"/>
    <w:rsid w:val="00905120"/>
    <w:rsid w:val="0090513D"/>
    <w:rsid w:val="00905269"/>
    <w:rsid w:val="00905419"/>
    <w:rsid w:val="00905AD6"/>
    <w:rsid w:val="00905E82"/>
    <w:rsid w:val="00906027"/>
    <w:rsid w:val="009074E0"/>
    <w:rsid w:val="00907506"/>
    <w:rsid w:val="00907812"/>
    <w:rsid w:val="0090781A"/>
    <w:rsid w:val="0091002E"/>
    <w:rsid w:val="0091052A"/>
    <w:rsid w:val="00910F16"/>
    <w:rsid w:val="00911898"/>
    <w:rsid w:val="00911A93"/>
    <w:rsid w:val="00913861"/>
    <w:rsid w:val="009138E2"/>
    <w:rsid w:val="00913B86"/>
    <w:rsid w:val="009141E4"/>
    <w:rsid w:val="00914222"/>
    <w:rsid w:val="00914574"/>
    <w:rsid w:val="0091462C"/>
    <w:rsid w:val="00914B53"/>
    <w:rsid w:val="009156EF"/>
    <w:rsid w:val="00916008"/>
    <w:rsid w:val="00916343"/>
    <w:rsid w:val="00916766"/>
    <w:rsid w:val="00917A60"/>
    <w:rsid w:val="00920921"/>
    <w:rsid w:val="00920B77"/>
    <w:rsid w:val="00921364"/>
    <w:rsid w:val="00921983"/>
    <w:rsid w:val="00921A0C"/>
    <w:rsid w:val="00921D2A"/>
    <w:rsid w:val="0092258F"/>
    <w:rsid w:val="00922C91"/>
    <w:rsid w:val="00923889"/>
    <w:rsid w:val="00924A74"/>
    <w:rsid w:val="009251C8"/>
    <w:rsid w:val="00925C46"/>
    <w:rsid w:val="00926120"/>
    <w:rsid w:val="00926798"/>
    <w:rsid w:val="00927636"/>
    <w:rsid w:val="0092798F"/>
    <w:rsid w:val="00927D56"/>
    <w:rsid w:val="00927DBA"/>
    <w:rsid w:val="00930250"/>
    <w:rsid w:val="009304D1"/>
    <w:rsid w:val="00930E61"/>
    <w:rsid w:val="00931503"/>
    <w:rsid w:val="009319F8"/>
    <w:rsid w:val="00931EC4"/>
    <w:rsid w:val="009321ED"/>
    <w:rsid w:val="00932B66"/>
    <w:rsid w:val="009331B1"/>
    <w:rsid w:val="0093329B"/>
    <w:rsid w:val="00934410"/>
    <w:rsid w:val="009362E3"/>
    <w:rsid w:val="0093696D"/>
    <w:rsid w:val="0094121F"/>
    <w:rsid w:val="0094156E"/>
    <w:rsid w:val="00941CF5"/>
    <w:rsid w:val="00942786"/>
    <w:rsid w:val="0094398F"/>
    <w:rsid w:val="00943A9A"/>
    <w:rsid w:val="00945187"/>
    <w:rsid w:val="00945C2F"/>
    <w:rsid w:val="00946A15"/>
    <w:rsid w:val="00946C16"/>
    <w:rsid w:val="00947008"/>
    <w:rsid w:val="00947EBD"/>
    <w:rsid w:val="0095050F"/>
    <w:rsid w:val="00951B2D"/>
    <w:rsid w:val="00951CCB"/>
    <w:rsid w:val="009520B1"/>
    <w:rsid w:val="0095278B"/>
    <w:rsid w:val="0095481B"/>
    <w:rsid w:val="00954E42"/>
    <w:rsid w:val="00955C76"/>
    <w:rsid w:val="00955CA3"/>
    <w:rsid w:val="00956D16"/>
    <w:rsid w:val="00956E3F"/>
    <w:rsid w:val="0095754A"/>
    <w:rsid w:val="0095755B"/>
    <w:rsid w:val="009578E4"/>
    <w:rsid w:val="009602DD"/>
    <w:rsid w:val="00960B5B"/>
    <w:rsid w:val="00961BB3"/>
    <w:rsid w:val="00961D12"/>
    <w:rsid w:val="00961E8D"/>
    <w:rsid w:val="009620AC"/>
    <w:rsid w:val="009630BF"/>
    <w:rsid w:val="009635EF"/>
    <w:rsid w:val="00963A3D"/>
    <w:rsid w:val="009655B2"/>
    <w:rsid w:val="00965B7D"/>
    <w:rsid w:val="00966792"/>
    <w:rsid w:val="00967456"/>
    <w:rsid w:val="00967869"/>
    <w:rsid w:val="0097036E"/>
    <w:rsid w:val="00970507"/>
    <w:rsid w:val="00970EA1"/>
    <w:rsid w:val="00971010"/>
    <w:rsid w:val="00971024"/>
    <w:rsid w:val="00971378"/>
    <w:rsid w:val="009714BD"/>
    <w:rsid w:val="00971DB8"/>
    <w:rsid w:val="00972779"/>
    <w:rsid w:val="00973011"/>
    <w:rsid w:val="0097330C"/>
    <w:rsid w:val="0097412F"/>
    <w:rsid w:val="00974980"/>
    <w:rsid w:val="009753FC"/>
    <w:rsid w:val="00975515"/>
    <w:rsid w:val="009762CF"/>
    <w:rsid w:val="00976EA2"/>
    <w:rsid w:val="009809FF"/>
    <w:rsid w:val="00980E6E"/>
    <w:rsid w:val="00981CA5"/>
    <w:rsid w:val="00981CD9"/>
    <w:rsid w:val="00981E90"/>
    <w:rsid w:val="00982264"/>
    <w:rsid w:val="00982BDC"/>
    <w:rsid w:val="00983FB9"/>
    <w:rsid w:val="009848EF"/>
    <w:rsid w:val="00984918"/>
    <w:rsid w:val="009849C2"/>
    <w:rsid w:val="00984E84"/>
    <w:rsid w:val="0098514A"/>
    <w:rsid w:val="009852FA"/>
    <w:rsid w:val="00985362"/>
    <w:rsid w:val="00986835"/>
    <w:rsid w:val="00986BA4"/>
    <w:rsid w:val="00986D0F"/>
    <w:rsid w:val="0098734A"/>
    <w:rsid w:val="00987BE2"/>
    <w:rsid w:val="0099035E"/>
    <w:rsid w:val="009905FD"/>
    <w:rsid w:val="0099150E"/>
    <w:rsid w:val="00991AF9"/>
    <w:rsid w:val="00991B2B"/>
    <w:rsid w:val="0099300D"/>
    <w:rsid w:val="009935F3"/>
    <w:rsid w:val="0099367C"/>
    <w:rsid w:val="00993D53"/>
    <w:rsid w:val="00993E38"/>
    <w:rsid w:val="00993EAA"/>
    <w:rsid w:val="00993EBE"/>
    <w:rsid w:val="00994071"/>
    <w:rsid w:val="00994281"/>
    <w:rsid w:val="0099589F"/>
    <w:rsid w:val="00995D51"/>
    <w:rsid w:val="0099646A"/>
    <w:rsid w:val="00996BFB"/>
    <w:rsid w:val="00997813"/>
    <w:rsid w:val="009A109F"/>
    <w:rsid w:val="009A1109"/>
    <w:rsid w:val="009A2148"/>
    <w:rsid w:val="009A292E"/>
    <w:rsid w:val="009A46EE"/>
    <w:rsid w:val="009A61D6"/>
    <w:rsid w:val="009A6C1A"/>
    <w:rsid w:val="009A7C43"/>
    <w:rsid w:val="009A7E12"/>
    <w:rsid w:val="009A7E16"/>
    <w:rsid w:val="009B07AF"/>
    <w:rsid w:val="009B0B54"/>
    <w:rsid w:val="009B18A3"/>
    <w:rsid w:val="009B1D36"/>
    <w:rsid w:val="009B205B"/>
    <w:rsid w:val="009B22EC"/>
    <w:rsid w:val="009B2998"/>
    <w:rsid w:val="009B2A8B"/>
    <w:rsid w:val="009B2D99"/>
    <w:rsid w:val="009B3DDE"/>
    <w:rsid w:val="009B42EE"/>
    <w:rsid w:val="009B4BB3"/>
    <w:rsid w:val="009B5FC6"/>
    <w:rsid w:val="009B6694"/>
    <w:rsid w:val="009B6962"/>
    <w:rsid w:val="009B72F5"/>
    <w:rsid w:val="009C09C9"/>
    <w:rsid w:val="009C0E09"/>
    <w:rsid w:val="009C18B7"/>
    <w:rsid w:val="009C2142"/>
    <w:rsid w:val="009C2302"/>
    <w:rsid w:val="009C29A5"/>
    <w:rsid w:val="009C2D85"/>
    <w:rsid w:val="009C3869"/>
    <w:rsid w:val="009C3920"/>
    <w:rsid w:val="009C49E6"/>
    <w:rsid w:val="009C4A45"/>
    <w:rsid w:val="009C5A6A"/>
    <w:rsid w:val="009C6125"/>
    <w:rsid w:val="009C625D"/>
    <w:rsid w:val="009C6271"/>
    <w:rsid w:val="009C6EFB"/>
    <w:rsid w:val="009C751D"/>
    <w:rsid w:val="009C775F"/>
    <w:rsid w:val="009C7D0F"/>
    <w:rsid w:val="009D0DCE"/>
    <w:rsid w:val="009D2006"/>
    <w:rsid w:val="009D265B"/>
    <w:rsid w:val="009D2B7D"/>
    <w:rsid w:val="009D2FC3"/>
    <w:rsid w:val="009D3785"/>
    <w:rsid w:val="009D398D"/>
    <w:rsid w:val="009D4745"/>
    <w:rsid w:val="009D4BEE"/>
    <w:rsid w:val="009D65FB"/>
    <w:rsid w:val="009D6806"/>
    <w:rsid w:val="009D688D"/>
    <w:rsid w:val="009D705A"/>
    <w:rsid w:val="009E0BD0"/>
    <w:rsid w:val="009E13C3"/>
    <w:rsid w:val="009E232C"/>
    <w:rsid w:val="009E2504"/>
    <w:rsid w:val="009E2628"/>
    <w:rsid w:val="009E2C5D"/>
    <w:rsid w:val="009E3647"/>
    <w:rsid w:val="009E3B36"/>
    <w:rsid w:val="009E4E97"/>
    <w:rsid w:val="009E5BA7"/>
    <w:rsid w:val="009E6197"/>
    <w:rsid w:val="009E71FC"/>
    <w:rsid w:val="009E7870"/>
    <w:rsid w:val="009E7AB0"/>
    <w:rsid w:val="009E7C3A"/>
    <w:rsid w:val="009E7E64"/>
    <w:rsid w:val="009F1112"/>
    <w:rsid w:val="009F1F04"/>
    <w:rsid w:val="009F260A"/>
    <w:rsid w:val="009F30C8"/>
    <w:rsid w:val="009F3B64"/>
    <w:rsid w:val="009F41C3"/>
    <w:rsid w:val="009F5394"/>
    <w:rsid w:val="009F6A56"/>
    <w:rsid w:val="009F6CBE"/>
    <w:rsid w:val="009F6D66"/>
    <w:rsid w:val="009F7003"/>
    <w:rsid w:val="009F7889"/>
    <w:rsid w:val="009F7934"/>
    <w:rsid w:val="00A0004C"/>
    <w:rsid w:val="00A008BF"/>
    <w:rsid w:val="00A01437"/>
    <w:rsid w:val="00A0239E"/>
    <w:rsid w:val="00A0353A"/>
    <w:rsid w:val="00A03B5A"/>
    <w:rsid w:val="00A040EF"/>
    <w:rsid w:val="00A04694"/>
    <w:rsid w:val="00A04B9A"/>
    <w:rsid w:val="00A05461"/>
    <w:rsid w:val="00A055C1"/>
    <w:rsid w:val="00A05D17"/>
    <w:rsid w:val="00A05FF4"/>
    <w:rsid w:val="00A06044"/>
    <w:rsid w:val="00A06E2D"/>
    <w:rsid w:val="00A07169"/>
    <w:rsid w:val="00A07423"/>
    <w:rsid w:val="00A10619"/>
    <w:rsid w:val="00A133F1"/>
    <w:rsid w:val="00A13E3F"/>
    <w:rsid w:val="00A14049"/>
    <w:rsid w:val="00A14276"/>
    <w:rsid w:val="00A149FF"/>
    <w:rsid w:val="00A15C4D"/>
    <w:rsid w:val="00A16150"/>
    <w:rsid w:val="00A164FD"/>
    <w:rsid w:val="00A167B7"/>
    <w:rsid w:val="00A2018E"/>
    <w:rsid w:val="00A2028A"/>
    <w:rsid w:val="00A21218"/>
    <w:rsid w:val="00A2243F"/>
    <w:rsid w:val="00A225DC"/>
    <w:rsid w:val="00A23916"/>
    <w:rsid w:val="00A23EDF"/>
    <w:rsid w:val="00A2423A"/>
    <w:rsid w:val="00A244C6"/>
    <w:rsid w:val="00A24CAD"/>
    <w:rsid w:val="00A25F5A"/>
    <w:rsid w:val="00A267E4"/>
    <w:rsid w:val="00A27139"/>
    <w:rsid w:val="00A27783"/>
    <w:rsid w:val="00A3093F"/>
    <w:rsid w:val="00A31060"/>
    <w:rsid w:val="00A31114"/>
    <w:rsid w:val="00A31CAE"/>
    <w:rsid w:val="00A31CFE"/>
    <w:rsid w:val="00A31E9D"/>
    <w:rsid w:val="00A3264D"/>
    <w:rsid w:val="00A32EC6"/>
    <w:rsid w:val="00A32FB7"/>
    <w:rsid w:val="00A341F3"/>
    <w:rsid w:val="00A35F58"/>
    <w:rsid w:val="00A36A42"/>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60D"/>
    <w:rsid w:val="00A473EB"/>
    <w:rsid w:val="00A47485"/>
    <w:rsid w:val="00A5060D"/>
    <w:rsid w:val="00A50D71"/>
    <w:rsid w:val="00A51BEC"/>
    <w:rsid w:val="00A5234C"/>
    <w:rsid w:val="00A52ACC"/>
    <w:rsid w:val="00A53497"/>
    <w:rsid w:val="00A53F95"/>
    <w:rsid w:val="00A53FCC"/>
    <w:rsid w:val="00A54070"/>
    <w:rsid w:val="00A54148"/>
    <w:rsid w:val="00A543CE"/>
    <w:rsid w:val="00A54448"/>
    <w:rsid w:val="00A54475"/>
    <w:rsid w:val="00A55967"/>
    <w:rsid w:val="00A55B06"/>
    <w:rsid w:val="00A56850"/>
    <w:rsid w:val="00A609C8"/>
    <w:rsid w:val="00A60C75"/>
    <w:rsid w:val="00A611CE"/>
    <w:rsid w:val="00A61338"/>
    <w:rsid w:val="00A629A4"/>
    <w:rsid w:val="00A62BF4"/>
    <w:rsid w:val="00A62FC9"/>
    <w:rsid w:val="00A637B6"/>
    <w:rsid w:val="00A63B6C"/>
    <w:rsid w:val="00A648AE"/>
    <w:rsid w:val="00A64BC9"/>
    <w:rsid w:val="00A658C2"/>
    <w:rsid w:val="00A675F7"/>
    <w:rsid w:val="00A67F5D"/>
    <w:rsid w:val="00A70FAD"/>
    <w:rsid w:val="00A71604"/>
    <w:rsid w:val="00A7289F"/>
    <w:rsid w:val="00A72A2F"/>
    <w:rsid w:val="00A741DC"/>
    <w:rsid w:val="00A7460D"/>
    <w:rsid w:val="00A74DC9"/>
    <w:rsid w:val="00A76408"/>
    <w:rsid w:val="00A76444"/>
    <w:rsid w:val="00A76880"/>
    <w:rsid w:val="00A77061"/>
    <w:rsid w:val="00A81883"/>
    <w:rsid w:val="00A8204D"/>
    <w:rsid w:val="00A8245A"/>
    <w:rsid w:val="00A82C7C"/>
    <w:rsid w:val="00A82CE6"/>
    <w:rsid w:val="00A82D07"/>
    <w:rsid w:val="00A8300D"/>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1FCD"/>
    <w:rsid w:val="00A922CA"/>
    <w:rsid w:val="00A92EF1"/>
    <w:rsid w:val="00A9438D"/>
    <w:rsid w:val="00A9519D"/>
    <w:rsid w:val="00A9584A"/>
    <w:rsid w:val="00A96DD7"/>
    <w:rsid w:val="00A9734F"/>
    <w:rsid w:val="00A97967"/>
    <w:rsid w:val="00A97D7D"/>
    <w:rsid w:val="00AA136E"/>
    <w:rsid w:val="00AA228C"/>
    <w:rsid w:val="00AA2304"/>
    <w:rsid w:val="00AA2EAF"/>
    <w:rsid w:val="00AA2F84"/>
    <w:rsid w:val="00AA37F6"/>
    <w:rsid w:val="00AA3948"/>
    <w:rsid w:val="00AA3CD8"/>
    <w:rsid w:val="00AA400E"/>
    <w:rsid w:val="00AA40F3"/>
    <w:rsid w:val="00AA492F"/>
    <w:rsid w:val="00AA4FC9"/>
    <w:rsid w:val="00AA5F73"/>
    <w:rsid w:val="00AA619A"/>
    <w:rsid w:val="00AA69ED"/>
    <w:rsid w:val="00AA72EF"/>
    <w:rsid w:val="00AA7582"/>
    <w:rsid w:val="00AB02F1"/>
    <w:rsid w:val="00AB13C3"/>
    <w:rsid w:val="00AB1462"/>
    <w:rsid w:val="00AB271D"/>
    <w:rsid w:val="00AB30C7"/>
    <w:rsid w:val="00AB493A"/>
    <w:rsid w:val="00AB7060"/>
    <w:rsid w:val="00AB7176"/>
    <w:rsid w:val="00AB7C47"/>
    <w:rsid w:val="00AC0B1D"/>
    <w:rsid w:val="00AC10B1"/>
    <w:rsid w:val="00AC150B"/>
    <w:rsid w:val="00AC1DB2"/>
    <w:rsid w:val="00AC22D5"/>
    <w:rsid w:val="00AC2B73"/>
    <w:rsid w:val="00AC389F"/>
    <w:rsid w:val="00AC3C0F"/>
    <w:rsid w:val="00AC3E9C"/>
    <w:rsid w:val="00AC402A"/>
    <w:rsid w:val="00AC4044"/>
    <w:rsid w:val="00AC460A"/>
    <w:rsid w:val="00AC4DFF"/>
    <w:rsid w:val="00AC5141"/>
    <w:rsid w:val="00AC559D"/>
    <w:rsid w:val="00AC62CE"/>
    <w:rsid w:val="00AC69AA"/>
    <w:rsid w:val="00AC72F2"/>
    <w:rsid w:val="00AC75D1"/>
    <w:rsid w:val="00AD0948"/>
    <w:rsid w:val="00AD0C8A"/>
    <w:rsid w:val="00AD1491"/>
    <w:rsid w:val="00AD1D8C"/>
    <w:rsid w:val="00AD1F78"/>
    <w:rsid w:val="00AD2662"/>
    <w:rsid w:val="00AD3A57"/>
    <w:rsid w:val="00AD4B55"/>
    <w:rsid w:val="00AD4E16"/>
    <w:rsid w:val="00AD6166"/>
    <w:rsid w:val="00AD61F9"/>
    <w:rsid w:val="00AD67A9"/>
    <w:rsid w:val="00AD6C7F"/>
    <w:rsid w:val="00AE0522"/>
    <w:rsid w:val="00AE16EC"/>
    <w:rsid w:val="00AE1F77"/>
    <w:rsid w:val="00AE248A"/>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03FB"/>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319"/>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4B38"/>
    <w:rsid w:val="00B15341"/>
    <w:rsid w:val="00B15501"/>
    <w:rsid w:val="00B16FC8"/>
    <w:rsid w:val="00B17E7D"/>
    <w:rsid w:val="00B17F65"/>
    <w:rsid w:val="00B20285"/>
    <w:rsid w:val="00B202D1"/>
    <w:rsid w:val="00B20F7B"/>
    <w:rsid w:val="00B21392"/>
    <w:rsid w:val="00B2289F"/>
    <w:rsid w:val="00B23BE0"/>
    <w:rsid w:val="00B24237"/>
    <w:rsid w:val="00B242AF"/>
    <w:rsid w:val="00B24548"/>
    <w:rsid w:val="00B24968"/>
    <w:rsid w:val="00B25183"/>
    <w:rsid w:val="00B26086"/>
    <w:rsid w:val="00B2687E"/>
    <w:rsid w:val="00B26D3F"/>
    <w:rsid w:val="00B26E2C"/>
    <w:rsid w:val="00B26ECF"/>
    <w:rsid w:val="00B271E4"/>
    <w:rsid w:val="00B27BD4"/>
    <w:rsid w:val="00B27E7E"/>
    <w:rsid w:val="00B301EB"/>
    <w:rsid w:val="00B3052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42A6"/>
    <w:rsid w:val="00B344E2"/>
    <w:rsid w:val="00B3503E"/>
    <w:rsid w:val="00B3508A"/>
    <w:rsid w:val="00B362D5"/>
    <w:rsid w:val="00B36559"/>
    <w:rsid w:val="00B36774"/>
    <w:rsid w:val="00B3686C"/>
    <w:rsid w:val="00B36FB1"/>
    <w:rsid w:val="00B3752D"/>
    <w:rsid w:val="00B375ED"/>
    <w:rsid w:val="00B401B5"/>
    <w:rsid w:val="00B4042D"/>
    <w:rsid w:val="00B416C4"/>
    <w:rsid w:val="00B4176C"/>
    <w:rsid w:val="00B42AE8"/>
    <w:rsid w:val="00B42F47"/>
    <w:rsid w:val="00B431E5"/>
    <w:rsid w:val="00B43567"/>
    <w:rsid w:val="00B4371A"/>
    <w:rsid w:val="00B43AD6"/>
    <w:rsid w:val="00B44530"/>
    <w:rsid w:val="00B44A85"/>
    <w:rsid w:val="00B459F9"/>
    <w:rsid w:val="00B4624E"/>
    <w:rsid w:val="00B4707E"/>
    <w:rsid w:val="00B47991"/>
    <w:rsid w:val="00B47A1D"/>
    <w:rsid w:val="00B47BAF"/>
    <w:rsid w:val="00B5060A"/>
    <w:rsid w:val="00B506BD"/>
    <w:rsid w:val="00B508A8"/>
    <w:rsid w:val="00B51645"/>
    <w:rsid w:val="00B521E0"/>
    <w:rsid w:val="00B52583"/>
    <w:rsid w:val="00B53881"/>
    <w:rsid w:val="00B55CFE"/>
    <w:rsid w:val="00B566DD"/>
    <w:rsid w:val="00B569DD"/>
    <w:rsid w:val="00B56ABA"/>
    <w:rsid w:val="00B572D9"/>
    <w:rsid w:val="00B60182"/>
    <w:rsid w:val="00B605F8"/>
    <w:rsid w:val="00B60694"/>
    <w:rsid w:val="00B610BA"/>
    <w:rsid w:val="00B613C0"/>
    <w:rsid w:val="00B61890"/>
    <w:rsid w:val="00B619BE"/>
    <w:rsid w:val="00B62ECE"/>
    <w:rsid w:val="00B64A17"/>
    <w:rsid w:val="00B65A44"/>
    <w:rsid w:val="00B65A76"/>
    <w:rsid w:val="00B65BDF"/>
    <w:rsid w:val="00B65F6D"/>
    <w:rsid w:val="00B65F7A"/>
    <w:rsid w:val="00B65FD7"/>
    <w:rsid w:val="00B6637E"/>
    <w:rsid w:val="00B666F9"/>
    <w:rsid w:val="00B66817"/>
    <w:rsid w:val="00B677F5"/>
    <w:rsid w:val="00B67BB7"/>
    <w:rsid w:val="00B70576"/>
    <w:rsid w:val="00B705A3"/>
    <w:rsid w:val="00B727C7"/>
    <w:rsid w:val="00B72D19"/>
    <w:rsid w:val="00B72FA6"/>
    <w:rsid w:val="00B732B3"/>
    <w:rsid w:val="00B73555"/>
    <w:rsid w:val="00B74C50"/>
    <w:rsid w:val="00B75D67"/>
    <w:rsid w:val="00B76785"/>
    <w:rsid w:val="00B77E4C"/>
    <w:rsid w:val="00B80289"/>
    <w:rsid w:val="00B805EC"/>
    <w:rsid w:val="00B80961"/>
    <w:rsid w:val="00B816E3"/>
    <w:rsid w:val="00B8187E"/>
    <w:rsid w:val="00B81C70"/>
    <w:rsid w:val="00B82057"/>
    <w:rsid w:val="00B82455"/>
    <w:rsid w:val="00B8292B"/>
    <w:rsid w:val="00B82BEF"/>
    <w:rsid w:val="00B82CF2"/>
    <w:rsid w:val="00B82F0C"/>
    <w:rsid w:val="00B83F21"/>
    <w:rsid w:val="00B84DD3"/>
    <w:rsid w:val="00B8542C"/>
    <w:rsid w:val="00B85604"/>
    <w:rsid w:val="00B85E16"/>
    <w:rsid w:val="00B86738"/>
    <w:rsid w:val="00B87402"/>
    <w:rsid w:val="00B90343"/>
    <w:rsid w:val="00B90D65"/>
    <w:rsid w:val="00B90F9E"/>
    <w:rsid w:val="00B9186E"/>
    <w:rsid w:val="00B91976"/>
    <w:rsid w:val="00B91A3D"/>
    <w:rsid w:val="00B92360"/>
    <w:rsid w:val="00B9288C"/>
    <w:rsid w:val="00B92894"/>
    <w:rsid w:val="00B93625"/>
    <w:rsid w:val="00B93E8E"/>
    <w:rsid w:val="00B949EC"/>
    <w:rsid w:val="00B950F0"/>
    <w:rsid w:val="00B95AE2"/>
    <w:rsid w:val="00B95CFA"/>
    <w:rsid w:val="00B95F03"/>
    <w:rsid w:val="00B96C7E"/>
    <w:rsid w:val="00B974A0"/>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2B3D"/>
    <w:rsid w:val="00BB3B00"/>
    <w:rsid w:val="00BB3FDD"/>
    <w:rsid w:val="00BB468F"/>
    <w:rsid w:val="00BB58D5"/>
    <w:rsid w:val="00BB5BF2"/>
    <w:rsid w:val="00BB5E2F"/>
    <w:rsid w:val="00BB5ED9"/>
    <w:rsid w:val="00BB65B6"/>
    <w:rsid w:val="00BB67B7"/>
    <w:rsid w:val="00BB6D6D"/>
    <w:rsid w:val="00BB71CC"/>
    <w:rsid w:val="00BB789D"/>
    <w:rsid w:val="00BB79B3"/>
    <w:rsid w:val="00BC020C"/>
    <w:rsid w:val="00BC0A59"/>
    <w:rsid w:val="00BC0D72"/>
    <w:rsid w:val="00BC0DF4"/>
    <w:rsid w:val="00BC1147"/>
    <w:rsid w:val="00BC4467"/>
    <w:rsid w:val="00BC4BA0"/>
    <w:rsid w:val="00BC50CB"/>
    <w:rsid w:val="00BC569B"/>
    <w:rsid w:val="00BC59AA"/>
    <w:rsid w:val="00BC5A47"/>
    <w:rsid w:val="00BC6ABF"/>
    <w:rsid w:val="00BC7B21"/>
    <w:rsid w:val="00BC7BA6"/>
    <w:rsid w:val="00BC7BB3"/>
    <w:rsid w:val="00BD04D5"/>
    <w:rsid w:val="00BD0BAB"/>
    <w:rsid w:val="00BD1853"/>
    <w:rsid w:val="00BD1857"/>
    <w:rsid w:val="00BD28F8"/>
    <w:rsid w:val="00BD295B"/>
    <w:rsid w:val="00BD2994"/>
    <w:rsid w:val="00BD3A1B"/>
    <w:rsid w:val="00BD3E33"/>
    <w:rsid w:val="00BD3FE5"/>
    <w:rsid w:val="00BD4044"/>
    <w:rsid w:val="00BD4943"/>
    <w:rsid w:val="00BD615D"/>
    <w:rsid w:val="00BD7063"/>
    <w:rsid w:val="00BD7268"/>
    <w:rsid w:val="00BD7270"/>
    <w:rsid w:val="00BD7D82"/>
    <w:rsid w:val="00BE070E"/>
    <w:rsid w:val="00BE0D02"/>
    <w:rsid w:val="00BE19BC"/>
    <w:rsid w:val="00BE1D05"/>
    <w:rsid w:val="00BE1E31"/>
    <w:rsid w:val="00BE1E47"/>
    <w:rsid w:val="00BE2598"/>
    <w:rsid w:val="00BE29E4"/>
    <w:rsid w:val="00BE2F33"/>
    <w:rsid w:val="00BE2F3E"/>
    <w:rsid w:val="00BE3C4B"/>
    <w:rsid w:val="00BE3CEA"/>
    <w:rsid w:val="00BE4E62"/>
    <w:rsid w:val="00BE4FEB"/>
    <w:rsid w:val="00BE5495"/>
    <w:rsid w:val="00BE63D1"/>
    <w:rsid w:val="00BE6C4E"/>
    <w:rsid w:val="00BE6CBF"/>
    <w:rsid w:val="00BE759D"/>
    <w:rsid w:val="00BF0645"/>
    <w:rsid w:val="00BF08EB"/>
    <w:rsid w:val="00BF0C47"/>
    <w:rsid w:val="00BF1741"/>
    <w:rsid w:val="00BF2275"/>
    <w:rsid w:val="00BF2B26"/>
    <w:rsid w:val="00BF42E9"/>
    <w:rsid w:val="00BF4698"/>
    <w:rsid w:val="00BF59FF"/>
    <w:rsid w:val="00BF6934"/>
    <w:rsid w:val="00BF6A3A"/>
    <w:rsid w:val="00BF6A4C"/>
    <w:rsid w:val="00BF6FAC"/>
    <w:rsid w:val="00BF7692"/>
    <w:rsid w:val="00BF7F05"/>
    <w:rsid w:val="00C0053C"/>
    <w:rsid w:val="00C00626"/>
    <w:rsid w:val="00C01623"/>
    <w:rsid w:val="00C01E94"/>
    <w:rsid w:val="00C02011"/>
    <w:rsid w:val="00C0231A"/>
    <w:rsid w:val="00C02519"/>
    <w:rsid w:val="00C025E6"/>
    <w:rsid w:val="00C03109"/>
    <w:rsid w:val="00C036D0"/>
    <w:rsid w:val="00C037C7"/>
    <w:rsid w:val="00C04121"/>
    <w:rsid w:val="00C04227"/>
    <w:rsid w:val="00C04957"/>
    <w:rsid w:val="00C05DC6"/>
    <w:rsid w:val="00C069FB"/>
    <w:rsid w:val="00C06BEA"/>
    <w:rsid w:val="00C06D98"/>
    <w:rsid w:val="00C07759"/>
    <w:rsid w:val="00C07F76"/>
    <w:rsid w:val="00C1071A"/>
    <w:rsid w:val="00C10A48"/>
    <w:rsid w:val="00C11E5F"/>
    <w:rsid w:val="00C12481"/>
    <w:rsid w:val="00C12801"/>
    <w:rsid w:val="00C12C08"/>
    <w:rsid w:val="00C12D7D"/>
    <w:rsid w:val="00C13991"/>
    <w:rsid w:val="00C13C05"/>
    <w:rsid w:val="00C13C10"/>
    <w:rsid w:val="00C13E31"/>
    <w:rsid w:val="00C1459C"/>
    <w:rsid w:val="00C14CFE"/>
    <w:rsid w:val="00C1613F"/>
    <w:rsid w:val="00C1672A"/>
    <w:rsid w:val="00C16AB8"/>
    <w:rsid w:val="00C1753A"/>
    <w:rsid w:val="00C20464"/>
    <w:rsid w:val="00C204A5"/>
    <w:rsid w:val="00C21592"/>
    <w:rsid w:val="00C218B2"/>
    <w:rsid w:val="00C21C39"/>
    <w:rsid w:val="00C21E64"/>
    <w:rsid w:val="00C2205A"/>
    <w:rsid w:val="00C2298A"/>
    <w:rsid w:val="00C22C52"/>
    <w:rsid w:val="00C23116"/>
    <w:rsid w:val="00C235C9"/>
    <w:rsid w:val="00C23A0C"/>
    <w:rsid w:val="00C23EDD"/>
    <w:rsid w:val="00C241DA"/>
    <w:rsid w:val="00C24500"/>
    <w:rsid w:val="00C25738"/>
    <w:rsid w:val="00C25750"/>
    <w:rsid w:val="00C25C6B"/>
    <w:rsid w:val="00C25E18"/>
    <w:rsid w:val="00C25F07"/>
    <w:rsid w:val="00C2660B"/>
    <w:rsid w:val="00C2665E"/>
    <w:rsid w:val="00C27369"/>
    <w:rsid w:val="00C30134"/>
    <w:rsid w:val="00C30150"/>
    <w:rsid w:val="00C3048D"/>
    <w:rsid w:val="00C30877"/>
    <w:rsid w:val="00C32D8D"/>
    <w:rsid w:val="00C32ED2"/>
    <w:rsid w:val="00C33889"/>
    <w:rsid w:val="00C33BE9"/>
    <w:rsid w:val="00C33E4A"/>
    <w:rsid w:val="00C34153"/>
    <w:rsid w:val="00C343BD"/>
    <w:rsid w:val="00C344E5"/>
    <w:rsid w:val="00C34D6E"/>
    <w:rsid w:val="00C3528F"/>
    <w:rsid w:val="00C35ED3"/>
    <w:rsid w:val="00C37BF1"/>
    <w:rsid w:val="00C41220"/>
    <w:rsid w:val="00C412CE"/>
    <w:rsid w:val="00C4239E"/>
    <w:rsid w:val="00C42710"/>
    <w:rsid w:val="00C42CA6"/>
    <w:rsid w:val="00C42F0C"/>
    <w:rsid w:val="00C44B0A"/>
    <w:rsid w:val="00C44F96"/>
    <w:rsid w:val="00C45108"/>
    <w:rsid w:val="00C45D9E"/>
    <w:rsid w:val="00C4620C"/>
    <w:rsid w:val="00C46651"/>
    <w:rsid w:val="00C46A0C"/>
    <w:rsid w:val="00C47E20"/>
    <w:rsid w:val="00C50552"/>
    <w:rsid w:val="00C513E5"/>
    <w:rsid w:val="00C51FFF"/>
    <w:rsid w:val="00C523C3"/>
    <w:rsid w:val="00C52BFA"/>
    <w:rsid w:val="00C52DD2"/>
    <w:rsid w:val="00C53055"/>
    <w:rsid w:val="00C53177"/>
    <w:rsid w:val="00C531FE"/>
    <w:rsid w:val="00C5377F"/>
    <w:rsid w:val="00C54D60"/>
    <w:rsid w:val="00C54F09"/>
    <w:rsid w:val="00C55201"/>
    <w:rsid w:val="00C5546E"/>
    <w:rsid w:val="00C554BA"/>
    <w:rsid w:val="00C554FA"/>
    <w:rsid w:val="00C55680"/>
    <w:rsid w:val="00C55E17"/>
    <w:rsid w:val="00C57A32"/>
    <w:rsid w:val="00C57E37"/>
    <w:rsid w:val="00C604A1"/>
    <w:rsid w:val="00C61162"/>
    <w:rsid w:val="00C6147C"/>
    <w:rsid w:val="00C62D65"/>
    <w:rsid w:val="00C63248"/>
    <w:rsid w:val="00C63632"/>
    <w:rsid w:val="00C63854"/>
    <w:rsid w:val="00C63D24"/>
    <w:rsid w:val="00C64566"/>
    <w:rsid w:val="00C646F2"/>
    <w:rsid w:val="00C6495F"/>
    <w:rsid w:val="00C64F3C"/>
    <w:rsid w:val="00C66225"/>
    <w:rsid w:val="00C66563"/>
    <w:rsid w:val="00C66BA0"/>
    <w:rsid w:val="00C66D1D"/>
    <w:rsid w:val="00C66D5D"/>
    <w:rsid w:val="00C6709D"/>
    <w:rsid w:val="00C675C9"/>
    <w:rsid w:val="00C717E3"/>
    <w:rsid w:val="00C72084"/>
    <w:rsid w:val="00C72C1C"/>
    <w:rsid w:val="00C72E42"/>
    <w:rsid w:val="00C73327"/>
    <w:rsid w:val="00C739BF"/>
    <w:rsid w:val="00C74275"/>
    <w:rsid w:val="00C74CEA"/>
    <w:rsid w:val="00C75370"/>
    <w:rsid w:val="00C7550B"/>
    <w:rsid w:val="00C75778"/>
    <w:rsid w:val="00C75D94"/>
    <w:rsid w:val="00C76296"/>
    <w:rsid w:val="00C76303"/>
    <w:rsid w:val="00C76947"/>
    <w:rsid w:val="00C77E9A"/>
    <w:rsid w:val="00C80285"/>
    <w:rsid w:val="00C80DE3"/>
    <w:rsid w:val="00C80F01"/>
    <w:rsid w:val="00C8170D"/>
    <w:rsid w:val="00C81948"/>
    <w:rsid w:val="00C819DF"/>
    <w:rsid w:val="00C81D7E"/>
    <w:rsid w:val="00C8296E"/>
    <w:rsid w:val="00C82D1B"/>
    <w:rsid w:val="00C83E11"/>
    <w:rsid w:val="00C84418"/>
    <w:rsid w:val="00C84737"/>
    <w:rsid w:val="00C84B89"/>
    <w:rsid w:val="00C84EAC"/>
    <w:rsid w:val="00C85A3A"/>
    <w:rsid w:val="00C85CE4"/>
    <w:rsid w:val="00C8689C"/>
    <w:rsid w:val="00C86CC1"/>
    <w:rsid w:val="00C86E77"/>
    <w:rsid w:val="00C8711E"/>
    <w:rsid w:val="00C877BF"/>
    <w:rsid w:val="00C900EA"/>
    <w:rsid w:val="00C91A81"/>
    <w:rsid w:val="00C91E59"/>
    <w:rsid w:val="00C9206E"/>
    <w:rsid w:val="00C92702"/>
    <w:rsid w:val="00C92947"/>
    <w:rsid w:val="00C94892"/>
    <w:rsid w:val="00C948D1"/>
    <w:rsid w:val="00C94E8B"/>
    <w:rsid w:val="00C95170"/>
    <w:rsid w:val="00C9590D"/>
    <w:rsid w:val="00C961F6"/>
    <w:rsid w:val="00C96AC5"/>
    <w:rsid w:val="00C96F49"/>
    <w:rsid w:val="00C970AF"/>
    <w:rsid w:val="00C973C7"/>
    <w:rsid w:val="00C975B6"/>
    <w:rsid w:val="00C97981"/>
    <w:rsid w:val="00C97E3C"/>
    <w:rsid w:val="00C97EF1"/>
    <w:rsid w:val="00CA0969"/>
    <w:rsid w:val="00CA09BF"/>
    <w:rsid w:val="00CA22E1"/>
    <w:rsid w:val="00CA2BF7"/>
    <w:rsid w:val="00CA2E03"/>
    <w:rsid w:val="00CA3561"/>
    <w:rsid w:val="00CA3876"/>
    <w:rsid w:val="00CA48A5"/>
    <w:rsid w:val="00CA504A"/>
    <w:rsid w:val="00CA55A2"/>
    <w:rsid w:val="00CA598A"/>
    <w:rsid w:val="00CA5B7C"/>
    <w:rsid w:val="00CA5E19"/>
    <w:rsid w:val="00CA6779"/>
    <w:rsid w:val="00CA6CB9"/>
    <w:rsid w:val="00CA6DFD"/>
    <w:rsid w:val="00CA729D"/>
    <w:rsid w:val="00CB0F8B"/>
    <w:rsid w:val="00CB102D"/>
    <w:rsid w:val="00CB1701"/>
    <w:rsid w:val="00CB173F"/>
    <w:rsid w:val="00CB2F89"/>
    <w:rsid w:val="00CB4635"/>
    <w:rsid w:val="00CB6405"/>
    <w:rsid w:val="00CB733D"/>
    <w:rsid w:val="00CB7416"/>
    <w:rsid w:val="00CC03A9"/>
    <w:rsid w:val="00CC142C"/>
    <w:rsid w:val="00CC173E"/>
    <w:rsid w:val="00CC1775"/>
    <w:rsid w:val="00CC1933"/>
    <w:rsid w:val="00CC2414"/>
    <w:rsid w:val="00CC2682"/>
    <w:rsid w:val="00CC2959"/>
    <w:rsid w:val="00CC2986"/>
    <w:rsid w:val="00CC3D8A"/>
    <w:rsid w:val="00CC3DC9"/>
    <w:rsid w:val="00CC3E33"/>
    <w:rsid w:val="00CC4731"/>
    <w:rsid w:val="00CC61F4"/>
    <w:rsid w:val="00CC651D"/>
    <w:rsid w:val="00CC655C"/>
    <w:rsid w:val="00CC65AC"/>
    <w:rsid w:val="00CD07E2"/>
    <w:rsid w:val="00CD1AEF"/>
    <w:rsid w:val="00CD28C6"/>
    <w:rsid w:val="00CD4247"/>
    <w:rsid w:val="00CD4254"/>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2810"/>
    <w:rsid w:val="00CE29DC"/>
    <w:rsid w:val="00CE3ADA"/>
    <w:rsid w:val="00CE3DBD"/>
    <w:rsid w:val="00CE5E19"/>
    <w:rsid w:val="00CE6306"/>
    <w:rsid w:val="00CE6844"/>
    <w:rsid w:val="00CE6917"/>
    <w:rsid w:val="00CE6EAF"/>
    <w:rsid w:val="00CE7CCB"/>
    <w:rsid w:val="00CF0281"/>
    <w:rsid w:val="00CF0ABD"/>
    <w:rsid w:val="00CF0D5C"/>
    <w:rsid w:val="00CF11A7"/>
    <w:rsid w:val="00CF169C"/>
    <w:rsid w:val="00CF19F9"/>
    <w:rsid w:val="00CF1A60"/>
    <w:rsid w:val="00CF2D8A"/>
    <w:rsid w:val="00CF3678"/>
    <w:rsid w:val="00CF38E1"/>
    <w:rsid w:val="00CF40EC"/>
    <w:rsid w:val="00CF569D"/>
    <w:rsid w:val="00CF58FA"/>
    <w:rsid w:val="00CF5DAE"/>
    <w:rsid w:val="00CF5E59"/>
    <w:rsid w:val="00CF60F2"/>
    <w:rsid w:val="00CF61BB"/>
    <w:rsid w:val="00CF691F"/>
    <w:rsid w:val="00CF6D49"/>
    <w:rsid w:val="00CF7085"/>
    <w:rsid w:val="00CF7093"/>
    <w:rsid w:val="00CF7F34"/>
    <w:rsid w:val="00D012C4"/>
    <w:rsid w:val="00D017A3"/>
    <w:rsid w:val="00D022E1"/>
    <w:rsid w:val="00D0238F"/>
    <w:rsid w:val="00D02AE6"/>
    <w:rsid w:val="00D02F23"/>
    <w:rsid w:val="00D02FAA"/>
    <w:rsid w:val="00D0487F"/>
    <w:rsid w:val="00D053E8"/>
    <w:rsid w:val="00D06569"/>
    <w:rsid w:val="00D067A8"/>
    <w:rsid w:val="00D068AF"/>
    <w:rsid w:val="00D10226"/>
    <w:rsid w:val="00D10A0C"/>
    <w:rsid w:val="00D10BEC"/>
    <w:rsid w:val="00D10C97"/>
    <w:rsid w:val="00D1104A"/>
    <w:rsid w:val="00D11CE3"/>
    <w:rsid w:val="00D11F6B"/>
    <w:rsid w:val="00D12899"/>
    <w:rsid w:val="00D134D7"/>
    <w:rsid w:val="00D13CFD"/>
    <w:rsid w:val="00D13D20"/>
    <w:rsid w:val="00D1419E"/>
    <w:rsid w:val="00D1458F"/>
    <w:rsid w:val="00D14962"/>
    <w:rsid w:val="00D149FF"/>
    <w:rsid w:val="00D15557"/>
    <w:rsid w:val="00D15B39"/>
    <w:rsid w:val="00D164EC"/>
    <w:rsid w:val="00D1672C"/>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630"/>
    <w:rsid w:val="00D27A97"/>
    <w:rsid w:val="00D27F4F"/>
    <w:rsid w:val="00D302D0"/>
    <w:rsid w:val="00D30DEF"/>
    <w:rsid w:val="00D30FDC"/>
    <w:rsid w:val="00D318D6"/>
    <w:rsid w:val="00D321D5"/>
    <w:rsid w:val="00D32339"/>
    <w:rsid w:val="00D33A75"/>
    <w:rsid w:val="00D33D19"/>
    <w:rsid w:val="00D33D2C"/>
    <w:rsid w:val="00D34004"/>
    <w:rsid w:val="00D34699"/>
    <w:rsid w:val="00D347D0"/>
    <w:rsid w:val="00D34A99"/>
    <w:rsid w:val="00D34E05"/>
    <w:rsid w:val="00D34FD4"/>
    <w:rsid w:val="00D35185"/>
    <w:rsid w:val="00D35215"/>
    <w:rsid w:val="00D3678A"/>
    <w:rsid w:val="00D3747B"/>
    <w:rsid w:val="00D37F5C"/>
    <w:rsid w:val="00D406FD"/>
    <w:rsid w:val="00D40C66"/>
    <w:rsid w:val="00D41514"/>
    <w:rsid w:val="00D41951"/>
    <w:rsid w:val="00D419FD"/>
    <w:rsid w:val="00D41FB1"/>
    <w:rsid w:val="00D420CB"/>
    <w:rsid w:val="00D421A9"/>
    <w:rsid w:val="00D42C57"/>
    <w:rsid w:val="00D436F0"/>
    <w:rsid w:val="00D437E8"/>
    <w:rsid w:val="00D43C9A"/>
    <w:rsid w:val="00D444E9"/>
    <w:rsid w:val="00D449DF"/>
    <w:rsid w:val="00D44B7F"/>
    <w:rsid w:val="00D453BC"/>
    <w:rsid w:val="00D4580A"/>
    <w:rsid w:val="00D45BA0"/>
    <w:rsid w:val="00D462EB"/>
    <w:rsid w:val="00D46AF2"/>
    <w:rsid w:val="00D501C1"/>
    <w:rsid w:val="00D50C1E"/>
    <w:rsid w:val="00D51FFB"/>
    <w:rsid w:val="00D52284"/>
    <w:rsid w:val="00D531B8"/>
    <w:rsid w:val="00D53608"/>
    <w:rsid w:val="00D54CFD"/>
    <w:rsid w:val="00D55113"/>
    <w:rsid w:val="00D55B25"/>
    <w:rsid w:val="00D55B61"/>
    <w:rsid w:val="00D56EF8"/>
    <w:rsid w:val="00D6046C"/>
    <w:rsid w:val="00D61A49"/>
    <w:rsid w:val="00D61C4D"/>
    <w:rsid w:val="00D622F1"/>
    <w:rsid w:val="00D62977"/>
    <w:rsid w:val="00D62D4E"/>
    <w:rsid w:val="00D62EE1"/>
    <w:rsid w:val="00D6310B"/>
    <w:rsid w:val="00D64CC0"/>
    <w:rsid w:val="00D65165"/>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2732"/>
    <w:rsid w:val="00D72DBD"/>
    <w:rsid w:val="00D7313E"/>
    <w:rsid w:val="00D73DD4"/>
    <w:rsid w:val="00D73F8A"/>
    <w:rsid w:val="00D73F9F"/>
    <w:rsid w:val="00D74057"/>
    <w:rsid w:val="00D740B5"/>
    <w:rsid w:val="00D742D5"/>
    <w:rsid w:val="00D75001"/>
    <w:rsid w:val="00D75B27"/>
    <w:rsid w:val="00D76290"/>
    <w:rsid w:val="00D7683D"/>
    <w:rsid w:val="00D769FB"/>
    <w:rsid w:val="00D77082"/>
    <w:rsid w:val="00D77B0E"/>
    <w:rsid w:val="00D8010F"/>
    <w:rsid w:val="00D808F8"/>
    <w:rsid w:val="00D820AD"/>
    <w:rsid w:val="00D82E5D"/>
    <w:rsid w:val="00D82F31"/>
    <w:rsid w:val="00D83471"/>
    <w:rsid w:val="00D8382B"/>
    <w:rsid w:val="00D83DEE"/>
    <w:rsid w:val="00D83EEC"/>
    <w:rsid w:val="00D849D2"/>
    <w:rsid w:val="00D84C00"/>
    <w:rsid w:val="00D8540D"/>
    <w:rsid w:val="00D859B2"/>
    <w:rsid w:val="00D8649F"/>
    <w:rsid w:val="00D867B9"/>
    <w:rsid w:val="00D86A80"/>
    <w:rsid w:val="00D86C6E"/>
    <w:rsid w:val="00D87B7E"/>
    <w:rsid w:val="00D90172"/>
    <w:rsid w:val="00D92DE4"/>
    <w:rsid w:val="00D93656"/>
    <w:rsid w:val="00D94136"/>
    <w:rsid w:val="00D9554B"/>
    <w:rsid w:val="00D95777"/>
    <w:rsid w:val="00D95894"/>
    <w:rsid w:val="00D95D44"/>
    <w:rsid w:val="00D967CA"/>
    <w:rsid w:val="00D96FA9"/>
    <w:rsid w:val="00D97338"/>
    <w:rsid w:val="00D97501"/>
    <w:rsid w:val="00DA0668"/>
    <w:rsid w:val="00DA06CB"/>
    <w:rsid w:val="00DA0794"/>
    <w:rsid w:val="00DA1CB0"/>
    <w:rsid w:val="00DA3C69"/>
    <w:rsid w:val="00DA4206"/>
    <w:rsid w:val="00DA45E4"/>
    <w:rsid w:val="00DA46F4"/>
    <w:rsid w:val="00DA56C0"/>
    <w:rsid w:val="00DA6300"/>
    <w:rsid w:val="00DA66B0"/>
    <w:rsid w:val="00DA7B35"/>
    <w:rsid w:val="00DB05F9"/>
    <w:rsid w:val="00DB2446"/>
    <w:rsid w:val="00DB2633"/>
    <w:rsid w:val="00DB493A"/>
    <w:rsid w:val="00DB4F50"/>
    <w:rsid w:val="00DB5001"/>
    <w:rsid w:val="00DB5D59"/>
    <w:rsid w:val="00DB6164"/>
    <w:rsid w:val="00DB6E35"/>
    <w:rsid w:val="00DB7504"/>
    <w:rsid w:val="00DB7BE1"/>
    <w:rsid w:val="00DB7C0E"/>
    <w:rsid w:val="00DB7E48"/>
    <w:rsid w:val="00DB7F14"/>
    <w:rsid w:val="00DC03EA"/>
    <w:rsid w:val="00DC04EA"/>
    <w:rsid w:val="00DC0589"/>
    <w:rsid w:val="00DC1421"/>
    <w:rsid w:val="00DC1680"/>
    <w:rsid w:val="00DC2BD1"/>
    <w:rsid w:val="00DC39C3"/>
    <w:rsid w:val="00DC4145"/>
    <w:rsid w:val="00DC532C"/>
    <w:rsid w:val="00DC5568"/>
    <w:rsid w:val="00DC5D55"/>
    <w:rsid w:val="00DC62A8"/>
    <w:rsid w:val="00DC64B8"/>
    <w:rsid w:val="00DC72BC"/>
    <w:rsid w:val="00DC733F"/>
    <w:rsid w:val="00DD0184"/>
    <w:rsid w:val="00DD03F9"/>
    <w:rsid w:val="00DD03FB"/>
    <w:rsid w:val="00DD0D60"/>
    <w:rsid w:val="00DD10D6"/>
    <w:rsid w:val="00DD19E8"/>
    <w:rsid w:val="00DD1B1A"/>
    <w:rsid w:val="00DD1BF4"/>
    <w:rsid w:val="00DD1D75"/>
    <w:rsid w:val="00DD1F7B"/>
    <w:rsid w:val="00DD2662"/>
    <w:rsid w:val="00DD2B7A"/>
    <w:rsid w:val="00DD3278"/>
    <w:rsid w:val="00DD34CF"/>
    <w:rsid w:val="00DD370B"/>
    <w:rsid w:val="00DD38CD"/>
    <w:rsid w:val="00DD38DC"/>
    <w:rsid w:val="00DD3DA4"/>
    <w:rsid w:val="00DD437E"/>
    <w:rsid w:val="00DD4EE7"/>
    <w:rsid w:val="00DD554B"/>
    <w:rsid w:val="00DD61FE"/>
    <w:rsid w:val="00DD62A7"/>
    <w:rsid w:val="00DD6B36"/>
    <w:rsid w:val="00DE0629"/>
    <w:rsid w:val="00DE1090"/>
    <w:rsid w:val="00DE1716"/>
    <w:rsid w:val="00DE26E1"/>
    <w:rsid w:val="00DE290C"/>
    <w:rsid w:val="00DE2B15"/>
    <w:rsid w:val="00DE2FF2"/>
    <w:rsid w:val="00DE3313"/>
    <w:rsid w:val="00DE3CB0"/>
    <w:rsid w:val="00DE3ECF"/>
    <w:rsid w:val="00DE49D4"/>
    <w:rsid w:val="00DE4BA1"/>
    <w:rsid w:val="00DE4EB2"/>
    <w:rsid w:val="00DE4ECB"/>
    <w:rsid w:val="00DE4F26"/>
    <w:rsid w:val="00DE596D"/>
    <w:rsid w:val="00DE60B6"/>
    <w:rsid w:val="00DE62A2"/>
    <w:rsid w:val="00DE6791"/>
    <w:rsid w:val="00DE6D48"/>
    <w:rsid w:val="00DE75DE"/>
    <w:rsid w:val="00DE77F0"/>
    <w:rsid w:val="00DE7816"/>
    <w:rsid w:val="00DF10D0"/>
    <w:rsid w:val="00DF152B"/>
    <w:rsid w:val="00DF215B"/>
    <w:rsid w:val="00DF242D"/>
    <w:rsid w:val="00DF242E"/>
    <w:rsid w:val="00DF3051"/>
    <w:rsid w:val="00DF3576"/>
    <w:rsid w:val="00DF3BB4"/>
    <w:rsid w:val="00DF3C41"/>
    <w:rsid w:val="00DF4A3E"/>
    <w:rsid w:val="00DF4BA1"/>
    <w:rsid w:val="00DF4F71"/>
    <w:rsid w:val="00DF581A"/>
    <w:rsid w:val="00DF5E64"/>
    <w:rsid w:val="00DF61ED"/>
    <w:rsid w:val="00DF6AFA"/>
    <w:rsid w:val="00DF6FE2"/>
    <w:rsid w:val="00DF7609"/>
    <w:rsid w:val="00DF7850"/>
    <w:rsid w:val="00DF7E47"/>
    <w:rsid w:val="00E0051A"/>
    <w:rsid w:val="00E00883"/>
    <w:rsid w:val="00E0193E"/>
    <w:rsid w:val="00E02D42"/>
    <w:rsid w:val="00E035AD"/>
    <w:rsid w:val="00E05C4F"/>
    <w:rsid w:val="00E06848"/>
    <w:rsid w:val="00E06C71"/>
    <w:rsid w:val="00E1047D"/>
    <w:rsid w:val="00E1107E"/>
    <w:rsid w:val="00E11B0C"/>
    <w:rsid w:val="00E129F8"/>
    <w:rsid w:val="00E12F4E"/>
    <w:rsid w:val="00E13779"/>
    <w:rsid w:val="00E13A85"/>
    <w:rsid w:val="00E141DF"/>
    <w:rsid w:val="00E148EF"/>
    <w:rsid w:val="00E14AE5"/>
    <w:rsid w:val="00E1523E"/>
    <w:rsid w:val="00E1590F"/>
    <w:rsid w:val="00E16147"/>
    <w:rsid w:val="00E16368"/>
    <w:rsid w:val="00E16DBA"/>
    <w:rsid w:val="00E1779F"/>
    <w:rsid w:val="00E1794D"/>
    <w:rsid w:val="00E200E7"/>
    <w:rsid w:val="00E20187"/>
    <w:rsid w:val="00E202E0"/>
    <w:rsid w:val="00E20EDA"/>
    <w:rsid w:val="00E20FFA"/>
    <w:rsid w:val="00E21885"/>
    <w:rsid w:val="00E21F5A"/>
    <w:rsid w:val="00E221EC"/>
    <w:rsid w:val="00E230FF"/>
    <w:rsid w:val="00E23691"/>
    <w:rsid w:val="00E23D60"/>
    <w:rsid w:val="00E23FDC"/>
    <w:rsid w:val="00E245A0"/>
    <w:rsid w:val="00E2597D"/>
    <w:rsid w:val="00E25AB4"/>
    <w:rsid w:val="00E2604A"/>
    <w:rsid w:val="00E26C28"/>
    <w:rsid w:val="00E271F8"/>
    <w:rsid w:val="00E27254"/>
    <w:rsid w:val="00E27589"/>
    <w:rsid w:val="00E30C9F"/>
    <w:rsid w:val="00E30CD7"/>
    <w:rsid w:val="00E30FB9"/>
    <w:rsid w:val="00E31197"/>
    <w:rsid w:val="00E3147F"/>
    <w:rsid w:val="00E315F1"/>
    <w:rsid w:val="00E319B8"/>
    <w:rsid w:val="00E33454"/>
    <w:rsid w:val="00E3386F"/>
    <w:rsid w:val="00E33E51"/>
    <w:rsid w:val="00E3456F"/>
    <w:rsid w:val="00E34BFB"/>
    <w:rsid w:val="00E35098"/>
    <w:rsid w:val="00E35A09"/>
    <w:rsid w:val="00E35E6C"/>
    <w:rsid w:val="00E36EE6"/>
    <w:rsid w:val="00E40CB4"/>
    <w:rsid w:val="00E41AA9"/>
    <w:rsid w:val="00E41E94"/>
    <w:rsid w:val="00E42117"/>
    <w:rsid w:val="00E421FB"/>
    <w:rsid w:val="00E4241C"/>
    <w:rsid w:val="00E42637"/>
    <w:rsid w:val="00E42DF3"/>
    <w:rsid w:val="00E430F9"/>
    <w:rsid w:val="00E43D7E"/>
    <w:rsid w:val="00E43DAC"/>
    <w:rsid w:val="00E43EB7"/>
    <w:rsid w:val="00E43F18"/>
    <w:rsid w:val="00E44719"/>
    <w:rsid w:val="00E44905"/>
    <w:rsid w:val="00E45BDC"/>
    <w:rsid w:val="00E46CC6"/>
    <w:rsid w:val="00E51337"/>
    <w:rsid w:val="00E51A2E"/>
    <w:rsid w:val="00E51E85"/>
    <w:rsid w:val="00E52DD6"/>
    <w:rsid w:val="00E53048"/>
    <w:rsid w:val="00E53A6F"/>
    <w:rsid w:val="00E53AA7"/>
    <w:rsid w:val="00E53F88"/>
    <w:rsid w:val="00E5464D"/>
    <w:rsid w:val="00E54684"/>
    <w:rsid w:val="00E54A33"/>
    <w:rsid w:val="00E54DC4"/>
    <w:rsid w:val="00E55B99"/>
    <w:rsid w:val="00E56574"/>
    <w:rsid w:val="00E56CCD"/>
    <w:rsid w:val="00E5781B"/>
    <w:rsid w:val="00E61083"/>
    <w:rsid w:val="00E61533"/>
    <w:rsid w:val="00E6177C"/>
    <w:rsid w:val="00E6240D"/>
    <w:rsid w:val="00E62E4F"/>
    <w:rsid w:val="00E63B96"/>
    <w:rsid w:val="00E63BF7"/>
    <w:rsid w:val="00E641FC"/>
    <w:rsid w:val="00E644BE"/>
    <w:rsid w:val="00E64DD5"/>
    <w:rsid w:val="00E64F4C"/>
    <w:rsid w:val="00E6534D"/>
    <w:rsid w:val="00E657C1"/>
    <w:rsid w:val="00E6660C"/>
    <w:rsid w:val="00E66B46"/>
    <w:rsid w:val="00E66CEE"/>
    <w:rsid w:val="00E66EE0"/>
    <w:rsid w:val="00E66FCC"/>
    <w:rsid w:val="00E674C2"/>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C37"/>
    <w:rsid w:val="00E76DD6"/>
    <w:rsid w:val="00E773CD"/>
    <w:rsid w:val="00E800A3"/>
    <w:rsid w:val="00E8088F"/>
    <w:rsid w:val="00E80C7D"/>
    <w:rsid w:val="00E82513"/>
    <w:rsid w:val="00E825F7"/>
    <w:rsid w:val="00E82677"/>
    <w:rsid w:val="00E82A41"/>
    <w:rsid w:val="00E83495"/>
    <w:rsid w:val="00E839A6"/>
    <w:rsid w:val="00E84C5D"/>
    <w:rsid w:val="00E85E7E"/>
    <w:rsid w:val="00E8606A"/>
    <w:rsid w:val="00E865E0"/>
    <w:rsid w:val="00E86CDD"/>
    <w:rsid w:val="00E86E99"/>
    <w:rsid w:val="00E87D7E"/>
    <w:rsid w:val="00E9016A"/>
    <w:rsid w:val="00E90C8D"/>
    <w:rsid w:val="00E91B3F"/>
    <w:rsid w:val="00E91DA6"/>
    <w:rsid w:val="00E91EE2"/>
    <w:rsid w:val="00E92E50"/>
    <w:rsid w:val="00E9330F"/>
    <w:rsid w:val="00E93ADA"/>
    <w:rsid w:val="00E94A80"/>
    <w:rsid w:val="00E94EC1"/>
    <w:rsid w:val="00E95153"/>
    <w:rsid w:val="00E95E9A"/>
    <w:rsid w:val="00E95F02"/>
    <w:rsid w:val="00E961BB"/>
    <w:rsid w:val="00E97445"/>
    <w:rsid w:val="00E97648"/>
    <w:rsid w:val="00E97C18"/>
    <w:rsid w:val="00EA0350"/>
    <w:rsid w:val="00EA0379"/>
    <w:rsid w:val="00EA17EA"/>
    <w:rsid w:val="00EA1ACE"/>
    <w:rsid w:val="00EA218E"/>
    <w:rsid w:val="00EA24CE"/>
    <w:rsid w:val="00EA2674"/>
    <w:rsid w:val="00EA3149"/>
    <w:rsid w:val="00EA33DD"/>
    <w:rsid w:val="00EA383A"/>
    <w:rsid w:val="00EA3AB4"/>
    <w:rsid w:val="00EA3AEB"/>
    <w:rsid w:val="00EA3F1E"/>
    <w:rsid w:val="00EA5656"/>
    <w:rsid w:val="00EA5C2A"/>
    <w:rsid w:val="00EA6026"/>
    <w:rsid w:val="00EA6128"/>
    <w:rsid w:val="00EA613F"/>
    <w:rsid w:val="00EA6CB5"/>
    <w:rsid w:val="00EA6F69"/>
    <w:rsid w:val="00EA7798"/>
    <w:rsid w:val="00EA7BA5"/>
    <w:rsid w:val="00EB090D"/>
    <w:rsid w:val="00EB09FB"/>
    <w:rsid w:val="00EB0A20"/>
    <w:rsid w:val="00EB116F"/>
    <w:rsid w:val="00EB1525"/>
    <w:rsid w:val="00EB2002"/>
    <w:rsid w:val="00EB23FC"/>
    <w:rsid w:val="00EB2B8A"/>
    <w:rsid w:val="00EB2DCB"/>
    <w:rsid w:val="00EB3017"/>
    <w:rsid w:val="00EB3DC5"/>
    <w:rsid w:val="00EB4B0A"/>
    <w:rsid w:val="00EB5162"/>
    <w:rsid w:val="00EB52C6"/>
    <w:rsid w:val="00EB55C7"/>
    <w:rsid w:val="00EB579D"/>
    <w:rsid w:val="00EB5C25"/>
    <w:rsid w:val="00EB6511"/>
    <w:rsid w:val="00EB665C"/>
    <w:rsid w:val="00EB7EDA"/>
    <w:rsid w:val="00EC0083"/>
    <w:rsid w:val="00EC035B"/>
    <w:rsid w:val="00EC0B8D"/>
    <w:rsid w:val="00EC13CB"/>
    <w:rsid w:val="00EC14BE"/>
    <w:rsid w:val="00EC1AFE"/>
    <w:rsid w:val="00EC20BB"/>
    <w:rsid w:val="00EC35E7"/>
    <w:rsid w:val="00EC3C22"/>
    <w:rsid w:val="00EC4F4B"/>
    <w:rsid w:val="00EC5719"/>
    <w:rsid w:val="00ED0937"/>
    <w:rsid w:val="00ED0B11"/>
    <w:rsid w:val="00ED16D8"/>
    <w:rsid w:val="00ED1A6E"/>
    <w:rsid w:val="00ED1E60"/>
    <w:rsid w:val="00ED229B"/>
    <w:rsid w:val="00ED2AD6"/>
    <w:rsid w:val="00ED34FB"/>
    <w:rsid w:val="00ED3582"/>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51AA"/>
    <w:rsid w:val="00EE6A55"/>
    <w:rsid w:val="00EE6E25"/>
    <w:rsid w:val="00EF09E0"/>
    <w:rsid w:val="00EF1240"/>
    <w:rsid w:val="00EF1C22"/>
    <w:rsid w:val="00EF238B"/>
    <w:rsid w:val="00EF2539"/>
    <w:rsid w:val="00EF2648"/>
    <w:rsid w:val="00EF2AA5"/>
    <w:rsid w:val="00EF3FF7"/>
    <w:rsid w:val="00EF43B7"/>
    <w:rsid w:val="00EF4401"/>
    <w:rsid w:val="00EF446B"/>
    <w:rsid w:val="00EF48A0"/>
    <w:rsid w:val="00EF567B"/>
    <w:rsid w:val="00EF591D"/>
    <w:rsid w:val="00EF6839"/>
    <w:rsid w:val="00EF7684"/>
    <w:rsid w:val="00F0025E"/>
    <w:rsid w:val="00F00719"/>
    <w:rsid w:val="00F00C84"/>
    <w:rsid w:val="00F00E96"/>
    <w:rsid w:val="00F01ECD"/>
    <w:rsid w:val="00F034B1"/>
    <w:rsid w:val="00F03504"/>
    <w:rsid w:val="00F0455C"/>
    <w:rsid w:val="00F05481"/>
    <w:rsid w:val="00F05FA3"/>
    <w:rsid w:val="00F06390"/>
    <w:rsid w:val="00F06845"/>
    <w:rsid w:val="00F06904"/>
    <w:rsid w:val="00F1003F"/>
    <w:rsid w:val="00F10AF2"/>
    <w:rsid w:val="00F10B74"/>
    <w:rsid w:val="00F10D13"/>
    <w:rsid w:val="00F10E7E"/>
    <w:rsid w:val="00F11750"/>
    <w:rsid w:val="00F11BBA"/>
    <w:rsid w:val="00F12DFB"/>
    <w:rsid w:val="00F12ED1"/>
    <w:rsid w:val="00F137F8"/>
    <w:rsid w:val="00F13D71"/>
    <w:rsid w:val="00F13E2A"/>
    <w:rsid w:val="00F142BC"/>
    <w:rsid w:val="00F14E8F"/>
    <w:rsid w:val="00F15140"/>
    <w:rsid w:val="00F154B8"/>
    <w:rsid w:val="00F160B9"/>
    <w:rsid w:val="00F16706"/>
    <w:rsid w:val="00F174A4"/>
    <w:rsid w:val="00F17E3D"/>
    <w:rsid w:val="00F17E3F"/>
    <w:rsid w:val="00F17E95"/>
    <w:rsid w:val="00F2040D"/>
    <w:rsid w:val="00F2162E"/>
    <w:rsid w:val="00F2196F"/>
    <w:rsid w:val="00F21986"/>
    <w:rsid w:val="00F2214D"/>
    <w:rsid w:val="00F222E7"/>
    <w:rsid w:val="00F22D34"/>
    <w:rsid w:val="00F22E61"/>
    <w:rsid w:val="00F24BD5"/>
    <w:rsid w:val="00F252FF"/>
    <w:rsid w:val="00F26439"/>
    <w:rsid w:val="00F266D8"/>
    <w:rsid w:val="00F27224"/>
    <w:rsid w:val="00F315AB"/>
    <w:rsid w:val="00F31832"/>
    <w:rsid w:val="00F31DEF"/>
    <w:rsid w:val="00F3235D"/>
    <w:rsid w:val="00F32AB2"/>
    <w:rsid w:val="00F3309A"/>
    <w:rsid w:val="00F33779"/>
    <w:rsid w:val="00F33A24"/>
    <w:rsid w:val="00F34091"/>
    <w:rsid w:val="00F35A83"/>
    <w:rsid w:val="00F362C0"/>
    <w:rsid w:val="00F362DE"/>
    <w:rsid w:val="00F365AC"/>
    <w:rsid w:val="00F36705"/>
    <w:rsid w:val="00F37CE7"/>
    <w:rsid w:val="00F37F57"/>
    <w:rsid w:val="00F40146"/>
    <w:rsid w:val="00F41301"/>
    <w:rsid w:val="00F41312"/>
    <w:rsid w:val="00F41394"/>
    <w:rsid w:val="00F417AF"/>
    <w:rsid w:val="00F41F6D"/>
    <w:rsid w:val="00F420BE"/>
    <w:rsid w:val="00F42822"/>
    <w:rsid w:val="00F4307D"/>
    <w:rsid w:val="00F4573B"/>
    <w:rsid w:val="00F45F47"/>
    <w:rsid w:val="00F45FDE"/>
    <w:rsid w:val="00F46797"/>
    <w:rsid w:val="00F47076"/>
    <w:rsid w:val="00F50397"/>
    <w:rsid w:val="00F50B34"/>
    <w:rsid w:val="00F50FB7"/>
    <w:rsid w:val="00F512DA"/>
    <w:rsid w:val="00F517E6"/>
    <w:rsid w:val="00F51994"/>
    <w:rsid w:val="00F51C00"/>
    <w:rsid w:val="00F52FFF"/>
    <w:rsid w:val="00F53521"/>
    <w:rsid w:val="00F54147"/>
    <w:rsid w:val="00F541CA"/>
    <w:rsid w:val="00F546D0"/>
    <w:rsid w:val="00F5515C"/>
    <w:rsid w:val="00F555F6"/>
    <w:rsid w:val="00F56166"/>
    <w:rsid w:val="00F56E8F"/>
    <w:rsid w:val="00F573C8"/>
    <w:rsid w:val="00F57A5E"/>
    <w:rsid w:val="00F57C10"/>
    <w:rsid w:val="00F60790"/>
    <w:rsid w:val="00F60F7F"/>
    <w:rsid w:val="00F61781"/>
    <w:rsid w:val="00F61BCE"/>
    <w:rsid w:val="00F62062"/>
    <w:rsid w:val="00F62666"/>
    <w:rsid w:val="00F62B9F"/>
    <w:rsid w:val="00F63731"/>
    <w:rsid w:val="00F64342"/>
    <w:rsid w:val="00F64F7A"/>
    <w:rsid w:val="00F6510F"/>
    <w:rsid w:val="00F65918"/>
    <w:rsid w:val="00F6641F"/>
    <w:rsid w:val="00F66DF6"/>
    <w:rsid w:val="00F670B9"/>
    <w:rsid w:val="00F67222"/>
    <w:rsid w:val="00F674EA"/>
    <w:rsid w:val="00F70BF6"/>
    <w:rsid w:val="00F7186A"/>
    <w:rsid w:val="00F71FF3"/>
    <w:rsid w:val="00F723C0"/>
    <w:rsid w:val="00F73FC1"/>
    <w:rsid w:val="00F75478"/>
    <w:rsid w:val="00F75E8B"/>
    <w:rsid w:val="00F76223"/>
    <w:rsid w:val="00F76644"/>
    <w:rsid w:val="00F7692C"/>
    <w:rsid w:val="00F76B60"/>
    <w:rsid w:val="00F76C0D"/>
    <w:rsid w:val="00F77440"/>
    <w:rsid w:val="00F777C3"/>
    <w:rsid w:val="00F77A04"/>
    <w:rsid w:val="00F77D1A"/>
    <w:rsid w:val="00F800D5"/>
    <w:rsid w:val="00F802A1"/>
    <w:rsid w:val="00F8059F"/>
    <w:rsid w:val="00F8083C"/>
    <w:rsid w:val="00F809ED"/>
    <w:rsid w:val="00F80DB3"/>
    <w:rsid w:val="00F812B0"/>
    <w:rsid w:val="00F815D0"/>
    <w:rsid w:val="00F81A96"/>
    <w:rsid w:val="00F823A2"/>
    <w:rsid w:val="00F83315"/>
    <w:rsid w:val="00F833BE"/>
    <w:rsid w:val="00F834BD"/>
    <w:rsid w:val="00F842F0"/>
    <w:rsid w:val="00F84353"/>
    <w:rsid w:val="00F8487F"/>
    <w:rsid w:val="00F84D85"/>
    <w:rsid w:val="00F85862"/>
    <w:rsid w:val="00F85AEC"/>
    <w:rsid w:val="00F87211"/>
    <w:rsid w:val="00F906FA"/>
    <w:rsid w:val="00F90D98"/>
    <w:rsid w:val="00F90F1A"/>
    <w:rsid w:val="00F912CA"/>
    <w:rsid w:val="00F92029"/>
    <w:rsid w:val="00F92045"/>
    <w:rsid w:val="00F92453"/>
    <w:rsid w:val="00F92462"/>
    <w:rsid w:val="00F92F53"/>
    <w:rsid w:val="00F931AA"/>
    <w:rsid w:val="00F93634"/>
    <w:rsid w:val="00F94C2F"/>
    <w:rsid w:val="00F94CD3"/>
    <w:rsid w:val="00F94EE1"/>
    <w:rsid w:val="00F95EF4"/>
    <w:rsid w:val="00F97089"/>
    <w:rsid w:val="00F97A66"/>
    <w:rsid w:val="00F97C97"/>
    <w:rsid w:val="00F97E95"/>
    <w:rsid w:val="00F97F4B"/>
    <w:rsid w:val="00FA0C67"/>
    <w:rsid w:val="00FA1D6D"/>
    <w:rsid w:val="00FA209D"/>
    <w:rsid w:val="00FA24A2"/>
    <w:rsid w:val="00FA2C3A"/>
    <w:rsid w:val="00FA3510"/>
    <w:rsid w:val="00FA3643"/>
    <w:rsid w:val="00FA3BD4"/>
    <w:rsid w:val="00FA419A"/>
    <w:rsid w:val="00FA5E32"/>
    <w:rsid w:val="00FA6291"/>
    <w:rsid w:val="00FA696F"/>
    <w:rsid w:val="00FA79EC"/>
    <w:rsid w:val="00FA7A36"/>
    <w:rsid w:val="00FA7B88"/>
    <w:rsid w:val="00FB10D4"/>
    <w:rsid w:val="00FB138A"/>
    <w:rsid w:val="00FB1D8D"/>
    <w:rsid w:val="00FB2907"/>
    <w:rsid w:val="00FB2EE2"/>
    <w:rsid w:val="00FB3CCB"/>
    <w:rsid w:val="00FB5EC1"/>
    <w:rsid w:val="00FB733D"/>
    <w:rsid w:val="00FB7BD2"/>
    <w:rsid w:val="00FC05E6"/>
    <w:rsid w:val="00FC06C8"/>
    <w:rsid w:val="00FC0886"/>
    <w:rsid w:val="00FC22C2"/>
    <w:rsid w:val="00FC256E"/>
    <w:rsid w:val="00FC2991"/>
    <w:rsid w:val="00FC29CC"/>
    <w:rsid w:val="00FC2F3C"/>
    <w:rsid w:val="00FC345B"/>
    <w:rsid w:val="00FC4053"/>
    <w:rsid w:val="00FC539F"/>
    <w:rsid w:val="00FC53F0"/>
    <w:rsid w:val="00FC5518"/>
    <w:rsid w:val="00FC5688"/>
    <w:rsid w:val="00FC6045"/>
    <w:rsid w:val="00FC61B7"/>
    <w:rsid w:val="00FC62CF"/>
    <w:rsid w:val="00FC7ECA"/>
    <w:rsid w:val="00FD020C"/>
    <w:rsid w:val="00FD03E3"/>
    <w:rsid w:val="00FD0843"/>
    <w:rsid w:val="00FD09B0"/>
    <w:rsid w:val="00FD0A70"/>
    <w:rsid w:val="00FD113C"/>
    <w:rsid w:val="00FD12AE"/>
    <w:rsid w:val="00FD18BA"/>
    <w:rsid w:val="00FD1DC5"/>
    <w:rsid w:val="00FD1F7E"/>
    <w:rsid w:val="00FD2FA4"/>
    <w:rsid w:val="00FD3EF8"/>
    <w:rsid w:val="00FD3FB7"/>
    <w:rsid w:val="00FD4D69"/>
    <w:rsid w:val="00FD4FB1"/>
    <w:rsid w:val="00FD6074"/>
    <w:rsid w:val="00FD6498"/>
    <w:rsid w:val="00FD708D"/>
    <w:rsid w:val="00FD7D75"/>
    <w:rsid w:val="00FD7DFA"/>
    <w:rsid w:val="00FE01AF"/>
    <w:rsid w:val="00FE07AD"/>
    <w:rsid w:val="00FE0D8C"/>
    <w:rsid w:val="00FE1B8C"/>
    <w:rsid w:val="00FE308B"/>
    <w:rsid w:val="00FE3B24"/>
    <w:rsid w:val="00FE40FD"/>
    <w:rsid w:val="00FE4E7F"/>
    <w:rsid w:val="00FE53AD"/>
    <w:rsid w:val="00FE5BF0"/>
    <w:rsid w:val="00FE63E6"/>
    <w:rsid w:val="00FE764C"/>
    <w:rsid w:val="00FF1BD6"/>
    <w:rsid w:val="00FF1E71"/>
    <w:rsid w:val="00FF20D7"/>
    <w:rsid w:val="00FF24A1"/>
    <w:rsid w:val="00FF2CAB"/>
    <w:rsid w:val="00FF353D"/>
    <w:rsid w:val="00FF35F6"/>
    <w:rsid w:val="00FF3629"/>
    <w:rsid w:val="00FF4237"/>
    <w:rsid w:val="00FF4CD6"/>
    <w:rsid w:val="00FF5F03"/>
    <w:rsid w:val="00FF6B9A"/>
    <w:rsid w:val="00FF6E5F"/>
    <w:rsid w:val="00FF7D2D"/>
    <w:rsid w:val="00FF7F68"/>
    <w:rsid w:val="043B0741"/>
    <w:rsid w:val="0A544C92"/>
    <w:rsid w:val="1E5640C5"/>
    <w:rsid w:val="39C46B5B"/>
    <w:rsid w:val="4C101BF9"/>
    <w:rsid w:val="52F42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6"/>
    <w:semiHidden/>
    <w:unhideWhenUsed/>
    <w:qFormat/>
    <w:uiPriority w:val="99"/>
    <w:rPr>
      <w:rFonts w:ascii="宋体" w:eastAsia="宋体"/>
      <w:sz w:val="18"/>
      <w:szCs w:val="18"/>
    </w:rPr>
  </w:style>
  <w:style w:type="paragraph" w:styleId="7">
    <w:name w:val="annotation text"/>
    <w:basedOn w:val="1"/>
    <w:link w:val="48"/>
    <w:unhideWhenUsed/>
    <w:qFormat/>
    <w:uiPriority w:val="0"/>
    <w:pPr>
      <w:jc w:val="left"/>
    </w:pPr>
  </w:style>
  <w:style w:type="paragraph" w:styleId="8">
    <w:name w:val="Body Text"/>
    <w:basedOn w:val="1"/>
    <w:link w:val="44"/>
    <w:qFormat/>
    <w:uiPriority w:val="0"/>
    <w:pPr>
      <w:spacing w:after="120"/>
    </w:pPr>
    <w:rPr>
      <w:rFonts w:ascii="Times New Roman" w:hAnsi="Times New Roman" w:eastAsia="宋体" w:cs="Times New Roman"/>
      <w:szCs w:val="24"/>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9"/>
    <w:qFormat/>
    <w:uiPriority w:val="0"/>
    <w:rPr>
      <w:rFonts w:ascii="宋体" w:hAnsi="Courier New" w:eastAsia="宋体"/>
      <w:szCs w:val="24"/>
    </w:rPr>
  </w:style>
  <w:style w:type="paragraph" w:styleId="11">
    <w:name w:val="Date"/>
    <w:basedOn w:val="1"/>
    <w:next w:val="1"/>
    <w:link w:val="29"/>
    <w:unhideWhenUsed/>
    <w:qFormat/>
    <w:uiPriority w:val="0"/>
    <w:pPr>
      <w:ind w:left="100" w:leftChars="2500"/>
    </w:pPr>
  </w:style>
  <w:style w:type="paragraph" w:styleId="12">
    <w:name w:val="Balloon Text"/>
    <w:basedOn w:val="1"/>
    <w:link w:val="28"/>
    <w:unhideWhenUsed/>
    <w:qFormat/>
    <w:uiPriority w:val="0"/>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right" w:leader="dot" w:pos="8273"/>
      </w:tabs>
      <w:spacing w:line="360" w:lineRule="auto"/>
      <w:jc w:val="left"/>
    </w:pPr>
    <w:rPr>
      <w:rFonts w:eastAsia="黑体"/>
      <w:kern w:val="0"/>
      <w:sz w:val="22"/>
    </w:rPr>
  </w:style>
  <w:style w:type="paragraph" w:styleId="16">
    <w:name w:val="toc 2"/>
    <w:basedOn w:val="1"/>
    <w:next w:val="1"/>
    <w:unhideWhenUsed/>
    <w:qFormat/>
    <w:uiPriority w:val="39"/>
    <w:pPr>
      <w:widowControl/>
      <w:tabs>
        <w:tab w:val="left" w:pos="709"/>
        <w:tab w:val="right" w:leader="dot" w:pos="8302"/>
      </w:tabs>
      <w:spacing w:after="100" w:line="276" w:lineRule="auto"/>
      <w:ind w:left="220"/>
      <w:jc w:val="left"/>
    </w:pPr>
    <w:rPr>
      <w:kern w:val="0"/>
      <w:sz w:val="22"/>
    </w:rPr>
  </w:style>
  <w:style w:type="paragraph" w:styleId="1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8">
    <w:name w:val="index 1"/>
    <w:basedOn w:val="1"/>
    <w:next w:val="1"/>
    <w:semiHidden/>
    <w:qFormat/>
    <w:uiPriority w:val="0"/>
    <w:pPr>
      <w:ind w:left="540" w:leftChars="257"/>
    </w:pPr>
    <w:rPr>
      <w:rFonts w:ascii="Arial" w:hAnsi="Arial" w:cs="Arial"/>
    </w:rPr>
  </w:style>
  <w:style w:type="paragraph" w:styleId="19">
    <w:name w:val="annotation subject"/>
    <w:basedOn w:val="7"/>
    <w:next w:val="7"/>
    <w:link w:val="49"/>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Emphasis"/>
    <w:basedOn w:val="22"/>
    <w:qFormat/>
    <w:uiPriority w:val="20"/>
    <w:rPr>
      <w:i/>
      <w:iCs/>
    </w:rPr>
  </w:style>
  <w:style w:type="character" w:styleId="26">
    <w:name w:val="Hyperlink"/>
    <w:qFormat/>
    <w:uiPriority w:val="99"/>
    <w:rPr>
      <w:color w:val="0000FF"/>
      <w:u w:val="single"/>
    </w:rPr>
  </w:style>
  <w:style w:type="character" w:styleId="27">
    <w:name w:val="annotation reference"/>
    <w:basedOn w:val="22"/>
    <w:unhideWhenUsed/>
    <w:qFormat/>
    <w:uiPriority w:val="0"/>
    <w:rPr>
      <w:sz w:val="21"/>
      <w:szCs w:val="21"/>
    </w:rPr>
  </w:style>
  <w:style w:type="character" w:customStyle="1" w:styleId="28">
    <w:name w:val="批注框文本 字符"/>
    <w:basedOn w:val="22"/>
    <w:link w:val="12"/>
    <w:qFormat/>
    <w:uiPriority w:val="0"/>
    <w:rPr>
      <w:sz w:val="18"/>
      <w:szCs w:val="18"/>
    </w:rPr>
  </w:style>
  <w:style w:type="character" w:customStyle="1" w:styleId="29">
    <w:name w:val="日期 字符"/>
    <w:basedOn w:val="22"/>
    <w:link w:val="11"/>
    <w:semiHidden/>
    <w:uiPriority w:val="99"/>
  </w:style>
  <w:style w:type="paragraph" w:styleId="30">
    <w:name w:val="List Paragraph"/>
    <w:basedOn w:val="1"/>
    <w:link w:val="45"/>
    <w:qFormat/>
    <w:uiPriority w:val="34"/>
    <w:pPr>
      <w:ind w:firstLine="420" w:firstLineChars="200"/>
    </w:pPr>
  </w:style>
  <w:style w:type="character" w:customStyle="1" w:styleId="31">
    <w:name w:val="p141"/>
    <w:uiPriority w:val="0"/>
    <w:rPr>
      <w:sz w:val="21"/>
      <w:szCs w:val="21"/>
    </w:rPr>
  </w:style>
  <w:style w:type="character" w:customStyle="1" w:styleId="32">
    <w:name w:val="标题 1 字符"/>
    <w:basedOn w:val="22"/>
    <w:link w:val="2"/>
    <w:qFormat/>
    <w:uiPriority w:val="9"/>
    <w:rPr>
      <w:b/>
      <w:bCs/>
      <w:kern w:val="44"/>
      <w:sz w:val="44"/>
      <w:szCs w:val="44"/>
    </w:rPr>
  </w:style>
  <w:style w:type="character" w:customStyle="1" w:styleId="33">
    <w:name w:val="页眉 字符"/>
    <w:basedOn w:val="22"/>
    <w:link w:val="14"/>
    <w:uiPriority w:val="99"/>
    <w:rPr>
      <w:sz w:val="18"/>
      <w:szCs w:val="18"/>
    </w:rPr>
  </w:style>
  <w:style w:type="character" w:customStyle="1" w:styleId="34">
    <w:name w:val="页脚 字符"/>
    <w:basedOn w:val="22"/>
    <w:link w:val="13"/>
    <w:qFormat/>
    <w:uiPriority w:val="99"/>
    <w:rPr>
      <w:sz w:val="18"/>
      <w:szCs w:val="18"/>
    </w:rPr>
  </w:style>
  <w:style w:type="paragraph" w:customStyle="1" w:styleId="3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正文缩进2格"/>
    <w:basedOn w:val="1"/>
    <w:link w:val="37"/>
    <w:qFormat/>
    <w:uiPriority w:val="0"/>
    <w:pPr>
      <w:spacing w:line="600" w:lineRule="exact"/>
      <w:ind w:firstLine="639" w:firstLineChars="206"/>
    </w:pPr>
    <w:rPr>
      <w:rFonts w:ascii="仿宋_GB2312" w:hAnsi="宋体" w:eastAsia="仿宋_GB2312" w:cs="Times New Roman"/>
      <w:sz w:val="31"/>
      <w:szCs w:val="28"/>
    </w:rPr>
  </w:style>
  <w:style w:type="character" w:customStyle="1" w:styleId="37">
    <w:name w:val="正文缩进2格 Char"/>
    <w:link w:val="36"/>
    <w:qFormat/>
    <w:uiPriority w:val="0"/>
    <w:rPr>
      <w:rFonts w:ascii="仿宋_GB2312" w:hAnsi="宋体" w:eastAsia="仿宋_GB2312" w:cs="Times New Roman"/>
      <w:sz w:val="31"/>
      <w:szCs w:val="28"/>
    </w:rPr>
  </w:style>
  <w:style w:type="character" w:customStyle="1" w:styleId="38">
    <w:name w:val="标题 2 字符"/>
    <w:basedOn w:val="22"/>
    <w:link w:val="3"/>
    <w:qFormat/>
    <w:uiPriority w:val="9"/>
    <w:rPr>
      <w:rFonts w:asciiTheme="majorHAnsi" w:hAnsiTheme="majorHAnsi" w:eastAsiaTheme="majorEastAsia" w:cstheme="majorBidi"/>
      <w:b/>
      <w:bCs/>
      <w:sz w:val="32"/>
      <w:szCs w:val="32"/>
    </w:rPr>
  </w:style>
  <w:style w:type="character" w:customStyle="1" w:styleId="39">
    <w:name w:val="纯文本 字符"/>
    <w:basedOn w:val="22"/>
    <w:link w:val="10"/>
    <w:qFormat/>
    <w:uiPriority w:val="0"/>
    <w:rPr>
      <w:rFonts w:ascii="宋体" w:hAnsi="Courier New" w:eastAsia="宋体"/>
      <w:szCs w:val="24"/>
    </w:rPr>
  </w:style>
  <w:style w:type="character" w:customStyle="1" w:styleId="40">
    <w:name w:val="纯文本 Char"/>
    <w:basedOn w:val="22"/>
    <w:semiHidden/>
    <w:qFormat/>
    <w:uiPriority w:val="99"/>
    <w:rPr>
      <w:rFonts w:ascii="宋体" w:hAnsi="Courier New" w:eastAsia="宋体" w:cs="Courier New"/>
      <w:szCs w:val="21"/>
    </w:rPr>
  </w:style>
  <w:style w:type="character" w:customStyle="1" w:styleId="41">
    <w:name w:val="正文缩进2格 Char Char"/>
    <w:basedOn w:val="22"/>
    <w:qFormat/>
    <w:uiPriority w:val="0"/>
    <w:rPr>
      <w:rFonts w:ascii="仿宋_GB2312" w:hAnsi="宋体" w:eastAsia="仿宋_GB2312"/>
      <w:kern w:val="2"/>
      <w:sz w:val="31"/>
      <w:szCs w:val="28"/>
      <w:lang w:val="en-US" w:eastAsia="zh-CN" w:bidi="ar-SA"/>
    </w:rPr>
  </w:style>
  <w:style w:type="paragraph" w:customStyle="1" w:styleId="42">
    <w:name w:val="正文缩进4格"/>
    <w:basedOn w:val="36"/>
    <w:qFormat/>
    <w:uiPriority w:val="0"/>
    <w:pPr>
      <w:spacing w:line="340" w:lineRule="exact"/>
      <w:ind w:firstLine="315" w:firstLineChars="0"/>
    </w:pPr>
    <w:rPr>
      <w:rFonts w:ascii="宋体" w:eastAsia="宋体"/>
      <w:sz w:val="24"/>
      <w:szCs w:val="24"/>
    </w:rPr>
  </w:style>
  <w:style w:type="character" w:customStyle="1" w:styleId="43">
    <w:name w:val="正文文本 Char"/>
    <w:basedOn w:val="22"/>
    <w:semiHidden/>
    <w:qFormat/>
    <w:uiPriority w:val="99"/>
  </w:style>
  <w:style w:type="character" w:customStyle="1" w:styleId="44">
    <w:name w:val="正文文本 字符"/>
    <w:link w:val="8"/>
    <w:qFormat/>
    <w:uiPriority w:val="0"/>
    <w:rPr>
      <w:rFonts w:ascii="Times New Roman" w:hAnsi="Times New Roman" w:eastAsia="宋体" w:cs="Times New Roman"/>
      <w:szCs w:val="24"/>
    </w:rPr>
  </w:style>
  <w:style w:type="character" w:customStyle="1" w:styleId="45">
    <w:name w:val="列表段落 字符"/>
    <w:link w:val="30"/>
    <w:qFormat/>
    <w:uiPriority w:val="34"/>
  </w:style>
  <w:style w:type="character" w:customStyle="1" w:styleId="46">
    <w:name w:val="标题 3 字符"/>
    <w:basedOn w:val="22"/>
    <w:link w:val="4"/>
    <w:semiHidden/>
    <w:qFormat/>
    <w:uiPriority w:val="9"/>
    <w:rPr>
      <w:b/>
      <w:bCs/>
      <w:sz w:val="32"/>
      <w:szCs w:val="32"/>
    </w:rPr>
  </w:style>
  <w:style w:type="character" w:customStyle="1" w:styleId="47">
    <w:name w:val="标题 4 字符"/>
    <w:basedOn w:val="22"/>
    <w:link w:val="5"/>
    <w:semiHidden/>
    <w:qFormat/>
    <w:uiPriority w:val="9"/>
    <w:rPr>
      <w:rFonts w:asciiTheme="majorHAnsi" w:hAnsiTheme="majorHAnsi" w:eastAsiaTheme="majorEastAsia" w:cstheme="majorBidi"/>
      <w:b/>
      <w:bCs/>
      <w:sz w:val="28"/>
      <w:szCs w:val="28"/>
    </w:rPr>
  </w:style>
  <w:style w:type="character" w:customStyle="1" w:styleId="48">
    <w:name w:val="批注文字 字符"/>
    <w:basedOn w:val="22"/>
    <w:link w:val="7"/>
    <w:qFormat/>
    <w:uiPriority w:val="0"/>
  </w:style>
  <w:style w:type="character" w:customStyle="1" w:styleId="49">
    <w:name w:val="批注主题 字符"/>
    <w:basedOn w:val="48"/>
    <w:link w:val="19"/>
    <w:semiHidden/>
    <w:qFormat/>
    <w:uiPriority w:val="99"/>
    <w:rPr>
      <w:b/>
      <w:bCs/>
    </w:rPr>
  </w:style>
  <w:style w:type="paragraph" w:customStyle="1" w:styleId="50">
    <w:name w:val="保留正文"/>
    <w:basedOn w:val="8"/>
    <w:qFormat/>
    <w:uiPriority w:val="0"/>
    <w:pPr>
      <w:keepNext/>
      <w:spacing w:after="160"/>
    </w:pPr>
  </w:style>
  <w:style w:type="paragraph" w:customStyle="1" w:styleId="51">
    <w:name w:val="列出段落1"/>
    <w:basedOn w:val="1"/>
    <w:qFormat/>
    <w:uiPriority w:val="34"/>
    <w:pPr>
      <w:ind w:firstLine="420" w:firstLineChars="200"/>
    </w:pPr>
    <w:rPr>
      <w:rFonts w:ascii="Calibri" w:hAnsi="Calibri" w:eastAsia="宋体" w:cs="黑体"/>
    </w:rPr>
  </w:style>
  <w:style w:type="paragraph" w:customStyle="1" w:styleId="5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3">
    <w:name w:val="_Style 202"/>
    <w:basedOn w:val="1"/>
    <w:uiPriority w:val="0"/>
    <w:pPr>
      <w:tabs>
        <w:tab w:val="left" w:pos="360"/>
      </w:tabs>
    </w:pPr>
    <w:rPr>
      <w:rFonts w:ascii="Times New Roman" w:hAnsi="Times New Roman" w:eastAsia="宋体" w:cs="Times New Roman"/>
      <w:szCs w:val="24"/>
    </w:rPr>
  </w:style>
  <w:style w:type="paragraph" w:customStyle="1" w:styleId="54">
    <w:name w:val="Char1 Char Char Char"/>
    <w:basedOn w:val="1"/>
    <w:qFormat/>
    <w:uiPriority w:val="0"/>
    <w:rPr>
      <w:rFonts w:ascii="黑体" w:hAnsi="Verdana" w:eastAsia="黑体" w:cs="Times New Roman"/>
      <w:kern w:val="0"/>
      <w:sz w:val="32"/>
      <w:szCs w:val="32"/>
      <w:lang w:eastAsia="en-US"/>
    </w:rPr>
  </w:style>
  <w:style w:type="paragraph" w:customStyle="1" w:styleId="55">
    <w:name w:val="1 Char Char Char Char"/>
    <w:basedOn w:val="1"/>
    <w:qFormat/>
    <w:uiPriority w:val="0"/>
    <w:pPr>
      <w:spacing w:after="160" w:line="240" w:lineRule="exact"/>
    </w:pPr>
    <w:rPr>
      <w:rFonts w:ascii="Times New Roman" w:hAnsi="Times New Roman" w:eastAsia="宋体" w:cs="Times New Roman"/>
      <w:szCs w:val="24"/>
    </w:rPr>
  </w:style>
  <w:style w:type="character" w:customStyle="1" w:styleId="56">
    <w:name w:val="文档结构图 字符"/>
    <w:basedOn w:val="22"/>
    <w:link w:val="6"/>
    <w:semiHidden/>
    <w:qFormat/>
    <w:uiPriority w:val="99"/>
    <w:rPr>
      <w:rFonts w:ascii="宋体" w:eastAsia="宋体"/>
      <w:sz w:val="18"/>
      <w:szCs w:val="18"/>
    </w:rPr>
  </w:style>
  <w:style w:type="paragraph" w:customStyle="1" w:styleId="57">
    <w:name w:val="样式4"/>
    <w:basedOn w:val="1"/>
    <w:qFormat/>
    <w:uiPriority w:val="0"/>
    <w:pPr>
      <w:tabs>
        <w:tab w:val="left" w:pos="2328"/>
      </w:tabs>
      <w:ind w:left="2328" w:hanging="708"/>
    </w:pPr>
    <w:rPr>
      <w:rFonts w:ascii="Times New Roman" w:hAnsi="Times New Roman" w:eastAsia="宋体" w:cs="Times New Roman"/>
      <w:szCs w:val="24"/>
    </w:rPr>
  </w:style>
  <w:style w:type="paragraph" w:customStyle="1" w:styleId="58">
    <w:name w:val="Char Char Char Char Char Char Char Char Char Char Char Char1 Char Char Char Char"/>
    <w:basedOn w:val="1"/>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59">
    <w:name w:val="未处理的提及1"/>
    <w:basedOn w:val="22"/>
    <w:semiHidden/>
    <w:unhideWhenUsed/>
    <w:qFormat/>
    <w:uiPriority w:val="99"/>
    <w:rPr>
      <w:color w:val="605E5C"/>
      <w:shd w:val="clear" w:color="auto" w:fill="E1DFDD"/>
    </w:rPr>
  </w:style>
  <w:style w:type="character" w:customStyle="1" w:styleId="60">
    <w:name w:val="未处理的提及2"/>
    <w:basedOn w:val="22"/>
    <w:semiHidden/>
    <w:unhideWhenUsed/>
    <w:qFormat/>
    <w:uiPriority w:val="99"/>
    <w:rPr>
      <w:color w:val="605E5C"/>
      <w:shd w:val="clear" w:color="auto" w:fill="E1DFDD"/>
    </w:rPr>
  </w:style>
  <w:style w:type="table" w:customStyle="1" w:styleId="61">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62">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63">
    <w:name w:val="列表段落1"/>
    <w:basedOn w:val="1"/>
    <w:qFormat/>
    <w:uiPriority w:val="34"/>
    <w:pPr>
      <w:ind w:firstLine="420" w:firstLineChars="200"/>
    </w:pPr>
    <w:rPr>
      <w:rFonts w:ascii="Calibri" w:hAnsi="Calibri" w:eastAsia="宋体" w:cs="Times New Roman"/>
    </w:rPr>
  </w:style>
  <w:style w:type="character" w:customStyle="1" w:styleId="64">
    <w:name w:val="ft35"/>
    <w:basedOn w:val="22"/>
    <w:uiPriority w:val="0"/>
  </w:style>
  <w:style w:type="character" w:customStyle="1" w:styleId="65">
    <w:name w:val="ft7"/>
    <w:basedOn w:val="22"/>
    <w:qFormat/>
    <w:uiPriority w:val="0"/>
  </w:style>
  <w:style w:type="character" w:customStyle="1" w:styleId="66">
    <w:name w:val="op_dict_text22"/>
    <w:basedOn w:val="2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AF45-BF23-4FF5-9399-B3D93B4F8FF8}">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114</Pages>
  <Words>48694</Words>
  <Characters>51961</Characters>
  <Lines>438</Lines>
  <Paragraphs>123</Paragraphs>
  <TotalTime>28</TotalTime>
  <ScaleCrop>false</ScaleCrop>
  <LinksUpToDate>false</LinksUpToDate>
  <CharactersWithSpaces>57858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2023-01-13T10:26:00Z</dcterms:created>
  <dc:creator>YD-LING</dc:creator>
  <cp:lastModifiedBy>CBY</cp:lastModifiedBy>
  <cp:lastPrinted>2020-12-07T02:17:00Z</cp:lastPrinted>
  <dcterms:modified xsi:type="dcterms:W3CDTF">2023-01-13T10:48:11Z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4761267E84FF435C82663345B93AF252</vt:lpwstr>
  </property>
</Properties>
</file>