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bookmarkStart w:id="0" w:name="_Hlk68793131"/>
      <w:bookmarkStart w:id="1" w:name="_Hlk35952333"/>
      <w:bookmarkStart w:id="2" w:name="_Hlk50098879"/>
      <w:r>
        <w:rPr>
          <w:rFonts w:hint="eastAsia" w:ascii="宋体" w:hAnsi="宋体"/>
          <w:b/>
          <w:sz w:val="32"/>
          <w:szCs w:val="32"/>
        </w:rPr>
        <w:t>报告厅建设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b/>
          <w:sz w:val="32"/>
          <w:szCs w:val="32"/>
        </w:rPr>
        <w:t>招标公告（202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-JLSXLY-G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1006</w:t>
      </w:r>
      <w:r>
        <w:rPr>
          <w:rFonts w:hint="eastAsia" w:ascii="宋体" w:hAnsi="宋体"/>
          <w:b/>
          <w:sz w:val="32"/>
          <w:szCs w:val="32"/>
        </w:rPr>
        <w:t>）</w:t>
      </w:r>
      <w:bookmarkEnd w:id="0"/>
    </w:p>
    <w:bookmarkEnd w:id="1"/>
    <w:bookmarkEnd w:id="2"/>
    <w:p>
      <w:pPr>
        <w:spacing w:line="460" w:lineRule="exact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. 招标条件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本招标项目（报告厅建设</w:t>
      </w:r>
      <w:r>
        <w:rPr>
          <w:rFonts w:hint="eastAsia" w:ascii="宋体" w:hAnsi="宋体"/>
          <w:sz w:val="24"/>
          <w:lang w:val="en-US" w:eastAsia="zh-CN"/>
        </w:rPr>
        <w:t>项</w:t>
      </w:r>
      <w:bookmarkStart w:id="39" w:name="_GoBack"/>
      <w:bookmarkEnd w:id="39"/>
      <w:r>
        <w:rPr>
          <w:rFonts w:hint="eastAsia" w:ascii="宋体" w:hAnsi="宋体"/>
          <w:sz w:val="24"/>
          <w:lang w:val="en-US" w:eastAsia="zh-CN"/>
        </w:rPr>
        <w:t>目</w:t>
      </w:r>
      <w:r>
        <w:rPr>
          <w:rFonts w:hint="eastAsia" w:ascii="宋体" w:hAnsi="宋体"/>
          <w:sz w:val="24"/>
        </w:rPr>
        <w:t>）已按军队工程建设管理有关规定批准建设，建设单位为某部，建设资金来源为（单位自筹）。项目已具备招标条件，现进行公开招标，特邀请有意向的潜在投标人(以下简称申请人)提出投标申请。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3" w:name="_Toc247513935"/>
      <w:bookmarkStart w:id="4" w:name="_Toc300834930"/>
      <w:bookmarkStart w:id="5" w:name="_Toc144974481"/>
      <w:bookmarkStart w:id="6" w:name="_Toc152045513"/>
      <w:bookmarkStart w:id="7" w:name="_Toc152042289"/>
      <w:bookmarkStart w:id="8" w:name="_Toc247527536"/>
      <w:r>
        <w:rPr>
          <w:rFonts w:ascii="宋体" w:hAnsi="宋体"/>
          <w:b/>
          <w:sz w:val="24"/>
        </w:rPr>
        <w:t>2. 项目概况与招标范围</w:t>
      </w:r>
      <w:bookmarkEnd w:id="3"/>
      <w:bookmarkEnd w:id="4"/>
      <w:bookmarkEnd w:id="5"/>
      <w:bookmarkEnd w:id="6"/>
      <w:bookmarkEnd w:id="7"/>
      <w:bookmarkEnd w:id="8"/>
    </w:p>
    <w:p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2.1工程特征：</w:t>
      </w:r>
      <w:r>
        <w:rPr>
          <w:rFonts w:hint="eastAsia" w:ascii="宋体" w:hAnsi="宋体"/>
          <w:sz w:val="24"/>
          <w:lang w:val="en-US" w:eastAsia="zh-CN"/>
        </w:rPr>
        <w:t>本次采购项目为</w:t>
      </w:r>
      <w:r>
        <w:rPr>
          <w:rFonts w:hint="eastAsia" w:ascii="宋体" w:hAnsi="宋体"/>
          <w:sz w:val="24"/>
        </w:rPr>
        <w:t>报告厅建设</w:t>
      </w:r>
      <w:r>
        <w:rPr>
          <w:rFonts w:hint="eastAsia" w:ascii="宋体" w:hAnsi="宋体"/>
          <w:sz w:val="24"/>
          <w:lang w:val="en-US" w:eastAsia="zh-CN"/>
        </w:rPr>
        <w:t>项目，会议室建筑面积 193 ㎡，会议室内设置坐席共150位，其中大厅坐席140位、主席台坐席10位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、休息区</w:t>
      </w:r>
      <w:r>
        <w:rPr>
          <w:rFonts w:hint="eastAsia" w:ascii="宋体" w:hAnsi="宋体"/>
          <w:sz w:val="24"/>
          <w:lang w:val="en-US" w:eastAsia="zh-CN"/>
        </w:rPr>
        <w:t>等配套相关附属设施。</w:t>
      </w:r>
    </w:p>
    <w:p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2.2建设地点：陕西省榆林市</w:t>
      </w:r>
    </w:p>
    <w:p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2.3招标项目建设规模：</w:t>
      </w:r>
      <w:r>
        <w:rPr>
          <w:rFonts w:hint="eastAsia" w:ascii="宋体" w:hAnsi="宋体"/>
          <w:sz w:val="24"/>
          <w:lang w:val="en-US" w:eastAsia="zh-CN"/>
        </w:rPr>
        <w:t>墙面装修、主席台制作、会议室吊顶（隔音处理）、会议室空调、摄像机、音响</w:t>
      </w:r>
      <w:r>
        <w:rPr>
          <w:rFonts w:hint="eastAsia" w:ascii="宋体" w:hAnsi="宋体"/>
          <w:sz w:val="24"/>
        </w:rPr>
        <w:t>系统、照明系统、大屏幕系统</w:t>
      </w:r>
      <w:r>
        <w:rPr>
          <w:rFonts w:hint="eastAsia" w:ascii="宋体" w:hAnsi="宋体"/>
          <w:sz w:val="24"/>
          <w:lang w:eastAsia="zh-CN"/>
        </w:rPr>
        <w:t>、广告喷绘等，</w:t>
      </w:r>
      <w:r>
        <w:rPr>
          <w:rFonts w:hint="eastAsia" w:ascii="宋体" w:hAnsi="宋体"/>
          <w:sz w:val="24"/>
          <w:lang w:val="en-US" w:eastAsia="zh-CN"/>
        </w:rPr>
        <w:t>配套相关</w:t>
      </w:r>
      <w:r>
        <w:rPr>
          <w:rFonts w:hint="eastAsia" w:ascii="宋体" w:hAnsi="宋体"/>
          <w:sz w:val="24"/>
          <w:lang w:eastAsia="zh-CN"/>
        </w:rPr>
        <w:t>附属</w:t>
      </w:r>
      <w:r>
        <w:rPr>
          <w:rFonts w:hint="eastAsia" w:ascii="宋体" w:hAnsi="宋体"/>
          <w:sz w:val="24"/>
          <w:lang w:val="en-US" w:eastAsia="zh-CN"/>
        </w:rPr>
        <w:t>设施</w:t>
      </w:r>
      <w:r>
        <w:rPr>
          <w:rFonts w:hint="eastAsia" w:ascii="宋体" w:hAnsi="宋体"/>
          <w:sz w:val="24"/>
        </w:rPr>
        <w:t>。估算价：</w:t>
      </w:r>
      <w:r>
        <w:rPr>
          <w:rFonts w:hint="eastAsia" w:ascii="宋体" w:hAnsi="宋体"/>
          <w:sz w:val="24"/>
          <w:lang w:val="en-US" w:eastAsia="zh-CN"/>
        </w:rPr>
        <w:t>115</w:t>
      </w:r>
      <w:r>
        <w:rPr>
          <w:rFonts w:hint="eastAsia" w:ascii="宋体" w:hAnsi="宋体"/>
          <w:sz w:val="24"/>
        </w:rPr>
        <w:t>万元。</w:t>
      </w:r>
    </w:p>
    <w:p>
      <w:pPr>
        <w:spacing w:line="46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2.4计划工期：</w:t>
      </w:r>
      <w:r>
        <w:rPr>
          <w:rFonts w:hint="eastAsia" w:ascii="宋体" w:hAnsi="宋体"/>
          <w:color w:val="auto"/>
          <w:sz w:val="24"/>
          <w:lang w:val="en-US" w:eastAsia="zh-CN"/>
        </w:rPr>
        <w:t>100</w:t>
      </w:r>
      <w:r>
        <w:rPr>
          <w:rFonts w:hint="eastAsia" w:ascii="宋体" w:hAnsi="宋体"/>
          <w:color w:val="auto"/>
          <w:sz w:val="24"/>
        </w:rPr>
        <w:t>日历天。</w:t>
      </w:r>
    </w:p>
    <w:p>
      <w:pPr>
        <w:spacing w:line="46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2.5招标范围：本项目建设范围内的方案设计、施工图设计、采购、施工和安装、调试，直至竣工验收合格并整体移交、工程保修期内的缺陷修复和保修工作，同时承担相关协调工作。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Tahoma"/>
          <w:sz w:val="24"/>
        </w:rPr>
        <w:t>2.6总承包模式：工程总承包</w:t>
      </w:r>
      <w:r>
        <w:rPr>
          <w:rFonts w:hint="eastAsia" w:ascii="宋体" w:hAnsi="宋体" w:cs="Tahoma"/>
          <w:sz w:val="24"/>
          <w:lang w:val="en-US" w:eastAsia="zh-CN"/>
        </w:rPr>
        <w:t>(EPC)</w:t>
      </w:r>
      <w:r>
        <w:rPr>
          <w:rFonts w:hint="eastAsia" w:ascii="宋体" w:hAnsi="宋体" w:cs="Tahoma"/>
          <w:sz w:val="24"/>
        </w:rPr>
        <w:t>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9" w:name="_Toc152042290"/>
      <w:bookmarkStart w:id="10" w:name="_Toc247513936"/>
      <w:bookmarkStart w:id="11" w:name="_Toc247527537"/>
      <w:bookmarkStart w:id="12" w:name="_Toc144974482"/>
      <w:bookmarkStart w:id="13" w:name="_Toc152045514"/>
      <w:bookmarkStart w:id="14" w:name="_Toc300834931"/>
      <w:r>
        <w:rPr>
          <w:rFonts w:ascii="宋体" w:hAnsi="宋体"/>
          <w:b/>
          <w:sz w:val="24"/>
        </w:rPr>
        <w:t>3. 投标人资格要求</w:t>
      </w:r>
      <w:bookmarkEnd w:id="9"/>
      <w:bookmarkEnd w:id="10"/>
      <w:bookmarkEnd w:id="11"/>
      <w:bookmarkEnd w:id="12"/>
      <w:bookmarkEnd w:id="13"/>
      <w:bookmarkEnd w:id="14"/>
    </w:p>
    <w:p>
      <w:pPr>
        <w:spacing w:line="460" w:lineRule="exact"/>
        <w:ind w:firstLine="480" w:firstLineChars="200"/>
        <w:rPr>
          <w:rFonts w:hint="eastAsia" w:ascii="宋体" w:hAnsi="宋体"/>
          <w:color w:val="auto"/>
          <w:sz w:val="24"/>
        </w:rPr>
      </w:pPr>
      <w:bookmarkStart w:id="15" w:name="_Hlk67556081"/>
      <w:bookmarkStart w:id="16" w:name="_Toc300834932"/>
      <w:bookmarkStart w:id="17" w:name="_Toc144974483"/>
      <w:bookmarkStart w:id="18" w:name="_Toc152045515"/>
      <w:bookmarkStart w:id="19" w:name="_Toc247527538"/>
      <w:bookmarkStart w:id="20" w:name="_Toc152042291"/>
      <w:bookmarkStart w:id="21" w:name="_Toc247513937"/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投标人须具备</w:t>
      </w:r>
      <w:r>
        <w:rPr>
          <w:rFonts w:hint="eastAsia" w:ascii="宋体" w:hAnsi="宋体"/>
          <w:color w:val="000000"/>
          <w:sz w:val="24"/>
          <w:lang w:val="en-US" w:eastAsia="zh-CN"/>
        </w:rPr>
        <w:t>下列资质，</w:t>
      </w:r>
      <w:r>
        <w:rPr>
          <w:rFonts w:hint="eastAsia" w:ascii="宋体" w:hAnsi="宋体"/>
          <w:bCs/>
          <w:snapToGrid w:val="0"/>
          <w:color w:val="000000"/>
          <w:sz w:val="24"/>
          <w:lang w:val="zh-CN"/>
        </w:rPr>
        <w:t>并具备</w:t>
      </w:r>
      <w:r>
        <w:rPr>
          <w:rFonts w:hint="eastAsia" w:ascii="宋体" w:hAnsi="宋体"/>
          <w:b/>
          <w:snapToGrid w:val="0"/>
          <w:color w:val="000000"/>
          <w:sz w:val="24"/>
          <w:lang w:val="zh-CN"/>
        </w:rPr>
        <w:t>有效的安全生产许可证</w:t>
      </w:r>
      <w:r>
        <w:rPr>
          <w:rFonts w:hint="eastAsia" w:ascii="宋体" w:hAnsi="宋体"/>
          <w:color w:val="000000"/>
          <w:sz w:val="24"/>
        </w:rPr>
        <w:t>，且无外资、港澳台</w:t>
      </w:r>
      <w:r>
        <w:rPr>
          <w:rFonts w:hint="eastAsia" w:ascii="宋体" w:hAnsi="宋体"/>
          <w:color w:val="auto"/>
          <w:sz w:val="24"/>
        </w:rPr>
        <w:t>背景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</w:rPr>
        <w:t>并在人员、设备、</w:t>
      </w:r>
      <w:r>
        <w:rPr>
          <w:rFonts w:hint="eastAsia" w:ascii="宋体" w:hAnsi="宋体"/>
          <w:color w:val="auto"/>
          <w:sz w:val="24"/>
          <w:lang w:val="en-US" w:eastAsia="zh-CN"/>
        </w:rPr>
        <w:t>财务</w:t>
      </w:r>
      <w:r>
        <w:rPr>
          <w:rFonts w:hint="eastAsia" w:ascii="宋体" w:hAnsi="宋体"/>
          <w:color w:val="auto"/>
          <w:sz w:val="24"/>
        </w:rPr>
        <w:t>等方面具备相应的</w:t>
      </w:r>
      <w:r>
        <w:rPr>
          <w:rFonts w:hint="eastAsia" w:ascii="宋体" w:hAnsi="宋体"/>
          <w:color w:val="auto"/>
          <w:sz w:val="24"/>
          <w:lang w:val="en-US" w:eastAsia="zh-CN"/>
        </w:rPr>
        <w:t>承包</w:t>
      </w:r>
      <w:r>
        <w:rPr>
          <w:rFonts w:hint="eastAsia" w:ascii="宋体" w:hAnsi="宋体"/>
          <w:color w:val="auto"/>
          <w:sz w:val="24"/>
        </w:rPr>
        <w:t>能力。</w:t>
      </w:r>
    </w:p>
    <w:p>
      <w:pPr>
        <w:spacing w:line="460" w:lineRule="exact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3.1.1具备</w:t>
      </w:r>
      <w:r>
        <w:rPr>
          <w:rFonts w:hint="eastAsia" w:ascii="宋体" w:hAnsi="宋体"/>
          <w:color w:val="auto"/>
          <w:sz w:val="24"/>
        </w:rPr>
        <w:t>建筑</w:t>
      </w:r>
      <w:r>
        <w:rPr>
          <w:rFonts w:hint="eastAsia" w:ascii="宋体" w:hAnsi="宋体"/>
          <w:color w:val="auto"/>
          <w:sz w:val="24"/>
          <w:lang w:val="en-US" w:eastAsia="zh-CN"/>
        </w:rPr>
        <w:t>装饰工程</w:t>
      </w:r>
      <w:r>
        <w:rPr>
          <w:rFonts w:hint="eastAsia" w:ascii="宋体" w:hAnsi="宋体"/>
          <w:color w:val="auto"/>
          <w:sz w:val="24"/>
        </w:rPr>
        <w:t>设计</w:t>
      </w:r>
      <w:r>
        <w:rPr>
          <w:rFonts w:hint="eastAsia" w:ascii="宋体" w:hAnsi="宋体"/>
          <w:color w:val="auto"/>
          <w:sz w:val="24"/>
          <w:lang w:val="en-US" w:eastAsia="zh-CN"/>
        </w:rPr>
        <w:t>专项丙</w:t>
      </w:r>
      <w:r>
        <w:rPr>
          <w:rFonts w:hint="eastAsia" w:ascii="宋体" w:hAnsi="宋体"/>
          <w:color w:val="auto"/>
          <w:sz w:val="24"/>
        </w:rPr>
        <w:t>级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含丙级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以上</w:t>
      </w:r>
      <w:r>
        <w:rPr>
          <w:rFonts w:hint="eastAsia" w:ascii="宋体" w:hAnsi="宋体"/>
          <w:b/>
          <w:color w:val="auto"/>
          <w:sz w:val="24"/>
        </w:rPr>
        <w:t>或</w:t>
      </w:r>
      <w:r>
        <w:rPr>
          <w:rFonts w:hint="eastAsia" w:ascii="宋体" w:hAnsi="宋体"/>
          <w:color w:val="auto"/>
          <w:sz w:val="24"/>
        </w:rPr>
        <w:t>工程</w:t>
      </w:r>
      <w:r>
        <w:rPr>
          <w:rFonts w:ascii="宋体" w:hAnsi="宋体"/>
          <w:color w:val="auto"/>
          <w:sz w:val="24"/>
        </w:rPr>
        <w:t>设计（</w:t>
      </w:r>
      <w:r>
        <w:rPr>
          <w:rFonts w:hint="eastAsia" w:ascii="宋体" w:hAnsi="宋体"/>
          <w:color w:val="auto"/>
          <w:sz w:val="24"/>
          <w:lang w:val="en-US" w:eastAsia="zh-CN"/>
        </w:rPr>
        <w:t>建筑</w:t>
      </w:r>
      <w:r>
        <w:rPr>
          <w:rFonts w:ascii="宋体" w:hAnsi="宋体"/>
          <w:color w:val="auto"/>
          <w:sz w:val="24"/>
        </w:rPr>
        <w:t>行业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建筑工程专业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ascii="宋体" w:hAnsi="宋体"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  <w:lang w:val="en-US" w:eastAsia="zh-CN"/>
        </w:rPr>
        <w:t>丁</w:t>
      </w:r>
      <w:r>
        <w:rPr>
          <w:rFonts w:hint="eastAsia" w:ascii="宋体" w:hAnsi="宋体"/>
          <w:color w:val="auto"/>
          <w:sz w:val="24"/>
        </w:rPr>
        <w:t>级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含丁级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以上资质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>
      <w:pPr>
        <w:spacing w:line="46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3.1.2</w:t>
      </w:r>
      <w:r>
        <w:rPr>
          <w:rFonts w:hint="eastAsia" w:ascii="宋体" w:hAnsi="宋体"/>
          <w:color w:val="auto"/>
          <w:sz w:val="24"/>
        </w:rPr>
        <w:t>具</w:t>
      </w:r>
      <w:r>
        <w:rPr>
          <w:rFonts w:hint="eastAsia" w:ascii="宋体" w:hAnsi="宋体"/>
          <w:color w:val="auto"/>
          <w:sz w:val="24"/>
          <w:lang w:val="en-US" w:eastAsia="zh-CN"/>
        </w:rPr>
        <w:t>备</w:t>
      </w:r>
      <w:r>
        <w:rPr>
          <w:rFonts w:hint="eastAsia" w:ascii="宋体" w:hAnsi="宋体"/>
          <w:color w:val="auto"/>
          <w:sz w:val="24"/>
        </w:rPr>
        <w:t>建筑工程施工总承包</w:t>
      </w:r>
      <w:r>
        <w:rPr>
          <w:rFonts w:hint="eastAsia" w:ascii="宋体" w:hAnsi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</w:rPr>
        <w:t>级（含</w:t>
      </w:r>
      <w:r>
        <w:rPr>
          <w:rFonts w:hint="eastAsia" w:ascii="宋体" w:hAnsi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</w:rPr>
        <w:t>级）</w:t>
      </w:r>
      <w:r>
        <w:rPr>
          <w:rFonts w:hint="eastAsia" w:ascii="宋体" w:hAnsi="宋体"/>
          <w:b/>
          <w:bCs/>
          <w:color w:val="auto"/>
          <w:sz w:val="24"/>
        </w:rPr>
        <w:t>或</w:t>
      </w:r>
      <w:r>
        <w:rPr>
          <w:rFonts w:hint="eastAsia" w:ascii="宋体" w:hAnsi="宋体"/>
          <w:color w:val="auto"/>
          <w:sz w:val="24"/>
        </w:rPr>
        <w:t>建筑装修装饰工程专业承包</w:t>
      </w:r>
      <w:r>
        <w:rPr>
          <w:rFonts w:hint="eastAsia" w:ascii="宋体" w:hAnsi="宋体"/>
          <w:color w:val="auto"/>
          <w:sz w:val="24"/>
          <w:lang w:val="en-US" w:eastAsia="zh-CN"/>
        </w:rPr>
        <w:t>二</w:t>
      </w:r>
      <w:r>
        <w:rPr>
          <w:rFonts w:hint="eastAsia" w:ascii="宋体" w:hAnsi="宋体"/>
          <w:color w:val="auto"/>
          <w:sz w:val="24"/>
        </w:rPr>
        <w:t>级（含</w:t>
      </w:r>
      <w:r>
        <w:rPr>
          <w:rFonts w:hint="eastAsia" w:ascii="宋体" w:hAnsi="宋体"/>
          <w:color w:val="auto"/>
          <w:sz w:val="24"/>
          <w:lang w:val="en-US" w:eastAsia="zh-CN"/>
        </w:rPr>
        <w:t>二</w:t>
      </w:r>
      <w:r>
        <w:rPr>
          <w:rFonts w:hint="eastAsia" w:ascii="宋体" w:hAnsi="宋体"/>
          <w:color w:val="auto"/>
          <w:sz w:val="24"/>
        </w:rPr>
        <w:t>级）以上资质</w:t>
      </w:r>
      <w:r>
        <w:rPr>
          <w:rFonts w:hint="eastAsia" w:ascii="宋体" w:hAnsi="宋体"/>
          <w:bCs/>
          <w:snapToGrid w:val="0"/>
          <w:color w:val="auto"/>
          <w:sz w:val="24"/>
          <w:lang w:val="zh-CN"/>
        </w:rPr>
        <w:t>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拟派项目负责人须具备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工程专业二级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)</w:t>
      </w:r>
      <w:r>
        <w:rPr>
          <w:rFonts w:hint="eastAsia" w:ascii="宋体" w:hAnsi="宋体"/>
          <w:sz w:val="24"/>
        </w:rPr>
        <w:t>以上注册建造师执业资格和有效的安全生产考核合格证书（B证），且未担任其他在施建设工程项目的项目负责人。</w:t>
      </w:r>
    </w:p>
    <w:bookmarkEnd w:id="15"/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4单位负责人为同一人或者存在直接控股、管理关系的不同</w:t>
      </w:r>
      <w:r>
        <w:rPr>
          <w:rFonts w:hint="eastAsia" w:ascii="宋体" w:hAnsi="宋体"/>
          <w:sz w:val="24"/>
        </w:rPr>
        <w:t>投标人</w:t>
      </w:r>
      <w:r>
        <w:rPr>
          <w:rFonts w:ascii="宋体" w:hAnsi="宋体"/>
          <w:sz w:val="24"/>
        </w:rPr>
        <w:t>，不得同时参加同一包的采购活动。</w:t>
      </w: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之间有上述关系的，应主动声明，否则将</w:t>
      </w:r>
      <w:r>
        <w:rPr>
          <w:rFonts w:hint="eastAsia" w:ascii="宋体" w:hAnsi="宋体"/>
          <w:b/>
          <w:sz w:val="24"/>
        </w:rPr>
        <w:t>给予</w:t>
      </w:r>
      <w:r>
        <w:rPr>
          <w:rFonts w:ascii="宋体" w:hAnsi="宋体"/>
          <w:b/>
          <w:sz w:val="24"/>
        </w:rPr>
        <w:t>列入不良记录名单、3年内不得参加军队采购活动的处罚。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 w:eastAsia="宋体" w:cs="宋体"/>
          <w:sz w:val="24"/>
          <w:szCs w:val="24"/>
        </w:rPr>
        <w:t>投标人未被列入政府采购失信名单、军队供应商暂停名单，未在军队采购失信名单禁入处罚期内，未被“信用中国”网站列入失信被执行人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、重大税收违法失信主体</w:t>
      </w:r>
      <w:r>
        <w:rPr>
          <w:rFonts w:hint="eastAsia" w:ascii="宋体" w:hAnsi="宋体"/>
          <w:sz w:val="24"/>
        </w:rPr>
        <w:t>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  <w:lang w:val="en-US" w:eastAsia="zh-CN"/>
        </w:rPr>
        <w:t xml:space="preserve"> 2020年1月1日以来</w:t>
      </w:r>
      <w:r>
        <w:rPr>
          <w:rFonts w:hint="eastAsia" w:ascii="宋体" w:hAnsi="宋体" w:cs="宋体"/>
          <w:sz w:val="24"/>
        </w:rPr>
        <w:t>在经营活动中无骗取中标、严重违约、重大工程质量问题和其他严重不良记录。</w:t>
      </w:r>
    </w:p>
    <w:p>
      <w:pPr>
        <w:spacing w:line="4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3.7 投标人2020年1月1日至今具有装修含采购类项目业绩，且工程总造价不低于本项目。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本次招标不接受联合体投标。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4.资格审查方式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本次招标采用资格后审方式，由评标委员会对投标人进行资格审查，所有通过资格审查的有效投标人均可以参加评标。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ascii="宋体" w:hAnsi="宋体"/>
          <w:b/>
          <w:sz w:val="24"/>
        </w:rPr>
        <w:t>. 招标文件的获取</w:t>
      </w:r>
      <w:bookmarkEnd w:id="16"/>
      <w:bookmarkEnd w:id="17"/>
      <w:bookmarkEnd w:id="18"/>
      <w:bookmarkEnd w:id="19"/>
      <w:bookmarkEnd w:id="20"/>
      <w:bookmarkEnd w:id="21"/>
    </w:p>
    <w:p>
      <w:pPr>
        <w:tabs>
          <w:tab w:val="left" w:pos="360"/>
        </w:tabs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5.1</w:t>
      </w:r>
      <w:r>
        <w:rPr>
          <w:rFonts w:hint="eastAsia" w:ascii="宋体" w:hAnsi="宋体"/>
          <w:sz w:val="24"/>
        </w:rPr>
        <w:t>获取时间：202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日起至202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日止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每日9:00-17:00（北京时间，法定休假日除外）</w:t>
      </w:r>
      <w:r>
        <w:rPr>
          <w:rFonts w:ascii="宋体" w:hAnsi="宋体"/>
          <w:sz w:val="24"/>
        </w:rPr>
        <w:t>。</w:t>
      </w:r>
    </w:p>
    <w:p>
      <w:pPr>
        <w:tabs>
          <w:tab w:val="left" w:pos="360"/>
        </w:tabs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.2获取地点：</w:t>
      </w:r>
      <w:bookmarkStart w:id="22" w:name="_Hlk14169751"/>
      <w:r>
        <w:rPr>
          <w:rFonts w:hint="eastAsia" w:ascii="宋体" w:hAnsi="宋体"/>
          <w:sz w:val="24"/>
        </w:rPr>
        <w:t>中招国际招标有限公司陕西分公司（西安市未央区未央路171-1银池道拉斯财富中心十楼）</w:t>
      </w:r>
      <w:bookmarkEnd w:id="22"/>
      <w:r>
        <w:rPr>
          <w:rFonts w:hint="eastAsia" w:ascii="宋体" w:hAnsi="宋体"/>
          <w:sz w:val="24"/>
        </w:rPr>
        <w:t>。</w:t>
      </w:r>
    </w:p>
    <w:p>
      <w:pPr>
        <w:tabs>
          <w:tab w:val="left" w:pos="360"/>
        </w:tabs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3获取方式：投标人</w:t>
      </w:r>
      <w:r>
        <w:rPr>
          <w:rFonts w:ascii="宋体" w:hAnsi="宋体"/>
          <w:sz w:val="24"/>
        </w:rPr>
        <w:t>指定专人现场领取，不接受邮寄等其他方式</w:t>
      </w:r>
      <w:r>
        <w:rPr>
          <w:rFonts w:hint="eastAsia" w:ascii="宋体" w:hAnsi="宋体"/>
          <w:sz w:val="24"/>
        </w:rPr>
        <w:t>。投标人</w:t>
      </w:r>
      <w:r>
        <w:rPr>
          <w:rFonts w:ascii="宋体" w:hAnsi="宋体"/>
          <w:sz w:val="24"/>
        </w:rPr>
        <w:t>购买招标文件时</w:t>
      </w:r>
      <w:r>
        <w:rPr>
          <w:rFonts w:hint="eastAsia" w:ascii="宋体" w:hAnsi="宋体"/>
          <w:sz w:val="24"/>
        </w:rPr>
        <w:t>须持单位介绍信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法定代表人授权书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、经办人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被授权人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身份证购买招标文件。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5.4</w:t>
      </w:r>
      <w:r>
        <w:rPr>
          <w:rFonts w:hint="eastAsia" w:ascii="宋体" w:hAnsi="宋体"/>
          <w:sz w:val="24"/>
        </w:rPr>
        <w:t>招标文件售价：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0元/份，售后不退。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23" w:name="_Toc247527539"/>
      <w:bookmarkStart w:id="24" w:name="_Toc300834933"/>
      <w:bookmarkStart w:id="25" w:name="_Toc152042292"/>
      <w:bookmarkStart w:id="26" w:name="_Toc152045516"/>
      <w:bookmarkStart w:id="27" w:name="_Toc144974484"/>
      <w:bookmarkStart w:id="28" w:name="_Toc247513938"/>
      <w:r>
        <w:rPr>
          <w:rFonts w:hint="eastAsia" w:ascii="宋体" w:hAnsi="宋体"/>
          <w:b/>
          <w:sz w:val="24"/>
        </w:rPr>
        <w:t>6</w:t>
      </w:r>
      <w:r>
        <w:rPr>
          <w:rFonts w:ascii="宋体" w:hAnsi="宋体"/>
          <w:b/>
          <w:sz w:val="24"/>
        </w:rPr>
        <w:t>. 投标文件的递交</w:t>
      </w:r>
      <w:bookmarkEnd w:id="23"/>
      <w:bookmarkEnd w:id="24"/>
      <w:bookmarkEnd w:id="25"/>
      <w:bookmarkEnd w:id="26"/>
      <w:bookmarkEnd w:id="27"/>
      <w:bookmarkEnd w:id="28"/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.1投标文件递交的截止时间（投标截止时间，下同）为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17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  <w:u w:val="single"/>
        </w:rPr>
        <w:t>30</w:t>
      </w:r>
      <w:r>
        <w:rPr>
          <w:rFonts w:ascii="宋体" w:hAnsi="宋体"/>
          <w:sz w:val="24"/>
        </w:rPr>
        <w:t>分，地点为</w:t>
      </w:r>
      <w:r>
        <w:rPr>
          <w:rFonts w:hint="eastAsia" w:ascii="宋体" w:hAnsi="宋体"/>
          <w:sz w:val="24"/>
          <w:u w:val="single"/>
        </w:rPr>
        <w:t>中招国际招标有限公司陕西分公司会议室（西安市未央路171-1银池道拉斯财富中心十楼）</w:t>
      </w:r>
      <w:r>
        <w:rPr>
          <w:rFonts w:ascii="宋体" w:hAnsi="宋体"/>
          <w:sz w:val="24"/>
        </w:rPr>
        <w:t>。</w:t>
      </w:r>
    </w:p>
    <w:p>
      <w:pPr>
        <w:tabs>
          <w:tab w:val="left" w:pos="360"/>
        </w:tabs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.2逾期送达的或者未送达指定地点的投标文件，招标人不予受理。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29" w:name="_Toc247513939"/>
      <w:bookmarkStart w:id="30" w:name="_Toc157499355"/>
      <w:bookmarkStart w:id="31" w:name="_Toc300834934"/>
      <w:bookmarkStart w:id="32" w:name="_Toc247527540"/>
      <w:r>
        <w:rPr>
          <w:rFonts w:hint="eastAsia" w:ascii="宋体" w:hAnsi="宋体"/>
          <w:b/>
          <w:sz w:val="24"/>
        </w:rPr>
        <w:t>7. 发布公告的媒介</w:t>
      </w:r>
      <w:bookmarkEnd w:id="29"/>
      <w:bookmarkEnd w:id="30"/>
      <w:bookmarkEnd w:id="31"/>
      <w:bookmarkEnd w:id="32"/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本次招标公告同时在</w:t>
      </w:r>
      <w:r>
        <w:rPr>
          <w:rFonts w:hint="eastAsia" w:ascii="宋体" w:hAnsi="宋体"/>
          <w:snapToGrid w:val="0"/>
          <w:sz w:val="24"/>
        </w:rPr>
        <w:t>《军队采购网》（www.plap.cn）、《中国政府采购网》（www.ccgp.gov.cn）</w:t>
      </w:r>
      <w:r>
        <w:rPr>
          <w:rFonts w:ascii="宋体" w:hAnsi="宋体"/>
          <w:snapToGrid w:val="0"/>
          <w:sz w:val="24"/>
        </w:rPr>
        <w:t>公开发布</w:t>
      </w:r>
      <w:r>
        <w:rPr>
          <w:rFonts w:hint="eastAsia" w:ascii="宋体" w:hAnsi="宋体"/>
          <w:sz w:val="24"/>
        </w:rPr>
        <w:t>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33" w:name="_Toc247513940"/>
      <w:bookmarkStart w:id="34" w:name="_Toc144974485"/>
      <w:bookmarkStart w:id="35" w:name="_Toc152042293"/>
      <w:bookmarkStart w:id="36" w:name="_Toc152045517"/>
      <w:bookmarkStart w:id="37" w:name="_Toc247527541"/>
      <w:bookmarkStart w:id="38" w:name="_Toc300834935"/>
      <w:r>
        <w:rPr>
          <w:rFonts w:hint="eastAsia" w:ascii="宋体" w:hAnsi="宋体"/>
          <w:b/>
          <w:sz w:val="24"/>
        </w:rPr>
        <w:t>8</w:t>
      </w:r>
      <w:r>
        <w:rPr>
          <w:rFonts w:ascii="宋体" w:hAnsi="宋体"/>
          <w:b/>
          <w:sz w:val="24"/>
        </w:rPr>
        <w:t>. 联系方式</w:t>
      </w:r>
      <w:bookmarkEnd w:id="33"/>
      <w:bookmarkEnd w:id="34"/>
      <w:bookmarkEnd w:id="35"/>
      <w:bookmarkEnd w:id="36"/>
      <w:bookmarkEnd w:id="37"/>
      <w:bookmarkEnd w:id="38"/>
    </w:p>
    <w:p>
      <w:pPr>
        <w:topLinePunct/>
        <w:spacing w:line="460" w:lineRule="exact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建设单位：某部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址：陕西省榆林市</w:t>
      </w:r>
    </w:p>
    <w:p>
      <w:pPr>
        <w:topLinePunct/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董干事 单干事</w:t>
      </w:r>
    </w:p>
    <w:p>
      <w:pPr>
        <w:topLinePunct/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    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0912-3487024  15596588320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招标代理机构：中招国际招标有限公司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人：孙启帆、张琳卿、刘武超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   话：029-89820057、81312836、81311536 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电子邮件：sunqifan@cntcitc.com.cn</w:t>
      </w:r>
    </w:p>
    <w:p>
      <w:pPr>
        <w:spacing w:line="460" w:lineRule="exact"/>
        <w:ind w:firstLine="480" w:firstLineChars="200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WRmOWVmMmM1ZTVkZDQxY2FiNGE3NjBlMTg2ZWUifQ=="/>
  </w:docVars>
  <w:rsids>
    <w:rsidRoot w:val="00291987"/>
    <w:rsid w:val="000003AC"/>
    <w:rsid w:val="00015D04"/>
    <w:rsid w:val="00017279"/>
    <w:rsid w:val="00023C9D"/>
    <w:rsid w:val="000312DD"/>
    <w:rsid w:val="000440BE"/>
    <w:rsid w:val="0006490D"/>
    <w:rsid w:val="000A3FEB"/>
    <w:rsid w:val="000A5775"/>
    <w:rsid w:val="000B434F"/>
    <w:rsid w:val="000E538E"/>
    <w:rsid w:val="000E5F93"/>
    <w:rsid w:val="000F1C4D"/>
    <w:rsid w:val="000F3610"/>
    <w:rsid w:val="00123B5B"/>
    <w:rsid w:val="00143710"/>
    <w:rsid w:val="0014633A"/>
    <w:rsid w:val="001550EC"/>
    <w:rsid w:val="0016434A"/>
    <w:rsid w:val="00187121"/>
    <w:rsid w:val="00193673"/>
    <w:rsid w:val="001E59A5"/>
    <w:rsid w:val="00206410"/>
    <w:rsid w:val="002065A0"/>
    <w:rsid w:val="00214E97"/>
    <w:rsid w:val="00237C16"/>
    <w:rsid w:val="00281C6C"/>
    <w:rsid w:val="00291987"/>
    <w:rsid w:val="002B5F99"/>
    <w:rsid w:val="002F4B48"/>
    <w:rsid w:val="00317874"/>
    <w:rsid w:val="00356364"/>
    <w:rsid w:val="00356379"/>
    <w:rsid w:val="00394AED"/>
    <w:rsid w:val="00396ACD"/>
    <w:rsid w:val="003A2635"/>
    <w:rsid w:val="003A501E"/>
    <w:rsid w:val="003A52FB"/>
    <w:rsid w:val="003B1639"/>
    <w:rsid w:val="003B1AB4"/>
    <w:rsid w:val="003B23C6"/>
    <w:rsid w:val="003B2727"/>
    <w:rsid w:val="003D7E1B"/>
    <w:rsid w:val="0040122E"/>
    <w:rsid w:val="00405858"/>
    <w:rsid w:val="00422790"/>
    <w:rsid w:val="004309C1"/>
    <w:rsid w:val="00443906"/>
    <w:rsid w:val="0044617B"/>
    <w:rsid w:val="00446943"/>
    <w:rsid w:val="00455309"/>
    <w:rsid w:val="004613C4"/>
    <w:rsid w:val="004932C6"/>
    <w:rsid w:val="004A24BD"/>
    <w:rsid w:val="004C243A"/>
    <w:rsid w:val="004C29BE"/>
    <w:rsid w:val="004D3C95"/>
    <w:rsid w:val="004D7699"/>
    <w:rsid w:val="004E33C7"/>
    <w:rsid w:val="004F315C"/>
    <w:rsid w:val="00540D8C"/>
    <w:rsid w:val="00552727"/>
    <w:rsid w:val="0056086D"/>
    <w:rsid w:val="00571F28"/>
    <w:rsid w:val="00576A04"/>
    <w:rsid w:val="0057704C"/>
    <w:rsid w:val="00597D28"/>
    <w:rsid w:val="005A201E"/>
    <w:rsid w:val="005E3C73"/>
    <w:rsid w:val="005E512D"/>
    <w:rsid w:val="005E65EC"/>
    <w:rsid w:val="005E70E4"/>
    <w:rsid w:val="005F07A5"/>
    <w:rsid w:val="00610969"/>
    <w:rsid w:val="0063349C"/>
    <w:rsid w:val="00650D49"/>
    <w:rsid w:val="00656290"/>
    <w:rsid w:val="00674FD4"/>
    <w:rsid w:val="006A7229"/>
    <w:rsid w:val="006B2E34"/>
    <w:rsid w:val="006B4C1E"/>
    <w:rsid w:val="006D244A"/>
    <w:rsid w:val="006E7E35"/>
    <w:rsid w:val="00712DB9"/>
    <w:rsid w:val="00760E6E"/>
    <w:rsid w:val="00770C8A"/>
    <w:rsid w:val="007A07C7"/>
    <w:rsid w:val="007B0714"/>
    <w:rsid w:val="007D2C54"/>
    <w:rsid w:val="007D39A8"/>
    <w:rsid w:val="007F0898"/>
    <w:rsid w:val="007F1293"/>
    <w:rsid w:val="00802A7B"/>
    <w:rsid w:val="00846222"/>
    <w:rsid w:val="00852BB6"/>
    <w:rsid w:val="0085492B"/>
    <w:rsid w:val="008646F2"/>
    <w:rsid w:val="00886A24"/>
    <w:rsid w:val="008A2EBE"/>
    <w:rsid w:val="008B1E12"/>
    <w:rsid w:val="008B21F9"/>
    <w:rsid w:val="008B2FCD"/>
    <w:rsid w:val="008C1134"/>
    <w:rsid w:val="008E184F"/>
    <w:rsid w:val="008E5DE8"/>
    <w:rsid w:val="008F24A9"/>
    <w:rsid w:val="00900172"/>
    <w:rsid w:val="00913B1F"/>
    <w:rsid w:val="0095023A"/>
    <w:rsid w:val="009715E9"/>
    <w:rsid w:val="00972A0E"/>
    <w:rsid w:val="00986A31"/>
    <w:rsid w:val="009935D2"/>
    <w:rsid w:val="009C0A5D"/>
    <w:rsid w:val="009D0E03"/>
    <w:rsid w:val="00A02153"/>
    <w:rsid w:val="00A24040"/>
    <w:rsid w:val="00A64E92"/>
    <w:rsid w:val="00A703E6"/>
    <w:rsid w:val="00A77F45"/>
    <w:rsid w:val="00A94971"/>
    <w:rsid w:val="00A9635C"/>
    <w:rsid w:val="00AA3FBC"/>
    <w:rsid w:val="00AA7D44"/>
    <w:rsid w:val="00AC6234"/>
    <w:rsid w:val="00AD32A1"/>
    <w:rsid w:val="00AE15EC"/>
    <w:rsid w:val="00AE7A67"/>
    <w:rsid w:val="00AF1CBC"/>
    <w:rsid w:val="00AF4D67"/>
    <w:rsid w:val="00B00968"/>
    <w:rsid w:val="00B0614B"/>
    <w:rsid w:val="00B06418"/>
    <w:rsid w:val="00B261EF"/>
    <w:rsid w:val="00B31A56"/>
    <w:rsid w:val="00B35029"/>
    <w:rsid w:val="00B37CB7"/>
    <w:rsid w:val="00B65D05"/>
    <w:rsid w:val="00B7313C"/>
    <w:rsid w:val="00B743CA"/>
    <w:rsid w:val="00B96CE6"/>
    <w:rsid w:val="00C05249"/>
    <w:rsid w:val="00C07B3C"/>
    <w:rsid w:val="00C5460E"/>
    <w:rsid w:val="00C7170C"/>
    <w:rsid w:val="00C95721"/>
    <w:rsid w:val="00C9607E"/>
    <w:rsid w:val="00CB0A64"/>
    <w:rsid w:val="00CE629A"/>
    <w:rsid w:val="00CF1507"/>
    <w:rsid w:val="00CF157E"/>
    <w:rsid w:val="00D05D14"/>
    <w:rsid w:val="00D21C91"/>
    <w:rsid w:val="00D34B0E"/>
    <w:rsid w:val="00D51812"/>
    <w:rsid w:val="00D80391"/>
    <w:rsid w:val="00D85F8A"/>
    <w:rsid w:val="00DA08F8"/>
    <w:rsid w:val="00DA4576"/>
    <w:rsid w:val="00DE06D0"/>
    <w:rsid w:val="00DF2F9E"/>
    <w:rsid w:val="00E0419A"/>
    <w:rsid w:val="00E31DF9"/>
    <w:rsid w:val="00E4728A"/>
    <w:rsid w:val="00E959E5"/>
    <w:rsid w:val="00EA4F1D"/>
    <w:rsid w:val="00ED128C"/>
    <w:rsid w:val="00ED2B42"/>
    <w:rsid w:val="00EE75EE"/>
    <w:rsid w:val="00EF0093"/>
    <w:rsid w:val="00EF5A67"/>
    <w:rsid w:val="00F23618"/>
    <w:rsid w:val="00F3295A"/>
    <w:rsid w:val="00F32BF8"/>
    <w:rsid w:val="00F34357"/>
    <w:rsid w:val="00F45797"/>
    <w:rsid w:val="00F53539"/>
    <w:rsid w:val="00F5565A"/>
    <w:rsid w:val="00F6019A"/>
    <w:rsid w:val="00F62A0A"/>
    <w:rsid w:val="00FC0239"/>
    <w:rsid w:val="00FE49D8"/>
    <w:rsid w:val="00FE6682"/>
    <w:rsid w:val="00FE6B61"/>
    <w:rsid w:val="17103CFE"/>
    <w:rsid w:val="1E1019C3"/>
    <w:rsid w:val="1FF05EE3"/>
    <w:rsid w:val="22F53C7D"/>
    <w:rsid w:val="47C00B41"/>
    <w:rsid w:val="53365785"/>
    <w:rsid w:val="5C0A5EBE"/>
    <w:rsid w:val="68504378"/>
    <w:rsid w:val="6F5A5861"/>
    <w:rsid w:val="741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5"/>
    <w:link w:val="36"/>
    <w:qFormat/>
    <w:uiPriority w:val="0"/>
    <w:pPr>
      <w:keepNext/>
      <w:keepLines/>
      <w:tabs>
        <w:tab w:val="left" w:pos="720"/>
      </w:tabs>
      <w:spacing w:before="60"/>
      <w:ind w:left="1260" w:hanging="420"/>
      <w:outlineLvl w:val="2"/>
    </w:pPr>
    <w:rPr>
      <w:rFonts w:ascii="Calibri" w:hAnsi="Calibri"/>
      <w:b/>
      <w:bCs/>
      <w:kern w:val="2"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</w:r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5">
    <w:name w:val="Normal Indent"/>
    <w:basedOn w:val="1"/>
    <w:semiHidden/>
    <w:unhideWhenUsed/>
    <w:qFormat/>
    <w:uiPriority w:val="0"/>
    <w:pPr>
      <w:ind w:firstLine="420" w:firstLineChars="200"/>
    </w:pPr>
    <w:rPr>
      <w:rFonts w:cs="宋体"/>
      <w:kern w:val="2"/>
      <w:sz w:val="21"/>
    </w:rPr>
  </w:style>
  <w:style w:type="paragraph" w:styleId="6">
    <w:name w:val="Document Map"/>
    <w:basedOn w:val="1"/>
    <w:link w:val="27"/>
    <w:unhideWhenUsed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20"/>
    <w:unhideWhenUsed/>
    <w:qFormat/>
    <w:uiPriority w:val="0"/>
    <w:pPr>
      <w:jc w:val="left"/>
    </w:pPr>
  </w:style>
  <w:style w:type="paragraph" w:styleId="8">
    <w:name w:val="Plain Text"/>
    <w:basedOn w:val="1"/>
    <w:link w:val="24"/>
    <w:unhideWhenUsed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paragraph" w:styleId="9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</w:rPr>
  </w:style>
  <w:style w:type="paragraph" w:styleId="13">
    <w:name w:val="annotation subject"/>
    <w:basedOn w:val="7"/>
    <w:next w:val="7"/>
    <w:link w:val="21"/>
    <w:unhideWhenUsed/>
    <w:qFormat/>
    <w:uiPriority w:val="0"/>
    <w:rPr>
      <w:b/>
      <w:bCs/>
    </w:rPr>
  </w:style>
  <w:style w:type="character" w:styleId="16">
    <w:name w:val="Hyperlink"/>
    <w:qFormat/>
    <w:uiPriority w:val="0"/>
    <w:rPr>
      <w:rFonts w:cs="Times New Roman"/>
      <w:color w:val="0000FF"/>
      <w:u w:val="single"/>
    </w:rPr>
  </w:style>
  <w:style w:type="character" w:styleId="17">
    <w:name w:val="annotation reference"/>
    <w:basedOn w:val="15"/>
    <w:unhideWhenUsed/>
    <w:qFormat/>
    <w:uiPriority w:val="0"/>
    <w:rPr>
      <w:sz w:val="21"/>
      <w:szCs w:val="21"/>
    </w:rPr>
  </w:style>
  <w:style w:type="character" w:customStyle="1" w:styleId="18">
    <w:name w:val="页眉 字符"/>
    <w:basedOn w:val="15"/>
    <w:link w:val="11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5"/>
    <w:link w:val="10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批注文字 字符"/>
    <w:basedOn w:val="15"/>
    <w:link w:val="7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1">
    <w:name w:val="批注主题 字符"/>
    <w:basedOn w:val="20"/>
    <w:link w:val="13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批注框文本 字符"/>
    <w:basedOn w:val="15"/>
    <w:link w:val="9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4">
    <w:name w:val="纯文本 字符1"/>
    <w:link w:val="8"/>
    <w:qFormat/>
    <w:uiPriority w:val="0"/>
    <w:rPr>
      <w:rFonts w:ascii="宋体" w:hAnsi="Courier New"/>
    </w:rPr>
  </w:style>
  <w:style w:type="character" w:customStyle="1" w:styleId="25">
    <w:name w:val="纯文本 字符"/>
    <w:basedOn w:val="15"/>
    <w:qFormat/>
    <w:uiPriority w:val="0"/>
    <w:rPr>
      <w:rFonts w:hAnsi="Courier New" w:cs="Courier New" w:asciiTheme="minorEastAsia"/>
      <w:kern w:val="0"/>
      <w:sz w:val="24"/>
      <w:szCs w:val="24"/>
    </w:rPr>
  </w:style>
  <w:style w:type="paragraph" w:customStyle="1" w:styleId="26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27">
    <w:name w:val="文档结构图 字符"/>
    <w:basedOn w:val="15"/>
    <w:link w:val="6"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29">
    <w:name w:val="NormalCharacter"/>
    <w:qFormat/>
    <w:uiPriority w:val="0"/>
  </w:style>
  <w:style w:type="paragraph" w:customStyle="1" w:styleId="30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31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标题 3 字符"/>
    <w:basedOn w:val="15"/>
    <w:semiHidden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3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6">
    <w:name w:val="标题 3 字符1"/>
    <w:link w:val="4"/>
    <w:qFormat/>
    <w:uiPriority w:val="0"/>
    <w:rPr>
      <w:rFonts w:ascii="Calibri" w:hAnsi="Calibri" w:eastAsia="宋体" w:cs="Times New Roman"/>
      <w:b/>
      <w:bCs/>
      <w:sz w:val="28"/>
      <w:szCs w:val="32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1395</Words>
  <Characters>1610</Characters>
  <Lines>16</Lines>
  <Paragraphs>4</Paragraphs>
  <TotalTime>4</TotalTime>
  <ScaleCrop>false</ScaleCrop>
  <LinksUpToDate>false</LinksUpToDate>
  <CharactersWithSpaces>1642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2021-03-30T06:41:00Z</dcterms:created>
  <dc:creator>启帆 孙</dc:creator>
  <cp:lastModifiedBy>十四.</cp:lastModifiedBy>
  <cp:lastPrinted>2021-11-21T15:33:00Z</cp:lastPrinted>
  <dcterms:modified xsi:type="dcterms:W3CDTF">2023-01-13T07:18:05Z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0AD2D95F0FD14D71A48D5D283AE1115C</vt:lpwstr>
  </property>
</Properties>
</file>