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宋体" w:hAnsi="宋体" w:cs="宋体"/>
          <w:b/>
          <w:color w:val="auto"/>
          <w:sz w:val="48"/>
          <w:szCs w:val="48"/>
          <w:highlight w:val="none"/>
        </w:rPr>
      </w:pPr>
      <w:bookmarkStart w:id="0" w:name="_Toc24320_WPSOffice_Type1"/>
    </w:p>
    <w:p>
      <w:pPr>
        <w:spacing w:line="360" w:lineRule="auto"/>
        <w:ind w:firstLine="241" w:firstLineChars="50"/>
        <w:jc w:val="center"/>
        <w:rPr>
          <w:rFonts w:ascii="宋体" w:hAnsi="宋体" w:cs="宋体"/>
          <w:b/>
          <w:color w:val="auto"/>
          <w:sz w:val="48"/>
          <w:szCs w:val="48"/>
          <w:highlight w:val="none"/>
        </w:rPr>
      </w:pPr>
    </w:p>
    <w:p>
      <w:pPr>
        <w:spacing w:line="360" w:lineRule="auto"/>
        <w:ind w:firstLine="241" w:firstLineChars="50"/>
        <w:jc w:val="center"/>
        <w:rPr>
          <w:rFonts w:ascii="宋体" w:hAnsi="宋体" w:cs="宋体"/>
          <w:b/>
          <w:color w:val="auto"/>
          <w:sz w:val="48"/>
          <w:szCs w:val="48"/>
          <w:highlight w:val="none"/>
        </w:rPr>
      </w:pPr>
    </w:p>
    <w:p>
      <w:pPr>
        <w:spacing w:line="360" w:lineRule="auto"/>
        <w:ind w:firstLine="261" w:firstLineChars="50"/>
        <w:jc w:val="center"/>
        <w:rPr>
          <w:rFonts w:ascii="宋体" w:hAnsi="宋体" w:cs="宋体"/>
          <w:b/>
          <w:color w:val="auto"/>
          <w:sz w:val="52"/>
          <w:szCs w:val="52"/>
          <w:highlight w:val="none"/>
        </w:rPr>
      </w:pPr>
      <w:r>
        <w:rPr>
          <w:rFonts w:hint="eastAsia" w:ascii="宋体" w:hAnsi="宋体" w:cs="宋体"/>
          <w:b/>
          <w:color w:val="auto"/>
          <w:sz w:val="52"/>
          <w:szCs w:val="52"/>
          <w:highlight w:val="none"/>
        </w:rPr>
        <w:t>政 府 采 购 项 目</w:t>
      </w:r>
    </w:p>
    <w:p>
      <w:pPr>
        <w:spacing w:line="360" w:lineRule="auto"/>
        <w:ind w:firstLine="261" w:firstLineChars="50"/>
        <w:jc w:val="center"/>
        <w:rPr>
          <w:rFonts w:ascii="宋体" w:hAnsi="宋体" w:cs="宋体"/>
          <w:b/>
          <w:color w:val="auto"/>
          <w:sz w:val="52"/>
          <w:szCs w:val="52"/>
          <w:highlight w:val="none"/>
        </w:rPr>
      </w:pPr>
    </w:p>
    <w:p>
      <w:pPr>
        <w:spacing w:line="360" w:lineRule="auto"/>
        <w:ind w:firstLine="261" w:firstLineChars="50"/>
        <w:jc w:val="center"/>
        <w:rPr>
          <w:rFonts w:ascii="宋体" w:hAnsi="宋体" w:cs="宋体"/>
          <w:b/>
          <w:color w:val="auto"/>
          <w:sz w:val="52"/>
          <w:szCs w:val="52"/>
          <w:highlight w:val="none"/>
        </w:rPr>
      </w:pPr>
      <w:r>
        <w:rPr>
          <w:rFonts w:hint="eastAsia" w:ascii="宋体" w:hAnsi="宋体" w:cs="宋体"/>
          <w:b/>
          <w:color w:val="auto"/>
          <w:sz w:val="52"/>
          <w:szCs w:val="52"/>
          <w:highlight w:val="none"/>
        </w:rPr>
        <w:t>货物类</w:t>
      </w:r>
    </w:p>
    <w:p>
      <w:pPr>
        <w:spacing w:line="360" w:lineRule="auto"/>
        <w:ind w:firstLine="261" w:firstLineChars="50"/>
        <w:jc w:val="center"/>
        <w:rPr>
          <w:rFonts w:ascii="宋体" w:hAnsi="宋体" w:cs="宋体"/>
          <w:b/>
          <w:color w:val="auto"/>
          <w:sz w:val="52"/>
          <w:szCs w:val="52"/>
          <w:highlight w:val="none"/>
        </w:rPr>
      </w:pPr>
      <w:r>
        <w:rPr>
          <w:rFonts w:hint="eastAsia" w:ascii="宋体" w:hAnsi="宋体" w:cs="宋体"/>
          <w:b/>
          <w:color w:val="auto"/>
          <w:sz w:val="52"/>
          <w:szCs w:val="52"/>
          <w:highlight w:val="none"/>
        </w:rPr>
        <w:t>竞争性磋商采购文件</w:t>
      </w: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360" w:lineRule="auto"/>
        <w:ind w:right="-361" w:rightChars="-172" w:firstLine="643" w:firstLineChars="200"/>
        <w:rPr>
          <w:rFonts w:ascii="宋体" w:hAnsi="宋体" w:cs="宋体"/>
          <w:b/>
          <w:color w:val="auto"/>
          <w:sz w:val="32"/>
          <w:szCs w:val="32"/>
          <w:highlight w:val="none"/>
        </w:rPr>
      </w:pPr>
      <w:r>
        <w:rPr>
          <w:rFonts w:hint="eastAsia" w:ascii="宋体" w:hAnsi="宋体" w:cs="宋体"/>
          <w:b/>
          <w:color w:val="auto"/>
          <w:sz w:val="32"/>
          <w:szCs w:val="32"/>
          <w:highlight w:val="none"/>
        </w:rPr>
        <w:t>项目名称：</w:t>
      </w:r>
      <w:r>
        <w:rPr>
          <w:rFonts w:hint="eastAsia" w:ascii="宋体" w:hAnsi="宋体" w:cs="宋体"/>
          <w:b/>
          <w:color w:val="auto"/>
          <w:sz w:val="28"/>
          <w:szCs w:val="28"/>
          <w:highlight w:val="none"/>
        </w:rPr>
        <w:t>生命医学实验平台-宏观变倍体视显微镜（进口）（贴息贷款）</w:t>
      </w:r>
    </w:p>
    <w:p>
      <w:pPr>
        <w:spacing w:line="360" w:lineRule="auto"/>
        <w:ind w:firstLine="643" w:firstLineChars="200"/>
        <w:rPr>
          <w:rFonts w:ascii="宋体" w:hAnsi="宋体" w:cs="宋体"/>
          <w:b/>
          <w:color w:val="auto"/>
          <w:sz w:val="32"/>
          <w:szCs w:val="32"/>
          <w:highlight w:val="none"/>
        </w:rPr>
      </w:pPr>
      <w:r>
        <w:rPr>
          <w:rFonts w:hint="eastAsia" w:ascii="宋体" w:hAnsi="宋体" w:cs="宋体"/>
          <w:b/>
          <w:color w:val="auto"/>
          <w:sz w:val="32"/>
          <w:szCs w:val="32"/>
          <w:highlight w:val="none"/>
        </w:rPr>
        <w:t>项目编号：TXD22606</w:t>
      </w:r>
    </w:p>
    <w:p>
      <w:pPr>
        <w:spacing w:line="360" w:lineRule="auto"/>
        <w:ind w:firstLine="643" w:firstLineChars="200"/>
        <w:jc w:val="left"/>
        <w:rPr>
          <w:rFonts w:ascii="宋体" w:hAnsi="宋体" w:cs="宋体"/>
          <w:b/>
          <w:color w:val="auto"/>
          <w:sz w:val="32"/>
          <w:szCs w:val="32"/>
          <w:highlight w:val="none"/>
        </w:rPr>
      </w:pPr>
      <w:r>
        <w:rPr>
          <w:rFonts w:hint="eastAsia" w:ascii="宋体" w:hAnsi="宋体" w:cs="宋体"/>
          <w:b/>
          <w:color w:val="auto"/>
          <w:sz w:val="32"/>
          <w:szCs w:val="32"/>
          <w:highlight w:val="none"/>
        </w:rPr>
        <w:t>编制单位：辽宁轩宇工程管理有限公司</w:t>
      </w:r>
    </w:p>
    <w:p>
      <w:pPr>
        <w:rPr>
          <w:rFonts w:ascii="宋体" w:hAnsi="宋体" w:cs="宋体"/>
          <w:b/>
          <w:bCs/>
          <w:color w:val="auto"/>
          <w:kern w:val="0"/>
          <w:sz w:val="36"/>
          <w:szCs w:val="44"/>
          <w:highlight w:val="none"/>
        </w:rPr>
      </w:pPr>
    </w:p>
    <w:bookmarkEnd w:id="0"/>
    <w:p>
      <w:pPr>
        <w:pStyle w:val="34"/>
        <w:tabs>
          <w:tab w:val="center" w:pos="4648"/>
          <w:tab w:val="right" w:pos="9297"/>
        </w:tabs>
        <w:rPr>
          <w:rFonts w:ascii="宋体" w:hAnsi="宋体" w:cs="宋体"/>
          <w:color w:val="auto"/>
          <w:sz w:val="44"/>
          <w:szCs w:val="44"/>
          <w:highlight w:val="none"/>
          <w:lang w:val="zh-CN"/>
        </w:rPr>
      </w:pPr>
      <w:r>
        <w:rPr>
          <w:rFonts w:hint="eastAsia" w:ascii="宋体" w:hAnsi="宋体" w:cs="宋体"/>
          <w:color w:val="auto"/>
          <w:sz w:val="44"/>
          <w:szCs w:val="44"/>
          <w:highlight w:val="none"/>
          <w:lang w:val="zh-CN"/>
        </w:rPr>
        <w:br w:type="page"/>
      </w:r>
      <w:r>
        <w:rPr>
          <w:rFonts w:hint="eastAsia" w:ascii="宋体" w:hAnsi="宋体" w:cs="宋体"/>
          <w:color w:val="auto"/>
          <w:sz w:val="44"/>
          <w:szCs w:val="44"/>
          <w:highlight w:val="none"/>
          <w:lang w:val="zh-CN"/>
        </w:rPr>
        <w:tab/>
      </w:r>
      <w:r>
        <w:rPr>
          <w:rFonts w:hint="eastAsia" w:ascii="宋体" w:hAnsi="宋体" w:cs="宋体"/>
          <w:color w:val="auto"/>
          <w:sz w:val="44"/>
          <w:szCs w:val="44"/>
          <w:highlight w:val="none"/>
          <w:lang w:val="zh-CN"/>
        </w:rPr>
        <w:t>目  录</w:t>
      </w:r>
      <w:r>
        <w:rPr>
          <w:rFonts w:hint="eastAsia" w:ascii="宋体" w:hAnsi="宋体" w:cs="宋体"/>
          <w:color w:val="auto"/>
          <w:sz w:val="44"/>
          <w:szCs w:val="44"/>
          <w:highlight w:val="none"/>
          <w:lang w:val="zh-CN"/>
        </w:rPr>
        <w:tab/>
      </w:r>
    </w:p>
    <w:p>
      <w:pPr>
        <w:rPr>
          <w:rFonts w:ascii="宋体" w:hAnsi="宋体" w:cs="宋体"/>
          <w:color w:val="auto"/>
          <w:highlight w:val="none"/>
          <w:lang w:val="zh-CN"/>
        </w:rPr>
      </w:pPr>
    </w:p>
    <w:p>
      <w:pPr>
        <w:pStyle w:val="14"/>
        <w:tabs>
          <w:tab w:val="right" w:leader="dot" w:pos="8296"/>
        </w:tabs>
        <w:spacing w:line="600" w:lineRule="exact"/>
        <w:jc w:val="center"/>
        <w:rPr>
          <w:rFonts w:ascii="宋体" w:hAnsi="宋体" w:cs="宋体"/>
          <w:b/>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"1-3" \h \z \u </w:instrText>
      </w:r>
      <w:r>
        <w:rPr>
          <w:rFonts w:hint="eastAsia"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"_Toc4485616" </w:instrText>
      </w:r>
      <w:r>
        <w:rPr>
          <w:color w:val="auto"/>
          <w:highlight w:val="none"/>
        </w:rPr>
        <w:fldChar w:fldCharType="separate"/>
      </w:r>
      <w:r>
        <w:rPr>
          <w:rStyle w:val="22"/>
          <w:rFonts w:hint="eastAsia" w:ascii="宋体" w:hAnsi="宋体" w:cs="宋体"/>
          <w:b/>
          <w:color w:val="auto"/>
          <w:sz w:val="24"/>
          <w:highlight w:val="none"/>
        </w:rPr>
        <w:t>竞争性磋商公告</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_Toc4485616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2</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14"/>
        <w:tabs>
          <w:tab w:val="right" w:leader="dot" w:pos="8296"/>
        </w:tabs>
        <w:spacing w:line="600" w:lineRule="exact"/>
        <w:jc w:val="center"/>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"_Toc4485617" </w:instrText>
      </w:r>
      <w:r>
        <w:rPr>
          <w:color w:val="auto"/>
          <w:highlight w:val="none"/>
        </w:rPr>
        <w:fldChar w:fldCharType="separate"/>
      </w:r>
      <w:r>
        <w:rPr>
          <w:rStyle w:val="22"/>
          <w:rFonts w:hint="eastAsia" w:ascii="宋体" w:hAnsi="宋体" w:cs="宋体"/>
          <w:b/>
          <w:color w:val="auto"/>
          <w:sz w:val="24"/>
          <w:highlight w:val="none"/>
        </w:rPr>
        <w:t>第一章 供应商须知</w:t>
      </w:r>
      <w:r>
        <w:rPr>
          <w:rFonts w:hint="eastAsia" w:ascii="宋体" w:hAnsi="宋体" w:cs="宋体"/>
          <w:b/>
          <w:color w:val="auto"/>
          <w:sz w:val="24"/>
          <w:highlight w:val="none"/>
        </w:rPr>
        <w:tab/>
      </w:r>
      <w:r>
        <w:rPr>
          <w:rFonts w:hint="eastAsia" w:ascii="宋体" w:hAnsi="宋体" w:cs="宋体"/>
          <w:b/>
          <w:color w:val="auto"/>
          <w:sz w:val="24"/>
          <w:highlight w:val="none"/>
        </w:rPr>
        <w:t>5</w:t>
      </w:r>
      <w:r>
        <w:rPr>
          <w:rFonts w:hint="eastAsia" w:ascii="宋体" w:hAnsi="宋体" w:cs="宋体"/>
          <w:b/>
          <w:color w:val="auto"/>
          <w:sz w:val="24"/>
          <w:highlight w:val="none"/>
        </w:rPr>
        <w:fldChar w:fldCharType="end"/>
      </w:r>
    </w:p>
    <w:p>
      <w:pPr>
        <w:pStyle w:val="14"/>
        <w:tabs>
          <w:tab w:val="right" w:leader="dot" w:pos="8296"/>
        </w:tabs>
        <w:spacing w:line="600" w:lineRule="exact"/>
        <w:jc w:val="center"/>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"_Toc4485625" </w:instrText>
      </w:r>
      <w:r>
        <w:rPr>
          <w:color w:val="auto"/>
          <w:highlight w:val="none"/>
        </w:rPr>
        <w:fldChar w:fldCharType="separate"/>
      </w:r>
      <w:r>
        <w:rPr>
          <w:rStyle w:val="22"/>
          <w:rFonts w:hint="eastAsia" w:ascii="宋体" w:hAnsi="宋体" w:cs="宋体"/>
          <w:b/>
          <w:color w:val="auto"/>
          <w:sz w:val="24"/>
          <w:highlight w:val="none"/>
        </w:rPr>
        <w:t>第二章 响应文件内容及格式</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_Toc4485625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19</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14"/>
        <w:tabs>
          <w:tab w:val="right" w:leader="dot" w:pos="8296"/>
        </w:tabs>
        <w:spacing w:line="600" w:lineRule="exact"/>
        <w:jc w:val="center"/>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"_Toc4485643" </w:instrText>
      </w:r>
      <w:r>
        <w:rPr>
          <w:color w:val="auto"/>
          <w:highlight w:val="none"/>
        </w:rPr>
        <w:fldChar w:fldCharType="separate"/>
      </w:r>
      <w:r>
        <w:rPr>
          <w:rStyle w:val="22"/>
          <w:rFonts w:hint="eastAsia" w:ascii="宋体" w:hAnsi="宋体" w:cs="宋体"/>
          <w:b/>
          <w:color w:val="auto"/>
          <w:sz w:val="24"/>
          <w:highlight w:val="none"/>
        </w:rPr>
        <w:t>第三章 货物需求</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_Toc4485643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53</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14"/>
        <w:tabs>
          <w:tab w:val="right" w:leader="dot" w:pos="8296"/>
        </w:tabs>
        <w:spacing w:line="600" w:lineRule="exact"/>
        <w:jc w:val="center"/>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"_Toc4485644" </w:instrText>
      </w:r>
      <w:r>
        <w:rPr>
          <w:color w:val="auto"/>
          <w:highlight w:val="none"/>
        </w:rPr>
        <w:fldChar w:fldCharType="separate"/>
      </w:r>
      <w:r>
        <w:rPr>
          <w:rStyle w:val="22"/>
          <w:rFonts w:hint="eastAsia" w:ascii="宋体" w:hAnsi="宋体" w:cs="宋体"/>
          <w:b/>
          <w:color w:val="auto"/>
          <w:sz w:val="24"/>
          <w:highlight w:val="none"/>
        </w:rPr>
        <w:t>第四章 磋商内容、磋商过程中可能实质性变动的内容</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_Toc4485644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55</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pStyle w:val="14"/>
        <w:tabs>
          <w:tab w:val="right" w:leader="dot" w:pos="8296"/>
        </w:tabs>
        <w:spacing w:line="600" w:lineRule="exact"/>
        <w:jc w:val="center"/>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"_Toc4485645" </w:instrText>
      </w:r>
      <w:r>
        <w:rPr>
          <w:color w:val="auto"/>
          <w:highlight w:val="none"/>
        </w:rPr>
        <w:fldChar w:fldCharType="separate"/>
      </w:r>
      <w:r>
        <w:rPr>
          <w:rStyle w:val="22"/>
          <w:rFonts w:hint="eastAsia" w:ascii="宋体" w:hAnsi="宋体" w:cs="宋体"/>
          <w:b/>
          <w:color w:val="auto"/>
          <w:sz w:val="24"/>
          <w:highlight w:val="none"/>
        </w:rPr>
        <w:t>第五章 评审办法</w:t>
      </w:r>
      <w:r>
        <w:rPr>
          <w:rFonts w:hint="eastAsia" w:ascii="宋体" w:hAnsi="宋体" w:cs="宋体"/>
          <w:b/>
          <w:color w:val="auto"/>
          <w:sz w:val="24"/>
          <w:highlight w:val="none"/>
        </w:rPr>
        <w:tab/>
      </w:r>
      <w:r>
        <w:rPr>
          <w:rFonts w:hint="eastAsia" w:ascii="宋体" w:hAnsi="宋体" w:cs="宋体"/>
          <w:b/>
          <w:color w:val="auto"/>
          <w:sz w:val="24"/>
          <w:highlight w:val="none"/>
        </w:rPr>
        <w:t>50</w:t>
      </w:r>
      <w:r>
        <w:rPr>
          <w:rFonts w:hint="eastAsia" w:ascii="宋体" w:hAnsi="宋体" w:cs="宋体"/>
          <w:b/>
          <w:color w:val="auto"/>
          <w:sz w:val="24"/>
          <w:highlight w:val="none"/>
        </w:rPr>
        <w:fldChar w:fldCharType="end"/>
      </w:r>
    </w:p>
    <w:p>
      <w:pPr>
        <w:pStyle w:val="14"/>
        <w:tabs>
          <w:tab w:val="right" w:leader="dot" w:pos="8296"/>
        </w:tabs>
        <w:spacing w:line="600" w:lineRule="exact"/>
        <w:jc w:val="center"/>
        <w:rPr>
          <w:rFonts w:ascii="宋体" w:hAnsi="宋体" w:cs="宋体"/>
          <w:b/>
          <w:color w:val="auto"/>
          <w:sz w:val="24"/>
          <w:highlight w:val="none"/>
        </w:rPr>
      </w:pPr>
      <w:r>
        <w:rPr>
          <w:color w:val="auto"/>
          <w:highlight w:val="none"/>
        </w:rPr>
        <w:fldChar w:fldCharType="begin"/>
      </w:r>
      <w:r>
        <w:rPr>
          <w:color w:val="auto"/>
          <w:highlight w:val="none"/>
        </w:rPr>
        <w:instrText xml:space="preserve"> HYPERLINK \l "_Toc4485696" </w:instrText>
      </w:r>
      <w:r>
        <w:rPr>
          <w:color w:val="auto"/>
          <w:highlight w:val="none"/>
        </w:rPr>
        <w:fldChar w:fldCharType="separate"/>
      </w:r>
      <w:r>
        <w:rPr>
          <w:rStyle w:val="22"/>
          <w:rFonts w:hint="eastAsia" w:ascii="宋体" w:hAnsi="宋体" w:cs="宋体"/>
          <w:b/>
          <w:color w:val="auto"/>
          <w:sz w:val="24"/>
          <w:highlight w:val="none"/>
        </w:rPr>
        <w:t>第六章 政府采购合同条款及格式</w:t>
      </w:r>
      <w:r>
        <w:rPr>
          <w:rFonts w:hint="eastAsia" w:ascii="宋体" w:hAnsi="宋体" w:cs="宋体"/>
          <w:b/>
          <w:color w:val="auto"/>
          <w:sz w:val="24"/>
          <w:highlight w:val="none"/>
        </w:rPr>
        <w:tab/>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PAGEREF _Toc4485696 \h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62</w:t>
      </w:r>
      <w:r>
        <w:rPr>
          <w:rFonts w:hint="eastAsia" w:ascii="宋体" w:hAnsi="宋体" w:cs="宋体"/>
          <w:b/>
          <w:color w:val="auto"/>
          <w:sz w:val="24"/>
          <w:highlight w:val="none"/>
        </w:rPr>
        <w:fldChar w:fldCharType="end"/>
      </w:r>
      <w:r>
        <w:rPr>
          <w:rFonts w:hint="eastAsia" w:ascii="宋体" w:hAnsi="宋体" w:cs="宋体"/>
          <w:b/>
          <w:color w:val="auto"/>
          <w:sz w:val="24"/>
          <w:highlight w:val="none"/>
        </w:rPr>
        <w:fldChar w:fldCharType="end"/>
      </w:r>
    </w:p>
    <w:p>
      <w:pPr>
        <w:spacing w:line="600" w:lineRule="exact"/>
        <w:jc w:val="center"/>
        <w:rPr>
          <w:rFonts w:ascii="宋体" w:hAnsi="宋体" w:cs="宋体"/>
          <w:color w:val="auto"/>
          <w:sz w:val="24"/>
          <w:highlight w:val="none"/>
        </w:rPr>
      </w:pPr>
      <w:r>
        <w:rPr>
          <w:rFonts w:hint="eastAsia" w:ascii="宋体" w:hAnsi="宋体" w:cs="宋体"/>
          <w:b/>
          <w:color w:val="auto"/>
          <w:sz w:val="24"/>
          <w:highlight w:val="none"/>
        </w:rPr>
        <w:fldChar w:fldCharType="end"/>
      </w:r>
    </w:p>
    <w:p>
      <w:pPr>
        <w:pStyle w:val="37"/>
        <w:tabs>
          <w:tab w:val="right" w:leader="dot" w:pos="8306"/>
        </w:tabs>
        <w:rPr>
          <w:rFonts w:ascii="宋体" w:hAnsi="宋体" w:cs="宋体"/>
          <w:color w:val="auto"/>
          <w:highlight w:val="none"/>
        </w:rPr>
      </w:pPr>
    </w:p>
    <w:p>
      <w:pPr>
        <w:pStyle w:val="37"/>
        <w:tabs>
          <w:tab w:val="right" w:leader="dot" w:pos="8306"/>
        </w:tabs>
        <w:rPr>
          <w:rFonts w:ascii="宋体" w:hAnsi="宋体" w:cs="宋体"/>
          <w:color w:val="auto"/>
          <w:highlight w:val="none"/>
        </w:rPr>
      </w:pPr>
    </w:p>
    <w:p>
      <w:pPr>
        <w:pStyle w:val="37"/>
        <w:tabs>
          <w:tab w:val="right" w:leader="dot" w:pos="8306"/>
        </w:tabs>
        <w:rPr>
          <w:rFonts w:ascii="宋体" w:hAnsi="宋体" w:cs="宋体"/>
          <w:color w:val="auto"/>
          <w:highlight w:val="none"/>
        </w:rPr>
      </w:pPr>
    </w:p>
    <w:p>
      <w:pPr>
        <w:pStyle w:val="37"/>
        <w:tabs>
          <w:tab w:val="right" w:leader="dot" w:pos="8306"/>
        </w:tabs>
        <w:rPr>
          <w:rFonts w:ascii="宋体" w:hAnsi="宋体" w:cs="宋体"/>
          <w:color w:val="auto"/>
          <w:highlight w:val="none"/>
        </w:rPr>
      </w:pPr>
    </w:p>
    <w:p>
      <w:pPr>
        <w:pStyle w:val="37"/>
        <w:tabs>
          <w:tab w:val="left" w:pos="1834"/>
          <w:tab w:val="right" w:leader="dot" w:pos="8306"/>
        </w:tabs>
        <w:rPr>
          <w:rFonts w:ascii="宋体" w:hAnsi="宋体" w:cs="宋体"/>
          <w:b/>
          <w:bCs/>
          <w:color w:val="auto"/>
          <w:highlight w:val="none"/>
        </w:rPr>
      </w:pPr>
      <w:r>
        <w:rPr>
          <w:rFonts w:hint="eastAsia" w:ascii="宋体" w:hAnsi="宋体" w:cs="宋体"/>
          <w:b/>
          <w:bCs/>
          <w:color w:val="auto"/>
          <w:highlight w:val="none"/>
        </w:rPr>
        <w:tab/>
      </w:r>
      <w:bookmarkStart w:id="186" w:name="_GoBack"/>
      <w:bookmarkEnd w:id="186"/>
    </w:p>
    <w:p>
      <w:pPr>
        <w:pStyle w:val="3"/>
        <w:spacing w:before="0" w:after="0" w:line="240" w:lineRule="auto"/>
        <w:jc w:val="center"/>
        <w:rPr>
          <w:rFonts w:ascii="宋体" w:hAnsi="宋体" w:cs="宋体"/>
          <w:color w:val="auto"/>
          <w:sz w:val="30"/>
          <w:szCs w:val="30"/>
          <w:highlight w:val="none"/>
        </w:rPr>
      </w:pPr>
      <w:r>
        <w:rPr>
          <w:rFonts w:hint="eastAsia" w:ascii="宋体" w:hAnsi="宋体" w:cs="宋体"/>
          <w:bCs/>
          <w:color w:val="auto"/>
          <w:highlight w:val="none"/>
        </w:rPr>
        <w:tab/>
      </w:r>
      <w:r>
        <w:rPr>
          <w:rFonts w:hint="eastAsia" w:ascii="宋体" w:hAnsi="宋体" w:cs="宋体"/>
          <w:bCs/>
          <w:color w:val="auto"/>
          <w:highlight w:val="none"/>
        </w:rPr>
        <w:tab/>
      </w:r>
      <w:r>
        <w:rPr>
          <w:rFonts w:hint="eastAsia" w:ascii="宋体" w:hAnsi="宋体" w:cs="宋体"/>
          <w:bCs/>
          <w:color w:val="auto"/>
          <w:highlight w:val="none"/>
        </w:rPr>
        <w:br w:type="page"/>
      </w:r>
      <w:bookmarkStart w:id="1" w:name="_Toc4485616"/>
      <w:r>
        <w:rPr>
          <w:rFonts w:hint="eastAsia" w:ascii="宋体" w:hAnsi="宋体" w:cs="宋体"/>
          <w:color w:val="auto"/>
          <w:sz w:val="30"/>
          <w:szCs w:val="30"/>
          <w:highlight w:val="none"/>
        </w:rPr>
        <w:t>生命医学实验平台-宏观变倍体视显微镜（进口）（贴息贷款）</w:t>
      </w:r>
    </w:p>
    <w:bookmarkEnd w:id="1"/>
    <w:p>
      <w:pPr>
        <w:pStyle w:val="3"/>
        <w:spacing w:before="0" w:after="0" w:line="240" w:lineRule="auto"/>
        <w:jc w:val="center"/>
        <w:rPr>
          <w:rFonts w:ascii="宋体" w:hAnsi="宋体" w:cs="宋体"/>
          <w:color w:val="auto"/>
          <w:sz w:val="36"/>
          <w:highlight w:val="none"/>
        </w:rPr>
      </w:pPr>
      <w:r>
        <w:rPr>
          <w:rFonts w:hint="eastAsia" w:ascii="宋体" w:hAnsi="宋体" w:cs="宋体"/>
          <w:color w:val="auto"/>
          <w:sz w:val="36"/>
          <w:highlight w:val="none"/>
        </w:rPr>
        <w:t>竞争性磋商公告</w:t>
      </w:r>
    </w:p>
    <w:p>
      <w:pPr>
        <w:adjustRightInd w:val="0"/>
        <w:snapToGrid w:val="0"/>
        <w:spacing w:line="360" w:lineRule="exact"/>
        <w:rPr>
          <w:rFonts w:ascii="宋体" w:hAnsi="宋体" w:cs="宋体"/>
          <w:b/>
          <w:bCs/>
          <w:color w:val="auto"/>
          <w:sz w:val="24"/>
          <w:highlight w:val="none"/>
        </w:rPr>
      </w:pPr>
      <w:bookmarkStart w:id="2" w:name="_Toc35393621"/>
      <w:bookmarkStart w:id="3" w:name="_Toc28359002"/>
      <w:bookmarkStart w:id="4" w:name="_Toc28359079"/>
      <w:bookmarkStart w:id="5" w:name="_Toc35393790"/>
      <w:bookmarkStart w:id="6" w:name="_Hlk24379207"/>
      <w:bookmarkStart w:id="7" w:name="_Toc4485617"/>
      <w:r>
        <w:rPr>
          <w:rFonts w:hint="eastAsia" w:ascii="宋体" w:hAnsi="宋体" w:cs="宋体"/>
          <w:b/>
          <w:bCs/>
          <w:color w:val="auto"/>
          <w:sz w:val="24"/>
          <w:highlight w:val="none"/>
        </w:rPr>
        <w:t>一、项目基本情况</w:t>
      </w:r>
      <w:bookmarkEnd w:id="2"/>
      <w:bookmarkEnd w:id="3"/>
      <w:bookmarkEnd w:id="4"/>
      <w:bookmarkEnd w:id="5"/>
    </w:p>
    <w:p>
      <w:pPr>
        <w:widowControl/>
        <w:adjustRightInd w:val="0"/>
        <w:snapToGrid w:val="0"/>
        <w:spacing w:line="3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项目编号：TXD22606</w:t>
      </w:r>
    </w:p>
    <w:p>
      <w:pPr>
        <w:widowControl/>
        <w:adjustRightInd w:val="0"/>
        <w:snapToGrid w:val="0"/>
        <w:spacing w:line="3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项目名称：生命医学实验平台-宏观变倍体视显微镜（进口）（贴息贷款）</w:t>
      </w:r>
    </w:p>
    <w:bookmarkEnd w:id="6"/>
    <w:p>
      <w:pPr>
        <w:widowControl/>
        <w:adjustRightInd w:val="0"/>
        <w:snapToGrid w:val="0"/>
        <w:spacing w:line="3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预算金额：130万元</w:t>
      </w:r>
    </w:p>
    <w:p>
      <w:pPr>
        <w:widowControl/>
        <w:adjustRightInd w:val="0"/>
        <w:snapToGrid w:val="0"/>
        <w:spacing w:line="360" w:lineRule="exact"/>
        <w:ind w:firstLine="48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采购需求：</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宏观变倍体视显微镜</w:t>
      </w:r>
      <w:r>
        <w:rPr>
          <w:rFonts w:hint="eastAsia" w:ascii="宋体" w:hAnsi="宋体" w:cs="宋体"/>
          <w:color w:val="auto"/>
          <w:kern w:val="0"/>
          <w:sz w:val="24"/>
          <w:highlight w:val="none"/>
          <w:lang w:val="en-US" w:eastAsia="zh-CN"/>
        </w:rPr>
        <w:t>1套，具体详见竞争性磋商文件</w:t>
      </w:r>
    </w:p>
    <w:p>
      <w:pPr>
        <w:widowControl/>
        <w:adjustRightInd w:val="0"/>
        <w:snapToGrid w:val="0"/>
        <w:spacing w:line="3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合同履行期限：合同签订后3个月内</w:t>
      </w:r>
    </w:p>
    <w:p>
      <w:pPr>
        <w:adjustRightInd w:val="0"/>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需落实的政府采购政策内容：</w:t>
      </w:r>
      <w:r>
        <w:rPr>
          <w:rFonts w:hint="eastAsia" w:ascii="宋体" w:hAnsi="宋体" w:cs="宋体"/>
          <w:color w:val="auto"/>
          <w:kern w:val="0"/>
          <w:sz w:val="24"/>
          <w:highlight w:val="none"/>
        </w:rPr>
        <w:t>中小微企业、监狱企业、残疾人福利性单位、支持脱贫攻坚等相关政策。</w:t>
      </w:r>
    </w:p>
    <w:p>
      <w:pPr>
        <w:widowControl/>
        <w:adjustRightInd w:val="0"/>
        <w:snapToGrid w:val="0"/>
        <w:spacing w:line="360" w:lineRule="exact"/>
        <w:ind w:firstLine="480"/>
        <w:jc w:val="left"/>
        <w:rPr>
          <w:rFonts w:ascii="宋体" w:hAnsi="宋体" w:cs="宋体"/>
          <w:bCs/>
          <w:color w:val="auto"/>
          <w:kern w:val="0"/>
          <w:sz w:val="24"/>
          <w:highlight w:val="none"/>
        </w:rPr>
      </w:pPr>
      <w:r>
        <w:rPr>
          <w:rFonts w:hint="eastAsia" w:ascii="宋体" w:hAnsi="宋体" w:cs="宋体"/>
          <w:color w:val="auto"/>
          <w:kern w:val="0"/>
          <w:sz w:val="24"/>
          <w:highlight w:val="none"/>
        </w:rPr>
        <w:t>项目所属行业：制造业</w:t>
      </w:r>
    </w:p>
    <w:p>
      <w:pPr>
        <w:adjustRightInd w:val="0"/>
        <w:snapToGrid w:val="0"/>
        <w:spacing w:line="360" w:lineRule="exact"/>
        <w:rPr>
          <w:rFonts w:ascii="宋体" w:hAnsi="宋体" w:cs="宋体"/>
          <w:b/>
          <w:bCs/>
          <w:color w:val="auto"/>
          <w:sz w:val="24"/>
          <w:highlight w:val="none"/>
        </w:rPr>
      </w:pPr>
      <w:bookmarkStart w:id="8" w:name="_Toc28359080"/>
      <w:bookmarkStart w:id="9" w:name="_Toc35393791"/>
      <w:bookmarkStart w:id="10" w:name="_Toc35393622"/>
      <w:bookmarkStart w:id="11" w:name="_Toc28359003"/>
      <w:r>
        <w:rPr>
          <w:rFonts w:hint="eastAsia" w:ascii="宋体" w:hAnsi="宋体" w:cs="宋体"/>
          <w:b/>
          <w:bCs/>
          <w:color w:val="auto"/>
          <w:sz w:val="24"/>
          <w:highlight w:val="none"/>
        </w:rPr>
        <w:t>二、供应商的资格要求：</w:t>
      </w:r>
      <w:bookmarkEnd w:id="8"/>
      <w:bookmarkEnd w:id="9"/>
      <w:bookmarkEnd w:id="10"/>
      <w:bookmarkEnd w:id="11"/>
    </w:p>
    <w:p>
      <w:pPr>
        <w:widowControl/>
        <w:adjustRightInd w:val="0"/>
        <w:snapToGrid w:val="0"/>
        <w:ind w:firstLine="482"/>
        <w:jc w:val="left"/>
        <w:rPr>
          <w:rFonts w:ascii="宋体" w:hAnsi="宋体" w:cs="Arial"/>
          <w:color w:val="auto"/>
          <w:kern w:val="0"/>
          <w:sz w:val="24"/>
          <w:highlight w:val="none"/>
        </w:rPr>
      </w:pPr>
      <w:bookmarkStart w:id="12" w:name="_Toc35393792"/>
      <w:bookmarkStart w:id="13" w:name="_Toc35393623"/>
      <w:bookmarkStart w:id="14" w:name="_Toc28359081"/>
      <w:bookmarkStart w:id="15" w:name="_Toc28359004"/>
      <w:r>
        <w:rPr>
          <w:rFonts w:ascii="宋体" w:hAnsi="宋体" w:cs="Arial"/>
          <w:color w:val="auto"/>
          <w:kern w:val="0"/>
          <w:sz w:val="24"/>
          <w:highlight w:val="none"/>
        </w:rPr>
        <w:t>1</w:t>
      </w:r>
      <w:r>
        <w:rPr>
          <w:rFonts w:hint="eastAsia" w:ascii="宋体" w:hAnsi="宋体" w:cs="Arial"/>
          <w:color w:val="auto"/>
          <w:kern w:val="0"/>
          <w:sz w:val="24"/>
          <w:highlight w:val="none"/>
        </w:rPr>
        <w:t>、满足《中华人民共和国政府采购法》第二十二条规定；</w:t>
      </w:r>
    </w:p>
    <w:p>
      <w:pPr>
        <w:widowControl/>
        <w:adjustRightInd w:val="0"/>
        <w:snapToGrid w:val="0"/>
        <w:ind w:firstLine="482"/>
        <w:jc w:val="left"/>
        <w:rPr>
          <w:rFonts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、落实政府采购政策需满足的资格要求：无；</w:t>
      </w:r>
    </w:p>
    <w:p>
      <w:pPr>
        <w:widowControl/>
        <w:adjustRightInd w:val="0"/>
        <w:snapToGrid w:val="0"/>
        <w:ind w:firstLine="482"/>
        <w:jc w:val="left"/>
        <w:rPr>
          <w:rFonts w:ascii="宋体" w:hAnsi="宋体" w:cs="Arial"/>
          <w:color w:val="auto"/>
          <w:sz w:val="24"/>
          <w:highlight w:val="none"/>
        </w:rPr>
      </w:pPr>
      <w:r>
        <w:rPr>
          <w:rFonts w:ascii="宋体" w:hAnsi="宋体" w:cs="Arial"/>
          <w:color w:val="auto"/>
          <w:kern w:val="0"/>
          <w:sz w:val="24"/>
          <w:highlight w:val="none"/>
        </w:rPr>
        <w:t>3</w:t>
      </w:r>
      <w:r>
        <w:rPr>
          <w:rFonts w:hint="eastAsia" w:ascii="宋体" w:hAnsi="宋体" w:cs="Arial"/>
          <w:color w:val="auto"/>
          <w:kern w:val="0"/>
          <w:sz w:val="24"/>
          <w:highlight w:val="none"/>
        </w:rPr>
        <w:t>、</w:t>
      </w:r>
      <w:r>
        <w:rPr>
          <w:rFonts w:ascii="宋体" w:hAnsi="宋体" w:cs="Arial"/>
          <w:color w:val="auto"/>
          <w:kern w:val="0"/>
          <w:sz w:val="24"/>
          <w:highlight w:val="none"/>
        </w:rPr>
        <w:t>本项目的特定资格要求：</w:t>
      </w:r>
      <w:r>
        <w:rPr>
          <w:rFonts w:hint="eastAsia" w:ascii="宋体" w:hAnsi="宋体" w:cs="Arial"/>
          <w:color w:val="auto"/>
          <w:kern w:val="0"/>
          <w:sz w:val="24"/>
          <w:highlight w:val="none"/>
          <w:lang w:eastAsia="zh-CN"/>
        </w:rPr>
        <w:t>供应商</w:t>
      </w:r>
      <w:r>
        <w:rPr>
          <w:rFonts w:hint="eastAsia" w:ascii="宋体" w:hAnsi="宋体" w:cs="Arial"/>
          <w:color w:val="auto"/>
          <w:kern w:val="0"/>
          <w:sz w:val="24"/>
          <w:highlight w:val="none"/>
        </w:rPr>
        <w:t>为进口产品的代理商时，必须提供货物制造商的授权（如是国内总代理出具的销售授权书，则需要附制造商给国内总代理的授权）。</w:t>
      </w:r>
    </w:p>
    <w:p>
      <w:pPr>
        <w:widowControl/>
        <w:adjustRightInd w:val="0"/>
        <w:snapToGrid w:val="0"/>
        <w:ind w:firstLine="482"/>
        <w:jc w:val="left"/>
        <w:rPr>
          <w:rFonts w:hint="eastAsia" w:ascii="宋体" w:hAnsi="宋体" w:eastAsia="宋体" w:cs="Arial"/>
          <w:color w:val="auto"/>
          <w:kern w:val="0"/>
          <w:sz w:val="24"/>
          <w:highlight w:val="none"/>
          <w:lang w:eastAsia="zh-CN"/>
        </w:rPr>
      </w:pPr>
      <w:r>
        <w:rPr>
          <w:rFonts w:ascii="宋体" w:hAnsi="宋体" w:cs="Arial"/>
          <w:color w:val="auto"/>
          <w:kern w:val="0"/>
          <w:sz w:val="24"/>
          <w:highlight w:val="none"/>
        </w:rPr>
        <w:t>4</w:t>
      </w:r>
      <w:r>
        <w:rPr>
          <w:rFonts w:hint="eastAsia" w:ascii="宋体" w:hAnsi="宋体" w:cs="Arial"/>
          <w:color w:val="auto"/>
          <w:kern w:val="0"/>
          <w:sz w:val="24"/>
          <w:highlight w:val="none"/>
        </w:rPr>
        <w:t>、</w:t>
      </w:r>
      <w:r>
        <w:rPr>
          <w:rFonts w:ascii="宋体" w:hAnsi="宋体" w:cs="Arial"/>
          <w:color w:val="auto"/>
          <w:kern w:val="0"/>
          <w:sz w:val="24"/>
          <w:highlight w:val="none"/>
        </w:rPr>
        <w:t>本项目不接受联合体投标。</w:t>
      </w:r>
    </w:p>
    <w:p>
      <w:pPr>
        <w:widowControl/>
        <w:adjustRightInd w:val="0"/>
        <w:snapToGrid w:val="0"/>
        <w:ind w:firstLine="482"/>
        <w:jc w:val="left"/>
        <w:rPr>
          <w:rFonts w:ascii="宋体" w:hAnsi="宋体" w:cs="Arial"/>
          <w:color w:val="auto"/>
          <w:kern w:val="0"/>
          <w:sz w:val="24"/>
          <w:highlight w:val="none"/>
        </w:rPr>
      </w:pPr>
    </w:p>
    <w:p>
      <w:pPr>
        <w:adjustRightInd w:val="0"/>
        <w:snapToGrid w:val="0"/>
        <w:spacing w:line="360" w:lineRule="exact"/>
        <w:rPr>
          <w:rFonts w:ascii="宋体" w:hAnsi="宋体" w:cs="宋体"/>
          <w:b/>
          <w:bCs/>
          <w:color w:val="auto"/>
          <w:sz w:val="24"/>
          <w:highlight w:val="none"/>
        </w:rPr>
      </w:pPr>
      <w:r>
        <w:rPr>
          <w:rFonts w:hint="eastAsia" w:ascii="宋体" w:hAnsi="宋体" w:cs="宋体"/>
          <w:b/>
          <w:bCs/>
          <w:color w:val="auto"/>
          <w:sz w:val="24"/>
          <w:highlight w:val="none"/>
        </w:rPr>
        <w:t>三、获取采购文件</w:t>
      </w:r>
      <w:bookmarkEnd w:id="12"/>
      <w:bookmarkEnd w:id="13"/>
      <w:bookmarkEnd w:id="14"/>
      <w:bookmarkEnd w:id="15"/>
    </w:p>
    <w:p>
      <w:pPr>
        <w:widowControl/>
        <w:adjustRightInd w:val="0"/>
        <w:snapToGrid w:val="0"/>
        <w:ind w:firstLine="482"/>
        <w:jc w:val="left"/>
        <w:rPr>
          <w:rFonts w:ascii="宋体" w:hAnsi="宋体" w:cs="Arial"/>
          <w:color w:val="auto"/>
          <w:kern w:val="0"/>
          <w:sz w:val="24"/>
          <w:highlight w:val="none"/>
        </w:rPr>
      </w:pPr>
      <w:bookmarkStart w:id="16" w:name="_Toc35393624"/>
      <w:bookmarkStart w:id="17" w:name="_Toc35393793"/>
      <w:bookmarkStart w:id="18" w:name="_Toc28359082"/>
      <w:bookmarkStart w:id="19" w:name="_Toc28359005"/>
      <w:r>
        <w:rPr>
          <w:rFonts w:hint="eastAsia" w:ascii="宋体" w:hAnsi="宋体" w:cs="Arial"/>
          <w:color w:val="auto"/>
          <w:kern w:val="0"/>
          <w:sz w:val="24"/>
          <w:highlight w:val="none"/>
        </w:rPr>
        <w:t>时间：2022年11月</w:t>
      </w:r>
      <w:r>
        <w:rPr>
          <w:rFonts w:hint="eastAsia" w:ascii="宋体" w:hAnsi="宋体" w:cs="Arial"/>
          <w:color w:val="auto"/>
          <w:kern w:val="0"/>
          <w:sz w:val="24"/>
          <w:highlight w:val="none"/>
          <w:lang w:val="en-US" w:eastAsia="zh-CN"/>
        </w:rPr>
        <w:t>09</w:t>
      </w:r>
      <w:r>
        <w:rPr>
          <w:rFonts w:hint="eastAsia" w:ascii="宋体" w:hAnsi="宋体" w:cs="Arial"/>
          <w:color w:val="auto"/>
          <w:kern w:val="0"/>
          <w:sz w:val="24"/>
          <w:highlight w:val="none"/>
        </w:rPr>
        <w:t>日至2022年11月</w:t>
      </w:r>
      <w:r>
        <w:rPr>
          <w:rFonts w:hint="eastAsia" w:ascii="宋体" w:hAnsi="宋体" w:cs="Arial"/>
          <w:color w:val="auto"/>
          <w:kern w:val="0"/>
          <w:sz w:val="24"/>
          <w:highlight w:val="none"/>
          <w:lang w:val="en-US" w:eastAsia="zh-CN"/>
        </w:rPr>
        <w:t>16</w:t>
      </w:r>
      <w:r>
        <w:rPr>
          <w:rFonts w:hint="eastAsia" w:ascii="宋体" w:hAnsi="宋体" w:cs="Arial"/>
          <w:color w:val="auto"/>
          <w:kern w:val="0"/>
          <w:sz w:val="24"/>
          <w:highlight w:val="none"/>
        </w:rPr>
        <w:t>日，每天上午8:30至11:30，下午13:30至17:00（北京时间，法定节假日除外）</w:t>
      </w:r>
    </w:p>
    <w:p>
      <w:pPr>
        <w:widowControl/>
        <w:adjustRightInd w:val="0"/>
        <w:snapToGrid w:val="0"/>
        <w:ind w:firstLine="482"/>
        <w:jc w:val="left"/>
        <w:rPr>
          <w:rFonts w:ascii="宋体" w:hAnsi="宋体" w:cs="Arial"/>
          <w:color w:val="auto"/>
          <w:kern w:val="0"/>
          <w:sz w:val="24"/>
          <w:highlight w:val="none"/>
        </w:rPr>
      </w:pPr>
      <w:r>
        <w:rPr>
          <w:rFonts w:hint="eastAsia" w:ascii="宋体" w:hAnsi="宋体" w:cs="Arial"/>
          <w:color w:val="auto"/>
          <w:kern w:val="0"/>
          <w:sz w:val="24"/>
          <w:highlight w:val="none"/>
        </w:rPr>
        <w:t>地点：疫情期间建议采用网上报名方式，我公司见报名邮件后通过邮箱发送招标文件</w:t>
      </w:r>
    </w:p>
    <w:p>
      <w:pPr>
        <w:widowControl/>
        <w:adjustRightInd w:val="0"/>
        <w:snapToGrid w:val="0"/>
        <w:ind w:firstLine="482"/>
        <w:jc w:val="left"/>
        <w:rPr>
          <w:rFonts w:ascii="宋体" w:hAnsi="宋体" w:cs="Arial"/>
          <w:color w:val="auto"/>
          <w:kern w:val="0"/>
          <w:sz w:val="24"/>
          <w:highlight w:val="none"/>
        </w:rPr>
      </w:pPr>
      <w:r>
        <w:rPr>
          <w:rFonts w:hint="eastAsia" w:ascii="宋体" w:hAnsi="宋体" w:cs="Arial"/>
          <w:color w:val="auto"/>
          <w:kern w:val="0"/>
          <w:sz w:val="24"/>
          <w:highlight w:val="none"/>
        </w:rPr>
        <w:t>方式：供应商在上述期间内，将下列报名信息发送至110583783@qq.com：供应商单位名称、联系人、电话、所报项目名称、开具发票信息，并附采购文件费用电汇截图（收款单位：辽宁轩宇工程管理有限公司沈阳分公司；开户银行：中国光大银行股份有限公司沈阳黄河大街支行；账号：36490188000107903；汇款摘要：项目编号。疫情期间如不方便单位汇款，也可由个人电汇），无需提交其他报名材料。采购文件售价500元人民币/套，售后不退。</w:t>
      </w:r>
    </w:p>
    <w:p>
      <w:pPr>
        <w:adjustRightInd w:val="0"/>
        <w:snapToGrid w:val="0"/>
        <w:spacing w:line="360" w:lineRule="exact"/>
        <w:rPr>
          <w:rFonts w:ascii="宋体" w:hAnsi="宋体" w:cs="宋体"/>
          <w:b/>
          <w:bCs/>
          <w:color w:val="auto"/>
          <w:sz w:val="24"/>
          <w:highlight w:val="none"/>
        </w:rPr>
      </w:pPr>
      <w:r>
        <w:rPr>
          <w:rFonts w:hint="eastAsia" w:ascii="宋体" w:hAnsi="宋体" w:cs="宋体"/>
          <w:b/>
          <w:bCs/>
          <w:color w:val="auto"/>
          <w:sz w:val="24"/>
          <w:highlight w:val="none"/>
        </w:rPr>
        <w:t>四、响应文件</w:t>
      </w:r>
      <w:bookmarkEnd w:id="16"/>
      <w:bookmarkEnd w:id="17"/>
      <w:bookmarkEnd w:id="18"/>
      <w:bookmarkEnd w:id="19"/>
      <w:r>
        <w:rPr>
          <w:rFonts w:hint="eastAsia" w:ascii="宋体" w:hAnsi="宋体" w:cs="宋体"/>
          <w:b/>
          <w:bCs/>
          <w:color w:val="auto"/>
          <w:sz w:val="24"/>
          <w:highlight w:val="none"/>
        </w:rPr>
        <w:t>提交</w:t>
      </w:r>
    </w:p>
    <w:p>
      <w:pPr>
        <w:adjustRightInd w:val="0"/>
        <w:snapToGrid w:val="0"/>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截止时间：2022年11月</w:t>
      </w:r>
      <w:r>
        <w:rPr>
          <w:rFonts w:hint="eastAsia" w:ascii="宋体" w:hAnsi="宋体" w:cs="宋体"/>
          <w:bCs/>
          <w:color w:val="auto"/>
          <w:sz w:val="24"/>
          <w:highlight w:val="none"/>
          <w:lang w:val="en-US" w:eastAsia="zh-CN"/>
        </w:rPr>
        <w:t>21</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点30分（北京时间）</w:t>
      </w:r>
    </w:p>
    <w:p>
      <w:pPr>
        <w:adjustRightInd w:val="0"/>
        <w:snapToGrid w:val="0"/>
        <w:spacing w:line="360" w:lineRule="exact"/>
        <w:ind w:firstLine="480" w:firstLineChars="200"/>
        <w:rPr>
          <w:rFonts w:ascii="宋体" w:hAnsi="宋体" w:cs="宋体"/>
          <w:b/>
          <w:color w:val="auto"/>
          <w:sz w:val="24"/>
          <w:highlight w:val="none"/>
        </w:rPr>
      </w:pPr>
      <w:r>
        <w:rPr>
          <w:rFonts w:hint="eastAsia" w:ascii="宋体" w:hAnsi="宋体" w:cs="宋体"/>
          <w:bCs/>
          <w:color w:val="auto"/>
          <w:sz w:val="24"/>
          <w:highlight w:val="none"/>
        </w:rPr>
        <w:t>地点</w:t>
      </w:r>
      <w:r>
        <w:rPr>
          <w:rFonts w:hint="eastAsia" w:ascii="宋体" w:hAnsi="宋体" w:cs="宋体"/>
          <w:color w:val="auto"/>
          <w:sz w:val="24"/>
          <w:highlight w:val="none"/>
        </w:rPr>
        <w:t>：沈阳市和平区三好街96号同方广场B座11楼1111室。</w:t>
      </w:r>
    </w:p>
    <w:p>
      <w:pPr>
        <w:adjustRightInd w:val="0"/>
        <w:snapToGrid w:val="0"/>
        <w:spacing w:line="360" w:lineRule="exact"/>
        <w:rPr>
          <w:rFonts w:ascii="宋体" w:hAnsi="宋体" w:cs="宋体"/>
          <w:b/>
          <w:bCs/>
          <w:color w:val="auto"/>
          <w:sz w:val="24"/>
          <w:highlight w:val="none"/>
        </w:rPr>
      </w:pPr>
      <w:bookmarkStart w:id="20" w:name="_Toc35393794"/>
      <w:bookmarkStart w:id="21" w:name="_Toc35393625"/>
      <w:bookmarkStart w:id="22" w:name="_Toc28359007"/>
      <w:bookmarkStart w:id="23" w:name="_Toc28359084"/>
      <w:r>
        <w:rPr>
          <w:rFonts w:hint="eastAsia" w:ascii="宋体" w:hAnsi="宋体" w:cs="宋体"/>
          <w:b/>
          <w:bCs/>
          <w:color w:val="auto"/>
          <w:sz w:val="24"/>
          <w:highlight w:val="none"/>
        </w:rPr>
        <w:t>五、开启</w:t>
      </w:r>
    </w:p>
    <w:p>
      <w:pPr>
        <w:adjustRightInd w:val="0"/>
        <w:snapToGrid w:val="0"/>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时间：2022年11月</w:t>
      </w:r>
      <w:r>
        <w:rPr>
          <w:rFonts w:hint="eastAsia" w:ascii="宋体" w:hAnsi="宋体" w:cs="宋体"/>
          <w:bCs/>
          <w:color w:val="auto"/>
          <w:sz w:val="24"/>
          <w:highlight w:val="none"/>
          <w:lang w:val="en-US" w:eastAsia="zh-CN"/>
        </w:rPr>
        <w:t>21</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点30分（北京时间）</w:t>
      </w:r>
    </w:p>
    <w:p>
      <w:pPr>
        <w:adjustRightInd w:val="0"/>
        <w:snapToGrid w:val="0"/>
        <w:spacing w:line="360" w:lineRule="exact"/>
        <w:ind w:firstLine="480" w:firstLineChars="200"/>
        <w:rPr>
          <w:rFonts w:ascii="宋体" w:hAnsi="宋体" w:cs="宋体"/>
          <w:b/>
          <w:color w:val="auto"/>
          <w:sz w:val="24"/>
          <w:highlight w:val="none"/>
        </w:rPr>
      </w:pPr>
      <w:r>
        <w:rPr>
          <w:rFonts w:hint="eastAsia" w:ascii="宋体" w:hAnsi="宋体" w:cs="宋体"/>
          <w:bCs/>
          <w:color w:val="auto"/>
          <w:sz w:val="24"/>
          <w:highlight w:val="none"/>
        </w:rPr>
        <w:t>地点</w:t>
      </w:r>
      <w:r>
        <w:rPr>
          <w:rFonts w:hint="eastAsia" w:ascii="宋体" w:hAnsi="宋体" w:cs="宋体"/>
          <w:color w:val="auto"/>
          <w:sz w:val="24"/>
          <w:highlight w:val="none"/>
        </w:rPr>
        <w:t>：沈阳市和平区三好街96号同方广场B座11楼1111室。</w:t>
      </w:r>
    </w:p>
    <w:p>
      <w:pPr>
        <w:adjustRightInd w:val="0"/>
        <w:snapToGrid w:val="0"/>
        <w:spacing w:line="360" w:lineRule="exact"/>
        <w:rPr>
          <w:rFonts w:ascii="宋体" w:hAnsi="宋体" w:cs="宋体"/>
          <w:b/>
          <w:bCs/>
          <w:color w:val="auto"/>
          <w:sz w:val="24"/>
          <w:highlight w:val="none"/>
        </w:rPr>
      </w:pPr>
      <w:r>
        <w:rPr>
          <w:rFonts w:hint="eastAsia" w:ascii="宋体" w:hAnsi="宋体" w:cs="宋体"/>
          <w:b/>
          <w:bCs/>
          <w:color w:val="auto"/>
          <w:sz w:val="24"/>
          <w:highlight w:val="none"/>
        </w:rPr>
        <w:t>六、公告期限</w:t>
      </w:r>
      <w:bookmarkEnd w:id="20"/>
      <w:bookmarkEnd w:id="21"/>
      <w:bookmarkEnd w:id="22"/>
      <w:bookmarkEnd w:id="23"/>
    </w:p>
    <w:p>
      <w:pPr>
        <w:adjustRightInd w:val="0"/>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pPr>
        <w:adjustRightInd w:val="0"/>
        <w:snapToGrid w:val="0"/>
        <w:spacing w:line="360" w:lineRule="exact"/>
        <w:rPr>
          <w:rFonts w:ascii="宋体" w:hAnsi="宋体" w:cs="宋体"/>
          <w:b/>
          <w:bCs/>
          <w:color w:val="auto"/>
          <w:sz w:val="24"/>
          <w:highlight w:val="none"/>
        </w:rPr>
      </w:pPr>
      <w:r>
        <w:rPr>
          <w:rFonts w:hint="eastAsia" w:ascii="宋体" w:hAnsi="宋体" w:cs="宋体"/>
          <w:b/>
          <w:bCs/>
          <w:color w:val="auto"/>
          <w:sz w:val="24"/>
          <w:highlight w:val="none"/>
        </w:rPr>
        <w:t>七、质疑与投诉</w:t>
      </w:r>
    </w:p>
    <w:p>
      <w:pPr>
        <w:widowControl/>
        <w:adjustRightInd w:val="0"/>
        <w:snapToGrid w:val="0"/>
        <w:spacing w:line="360" w:lineRule="exact"/>
        <w:ind w:firstLine="539"/>
        <w:jc w:val="left"/>
        <w:rPr>
          <w:rFonts w:ascii="宋体" w:hAnsi="宋体" w:cs="宋体"/>
          <w:color w:val="auto"/>
          <w:sz w:val="24"/>
          <w:highlight w:val="none"/>
        </w:rPr>
      </w:pPr>
      <w:r>
        <w:rPr>
          <w:rFonts w:hint="eastAsia" w:ascii="宋体" w:hAnsi="宋体" w:cs="宋体"/>
          <w:color w:val="auto"/>
          <w:sz w:val="24"/>
          <w:highlight w:val="none"/>
        </w:rPr>
        <w:t>供应商认为自己的权益受到损害的，可以在知道或者应知其权益受到损害之日起七个工作日内，</w:t>
      </w:r>
      <w:r>
        <w:rPr>
          <w:rFonts w:hint="eastAsia" w:ascii="宋体" w:hAnsi="宋体" w:cs="宋体"/>
          <w:b/>
          <w:color w:val="auto"/>
          <w:sz w:val="24"/>
          <w:highlight w:val="none"/>
        </w:rPr>
        <w:t>一次性</w:t>
      </w:r>
      <w:r>
        <w:rPr>
          <w:rFonts w:hint="eastAsia" w:ascii="宋体" w:hAnsi="宋体" w:cs="宋体"/>
          <w:color w:val="auto"/>
          <w:sz w:val="24"/>
          <w:highlight w:val="none"/>
        </w:rPr>
        <w:t>向采购代理机构或采购人提出质疑。</w:t>
      </w:r>
    </w:p>
    <w:p>
      <w:pPr>
        <w:widowControl/>
        <w:adjustRightInd w:val="0"/>
        <w:snapToGrid w:val="0"/>
        <w:spacing w:line="360" w:lineRule="exact"/>
        <w:ind w:firstLine="480"/>
        <w:jc w:val="left"/>
        <w:rPr>
          <w:rFonts w:ascii="宋体" w:hAnsi="宋体" w:cs="宋体"/>
          <w:color w:val="auto"/>
          <w:sz w:val="24"/>
          <w:highlight w:val="none"/>
        </w:rPr>
      </w:pPr>
      <w:r>
        <w:rPr>
          <w:rFonts w:hint="eastAsia" w:ascii="宋体" w:hAnsi="宋体" w:cs="宋体"/>
          <w:color w:val="auto"/>
          <w:sz w:val="24"/>
          <w:highlight w:val="none"/>
        </w:rPr>
        <w:t>1、接收质疑函方式：书面纸质质疑函</w:t>
      </w:r>
    </w:p>
    <w:p>
      <w:pPr>
        <w:widowControl/>
        <w:adjustRightInd w:val="0"/>
        <w:snapToGrid w:val="0"/>
        <w:spacing w:line="360" w:lineRule="exact"/>
        <w:ind w:firstLine="480"/>
        <w:jc w:val="left"/>
        <w:rPr>
          <w:rFonts w:ascii="宋体" w:hAnsi="宋体" w:cs="宋体"/>
          <w:color w:val="auto"/>
          <w:sz w:val="24"/>
          <w:highlight w:val="none"/>
        </w:rPr>
      </w:pPr>
      <w:r>
        <w:rPr>
          <w:rFonts w:hint="eastAsia" w:ascii="宋体" w:hAnsi="宋体" w:cs="宋体"/>
          <w:color w:val="auto"/>
          <w:sz w:val="24"/>
          <w:highlight w:val="none"/>
        </w:rPr>
        <w:t>2、质疑函内容、格式：应符合《政府采购质疑和投诉办法》相关规定和财政部制定的《政府采购质疑函范本》格式，详见中国政府采购网。</w:t>
      </w:r>
    </w:p>
    <w:p>
      <w:pPr>
        <w:widowControl/>
        <w:adjustRightInd w:val="0"/>
        <w:snapToGrid w:val="0"/>
        <w:spacing w:line="360" w:lineRule="exact"/>
        <w:ind w:firstLine="480"/>
        <w:jc w:val="left"/>
        <w:rPr>
          <w:rFonts w:ascii="宋体" w:hAnsi="宋体" w:cs="宋体"/>
          <w:color w:val="auto"/>
          <w:sz w:val="24"/>
          <w:highlight w:val="none"/>
        </w:rPr>
      </w:pPr>
      <w:r>
        <w:rPr>
          <w:rFonts w:hint="eastAsia" w:ascii="宋体" w:hAnsi="宋体" w:cs="宋体"/>
          <w:color w:val="auto"/>
          <w:sz w:val="24"/>
          <w:highlight w:val="none"/>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exact"/>
        <w:rPr>
          <w:rFonts w:ascii="宋体" w:hAnsi="宋体" w:cs="宋体"/>
          <w:b/>
          <w:bCs/>
          <w:color w:val="auto"/>
          <w:sz w:val="24"/>
          <w:highlight w:val="none"/>
        </w:rPr>
      </w:pPr>
      <w:bookmarkStart w:id="24" w:name="_Toc35393627"/>
      <w:bookmarkStart w:id="25" w:name="_Toc35393796"/>
      <w:bookmarkStart w:id="26" w:name="_Toc28359085"/>
      <w:bookmarkStart w:id="27" w:name="_Toc28359008"/>
      <w:r>
        <w:rPr>
          <w:rFonts w:hint="eastAsia" w:ascii="宋体" w:hAnsi="宋体" w:cs="宋体"/>
          <w:b/>
          <w:bCs/>
          <w:color w:val="auto"/>
          <w:sz w:val="24"/>
          <w:highlight w:val="none"/>
        </w:rPr>
        <w:t>八、</w:t>
      </w:r>
      <w:bookmarkEnd w:id="24"/>
      <w:bookmarkEnd w:id="25"/>
      <w:bookmarkEnd w:id="26"/>
      <w:bookmarkEnd w:id="27"/>
      <w:r>
        <w:rPr>
          <w:rFonts w:hint="eastAsia" w:ascii="宋体" w:hAnsi="宋体" w:cs="宋体"/>
          <w:b/>
          <w:bCs/>
          <w:color w:val="auto"/>
          <w:sz w:val="24"/>
          <w:highlight w:val="none"/>
        </w:rPr>
        <w:t>采购人、采购代理机构的名称、地址和联系方式</w:t>
      </w:r>
    </w:p>
    <w:p>
      <w:pPr>
        <w:widowControl/>
        <w:adjustRightInd w:val="0"/>
        <w:snapToGrid w:val="0"/>
        <w:spacing w:line="360" w:lineRule="exact"/>
        <w:ind w:firstLine="480"/>
        <w:jc w:val="left"/>
        <w:rPr>
          <w:rFonts w:ascii="宋体" w:hAnsi="宋体" w:cs="宋体"/>
          <w:color w:val="auto"/>
          <w:sz w:val="24"/>
          <w:highlight w:val="none"/>
        </w:rPr>
      </w:pPr>
      <w:r>
        <w:rPr>
          <w:rFonts w:hint="eastAsia" w:ascii="宋体" w:hAnsi="宋体" w:cs="宋体"/>
          <w:color w:val="auto"/>
          <w:sz w:val="24"/>
          <w:highlight w:val="none"/>
        </w:rPr>
        <w:t>采购单位：东北大学</w:t>
      </w:r>
    </w:p>
    <w:p>
      <w:pPr>
        <w:widowControl/>
        <w:adjustRightInd w:val="0"/>
        <w:snapToGrid w:val="0"/>
        <w:spacing w:line="360" w:lineRule="exact"/>
        <w:ind w:firstLine="480"/>
        <w:jc w:val="left"/>
        <w:rPr>
          <w:rFonts w:ascii="宋体" w:hAnsi="宋体" w:cs="宋体"/>
          <w:color w:val="auto"/>
          <w:sz w:val="24"/>
          <w:highlight w:val="none"/>
        </w:rPr>
      </w:pPr>
      <w:r>
        <w:rPr>
          <w:rFonts w:hint="eastAsia" w:ascii="宋体" w:hAnsi="宋体" w:cs="宋体"/>
          <w:color w:val="auto"/>
          <w:sz w:val="24"/>
          <w:highlight w:val="none"/>
        </w:rPr>
        <w:t>地址：沈阳市和平区文化路三巷11号</w:t>
      </w:r>
    </w:p>
    <w:p>
      <w:pPr>
        <w:widowControl/>
        <w:adjustRightInd w:val="0"/>
        <w:snapToGrid w:val="0"/>
        <w:spacing w:line="360" w:lineRule="exact"/>
        <w:ind w:firstLine="480"/>
        <w:jc w:val="left"/>
        <w:rPr>
          <w:rFonts w:ascii="宋体" w:hAnsi="宋体" w:cs="宋体"/>
          <w:color w:val="auto"/>
          <w:sz w:val="24"/>
          <w:highlight w:val="none"/>
        </w:rPr>
      </w:pPr>
      <w:r>
        <w:rPr>
          <w:rFonts w:hint="eastAsia" w:ascii="宋体" w:hAnsi="宋体" w:cs="宋体"/>
          <w:color w:val="auto"/>
          <w:sz w:val="24"/>
          <w:highlight w:val="none"/>
        </w:rPr>
        <w:t>联系人：凌老师</w:t>
      </w:r>
    </w:p>
    <w:p>
      <w:pPr>
        <w:widowControl/>
        <w:adjustRightInd w:val="0"/>
        <w:snapToGrid w:val="0"/>
        <w:spacing w:line="360" w:lineRule="exact"/>
        <w:ind w:firstLine="480"/>
        <w:jc w:val="left"/>
        <w:rPr>
          <w:rFonts w:ascii="宋体" w:hAnsi="宋体" w:cs="宋体"/>
          <w:color w:val="auto"/>
          <w:sz w:val="24"/>
          <w:highlight w:val="none"/>
        </w:rPr>
      </w:pPr>
      <w:r>
        <w:rPr>
          <w:rFonts w:hint="eastAsia" w:ascii="宋体" w:hAnsi="宋体" w:cs="宋体"/>
          <w:color w:val="auto"/>
          <w:sz w:val="24"/>
          <w:highlight w:val="none"/>
        </w:rPr>
        <w:t>电话：024-83689155</w:t>
      </w:r>
    </w:p>
    <w:p>
      <w:pPr>
        <w:widowControl/>
        <w:adjustRightInd w:val="0"/>
        <w:snapToGrid w:val="0"/>
        <w:ind w:firstLine="480"/>
        <w:jc w:val="left"/>
        <w:rPr>
          <w:rFonts w:ascii="宋体" w:hAnsi="宋体" w:cs="Arial"/>
          <w:color w:val="auto"/>
          <w:sz w:val="24"/>
          <w:highlight w:val="none"/>
        </w:rPr>
      </w:pPr>
      <w:r>
        <w:rPr>
          <w:rFonts w:hint="eastAsia" w:ascii="宋体" w:hAnsi="宋体" w:cs="Arial"/>
          <w:color w:val="auto"/>
          <w:sz w:val="24"/>
          <w:highlight w:val="none"/>
        </w:rPr>
        <w:t>采购代理：辽宁轩宇工程管理有限公司</w:t>
      </w:r>
      <w:r>
        <w:rPr>
          <w:rFonts w:hint="eastAsia" w:ascii="宋体" w:hAnsi="宋体" w:cs="Arial"/>
          <w:color w:val="auto"/>
          <w:sz w:val="24"/>
          <w:highlight w:val="none"/>
        </w:rPr>
        <w:tab/>
      </w:r>
    </w:p>
    <w:p>
      <w:pPr>
        <w:widowControl/>
        <w:adjustRightInd w:val="0"/>
        <w:snapToGrid w:val="0"/>
        <w:ind w:firstLine="480"/>
        <w:jc w:val="left"/>
        <w:rPr>
          <w:rFonts w:ascii="宋体" w:hAnsi="宋体" w:cs="Arial"/>
          <w:color w:val="auto"/>
          <w:sz w:val="24"/>
          <w:highlight w:val="none"/>
        </w:rPr>
      </w:pPr>
      <w:r>
        <w:rPr>
          <w:rFonts w:hint="eastAsia" w:ascii="宋体" w:hAnsi="宋体" w:cs="Arial"/>
          <w:color w:val="auto"/>
          <w:sz w:val="24"/>
          <w:highlight w:val="none"/>
        </w:rPr>
        <w:t>地址：沈阳市皇姑区黄河南大街56号中建峰汇广场A-801</w:t>
      </w:r>
    </w:p>
    <w:p>
      <w:pPr>
        <w:widowControl/>
        <w:adjustRightInd w:val="0"/>
        <w:snapToGrid w:val="0"/>
        <w:ind w:firstLine="480"/>
        <w:jc w:val="left"/>
        <w:rPr>
          <w:rFonts w:ascii="宋体" w:hAnsi="宋体" w:cs="Arial"/>
          <w:color w:val="auto"/>
          <w:sz w:val="24"/>
          <w:highlight w:val="none"/>
        </w:rPr>
      </w:pPr>
      <w:r>
        <w:rPr>
          <w:rFonts w:hint="eastAsia" w:ascii="宋体" w:hAnsi="宋体" w:cs="Arial"/>
          <w:color w:val="auto"/>
          <w:sz w:val="24"/>
          <w:highlight w:val="none"/>
        </w:rPr>
        <w:t>联系人：石增良、张冬妮</w:t>
      </w:r>
    </w:p>
    <w:p>
      <w:pPr>
        <w:widowControl/>
        <w:adjustRightInd w:val="0"/>
        <w:snapToGrid w:val="0"/>
        <w:ind w:firstLine="480"/>
        <w:jc w:val="left"/>
        <w:rPr>
          <w:rFonts w:ascii="宋体" w:hAnsi="宋体" w:cs="Arial"/>
          <w:color w:val="auto"/>
          <w:sz w:val="24"/>
          <w:highlight w:val="none"/>
        </w:rPr>
      </w:pPr>
      <w:r>
        <w:rPr>
          <w:rFonts w:hint="eastAsia" w:ascii="宋体" w:hAnsi="宋体" w:cs="Arial"/>
          <w:color w:val="auto"/>
          <w:sz w:val="24"/>
          <w:highlight w:val="none"/>
        </w:rPr>
        <w:t>电话：024-31918388-313</w:t>
      </w:r>
    </w:p>
    <w:p>
      <w:pPr>
        <w:widowControl/>
        <w:adjustRightInd w:val="0"/>
        <w:snapToGrid w:val="0"/>
        <w:ind w:firstLine="480"/>
        <w:jc w:val="left"/>
        <w:rPr>
          <w:rFonts w:ascii="宋体" w:hAnsi="宋体" w:cs="Arial"/>
          <w:color w:val="auto"/>
          <w:sz w:val="24"/>
          <w:highlight w:val="none"/>
        </w:rPr>
      </w:pPr>
      <w:r>
        <w:rPr>
          <w:rFonts w:hint="eastAsia" w:ascii="宋体" w:hAnsi="宋体" w:cs="Arial"/>
          <w:color w:val="auto"/>
          <w:sz w:val="24"/>
          <w:highlight w:val="none"/>
        </w:rPr>
        <w:t>传真：024-31918309</w:t>
      </w:r>
    </w:p>
    <w:p>
      <w:pPr>
        <w:widowControl/>
        <w:adjustRightInd w:val="0"/>
        <w:snapToGrid w:val="0"/>
        <w:ind w:firstLine="480"/>
        <w:jc w:val="left"/>
        <w:rPr>
          <w:rFonts w:ascii="宋体" w:hAnsi="宋体" w:cs="Arial"/>
          <w:color w:val="auto"/>
          <w:sz w:val="24"/>
          <w:highlight w:val="none"/>
        </w:rPr>
      </w:pPr>
      <w:r>
        <w:rPr>
          <w:rFonts w:hint="eastAsia" w:ascii="宋体" w:hAnsi="宋体" w:cs="Arial"/>
          <w:color w:val="auto"/>
          <w:sz w:val="24"/>
          <w:highlight w:val="none"/>
        </w:rPr>
        <w:t>邮箱：110583783@qq.com</w:t>
      </w:r>
    </w:p>
    <w:p>
      <w:pPr>
        <w:widowControl/>
        <w:spacing w:line="360" w:lineRule="exact"/>
        <w:jc w:val="right"/>
        <w:rPr>
          <w:rFonts w:ascii="宋体" w:hAnsi="宋体" w:cs="宋体"/>
          <w:b/>
          <w:bCs/>
          <w:color w:val="auto"/>
          <w:kern w:val="0"/>
          <w:sz w:val="24"/>
          <w:highlight w:val="none"/>
        </w:rPr>
        <w:sectPr>
          <w:headerReference r:id="rId3" w:type="default"/>
          <w:footerReference r:id="rId4" w:type="default"/>
          <w:pgSz w:w="11906" w:h="16838"/>
          <w:pgMar w:top="1191" w:right="1191" w:bottom="1191" w:left="1418" w:header="851" w:footer="794" w:gutter="0"/>
          <w:pgNumType w:start="0"/>
          <w:cols w:space="720" w:num="1"/>
          <w:titlePg/>
          <w:docGrid w:type="lines" w:linePitch="312" w:charSpace="0"/>
        </w:sectPr>
      </w:pPr>
    </w:p>
    <w:p>
      <w:pPr>
        <w:pStyle w:val="3"/>
        <w:adjustRightInd w:val="0"/>
        <w:snapToGrid w:val="0"/>
        <w:spacing w:before="0" w:after="0"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第一章 供应商须知</w:t>
      </w:r>
      <w:bookmarkEnd w:id="7"/>
    </w:p>
    <w:p>
      <w:pPr>
        <w:pStyle w:val="4"/>
        <w:adjustRightInd w:val="0"/>
        <w:snapToGrid w:val="0"/>
        <w:spacing w:before="0" w:after="0" w:line="360" w:lineRule="auto"/>
        <w:jc w:val="center"/>
        <w:rPr>
          <w:rFonts w:ascii="宋体" w:hAnsi="宋体" w:eastAsia="宋体" w:cs="宋体"/>
          <w:color w:val="auto"/>
          <w:sz w:val="30"/>
          <w:szCs w:val="30"/>
          <w:highlight w:val="none"/>
        </w:rPr>
      </w:pPr>
      <w:bookmarkStart w:id="28" w:name="_Toc4485618"/>
      <w:bookmarkStart w:id="29" w:name="_Toc533340139"/>
      <w:r>
        <w:rPr>
          <w:rFonts w:hint="eastAsia" w:ascii="宋体" w:hAnsi="宋体" w:eastAsia="宋体" w:cs="宋体"/>
          <w:color w:val="auto"/>
          <w:sz w:val="30"/>
          <w:szCs w:val="30"/>
          <w:highlight w:val="none"/>
        </w:rPr>
        <w:t>一 供应商须知表</w:t>
      </w:r>
      <w:bookmarkEnd w:id="28"/>
      <w:bookmarkEnd w:id="29"/>
    </w:p>
    <w:tbl>
      <w:tblPr>
        <w:tblStyle w:val="18"/>
        <w:tblW w:w="95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985"/>
        <w:gridCol w:w="64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bookmarkStart w:id="30" w:name="sys_招标项目基本内容及要求其他：Block"/>
            <w:bookmarkEnd w:id="30"/>
            <w:bookmarkStart w:id="31" w:name="招标项目基本内容及要求：Block"/>
            <w:bookmarkEnd w:id="31"/>
            <w:bookmarkStart w:id="32" w:name="sys_招标项目基本内容及要求：Block"/>
            <w:bookmarkEnd w:id="32"/>
            <w:bookmarkStart w:id="33" w:name="招标项目基本内容及要求其他：Block"/>
            <w:bookmarkEnd w:id="33"/>
            <w:r>
              <w:rPr>
                <w:rFonts w:hint="eastAsia" w:ascii="宋体" w:hAnsi="宋体" w:cs="宋体"/>
                <w:color w:val="auto"/>
                <w:kern w:val="0"/>
                <w:szCs w:val="21"/>
                <w:highlight w:val="none"/>
              </w:rPr>
              <w:t>条款号</w:t>
            </w:r>
          </w:p>
        </w:tc>
        <w:tc>
          <w:tcPr>
            <w:tcW w:w="198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   目</w:t>
            </w:r>
          </w:p>
        </w:tc>
        <w:tc>
          <w:tcPr>
            <w:tcW w:w="6441"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98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644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名  称：东北大学</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地  址：沈阳市和平区文化路三巷11号</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详见竞争性磋商公告。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98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采购代理机构</w:t>
            </w:r>
          </w:p>
        </w:tc>
        <w:tc>
          <w:tcPr>
            <w:tcW w:w="6441" w:type="dxa"/>
            <w:vAlign w:val="center"/>
          </w:tcPr>
          <w:p>
            <w:pPr>
              <w:widowControl/>
              <w:spacing w:line="26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名称：辽宁轩宇工程管理有限公司</w:t>
            </w:r>
            <w:r>
              <w:rPr>
                <w:rFonts w:hint="eastAsia" w:ascii="宋体" w:hAnsi="宋体" w:cs="Arial"/>
                <w:color w:val="auto"/>
                <w:kern w:val="0"/>
                <w:szCs w:val="21"/>
                <w:highlight w:val="none"/>
              </w:rPr>
              <w:tab/>
            </w:r>
          </w:p>
          <w:p>
            <w:pPr>
              <w:widowControl/>
              <w:spacing w:line="26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地址：沈阳市皇姑区黄河南大街56号中建峰汇广场A-801</w:t>
            </w:r>
          </w:p>
          <w:p>
            <w:pPr>
              <w:widowControl/>
              <w:spacing w:line="26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联系人：石增良、张冬妮</w:t>
            </w:r>
          </w:p>
          <w:p>
            <w:pPr>
              <w:widowControl/>
              <w:jc w:val="left"/>
              <w:rPr>
                <w:rFonts w:ascii="宋体" w:hAnsi="宋体" w:cs="宋体"/>
                <w:color w:val="auto"/>
                <w:kern w:val="0"/>
                <w:szCs w:val="21"/>
                <w:highlight w:val="none"/>
              </w:rPr>
            </w:pPr>
            <w:r>
              <w:rPr>
                <w:rFonts w:hint="eastAsia" w:ascii="宋体" w:hAnsi="宋体" w:cs="Arial"/>
                <w:color w:val="auto"/>
                <w:kern w:val="0"/>
                <w:szCs w:val="21"/>
                <w:highlight w:val="none"/>
              </w:rPr>
              <w:t>电话：024-31918388-313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1.3.4</w:t>
            </w:r>
          </w:p>
        </w:tc>
        <w:tc>
          <w:tcPr>
            <w:tcW w:w="198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合格供应商人还要满足的其它资格条件</w:t>
            </w:r>
          </w:p>
        </w:tc>
        <w:tc>
          <w:tcPr>
            <w:tcW w:w="6441" w:type="dxa"/>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见竞争性磋商公告：三、合格供应商的资格条件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1.3.5</w:t>
            </w:r>
          </w:p>
        </w:tc>
        <w:tc>
          <w:tcPr>
            <w:tcW w:w="1985" w:type="dxa"/>
            <w:vAlign w:val="center"/>
          </w:tcPr>
          <w:p>
            <w:pPr>
              <w:tabs>
                <w:tab w:val="left" w:pos="1425"/>
              </w:tabs>
              <w:spacing w:line="36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是否允许采购进口产品</w:t>
            </w:r>
          </w:p>
        </w:tc>
        <w:tc>
          <w:tcPr>
            <w:tcW w:w="644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52"/>
            </w:r>
            <w:r>
              <w:rPr>
                <w:rFonts w:hint="eastAsia" w:ascii="宋体" w:hAnsi="宋体" w:cs="宋体"/>
                <w:color w:val="auto"/>
                <w:kern w:val="0"/>
                <w:szCs w:val="21"/>
                <w:highlight w:val="none"/>
              </w:rPr>
              <w:t xml:space="preserve"> 是</w:t>
            </w:r>
          </w:p>
          <w:p>
            <w:pPr>
              <w:rPr>
                <w:rFonts w:ascii="宋体" w:hAnsi="宋体" w:cs="宋体"/>
                <w:bCs/>
                <w:color w:val="auto"/>
                <w:kern w:val="0"/>
                <w:szCs w:val="21"/>
                <w:highlight w:val="none"/>
              </w:rPr>
            </w:pPr>
            <w:r>
              <w:rPr>
                <w:rFonts w:hint="eastAsia" w:ascii="宋体" w:hAnsi="宋体" w:cs="宋体"/>
                <w:color w:val="auto"/>
                <w:highlight w:val="none"/>
              </w:rPr>
              <w:sym w:font="Wingdings 2" w:char="00A3"/>
            </w:r>
            <w:r>
              <w:rPr>
                <w:rFonts w:hint="eastAsia" w:ascii="宋体" w:hAnsi="宋体" w:cs="宋体"/>
                <w:color w:val="auto"/>
                <w:kern w:val="0"/>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1.3.6</w:t>
            </w:r>
          </w:p>
        </w:tc>
        <w:tc>
          <w:tcPr>
            <w:tcW w:w="1985" w:type="dxa"/>
            <w:vAlign w:val="center"/>
          </w:tcPr>
          <w:p>
            <w:pPr>
              <w:tabs>
                <w:tab w:val="left" w:pos="1425"/>
              </w:tabs>
              <w:spacing w:line="36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是否为专门面向中小企业采购</w:t>
            </w:r>
          </w:p>
        </w:tc>
        <w:tc>
          <w:tcPr>
            <w:tcW w:w="644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 是</w:t>
            </w:r>
          </w:p>
          <w:p>
            <w:pPr>
              <w:rPr>
                <w:rFonts w:ascii="宋体" w:hAnsi="宋体" w:cs="宋体"/>
                <w:bCs/>
                <w:color w:val="auto"/>
                <w:kern w:val="0"/>
                <w:szCs w:val="21"/>
                <w:highlight w:val="none"/>
              </w:rPr>
            </w:pPr>
            <w:r>
              <w:rPr>
                <w:rFonts w:hint="eastAsia" w:ascii="宋体" w:hAnsi="宋体" w:cs="宋体"/>
                <w:color w:val="auto"/>
                <w:highlight w:val="none"/>
              </w:rPr>
              <w:sym w:font="Wingdings 2" w:char="0052"/>
            </w:r>
            <w:r>
              <w:rPr>
                <w:rFonts w:hint="eastAsia" w:ascii="宋体" w:hAnsi="宋体" w:cs="宋体"/>
                <w:color w:val="auto"/>
                <w:kern w:val="0"/>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1.3.7</w:t>
            </w:r>
          </w:p>
        </w:tc>
        <w:tc>
          <w:tcPr>
            <w:tcW w:w="1985" w:type="dxa"/>
            <w:vAlign w:val="center"/>
          </w:tcPr>
          <w:p>
            <w:pPr>
              <w:tabs>
                <w:tab w:val="left" w:pos="1425"/>
              </w:tabs>
              <w:spacing w:line="360" w:lineRule="exact"/>
              <w:jc w:val="center"/>
              <w:rPr>
                <w:rFonts w:ascii="宋体" w:hAnsi="宋体" w:cs="宋体"/>
                <w:b/>
                <w:color w:val="auto"/>
                <w:kern w:val="0"/>
                <w:szCs w:val="21"/>
                <w:highlight w:val="none"/>
              </w:rPr>
            </w:pPr>
            <w:r>
              <w:rPr>
                <w:rFonts w:hint="eastAsia" w:ascii="宋体" w:hAnsi="宋体" w:cs="宋体"/>
                <w:color w:val="auto"/>
                <w:szCs w:val="21"/>
                <w:highlight w:val="none"/>
              </w:rPr>
              <w:t>是否有政府强制采购的节能产品</w:t>
            </w:r>
          </w:p>
        </w:tc>
        <w:tc>
          <w:tcPr>
            <w:tcW w:w="644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 是，具体产品为</w:t>
            </w:r>
          </w:p>
          <w:p>
            <w:pPr>
              <w:rPr>
                <w:rFonts w:ascii="宋体" w:hAnsi="宋体" w:cs="宋体"/>
                <w:color w:val="auto"/>
                <w:kern w:val="0"/>
                <w:szCs w:val="21"/>
                <w:highlight w:val="none"/>
              </w:rPr>
            </w:pPr>
            <w:r>
              <w:rPr>
                <w:rFonts w:hint="eastAsia" w:ascii="宋体" w:hAnsi="宋体" w:cs="宋体"/>
                <w:color w:val="auto"/>
                <w:highlight w:val="none"/>
              </w:rPr>
              <w:sym w:font="Wingdings 2" w:char="0052"/>
            </w:r>
            <w:r>
              <w:rPr>
                <w:rFonts w:hint="eastAsia" w:ascii="宋体" w:hAnsi="宋体" w:cs="宋体"/>
                <w:color w:val="auto"/>
                <w:kern w:val="0"/>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1.3.8</w:t>
            </w:r>
          </w:p>
        </w:tc>
        <w:tc>
          <w:tcPr>
            <w:tcW w:w="1985" w:type="dxa"/>
            <w:vAlign w:val="center"/>
          </w:tcPr>
          <w:p>
            <w:pPr>
              <w:tabs>
                <w:tab w:val="left" w:pos="1425"/>
              </w:tabs>
              <w:spacing w:line="26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项目所属行业</w:t>
            </w:r>
          </w:p>
        </w:tc>
        <w:tc>
          <w:tcPr>
            <w:tcW w:w="6441" w:type="dxa"/>
            <w:vAlign w:val="center"/>
          </w:tcPr>
          <w:p>
            <w:pPr>
              <w:spacing w:line="2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98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是否允许联合体参加政府采购活动</w:t>
            </w:r>
          </w:p>
        </w:tc>
        <w:tc>
          <w:tcPr>
            <w:tcW w:w="6441"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 是</w:t>
            </w:r>
          </w:p>
          <w:p>
            <w:pPr>
              <w:rPr>
                <w:rFonts w:ascii="宋体" w:hAnsi="宋体" w:cs="宋体"/>
                <w:color w:val="auto"/>
                <w:kern w:val="0"/>
                <w:szCs w:val="21"/>
                <w:highlight w:val="none"/>
              </w:rPr>
            </w:pPr>
            <w:r>
              <w:rPr>
                <w:rFonts w:hint="eastAsia" w:ascii="宋体" w:hAnsi="宋体" w:cs="宋体"/>
                <w:color w:val="auto"/>
                <w:highlight w:val="none"/>
              </w:rPr>
              <w:sym w:font="Wingdings 2" w:char="0052"/>
            </w:r>
            <w:r>
              <w:rPr>
                <w:rFonts w:hint="eastAsia" w:ascii="宋体" w:hAnsi="宋体" w:cs="宋体"/>
                <w:color w:val="auto"/>
                <w:kern w:val="0"/>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1.4.8</w:t>
            </w:r>
          </w:p>
        </w:tc>
        <w:tc>
          <w:tcPr>
            <w:tcW w:w="1985" w:type="dxa"/>
            <w:vAlign w:val="center"/>
          </w:tcPr>
          <w:p>
            <w:pPr>
              <w:tabs>
                <w:tab w:val="left" w:pos="1425"/>
              </w:tabs>
              <w:spacing w:line="360" w:lineRule="exact"/>
              <w:jc w:val="center"/>
              <w:rPr>
                <w:rFonts w:ascii="宋体" w:hAnsi="宋体" w:cs="宋体"/>
                <w:color w:val="auto"/>
                <w:szCs w:val="21"/>
                <w:highlight w:val="none"/>
              </w:rPr>
            </w:pPr>
            <w:r>
              <w:rPr>
                <w:rFonts w:hint="eastAsia" w:ascii="宋体" w:hAnsi="宋体" w:cs="宋体"/>
                <w:bCs/>
                <w:color w:val="auto"/>
                <w:kern w:val="0"/>
                <w:szCs w:val="21"/>
                <w:highlight w:val="none"/>
              </w:rPr>
              <w:t>联合体的其他资格要求</w:t>
            </w:r>
          </w:p>
        </w:tc>
        <w:tc>
          <w:tcPr>
            <w:tcW w:w="6441" w:type="dxa"/>
            <w:vAlign w:val="center"/>
          </w:tcPr>
          <w:p>
            <w:pPr>
              <w:rPr>
                <w:rFonts w:ascii="宋体" w:hAnsi="宋体" w:cs="宋体"/>
                <w:bCs/>
                <w:color w:val="auto"/>
                <w:kern w:val="0"/>
                <w:szCs w:val="21"/>
                <w:highlight w:val="none"/>
              </w:rPr>
            </w:pPr>
            <w:r>
              <w:rPr>
                <w:rFonts w:hint="eastAsia" w:ascii="宋体" w:hAnsi="宋体" w:cs="宋体"/>
                <w:bCs/>
                <w:color w:val="auto"/>
                <w:kern w:val="0"/>
                <w:szCs w:val="21"/>
                <w:highlight w:val="none"/>
              </w:rPr>
              <w:t>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87"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985" w:type="dxa"/>
            <w:vAlign w:val="center"/>
          </w:tcPr>
          <w:p>
            <w:pPr>
              <w:shd w:val="clear" w:color="auto" w:fill="FFFFFF"/>
              <w:spacing w:line="360" w:lineRule="exact"/>
              <w:jc w:val="center"/>
              <w:rPr>
                <w:rFonts w:ascii="宋体" w:hAnsi="宋体" w:cs="宋体"/>
                <w:bCs/>
                <w:color w:val="auto"/>
                <w:kern w:val="0"/>
                <w:szCs w:val="21"/>
                <w:highlight w:val="none"/>
              </w:rPr>
            </w:pPr>
            <w:r>
              <w:rPr>
                <w:rFonts w:hint="eastAsia" w:ascii="宋体" w:hAnsi="宋体" w:cs="宋体"/>
                <w:color w:val="auto"/>
                <w:kern w:val="0"/>
                <w:szCs w:val="21"/>
                <w:highlight w:val="none"/>
              </w:rPr>
              <w:t>项目预算金额</w:t>
            </w:r>
          </w:p>
        </w:tc>
        <w:tc>
          <w:tcPr>
            <w:tcW w:w="6441" w:type="dxa"/>
            <w:vAlign w:val="center"/>
          </w:tcPr>
          <w:p>
            <w:pPr>
              <w:rPr>
                <w:rFonts w:ascii="宋体" w:hAnsi="宋体" w:cs="宋体"/>
                <w:bCs/>
                <w:color w:val="auto"/>
                <w:kern w:val="0"/>
                <w:szCs w:val="21"/>
                <w:highlight w:val="none"/>
              </w:rPr>
            </w:pPr>
            <w:r>
              <w:rPr>
                <w:rFonts w:hint="eastAsia" w:ascii="宋体" w:hAnsi="宋体" w:cs="宋体"/>
                <w:bCs/>
                <w:color w:val="auto"/>
                <w:kern w:val="0"/>
                <w:szCs w:val="21"/>
                <w:highlight w:val="none"/>
              </w:rPr>
              <w:t>130万元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985" w:type="dxa"/>
            <w:vAlign w:val="center"/>
          </w:tcPr>
          <w:p>
            <w:pPr>
              <w:tabs>
                <w:tab w:val="left" w:pos="1425"/>
              </w:tabs>
              <w:spacing w:line="36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计量单位</w:t>
            </w:r>
          </w:p>
        </w:tc>
        <w:tc>
          <w:tcPr>
            <w:tcW w:w="6441" w:type="dxa"/>
            <w:vAlign w:val="center"/>
          </w:tcPr>
          <w:p>
            <w:pPr>
              <w:rPr>
                <w:rFonts w:ascii="宋体" w:hAnsi="宋体" w:cs="宋体"/>
                <w:bCs/>
                <w:color w:val="auto"/>
                <w:kern w:val="0"/>
                <w:szCs w:val="21"/>
                <w:highlight w:val="none"/>
              </w:rPr>
            </w:pPr>
            <w:r>
              <w:rPr>
                <w:rFonts w:hint="eastAsia" w:ascii="宋体" w:hAnsi="宋体" w:cs="宋体"/>
                <w:color w:val="auto"/>
                <w:highlight w:val="none"/>
              </w:rPr>
              <w:sym w:font="Wingdings 2" w:char="F052"/>
            </w:r>
            <w:r>
              <w:rPr>
                <w:rFonts w:hint="eastAsia" w:ascii="宋体" w:hAnsi="宋体" w:cs="宋体"/>
                <w:bCs/>
                <w:color w:val="auto"/>
                <w:kern w:val="0"/>
                <w:szCs w:val="21"/>
                <w:highlight w:val="none"/>
              </w:rPr>
              <w:t>中华人民共和国法定计量单位</w:t>
            </w:r>
          </w:p>
          <w:p>
            <w:pPr>
              <w:rPr>
                <w:rFonts w:ascii="宋体" w:hAnsi="宋体" w:cs="宋体"/>
                <w:bCs/>
                <w:color w:val="auto"/>
                <w:kern w:val="0"/>
                <w:szCs w:val="21"/>
                <w:highlight w:val="none"/>
              </w:rPr>
            </w:pPr>
            <w:r>
              <w:rPr>
                <w:rFonts w:hint="eastAsia" w:ascii="宋体" w:hAnsi="宋体" w:cs="宋体"/>
                <w:bCs/>
                <w:color w:val="auto"/>
                <w:kern w:val="0"/>
                <w:szCs w:val="21"/>
                <w:highlight w:val="none"/>
              </w:rPr>
              <w:sym w:font="Wingdings 2" w:char="00A3"/>
            </w:r>
            <w:r>
              <w:rPr>
                <w:rFonts w:hint="eastAsia" w:ascii="宋体" w:hAnsi="宋体" w:cs="宋体"/>
                <w:bCs/>
                <w:color w:val="auto"/>
                <w:kern w:val="0"/>
                <w:szCs w:val="21"/>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1985" w:type="dxa"/>
            <w:vAlign w:val="center"/>
          </w:tcPr>
          <w:p>
            <w:pPr>
              <w:shd w:val="clear" w:color="auto" w:fill="FFFFFF"/>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现场考察、磋商前答疑会</w:t>
            </w:r>
          </w:p>
        </w:tc>
        <w:tc>
          <w:tcPr>
            <w:tcW w:w="6441" w:type="dxa"/>
            <w:vAlign w:val="center"/>
          </w:tcPr>
          <w:p>
            <w:pPr>
              <w:rPr>
                <w:rFonts w:ascii="宋体" w:hAnsi="宋体" w:cs="宋体"/>
                <w:color w:val="auto"/>
                <w:kern w:val="0"/>
                <w:szCs w:val="21"/>
                <w:highlight w:val="none"/>
              </w:rPr>
            </w:pPr>
            <w:r>
              <w:rPr>
                <w:rFonts w:hint="eastAsia" w:ascii="宋体" w:hAnsi="宋体" w:cs="宋体"/>
                <w:color w:val="auto"/>
                <w:highlight w:val="none"/>
              </w:rPr>
              <w:sym w:font="Wingdings 2" w:char="F052"/>
            </w:r>
            <w:r>
              <w:rPr>
                <w:rFonts w:hint="eastAsia" w:ascii="宋体" w:hAnsi="宋体" w:cs="宋体"/>
                <w:color w:val="auto"/>
                <w:kern w:val="0"/>
                <w:szCs w:val="21"/>
                <w:highlight w:val="none"/>
              </w:rPr>
              <w:t>不组织</w:t>
            </w:r>
          </w:p>
          <w:p>
            <w:pPr>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10.3</w:t>
            </w:r>
          </w:p>
        </w:tc>
        <w:tc>
          <w:tcPr>
            <w:tcW w:w="1985" w:type="dxa"/>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核心产品</w:t>
            </w:r>
          </w:p>
        </w:tc>
        <w:tc>
          <w:tcPr>
            <w:tcW w:w="6441" w:type="dxa"/>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1985" w:type="dxa"/>
            <w:vAlign w:val="center"/>
          </w:tcPr>
          <w:p>
            <w:pPr>
              <w:shd w:val="clear" w:color="auto" w:fill="FFFFFF"/>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样品或演示</w:t>
            </w:r>
          </w:p>
        </w:tc>
        <w:tc>
          <w:tcPr>
            <w:tcW w:w="6441" w:type="dxa"/>
            <w:vAlign w:val="center"/>
          </w:tcPr>
          <w:p>
            <w:pPr>
              <w:rPr>
                <w:rFonts w:ascii="宋体" w:hAnsi="宋体" w:cs="宋体"/>
                <w:color w:val="auto"/>
                <w:kern w:val="0"/>
                <w:szCs w:val="21"/>
                <w:highlight w:val="none"/>
              </w:rPr>
            </w:pPr>
            <w:r>
              <w:rPr>
                <w:rFonts w:hint="eastAsia" w:ascii="宋体" w:hAnsi="宋体" w:cs="宋体"/>
                <w:color w:val="auto"/>
                <w:highlight w:val="none"/>
              </w:rPr>
              <w:sym w:font="Wingdings 2" w:char="F052"/>
            </w:r>
            <w:r>
              <w:rPr>
                <w:rFonts w:hint="eastAsia" w:ascii="宋体" w:hAnsi="宋体" w:cs="宋体"/>
                <w:color w:val="auto"/>
                <w:kern w:val="0"/>
                <w:szCs w:val="21"/>
                <w:highlight w:val="none"/>
              </w:rPr>
              <w:t>不</w:t>
            </w:r>
            <w:r>
              <w:rPr>
                <w:rFonts w:hint="eastAsia" w:ascii="宋体" w:hAnsi="宋体" w:cs="宋体"/>
                <w:bCs/>
                <w:color w:val="auto"/>
                <w:kern w:val="0"/>
                <w:szCs w:val="21"/>
                <w:highlight w:val="none"/>
              </w:rPr>
              <w:t>需要提供样品</w:t>
            </w:r>
          </w:p>
          <w:p>
            <w:pPr>
              <w:rPr>
                <w:rFonts w:ascii="宋体" w:hAnsi="宋体" w:cs="宋体"/>
                <w:color w:val="auto"/>
                <w:kern w:val="0"/>
                <w:szCs w:val="21"/>
                <w:highlight w:val="none"/>
              </w:rPr>
            </w:pPr>
            <w:r>
              <w:rPr>
                <w:rFonts w:hint="eastAsia" w:ascii="宋体" w:hAnsi="宋体" w:cs="宋体"/>
                <w:color w:val="auto"/>
                <w:highlight w:val="none"/>
              </w:rPr>
              <w:sym w:font="Wingdings 2" w:char="F052"/>
            </w:r>
            <w:r>
              <w:rPr>
                <w:rFonts w:hint="eastAsia" w:ascii="宋体" w:hAnsi="宋体" w:cs="宋体"/>
                <w:color w:val="auto"/>
                <w:kern w:val="0"/>
                <w:szCs w:val="21"/>
                <w:highlight w:val="none"/>
              </w:rPr>
              <w:t>不</w:t>
            </w:r>
            <w:r>
              <w:rPr>
                <w:rFonts w:hint="eastAsia" w:ascii="宋体" w:hAnsi="宋体" w:cs="宋体"/>
                <w:bCs/>
                <w:color w:val="auto"/>
                <w:kern w:val="0"/>
                <w:szCs w:val="21"/>
                <w:highlight w:val="none"/>
              </w:rPr>
              <w:t>需要提供演示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1985" w:type="dxa"/>
            <w:vAlign w:val="center"/>
          </w:tcPr>
          <w:p>
            <w:pPr>
              <w:shd w:val="clear" w:color="auto" w:fill="FFFFFF"/>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响应报价货币要求</w:t>
            </w:r>
          </w:p>
        </w:tc>
        <w:tc>
          <w:tcPr>
            <w:tcW w:w="6441" w:type="dxa"/>
            <w:vAlign w:val="center"/>
          </w:tcPr>
          <w:p>
            <w:pPr>
              <w:rPr>
                <w:rFonts w:ascii="宋体" w:hAnsi="宋体" w:cs="宋体"/>
                <w:color w:val="auto"/>
                <w:kern w:val="0"/>
                <w:szCs w:val="21"/>
                <w:highlight w:val="none"/>
              </w:rPr>
            </w:pPr>
            <w:r>
              <w:rPr>
                <w:rFonts w:hint="eastAsia" w:ascii="宋体" w:hAnsi="宋体" w:cs="宋体"/>
                <w:color w:val="auto"/>
                <w:highlight w:val="none"/>
              </w:rPr>
              <w:sym w:font="Wingdings 2" w:char="F052"/>
            </w:r>
            <w:r>
              <w:rPr>
                <w:rFonts w:hint="eastAsia" w:ascii="宋体" w:hAnsi="宋体" w:cs="宋体"/>
                <w:color w:val="auto"/>
                <w:kern w:val="0"/>
                <w:szCs w:val="21"/>
                <w:highlight w:val="none"/>
              </w:rPr>
              <w:t>所有响应文件中均按</w:t>
            </w:r>
            <w:r>
              <w:rPr>
                <w:rFonts w:hint="eastAsia" w:ascii="宋体" w:hAnsi="宋体" w:cs="宋体"/>
                <w:color w:val="auto"/>
                <w:kern w:val="0"/>
                <w:szCs w:val="21"/>
                <w:highlight w:val="none"/>
                <w:u w:val="single"/>
              </w:rPr>
              <w:t>人民币</w:t>
            </w:r>
            <w:r>
              <w:rPr>
                <w:rFonts w:hint="eastAsia" w:ascii="宋体" w:hAnsi="宋体" w:cs="宋体"/>
                <w:color w:val="auto"/>
                <w:kern w:val="0"/>
                <w:szCs w:val="21"/>
                <w:highlight w:val="none"/>
              </w:rPr>
              <w:t>货币进行报价。</w:t>
            </w:r>
          </w:p>
          <w:p>
            <w:pPr>
              <w:rPr>
                <w:rFonts w:ascii="宋体" w:hAnsi="宋体" w:cs="宋体"/>
                <w:color w:val="auto"/>
                <w:kern w:val="0"/>
                <w:szCs w:val="21"/>
                <w:highlight w:val="none"/>
                <w:u w:val="singl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1985"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441" w:type="dxa"/>
            <w:vAlign w:val="center"/>
          </w:tcPr>
          <w:p>
            <w:pPr>
              <w:pStyle w:val="6"/>
              <w:spacing w:line="360" w:lineRule="exact"/>
              <w:rPr>
                <w:rFonts w:ascii="宋体" w:hAnsi="宋体" w:cs="宋体"/>
                <w:color w:val="auto"/>
                <w:szCs w:val="21"/>
                <w:highlight w:val="none"/>
              </w:rPr>
            </w:pPr>
            <w:r>
              <w:rPr>
                <w:rFonts w:hint="eastAsia" w:ascii="宋体" w:hAnsi="宋体" w:cs="宋体"/>
                <w:color w:val="auto"/>
                <w:szCs w:val="21"/>
                <w:highlight w:val="none"/>
              </w:rPr>
              <w:t>1.磋商保证金金额：1.5万元</w:t>
            </w:r>
          </w:p>
          <w:p>
            <w:pPr>
              <w:pStyle w:val="6"/>
              <w:spacing w:line="360" w:lineRule="exact"/>
              <w:rPr>
                <w:rFonts w:ascii="宋体" w:hAnsi="宋体" w:cs="宋体"/>
                <w:color w:val="auto"/>
                <w:szCs w:val="21"/>
                <w:highlight w:val="none"/>
              </w:rPr>
            </w:pPr>
            <w:r>
              <w:rPr>
                <w:rFonts w:hint="eastAsia" w:ascii="宋体" w:hAnsi="宋体" w:cs="宋体"/>
                <w:color w:val="auto"/>
                <w:szCs w:val="21"/>
                <w:highlight w:val="none"/>
              </w:rPr>
              <w:t>2.磋商保证金缴纳时间：递交响应文件截止时间前</w:t>
            </w:r>
          </w:p>
          <w:p>
            <w:pPr>
              <w:pStyle w:val="6"/>
              <w:spacing w:line="360" w:lineRule="exact"/>
              <w:rPr>
                <w:rFonts w:ascii="宋体" w:hAnsi="宋体" w:cs="宋体"/>
                <w:color w:val="auto"/>
                <w:szCs w:val="21"/>
                <w:highlight w:val="none"/>
              </w:rPr>
            </w:pPr>
            <w:r>
              <w:rPr>
                <w:rFonts w:hint="eastAsia" w:ascii="宋体" w:hAnsi="宋体" w:cs="宋体"/>
                <w:color w:val="auto"/>
                <w:szCs w:val="21"/>
                <w:highlight w:val="none"/>
              </w:rPr>
              <w:t>3.磋商保证金缴纳方式：</w:t>
            </w:r>
            <w:r>
              <w:rPr>
                <w:rFonts w:hint="eastAsia" w:ascii="宋体" w:hAnsi="宋体" w:cs="宋体"/>
                <w:color w:val="auto"/>
                <w:szCs w:val="21"/>
                <w:highlight w:val="none"/>
              </w:rPr>
              <w:sym w:font="Wingdings 2" w:char="F052"/>
            </w:r>
            <w:r>
              <w:rPr>
                <w:rFonts w:hint="eastAsia" w:ascii="宋体" w:hAnsi="宋体" w:cs="宋体"/>
                <w:color w:val="auto"/>
                <w:szCs w:val="21"/>
                <w:highlight w:val="none"/>
              </w:rPr>
              <w:t>保函</w:t>
            </w:r>
            <w:r>
              <w:rPr>
                <w:rFonts w:hint="eastAsia" w:ascii="宋体" w:hAnsi="宋体" w:cs="宋体"/>
                <w:color w:val="auto"/>
                <w:szCs w:val="21"/>
                <w:highlight w:val="none"/>
              </w:rPr>
              <w:sym w:font="Wingdings 2" w:char="F052"/>
            </w:r>
            <w:r>
              <w:rPr>
                <w:rFonts w:hint="eastAsia" w:ascii="宋体" w:hAnsi="宋体" w:cs="宋体"/>
                <w:color w:val="auto"/>
                <w:szCs w:val="21"/>
                <w:highlight w:val="none"/>
              </w:rPr>
              <w:t>支票（限沈阳本地）</w:t>
            </w:r>
            <w:r>
              <w:rPr>
                <w:rFonts w:hint="eastAsia" w:ascii="宋体" w:hAnsi="宋体" w:cs="宋体"/>
                <w:color w:val="auto"/>
                <w:szCs w:val="21"/>
                <w:highlight w:val="none"/>
              </w:rPr>
              <w:sym w:font="Wingdings 2" w:char="F052"/>
            </w:r>
            <w:r>
              <w:rPr>
                <w:rFonts w:hint="eastAsia" w:ascii="宋体" w:hAnsi="宋体" w:cs="宋体"/>
                <w:color w:val="auto"/>
                <w:szCs w:val="21"/>
                <w:highlight w:val="none"/>
              </w:rPr>
              <w:t xml:space="preserve">电汇（须从供应商账户汇出） </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其他：</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保证金收款人银行信息：</w:t>
            </w:r>
          </w:p>
          <w:p>
            <w:pPr>
              <w:rPr>
                <w:rFonts w:ascii="宋体" w:hAnsi="宋体" w:cs="宋体"/>
                <w:color w:val="auto"/>
                <w:szCs w:val="21"/>
                <w:highlight w:val="none"/>
              </w:rPr>
            </w:pPr>
            <w:r>
              <w:rPr>
                <w:rFonts w:hint="eastAsia" w:ascii="宋体" w:hAnsi="宋体" w:cs="宋体"/>
                <w:color w:val="auto"/>
                <w:szCs w:val="21"/>
                <w:highlight w:val="none"/>
              </w:rPr>
              <w:t xml:space="preserve">    开 户 名：</w:t>
            </w:r>
            <w:r>
              <w:rPr>
                <w:rFonts w:hint="eastAsia" w:ascii="宋体" w:hAnsi="宋体" w:cs="Arial"/>
                <w:color w:val="auto"/>
                <w:szCs w:val="21"/>
                <w:highlight w:val="none"/>
              </w:rPr>
              <w:t>辽宁轩宇工程管理有限公司沈阳分公司</w:t>
            </w:r>
          </w:p>
          <w:p>
            <w:pPr>
              <w:rPr>
                <w:rFonts w:ascii="宋体" w:hAnsi="宋体" w:cs="宋体"/>
                <w:color w:val="auto"/>
                <w:szCs w:val="21"/>
                <w:highlight w:val="none"/>
              </w:rPr>
            </w:pPr>
            <w:r>
              <w:rPr>
                <w:rFonts w:hint="eastAsia" w:ascii="宋体" w:hAnsi="宋体" w:cs="宋体"/>
                <w:color w:val="auto"/>
                <w:szCs w:val="21"/>
                <w:highlight w:val="none"/>
              </w:rPr>
              <w:t xml:space="preserve">    开 户 行：</w:t>
            </w:r>
            <w:r>
              <w:rPr>
                <w:rFonts w:hint="eastAsia" w:ascii="宋体" w:hAnsi="宋体" w:cs="Arial"/>
                <w:color w:val="auto"/>
                <w:szCs w:val="21"/>
                <w:highlight w:val="none"/>
              </w:rPr>
              <w:t>中国光大银行股份有限公司沈阳黄河大街支行</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Arial"/>
                <w:color w:val="auto"/>
                <w:szCs w:val="21"/>
                <w:highlight w:val="none"/>
              </w:rPr>
              <w:t>36490188000107903</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4.保证金退还方式：转账（保函除外）</w:t>
            </w:r>
          </w:p>
          <w:p>
            <w:pPr>
              <w:spacing w:line="360" w:lineRule="exact"/>
              <w:rPr>
                <w:rFonts w:ascii="宋体" w:hAnsi="宋体" w:cs="宋体"/>
                <w:b/>
                <w:color w:val="auto"/>
                <w:szCs w:val="21"/>
                <w:highlight w:val="none"/>
              </w:rPr>
            </w:pPr>
            <w:r>
              <w:rPr>
                <w:rFonts w:hint="eastAsia" w:ascii="宋体" w:hAnsi="宋体" w:cs="宋体"/>
                <w:color w:val="auto"/>
                <w:szCs w:val="21"/>
                <w:highlight w:val="none"/>
              </w:rPr>
              <w:t>5.保证金退还咨询电话：024-31918388-309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15.1</w:t>
            </w:r>
          </w:p>
        </w:tc>
        <w:tc>
          <w:tcPr>
            <w:tcW w:w="1985"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响应有效期</w:t>
            </w:r>
          </w:p>
        </w:tc>
        <w:tc>
          <w:tcPr>
            <w:tcW w:w="6441" w:type="dxa"/>
            <w:vAlign w:val="center"/>
          </w:tcPr>
          <w:p>
            <w:pPr>
              <w:pStyle w:val="6"/>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u w:val="single"/>
              </w:rPr>
              <w:t>120</w:t>
            </w:r>
            <w:r>
              <w:rPr>
                <w:rFonts w:hint="eastAsia" w:ascii="宋体" w:hAnsi="宋体" w:cs="宋体"/>
                <w:color w:val="auto"/>
                <w:kern w:val="0"/>
                <w:szCs w:val="21"/>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16.1</w:t>
            </w:r>
          </w:p>
        </w:tc>
        <w:tc>
          <w:tcPr>
            <w:tcW w:w="1985" w:type="dxa"/>
            <w:vAlign w:val="center"/>
          </w:tcPr>
          <w:p>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6441" w:type="dxa"/>
            <w:vAlign w:val="center"/>
          </w:tcPr>
          <w:p>
            <w:pPr>
              <w:widowControl/>
              <w:spacing w:line="360" w:lineRule="exact"/>
              <w:rPr>
                <w:rFonts w:ascii="宋体" w:hAnsi="宋体" w:cs="宋体"/>
                <w:color w:val="auto"/>
                <w:kern w:val="0"/>
                <w:szCs w:val="21"/>
                <w:highlight w:val="none"/>
              </w:rPr>
            </w:pPr>
            <w:r>
              <w:rPr>
                <w:rFonts w:hint="eastAsia" w:ascii="宋体" w:hAnsi="宋体" w:cs="宋体"/>
                <w:color w:val="auto"/>
                <w:szCs w:val="21"/>
                <w:highlight w:val="none"/>
              </w:rPr>
              <w:t>正本</w:t>
            </w:r>
            <w:r>
              <w:rPr>
                <w:rFonts w:hint="eastAsia" w:ascii="宋体" w:hAnsi="宋体" w:cs="宋体"/>
                <w:color w:val="auto"/>
                <w:szCs w:val="21"/>
                <w:highlight w:val="none"/>
                <w:u w:val="single"/>
              </w:rPr>
              <w:t>1</w:t>
            </w:r>
            <w:r>
              <w:rPr>
                <w:rFonts w:hint="eastAsia" w:ascii="宋体" w:hAnsi="宋体" w:cs="宋体"/>
                <w:color w:val="auto"/>
                <w:szCs w:val="21"/>
                <w:highlight w:val="none"/>
              </w:rPr>
              <w:t>份，副本</w:t>
            </w:r>
            <w:r>
              <w:rPr>
                <w:rFonts w:hint="eastAsia" w:ascii="宋体" w:hAnsi="宋体" w:cs="宋体"/>
                <w:color w:val="auto"/>
                <w:szCs w:val="21"/>
                <w:highlight w:val="none"/>
                <w:u w:val="single"/>
              </w:rPr>
              <w:t>4</w:t>
            </w:r>
            <w:r>
              <w:rPr>
                <w:rFonts w:hint="eastAsia" w:ascii="宋体" w:hAnsi="宋体" w:cs="宋体"/>
                <w:color w:val="auto"/>
                <w:szCs w:val="21"/>
                <w:highlight w:val="none"/>
              </w:rPr>
              <w:t>份；</w:t>
            </w:r>
            <w:r>
              <w:rPr>
                <w:rFonts w:hint="eastAsia" w:ascii="宋体" w:hAnsi="宋体" w:cs="宋体"/>
                <w:color w:val="auto"/>
                <w:kern w:val="0"/>
                <w:szCs w:val="21"/>
                <w:highlight w:val="none"/>
              </w:rPr>
              <w:t>电子文档1份。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18.1</w:t>
            </w:r>
          </w:p>
        </w:tc>
        <w:tc>
          <w:tcPr>
            <w:tcW w:w="1985" w:type="dxa"/>
            <w:vAlign w:val="center"/>
          </w:tcPr>
          <w:p>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递交响应文件截止时间、地点：</w:t>
            </w:r>
          </w:p>
        </w:tc>
        <w:tc>
          <w:tcPr>
            <w:tcW w:w="6441" w:type="dxa"/>
            <w:vAlign w:val="center"/>
          </w:tcPr>
          <w:p>
            <w:pPr>
              <w:widowControl/>
              <w:rPr>
                <w:rFonts w:ascii="宋体" w:hAnsi="宋体" w:cs="宋体"/>
                <w:color w:val="auto"/>
                <w:kern w:val="0"/>
                <w:szCs w:val="21"/>
                <w:highlight w:val="none"/>
                <w:u w:val="single"/>
              </w:rPr>
            </w:pPr>
            <w:r>
              <w:rPr>
                <w:rFonts w:hint="eastAsia" w:ascii="宋体" w:hAnsi="宋体" w:cs="宋体"/>
                <w:color w:val="auto"/>
                <w:kern w:val="0"/>
                <w:szCs w:val="21"/>
                <w:highlight w:val="none"/>
              </w:rPr>
              <w:t>详见竞争性磋商公告，以竞争性磋商公告规定时间、地点为准。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20.1</w:t>
            </w:r>
          </w:p>
        </w:tc>
        <w:tc>
          <w:tcPr>
            <w:tcW w:w="1985" w:type="dxa"/>
            <w:vAlign w:val="center"/>
          </w:tcPr>
          <w:p>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开启时间、地点：</w:t>
            </w:r>
          </w:p>
        </w:tc>
        <w:tc>
          <w:tcPr>
            <w:tcW w:w="6441" w:type="dxa"/>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详见竞争性磋商公告，以竞争性磋商公告规定时间、地点为准。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21.2</w:t>
            </w:r>
          </w:p>
        </w:tc>
        <w:tc>
          <w:tcPr>
            <w:tcW w:w="1985"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磋商小组组成</w:t>
            </w:r>
          </w:p>
        </w:tc>
        <w:tc>
          <w:tcPr>
            <w:tcW w:w="6441" w:type="dxa"/>
            <w:vAlign w:val="center"/>
          </w:tcPr>
          <w:p>
            <w:pPr>
              <w:widowControl/>
              <w:rPr>
                <w:rFonts w:ascii="宋体" w:hAnsi="宋体" w:cs="宋体"/>
                <w:color w:val="auto"/>
                <w:kern w:val="0"/>
                <w:szCs w:val="21"/>
                <w:highlight w:val="none"/>
              </w:rPr>
            </w:pPr>
            <w:r>
              <w:rPr>
                <w:rFonts w:hint="eastAsia" w:ascii="宋体" w:hAnsi="宋体" w:cs="宋体"/>
                <w:color w:val="auto"/>
                <w:szCs w:val="21"/>
                <w:highlight w:val="none"/>
              </w:rPr>
              <w:t>磋商小组由采购人代表</w:t>
            </w:r>
            <w:r>
              <w:rPr>
                <w:rFonts w:hint="eastAsia" w:ascii="宋体" w:hAnsi="宋体" w:cs="宋体"/>
                <w:color w:val="auto"/>
                <w:szCs w:val="21"/>
                <w:highlight w:val="none"/>
                <w:u w:val="single"/>
              </w:rPr>
              <w:t>1</w:t>
            </w:r>
            <w:r>
              <w:rPr>
                <w:rFonts w:hint="eastAsia" w:ascii="宋体" w:hAnsi="宋体" w:cs="宋体"/>
                <w:color w:val="auto"/>
                <w:szCs w:val="21"/>
                <w:highlight w:val="none"/>
              </w:rPr>
              <w:t>人，评审专家</w:t>
            </w:r>
            <w:r>
              <w:rPr>
                <w:rFonts w:hint="eastAsia" w:ascii="宋体" w:hAnsi="宋体" w:cs="宋体"/>
                <w:color w:val="auto"/>
                <w:szCs w:val="21"/>
                <w:highlight w:val="none"/>
                <w:u w:val="single"/>
              </w:rPr>
              <w:t>2</w:t>
            </w:r>
            <w:r>
              <w:rPr>
                <w:rFonts w:hint="eastAsia" w:ascii="宋体" w:hAnsi="宋体" w:cs="宋体"/>
                <w:color w:val="auto"/>
                <w:szCs w:val="21"/>
                <w:highlight w:val="none"/>
              </w:rPr>
              <w:t>人组成，共</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24.1</w:t>
            </w:r>
          </w:p>
        </w:tc>
        <w:tc>
          <w:tcPr>
            <w:tcW w:w="1985" w:type="dxa"/>
            <w:vAlign w:val="center"/>
          </w:tcPr>
          <w:p>
            <w:pPr>
              <w:shd w:val="clear" w:color="auto" w:fill="FFFFFF"/>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样品的评审办法以及评审标准</w:t>
            </w:r>
          </w:p>
          <w:p>
            <w:pPr>
              <w:shd w:val="clear" w:color="auto" w:fill="FFFFFF"/>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演示的评审办法及评审标准</w:t>
            </w:r>
          </w:p>
        </w:tc>
        <w:tc>
          <w:tcPr>
            <w:tcW w:w="6441" w:type="dxa"/>
            <w:vAlign w:val="center"/>
          </w:tcPr>
          <w:p>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样品：不适用</w:t>
            </w:r>
          </w:p>
          <w:p>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1、样品评审办法：</w:t>
            </w:r>
          </w:p>
          <w:p>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2、样品评审标准：</w:t>
            </w:r>
          </w:p>
          <w:p>
            <w:pPr>
              <w:spacing w:line="260" w:lineRule="exact"/>
              <w:rPr>
                <w:rFonts w:ascii="宋体" w:hAnsi="宋体" w:cs="宋体"/>
                <w:color w:val="auto"/>
                <w:kern w:val="0"/>
                <w:szCs w:val="21"/>
                <w:highlight w:val="none"/>
              </w:rPr>
            </w:pPr>
          </w:p>
          <w:p>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演示：不适用</w:t>
            </w:r>
          </w:p>
          <w:p>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1、演示评审办法：</w:t>
            </w:r>
          </w:p>
          <w:p>
            <w:pPr>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2、演示评审标准：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29.2</w:t>
            </w:r>
          </w:p>
        </w:tc>
        <w:tc>
          <w:tcPr>
            <w:tcW w:w="1985" w:type="dxa"/>
            <w:vAlign w:val="center"/>
          </w:tcPr>
          <w:p>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评审办法</w:t>
            </w:r>
          </w:p>
        </w:tc>
        <w:tc>
          <w:tcPr>
            <w:tcW w:w="6441" w:type="dxa"/>
            <w:vAlign w:val="center"/>
          </w:tcPr>
          <w:p>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31.2</w:t>
            </w:r>
          </w:p>
        </w:tc>
        <w:tc>
          <w:tcPr>
            <w:tcW w:w="1985"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推荐成交候选供应商的数量</w:t>
            </w:r>
          </w:p>
        </w:tc>
        <w:tc>
          <w:tcPr>
            <w:tcW w:w="6441" w:type="dxa"/>
            <w:vAlign w:val="center"/>
          </w:tcPr>
          <w:p>
            <w:pPr>
              <w:widowControl/>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985"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确定成交供应商的方式</w:t>
            </w:r>
          </w:p>
        </w:tc>
        <w:tc>
          <w:tcPr>
            <w:tcW w:w="6441" w:type="dxa"/>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成交供应商数量：1</w:t>
            </w:r>
          </w:p>
          <w:p>
            <w:pPr>
              <w:widowControl/>
              <w:rPr>
                <w:rFonts w:ascii="宋体" w:hAnsi="宋体" w:cs="宋体"/>
                <w:color w:val="auto"/>
                <w:kern w:val="0"/>
                <w:szCs w:val="21"/>
                <w:highlight w:val="none"/>
                <w:u w:val="singl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采购人委托谈判小组直接确认成交候选供应商</w:t>
            </w:r>
          </w:p>
          <w:p>
            <w:pPr>
              <w:widowControl/>
              <w:rPr>
                <w:rFonts w:ascii="宋体" w:hAnsi="宋体" w:cs="宋体"/>
                <w:color w:val="auto"/>
                <w:kern w:val="0"/>
                <w:szCs w:val="21"/>
                <w:highlight w:val="none"/>
                <w:u w:val="single"/>
              </w:rPr>
            </w:pPr>
            <w:r>
              <w:rPr>
                <w:rFonts w:hint="eastAsia" w:ascii="宋体" w:hAnsi="宋体" w:cs="宋体"/>
                <w:color w:val="auto"/>
                <w:highlight w:val="none"/>
              </w:rPr>
              <w:sym w:font="Wingdings 2" w:char="F052"/>
            </w:r>
            <w:r>
              <w:rPr>
                <w:rFonts w:hint="eastAsia" w:ascii="宋体" w:hAnsi="宋体" w:cs="宋体"/>
                <w:color w:val="auto"/>
                <w:kern w:val="0"/>
                <w:szCs w:val="21"/>
                <w:highlight w:val="none"/>
              </w:rPr>
              <w:t>采购人确认成交候选供应商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37.1</w:t>
            </w:r>
          </w:p>
        </w:tc>
        <w:tc>
          <w:tcPr>
            <w:tcW w:w="1985" w:type="dxa"/>
            <w:vAlign w:val="center"/>
          </w:tcPr>
          <w:p>
            <w:pPr>
              <w:shd w:val="clear" w:color="auto" w:fill="FFFFFF"/>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履约保证金</w:t>
            </w:r>
          </w:p>
        </w:tc>
        <w:tc>
          <w:tcPr>
            <w:tcW w:w="6441" w:type="dxa"/>
            <w:vAlign w:val="center"/>
          </w:tcPr>
          <w:p>
            <w:pPr>
              <w:shd w:val="clear" w:color="auto" w:fill="FFFFFF"/>
              <w:jc w:val="left"/>
              <w:rPr>
                <w:rFonts w:ascii="宋体" w:hAnsi="宋体" w:cs="宋体"/>
                <w:color w:val="auto"/>
                <w:kern w:val="0"/>
                <w:szCs w:val="21"/>
                <w:highlight w:val="none"/>
              </w:rPr>
            </w:pPr>
            <w:r>
              <w:rPr>
                <w:rFonts w:hint="eastAsia" w:ascii="宋体" w:hAnsi="宋体" w:cs="宋体"/>
                <w:color w:val="auto"/>
                <w:kern w:val="0"/>
                <w:szCs w:val="21"/>
                <w:highlight w:val="none"/>
              </w:rPr>
              <w:t>以第二章商务条款偏离表中的约定为准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1985"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采购代理服务费</w:t>
            </w:r>
          </w:p>
        </w:tc>
        <w:tc>
          <w:tcPr>
            <w:tcW w:w="6441" w:type="dxa"/>
            <w:vAlign w:val="center"/>
          </w:tcPr>
          <w:p>
            <w:pPr>
              <w:shd w:val="clear" w:color="auto" w:fill="FFFFFF"/>
              <w:jc w:val="left"/>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本项目不收取</w:t>
            </w:r>
            <w:r>
              <w:rPr>
                <w:rFonts w:hint="eastAsia" w:ascii="宋体" w:hAnsi="宋体" w:cs="宋体"/>
                <w:color w:val="auto"/>
                <w:kern w:val="0"/>
                <w:szCs w:val="21"/>
                <w:highlight w:val="none"/>
              </w:rPr>
              <w:t>采购代理服务费</w:t>
            </w:r>
          </w:p>
          <w:p>
            <w:pPr>
              <w:shd w:val="clear" w:color="auto" w:fill="FFFFFF"/>
              <w:jc w:val="left"/>
              <w:rPr>
                <w:rFonts w:ascii="宋体" w:hAnsi="宋体" w:cs="宋体"/>
                <w:color w:val="auto"/>
                <w:szCs w:val="21"/>
                <w:highlight w:val="none"/>
              </w:rPr>
            </w:pPr>
            <w:r>
              <w:rPr>
                <w:rFonts w:hint="eastAsia" w:ascii="宋体" w:hAnsi="宋体" w:cs="宋体"/>
                <w:color w:val="auto"/>
                <w:highlight w:val="none"/>
              </w:rPr>
              <w:sym w:font="Wingdings 2" w:char="F052"/>
            </w:r>
            <w:r>
              <w:rPr>
                <w:rFonts w:hint="eastAsia" w:ascii="宋体" w:hAnsi="宋体" w:cs="宋体"/>
                <w:color w:val="auto"/>
                <w:szCs w:val="21"/>
                <w:highlight w:val="none"/>
              </w:rPr>
              <w:t>本项目收取</w:t>
            </w:r>
            <w:r>
              <w:rPr>
                <w:rFonts w:hint="eastAsia" w:ascii="宋体" w:hAnsi="宋体" w:cs="宋体"/>
                <w:color w:val="auto"/>
                <w:kern w:val="0"/>
                <w:szCs w:val="21"/>
                <w:highlight w:val="none"/>
              </w:rPr>
              <w:t>采购代理服务费</w:t>
            </w:r>
          </w:p>
          <w:p>
            <w:pPr>
              <w:widowControl/>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本项目采购代理服务费由</w:t>
            </w:r>
            <w:r>
              <w:rPr>
                <w:rFonts w:hint="eastAsia" w:ascii="宋体" w:hAnsi="宋体" w:cs="宋体"/>
                <w:color w:val="auto"/>
                <w:kern w:val="0"/>
                <w:szCs w:val="21"/>
                <w:highlight w:val="none"/>
                <w:u w:val="single"/>
              </w:rPr>
              <w:t xml:space="preserve"> 成交供应商 </w:t>
            </w:r>
            <w:r>
              <w:rPr>
                <w:rFonts w:hint="eastAsia" w:ascii="宋体" w:hAnsi="宋体" w:cs="宋体"/>
                <w:color w:val="auto"/>
                <w:kern w:val="0"/>
                <w:szCs w:val="21"/>
                <w:highlight w:val="none"/>
              </w:rPr>
              <w:t>向采购代理机构予以支付。</w:t>
            </w:r>
          </w:p>
          <w:p>
            <w:pPr>
              <w:widowControl/>
              <w:spacing w:line="26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支付</w:t>
            </w:r>
            <w:r>
              <w:rPr>
                <w:rFonts w:hint="eastAsia" w:ascii="宋体" w:hAnsi="宋体" w:cs="宋体"/>
                <w:color w:val="auto"/>
                <w:szCs w:val="21"/>
                <w:highlight w:val="none"/>
              </w:rPr>
              <w:t>标准：每包采用差额定率累进计费方式，具体收费标准：</w:t>
            </w:r>
          </w:p>
          <w:p>
            <w:pPr>
              <w:widowControl/>
              <w:spacing w:line="260" w:lineRule="exact"/>
              <w:ind w:firstLine="211" w:firstLineChars="100"/>
              <w:rPr>
                <w:rFonts w:ascii="宋体" w:hAnsi="宋体" w:cs="Arial"/>
                <w:color w:val="auto"/>
                <w:kern w:val="0"/>
                <w:szCs w:val="21"/>
                <w:highlight w:val="none"/>
              </w:rPr>
            </w:pPr>
            <w:r>
              <w:rPr>
                <w:rFonts w:hint="eastAsia" w:ascii="宋体" w:hAnsi="宋体" w:cs="Arial"/>
                <w:b/>
                <w:color w:val="auto"/>
                <w:kern w:val="0"/>
                <w:szCs w:val="21"/>
                <w:highlight w:val="none"/>
              </w:rPr>
              <w:t>中标金额500万元以下的项目：</w:t>
            </w:r>
            <w:r>
              <w:rPr>
                <w:rFonts w:hint="eastAsia" w:ascii="宋体" w:hAnsi="宋体" w:cs="Arial"/>
                <w:color w:val="auto"/>
                <w:kern w:val="0"/>
                <w:szCs w:val="21"/>
                <w:highlight w:val="none"/>
              </w:rPr>
              <w:t>根据国家发展和改革委员会发改办价格[2003]857号文国家发展和改革委员会发改价格[2011]534号文件收费标准（货物类）下浮25%收取。</w:t>
            </w:r>
          </w:p>
          <w:p>
            <w:pPr>
              <w:widowControl/>
              <w:spacing w:line="260" w:lineRule="exact"/>
              <w:ind w:firstLine="211" w:firstLineChars="100"/>
              <w:rPr>
                <w:rFonts w:hint="eastAsia" w:ascii="宋体" w:hAnsi="宋体" w:cs="Arial"/>
                <w:color w:val="auto"/>
                <w:kern w:val="0"/>
                <w:szCs w:val="21"/>
                <w:highlight w:val="none"/>
              </w:rPr>
            </w:pPr>
            <w:r>
              <w:rPr>
                <w:rFonts w:hint="eastAsia" w:ascii="宋体" w:hAnsi="宋体" w:cs="Arial"/>
                <w:b/>
                <w:color w:val="auto"/>
                <w:kern w:val="0"/>
                <w:szCs w:val="21"/>
                <w:highlight w:val="none"/>
              </w:rPr>
              <w:t>中标金额500万元以上、5000万元以下的项目：</w:t>
            </w:r>
            <w:r>
              <w:rPr>
                <w:rFonts w:hint="eastAsia" w:ascii="宋体" w:hAnsi="宋体" w:cs="Arial"/>
                <w:color w:val="auto"/>
                <w:kern w:val="0"/>
                <w:szCs w:val="21"/>
                <w:highlight w:val="none"/>
              </w:rPr>
              <w:t>根据国家发展和改革委员会发改办价格[2003]857号文国家发展和改革委员会发改价格[2011]534号文件收费标准（货物类）下浮35%收取。</w:t>
            </w:r>
          </w:p>
          <w:p>
            <w:pPr>
              <w:shd w:val="clear" w:color="auto" w:fill="FFFFFF"/>
              <w:ind w:firstLine="420" w:firstLineChars="200"/>
              <w:jc w:val="left"/>
              <w:rPr>
                <w:rFonts w:ascii="宋体" w:hAnsi="宋体" w:cs="宋体"/>
                <w:color w:val="auto"/>
                <w:kern w:val="0"/>
                <w:szCs w:val="21"/>
                <w:highlight w:val="none"/>
              </w:rPr>
            </w:pPr>
            <w:r>
              <w:rPr>
                <w:rFonts w:hint="eastAsia" w:ascii="宋体" w:hAnsi="宋体" w:cs="Arial"/>
                <w:color w:val="auto"/>
                <w:kern w:val="0"/>
                <w:szCs w:val="21"/>
                <w:highlight w:val="none"/>
              </w:rPr>
              <w:t>采购代理服务费从投标保证金中直接扣除。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1087"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41.3</w:t>
            </w:r>
          </w:p>
        </w:tc>
        <w:tc>
          <w:tcPr>
            <w:tcW w:w="1985" w:type="dxa"/>
            <w:vAlign w:val="center"/>
          </w:tcPr>
          <w:p>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质疑</w:t>
            </w:r>
          </w:p>
        </w:tc>
        <w:tc>
          <w:tcPr>
            <w:tcW w:w="6441" w:type="dxa"/>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一、供应商认为自己的权益受到损害的，可以在知道或者应知其权益受到损害之日起七个工作日内，向采购代理机构提出质疑。</w:t>
            </w:r>
          </w:p>
          <w:p>
            <w:pPr>
              <w:widowControl/>
              <w:numPr>
                <w:ilvl w:val="0"/>
                <w:numId w:val="2"/>
              </w:numPr>
              <w:snapToGrid w:val="0"/>
              <w:rPr>
                <w:rFonts w:ascii="宋体" w:hAnsi="宋体" w:cs="宋体"/>
                <w:color w:val="auto"/>
                <w:szCs w:val="21"/>
                <w:highlight w:val="none"/>
              </w:rPr>
            </w:pPr>
            <w:r>
              <w:rPr>
                <w:rFonts w:hint="eastAsia" w:ascii="宋体" w:hAnsi="宋体" w:cs="宋体"/>
                <w:color w:val="auto"/>
                <w:szCs w:val="21"/>
                <w:highlight w:val="none"/>
              </w:rPr>
              <w:t>接收质疑函的方式：接收加盖单位公章的书面纸质疑函</w:t>
            </w:r>
          </w:p>
          <w:p>
            <w:pPr>
              <w:widowControl/>
              <w:snapToGrid w:val="0"/>
              <w:ind w:left="360"/>
              <w:rPr>
                <w:rFonts w:ascii="宋体" w:hAnsi="宋体" w:cs="宋体"/>
                <w:color w:val="auto"/>
                <w:szCs w:val="21"/>
                <w:highlight w:val="none"/>
              </w:rPr>
            </w:pPr>
            <w:r>
              <w:rPr>
                <w:rFonts w:hint="eastAsia" w:ascii="宋体" w:hAnsi="宋体" w:cs="宋体"/>
                <w:color w:val="auto"/>
                <w:szCs w:val="21"/>
                <w:highlight w:val="none"/>
              </w:rPr>
              <w:t>联系单位：辽宁轩宇工程管理有限公司</w:t>
            </w:r>
          </w:p>
          <w:p>
            <w:pPr>
              <w:widowControl/>
              <w:snapToGrid w:val="0"/>
              <w:ind w:left="360"/>
              <w:rPr>
                <w:rFonts w:hint="eastAsia" w:ascii="宋体" w:hAnsi="宋体" w:cs="宋体"/>
                <w:color w:val="auto"/>
                <w:szCs w:val="21"/>
                <w:highlight w:val="none"/>
              </w:rPr>
            </w:pPr>
            <w:r>
              <w:rPr>
                <w:rFonts w:ascii="宋体" w:hAnsi="宋体" w:cs="宋体"/>
                <w:color w:val="auto"/>
                <w:szCs w:val="21"/>
                <w:highlight w:val="none"/>
              </w:rPr>
              <w:t>联 系 人：</w:t>
            </w:r>
            <w:r>
              <w:rPr>
                <w:rFonts w:hint="eastAsia" w:ascii="宋体" w:hAnsi="宋体" w:cs="宋体"/>
                <w:color w:val="auto"/>
                <w:szCs w:val="21"/>
                <w:highlight w:val="none"/>
              </w:rPr>
              <w:t>石增良、张冬妮</w:t>
            </w:r>
          </w:p>
          <w:p>
            <w:pPr>
              <w:widowControl/>
              <w:snapToGrid w:val="0"/>
              <w:ind w:left="360"/>
              <w:rPr>
                <w:rFonts w:ascii="宋体" w:hAnsi="宋体" w:cs="宋体"/>
                <w:color w:val="auto"/>
                <w:szCs w:val="21"/>
                <w:highlight w:val="none"/>
              </w:rPr>
            </w:pPr>
            <w:r>
              <w:rPr>
                <w:rFonts w:hint="eastAsia" w:ascii="宋体" w:hAnsi="宋体" w:cs="宋体"/>
                <w:color w:val="auto"/>
                <w:szCs w:val="21"/>
                <w:highlight w:val="none"/>
              </w:rPr>
              <w:t>联系电话：024-31918388-313</w:t>
            </w:r>
          </w:p>
          <w:p>
            <w:pPr>
              <w:widowControl/>
              <w:snapToGrid w:val="0"/>
              <w:ind w:left="360"/>
              <w:rPr>
                <w:rFonts w:ascii="宋体" w:hAnsi="宋体" w:cs="宋体"/>
                <w:color w:val="auto"/>
                <w:szCs w:val="21"/>
                <w:highlight w:val="none"/>
              </w:rPr>
            </w:pPr>
            <w:r>
              <w:rPr>
                <w:rFonts w:hint="eastAsia" w:ascii="宋体" w:hAnsi="宋体" w:cs="宋体"/>
                <w:color w:val="auto"/>
                <w:szCs w:val="21"/>
                <w:highlight w:val="none"/>
              </w:rPr>
              <w:t>通讯地址：沈阳市皇姑区黄河南大街56号中建峰汇广场A-801</w:t>
            </w:r>
          </w:p>
          <w:p>
            <w:pPr>
              <w:widowControl/>
              <w:numPr>
                <w:ilvl w:val="0"/>
                <w:numId w:val="2"/>
              </w:numPr>
              <w:snapToGrid w:val="0"/>
              <w:rPr>
                <w:rFonts w:ascii="宋体" w:hAnsi="宋体" w:cs="宋体"/>
                <w:color w:val="auto"/>
                <w:szCs w:val="21"/>
                <w:highlight w:val="none"/>
              </w:rPr>
            </w:pPr>
            <w:r>
              <w:rPr>
                <w:rFonts w:hint="eastAsia" w:ascii="宋体" w:hAnsi="宋体" w:cs="宋体"/>
                <w:color w:val="auto"/>
                <w:szCs w:val="21"/>
                <w:highlight w:val="none"/>
              </w:rPr>
              <w:t>质疑函的内容、格式，应符合《政府采购质疑和投诉办法》（财政部令第94号）相关规定。</w:t>
            </w:r>
          </w:p>
          <w:p>
            <w:pPr>
              <w:pStyle w:val="6"/>
              <w:rPr>
                <w:rFonts w:ascii="宋体" w:hAnsi="宋体" w:cs="宋体"/>
                <w:color w:val="auto"/>
                <w:kern w:val="0"/>
                <w:szCs w:val="21"/>
                <w:highlight w:val="none"/>
              </w:rPr>
            </w:pPr>
            <w:r>
              <w:rPr>
                <w:rFonts w:hint="eastAsia" w:ascii="宋体" w:hAnsi="宋体" w:cs="宋体"/>
                <w:color w:val="auto"/>
                <w:szCs w:val="21"/>
                <w:highlight w:val="none"/>
              </w:rPr>
              <w:t>二、供应商应在法定质疑期内</w:t>
            </w:r>
            <w:r>
              <w:rPr>
                <w:rFonts w:hint="eastAsia" w:ascii="宋体" w:hAnsi="宋体" w:cs="宋体"/>
                <w:b/>
                <w:color w:val="auto"/>
                <w:szCs w:val="21"/>
                <w:highlight w:val="none"/>
              </w:rPr>
              <w:t>一次性</w:t>
            </w:r>
            <w:r>
              <w:rPr>
                <w:rFonts w:hint="eastAsia" w:ascii="宋体" w:hAnsi="宋体" w:cs="宋体"/>
                <w:color w:val="auto"/>
                <w:szCs w:val="21"/>
                <w:highlight w:val="none"/>
              </w:rPr>
              <w:t>针对同一采购程序环节提出质疑，否则针对再次提出质疑将不予接收。（采购程序环节分为：磋商公告、采购文件、采购过程、成交结果）</w:t>
            </w:r>
          </w:p>
        </w:tc>
      </w:tr>
    </w:tbl>
    <w:p>
      <w:pPr>
        <w:rPr>
          <w:rFonts w:ascii="宋体" w:hAnsi="宋体" w:cs="宋体"/>
          <w:color w:val="auto"/>
          <w:highlight w:val="none"/>
        </w:rPr>
      </w:pPr>
      <w:r>
        <w:rPr>
          <w:rFonts w:hint="eastAsia" w:ascii="宋体" w:hAnsi="宋体" w:cs="宋体"/>
          <w:color w:val="auto"/>
          <w:highlight w:val="none"/>
        </w:rPr>
        <w:t>注：表格中“</w:t>
      </w:r>
      <w:r>
        <w:rPr>
          <w:rFonts w:hint="eastAsia" w:ascii="宋体" w:hAnsi="宋体" w:cs="宋体"/>
          <w:color w:val="auto"/>
          <w:highlight w:val="none"/>
        </w:rPr>
        <w:sym w:font="Wingdings 2" w:char="0052"/>
      </w:r>
      <w:r>
        <w:rPr>
          <w:rFonts w:hint="eastAsia" w:ascii="宋体" w:hAnsi="宋体" w:cs="宋体"/>
          <w:color w:val="auto"/>
          <w:highlight w:val="none"/>
        </w:rPr>
        <w:t>”项或“■”项为被选中项。</w:t>
      </w:r>
    </w:p>
    <w:p>
      <w:pPr>
        <w:pStyle w:val="4"/>
        <w:adjustRightInd w:val="0"/>
        <w:snapToGrid w:val="0"/>
        <w:spacing w:before="0" w:after="0" w:line="360" w:lineRule="auto"/>
        <w:jc w:val="center"/>
        <w:rPr>
          <w:rFonts w:ascii="宋体" w:hAnsi="宋体" w:eastAsia="宋体" w:cs="宋体"/>
          <w:color w:val="auto"/>
          <w:sz w:val="30"/>
          <w:szCs w:val="30"/>
          <w:highlight w:val="none"/>
        </w:rPr>
      </w:pPr>
      <w:r>
        <w:rPr>
          <w:rFonts w:hint="eastAsia" w:ascii="宋体" w:hAnsi="宋体" w:eastAsia="宋体" w:cs="宋体"/>
          <w:color w:val="auto"/>
          <w:sz w:val="21"/>
          <w:szCs w:val="21"/>
          <w:highlight w:val="none"/>
        </w:rPr>
        <w:br w:type="page"/>
      </w:r>
      <w:bookmarkStart w:id="34" w:name="_Toc533340140"/>
      <w:bookmarkStart w:id="35" w:name="_Toc4485619"/>
      <w:r>
        <w:rPr>
          <w:rFonts w:hint="eastAsia" w:ascii="宋体" w:hAnsi="宋体" w:eastAsia="宋体" w:cs="宋体"/>
          <w:color w:val="auto"/>
          <w:sz w:val="30"/>
          <w:szCs w:val="30"/>
          <w:highlight w:val="none"/>
        </w:rPr>
        <w:t>二 总则</w:t>
      </w:r>
      <w:bookmarkEnd w:id="34"/>
      <w:bookmarkEnd w:id="35"/>
    </w:p>
    <w:p>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1.采购人、采购代理机构及供应商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1.1采购人：是指依法进行政府采购的国家机关、事业单位、团体组织。本项目采购人见供应商须知表1.1条。</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1.2采购代理机构：是指集中采购机构或从事采购代理业务的社会中介机构，本项目的采购代理机构见供应商须知表1.2条。</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★1.3供应商：是指向采购人提供货物、工程或者服务的法人、非法人组织或者自然人。本项目的供应商及其响应货物须满足以下条件：</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1.3.1在中华人民共和国境内注册，能够独立承担民事责任，有生产或供应能力的本国供应商。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1.3.3以采购代理机构认可的方式获得了本项目的采购文件。</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1.3.4符合供应商须知表1.3.4条中规定的其他要求。</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1.3.5若供应商须知表1.3.5条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磋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若供应商须知表1.3.5条中未写明允许采购进口产品，如供应商响应产品为进口产品，其响应文件将被认定为无效响应。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1.3.6若供应商须知表1.3.6条中写明专门面向中小企业采购的，如供应商所响应产品为非中小企业产品，其响应文件将被认定为无效响应。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1.3.7若供应商须知表1.3.7条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将被认定为无效响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★1.4如供应商须知表1.4条中允许联合体参加采购活动的，对联合体规定如下：</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1.4.1两个以上供应商可以组成一个联合体，以一个供应商的身份参加采购活动。</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1.4.2联合体各方均应符合《中华人民共和国政府采购法》第二十二条规定的条件。</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1.4.3采购人根据采购项目对供应商的特殊要求，联合体中至少应当有一方符合相关规定。</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1.4.4联合体各方应签订共同参加采购活动协议，明确约定联合体各方承担的工作和相应的责任。</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1.4.6联合体中有同类资质的供应商按照联合体分工承担相同工作的，按照较低的资质等级确定联合体的资质等级。</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1.4.7以联合体形式参加政府采购活动的，联合体各方不得再单独参加或者与其他供应商另外组成联合体参加本项目采购活动，否则相关响应文件将被认定为无效响应。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（1）两个以上的自然人、法人或者其他组织可以组成一个联合体，以一个供应商的身份共同参加政府采购活动。</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（2）联合体成交的，联合体各方应共同与采购人签订采购合同，就采购合同约定的事项对采购人承担连带责任。</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1.4.8对联合体参加采购活动的其他资格要求见供应商须知表1.4.8条。</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★1.5单位负责人为同一人或者存在直接控股、管理关系的不同供应商，其相关响应将被认定为无效响应。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★1.6为本项目提供过整体设计、规范编制或者项目管理、监理、检测等服务的供应商，不得再参加本项目上述服务以外的其他采购活动，否则其响应文件将被认定为无效响应。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★1.7供应商在磋商过程中不得向采购人提供、给予任何有价值的物品，影响其正常决策行为。一经发现，其将被认定为无效响应。</w:t>
      </w:r>
    </w:p>
    <w:p>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2.资金来源</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★2.2项目预算金额和分项或分包最高限价见供应商须知表2.2条。</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★2.3供应商报价超过采购文件规定的预算金额或者分项、分包最高限价的，其响应文件将被认定为无效响应。</w:t>
      </w:r>
    </w:p>
    <w:p>
      <w:pPr>
        <w:adjustRightInd w:val="0"/>
        <w:snapToGrid w:val="0"/>
        <w:spacing w:line="360" w:lineRule="auto"/>
        <w:rPr>
          <w:rFonts w:ascii="宋体" w:hAnsi="宋体" w:cs="宋体"/>
          <w:b/>
          <w:color w:val="auto"/>
          <w:szCs w:val="21"/>
          <w:highlight w:val="none"/>
        </w:rPr>
      </w:pPr>
      <w:bookmarkStart w:id="36" w:name="_Toc266951048"/>
      <w:r>
        <w:rPr>
          <w:rFonts w:hint="eastAsia" w:ascii="宋体" w:hAnsi="宋体" w:cs="宋体"/>
          <w:b/>
          <w:color w:val="auto"/>
          <w:szCs w:val="21"/>
          <w:highlight w:val="none"/>
        </w:rPr>
        <w:t>3.语言文字</w:t>
      </w:r>
      <w:bookmarkEnd w:id="36"/>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ascii="宋体" w:hAnsi="宋体" w:cs="宋体"/>
          <w:b/>
          <w:color w:val="auto"/>
          <w:szCs w:val="21"/>
          <w:highlight w:val="none"/>
        </w:rPr>
      </w:pPr>
      <w:bookmarkStart w:id="37" w:name="_1.8_计量单位"/>
      <w:bookmarkEnd w:id="37"/>
      <w:bookmarkStart w:id="38" w:name="_Toc266951049"/>
      <w:r>
        <w:rPr>
          <w:rFonts w:hint="eastAsia" w:ascii="宋体" w:hAnsi="宋体" w:cs="宋体"/>
          <w:b/>
          <w:color w:val="auto"/>
          <w:szCs w:val="21"/>
          <w:highlight w:val="none"/>
        </w:rPr>
        <w:t>★4.计量单位</w:t>
      </w:r>
      <w:bookmarkEnd w:id="38"/>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除供应商须知表4条中有特殊要求外，响应文件中所使用的计量单位，应采用中华人民共和国法定计量单位。</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★5.磋商费用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不论磋商的结果如何，供应商应承担所有与本次政府采购活动有关的费用。</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★6.现场考察、磋商前答疑会</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6.1</w:t>
      </w:r>
      <w:r>
        <w:rPr>
          <w:color w:val="auto"/>
          <w:highlight w:val="none"/>
        </w:rPr>
        <w:fldChar w:fldCharType="begin"/>
      </w:r>
      <w:r>
        <w:rPr>
          <w:color w:val="auto"/>
          <w:highlight w:val="none"/>
        </w:rPr>
        <w:instrText xml:space="preserve"> HYPERLINK \l "_踏勘现场" </w:instrText>
      </w:r>
      <w:r>
        <w:rPr>
          <w:color w:val="auto"/>
          <w:highlight w:val="none"/>
        </w:rPr>
        <w:fldChar w:fldCharType="separate"/>
      </w:r>
      <w:r>
        <w:rPr>
          <w:rFonts w:hint="eastAsia" w:ascii="宋体" w:hAnsi="宋体" w:cs="宋体"/>
          <w:color w:val="auto"/>
          <w:szCs w:val="21"/>
          <w:highlight w:val="none"/>
        </w:rPr>
        <w:t>供应商须知表</w:t>
      </w:r>
      <w:r>
        <w:rPr>
          <w:rFonts w:hint="eastAsia" w:ascii="宋体" w:hAnsi="宋体" w:cs="宋体"/>
          <w:color w:val="auto"/>
          <w:szCs w:val="21"/>
          <w:highlight w:val="none"/>
        </w:rPr>
        <w:fldChar w:fldCharType="end"/>
      </w:r>
      <w:r>
        <w:rPr>
          <w:rFonts w:hint="eastAsia" w:ascii="宋体" w:hAnsi="宋体" w:cs="宋体"/>
          <w:color w:val="auto"/>
          <w:szCs w:val="21"/>
          <w:highlight w:val="none"/>
        </w:rPr>
        <w:t>6.1条规定组织现场考察或磋商前答疑会的，采购人按</w:t>
      </w:r>
      <w:r>
        <w:rPr>
          <w:color w:val="auto"/>
          <w:highlight w:val="none"/>
        </w:rPr>
        <w:fldChar w:fldCharType="begin"/>
      </w:r>
      <w:r>
        <w:rPr>
          <w:color w:val="auto"/>
          <w:highlight w:val="none"/>
        </w:rPr>
        <w:instrText xml:space="preserve"> HYPERLINK \l "_踏勘现场" </w:instrText>
      </w:r>
      <w:r>
        <w:rPr>
          <w:color w:val="auto"/>
          <w:highlight w:val="none"/>
        </w:rPr>
        <w:fldChar w:fldCharType="separate"/>
      </w:r>
      <w:r>
        <w:rPr>
          <w:rFonts w:hint="eastAsia" w:ascii="宋体" w:hAnsi="宋体" w:cs="宋体"/>
          <w:color w:val="auto"/>
          <w:szCs w:val="21"/>
          <w:highlight w:val="none"/>
        </w:rPr>
        <w:t>供应商须知表</w:t>
      </w:r>
      <w:r>
        <w:rPr>
          <w:rFonts w:hint="eastAsia" w:ascii="宋体" w:hAnsi="宋体" w:cs="宋体"/>
          <w:color w:val="auto"/>
          <w:szCs w:val="21"/>
          <w:highlight w:val="none"/>
        </w:rPr>
        <w:fldChar w:fldCharType="end"/>
      </w:r>
      <w:r>
        <w:rPr>
          <w:rFonts w:hint="eastAsia" w:ascii="宋体" w:hAnsi="宋体" w:cs="宋体"/>
          <w:color w:val="auto"/>
          <w:szCs w:val="21"/>
          <w:highlight w:val="none"/>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ascii="宋体" w:hAnsi="宋体" w:cs="宋体"/>
          <w:color w:val="auto"/>
          <w:szCs w:val="21"/>
          <w:highlight w:val="none"/>
        </w:rPr>
      </w:pPr>
      <w:bookmarkStart w:id="39" w:name="_1.10_投标预备会"/>
      <w:bookmarkEnd w:id="39"/>
      <w:r>
        <w:rPr>
          <w:rFonts w:hint="eastAsia" w:ascii="宋体" w:hAnsi="宋体" w:cs="宋体"/>
          <w:color w:val="auto"/>
          <w:szCs w:val="21"/>
          <w:highlight w:val="none"/>
        </w:rPr>
        <w:t>6.2由于未参加现场考察或磋商前答疑而导致对项目实际情况不了解，影响技术文件编制、</w:t>
      </w:r>
      <w:r>
        <w:rPr>
          <w:color w:val="auto"/>
          <w:highlight w:val="none"/>
        </w:rPr>
        <w:fldChar w:fldCharType="begin"/>
      </w:r>
      <w:r>
        <w:rPr>
          <w:color w:val="auto"/>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highlight w:val="none"/>
        </w:rPr>
        <w:fldChar w:fldCharType="separate"/>
      </w:r>
      <w:r>
        <w:rPr>
          <w:rFonts w:hint="eastAsia" w:ascii="宋体" w:hAnsi="宋体" w:cs="宋体"/>
          <w:color w:val="auto"/>
          <w:szCs w:val="21"/>
          <w:highlight w:val="none"/>
        </w:rPr>
        <w:t>响应报价</w:t>
      </w:r>
      <w:r>
        <w:rPr>
          <w:rFonts w:hint="eastAsia" w:ascii="宋体" w:hAnsi="宋体" w:cs="宋体"/>
          <w:color w:val="auto"/>
          <w:szCs w:val="21"/>
          <w:highlight w:val="none"/>
        </w:rPr>
        <w:fldChar w:fldCharType="end"/>
      </w:r>
      <w:r>
        <w:rPr>
          <w:rFonts w:hint="eastAsia" w:ascii="宋体" w:hAnsi="宋体" w:cs="宋体"/>
          <w:color w:val="auto"/>
          <w:szCs w:val="21"/>
          <w:highlight w:val="none"/>
        </w:rPr>
        <w:t>准确性、综合因素响应不全面等问题的，由供应商自行承担相应后果。</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6.3现场考察及磋商前答疑会所发生的费用及一切责任由供应商自行承担。</w:t>
      </w:r>
    </w:p>
    <w:p>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7.适用法律</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4"/>
        <w:adjustRightInd w:val="0"/>
        <w:snapToGrid w:val="0"/>
        <w:spacing w:before="312" w:beforeLines="100" w:after="156" w:afterLines="50" w:line="360" w:lineRule="auto"/>
        <w:jc w:val="center"/>
        <w:rPr>
          <w:rFonts w:ascii="宋体" w:hAnsi="宋体" w:eastAsia="宋体" w:cs="宋体"/>
          <w:color w:val="auto"/>
          <w:sz w:val="21"/>
          <w:szCs w:val="21"/>
          <w:highlight w:val="none"/>
        </w:rPr>
      </w:pPr>
      <w:bookmarkStart w:id="40" w:name="_Toc533340141"/>
      <w:bookmarkStart w:id="41" w:name="_Toc4485620"/>
      <w:r>
        <w:rPr>
          <w:rFonts w:hint="eastAsia" w:ascii="宋体" w:hAnsi="宋体" w:eastAsia="宋体" w:cs="宋体"/>
          <w:color w:val="auto"/>
          <w:sz w:val="21"/>
          <w:szCs w:val="21"/>
          <w:highlight w:val="none"/>
        </w:rPr>
        <w:t xml:space="preserve">三 </w:t>
      </w:r>
      <w:bookmarkEnd w:id="40"/>
      <w:bookmarkEnd w:id="41"/>
      <w:r>
        <w:rPr>
          <w:rFonts w:hint="eastAsia" w:ascii="宋体" w:hAnsi="宋体" w:eastAsia="宋体" w:cs="宋体"/>
          <w:color w:val="auto"/>
          <w:sz w:val="21"/>
          <w:szCs w:val="21"/>
          <w:highlight w:val="none"/>
        </w:rPr>
        <w:t>采购文件</w:t>
      </w:r>
    </w:p>
    <w:p>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8.采购文件构成</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8.1采购文件共六章，内容如下:</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竞争性磋商公告</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供应商须知</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第二章 响应文件内容及格式</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货物需求</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磋商内容、磋商过程中可能实质性变动的内容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评审办法</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政府采购合同条款及格式</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★8.2供应商应认真阅读采购文件所有的事项、格式、条款等。如供应商没有按照采购文件要求提交资料，或者响应文件没有对采购文件做出实质性响应，可能导致其响应文件被认定为无效响应。</w:t>
      </w:r>
    </w:p>
    <w:p>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9.采购文件的澄清与修改</w:t>
      </w:r>
    </w:p>
    <w:p>
      <w:pPr>
        <w:adjustRightInd w:val="0"/>
        <w:snapToGrid w:val="0"/>
        <w:spacing w:line="360" w:lineRule="auto"/>
        <w:rPr>
          <w:rFonts w:ascii="宋体" w:hAnsi="宋体" w:cs="宋体"/>
          <w:color w:val="auto"/>
          <w:szCs w:val="21"/>
          <w:highlight w:val="none"/>
          <w:shd w:val="clear" w:color="auto" w:fill="FFFFFF"/>
        </w:rPr>
      </w:pPr>
      <w:r>
        <w:rPr>
          <w:rFonts w:hint="eastAsia" w:ascii="宋体" w:hAnsi="宋体" w:cs="宋体"/>
          <w:color w:val="auto"/>
          <w:szCs w:val="21"/>
          <w:highlight w:val="none"/>
        </w:rPr>
        <w:t>9.1</w:t>
      </w:r>
      <w:r>
        <w:rPr>
          <w:rFonts w:hint="eastAsia" w:ascii="宋体" w:hAnsi="宋体" w:cs="宋体"/>
          <w:color w:val="auto"/>
          <w:szCs w:val="21"/>
          <w:highlight w:val="none"/>
          <w:shd w:val="clear" w:color="auto" w:fill="FFFFFF"/>
        </w:rPr>
        <w:t>采购人、采购代理机构可以对已发出的采购文件进行必要的澄清或者修改。澄清或者修改的内容可能影响响应文件编制的，应当在递交首次响应文件截止时间至少5日前，</w:t>
      </w:r>
      <w:r>
        <w:rPr>
          <w:rFonts w:hint="eastAsia" w:ascii="宋体" w:hAnsi="宋体" w:cs="宋体"/>
          <w:color w:val="auto"/>
          <w:szCs w:val="21"/>
          <w:highlight w:val="none"/>
        </w:rPr>
        <w:t>在原公告发布媒体上发布变更公告</w:t>
      </w:r>
      <w:r>
        <w:rPr>
          <w:rFonts w:hint="eastAsia" w:ascii="宋体" w:hAnsi="宋体" w:cs="宋体"/>
          <w:color w:val="auto"/>
          <w:szCs w:val="21"/>
          <w:highlight w:val="none"/>
          <w:shd w:val="clear" w:color="auto" w:fill="FFFFFF"/>
        </w:rPr>
        <w:t>，以书面形式通知所有接收采购文件的供应商，不足5日的，应当顺延首次递交响应文件截止时间。</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9.2澄清或者修改的内容为采购文件的组成部分，对所有采购文件的收受人具有约束力。供应商在收到上述通知后，应及时向采购代理机构回函确认。</w:t>
      </w:r>
    </w:p>
    <w:p>
      <w:pPr>
        <w:pStyle w:val="4"/>
        <w:adjustRightInd w:val="0"/>
        <w:snapToGrid w:val="0"/>
        <w:spacing w:before="312" w:beforeLines="100" w:after="156" w:afterLines="50" w:line="360" w:lineRule="auto"/>
        <w:jc w:val="center"/>
        <w:rPr>
          <w:rFonts w:ascii="宋体" w:hAnsi="宋体" w:eastAsia="宋体" w:cs="宋体"/>
          <w:color w:val="auto"/>
          <w:sz w:val="21"/>
          <w:szCs w:val="21"/>
          <w:highlight w:val="none"/>
        </w:rPr>
      </w:pPr>
      <w:bookmarkStart w:id="42" w:name="_Toc533340142"/>
      <w:bookmarkStart w:id="43" w:name="_Toc4485621"/>
      <w:r>
        <w:rPr>
          <w:rFonts w:hint="eastAsia" w:ascii="宋体" w:hAnsi="宋体" w:eastAsia="宋体" w:cs="宋体"/>
          <w:color w:val="auto"/>
          <w:sz w:val="21"/>
          <w:szCs w:val="21"/>
          <w:highlight w:val="none"/>
        </w:rPr>
        <w:t>四 响应文件的编制</w:t>
      </w:r>
      <w:bookmarkEnd w:id="42"/>
      <w:bookmarkEnd w:id="43"/>
    </w:p>
    <w:p>
      <w:pPr>
        <w:adjustRightInd w:val="0"/>
        <w:snapToGrid w:val="0"/>
        <w:spacing w:line="360" w:lineRule="auto"/>
        <w:rPr>
          <w:rFonts w:ascii="宋体" w:hAnsi="宋体" w:cs="宋体"/>
          <w:b/>
          <w:color w:val="auto"/>
          <w:szCs w:val="21"/>
          <w:highlight w:val="none"/>
        </w:rPr>
      </w:pPr>
      <w:r>
        <w:rPr>
          <w:rFonts w:hint="eastAsia" w:ascii="宋体" w:hAnsi="宋体" w:cs="宋体"/>
          <w:b/>
          <w:bCs/>
          <w:color w:val="auto"/>
          <w:szCs w:val="21"/>
          <w:highlight w:val="none"/>
        </w:rPr>
        <w:t>10.</w:t>
      </w:r>
      <w:r>
        <w:rPr>
          <w:rFonts w:hint="eastAsia" w:ascii="宋体" w:hAnsi="宋体" w:cs="宋体"/>
          <w:b/>
          <w:color w:val="auto"/>
          <w:szCs w:val="21"/>
          <w:highlight w:val="none"/>
        </w:rPr>
        <w:t>响应范围</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10.1项目有分包的，供应商可对采购文件其中某一个分包或几个分包进行响应。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★10.2供应商应当对所响应分包采购文件中“货物需求”所列的所有货物内容进行响应，如仅响应分包中某一部分内容，其该包响应文件将被认定为无效响应。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10.3如一个分包内包含多种产品的，采购人或采购代理机构将在供应商须知表10.3条中载明核心产品（非单一产品采购时，只能设一个核心产品），多家供应商提供的核心产品品牌相同的，按照第五章“评审办法”第4条“同一品牌产品”规定处理。</w:t>
      </w:r>
    </w:p>
    <w:p>
      <w:pPr>
        <w:adjustRightInd w:val="0"/>
        <w:snapToGrid w:val="0"/>
        <w:spacing w:line="360" w:lineRule="auto"/>
        <w:rPr>
          <w:rStyle w:val="23"/>
          <w:rFonts w:ascii="宋体" w:hAnsi="宋体" w:cs="宋体"/>
          <w:color w:val="auto"/>
          <w:highlight w:val="none"/>
        </w:rPr>
      </w:pPr>
      <w:r>
        <w:rPr>
          <w:rFonts w:hint="eastAsia" w:ascii="宋体" w:hAnsi="宋体" w:cs="宋体"/>
          <w:color w:val="auto"/>
          <w:szCs w:val="21"/>
          <w:highlight w:val="none"/>
        </w:rPr>
        <w:t>10.4无论采购文件第三章 货物需求中是否要求，供应商所响应货物均应符合国家强制性标准。</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11.响应文件构成</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11.2供应商应按采购文件提供的格式编写响应文件。采购文件提供标准格式的按标准格式填列，未提供标准格式的可自行拟定。</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11.3样品或演示要求详见供应商须知表11.3条。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★12.响应报价</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12.1所有响应均按供应商须知表12.1条中要求货币进行报价。供应商的响应报价应遵守《中华人民共和国价格法》。同时，根据《中华人民共和国政府采购法》第三条的规定，为保证公平竞争，如有货物主体部分的赠与行为，其响应文件将被认定为无效响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12.2报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12.3供应商应按采购文件要求在相关表格中标明响应货物及伴随服务的单价和总价，并由法定代表人（非法人组织的负责人）或其委托代理人签署。</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12.4供应商提交的最后报价,在合同履行过程中是固定不变的，不得以任何理由予以变更。任何包含价格调整要求的响应，其响应文件将被认定为无效响应。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12.5每种货物只能有一个响应报价。采购人不接受具有附加条件的报价。</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12.6除非采购文件另有规定，报价原则上精确到小数点后两位。</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★13.磋商保证金</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13.1供应商应提交供应商须知表13.1条中规定的磋商保证金，并作为其响应文件的一部分。</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13.3供应商存在下列情形的，磋商保证金不予退还:</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（3）成交后除因不可抗力或者采购文件认可的情形以外，不按本须知第36条的规定与采购人签订合同的；</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（4）成交后不按本须知第37条的规定提交履约保证金的;</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（5）成交后不按本须知第38条的规定缴纳采购代理服务费的;</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（6）采购文件规定的其他保证金不予退还情形或存在其他违法违规行为的。</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13.5磋商保证金的退还</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13.5.1成交供应商应在与采购人签订合同之日起5个工作日内，及时联系保证金收受机构办理磋商保证金退还手续。</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13.5.4 政府采购担保函不予退回。</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13.6 因供应商自身原因导致无法及时退还的，采购人或采购代理机构将不承担相应责任。</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★14.证明响应标的的合格性和符合采购文件规定的技术文件</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14.1供应商应提交证明文件，证明其响应内容符合采购文件规定。该证明文件是响应文件的一部分。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14.2上款所述的证明文件，可以是文字资料、图纸和数据，它包括：</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（1）货物主要技术指标和性能的详细说明；</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（2）货物从采购人开始使用至采购文件规定的保质期内正常、连续地使用所必须的备件和专用工具清单，包括备件和专用工具的货源及现行价格;</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（3）对照采购文件技术规格，逐条说明所提供货物及伴随的工程和服务已对采购文件的技术规格做出了实质性的响应，或申明与技术规格条文的偏差和例外。</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★15.响应有效期</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15.1响应应在供应商须知表15.1条中规定的响应有效期内保持有效。响应有效期不满足要求的响应，其响应文件将被认定为无效响应。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ascii="宋体" w:hAnsi="宋体" w:cs="宋体"/>
          <w:b/>
          <w:color w:val="auto"/>
          <w:szCs w:val="21"/>
          <w:highlight w:val="none"/>
        </w:rPr>
      </w:pPr>
      <w:bookmarkStart w:id="44" w:name="_Toc533340143"/>
      <w:bookmarkStart w:id="45" w:name="_Toc4485622"/>
      <w:r>
        <w:rPr>
          <w:rFonts w:hint="eastAsia" w:ascii="宋体" w:hAnsi="宋体" w:cs="宋体"/>
          <w:b/>
          <w:color w:val="auto"/>
          <w:szCs w:val="21"/>
          <w:highlight w:val="none"/>
        </w:rPr>
        <w:t>16.响应文件的签署及规定</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16.1供应商应按供应商须知表16.1款中的规定，准备和递交响应文件正本、副本和电子文档。</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★16.2每份响应文件封皮须清楚地标明“正本”或“副本”。若正本和副本不符，以正本为准。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4"/>
        <w:adjustRightInd w:val="0"/>
        <w:snapToGrid w:val="0"/>
        <w:spacing w:before="312" w:beforeLines="100" w:after="156" w:afterLines="5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 响应文件的递交</w:t>
      </w:r>
      <w:bookmarkEnd w:id="44"/>
      <w:bookmarkEnd w:id="45"/>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★17.响应文件的密封和标记</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17.1供应商应将响应文件密封，将正本和所有的副本、电子文档密封，并进行包封。</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17.2所有包装封皮上均应：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（1）注明项目名称、项目编号、供应商名称。</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（2）在封口处加盖供应商单位公章。</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17.3如果供应商未按上述要求密封，其响应文件将被</w:t>
      </w:r>
      <w:r>
        <w:rPr>
          <w:rFonts w:hint="eastAsia" w:ascii="宋体" w:hAnsi="宋体" w:cs="宋体"/>
          <w:b/>
          <w:color w:val="auto"/>
          <w:szCs w:val="21"/>
          <w:highlight w:val="none"/>
        </w:rPr>
        <w:t>拒绝接收</w:t>
      </w:r>
      <w:r>
        <w:rPr>
          <w:rFonts w:hint="eastAsia" w:ascii="宋体" w:hAnsi="宋体" w:cs="宋体"/>
          <w:color w:val="auto"/>
          <w:szCs w:val="21"/>
          <w:highlight w:val="none"/>
        </w:rPr>
        <w:t>。</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★18.递交响应文件截止</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18.1供应商应在供应商须知表18.1条中规定的截止时间前，将响应文件递交到供应商须知表18.1条中规定的地点。</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★19.响应文件的接收、修改与撤回</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19.1在递交响应文件截止时间后送达的响应文件,采购人和采购代理机构将</w:t>
      </w:r>
      <w:r>
        <w:rPr>
          <w:rFonts w:hint="eastAsia" w:ascii="宋体" w:hAnsi="宋体" w:cs="宋体"/>
          <w:b/>
          <w:color w:val="auto"/>
          <w:szCs w:val="21"/>
          <w:highlight w:val="none"/>
        </w:rPr>
        <w:t>拒绝接收。</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19.3在提交响应文件截止时间之后，除需提交最后报价外，供应商不得对其响应文件做任何修改；</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19.4采购人和采购代理机构对所接收并进行磋商的响应文件概不退回。</w:t>
      </w:r>
    </w:p>
    <w:p>
      <w:pPr>
        <w:pStyle w:val="4"/>
        <w:adjustRightInd w:val="0"/>
        <w:snapToGrid w:val="0"/>
        <w:spacing w:before="312" w:beforeLines="100" w:after="0" w:line="360" w:lineRule="auto"/>
        <w:jc w:val="center"/>
        <w:rPr>
          <w:rFonts w:ascii="宋体" w:hAnsi="宋体" w:eastAsia="宋体" w:cs="宋体"/>
          <w:color w:val="auto"/>
          <w:sz w:val="21"/>
          <w:szCs w:val="21"/>
          <w:highlight w:val="none"/>
        </w:rPr>
      </w:pPr>
      <w:bookmarkStart w:id="46" w:name="_Toc533340144"/>
      <w:bookmarkStart w:id="47" w:name="_Toc4485623"/>
      <w:r>
        <w:rPr>
          <w:rFonts w:hint="eastAsia" w:ascii="宋体" w:hAnsi="宋体" w:eastAsia="宋体" w:cs="宋体"/>
          <w:color w:val="auto"/>
          <w:sz w:val="21"/>
          <w:szCs w:val="21"/>
          <w:highlight w:val="none"/>
        </w:rPr>
        <w:t>六 磋商及评审</w:t>
      </w:r>
      <w:bookmarkEnd w:id="46"/>
      <w:bookmarkEnd w:id="47"/>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★20.磋商会议</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供应商不足3家的，不得继续磋商。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20.2由供应商或其推选的代表检查响应文件的密封情况，确认无误后进行记录。</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★21.组建磋商小组</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21.1按照《政府采购竞争性磋商采购方式暂行办法》有关规定依法组建磋商小组，负责本项目评审工作。</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21.2磋商小组由采购人代表和评审专家共3人以上单数组成。达到公开招标数额的项目，磋商小组应该由5人以上单数组成。本项目磋商小组组成详见供应商须知表21.2条。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★22.资格审查</w:t>
      </w:r>
    </w:p>
    <w:p>
      <w:pPr>
        <w:adjustRightInd w:val="0"/>
        <w:snapToGrid w:val="0"/>
        <w:spacing w:line="360" w:lineRule="auto"/>
        <w:rPr>
          <w:rFonts w:ascii="宋体" w:hAnsi="宋体" w:cs="宋体"/>
          <w:color w:val="auto"/>
          <w:szCs w:val="21"/>
          <w:highlight w:val="none"/>
          <w:shd w:val="clear" w:color="auto" w:fill="FFFFFF"/>
        </w:rPr>
      </w:pPr>
      <w:r>
        <w:rPr>
          <w:rFonts w:hint="eastAsia" w:ascii="宋体" w:hAnsi="宋体" w:cs="宋体"/>
          <w:color w:val="auto"/>
          <w:szCs w:val="21"/>
          <w:highlight w:val="none"/>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宋体" w:hAnsi="宋体" w:cs="宋体"/>
          <w:color w:val="auto"/>
          <w:szCs w:val="21"/>
          <w:highlight w:val="none"/>
          <w:shd w:val="clear" w:color="auto" w:fill="FFFFFF"/>
        </w:rPr>
        <w:t>，不得进入下一阶段评审，但本须知22.2条规定的情形除外。</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22.2采用竞争性磋商采购方式采购的政府购买服务项目（含政府和社会资本合作项目），在采购过程中通过资格审查的供应商（社会资本）只有2家的，竞争性磋商采购活动可以继续进行。</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22.3</w:t>
      </w:r>
      <w:r>
        <w:rPr>
          <w:rFonts w:hint="eastAsia" w:ascii="宋体" w:hAnsi="宋体" w:cs="宋体"/>
          <w:color w:val="auto"/>
          <w:szCs w:val="21"/>
          <w:highlight w:val="none"/>
        </w:rPr>
        <w:t>采购人或采购代理机构将在递交响应文件截止时间前一个工作日至资格审查结束前的期间内查询供应商的信用记录。供应商存在不良信用记录的，其响应将被认定为</w:t>
      </w:r>
      <w:r>
        <w:rPr>
          <w:rFonts w:hint="eastAsia" w:ascii="宋体" w:hAnsi="宋体" w:cs="宋体"/>
          <w:b/>
          <w:bCs/>
          <w:color w:val="auto"/>
          <w:szCs w:val="21"/>
          <w:highlight w:val="none"/>
        </w:rPr>
        <w:t>无效响应</w:t>
      </w:r>
      <w:r>
        <w:rPr>
          <w:rFonts w:hint="eastAsia" w:ascii="宋体" w:hAnsi="宋体" w:cs="宋体"/>
          <w:color w:val="auto"/>
          <w:szCs w:val="21"/>
          <w:highlight w:val="none"/>
        </w:rPr>
        <w:t>。</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shd w:val="clear" w:color="auto" w:fill="FFFFFF"/>
        </w:rPr>
        <w:t>22.3.1</w:t>
      </w:r>
      <w:r>
        <w:rPr>
          <w:rFonts w:hint="eastAsia" w:ascii="宋体" w:hAnsi="宋体" w:cs="宋体"/>
          <w:color w:val="auto"/>
          <w:szCs w:val="21"/>
          <w:highlight w:val="none"/>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rPr>
        <w:t>以</w:t>
      </w:r>
      <w:r>
        <w:rPr>
          <w:rFonts w:hint="eastAsia" w:ascii="宋体" w:hAnsi="宋体" w:cs="宋体"/>
          <w:color w:val="auto"/>
          <w:szCs w:val="21"/>
          <w:highlight w:val="none"/>
          <w:shd w:val="clear" w:color="auto" w:fill="FFFFFF"/>
        </w:rPr>
        <w:t>联合体形式参加政府采购活动的，联合体任何成员存在以上不良信用记录的，联合体响应文件将被认定为</w:t>
      </w:r>
      <w:r>
        <w:rPr>
          <w:rFonts w:hint="eastAsia" w:ascii="宋体" w:hAnsi="宋体" w:cs="宋体"/>
          <w:b/>
          <w:bCs/>
          <w:color w:val="auto"/>
          <w:szCs w:val="21"/>
          <w:highlight w:val="none"/>
          <w:shd w:val="clear" w:color="auto" w:fill="FFFFFF"/>
        </w:rPr>
        <w:t>无效响应</w:t>
      </w:r>
      <w:r>
        <w:rPr>
          <w:rFonts w:hint="eastAsia" w:ascii="宋体" w:hAnsi="宋体" w:cs="宋体"/>
          <w:color w:val="auto"/>
          <w:szCs w:val="21"/>
          <w:highlight w:val="none"/>
          <w:shd w:val="clear" w:color="auto" w:fill="FFFFFF"/>
        </w:rPr>
        <w:t>。</w:t>
      </w:r>
    </w:p>
    <w:p>
      <w:pPr>
        <w:adjustRightInd w:val="0"/>
        <w:snapToGrid w:val="0"/>
        <w:spacing w:line="360" w:lineRule="auto"/>
        <w:rPr>
          <w:rFonts w:ascii="宋体" w:hAnsi="宋体" w:cs="宋体"/>
          <w:color w:val="auto"/>
          <w:szCs w:val="21"/>
          <w:highlight w:val="none"/>
          <w:shd w:val="clear" w:color="auto" w:fill="FFFFFF"/>
        </w:rPr>
      </w:pPr>
      <w:r>
        <w:rPr>
          <w:rFonts w:hint="eastAsia" w:ascii="宋体" w:hAnsi="宋体" w:cs="宋体"/>
          <w:color w:val="auto"/>
          <w:szCs w:val="21"/>
          <w:highlight w:val="none"/>
        </w:rPr>
        <w:t>22.3.2</w:t>
      </w:r>
      <w:r>
        <w:rPr>
          <w:rFonts w:hint="eastAsia" w:ascii="宋体" w:hAnsi="宋体" w:cs="宋体"/>
          <w:color w:val="auto"/>
          <w:szCs w:val="21"/>
          <w:highlight w:val="none"/>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供应商在自行提供的与网站信息不一致的其他证明材料亦不作为资格审查依据。</w:t>
      </w:r>
    </w:p>
    <w:p>
      <w:pPr>
        <w:adjustRightInd w:val="0"/>
        <w:snapToGrid w:val="0"/>
        <w:spacing w:line="360" w:lineRule="auto"/>
        <w:rPr>
          <w:rFonts w:ascii="宋体" w:hAnsi="宋体" w:cs="宋体"/>
          <w:b/>
          <w:color w:val="auto"/>
          <w:szCs w:val="21"/>
          <w:highlight w:val="none"/>
          <w:shd w:val="clear" w:color="auto" w:fill="FFFFFF"/>
        </w:rPr>
      </w:pPr>
      <w:r>
        <w:rPr>
          <w:rFonts w:hint="eastAsia" w:ascii="宋体" w:hAnsi="宋体" w:cs="宋体"/>
          <w:b/>
          <w:color w:val="auto"/>
          <w:szCs w:val="21"/>
          <w:highlight w:val="none"/>
        </w:rPr>
        <w:t>★</w:t>
      </w:r>
      <w:r>
        <w:rPr>
          <w:rFonts w:hint="eastAsia" w:ascii="宋体" w:hAnsi="宋体" w:cs="宋体"/>
          <w:b/>
          <w:color w:val="auto"/>
          <w:szCs w:val="21"/>
          <w:highlight w:val="none"/>
          <w:shd w:val="clear" w:color="auto" w:fill="FFFFFF"/>
        </w:rPr>
        <w:t>23.符合性审查</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szCs w:val="21"/>
          <w:highlight w:val="none"/>
          <w:shd w:val="clear" w:color="auto" w:fill="FFFFFF"/>
        </w:rPr>
        <w:t>符合性审查是指依据采购文件的规定，从响应文件的有效性和完整性对采购文件的响应程度进行审查，以确定是否对采购文件的实质性要求做出响应。</w:t>
      </w:r>
      <w:r>
        <w:rPr>
          <w:rFonts w:hint="eastAsia" w:ascii="宋体" w:hAnsi="宋体" w:cs="宋体"/>
          <w:color w:val="auto"/>
          <w:szCs w:val="21"/>
          <w:highlight w:val="none"/>
        </w:rPr>
        <w:t>供应商应按照第二章《响应文件内容及格式》中的相应要求，提交符合性证明材料。未通过符合性审查的供应商不能进入下一阶段评审，其响应将被认定为</w:t>
      </w:r>
      <w:r>
        <w:rPr>
          <w:rFonts w:hint="eastAsia" w:ascii="宋体" w:hAnsi="宋体" w:cs="宋体"/>
          <w:b/>
          <w:bCs/>
          <w:color w:val="auto"/>
          <w:szCs w:val="21"/>
          <w:highlight w:val="none"/>
        </w:rPr>
        <w:t>无效响应</w:t>
      </w:r>
      <w:r>
        <w:rPr>
          <w:rFonts w:hint="eastAsia" w:ascii="宋体" w:hAnsi="宋体" w:cs="宋体"/>
          <w:color w:val="auto"/>
          <w:szCs w:val="21"/>
          <w:highlight w:val="none"/>
        </w:rPr>
        <w:t>；通过符合性审查的供应商数量不足3家的，不得作进一步的比较和评价，</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24.样品及演示</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24.1供应商须知表11.3条中要求供应商提供样品或演示的，按照供应商须知表24.1条中样品或演示的评审办法以及评审标准进行评审。</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25.响应文件的澄清</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25.1</w:t>
      </w:r>
      <w:r>
        <w:rPr>
          <w:rFonts w:hint="eastAsia" w:ascii="宋体" w:hAnsi="宋体" w:cs="宋体"/>
          <w:color w:val="auto"/>
          <w:szCs w:val="21"/>
          <w:highlight w:val="none"/>
          <w:shd w:val="clear" w:color="auto" w:fill="FFFFFF"/>
        </w:rPr>
        <w:t>在磋商期间，磋商小组可以书面要求供应商对其响应文件中含义不明确、同类问题表述不一致或者有明显文字和计算错误的内容</w:t>
      </w:r>
      <w:r>
        <w:rPr>
          <w:rFonts w:hint="eastAsia" w:ascii="宋体" w:hAnsi="宋体" w:cs="宋体"/>
          <w:color w:val="auto"/>
          <w:szCs w:val="21"/>
          <w:highlight w:val="none"/>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25.1.2供应商的澄清、说明或补正将作为响应文件的一部分。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25.2响应文件报价出现前后不一致的，按照下列规定修正：</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（1）响应文件中报价一览表内容与响应文件中相应内容不一致的，以报价一览表为准；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（3）单价金额小数点或者百分比有明显错位的，以报价一览表的总价为准，并修改单价；</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25.3</w:t>
      </w:r>
      <w:r>
        <w:rPr>
          <w:rFonts w:hint="eastAsia" w:ascii="宋体" w:hAnsi="宋体" w:cs="宋体"/>
          <w:bCs/>
          <w:color w:val="auto"/>
          <w:szCs w:val="21"/>
          <w:highlight w:val="none"/>
        </w:rPr>
        <w:t>磋商小组认为</w:t>
      </w:r>
      <w:r>
        <w:rPr>
          <w:rFonts w:hint="eastAsia" w:ascii="宋体" w:hAnsi="宋体" w:cs="宋体"/>
          <w:color w:val="auto"/>
          <w:szCs w:val="21"/>
          <w:highlight w:val="none"/>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★26.磋商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26.2在磋商过程中，磋商小组可以根据采购文件和磋商情况，</w:t>
      </w:r>
      <w:r>
        <w:rPr>
          <w:rFonts w:hint="eastAsia" w:ascii="宋体" w:hAnsi="宋体" w:cs="宋体"/>
          <w:bCs/>
          <w:color w:val="auto"/>
          <w:szCs w:val="21"/>
          <w:highlight w:val="none"/>
        </w:rPr>
        <w:t>经</w:t>
      </w:r>
      <w:r>
        <w:rPr>
          <w:rFonts w:hint="eastAsia" w:ascii="宋体" w:hAnsi="宋体" w:cs="宋体"/>
          <w:b/>
          <w:color w:val="auto"/>
          <w:szCs w:val="21"/>
          <w:highlight w:val="none"/>
        </w:rPr>
        <w:t>采购人代表</w:t>
      </w:r>
      <w:r>
        <w:rPr>
          <w:rFonts w:hint="eastAsia" w:ascii="宋体" w:hAnsi="宋体" w:cs="宋体"/>
          <w:bCs/>
          <w:color w:val="auto"/>
          <w:szCs w:val="21"/>
          <w:highlight w:val="none"/>
        </w:rPr>
        <w:t>确认后</w:t>
      </w:r>
      <w:r>
        <w:rPr>
          <w:rFonts w:hint="eastAsia" w:ascii="宋体" w:hAnsi="宋体" w:cs="宋体"/>
          <w:color w:val="auto"/>
          <w:szCs w:val="21"/>
          <w:highlight w:val="none"/>
        </w:rPr>
        <w:t>变动采购需求中的技术、服务要求以及合同草案条例等实质性内容。</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26.3对采购文件作出实质性变动是采购文件的有效组成部分，磋商小组将以书面形式同时通知所有参加磋商的供应商。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★27.最后报价</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27.2采用竞争性磋商方式开展采购的“市场竞争不充分的科研项目，以及需要扶持的科技成果转化项目”，提交最后报价的供应商可以为2家。</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27.3最后报价是供应商响应文件的有效组成部分。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★28.响应无效</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28.1在比较与评价之前，根据本须知的规定，磋商小组将审查每份响应文件是否实质上响应了采购文件的要求。</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实质性要求是指采购文件中带有★号标识内容（包括本级及其下级编号中所有内容）等文字说明的要求。</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如果响应文件没有对采购文件的实质性要求进行响应，将作为</w:t>
      </w:r>
      <w:r>
        <w:rPr>
          <w:rFonts w:hint="eastAsia" w:ascii="宋体" w:hAnsi="宋体" w:cs="宋体"/>
          <w:b/>
          <w:bCs/>
          <w:color w:val="auto"/>
          <w:szCs w:val="21"/>
          <w:highlight w:val="none"/>
        </w:rPr>
        <w:t>无效响应</w:t>
      </w:r>
      <w:r>
        <w:rPr>
          <w:rFonts w:hint="eastAsia" w:ascii="宋体" w:hAnsi="宋体" w:cs="宋体"/>
          <w:color w:val="auto"/>
          <w:szCs w:val="21"/>
          <w:highlight w:val="none"/>
        </w:rPr>
        <w:t>处理，供应商不得再对响应文件进行任何修正从而使其响应成为实质上响应。</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磋商小组决定是否实质性响应只根据采购文件要求、响应文件内容及财政主管部门指定媒体发布的相关信息。</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28.2 如发现下列情况之一的，其响应文件将被认定为无效响应：</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（1）未按采购文件的规定提交磋商保证金的；</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（2）未按照采购文件规定要求签署、盖章的；</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（3）供应商的报价超过了采购文件中规定的预算金额或者最高限价的；</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（4）不具备采购文件中规定的资格要求的；</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（5）不符合法律、法规和采购文件中规定的实质性要求的。</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（6）磋商小组认为供应商的报价明显低于其他通过符合性审查供应商的报价，有可能影响履约的，且供应商未按照规定证明其报价合理性的；</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（7）响应文件含有采购人不能接受的附加条件的；</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（8）属于法律、法规和采购文件中规定的其他无效响应情形的。</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29.比较与评价</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29.1经符合性审查合格的响应文件，磋商小组将根据采购文件确定的评审办法，对其技术部分和商务部分作进一步的比较和评价。</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29.2 评审严格按照采购文件的要求和条件进行。按照供应商须知表29.2条规定的综合评分法进行评审，详细评审标准见采购文件第五章 评审方法。</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29.3 根据《政府采购促进中小企业发展管理办法》（财库（2020）46号）、《财政部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w:t>
      </w:r>
      <w:r>
        <w:rPr>
          <w:rFonts w:hint="eastAsia" w:ascii="宋体" w:hAnsi="宋体" w:cs="宋体"/>
          <w:color w:val="auto"/>
          <w:szCs w:val="21"/>
          <w:highlight w:val="none"/>
          <w:lang w:val="en-US" w:eastAsia="zh-CN"/>
        </w:rPr>
        <w:t>10-20</w:t>
      </w:r>
      <w:r>
        <w:rPr>
          <w:rFonts w:hint="eastAsia" w:ascii="宋体" w:hAnsi="宋体" w:cs="宋体"/>
          <w:color w:val="auto"/>
          <w:szCs w:val="21"/>
          <w:highlight w:val="none"/>
        </w:rPr>
        <w:t>%后参与评审。具体详见第五章 评审办法。</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29.4依据财政部、发展改革委、生态环境部等部门发布的品目清单和国家确定的认证机构出具的、处于有效期之内的节能产品、环境标志产品认证证书实施政府优先采购。具体优先采购办法详见第五章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29.5依据财政部 国务院扶贫办《关于运用政府采购政策支持脱贫攻坚的通知》（财库〔2019〕27 号）的规定，对于非专门面向贫困地区采购农副产品的项目，在满足价格扣除条件且在响应文件提交了《贫困地区农副产品声明函》的供应商，对其最后报价扣除后参与评审。对具体办法详见第五章 评审办法。</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★30.终止本次磋商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出现下列情形之一的，采购人或采购代理机构应当终止本次竞争性磋商。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（3）除本须知27.2条规定的情形外，在采购过程中符合要求的供应商或者报价未超过采购预算或最高限价的供应商不足3家的。</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31.成交候选供应商的确定原则及标准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31.2磋商小组将按供应商须知表31.2条中规定的数量推荐成交候选供应商。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31.3因推荐成交候选供应商名单产生其他问题，由磋商小组集体研究处理。</w:t>
      </w:r>
    </w:p>
    <w:p>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★32.保密原则</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32.1评审将在严格保密的情况下进行。</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32.2有关人员应当遵守评审工作纪律，不得泄露评审文件、评审情况和评审过程中获悉的国家秘密、商业秘密。</w:t>
      </w:r>
    </w:p>
    <w:p>
      <w:pPr>
        <w:pStyle w:val="4"/>
        <w:adjustRightInd w:val="0"/>
        <w:snapToGrid w:val="0"/>
        <w:spacing w:before="156" w:beforeLines="50" w:after="0" w:line="360" w:lineRule="auto"/>
        <w:jc w:val="center"/>
        <w:rPr>
          <w:rFonts w:ascii="宋体" w:hAnsi="宋体" w:eastAsia="宋体" w:cs="宋体"/>
          <w:color w:val="auto"/>
          <w:sz w:val="21"/>
          <w:szCs w:val="21"/>
          <w:highlight w:val="none"/>
        </w:rPr>
      </w:pPr>
      <w:bookmarkStart w:id="48" w:name="_Toc533340145"/>
      <w:bookmarkStart w:id="49" w:name="_Toc4485624"/>
      <w:r>
        <w:rPr>
          <w:rFonts w:hint="eastAsia" w:ascii="宋体" w:hAnsi="宋体" w:eastAsia="宋体" w:cs="宋体"/>
          <w:color w:val="auto"/>
          <w:sz w:val="21"/>
          <w:szCs w:val="21"/>
          <w:highlight w:val="none"/>
        </w:rPr>
        <w:t>七 确定成交</w:t>
      </w:r>
      <w:bookmarkEnd w:id="48"/>
      <w:bookmarkEnd w:id="49"/>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33.确定成交供应商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★34.采购任务取消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因重大变故采购任务取消时，采购人有权拒绝任何供应商成交，且对受影响的供应商不承担任何责任。</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35.成交通知书</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35.1采购人或者采购代理机构应当在成交供应商确定之日起2个工作日内，在</w:t>
      </w:r>
      <w:r>
        <w:rPr>
          <w:rFonts w:hint="eastAsia" w:ascii="宋体" w:hAnsi="宋体" w:cs="宋体"/>
          <w:color w:val="auto"/>
          <w:szCs w:val="21"/>
          <w:highlight w:val="none"/>
          <w:lang w:eastAsia="zh-CN"/>
        </w:rPr>
        <w:t>中国</w:t>
      </w:r>
      <w:r>
        <w:rPr>
          <w:rFonts w:hint="eastAsia" w:ascii="宋体" w:hAnsi="宋体" w:cs="宋体"/>
          <w:color w:val="auto"/>
          <w:szCs w:val="21"/>
          <w:highlight w:val="none"/>
        </w:rPr>
        <w:t>政府采购网及其地方分网媒体上公告成交结果，同时向成交供应商发出成交通知书。</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35.2成交通知书是合同的组成部分。</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★36.签订合同</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36.1 成交供应商应当自发出成交通知书之日起 3日内，按照采购文件确定的合同文本以及采购标的、规格型号、采购金额、采购数量、技术和服务要求等事项签订政府采购合同。</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36.2除不可抗力等因素外，成交通知书发出后，采购人改变成交结果，或者成交供应商拒绝签订政府采购合同的，应当承担相应的法律责任。</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36.4 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宋体" w:hAnsi="宋体" w:cs="宋体"/>
          <w:color w:val="auto"/>
          <w:kern w:val="0"/>
          <w:szCs w:val="21"/>
          <w:highlight w:val="none"/>
        </w:rPr>
        <w:t>。</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★37.履约保证金</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37.1成交供应商应按照供应商须知表37.1条规定向采购人缴纳履约保证金。</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★38.采购代理服务费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成交供应商须按照供应商须知表38条规定，向采购代理机构支付采购代理服务费。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39.廉洁自律规定</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39.1采购代理机构工作人员不得以不正当手段获取政府采购代理业务，不得与采购人、供应商恶意串通操纵政府采购活动。</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39.2采购代理机构工作人员不得接受采购人或者供应商组织的宴请、旅游、娱乐，不得收受礼品、现金、有价证券等。</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40.人员回避</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41.质疑与接收</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41.2质疑供应商应按照财政部门制定的《政府采购质疑函范本》格式（详见中国政府采购网）和《政府采购质疑和投诉办法》的要求，在法定质疑期内以纸质形式提出质疑，针对同一采购程序环节的质疑应</w:t>
      </w:r>
      <w:r>
        <w:rPr>
          <w:rFonts w:hint="eastAsia" w:ascii="宋体" w:hAnsi="宋体" w:cs="宋体"/>
          <w:b/>
          <w:color w:val="auto"/>
          <w:szCs w:val="21"/>
          <w:highlight w:val="none"/>
        </w:rPr>
        <w:t>一次性</w:t>
      </w:r>
      <w:r>
        <w:rPr>
          <w:rFonts w:hint="eastAsia" w:ascii="宋体" w:hAnsi="宋体" w:cs="宋体"/>
          <w:color w:val="auto"/>
          <w:szCs w:val="21"/>
          <w:highlight w:val="none"/>
        </w:rPr>
        <w:t>提出。</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超出法定质疑期的、重复提出的、分次提出的或内容、形式不符合《政府采购质疑和投诉办法》的，质疑供应商将依法承担不利后果。</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41.3采购代理机构质疑函接收部门、联系电话和通讯地址, 见供应商须知表41.3条。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42.履约验收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本项目采购人及其委托的采购代理机构将严格按照政府采购相关法律法规的要求进行验收。</w:t>
      </w:r>
    </w:p>
    <w:p>
      <w:pPr>
        <w:adjustRightInd w:val="0"/>
        <w:snapToGrid w:val="0"/>
        <w:spacing w:line="360" w:lineRule="auto"/>
        <w:ind w:firstLine="420" w:firstLineChars="200"/>
        <w:rPr>
          <w:rFonts w:ascii="宋体" w:hAnsi="宋体" w:cs="宋体"/>
          <w:color w:val="auto"/>
          <w:szCs w:val="21"/>
          <w:highlight w:val="none"/>
        </w:rPr>
        <w:sectPr>
          <w:footerReference r:id="rId5" w:type="default"/>
          <w:pgSz w:w="11906" w:h="16838"/>
          <w:pgMar w:top="1191" w:right="1191" w:bottom="1191" w:left="1418" w:header="851" w:footer="794" w:gutter="0"/>
          <w:cols w:space="720" w:num="1"/>
          <w:docGrid w:type="lines" w:linePitch="312" w:charSpace="0"/>
        </w:sectPr>
      </w:pPr>
    </w:p>
    <w:p>
      <w:pPr>
        <w:wordWrap w:val="0"/>
        <w:adjustRightInd w:val="0"/>
        <w:snapToGrid w:val="0"/>
        <w:spacing w:line="360" w:lineRule="auto"/>
        <w:ind w:right="420"/>
        <w:jc w:val="right"/>
        <w:rPr>
          <w:rFonts w:ascii="宋体" w:hAnsi="宋体" w:cs="宋体"/>
          <w:color w:val="auto"/>
          <w:szCs w:val="21"/>
          <w:highlight w:val="none"/>
        </w:rPr>
      </w:pPr>
    </w:p>
    <w:p>
      <w:pPr>
        <w:pStyle w:val="3"/>
        <w:adjustRightInd w:val="0"/>
        <w:snapToGrid w:val="0"/>
        <w:spacing w:before="0" w:after="0" w:line="360" w:lineRule="auto"/>
        <w:jc w:val="center"/>
        <w:rPr>
          <w:rFonts w:ascii="宋体" w:hAnsi="宋体" w:cs="宋体"/>
          <w:color w:val="auto"/>
          <w:sz w:val="32"/>
          <w:szCs w:val="32"/>
          <w:highlight w:val="none"/>
        </w:rPr>
      </w:pPr>
      <w:bookmarkStart w:id="50" w:name="_Toc4485625"/>
      <w:r>
        <w:rPr>
          <w:rFonts w:hint="eastAsia" w:ascii="宋体" w:hAnsi="宋体" w:cs="宋体"/>
          <w:color w:val="auto"/>
          <w:sz w:val="32"/>
          <w:szCs w:val="32"/>
          <w:highlight w:val="none"/>
        </w:rPr>
        <w:t>第二章 响应文件内容及格式</w:t>
      </w:r>
      <w:bookmarkEnd w:id="50"/>
    </w:p>
    <w:p>
      <w:pPr>
        <w:ind w:firstLine="482" w:firstLineChars="200"/>
        <w:rPr>
          <w:rFonts w:ascii="宋体" w:hAnsi="宋体" w:cs="宋体"/>
          <w:b/>
          <w:color w:val="auto"/>
          <w:sz w:val="24"/>
          <w:highlight w:val="none"/>
        </w:rPr>
      </w:pPr>
      <w:bookmarkStart w:id="51" w:name="投标文件内容及格式：Block"/>
      <w:bookmarkEnd w:id="51"/>
      <w:bookmarkStart w:id="52" w:name="sys_投标文件内容及格式：Block"/>
      <w:bookmarkEnd w:id="52"/>
    </w:p>
    <w:p>
      <w:pPr>
        <w:ind w:firstLine="482" w:firstLineChars="200"/>
        <w:rPr>
          <w:rFonts w:ascii="宋体" w:hAnsi="宋体" w:cs="宋体"/>
          <w:color w:val="auto"/>
          <w:highlight w:val="none"/>
        </w:rPr>
      </w:pPr>
      <w:r>
        <w:rPr>
          <w:rFonts w:hint="eastAsia" w:ascii="宋体" w:hAnsi="宋体" w:cs="宋体"/>
          <w:b/>
          <w:color w:val="auto"/>
          <w:sz w:val="24"/>
          <w:highlight w:val="none"/>
        </w:rPr>
        <w:t>一、响应文件、电子文档的外封面、封口、封皮及目录</w:t>
      </w:r>
    </w:p>
    <w:tbl>
      <w:tblPr>
        <w:tblStyle w:val="18"/>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47"/>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6947" w:type="dxa"/>
            <w:vAlign w:val="center"/>
          </w:tcPr>
          <w:p>
            <w:pPr>
              <w:widowControl/>
              <w:jc w:val="center"/>
              <w:rPr>
                <w:rFonts w:ascii="宋体" w:hAnsi="宋体" w:cs="宋体"/>
                <w:color w:val="auto"/>
                <w:kern w:val="0"/>
                <w:sz w:val="20"/>
                <w:szCs w:val="21"/>
                <w:highlight w:val="none"/>
              </w:rPr>
            </w:pPr>
            <w:r>
              <w:rPr>
                <w:rFonts w:hint="eastAsia" w:ascii="宋体" w:hAnsi="宋体" w:cs="宋体"/>
                <w:color w:val="auto"/>
                <w:kern w:val="0"/>
                <w:sz w:val="20"/>
                <w:szCs w:val="21"/>
                <w:highlight w:val="none"/>
              </w:rPr>
              <w:t>内容</w:t>
            </w:r>
          </w:p>
        </w:tc>
        <w:tc>
          <w:tcPr>
            <w:tcW w:w="89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47" w:type="dxa"/>
            <w:vAlign w:val="center"/>
          </w:tcPr>
          <w:p>
            <w:pPr>
              <w:snapToGrid w:val="0"/>
              <w:jc w:val="left"/>
              <w:rPr>
                <w:rFonts w:ascii="宋体" w:hAnsi="宋体" w:cs="宋体"/>
                <w:color w:val="auto"/>
                <w:highlight w:val="none"/>
              </w:rPr>
            </w:pPr>
            <w:r>
              <w:rPr>
                <w:rFonts w:hint="eastAsia" w:ascii="宋体" w:hAnsi="宋体" w:cs="宋体"/>
                <w:color w:val="auto"/>
                <w:highlight w:val="none"/>
              </w:rPr>
              <w:t>响应文件的外封面及封口</w:t>
            </w:r>
          </w:p>
        </w:tc>
        <w:tc>
          <w:tcPr>
            <w:tcW w:w="89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47" w:type="dxa"/>
            <w:vAlign w:val="center"/>
          </w:tcPr>
          <w:p>
            <w:pPr>
              <w:snapToGrid w:val="0"/>
              <w:jc w:val="left"/>
              <w:rPr>
                <w:rFonts w:ascii="宋体" w:hAnsi="宋体" w:cs="宋体"/>
                <w:color w:val="auto"/>
                <w:highlight w:val="none"/>
              </w:rPr>
            </w:pPr>
            <w:r>
              <w:rPr>
                <w:rFonts w:hint="eastAsia" w:ascii="宋体" w:hAnsi="宋体" w:cs="宋体"/>
                <w:color w:val="auto"/>
                <w:highlight w:val="none"/>
              </w:rPr>
              <w:t>响应文件的封皮</w:t>
            </w:r>
          </w:p>
        </w:tc>
        <w:tc>
          <w:tcPr>
            <w:tcW w:w="89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47" w:type="dxa"/>
            <w:vAlign w:val="center"/>
          </w:tcPr>
          <w:p>
            <w:pPr>
              <w:snapToGrid w:val="0"/>
              <w:jc w:val="left"/>
              <w:rPr>
                <w:rFonts w:ascii="宋体" w:hAnsi="宋体" w:cs="宋体"/>
                <w:color w:val="auto"/>
                <w:highlight w:val="none"/>
              </w:rPr>
            </w:pPr>
            <w:r>
              <w:rPr>
                <w:rFonts w:hint="eastAsia" w:ascii="宋体" w:hAnsi="宋体" w:cs="宋体"/>
                <w:color w:val="auto"/>
                <w:highlight w:val="none"/>
              </w:rPr>
              <w:t>响应文件的目录</w:t>
            </w:r>
          </w:p>
        </w:tc>
        <w:tc>
          <w:tcPr>
            <w:tcW w:w="89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r>
    </w:tbl>
    <w:p>
      <w:pPr>
        <w:spacing w:line="440" w:lineRule="exact"/>
        <w:ind w:firstLine="482" w:firstLineChars="200"/>
        <w:rPr>
          <w:rFonts w:ascii="宋体" w:hAnsi="宋体" w:cs="宋体"/>
          <w:b/>
          <w:color w:val="auto"/>
          <w:sz w:val="24"/>
          <w:highlight w:val="none"/>
        </w:rPr>
      </w:pPr>
    </w:p>
    <w:p>
      <w:pPr>
        <w:spacing w:line="440" w:lineRule="exact"/>
        <w:ind w:firstLine="482" w:firstLineChars="200"/>
        <w:rPr>
          <w:rFonts w:ascii="宋体" w:hAnsi="宋体" w:cs="宋体"/>
          <w:b/>
          <w:color w:val="auto"/>
          <w:sz w:val="24"/>
          <w:highlight w:val="none"/>
        </w:rPr>
      </w:pP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二、资格证明材料（有一项不符合要求，不能进入下一阶段评审）</w:t>
      </w:r>
    </w:p>
    <w:tbl>
      <w:tblPr>
        <w:tblStyle w:val="18"/>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71"/>
        <w:gridCol w:w="6968"/>
        <w:gridCol w:w="8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1" w:type="dxa"/>
            <w:tcMar>
              <w:top w:w="0" w:type="dxa"/>
              <w:left w:w="108" w:type="dxa"/>
              <w:bottom w:w="0" w:type="dxa"/>
              <w:right w:w="108" w:type="dxa"/>
            </w:tcMar>
            <w:vAlign w:val="center"/>
          </w:tcPr>
          <w:p>
            <w:pPr>
              <w:snapToGrid w:val="0"/>
              <w:jc w:val="center"/>
              <w:rPr>
                <w:rFonts w:ascii="宋体" w:hAnsi="宋体" w:cs="宋体"/>
                <w:color w:val="auto"/>
                <w:highlight w:val="none"/>
              </w:rPr>
            </w:pPr>
            <w:bookmarkStart w:id="53" w:name="sys_资格性证明材料：Document"/>
            <w:bookmarkStart w:id="54" w:name="资格性证明材料：Document"/>
            <w:r>
              <w:rPr>
                <w:rFonts w:hint="eastAsia" w:ascii="宋体" w:hAnsi="宋体" w:cs="宋体"/>
                <w:color w:val="auto"/>
                <w:highlight w:val="none"/>
              </w:rPr>
              <w:t>序号</w:t>
            </w:r>
          </w:p>
        </w:tc>
        <w:tc>
          <w:tcPr>
            <w:tcW w:w="6968"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资格证明材料</w:t>
            </w:r>
          </w:p>
        </w:tc>
        <w:tc>
          <w:tcPr>
            <w:tcW w:w="86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格式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1</w:t>
            </w:r>
          </w:p>
        </w:tc>
        <w:tc>
          <w:tcPr>
            <w:tcW w:w="6968" w:type="dxa"/>
            <w:tcMar>
              <w:top w:w="0" w:type="dxa"/>
              <w:left w:w="108" w:type="dxa"/>
              <w:bottom w:w="0" w:type="dxa"/>
              <w:right w:w="108" w:type="dxa"/>
            </w:tcMar>
            <w:vAlign w:val="center"/>
          </w:tcPr>
          <w:p>
            <w:pPr>
              <w:snapToGrid w:val="0"/>
              <w:jc w:val="left"/>
              <w:rPr>
                <w:rFonts w:ascii="宋体" w:hAnsi="宋体" w:cs="宋体"/>
                <w:color w:val="auto"/>
                <w:highlight w:val="none"/>
              </w:rPr>
            </w:pPr>
            <w:r>
              <w:rPr>
                <w:rFonts w:hint="eastAsia" w:ascii="宋体" w:hAnsi="宋体" w:cs="宋体"/>
                <w:color w:val="auto"/>
                <w:highlight w:val="none"/>
              </w:rPr>
              <w:t>营业执照副本或事业单位法人证书或执业许可证等证明文件复印件或（须加盖单位公章）或自然人的身份证明复印件（自然人身份证明仅在自然人作为响应主体时适用）</w:t>
            </w:r>
          </w:p>
        </w:tc>
        <w:tc>
          <w:tcPr>
            <w:tcW w:w="861" w:type="dxa"/>
            <w:tcMar>
              <w:top w:w="0" w:type="dxa"/>
              <w:left w:w="108" w:type="dxa"/>
              <w:bottom w:w="0" w:type="dxa"/>
              <w:right w:w="108" w:type="dxa"/>
            </w:tcMar>
            <w:vAlign w:val="center"/>
          </w:tcPr>
          <w:p>
            <w:pPr>
              <w:snapToGrid w:val="0"/>
              <w:jc w:val="center"/>
              <w:rPr>
                <w:rFonts w:ascii="宋体" w:hAnsi="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2</w:t>
            </w:r>
          </w:p>
        </w:tc>
        <w:tc>
          <w:tcPr>
            <w:tcW w:w="6968" w:type="dxa"/>
            <w:tcMar>
              <w:top w:w="0" w:type="dxa"/>
              <w:left w:w="108" w:type="dxa"/>
              <w:bottom w:w="0" w:type="dxa"/>
              <w:right w:w="108" w:type="dxa"/>
            </w:tcMar>
            <w:vAlign w:val="center"/>
          </w:tcPr>
          <w:p>
            <w:pPr>
              <w:widowControl/>
              <w:snapToGrid w:val="0"/>
              <w:jc w:val="left"/>
              <w:rPr>
                <w:rFonts w:ascii="宋体" w:hAnsi="宋体" w:cs="宋体"/>
                <w:color w:val="auto"/>
                <w:highlight w:val="none"/>
              </w:rPr>
            </w:pPr>
            <w:r>
              <w:rPr>
                <w:rFonts w:hint="eastAsia" w:ascii="宋体" w:hAnsi="宋体" w:cs="宋体"/>
                <w:color w:val="auto"/>
                <w:highlight w:val="none"/>
              </w:rPr>
              <w:t>组织机构代码证副本（复印件，三证合一的不需提供）</w:t>
            </w:r>
          </w:p>
        </w:tc>
        <w:tc>
          <w:tcPr>
            <w:tcW w:w="861" w:type="dxa"/>
            <w:tcMar>
              <w:top w:w="0" w:type="dxa"/>
              <w:left w:w="108" w:type="dxa"/>
              <w:bottom w:w="0" w:type="dxa"/>
              <w:right w:w="108" w:type="dxa"/>
            </w:tcMar>
            <w:vAlign w:val="center"/>
          </w:tcPr>
          <w:p>
            <w:pPr>
              <w:snapToGrid w:val="0"/>
              <w:jc w:val="center"/>
              <w:rPr>
                <w:rFonts w:ascii="宋体" w:hAnsi="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3</w:t>
            </w:r>
          </w:p>
        </w:tc>
        <w:tc>
          <w:tcPr>
            <w:tcW w:w="6968" w:type="dxa"/>
            <w:tcMar>
              <w:top w:w="0" w:type="dxa"/>
              <w:left w:w="108" w:type="dxa"/>
              <w:bottom w:w="0" w:type="dxa"/>
              <w:right w:w="108" w:type="dxa"/>
            </w:tcMar>
            <w:vAlign w:val="center"/>
          </w:tcPr>
          <w:p>
            <w:pPr>
              <w:widowControl/>
              <w:snapToGrid w:val="0"/>
              <w:jc w:val="left"/>
              <w:rPr>
                <w:rFonts w:ascii="宋体" w:hAnsi="宋体" w:cs="宋体"/>
                <w:color w:val="auto"/>
                <w:highlight w:val="none"/>
              </w:rPr>
            </w:pPr>
            <w:r>
              <w:rPr>
                <w:rFonts w:hint="eastAsia" w:ascii="宋体" w:hAnsi="宋体" w:cs="宋体"/>
                <w:color w:val="auto"/>
                <w:highlight w:val="none"/>
              </w:rPr>
              <w:t>税务登记证（复印件，三证合一的不需提供）</w:t>
            </w:r>
          </w:p>
        </w:tc>
        <w:tc>
          <w:tcPr>
            <w:tcW w:w="861" w:type="dxa"/>
            <w:tcMar>
              <w:top w:w="0" w:type="dxa"/>
              <w:left w:w="108" w:type="dxa"/>
              <w:bottom w:w="0" w:type="dxa"/>
              <w:right w:w="108" w:type="dxa"/>
            </w:tcMar>
            <w:vAlign w:val="center"/>
          </w:tcPr>
          <w:p>
            <w:pPr>
              <w:snapToGrid w:val="0"/>
              <w:jc w:val="center"/>
              <w:rPr>
                <w:rFonts w:ascii="宋体" w:hAnsi="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4</w:t>
            </w:r>
          </w:p>
        </w:tc>
        <w:tc>
          <w:tcPr>
            <w:tcW w:w="6968" w:type="dxa"/>
            <w:tcMar>
              <w:top w:w="0" w:type="dxa"/>
              <w:left w:w="108" w:type="dxa"/>
              <w:bottom w:w="0" w:type="dxa"/>
              <w:right w:w="108" w:type="dxa"/>
            </w:tcMar>
            <w:vAlign w:val="center"/>
          </w:tcPr>
          <w:p>
            <w:pPr>
              <w:widowControl/>
              <w:snapToGrid w:val="0"/>
              <w:jc w:val="left"/>
              <w:rPr>
                <w:rFonts w:ascii="宋体" w:hAnsi="宋体" w:cs="宋体"/>
                <w:color w:val="auto"/>
                <w:szCs w:val="21"/>
                <w:highlight w:val="none"/>
              </w:rPr>
            </w:pPr>
            <w:r>
              <w:rPr>
                <w:rFonts w:hint="eastAsia" w:ascii="宋体" w:hAnsi="宋体" w:cs="宋体"/>
                <w:color w:val="auto"/>
                <w:szCs w:val="21"/>
                <w:highlight w:val="none"/>
              </w:rPr>
              <w:t>法定代表人（或非法人组织负责人）身份证明书（自然人参加磋商的无需提供）</w:t>
            </w:r>
          </w:p>
        </w:tc>
        <w:tc>
          <w:tcPr>
            <w:tcW w:w="86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5</w:t>
            </w:r>
          </w:p>
        </w:tc>
        <w:tc>
          <w:tcPr>
            <w:tcW w:w="6968" w:type="dxa"/>
            <w:tcMar>
              <w:top w:w="0" w:type="dxa"/>
              <w:left w:w="108" w:type="dxa"/>
              <w:bottom w:w="0" w:type="dxa"/>
              <w:right w:w="108" w:type="dxa"/>
            </w:tcMar>
            <w:vAlign w:val="center"/>
          </w:tcPr>
          <w:p>
            <w:pPr>
              <w:widowControl/>
              <w:snapToGrid w:val="0"/>
              <w:jc w:val="left"/>
              <w:rPr>
                <w:rFonts w:ascii="宋体" w:hAnsi="宋体" w:cs="宋体"/>
                <w:color w:val="auto"/>
                <w:highlight w:val="none"/>
              </w:rPr>
            </w:pPr>
            <w:r>
              <w:rPr>
                <w:rFonts w:hint="eastAsia" w:ascii="宋体" w:hAnsi="宋体" w:cs="宋体"/>
                <w:color w:val="auto"/>
                <w:highlight w:val="none"/>
              </w:rPr>
              <w:t>法定代表人（或非法人组织</w:t>
            </w:r>
            <w:r>
              <w:rPr>
                <w:rFonts w:hint="eastAsia" w:ascii="宋体" w:hAnsi="宋体" w:cs="宋体"/>
                <w:color w:val="auto"/>
                <w:szCs w:val="21"/>
                <w:highlight w:val="none"/>
              </w:rPr>
              <w:t>负责人）</w:t>
            </w:r>
            <w:r>
              <w:rPr>
                <w:rFonts w:hint="eastAsia" w:ascii="宋体" w:hAnsi="宋体" w:cs="宋体"/>
                <w:color w:val="auto"/>
                <w:highlight w:val="none"/>
              </w:rPr>
              <w:t>授权委托书原件（授权委托人参加磋商的须提供）</w:t>
            </w:r>
          </w:p>
        </w:tc>
        <w:tc>
          <w:tcPr>
            <w:tcW w:w="86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6</w:t>
            </w:r>
          </w:p>
        </w:tc>
        <w:tc>
          <w:tcPr>
            <w:tcW w:w="6968" w:type="dxa"/>
            <w:tcMar>
              <w:top w:w="0" w:type="dxa"/>
              <w:left w:w="108" w:type="dxa"/>
              <w:bottom w:w="0" w:type="dxa"/>
              <w:right w:w="108" w:type="dxa"/>
            </w:tcMar>
            <w:vAlign w:val="center"/>
          </w:tcPr>
          <w:p>
            <w:pPr>
              <w:widowControl/>
              <w:snapToGrid w:val="0"/>
              <w:jc w:val="left"/>
              <w:rPr>
                <w:rFonts w:ascii="宋体" w:hAnsi="宋体" w:cs="宋体"/>
                <w:color w:val="auto"/>
                <w:highlight w:val="none"/>
              </w:rPr>
            </w:pPr>
            <w:r>
              <w:rPr>
                <w:rFonts w:hint="eastAsia" w:ascii="宋体" w:hAnsi="宋体" w:cs="宋体"/>
                <w:color w:val="auto"/>
                <w:kern w:val="0"/>
                <w:szCs w:val="21"/>
                <w:highlight w:val="none"/>
              </w:rPr>
              <w:t>具有良好的商业信誉和健全的财务会计制度的承诺函</w:t>
            </w:r>
          </w:p>
        </w:tc>
        <w:tc>
          <w:tcPr>
            <w:tcW w:w="86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7</w:t>
            </w:r>
          </w:p>
        </w:tc>
        <w:tc>
          <w:tcPr>
            <w:tcW w:w="6968" w:type="dxa"/>
            <w:tcMar>
              <w:top w:w="0" w:type="dxa"/>
              <w:left w:w="108" w:type="dxa"/>
              <w:bottom w:w="0" w:type="dxa"/>
              <w:right w:w="108" w:type="dxa"/>
            </w:tcMar>
            <w:vAlign w:val="center"/>
          </w:tcPr>
          <w:p>
            <w:pPr>
              <w:snapToGrid w:val="0"/>
              <w:jc w:val="left"/>
              <w:rPr>
                <w:rFonts w:ascii="宋体" w:hAnsi="宋体" w:cs="宋体"/>
                <w:color w:val="auto"/>
                <w:highlight w:val="none"/>
              </w:rPr>
            </w:pPr>
            <w:r>
              <w:rPr>
                <w:rFonts w:hint="eastAsia" w:ascii="宋体" w:hAnsi="宋体" w:cs="宋体"/>
                <w:color w:val="auto"/>
                <w:highlight w:val="none"/>
              </w:rPr>
              <w:t>竞争性磋商公告前六个月内任一个月的依法缴纳税收（包括但不限于增值税或企业所得税）的缴款凭据复印件</w:t>
            </w:r>
          </w:p>
          <w:p>
            <w:pPr>
              <w:snapToGrid w:val="0"/>
              <w:jc w:val="left"/>
              <w:rPr>
                <w:rFonts w:ascii="宋体" w:hAnsi="宋体" w:cs="宋体"/>
                <w:color w:val="auto"/>
                <w:highlight w:val="none"/>
              </w:rPr>
            </w:pPr>
            <w:r>
              <w:rPr>
                <w:rFonts w:hint="eastAsia" w:ascii="宋体" w:hAnsi="宋体" w:cs="宋体"/>
                <w:color w:val="auto"/>
                <w:highlight w:val="none"/>
              </w:rPr>
              <w:t>（注：依法免税的供应商，应提供相关证明材料，包括相关法规要求原文及加盖公章的情况说明）</w:t>
            </w:r>
          </w:p>
        </w:tc>
        <w:tc>
          <w:tcPr>
            <w:tcW w:w="861" w:type="dxa"/>
            <w:tcMar>
              <w:top w:w="0" w:type="dxa"/>
              <w:left w:w="108" w:type="dxa"/>
              <w:bottom w:w="0" w:type="dxa"/>
              <w:right w:w="108" w:type="dxa"/>
            </w:tcMar>
            <w:vAlign w:val="center"/>
          </w:tcPr>
          <w:p>
            <w:pPr>
              <w:snapToGrid w:val="0"/>
              <w:jc w:val="center"/>
              <w:rPr>
                <w:rFonts w:ascii="宋体" w:hAnsi="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8</w:t>
            </w:r>
          </w:p>
        </w:tc>
        <w:tc>
          <w:tcPr>
            <w:tcW w:w="6968" w:type="dxa"/>
            <w:tcMar>
              <w:top w:w="0" w:type="dxa"/>
              <w:left w:w="108" w:type="dxa"/>
              <w:bottom w:w="0" w:type="dxa"/>
              <w:right w:w="108" w:type="dxa"/>
            </w:tcMar>
            <w:vAlign w:val="center"/>
          </w:tcPr>
          <w:p>
            <w:pPr>
              <w:snapToGrid w:val="0"/>
              <w:jc w:val="left"/>
              <w:rPr>
                <w:rFonts w:ascii="宋体" w:hAnsi="宋体" w:cs="宋体"/>
                <w:color w:val="auto"/>
                <w:highlight w:val="none"/>
              </w:rPr>
            </w:pPr>
            <w:r>
              <w:rPr>
                <w:rFonts w:hint="eastAsia" w:ascii="宋体" w:hAnsi="宋体" w:cs="宋体"/>
                <w:color w:val="auto"/>
                <w:highlight w:val="none"/>
              </w:rPr>
              <w:t>竞争性磋商公告前六个月内任一个月的依法缴纳社会保障资金的缴款凭据复印件</w:t>
            </w:r>
          </w:p>
          <w:p>
            <w:pPr>
              <w:snapToGrid w:val="0"/>
              <w:jc w:val="left"/>
              <w:rPr>
                <w:rFonts w:ascii="宋体" w:hAnsi="宋体" w:cs="宋体"/>
                <w:color w:val="auto"/>
                <w:highlight w:val="none"/>
              </w:rPr>
            </w:pPr>
            <w:r>
              <w:rPr>
                <w:rFonts w:hint="eastAsia" w:ascii="宋体" w:hAnsi="宋体" w:cs="宋体"/>
                <w:color w:val="auto"/>
                <w:highlight w:val="none"/>
              </w:rPr>
              <w:t>（注：依法不需要缴纳社会保障资金的供应商，应提供相关证明材料，包括相关法规要求原文及加盖公章的情况说明）</w:t>
            </w:r>
          </w:p>
        </w:tc>
        <w:tc>
          <w:tcPr>
            <w:tcW w:w="861" w:type="dxa"/>
            <w:tcMar>
              <w:top w:w="0" w:type="dxa"/>
              <w:left w:w="108" w:type="dxa"/>
              <w:bottom w:w="0" w:type="dxa"/>
              <w:right w:w="108" w:type="dxa"/>
            </w:tcMar>
            <w:vAlign w:val="center"/>
          </w:tcPr>
          <w:p>
            <w:pPr>
              <w:snapToGrid w:val="0"/>
              <w:jc w:val="center"/>
              <w:rPr>
                <w:rFonts w:ascii="宋体" w:hAnsi="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9</w:t>
            </w:r>
          </w:p>
        </w:tc>
        <w:tc>
          <w:tcPr>
            <w:tcW w:w="6968" w:type="dxa"/>
            <w:tcMar>
              <w:top w:w="0" w:type="dxa"/>
              <w:left w:w="108" w:type="dxa"/>
              <w:bottom w:w="0" w:type="dxa"/>
              <w:right w:w="108" w:type="dxa"/>
            </w:tcMar>
            <w:vAlign w:val="center"/>
          </w:tcPr>
          <w:p>
            <w:pPr>
              <w:snapToGrid w:val="0"/>
              <w:jc w:val="left"/>
              <w:rPr>
                <w:rFonts w:ascii="宋体" w:hAnsi="宋体" w:cs="宋体"/>
                <w:color w:val="auto"/>
                <w:highlight w:val="none"/>
              </w:rPr>
            </w:pPr>
            <w:r>
              <w:rPr>
                <w:rFonts w:hint="eastAsia" w:ascii="宋体" w:hAnsi="宋体" w:cs="宋体"/>
                <w:color w:val="auto"/>
                <w:highlight w:val="none"/>
              </w:rPr>
              <w:t>具备履行合同所必需的设备和专业技术能力声明函</w:t>
            </w:r>
          </w:p>
        </w:tc>
        <w:tc>
          <w:tcPr>
            <w:tcW w:w="86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10</w:t>
            </w:r>
          </w:p>
        </w:tc>
        <w:tc>
          <w:tcPr>
            <w:tcW w:w="6968" w:type="dxa"/>
            <w:tcMar>
              <w:top w:w="0" w:type="dxa"/>
              <w:left w:w="108" w:type="dxa"/>
              <w:bottom w:w="0" w:type="dxa"/>
              <w:right w:w="108" w:type="dxa"/>
            </w:tcMar>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参加政府采购活动前3年内在经营活动中没有重大违法记录的书面声明</w:t>
            </w:r>
          </w:p>
        </w:tc>
        <w:tc>
          <w:tcPr>
            <w:tcW w:w="86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11</w:t>
            </w:r>
          </w:p>
        </w:tc>
        <w:tc>
          <w:tcPr>
            <w:tcW w:w="6968" w:type="dxa"/>
            <w:tcMar>
              <w:top w:w="0" w:type="dxa"/>
              <w:left w:w="108" w:type="dxa"/>
              <w:bottom w:w="0" w:type="dxa"/>
              <w:right w:w="108" w:type="dxa"/>
            </w:tcMar>
            <w:vAlign w:val="center"/>
          </w:tcPr>
          <w:p>
            <w:pPr>
              <w:adjustRightInd w:val="0"/>
              <w:snapToGrid w:val="0"/>
              <w:rPr>
                <w:rFonts w:hint="eastAsia" w:ascii="宋体" w:hAnsi="宋体" w:cs="Arial"/>
                <w:color w:val="auto"/>
                <w:kern w:val="0"/>
                <w:szCs w:val="21"/>
                <w:highlight w:val="none"/>
              </w:rPr>
            </w:pPr>
            <w:r>
              <w:rPr>
                <w:rFonts w:hint="eastAsia" w:ascii="宋体" w:hAnsi="宋体" w:cs="宋体"/>
                <w:color w:val="auto"/>
                <w:szCs w:val="21"/>
                <w:highlight w:val="none"/>
              </w:rPr>
              <w:t>其它资格证明文件：</w:t>
            </w:r>
            <w:r>
              <w:rPr>
                <w:rFonts w:hint="eastAsia" w:ascii="宋体" w:hAnsi="宋体" w:cs="Arial"/>
                <w:color w:val="auto"/>
                <w:kern w:val="0"/>
                <w:sz w:val="24"/>
                <w:highlight w:val="none"/>
                <w:lang w:eastAsia="zh-CN"/>
              </w:rPr>
              <w:t>供应商</w:t>
            </w:r>
            <w:r>
              <w:rPr>
                <w:rFonts w:hint="eastAsia" w:ascii="宋体" w:hAnsi="宋体" w:cs="Arial"/>
                <w:color w:val="auto"/>
                <w:kern w:val="0"/>
                <w:sz w:val="24"/>
                <w:highlight w:val="none"/>
              </w:rPr>
              <w:t>为进口产品的代理商时，必须提供货物制造商的授权（如是国内总代理出具的销售授权书，则需要附制造商给国内总代理的授权）</w:t>
            </w:r>
          </w:p>
        </w:tc>
        <w:tc>
          <w:tcPr>
            <w:tcW w:w="861" w:type="dxa"/>
            <w:tcMar>
              <w:top w:w="0" w:type="dxa"/>
              <w:left w:w="108" w:type="dxa"/>
              <w:bottom w:w="0" w:type="dxa"/>
              <w:right w:w="108" w:type="dxa"/>
            </w:tcMar>
            <w:vAlign w:val="center"/>
          </w:tcPr>
          <w:p>
            <w:pPr>
              <w:snapToGrid w:val="0"/>
              <w:jc w:val="center"/>
              <w:rPr>
                <w:rFonts w:ascii="宋体" w:hAnsi="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71" w:type="dxa"/>
            <w:tcMar>
              <w:top w:w="0" w:type="dxa"/>
              <w:left w:w="108" w:type="dxa"/>
              <w:bottom w:w="0" w:type="dxa"/>
              <w:right w:w="108" w:type="dxa"/>
            </w:tcMar>
            <w:vAlign w:val="center"/>
          </w:tcPr>
          <w:p>
            <w:pPr>
              <w:snapToGrid w:val="0"/>
              <w:jc w:val="center"/>
              <w:rPr>
                <w:rFonts w:ascii="宋体" w:hAnsi="宋体" w:cs="宋体"/>
                <w:color w:val="auto"/>
                <w:highlight w:val="none"/>
              </w:rPr>
            </w:pPr>
            <w:r>
              <w:rPr>
                <w:rFonts w:hint="eastAsia" w:ascii="宋体" w:hAnsi="宋体" w:cs="宋体"/>
                <w:color w:val="auto"/>
                <w:highlight w:val="none"/>
              </w:rPr>
              <w:t>12</w:t>
            </w:r>
          </w:p>
        </w:tc>
        <w:tc>
          <w:tcPr>
            <w:tcW w:w="6968" w:type="dxa"/>
            <w:tcMar>
              <w:top w:w="0" w:type="dxa"/>
              <w:left w:w="108" w:type="dxa"/>
              <w:bottom w:w="0" w:type="dxa"/>
              <w:right w:w="108" w:type="dxa"/>
            </w:tcMar>
            <w:vAlign w:val="center"/>
          </w:tcPr>
          <w:p>
            <w:pPr>
              <w:snapToGrid w:val="0"/>
              <w:jc w:val="left"/>
              <w:rPr>
                <w:rFonts w:ascii="宋体" w:hAnsi="宋体" w:cs="宋体"/>
                <w:color w:val="auto"/>
                <w:szCs w:val="21"/>
                <w:highlight w:val="none"/>
              </w:rPr>
            </w:pPr>
            <w:r>
              <w:rPr>
                <w:rFonts w:hint="eastAsia" w:ascii="宋体" w:hAnsi="宋体" w:cs="宋体"/>
                <w:color w:val="auto"/>
                <w:highlight w:val="none"/>
              </w:rPr>
              <w:t>信用记录（</w:t>
            </w:r>
            <w:r>
              <w:rPr>
                <w:rFonts w:hint="eastAsia" w:ascii="宋体" w:hAnsi="宋体" w:cs="宋体"/>
                <w:color w:val="auto"/>
                <w:szCs w:val="21"/>
                <w:highlight w:val="none"/>
              </w:rPr>
              <w:t>采购代理机构将在资格审查期间内查询</w:t>
            </w:r>
            <w:r>
              <w:rPr>
                <w:rFonts w:hint="eastAsia" w:ascii="宋体" w:hAnsi="宋体" w:cs="宋体"/>
                <w:color w:val="auto"/>
                <w:highlight w:val="none"/>
              </w:rPr>
              <w:t>）</w:t>
            </w:r>
          </w:p>
        </w:tc>
        <w:tc>
          <w:tcPr>
            <w:tcW w:w="861" w:type="dxa"/>
            <w:tcMar>
              <w:top w:w="0" w:type="dxa"/>
              <w:left w:w="108" w:type="dxa"/>
              <w:bottom w:w="0" w:type="dxa"/>
              <w:right w:w="108" w:type="dxa"/>
            </w:tcMar>
            <w:vAlign w:val="center"/>
          </w:tcPr>
          <w:p>
            <w:pPr>
              <w:snapToGrid w:val="0"/>
              <w:jc w:val="center"/>
              <w:rPr>
                <w:rFonts w:ascii="宋体" w:hAnsi="宋体" w:cs="宋体"/>
                <w:color w:val="auto"/>
                <w:highlight w:val="none"/>
              </w:rPr>
            </w:pPr>
          </w:p>
        </w:tc>
      </w:tr>
    </w:tbl>
    <w:p>
      <w:pPr>
        <w:spacing w:line="360" w:lineRule="exact"/>
        <w:ind w:firstLine="482" w:firstLineChars="200"/>
        <w:rPr>
          <w:rFonts w:ascii="宋体" w:hAnsi="宋体" w:cs="宋体"/>
          <w:b/>
          <w:color w:val="auto"/>
          <w:sz w:val="24"/>
          <w:highlight w:val="none"/>
        </w:rPr>
      </w:pPr>
    </w:p>
    <w:p>
      <w:pPr>
        <w:spacing w:line="360" w:lineRule="exact"/>
        <w:ind w:firstLine="482" w:firstLineChars="200"/>
        <w:rPr>
          <w:rFonts w:ascii="宋体" w:hAnsi="宋体" w:cs="宋体"/>
          <w:b/>
          <w:color w:val="auto"/>
          <w:sz w:val="24"/>
          <w:highlight w:val="none"/>
        </w:rPr>
      </w:pPr>
    </w:p>
    <w:p>
      <w:pPr>
        <w:spacing w:line="360" w:lineRule="exact"/>
        <w:ind w:firstLine="482" w:firstLineChars="200"/>
        <w:rPr>
          <w:rFonts w:ascii="宋体" w:hAnsi="宋体" w:cs="宋体"/>
          <w:b/>
          <w:color w:val="auto"/>
          <w:sz w:val="24"/>
          <w:highlight w:val="none"/>
        </w:rPr>
      </w:pPr>
    </w:p>
    <w:p>
      <w:pPr>
        <w:spacing w:line="360" w:lineRule="exact"/>
        <w:ind w:firstLine="482" w:firstLineChars="200"/>
        <w:rPr>
          <w:rFonts w:ascii="宋体" w:hAnsi="宋体" w:cs="宋体"/>
          <w:b/>
          <w:color w:val="auto"/>
          <w:sz w:val="24"/>
          <w:highlight w:val="none"/>
        </w:rPr>
      </w:pPr>
    </w:p>
    <w:p>
      <w:pPr>
        <w:spacing w:line="360" w:lineRule="exact"/>
        <w:ind w:firstLine="482" w:firstLineChars="200"/>
        <w:rPr>
          <w:rFonts w:ascii="宋体" w:hAnsi="宋体" w:cs="宋体"/>
          <w:b/>
          <w:color w:val="auto"/>
          <w:sz w:val="24"/>
          <w:highlight w:val="none"/>
        </w:rPr>
      </w:pPr>
    </w:p>
    <w:p>
      <w:pPr>
        <w:spacing w:line="360" w:lineRule="exact"/>
        <w:ind w:firstLine="482" w:firstLineChars="200"/>
        <w:rPr>
          <w:rFonts w:ascii="宋体" w:hAnsi="宋体" w:cs="宋体"/>
          <w:b/>
          <w:color w:val="auto"/>
          <w:sz w:val="24"/>
          <w:highlight w:val="none"/>
        </w:rPr>
      </w:pPr>
    </w:p>
    <w:p>
      <w:pP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三、符合性证明材料（有一项不符合要求，不能进入下一阶段评审）</w:t>
      </w:r>
    </w:p>
    <w:bookmarkEnd w:id="53"/>
    <w:bookmarkEnd w:id="54"/>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965"/>
        <w:gridCol w:w="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696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符合性证明材料审查内容</w:t>
            </w:r>
          </w:p>
        </w:tc>
        <w:tc>
          <w:tcPr>
            <w:tcW w:w="85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6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响应函</w:t>
            </w:r>
          </w:p>
        </w:tc>
        <w:tc>
          <w:tcPr>
            <w:tcW w:w="85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65" w:type="dxa"/>
            <w:vAlign w:val="center"/>
          </w:tcPr>
          <w:p>
            <w:pPr>
              <w:rPr>
                <w:rFonts w:ascii="宋体" w:hAnsi="宋体" w:cs="宋体"/>
                <w:color w:val="auto"/>
                <w:szCs w:val="21"/>
                <w:highlight w:val="none"/>
              </w:rPr>
            </w:pPr>
            <w:r>
              <w:rPr>
                <w:rFonts w:hint="eastAsia" w:ascii="宋体" w:hAnsi="宋体" w:cs="宋体"/>
                <w:color w:val="auto"/>
                <w:kern w:val="0"/>
                <w:szCs w:val="21"/>
                <w:highlight w:val="none"/>
              </w:rPr>
              <w:t>递交磋商保证金证明材料复印件（以保函形式递交的保证金，正本应放入保函原件）</w:t>
            </w:r>
          </w:p>
        </w:tc>
        <w:tc>
          <w:tcPr>
            <w:tcW w:w="855" w:type="dxa"/>
            <w:vAlign w:val="center"/>
          </w:tcPr>
          <w:p>
            <w:pPr>
              <w:spacing w:line="36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6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报价一览表</w:t>
            </w:r>
          </w:p>
        </w:tc>
        <w:tc>
          <w:tcPr>
            <w:tcW w:w="85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96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分项报价表</w:t>
            </w:r>
          </w:p>
        </w:tc>
        <w:tc>
          <w:tcPr>
            <w:tcW w:w="85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65"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技术规格偏离表</w:t>
            </w:r>
          </w:p>
        </w:tc>
        <w:tc>
          <w:tcPr>
            <w:tcW w:w="85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65" w:type="dxa"/>
            <w:vAlign w:val="center"/>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商务条款偏离表</w:t>
            </w:r>
          </w:p>
        </w:tc>
        <w:tc>
          <w:tcPr>
            <w:tcW w:w="85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965" w:type="dxa"/>
            <w:vAlign w:val="center"/>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供应商关联单位说明</w:t>
            </w:r>
          </w:p>
        </w:tc>
        <w:tc>
          <w:tcPr>
            <w:tcW w:w="85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6965" w:type="dxa"/>
            <w:vAlign w:val="center"/>
          </w:tcPr>
          <w:p>
            <w:pPr>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《品目清单》、国家确定的认证机构出具的、处于有效期之内的《节能产品认证证书》（政府强制采购的节能产品须提供）</w:t>
            </w:r>
          </w:p>
        </w:tc>
        <w:tc>
          <w:tcPr>
            <w:tcW w:w="855" w:type="dxa"/>
            <w:vAlign w:val="center"/>
          </w:tcPr>
          <w:p>
            <w:pPr>
              <w:spacing w:line="36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6965" w:type="dxa"/>
            <w:vAlign w:val="center"/>
          </w:tcPr>
          <w:p>
            <w:pPr>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其他符合性证明材料：</w:t>
            </w:r>
          </w:p>
          <w:p>
            <w:pPr>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货物主要技术指标和性能的详细说明（产品技术说明书、技术白皮书、产品彩页等文字资料、图纸和数据均可），备件和专用工具清单、检测报告等（如适用）</w:t>
            </w:r>
          </w:p>
        </w:tc>
        <w:tc>
          <w:tcPr>
            <w:tcW w:w="855" w:type="dxa"/>
            <w:vAlign w:val="center"/>
          </w:tcPr>
          <w:p>
            <w:pPr>
              <w:spacing w:line="36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Align w:val="center"/>
          </w:tcPr>
          <w:p>
            <w:pPr>
              <w:spacing w:line="360" w:lineRule="exact"/>
              <w:jc w:val="center"/>
              <w:rPr>
                <w:rFonts w:ascii="宋体" w:hAnsi="宋体" w:cs="宋体"/>
                <w:color w:val="auto"/>
                <w:kern w:val="0"/>
                <w:szCs w:val="21"/>
                <w:highlight w:val="none"/>
              </w:rPr>
            </w:pPr>
          </w:p>
        </w:tc>
        <w:tc>
          <w:tcPr>
            <w:tcW w:w="6965" w:type="dxa"/>
            <w:vAlign w:val="center"/>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5" w:type="dxa"/>
            <w:vAlign w:val="center"/>
          </w:tcPr>
          <w:p>
            <w:pPr>
              <w:spacing w:line="360" w:lineRule="exact"/>
              <w:jc w:val="center"/>
              <w:rPr>
                <w:rFonts w:ascii="宋体" w:hAnsi="宋体" w:cs="宋体"/>
                <w:color w:val="auto"/>
                <w:kern w:val="0"/>
                <w:szCs w:val="21"/>
                <w:highlight w:val="none"/>
              </w:rPr>
            </w:pPr>
          </w:p>
        </w:tc>
      </w:tr>
    </w:tbl>
    <w:p>
      <w:pPr>
        <w:spacing w:line="360" w:lineRule="exact"/>
        <w:ind w:firstLine="482" w:firstLineChars="200"/>
        <w:jc w:val="left"/>
        <w:rPr>
          <w:rFonts w:ascii="宋体" w:hAnsi="宋体" w:cs="宋体"/>
          <w:b/>
          <w:color w:val="auto"/>
          <w:sz w:val="24"/>
          <w:highlight w:val="none"/>
        </w:rPr>
      </w:pPr>
    </w:p>
    <w:p>
      <w:pPr>
        <w:spacing w:line="3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四、其他材料</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6886"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其他材料</w:t>
            </w:r>
          </w:p>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（采购文件要求的以及供应商认为需要提供的其它材料）</w:t>
            </w:r>
          </w:p>
        </w:tc>
        <w:tc>
          <w:tcPr>
            <w:tcW w:w="85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886" w:type="dxa"/>
            <w:vAlign w:val="center"/>
          </w:tcPr>
          <w:p>
            <w:p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《品目清单》、国家确定的认证机构出具的、处于有效期之内的《节能产品认证证书》（非政府强制采购的节能产品可以提供） 、《环境标志产品认证证书》</w:t>
            </w:r>
          </w:p>
        </w:tc>
        <w:tc>
          <w:tcPr>
            <w:tcW w:w="855" w:type="dxa"/>
            <w:vAlign w:val="center"/>
          </w:tcPr>
          <w:p>
            <w:pPr>
              <w:spacing w:line="36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886" w:type="dxa"/>
            <w:vAlign w:val="center"/>
          </w:tcPr>
          <w:p>
            <w:pPr>
              <w:spacing w:line="360" w:lineRule="exact"/>
              <w:ind w:left="25" w:leftChars="12"/>
              <w:rPr>
                <w:rFonts w:ascii="宋体" w:hAnsi="宋体" w:cs="宋体"/>
                <w:color w:val="auto"/>
                <w:kern w:val="0"/>
                <w:szCs w:val="21"/>
                <w:highlight w:val="none"/>
              </w:rPr>
            </w:pPr>
            <w:r>
              <w:rPr>
                <w:rFonts w:hint="eastAsia" w:ascii="宋体" w:hAnsi="宋体" w:cs="宋体"/>
                <w:color w:val="auto"/>
                <w:kern w:val="0"/>
                <w:szCs w:val="21"/>
                <w:highlight w:val="none"/>
              </w:rPr>
              <w:t>监狱企业证明文件</w:t>
            </w:r>
          </w:p>
        </w:tc>
        <w:tc>
          <w:tcPr>
            <w:tcW w:w="855" w:type="dxa"/>
            <w:vAlign w:val="center"/>
          </w:tcPr>
          <w:p>
            <w:pPr>
              <w:spacing w:line="36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886" w:type="dxa"/>
            <w:vAlign w:val="center"/>
          </w:tcPr>
          <w:p>
            <w:pPr>
              <w:spacing w:line="360" w:lineRule="exact"/>
              <w:ind w:left="25" w:leftChars="12"/>
              <w:rPr>
                <w:rFonts w:ascii="宋体" w:hAnsi="宋体" w:cs="宋体"/>
                <w:color w:val="auto"/>
                <w:kern w:val="0"/>
                <w:szCs w:val="21"/>
                <w:highlight w:val="none"/>
              </w:rPr>
            </w:pPr>
            <w:r>
              <w:rPr>
                <w:rFonts w:hint="eastAsia" w:ascii="宋体" w:hAnsi="宋体" w:cs="宋体"/>
                <w:color w:val="auto"/>
                <w:kern w:val="0"/>
                <w:szCs w:val="21"/>
                <w:highlight w:val="none"/>
              </w:rPr>
              <w:t>中小企业声明函</w:t>
            </w:r>
          </w:p>
        </w:tc>
        <w:tc>
          <w:tcPr>
            <w:tcW w:w="85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886" w:type="dxa"/>
            <w:vAlign w:val="center"/>
          </w:tcPr>
          <w:p>
            <w:pPr>
              <w:spacing w:line="360" w:lineRule="exact"/>
              <w:ind w:left="25" w:leftChars="12"/>
              <w:rPr>
                <w:rFonts w:ascii="宋体" w:hAnsi="宋体" w:cs="宋体"/>
                <w:color w:val="auto"/>
                <w:szCs w:val="21"/>
                <w:highlight w:val="none"/>
              </w:rPr>
            </w:pPr>
            <w:r>
              <w:rPr>
                <w:rFonts w:hint="eastAsia" w:ascii="宋体" w:hAnsi="宋体" w:cs="宋体"/>
                <w:color w:val="auto"/>
                <w:szCs w:val="21"/>
                <w:highlight w:val="none"/>
              </w:rPr>
              <w:t>残疾人福利性单位声明函</w:t>
            </w:r>
          </w:p>
        </w:tc>
        <w:tc>
          <w:tcPr>
            <w:tcW w:w="855"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886" w:type="dxa"/>
            <w:vAlign w:val="center"/>
          </w:tcPr>
          <w:p>
            <w:pPr>
              <w:spacing w:line="360" w:lineRule="exact"/>
              <w:ind w:left="25" w:leftChars="12"/>
              <w:rPr>
                <w:rFonts w:ascii="宋体" w:hAnsi="宋体" w:cs="宋体"/>
                <w:color w:val="auto"/>
                <w:szCs w:val="21"/>
                <w:highlight w:val="none"/>
              </w:rPr>
            </w:pPr>
            <w:r>
              <w:rPr>
                <w:rFonts w:hint="eastAsia" w:ascii="宋体" w:hAnsi="宋体" w:cs="宋体"/>
                <w:color w:val="auto"/>
                <w:szCs w:val="21"/>
                <w:highlight w:val="none"/>
              </w:rPr>
              <w:t>其他</w:t>
            </w:r>
          </w:p>
        </w:tc>
        <w:tc>
          <w:tcPr>
            <w:tcW w:w="855" w:type="dxa"/>
            <w:vAlign w:val="center"/>
          </w:tcPr>
          <w:p>
            <w:pPr>
              <w:spacing w:line="36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Align w:val="center"/>
          </w:tcPr>
          <w:p>
            <w:pPr>
              <w:spacing w:line="360" w:lineRule="exact"/>
              <w:jc w:val="center"/>
              <w:rPr>
                <w:rFonts w:ascii="宋体" w:hAnsi="宋体" w:cs="宋体"/>
                <w:color w:val="auto"/>
                <w:kern w:val="0"/>
                <w:szCs w:val="21"/>
                <w:highlight w:val="none"/>
              </w:rPr>
            </w:pPr>
          </w:p>
        </w:tc>
        <w:tc>
          <w:tcPr>
            <w:tcW w:w="6886" w:type="dxa"/>
            <w:vAlign w:val="center"/>
          </w:tcPr>
          <w:p>
            <w:pPr>
              <w:pStyle w:val="33"/>
              <w:spacing w:line="360" w:lineRule="exact"/>
              <w:ind w:left="25" w:leftChars="12"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5" w:type="dxa"/>
            <w:vAlign w:val="center"/>
          </w:tcPr>
          <w:p>
            <w:pPr>
              <w:spacing w:line="360" w:lineRule="exact"/>
              <w:jc w:val="center"/>
              <w:rPr>
                <w:rFonts w:ascii="宋体" w:hAnsi="宋体" w:cs="宋体"/>
                <w:color w:val="auto"/>
                <w:kern w:val="0"/>
                <w:szCs w:val="21"/>
                <w:highlight w:val="none"/>
              </w:rPr>
            </w:pPr>
          </w:p>
        </w:tc>
      </w:tr>
    </w:tbl>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 重要提示：</w:t>
      </w:r>
    </w:p>
    <w:p>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1、供应商提供的证明材料，除需要供应商填报或有特殊说明外，均须按要求提供。</w:t>
      </w:r>
      <w:r>
        <w:rPr>
          <w:rFonts w:hint="eastAsia" w:ascii="宋体" w:hAnsi="宋体" w:cs="宋体"/>
          <w:b/>
          <w:bCs/>
          <w:color w:val="auto"/>
          <w:szCs w:val="21"/>
          <w:highlight w:val="none"/>
        </w:rPr>
        <w:t xml:space="preserve"> </w:t>
      </w:r>
    </w:p>
    <w:p>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3、响应文件应用中文书写。响应文件中所附或所引用的材料不是中文时，应附中文译本，并加盖公章。</w:t>
      </w:r>
    </w:p>
    <w:p>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4、“资格证明材料”所列内容即为采购项目的资格审查条件，有一项不符合要求，不能进入下一阶段评审。</w:t>
      </w:r>
    </w:p>
    <w:p>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5、“符合性证明材料”所列内容即为采购项目的符合性审查条件，有一项不符合要求，不能进入下一阶段评审。</w:t>
      </w:r>
    </w:p>
    <w:p>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6、“其他材料”为供应商就采购文件要求的以及供应商认为需要提供的相应材料。</w:t>
      </w:r>
    </w:p>
    <w:p>
      <w:pPr>
        <w:widowControl/>
        <w:jc w:val="left"/>
        <w:rPr>
          <w:rFonts w:ascii="宋体" w:hAnsi="宋体" w:cs="宋体"/>
          <w:color w:val="auto"/>
          <w:kern w:val="0"/>
          <w:sz w:val="20"/>
          <w:szCs w:val="21"/>
          <w:highlight w:val="none"/>
        </w:rPr>
      </w:pPr>
    </w:p>
    <w:p>
      <w:pPr>
        <w:widowControl/>
        <w:jc w:val="left"/>
        <w:outlineLvl w:val="1"/>
        <w:rPr>
          <w:rFonts w:ascii="宋体" w:hAnsi="宋体" w:cs="宋体"/>
          <w:color w:val="auto"/>
          <w:kern w:val="0"/>
          <w:sz w:val="20"/>
          <w:szCs w:val="21"/>
          <w:highlight w:val="none"/>
        </w:rPr>
      </w:pPr>
      <w:r>
        <w:rPr>
          <w:rFonts w:hint="eastAsia" w:ascii="宋体" w:hAnsi="宋体" w:cs="宋体"/>
          <w:color w:val="auto"/>
          <w:kern w:val="0"/>
          <w:sz w:val="20"/>
          <w:szCs w:val="21"/>
          <w:highlight w:val="none"/>
        </w:rPr>
        <w:br w:type="page"/>
      </w:r>
      <w:bookmarkStart w:id="55" w:name="_Toc533340149"/>
      <w:bookmarkStart w:id="56" w:name="_Toc4485626"/>
    </w:p>
    <w:p>
      <w:pPr>
        <w:widowControl/>
        <w:jc w:val="left"/>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格式1</w:t>
      </w:r>
      <w:bookmarkEnd w:id="55"/>
      <w:bookmarkEnd w:id="56"/>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响应文件、电子文档外封面、封口格式</w:t>
      </w:r>
    </w:p>
    <w:p>
      <w:pPr>
        <w:rPr>
          <w:rFonts w:ascii="宋体" w:hAnsi="宋体" w:cs="宋体"/>
          <w:color w:val="auto"/>
          <w:highlight w:val="none"/>
        </w:rPr>
      </w:pPr>
      <w:r>
        <w:rPr>
          <w:rFonts w:hint="eastAsia" w:ascii="宋体" w:hAnsi="宋体" w:cs="宋体"/>
          <w:color w:val="auto"/>
          <w:sz w:val="28"/>
          <w:szCs w:val="28"/>
          <w:highlight w:val="none"/>
        </w:rPr>
        <w:t>封面格式：</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Borders>
              <w:top w:val="single" w:color="auto" w:sz="12" w:space="0"/>
              <w:left w:val="single" w:color="auto" w:sz="12" w:space="0"/>
              <w:bottom w:val="single" w:color="auto" w:sz="12" w:space="0"/>
              <w:right w:val="single" w:color="auto" w:sz="12" w:space="0"/>
            </w:tcBorders>
          </w:tcPr>
          <w:p>
            <w:pPr>
              <w:jc w:val="center"/>
              <w:rPr>
                <w:rFonts w:ascii="宋体" w:hAnsi="宋体" w:cs="宋体"/>
                <w:b/>
                <w:bCs/>
                <w:color w:val="auto"/>
                <w:highlight w:val="none"/>
              </w:rPr>
            </w:pPr>
          </w:p>
          <w:p>
            <w:pPr>
              <w:jc w:val="center"/>
              <w:rPr>
                <w:rFonts w:ascii="宋体" w:hAnsi="宋体" w:cs="宋体"/>
                <w:b/>
                <w:bCs/>
                <w:color w:val="auto"/>
                <w:highlight w:val="none"/>
              </w:rPr>
            </w:pPr>
          </w:p>
          <w:p>
            <w:pPr>
              <w:jc w:val="center"/>
              <w:rPr>
                <w:rFonts w:ascii="宋体" w:hAnsi="宋体" w:cs="宋体"/>
                <w:b/>
                <w:bCs/>
                <w:color w:val="auto"/>
                <w:highlight w:val="none"/>
              </w:rPr>
            </w:pPr>
          </w:p>
          <w:p>
            <w:pPr>
              <w:jc w:val="center"/>
              <w:rPr>
                <w:rFonts w:ascii="宋体" w:hAnsi="宋体" w:cs="宋体"/>
                <w:b/>
                <w:bCs/>
                <w:color w:val="auto"/>
                <w:highlight w:val="none"/>
              </w:rPr>
            </w:pPr>
          </w:p>
          <w:p>
            <w:pPr>
              <w:jc w:val="center"/>
              <w:rPr>
                <w:rFonts w:ascii="宋体" w:hAnsi="宋体" w:cs="宋体"/>
                <w:b/>
                <w:bCs/>
                <w:color w:val="auto"/>
                <w:highlight w:val="none"/>
              </w:rPr>
            </w:pPr>
          </w:p>
          <w:p>
            <w:pPr>
              <w:jc w:val="center"/>
              <w:rPr>
                <w:rFonts w:ascii="宋体" w:hAnsi="宋体" w:cs="宋体"/>
                <w:b/>
                <w:bCs/>
                <w:color w:val="auto"/>
                <w:highlight w:val="none"/>
              </w:rPr>
            </w:pPr>
            <w:r>
              <w:rPr>
                <w:rFonts w:hint="eastAsia" w:ascii="宋体" w:hAnsi="宋体" w:cs="宋体"/>
                <w:b/>
                <w:bCs/>
                <w:color w:val="auto"/>
                <w:sz w:val="44"/>
                <w:szCs w:val="52"/>
                <w:highlight w:val="none"/>
              </w:rPr>
              <w:t>响应文件/电子文档</w:t>
            </w: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r>
              <w:rPr>
                <w:rFonts w:hint="eastAsia" w:ascii="宋体" w:hAnsi="宋体" w:cs="宋体"/>
                <w:color w:val="auto"/>
                <w:highlight w:val="none"/>
              </w:rPr>
              <w:t>包号：</w:t>
            </w:r>
          </w:p>
          <w:p>
            <w:pPr>
              <w:jc w:val="left"/>
              <w:rPr>
                <w:rFonts w:ascii="宋体" w:hAnsi="宋体" w:cs="宋体"/>
                <w:color w:val="auto"/>
                <w:highlight w:val="none"/>
              </w:rPr>
            </w:pPr>
          </w:p>
          <w:p>
            <w:pPr>
              <w:jc w:val="left"/>
              <w:rPr>
                <w:rFonts w:ascii="宋体" w:hAnsi="宋体" w:cs="宋体"/>
                <w:color w:val="auto"/>
                <w:highlight w:val="none"/>
              </w:rPr>
            </w:pPr>
            <w:r>
              <w:rPr>
                <w:rFonts w:hint="eastAsia" w:ascii="宋体" w:hAnsi="宋体" w:cs="宋体"/>
                <w:color w:val="auto"/>
                <w:highlight w:val="none"/>
              </w:rPr>
              <w:t>项目名称：</w:t>
            </w:r>
          </w:p>
          <w:p>
            <w:pPr>
              <w:jc w:val="left"/>
              <w:rPr>
                <w:rFonts w:ascii="宋体" w:hAnsi="宋体" w:cs="宋体"/>
                <w:color w:val="auto"/>
                <w:highlight w:val="none"/>
              </w:rPr>
            </w:pPr>
          </w:p>
          <w:p>
            <w:pPr>
              <w:jc w:val="left"/>
              <w:rPr>
                <w:rFonts w:ascii="宋体" w:hAnsi="宋体" w:cs="宋体"/>
                <w:color w:val="auto"/>
                <w:highlight w:val="none"/>
              </w:rPr>
            </w:pPr>
            <w:r>
              <w:rPr>
                <w:rFonts w:hint="eastAsia" w:ascii="宋体" w:hAnsi="宋体" w:cs="宋体"/>
                <w:color w:val="auto"/>
                <w:highlight w:val="none"/>
              </w:rPr>
              <w:t>项目编号：</w:t>
            </w:r>
          </w:p>
          <w:p>
            <w:pPr>
              <w:jc w:val="center"/>
              <w:rPr>
                <w:rFonts w:ascii="宋体" w:hAnsi="宋体" w:cs="宋体"/>
                <w:color w:val="auto"/>
                <w:highlight w:val="none"/>
              </w:rPr>
            </w:pPr>
          </w:p>
          <w:p>
            <w:pPr>
              <w:jc w:val="center"/>
              <w:rPr>
                <w:rFonts w:ascii="宋体" w:hAnsi="宋体" w:cs="宋体"/>
                <w:color w:val="auto"/>
                <w:highlight w:val="none"/>
              </w:rPr>
            </w:pPr>
          </w:p>
          <w:p>
            <w:pPr>
              <w:jc w:val="center"/>
              <w:rPr>
                <w:rFonts w:ascii="宋体" w:hAnsi="宋体" w:cs="宋体"/>
                <w:color w:val="auto"/>
                <w:highlight w:val="none"/>
              </w:rPr>
            </w:pPr>
          </w:p>
          <w:p>
            <w:pPr>
              <w:jc w:val="left"/>
              <w:rPr>
                <w:rFonts w:ascii="宋体" w:hAnsi="宋体" w:cs="宋体"/>
                <w:color w:val="auto"/>
                <w:highlight w:val="none"/>
              </w:rPr>
            </w:pPr>
            <w:r>
              <w:rPr>
                <w:rFonts w:hint="eastAsia" w:ascii="宋体" w:hAnsi="宋体" w:cs="宋体"/>
                <w:color w:val="auto"/>
                <w:highlight w:val="none"/>
              </w:rPr>
              <w:t>供应商名称（公章）</w:t>
            </w:r>
          </w:p>
        </w:tc>
      </w:tr>
    </w:tbl>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sz w:val="24"/>
          <w:szCs w:val="32"/>
          <w:highlight w:val="none"/>
        </w:rPr>
        <w:t>封口格式：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——于   年  月  日   时之前不准启封（公章）——</w:t>
            </w:r>
          </w:p>
        </w:tc>
      </w:tr>
    </w:tbl>
    <w:p>
      <w:pPr>
        <w:outlineLvl w:val="1"/>
        <w:rPr>
          <w:rFonts w:ascii="宋体" w:hAnsi="宋体" w:cs="宋体"/>
          <w:color w:val="auto"/>
          <w:highlight w:val="none"/>
        </w:rPr>
      </w:pPr>
      <w:r>
        <w:rPr>
          <w:rFonts w:hint="eastAsia" w:ascii="宋体" w:hAnsi="宋体" w:cs="宋体"/>
          <w:color w:val="auto"/>
          <w:highlight w:val="none"/>
        </w:rPr>
        <w:br w:type="page"/>
      </w:r>
      <w:bookmarkStart w:id="57" w:name="_Toc533340150"/>
      <w:bookmarkStart w:id="58" w:name="_Toc4485627"/>
    </w:p>
    <w:p>
      <w:pPr>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格式2</w:t>
      </w:r>
      <w:bookmarkEnd w:id="57"/>
      <w:bookmarkEnd w:id="58"/>
    </w:p>
    <w:p>
      <w:pPr>
        <w:jc w:val="center"/>
        <w:rPr>
          <w:rFonts w:ascii="宋体" w:hAnsi="宋体" w:cs="宋体"/>
          <w:b/>
          <w:bCs/>
          <w:color w:val="auto"/>
          <w:sz w:val="32"/>
          <w:szCs w:val="32"/>
          <w:highlight w:val="none"/>
        </w:rPr>
      </w:pPr>
      <w:r>
        <w:rPr>
          <w:rFonts w:hint="eastAsia" w:ascii="宋体" w:hAnsi="宋体" w:cs="宋体"/>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3810" b="825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宋体" w:hAnsi="宋体" w:cs="宋体"/>
          <w:b/>
          <w:bCs/>
          <w:color w:val="auto"/>
          <w:sz w:val="32"/>
          <w:szCs w:val="32"/>
          <w:highlight w:val="none"/>
        </w:rPr>
        <w:t>响应文件的封皮</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响  应  文  件</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r>
        <w:rPr>
          <w:rFonts w:hint="eastAsia" w:ascii="宋体" w:hAnsi="宋体" w:cs="宋体"/>
          <w:color w:val="auto"/>
          <w:sz w:val="28"/>
          <w:szCs w:val="28"/>
          <w:highlight w:val="none"/>
        </w:rPr>
        <w:t>包号：</w:t>
      </w:r>
    </w:p>
    <w:p>
      <w:pPr>
        <w:rPr>
          <w:rFonts w:ascii="宋体" w:hAnsi="宋体" w:cs="宋体"/>
          <w:color w:val="auto"/>
          <w:sz w:val="28"/>
          <w:szCs w:val="28"/>
          <w:highlight w:val="none"/>
        </w:rPr>
      </w:pPr>
      <w:r>
        <w:rPr>
          <w:rFonts w:hint="eastAsia" w:ascii="宋体" w:hAnsi="宋体" w:cs="宋体"/>
          <w:color w:val="auto"/>
          <w:sz w:val="28"/>
          <w:szCs w:val="28"/>
          <w:highlight w:val="none"/>
        </w:rPr>
        <w:t>项目名称：</w:t>
      </w:r>
    </w:p>
    <w:p>
      <w:pPr>
        <w:rPr>
          <w:rFonts w:ascii="宋体" w:hAnsi="宋体" w:cs="宋体"/>
          <w:color w:val="auto"/>
          <w:sz w:val="28"/>
          <w:szCs w:val="28"/>
          <w:highlight w:val="none"/>
        </w:rPr>
      </w:pPr>
      <w:r>
        <w:rPr>
          <w:rFonts w:hint="eastAsia" w:ascii="宋体" w:hAnsi="宋体" w:cs="宋体"/>
          <w:color w:val="auto"/>
          <w:sz w:val="28"/>
          <w:szCs w:val="28"/>
          <w:highlight w:val="none"/>
        </w:rPr>
        <w:t>项目编号：</w:t>
      </w:r>
    </w:p>
    <w:p>
      <w:pPr>
        <w:rPr>
          <w:rFonts w:ascii="宋体" w:hAnsi="宋体" w:cs="宋体"/>
          <w:color w:val="auto"/>
          <w:sz w:val="28"/>
          <w:szCs w:val="28"/>
          <w:highlight w:val="none"/>
        </w:rPr>
      </w:pPr>
      <w:r>
        <w:rPr>
          <w:rFonts w:hint="eastAsia" w:ascii="宋体" w:hAnsi="宋体" w:cs="宋体"/>
          <w:color w:val="auto"/>
          <w:sz w:val="28"/>
          <w:szCs w:val="28"/>
          <w:highlight w:val="none"/>
        </w:rPr>
        <w:t>供应商名称 ：</w:t>
      </w:r>
    </w:p>
    <w:p>
      <w:pPr>
        <w:outlineLvl w:val="1"/>
        <w:rPr>
          <w:rFonts w:ascii="宋体" w:hAnsi="宋体" w:cs="宋体"/>
          <w:color w:val="auto"/>
          <w:sz w:val="28"/>
          <w:szCs w:val="28"/>
          <w:highlight w:val="none"/>
        </w:rPr>
      </w:pPr>
      <w:r>
        <w:rPr>
          <w:rFonts w:hint="eastAsia" w:ascii="宋体" w:hAnsi="宋体" w:cs="宋体"/>
          <w:color w:val="auto"/>
          <w:sz w:val="28"/>
          <w:szCs w:val="28"/>
          <w:highlight w:val="none"/>
        </w:rPr>
        <w:br w:type="page"/>
      </w:r>
      <w:bookmarkStart w:id="59" w:name="_Toc533340151"/>
      <w:bookmarkStart w:id="60" w:name="_Toc4485628"/>
    </w:p>
    <w:p>
      <w:pPr>
        <w:outlineLvl w:val="1"/>
        <w:rPr>
          <w:rFonts w:ascii="宋体" w:hAnsi="宋体" w:cs="宋体"/>
          <w:color w:val="auto"/>
          <w:sz w:val="28"/>
          <w:szCs w:val="28"/>
          <w:highlight w:val="none"/>
        </w:rPr>
      </w:pPr>
      <w:r>
        <w:rPr>
          <w:rFonts w:hint="eastAsia" w:ascii="宋体" w:hAnsi="宋体" w:cs="宋体"/>
          <w:b/>
          <w:bCs/>
          <w:color w:val="auto"/>
          <w:sz w:val="28"/>
          <w:szCs w:val="28"/>
          <w:highlight w:val="none"/>
        </w:rPr>
        <w:t>格式3</w:t>
      </w:r>
      <w:bookmarkEnd w:id="59"/>
      <w:bookmarkEnd w:id="60"/>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  录</w:t>
      </w:r>
    </w:p>
    <w:p>
      <w:pPr>
        <w:rPr>
          <w:rFonts w:ascii="宋体" w:hAnsi="宋体" w:cs="宋体"/>
          <w:color w:val="auto"/>
          <w:highlight w:val="none"/>
        </w:rPr>
      </w:pPr>
      <w:r>
        <w:rPr>
          <w:rFonts w:hint="eastAsia" w:ascii="宋体" w:hAnsi="宋体" w:cs="宋体"/>
          <w:color w:val="auto"/>
          <w:highlight w:val="none"/>
        </w:rPr>
        <w:t>一、资格性证明材料</w:t>
      </w:r>
    </w:p>
    <w:p>
      <w:pPr>
        <w:rPr>
          <w:rFonts w:ascii="宋体" w:hAnsi="宋体" w:cs="宋体"/>
          <w:color w:val="auto"/>
          <w:highlight w:val="none"/>
        </w:rPr>
      </w:pPr>
      <w:r>
        <w:rPr>
          <w:rFonts w:hint="eastAsia" w:ascii="宋体" w:hAnsi="宋体" w:cs="宋体"/>
          <w:color w:val="auto"/>
          <w:highlight w:val="none"/>
        </w:rPr>
        <w:t>……</w:t>
      </w:r>
    </w:p>
    <w:p>
      <w:pPr>
        <w:rPr>
          <w:rFonts w:ascii="宋体" w:hAnsi="宋体" w:cs="宋体"/>
          <w:color w:val="auto"/>
          <w:highlight w:val="none"/>
        </w:rPr>
      </w:pPr>
      <w:r>
        <w:rPr>
          <w:rFonts w:hint="eastAsia" w:ascii="宋体" w:hAnsi="宋体" w:cs="宋体"/>
          <w:color w:val="auto"/>
          <w:highlight w:val="none"/>
        </w:rPr>
        <w:t>二、符合性证明材料</w:t>
      </w:r>
    </w:p>
    <w:p>
      <w:pPr>
        <w:rPr>
          <w:rFonts w:ascii="宋体" w:hAnsi="宋体" w:cs="宋体"/>
          <w:color w:val="auto"/>
          <w:highlight w:val="none"/>
        </w:rPr>
      </w:pPr>
      <w:r>
        <w:rPr>
          <w:rFonts w:hint="eastAsia" w:ascii="宋体" w:hAnsi="宋体" w:cs="宋体"/>
          <w:color w:val="auto"/>
          <w:highlight w:val="none"/>
        </w:rPr>
        <w:t>……</w:t>
      </w:r>
    </w:p>
    <w:p>
      <w:pPr>
        <w:rPr>
          <w:rFonts w:ascii="宋体" w:hAnsi="宋体" w:cs="宋体"/>
          <w:color w:val="auto"/>
          <w:highlight w:val="none"/>
        </w:rPr>
      </w:pPr>
      <w:r>
        <w:rPr>
          <w:rFonts w:hint="eastAsia" w:ascii="宋体" w:hAnsi="宋体" w:cs="宋体"/>
          <w:color w:val="auto"/>
          <w:highlight w:val="none"/>
        </w:rPr>
        <w:t>三、其它材料</w:t>
      </w:r>
    </w:p>
    <w:p>
      <w:pPr>
        <w:rPr>
          <w:rFonts w:ascii="宋体" w:hAnsi="宋体" w:cs="宋体"/>
          <w:color w:val="auto"/>
          <w:szCs w:val="21"/>
          <w:highlight w:val="none"/>
        </w:rPr>
      </w:pPr>
      <w:r>
        <w:rPr>
          <w:rFonts w:hint="eastAsia" w:ascii="宋体" w:hAnsi="宋体" w:cs="宋体"/>
          <w:color w:val="auto"/>
          <w:szCs w:val="21"/>
          <w:highlight w:val="none"/>
        </w:rPr>
        <w:t>……</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我单位的响应文件由资格性证明材料、符合性证明材料和其它材料三部分组成，在此加盖公章并由法定代表人或其授权代表人签字，保证响应文件中所有材料真实、有效。</w:t>
      </w:r>
    </w:p>
    <w:p>
      <w:pPr>
        <w:spacing w:line="360" w:lineRule="auto"/>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 xml:space="preserve">供应商名称：（加盖公章）           </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法定代表人或</w:t>
      </w:r>
      <w:r>
        <w:rPr>
          <w:rFonts w:hint="eastAsia" w:ascii="宋体" w:hAnsi="宋体" w:cs="宋体"/>
          <w:color w:val="auto"/>
          <w:szCs w:val="21"/>
          <w:highlight w:val="none"/>
        </w:rPr>
        <w:t>非法人组织负责人或</w:t>
      </w:r>
      <w:r>
        <w:rPr>
          <w:rFonts w:hint="eastAsia" w:ascii="宋体" w:hAnsi="宋体" w:cs="宋体"/>
          <w:color w:val="auto"/>
          <w:highlight w:val="none"/>
        </w:rPr>
        <w:t>其授权代表人：           (签字或盖章)</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签署日期：      年      月      日</w:t>
      </w:r>
    </w:p>
    <w:p>
      <w:pPr>
        <w:pStyle w:val="4"/>
        <w:adjustRightInd w:val="0"/>
        <w:snapToGrid w:val="0"/>
        <w:spacing w:line="240" w:lineRule="auto"/>
        <w:jc w:val="left"/>
        <w:rPr>
          <w:rFonts w:ascii="宋体" w:hAnsi="宋体" w:eastAsia="宋体" w:cs="宋体"/>
          <w:color w:val="auto"/>
          <w:highlight w:val="none"/>
        </w:rPr>
      </w:pPr>
      <w:r>
        <w:rPr>
          <w:rFonts w:hint="eastAsia" w:ascii="宋体" w:hAnsi="宋体" w:eastAsia="宋体" w:cs="宋体"/>
          <w:color w:val="auto"/>
          <w:highlight w:val="none"/>
        </w:rPr>
        <w:br w:type="page"/>
      </w:r>
      <w:bookmarkStart w:id="61" w:name="_Toc533340152"/>
      <w:bookmarkStart w:id="62" w:name="_Toc4485629"/>
    </w:p>
    <w:p>
      <w:pPr>
        <w:pStyle w:val="4"/>
        <w:adjustRightInd w:val="0"/>
        <w:snapToGrid w:val="0"/>
        <w:spacing w:line="24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格式4</w:t>
      </w:r>
      <w:bookmarkEnd w:id="61"/>
      <w:bookmarkEnd w:id="62"/>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法定代表人（或非法人组织负责人）身份证明书</w:t>
      </w:r>
    </w:p>
    <w:p>
      <w:pPr>
        <w:spacing w:line="360" w:lineRule="auto"/>
        <w:ind w:firstLine="420" w:firstLineChars="200"/>
        <w:rPr>
          <w:rFonts w:ascii="宋体" w:hAnsi="宋体" w:cs="宋体"/>
          <w:color w:val="auto"/>
          <w:szCs w:val="21"/>
          <w:highlight w:val="none"/>
          <w:u w:val="single"/>
        </w:rPr>
      </w:pPr>
    </w:p>
    <w:p>
      <w:pPr>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，出生日期：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，现任职务：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（供应商名称）的法定代表人（或非法人组织负责人）。</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宋体" w:hAnsi="宋体" w:cs="宋体"/>
                <w:color w:val="auto"/>
                <w:szCs w:val="21"/>
                <w:highlight w:val="none"/>
              </w:rPr>
            </w:pPr>
            <w:r>
              <w:rPr>
                <w:rFonts w:hint="eastAsia" w:ascii="宋体" w:hAnsi="宋体" w:cs="宋体"/>
                <w:color w:val="auto"/>
                <w:szCs w:val="21"/>
                <w:highlight w:val="none"/>
              </w:rPr>
              <w:t>（※法定代表人（或非法人组织负责人）身份证正、反面复印件※）</w:t>
            </w:r>
          </w:p>
        </w:tc>
      </w:tr>
    </w:tbl>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 xml:space="preserve">                                           供应商名称：（加盖公章）  </w:t>
      </w:r>
    </w:p>
    <w:p>
      <w:pPr>
        <w:rPr>
          <w:rFonts w:ascii="宋体" w:hAnsi="宋体" w:cs="宋体"/>
          <w:color w:val="auto"/>
          <w:szCs w:val="21"/>
          <w:highlight w:val="none"/>
        </w:rPr>
      </w:pPr>
    </w:p>
    <w:p>
      <w:pPr>
        <w:wordWrap w:val="0"/>
        <w:jc w:val="right"/>
        <w:rPr>
          <w:rFonts w:ascii="宋体" w:hAnsi="宋体" w:cs="宋体"/>
          <w:color w:val="auto"/>
          <w:szCs w:val="21"/>
          <w:highlight w:val="none"/>
        </w:rPr>
      </w:pPr>
      <w:r>
        <w:rPr>
          <w:rFonts w:hint="eastAsia" w:ascii="宋体" w:hAnsi="宋体" w:cs="宋体"/>
          <w:color w:val="auto"/>
          <w:szCs w:val="21"/>
          <w:highlight w:val="none"/>
        </w:rPr>
        <w:t xml:space="preserve">年   月   日                   </w:t>
      </w:r>
    </w:p>
    <w:p>
      <w:pPr>
        <w:outlineLvl w:val="1"/>
        <w:rPr>
          <w:rFonts w:ascii="宋体" w:hAnsi="宋体" w:cs="宋体"/>
          <w:color w:val="auto"/>
          <w:szCs w:val="21"/>
          <w:highlight w:val="none"/>
        </w:rPr>
      </w:pPr>
      <w:r>
        <w:rPr>
          <w:rFonts w:hint="eastAsia" w:ascii="宋体" w:hAnsi="宋体" w:cs="宋体"/>
          <w:color w:val="auto"/>
          <w:szCs w:val="21"/>
          <w:highlight w:val="none"/>
        </w:rPr>
        <w:br w:type="page"/>
      </w:r>
      <w:bookmarkStart w:id="63" w:name="_Toc533340153"/>
      <w:bookmarkStart w:id="64" w:name="_Toc4485630"/>
    </w:p>
    <w:p>
      <w:pPr>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格式5</w:t>
      </w:r>
      <w:bookmarkEnd w:id="63"/>
      <w:bookmarkEnd w:id="64"/>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法定代表人（或非法人组织负责人）授权委托书</w:t>
      </w:r>
    </w:p>
    <w:p>
      <w:pPr>
        <w:spacing w:line="400" w:lineRule="exact"/>
        <w:jc w:val="center"/>
        <w:rPr>
          <w:rFonts w:ascii="宋体" w:hAnsi="宋体" w:cs="宋体"/>
          <w:color w:val="auto"/>
          <w:sz w:val="24"/>
          <w:highlight w:val="none"/>
        </w:rPr>
      </w:pPr>
    </w:p>
    <w:p>
      <w:pPr>
        <w:spacing w:line="360" w:lineRule="auto"/>
        <w:ind w:firstLine="420" w:firstLineChars="200"/>
        <w:rPr>
          <w:rFonts w:ascii="宋体" w:hAnsi="宋体" w:cs="宋体"/>
          <w:color w:val="auto"/>
          <w:szCs w:val="21"/>
          <w:highlight w:val="none"/>
        </w:rPr>
      </w:pPr>
    </w:p>
    <w:p>
      <w:pPr>
        <w:spacing w:line="360" w:lineRule="auto"/>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委托人名称：</w:t>
      </w:r>
    </w:p>
    <w:p>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法定代表人（或非法人组织负责人）姓名：身份证号码：</w:t>
      </w:r>
    </w:p>
    <w:p>
      <w:pPr>
        <w:spacing w:line="360" w:lineRule="auto"/>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住所地：</w:t>
      </w:r>
    </w:p>
    <w:p>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受托人名称：身份证号码：</w:t>
      </w:r>
    </w:p>
    <w:p>
      <w:pPr>
        <w:spacing w:line="360" w:lineRule="auto"/>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工作单位：</w:t>
      </w:r>
    </w:p>
    <w:p>
      <w:pPr>
        <w:spacing w:line="360" w:lineRule="auto"/>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住址：                     电话：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现委托在委托人就</w:t>
      </w:r>
      <w:r>
        <w:rPr>
          <w:rFonts w:hint="eastAsia" w:ascii="宋体" w:hAnsi="宋体" w:cs="宋体"/>
          <w:color w:val="auto"/>
          <w:szCs w:val="21"/>
          <w:highlight w:val="none"/>
          <w:u w:val="single"/>
        </w:rPr>
        <w:t>（项目编号、项目名称、包号）</w:t>
      </w:r>
      <w:r>
        <w:rPr>
          <w:rFonts w:hint="eastAsia" w:ascii="宋体" w:hAnsi="宋体" w:cs="宋体"/>
          <w:color w:val="auto"/>
          <w:szCs w:val="21"/>
          <w:highlight w:val="none"/>
        </w:rPr>
        <w:t>响应中，以我单位名义处理一切与之有关的事务。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本授权书于年月日签字或盖章生效,</w:t>
      </w:r>
      <w:r>
        <w:rPr>
          <w:rFonts w:hint="eastAsia" w:ascii="宋体" w:hAnsi="宋体" w:cs="宋体"/>
          <w:b/>
          <w:bCs/>
          <w:color w:val="auto"/>
          <w:szCs w:val="21"/>
          <w:highlight w:val="none"/>
        </w:rPr>
        <w:t>无转委托</w:t>
      </w:r>
      <w:r>
        <w:rPr>
          <w:rFonts w:hint="eastAsia" w:ascii="宋体" w:hAnsi="宋体" w:cs="宋体"/>
          <w:color w:val="auto"/>
          <w:sz w:val="24"/>
          <w:highlight w:val="none"/>
        </w:rPr>
        <w:t>，</w:t>
      </w:r>
      <w:r>
        <w:rPr>
          <w:rFonts w:hint="eastAsia" w:ascii="宋体" w:hAnsi="宋体" w:cs="宋体"/>
          <w:color w:val="auto"/>
          <w:szCs w:val="21"/>
          <w:highlight w:val="none"/>
        </w:rPr>
        <w:t>特此声明。</w:t>
      </w:r>
    </w:p>
    <w:p>
      <w:pPr>
        <w:spacing w:line="360" w:lineRule="auto"/>
        <w:rPr>
          <w:rFonts w:ascii="宋体" w:hAnsi="宋体" w:cs="宋体"/>
          <w:color w:val="auto"/>
          <w:szCs w:val="21"/>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宋体" w:hAnsi="宋体" w:cs="宋体"/>
                <w:color w:val="auto"/>
                <w:szCs w:val="21"/>
                <w:highlight w:val="none"/>
              </w:rPr>
            </w:pPr>
            <w:r>
              <w:rPr>
                <w:rFonts w:hint="eastAsia" w:ascii="宋体" w:hAnsi="宋体" w:cs="宋体"/>
                <w:color w:val="auto"/>
                <w:szCs w:val="21"/>
                <w:highlight w:val="none"/>
              </w:rPr>
              <w:t>（※授权委托人身份证正、反面复印件※）</w:t>
            </w:r>
          </w:p>
        </w:tc>
      </w:tr>
    </w:tbl>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委托人（单位公章）：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法定代表人（或非法人组织负责人）（签字或盖章）：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受托人：（签字或盖章）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详细通讯地址：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 政 编 码 ：</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outlineLvl w:val="1"/>
        <w:rPr>
          <w:rFonts w:ascii="宋体" w:hAnsi="宋体" w:cs="宋体"/>
          <w:color w:val="auto"/>
          <w:szCs w:val="21"/>
          <w:highlight w:val="none"/>
          <w:u w:val="single"/>
        </w:rPr>
      </w:pPr>
      <w:r>
        <w:rPr>
          <w:rFonts w:hint="eastAsia" w:ascii="宋体" w:hAnsi="宋体" w:cs="宋体"/>
          <w:color w:val="auto"/>
          <w:szCs w:val="21"/>
          <w:highlight w:val="none"/>
          <w:u w:val="single"/>
        </w:rPr>
        <w:br w:type="page"/>
      </w:r>
      <w:bookmarkStart w:id="65" w:name="_Toc533340154"/>
      <w:bookmarkStart w:id="66" w:name="_Toc4485631"/>
    </w:p>
    <w:p>
      <w:pPr>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格式6</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具有良好的商业信誉和健全的财务会计制度的承诺函</w:t>
      </w:r>
    </w:p>
    <w:p>
      <w:pPr>
        <w:spacing w:before="319" w:beforeLines="100" w:after="319" w:afterLines="100" w:line="480" w:lineRule="exact"/>
        <w:ind w:right="630" w:rightChars="300"/>
        <w:jc w:val="center"/>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snapToGrid w:val="0"/>
        <w:spacing w:line="360" w:lineRule="auto"/>
        <w:rPr>
          <w:rFonts w:ascii="宋体" w:hAnsi="宋体" w:cs="宋体"/>
          <w:color w:val="auto"/>
          <w:highlight w:val="none"/>
        </w:rPr>
      </w:pPr>
      <w:r>
        <w:rPr>
          <w:rFonts w:hint="eastAsia" w:ascii="宋体" w:hAnsi="宋体" w:cs="宋体"/>
          <w:color w:val="auto"/>
          <w:highlight w:val="none"/>
        </w:rPr>
        <w:t>供应商名称（加盖单位公章）：</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r>
        <w:rPr>
          <w:rFonts w:hint="eastAsia" w:ascii="宋体" w:hAnsi="宋体" w:cs="宋体"/>
          <w:color w:val="auto"/>
          <w:highlight w:val="none"/>
        </w:rPr>
        <w:t>法定代表人（或</w:t>
      </w:r>
      <w:r>
        <w:rPr>
          <w:rFonts w:hint="eastAsia" w:ascii="宋体" w:hAnsi="宋体" w:cs="宋体"/>
          <w:color w:val="auto"/>
          <w:szCs w:val="21"/>
          <w:highlight w:val="none"/>
        </w:rPr>
        <w:t>非法人组织负责人）或</w:t>
      </w:r>
      <w:r>
        <w:rPr>
          <w:rFonts w:hint="eastAsia" w:ascii="宋体" w:hAnsi="宋体" w:cs="宋体"/>
          <w:color w:val="auto"/>
          <w:highlight w:val="none"/>
        </w:rPr>
        <w:t>其授权代表人(签字或盖章)：</w:t>
      </w:r>
      <w:r>
        <w:rPr>
          <w:rFonts w:hint="eastAsia" w:ascii="宋体" w:hAnsi="宋体" w:cs="宋体"/>
          <w:color w:val="auto"/>
          <w:highlight w:val="none"/>
          <w:u w:val="single"/>
        </w:rPr>
        <w:t xml:space="preserve">           </w:t>
      </w:r>
    </w:p>
    <w:p>
      <w:pPr>
        <w:adjustRightInd w:val="0"/>
        <w:snapToGrid w:val="0"/>
        <w:spacing w:line="360" w:lineRule="auto"/>
        <w:ind w:right="105" w:rightChars="50"/>
        <w:jc w:val="left"/>
        <w:rPr>
          <w:rFonts w:ascii="宋体" w:hAnsi="宋体" w:cs="宋体"/>
          <w:color w:val="auto"/>
          <w:highlight w:val="none"/>
        </w:rPr>
      </w:pPr>
    </w:p>
    <w:p>
      <w:pPr>
        <w:adjustRightInd w:val="0"/>
        <w:snapToGrid w:val="0"/>
        <w:spacing w:line="360" w:lineRule="auto"/>
        <w:ind w:right="105" w:rightChars="50"/>
        <w:jc w:val="left"/>
        <w:rPr>
          <w:rFonts w:ascii="宋体" w:hAnsi="宋体" w:cs="宋体"/>
          <w:color w:val="auto"/>
          <w:highlight w:val="none"/>
          <w:u w:val="singl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pStyle w:val="40"/>
        <w:rPr>
          <w:rFonts w:ascii="宋体" w:hAnsi="宋体" w:cs="宋体"/>
          <w:color w:val="auto"/>
          <w:highlight w:val="none"/>
        </w:rPr>
      </w:pPr>
    </w:p>
    <w:p>
      <w:pPr>
        <w:widowControl/>
        <w:jc w:val="left"/>
        <w:rPr>
          <w:rFonts w:ascii="宋体" w:hAnsi="宋体" w:cs="宋体"/>
          <w:color w:val="auto"/>
          <w:highlight w:val="none"/>
        </w:rPr>
      </w:pPr>
      <w:r>
        <w:rPr>
          <w:rFonts w:hint="eastAsia" w:ascii="宋体" w:hAnsi="宋体" w:cs="宋体"/>
          <w:color w:val="auto"/>
          <w:highlight w:val="none"/>
        </w:rPr>
        <w:br w:type="page"/>
      </w:r>
    </w:p>
    <w:p>
      <w:pPr>
        <w:pStyle w:val="40"/>
        <w:rPr>
          <w:rFonts w:ascii="宋体" w:hAnsi="宋体" w:cs="宋体"/>
          <w:color w:val="auto"/>
          <w:highlight w:val="none"/>
        </w:rPr>
      </w:pPr>
    </w:p>
    <w:p>
      <w:pPr>
        <w:spacing w:line="360" w:lineRule="auto"/>
        <w:jc w:val="left"/>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格式</w:t>
      </w:r>
      <w:bookmarkEnd w:id="65"/>
      <w:bookmarkEnd w:id="66"/>
      <w:r>
        <w:rPr>
          <w:rFonts w:hint="eastAsia" w:ascii="宋体" w:hAnsi="宋体" w:cs="宋体"/>
          <w:b/>
          <w:bCs/>
          <w:color w:val="auto"/>
          <w:sz w:val="28"/>
          <w:szCs w:val="28"/>
          <w:highlight w:val="none"/>
        </w:rPr>
        <w:t>7</w:t>
      </w:r>
    </w:p>
    <w:p>
      <w:pPr>
        <w:spacing w:before="319" w:beforeLines="100" w:after="319" w:afterLines="100" w:line="480" w:lineRule="exact"/>
        <w:ind w:right="630" w:rightChars="300"/>
        <w:jc w:val="center"/>
        <w:rPr>
          <w:rFonts w:ascii="宋体" w:hAnsi="宋体" w:cs="宋体"/>
          <w:b/>
          <w:color w:val="auto"/>
          <w:sz w:val="32"/>
          <w:szCs w:val="32"/>
          <w:highlight w:val="none"/>
        </w:rPr>
      </w:pPr>
      <w:r>
        <w:rPr>
          <w:rFonts w:hint="eastAsia" w:ascii="宋体" w:hAnsi="宋体" w:cs="宋体"/>
          <w:b/>
          <w:color w:val="auto"/>
          <w:sz w:val="32"/>
          <w:szCs w:val="32"/>
          <w:highlight w:val="none"/>
        </w:rPr>
        <w:t>具备履行合同所必需的设备和专业技术能力声明函</w:t>
      </w:r>
    </w:p>
    <w:p>
      <w:pPr>
        <w:spacing w:before="319" w:beforeLines="100" w:after="319" w:afterLines="100" w:line="480" w:lineRule="exact"/>
        <w:ind w:right="630" w:rightChars="300"/>
        <w:jc w:val="center"/>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pPr>
        <w:spacing w:before="319" w:beforeLines="100" w:after="319" w:afterLines="100" w:line="480" w:lineRule="exact"/>
        <w:ind w:right="630" w:rightChars="300"/>
        <w:jc w:val="center"/>
        <w:rPr>
          <w:rFonts w:ascii="宋体" w:hAnsi="宋体" w:cs="宋体"/>
          <w:b/>
          <w:color w:val="auto"/>
          <w:sz w:val="28"/>
          <w:szCs w:val="28"/>
          <w:highlight w:val="none"/>
        </w:rPr>
      </w:pPr>
    </w:p>
    <w:p>
      <w:pPr>
        <w:spacing w:before="319" w:beforeLines="100" w:after="319" w:afterLines="100" w:line="480" w:lineRule="exact"/>
        <w:ind w:right="630" w:rightChars="300"/>
        <w:jc w:val="center"/>
        <w:rPr>
          <w:rFonts w:ascii="宋体" w:hAnsi="宋体" w:cs="宋体"/>
          <w:b/>
          <w:color w:val="auto"/>
          <w:sz w:val="28"/>
          <w:szCs w:val="28"/>
          <w:highlight w:val="none"/>
        </w:rPr>
      </w:pPr>
    </w:p>
    <w:p>
      <w:pPr>
        <w:spacing w:before="319" w:beforeLines="100" w:after="319" w:afterLines="100" w:line="480" w:lineRule="exact"/>
        <w:ind w:right="630" w:rightChars="300"/>
        <w:jc w:val="center"/>
        <w:rPr>
          <w:rFonts w:ascii="宋体" w:hAnsi="宋体" w:cs="宋体"/>
          <w:b/>
          <w:color w:val="auto"/>
          <w:sz w:val="28"/>
          <w:szCs w:val="28"/>
          <w:highlight w:val="none"/>
        </w:rPr>
      </w:pPr>
    </w:p>
    <w:p>
      <w:pPr>
        <w:spacing w:before="319" w:beforeLines="100" w:after="319" w:afterLines="100" w:line="480" w:lineRule="exact"/>
        <w:ind w:right="630" w:rightChars="300"/>
        <w:jc w:val="center"/>
        <w:rPr>
          <w:rFonts w:ascii="宋体" w:hAnsi="宋体" w:cs="宋体"/>
          <w:b/>
          <w:color w:val="auto"/>
          <w:sz w:val="28"/>
          <w:szCs w:val="28"/>
          <w:highlight w:val="none"/>
        </w:rPr>
      </w:pPr>
    </w:p>
    <w:p>
      <w:pPr>
        <w:spacing w:before="319" w:beforeLines="100" w:after="319" w:afterLines="100" w:line="480" w:lineRule="exact"/>
        <w:ind w:right="630" w:rightChars="300"/>
        <w:jc w:val="center"/>
        <w:rPr>
          <w:rFonts w:ascii="宋体" w:hAnsi="宋体" w:cs="宋体"/>
          <w:b/>
          <w:color w:val="auto"/>
          <w:sz w:val="28"/>
          <w:szCs w:val="28"/>
          <w:highlight w:val="none"/>
        </w:rPr>
      </w:pPr>
    </w:p>
    <w:p>
      <w:pPr>
        <w:spacing w:before="319" w:beforeLines="100" w:after="319" w:afterLines="100" w:line="480" w:lineRule="exact"/>
        <w:ind w:right="630" w:rightChars="300"/>
        <w:jc w:val="center"/>
        <w:rPr>
          <w:rFonts w:ascii="宋体" w:hAnsi="宋体" w:cs="宋体"/>
          <w:b/>
          <w:color w:val="auto"/>
          <w:sz w:val="28"/>
          <w:szCs w:val="28"/>
          <w:highlight w:val="none"/>
        </w:rPr>
      </w:pPr>
    </w:p>
    <w:p>
      <w:pPr>
        <w:spacing w:before="319" w:beforeLines="100" w:after="319" w:afterLines="100" w:line="480" w:lineRule="exact"/>
        <w:ind w:right="630" w:rightChars="300"/>
        <w:jc w:val="center"/>
        <w:rPr>
          <w:rFonts w:ascii="宋体" w:hAnsi="宋体" w:cs="宋体"/>
          <w:b/>
          <w:color w:val="auto"/>
          <w:sz w:val="28"/>
          <w:szCs w:val="28"/>
          <w:highlight w:val="none"/>
        </w:rPr>
      </w:pPr>
    </w:p>
    <w:p>
      <w:pPr>
        <w:snapToGrid w:val="0"/>
        <w:spacing w:line="360" w:lineRule="auto"/>
        <w:rPr>
          <w:rFonts w:ascii="宋体" w:hAnsi="宋体" w:cs="宋体"/>
          <w:color w:val="auto"/>
          <w:highlight w:val="none"/>
        </w:rPr>
      </w:pPr>
      <w:r>
        <w:rPr>
          <w:rFonts w:hint="eastAsia" w:ascii="宋体" w:hAnsi="宋体" w:cs="宋体"/>
          <w:color w:val="auto"/>
          <w:highlight w:val="none"/>
        </w:rPr>
        <w:t>供应商名称（加盖单位公章）：</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r>
        <w:rPr>
          <w:rFonts w:hint="eastAsia" w:ascii="宋体" w:hAnsi="宋体" w:cs="宋体"/>
          <w:color w:val="auto"/>
          <w:highlight w:val="none"/>
        </w:rPr>
        <w:t>法定代表人（或</w:t>
      </w:r>
      <w:r>
        <w:rPr>
          <w:rFonts w:hint="eastAsia" w:ascii="宋体" w:hAnsi="宋体" w:cs="宋体"/>
          <w:color w:val="auto"/>
          <w:szCs w:val="21"/>
          <w:highlight w:val="none"/>
        </w:rPr>
        <w:t>非法人组织负责人）或</w:t>
      </w:r>
      <w:r>
        <w:rPr>
          <w:rFonts w:hint="eastAsia" w:ascii="宋体" w:hAnsi="宋体" w:cs="宋体"/>
          <w:color w:val="auto"/>
          <w:highlight w:val="none"/>
        </w:rPr>
        <w:t>其授权代表人(签字或盖章)：</w:t>
      </w:r>
      <w:r>
        <w:rPr>
          <w:rFonts w:hint="eastAsia" w:ascii="宋体" w:hAnsi="宋体" w:cs="宋体"/>
          <w:color w:val="auto"/>
          <w:highlight w:val="none"/>
          <w:u w:val="single"/>
        </w:rPr>
        <w:t xml:space="preserve">           </w:t>
      </w:r>
    </w:p>
    <w:p>
      <w:pPr>
        <w:adjustRightInd w:val="0"/>
        <w:snapToGrid w:val="0"/>
        <w:spacing w:line="360" w:lineRule="auto"/>
        <w:ind w:right="105" w:rightChars="50"/>
        <w:jc w:val="left"/>
        <w:rPr>
          <w:rFonts w:ascii="宋体" w:hAnsi="宋体" w:cs="宋体"/>
          <w:color w:val="auto"/>
          <w:highlight w:val="none"/>
        </w:rPr>
      </w:pPr>
    </w:p>
    <w:p>
      <w:pPr>
        <w:adjustRightInd w:val="0"/>
        <w:snapToGrid w:val="0"/>
        <w:spacing w:line="360" w:lineRule="auto"/>
        <w:ind w:right="105" w:rightChars="50"/>
        <w:jc w:val="left"/>
        <w:rPr>
          <w:rFonts w:ascii="宋体" w:hAnsi="宋体" w:cs="宋体"/>
          <w:color w:val="auto"/>
          <w:highlight w:val="none"/>
          <w:u w:val="singl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pPr>
        <w:spacing w:before="319" w:beforeLines="100" w:after="319" w:afterLines="100" w:line="480" w:lineRule="exact"/>
        <w:ind w:right="630" w:rightChars="300"/>
        <w:jc w:val="center"/>
        <w:rPr>
          <w:rFonts w:ascii="宋体" w:hAnsi="宋体" w:cs="宋体"/>
          <w:b/>
          <w:color w:val="auto"/>
          <w:sz w:val="28"/>
          <w:szCs w:val="28"/>
          <w:highlight w:val="none"/>
        </w:rPr>
      </w:pPr>
    </w:p>
    <w:p>
      <w:pPr>
        <w:spacing w:before="319" w:beforeLines="100" w:after="319" w:afterLines="100" w:line="480" w:lineRule="exact"/>
        <w:ind w:right="630" w:rightChars="300"/>
        <w:jc w:val="left"/>
        <w:outlineLvl w:val="1"/>
        <w:rPr>
          <w:rFonts w:ascii="宋体" w:hAnsi="宋体" w:cs="宋体"/>
          <w:b/>
          <w:color w:val="auto"/>
          <w:sz w:val="28"/>
          <w:szCs w:val="28"/>
          <w:highlight w:val="none"/>
        </w:rPr>
      </w:pPr>
      <w:r>
        <w:rPr>
          <w:rFonts w:hint="eastAsia" w:ascii="宋体" w:hAnsi="宋体" w:cs="宋体"/>
          <w:b/>
          <w:color w:val="auto"/>
          <w:sz w:val="28"/>
          <w:szCs w:val="28"/>
          <w:highlight w:val="none"/>
        </w:rPr>
        <w:br w:type="page"/>
      </w:r>
      <w:bookmarkStart w:id="67" w:name="_Toc533340155"/>
      <w:bookmarkStart w:id="68" w:name="_Toc4485632"/>
    </w:p>
    <w:p>
      <w:pPr>
        <w:spacing w:before="319" w:beforeLines="100" w:after="319" w:afterLines="100" w:line="480" w:lineRule="exact"/>
        <w:ind w:right="630" w:rightChars="300"/>
        <w:jc w:val="left"/>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格式</w:t>
      </w:r>
      <w:bookmarkEnd w:id="67"/>
      <w:bookmarkEnd w:id="68"/>
      <w:r>
        <w:rPr>
          <w:rFonts w:hint="eastAsia" w:ascii="宋体" w:hAnsi="宋体" w:cs="宋体"/>
          <w:b/>
          <w:bCs/>
          <w:color w:val="auto"/>
          <w:sz w:val="28"/>
          <w:szCs w:val="28"/>
          <w:highlight w:val="none"/>
        </w:rPr>
        <w:t>8</w:t>
      </w:r>
    </w:p>
    <w:p>
      <w:pPr>
        <w:rPr>
          <w:rFonts w:ascii="宋体" w:hAnsi="宋体" w:cs="宋体"/>
          <w:color w:val="auto"/>
          <w:highlight w:val="none"/>
        </w:rPr>
      </w:pPr>
    </w:p>
    <w:p>
      <w:pPr>
        <w:spacing w:before="319" w:beforeLines="100" w:after="319" w:afterLines="100" w:line="480" w:lineRule="exact"/>
        <w:ind w:right="630" w:rightChars="300"/>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 参加政府采购活动前3年内在经营活动中没有重大违法记录的书面声明</w:t>
      </w:r>
    </w:p>
    <w:p>
      <w:pPr>
        <w:spacing w:before="159" w:beforeLines="50" w:after="159" w:afterLines="50" w:line="400" w:lineRule="exact"/>
        <w:ind w:right="630" w:rightChars="300"/>
        <w:rPr>
          <w:rFonts w:ascii="宋体" w:hAnsi="宋体" w:cs="宋体"/>
          <w:color w:val="auto"/>
          <w:sz w:val="24"/>
          <w:highlight w:val="none"/>
        </w:rPr>
      </w:pPr>
    </w:p>
    <w:p>
      <w:pPr>
        <w:spacing w:line="500" w:lineRule="exact"/>
        <w:ind w:right="630" w:rightChars="300"/>
        <w:rPr>
          <w:rFonts w:ascii="宋体" w:hAnsi="宋体" w:cs="宋体"/>
          <w:b/>
          <w:bCs/>
          <w:color w:val="auto"/>
          <w:szCs w:val="21"/>
          <w:highlight w:val="none"/>
        </w:rPr>
      </w:pPr>
      <w:r>
        <w:rPr>
          <w:rFonts w:hint="eastAsia" w:ascii="宋体" w:hAnsi="宋体" w:cs="宋体"/>
          <w:b/>
          <w:bCs/>
          <w:color w:val="auto"/>
          <w:szCs w:val="21"/>
          <w:highlight w:val="none"/>
          <w:u w:val="single"/>
        </w:rPr>
        <w:t xml:space="preserve">（采购人名称） </w:t>
      </w:r>
      <w:r>
        <w:rPr>
          <w:rFonts w:hint="eastAsia" w:ascii="宋体" w:hAnsi="宋体" w:cs="宋体"/>
          <w:b/>
          <w:bCs/>
          <w:color w:val="auto"/>
          <w:szCs w:val="21"/>
          <w:highlight w:val="none"/>
        </w:rPr>
        <w:t xml:space="preserve"> ：</w:t>
      </w:r>
    </w:p>
    <w:p>
      <w:pPr>
        <w:spacing w:line="500" w:lineRule="exact"/>
        <w:ind w:right="-21" w:rightChars="-10" w:firstLine="495" w:firstLineChars="235"/>
        <w:rPr>
          <w:rFonts w:ascii="宋体" w:hAnsi="宋体" w:cs="宋体"/>
          <w:color w:val="auto"/>
          <w:szCs w:val="21"/>
          <w:highlight w:val="none"/>
        </w:rPr>
      </w:pPr>
      <w:r>
        <w:rPr>
          <w:rFonts w:hint="eastAsia" w:ascii="宋体" w:hAnsi="宋体" w:cs="宋体"/>
          <w:b/>
          <w:color w:val="auto"/>
          <w:szCs w:val="21"/>
          <w:highlight w:val="none"/>
        </w:rPr>
        <w:t>在本项目提交响应文件截止时间前，</w:t>
      </w:r>
      <w:r>
        <w:rPr>
          <w:rFonts w:hint="eastAsia" w:ascii="宋体" w:hAnsi="宋体" w:cs="宋体"/>
          <w:color w:val="auto"/>
          <w:szCs w:val="21"/>
          <w:highlight w:val="none"/>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ascii="宋体" w:hAnsi="宋体" w:cs="宋体"/>
          <w:color w:val="auto"/>
          <w:szCs w:val="21"/>
          <w:highlight w:val="none"/>
        </w:rPr>
      </w:pPr>
      <w:r>
        <w:rPr>
          <w:rFonts w:hint="eastAsia" w:ascii="宋体" w:hAnsi="宋体" w:cs="宋体"/>
          <w:color w:val="auto"/>
          <w:szCs w:val="21"/>
          <w:highlight w:val="none"/>
        </w:rPr>
        <w:t>如发现我单位提供的声明函不实时，我单位将按照《政府采购法》有关提供虚假材料的规定，接受处罚。</w:t>
      </w:r>
    </w:p>
    <w:p>
      <w:pPr>
        <w:spacing w:line="500" w:lineRule="exact"/>
        <w:ind w:right="1050" w:rightChars="500" w:firstLine="420" w:firstLineChars="200"/>
        <w:rPr>
          <w:rFonts w:ascii="宋体" w:hAnsi="宋体" w:cs="宋体"/>
          <w:color w:val="auto"/>
          <w:szCs w:val="21"/>
          <w:highlight w:val="none"/>
        </w:rPr>
      </w:pPr>
      <w:r>
        <w:rPr>
          <w:rFonts w:hint="eastAsia" w:ascii="宋体" w:hAnsi="宋体" w:cs="宋体"/>
          <w:color w:val="auto"/>
          <w:szCs w:val="21"/>
          <w:highlight w:val="none"/>
        </w:rPr>
        <w:t>特此声明。</w:t>
      </w:r>
    </w:p>
    <w:p>
      <w:pPr>
        <w:spacing w:line="500" w:lineRule="exact"/>
        <w:ind w:right="1050" w:rightChars="500" w:firstLine="420" w:firstLineChars="200"/>
        <w:rPr>
          <w:rFonts w:ascii="宋体" w:hAnsi="宋体" w:cs="宋体"/>
          <w:color w:val="auto"/>
          <w:szCs w:val="21"/>
          <w:highlight w:val="none"/>
        </w:rPr>
      </w:pPr>
    </w:p>
    <w:p>
      <w:pPr>
        <w:spacing w:before="159" w:beforeLines="50" w:after="159" w:afterLines="50" w:line="400" w:lineRule="exact"/>
        <w:ind w:right="1050" w:rightChars="500" w:firstLine="420" w:firstLineChars="200"/>
        <w:rPr>
          <w:rFonts w:ascii="宋体" w:hAnsi="宋体" w:cs="宋体"/>
          <w:color w:val="auto"/>
          <w:szCs w:val="21"/>
          <w:highlight w:val="none"/>
        </w:rPr>
      </w:pPr>
    </w:p>
    <w:p>
      <w:pPr>
        <w:spacing w:before="159" w:beforeLines="50" w:after="159" w:afterLines="50" w:line="400" w:lineRule="exact"/>
        <w:ind w:right="1050" w:rightChars="500" w:firstLine="420" w:firstLineChars="200"/>
        <w:rPr>
          <w:rFonts w:ascii="宋体" w:hAnsi="宋体" w:cs="宋体"/>
          <w:color w:val="auto"/>
          <w:szCs w:val="21"/>
          <w:highlight w:val="none"/>
        </w:rPr>
      </w:pPr>
    </w:p>
    <w:p>
      <w:pPr>
        <w:spacing w:line="360" w:lineRule="exact"/>
        <w:ind w:left="1050" w:leftChars="500" w:right="1050" w:rightChars="500" w:firstLine="420" w:firstLineChars="200"/>
        <w:rPr>
          <w:rFonts w:ascii="宋体" w:hAnsi="宋体" w:cs="宋体"/>
          <w:color w:val="auto"/>
          <w:szCs w:val="21"/>
          <w:highlight w:val="none"/>
        </w:rPr>
      </w:pPr>
    </w:p>
    <w:p>
      <w:pPr>
        <w:snapToGrid w:val="0"/>
        <w:spacing w:line="360" w:lineRule="auto"/>
        <w:rPr>
          <w:rFonts w:ascii="宋体" w:hAnsi="宋体" w:cs="宋体"/>
          <w:color w:val="auto"/>
          <w:highlight w:val="none"/>
        </w:rPr>
      </w:pPr>
      <w:r>
        <w:rPr>
          <w:rFonts w:hint="eastAsia" w:ascii="宋体" w:hAnsi="宋体" w:cs="宋体"/>
          <w:color w:val="auto"/>
          <w:highlight w:val="none"/>
        </w:rPr>
        <w:t>供应商名称（加盖单位公章）：</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r>
        <w:rPr>
          <w:rFonts w:hint="eastAsia" w:ascii="宋体" w:hAnsi="宋体" w:cs="宋体"/>
          <w:color w:val="auto"/>
          <w:highlight w:val="none"/>
        </w:rPr>
        <w:t>法定代表人（或</w:t>
      </w:r>
      <w:r>
        <w:rPr>
          <w:rFonts w:hint="eastAsia" w:ascii="宋体" w:hAnsi="宋体" w:cs="宋体"/>
          <w:color w:val="auto"/>
          <w:szCs w:val="21"/>
          <w:highlight w:val="none"/>
        </w:rPr>
        <w:t>非法人组织负责人）或</w:t>
      </w:r>
      <w:r>
        <w:rPr>
          <w:rFonts w:hint="eastAsia" w:ascii="宋体" w:hAnsi="宋体" w:cs="宋体"/>
          <w:color w:val="auto"/>
          <w:highlight w:val="none"/>
        </w:rPr>
        <w:t>其授权代表人(签字或盖章)：</w:t>
      </w:r>
      <w:r>
        <w:rPr>
          <w:rFonts w:hint="eastAsia" w:ascii="宋体" w:hAnsi="宋体" w:cs="宋体"/>
          <w:color w:val="auto"/>
          <w:highlight w:val="none"/>
          <w:u w:val="single"/>
        </w:rPr>
        <w:t xml:space="preserve">           </w:t>
      </w:r>
    </w:p>
    <w:p>
      <w:pPr>
        <w:adjustRightInd w:val="0"/>
        <w:snapToGrid w:val="0"/>
        <w:spacing w:line="360" w:lineRule="auto"/>
        <w:ind w:right="105" w:rightChars="50"/>
        <w:jc w:val="left"/>
        <w:rPr>
          <w:rFonts w:ascii="宋体" w:hAnsi="宋体" w:cs="宋体"/>
          <w:color w:val="auto"/>
          <w:highlight w:val="none"/>
        </w:rPr>
      </w:pPr>
    </w:p>
    <w:p>
      <w:pPr>
        <w:adjustRightInd w:val="0"/>
        <w:snapToGrid w:val="0"/>
        <w:spacing w:line="360" w:lineRule="auto"/>
        <w:ind w:right="105" w:rightChars="50"/>
        <w:jc w:val="left"/>
        <w:rPr>
          <w:rFonts w:ascii="宋体" w:hAnsi="宋体" w:cs="宋体"/>
          <w:color w:val="auto"/>
          <w:highlight w:val="none"/>
          <w:u w:val="singl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pPr>
        <w:spacing w:before="159" w:beforeLines="50" w:after="159" w:afterLines="50" w:line="400" w:lineRule="exact"/>
        <w:ind w:left="1155" w:leftChars="550" w:right="1050" w:rightChars="500"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bookmarkStart w:id="69" w:name="_Toc533340156"/>
      <w:bookmarkStart w:id="70" w:name="_Toc4485633"/>
    </w:p>
    <w:p>
      <w:pPr>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rPr>
        <w:t>格式</w:t>
      </w:r>
      <w:bookmarkEnd w:id="69"/>
      <w:bookmarkEnd w:id="70"/>
      <w:r>
        <w:rPr>
          <w:rFonts w:hint="eastAsia" w:ascii="宋体" w:hAnsi="宋体" w:cs="宋体"/>
          <w:b/>
          <w:bCs/>
          <w:color w:val="auto"/>
          <w:sz w:val="28"/>
          <w:szCs w:val="28"/>
          <w:highlight w:val="none"/>
        </w:rPr>
        <w:t>9</w:t>
      </w:r>
    </w:p>
    <w:p>
      <w:pPr>
        <w:spacing w:before="319" w:beforeLines="100" w:after="319" w:afterLines="100" w:line="480" w:lineRule="exact"/>
        <w:ind w:right="-21" w:rightChars="-10"/>
        <w:jc w:val="center"/>
        <w:rPr>
          <w:rFonts w:ascii="宋体" w:hAnsi="宋体" w:cs="宋体"/>
          <w:b/>
          <w:color w:val="auto"/>
          <w:sz w:val="32"/>
          <w:szCs w:val="32"/>
          <w:highlight w:val="none"/>
        </w:rPr>
      </w:pPr>
      <w:r>
        <w:rPr>
          <w:rFonts w:hint="eastAsia" w:ascii="宋体" w:hAnsi="宋体" w:cs="宋体"/>
          <w:b/>
          <w:color w:val="auto"/>
          <w:sz w:val="32"/>
          <w:szCs w:val="32"/>
          <w:highlight w:val="none"/>
        </w:rPr>
        <w:t>响应函</w:t>
      </w:r>
    </w:p>
    <w:p>
      <w:pPr>
        <w:adjustRightInd w:val="0"/>
        <w:snapToGrid w:val="0"/>
        <w:spacing w:line="360" w:lineRule="auto"/>
        <w:ind w:right="630" w:rightChars="300"/>
        <w:rPr>
          <w:rFonts w:ascii="宋体" w:hAnsi="宋体" w:cs="宋体"/>
          <w:color w:val="auto"/>
          <w:szCs w:val="21"/>
          <w:highlight w:val="none"/>
          <w:u w:val="single"/>
        </w:rPr>
      </w:pPr>
      <w:r>
        <w:rPr>
          <w:rFonts w:hint="eastAsia" w:ascii="宋体" w:hAnsi="宋体" w:cs="宋体"/>
          <w:color w:val="auto"/>
          <w:szCs w:val="21"/>
          <w:highlight w:val="none"/>
          <w:u w:val="single"/>
        </w:rPr>
        <w:t>（采购人或采购代理机构）：</w:t>
      </w:r>
    </w:p>
    <w:p>
      <w:pPr>
        <w:adjustRightInd w:val="0"/>
        <w:snapToGrid w:val="0"/>
        <w:spacing w:line="360" w:lineRule="auto"/>
        <w:ind w:right="-21" w:rightChars="-10"/>
        <w:rPr>
          <w:rFonts w:ascii="宋体" w:hAnsi="宋体" w:cs="宋体"/>
          <w:color w:val="auto"/>
          <w:szCs w:val="21"/>
          <w:highlight w:val="none"/>
        </w:rPr>
      </w:pPr>
      <w:r>
        <w:rPr>
          <w:rFonts w:hint="eastAsia" w:ascii="宋体" w:hAnsi="宋体" w:cs="宋体"/>
          <w:color w:val="auto"/>
          <w:szCs w:val="21"/>
          <w:highlight w:val="none"/>
        </w:rPr>
        <w:t xml:space="preserve">    根据贵方</w:t>
      </w:r>
      <w:r>
        <w:rPr>
          <w:rFonts w:hint="eastAsia" w:ascii="宋体" w:hAnsi="宋体" w:cs="宋体"/>
          <w:color w:val="auto"/>
          <w:szCs w:val="21"/>
          <w:highlight w:val="none"/>
          <w:u w:val="single"/>
        </w:rPr>
        <w:t xml:space="preserve">   (项目名称、包号  )</w:t>
      </w:r>
      <w:r>
        <w:rPr>
          <w:rFonts w:hint="eastAsia" w:ascii="宋体" w:hAnsi="宋体" w:cs="宋体"/>
          <w:color w:val="auto"/>
          <w:szCs w:val="21"/>
          <w:highlight w:val="none"/>
        </w:rPr>
        <w:t>项目的</w:t>
      </w:r>
      <w:r>
        <w:rPr>
          <w:rFonts w:hint="eastAsia" w:ascii="宋体" w:hAnsi="宋体" w:cs="宋体"/>
          <w:color w:val="auto"/>
          <w:highlight w:val="none"/>
        </w:rPr>
        <w:t>竞争性磋商公告</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(项目编号  )</w:t>
      </w:r>
      <w:r>
        <w:rPr>
          <w:rFonts w:hint="eastAsia" w:ascii="宋体" w:hAnsi="宋体" w:cs="宋体"/>
          <w:color w:val="auto"/>
          <w:szCs w:val="21"/>
          <w:highlight w:val="none"/>
        </w:rPr>
        <w:t>，签字代表</w:t>
      </w:r>
      <w:r>
        <w:rPr>
          <w:rFonts w:hint="eastAsia" w:ascii="宋体" w:hAnsi="宋体" w:cs="宋体"/>
          <w:color w:val="auto"/>
          <w:szCs w:val="21"/>
          <w:highlight w:val="none"/>
          <w:u w:val="single"/>
        </w:rPr>
        <w:t xml:space="preserve">  (姓名、职务)</w:t>
      </w:r>
      <w:r>
        <w:rPr>
          <w:rFonts w:hint="eastAsia" w:ascii="宋体" w:hAnsi="宋体" w:cs="宋体"/>
          <w:color w:val="auto"/>
          <w:szCs w:val="21"/>
          <w:highlight w:val="none"/>
        </w:rPr>
        <w:t>经正式授权并代表供应商</w:t>
      </w:r>
      <w:r>
        <w:rPr>
          <w:rFonts w:hint="eastAsia" w:ascii="宋体" w:hAnsi="宋体" w:cs="宋体"/>
          <w:color w:val="auto"/>
          <w:szCs w:val="21"/>
          <w:highlight w:val="none"/>
          <w:u w:val="single"/>
        </w:rPr>
        <w:t>（名称、地址）</w:t>
      </w:r>
      <w:r>
        <w:rPr>
          <w:rFonts w:hint="eastAsia" w:ascii="宋体" w:hAnsi="宋体" w:cs="宋体"/>
          <w:color w:val="auto"/>
          <w:szCs w:val="21"/>
          <w:highlight w:val="none"/>
        </w:rPr>
        <w:t>提交下述文件正本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份，并以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形式出具的金额为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人民币元的磋商保证金。</w:t>
      </w:r>
    </w:p>
    <w:p>
      <w:pPr>
        <w:adjustRightInd w:val="0"/>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据此，签字代表宣布同意如下：</w:t>
      </w:r>
    </w:p>
    <w:p>
      <w:pPr>
        <w:adjustRightInd w:val="0"/>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（1）本项目响应总价详见报价一览表。</w:t>
      </w:r>
    </w:p>
    <w:p>
      <w:pPr>
        <w:adjustRightInd w:val="0"/>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（2）本项目有效期为自递交响应文件截止之日起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个日历日。</w:t>
      </w:r>
    </w:p>
    <w:p>
      <w:pPr>
        <w:adjustRightInd w:val="0"/>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（3）已详细审查全部采购文件，包括所有补充通知（如果有的话）。</w:t>
      </w:r>
    </w:p>
    <w:p>
      <w:pPr>
        <w:adjustRightInd w:val="0"/>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（4）在规定的磋商时间后，遵守采购文件中有关保证金的规定。</w:t>
      </w:r>
    </w:p>
    <w:p>
      <w:pPr>
        <w:adjustRightInd w:val="0"/>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（6）在领取成交通知书的同时按采购文件规定的形式，向贵方一次性支付成交服务费。</w:t>
      </w:r>
    </w:p>
    <w:p>
      <w:pPr>
        <w:adjustRightInd w:val="0"/>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（8）按照采购文件的规定履行合同责任和义务。</w:t>
      </w:r>
    </w:p>
    <w:p>
      <w:pPr>
        <w:adjustRightInd w:val="0"/>
        <w:snapToGrid w:val="0"/>
        <w:spacing w:line="360" w:lineRule="auto"/>
        <w:ind w:right="-21" w:rightChars="-10" w:firstLine="420" w:firstLineChars="200"/>
        <w:rPr>
          <w:rFonts w:ascii="宋体" w:hAnsi="宋体" w:cs="宋体"/>
          <w:color w:val="auto"/>
          <w:szCs w:val="21"/>
          <w:highlight w:val="none"/>
        </w:rPr>
      </w:pPr>
      <w:r>
        <w:rPr>
          <w:rFonts w:hint="eastAsia" w:ascii="宋体" w:hAnsi="宋体" w:cs="宋体"/>
          <w:color w:val="auto"/>
          <w:szCs w:val="21"/>
          <w:highlight w:val="none"/>
        </w:rPr>
        <w:t>（9）我方承诺响应文件中的证明材料真实、合法、有效。</w:t>
      </w:r>
    </w:p>
    <w:p>
      <w:pPr>
        <w:tabs>
          <w:tab w:val="left" w:pos="10467"/>
        </w:tabs>
        <w:adjustRightInd w:val="0"/>
        <w:snapToGrid w:val="0"/>
        <w:spacing w:line="360" w:lineRule="auto"/>
        <w:ind w:right="1050" w:rightChars="500" w:firstLine="476" w:firstLineChars="227"/>
        <w:rPr>
          <w:rFonts w:ascii="宋体" w:hAnsi="宋体" w:cs="宋体"/>
          <w:color w:val="auto"/>
          <w:szCs w:val="21"/>
          <w:highlight w:val="none"/>
        </w:rPr>
      </w:pPr>
    </w:p>
    <w:p>
      <w:pPr>
        <w:tabs>
          <w:tab w:val="left" w:pos="10467"/>
        </w:tabs>
        <w:adjustRightInd w:val="0"/>
        <w:snapToGrid w:val="0"/>
        <w:spacing w:line="360" w:lineRule="auto"/>
        <w:ind w:right="1050" w:rightChars="500" w:firstLine="476" w:firstLineChars="227"/>
        <w:rPr>
          <w:rFonts w:ascii="宋体" w:hAnsi="宋体" w:cs="宋体"/>
          <w:color w:val="auto"/>
          <w:szCs w:val="21"/>
          <w:highlight w:val="none"/>
        </w:rPr>
      </w:pPr>
      <w:r>
        <w:rPr>
          <w:rFonts w:hint="eastAsia" w:ascii="宋体" w:hAnsi="宋体" w:cs="宋体"/>
          <w:color w:val="auto"/>
          <w:szCs w:val="21"/>
          <w:highlight w:val="none"/>
        </w:rPr>
        <w:t>与本磋商有关的一切往来通讯请寄：</w:t>
      </w:r>
    </w:p>
    <w:p>
      <w:pPr>
        <w:tabs>
          <w:tab w:val="left" w:pos="10467"/>
        </w:tabs>
        <w:adjustRightInd w:val="0"/>
        <w:snapToGrid w:val="0"/>
        <w:spacing w:line="360" w:lineRule="auto"/>
        <w:ind w:right="-21" w:rightChars="-10" w:firstLine="476" w:firstLineChars="227"/>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tabs>
          <w:tab w:val="left" w:pos="10467"/>
        </w:tabs>
        <w:adjustRightInd w:val="0"/>
        <w:snapToGrid w:val="0"/>
        <w:spacing w:line="360" w:lineRule="auto"/>
        <w:ind w:right="-21" w:rightChars="-10" w:firstLine="476" w:firstLineChars="227"/>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电子邮件：</w:t>
      </w:r>
      <w:r>
        <w:rPr>
          <w:rFonts w:hint="eastAsia" w:ascii="宋体" w:hAnsi="宋体" w:cs="宋体"/>
          <w:color w:val="auto"/>
          <w:szCs w:val="21"/>
          <w:highlight w:val="none"/>
          <w:u w:val="single"/>
        </w:rPr>
        <w:t xml:space="preserve">                     </w:t>
      </w:r>
    </w:p>
    <w:p>
      <w:pPr>
        <w:tabs>
          <w:tab w:val="left" w:pos="10467"/>
        </w:tabs>
        <w:adjustRightInd w:val="0"/>
        <w:snapToGrid w:val="0"/>
        <w:spacing w:line="360" w:lineRule="auto"/>
        <w:ind w:right="260" w:rightChars="124" w:firstLine="476" w:firstLineChars="227"/>
        <w:rPr>
          <w:rFonts w:ascii="宋体" w:hAnsi="宋体" w:cs="宋体"/>
          <w:color w:val="auto"/>
          <w:szCs w:val="21"/>
          <w:highlight w:val="none"/>
        </w:rPr>
      </w:pPr>
      <w:r>
        <w:rPr>
          <w:rFonts w:hint="eastAsia" w:ascii="宋体" w:hAnsi="宋体" w:cs="宋体"/>
          <w:color w:val="auto"/>
          <w:szCs w:val="21"/>
          <w:highlight w:val="none"/>
        </w:rPr>
        <w:t>法定代表人（非法人组织负责人）或其授权委托人</w:t>
      </w:r>
      <w:r>
        <w:rPr>
          <w:rFonts w:hint="eastAsia" w:ascii="宋体" w:hAnsi="宋体" w:cs="宋体"/>
          <w:color w:val="auto"/>
          <w:highlight w:val="none"/>
        </w:rPr>
        <w:t>(签字或盖章)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tabs>
          <w:tab w:val="left" w:pos="10467"/>
        </w:tabs>
        <w:adjustRightInd w:val="0"/>
        <w:snapToGrid w:val="0"/>
        <w:spacing w:line="360" w:lineRule="auto"/>
        <w:ind w:right="260" w:rightChars="124" w:firstLine="476" w:firstLineChars="227"/>
        <w:rPr>
          <w:rFonts w:ascii="宋体" w:hAnsi="宋体" w:cs="宋体"/>
          <w:color w:val="auto"/>
          <w:szCs w:val="21"/>
          <w:highlight w:val="none"/>
        </w:rPr>
      </w:pPr>
      <w:r>
        <w:rPr>
          <w:rFonts w:hint="eastAsia" w:ascii="宋体" w:hAnsi="宋体" w:cs="宋体"/>
          <w:color w:val="auto"/>
          <w:szCs w:val="21"/>
          <w:highlight w:val="none"/>
        </w:rPr>
        <w:t>供应商名称（加盖单位公章）: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tabs>
          <w:tab w:val="left" w:pos="10467"/>
        </w:tabs>
        <w:adjustRightInd w:val="0"/>
        <w:snapToGrid w:val="0"/>
        <w:spacing w:line="360" w:lineRule="auto"/>
        <w:ind w:right="260" w:rightChars="124" w:firstLine="476" w:firstLineChars="227"/>
        <w:rPr>
          <w:rFonts w:ascii="宋体" w:hAnsi="宋体" w:cs="宋体"/>
          <w:color w:val="auto"/>
          <w:szCs w:val="21"/>
          <w:highlight w:val="none"/>
        </w:rPr>
      </w:pPr>
      <w:r>
        <w:rPr>
          <w:rFonts w:hint="eastAsia" w:ascii="宋体" w:hAnsi="宋体" w:cs="宋体"/>
          <w:color w:val="auto"/>
          <w:szCs w:val="21"/>
          <w:highlight w:val="none"/>
        </w:rPr>
        <w:t>供应商开户银行（全称）: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tabs>
          <w:tab w:val="left" w:pos="10467"/>
        </w:tabs>
        <w:adjustRightInd w:val="0"/>
        <w:snapToGrid w:val="0"/>
        <w:spacing w:line="360" w:lineRule="auto"/>
        <w:ind w:right="260" w:rightChars="124" w:firstLine="476" w:firstLineChars="227"/>
        <w:rPr>
          <w:rFonts w:ascii="宋体" w:hAnsi="宋体" w:cs="宋体"/>
          <w:color w:val="auto"/>
          <w:szCs w:val="21"/>
          <w:highlight w:val="none"/>
        </w:rPr>
      </w:pPr>
      <w:r>
        <w:rPr>
          <w:rFonts w:hint="eastAsia" w:ascii="宋体" w:hAnsi="宋体" w:cs="宋体"/>
          <w:color w:val="auto"/>
          <w:szCs w:val="21"/>
          <w:highlight w:val="none"/>
        </w:rPr>
        <w:t>供应商银行帐号: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360" w:lineRule="auto"/>
        <w:ind w:right="1050" w:rightChars="500" w:firstLine="476" w:firstLineChars="227"/>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360" w:lineRule="auto"/>
        <w:ind w:right="1050" w:rightChars="500"/>
        <w:outlineLvl w:val="1"/>
        <w:rPr>
          <w:rFonts w:ascii="宋体" w:hAnsi="宋体" w:cs="宋体"/>
          <w:color w:val="auto"/>
          <w:szCs w:val="21"/>
          <w:highlight w:val="none"/>
        </w:rPr>
      </w:pPr>
      <w:r>
        <w:rPr>
          <w:rFonts w:hint="eastAsia" w:ascii="宋体" w:hAnsi="宋体" w:cs="宋体"/>
          <w:color w:val="auto"/>
          <w:szCs w:val="21"/>
          <w:highlight w:val="none"/>
        </w:rPr>
        <w:br w:type="page"/>
      </w:r>
      <w:bookmarkStart w:id="71" w:name="_Toc533340158"/>
      <w:bookmarkStart w:id="72" w:name="_Toc4485634"/>
    </w:p>
    <w:p>
      <w:pPr>
        <w:adjustRightInd w:val="0"/>
        <w:snapToGrid w:val="0"/>
        <w:spacing w:line="360" w:lineRule="auto"/>
        <w:ind w:right="1050" w:rightChars="500"/>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格式</w:t>
      </w:r>
      <w:bookmarkEnd w:id="71"/>
      <w:bookmarkEnd w:id="72"/>
      <w:r>
        <w:rPr>
          <w:rFonts w:hint="eastAsia" w:ascii="宋体" w:hAnsi="宋体" w:cs="宋体"/>
          <w:b/>
          <w:bCs/>
          <w:color w:val="auto"/>
          <w:sz w:val="28"/>
          <w:szCs w:val="28"/>
          <w:highlight w:val="none"/>
        </w:rPr>
        <w:t>10</w:t>
      </w:r>
    </w:p>
    <w:p>
      <w:pPr>
        <w:adjustRightInd w:val="0"/>
        <w:snapToGrid w:val="0"/>
        <w:spacing w:line="360" w:lineRule="auto"/>
        <w:ind w:right="105" w:rightChars="50" w:firstLine="729" w:firstLineChars="227"/>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报价一览表</w:t>
      </w:r>
    </w:p>
    <w:p>
      <w:pPr>
        <w:adjustRightInd w:val="0"/>
        <w:snapToGrid w:val="0"/>
        <w:spacing w:line="360" w:lineRule="auto"/>
        <w:ind w:right="105" w:rightChars="50" w:firstLine="729" w:firstLineChars="227"/>
        <w:jc w:val="center"/>
        <w:rPr>
          <w:rFonts w:ascii="宋体" w:hAnsi="宋体" w:cs="宋体"/>
          <w:b/>
          <w:bCs/>
          <w:color w:val="auto"/>
          <w:sz w:val="32"/>
          <w:szCs w:val="32"/>
          <w:highlight w:val="none"/>
        </w:rPr>
      </w:pPr>
    </w:p>
    <w:p>
      <w:pPr>
        <w:adjustRightInd w:val="0"/>
        <w:snapToGrid w:val="0"/>
        <w:spacing w:line="360" w:lineRule="auto"/>
        <w:ind w:right="105" w:rightChars="50"/>
        <w:jc w:val="left"/>
        <w:rPr>
          <w:rFonts w:ascii="宋体" w:hAnsi="宋体" w:cs="宋体"/>
          <w:b/>
          <w:bCs/>
          <w:color w:val="auto"/>
          <w:szCs w:val="21"/>
          <w:highlight w:val="none"/>
        </w:rPr>
      </w:pPr>
      <w:r>
        <w:rPr>
          <w:rFonts w:hint="eastAsia" w:ascii="宋体" w:hAnsi="宋体" w:cs="宋体"/>
          <w:b/>
          <w:bCs/>
          <w:color w:val="auto"/>
          <w:szCs w:val="21"/>
          <w:highlight w:val="none"/>
        </w:rPr>
        <w:t>项目名称、包号：          项目编号：                               报价单位：人民币元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650"/>
        <w:gridCol w:w="1387"/>
        <w:gridCol w:w="1519"/>
        <w:gridCol w:w="1518"/>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18" w:type="dxa"/>
            <w:vAlign w:val="center"/>
          </w:tcPr>
          <w:p>
            <w:pPr>
              <w:adjustRightInd w:val="0"/>
              <w:snapToGrid w:val="0"/>
              <w:ind w:right="-48" w:rightChars="-23"/>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1650" w:type="dxa"/>
            <w:vAlign w:val="center"/>
          </w:tcPr>
          <w:p>
            <w:pPr>
              <w:adjustRightInd w:val="0"/>
              <w:snapToGrid w:val="0"/>
              <w:ind w:right="-107" w:rightChars="-51"/>
              <w:jc w:val="center"/>
              <w:rPr>
                <w:rFonts w:ascii="宋体" w:hAnsi="宋体" w:cs="宋体"/>
                <w:color w:val="auto"/>
                <w:szCs w:val="21"/>
                <w:highlight w:val="none"/>
              </w:rPr>
            </w:pPr>
            <w:r>
              <w:rPr>
                <w:rFonts w:hint="eastAsia" w:ascii="宋体" w:hAnsi="宋体" w:cs="宋体"/>
                <w:color w:val="auto"/>
                <w:szCs w:val="21"/>
                <w:highlight w:val="none"/>
              </w:rPr>
              <w:t>响应总价</w:t>
            </w:r>
          </w:p>
        </w:tc>
        <w:tc>
          <w:tcPr>
            <w:tcW w:w="1387" w:type="dxa"/>
            <w:vAlign w:val="center"/>
          </w:tcPr>
          <w:p>
            <w:pPr>
              <w:adjustRightInd w:val="0"/>
              <w:snapToGrid w:val="0"/>
              <w:ind w:right="-158" w:rightChars="-75"/>
              <w:rPr>
                <w:rFonts w:ascii="宋体" w:hAnsi="宋体" w:cs="宋体"/>
                <w:color w:val="auto"/>
                <w:szCs w:val="21"/>
                <w:highlight w:val="none"/>
              </w:rPr>
            </w:pPr>
            <w:r>
              <w:rPr>
                <w:rFonts w:hint="eastAsia" w:ascii="宋体" w:hAnsi="宋体" w:cs="宋体"/>
                <w:color w:val="auto"/>
                <w:szCs w:val="21"/>
                <w:highlight w:val="none"/>
              </w:rPr>
              <w:t>磋商保证金</w:t>
            </w:r>
          </w:p>
        </w:tc>
        <w:tc>
          <w:tcPr>
            <w:tcW w:w="1519" w:type="dxa"/>
            <w:vAlign w:val="center"/>
          </w:tcPr>
          <w:p>
            <w:pPr>
              <w:adjustRightInd w:val="0"/>
              <w:snapToGrid w:val="0"/>
              <w:ind w:right="105" w:rightChars="50"/>
              <w:jc w:val="center"/>
              <w:rPr>
                <w:rFonts w:ascii="宋体" w:hAnsi="宋体" w:cs="宋体"/>
                <w:color w:val="auto"/>
                <w:szCs w:val="21"/>
                <w:highlight w:val="none"/>
              </w:rPr>
            </w:pPr>
            <w:r>
              <w:rPr>
                <w:rFonts w:hint="eastAsia" w:ascii="宋体" w:hAnsi="宋体" w:cs="宋体"/>
                <w:color w:val="auto"/>
                <w:szCs w:val="21"/>
                <w:highlight w:val="none"/>
              </w:rPr>
              <w:t>交货时间</w:t>
            </w:r>
          </w:p>
        </w:tc>
        <w:tc>
          <w:tcPr>
            <w:tcW w:w="1518" w:type="dxa"/>
            <w:vAlign w:val="center"/>
          </w:tcPr>
          <w:p>
            <w:pPr>
              <w:adjustRightInd w:val="0"/>
              <w:snapToGrid w:val="0"/>
              <w:ind w:right="-107" w:rightChars="-51"/>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1519" w:type="dxa"/>
            <w:vAlign w:val="center"/>
          </w:tcPr>
          <w:p>
            <w:pPr>
              <w:adjustRightInd w:val="0"/>
              <w:snapToGrid w:val="0"/>
              <w:ind w:right="-107" w:rightChars="-51"/>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18" w:type="dxa"/>
            <w:vAlign w:val="center"/>
          </w:tcPr>
          <w:p>
            <w:pPr>
              <w:adjustRightInd w:val="0"/>
              <w:snapToGrid w:val="0"/>
              <w:ind w:right="105" w:rightChars="50"/>
              <w:jc w:val="center"/>
              <w:rPr>
                <w:rFonts w:ascii="宋体" w:hAnsi="宋体" w:cs="宋体"/>
                <w:color w:val="auto"/>
                <w:szCs w:val="21"/>
                <w:highlight w:val="none"/>
              </w:rPr>
            </w:pPr>
          </w:p>
        </w:tc>
        <w:tc>
          <w:tcPr>
            <w:tcW w:w="1650" w:type="dxa"/>
            <w:vAlign w:val="center"/>
          </w:tcPr>
          <w:p>
            <w:pPr>
              <w:adjustRightInd w:val="0"/>
              <w:snapToGrid w:val="0"/>
              <w:ind w:right="105" w:rightChars="50"/>
              <w:jc w:val="left"/>
              <w:rPr>
                <w:rFonts w:ascii="宋体" w:hAnsi="宋体" w:cs="宋体"/>
                <w:color w:val="auto"/>
                <w:szCs w:val="21"/>
                <w:highlight w:val="none"/>
              </w:rPr>
            </w:pPr>
            <w:r>
              <w:rPr>
                <w:rFonts w:hint="eastAsia" w:ascii="宋体" w:hAnsi="宋体" w:cs="宋体"/>
                <w:color w:val="auto"/>
                <w:szCs w:val="21"/>
                <w:highlight w:val="none"/>
              </w:rPr>
              <w:t>小写：</w:t>
            </w:r>
          </w:p>
          <w:p>
            <w:pPr>
              <w:adjustRightInd w:val="0"/>
              <w:snapToGrid w:val="0"/>
              <w:ind w:right="105" w:rightChars="50"/>
              <w:jc w:val="left"/>
              <w:rPr>
                <w:rFonts w:ascii="宋体" w:hAnsi="宋体" w:cs="宋体"/>
                <w:color w:val="auto"/>
                <w:szCs w:val="21"/>
                <w:highlight w:val="none"/>
              </w:rPr>
            </w:pPr>
            <w:r>
              <w:rPr>
                <w:rFonts w:hint="eastAsia" w:ascii="宋体" w:hAnsi="宋体" w:cs="宋体"/>
                <w:color w:val="auto"/>
                <w:szCs w:val="21"/>
                <w:highlight w:val="none"/>
              </w:rPr>
              <w:t>大写：</w:t>
            </w:r>
          </w:p>
        </w:tc>
        <w:tc>
          <w:tcPr>
            <w:tcW w:w="1387" w:type="dxa"/>
            <w:vAlign w:val="center"/>
          </w:tcPr>
          <w:p>
            <w:pPr>
              <w:adjustRightInd w:val="0"/>
              <w:snapToGrid w:val="0"/>
              <w:ind w:right="105" w:rightChars="50"/>
              <w:jc w:val="center"/>
              <w:rPr>
                <w:rFonts w:ascii="宋体" w:hAnsi="宋体" w:cs="宋体"/>
                <w:color w:val="auto"/>
                <w:szCs w:val="21"/>
                <w:highlight w:val="none"/>
              </w:rPr>
            </w:pPr>
          </w:p>
        </w:tc>
        <w:tc>
          <w:tcPr>
            <w:tcW w:w="1519" w:type="dxa"/>
            <w:vAlign w:val="center"/>
          </w:tcPr>
          <w:p>
            <w:pPr>
              <w:adjustRightInd w:val="0"/>
              <w:snapToGrid w:val="0"/>
              <w:ind w:right="105" w:rightChars="50"/>
              <w:jc w:val="center"/>
              <w:rPr>
                <w:rFonts w:ascii="宋体" w:hAnsi="宋体" w:cs="宋体"/>
                <w:color w:val="auto"/>
                <w:szCs w:val="21"/>
                <w:highlight w:val="none"/>
              </w:rPr>
            </w:pPr>
          </w:p>
        </w:tc>
        <w:tc>
          <w:tcPr>
            <w:tcW w:w="1518" w:type="dxa"/>
            <w:vAlign w:val="center"/>
          </w:tcPr>
          <w:p>
            <w:pPr>
              <w:adjustRightInd w:val="0"/>
              <w:snapToGrid w:val="0"/>
              <w:ind w:right="105" w:rightChars="50"/>
              <w:jc w:val="center"/>
              <w:rPr>
                <w:rFonts w:ascii="宋体" w:hAnsi="宋体" w:cs="宋体"/>
                <w:color w:val="auto"/>
                <w:szCs w:val="21"/>
                <w:highlight w:val="none"/>
              </w:rPr>
            </w:pPr>
          </w:p>
        </w:tc>
        <w:tc>
          <w:tcPr>
            <w:tcW w:w="1519" w:type="dxa"/>
            <w:vAlign w:val="center"/>
          </w:tcPr>
          <w:p>
            <w:pPr>
              <w:adjustRightInd w:val="0"/>
              <w:snapToGrid w:val="0"/>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8" w:type="dxa"/>
            <w:gridSpan w:val="2"/>
            <w:vAlign w:val="center"/>
          </w:tcPr>
          <w:p>
            <w:pPr>
              <w:adjustRightInd w:val="0"/>
              <w:snapToGrid w:val="0"/>
              <w:ind w:right="-107" w:rightChars="-51"/>
              <w:jc w:val="center"/>
              <w:rPr>
                <w:rFonts w:ascii="宋体" w:hAnsi="宋体" w:cs="宋体"/>
                <w:color w:val="auto"/>
                <w:szCs w:val="21"/>
                <w:highlight w:val="none"/>
              </w:rPr>
            </w:pPr>
            <w:r>
              <w:rPr>
                <w:rFonts w:hint="eastAsia" w:ascii="宋体" w:hAnsi="宋体" w:cs="宋体"/>
                <w:color w:val="auto"/>
                <w:szCs w:val="21"/>
                <w:highlight w:val="none"/>
              </w:rPr>
              <w:t>最终报价</w:t>
            </w:r>
          </w:p>
        </w:tc>
        <w:tc>
          <w:tcPr>
            <w:tcW w:w="5943" w:type="dxa"/>
            <w:gridSpan w:val="4"/>
            <w:vAlign w:val="center"/>
          </w:tcPr>
          <w:p>
            <w:pPr>
              <w:adjustRightInd w:val="0"/>
              <w:snapToGrid w:val="0"/>
              <w:ind w:right="-107" w:rightChars="-51"/>
              <w:jc w:val="center"/>
              <w:rPr>
                <w:rFonts w:ascii="宋体" w:hAnsi="宋体" w:cs="宋体"/>
                <w:color w:val="auto"/>
                <w:szCs w:val="21"/>
                <w:highlight w:val="none"/>
              </w:rPr>
            </w:pPr>
            <w:r>
              <w:rPr>
                <w:rFonts w:hint="eastAsia" w:ascii="宋体" w:hAnsi="宋体" w:cs="宋体"/>
                <w:color w:val="auto"/>
                <w:szCs w:val="21"/>
                <w:highlight w:val="none"/>
              </w:rPr>
              <w:t>现场填报</w:t>
            </w:r>
          </w:p>
        </w:tc>
      </w:tr>
    </w:tbl>
    <w:p>
      <w:pPr>
        <w:adjustRightInd w:val="0"/>
        <w:snapToGrid w:val="0"/>
        <w:spacing w:line="360" w:lineRule="auto"/>
        <w:ind w:right="105" w:rightChars="50"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注：1、此表中，响应总价应和分项报价表的总价相一致。</w:t>
      </w:r>
    </w:p>
    <w:p>
      <w:pPr>
        <w:adjustRightInd w:val="0"/>
        <w:snapToGrid w:val="0"/>
        <w:spacing w:line="360" w:lineRule="auto"/>
        <w:ind w:right="105" w:rightChars="50" w:firstLine="840" w:firstLineChars="400"/>
        <w:jc w:val="left"/>
        <w:rPr>
          <w:rFonts w:ascii="宋体" w:hAnsi="宋体" w:cs="宋体"/>
          <w:color w:val="auto"/>
          <w:szCs w:val="21"/>
          <w:highlight w:val="none"/>
        </w:rPr>
      </w:pPr>
      <w:r>
        <w:rPr>
          <w:rFonts w:hint="eastAsia" w:ascii="宋体" w:hAnsi="宋体" w:cs="宋体"/>
          <w:color w:val="auto"/>
          <w:szCs w:val="21"/>
          <w:highlight w:val="none"/>
        </w:rPr>
        <w:t>2、供应商应按磋商小组要求，在规定时间内提交最后报价（现场填报）。</w:t>
      </w:r>
    </w:p>
    <w:p>
      <w:pPr>
        <w:adjustRightInd w:val="0"/>
        <w:snapToGrid w:val="0"/>
        <w:spacing w:line="360" w:lineRule="auto"/>
        <w:ind w:right="105" w:rightChars="50"/>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u w:val="single"/>
        </w:rPr>
      </w:pPr>
      <w:r>
        <w:rPr>
          <w:rFonts w:hint="eastAsia" w:ascii="宋体" w:hAnsi="宋体" w:cs="宋体"/>
          <w:color w:val="auto"/>
          <w:szCs w:val="21"/>
          <w:highlight w:val="none"/>
        </w:rPr>
        <w:t>供应商名称（加盖单位公章）：</w:t>
      </w:r>
      <w:r>
        <w:rPr>
          <w:rFonts w:hint="eastAsia" w:ascii="宋体" w:hAnsi="宋体" w:cs="宋体"/>
          <w:color w:val="auto"/>
          <w:szCs w:val="21"/>
          <w:highlight w:val="none"/>
          <w:u w:val="single"/>
        </w:rPr>
        <w:t xml:space="preserve">               </w:t>
      </w: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u w:val="single"/>
        </w:rPr>
      </w:pPr>
      <w:r>
        <w:rPr>
          <w:rFonts w:hint="eastAsia" w:ascii="宋体" w:hAnsi="宋体" w:cs="宋体"/>
          <w:color w:val="auto"/>
          <w:szCs w:val="21"/>
          <w:highlight w:val="none"/>
        </w:rPr>
        <w:t>法定代表人（或非法人组织负责人）或其授权委托人</w:t>
      </w:r>
      <w:r>
        <w:rPr>
          <w:rFonts w:hint="eastAsia" w:ascii="宋体" w:hAnsi="宋体" w:cs="宋体"/>
          <w:color w:val="auto"/>
          <w:highlight w:val="none"/>
        </w:rPr>
        <w:t>(签字或盖章)：</w:t>
      </w:r>
      <w:r>
        <w:rPr>
          <w:rFonts w:hint="eastAsia" w:ascii="宋体" w:hAnsi="宋体" w:cs="宋体"/>
          <w:color w:val="auto"/>
          <w:szCs w:val="21"/>
          <w:highlight w:val="none"/>
          <w:u w:val="single"/>
        </w:rPr>
        <w:t xml:space="preserve">               </w:t>
      </w:r>
    </w:p>
    <w:p>
      <w:pPr>
        <w:adjustRightInd w:val="0"/>
        <w:snapToGrid w:val="0"/>
        <w:spacing w:line="360" w:lineRule="auto"/>
        <w:ind w:right="105" w:rightChars="50" w:firstLine="476" w:firstLineChars="227"/>
        <w:jc w:val="left"/>
        <w:rPr>
          <w:rFonts w:ascii="宋体" w:hAnsi="宋体" w:cs="宋体"/>
          <w:color w:val="auto"/>
          <w:szCs w:val="21"/>
          <w:highlight w:val="none"/>
          <w:u w:val="single"/>
        </w:rPr>
      </w:pPr>
    </w:p>
    <w:p>
      <w:pPr>
        <w:adjustRightInd w:val="0"/>
        <w:snapToGrid w:val="0"/>
        <w:spacing w:line="360" w:lineRule="auto"/>
        <w:ind w:right="105" w:rightChars="50" w:firstLine="476" w:firstLineChars="227"/>
        <w:jc w:val="left"/>
        <w:rPr>
          <w:rFonts w:ascii="宋体" w:hAnsi="宋体" w:cs="宋体"/>
          <w:color w:val="auto"/>
          <w:szCs w:val="21"/>
          <w:highlight w:val="none"/>
          <w:u w:val="singl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pPr>
        <w:adjustRightInd w:val="0"/>
        <w:snapToGrid w:val="0"/>
        <w:spacing w:line="360" w:lineRule="auto"/>
        <w:ind w:right="105" w:rightChars="50"/>
        <w:jc w:val="left"/>
        <w:rPr>
          <w:rFonts w:ascii="宋体" w:hAnsi="宋体" w:cs="宋体"/>
          <w:color w:val="auto"/>
          <w:szCs w:val="21"/>
          <w:highlight w:val="none"/>
        </w:rPr>
      </w:pPr>
    </w:p>
    <w:p>
      <w:pPr>
        <w:adjustRightInd w:val="0"/>
        <w:snapToGrid w:val="0"/>
        <w:spacing w:line="360" w:lineRule="auto"/>
        <w:ind w:right="105" w:rightChars="50"/>
        <w:jc w:val="left"/>
        <w:rPr>
          <w:rFonts w:ascii="宋体" w:hAnsi="宋体" w:cs="宋体"/>
          <w:color w:val="auto"/>
          <w:szCs w:val="21"/>
          <w:highlight w:val="none"/>
        </w:rPr>
      </w:pPr>
    </w:p>
    <w:p>
      <w:pPr>
        <w:adjustRightInd w:val="0"/>
        <w:snapToGrid w:val="0"/>
        <w:spacing w:line="360" w:lineRule="auto"/>
        <w:ind w:right="105" w:rightChars="50"/>
        <w:jc w:val="left"/>
        <w:rPr>
          <w:rFonts w:ascii="宋体" w:hAnsi="宋体" w:cs="宋体"/>
          <w:color w:val="auto"/>
          <w:szCs w:val="21"/>
          <w:highlight w:val="none"/>
        </w:rPr>
      </w:pPr>
    </w:p>
    <w:p>
      <w:pPr>
        <w:widowControl/>
        <w:jc w:val="left"/>
        <w:outlineLvl w:val="1"/>
        <w:rPr>
          <w:rFonts w:ascii="宋体" w:hAnsi="宋体" w:cs="宋体"/>
          <w:color w:val="auto"/>
          <w:szCs w:val="21"/>
          <w:highlight w:val="none"/>
        </w:rPr>
      </w:pPr>
      <w:r>
        <w:rPr>
          <w:rFonts w:hint="eastAsia" w:ascii="宋体" w:hAnsi="宋体" w:cs="宋体"/>
          <w:color w:val="auto"/>
          <w:szCs w:val="21"/>
          <w:highlight w:val="none"/>
        </w:rPr>
        <w:br w:type="page"/>
      </w:r>
      <w:bookmarkStart w:id="73" w:name="_Toc4485635"/>
      <w:bookmarkStart w:id="74" w:name="_Toc533340159"/>
    </w:p>
    <w:p>
      <w:pPr>
        <w:widowControl/>
        <w:jc w:val="left"/>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格式1</w:t>
      </w:r>
      <w:bookmarkEnd w:id="73"/>
      <w:bookmarkEnd w:id="74"/>
      <w:r>
        <w:rPr>
          <w:rFonts w:hint="eastAsia" w:ascii="宋体" w:hAnsi="宋体" w:cs="宋体"/>
          <w:b/>
          <w:bCs/>
          <w:color w:val="auto"/>
          <w:sz w:val="28"/>
          <w:szCs w:val="28"/>
          <w:highlight w:val="none"/>
        </w:rPr>
        <w:t>1</w:t>
      </w:r>
    </w:p>
    <w:p>
      <w:pPr>
        <w:adjustRightInd w:val="0"/>
        <w:snapToGrid w:val="0"/>
        <w:spacing w:line="360" w:lineRule="auto"/>
        <w:ind w:right="105" w:rightChars="50" w:firstLine="729" w:firstLineChars="227"/>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分项报价表</w:t>
      </w:r>
    </w:p>
    <w:p>
      <w:pPr>
        <w:adjustRightInd w:val="0"/>
        <w:snapToGrid w:val="0"/>
        <w:spacing w:line="360" w:lineRule="auto"/>
        <w:ind w:right="105" w:rightChars="50" w:firstLine="729" w:firstLineChars="227"/>
        <w:jc w:val="center"/>
        <w:rPr>
          <w:rFonts w:ascii="宋体" w:hAnsi="宋体" w:cs="宋体"/>
          <w:b/>
          <w:bCs/>
          <w:color w:val="auto"/>
          <w:sz w:val="32"/>
          <w:szCs w:val="32"/>
          <w:highlight w:val="none"/>
        </w:rPr>
      </w:pPr>
    </w:p>
    <w:p>
      <w:pPr>
        <w:adjustRightInd w:val="0"/>
        <w:snapToGrid w:val="0"/>
        <w:spacing w:line="360" w:lineRule="auto"/>
        <w:ind w:right="105" w:rightChars="50" w:firstLine="211" w:firstLineChars="100"/>
        <w:jc w:val="left"/>
        <w:rPr>
          <w:rFonts w:ascii="宋体" w:hAnsi="宋体" w:cs="宋体"/>
          <w:b/>
          <w:bCs/>
          <w:color w:val="auto"/>
          <w:szCs w:val="21"/>
          <w:highlight w:val="none"/>
        </w:rPr>
      </w:pPr>
      <w:r>
        <w:rPr>
          <w:rFonts w:hint="eastAsia" w:ascii="宋体" w:hAnsi="宋体" w:cs="宋体"/>
          <w:b/>
          <w:bCs/>
          <w:color w:val="auto"/>
          <w:szCs w:val="21"/>
          <w:highlight w:val="none"/>
        </w:rPr>
        <w:t>报价单位：</w:t>
      </w:r>
    </w:p>
    <w:tbl>
      <w:tblPr>
        <w:tblStyle w:val="18"/>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411"/>
        <w:gridCol w:w="1082"/>
        <w:gridCol w:w="1082"/>
        <w:gridCol w:w="754"/>
        <w:gridCol w:w="840"/>
        <w:gridCol w:w="840"/>
        <w:gridCol w:w="706"/>
        <w:gridCol w:w="71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83" w:type="dxa"/>
            <w:vAlign w:val="center"/>
          </w:tcPr>
          <w:p>
            <w:pPr>
              <w:adjustRightInd w:val="0"/>
              <w:snapToGrid w:val="0"/>
              <w:ind w:left="-46" w:leftChars="-22" w:right="-71" w:rightChars="-34"/>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11" w:type="dxa"/>
            <w:vAlign w:val="center"/>
          </w:tcPr>
          <w:p>
            <w:pPr>
              <w:adjustRightInd w:val="0"/>
              <w:snapToGrid w:val="0"/>
              <w:ind w:left="-46" w:leftChars="-22" w:right="-71" w:rightChars="-34"/>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082" w:type="dxa"/>
            <w:vAlign w:val="center"/>
          </w:tcPr>
          <w:p>
            <w:pPr>
              <w:adjustRightInd w:val="0"/>
              <w:snapToGrid w:val="0"/>
              <w:ind w:left="-46" w:leftChars="-22" w:right="-71" w:rightChars="-34"/>
              <w:jc w:val="center"/>
              <w:rPr>
                <w:rFonts w:ascii="宋体" w:hAnsi="宋体" w:cs="宋体"/>
                <w:color w:val="auto"/>
                <w:szCs w:val="21"/>
                <w:highlight w:val="none"/>
              </w:rPr>
            </w:pPr>
            <w:r>
              <w:rPr>
                <w:rFonts w:hint="eastAsia" w:ascii="宋体" w:hAnsi="宋体" w:cs="宋体"/>
                <w:color w:val="auto"/>
                <w:szCs w:val="21"/>
                <w:highlight w:val="none"/>
              </w:rPr>
              <w:t>品牌</w:t>
            </w:r>
          </w:p>
        </w:tc>
        <w:tc>
          <w:tcPr>
            <w:tcW w:w="1082" w:type="dxa"/>
            <w:vAlign w:val="center"/>
          </w:tcPr>
          <w:p>
            <w:pPr>
              <w:adjustRightInd w:val="0"/>
              <w:snapToGrid w:val="0"/>
              <w:ind w:left="-46" w:leftChars="-22" w:right="-71" w:rightChars="-34"/>
              <w:jc w:val="center"/>
              <w:rPr>
                <w:rFonts w:ascii="宋体" w:hAnsi="宋体" w:cs="宋体"/>
                <w:color w:val="auto"/>
                <w:szCs w:val="21"/>
                <w:highlight w:val="none"/>
              </w:rPr>
            </w:pPr>
            <w:r>
              <w:rPr>
                <w:rFonts w:hint="eastAsia" w:ascii="宋体" w:hAnsi="宋体" w:cs="宋体"/>
                <w:color w:val="auto"/>
                <w:szCs w:val="21"/>
                <w:highlight w:val="none"/>
              </w:rPr>
              <w:t>型号</w:t>
            </w:r>
          </w:p>
          <w:p>
            <w:pPr>
              <w:adjustRightInd w:val="0"/>
              <w:snapToGrid w:val="0"/>
              <w:ind w:left="-46" w:leftChars="-22" w:right="-71" w:rightChars="-34"/>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754" w:type="dxa"/>
            <w:vAlign w:val="center"/>
          </w:tcPr>
          <w:p>
            <w:pPr>
              <w:adjustRightInd w:val="0"/>
              <w:snapToGrid w:val="0"/>
              <w:ind w:left="-46" w:leftChars="-22" w:right="-71" w:rightChars="-34"/>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40" w:type="dxa"/>
            <w:vAlign w:val="center"/>
          </w:tcPr>
          <w:p>
            <w:pPr>
              <w:adjustRightInd w:val="0"/>
              <w:snapToGrid w:val="0"/>
              <w:ind w:left="-46" w:leftChars="-22" w:right="-71" w:rightChars="-34"/>
              <w:jc w:val="center"/>
              <w:rPr>
                <w:rFonts w:ascii="宋体" w:hAnsi="宋体" w:cs="宋体"/>
                <w:color w:val="auto"/>
                <w:szCs w:val="21"/>
                <w:highlight w:val="none"/>
              </w:rPr>
            </w:pPr>
            <w:r>
              <w:rPr>
                <w:rFonts w:hint="eastAsia" w:ascii="宋体" w:hAnsi="宋体" w:cs="宋体"/>
                <w:color w:val="auto"/>
                <w:szCs w:val="21"/>
                <w:highlight w:val="none"/>
              </w:rPr>
              <w:t>原产地</w:t>
            </w:r>
          </w:p>
        </w:tc>
        <w:tc>
          <w:tcPr>
            <w:tcW w:w="840" w:type="dxa"/>
            <w:vAlign w:val="center"/>
          </w:tcPr>
          <w:p>
            <w:pPr>
              <w:adjustRightInd w:val="0"/>
              <w:snapToGrid w:val="0"/>
              <w:ind w:left="-46" w:leftChars="-22" w:right="-71" w:rightChars="-34"/>
              <w:jc w:val="center"/>
              <w:rPr>
                <w:rFonts w:ascii="宋体" w:hAnsi="宋体" w:cs="宋体"/>
                <w:color w:val="auto"/>
                <w:szCs w:val="21"/>
                <w:highlight w:val="none"/>
              </w:rPr>
            </w:pPr>
            <w:r>
              <w:rPr>
                <w:rFonts w:hint="eastAsia" w:ascii="宋体" w:hAnsi="宋体" w:cs="宋体"/>
                <w:color w:val="auto"/>
                <w:szCs w:val="21"/>
                <w:highlight w:val="none"/>
              </w:rPr>
              <w:t>制造商名称</w:t>
            </w:r>
          </w:p>
        </w:tc>
        <w:tc>
          <w:tcPr>
            <w:tcW w:w="706" w:type="dxa"/>
            <w:vAlign w:val="center"/>
          </w:tcPr>
          <w:p>
            <w:pPr>
              <w:adjustRightInd w:val="0"/>
              <w:snapToGrid w:val="0"/>
              <w:ind w:left="-46" w:leftChars="-22" w:right="-71" w:rightChars="-34"/>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713" w:type="dxa"/>
            <w:vAlign w:val="center"/>
          </w:tcPr>
          <w:p>
            <w:pPr>
              <w:adjustRightInd w:val="0"/>
              <w:snapToGrid w:val="0"/>
              <w:ind w:left="-46" w:leftChars="-22" w:right="-71" w:rightChars="-34"/>
              <w:jc w:val="center"/>
              <w:rPr>
                <w:rFonts w:ascii="宋体" w:hAnsi="宋体" w:cs="宋体"/>
                <w:color w:val="auto"/>
                <w:szCs w:val="21"/>
                <w:highlight w:val="none"/>
              </w:rPr>
            </w:pPr>
            <w:r>
              <w:rPr>
                <w:rFonts w:hint="eastAsia" w:ascii="宋体" w:hAnsi="宋体" w:cs="宋体"/>
                <w:color w:val="auto"/>
                <w:szCs w:val="21"/>
                <w:highlight w:val="none"/>
              </w:rPr>
              <w:t>总价</w:t>
            </w:r>
          </w:p>
        </w:tc>
        <w:tc>
          <w:tcPr>
            <w:tcW w:w="840" w:type="dxa"/>
            <w:vAlign w:val="center"/>
          </w:tcPr>
          <w:p>
            <w:pPr>
              <w:adjustRightInd w:val="0"/>
              <w:snapToGrid w:val="0"/>
              <w:ind w:left="-46" w:leftChars="-22" w:right="-71" w:rightChars="-34"/>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宋体" w:hAnsi="宋体" w:cs="宋体"/>
                <w:color w:val="auto"/>
                <w:szCs w:val="21"/>
                <w:highlight w:val="none"/>
              </w:rPr>
            </w:pPr>
          </w:p>
        </w:tc>
        <w:tc>
          <w:tcPr>
            <w:tcW w:w="1411"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754"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706" w:type="dxa"/>
            <w:vAlign w:val="center"/>
          </w:tcPr>
          <w:p>
            <w:pPr>
              <w:adjustRightInd w:val="0"/>
              <w:snapToGrid w:val="0"/>
              <w:ind w:right="105" w:rightChars="50"/>
              <w:jc w:val="center"/>
              <w:rPr>
                <w:rFonts w:ascii="宋体" w:hAnsi="宋体" w:cs="宋体"/>
                <w:color w:val="auto"/>
                <w:szCs w:val="21"/>
                <w:highlight w:val="none"/>
              </w:rPr>
            </w:pPr>
          </w:p>
        </w:tc>
        <w:tc>
          <w:tcPr>
            <w:tcW w:w="713"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宋体" w:hAnsi="宋体" w:cs="宋体"/>
                <w:color w:val="auto"/>
                <w:szCs w:val="21"/>
                <w:highlight w:val="none"/>
              </w:rPr>
            </w:pPr>
          </w:p>
        </w:tc>
        <w:tc>
          <w:tcPr>
            <w:tcW w:w="1411"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754"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706" w:type="dxa"/>
            <w:vAlign w:val="center"/>
          </w:tcPr>
          <w:p>
            <w:pPr>
              <w:adjustRightInd w:val="0"/>
              <w:snapToGrid w:val="0"/>
              <w:ind w:right="105" w:rightChars="50"/>
              <w:jc w:val="center"/>
              <w:rPr>
                <w:rFonts w:ascii="宋体" w:hAnsi="宋体" w:cs="宋体"/>
                <w:color w:val="auto"/>
                <w:szCs w:val="21"/>
                <w:highlight w:val="none"/>
              </w:rPr>
            </w:pPr>
          </w:p>
        </w:tc>
        <w:tc>
          <w:tcPr>
            <w:tcW w:w="713"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宋体" w:hAnsi="宋体" w:cs="宋体"/>
                <w:color w:val="auto"/>
                <w:szCs w:val="21"/>
                <w:highlight w:val="none"/>
              </w:rPr>
            </w:pPr>
          </w:p>
        </w:tc>
        <w:tc>
          <w:tcPr>
            <w:tcW w:w="1411"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754"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706" w:type="dxa"/>
            <w:vAlign w:val="center"/>
          </w:tcPr>
          <w:p>
            <w:pPr>
              <w:adjustRightInd w:val="0"/>
              <w:snapToGrid w:val="0"/>
              <w:ind w:right="105" w:rightChars="50"/>
              <w:jc w:val="center"/>
              <w:rPr>
                <w:rFonts w:ascii="宋体" w:hAnsi="宋体" w:cs="宋体"/>
                <w:color w:val="auto"/>
                <w:szCs w:val="21"/>
                <w:highlight w:val="none"/>
              </w:rPr>
            </w:pPr>
          </w:p>
        </w:tc>
        <w:tc>
          <w:tcPr>
            <w:tcW w:w="713"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宋体" w:hAnsi="宋体" w:cs="宋体"/>
                <w:color w:val="auto"/>
                <w:szCs w:val="21"/>
                <w:highlight w:val="none"/>
              </w:rPr>
            </w:pPr>
          </w:p>
        </w:tc>
        <w:tc>
          <w:tcPr>
            <w:tcW w:w="1411"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754"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706" w:type="dxa"/>
            <w:vAlign w:val="center"/>
          </w:tcPr>
          <w:p>
            <w:pPr>
              <w:adjustRightInd w:val="0"/>
              <w:snapToGrid w:val="0"/>
              <w:ind w:right="105" w:rightChars="50"/>
              <w:jc w:val="center"/>
              <w:rPr>
                <w:rFonts w:ascii="宋体" w:hAnsi="宋体" w:cs="宋体"/>
                <w:color w:val="auto"/>
                <w:szCs w:val="21"/>
                <w:highlight w:val="none"/>
              </w:rPr>
            </w:pPr>
          </w:p>
        </w:tc>
        <w:tc>
          <w:tcPr>
            <w:tcW w:w="713"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宋体" w:hAnsi="宋体" w:cs="宋体"/>
                <w:color w:val="auto"/>
                <w:szCs w:val="21"/>
                <w:highlight w:val="none"/>
              </w:rPr>
            </w:pPr>
          </w:p>
        </w:tc>
        <w:tc>
          <w:tcPr>
            <w:tcW w:w="1411"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754"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706" w:type="dxa"/>
            <w:vAlign w:val="center"/>
          </w:tcPr>
          <w:p>
            <w:pPr>
              <w:adjustRightInd w:val="0"/>
              <w:snapToGrid w:val="0"/>
              <w:ind w:right="105" w:rightChars="50"/>
              <w:jc w:val="center"/>
              <w:rPr>
                <w:rFonts w:ascii="宋体" w:hAnsi="宋体" w:cs="宋体"/>
                <w:color w:val="auto"/>
                <w:szCs w:val="21"/>
                <w:highlight w:val="none"/>
              </w:rPr>
            </w:pPr>
          </w:p>
        </w:tc>
        <w:tc>
          <w:tcPr>
            <w:tcW w:w="713"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宋体" w:hAnsi="宋体" w:cs="宋体"/>
                <w:color w:val="auto"/>
                <w:szCs w:val="21"/>
                <w:highlight w:val="none"/>
              </w:rPr>
            </w:pPr>
          </w:p>
        </w:tc>
        <w:tc>
          <w:tcPr>
            <w:tcW w:w="1411"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754"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706" w:type="dxa"/>
            <w:vAlign w:val="center"/>
          </w:tcPr>
          <w:p>
            <w:pPr>
              <w:adjustRightInd w:val="0"/>
              <w:snapToGrid w:val="0"/>
              <w:ind w:right="105" w:rightChars="50"/>
              <w:jc w:val="center"/>
              <w:rPr>
                <w:rFonts w:ascii="宋体" w:hAnsi="宋体" w:cs="宋体"/>
                <w:color w:val="auto"/>
                <w:szCs w:val="21"/>
                <w:highlight w:val="none"/>
              </w:rPr>
            </w:pPr>
          </w:p>
        </w:tc>
        <w:tc>
          <w:tcPr>
            <w:tcW w:w="713"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宋体" w:hAnsi="宋体" w:cs="宋体"/>
                <w:color w:val="auto"/>
                <w:szCs w:val="21"/>
                <w:highlight w:val="none"/>
              </w:rPr>
            </w:pPr>
          </w:p>
        </w:tc>
        <w:tc>
          <w:tcPr>
            <w:tcW w:w="1411"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754"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706" w:type="dxa"/>
            <w:vAlign w:val="center"/>
          </w:tcPr>
          <w:p>
            <w:pPr>
              <w:adjustRightInd w:val="0"/>
              <w:snapToGrid w:val="0"/>
              <w:ind w:right="105" w:rightChars="50"/>
              <w:jc w:val="center"/>
              <w:rPr>
                <w:rFonts w:ascii="宋体" w:hAnsi="宋体" w:cs="宋体"/>
                <w:color w:val="auto"/>
                <w:szCs w:val="21"/>
                <w:highlight w:val="none"/>
              </w:rPr>
            </w:pPr>
          </w:p>
        </w:tc>
        <w:tc>
          <w:tcPr>
            <w:tcW w:w="713"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94" w:type="dxa"/>
            <w:gridSpan w:val="2"/>
            <w:vAlign w:val="center"/>
          </w:tcPr>
          <w:p>
            <w:pPr>
              <w:adjustRightInd w:val="0"/>
              <w:snapToGrid w:val="0"/>
              <w:ind w:right="105" w:rightChars="50"/>
              <w:jc w:val="center"/>
              <w:rPr>
                <w:rFonts w:ascii="宋体" w:hAnsi="宋体" w:cs="宋体"/>
                <w:color w:val="auto"/>
                <w:szCs w:val="21"/>
                <w:highlight w:val="none"/>
              </w:rPr>
            </w:pPr>
            <w:r>
              <w:rPr>
                <w:rFonts w:hint="eastAsia" w:ascii="宋体" w:hAnsi="宋体" w:cs="宋体"/>
                <w:color w:val="auto"/>
                <w:szCs w:val="21"/>
                <w:highlight w:val="none"/>
              </w:rPr>
              <w:t>总价</w:t>
            </w: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1082" w:type="dxa"/>
            <w:vAlign w:val="center"/>
          </w:tcPr>
          <w:p>
            <w:pPr>
              <w:adjustRightInd w:val="0"/>
              <w:snapToGrid w:val="0"/>
              <w:ind w:right="105" w:rightChars="50"/>
              <w:jc w:val="center"/>
              <w:rPr>
                <w:rFonts w:ascii="宋体" w:hAnsi="宋体" w:cs="宋体"/>
                <w:color w:val="auto"/>
                <w:szCs w:val="21"/>
                <w:highlight w:val="none"/>
              </w:rPr>
            </w:pPr>
          </w:p>
        </w:tc>
        <w:tc>
          <w:tcPr>
            <w:tcW w:w="754"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c>
          <w:tcPr>
            <w:tcW w:w="706" w:type="dxa"/>
            <w:vAlign w:val="center"/>
          </w:tcPr>
          <w:p>
            <w:pPr>
              <w:adjustRightInd w:val="0"/>
              <w:snapToGrid w:val="0"/>
              <w:ind w:right="105" w:rightChars="50"/>
              <w:jc w:val="center"/>
              <w:rPr>
                <w:rFonts w:ascii="宋体" w:hAnsi="宋体" w:cs="宋体"/>
                <w:color w:val="auto"/>
                <w:szCs w:val="21"/>
                <w:highlight w:val="none"/>
              </w:rPr>
            </w:pPr>
          </w:p>
        </w:tc>
        <w:tc>
          <w:tcPr>
            <w:tcW w:w="713" w:type="dxa"/>
            <w:vAlign w:val="center"/>
          </w:tcPr>
          <w:p>
            <w:pPr>
              <w:adjustRightInd w:val="0"/>
              <w:snapToGrid w:val="0"/>
              <w:ind w:right="105" w:rightChars="50"/>
              <w:jc w:val="center"/>
              <w:rPr>
                <w:rFonts w:ascii="宋体" w:hAnsi="宋体" w:cs="宋体"/>
                <w:color w:val="auto"/>
                <w:szCs w:val="21"/>
                <w:highlight w:val="none"/>
              </w:rPr>
            </w:pPr>
          </w:p>
        </w:tc>
        <w:tc>
          <w:tcPr>
            <w:tcW w:w="840" w:type="dxa"/>
            <w:vAlign w:val="center"/>
          </w:tcPr>
          <w:p>
            <w:pPr>
              <w:adjustRightInd w:val="0"/>
              <w:snapToGrid w:val="0"/>
              <w:ind w:right="105" w:rightChars="50"/>
              <w:jc w:val="center"/>
              <w:rPr>
                <w:rFonts w:ascii="宋体" w:hAnsi="宋体" w:cs="宋体"/>
                <w:color w:val="auto"/>
                <w:szCs w:val="21"/>
                <w:highlight w:val="none"/>
              </w:rPr>
            </w:pPr>
          </w:p>
        </w:tc>
      </w:tr>
    </w:tbl>
    <w:p>
      <w:pPr>
        <w:adjustRightInd w:val="0"/>
        <w:snapToGrid w:val="0"/>
        <w:spacing w:line="360" w:lineRule="auto"/>
        <w:ind w:right="105" w:rightChars="50"/>
        <w:jc w:val="left"/>
        <w:rPr>
          <w:rFonts w:ascii="宋体" w:hAnsi="宋体" w:cs="宋体"/>
          <w:color w:val="auto"/>
          <w:szCs w:val="21"/>
          <w:highlight w:val="none"/>
        </w:rPr>
      </w:pPr>
    </w:p>
    <w:p>
      <w:pPr>
        <w:adjustRightInd w:val="0"/>
        <w:snapToGrid w:val="0"/>
        <w:spacing w:line="360" w:lineRule="auto"/>
        <w:ind w:right="105" w:rightChars="50"/>
        <w:jc w:val="left"/>
        <w:rPr>
          <w:rFonts w:ascii="宋体" w:hAnsi="宋体" w:cs="宋体"/>
          <w:color w:val="auto"/>
          <w:szCs w:val="21"/>
          <w:highlight w:val="none"/>
        </w:rPr>
      </w:pPr>
      <w:r>
        <w:rPr>
          <w:rFonts w:hint="eastAsia" w:ascii="宋体" w:hAnsi="宋体" w:cs="宋体"/>
          <w:color w:val="auto"/>
          <w:szCs w:val="21"/>
          <w:highlight w:val="none"/>
        </w:rPr>
        <w:t>注：1.如果按单价计算的结果与总价不一致,以单价为准修正总价。</w:t>
      </w:r>
    </w:p>
    <w:p>
      <w:pPr>
        <w:adjustRightInd w:val="0"/>
        <w:snapToGrid w:val="0"/>
        <w:spacing w:line="360" w:lineRule="auto"/>
        <w:ind w:right="105" w:rightChars="50" w:firstLine="420" w:firstLineChars="200"/>
        <w:jc w:val="left"/>
        <w:rPr>
          <w:rFonts w:ascii="宋体" w:hAnsi="宋体" w:cs="宋体"/>
          <w:color w:val="auto"/>
          <w:szCs w:val="21"/>
          <w:highlight w:val="none"/>
        </w:rPr>
      </w:pPr>
      <w:r>
        <w:rPr>
          <w:rFonts w:hint="eastAsia" w:ascii="宋体" w:hAnsi="宋体" w:cs="宋体"/>
          <w:color w:val="auto"/>
          <w:szCs w:val="21"/>
          <w:highlight w:val="none"/>
        </w:rPr>
        <w:t>2.如果不提供分项报价将视为没有实质性响应采购文件。</w:t>
      </w:r>
    </w:p>
    <w:p>
      <w:pPr>
        <w:adjustRightInd w:val="0"/>
        <w:snapToGrid w:val="0"/>
        <w:spacing w:line="360" w:lineRule="auto"/>
        <w:ind w:right="105" w:rightChars="50"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3.如果报价一览表内容与响应文件中分项报价表内容不一致的，以报价一览表内容为准。</w:t>
      </w:r>
    </w:p>
    <w:p>
      <w:pPr>
        <w:adjustRightInd w:val="0"/>
        <w:snapToGrid w:val="0"/>
        <w:spacing w:line="360" w:lineRule="auto"/>
        <w:ind w:right="105" w:rightChars="50"/>
        <w:jc w:val="left"/>
        <w:rPr>
          <w:rFonts w:ascii="宋体" w:hAnsi="宋体" w:cs="宋体"/>
          <w:b/>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spacing w:line="480" w:lineRule="auto"/>
        <w:rPr>
          <w:rFonts w:ascii="宋体" w:hAnsi="宋体" w:cs="宋体"/>
          <w:color w:val="auto"/>
          <w:szCs w:val="21"/>
          <w:highlight w:val="none"/>
        </w:rPr>
      </w:pPr>
      <w:r>
        <w:rPr>
          <w:rFonts w:hint="eastAsia" w:ascii="宋体" w:hAnsi="宋体" w:cs="宋体"/>
          <w:color w:val="auto"/>
          <w:szCs w:val="21"/>
          <w:highlight w:val="none"/>
        </w:rPr>
        <w:t>供应商名称（加盖单位公章）：</w:t>
      </w:r>
      <w:r>
        <w:rPr>
          <w:rFonts w:hint="eastAsia" w:ascii="宋体" w:hAnsi="宋体" w:cs="宋体"/>
          <w:color w:val="auto"/>
          <w:szCs w:val="21"/>
          <w:highlight w:val="none"/>
          <w:u w:val="single"/>
        </w:rPr>
        <w:t xml:space="preserve">           </w:t>
      </w:r>
    </w:p>
    <w:p>
      <w:pPr>
        <w:spacing w:line="480" w:lineRule="auto"/>
        <w:rPr>
          <w:rFonts w:ascii="宋体" w:hAnsi="宋体" w:cs="宋体"/>
          <w:color w:val="auto"/>
          <w:szCs w:val="21"/>
          <w:highlight w:val="none"/>
        </w:rPr>
      </w:pPr>
      <w:r>
        <w:rPr>
          <w:rFonts w:hint="eastAsia" w:ascii="宋体" w:hAnsi="宋体" w:cs="宋体"/>
          <w:color w:val="auto"/>
          <w:szCs w:val="21"/>
          <w:highlight w:val="none"/>
        </w:rPr>
        <w:t>法定代表人（或非法人组织负责人）或其授权代表人(签字或盖章)：</w:t>
      </w:r>
      <w:r>
        <w:rPr>
          <w:rFonts w:hint="eastAsia" w:ascii="宋体" w:hAnsi="宋体" w:cs="宋体"/>
          <w:color w:val="auto"/>
          <w:szCs w:val="21"/>
          <w:highlight w:val="none"/>
          <w:u w:val="single"/>
        </w:rPr>
        <w:t xml:space="preserve">           </w:t>
      </w:r>
    </w:p>
    <w:p>
      <w:pPr>
        <w:spacing w:line="48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pPr>
        <w:pStyle w:val="40"/>
        <w:rPr>
          <w:rFonts w:ascii="宋体" w:hAnsi="宋体" w:cs="宋体"/>
          <w:color w:val="auto"/>
          <w:highlight w:val="none"/>
        </w:rPr>
      </w:pPr>
    </w:p>
    <w:p>
      <w:pPr>
        <w:adjustRightInd w:val="0"/>
        <w:snapToGrid w:val="0"/>
        <w:spacing w:line="360" w:lineRule="auto"/>
        <w:ind w:right="105" w:rightChars="50"/>
        <w:jc w:val="left"/>
        <w:rPr>
          <w:rFonts w:ascii="宋体" w:hAnsi="宋体" w:cs="宋体"/>
          <w:b/>
          <w:color w:val="auto"/>
          <w:sz w:val="28"/>
          <w:szCs w:val="28"/>
          <w:highlight w:val="none"/>
        </w:rPr>
      </w:pPr>
    </w:p>
    <w:p>
      <w:pPr>
        <w:pStyle w:val="4"/>
        <w:adjustRightInd w:val="0"/>
        <w:snapToGrid w:val="0"/>
        <w:spacing w:before="120" w:after="0" w:line="240" w:lineRule="auto"/>
        <w:jc w:val="left"/>
        <w:rPr>
          <w:rFonts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br w:type="page"/>
      </w:r>
    </w:p>
    <w:p>
      <w:pPr>
        <w:pStyle w:val="4"/>
        <w:adjustRightInd w:val="0"/>
        <w:snapToGrid w:val="0"/>
        <w:spacing w:before="120" w:after="0" w:line="24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格式12</w:t>
      </w:r>
    </w:p>
    <w:p>
      <w:pPr>
        <w:adjustRightInd w:val="0"/>
        <w:snapToGrid w:val="0"/>
        <w:spacing w:line="360" w:lineRule="auto"/>
        <w:ind w:right="105" w:rightChars="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技术规格偏离表</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10"/>
        <w:gridCol w:w="1186"/>
        <w:gridCol w:w="112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pStyle w:val="40"/>
              <w:rPr>
                <w:rFonts w:ascii="宋体" w:hAnsi="宋体" w:cs="宋体"/>
                <w:color w:val="auto"/>
                <w:highlight w:val="none"/>
              </w:rPr>
            </w:pPr>
            <w:r>
              <w:rPr>
                <w:rFonts w:hint="eastAsia" w:ascii="宋体" w:hAnsi="宋体" w:cs="宋体"/>
                <w:color w:val="auto"/>
                <w:highlight w:val="none"/>
              </w:rPr>
              <w:t>序号：</w:t>
            </w:r>
          </w:p>
          <w:p>
            <w:pPr>
              <w:pStyle w:val="40"/>
              <w:rPr>
                <w:rFonts w:ascii="宋体" w:hAnsi="宋体" w:cs="宋体"/>
                <w:color w:val="auto"/>
                <w:highlight w:val="none"/>
              </w:rPr>
            </w:pPr>
            <w:r>
              <w:rPr>
                <w:rFonts w:hint="eastAsia" w:ascii="宋体" w:hAnsi="宋体" w:cs="宋体"/>
                <w:color w:val="auto"/>
                <w:highlight w:val="none"/>
              </w:rPr>
              <w:t>产品名称：宏观变倍体视显微镜</w:t>
            </w:r>
          </w:p>
          <w:p>
            <w:pPr>
              <w:pStyle w:val="40"/>
              <w:rPr>
                <w:rFonts w:ascii="宋体" w:hAnsi="宋体" w:cs="宋体"/>
                <w:color w:val="auto"/>
                <w:highlight w:val="none"/>
              </w:rPr>
            </w:pPr>
            <w:r>
              <w:rPr>
                <w:rFonts w:hint="eastAsia" w:ascii="宋体" w:hAnsi="宋体" w:cs="宋体"/>
                <w:color w:val="auto"/>
                <w:highlight w:val="none"/>
              </w:rPr>
              <w:t>数量：1套</w:t>
            </w:r>
          </w:p>
          <w:p>
            <w:pPr>
              <w:pStyle w:val="40"/>
              <w:rPr>
                <w:rFonts w:ascii="宋体" w:hAnsi="宋体" w:cs="宋体"/>
                <w:color w:val="auto"/>
                <w:highlight w:val="none"/>
              </w:rPr>
            </w:pPr>
            <w:r>
              <w:rPr>
                <w:rFonts w:hint="eastAsia" w:ascii="宋体" w:hAnsi="宋体" w:cs="宋体"/>
                <w:color w:val="auto"/>
                <w:highlight w:val="none"/>
              </w:rPr>
              <w:t>是否为经过审批采购的进口产品：是</w:t>
            </w:r>
          </w:p>
          <w:p>
            <w:pPr>
              <w:pStyle w:val="40"/>
              <w:rPr>
                <w:rFonts w:ascii="宋体" w:hAnsi="宋体" w:cs="宋体"/>
                <w:color w:val="auto"/>
                <w:highlight w:val="none"/>
              </w:rPr>
            </w:pPr>
            <w:r>
              <w:rPr>
                <w:rFonts w:hint="eastAsia" w:ascii="宋体" w:hAnsi="宋体" w:cs="宋体"/>
                <w:color w:val="auto"/>
                <w:highlight w:val="none"/>
              </w:rPr>
              <w:t>是否为核心产品（非单一产品采购项目时适用）：否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3" w:type="dxa"/>
            <w:tcBorders>
              <w:top w:val="single" w:color="auto" w:sz="4" w:space="0"/>
              <w:left w:val="single" w:color="auto" w:sz="4" w:space="0"/>
              <w:bottom w:val="single" w:color="auto" w:sz="4" w:space="0"/>
              <w:right w:val="single" w:color="auto" w:sz="4" w:space="0"/>
            </w:tcBorders>
            <w:vAlign w:val="center"/>
          </w:tcPr>
          <w:p>
            <w:pPr>
              <w:pStyle w:val="40"/>
              <w:rPr>
                <w:rFonts w:ascii="宋体" w:hAnsi="宋体" w:cs="宋体"/>
                <w:color w:val="auto"/>
                <w:highlight w:val="none"/>
              </w:rPr>
            </w:pPr>
            <w:r>
              <w:rPr>
                <w:rFonts w:hint="eastAsia" w:ascii="宋体" w:hAnsi="宋体" w:cs="宋体"/>
                <w:color w:val="auto"/>
                <w:highlight w:val="none"/>
              </w:rPr>
              <w:t>招标文件要求</w:t>
            </w:r>
          </w:p>
          <w:p>
            <w:pPr>
              <w:pStyle w:val="40"/>
              <w:ind w:firstLine="422"/>
              <w:rPr>
                <w:rFonts w:ascii="宋体" w:hAnsi="宋体" w:cs="宋体"/>
                <w:b/>
                <w:color w:val="auto"/>
                <w:highlight w:val="none"/>
              </w:rPr>
            </w:pPr>
            <w:r>
              <w:rPr>
                <w:rFonts w:hint="eastAsia" w:ascii="宋体" w:hAnsi="宋体" w:cs="宋体"/>
                <w:b/>
                <w:color w:val="auto"/>
                <w:highlight w:val="none"/>
              </w:rPr>
              <w:t>重要提示：实质性要求及重要指标用★标注，★标注项不得负偏离，如果负偏离，则</w:t>
            </w:r>
            <w:r>
              <w:rPr>
                <w:rFonts w:hint="eastAsia" w:ascii="宋体" w:hAnsi="宋体" w:cs="宋体"/>
                <w:b/>
                <w:color w:val="auto"/>
                <w:highlight w:val="none"/>
                <w:lang w:eastAsia="zh-CN"/>
              </w:rPr>
              <w:t>响应文件</w:t>
            </w:r>
            <w:r>
              <w:rPr>
                <w:rFonts w:hint="eastAsia" w:ascii="宋体" w:hAnsi="宋体" w:cs="宋体"/>
                <w:b/>
                <w:color w:val="auto"/>
                <w:highlight w:val="none"/>
              </w:rPr>
              <w:t>无效。</w:t>
            </w:r>
          </w:p>
        </w:tc>
        <w:tc>
          <w:tcPr>
            <w:tcW w:w="2310" w:type="dxa"/>
            <w:tcBorders>
              <w:top w:val="single" w:color="auto" w:sz="4" w:space="0"/>
              <w:left w:val="single" w:color="auto" w:sz="4" w:space="0"/>
              <w:bottom w:val="single" w:color="auto" w:sz="4" w:space="0"/>
              <w:right w:val="single" w:color="auto" w:sz="4" w:space="0"/>
            </w:tcBorders>
            <w:vAlign w:val="center"/>
          </w:tcPr>
          <w:p>
            <w:pPr>
              <w:pStyle w:val="40"/>
              <w:rPr>
                <w:rFonts w:hint="eastAsia" w:ascii="宋体" w:hAnsi="宋体" w:eastAsia="宋体" w:cs="宋体"/>
                <w:color w:val="auto"/>
                <w:highlight w:val="none"/>
                <w:lang w:eastAsia="zh-CN"/>
              </w:rPr>
            </w:pPr>
            <w:r>
              <w:rPr>
                <w:rFonts w:hint="eastAsia" w:ascii="宋体" w:hAnsi="宋体" w:cs="宋体"/>
                <w:color w:val="auto"/>
                <w:highlight w:val="none"/>
                <w:lang w:eastAsia="zh-CN"/>
              </w:rPr>
              <w:t>响应文件</w:t>
            </w:r>
          </w:p>
          <w:p>
            <w:pPr>
              <w:pStyle w:val="40"/>
              <w:rPr>
                <w:rFonts w:ascii="宋体" w:hAnsi="宋体" w:cs="宋体"/>
                <w:color w:val="auto"/>
                <w:highlight w:val="none"/>
              </w:rPr>
            </w:pPr>
            <w:r>
              <w:rPr>
                <w:rFonts w:hint="eastAsia" w:ascii="宋体" w:hAnsi="宋体" w:cs="宋体"/>
                <w:color w:val="auto"/>
                <w:highlight w:val="none"/>
              </w:rPr>
              <w:t>响应内容</w:t>
            </w:r>
          </w:p>
        </w:tc>
        <w:tc>
          <w:tcPr>
            <w:tcW w:w="1186" w:type="dxa"/>
            <w:tcBorders>
              <w:top w:val="single" w:color="auto" w:sz="4" w:space="0"/>
              <w:left w:val="single" w:color="auto" w:sz="4" w:space="0"/>
              <w:bottom w:val="single" w:color="auto" w:sz="4" w:space="0"/>
              <w:right w:val="single" w:color="auto" w:sz="4" w:space="0"/>
            </w:tcBorders>
            <w:vAlign w:val="center"/>
          </w:tcPr>
          <w:p>
            <w:pPr>
              <w:pStyle w:val="40"/>
              <w:rPr>
                <w:rFonts w:ascii="宋体" w:hAnsi="宋体" w:cs="宋体"/>
                <w:color w:val="auto"/>
                <w:highlight w:val="none"/>
              </w:rPr>
            </w:pPr>
            <w:r>
              <w:rPr>
                <w:rFonts w:hint="eastAsia" w:ascii="宋体" w:hAnsi="宋体" w:cs="宋体"/>
                <w:color w:val="auto"/>
                <w:highlight w:val="none"/>
              </w:rPr>
              <w:t>偏离程度</w:t>
            </w:r>
          </w:p>
        </w:tc>
        <w:tc>
          <w:tcPr>
            <w:tcW w:w="1125" w:type="dxa"/>
            <w:tcBorders>
              <w:top w:val="single" w:color="auto" w:sz="4" w:space="0"/>
              <w:left w:val="single" w:color="auto" w:sz="4" w:space="0"/>
              <w:bottom w:val="single" w:color="auto" w:sz="4" w:space="0"/>
              <w:right w:val="single" w:color="auto" w:sz="4" w:space="0"/>
            </w:tcBorders>
            <w:vAlign w:val="center"/>
          </w:tcPr>
          <w:p>
            <w:pPr>
              <w:pStyle w:val="40"/>
              <w:rPr>
                <w:rFonts w:ascii="宋体" w:hAnsi="宋体" w:cs="宋体"/>
                <w:color w:val="auto"/>
                <w:highlight w:val="none"/>
              </w:rPr>
            </w:pPr>
            <w:r>
              <w:rPr>
                <w:rFonts w:hint="eastAsia" w:ascii="宋体" w:hAnsi="宋体" w:cs="宋体"/>
                <w:color w:val="auto"/>
                <w:highlight w:val="none"/>
              </w:rPr>
              <w:t>偏离说明</w:t>
            </w:r>
          </w:p>
        </w:tc>
        <w:tc>
          <w:tcPr>
            <w:tcW w:w="1091" w:type="dxa"/>
            <w:tcBorders>
              <w:top w:val="single" w:color="auto" w:sz="4" w:space="0"/>
              <w:left w:val="single" w:color="auto" w:sz="4" w:space="0"/>
              <w:bottom w:val="single" w:color="auto" w:sz="4" w:space="0"/>
              <w:right w:val="single" w:color="auto" w:sz="4" w:space="0"/>
            </w:tcBorders>
            <w:vAlign w:val="center"/>
          </w:tcPr>
          <w:p>
            <w:pPr>
              <w:pStyle w:val="40"/>
              <w:rPr>
                <w:rFonts w:ascii="宋体" w:hAnsi="宋体" w:cs="宋体"/>
                <w:color w:val="auto"/>
                <w:highlight w:val="none"/>
              </w:rPr>
            </w:pPr>
            <w:r>
              <w:rPr>
                <w:rFonts w:hint="eastAsia" w:ascii="宋体" w:hAnsi="宋体" w:cs="宋体"/>
                <w:color w:val="auto"/>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rPr>
                <w:rFonts w:ascii="宋体" w:hAnsi="宋体" w:cs="宋体"/>
                <w:color w:val="auto"/>
                <w:szCs w:val="21"/>
                <w:highlight w:val="none"/>
              </w:rPr>
            </w:pPr>
            <w:r>
              <w:rPr>
                <w:rFonts w:hint="eastAsia" w:ascii="宋体" w:hAnsi="宋体"/>
                <w:color w:val="auto"/>
                <w:spacing w:val="-6"/>
                <w:szCs w:val="21"/>
                <w:highlight w:val="none"/>
              </w:rPr>
              <w:t>★</w:t>
            </w:r>
            <w:r>
              <w:rPr>
                <w:rFonts w:hint="eastAsia" w:ascii="宋体" w:hAnsi="宋体" w:cs="宋体"/>
                <w:b/>
                <w:bCs/>
                <w:color w:val="auto"/>
                <w:szCs w:val="21"/>
                <w:highlight w:val="none"/>
              </w:rPr>
              <w:t>1.需执行的国家相关标准、行业标准、地方标准或者其他标准、规范：</w:t>
            </w:r>
            <w:r>
              <w:rPr>
                <w:rFonts w:hint="eastAsia" w:ascii="宋体" w:hAnsi="宋体" w:cs="宋体"/>
                <w:color w:val="auto"/>
                <w:szCs w:val="21"/>
                <w:highlight w:val="none"/>
              </w:rPr>
              <w:t>有强制性标准的执行国家强制性标准，无的统一执行最新相关标准、规范。</w:t>
            </w:r>
          </w:p>
          <w:p>
            <w:pPr>
              <w:adjustRightInd w:val="0"/>
              <w:snapToGrid w:val="0"/>
              <w:spacing w:line="288" w:lineRule="auto"/>
              <w:rPr>
                <w:rFonts w:ascii="宋体" w:hAnsi="宋体" w:cs="宋体"/>
                <w:color w:val="auto"/>
                <w:highlight w:val="none"/>
              </w:rPr>
            </w:pPr>
            <w:r>
              <w:rPr>
                <w:rFonts w:hint="eastAsia" w:ascii="宋体" w:hAnsi="宋体"/>
                <w:color w:val="auto"/>
                <w:spacing w:val="-6"/>
                <w:szCs w:val="21"/>
                <w:highlight w:val="none"/>
              </w:rPr>
              <w:t>★</w:t>
            </w:r>
            <w:r>
              <w:rPr>
                <w:rFonts w:hint="eastAsia" w:ascii="宋体" w:hAnsi="宋体" w:cs="宋体"/>
                <w:b/>
                <w:bCs/>
                <w:color w:val="auto"/>
                <w:szCs w:val="21"/>
                <w:highlight w:val="none"/>
              </w:rPr>
              <w:t>2.需实现的功能或者目标：</w:t>
            </w:r>
            <w:r>
              <w:rPr>
                <w:rFonts w:hint="eastAsia" w:ascii="宋体" w:hAnsi="宋体" w:cs="宋体"/>
                <w:color w:val="auto"/>
                <w:szCs w:val="21"/>
                <w:highlight w:val="none"/>
              </w:rPr>
              <w:t>本系统广泛应用于昆虫、斑马鱼、原生动物、动物幼体、动物颅脑、脊髓及眼球、细胞等的微量注射实验，还可用于发育生物学以及法医学领域开发，可以观察大体积活的动物标本，进行荧光强度的测定等。</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hAnsi="宋体" w:cs="宋体"/>
                <w:color w:val="auto"/>
                <w:highlight w:val="none"/>
              </w:rPr>
            </w:pPr>
            <w:r>
              <w:rPr>
                <w:rFonts w:hint="eastAsia" w:ascii="宋体" w:hAnsi="宋体"/>
                <w:color w:val="auto"/>
                <w:sz w:val="24"/>
                <w:szCs w:val="21"/>
                <w:highlight w:val="none"/>
              </w:rPr>
              <w:t>▲</w:t>
            </w:r>
            <w:r>
              <w:rPr>
                <w:rFonts w:ascii="宋体"/>
                <w:color w:val="auto"/>
                <w:szCs w:val="21"/>
                <w:highlight w:val="none"/>
              </w:rPr>
              <w:t>1.光学系统：采用独特单光路设计，可以实现较大的N.A.值从而获取高分辨率、高荧光亮度的图像</w:t>
            </w:r>
            <w:r>
              <w:rPr>
                <w:rFonts w:hint="eastAsia" w:asci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b/>
                <w:bCs/>
                <w:color w:val="auto"/>
                <w:szCs w:val="21"/>
                <w:highlight w:val="none"/>
              </w:rPr>
            </w:pPr>
            <w:r>
              <w:rPr>
                <w:rFonts w:ascii="宋体"/>
                <w:b/>
                <w:bCs/>
                <w:color w:val="auto"/>
                <w:szCs w:val="21"/>
                <w:highlight w:val="none"/>
              </w:rPr>
              <w:t>2.显微主机：</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2.1符合人机工程学原理的高性能主机，光学变倍比≥16：1，总放大范围7x-258x </w:t>
            </w:r>
            <w:r>
              <w:rPr>
                <w:rFonts w:hint="eastAsia" w:ascii="宋体"/>
                <w:color w:val="auto"/>
                <w:szCs w:val="21"/>
                <w:highlight w:val="none"/>
              </w:rPr>
              <w:t>；</w:t>
            </w:r>
          </w:p>
          <w:p>
            <w:pPr>
              <w:adjustRightInd w:val="0"/>
              <w:snapToGrid w:val="0"/>
              <w:spacing w:line="288" w:lineRule="auto"/>
              <w:jc w:val="left"/>
              <w:rPr>
                <w:rFonts w:ascii="宋体"/>
                <w:color w:val="auto"/>
                <w:szCs w:val="21"/>
                <w:highlight w:val="none"/>
              </w:rPr>
            </w:pPr>
            <w:r>
              <w:rPr>
                <w:rFonts w:ascii="宋体"/>
                <w:color w:val="auto"/>
                <w:szCs w:val="21"/>
                <w:highlight w:val="none"/>
              </w:rPr>
              <w:t>★2.2 SyCop3系统控制器：智能控制调焦变倍，照明，放大倍率，可移动5.7英寸</w:t>
            </w:r>
            <w:r>
              <w:rPr>
                <w:rFonts w:hint="eastAsia" w:ascii="宋体"/>
                <w:color w:val="auto"/>
                <w:szCs w:val="21"/>
                <w:highlight w:val="none"/>
              </w:rPr>
              <w:t>以上</w:t>
            </w:r>
            <w:r>
              <w:rPr>
                <w:rFonts w:ascii="宋体"/>
                <w:color w:val="auto"/>
                <w:szCs w:val="21"/>
                <w:highlight w:val="none"/>
              </w:rPr>
              <w:t>液晶显示器，且实时显示分辨率、景深、视场大小、总放大倍数等，模拟摇杆控制，参数可被记忆与重复，系统可根据用户需要设置不同的用户界面，有一键恢复的功能自由照明光路系统</w:t>
            </w:r>
            <w:r>
              <w:rPr>
                <w:rFonts w:hint="eastAsia" w:ascii="宋体"/>
                <w:color w:val="auto"/>
                <w:szCs w:val="21"/>
                <w:highlight w:val="none"/>
              </w:rPr>
              <w:t>；</w:t>
            </w:r>
          </w:p>
          <w:p>
            <w:pPr>
              <w:adjustRightInd w:val="0"/>
              <w:snapToGrid w:val="0"/>
              <w:spacing w:line="288" w:lineRule="auto"/>
              <w:jc w:val="left"/>
              <w:rPr>
                <w:rFonts w:ascii="宋体" w:hAnsi="宋体" w:cs="宋体"/>
                <w:color w:val="auto"/>
                <w:highlight w:val="none"/>
              </w:rPr>
            </w:pPr>
            <w:r>
              <w:rPr>
                <w:rFonts w:ascii="宋体"/>
                <w:color w:val="auto"/>
                <w:szCs w:val="21"/>
                <w:highlight w:val="none"/>
              </w:rPr>
              <w:t>★2.3 eZoom电动光学变倍技术：从高倍到低倍连续变倍时，焦平面可以保持不变，视野一直保持清晰状态</w:t>
            </w:r>
            <w:r>
              <w:rPr>
                <w:rFonts w:hint="eastAsia" w:asci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ind w:firstLine="0" w:firstLineChars="0"/>
              <w:rPr>
                <w:rFonts w:ascii="宋体" w:hAnsi="宋体" w:cs="宋体"/>
                <w:color w:val="auto"/>
                <w:highlight w:val="none"/>
              </w:rPr>
            </w:pPr>
            <w:r>
              <w:rPr>
                <w:rFonts w:hint="eastAsia" w:ascii="宋体" w:hAnsi="宋体" w:cs="宋体"/>
                <w:color w:val="auto"/>
                <w:highlight w:val="none"/>
              </w:rPr>
              <w:t>3.不用化学药品的绿色环保防霉技术</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hAnsi="宋体" w:cs="宋体"/>
                <w:color w:val="auto"/>
                <w:highlight w:val="none"/>
              </w:rPr>
            </w:pPr>
            <w:r>
              <w:rPr>
                <w:rFonts w:ascii="宋体"/>
                <w:color w:val="auto"/>
                <w:szCs w:val="21"/>
                <w:highlight w:val="none"/>
              </w:rPr>
              <w:t>★4.可以升级同厂同品牌的光栅成像获得光切图像，去除非焦平面的荧光信号，只保留焦平面的荧光信号，得到图像类似共聚焦显微镜的效果</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hAnsi="宋体" w:cs="宋体"/>
                <w:color w:val="auto"/>
                <w:highlight w:val="none"/>
              </w:rPr>
            </w:pPr>
            <w:r>
              <w:rPr>
                <w:rFonts w:ascii="宋体"/>
                <w:color w:val="auto"/>
                <w:szCs w:val="21"/>
                <w:highlight w:val="none"/>
              </w:rPr>
              <w:t>★5.电动透射光反射光两用底座一个，面积≥565x390mm。电动实现明场/暗场/斜照明三种观察方式的任意电动切换观察,除此之外,还可以获得自动调节照明方式来获取增强对比度的明场观察方式.也可自定义存储组合照明观察方式.</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hAnsi="宋体" w:cs="宋体"/>
                <w:color w:val="auto"/>
                <w:highlight w:val="none"/>
              </w:rPr>
            </w:pPr>
            <w:r>
              <w:rPr>
                <w:rFonts w:ascii="宋体"/>
                <w:color w:val="auto"/>
                <w:szCs w:val="21"/>
                <w:highlight w:val="none"/>
              </w:rPr>
              <w:t>6.电动调焦机构：支柱高度不小于490mm，可载重20Kg负重， Z轴调焦精度：350nm。</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color w:val="auto"/>
                <w:szCs w:val="21"/>
                <w:highlight w:val="none"/>
              </w:rPr>
            </w:pPr>
            <w:r>
              <w:rPr>
                <w:rFonts w:ascii="宋体"/>
                <w:color w:val="auto"/>
                <w:szCs w:val="21"/>
                <w:highlight w:val="none"/>
              </w:rPr>
              <w:t>★7.物镜及物镜转盘:</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  1.0x 平场复消色差物镜，数值孔径≥0.25，工作距离56mm</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  2.3x 平场复消色差物镜，数值孔径≥0.57，工作距离10.6mm</w:t>
            </w:r>
          </w:p>
          <w:p>
            <w:pPr>
              <w:adjustRightInd w:val="0"/>
              <w:snapToGrid w:val="0"/>
              <w:spacing w:line="288" w:lineRule="auto"/>
              <w:jc w:val="left"/>
              <w:rPr>
                <w:rFonts w:ascii="宋体" w:hAnsi="宋体" w:cs="宋体"/>
                <w:color w:val="auto"/>
                <w:highlight w:val="none"/>
              </w:rPr>
            </w:pPr>
            <w:r>
              <w:rPr>
                <w:rFonts w:ascii="宋体"/>
                <w:color w:val="auto"/>
                <w:szCs w:val="21"/>
                <w:highlight w:val="none"/>
              </w:rPr>
              <w:t xml:space="preserve">  2位物镜转盘，具有定位卡扣装置。</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color w:val="auto"/>
                <w:szCs w:val="21"/>
                <w:highlight w:val="none"/>
              </w:rPr>
            </w:pPr>
            <w:r>
              <w:rPr>
                <w:rFonts w:ascii="宋体"/>
                <w:color w:val="auto"/>
                <w:szCs w:val="21"/>
                <w:highlight w:val="none"/>
              </w:rPr>
              <w:t>8. 目镜：10x目镜，大视场数23mm；高眼点，屈光度可调,目镜罩2只</w:t>
            </w:r>
            <w:r>
              <w:rPr>
                <w:rFonts w:hint="eastAsia" w:asci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color w:val="auto"/>
                <w:szCs w:val="21"/>
                <w:highlight w:val="none"/>
              </w:rPr>
            </w:pPr>
            <w:r>
              <w:rPr>
                <w:rFonts w:ascii="宋体"/>
                <w:color w:val="auto"/>
                <w:szCs w:val="21"/>
                <w:highlight w:val="none"/>
              </w:rPr>
              <w:t>9. 目镜筒：人机工程学设计，可上下翻转，0：100/100:0分光</w:t>
            </w:r>
          </w:p>
          <w:p>
            <w:pPr>
              <w:adjustRightInd w:val="0"/>
              <w:snapToGrid w:val="0"/>
              <w:spacing w:line="288" w:lineRule="auto"/>
              <w:jc w:val="left"/>
              <w:rPr>
                <w:rFonts w:ascii="宋体"/>
                <w:color w:val="auto"/>
                <w:szCs w:val="21"/>
                <w:highlight w:val="none"/>
              </w:rPr>
            </w:pPr>
            <w:r>
              <w:rPr>
                <w:rFonts w:ascii="宋体"/>
                <w:color w:val="auto"/>
                <w:szCs w:val="21"/>
                <w:highlight w:val="none"/>
              </w:rPr>
              <w:t>0°-30°角度可调。可切换2D/3D观察模式</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10. 冷光源：</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 LED冷光源，600 lm光通量，6200K以上色温，寿命≥50000h </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 日光型滤色片：可调节色温</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 双支鹅颈光纤，可以观察立体感更强的斜照明成像;</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 环形LED照明器：360°全方位照明，可通过控制器实现全开，半开，1/4开等多种模式。</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color w:val="auto"/>
                <w:szCs w:val="21"/>
                <w:highlight w:val="none"/>
              </w:rPr>
            </w:pPr>
            <w:r>
              <w:rPr>
                <w:rFonts w:ascii="宋体"/>
                <w:color w:val="auto"/>
                <w:szCs w:val="21"/>
                <w:highlight w:val="none"/>
              </w:rPr>
              <w:t>11.荧光部分：</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11.1荧光激发块： </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11.1.1  GFP激发块的激发波段470/40；分光镜495nm；发射波段525/50nm</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11.1.2  DAPI激发块的激发波段365/12nm；发射波段445/50nm</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11.1.3  RFP激发块的激发波段572/25nm；分光镜590nm；发射波段629/62nm</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11.2 荧光光源：310W长寿命金属卤化物灯（2000个小时）。</w:t>
            </w:r>
          </w:p>
          <w:p>
            <w:pPr>
              <w:adjustRightInd w:val="0"/>
              <w:snapToGrid w:val="0"/>
              <w:spacing w:line="288" w:lineRule="auto"/>
              <w:jc w:val="left"/>
              <w:rPr>
                <w:rFonts w:ascii="宋体"/>
                <w:color w:val="auto"/>
                <w:szCs w:val="21"/>
                <w:highlight w:val="none"/>
              </w:rPr>
            </w:pPr>
            <w:r>
              <w:rPr>
                <w:rFonts w:ascii="宋体"/>
                <w:color w:val="auto"/>
                <w:szCs w:val="21"/>
                <w:highlight w:val="none"/>
              </w:rPr>
              <w:t>★11.3电动荧光滤色转盘：4孔位电动荧光转盘，激发块更换方便，无需辅助工具；</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color w:val="auto"/>
                <w:szCs w:val="21"/>
                <w:highlight w:val="none"/>
              </w:rPr>
            </w:pPr>
            <w:r>
              <w:rPr>
                <w:rFonts w:ascii="宋体"/>
                <w:color w:val="auto"/>
                <w:szCs w:val="21"/>
                <w:highlight w:val="none"/>
              </w:rPr>
              <w:t>★12.可升级具有自动识别物镜放大倍数的结构照明附件，通过栅格移动，可实现光学切片显微成像，提高图像分辨率，非反卷积软件计算。</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13. 同厂同品牌摄像系统。</w:t>
            </w:r>
          </w:p>
          <w:p>
            <w:pPr>
              <w:adjustRightInd w:val="0"/>
              <w:snapToGrid w:val="0"/>
              <w:spacing w:line="288" w:lineRule="auto"/>
              <w:jc w:val="left"/>
              <w:rPr>
                <w:rFonts w:ascii="宋体"/>
                <w:color w:val="auto"/>
                <w:szCs w:val="21"/>
                <w:highlight w:val="none"/>
              </w:rPr>
            </w:pPr>
            <w:r>
              <w:rPr>
                <w:rFonts w:ascii="宋体"/>
                <w:color w:val="auto"/>
                <w:szCs w:val="21"/>
                <w:highlight w:val="none"/>
              </w:rPr>
              <w:t>13.1 数码冷CCD，芯片尺寸：≥1英寸</w:t>
            </w:r>
          </w:p>
          <w:p>
            <w:pPr>
              <w:adjustRightInd w:val="0"/>
              <w:snapToGrid w:val="0"/>
              <w:spacing w:line="288" w:lineRule="auto"/>
              <w:jc w:val="left"/>
              <w:rPr>
                <w:rFonts w:ascii="宋体"/>
                <w:color w:val="auto"/>
                <w:szCs w:val="21"/>
                <w:highlight w:val="none"/>
              </w:rPr>
            </w:pPr>
            <w:r>
              <w:rPr>
                <w:rFonts w:ascii="宋体"/>
                <w:color w:val="auto"/>
                <w:szCs w:val="21"/>
                <w:highlight w:val="none"/>
              </w:rPr>
              <w:t>13.2 物理像素：≥600万</w:t>
            </w:r>
          </w:p>
          <w:p>
            <w:pPr>
              <w:adjustRightInd w:val="0"/>
              <w:snapToGrid w:val="0"/>
              <w:spacing w:line="288" w:lineRule="auto"/>
              <w:jc w:val="left"/>
              <w:rPr>
                <w:rFonts w:ascii="宋体"/>
                <w:color w:val="auto"/>
                <w:szCs w:val="21"/>
                <w:highlight w:val="none"/>
              </w:rPr>
            </w:pPr>
            <w:r>
              <w:rPr>
                <w:rFonts w:ascii="宋体"/>
                <w:color w:val="auto"/>
                <w:szCs w:val="21"/>
                <w:highlight w:val="none"/>
              </w:rPr>
              <w:t>★13.3 动态范围≥2500：1</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13.4 曝光时间250μs至60s</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13.5 满井电子：15000e</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13.6 光谱范围：400～720nm</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13.7 数字化范围：14bit</w:t>
            </w:r>
          </w:p>
          <w:p>
            <w:pPr>
              <w:adjustRightInd w:val="0"/>
              <w:snapToGrid w:val="0"/>
              <w:spacing w:line="288" w:lineRule="auto"/>
              <w:jc w:val="left"/>
              <w:rPr>
                <w:rFonts w:ascii="宋体"/>
                <w:color w:val="auto"/>
                <w:szCs w:val="21"/>
                <w:highlight w:val="none"/>
              </w:rPr>
            </w:pPr>
            <w:r>
              <w:rPr>
                <w:rFonts w:ascii="宋体"/>
                <w:color w:val="auto"/>
                <w:szCs w:val="21"/>
                <w:highlight w:val="none"/>
              </w:rPr>
              <w:t>13.8 拍摄速度:Binning1*1≥19幅/秒（2752*2208）</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13.9 暗电流：0.06 e/pixels/s</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color w:val="auto"/>
                <w:szCs w:val="21"/>
                <w:highlight w:val="none"/>
              </w:rPr>
            </w:pPr>
            <w:r>
              <w:rPr>
                <w:rFonts w:ascii="宋体"/>
                <w:color w:val="auto"/>
                <w:szCs w:val="21"/>
                <w:highlight w:val="none"/>
              </w:rPr>
              <w:t>14 原厂同品牌成像软件分析系统</w:t>
            </w:r>
          </w:p>
          <w:p>
            <w:pPr>
              <w:adjustRightInd w:val="0"/>
              <w:snapToGrid w:val="0"/>
              <w:spacing w:line="288" w:lineRule="auto"/>
              <w:jc w:val="left"/>
              <w:rPr>
                <w:rFonts w:ascii="宋体"/>
                <w:color w:val="auto"/>
                <w:szCs w:val="21"/>
                <w:highlight w:val="none"/>
              </w:rPr>
            </w:pPr>
            <w:r>
              <w:rPr>
                <w:rFonts w:ascii="宋体"/>
                <w:color w:val="auto"/>
                <w:szCs w:val="21"/>
                <w:highlight w:val="none"/>
              </w:rPr>
              <w:t>14.1 具备基本的图像管理功能：编档图像优化处理（色彩管理，自动暴光，亮度、对比度调节等），标注，添加比例尺，长度、面积、周长等几何测量等；</w:t>
            </w:r>
          </w:p>
          <w:p>
            <w:pPr>
              <w:adjustRightInd w:val="0"/>
              <w:snapToGrid w:val="0"/>
              <w:spacing w:line="288" w:lineRule="auto"/>
              <w:jc w:val="left"/>
              <w:rPr>
                <w:rFonts w:ascii="宋体"/>
                <w:color w:val="auto"/>
                <w:szCs w:val="21"/>
                <w:highlight w:val="none"/>
              </w:rPr>
            </w:pPr>
            <w:r>
              <w:rPr>
                <w:rFonts w:ascii="宋体"/>
                <w:color w:val="auto"/>
                <w:szCs w:val="21"/>
                <w:highlight w:val="none"/>
              </w:rPr>
              <w:t>14.2 时间序列拍摄：可以对样品进行连续不间断拍摄，可以设置拍摄时间间隔以及拍摄时长，拍摄张数无上限；</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14.3 多通道叠加：在多通道下可自动获得多种荧光和透射光图片的叠加图像；</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14.4 Z轴序列拍摄：可以对较厚样品进行Z轴连续拍摄，从而获得完整样品信息；</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14.5 图像景深扩展：可以对多幅各层面聚焦图像进行自动处理，将不同层面清晰的部分合成在一张图片上；</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14.6 3D模式下支持多达五种的渲染模式效果：表面，透明，最大强度，阴影投射和混合渲染模式。可以轻松地动画窗口录制，不同角度旋转而生成视频文件；</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14.7 图像及图像的备注信息和原始扫描条件可保存于同一文件，以图像数据库方式管理组织数据，可以浏览缩略图及相关信息。可以从数据库中直接使用拍摄条件调用功能调用硬件设置； </w:t>
            </w:r>
          </w:p>
          <w:p>
            <w:pPr>
              <w:adjustRightInd w:val="0"/>
              <w:snapToGrid w:val="0"/>
              <w:spacing w:line="288" w:lineRule="auto"/>
              <w:jc w:val="left"/>
              <w:rPr>
                <w:rFonts w:ascii="宋体"/>
                <w:color w:val="auto"/>
                <w:szCs w:val="21"/>
                <w:highlight w:val="none"/>
              </w:rPr>
            </w:pPr>
            <w:r>
              <w:rPr>
                <w:rFonts w:ascii="宋体"/>
                <w:color w:val="auto"/>
                <w:szCs w:val="21"/>
                <w:highlight w:val="none"/>
              </w:rPr>
              <w:t>14.8 具有图形化的感兴趣区域荧光强度平均值分析；</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14.9 具有直方图（Histogram）分析工具，可测量直线和任意形状曲线的荧光强度分布，可测量长度、角度、面积、荧光强度；</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15. 图像处理工作站：不低于intel i7处理器，16G内存，独立显卡，显存至少2G，能提供显示分辨率至少1920x1200@32位真彩色，安装DirectX 8.0及以上，显示器21英寸以上，分辨率至少1600x1200，1T硬盘，win10 X64 系统。</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304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ind w:left="267" w:hanging="267" w:hangingChars="135"/>
              <w:jc w:val="left"/>
              <w:rPr>
                <w:rFonts w:ascii="宋体" w:hAnsi="宋体"/>
                <w:b/>
                <w:color w:val="auto"/>
                <w:spacing w:val="-6"/>
                <w:sz w:val="18"/>
                <w:szCs w:val="18"/>
                <w:highlight w:val="none"/>
              </w:rPr>
            </w:pPr>
            <w:r>
              <w:rPr>
                <w:rFonts w:hint="eastAsia" w:ascii="宋体" w:hAnsi="宋体"/>
                <w:color w:val="auto"/>
                <w:spacing w:val="-6"/>
                <w:szCs w:val="21"/>
                <w:highlight w:val="none"/>
              </w:rPr>
              <w:t>★</w:t>
            </w:r>
            <w:r>
              <w:rPr>
                <w:rFonts w:hint="eastAsia" w:ascii="宋体" w:hAnsi="宋体"/>
                <w:b/>
                <w:color w:val="auto"/>
                <w:spacing w:val="-6"/>
                <w:sz w:val="18"/>
                <w:szCs w:val="18"/>
                <w:highlight w:val="none"/>
              </w:rPr>
              <w:t>其它要求：</w:t>
            </w:r>
          </w:p>
          <w:p>
            <w:pPr>
              <w:rPr>
                <w:color w:val="auto"/>
                <w:szCs w:val="21"/>
                <w:highlight w:val="none"/>
              </w:rPr>
            </w:pPr>
            <w:r>
              <w:rPr>
                <w:rFonts w:hint="eastAsia"/>
                <w:color w:val="auto"/>
                <w:szCs w:val="21"/>
                <w:highlight w:val="none"/>
              </w:rPr>
              <w:t>1、售后及质保服务：</w:t>
            </w:r>
            <w:r>
              <w:rPr>
                <w:rFonts w:hint="eastAsia"/>
                <w:color w:val="auto"/>
                <w:szCs w:val="21"/>
                <w:highlight w:val="none"/>
                <w:lang w:eastAsia="zh-CN"/>
              </w:rPr>
              <w:t>供应商</w:t>
            </w:r>
            <w:r>
              <w:rPr>
                <w:rFonts w:hint="eastAsia"/>
                <w:color w:val="auto"/>
                <w:szCs w:val="21"/>
                <w:highlight w:val="none"/>
              </w:rPr>
              <w:t>须承诺，验收合格之日起1年内，如设备发生故障，经2次维修后仍不能正常工作，免费更换为同型号的新设备。提供7×24h电话技术咨询服务、远程故障诊断处理服务，2小时响应，24小时内到达。</w:t>
            </w:r>
          </w:p>
          <w:p>
            <w:pPr>
              <w:rPr>
                <w:color w:val="auto"/>
                <w:szCs w:val="21"/>
                <w:highlight w:val="none"/>
              </w:rPr>
            </w:pPr>
            <w:r>
              <w:rPr>
                <w:rFonts w:hint="eastAsia"/>
                <w:color w:val="auto"/>
                <w:szCs w:val="21"/>
                <w:highlight w:val="none"/>
              </w:rPr>
              <w:t>2、维修技术人员及设备方面的保证措施及收费标准的要求：保修期满后的软硬件升级、培训、设备维护和保养、更换配件和维修都不收取上门费、差旅费和人工费.</w:t>
            </w:r>
          </w:p>
          <w:p>
            <w:pPr>
              <w:rPr>
                <w:color w:val="auto"/>
                <w:szCs w:val="21"/>
                <w:highlight w:val="none"/>
              </w:rPr>
            </w:pPr>
            <w:r>
              <w:rPr>
                <w:rFonts w:hint="eastAsia"/>
                <w:color w:val="auto"/>
                <w:szCs w:val="21"/>
                <w:highlight w:val="none"/>
              </w:rPr>
              <w:t>3、备品备件供应及优惠价格要求：备品备件必须满足5年以上的供货期；保修期满后更换备品备件不收取人工费用，配件不高于市场价。</w:t>
            </w:r>
          </w:p>
          <w:p>
            <w:pPr>
              <w:rPr>
                <w:rFonts w:ascii="宋体" w:hAnsi="宋体" w:cs="宋体"/>
                <w:color w:val="auto"/>
                <w:highlight w:val="none"/>
              </w:rPr>
            </w:pPr>
            <w:r>
              <w:rPr>
                <w:rFonts w:hint="eastAsia"/>
                <w:color w:val="auto"/>
                <w:szCs w:val="21"/>
                <w:highlight w:val="none"/>
              </w:rPr>
              <w:t>4、售后服务：原厂质保1年，7*24响应，不晚于48小时内到达现场服务。</w:t>
            </w:r>
          </w:p>
        </w:tc>
        <w:tc>
          <w:tcPr>
            <w:tcW w:w="23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0"/>
              <w:rPr>
                <w:rFonts w:ascii="宋体" w:hAnsi="宋体" w:cs="宋体"/>
                <w:color w:val="auto"/>
                <w:highlight w:val="none"/>
              </w:rPr>
            </w:pPr>
          </w:p>
        </w:tc>
      </w:tr>
    </w:tbl>
    <w:p>
      <w:pPr>
        <w:adjustRightInd w:val="0"/>
        <w:snapToGrid w:val="0"/>
        <w:spacing w:line="360" w:lineRule="auto"/>
        <w:ind w:right="105" w:rightChars="50"/>
        <w:jc w:val="center"/>
        <w:rPr>
          <w:rFonts w:ascii="宋体" w:hAnsi="宋体" w:cs="宋体"/>
          <w:b/>
          <w:bCs/>
          <w:color w:val="auto"/>
          <w:sz w:val="32"/>
          <w:szCs w:val="32"/>
          <w:highlight w:val="none"/>
        </w:rPr>
      </w:pPr>
    </w:p>
    <w:p>
      <w:pPr>
        <w:adjustRightInd w:val="0"/>
        <w:snapToGrid w:val="0"/>
        <w:spacing w:line="360" w:lineRule="auto"/>
        <w:ind w:right="105" w:rightChars="50" w:firstLine="479" w:firstLineChars="227"/>
        <w:jc w:val="left"/>
        <w:rPr>
          <w:rFonts w:ascii="宋体" w:hAnsi="宋体" w:cs="宋体"/>
          <w:color w:val="auto"/>
          <w:szCs w:val="21"/>
          <w:highlight w:val="none"/>
        </w:rPr>
      </w:pPr>
      <w:r>
        <w:rPr>
          <w:rFonts w:hint="eastAsia" w:ascii="宋体" w:hAnsi="宋体" w:cs="宋体"/>
          <w:b/>
          <w:color w:val="auto"/>
          <w:szCs w:val="21"/>
          <w:highlight w:val="none"/>
        </w:rPr>
        <w:t>填表说明：</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1．“响应文件响应内容”一栏由供应商填写。</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2．“偏离程序”一栏根据“响应文件响应内容”与采购文件逐项对照的结果填写。偏离必须用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3．“说明”一栏由供应商对偏离的情况做详细说明。</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证明资料见</w:t>
      </w:r>
      <w:r>
        <w:rPr>
          <w:rFonts w:hint="eastAsia" w:ascii="宋体" w:hAnsi="宋体" w:cs="宋体"/>
          <w:color w:val="auto"/>
          <w:kern w:val="0"/>
          <w:szCs w:val="21"/>
          <w:highlight w:val="none"/>
        </w:rPr>
        <w:t>货物主要技术指标和性能的详细说明（产品技术说明书、技术白皮书、产品彩页等文字资料、图纸和数据均可），备件和专用工具清单、检测报告等，此处可注明所在页码。</w:t>
      </w:r>
    </w:p>
    <w:p>
      <w:pPr>
        <w:spacing w:line="480" w:lineRule="auto"/>
        <w:rPr>
          <w:rFonts w:ascii="宋体" w:hAnsi="宋体" w:cs="宋体"/>
          <w:color w:val="auto"/>
          <w:szCs w:val="21"/>
          <w:highlight w:val="none"/>
        </w:rPr>
      </w:pPr>
      <w:r>
        <w:rPr>
          <w:rFonts w:hint="eastAsia" w:ascii="宋体" w:hAnsi="宋体" w:cs="宋体"/>
          <w:color w:val="auto"/>
          <w:szCs w:val="21"/>
          <w:highlight w:val="none"/>
        </w:rPr>
        <w:t>供应商名称（加盖单位公章）：</w:t>
      </w:r>
      <w:r>
        <w:rPr>
          <w:rFonts w:hint="eastAsia" w:ascii="宋体" w:hAnsi="宋体" w:cs="宋体"/>
          <w:color w:val="auto"/>
          <w:szCs w:val="21"/>
          <w:highlight w:val="none"/>
          <w:u w:val="single"/>
        </w:rPr>
        <w:t xml:space="preserve">           </w:t>
      </w:r>
    </w:p>
    <w:p>
      <w:pPr>
        <w:spacing w:line="480" w:lineRule="auto"/>
        <w:rPr>
          <w:rFonts w:ascii="宋体" w:hAnsi="宋体" w:cs="宋体"/>
          <w:color w:val="auto"/>
          <w:szCs w:val="21"/>
          <w:highlight w:val="none"/>
        </w:rPr>
      </w:pPr>
      <w:r>
        <w:rPr>
          <w:rFonts w:hint="eastAsia" w:ascii="宋体" w:hAnsi="宋体" w:cs="宋体"/>
          <w:color w:val="auto"/>
          <w:szCs w:val="21"/>
          <w:highlight w:val="none"/>
        </w:rPr>
        <w:t>法定代表人（或非法人组织负责人）或其授权代表人(签字或盖章)：</w:t>
      </w:r>
      <w:r>
        <w:rPr>
          <w:rFonts w:hint="eastAsia" w:ascii="宋体" w:hAnsi="宋体" w:cs="宋体"/>
          <w:color w:val="auto"/>
          <w:szCs w:val="21"/>
          <w:highlight w:val="none"/>
          <w:u w:val="single"/>
        </w:rPr>
        <w:t xml:space="preserve">           </w:t>
      </w:r>
    </w:p>
    <w:p>
      <w:pPr>
        <w:spacing w:line="48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pPr>
        <w:adjustRightInd w:val="0"/>
        <w:snapToGrid w:val="0"/>
        <w:spacing w:line="360" w:lineRule="auto"/>
        <w:ind w:right="105" w:rightChars="50"/>
        <w:jc w:val="left"/>
        <w:outlineLvl w:val="1"/>
        <w:rPr>
          <w:rFonts w:ascii="宋体" w:hAnsi="宋体" w:cs="宋体"/>
          <w:b/>
          <w:color w:val="auto"/>
          <w:sz w:val="28"/>
          <w:szCs w:val="28"/>
          <w:highlight w:val="none"/>
        </w:rPr>
      </w:pPr>
      <w:r>
        <w:rPr>
          <w:rFonts w:hint="eastAsia" w:ascii="宋体" w:hAnsi="宋体" w:cs="宋体"/>
          <w:b/>
          <w:color w:val="auto"/>
          <w:sz w:val="28"/>
          <w:szCs w:val="28"/>
          <w:highlight w:val="none"/>
        </w:rPr>
        <w:br w:type="page"/>
      </w:r>
      <w:bookmarkStart w:id="75" w:name="_Toc4485637"/>
      <w:bookmarkStart w:id="76" w:name="_Toc533340161"/>
    </w:p>
    <w:p>
      <w:pPr>
        <w:adjustRightInd w:val="0"/>
        <w:snapToGrid w:val="0"/>
        <w:spacing w:line="360" w:lineRule="auto"/>
        <w:ind w:right="105" w:rightChars="50"/>
        <w:jc w:val="left"/>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格式1</w:t>
      </w:r>
      <w:bookmarkEnd w:id="75"/>
      <w:bookmarkEnd w:id="76"/>
      <w:r>
        <w:rPr>
          <w:rFonts w:hint="eastAsia" w:ascii="宋体" w:hAnsi="宋体" w:cs="宋体"/>
          <w:b/>
          <w:bCs/>
          <w:color w:val="auto"/>
          <w:sz w:val="28"/>
          <w:szCs w:val="28"/>
          <w:highlight w:val="none"/>
        </w:rPr>
        <w:t>3</w:t>
      </w:r>
    </w:p>
    <w:p>
      <w:pPr>
        <w:adjustRightInd w:val="0"/>
        <w:snapToGrid w:val="0"/>
        <w:spacing w:line="360" w:lineRule="auto"/>
        <w:ind w:right="105" w:rightChars="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商务条款偏离表</w:t>
      </w:r>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838"/>
        <w:gridCol w:w="2522"/>
        <w:gridCol w:w="985"/>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17" w:type="dxa"/>
            <w:vAlign w:val="center"/>
          </w:tcPr>
          <w:p>
            <w:pPr>
              <w:adjustRightInd w:val="0"/>
              <w:snapToGrid w:val="0"/>
              <w:spacing w:line="260" w:lineRule="exact"/>
              <w:ind w:right="-48" w:rightChars="-23"/>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838" w:type="dxa"/>
            <w:vAlign w:val="center"/>
          </w:tcPr>
          <w:p>
            <w:pPr>
              <w:adjustRightInd w:val="0"/>
              <w:snapToGrid w:val="0"/>
              <w:spacing w:line="260" w:lineRule="exact"/>
              <w:ind w:right="-73" w:rightChars="-35"/>
              <w:jc w:val="center"/>
              <w:rPr>
                <w:rFonts w:ascii="宋体" w:hAnsi="宋体" w:cs="宋体"/>
                <w:color w:val="auto"/>
                <w:szCs w:val="21"/>
                <w:highlight w:val="none"/>
              </w:rPr>
            </w:pPr>
            <w:r>
              <w:rPr>
                <w:rFonts w:hint="eastAsia" w:ascii="宋体" w:hAnsi="宋体" w:cs="宋体"/>
                <w:color w:val="auto"/>
                <w:szCs w:val="21"/>
                <w:highlight w:val="none"/>
              </w:rPr>
              <w:t>招标文件的商务条款</w:t>
            </w:r>
          </w:p>
          <w:p>
            <w:pPr>
              <w:adjustRightInd w:val="0"/>
              <w:snapToGrid w:val="0"/>
              <w:spacing w:line="260" w:lineRule="exact"/>
              <w:ind w:right="-73" w:rightChars="-35"/>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实质性要求及重要指标用★标注，★标注项不得负偏离，如果负偏离，则</w:t>
            </w:r>
            <w:r>
              <w:rPr>
                <w:rFonts w:hint="eastAsia" w:ascii="宋体" w:hAnsi="宋体" w:cs="宋体"/>
                <w:b/>
                <w:color w:val="auto"/>
                <w:szCs w:val="21"/>
                <w:highlight w:val="none"/>
                <w:lang w:eastAsia="zh-CN"/>
              </w:rPr>
              <w:t>响应文件</w:t>
            </w:r>
            <w:r>
              <w:rPr>
                <w:rFonts w:hint="eastAsia" w:ascii="宋体" w:hAnsi="宋体" w:cs="宋体"/>
                <w:b/>
                <w:color w:val="auto"/>
                <w:szCs w:val="21"/>
                <w:highlight w:val="none"/>
              </w:rPr>
              <w:t>无效。</w:t>
            </w:r>
            <w:r>
              <w:rPr>
                <w:rFonts w:hint="eastAsia" w:ascii="宋体" w:hAnsi="宋体" w:cs="宋体"/>
                <w:color w:val="auto"/>
                <w:szCs w:val="21"/>
                <w:highlight w:val="none"/>
              </w:rPr>
              <w:t>）</w:t>
            </w:r>
          </w:p>
        </w:tc>
        <w:tc>
          <w:tcPr>
            <w:tcW w:w="2522" w:type="dxa"/>
            <w:vAlign w:val="center"/>
          </w:tcPr>
          <w:p>
            <w:pPr>
              <w:adjustRightInd w:val="0"/>
              <w:snapToGrid w:val="0"/>
              <w:spacing w:line="260" w:lineRule="exact"/>
              <w:ind w:right="-107" w:rightChars="-51"/>
              <w:jc w:val="center"/>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响应内容</w:t>
            </w:r>
          </w:p>
        </w:tc>
        <w:tc>
          <w:tcPr>
            <w:tcW w:w="985" w:type="dxa"/>
            <w:vAlign w:val="center"/>
          </w:tcPr>
          <w:p>
            <w:pPr>
              <w:adjustRightInd w:val="0"/>
              <w:snapToGrid w:val="0"/>
              <w:spacing w:line="260" w:lineRule="exact"/>
              <w:ind w:left="-59" w:leftChars="-28" w:right="-105" w:rightChars="-50"/>
              <w:rPr>
                <w:rFonts w:ascii="宋体" w:hAnsi="宋体" w:cs="宋体"/>
                <w:color w:val="auto"/>
                <w:szCs w:val="21"/>
                <w:highlight w:val="none"/>
              </w:rPr>
            </w:pPr>
            <w:r>
              <w:rPr>
                <w:rFonts w:hint="eastAsia" w:ascii="宋体" w:hAnsi="宋体" w:cs="宋体"/>
                <w:color w:val="auto"/>
                <w:szCs w:val="21"/>
                <w:highlight w:val="none"/>
              </w:rPr>
              <w:t>偏离程度</w:t>
            </w:r>
          </w:p>
        </w:tc>
        <w:tc>
          <w:tcPr>
            <w:tcW w:w="996" w:type="dxa"/>
            <w:vAlign w:val="center"/>
          </w:tcPr>
          <w:p>
            <w:pPr>
              <w:adjustRightInd w:val="0"/>
              <w:snapToGrid w:val="0"/>
              <w:spacing w:line="260" w:lineRule="exact"/>
              <w:ind w:left="-59" w:leftChars="-28" w:right="-105" w:rightChars="-50"/>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highlight w:val="none"/>
              </w:rPr>
              <w:t>1</w:t>
            </w:r>
          </w:p>
        </w:tc>
        <w:tc>
          <w:tcPr>
            <w:tcW w:w="3838" w:type="dxa"/>
            <w:vAlign w:val="center"/>
          </w:tcPr>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★交货时间：合同签订后3个月内</w:t>
            </w:r>
          </w:p>
        </w:tc>
        <w:tc>
          <w:tcPr>
            <w:tcW w:w="2522"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highlight w:val="none"/>
              </w:rPr>
              <w:t>2</w:t>
            </w:r>
          </w:p>
        </w:tc>
        <w:tc>
          <w:tcPr>
            <w:tcW w:w="3838" w:type="dxa"/>
            <w:vAlign w:val="center"/>
          </w:tcPr>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★交货地点：</w:t>
            </w:r>
            <w:r>
              <w:rPr>
                <w:rFonts w:hint="eastAsia" w:ascii="宋体" w:hAnsi="宋体"/>
                <w:color w:val="auto"/>
                <w:szCs w:val="21"/>
                <w:highlight w:val="none"/>
              </w:rPr>
              <w:t>东北大学用户指定地点、楼层和房间；</w:t>
            </w:r>
          </w:p>
        </w:tc>
        <w:tc>
          <w:tcPr>
            <w:tcW w:w="2522"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highlight w:val="none"/>
              </w:rPr>
              <w:t>3</w:t>
            </w:r>
          </w:p>
        </w:tc>
        <w:tc>
          <w:tcPr>
            <w:tcW w:w="3838" w:type="dxa"/>
            <w:vAlign w:val="center"/>
          </w:tcPr>
          <w:p>
            <w:pPr>
              <w:adjustRightInd w:val="0"/>
              <w:snapToGrid w:val="0"/>
              <w:spacing w:line="240" w:lineRule="atLeast"/>
              <w:rPr>
                <w:rFonts w:ascii="宋体" w:hAnsi="宋体" w:cs="Arial"/>
                <w:color w:val="auto"/>
                <w:szCs w:val="21"/>
                <w:highlight w:val="none"/>
              </w:rPr>
            </w:pPr>
            <w:r>
              <w:rPr>
                <w:rFonts w:ascii="宋体" w:hAnsi="宋体" w:cs="Arial"/>
                <w:color w:val="auto"/>
                <w:szCs w:val="21"/>
                <w:highlight w:val="none"/>
              </w:rPr>
              <w:t>★付款方式及条件：</w:t>
            </w:r>
          </w:p>
          <w:p>
            <w:pPr>
              <w:adjustRightInd w:val="0"/>
              <w:snapToGrid w:val="0"/>
              <w:spacing w:line="240" w:lineRule="atLeast"/>
              <w:rPr>
                <w:rFonts w:ascii="宋体" w:hAnsi="宋体" w:cs="宋体"/>
                <w:b/>
                <w:color w:val="auto"/>
                <w:szCs w:val="21"/>
                <w:highlight w:val="none"/>
              </w:rPr>
            </w:pPr>
            <w:r>
              <w:rPr>
                <w:rFonts w:hint="eastAsia" w:ascii="宋体" w:hAnsi="宋体" w:cs="宋体"/>
                <w:b/>
                <w:color w:val="auto"/>
                <w:szCs w:val="21"/>
                <w:highlight w:val="none"/>
              </w:rPr>
              <w:t>贴息贷款项目专用合同（进口设备）：</w:t>
            </w:r>
          </w:p>
          <w:p>
            <w:pPr>
              <w:adjustRightInd w:val="0"/>
              <w:snapToGrid w:val="0"/>
              <w:spacing w:line="240" w:lineRule="atLeast"/>
              <w:rPr>
                <w:rFonts w:ascii="宋体" w:hAnsi="宋体" w:cs="宋体"/>
                <w:b/>
                <w:color w:val="auto"/>
                <w:spacing w:val="-6"/>
                <w:szCs w:val="21"/>
                <w:highlight w:val="none"/>
              </w:rPr>
            </w:pPr>
            <w:r>
              <w:rPr>
                <w:rFonts w:hint="eastAsia" w:ascii="宋体" w:hAnsi="宋体" w:cs="宋体"/>
                <w:b/>
                <w:color w:val="auto"/>
                <w:spacing w:val="-6"/>
                <w:szCs w:val="21"/>
                <w:highlight w:val="none"/>
              </w:rPr>
              <w:t>（一）支付方式：</w:t>
            </w:r>
          </w:p>
          <w:p>
            <w:pPr>
              <w:adjustRightInd w:val="0"/>
              <w:snapToGrid w:val="0"/>
              <w:spacing w:line="240" w:lineRule="atLeast"/>
              <w:rPr>
                <w:rFonts w:ascii="宋体" w:hAnsi="宋体" w:cs="宋体"/>
                <w:color w:val="auto"/>
                <w:spacing w:val="-6"/>
                <w:szCs w:val="21"/>
                <w:highlight w:val="none"/>
              </w:rPr>
            </w:pPr>
            <w:r>
              <w:rPr>
                <w:rFonts w:hint="eastAsia" w:ascii="宋体" w:hAnsi="宋体" w:cs="宋体"/>
                <w:color w:val="auto"/>
                <w:spacing w:val="-6"/>
                <w:szCs w:val="21"/>
                <w:highlight w:val="none"/>
              </w:rPr>
              <w:t>1.合同签订后15天内，采购人委托指定的外贸公司开具合同总价的100%信用证（L/C）；</w:t>
            </w:r>
          </w:p>
          <w:p>
            <w:pPr>
              <w:adjustRightInd w:val="0"/>
              <w:snapToGrid w:val="0"/>
              <w:spacing w:line="240" w:lineRule="atLeast"/>
              <w:rPr>
                <w:rFonts w:ascii="宋体" w:hAnsi="宋体" w:cs="宋体"/>
                <w:color w:val="auto"/>
                <w:spacing w:val="-6"/>
                <w:szCs w:val="21"/>
                <w:highlight w:val="none"/>
              </w:rPr>
            </w:pPr>
            <w:r>
              <w:rPr>
                <w:rFonts w:hint="eastAsia" w:ascii="宋体" w:hAnsi="宋体" w:cs="宋体"/>
                <w:color w:val="auto"/>
                <w:spacing w:val="-6"/>
                <w:szCs w:val="21"/>
                <w:highlight w:val="none"/>
              </w:rPr>
              <w:t>2.设备装运后，凭合同规定的装运单据议付合同总价的90%（L/C），成交供应商指定的境外供应商开据100%的形式发票；</w:t>
            </w:r>
          </w:p>
          <w:p>
            <w:pPr>
              <w:adjustRightInd w:val="0"/>
              <w:snapToGrid w:val="0"/>
              <w:spacing w:line="240" w:lineRule="atLeast"/>
              <w:rPr>
                <w:rFonts w:ascii="宋体" w:hAnsi="宋体" w:cs="宋体"/>
                <w:color w:val="auto"/>
                <w:spacing w:val="-6"/>
                <w:szCs w:val="21"/>
                <w:highlight w:val="none"/>
              </w:rPr>
            </w:pPr>
            <w:r>
              <w:rPr>
                <w:rFonts w:hint="eastAsia" w:ascii="宋体" w:hAnsi="宋体" w:cs="宋体"/>
                <w:color w:val="auto"/>
                <w:spacing w:val="-6"/>
                <w:szCs w:val="21"/>
                <w:highlight w:val="none"/>
              </w:rPr>
              <w:t>3.合同余款10%经验收调试合格，采购人签字后一年内付清（L/C）。</w:t>
            </w:r>
          </w:p>
          <w:p>
            <w:pPr>
              <w:adjustRightInd w:val="0"/>
              <w:snapToGrid w:val="0"/>
              <w:spacing w:line="240" w:lineRule="atLeast"/>
              <w:rPr>
                <w:rFonts w:ascii="宋体" w:hAnsi="宋体" w:cs="宋体"/>
                <w:b/>
                <w:color w:val="auto"/>
                <w:spacing w:val="-6"/>
                <w:szCs w:val="21"/>
                <w:highlight w:val="none"/>
              </w:rPr>
            </w:pPr>
            <w:r>
              <w:rPr>
                <w:rFonts w:hint="eastAsia" w:ascii="宋体" w:hAnsi="宋体" w:cs="宋体"/>
                <w:b/>
                <w:color w:val="auto"/>
                <w:spacing w:val="-6"/>
                <w:szCs w:val="21"/>
                <w:highlight w:val="none"/>
              </w:rPr>
              <w:t>（二）进口手续：</w:t>
            </w:r>
          </w:p>
          <w:p>
            <w:pPr>
              <w:pStyle w:val="2"/>
              <w:adjustRightInd w:val="0"/>
              <w:snapToGrid w:val="0"/>
              <w:spacing w:line="240" w:lineRule="atLeast"/>
              <w:rPr>
                <w:rFonts w:cs="宋体"/>
                <w:color w:val="auto"/>
                <w:spacing w:val="-6"/>
                <w:szCs w:val="21"/>
                <w:highlight w:val="none"/>
              </w:rPr>
            </w:pPr>
            <w:r>
              <w:rPr>
                <w:rFonts w:hint="eastAsia" w:cs="宋体"/>
                <w:color w:val="auto"/>
                <w:spacing w:val="-6"/>
                <w:szCs w:val="21"/>
                <w:highlight w:val="none"/>
              </w:rPr>
              <w:t>进口手续由采购人委托指定的外贸公司与成交（中标）供应商指定的境外供应商签订外贸合同后按合同付款。</w:t>
            </w:r>
          </w:p>
          <w:p>
            <w:pPr>
              <w:pStyle w:val="2"/>
              <w:spacing w:after="0" w:line="288" w:lineRule="auto"/>
              <w:rPr>
                <w:rFonts w:cs="宋体"/>
                <w:b/>
                <w:color w:val="auto"/>
                <w:spacing w:val="-6"/>
                <w:szCs w:val="21"/>
                <w:highlight w:val="none"/>
              </w:rPr>
            </w:pPr>
            <w:r>
              <w:rPr>
                <w:rFonts w:hint="eastAsia" w:cs="宋体"/>
                <w:b/>
                <w:color w:val="auto"/>
                <w:spacing w:val="-6"/>
                <w:szCs w:val="21"/>
                <w:highlight w:val="none"/>
              </w:rPr>
              <w:t>（三）进口贸易代理服务费：</w:t>
            </w:r>
          </w:p>
          <w:p>
            <w:pPr>
              <w:pStyle w:val="2"/>
              <w:spacing w:line="288" w:lineRule="auto"/>
              <w:rPr>
                <w:rFonts w:cs="宋体"/>
                <w:color w:val="auto"/>
                <w:spacing w:val="-6"/>
                <w:szCs w:val="21"/>
                <w:highlight w:val="none"/>
              </w:rPr>
            </w:pPr>
            <w:r>
              <w:rPr>
                <w:rFonts w:hint="eastAsia" w:cs="宋体"/>
                <w:color w:val="auto"/>
                <w:spacing w:val="-6"/>
                <w:szCs w:val="21"/>
                <w:highlight w:val="none"/>
              </w:rPr>
              <w:t>进口贸易代理服务费</w:t>
            </w:r>
            <w:r>
              <w:rPr>
                <w:rFonts w:hint="eastAsia" w:cs="宋体"/>
                <w:b/>
                <w:color w:val="auto"/>
                <w:spacing w:val="-6"/>
                <w:szCs w:val="21"/>
                <w:highlight w:val="none"/>
              </w:rPr>
              <w:t>包含在响应报价中</w:t>
            </w:r>
            <w:r>
              <w:rPr>
                <w:rFonts w:hint="eastAsia" w:cs="宋体"/>
                <w:color w:val="auto"/>
                <w:spacing w:val="-6"/>
                <w:szCs w:val="21"/>
                <w:highlight w:val="none"/>
              </w:rPr>
              <w:t>，由成交供应商直接支付给外贸公司。</w:t>
            </w:r>
          </w:p>
          <w:p>
            <w:pPr>
              <w:pStyle w:val="2"/>
              <w:adjustRightInd w:val="0"/>
              <w:snapToGrid w:val="0"/>
              <w:spacing w:line="240" w:lineRule="atLeast"/>
              <w:rPr>
                <w:rFonts w:hint="eastAsia" w:cs="宋体"/>
                <w:color w:val="auto"/>
                <w:spacing w:val="-6"/>
                <w:szCs w:val="21"/>
                <w:highlight w:val="none"/>
              </w:rPr>
            </w:pPr>
            <w:r>
              <w:rPr>
                <w:rFonts w:hint="eastAsia" w:cs="宋体"/>
                <w:color w:val="auto"/>
                <w:spacing w:val="-6"/>
                <w:szCs w:val="21"/>
                <w:highlight w:val="none"/>
              </w:rPr>
              <w:t>（1）合同金额在1万美元以下（含1万美元）的合同，收取代理、手续费1000元人民币；代垫费用2000元人民币(多退少补)；</w:t>
            </w:r>
          </w:p>
          <w:p>
            <w:pPr>
              <w:pStyle w:val="2"/>
              <w:adjustRightInd w:val="0"/>
              <w:snapToGrid w:val="0"/>
              <w:spacing w:line="240" w:lineRule="atLeast"/>
              <w:rPr>
                <w:rFonts w:hint="eastAsia" w:cs="宋体"/>
                <w:color w:val="auto"/>
                <w:spacing w:val="-6"/>
                <w:szCs w:val="21"/>
                <w:highlight w:val="none"/>
              </w:rPr>
            </w:pPr>
            <w:r>
              <w:rPr>
                <w:rFonts w:hint="eastAsia" w:cs="宋体"/>
                <w:color w:val="auto"/>
                <w:spacing w:val="-6"/>
                <w:szCs w:val="21"/>
                <w:highlight w:val="none"/>
              </w:rPr>
              <w:t>（2）合同金额在1万美元至5万美元（含5万美元）的合同，代理、代垫，手续费按合同金额3%收取；</w:t>
            </w:r>
          </w:p>
          <w:p>
            <w:pPr>
              <w:pStyle w:val="2"/>
              <w:adjustRightInd w:val="0"/>
              <w:snapToGrid w:val="0"/>
              <w:spacing w:line="240" w:lineRule="atLeast"/>
              <w:rPr>
                <w:rFonts w:hint="eastAsia" w:cs="宋体"/>
                <w:color w:val="auto"/>
                <w:spacing w:val="-6"/>
                <w:szCs w:val="21"/>
                <w:highlight w:val="none"/>
              </w:rPr>
            </w:pPr>
            <w:r>
              <w:rPr>
                <w:rFonts w:hint="eastAsia" w:cs="宋体"/>
                <w:color w:val="auto"/>
                <w:spacing w:val="-6"/>
                <w:szCs w:val="21"/>
                <w:highlight w:val="none"/>
              </w:rPr>
              <w:t>（3）合同金额在5万美元至10万美元（含10万美元)的合同，代理、代垫，手续费按合同金额2.5%收取；</w:t>
            </w:r>
          </w:p>
          <w:p>
            <w:pPr>
              <w:pStyle w:val="2"/>
              <w:adjustRightInd w:val="0"/>
              <w:snapToGrid w:val="0"/>
              <w:spacing w:line="240" w:lineRule="atLeast"/>
              <w:rPr>
                <w:rFonts w:hint="eastAsia" w:cs="宋体"/>
                <w:color w:val="auto"/>
                <w:spacing w:val="-6"/>
                <w:szCs w:val="21"/>
                <w:highlight w:val="none"/>
              </w:rPr>
            </w:pPr>
            <w:r>
              <w:rPr>
                <w:rFonts w:hint="eastAsia" w:cs="宋体"/>
                <w:color w:val="auto"/>
                <w:spacing w:val="-6"/>
                <w:szCs w:val="21"/>
                <w:highlight w:val="none"/>
              </w:rPr>
              <w:t>（4）合同金额在10万美元至20万美元(含20万美元)的合同，代理、代垫，手续费按合同金额2%收取；</w:t>
            </w:r>
          </w:p>
          <w:p>
            <w:pPr>
              <w:pStyle w:val="2"/>
              <w:adjustRightInd w:val="0"/>
              <w:snapToGrid w:val="0"/>
              <w:spacing w:line="240" w:lineRule="atLeast"/>
              <w:rPr>
                <w:rFonts w:hint="eastAsia" w:cs="宋体"/>
                <w:color w:val="auto"/>
                <w:spacing w:val="-6"/>
                <w:szCs w:val="21"/>
                <w:highlight w:val="none"/>
              </w:rPr>
            </w:pPr>
            <w:r>
              <w:rPr>
                <w:rFonts w:hint="eastAsia" w:cs="宋体"/>
                <w:color w:val="auto"/>
                <w:spacing w:val="-6"/>
                <w:szCs w:val="21"/>
                <w:highlight w:val="none"/>
              </w:rPr>
              <w:t>（5）合同金额在20万美元至50万美元(含50万美元)的合同，代理、代垫，手续费按合同金额1.5%收取；</w:t>
            </w:r>
          </w:p>
          <w:p>
            <w:pPr>
              <w:pStyle w:val="2"/>
              <w:adjustRightInd w:val="0"/>
              <w:snapToGrid w:val="0"/>
              <w:spacing w:line="240" w:lineRule="atLeast"/>
              <w:rPr>
                <w:rFonts w:hint="eastAsia" w:cs="宋体"/>
                <w:color w:val="auto"/>
                <w:spacing w:val="-6"/>
                <w:szCs w:val="21"/>
                <w:highlight w:val="none"/>
              </w:rPr>
            </w:pPr>
            <w:r>
              <w:rPr>
                <w:rFonts w:hint="eastAsia" w:cs="宋体"/>
                <w:color w:val="auto"/>
                <w:spacing w:val="-6"/>
                <w:szCs w:val="21"/>
                <w:highlight w:val="none"/>
              </w:rPr>
              <w:t>（6）合同金额在50万美元至100万美元以上的合同(含100万美元)，代理、代垫，手续费按合同金额1%收取；</w:t>
            </w:r>
          </w:p>
          <w:p>
            <w:pPr>
              <w:pStyle w:val="2"/>
              <w:adjustRightInd w:val="0"/>
              <w:snapToGrid w:val="0"/>
              <w:spacing w:line="240" w:lineRule="atLeast"/>
              <w:rPr>
                <w:rFonts w:hint="eastAsia" w:cs="宋体"/>
                <w:color w:val="auto"/>
                <w:spacing w:val="-6"/>
                <w:szCs w:val="21"/>
                <w:highlight w:val="none"/>
              </w:rPr>
            </w:pPr>
            <w:r>
              <w:rPr>
                <w:rFonts w:hint="eastAsia" w:cs="宋体"/>
                <w:color w:val="auto"/>
                <w:spacing w:val="-6"/>
                <w:szCs w:val="21"/>
                <w:highlight w:val="none"/>
              </w:rPr>
              <w:t>具体以实际发生进口贸易代理服务费收费标准为依据。</w:t>
            </w:r>
          </w:p>
          <w:p>
            <w:pPr>
              <w:widowControl/>
              <w:adjustRightInd w:val="0"/>
              <w:snapToGrid w:val="0"/>
              <w:spacing w:line="240" w:lineRule="atLeast"/>
              <w:jc w:val="left"/>
              <w:rPr>
                <w:rFonts w:ascii="宋体" w:hAnsi="宋体" w:cs="宋体"/>
                <w:color w:val="auto"/>
                <w:spacing w:val="-6"/>
                <w:szCs w:val="21"/>
                <w:highlight w:val="none"/>
              </w:rPr>
            </w:pPr>
            <w:r>
              <w:rPr>
                <w:rFonts w:hint="eastAsia" w:ascii="宋体" w:hAnsi="宋体" w:cs="宋体"/>
                <w:b/>
                <w:color w:val="auto"/>
                <w:spacing w:val="-6"/>
                <w:szCs w:val="21"/>
                <w:highlight w:val="none"/>
              </w:rPr>
              <w:t>（四）响应报价的币种：响应报价以人民币报价。</w:t>
            </w:r>
          </w:p>
          <w:p>
            <w:pPr>
              <w:widowControl/>
              <w:adjustRightInd w:val="0"/>
              <w:snapToGrid w:val="0"/>
              <w:spacing w:line="240" w:lineRule="atLeast"/>
              <w:jc w:val="left"/>
              <w:rPr>
                <w:rFonts w:ascii="宋体" w:hAnsi="宋体" w:cs="宋体"/>
                <w:b/>
                <w:color w:val="auto"/>
                <w:szCs w:val="21"/>
                <w:highlight w:val="none"/>
              </w:rPr>
            </w:pPr>
            <w:r>
              <w:rPr>
                <w:rFonts w:hint="eastAsia" w:ascii="宋体" w:hAnsi="宋体" w:cs="宋体"/>
                <w:b/>
                <w:color w:val="auto"/>
                <w:szCs w:val="21"/>
                <w:highlight w:val="none"/>
              </w:rPr>
              <w:t>贴息贷款项目专用合同（共管账户，国产设备）：</w:t>
            </w:r>
          </w:p>
          <w:p>
            <w:pPr>
              <w:adjustRightInd w:val="0"/>
              <w:snapToGrid w:val="0"/>
              <w:spacing w:line="260" w:lineRule="exact"/>
              <w:rPr>
                <w:rFonts w:hint="eastAsia" w:ascii="宋体" w:hAnsi="宋体" w:eastAsia="宋体" w:cs="宋体"/>
                <w:color w:val="FF0000"/>
                <w:szCs w:val="21"/>
                <w:highlight w:val="none"/>
                <w:lang w:eastAsia="zh-CN"/>
              </w:rPr>
            </w:pPr>
            <w:r>
              <w:rPr>
                <w:rFonts w:hint="eastAsia" w:ascii="宋体" w:hAnsi="宋体" w:eastAsia="宋体" w:cs="宋体"/>
                <w:color w:val="FF0000"/>
                <w:szCs w:val="21"/>
                <w:highlight w:val="none"/>
                <w:lang w:eastAsia="zh-CN"/>
              </w:rPr>
              <w:t>4.1</w:t>
            </w:r>
            <w:r>
              <w:rPr>
                <w:rFonts w:hint="eastAsia" w:ascii="宋体" w:hAnsi="宋体" w:eastAsia="宋体" w:cs="宋体"/>
                <w:color w:val="FF0000"/>
                <w:szCs w:val="21"/>
                <w:highlight w:val="none"/>
                <w:lang w:val="en-US" w:eastAsia="zh-CN"/>
              </w:rPr>
              <w:t xml:space="preserve"> 合同签订后3</w:t>
            </w:r>
            <w:r>
              <w:rPr>
                <w:rFonts w:hint="eastAsia" w:ascii="宋体" w:hAnsi="宋体" w:eastAsia="宋体" w:cs="宋体"/>
                <w:color w:val="FF0000"/>
                <w:szCs w:val="21"/>
                <w:highlight w:val="none"/>
                <w:lang w:eastAsia="zh-CN"/>
              </w:rPr>
              <w:t>日内，</w:t>
            </w:r>
            <w:r>
              <w:rPr>
                <w:rFonts w:hint="eastAsia" w:ascii="宋体" w:hAnsi="宋体" w:eastAsia="宋体" w:cs="宋体"/>
                <w:color w:val="FF0000"/>
                <w:szCs w:val="21"/>
                <w:highlight w:val="none"/>
                <w:lang w:val="en-US" w:eastAsia="zh-CN"/>
              </w:rPr>
              <w:t>甲乙双方共同至中国银行</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支行开立乙方户名的甲乙双方共管账户（费用由乙方承担），账户开户时应向开户行预留三枚印鉴样式，分别为：甲方财务专用章一枚、甲方指定人员手签字、乙方财务专用章一枚。开户后，凡账户内资金的支取及销户，必须凭上述三枚印鉴同时齐备后方可进行，缺一不可。乙方未开上述立共管账户的，无权要求甲方支付合同款</w:t>
            </w:r>
            <w:r>
              <w:rPr>
                <w:rFonts w:hint="eastAsia" w:ascii="宋体" w:hAnsi="宋体" w:eastAsia="宋体" w:cs="宋体"/>
                <w:color w:val="FF0000"/>
                <w:szCs w:val="21"/>
                <w:highlight w:val="none"/>
                <w:lang w:eastAsia="zh-CN"/>
              </w:rPr>
              <w:t>。</w:t>
            </w:r>
          </w:p>
          <w:p>
            <w:pPr>
              <w:adjustRightInd w:val="0"/>
              <w:snapToGrid w:val="0"/>
              <w:spacing w:line="2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4.2 甲方在</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年</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月</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日前向乙方支付本合同全部款项。</w:t>
            </w:r>
          </w:p>
          <w:p>
            <w:pPr>
              <w:adjustRightInd w:val="0"/>
              <w:snapToGrid w:val="0"/>
              <w:spacing w:line="260" w:lineRule="exact"/>
              <w:rPr>
                <w:rFonts w:hint="eastAsia" w:ascii="宋体" w:hAnsi="宋体" w:eastAsia="宋体" w:cs="宋体"/>
                <w:color w:val="FF0000"/>
                <w:szCs w:val="21"/>
                <w:highlight w:val="none"/>
                <w:lang w:eastAsia="zh-CN"/>
              </w:rPr>
            </w:pPr>
            <w:r>
              <w:rPr>
                <w:rFonts w:hint="eastAsia" w:ascii="宋体" w:hAnsi="宋体" w:eastAsia="宋体" w:cs="宋体"/>
                <w:color w:val="FF0000"/>
                <w:szCs w:val="21"/>
                <w:highlight w:val="none"/>
                <w:lang w:eastAsia="zh-CN"/>
              </w:rPr>
              <w:t>4.</w:t>
            </w:r>
            <w:r>
              <w:rPr>
                <w:rFonts w:hint="eastAsia" w:ascii="宋体" w:hAnsi="宋体" w:eastAsia="宋体" w:cs="宋体"/>
                <w:color w:val="FF0000"/>
                <w:szCs w:val="21"/>
                <w:highlight w:val="none"/>
                <w:lang w:val="en-US" w:eastAsia="zh-CN"/>
              </w:rPr>
              <w:t>3</w:t>
            </w:r>
            <w:r>
              <w:rPr>
                <w:rFonts w:hint="eastAsia" w:ascii="宋体" w:hAnsi="宋体" w:eastAsia="宋体" w:cs="宋体"/>
                <w:color w:val="FF0000"/>
                <w:szCs w:val="21"/>
                <w:highlight w:val="none"/>
                <w:lang w:eastAsia="zh-CN"/>
              </w:rPr>
              <w:t xml:space="preserve"> 乙方应提供税率为</w:t>
            </w:r>
            <w:r>
              <w:rPr>
                <w:rFonts w:hint="eastAsia" w:ascii="宋体" w:hAnsi="宋体" w:eastAsia="宋体" w:cs="宋体"/>
                <w:color w:val="FF0000"/>
                <w:szCs w:val="21"/>
                <w:highlight w:val="none"/>
                <w:lang w:eastAsia="zh-CN"/>
              </w:rPr>
              <w:fldChar w:fldCharType="begin">
                <w:ffData>
                  <w:name w:val="文字15"/>
                  <w:enabled/>
                  <w:calcOnExit w:val="0"/>
                  <w:textInput/>
                </w:ffData>
              </w:fldChar>
            </w:r>
            <w:r>
              <w:rPr>
                <w:rFonts w:hint="eastAsia" w:ascii="宋体" w:hAnsi="宋体" w:eastAsia="宋体" w:cs="宋体"/>
                <w:color w:val="FF0000"/>
                <w:szCs w:val="21"/>
                <w:highlight w:val="none"/>
                <w:lang w:eastAsia="zh-CN"/>
              </w:rPr>
              <w:instrText xml:space="preserve"> FORMTEXT </w:instrText>
            </w:r>
            <w:r>
              <w:rPr>
                <w:rFonts w:hint="eastAsia" w:ascii="宋体" w:hAnsi="宋体" w:eastAsia="宋体" w:cs="宋体"/>
                <w:color w:val="FF0000"/>
                <w:szCs w:val="21"/>
                <w:highlight w:val="none"/>
                <w:lang w:eastAsia="zh-CN"/>
              </w:rPr>
              <w:fldChar w:fldCharType="separate"/>
            </w:r>
            <w:r>
              <w:rPr>
                <w:rFonts w:hint="eastAsia" w:ascii="宋体" w:hAnsi="宋体" w:eastAsia="宋体" w:cs="宋体"/>
                <w:color w:val="FF0000"/>
                <w:szCs w:val="21"/>
                <w:highlight w:val="none"/>
                <w:lang w:eastAsia="zh-CN"/>
              </w:rPr>
              <w:t>     </w:t>
            </w:r>
            <w:r>
              <w:rPr>
                <w:rFonts w:hint="eastAsia" w:ascii="宋体" w:hAnsi="宋体" w:eastAsia="宋体" w:cs="宋体"/>
                <w:color w:val="FF0000"/>
                <w:szCs w:val="21"/>
                <w:highlight w:val="none"/>
                <w:lang w:eastAsia="zh-CN"/>
              </w:rPr>
              <w:fldChar w:fldCharType="end"/>
            </w:r>
            <w:r>
              <w:rPr>
                <w:rFonts w:hint="eastAsia" w:ascii="宋体" w:hAnsi="宋体" w:eastAsia="宋体" w:cs="宋体"/>
                <w:color w:val="FF0000"/>
                <w:szCs w:val="21"/>
                <w:highlight w:val="none"/>
                <w:lang w:eastAsia="zh-CN"/>
              </w:rPr>
              <w:t>%合法有效的增值税专用</w:t>
            </w:r>
            <w:r>
              <w:rPr>
                <w:rFonts w:hint="eastAsia" w:ascii="宋体" w:hAnsi="宋体" w:eastAsia="宋体" w:cs="宋体"/>
                <w:color w:val="FF0000"/>
                <w:szCs w:val="21"/>
                <w:highlight w:val="none"/>
                <w:lang w:val="en-US" w:eastAsia="zh-CN"/>
              </w:rPr>
              <w:t>发</w:t>
            </w:r>
            <w:r>
              <w:rPr>
                <w:rFonts w:hint="eastAsia" w:ascii="宋体" w:hAnsi="宋体" w:eastAsia="宋体" w:cs="宋体"/>
                <w:color w:val="FF0000"/>
                <w:szCs w:val="21"/>
                <w:highlight w:val="none"/>
                <w:lang w:eastAsia="zh-CN"/>
              </w:rPr>
              <w:t>票，否则甲方有权暂停付款。乙方提供发票的进度约定如下：在甲方付款前提供等额发票。</w:t>
            </w:r>
          </w:p>
          <w:p>
            <w:pPr>
              <w:adjustRightInd w:val="0"/>
              <w:snapToGrid w:val="0"/>
              <w:spacing w:line="260" w:lineRule="exact"/>
              <w:rPr>
                <w:rFonts w:hint="eastAsia" w:ascii="宋体" w:hAnsi="宋体" w:eastAsia="宋体" w:cs="宋体"/>
                <w:color w:val="FF0000"/>
                <w:szCs w:val="21"/>
                <w:highlight w:val="none"/>
                <w:lang w:eastAsia="zh-CN"/>
              </w:rPr>
            </w:pPr>
            <w:r>
              <w:rPr>
                <w:rFonts w:hint="eastAsia" w:ascii="宋体" w:hAnsi="宋体" w:eastAsia="宋体" w:cs="宋体"/>
                <w:color w:val="FF0000"/>
                <w:szCs w:val="21"/>
                <w:highlight w:val="none"/>
                <w:lang w:eastAsia="zh-CN"/>
              </w:rPr>
              <w:t>乙方向甲方开具发票的信息：</w:t>
            </w:r>
          </w:p>
          <w:p>
            <w:pPr>
              <w:adjustRightInd w:val="0"/>
              <w:snapToGrid w:val="0"/>
              <w:spacing w:line="260" w:lineRule="exact"/>
              <w:rPr>
                <w:rFonts w:hint="eastAsia" w:ascii="宋体" w:hAnsi="宋体" w:eastAsia="宋体" w:cs="宋体"/>
                <w:color w:val="FF0000"/>
                <w:szCs w:val="21"/>
                <w:highlight w:val="none"/>
                <w:lang w:eastAsia="zh-CN"/>
              </w:rPr>
            </w:pPr>
            <w:r>
              <w:rPr>
                <w:rFonts w:hint="eastAsia" w:ascii="宋体" w:hAnsi="宋体" w:eastAsia="宋体" w:cs="宋体"/>
                <w:color w:val="FF0000"/>
                <w:szCs w:val="21"/>
                <w:highlight w:val="none"/>
                <w:lang w:eastAsia="zh-CN"/>
              </w:rPr>
              <w:t>单位名称：东北大学</w:t>
            </w:r>
          </w:p>
          <w:p>
            <w:pPr>
              <w:adjustRightInd w:val="0"/>
              <w:snapToGrid w:val="0"/>
              <w:spacing w:line="260" w:lineRule="exact"/>
              <w:rPr>
                <w:rFonts w:hint="eastAsia" w:ascii="宋体" w:hAnsi="宋体" w:eastAsia="宋体" w:cs="宋体"/>
                <w:color w:val="FF0000"/>
                <w:szCs w:val="21"/>
                <w:highlight w:val="none"/>
                <w:lang w:eastAsia="zh-CN"/>
              </w:rPr>
            </w:pPr>
            <w:r>
              <w:rPr>
                <w:rFonts w:hint="eastAsia" w:ascii="宋体" w:hAnsi="宋体" w:eastAsia="宋体" w:cs="宋体"/>
                <w:color w:val="FF0000"/>
                <w:szCs w:val="21"/>
                <w:highlight w:val="none"/>
                <w:lang w:eastAsia="zh-CN"/>
              </w:rPr>
              <w:t>统一社会信用代码：1210000046300354XU</w:t>
            </w:r>
          </w:p>
          <w:p>
            <w:pPr>
              <w:adjustRightInd w:val="0"/>
              <w:snapToGrid w:val="0"/>
              <w:spacing w:line="260" w:lineRule="exact"/>
              <w:rPr>
                <w:rFonts w:hint="eastAsia" w:ascii="宋体" w:hAnsi="宋体" w:eastAsia="宋体" w:cs="宋体"/>
                <w:color w:val="FF0000"/>
                <w:szCs w:val="21"/>
                <w:highlight w:val="none"/>
                <w:lang w:eastAsia="zh-CN"/>
              </w:rPr>
            </w:pPr>
            <w:r>
              <w:rPr>
                <w:rFonts w:hint="eastAsia" w:ascii="宋体" w:hAnsi="宋体" w:eastAsia="宋体" w:cs="宋体"/>
                <w:color w:val="FF0000"/>
                <w:szCs w:val="21"/>
                <w:highlight w:val="none"/>
                <w:lang w:eastAsia="zh-CN"/>
              </w:rPr>
              <w:t>单位地址：辽宁省沈阳市和平区文化路3号巷11号</w:t>
            </w:r>
          </w:p>
          <w:p>
            <w:pPr>
              <w:adjustRightInd w:val="0"/>
              <w:snapToGrid w:val="0"/>
              <w:spacing w:line="260" w:lineRule="exact"/>
              <w:rPr>
                <w:rFonts w:hint="eastAsia" w:ascii="宋体" w:hAnsi="宋体" w:eastAsia="宋体" w:cs="宋体"/>
                <w:color w:val="FF0000"/>
                <w:szCs w:val="21"/>
                <w:highlight w:val="none"/>
                <w:lang w:eastAsia="zh-CN"/>
              </w:rPr>
            </w:pPr>
            <w:r>
              <w:rPr>
                <w:rFonts w:hint="eastAsia" w:ascii="宋体" w:hAnsi="宋体" w:eastAsia="宋体" w:cs="宋体"/>
                <w:color w:val="FF0000"/>
                <w:szCs w:val="21"/>
                <w:highlight w:val="none"/>
                <w:lang w:eastAsia="zh-CN"/>
              </w:rPr>
              <w:t>电话号码：024-83687506</w:t>
            </w:r>
          </w:p>
          <w:p>
            <w:pPr>
              <w:adjustRightInd w:val="0"/>
              <w:snapToGrid w:val="0"/>
              <w:spacing w:line="260" w:lineRule="exact"/>
              <w:rPr>
                <w:rFonts w:hint="eastAsia" w:ascii="宋体" w:hAnsi="宋体" w:eastAsia="宋体" w:cs="宋体"/>
                <w:color w:val="FF0000"/>
                <w:szCs w:val="21"/>
                <w:highlight w:val="none"/>
                <w:lang w:eastAsia="zh-CN"/>
              </w:rPr>
            </w:pPr>
            <w:r>
              <w:rPr>
                <w:rFonts w:hint="eastAsia" w:ascii="宋体" w:hAnsi="宋体" w:eastAsia="宋体" w:cs="宋体"/>
                <w:color w:val="FF0000"/>
                <w:szCs w:val="21"/>
                <w:highlight w:val="none"/>
                <w:lang w:eastAsia="zh-CN"/>
              </w:rPr>
              <w:t>开户行名称：中国银行沈阳东北大学支行</w:t>
            </w:r>
          </w:p>
          <w:p>
            <w:pPr>
              <w:adjustRightInd w:val="0"/>
              <w:snapToGrid w:val="0"/>
              <w:spacing w:line="2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eastAsia="zh-CN"/>
              </w:rPr>
              <w:t>开户行账号：</w:t>
            </w:r>
            <w:r>
              <w:rPr>
                <w:rFonts w:hint="eastAsia" w:ascii="宋体" w:hAnsi="宋体" w:eastAsia="宋体" w:cs="宋体"/>
                <w:color w:val="FF0000"/>
                <w:szCs w:val="21"/>
                <w:highlight w:val="none"/>
                <w:lang w:val="en-US" w:eastAsia="zh-CN"/>
              </w:rPr>
              <w:t>318146100001</w:t>
            </w:r>
          </w:p>
          <w:p>
            <w:pPr>
              <w:adjustRightInd w:val="0"/>
              <w:snapToGrid w:val="0"/>
              <w:spacing w:line="260" w:lineRule="exact"/>
              <w:rPr>
                <w:rFonts w:hint="eastAsia" w:ascii="宋体" w:hAnsi="宋体" w:eastAsia="宋体" w:cs="宋体"/>
                <w:color w:val="FF0000"/>
                <w:szCs w:val="21"/>
                <w:highlight w:val="none"/>
                <w:lang w:eastAsia="zh-CN"/>
              </w:rPr>
            </w:pPr>
            <w:r>
              <w:rPr>
                <w:rFonts w:hint="eastAsia" w:ascii="宋体" w:hAnsi="宋体" w:eastAsia="宋体" w:cs="宋体"/>
                <w:color w:val="FF0000"/>
                <w:szCs w:val="21"/>
                <w:highlight w:val="none"/>
                <w:lang w:eastAsia="zh-CN"/>
              </w:rPr>
              <w:t>4.</w:t>
            </w:r>
            <w:r>
              <w:rPr>
                <w:rFonts w:hint="eastAsia" w:ascii="宋体" w:hAnsi="宋体" w:eastAsia="宋体" w:cs="宋体"/>
                <w:color w:val="FF0000"/>
                <w:szCs w:val="21"/>
                <w:highlight w:val="none"/>
                <w:lang w:val="en-US" w:eastAsia="zh-CN"/>
              </w:rPr>
              <w:t>4</w:t>
            </w:r>
            <w:r>
              <w:rPr>
                <w:rFonts w:hint="eastAsia" w:ascii="宋体" w:hAnsi="宋体" w:eastAsia="宋体" w:cs="宋体"/>
                <w:color w:val="FF0000"/>
                <w:szCs w:val="21"/>
                <w:highlight w:val="none"/>
                <w:lang w:eastAsia="zh-CN"/>
              </w:rPr>
              <w:t>收款账户（须与乙方向甲方开具发票的信息一致）</w:t>
            </w:r>
          </w:p>
          <w:p>
            <w:pPr>
              <w:adjustRightInd w:val="0"/>
              <w:snapToGrid w:val="0"/>
              <w:spacing w:line="260" w:lineRule="exact"/>
              <w:rPr>
                <w:rFonts w:hint="eastAsia" w:ascii="宋体" w:hAnsi="宋体" w:eastAsia="宋体" w:cs="宋体"/>
                <w:color w:val="FF0000"/>
                <w:szCs w:val="21"/>
                <w:highlight w:val="none"/>
                <w:lang w:eastAsia="zh-CN"/>
              </w:rPr>
            </w:pPr>
            <w:r>
              <w:rPr>
                <w:rFonts w:hint="eastAsia" w:ascii="宋体" w:hAnsi="宋体" w:eastAsia="宋体" w:cs="宋体"/>
                <w:color w:val="FF0000"/>
                <w:szCs w:val="21"/>
                <w:highlight w:val="none"/>
                <w:lang w:val="en-US" w:eastAsia="zh-CN"/>
              </w:rPr>
              <w:t>本合同采用</w:t>
            </w:r>
            <w:r>
              <w:rPr>
                <w:rFonts w:hint="eastAsia" w:ascii="宋体" w:hAnsi="宋体" w:eastAsia="宋体" w:cs="宋体"/>
                <w:color w:val="FF0000"/>
                <w:szCs w:val="21"/>
                <w:highlight w:val="none"/>
                <w:lang w:eastAsia="zh-CN"/>
              </w:rPr>
              <w:t>银行转账方式结算，且</w:t>
            </w:r>
            <w:r>
              <w:rPr>
                <w:rFonts w:hint="eastAsia" w:ascii="宋体" w:hAnsi="宋体" w:eastAsia="宋体" w:cs="宋体"/>
                <w:color w:val="FF0000"/>
                <w:szCs w:val="21"/>
                <w:highlight w:val="none"/>
                <w:lang w:val="en-US" w:eastAsia="zh-CN"/>
              </w:rPr>
              <w:t>甲乙双方按照本合同第4.1款设立共管账户为乙方</w:t>
            </w:r>
            <w:r>
              <w:rPr>
                <w:rFonts w:hint="eastAsia" w:ascii="宋体" w:hAnsi="宋体" w:eastAsia="宋体" w:cs="宋体"/>
                <w:color w:val="FF0000"/>
                <w:szCs w:val="21"/>
                <w:highlight w:val="none"/>
                <w:lang w:eastAsia="zh-CN"/>
              </w:rPr>
              <w:t>唯一收款账户，甲方向上述账户汇出款项后，即视为已履行付款义务。因乙方账户的原因（包括但不限于账号被冻结等）导致其无法收取款项的，由乙方承担相应后果。</w:t>
            </w:r>
          </w:p>
          <w:p>
            <w:pPr>
              <w:adjustRightInd w:val="0"/>
              <w:snapToGrid w:val="0"/>
              <w:spacing w:line="2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4.5 共管账户管理（说明：</w:t>
            </w:r>
            <w:r>
              <w:rPr>
                <w:rFonts w:hint="eastAsia" w:ascii="宋体" w:hAnsi="宋体" w:eastAsia="宋体" w:cs="宋体"/>
                <w:color w:val="FF0000"/>
                <w:szCs w:val="21"/>
                <w:highlight w:val="none"/>
                <w:lang w:val="en-US" w:eastAsia="zh-CN"/>
              </w:rPr>
              <w:sym w:font="Wingdings 2" w:char="00A3"/>
            </w:r>
            <w:r>
              <w:rPr>
                <w:rFonts w:hint="eastAsia" w:ascii="宋体" w:hAnsi="宋体" w:eastAsia="宋体" w:cs="宋体"/>
                <w:color w:val="FF0000"/>
                <w:szCs w:val="21"/>
                <w:highlight w:val="none"/>
                <w:lang w:val="en-US" w:eastAsia="zh-CN"/>
              </w:rPr>
              <w:t>为选择项，根据实际情况选择其中一项或几项，</w:t>
            </w:r>
            <w:r>
              <w:rPr>
                <w:rFonts w:hint="eastAsia" w:ascii="宋体" w:hAnsi="宋体" w:eastAsia="宋体" w:cs="宋体"/>
                <w:color w:val="FF0000"/>
                <w:szCs w:val="21"/>
                <w:highlight w:val="none"/>
                <w:lang w:val="en-US" w:eastAsia="zh-CN"/>
              </w:rPr>
              <w:sym w:font="Wingdings 2" w:char="0052"/>
            </w:r>
            <w:r>
              <w:rPr>
                <w:rFonts w:hint="eastAsia" w:ascii="宋体" w:hAnsi="宋体" w:eastAsia="宋体" w:cs="宋体"/>
                <w:color w:val="FF0000"/>
                <w:szCs w:val="21"/>
                <w:highlight w:val="none"/>
                <w:lang w:val="en-US" w:eastAsia="zh-CN"/>
              </w:rPr>
              <w:t>为生效条款）</w:t>
            </w:r>
          </w:p>
          <w:p>
            <w:pPr>
              <w:adjustRightInd w:val="0"/>
              <w:snapToGrid w:val="0"/>
              <w:spacing w:line="2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4.5.1甲、乙双方各指定一名工作人员对账户进行日常管理，在开立账户时，应同时为双方指定的人员开通办理账户余额手机短信通知服务功能，以便甲、乙双方及时掌握账户资金变动情况。</w:t>
            </w:r>
          </w:p>
          <w:p>
            <w:pPr>
              <w:adjustRightInd w:val="0"/>
              <w:snapToGrid w:val="0"/>
              <w:spacing w:line="2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sym w:font="Wingdings 2" w:char="00A3"/>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 xml:space="preserve"> 乙方货物具备发货条件通知甲方并得到甲方认可后</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日内，甲乙双方委派指定工作人员从共管账户中支取合同金额的</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%即</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元（大写金额：</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元整）支付至乙方指定账户。</w:t>
            </w:r>
          </w:p>
          <w:p>
            <w:pPr>
              <w:adjustRightInd w:val="0"/>
              <w:snapToGrid w:val="0"/>
              <w:spacing w:line="2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sym w:font="Wingdings 2" w:char="00A3"/>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 xml:space="preserve"> </w:t>
            </w:r>
            <w:r>
              <w:rPr>
                <w:rFonts w:hint="eastAsia" w:ascii="宋体" w:hAnsi="宋体" w:eastAsia="宋体" w:cs="宋体"/>
                <w:color w:val="FF0000"/>
                <w:szCs w:val="21"/>
                <w:highlight w:val="none"/>
                <w:lang w:eastAsia="zh-CN"/>
              </w:rPr>
              <w:t>乙方将货物（设备）运输至甲方指定地点并经双方核对无误后</w:t>
            </w:r>
            <w:r>
              <w:rPr>
                <w:rFonts w:hint="eastAsia" w:ascii="宋体" w:hAnsi="宋体" w:eastAsia="宋体" w:cs="宋体"/>
                <w:color w:val="FF0000"/>
                <w:szCs w:val="21"/>
                <w:highlight w:val="none"/>
                <w:lang w:eastAsia="zh-CN"/>
              </w:rPr>
              <w:fldChar w:fldCharType="begin">
                <w:ffData>
                  <w:name w:val="文字15"/>
                  <w:enabled/>
                  <w:calcOnExit w:val="0"/>
                  <w:textInput/>
                </w:ffData>
              </w:fldChar>
            </w:r>
            <w:r>
              <w:rPr>
                <w:rFonts w:hint="eastAsia" w:ascii="宋体" w:hAnsi="宋体" w:eastAsia="宋体" w:cs="宋体"/>
                <w:color w:val="FF0000"/>
                <w:szCs w:val="21"/>
                <w:highlight w:val="none"/>
                <w:lang w:eastAsia="zh-CN"/>
              </w:rPr>
              <w:instrText xml:space="preserve"> FORMTEXT </w:instrText>
            </w:r>
            <w:r>
              <w:rPr>
                <w:rFonts w:hint="eastAsia" w:ascii="宋体" w:hAnsi="宋体" w:eastAsia="宋体" w:cs="宋体"/>
                <w:color w:val="FF0000"/>
                <w:szCs w:val="21"/>
                <w:highlight w:val="none"/>
                <w:lang w:eastAsia="zh-CN"/>
              </w:rPr>
              <w:fldChar w:fldCharType="separate"/>
            </w:r>
            <w:r>
              <w:rPr>
                <w:rFonts w:hint="eastAsia" w:ascii="宋体" w:hAnsi="宋体" w:eastAsia="宋体" w:cs="宋体"/>
                <w:color w:val="FF0000"/>
                <w:szCs w:val="21"/>
                <w:highlight w:val="none"/>
                <w:lang w:eastAsia="zh-CN"/>
              </w:rPr>
              <w:t>     </w:t>
            </w:r>
            <w:r>
              <w:rPr>
                <w:rFonts w:hint="eastAsia" w:ascii="宋体" w:hAnsi="宋体" w:eastAsia="宋体" w:cs="宋体"/>
                <w:color w:val="FF0000"/>
                <w:szCs w:val="21"/>
                <w:highlight w:val="none"/>
                <w:lang w:eastAsia="zh-CN"/>
              </w:rPr>
              <w:fldChar w:fldCharType="end"/>
            </w:r>
            <w:r>
              <w:rPr>
                <w:rFonts w:hint="eastAsia" w:ascii="宋体" w:hAnsi="宋体" w:eastAsia="宋体" w:cs="宋体"/>
                <w:color w:val="FF0000"/>
                <w:szCs w:val="21"/>
                <w:highlight w:val="none"/>
                <w:lang w:eastAsia="zh-CN"/>
              </w:rPr>
              <w:t>日内，</w:t>
            </w:r>
            <w:r>
              <w:rPr>
                <w:rFonts w:hint="eastAsia" w:ascii="宋体" w:hAnsi="宋体" w:eastAsia="宋体" w:cs="宋体"/>
                <w:color w:val="FF0000"/>
                <w:szCs w:val="21"/>
                <w:highlight w:val="none"/>
                <w:lang w:val="en-US" w:eastAsia="zh-CN"/>
              </w:rPr>
              <w:t>甲乙双方委派指定工作人员从共管账户中支取合同金额的</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%即</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元（大写金额：</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元整）支付至乙方指定账户。</w:t>
            </w:r>
          </w:p>
          <w:p>
            <w:pPr>
              <w:adjustRightInd w:val="0"/>
              <w:snapToGrid w:val="0"/>
              <w:spacing w:line="2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sym w:font="Wingdings 2" w:char="00A3"/>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 xml:space="preserve"> 乙方安装调试完成并经甲方验收合格后</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日内，甲乙双方委派指定工作人员从共管账户中支取合同金额的</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%即</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元（大写金额：</w:t>
            </w:r>
            <w:r>
              <w:rPr>
                <w:rFonts w:hint="eastAsia" w:ascii="宋体" w:hAnsi="宋体" w:eastAsia="宋体" w:cs="宋体"/>
                <w:color w:val="FF0000"/>
                <w:szCs w:val="21"/>
                <w:highlight w:val="none"/>
                <w:lang w:val="en-US" w:eastAsia="zh-CN"/>
              </w:rPr>
              <w:fldChar w:fldCharType="begin">
                <w:ffData>
                  <w:name w:val="文字15"/>
                  <w:enabled/>
                  <w:calcOnExit w:val="0"/>
                  <w:textInput/>
                </w:ffData>
              </w:fldChar>
            </w:r>
            <w:r>
              <w:rPr>
                <w:rFonts w:hint="eastAsia" w:ascii="宋体" w:hAnsi="宋体" w:eastAsia="宋体" w:cs="宋体"/>
                <w:color w:val="FF0000"/>
                <w:szCs w:val="21"/>
                <w:highlight w:val="none"/>
                <w:lang w:val="en-US" w:eastAsia="zh-CN"/>
              </w:rPr>
              <w:instrText xml:space="preserve"> FORMTEXT </w:instrText>
            </w:r>
            <w:r>
              <w:rPr>
                <w:rFonts w:hint="eastAsia" w:ascii="宋体" w:hAnsi="宋体" w:eastAsia="宋体" w:cs="宋体"/>
                <w:color w:val="FF0000"/>
                <w:szCs w:val="21"/>
                <w:highlight w:val="none"/>
                <w:lang w:val="en-US" w:eastAsia="zh-CN"/>
              </w:rPr>
              <w:fldChar w:fldCharType="separate"/>
            </w:r>
            <w:r>
              <w:rPr>
                <w:rFonts w:hint="eastAsia" w:ascii="宋体" w:hAnsi="宋体" w:eastAsia="宋体" w:cs="宋体"/>
                <w:color w:val="FF0000"/>
                <w:szCs w:val="21"/>
                <w:highlight w:val="none"/>
                <w:lang w:val="en-US" w:eastAsia="zh-CN"/>
              </w:rPr>
              <w:t>     </w:t>
            </w:r>
            <w:r>
              <w:rPr>
                <w:rFonts w:hint="eastAsia" w:ascii="宋体" w:hAnsi="宋体" w:eastAsia="宋体" w:cs="宋体"/>
                <w:color w:val="FF0000"/>
                <w:szCs w:val="21"/>
                <w:highlight w:val="none"/>
                <w:lang w:val="en-US" w:eastAsia="zh-CN"/>
              </w:rPr>
              <w:fldChar w:fldCharType="end"/>
            </w:r>
            <w:r>
              <w:rPr>
                <w:rFonts w:hint="eastAsia" w:ascii="宋体" w:hAnsi="宋体" w:eastAsia="宋体" w:cs="宋体"/>
                <w:color w:val="FF0000"/>
                <w:szCs w:val="21"/>
                <w:highlight w:val="none"/>
                <w:lang w:val="en-US" w:eastAsia="zh-CN"/>
              </w:rPr>
              <w:t>元整）支付至乙方指定账户。</w:t>
            </w:r>
          </w:p>
          <w:p>
            <w:pPr>
              <w:adjustRightInd w:val="0"/>
              <w:snapToGrid w:val="0"/>
              <w:spacing w:line="260" w:lineRule="exact"/>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4.5.2 在质保期满且货物（设备）不存在质量问题或存在质量问题乙方已及时解决的，甲乙双方委派指定工作人员将共管账户中剩余款项支付至乙方指定账户。</w:t>
            </w:r>
          </w:p>
          <w:p>
            <w:pPr>
              <w:widowControl/>
              <w:spacing w:line="260" w:lineRule="exact"/>
              <w:jc w:val="left"/>
              <w:rPr>
                <w:rFonts w:ascii="宋体" w:hAnsi="宋体" w:cs="宋体"/>
                <w:color w:val="auto"/>
                <w:szCs w:val="21"/>
                <w:highlight w:val="none"/>
              </w:rPr>
            </w:pPr>
            <w:r>
              <w:rPr>
                <w:rFonts w:hint="eastAsia" w:ascii="宋体" w:hAnsi="宋体" w:eastAsia="宋体" w:cs="宋体"/>
                <w:color w:val="FF0000"/>
                <w:szCs w:val="21"/>
                <w:highlight w:val="none"/>
                <w:lang w:val="en-US" w:eastAsia="zh-CN"/>
              </w:rPr>
              <w:t>4.5.3 共管账户支付凭证相关的原始单据交由甲方妥善保管，进行归档整理。</w:t>
            </w:r>
          </w:p>
        </w:tc>
        <w:tc>
          <w:tcPr>
            <w:tcW w:w="2522"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6"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highlight w:val="none"/>
              </w:rPr>
              <w:t>4</w:t>
            </w:r>
          </w:p>
        </w:tc>
        <w:tc>
          <w:tcPr>
            <w:tcW w:w="3838" w:type="dxa"/>
            <w:vAlign w:val="center"/>
          </w:tcPr>
          <w:p>
            <w:pPr>
              <w:adjustRightInd w:val="0"/>
              <w:snapToGrid w:val="0"/>
              <w:spacing w:line="260" w:lineRule="exact"/>
              <w:rPr>
                <w:rFonts w:ascii="宋体" w:hAnsi="宋体" w:cs="宋体"/>
                <w:b/>
                <w:bCs/>
                <w:color w:val="auto"/>
                <w:szCs w:val="21"/>
                <w:highlight w:val="none"/>
              </w:rPr>
            </w:pPr>
            <w:r>
              <w:rPr>
                <w:rFonts w:hint="eastAsia" w:ascii="宋体" w:hAnsi="宋体"/>
                <w:color w:val="auto"/>
                <w:spacing w:val="-6"/>
                <w:szCs w:val="21"/>
                <w:highlight w:val="none"/>
              </w:rPr>
              <w:t>★</w:t>
            </w:r>
            <w:r>
              <w:rPr>
                <w:rFonts w:hint="eastAsia" w:ascii="宋体" w:hAnsi="宋体" w:cs="宋体"/>
                <w:b/>
                <w:bCs/>
                <w:color w:val="auto"/>
                <w:szCs w:val="21"/>
                <w:highlight w:val="none"/>
              </w:rPr>
              <w:t>验收标准</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1.验收依据：</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1.1合同、招标文件、</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提供的技术规格、经采购人认可的合同货物的有效检验文件；</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eastAsia="zh-CN"/>
              </w:rPr>
              <w:t>供应商响应文件</w:t>
            </w:r>
            <w:r>
              <w:rPr>
                <w:rFonts w:hint="eastAsia" w:ascii="宋体" w:hAnsi="宋体" w:cs="宋体"/>
                <w:color w:val="auto"/>
                <w:szCs w:val="21"/>
                <w:highlight w:val="none"/>
              </w:rPr>
              <w:t>中提供的经采购人认可的合同货物的验收标准（符合中国有关的国家、地方、行业标准）和检测办法及相应检测手段。</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应派员在所供货物到采购人处时进行到货验收，有需要时能联系产品制造商到场共同验收，若发现任何损坏及质量问题，</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负责妥善处理直至采购人满意，由此产生的费用由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承担。</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3.验收合格的条件：</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3.1所供货物符合产品标准及合同的要求；</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3.2在进行测试和验收过程中发现的问题已被解决并得到采购人的认可；</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3.3合同中规定的所有货物和材料均已交付；</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3.4所供货物已通过使用单位组织的验收；</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3.5所有相关的技术文件及资料均已提交并得到接受。</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4.验收标准：依照中央采购验收标准履行验收，根据国家、行业相关技术标准及双方协商方式与标准进行验收；</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5.验收程序：依照中央采购验收标准履行验收；</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6.验收报告：依照中央采购验收标准履行验收；</w:t>
            </w:r>
          </w:p>
          <w:p>
            <w:pPr>
              <w:adjustRightInd w:val="0"/>
              <w:snapToGrid w:val="0"/>
              <w:spacing w:line="260" w:lineRule="exact"/>
              <w:rPr>
                <w:color w:val="auto"/>
                <w:highlight w:val="none"/>
              </w:rPr>
            </w:pPr>
            <w:r>
              <w:rPr>
                <w:rFonts w:hint="eastAsia" w:ascii="宋体" w:hAnsi="宋体" w:cs="宋体"/>
                <w:color w:val="auto"/>
                <w:szCs w:val="21"/>
                <w:highlight w:val="none"/>
              </w:rPr>
              <w:t>7.组织验收主体：本项目的履约验收工作由采购人依法组织实施。</w:t>
            </w:r>
          </w:p>
        </w:tc>
        <w:tc>
          <w:tcPr>
            <w:tcW w:w="2522"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highlight w:val="none"/>
              </w:rPr>
              <w:t>5</w:t>
            </w:r>
          </w:p>
        </w:tc>
        <w:tc>
          <w:tcPr>
            <w:tcW w:w="3838" w:type="dxa"/>
            <w:vAlign w:val="center"/>
          </w:tcPr>
          <w:p>
            <w:pPr>
              <w:adjustRightInd w:val="0"/>
              <w:snapToGrid w:val="0"/>
              <w:spacing w:line="260" w:lineRule="exact"/>
              <w:rPr>
                <w:rFonts w:ascii="宋体" w:hAnsi="宋体" w:cs="宋体"/>
                <w:color w:val="auto"/>
                <w:szCs w:val="21"/>
                <w:highlight w:val="none"/>
              </w:rPr>
            </w:pPr>
            <w:r>
              <w:rPr>
                <w:rFonts w:hint="eastAsia" w:ascii="宋体" w:hAnsi="宋体"/>
                <w:color w:val="auto"/>
                <w:spacing w:val="-6"/>
                <w:szCs w:val="21"/>
                <w:highlight w:val="none"/>
              </w:rPr>
              <w:t>★</w:t>
            </w:r>
            <w:r>
              <w:rPr>
                <w:rFonts w:hint="eastAsia" w:ascii="宋体" w:hAnsi="宋体" w:cs="宋体"/>
                <w:color w:val="auto"/>
                <w:szCs w:val="21"/>
                <w:highlight w:val="none"/>
              </w:rPr>
              <w:t>质量保证期：验收合格后1年</w:t>
            </w:r>
          </w:p>
        </w:tc>
        <w:tc>
          <w:tcPr>
            <w:tcW w:w="2522"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highlight w:val="none"/>
              </w:rPr>
              <w:t>6</w:t>
            </w:r>
          </w:p>
        </w:tc>
        <w:tc>
          <w:tcPr>
            <w:tcW w:w="3838" w:type="dxa"/>
            <w:vAlign w:val="center"/>
          </w:tcPr>
          <w:p>
            <w:pPr>
              <w:rPr>
                <w:color w:val="auto"/>
                <w:szCs w:val="21"/>
                <w:highlight w:val="none"/>
              </w:rPr>
            </w:pPr>
            <w:r>
              <w:rPr>
                <w:rFonts w:hint="eastAsia" w:ascii="宋体" w:hAnsi="宋体"/>
                <w:color w:val="auto"/>
                <w:spacing w:val="-6"/>
                <w:szCs w:val="21"/>
                <w:highlight w:val="none"/>
              </w:rPr>
              <w:t>★</w:t>
            </w:r>
            <w:r>
              <w:rPr>
                <w:rFonts w:hint="eastAsia" w:ascii="宋体" w:hAnsi="宋体" w:cs="宋体"/>
                <w:b/>
                <w:bCs/>
                <w:color w:val="auto"/>
                <w:szCs w:val="21"/>
                <w:highlight w:val="none"/>
              </w:rPr>
              <w:t>服务标准、期限、效率：</w:t>
            </w:r>
          </w:p>
          <w:p>
            <w:pPr>
              <w:rPr>
                <w:color w:val="auto"/>
                <w:szCs w:val="21"/>
                <w:highlight w:val="none"/>
              </w:rPr>
            </w:pPr>
            <w:r>
              <w:rPr>
                <w:rFonts w:hint="eastAsia"/>
                <w:color w:val="auto"/>
                <w:szCs w:val="21"/>
                <w:highlight w:val="none"/>
              </w:rPr>
              <w:t>1、售后及质保服务：</w:t>
            </w:r>
            <w:r>
              <w:rPr>
                <w:rFonts w:hint="eastAsia"/>
                <w:color w:val="auto"/>
                <w:szCs w:val="21"/>
                <w:highlight w:val="none"/>
                <w:lang w:eastAsia="zh-CN"/>
              </w:rPr>
              <w:t>供应商</w:t>
            </w:r>
            <w:r>
              <w:rPr>
                <w:rFonts w:hint="eastAsia"/>
                <w:color w:val="auto"/>
                <w:szCs w:val="21"/>
                <w:highlight w:val="none"/>
              </w:rPr>
              <w:t>须承诺，验收合格之日起1年内，如设备发生故障，经2次维修后仍不能正常工作，免费更换为同型号的新设备。提供7×24h电话技术咨询服务、远程故障诊断处理服务，2小时响应，24小时内到达。</w:t>
            </w:r>
          </w:p>
          <w:p>
            <w:pPr>
              <w:rPr>
                <w:color w:val="auto"/>
                <w:szCs w:val="21"/>
                <w:highlight w:val="none"/>
              </w:rPr>
            </w:pPr>
            <w:r>
              <w:rPr>
                <w:rFonts w:hint="eastAsia"/>
                <w:color w:val="auto"/>
                <w:szCs w:val="21"/>
                <w:highlight w:val="none"/>
              </w:rPr>
              <w:t>2、维修技术人员及设备方面的保证措施及收费标准的要求：保修期满后的软硬件升级、培训、设备维护和保养、更换配件和维修都不收取上门费、差旅费和人工费。</w:t>
            </w:r>
          </w:p>
          <w:p>
            <w:pPr>
              <w:rPr>
                <w:color w:val="auto"/>
                <w:szCs w:val="21"/>
                <w:highlight w:val="none"/>
              </w:rPr>
            </w:pPr>
            <w:r>
              <w:rPr>
                <w:rFonts w:hint="eastAsia"/>
                <w:color w:val="auto"/>
                <w:szCs w:val="21"/>
                <w:highlight w:val="none"/>
              </w:rPr>
              <w:t>3、备品备件供应及优惠价格要求：备品备件必须满足5年以上的供货期；保修期满后更换备品备件不收取人工费用，配件不高于市场价。</w:t>
            </w:r>
          </w:p>
          <w:p>
            <w:pPr>
              <w:rPr>
                <w:rFonts w:ascii="宋体" w:hAnsi="宋体" w:cs="宋体"/>
                <w:color w:val="auto"/>
                <w:szCs w:val="21"/>
                <w:highlight w:val="none"/>
              </w:rPr>
            </w:pPr>
            <w:r>
              <w:rPr>
                <w:rFonts w:hint="eastAsia"/>
                <w:color w:val="auto"/>
                <w:szCs w:val="21"/>
                <w:highlight w:val="none"/>
              </w:rPr>
              <w:t>4、售后服务：原厂质保1年，7*24响应，不晚于48小时内到达现场服务。</w:t>
            </w:r>
          </w:p>
        </w:tc>
        <w:tc>
          <w:tcPr>
            <w:tcW w:w="2522"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highlight w:val="none"/>
              </w:rPr>
              <w:t>7</w:t>
            </w:r>
          </w:p>
        </w:tc>
        <w:tc>
          <w:tcPr>
            <w:tcW w:w="3838" w:type="dxa"/>
            <w:vAlign w:val="center"/>
          </w:tcPr>
          <w:p>
            <w:pPr>
              <w:adjustRightInd w:val="0"/>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其他技术、服务要求：</w:t>
            </w:r>
          </w:p>
          <w:p>
            <w:pPr>
              <w:adjustRightInd w:val="0"/>
              <w:snapToGrid w:val="0"/>
              <w:spacing w:line="288"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.技术支持：</w:t>
            </w:r>
          </w:p>
          <w:p>
            <w:pPr>
              <w:adjustRightInd w:val="0"/>
              <w:snapToGrid w:val="0"/>
              <w:spacing w:line="288" w:lineRule="auto"/>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应及时免费提供合同货物软件的升级，免费提供合同货物新功能和应用的资料。</w:t>
            </w:r>
          </w:p>
          <w:p>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.安装调试：</w:t>
            </w:r>
          </w:p>
          <w:p>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.1安装地点：采购人指定地点；</w:t>
            </w:r>
          </w:p>
          <w:p>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.2安装完成时间：接到采购人通知后在规定时间内完成安装和调试，如在规定的时间内由于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的原因不能完成安装和调试，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应承担由此给采购人造成的损失；</w:t>
            </w:r>
          </w:p>
          <w:p>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.3如</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委托国内代理（或其他机构）负责安装或配合安装应在签约时指明，但</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仍要对合同货物及其安装质量负全部责任；</w:t>
            </w:r>
          </w:p>
          <w:p>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.4安装标准：符合我国国家有关技术规范要求和技术标准，所有的软件和硬件保证同时安装到位；</w:t>
            </w:r>
          </w:p>
          <w:p>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.5</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免费提供合同货物的安装服务；</w:t>
            </w:r>
          </w:p>
          <w:p>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中应提供安装调试计划、对安装场地和环境的要求。</w:t>
            </w:r>
          </w:p>
          <w:p>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应提供质保期满后主要零部件报价单、质保期满后维护费、软件升级及其相关服务内容；</w:t>
            </w:r>
          </w:p>
          <w:p>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.供货时提供有关的全套技术文件。</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olor w:val="auto"/>
                <w:spacing w:val="-6"/>
                <w:szCs w:val="21"/>
                <w:highlight w:val="none"/>
                <w:lang w:eastAsia="zh-CN"/>
              </w:rPr>
              <w:t>供应商</w:t>
            </w:r>
            <w:r>
              <w:rPr>
                <w:rFonts w:hint="eastAsia" w:ascii="宋体" w:hAnsi="宋体"/>
                <w:color w:val="auto"/>
                <w:spacing w:val="-6"/>
                <w:szCs w:val="21"/>
                <w:highlight w:val="none"/>
              </w:rPr>
              <w:t>应保证所提供的货物或其中任何一部分均不会侵犯第三方的知识产权。</w:t>
            </w:r>
          </w:p>
        </w:tc>
        <w:tc>
          <w:tcPr>
            <w:tcW w:w="2522"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highlight w:val="none"/>
              </w:rPr>
              <w:t>8</w:t>
            </w:r>
          </w:p>
        </w:tc>
        <w:tc>
          <w:tcPr>
            <w:tcW w:w="3838" w:type="dxa"/>
            <w:vAlign w:val="center"/>
          </w:tcPr>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所有设备在质保期内（自验收合格并交付使用之日起计算）免费维修更换，终身维护、维修。</w:t>
            </w:r>
          </w:p>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在质保期内，因产品质量造成的问题，供货方免费提供配件并现场维修，且所提供的任何零配件必须是其原设备厂家生产的或经其认可的。</w:t>
            </w:r>
          </w:p>
        </w:tc>
        <w:tc>
          <w:tcPr>
            <w:tcW w:w="2522"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highlight w:val="none"/>
              </w:rPr>
              <w:t>9</w:t>
            </w:r>
          </w:p>
        </w:tc>
        <w:tc>
          <w:tcPr>
            <w:tcW w:w="3838" w:type="dxa"/>
            <w:vAlign w:val="center"/>
          </w:tcPr>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成交供应商提供一年质保期内至少1次全免费（配件+人力）对产品设备的维护保养。</w:t>
            </w:r>
          </w:p>
        </w:tc>
        <w:tc>
          <w:tcPr>
            <w:tcW w:w="2522"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highlight w:val="none"/>
              </w:rPr>
              <w:t>10</w:t>
            </w:r>
          </w:p>
        </w:tc>
        <w:tc>
          <w:tcPr>
            <w:tcW w:w="3838" w:type="dxa"/>
            <w:vAlign w:val="center"/>
          </w:tcPr>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凡设备出现故障，自接到用户报修电话2小时响应，24小时内到达现场，72小时内解决故障问题。保修期外只收取甲方零配件和旅差等成本费，其他免费</w:t>
            </w:r>
          </w:p>
        </w:tc>
        <w:tc>
          <w:tcPr>
            <w:tcW w:w="2522"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highlight w:val="none"/>
              </w:rPr>
              <w:t>11</w:t>
            </w:r>
          </w:p>
        </w:tc>
        <w:tc>
          <w:tcPr>
            <w:tcW w:w="3838" w:type="dxa"/>
            <w:vAlign w:val="center"/>
          </w:tcPr>
          <w:p>
            <w:pPr>
              <w:adjustRightInd w:val="0"/>
              <w:snapToGrid w:val="0"/>
              <w:spacing w:line="260" w:lineRule="exact"/>
              <w:rPr>
                <w:rFonts w:ascii="宋体" w:hAnsi="宋体" w:cs="宋体"/>
                <w:color w:val="auto"/>
                <w:szCs w:val="21"/>
                <w:highlight w:val="none"/>
              </w:rPr>
            </w:pPr>
            <w:r>
              <w:rPr>
                <w:rFonts w:hint="eastAsia" w:ascii="宋体" w:hAnsi="宋体" w:cs="宋体"/>
                <w:color w:val="auto"/>
                <w:szCs w:val="21"/>
                <w:highlight w:val="none"/>
              </w:rPr>
              <w:t>设备配套软件如有版权问题，应有免费使用的授权证明文件及承诺终身免费升级</w:t>
            </w:r>
          </w:p>
        </w:tc>
        <w:tc>
          <w:tcPr>
            <w:tcW w:w="2522"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highlight w:val="none"/>
              </w:rPr>
              <w:t>12</w:t>
            </w:r>
          </w:p>
        </w:tc>
        <w:tc>
          <w:tcPr>
            <w:tcW w:w="3838" w:type="dxa"/>
            <w:vAlign w:val="center"/>
          </w:tcPr>
          <w:p>
            <w:pPr>
              <w:adjustRightInd w:val="0"/>
              <w:snapToGrid w:val="0"/>
              <w:spacing w:line="260" w:lineRule="exact"/>
              <w:ind w:hanging="1"/>
              <w:rPr>
                <w:rFonts w:ascii="宋体" w:hAnsi="宋体" w:cs="宋体"/>
                <w:color w:val="auto"/>
                <w:szCs w:val="21"/>
                <w:highlight w:val="none"/>
              </w:rPr>
            </w:pPr>
            <w:r>
              <w:rPr>
                <w:rFonts w:hint="eastAsia" w:ascii="宋体" w:hAnsi="宋体" w:cs="宋体"/>
                <w:color w:val="auto"/>
                <w:szCs w:val="21"/>
                <w:highlight w:val="none"/>
              </w:rPr>
              <w:t>技术服务：乙方有责任对用户相关人员实施免费的现场培训或集中培训措施，保证甲方相关人员能够独立操作、熟练使用、维护和管理有关设备</w:t>
            </w:r>
          </w:p>
        </w:tc>
        <w:tc>
          <w:tcPr>
            <w:tcW w:w="2522" w:type="dxa"/>
            <w:vAlign w:val="center"/>
          </w:tcPr>
          <w:p>
            <w:pPr>
              <w:adjustRightInd w:val="0"/>
              <w:snapToGrid w:val="0"/>
              <w:spacing w:line="260" w:lineRule="exact"/>
              <w:ind w:left="-53" w:leftChars="-25" w:right="-17" w:rightChars="-8"/>
              <w:jc w:val="left"/>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6"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olor w:val="auto"/>
                <w:spacing w:val="-6"/>
                <w:szCs w:val="21"/>
                <w:highlight w:val="none"/>
              </w:rPr>
              <w:t>★</w:t>
            </w:r>
            <w:r>
              <w:rPr>
                <w:rFonts w:hint="eastAsia" w:ascii="宋体" w:hAnsi="宋体" w:cs="宋体"/>
                <w:color w:val="auto"/>
                <w:szCs w:val="21"/>
                <w:highlight w:val="none"/>
              </w:rPr>
              <w:t>13</w:t>
            </w:r>
          </w:p>
        </w:tc>
        <w:tc>
          <w:tcPr>
            <w:tcW w:w="3838" w:type="dxa"/>
            <w:vAlign w:val="center"/>
          </w:tcPr>
          <w:p>
            <w:pPr>
              <w:adjustRightInd w:val="0"/>
              <w:snapToGrid w:val="0"/>
              <w:spacing w:line="260" w:lineRule="exact"/>
              <w:ind w:hanging="1"/>
              <w:rPr>
                <w:rFonts w:hint="eastAsia" w:ascii="宋体" w:hAnsi="宋体" w:cs="宋体"/>
                <w:color w:val="FF0000"/>
                <w:szCs w:val="21"/>
                <w:lang w:val="en-US" w:eastAsia="zh-CN"/>
              </w:rPr>
            </w:pPr>
            <w:r>
              <w:rPr>
                <w:rFonts w:hint="eastAsia" w:ascii="宋体" w:hAnsi="宋体" w:cs="宋体"/>
                <w:color w:val="FF0000"/>
                <w:szCs w:val="21"/>
                <w:lang w:val="en-US" w:eastAsia="zh-CN"/>
              </w:rPr>
              <w:t>违约责任：</w:t>
            </w:r>
          </w:p>
          <w:p>
            <w:pPr>
              <w:adjustRightInd w:val="0"/>
              <w:snapToGrid w:val="0"/>
              <w:spacing w:line="260" w:lineRule="exact"/>
              <w:ind w:hanging="1"/>
              <w:rPr>
                <w:rFonts w:hint="eastAsia" w:ascii="宋体" w:hAnsi="宋体" w:cs="宋体"/>
                <w:color w:val="FF0000"/>
                <w:szCs w:val="21"/>
              </w:rPr>
            </w:pPr>
            <w:r>
              <w:rPr>
                <w:rFonts w:hint="eastAsia" w:ascii="宋体" w:hAnsi="宋体" w:cs="宋体"/>
                <w:color w:val="FF0000"/>
                <w:szCs w:val="21"/>
                <w:lang w:val="en-US" w:eastAsia="zh-CN"/>
              </w:rPr>
              <w:t>鉴于在本合同产品采购招投标或磋商过程中，乙方已清楚了解，甲方采购本合同产品的资金来源为财政贴息贷款，贷款支付条件即甲方向乙方的付款条件为签订书面合同。同时，该贷款享受两年年息2.5个百分点的财政贴息，而办理财政贴息的条件为作为产品采购款的贷款在2022年12月25日前已支付且乙方已提供全额合法有效发票，在此基础上，双方约定违约条款如下：</w:t>
            </w:r>
          </w:p>
          <w:p>
            <w:pPr>
              <w:adjustRightInd w:val="0"/>
              <w:snapToGrid w:val="0"/>
              <w:spacing w:line="260" w:lineRule="exact"/>
              <w:ind w:hanging="1"/>
              <w:rPr>
                <w:rFonts w:hint="eastAsia" w:ascii="宋体" w:hAnsi="宋体" w:cs="宋体"/>
                <w:color w:val="FF0000"/>
                <w:szCs w:val="21"/>
                <w:lang w:eastAsia="zh-CN"/>
              </w:rPr>
            </w:pPr>
            <w:r>
              <w:rPr>
                <w:rFonts w:hint="eastAsia" w:ascii="宋体" w:hAnsi="宋体" w:cs="宋体"/>
                <w:color w:val="FF0000"/>
                <w:szCs w:val="21"/>
              </w:rPr>
              <w:t>9.1 甲方逾期付款的，每逾期一日应向乙方支付逾期付款金额</w:t>
            </w:r>
            <w:r>
              <w:rPr>
                <w:rFonts w:hint="eastAsia" w:ascii="宋体" w:hAnsi="宋体" w:cs="宋体"/>
                <w:color w:val="FF0000"/>
                <w:szCs w:val="21"/>
                <w:lang w:val="en-US" w:eastAsia="zh-CN"/>
              </w:rPr>
              <w:fldChar w:fldCharType="begin">
                <w:ffData>
                  <w:name w:val="文字15"/>
                  <w:enabled/>
                  <w:calcOnExit w:val="0"/>
                  <w:textInput>
                    <w:default w:val="1‰"/>
                  </w:textInput>
                </w:ffData>
              </w:fldChar>
            </w:r>
            <w:r>
              <w:rPr>
                <w:rFonts w:hint="eastAsia" w:ascii="宋体" w:hAnsi="宋体" w:cs="宋体"/>
                <w:color w:val="FF0000"/>
                <w:szCs w:val="21"/>
                <w:lang w:val="en-US" w:eastAsia="zh-CN"/>
              </w:rPr>
              <w:instrText xml:space="preserve">FORMTEXT</w:instrText>
            </w:r>
            <w:r>
              <w:rPr>
                <w:rFonts w:hint="eastAsia" w:ascii="宋体" w:hAnsi="宋体" w:cs="宋体"/>
                <w:color w:val="FF0000"/>
                <w:szCs w:val="21"/>
                <w:lang w:val="en-US" w:eastAsia="zh-CN"/>
              </w:rPr>
              <w:fldChar w:fldCharType="separate"/>
            </w:r>
            <w:r>
              <w:rPr>
                <w:rFonts w:hint="eastAsia" w:ascii="宋体" w:hAnsi="宋体" w:cs="宋体"/>
                <w:color w:val="FF0000"/>
                <w:szCs w:val="21"/>
                <w:lang w:val="en-US" w:eastAsia="zh-CN"/>
              </w:rPr>
              <w:t>1‰</w:t>
            </w:r>
            <w:r>
              <w:rPr>
                <w:rFonts w:hint="eastAsia" w:ascii="宋体" w:hAnsi="宋体" w:cs="宋体"/>
                <w:color w:val="FF0000"/>
                <w:szCs w:val="21"/>
                <w:lang w:val="en-US" w:eastAsia="zh-CN"/>
              </w:rPr>
              <w:fldChar w:fldCharType="end"/>
            </w:r>
            <w:r>
              <w:rPr>
                <w:rFonts w:hint="eastAsia" w:ascii="宋体" w:hAnsi="宋体" w:cs="宋体"/>
                <w:color w:val="FF0000"/>
                <w:szCs w:val="21"/>
              </w:rPr>
              <w:t>的违约金，</w:t>
            </w:r>
            <w:r>
              <w:rPr>
                <w:rFonts w:hint="eastAsia" w:ascii="宋体" w:hAnsi="宋体" w:cs="宋体"/>
                <w:color w:val="FF0000"/>
                <w:szCs w:val="21"/>
                <w:lang w:eastAsia="zh-CN"/>
              </w:rPr>
              <w:t>累计不超过</w:t>
            </w:r>
            <w:r>
              <w:rPr>
                <w:rFonts w:hint="eastAsia" w:ascii="宋体" w:hAnsi="宋体" w:cs="宋体"/>
                <w:color w:val="FF0000"/>
                <w:szCs w:val="21"/>
              </w:rPr>
              <w:t>逾期付款金额</w:t>
            </w:r>
            <w:r>
              <w:rPr>
                <w:rFonts w:hint="eastAsia" w:ascii="宋体" w:hAnsi="宋体" w:cs="宋体"/>
                <w:color w:val="FF0000"/>
                <w:szCs w:val="21"/>
                <w:lang w:eastAsia="zh-CN"/>
              </w:rPr>
              <w:t>的</w:t>
            </w:r>
            <w:r>
              <w:rPr>
                <w:rFonts w:hint="eastAsia" w:ascii="宋体" w:hAnsi="宋体" w:cs="宋体"/>
                <w:color w:val="FF0000"/>
                <w:szCs w:val="21"/>
                <w:lang w:val="en-US" w:eastAsia="zh-CN"/>
              </w:rPr>
              <w:fldChar w:fldCharType="begin">
                <w:ffData>
                  <w:name w:val="文字15"/>
                  <w:enabled/>
                  <w:calcOnExit w:val="0"/>
                  <w:textInput>
                    <w:default w:val="10%"/>
                  </w:textInput>
                </w:ffData>
              </w:fldChar>
            </w:r>
            <w:r>
              <w:rPr>
                <w:rFonts w:hint="eastAsia" w:ascii="宋体" w:hAnsi="宋体" w:cs="宋体"/>
                <w:color w:val="FF0000"/>
                <w:szCs w:val="21"/>
                <w:lang w:val="en-US" w:eastAsia="zh-CN"/>
              </w:rPr>
              <w:instrText xml:space="preserve">FORMTEXT</w:instrText>
            </w:r>
            <w:r>
              <w:rPr>
                <w:rFonts w:hint="eastAsia" w:ascii="宋体" w:hAnsi="宋体" w:cs="宋体"/>
                <w:color w:val="FF0000"/>
                <w:szCs w:val="21"/>
                <w:lang w:val="en-US" w:eastAsia="zh-CN"/>
              </w:rPr>
              <w:fldChar w:fldCharType="separate"/>
            </w:r>
            <w:r>
              <w:rPr>
                <w:rFonts w:hint="eastAsia" w:ascii="宋体" w:hAnsi="宋体" w:cs="宋体"/>
                <w:color w:val="FF0000"/>
                <w:szCs w:val="21"/>
                <w:lang w:val="en-US" w:eastAsia="zh-CN"/>
              </w:rPr>
              <w:t>10%</w:t>
            </w:r>
            <w:r>
              <w:rPr>
                <w:rFonts w:hint="eastAsia" w:ascii="宋体" w:hAnsi="宋体" w:cs="宋体"/>
                <w:color w:val="FF0000"/>
                <w:szCs w:val="21"/>
                <w:lang w:val="en-US" w:eastAsia="zh-CN"/>
              </w:rPr>
              <w:fldChar w:fldCharType="end"/>
            </w:r>
            <w:r>
              <w:rPr>
                <w:rFonts w:hint="eastAsia" w:ascii="宋体" w:hAnsi="宋体" w:cs="宋体"/>
                <w:color w:val="FF0000"/>
                <w:szCs w:val="21"/>
                <w:lang w:val="en-US" w:eastAsia="zh-CN"/>
              </w:rPr>
              <w:t>。</w:t>
            </w:r>
            <w:r>
              <w:rPr>
                <w:rFonts w:hint="eastAsia" w:ascii="宋体" w:hAnsi="宋体" w:cs="宋体"/>
                <w:color w:val="FF0000"/>
                <w:szCs w:val="21"/>
                <w:lang w:eastAsia="zh-CN"/>
              </w:rPr>
              <w:t>合同</w:t>
            </w:r>
            <w:r>
              <w:rPr>
                <w:rFonts w:hint="eastAsia" w:ascii="宋体" w:hAnsi="宋体" w:cs="宋体"/>
                <w:color w:val="FF0000"/>
                <w:szCs w:val="21"/>
              </w:rPr>
              <w:t>逾期付款</w:t>
            </w:r>
            <w:r>
              <w:rPr>
                <w:rFonts w:hint="eastAsia" w:ascii="宋体" w:hAnsi="宋体" w:cs="宋体"/>
                <w:color w:val="FF0000"/>
                <w:szCs w:val="21"/>
                <w:lang w:val="en-US" w:eastAsia="zh-CN"/>
              </w:rPr>
              <w:fldChar w:fldCharType="begin">
                <w:ffData>
                  <w:name w:val="文字15"/>
                  <w:enabled/>
                  <w:calcOnExit w:val="0"/>
                  <w:textInput>
                    <w:default w:val="30"/>
                  </w:textInput>
                </w:ffData>
              </w:fldChar>
            </w:r>
            <w:r>
              <w:rPr>
                <w:rFonts w:hint="eastAsia" w:ascii="宋体" w:hAnsi="宋体" w:cs="宋体"/>
                <w:color w:val="FF0000"/>
                <w:szCs w:val="21"/>
                <w:lang w:val="en-US" w:eastAsia="zh-CN"/>
              </w:rPr>
              <w:instrText xml:space="preserve">FORMTEXT</w:instrText>
            </w:r>
            <w:r>
              <w:rPr>
                <w:rFonts w:hint="eastAsia" w:ascii="宋体" w:hAnsi="宋体" w:cs="宋体"/>
                <w:color w:val="FF0000"/>
                <w:szCs w:val="21"/>
                <w:lang w:val="en-US" w:eastAsia="zh-CN"/>
              </w:rPr>
              <w:fldChar w:fldCharType="separate"/>
            </w:r>
            <w:r>
              <w:rPr>
                <w:rFonts w:hint="eastAsia" w:ascii="宋体" w:hAnsi="宋体" w:cs="宋体"/>
                <w:color w:val="FF0000"/>
                <w:szCs w:val="21"/>
                <w:lang w:val="en-US" w:eastAsia="zh-CN"/>
              </w:rPr>
              <w:t>30</w:t>
            </w:r>
            <w:r>
              <w:rPr>
                <w:rFonts w:hint="eastAsia" w:ascii="宋体" w:hAnsi="宋体" w:cs="宋体"/>
                <w:color w:val="FF0000"/>
                <w:szCs w:val="21"/>
                <w:lang w:val="en-US" w:eastAsia="zh-CN"/>
              </w:rPr>
              <w:fldChar w:fldCharType="end"/>
            </w:r>
            <w:r>
              <w:rPr>
                <w:rFonts w:hint="eastAsia" w:ascii="宋体" w:hAnsi="宋体" w:cs="宋体"/>
                <w:color w:val="FF0000"/>
                <w:szCs w:val="21"/>
                <w:lang w:val="en-US" w:eastAsia="zh-CN"/>
              </w:rPr>
              <w:t>日</w:t>
            </w:r>
            <w:r>
              <w:rPr>
                <w:rFonts w:hint="eastAsia" w:ascii="宋体" w:hAnsi="宋体" w:cs="宋体"/>
                <w:color w:val="FF0000"/>
                <w:szCs w:val="21"/>
              </w:rPr>
              <w:t>以上的，乙方有权解除合同</w:t>
            </w:r>
            <w:r>
              <w:rPr>
                <w:rFonts w:hint="eastAsia" w:ascii="宋体" w:hAnsi="宋体" w:cs="宋体"/>
                <w:color w:val="FF0000"/>
                <w:szCs w:val="21"/>
                <w:lang w:eastAsia="zh-CN"/>
              </w:rPr>
              <w:t>，</w:t>
            </w:r>
            <w:r>
              <w:rPr>
                <w:rFonts w:hint="eastAsia" w:ascii="宋体" w:hAnsi="宋体" w:cs="宋体"/>
                <w:color w:val="FF0000"/>
                <w:szCs w:val="21"/>
              </w:rPr>
              <w:t>并由</w:t>
            </w:r>
            <w:r>
              <w:rPr>
                <w:rFonts w:hint="eastAsia" w:ascii="宋体" w:hAnsi="宋体" w:cs="宋体"/>
                <w:color w:val="FF0000"/>
                <w:szCs w:val="21"/>
                <w:lang w:eastAsia="zh-CN"/>
              </w:rPr>
              <w:t>甲</w:t>
            </w:r>
            <w:r>
              <w:rPr>
                <w:rFonts w:hint="eastAsia" w:ascii="宋体" w:hAnsi="宋体" w:cs="宋体"/>
                <w:color w:val="FF0000"/>
                <w:szCs w:val="21"/>
              </w:rPr>
              <w:t>方向</w:t>
            </w:r>
            <w:r>
              <w:rPr>
                <w:rFonts w:hint="eastAsia" w:ascii="宋体" w:hAnsi="宋体" w:cs="宋体"/>
                <w:color w:val="FF0000"/>
                <w:szCs w:val="21"/>
                <w:lang w:eastAsia="zh-CN"/>
              </w:rPr>
              <w:t>乙</w:t>
            </w:r>
            <w:r>
              <w:rPr>
                <w:rFonts w:hint="eastAsia" w:ascii="宋体" w:hAnsi="宋体" w:cs="宋体"/>
                <w:color w:val="FF0000"/>
                <w:szCs w:val="21"/>
              </w:rPr>
              <w:t>方支付</w:t>
            </w:r>
            <w:r>
              <w:rPr>
                <w:rFonts w:hint="eastAsia" w:ascii="宋体" w:hAnsi="宋体" w:cs="宋体"/>
                <w:color w:val="FF0000"/>
                <w:szCs w:val="21"/>
                <w:lang w:val="en-US" w:eastAsia="zh-CN"/>
              </w:rPr>
              <w:fldChar w:fldCharType="begin">
                <w:ffData>
                  <w:name w:val="文字15"/>
                  <w:enabled/>
                  <w:calcOnExit w:val="0"/>
                  <w:textInput>
                    <w:default w:val="合同额10%"/>
                  </w:textInput>
                </w:ffData>
              </w:fldChar>
            </w:r>
            <w:r>
              <w:rPr>
                <w:rFonts w:hint="eastAsia" w:ascii="宋体" w:hAnsi="宋体" w:cs="宋体"/>
                <w:color w:val="FF0000"/>
                <w:szCs w:val="21"/>
                <w:lang w:val="en-US" w:eastAsia="zh-CN"/>
              </w:rPr>
              <w:instrText xml:space="preserve">FORMTEXT</w:instrText>
            </w:r>
            <w:r>
              <w:rPr>
                <w:rFonts w:hint="eastAsia" w:ascii="宋体" w:hAnsi="宋体" w:cs="宋体"/>
                <w:color w:val="FF0000"/>
                <w:szCs w:val="21"/>
                <w:lang w:val="en-US" w:eastAsia="zh-CN"/>
              </w:rPr>
              <w:fldChar w:fldCharType="separate"/>
            </w:r>
            <w:r>
              <w:rPr>
                <w:rFonts w:hint="eastAsia" w:ascii="宋体" w:hAnsi="宋体" w:cs="宋体"/>
                <w:color w:val="FF0000"/>
                <w:szCs w:val="21"/>
                <w:lang w:val="en-US" w:eastAsia="zh-CN"/>
              </w:rPr>
              <w:t>合同额10%</w:t>
            </w:r>
            <w:r>
              <w:rPr>
                <w:rFonts w:hint="eastAsia" w:ascii="宋体" w:hAnsi="宋体" w:cs="宋体"/>
                <w:color w:val="FF0000"/>
                <w:szCs w:val="21"/>
                <w:lang w:val="en-US" w:eastAsia="zh-CN"/>
              </w:rPr>
              <w:fldChar w:fldCharType="end"/>
            </w:r>
            <w:r>
              <w:rPr>
                <w:rFonts w:hint="eastAsia" w:ascii="宋体" w:hAnsi="宋体" w:cs="宋体"/>
                <w:color w:val="FF0000"/>
                <w:szCs w:val="21"/>
              </w:rPr>
              <w:t>违约金。</w:t>
            </w:r>
            <w:r>
              <w:rPr>
                <w:rFonts w:hint="eastAsia" w:ascii="宋体" w:hAnsi="宋体" w:cs="宋体"/>
                <w:color w:val="FF0000"/>
                <w:szCs w:val="21"/>
                <w:lang w:eastAsia="zh-CN"/>
              </w:rPr>
              <w:t>但因甲方处于寒暑假期间导致工作迟缓的，甲方不承担逾期付款的违约责任。</w:t>
            </w:r>
          </w:p>
          <w:p>
            <w:pPr>
              <w:adjustRightInd w:val="0"/>
              <w:snapToGrid w:val="0"/>
              <w:spacing w:line="260" w:lineRule="exact"/>
              <w:ind w:hanging="1"/>
              <w:rPr>
                <w:rFonts w:hint="eastAsia" w:ascii="宋体" w:hAnsi="宋体" w:cs="宋体"/>
                <w:color w:val="FF0000"/>
                <w:szCs w:val="21"/>
              </w:rPr>
            </w:pPr>
            <w:r>
              <w:rPr>
                <w:rFonts w:hint="eastAsia" w:ascii="宋体" w:hAnsi="宋体" w:cs="宋体"/>
                <w:color w:val="FF0000"/>
                <w:szCs w:val="21"/>
              </w:rPr>
              <w:t>9.2 乙方逾期交货的，须向甲方支付逾期交货的违约金，每逾期一天，应向甲方支付逾期交付货物（设备）对应合同价款的</w:t>
            </w:r>
            <w:r>
              <w:rPr>
                <w:rFonts w:hint="eastAsia" w:ascii="宋体" w:hAnsi="宋体" w:cs="宋体"/>
                <w:color w:val="FF0000"/>
                <w:szCs w:val="21"/>
                <w:lang w:val="en-US" w:eastAsia="zh-CN"/>
              </w:rPr>
              <w:fldChar w:fldCharType="begin">
                <w:ffData>
                  <w:name w:val="文字15"/>
                  <w:enabled/>
                  <w:calcOnExit w:val="0"/>
                  <w:textInput>
                    <w:default w:val="千分之三"/>
                  </w:textInput>
                </w:ffData>
              </w:fldChar>
            </w:r>
            <w:r>
              <w:rPr>
                <w:rFonts w:hint="eastAsia" w:ascii="宋体" w:hAnsi="宋体" w:cs="宋体"/>
                <w:color w:val="FF0000"/>
                <w:szCs w:val="21"/>
                <w:lang w:val="en-US" w:eastAsia="zh-CN"/>
              </w:rPr>
              <w:instrText xml:space="preserve">FORMTEXT</w:instrText>
            </w:r>
            <w:r>
              <w:rPr>
                <w:rFonts w:hint="eastAsia" w:ascii="宋体" w:hAnsi="宋体" w:cs="宋体"/>
                <w:color w:val="FF0000"/>
                <w:szCs w:val="21"/>
                <w:lang w:val="en-US" w:eastAsia="zh-CN"/>
              </w:rPr>
              <w:fldChar w:fldCharType="separate"/>
            </w:r>
            <w:r>
              <w:rPr>
                <w:rFonts w:hint="eastAsia" w:ascii="宋体" w:hAnsi="宋体" w:cs="宋体"/>
                <w:color w:val="FF0000"/>
                <w:szCs w:val="21"/>
                <w:lang w:val="en-US" w:eastAsia="zh-CN"/>
              </w:rPr>
              <w:t>千分之三</w:t>
            </w:r>
            <w:r>
              <w:rPr>
                <w:rFonts w:hint="eastAsia" w:ascii="宋体" w:hAnsi="宋体" w:cs="宋体"/>
                <w:color w:val="FF0000"/>
                <w:szCs w:val="21"/>
                <w:lang w:val="en-US" w:eastAsia="zh-CN"/>
              </w:rPr>
              <w:fldChar w:fldCharType="end"/>
            </w:r>
            <w:r>
              <w:rPr>
                <w:rFonts w:hint="eastAsia" w:ascii="宋体" w:hAnsi="宋体" w:cs="宋体"/>
                <w:color w:val="FF0000"/>
                <w:szCs w:val="21"/>
              </w:rPr>
              <w:t>的违约金，乙方逾期交付</w:t>
            </w:r>
            <w:r>
              <w:rPr>
                <w:rFonts w:hint="eastAsia" w:ascii="宋体" w:hAnsi="宋体" w:cs="宋体"/>
                <w:color w:val="FF0000"/>
                <w:szCs w:val="21"/>
                <w:lang w:val="en-US" w:eastAsia="zh-CN"/>
              </w:rPr>
              <w:fldChar w:fldCharType="begin">
                <w:ffData>
                  <w:name w:val="文字15"/>
                  <w:enabled/>
                  <w:calcOnExit w:val="0"/>
                  <w:textInput>
                    <w:default w:val="30"/>
                  </w:textInput>
                </w:ffData>
              </w:fldChar>
            </w:r>
            <w:r>
              <w:rPr>
                <w:rFonts w:hint="eastAsia" w:ascii="宋体" w:hAnsi="宋体" w:cs="宋体"/>
                <w:color w:val="FF0000"/>
                <w:szCs w:val="21"/>
                <w:lang w:val="en-US" w:eastAsia="zh-CN"/>
              </w:rPr>
              <w:instrText xml:space="preserve">FORMTEXT</w:instrText>
            </w:r>
            <w:r>
              <w:rPr>
                <w:rFonts w:hint="eastAsia" w:ascii="宋体" w:hAnsi="宋体" w:cs="宋体"/>
                <w:color w:val="FF0000"/>
                <w:szCs w:val="21"/>
                <w:lang w:val="en-US" w:eastAsia="zh-CN"/>
              </w:rPr>
              <w:fldChar w:fldCharType="separate"/>
            </w:r>
            <w:r>
              <w:rPr>
                <w:rFonts w:hint="eastAsia" w:ascii="宋体" w:hAnsi="宋体" w:cs="宋体"/>
                <w:color w:val="FF0000"/>
                <w:szCs w:val="21"/>
                <w:lang w:val="en-US" w:eastAsia="zh-CN"/>
              </w:rPr>
              <w:t>30</w:t>
            </w:r>
            <w:r>
              <w:rPr>
                <w:rFonts w:hint="eastAsia" w:ascii="宋体" w:hAnsi="宋体" w:cs="宋体"/>
                <w:color w:val="FF0000"/>
                <w:szCs w:val="21"/>
                <w:lang w:val="en-US" w:eastAsia="zh-CN"/>
              </w:rPr>
              <w:fldChar w:fldCharType="end"/>
            </w:r>
            <w:r>
              <w:rPr>
                <w:rFonts w:hint="eastAsia" w:ascii="宋体" w:hAnsi="宋体" w:cs="宋体"/>
                <w:color w:val="FF0000"/>
                <w:szCs w:val="21"/>
                <w:lang w:val="en-US" w:eastAsia="zh-CN"/>
              </w:rPr>
              <w:t>日</w:t>
            </w:r>
            <w:r>
              <w:rPr>
                <w:rFonts w:hint="eastAsia" w:ascii="宋体" w:hAnsi="宋体" w:cs="宋体"/>
                <w:color w:val="FF0000"/>
                <w:szCs w:val="21"/>
              </w:rPr>
              <w:t>以上的，甲方有权解除合同，并由乙方向甲方支付</w:t>
            </w:r>
            <w:r>
              <w:rPr>
                <w:rFonts w:hint="eastAsia" w:ascii="宋体" w:hAnsi="宋体" w:cs="宋体"/>
                <w:color w:val="FF0000"/>
                <w:szCs w:val="21"/>
                <w:lang w:val="en-US" w:eastAsia="zh-CN"/>
              </w:rPr>
              <w:fldChar w:fldCharType="begin">
                <w:ffData>
                  <w:name w:val="文字15"/>
                  <w:enabled/>
                  <w:calcOnExit w:val="0"/>
                  <w:textInput>
                    <w:default w:val="合同额10%"/>
                  </w:textInput>
                </w:ffData>
              </w:fldChar>
            </w:r>
            <w:r>
              <w:rPr>
                <w:rFonts w:hint="eastAsia" w:ascii="宋体" w:hAnsi="宋体" w:cs="宋体"/>
                <w:color w:val="FF0000"/>
                <w:szCs w:val="21"/>
                <w:lang w:val="en-US" w:eastAsia="zh-CN"/>
              </w:rPr>
              <w:instrText xml:space="preserve">FORMTEXT</w:instrText>
            </w:r>
            <w:r>
              <w:rPr>
                <w:rFonts w:hint="eastAsia" w:ascii="宋体" w:hAnsi="宋体" w:cs="宋体"/>
                <w:color w:val="FF0000"/>
                <w:szCs w:val="21"/>
                <w:lang w:val="en-US" w:eastAsia="zh-CN"/>
              </w:rPr>
              <w:fldChar w:fldCharType="separate"/>
            </w:r>
            <w:r>
              <w:rPr>
                <w:rFonts w:hint="eastAsia" w:ascii="宋体" w:hAnsi="宋体" w:cs="宋体"/>
                <w:color w:val="FF0000"/>
                <w:szCs w:val="21"/>
                <w:lang w:val="en-US" w:eastAsia="zh-CN"/>
              </w:rPr>
              <w:t>合同额10%</w:t>
            </w:r>
            <w:r>
              <w:rPr>
                <w:rFonts w:hint="eastAsia" w:ascii="宋体" w:hAnsi="宋体" w:cs="宋体"/>
                <w:color w:val="FF0000"/>
                <w:szCs w:val="21"/>
                <w:lang w:val="en-US" w:eastAsia="zh-CN"/>
              </w:rPr>
              <w:fldChar w:fldCharType="end"/>
            </w:r>
            <w:r>
              <w:rPr>
                <w:rFonts w:hint="eastAsia" w:ascii="宋体" w:hAnsi="宋体" w:cs="宋体"/>
                <w:color w:val="FF0000"/>
                <w:szCs w:val="21"/>
              </w:rPr>
              <w:t>违约金。</w:t>
            </w:r>
          </w:p>
          <w:p>
            <w:pPr>
              <w:adjustRightInd w:val="0"/>
              <w:snapToGrid w:val="0"/>
              <w:spacing w:line="260" w:lineRule="exact"/>
              <w:ind w:hanging="1"/>
              <w:rPr>
                <w:rFonts w:hint="eastAsia" w:ascii="宋体" w:hAnsi="宋体" w:cs="宋体"/>
                <w:color w:val="FF0000"/>
                <w:szCs w:val="21"/>
              </w:rPr>
            </w:pPr>
            <w:r>
              <w:rPr>
                <w:rFonts w:hint="eastAsia" w:ascii="宋体" w:hAnsi="宋体" w:cs="宋体"/>
                <w:color w:val="FF0000"/>
                <w:szCs w:val="21"/>
              </w:rPr>
              <w:t>9.3 若乙方提供的本协议项下货物（设备）不符合</w:t>
            </w:r>
            <w:r>
              <w:rPr>
                <w:rFonts w:hint="eastAsia" w:ascii="宋体" w:hAnsi="宋体" w:cs="宋体"/>
                <w:color w:val="FF0000"/>
                <w:szCs w:val="21"/>
                <w:lang w:eastAsia="zh-CN"/>
              </w:rPr>
              <w:t>合同</w:t>
            </w:r>
            <w:r>
              <w:rPr>
                <w:rFonts w:hint="eastAsia" w:ascii="宋体" w:hAnsi="宋体" w:cs="宋体"/>
                <w:color w:val="FF0000"/>
                <w:szCs w:val="21"/>
              </w:rPr>
              <w:t>约定且未能通过甲方验收，甲方有权选择以下方式之一处理：</w:t>
            </w:r>
          </w:p>
          <w:p>
            <w:pPr>
              <w:adjustRightInd w:val="0"/>
              <w:snapToGrid w:val="0"/>
              <w:spacing w:line="260" w:lineRule="exact"/>
              <w:ind w:hanging="1"/>
              <w:rPr>
                <w:rFonts w:hint="eastAsia" w:ascii="宋体" w:hAnsi="宋体" w:cs="宋体"/>
                <w:color w:val="FF0000"/>
                <w:szCs w:val="21"/>
              </w:rPr>
            </w:pPr>
            <w:r>
              <w:rPr>
                <w:rFonts w:hint="eastAsia" w:ascii="宋体" w:hAnsi="宋体" w:cs="宋体"/>
                <w:color w:val="FF0000"/>
                <w:szCs w:val="21"/>
              </w:rPr>
              <w:t>9.3.1要求乙方采取包括但不限于维修、补偿等措施给予补救，补救不能或者经补救仍不能使甲方满意的，甲方有权要求按照下述第9.3.2</w:t>
            </w:r>
            <w:r>
              <w:rPr>
                <w:rFonts w:hint="eastAsia" w:ascii="宋体" w:hAnsi="宋体" w:cs="宋体"/>
                <w:color w:val="FF0000"/>
                <w:szCs w:val="21"/>
                <w:lang w:eastAsia="zh-CN"/>
              </w:rPr>
              <w:t>或</w:t>
            </w:r>
            <w:r>
              <w:rPr>
                <w:rFonts w:hint="eastAsia" w:ascii="宋体" w:hAnsi="宋体" w:cs="宋体"/>
                <w:color w:val="FF0000"/>
                <w:szCs w:val="21"/>
              </w:rPr>
              <w:t>9.3.3项处理。</w:t>
            </w:r>
          </w:p>
          <w:p>
            <w:pPr>
              <w:adjustRightInd w:val="0"/>
              <w:snapToGrid w:val="0"/>
              <w:spacing w:line="260" w:lineRule="exact"/>
              <w:ind w:hanging="1"/>
              <w:rPr>
                <w:rFonts w:hint="eastAsia" w:ascii="宋体" w:hAnsi="宋体" w:cs="宋体"/>
                <w:color w:val="FF0000"/>
                <w:szCs w:val="21"/>
                <w:lang w:eastAsia="zh-CN"/>
              </w:rPr>
            </w:pPr>
            <w:r>
              <w:rPr>
                <w:rFonts w:hint="eastAsia" w:ascii="宋体" w:hAnsi="宋体" w:cs="宋体"/>
                <w:color w:val="FF0000"/>
                <w:szCs w:val="21"/>
              </w:rPr>
              <w:t>9.3.2 拒绝接受货物（设备），解除本合同并要求乙方退款，此外乙方应向甲方支付</w:t>
            </w:r>
            <w:r>
              <w:rPr>
                <w:rFonts w:hint="eastAsia" w:ascii="宋体" w:hAnsi="宋体" w:cs="宋体"/>
                <w:color w:val="FF0000"/>
                <w:szCs w:val="21"/>
                <w:lang w:val="en-US" w:eastAsia="zh-CN"/>
              </w:rPr>
              <w:fldChar w:fldCharType="begin">
                <w:ffData>
                  <w:name w:val="文字15"/>
                  <w:enabled/>
                  <w:calcOnExit w:val="0"/>
                  <w:textInput>
                    <w:default w:val="合同额20%"/>
                  </w:textInput>
                </w:ffData>
              </w:fldChar>
            </w:r>
            <w:r>
              <w:rPr>
                <w:rFonts w:hint="eastAsia" w:ascii="宋体" w:hAnsi="宋体" w:cs="宋体"/>
                <w:color w:val="FF0000"/>
                <w:szCs w:val="21"/>
                <w:lang w:val="en-US" w:eastAsia="zh-CN"/>
              </w:rPr>
              <w:instrText xml:space="preserve">FORMTEXT</w:instrText>
            </w:r>
            <w:r>
              <w:rPr>
                <w:rFonts w:hint="eastAsia" w:ascii="宋体" w:hAnsi="宋体" w:cs="宋体"/>
                <w:color w:val="FF0000"/>
                <w:szCs w:val="21"/>
                <w:lang w:val="en-US" w:eastAsia="zh-CN"/>
              </w:rPr>
              <w:fldChar w:fldCharType="separate"/>
            </w:r>
            <w:r>
              <w:rPr>
                <w:rFonts w:hint="eastAsia" w:ascii="宋体" w:hAnsi="宋体" w:cs="宋体"/>
                <w:color w:val="FF0000"/>
                <w:szCs w:val="21"/>
                <w:lang w:val="en-US" w:eastAsia="zh-CN"/>
              </w:rPr>
              <w:t>合同额20%</w:t>
            </w:r>
            <w:r>
              <w:rPr>
                <w:rFonts w:hint="eastAsia" w:ascii="宋体" w:hAnsi="宋体" w:cs="宋体"/>
                <w:color w:val="FF0000"/>
                <w:szCs w:val="21"/>
                <w:lang w:val="en-US" w:eastAsia="zh-CN"/>
              </w:rPr>
              <w:fldChar w:fldCharType="end"/>
            </w:r>
            <w:r>
              <w:rPr>
                <w:rFonts w:hint="eastAsia" w:ascii="宋体" w:hAnsi="宋体" w:cs="宋体"/>
                <w:color w:val="FF0000"/>
                <w:szCs w:val="21"/>
              </w:rPr>
              <w:t>违约金</w:t>
            </w:r>
            <w:r>
              <w:rPr>
                <w:rFonts w:hint="eastAsia" w:ascii="宋体" w:hAnsi="宋体" w:cs="宋体"/>
                <w:color w:val="FF0000"/>
                <w:szCs w:val="21"/>
                <w:lang w:eastAsia="zh-CN"/>
              </w:rPr>
              <w:t>；</w:t>
            </w:r>
          </w:p>
          <w:p>
            <w:pPr>
              <w:adjustRightInd w:val="0"/>
              <w:snapToGrid w:val="0"/>
              <w:spacing w:line="260" w:lineRule="exact"/>
              <w:ind w:hanging="1"/>
              <w:rPr>
                <w:rFonts w:hint="eastAsia" w:ascii="宋体" w:hAnsi="宋体" w:cs="宋体"/>
                <w:color w:val="FF0000"/>
                <w:szCs w:val="21"/>
              </w:rPr>
            </w:pPr>
            <w:r>
              <w:rPr>
                <w:rFonts w:hint="eastAsia" w:ascii="宋体" w:hAnsi="宋体" w:cs="宋体"/>
                <w:color w:val="FF0000"/>
                <w:szCs w:val="21"/>
              </w:rPr>
              <w:t>9.3.3 要求乙方给予更换，乙方应在收到甲方换货通知后</w:t>
            </w:r>
            <w:r>
              <w:rPr>
                <w:rFonts w:hint="eastAsia" w:ascii="宋体" w:hAnsi="宋体" w:cs="宋体"/>
                <w:color w:val="FF0000"/>
                <w:szCs w:val="21"/>
                <w:lang w:val="en-US" w:eastAsia="zh-CN"/>
              </w:rPr>
              <w:fldChar w:fldCharType="begin">
                <w:ffData>
                  <w:name w:val="文字15"/>
                  <w:enabled/>
                  <w:calcOnExit w:val="0"/>
                  <w:textInput>
                    <w:default w:val="7"/>
                  </w:textInput>
                </w:ffData>
              </w:fldChar>
            </w:r>
            <w:r>
              <w:rPr>
                <w:rFonts w:hint="eastAsia" w:ascii="宋体" w:hAnsi="宋体" w:cs="宋体"/>
                <w:color w:val="FF0000"/>
                <w:szCs w:val="21"/>
                <w:lang w:val="en-US" w:eastAsia="zh-CN"/>
              </w:rPr>
              <w:instrText xml:space="preserve">FORMTEXT</w:instrText>
            </w:r>
            <w:r>
              <w:rPr>
                <w:rFonts w:hint="eastAsia" w:ascii="宋体" w:hAnsi="宋体" w:cs="宋体"/>
                <w:color w:val="FF0000"/>
                <w:szCs w:val="21"/>
                <w:lang w:val="en-US" w:eastAsia="zh-CN"/>
              </w:rPr>
              <w:fldChar w:fldCharType="separate"/>
            </w:r>
            <w:r>
              <w:rPr>
                <w:rFonts w:hint="eastAsia" w:ascii="宋体" w:hAnsi="宋体" w:cs="宋体"/>
                <w:color w:val="FF0000"/>
                <w:szCs w:val="21"/>
                <w:lang w:val="en-US" w:eastAsia="zh-CN"/>
              </w:rPr>
              <w:t>7</w:t>
            </w:r>
            <w:r>
              <w:rPr>
                <w:rFonts w:hint="eastAsia" w:ascii="宋体" w:hAnsi="宋体" w:cs="宋体"/>
                <w:color w:val="FF0000"/>
                <w:szCs w:val="21"/>
                <w:lang w:val="en-US" w:eastAsia="zh-CN"/>
              </w:rPr>
              <w:fldChar w:fldCharType="end"/>
            </w:r>
            <w:r>
              <w:rPr>
                <w:rFonts w:hint="eastAsia" w:ascii="宋体" w:hAnsi="宋体" w:cs="宋体"/>
                <w:color w:val="FF0000"/>
                <w:szCs w:val="21"/>
              </w:rPr>
              <w:t>日内提供符合</w:t>
            </w:r>
            <w:r>
              <w:rPr>
                <w:rFonts w:hint="eastAsia" w:ascii="宋体" w:hAnsi="宋体" w:cs="宋体"/>
                <w:color w:val="FF0000"/>
                <w:szCs w:val="21"/>
                <w:lang w:eastAsia="zh-CN"/>
              </w:rPr>
              <w:t>合同</w:t>
            </w:r>
            <w:r>
              <w:rPr>
                <w:rFonts w:hint="eastAsia" w:ascii="宋体" w:hAnsi="宋体" w:cs="宋体"/>
                <w:color w:val="FF0000"/>
                <w:szCs w:val="21"/>
              </w:rPr>
              <w:t>约定的货物（设备），并自合同约定的交付日期</w:t>
            </w:r>
            <w:r>
              <w:rPr>
                <w:rFonts w:hint="eastAsia" w:ascii="宋体" w:hAnsi="宋体" w:cs="宋体"/>
                <w:color w:val="FF0000"/>
                <w:szCs w:val="21"/>
                <w:lang w:val="en-US" w:eastAsia="zh-CN"/>
              </w:rPr>
              <w:t>起由乙方按照本合同第9.2款约定承担逾期交货违约责任</w:t>
            </w:r>
            <w:r>
              <w:rPr>
                <w:rFonts w:hint="eastAsia" w:ascii="宋体" w:hAnsi="宋体" w:cs="宋体"/>
                <w:color w:val="FF0000"/>
                <w:szCs w:val="21"/>
              </w:rPr>
              <w:t>。</w:t>
            </w:r>
          </w:p>
          <w:p>
            <w:pPr>
              <w:adjustRightInd w:val="0"/>
              <w:snapToGrid w:val="0"/>
              <w:spacing w:line="260" w:lineRule="exact"/>
              <w:ind w:hanging="1"/>
              <w:rPr>
                <w:rFonts w:hint="eastAsia" w:ascii="宋体" w:hAnsi="宋体" w:cs="宋体"/>
                <w:color w:val="FF0000"/>
                <w:szCs w:val="21"/>
              </w:rPr>
            </w:pPr>
            <w:r>
              <w:rPr>
                <w:rFonts w:hint="eastAsia" w:ascii="宋体" w:hAnsi="宋体" w:cs="宋体"/>
                <w:color w:val="FF0000"/>
                <w:szCs w:val="21"/>
              </w:rPr>
              <w:t>9.4 有以下情形之一的，甲方有权解除合同，乙方需退还甲方已支付的所有款项，并按合同总金额的</w:t>
            </w:r>
            <w:r>
              <w:rPr>
                <w:rFonts w:hint="eastAsia" w:ascii="宋体" w:hAnsi="宋体" w:cs="宋体"/>
                <w:color w:val="FF0000"/>
                <w:szCs w:val="21"/>
                <w:lang w:val="en-US" w:eastAsia="zh-CN"/>
              </w:rPr>
              <w:t>20</w:t>
            </w:r>
            <w:r>
              <w:rPr>
                <w:rFonts w:hint="eastAsia" w:ascii="宋体" w:hAnsi="宋体" w:cs="宋体"/>
                <w:color w:val="FF0000"/>
                <w:szCs w:val="21"/>
              </w:rPr>
              <w:t>%向甲方支付违约金，违约金不足以弥补甲方损失的，乙方应另行赔偿，具体情形如下：</w:t>
            </w:r>
          </w:p>
          <w:p>
            <w:pPr>
              <w:adjustRightInd w:val="0"/>
              <w:snapToGrid w:val="0"/>
              <w:spacing w:line="260" w:lineRule="exact"/>
              <w:ind w:hanging="1"/>
              <w:rPr>
                <w:rFonts w:hint="eastAsia" w:ascii="宋体" w:hAnsi="宋体" w:cs="宋体"/>
                <w:color w:val="FF0000"/>
                <w:szCs w:val="21"/>
              </w:rPr>
            </w:pPr>
            <w:r>
              <w:rPr>
                <w:rFonts w:hint="eastAsia" w:ascii="宋体" w:hAnsi="宋体" w:cs="宋体"/>
                <w:color w:val="FF0000"/>
                <w:szCs w:val="21"/>
              </w:rPr>
              <w:t>9.4.1 乙方交付货物存在侵犯他人知识产权、肖像权、技术秘密、商业秘密或其他任何权益的；</w:t>
            </w:r>
          </w:p>
          <w:p>
            <w:pPr>
              <w:adjustRightInd w:val="0"/>
              <w:snapToGrid w:val="0"/>
              <w:spacing w:line="260" w:lineRule="exact"/>
              <w:ind w:hanging="1"/>
              <w:rPr>
                <w:rFonts w:hint="eastAsia" w:ascii="宋体" w:hAnsi="宋体" w:cs="宋体"/>
                <w:color w:val="FF0000"/>
                <w:szCs w:val="21"/>
              </w:rPr>
            </w:pPr>
            <w:r>
              <w:rPr>
                <w:rFonts w:hint="eastAsia" w:ascii="宋体" w:hAnsi="宋体" w:cs="宋体"/>
                <w:color w:val="FF0000"/>
                <w:szCs w:val="21"/>
              </w:rPr>
              <w:t>9.4.2 乙方履行义务不符合约定，经甲方提出后在合理期限内仍未改正的；</w:t>
            </w:r>
          </w:p>
          <w:p>
            <w:pPr>
              <w:adjustRightInd w:val="0"/>
              <w:snapToGrid w:val="0"/>
              <w:spacing w:line="260" w:lineRule="exact"/>
              <w:ind w:hanging="1"/>
              <w:rPr>
                <w:rFonts w:hint="eastAsia" w:ascii="宋体" w:hAnsi="宋体" w:cs="宋体"/>
                <w:color w:val="FF0000"/>
                <w:szCs w:val="21"/>
              </w:rPr>
            </w:pPr>
            <w:r>
              <w:rPr>
                <w:rFonts w:hint="eastAsia" w:ascii="宋体" w:hAnsi="宋体" w:cs="宋体"/>
                <w:color w:val="FF0000"/>
                <w:szCs w:val="21"/>
              </w:rPr>
              <w:t>9.4.3 未经甲方书面同意，乙方将本合同项下的权利或义务转让，或将本合同项下服务转包或分包的；</w:t>
            </w:r>
          </w:p>
          <w:p>
            <w:pPr>
              <w:adjustRightInd w:val="0"/>
              <w:snapToGrid w:val="0"/>
              <w:spacing w:line="260" w:lineRule="exact"/>
              <w:ind w:hanging="1"/>
              <w:rPr>
                <w:rFonts w:hint="eastAsia" w:ascii="宋体" w:hAnsi="宋体" w:cs="宋体"/>
                <w:color w:val="FF0000"/>
                <w:szCs w:val="21"/>
              </w:rPr>
            </w:pPr>
            <w:r>
              <w:rPr>
                <w:rFonts w:hint="eastAsia" w:ascii="宋体" w:hAnsi="宋体" w:cs="宋体"/>
                <w:color w:val="FF0000"/>
                <w:szCs w:val="21"/>
              </w:rPr>
              <w:t xml:space="preserve">9.4.4 </w:t>
            </w:r>
            <w:r>
              <w:rPr>
                <w:rFonts w:hint="eastAsia" w:ascii="宋体" w:hAnsi="宋体" w:cs="宋体"/>
                <w:color w:val="FF0000"/>
                <w:szCs w:val="21"/>
                <w:lang w:val="en-US" w:eastAsia="zh-CN"/>
              </w:rPr>
              <w:t>乙方逾期开立共管账户十日以上的；</w:t>
            </w:r>
          </w:p>
          <w:p>
            <w:pPr>
              <w:adjustRightInd w:val="0"/>
              <w:snapToGrid w:val="0"/>
              <w:spacing w:line="260" w:lineRule="exact"/>
              <w:ind w:hanging="1"/>
              <w:rPr>
                <w:rFonts w:hint="eastAsia" w:ascii="宋体" w:hAnsi="宋体" w:cs="宋体"/>
                <w:color w:val="FF0000"/>
                <w:szCs w:val="21"/>
              </w:rPr>
            </w:pPr>
            <w:r>
              <w:rPr>
                <w:rFonts w:hint="eastAsia" w:ascii="宋体" w:hAnsi="宋体" w:cs="宋体"/>
                <w:color w:val="FF0000"/>
                <w:szCs w:val="21"/>
                <w:lang w:val="en-US" w:eastAsia="zh-CN"/>
              </w:rPr>
              <w:t xml:space="preserve">9.4.5 </w:t>
            </w:r>
            <w:r>
              <w:rPr>
                <w:rFonts w:hint="eastAsia" w:ascii="宋体" w:hAnsi="宋体" w:cs="宋体"/>
                <w:color w:val="FF0000"/>
                <w:szCs w:val="21"/>
              </w:rPr>
              <w:t>法律规定的其他合同解除情形。</w:t>
            </w:r>
          </w:p>
          <w:p>
            <w:pPr>
              <w:adjustRightInd w:val="0"/>
              <w:snapToGrid w:val="0"/>
              <w:spacing w:line="260" w:lineRule="exact"/>
              <w:ind w:hanging="1"/>
              <w:rPr>
                <w:rFonts w:hint="eastAsia" w:ascii="宋体" w:hAnsi="宋体" w:cs="宋体"/>
                <w:color w:val="FF0000"/>
                <w:szCs w:val="21"/>
                <w:lang w:val="en-US" w:eastAsia="zh-CN"/>
              </w:rPr>
            </w:pPr>
            <w:r>
              <w:rPr>
                <w:rFonts w:hint="eastAsia" w:ascii="宋体" w:hAnsi="宋体" w:cs="宋体"/>
                <w:color w:val="FF0000"/>
                <w:szCs w:val="21"/>
                <w:lang w:val="en-US" w:eastAsia="zh-CN"/>
              </w:rPr>
              <w:t>9.5 如乙方未按期向甲方提供发票导致甲方未享受财政贴息的，乙方应向赔偿甲方本合同采购款为基数的两年财政贴息损失。如因乙方未按约定提供发票导致贷款行收回贷款的，甲方有权解除合同，乙方应返还甲方已支付的合同款，并向甲方支付合同金额20%的违约金。</w:t>
            </w:r>
          </w:p>
          <w:p>
            <w:pPr>
              <w:adjustRightInd w:val="0"/>
              <w:snapToGrid w:val="0"/>
              <w:spacing w:line="260" w:lineRule="exact"/>
              <w:ind w:hanging="1"/>
              <w:rPr>
                <w:rFonts w:hint="eastAsia" w:ascii="宋体" w:hAnsi="宋体" w:cs="宋体"/>
                <w:color w:val="FF0000"/>
                <w:szCs w:val="21"/>
                <w:lang w:val="en-US" w:eastAsia="zh-CN"/>
              </w:rPr>
            </w:pPr>
            <w:r>
              <w:rPr>
                <w:rFonts w:hint="eastAsia" w:ascii="宋体" w:hAnsi="宋体" w:cs="宋体"/>
                <w:color w:val="FF0000"/>
                <w:szCs w:val="21"/>
                <w:lang w:val="en-US" w:eastAsia="zh-CN"/>
              </w:rPr>
              <w:t>9.6 如乙方未按约定履行合同义务需向甲方支付违约金或赔偿甲方损失的，甲方有权要求乙方承担相应违约责任，并有权不予配合乙方从共管账户中支取相应款项。</w:t>
            </w:r>
          </w:p>
          <w:p>
            <w:pPr>
              <w:adjustRightInd w:val="0"/>
              <w:snapToGrid w:val="0"/>
              <w:spacing w:line="260" w:lineRule="exact"/>
              <w:ind w:hanging="1"/>
              <w:rPr>
                <w:rFonts w:hint="eastAsia" w:ascii="宋体" w:hAnsi="宋体" w:cs="宋体"/>
                <w:color w:val="FF0000"/>
                <w:szCs w:val="21"/>
                <w:lang w:val="en-US" w:eastAsia="zh-CN"/>
              </w:rPr>
            </w:pPr>
            <w:r>
              <w:rPr>
                <w:rFonts w:hint="eastAsia" w:ascii="宋体" w:hAnsi="宋体" w:cs="宋体"/>
                <w:color w:val="FF0000"/>
                <w:szCs w:val="21"/>
                <w:lang w:val="en-US" w:eastAsia="zh-CN"/>
              </w:rPr>
              <w:t>9.7 如共管账户被冻结的，乙方应按照甲方要求提供与被冻结金额等额的担保，乙方未按甲方要求提供担保的，甲方有权解除合同，并由乙方向甲方支付合同金额20%的违约金。</w:t>
            </w:r>
          </w:p>
          <w:p>
            <w:pPr>
              <w:adjustRightInd w:val="0"/>
              <w:snapToGrid w:val="0"/>
              <w:spacing w:line="260" w:lineRule="exact"/>
              <w:ind w:hanging="1"/>
              <w:rPr>
                <w:rFonts w:ascii="宋体" w:hAnsi="宋体" w:cs="宋体"/>
                <w:color w:val="auto"/>
                <w:szCs w:val="21"/>
                <w:highlight w:val="none"/>
              </w:rPr>
            </w:pPr>
            <w:r>
              <w:rPr>
                <w:rFonts w:hint="eastAsia" w:ascii="宋体" w:hAnsi="宋体" w:cs="宋体"/>
                <w:color w:val="FF0000"/>
                <w:szCs w:val="21"/>
                <w:lang w:val="en-US" w:eastAsia="zh-CN"/>
              </w:rPr>
              <w:t>9.8 考虑到甲方资金来源受政策及客观情况影响较大，乙方不可撤销的同意，因非乙方原因的任何情况导致作为本合同款项的贷款无法向乙方支付时，甲方有权解除本合同，并赔偿乙方损失（以合同额的50%为限）。</w:t>
            </w:r>
          </w:p>
        </w:tc>
        <w:tc>
          <w:tcPr>
            <w:tcW w:w="2522" w:type="dxa"/>
            <w:vAlign w:val="center"/>
          </w:tcPr>
          <w:p>
            <w:pPr>
              <w:adjustRightInd w:val="0"/>
              <w:snapToGrid w:val="0"/>
              <w:spacing w:line="260" w:lineRule="exact"/>
              <w:ind w:left="-53" w:leftChars="-25" w:right="-17" w:rightChars="-8"/>
              <w:jc w:val="left"/>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717" w:type="dxa"/>
            <w:vAlign w:val="center"/>
          </w:tcPr>
          <w:p>
            <w:pPr>
              <w:adjustRightInd w:val="0"/>
              <w:snapToGrid w:val="0"/>
              <w:spacing w:line="260" w:lineRule="exact"/>
              <w:ind w:right="105" w:rightChars="50"/>
              <w:jc w:val="center"/>
              <w:rPr>
                <w:rFonts w:hint="eastAsia" w:ascii="宋体" w:hAnsi="宋体"/>
                <w:color w:val="auto"/>
                <w:spacing w:val="-6"/>
                <w:szCs w:val="21"/>
                <w:highlight w:val="none"/>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3838" w:type="dxa"/>
            <w:vAlign w:val="center"/>
          </w:tcPr>
          <w:p>
            <w:pPr>
              <w:adjustRightInd w:val="0"/>
              <w:snapToGrid w:val="0"/>
              <w:spacing w:line="260" w:lineRule="exact"/>
              <w:ind w:hanging="1"/>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法律责任：采购合同自成交（中标）通知书发出之日起成立。成交（中标）供应商应当按照采购文件要求及时履约，并在成交（中标）通知书发出后3天内至采购人处与采购人签订书面合同。成交（中标）供应商未在成交（中标）通知书发出后3天内与采购人签订书面合同的，视为成交（中标）供应商拒绝与采购人签订采购合同，采购人有权解除合同，并要求成交（中标）供应商赔偿采购人损失。</w:t>
            </w:r>
          </w:p>
          <w:p>
            <w:pPr>
              <w:adjustRightInd w:val="0"/>
              <w:snapToGrid w:val="0"/>
              <w:spacing w:line="260" w:lineRule="exact"/>
              <w:ind w:hanging="1" w:firstLineChars="0"/>
              <w:rPr>
                <w:rFonts w:hint="eastAsia" w:ascii="宋体" w:hAnsi="宋体" w:cs="宋体"/>
                <w:color w:val="FF0000"/>
                <w:szCs w:val="21"/>
                <w:lang w:val="en-US" w:eastAsia="zh-CN"/>
              </w:rPr>
            </w:pPr>
            <w:r>
              <w:rPr>
                <w:rFonts w:hint="eastAsia" w:ascii="宋体" w:hAnsi="宋体" w:eastAsia="宋体" w:cs="宋体"/>
                <w:color w:val="FF0000"/>
                <w:szCs w:val="21"/>
                <w:highlight w:val="none"/>
              </w:rPr>
              <w:t>如采购人确定本次采购的其他供应商为新成交（中标）供应商的，则成交（中标）供应商与新成交（中标）供应商成交（中标）价的价差为采购人损失；如采购人就采购项目重新组织采购的，成交（中标）供应商与再次采购的成交（中标）供应商成交（中标）价的价差及采购费用支出为采购人损失；若导致采购人未享受财政贴息的，将适用贴息贷款项目专用合同中“违约责任”。</w:t>
            </w:r>
          </w:p>
        </w:tc>
        <w:tc>
          <w:tcPr>
            <w:tcW w:w="2522" w:type="dxa"/>
            <w:vAlign w:val="center"/>
          </w:tcPr>
          <w:p>
            <w:pPr>
              <w:adjustRightInd w:val="0"/>
              <w:snapToGrid w:val="0"/>
              <w:spacing w:line="260" w:lineRule="exact"/>
              <w:ind w:left="-53" w:leftChars="-25" w:right="-17" w:rightChars="-8"/>
              <w:jc w:val="left"/>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3838" w:type="dxa"/>
            <w:vAlign w:val="center"/>
          </w:tcPr>
          <w:p>
            <w:pPr>
              <w:adjustRightInd w:val="0"/>
              <w:snapToGrid w:val="0"/>
              <w:spacing w:line="260" w:lineRule="exact"/>
              <w:ind w:hanging="1" w:firstLineChars="0"/>
              <w:rPr>
                <w:rFonts w:ascii="宋体" w:hAnsi="宋体" w:cs="宋体"/>
                <w:color w:val="auto"/>
                <w:szCs w:val="21"/>
                <w:highlight w:val="none"/>
              </w:rPr>
            </w:pPr>
            <w:r>
              <w:rPr>
                <w:rFonts w:hint="eastAsia" w:ascii="宋体" w:hAnsi="宋体" w:cs="宋体"/>
                <w:color w:val="FF0000"/>
                <w:szCs w:val="21"/>
              </w:rPr>
              <w:t>响应</w:t>
            </w:r>
            <w:r>
              <w:rPr>
                <w:rFonts w:hint="eastAsia" w:ascii="宋体" w:hAnsi="宋体" w:cs="宋体"/>
                <w:color w:val="FF0000"/>
                <w:szCs w:val="21"/>
                <w:lang w:eastAsia="zh-CN"/>
              </w:rPr>
              <w:t>磋商</w:t>
            </w:r>
            <w:r>
              <w:rPr>
                <w:rFonts w:hint="eastAsia" w:ascii="宋体" w:hAnsi="宋体" w:cs="宋体"/>
                <w:color w:val="FF0000"/>
                <w:szCs w:val="21"/>
              </w:rPr>
              <w:t>文件中的贴息贷款项目专用合同中的全部内容：进口设备适用“进口设备技术协议版”，国产设备适用“共管账户版”（成交后方能确定的价格等专用合同中未明确的事项除外）,同时专用合同条款里应该放技术协议和共管账户版。</w:t>
            </w:r>
          </w:p>
        </w:tc>
        <w:tc>
          <w:tcPr>
            <w:tcW w:w="2522" w:type="dxa"/>
            <w:vAlign w:val="center"/>
          </w:tcPr>
          <w:p>
            <w:pPr>
              <w:adjustRightInd w:val="0"/>
              <w:snapToGrid w:val="0"/>
              <w:spacing w:line="260" w:lineRule="exact"/>
              <w:ind w:left="-53" w:leftChars="-25" w:right="-17" w:rightChars="-8"/>
              <w:jc w:val="left"/>
              <w:rPr>
                <w:rFonts w:ascii="宋体" w:hAnsi="宋体" w:cs="宋体"/>
                <w:color w:val="auto"/>
                <w:szCs w:val="21"/>
                <w:highlight w:val="none"/>
              </w:rPr>
            </w:pP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7" w:type="dxa"/>
            <w:vAlign w:val="center"/>
          </w:tcPr>
          <w:p>
            <w:pPr>
              <w:adjustRightInd w:val="0"/>
              <w:snapToGrid w:val="0"/>
              <w:spacing w:line="260" w:lineRule="exact"/>
              <w:ind w:right="105" w:rightChars="50"/>
              <w:jc w:val="center"/>
              <w:rPr>
                <w:rFonts w:ascii="宋体" w:hAnsi="宋体" w:cs="宋体"/>
                <w:color w:val="auto"/>
                <w:szCs w:val="21"/>
                <w:highlight w:val="none"/>
              </w:rPr>
            </w:pPr>
            <w:r>
              <w:rPr>
                <w:rFonts w:hint="eastAsia" w:ascii="宋体" w:hAnsi="宋体" w:cs="宋体"/>
                <w:color w:val="auto"/>
                <w:szCs w:val="21"/>
                <w:highlight w:val="none"/>
              </w:rPr>
              <w:t>15</w:t>
            </w:r>
          </w:p>
        </w:tc>
        <w:tc>
          <w:tcPr>
            <w:tcW w:w="3838" w:type="dxa"/>
            <w:vAlign w:val="center"/>
          </w:tcPr>
          <w:p>
            <w:pPr>
              <w:adjustRightInd w:val="0"/>
              <w:snapToGrid w:val="0"/>
              <w:spacing w:line="260" w:lineRule="exact"/>
              <w:ind w:hanging="1"/>
              <w:rPr>
                <w:rFonts w:ascii="宋体" w:hAnsi="宋体" w:cs="宋体"/>
                <w:color w:val="auto"/>
                <w:szCs w:val="21"/>
                <w:highlight w:val="none"/>
              </w:rPr>
            </w:pPr>
            <w:r>
              <w:rPr>
                <w:rFonts w:hint="eastAsia" w:ascii="宋体" w:hAnsi="宋体" w:cs="宋体"/>
                <w:color w:val="auto"/>
                <w:szCs w:val="21"/>
                <w:highlight w:val="none"/>
              </w:rPr>
              <w:t>其他</w:t>
            </w:r>
          </w:p>
        </w:tc>
        <w:tc>
          <w:tcPr>
            <w:tcW w:w="2522" w:type="dxa"/>
            <w:vAlign w:val="center"/>
          </w:tcPr>
          <w:p>
            <w:pPr>
              <w:adjustRightInd w:val="0"/>
              <w:snapToGrid w:val="0"/>
              <w:spacing w:line="260" w:lineRule="exact"/>
              <w:ind w:left="-53" w:leftChars="-25" w:right="-17" w:rightChars="-8"/>
              <w:jc w:val="left"/>
              <w:rPr>
                <w:rFonts w:ascii="宋体" w:hAnsi="宋体" w:cs="宋体"/>
                <w:color w:val="auto"/>
                <w:szCs w:val="21"/>
                <w:highlight w:val="none"/>
              </w:rPr>
            </w:pPr>
            <w:r>
              <w:rPr>
                <w:rFonts w:hint="eastAsia" w:ascii="宋体" w:hAnsi="宋体" w:cs="宋体"/>
                <w:color w:val="auto"/>
                <w:szCs w:val="21"/>
                <w:highlight w:val="none"/>
              </w:rPr>
              <w:t>采购单位未提供需求而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认为需说明及补充的内容在此填列</w:t>
            </w:r>
          </w:p>
        </w:tc>
        <w:tc>
          <w:tcPr>
            <w:tcW w:w="985" w:type="dxa"/>
            <w:vAlign w:val="center"/>
          </w:tcPr>
          <w:p>
            <w:pPr>
              <w:adjustRightInd w:val="0"/>
              <w:snapToGrid w:val="0"/>
              <w:spacing w:line="260" w:lineRule="exact"/>
              <w:ind w:right="105" w:rightChars="50"/>
              <w:jc w:val="center"/>
              <w:rPr>
                <w:rFonts w:ascii="宋体" w:hAnsi="宋体" w:cs="宋体"/>
                <w:color w:val="auto"/>
                <w:szCs w:val="21"/>
                <w:highlight w:val="none"/>
              </w:rPr>
            </w:pPr>
          </w:p>
        </w:tc>
        <w:tc>
          <w:tcPr>
            <w:tcW w:w="996" w:type="dxa"/>
            <w:vAlign w:val="center"/>
          </w:tcPr>
          <w:p>
            <w:pPr>
              <w:adjustRightInd w:val="0"/>
              <w:snapToGrid w:val="0"/>
              <w:spacing w:line="260" w:lineRule="exact"/>
              <w:ind w:right="105" w:rightChars="50"/>
              <w:jc w:val="center"/>
              <w:rPr>
                <w:rFonts w:ascii="宋体" w:hAnsi="宋体" w:cs="宋体"/>
                <w:color w:val="auto"/>
                <w:szCs w:val="21"/>
                <w:highlight w:val="none"/>
              </w:rPr>
            </w:pPr>
          </w:p>
        </w:tc>
      </w:tr>
    </w:tbl>
    <w:p>
      <w:pPr>
        <w:adjustRightInd w:val="0"/>
        <w:snapToGrid w:val="0"/>
        <w:spacing w:line="360" w:lineRule="auto"/>
        <w:ind w:right="105" w:rightChars="50"/>
        <w:jc w:val="left"/>
        <w:rPr>
          <w:rFonts w:ascii="宋体" w:hAnsi="宋体" w:cs="宋体"/>
          <w:color w:val="auto"/>
          <w:szCs w:val="21"/>
          <w:highlight w:val="none"/>
        </w:rPr>
      </w:pPr>
      <w:r>
        <w:rPr>
          <w:rFonts w:hint="eastAsia" w:ascii="宋体" w:hAnsi="宋体" w:cs="宋体"/>
          <w:b/>
          <w:color w:val="auto"/>
          <w:szCs w:val="21"/>
          <w:highlight w:val="none"/>
        </w:rPr>
        <w:t>填表说明：</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1．“响应文件响应内容”一栏由供应商填写。</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3．“说明”一栏由供应商对偏离的情况做详细说明。</w:t>
      </w: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snapToGrid w:val="0"/>
        <w:spacing w:line="360" w:lineRule="auto"/>
        <w:rPr>
          <w:rFonts w:ascii="宋体" w:hAnsi="宋体" w:cs="宋体"/>
          <w:color w:val="auto"/>
          <w:highlight w:val="none"/>
        </w:rPr>
      </w:pPr>
      <w:r>
        <w:rPr>
          <w:rFonts w:hint="eastAsia" w:ascii="宋体" w:hAnsi="宋体" w:cs="宋体"/>
          <w:color w:val="auto"/>
          <w:highlight w:val="none"/>
        </w:rPr>
        <w:t>供应商名称（加盖单位公章）：</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r>
        <w:rPr>
          <w:rFonts w:hint="eastAsia" w:ascii="宋体" w:hAnsi="宋体" w:cs="宋体"/>
          <w:color w:val="auto"/>
          <w:highlight w:val="none"/>
        </w:rPr>
        <w:t>法定代表人（或</w:t>
      </w:r>
      <w:r>
        <w:rPr>
          <w:rFonts w:hint="eastAsia" w:ascii="宋体" w:hAnsi="宋体" w:cs="宋体"/>
          <w:color w:val="auto"/>
          <w:szCs w:val="21"/>
          <w:highlight w:val="none"/>
        </w:rPr>
        <w:t>非法人组织负责人）或</w:t>
      </w:r>
      <w:r>
        <w:rPr>
          <w:rFonts w:hint="eastAsia" w:ascii="宋体" w:hAnsi="宋体" w:cs="宋体"/>
          <w:color w:val="auto"/>
          <w:highlight w:val="none"/>
        </w:rPr>
        <w:t>其授权代表人(签字或盖章)：</w:t>
      </w:r>
      <w:r>
        <w:rPr>
          <w:rFonts w:hint="eastAsia" w:ascii="宋体" w:hAnsi="宋体" w:cs="宋体"/>
          <w:color w:val="auto"/>
          <w:highlight w:val="none"/>
          <w:u w:val="single"/>
        </w:rPr>
        <w:t xml:space="preserve">           </w:t>
      </w:r>
    </w:p>
    <w:p>
      <w:pPr>
        <w:adjustRightInd w:val="0"/>
        <w:snapToGrid w:val="0"/>
        <w:spacing w:line="360" w:lineRule="auto"/>
        <w:ind w:right="105" w:rightChars="50"/>
        <w:jc w:val="left"/>
        <w:rPr>
          <w:rFonts w:ascii="宋体" w:hAnsi="宋体" w:cs="宋体"/>
          <w:color w:val="auto"/>
          <w:highlight w:val="none"/>
        </w:rPr>
      </w:pPr>
    </w:p>
    <w:p>
      <w:pPr>
        <w:adjustRightInd w:val="0"/>
        <w:snapToGrid w:val="0"/>
        <w:spacing w:line="360" w:lineRule="auto"/>
        <w:ind w:right="105" w:rightChars="50"/>
        <w:jc w:val="left"/>
        <w:rPr>
          <w:rFonts w:ascii="宋体" w:hAnsi="宋体" w:cs="宋体"/>
          <w:color w:val="auto"/>
          <w:highlight w:val="none"/>
          <w:u w:val="singl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pPr>
        <w:wordWrap w:val="0"/>
        <w:adjustRightInd w:val="0"/>
        <w:snapToGrid w:val="0"/>
        <w:spacing w:line="360" w:lineRule="auto"/>
        <w:ind w:right="105" w:rightChars="50"/>
        <w:outlineLvl w:val="1"/>
        <w:rPr>
          <w:rFonts w:ascii="宋体" w:hAnsi="宋体" w:cs="宋体"/>
          <w:color w:val="auto"/>
          <w:szCs w:val="21"/>
          <w:highlight w:val="none"/>
        </w:rPr>
      </w:pPr>
      <w:r>
        <w:rPr>
          <w:rFonts w:hint="eastAsia" w:ascii="宋体" w:hAnsi="宋体" w:cs="宋体"/>
          <w:color w:val="auto"/>
          <w:szCs w:val="21"/>
          <w:highlight w:val="none"/>
        </w:rPr>
        <w:br w:type="page"/>
      </w:r>
      <w:bookmarkStart w:id="77" w:name="_Toc4485638"/>
      <w:bookmarkStart w:id="78" w:name="_Toc533340162"/>
    </w:p>
    <w:bookmarkEnd w:id="77"/>
    <w:bookmarkEnd w:id="78"/>
    <w:p>
      <w:pPr>
        <w:wordWrap w:val="0"/>
        <w:adjustRightInd w:val="0"/>
        <w:snapToGrid w:val="0"/>
        <w:spacing w:line="360" w:lineRule="auto"/>
        <w:ind w:right="105" w:rightChars="50"/>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格式14</w:t>
      </w:r>
    </w:p>
    <w:p>
      <w:pPr>
        <w:adjustRightInd w:val="0"/>
        <w:snapToGrid w:val="0"/>
        <w:spacing w:line="360" w:lineRule="auto"/>
        <w:ind w:right="105" w:rightChars="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供应商关联单位的说明</w:t>
      </w: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r>
        <w:rPr>
          <w:rFonts w:hint="eastAsia" w:ascii="宋体" w:hAnsi="宋体" w:cs="宋体"/>
          <w:color w:val="auto"/>
          <w:szCs w:val="21"/>
          <w:highlight w:val="none"/>
        </w:rPr>
        <w:t>说明：供应商应当如实披露与本单位存在下列关联关系的单位名称：</w:t>
      </w:r>
    </w:p>
    <w:p>
      <w:pPr>
        <w:adjustRightInd w:val="0"/>
        <w:snapToGrid w:val="0"/>
        <w:spacing w:line="360" w:lineRule="auto"/>
        <w:ind w:right="105" w:rightChars="50" w:firstLine="476" w:firstLineChars="227"/>
        <w:jc w:val="left"/>
        <w:rPr>
          <w:rFonts w:ascii="宋体" w:hAnsi="宋体" w:cs="宋体"/>
          <w:color w:val="auto"/>
          <w:szCs w:val="21"/>
          <w:highlight w:val="none"/>
        </w:rPr>
      </w:pPr>
      <w:r>
        <w:rPr>
          <w:rFonts w:hint="eastAsia" w:ascii="宋体" w:hAnsi="宋体" w:cs="宋体"/>
          <w:color w:val="auto"/>
          <w:szCs w:val="21"/>
          <w:highlight w:val="none"/>
        </w:rPr>
        <w:t>（1）与供应商单位法定代表人（或非法人组织负责人）为同一人的其他单位；</w:t>
      </w:r>
    </w:p>
    <w:p>
      <w:pPr>
        <w:adjustRightInd w:val="0"/>
        <w:snapToGrid w:val="0"/>
        <w:spacing w:line="360" w:lineRule="auto"/>
        <w:ind w:right="105" w:rightChars="50" w:firstLine="476" w:firstLineChars="227"/>
        <w:jc w:val="left"/>
        <w:rPr>
          <w:rFonts w:ascii="宋体" w:hAnsi="宋体" w:cs="宋体"/>
          <w:color w:val="auto"/>
          <w:szCs w:val="21"/>
          <w:highlight w:val="none"/>
        </w:rPr>
      </w:pPr>
      <w:r>
        <w:rPr>
          <w:rFonts w:hint="eastAsia" w:ascii="宋体" w:hAnsi="宋体" w:cs="宋体"/>
          <w:color w:val="auto"/>
          <w:szCs w:val="21"/>
          <w:highlight w:val="none"/>
        </w:rPr>
        <w:t>（2）与供应商存在直接控股、管理关系的其他单位。</w:t>
      </w: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r>
        <w:rPr>
          <w:rFonts w:hint="eastAsia" w:ascii="宋体" w:hAnsi="宋体" w:cs="宋体"/>
          <w:color w:val="auto"/>
          <w:szCs w:val="21"/>
          <w:highlight w:val="none"/>
        </w:rPr>
        <w:t>注：若无此情形，写“无”即可，此表不可删除。</w:t>
      </w: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snapToGrid w:val="0"/>
        <w:spacing w:line="360" w:lineRule="auto"/>
        <w:rPr>
          <w:rFonts w:ascii="宋体" w:hAnsi="宋体" w:cs="宋体"/>
          <w:color w:val="auto"/>
          <w:highlight w:val="none"/>
        </w:rPr>
      </w:pPr>
      <w:r>
        <w:rPr>
          <w:rFonts w:hint="eastAsia" w:ascii="宋体" w:hAnsi="宋体" w:cs="宋体"/>
          <w:color w:val="auto"/>
          <w:highlight w:val="none"/>
        </w:rPr>
        <w:t>供应商名称（加盖单位公章）：</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r>
        <w:rPr>
          <w:rFonts w:hint="eastAsia" w:ascii="宋体" w:hAnsi="宋体" w:cs="宋体"/>
          <w:color w:val="auto"/>
          <w:highlight w:val="none"/>
        </w:rPr>
        <w:t>法定代表人（或</w:t>
      </w:r>
      <w:r>
        <w:rPr>
          <w:rFonts w:hint="eastAsia" w:ascii="宋体" w:hAnsi="宋体" w:cs="宋体"/>
          <w:color w:val="auto"/>
          <w:szCs w:val="21"/>
          <w:highlight w:val="none"/>
        </w:rPr>
        <w:t>非法人组织负责人）或</w:t>
      </w:r>
      <w:r>
        <w:rPr>
          <w:rFonts w:hint="eastAsia" w:ascii="宋体" w:hAnsi="宋体" w:cs="宋体"/>
          <w:color w:val="auto"/>
          <w:highlight w:val="none"/>
        </w:rPr>
        <w:t>其授权代表人(签字或盖章)：</w:t>
      </w:r>
      <w:r>
        <w:rPr>
          <w:rFonts w:hint="eastAsia" w:ascii="宋体" w:hAnsi="宋体" w:cs="宋体"/>
          <w:color w:val="auto"/>
          <w:highlight w:val="none"/>
          <w:u w:val="single"/>
        </w:rPr>
        <w:t xml:space="preserve">           </w:t>
      </w:r>
    </w:p>
    <w:p>
      <w:pPr>
        <w:adjustRightInd w:val="0"/>
        <w:snapToGrid w:val="0"/>
        <w:spacing w:line="360" w:lineRule="auto"/>
        <w:ind w:right="105" w:rightChars="50"/>
        <w:jc w:val="left"/>
        <w:rPr>
          <w:rFonts w:ascii="宋体" w:hAnsi="宋体" w:cs="宋体"/>
          <w:color w:val="auto"/>
          <w:highlight w:val="none"/>
        </w:rPr>
      </w:pPr>
    </w:p>
    <w:p>
      <w:pPr>
        <w:adjustRightInd w:val="0"/>
        <w:snapToGrid w:val="0"/>
        <w:spacing w:line="360" w:lineRule="auto"/>
        <w:ind w:right="105" w:rightChars="50"/>
        <w:jc w:val="left"/>
        <w:rPr>
          <w:rFonts w:ascii="宋体" w:hAnsi="宋体" w:cs="宋体"/>
          <w:color w:val="auto"/>
          <w:highlight w:val="none"/>
          <w:u w:val="singl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jc w:val="left"/>
        <w:outlineLvl w:val="1"/>
        <w:rPr>
          <w:rFonts w:ascii="宋体" w:hAnsi="宋体" w:cs="宋体"/>
          <w:color w:val="auto"/>
          <w:szCs w:val="21"/>
          <w:highlight w:val="none"/>
        </w:rPr>
      </w:pPr>
      <w:r>
        <w:rPr>
          <w:rFonts w:hint="eastAsia" w:ascii="宋体" w:hAnsi="宋体" w:cs="宋体"/>
          <w:color w:val="auto"/>
          <w:szCs w:val="21"/>
          <w:highlight w:val="none"/>
        </w:rPr>
        <w:br w:type="page"/>
      </w:r>
      <w:bookmarkStart w:id="79" w:name="_Toc533340164"/>
      <w:bookmarkStart w:id="80" w:name="_Toc4485640"/>
    </w:p>
    <w:p>
      <w:pPr>
        <w:adjustRightInd w:val="0"/>
        <w:snapToGrid w:val="0"/>
        <w:spacing w:line="360" w:lineRule="auto"/>
        <w:ind w:right="105" w:rightChars="50"/>
        <w:jc w:val="left"/>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格式1</w:t>
      </w:r>
      <w:bookmarkEnd w:id="79"/>
      <w:bookmarkEnd w:id="80"/>
      <w:r>
        <w:rPr>
          <w:rFonts w:hint="eastAsia" w:ascii="宋体" w:hAnsi="宋体" w:cs="宋体"/>
          <w:b/>
          <w:bCs/>
          <w:color w:val="auto"/>
          <w:sz w:val="28"/>
          <w:szCs w:val="28"/>
          <w:highlight w:val="none"/>
        </w:rPr>
        <w:t>5</w:t>
      </w:r>
    </w:p>
    <w:p>
      <w:pPr>
        <w:adjustRightInd w:val="0"/>
        <w:snapToGrid w:val="0"/>
        <w:spacing w:line="360" w:lineRule="auto"/>
        <w:ind w:right="105" w:rightChars="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中小企业声明函</w:t>
      </w: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tabs>
          <w:tab w:val="left" w:pos="6605"/>
        </w:tabs>
        <w:spacing w:line="321"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采购活动，提供的货物全部由符合政策要求的中小企业制造。相关企业（含联合体中的中小企业、签订分包意向协议的中小企业） 的具体情况如下：</w:t>
      </w:r>
    </w:p>
    <w:p>
      <w:pPr>
        <w:pStyle w:val="40"/>
        <w:tabs>
          <w:tab w:val="left" w:pos="2787"/>
        </w:tabs>
        <w:autoSpaceDE w:val="0"/>
        <w:autoSpaceDN w:val="0"/>
        <w:spacing w:line="328" w:lineRule="auto"/>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（标的各称）</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制造业 行业</w:t>
      </w:r>
      <w:r>
        <w:rPr>
          <w:rFonts w:hint="eastAsia" w:ascii="宋体" w:hAnsi="宋体" w:cs="宋体"/>
          <w:color w:val="auto"/>
          <w:szCs w:val="21"/>
          <w:highlight w:val="none"/>
        </w:rPr>
        <w:t>；制造商为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 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pStyle w:val="40"/>
        <w:tabs>
          <w:tab w:val="left" w:pos="2542"/>
          <w:tab w:val="left" w:pos="2786"/>
          <w:tab w:val="left" w:pos="2787"/>
          <w:tab w:val="left" w:pos="5739"/>
        </w:tabs>
        <w:autoSpaceDE w:val="0"/>
        <w:autoSpaceDN w:val="0"/>
        <w:spacing w:line="331" w:lineRule="auto"/>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（标的各称）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（采购文存中明确的所属行业） 行业</w:t>
      </w:r>
      <w:r>
        <w:rPr>
          <w:rFonts w:hint="eastAsia" w:ascii="宋体" w:hAnsi="宋体" w:cs="宋体"/>
          <w:color w:val="auto"/>
          <w:szCs w:val="21"/>
          <w:highlight w:val="none"/>
        </w:rPr>
        <w:t>；制造商为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 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pStyle w:val="40"/>
        <w:tabs>
          <w:tab w:val="left" w:pos="2542"/>
          <w:tab w:val="left" w:pos="2786"/>
          <w:tab w:val="left" w:pos="2787"/>
          <w:tab w:val="left" w:pos="5739"/>
        </w:tabs>
        <w:autoSpaceDE w:val="0"/>
        <w:autoSpaceDN w:val="0"/>
        <w:spacing w:line="331" w:lineRule="auto"/>
        <w:jc w:val="left"/>
        <w:rPr>
          <w:rFonts w:ascii="宋体" w:hAnsi="宋体" w:cs="宋体"/>
          <w:color w:val="auto"/>
          <w:szCs w:val="21"/>
          <w:highlight w:val="none"/>
        </w:rPr>
      </w:pPr>
      <w:r>
        <w:rPr>
          <w:rFonts w:hint="eastAsia" w:ascii="宋体" w:hAnsi="宋体" w:cs="宋体"/>
          <w:color w:val="auto"/>
          <w:szCs w:val="21"/>
          <w:highlight w:val="none"/>
        </w:rPr>
        <w:t>……</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本企业对上述声明内容的真实性负责。如有虚假，将依法承担相应贵任。</w:t>
      </w:r>
    </w:p>
    <w:p>
      <w:pPr>
        <w:autoSpaceDN w:val="0"/>
        <w:spacing w:line="440" w:lineRule="exact"/>
        <w:ind w:firstLine="420" w:firstLineChars="200"/>
        <w:rPr>
          <w:rFonts w:ascii="宋体" w:hAnsi="宋体" w:cs="宋体"/>
          <w:color w:val="auto"/>
          <w:szCs w:val="21"/>
          <w:highlight w:val="none"/>
        </w:rPr>
      </w:pPr>
    </w:p>
    <w:p>
      <w:pPr>
        <w:autoSpaceDN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注：1、从业人员、营业收入、资产总额填报上一年度数据，无上一年度数据的新成立企业可不填报。</w:t>
      </w:r>
    </w:p>
    <w:p>
      <w:pPr>
        <w:autoSpaceDN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2、规定依据本办法规定享受扶持政策获得政府采购合同的，小微企业不得将合同分包给大中型企业，中型企业不得将合同分包给大型企业。</w:t>
      </w:r>
    </w:p>
    <w:p>
      <w:pPr>
        <w:widowControl/>
        <w:spacing w:line="520" w:lineRule="exact"/>
        <w:jc w:val="left"/>
        <w:rPr>
          <w:rFonts w:ascii="宋体" w:hAnsi="宋体" w:cs="宋体"/>
          <w:color w:val="auto"/>
          <w:szCs w:val="21"/>
          <w:highlight w:val="none"/>
        </w:rPr>
      </w:pPr>
    </w:p>
    <w:p>
      <w:pPr>
        <w:widowControl/>
        <w:spacing w:line="520" w:lineRule="exact"/>
        <w:jc w:val="left"/>
        <w:rPr>
          <w:rFonts w:ascii="宋体" w:hAnsi="宋体" w:cs="宋体"/>
          <w:color w:val="auto"/>
          <w:szCs w:val="21"/>
          <w:highlight w:val="none"/>
        </w:rPr>
      </w:pPr>
    </w:p>
    <w:p>
      <w:pPr>
        <w:widowControl/>
        <w:spacing w:line="520" w:lineRule="exact"/>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r>
        <w:rPr>
          <w:rFonts w:hint="eastAsia" w:ascii="宋体" w:hAnsi="宋体" w:cs="宋体"/>
          <w:color w:val="auto"/>
          <w:szCs w:val="21"/>
          <w:highlight w:val="none"/>
        </w:rPr>
        <w:t>供应商名称（加盖单位公章）：</w:t>
      </w:r>
      <w:r>
        <w:rPr>
          <w:rFonts w:hint="eastAsia" w:ascii="宋体" w:hAnsi="宋体" w:cs="宋体"/>
          <w:color w:val="auto"/>
          <w:szCs w:val="21"/>
          <w:highlight w:val="none"/>
          <w:u w:val="single"/>
        </w:rPr>
        <w:t xml:space="preserve">               </w:t>
      </w: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u w:val="singl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pPr>
        <w:adjustRightInd w:val="0"/>
        <w:snapToGrid w:val="0"/>
        <w:spacing w:line="360" w:lineRule="auto"/>
        <w:ind w:right="105" w:rightChars="50"/>
        <w:jc w:val="left"/>
        <w:outlineLvl w:val="1"/>
        <w:rPr>
          <w:rFonts w:ascii="宋体" w:hAnsi="宋体" w:cs="宋体"/>
          <w:color w:val="auto"/>
          <w:szCs w:val="21"/>
          <w:highlight w:val="none"/>
        </w:rPr>
      </w:pPr>
      <w:r>
        <w:rPr>
          <w:rFonts w:hint="eastAsia" w:ascii="宋体" w:hAnsi="宋体" w:cs="宋体"/>
          <w:color w:val="auto"/>
          <w:szCs w:val="21"/>
          <w:highlight w:val="none"/>
        </w:rPr>
        <w:br w:type="page"/>
      </w:r>
      <w:bookmarkStart w:id="81" w:name="_Toc533340166"/>
      <w:bookmarkStart w:id="82" w:name="_Toc4485642"/>
    </w:p>
    <w:p>
      <w:pPr>
        <w:widowControl/>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附：关于印发中小企业划型标准规定的通知</w:t>
      </w:r>
    </w:p>
    <w:p>
      <w:pPr>
        <w:widowControl/>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工信部联企业[2011]300号</w:t>
      </w:r>
    </w:p>
    <w:p>
      <w:pPr>
        <w:widowControl/>
        <w:spacing w:line="40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各省、自治区、直辖市人民政府，国务院各部委、各直属机构及有关单位：</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　　</w:t>
      </w:r>
    </w:p>
    <w:p>
      <w:pPr>
        <w:widowControl/>
        <w:spacing w:line="400" w:lineRule="exact"/>
        <w:jc w:val="right"/>
        <w:rPr>
          <w:rFonts w:ascii="宋体" w:hAnsi="宋体" w:cs="宋体"/>
          <w:color w:val="auto"/>
          <w:szCs w:val="21"/>
          <w:highlight w:val="none"/>
        </w:rPr>
      </w:pPr>
      <w:r>
        <w:rPr>
          <w:rFonts w:hint="eastAsia" w:ascii="宋体" w:hAnsi="宋体" w:cs="宋体"/>
          <w:color w:val="auto"/>
          <w:szCs w:val="21"/>
          <w:highlight w:val="none"/>
        </w:rPr>
        <w:t>　　                                                                              工业和信息化部          国家统计局</w:t>
      </w:r>
    </w:p>
    <w:p>
      <w:pPr>
        <w:widowControl/>
        <w:spacing w:line="400" w:lineRule="exact"/>
        <w:jc w:val="right"/>
        <w:rPr>
          <w:rFonts w:ascii="宋体" w:hAnsi="宋体" w:cs="宋体"/>
          <w:color w:val="auto"/>
          <w:szCs w:val="21"/>
          <w:highlight w:val="none"/>
        </w:rPr>
      </w:pPr>
      <w:r>
        <w:rPr>
          <w:rFonts w:hint="eastAsia" w:ascii="宋体" w:hAnsi="宋体" w:cs="宋体"/>
          <w:color w:val="auto"/>
          <w:szCs w:val="21"/>
          <w:highlight w:val="none"/>
        </w:rPr>
        <w:t>　　                                                              国家发展和改革委员会       财政部</w:t>
      </w:r>
    </w:p>
    <w:p>
      <w:pPr>
        <w:widowControl/>
        <w:spacing w:line="400" w:lineRule="exact"/>
        <w:jc w:val="right"/>
        <w:rPr>
          <w:rFonts w:ascii="宋体" w:hAnsi="宋体" w:cs="宋体"/>
          <w:color w:val="auto"/>
          <w:szCs w:val="21"/>
          <w:highlight w:val="none"/>
        </w:rPr>
      </w:pPr>
      <w:r>
        <w:rPr>
          <w:rFonts w:hint="eastAsia" w:ascii="宋体" w:hAnsi="宋体" w:cs="宋体"/>
          <w:color w:val="auto"/>
          <w:szCs w:val="21"/>
          <w:highlight w:val="none"/>
        </w:rPr>
        <w:t>　　                                                                              二○一一年六月十八日</w:t>
      </w:r>
    </w:p>
    <w:p>
      <w:pPr>
        <w:widowControl/>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pPr>
        <w:adjustRightInd w:val="0"/>
        <w:snapToGrid w:val="0"/>
        <w:spacing w:before="319" w:beforeLines="100" w:after="319" w:afterLines="100" w:line="360" w:lineRule="auto"/>
        <w:ind w:right="105" w:rightChars="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中小企业划型标准规定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一、根据《中华人民共和国中小企业促进法》和《国务院关于进一步促进中小企业发展的若干意见》(国发[2009]36号)，制定本规定。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二、中小企业划分为中型、小型、微型三种类型，具体标准根据企业从业人员、营业收入、资产总额等指标，结合行业特点制定。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四、各行业划型标准为：</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五、企业类型的划分以统计部门的统计数据为依据。</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六、本规定适用于在中华人民共和国境内依法设立的各类所有制和各种组织形式的企业。个体工商户和本规定以外的行业，参照本规定进行划型。</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八、本规定由工业和信息化部、国家统计局会同有关部门根据《国民经济行业分类》修订情况和企业发展变化情况适时修订。</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九、本规定由工业和信息化部、国家统计局会同有关部门负责解释。</w:t>
      </w:r>
    </w:p>
    <w:p>
      <w:pPr>
        <w:spacing w:line="333"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十、本规定自发布之日起执行，原国家经贸委、原国家计委、财政部和国家统计局2003年颁布的《中小企业标准暂行规定》同时废止。</w:t>
      </w:r>
    </w:p>
    <w:p>
      <w:pPr>
        <w:pStyle w:val="40"/>
        <w:rPr>
          <w:rFonts w:ascii="宋体" w:hAnsi="宋体" w:cs="宋体"/>
          <w:color w:val="auto"/>
          <w:highlight w:val="none"/>
        </w:rPr>
      </w:pPr>
    </w:p>
    <w:p>
      <w:pPr>
        <w:pStyle w:val="40"/>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40"/>
        <w:rPr>
          <w:rFonts w:ascii="宋体" w:hAnsi="宋体" w:cs="宋体"/>
          <w:color w:val="auto"/>
          <w:highlight w:val="none"/>
        </w:rPr>
      </w:pPr>
    </w:p>
    <w:p>
      <w:pPr>
        <w:pStyle w:val="40"/>
        <w:rPr>
          <w:rFonts w:ascii="宋体" w:hAnsi="宋体" w:cs="宋体"/>
          <w:color w:val="auto"/>
          <w:highlight w:val="none"/>
        </w:rPr>
      </w:pPr>
    </w:p>
    <w:p>
      <w:pPr>
        <w:pStyle w:val="4"/>
        <w:adjustRightInd w:val="0"/>
        <w:snapToGrid w:val="0"/>
        <w:spacing w:before="0" w:line="24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格式1</w:t>
      </w:r>
      <w:bookmarkEnd w:id="81"/>
      <w:bookmarkEnd w:id="82"/>
      <w:r>
        <w:rPr>
          <w:rFonts w:hint="eastAsia" w:ascii="宋体" w:hAnsi="宋体" w:eastAsia="宋体" w:cs="宋体"/>
          <w:color w:val="auto"/>
          <w:sz w:val="28"/>
          <w:szCs w:val="28"/>
          <w:highlight w:val="none"/>
        </w:rPr>
        <w:t>6</w:t>
      </w:r>
    </w:p>
    <w:p>
      <w:pPr>
        <w:adjustRightInd w:val="0"/>
        <w:snapToGrid w:val="0"/>
        <w:spacing w:line="360" w:lineRule="auto"/>
        <w:ind w:right="105" w:rightChars="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残疾人福利性单位声明函</w:t>
      </w: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8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品  名</w:t>
            </w:r>
          </w:p>
        </w:tc>
        <w:tc>
          <w:tcPr>
            <w:tcW w:w="1587"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规格</w:t>
            </w:r>
          </w:p>
          <w:p>
            <w:pPr>
              <w:jc w:val="center"/>
              <w:rPr>
                <w:rFonts w:ascii="宋体" w:hAnsi="宋体" w:cs="宋体"/>
                <w:color w:val="auto"/>
                <w:szCs w:val="21"/>
                <w:highlight w:val="none"/>
              </w:rPr>
            </w:pPr>
            <w:r>
              <w:rPr>
                <w:rFonts w:hint="eastAsia" w:ascii="宋体" w:hAnsi="宋体" w:cs="宋体"/>
                <w:color w:val="auto"/>
                <w:szCs w:val="21"/>
                <w:highlight w:val="none"/>
              </w:rPr>
              <w:t>型号</w:t>
            </w:r>
          </w:p>
        </w:tc>
        <w:tc>
          <w:tcPr>
            <w:tcW w:w="142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生产</w:t>
            </w:r>
          </w:p>
          <w:p>
            <w:pPr>
              <w:jc w:val="center"/>
              <w:rPr>
                <w:rFonts w:ascii="宋体" w:hAnsi="宋体" w:cs="宋体"/>
                <w:color w:val="auto"/>
                <w:szCs w:val="21"/>
                <w:highlight w:val="none"/>
              </w:rPr>
            </w:pPr>
            <w:r>
              <w:rPr>
                <w:rFonts w:hint="eastAsia" w:ascii="宋体" w:hAnsi="宋体" w:cs="宋体"/>
                <w:color w:val="auto"/>
                <w:szCs w:val="21"/>
                <w:highlight w:val="none"/>
              </w:rPr>
              <w:t>厂家</w:t>
            </w:r>
          </w:p>
        </w:tc>
        <w:tc>
          <w:tcPr>
            <w:tcW w:w="134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2"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427" w:type="dxa"/>
            <w:vAlign w:val="center"/>
          </w:tcPr>
          <w:p>
            <w:pPr>
              <w:jc w:val="center"/>
              <w:rPr>
                <w:rFonts w:ascii="宋体" w:hAnsi="宋体" w:cs="宋体"/>
                <w:color w:val="auto"/>
                <w:szCs w:val="21"/>
                <w:highlight w:val="none"/>
              </w:rPr>
            </w:pPr>
          </w:p>
        </w:tc>
        <w:tc>
          <w:tcPr>
            <w:tcW w:w="1427" w:type="dxa"/>
            <w:vAlign w:val="center"/>
          </w:tcPr>
          <w:p>
            <w:pPr>
              <w:jc w:val="center"/>
              <w:rPr>
                <w:rFonts w:ascii="宋体" w:hAnsi="宋体" w:cs="宋体"/>
                <w:color w:val="auto"/>
                <w:szCs w:val="21"/>
                <w:highlight w:val="none"/>
              </w:rPr>
            </w:pPr>
          </w:p>
        </w:tc>
        <w:tc>
          <w:tcPr>
            <w:tcW w:w="1344" w:type="dxa"/>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582"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427" w:type="dxa"/>
            <w:vAlign w:val="center"/>
          </w:tcPr>
          <w:p>
            <w:pPr>
              <w:jc w:val="center"/>
              <w:rPr>
                <w:rFonts w:ascii="宋体" w:hAnsi="宋体" w:cs="宋体"/>
                <w:color w:val="auto"/>
                <w:szCs w:val="21"/>
                <w:highlight w:val="none"/>
              </w:rPr>
            </w:pPr>
          </w:p>
        </w:tc>
        <w:tc>
          <w:tcPr>
            <w:tcW w:w="1427" w:type="dxa"/>
            <w:vAlign w:val="center"/>
          </w:tcPr>
          <w:p>
            <w:pPr>
              <w:jc w:val="center"/>
              <w:rPr>
                <w:rFonts w:ascii="宋体" w:hAnsi="宋体" w:cs="宋体"/>
                <w:color w:val="auto"/>
                <w:szCs w:val="21"/>
                <w:highlight w:val="none"/>
              </w:rPr>
            </w:pPr>
          </w:p>
        </w:tc>
        <w:tc>
          <w:tcPr>
            <w:tcW w:w="1344" w:type="dxa"/>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582"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427" w:type="dxa"/>
            <w:vAlign w:val="center"/>
          </w:tcPr>
          <w:p>
            <w:pPr>
              <w:jc w:val="center"/>
              <w:rPr>
                <w:rFonts w:ascii="宋体" w:hAnsi="宋体" w:cs="宋体"/>
                <w:color w:val="auto"/>
                <w:szCs w:val="21"/>
                <w:highlight w:val="none"/>
              </w:rPr>
            </w:pPr>
          </w:p>
        </w:tc>
        <w:tc>
          <w:tcPr>
            <w:tcW w:w="1427" w:type="dxa"/>
            <w:vAlign w:val="center"/>
          </w:tcPr>
          <w:p>
            <w:pPr>
              <w:jc w:val="center"/>
              <w:rPr>
                <w:rFonts w:ascii="宋体" w:hAnsi="宋体" w:cs="宋体"/>
                <w:color w:val="auto"/>
                <w:szCs w:val="21"/>
                <w:highlight w:val="none"/>
              </w:rPr>
            </w:pPr>
          </w:p>
        </w:tc>
        <w:tc>
          <w:tcPr>
            <w:tcW w:w="1344" w:type="dxa"/>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582"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427" w:type="dxa"/>
            <w:vAlign w:val="center"/>
          </w:tcPr>
          <w:p>
            <w:pPr>
              <w:jc w:val="center"/>
              <w:rPr>
                <w:rFonts w:ascii="宋体" w:hAnsi="宋体" w:cs="宋体"/>
                <w:color w:val="auto"/>
                <w:szCs w:val="21"/>
                <w:highlight w:val="none"/>
              </w:rPr>
            </w:pPr>
          </w:p>
        </w:tc>
        <w:tc>
          <w:tcPr>
            <w:tcW w:w="1427" w:type="dxa"/>
            <w:vAlign w:val="center"/>
          </w:tcPr>
          <w:p>
            <w:pPr>
              <w:jc w:val="center"/>
              <w:rPr>
                <w:rFonts w:ascii="宋体" w:hAnsi="宋体" w:cs="宋体"/>
                <w:color w:val="auto"/>
                <w:szCs w:val="21"/>
                <w:highlight w:val="none"/>
              </w:rPr>
            </w:pPr>
          </w:p>
        </w:tc>
        <w:tc>
          <w:tcPr>
            <w:tcW w:w="1344" w:type="dxa"/>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响应</w:t>
            </w:r>
            <w:r>
              <w:rPr>
                <w:rFonts w:hint="eastAsia" w:ascii="宋体" w:hAnsi="宋体" w:cs="宋体"/>
                <w:b/>
                <w:color w:val="auto"/>
                <w:szCs w:val="21"/>
                <w:highlight w:val="none"/>
                <w:lang w:val="zh-CN"/>
              </w:rPr>
              <w:t>文件中所提供的以上产品为我公司生产的产品，</w:t>
            </w:r>
            <w:r>
              <w:rPr>
                <w:rFonts w:hint="eastAsia" w:ascii="宋体" w:hAnsi="宋体" w:cs="宋体"/>
                <w:b/>
                <w:color w:val="auto"/>
                <w:szCs w:val="21"/>
                <w:highlight w:val="none"/>
              </w:rPr>
              <w:t>如有虚假</w:t>
            </w:r>
            <w:r>
              <w:rPr>
                <w:rFonts w:hint="eastAsia" w:ascii="宋体" w:hAnsi="宋体" w:cs="宋体"/>
                <w:b/>
                <w:color w:val="auto"/>
                <w:szCs w:val="21"/>
                <w:highlight w:val="none"/>
                <w:lang w:val="zh-CN"/>
              </w:rPr>
              <w:t>，我公司承担由此产生的一切后果</w:t>
            </w:r>
            <w:r>
              <w:rPr>
                <w:rFonts w:hint="eastAsia" w:ascii="宋体" w:hAnsi="宋体" w:cs="宋体"/>
                <w:color w:val="auto"/>
                <w:szCs w:val="21"/>
                <w:highlight w:val="none"/>
                <w:lang w:val="zh-CN"/>
              </w:rPr>
              <w:t>。</w:t>
            </w:r>
          </w:p>
        </w:tc>
      </w:tr>
    </w:tbl>
    <w:p>
      <w:pPr>
        <w:adjustRightInd w:val="0"/>
        <w:snapToGrid w:val="0"/>
        <w:spacing w:line="360" w:lineRule="auto"/>
        <w:ind w:right="105" w:rightChars="50" w:firstLine="476" w:firstLineChars="227"/>
        <w:jc w:val="left"/>
        <w:rPr>
          <w:rFonts w:ascii="宋体" w:hAnsi="宋体" w:cs="宋体"/>
          <w:color w:val="auto"/>
          <w:szCs w:val="21"/>
          <w:highlight w:val="none"/>
        </w:rPr>
      </w:pPr>
      <w:r>
        <w:rPr>
          <w:rFonts w:hint="eastAsia" w:ascii="宋体" w:hAnsi="宋体" w:cs="宋体"/>
          <w:color w:val="auto"/>
          <w:szCs w:val="21"/>
          <w:highlight w:val="none"/>
        </w:rPr>
        <w:t>注：1、供应商为非残疾人福利性单位的，无需填写此声明函。</w:t>
      </w:r>
    </w:p>
    <w:p>
      <w:pPr>
        <w:adjustRightInd w:val="0"/>
        <w:snapToGrid w:val="0"/>
        <w:spacing w:line="360" w:lineRule="auto"/>
        <w:ind w:right="105" w:rightChars="50" w:firstLine="476" w:firstLineChars="227"/>
        <w:jc w:val="left"/>
        <w:rPr>
          <w:rFonts w:ascii="宋体" w:hAnsi="宋体" w:cs="宋体"/>
          <w:color w:val="auto"/>
          <w:szCs w:val="21"/>
          <w:highlight w:val="none"/>
        </w:rPr>
      </w:pPr>
      <w:r>
        <w:rPr>
          <w:rFonts w:hint="eastAsia" w:ascii="宋体" w:hAnsi="宋体" w:cs="宋体"/>
          <w:color w:val="auto"/>
          <w:szCs w:val="21"/>
          <w:highlight w:val="none"/>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宋体" w:hAnsi="宋体" w:cs="宋体"/>
          <w:color w:val="auto"/>
          <w:szCs w:val="21"/>
          <w:highlight w:val="none"/>
        </w:rPr>
      </w:pPr>
      <w:r>
        <w:rPr>
          <w:rFonts w:hint="eastAsia" w:ascii="宋体" w:hAnsi="宋体" w:cs="宋体"/>
          <w:color w:val="auto"/>
          <w:szCs w:val="21"/>
          <w:highlight w:val="none"/>
        </w:rPr>
        <w:t xml:space="preserve">    3、如为本项目提供本单位伴随产品的，请填写此表格。</w:t>
      </w:r>
    </w:p>
    <w:p>
      <w:pPr>
        <w:adjustRightInd w:val="0"/>
        <w:snapToGrid w:val="0"/>
        <w:spacing w:line="360" w:lineRule="auto"/>
        <w:ind w:right="105" w:rightChars="50" w:firstLine="476" w:firstLineChars="227"/>
        <w:jc w:val="left"/>
        <w:rPr>
          <w:rFonts w:ascii="宋体" w:hAnsi="宋体" w:cs="宋体"/>
          <w:color w:val="auto"/>
          <w:szCs w:val="21"/>
          <w:highlight w:val="none"/>
        </w:rPr>
      </w:pPr>
      <w:r>
        <w:rPr>
          <w:rFonts w:hint="eastAsia" w:ascii="宋体" w:hAnsi="宋体" w:cs="宋体"/>
          <w:color w:val="auto"/>
          <w:szCs w:val="21"/>
          <w:highlight w:val="none"/>
        </w:rPr>
        <w:t xml:space="preserve">    4、如为本项目提供的伴随产品是其他单位生产的，无需填写此表格，但需生产单位按此格式出具此声明。</w:t>
      </w: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r>
        <w:rPr>
          <w:rFonts w:hint="eastAsia" w:ascii="宋体" w:hAnsi="宋体" w:cs="宋体"/>
          <w:color w:val="auto"/>
          <w:szCs w:val="21"/>
          <w:highlight w:val="none"/>
        </w:rPr>
        <w:t>供应商名称（加盖单位公章）：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adjustRightInd w:val="0"/>
        <w:snapToGrid w:val="0"/>
        <w:spacing w:line="360" w:lineRule="auto"/>
        <w:ind w:right="105" w:rightChars="50" w:firstLine="476" w:firstLineChars="227"/>
        <w:jc w:val="left"/>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360" w:lineRule="auto"/>
        <w:ind w:right="105" w:rightChars="50" w:firstLine="476" w:firstLineChars="227"/>
        <w:jc w:val="left"/>
        <w:rPr>
          <w:rFonts w:ascii="宋体" w:hAnsi="宋体" w:cs="宋体"/>
          <w:color w:val="auto"/>
          <w:szCs w:val="21"/>
          <w:highlight w:val="none"/>
        </w:rPr>
      </w:pPr>
    </w:p>
    <w:p>
      <w:pPr>
        <w:pStyle w:val="4"/>
        <w:adjustRightInd w:val="0"/>
        <w:snapToGrid w:val="0"/>
        <w:spacing w:before="0" w:after="0" w:line="240" w:lineRule="auto"/>
        <w:jc w:val="left"/>
        <w:rPr>
          <w:rFonts w:ascii="宋体" w:hAnsi="宋体" w:eastAsia="宋体" w:cs="宋体"/>
          <w:color w:val="auto"/>
          <w:highlight w:val="none"/>
        </w:rPr>
      </w:pPr>
      <w:r>
        <w:rPr>
          <w:rFonts w:hint="eastAsia" w:ascii="宋体" w:hAnsi="宋体" w:eastAsia="宋体" w:cs="宋体"/>
          <w:color w:val="auto"/>
          <w:highlight w:val="none"/>
        </w:rPr>
        <w:br w:type="page"/>
      </w:r>
    </w:p>
    <w:p>
      <w:pPr>
        <w:pStyle w:val="3"/>
        <w:adjustRightInd w:val="0"/>
        <w:snapToGrid w:val="0"/>
        <w:spacing w:before="0" w:after="0" w:line="360" w:lineRule="auto"/>
        <w:jc w:val="center"/>
        <w:rPr>
          <w:rFonts w:ascii="宋体" w:hAnsi="宋体" w:cs="宋体"/>
          <w:color w:val="auto"/>
          <w:sz w:val="32"/>
          <w:szCs w:val="32"/>
          <w:highlight w:val="none"/>
        </w:rPr>
      </w:pPr>
      <w:bookmarkStart w:id="83" w:name="_Toc4485643"/>
      <w:r>
        <w:rPr>
          <w:rFonts w:hint="eastAsia" w:ascii="宋体" w:hAnsi="宋体" w:cs="宋体"/>
          <w:color w:val="auto"/>
          <w:sz w:val="32"/>
          <w:szCs w:val="32"/>
          <w:highlight w:val="none"/>
        </w:rPr>
        <w:t>第三章 货物需求</w:t>
      </w:r>
      <w:bookmarkEnd w:id="83"/>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1.光学系统：采用独特单光路设计，可以实现较大的N.A.值从而获取高分辨率、高荧光亮度的图像</w:t>
      </w:r>
      <w:r>
        <w:rPr>
          <w:rFonts w:hint="eastAsia" w:ascii="宋体"/>
          <w:color w:val="auto"/>
          <w:szCs w:val="21"/>
          <w:highlight w:val="none"/>
        </w:rPr>
        <w:t>；</w:t>
      </w:r>
    </w:p>
    <w:p>
      <w:pPr>
        <w:adjustRightInd w:val="0"/>
        <w:snapToGrid w:val="0"/>
        <w:spacing w:line="288" w:lineRule="auto"/>
        <w:jc w:val="left"/>
        <w:rPr>
          <w:rFonts w:ascii="宋体"/>
          <w:color w:val="auto"/>
          <w:szCs w:val="21"/>
          <w:highlight w:val="none"/>
        </w:rPr>
      </w:pPr>
      <w:r>
        <w:rPr>
          <w:rFonts w:ascii="宋体"/>
          <w:color w:val="auto"/>
          <w:szCs w:val="21"/>
          <w:highlight w:val="none"/>
        </w:rPr>
        <w:t>2.显微主机：</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2.1符合人机工程学原理的高性能主机，光学变倍比≥16：1，总放大范围7x-258x </w:t>
      </w:r>
      <w:r>
        <w:rPr>
          <w:rFonts w:hint="eastAsia" w:ascii="宋体"/>
          <w:color w:val="auto"/>
          <w:szCs w:val="21"/>
          <w:highlight w:val="none"/>
        </w:rPr>
        <w:t>；</w:t>
      </w:r>
    </w:p>
    <w:p>
      <w:pPr>
        <w:adjustRightInd w:val="0"/>
        <w:snapToGrid w:val="0"/>
        <w:spacing w:line="288" w:lineRule="auto"/>
        <w:jc w:val="left"/>
        <w:rPr>
          <w:rFonts w:ascii="宋体"/>
          <w:color w:val="auto"/>
          <w:szCs w:val="21"/>
          <w:highlight w:val="none"/>
        </w:rPr>
      </w:pPr>
      <w:r>
        <w:rPr>
          <w:rFonts w:ascii="宋体"/>
          <w:color w:val="auto"/>
          <w:szCs w:val="21"/>
          <w:highlight w:val="none"/>
        </w:rPr>
        <w:t>★2.2 SyCop3系统控制器：智能控制调焦变倍，照明，放大倍率，可移动5.7英寸</w:t>
      </w:r>
      <w:r>
        <w:rPr>
          <w:rFonts w:hint="eastAsia" w:ascii="宋体"/>
          <w:color w:val="auto"/>
          <w:szCs w:val="21"/>
          <w:highlight w:val="none"/>
        </w:rPr>
        <w:t>以上</w:t>
      </w:r>
      <w:r>
        <w:rPr>
          <w:rFonts w:ascii="宋体"/>
          <w:color w:val="auto"/>
          <w:szCs w:val="21"/>
          <w:highlight w:val="none"/>
        </w:rPr>
        <w:t>液晶显示器，且实时显示分辨率、景深、视场大小、总放大倍数等，模拟摇杆控制，参数可被记忆与重复，系统可根据用户需要设置不同的用户界面，有一键恢复的功能自由照明光路系统</w:t>
      </w:r>
      <w:r>
        <w:rPr>
          <w:rFonts w:hint="eastAsia" w:ascii="宋体"/>
          <w:color w:val="auto"/>
          <w:szCs w:val="21"/>
          <w:highlight w:val="none"/>
        </w:rPr>
        <w:t>；</w:t>
      </w:r>
    </w:p>
    <w:p>
      <w:pPr>
        <w:adjustRightInd w:val="0"/>
        <w:snapToGrid w:val="0"/>
        <w:spacing w:line="288" w:lineRule="auto"/>
        <w:jc w:val="left"/>
        <w:rPr>
          <w:rFonts w:ascii="宋体"/>
          <w:color w:val="auto"/>
          <w:szCs w:val="21"/>
          <w:highlight w:val="none"/>
        </w:rPr>
      </w:pPr>
      <w:r>
        <w:rPr>
          <w:rFonts w:ascii="宋体"/>
          <w:color w:val="auto"/>
          <w:szCs w:val="21"/>
          <w:highlight w:val="none"/>
        </w:rPr>
        <w:t>★2.3 eZoom电动光学变倍技术：从高倍到低倍连续变倍时，焦平面可以保持不变，视野一直保持清晰状态</w:t>
      </w:r>
      <w:r>
        <w:rPr>
          <w:rFonts w:hint="eastAsia" w:ascii="宋体"/>
          <w:color w:val="auto"/>
          <w:szCs w:val="21"/>
          <w:highlight w:val="none"/>
        </w:rPr>
        <w:t>；</w:t>
      </w:r>
    </w:p>
    <w:p>
      <w:pPr>
        <w:adjustRightInd w:val="0"/>
        <w:snapToGrid w:val="0"/>
        <w:spacing w:line="288" w:lineRule="auto"/>
        <w:jc w:val="left"/>
        <w:rPr>
          <w:rFonts w:ascii="宋体"/>
          <w:color w:val="auto"/>
          <w:szCs w:val="21"/>
          <w:highlight w:val="none"/>
        </w:rPr>
      </w:pPr>
      <w:r>
        <w:rPr>
          <w:rFonts w:ascii="宋体"/>
          <w:color w:val="auto"/>
          <w:szCs w:val="21"/>
          <w:highlight w:val="none"/>
        </w:rPr>
        <w:t>3.不用化学药品的绿色环保防霉技术</w:t>
      </w:r>
    </w:p>
    <w:p>
      <w:pPr>
        <w:adjustRightInd w:val="0"/>
        <w:snapToGrid w:val="0"/>
        <w:spacing w:line="288" w:lineRule="auto"/>
        <w:jc w:val="left"/>
        <w:rPr>
          <w:rFonts w:ascii="宋体"/>
          <w:color w:val="auto"/>
          <w:szCs w:val="21"/>
          <w:highlight w:val="none"/>
        </w:rPr>
      </w:pPr>
      <w:r>
        <w:rPr>
          <w:rFonts w:ascii="宋体"/>
          <w:color w:val="auto"/>
          <w:szCs w:val="21"/>
          <w:highlight w:val="none"/>
        </w:rPr>
        <w:t>★4.可以升级同厂同品牌的光栅成像获得光切图像，去除非焦平面的荧光信号，只保留焦平面的荧光信号，得到图像类似共聚焦显微镜的效果</w:t>
      </w:r>
    </w:p>
    <w:p>
      <w:pPr>
        <w:adjustRightInd w:val="0"/>
        <w:snapToGrid w:val="0"/>
        <w:spacing w:line="288" w:lineRule="auto"/>
        <w:jc w:val="left"/>
        <w:rPr>
          <w:rFonts w:ascii="宋体"/>
          <w:color w:val="auto"/>
          <w:szCs w:val="21"/>
          <w:highlight w:val="none"/>
        </w:rPr>
      </w:pPr>
      <w:r>
        <w:rPr>
          <w:rFonts w:ascii="宋体"/>
          <w:color w:val="auto"/>
          <w:szCs w:val="21"/>
          <w:highlight w:val="none"/>
        </w:rPr>
        <w:t>★5.电动透射光反射光两用底座一个，面积≥565x390mm。电动实现明场/暗场/斜照明三种观察方式的任意电动切换观察,除此之外,还可以获得自动调节照明方式来获取增强对比度的明场观察方式.也可自定义存储组合照明观察方式.</w:t>
      </w:r>
    </w:p>
    <w:p>
      <w:pPr>
        <w:adjustRightInd w:val="0"/>
        <w:snapToGrid w:val="0"/>
        <w:spacing w:line="288" w:lineRule="auto"/>
        <w:jc w:val="left"/>
        <w:rPr>
          <w:rFonts w:ascii="宋体"/>
          <w:color w:val="auto"/>
          <w:szCs w:val="21"/>
          <w:highlight w:val="none"/>
        </w:rPr>
      </w:pPr>
      <w:r>
        <w:rPr>
          <w:rFonts w:ascii="宋体"/>
          <w:color w:val="auto"/>
          <w:szCs w:val="21"/>
          <w:highlight w:val="none"/>
        </w:rPr>
        <w:t>6.电动调焦机构：支柱高度不小于490mm，可载重20Kg负重， Z轴调焦精度：350nm。</w:t>
      </w:r>
    </w:p>
    <w:p>
      <w:pPr>
        <w:adjustRightInd w:val="0"/>
        <w:snapToGrid w:val="0"/>
        <w:spacing w:line="288" w:lineRule="auto"/>
        <w:jc w:val="left"/>
        <w:rPr>
          <w:rFonts w:ascii="宋体"/>
          <w:color w:val="auto"/>
          <w:szCs w:val="21"/>
          <w:highlight w:val="none"/>
        </w:rPr>
      </w:pPr>
      <w:r>
        <w:rPr>
          <w:rFonts w:ascii="宋体"/>
          <w:color w:val="auto"/>
          <w:szCs w:val="21"/>
          <w:highlight w:val="none"/>
        </w:rPr>
        <w:t>★7.物镜及物镜转盘:</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  1.0x 平场复消色差物镜，数值孔径≥0.25，工作距离56mm</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  2.3x 平场复消色差物镜，数值孔径≥0.57，工作距离10.6mm</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  2位物镜转盘，具有定位卡扣装置。</w:t>
      </w:r>
    </w:p>
    <w:p>
      <w:pPr>
        <w:adjustRightInd w:val="0"/>
        <w:snapToGrid w:val="0"/>
        <w:spacing w:line="288" w:lineRule="auto"/>
        <w:jc w:val="left"/>
        <w:rPr>
          <w:rFonts w:ascii="宋体"/>
          <w:color w:val="auto"/>
          <w:szCs w:val="21"/>
          <w:highlight w:val="none"/>
        </w:rPr>
      </w:pPr>
      <w:r>
        <w:rPr>
          <w:rFonts w:ascii="宋体"/>
          <w:color w:val="auto"/>
          <w:szCs w:val="21"/>
          <w:highlight w:val="none"/>
        </w:rPr>
        <w:t>8. 目镜：10x目镜，大视场数23mm；高眼点，屈光度可调,目镜罩2只;</w:t>
      </w:r>
    </w:p>
    <w:p>
      <w:pPr>
        <w:adjustRightInd w:val="0"/>
        <w:snapToGrid w:val="0"/>
        <w:spacing w:line="288" w:lineRule="auto"/>
        <w:jc w:val="left"/>
        <w:rPr>
          <w:rFonts w:ascii="宋体"/>
          <w:color w:val="auto"/>
          <w:szCs w:val="21"/>
          <w:highlight w:val="none"/>
        </w:rPr>
      </w:pPr>
      <w:r>
        <w:rPr>
          <w:rFonts w:ascii="宋体"/>
          <w:color w:val="auto"/>
          <w:szCs w:val="21"/>
          <w:highlight w:val="none"/>
        </w:rPr>
        <w:t>9. 目镜筒：人机工程学设计，可上下翻转，0：100/100:0分光</w:t>
      </w:r>
    </w:p>
    <w:p>
      <w:pPr>
        <w:adjustRightInd w:val="0"/>
        <w:snapToGrid w:val="0"/>
        <w:spacing w:line="288" w:lineRule="auto"/>
        <w:jc w:val="left"/>
        <w:rPr>
          <w:rFonts w:ascii="宋体"/>
          <w:color w:val="auto"/>
          <w:szCs w:val="21"/>
          <w:highlight w:val="none"/>
        </w:rPr>
      </w:pPr>
      <w:r>
        <w:rPr>
          <w:rFonts w:ascii="宋体"/>
          <w:color w:val="auto"/>
          <w:szCs w:val="21"/>
          <w:highlight w:val="none"/>
        </w:rPr>
        <w:t>0°-30°角度可调。可切换2D/3D观察模式</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10. 冷光源：</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 LED冷光源，600 lm光通量，6200K以上色温，寿命≥50000h </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 日光型滤色片：可调节色温</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 双支鹅颈光纤，可以观察立体感更强的斜照明成像;</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 环形LED照明器：360°全方位照明，可通过控制器实现全开，半开，1/4开等多种模式。</w:t>
      </w:r>
    </w:p>
    <w:p>
      <w:pPr>
        <w:adjustRightInd w:val="0"/>
        <w:snapToGrid w:val="0"/>
        <w:spacing w:line="288" w:lineRule="auto"/>
        <w:jc w:val="left"/>
        <w:rPr>
          <w:rFonts w:ascii="宋体"/>
          <w:color w:val="auto"/>
          <w:szCs w:val="21"/>
          <w:highlight w:val="none"/>
        </w:rPr>
      </w:pPr>
      <w:r>
        <w:rPr>
          <w:rFonts w:ascii="宋体"/>
          <w:color w:val="auto"/>
          <w:szCs w:val="21"/>
          <w:highlight w:val="none"/>
        </w:rPr>
        <w:t>11.荧光部分：</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11.1荧光激发块： </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11.1.1  GFP激发块的激发波段470/40；分光镜495nm；发射波段525/50nm</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11.1.2  DAPI激发块的激发波段365/12nm；发射波段445/50nm</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11.1.3  RFP激发块的激发波段572/25nm；分光镜590nm；发射波段629/62nm</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11.2 荧光光源：310W长寿命金属卤化物灯（2000个小时）。</w:t>
      </w:r>
    </w:p>
    <w:p>
      <w:pPr>
        <w:adjustRightInd w:val="0"/>
        <w:snapToGrid w:val="0"/>
        <w:spacing w:line="288" w:lineRule="auto"/>
        <w:jc w:val="left"/>
        <w:rPr>
          <w:rFonts w:ascii="宋体"/>
          <w:color w:val="auto"/>
          <w:szCs w:val="21"/>
          <w:highlight w:val="none"/>
        </w:rPr>
      </w:pPr>
      <w:r>
        <w:rPr>
          <w:rFonts w:ascii="宋体"/>
          <w:color w:val="auto"/>
          <w:szCs w:val="21"/>
          <w:highlight w:val="none"/>
        </w:rPr>
        <w:t>★11.3电动荧光滤色转盘：4孔位电动荧光转盘，激发块更换方便，无需辅助工具；</w:t>
      </w:r>
    </w:p>
    <w:p>
      <w:pPr>
        <w:adjustRightInd w:val="0"/>
        <w:snapToGrid w:val="0"/>
        <w:spacing w:line="288" w:lineRule="auto"/>
        <w:jc w:val="left"/>
        <w:rPr>
          <w:rFonts w:ascii="宋体"/>
          <w:color w:val="auto"/>
          <w:szCs w:val="21"/>
          <w:highlight w:val="none"/>
        </w:rPr>
      </w:pPr>
      <w:r>
        <w:rPr>
          <w:rFonts w:ascii="宋体"/>
          <w:color w:val="auto"/>
          <w:szCs w:val="21"/>
          <w:highlight w:val="none"/>
        </w:rPr>
        <w:t>★12.可升级具有自动识别物镜放大倍数的结构照明附件，通过栅格移动，可实现光学切片显微成像，提高图像分辨率，非反卷积软件计算。</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13. 同厂同品牌摄像系统。</w:t>
      </w:r>
    </w:p>
    <w:p>
      <w:pPr>
        <w:adjustRightInd w:val="0"/>
        <w:snapToGrid w:val="0"/>
        <w:spacing w:line="288" w:lineRule="auto"/>
        <w:jc w:val="left"/>
        <w:rPr>
          <w:rFonts w:ascii="宋体"/>
          <w:color w:val="auto"/>
          <w:szCs w:val="21"/>
          <w:highlight w:val="none"/>
        </w:rPr>
      </w:pPr>
      <w:r>
        <w:rPr>
          <w:rFonts w:ascii="宋体"/>
          <w:color w:val="auto"/>
          <w:szCs w:val="21"/>
          <w:highlight w:val="none"/>
        </w:rPr>
        <w:t>13.1 数码冷CCD，芯片尺寸：≥1英寸</w:t>
      </w:r>
    </w:p>
    <w:p>
      <w:pPr>
        <w:adjustRightInd w:val="0"/>
        <w:snapToGrid w:val="0"/>
        <w:spacing w:line="288" w:lineRule="auto"/>
        <w:jc w:val="left"/>
        <w:rPr>
          <w:rFonts w:ascii="宋体"/>
          <w:color w:val="auto"/>
          <w:szCs w:val="21"/>
          <w:highlight w:val="none"/>
        </w:rPr>
      </w:pPr>
      <w:r>
        <w:rPr>
          <w:rFonts w:ascii="宋体"/>
          <w:color w:val="auto"/>
          <w:szCs w:val="21"/>
          <w:highlight w:val="none"/>
        </w:rPr>
        <w:t>13.2 物理像素：≥600万</w:t>
      </w:r>
    </w:p>
    <w:p>
      <w:pPr>
        <w:adjustRightInd w:val="0"/>
        <w:snapToGrid w:val="0"/>
        <w:spacing w:line="288" w:lineRule="auto"/>
        <w:jc w:val="left"/>
        <w:rPr>
          <w:rFonts w:ascii="宋体"/>
          <w:color w:val="auto"/>
          <w:szCs w:val="21"/>
          <w:highlight w:val="none"/>
        </w:rPr>
      </w:pPr>
      <w:r>
        <w:rPr>
          <w:rFonts w:ascii="宋体"/>
          <w:color w:val="auto"/>
          <w:szCs w:val="21"/>
          <w:highlight w:val="none"/>
        </w:rPr>
        <w:t>★13.3 动态范围≥2500：1</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13.4 曝光时间250μs至60s</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13.5 满井电子：15000e</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13.6 光谱范围：400～720nm</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13.7 数字化范围：14bit</w:t>
      </w:r>
    </w:p>
    <w:p>
      <w:pPr>
        <w:adjustRightInd w:val="0"/>
        <w:snapToGrid w:val="0"/>
        <w:spacing w:line="288" w:lineRule="auto"/>
        <w:jc w:val="left"/>
        <w:rPr>
          <w:rFonts w:ascii="宋体"/>
          <w:color w:val="auto"/>
          <w:szCs w:val="21"/>
          <w:highlight w:val="none"/>
        </w:rPr>
      </w:pPr>
      <w:r>
        <w:rPr>
          <w:rFonts w:ascii="宋体"/>
          <w:color w:val="auto"/>
          <w:szCs w:val="21"/>
          <w:highlight w:val="none"/>
        </w:rPr>
        <w:t>13.8 拍摄速度:Binning1*1≥19幅/秒（2752*2208）</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13.9 暗电流：0.06 e/pixels/s</w:t>
      </w:r>
    </w:p>
    <w:p>
      <w:pPr>
        <w:adjustRightInd w:val="0"/>
        <w:snapToGrid w:val="0"/>
        <w:spacing w:line="288" w:lineRule="auto"/>
        <w:jc w:val="left"/>
        <w:rPr>
          <w:rFonts w:ascii="宋体"/>
          <w:color w:val="auto"/>
          <w:szCs w:val="21"/>
          <w:highlight w:val="none"/>
        </w:rPr>
      </w:pPr>
      <w:r>
        <w:rPr>
          <w:rFonts w:ascii="宋体"/>
          <w:color w:val="auto"/>
          <w:szCs w:val="21"/>
          <w:highlight w:val="none"/>
        </w:rPr>
        <w:t>14 原厂同品牌成像软件分析系统</w:t>
      </w:r>
    </w:p>
    <w:p>
      <w:pPr>
        <w:adjustRightInd w:val="0"/>
        <w:snapToGrid w:val="0"/>
        <w:spacing w:line="288" w:lineRule="auto"/>
        <w:jc w:val="left"/>
        <w:rPr>
          <w:rFonts w:ascii="宋体"/>
          <w:color w:val="auto"/>
          <w:szCs w:val="21"/>
          <w:highlight w:val="none"/>
        </w:rPr>
      </w:pPr>
      <w:r>
        <w:rPr>
          <w:rFonts w:ascii="宋体"/>
          <w:color w:val="auto"/>
          <w:szCs w:val="21"/>
          <w:highlight w:val="none"/>
        </w:rPr>
        <w:t>14.1 具备基本的图像管理功能：编档图像优化处理（色彩管理，自动暴光，亮度、对比度调节等），标注，添加比例尺，长度、面积、周长等几何测量等；</w:t>
      </w:r>
    </w:p>
    <w:p>
      <w:pPr>
        <w:adjustRightInd w:val="0"/>
        <w:snapToGrid w:val="0"/>
        <w:spacing w:line="288" w:lineRule="auto"/>
        <w:jc w:val="left"/>
        <w:rPr>
          <w:rFonts w:ascii="宋体"/>
          <w:color w:val="auto"/>
          <w:szCs w:val="21"/>
          <w:highlight w:val="none"/>
        </w:rPr>
      </w:pPr>
      <w:r>
        <w:rPr>
          <w:rFonts w:ascii="宋体"/>
          <w:color w:val="auto"/>
          <w:szCs w:val="21"/>
          <w:highlight w:val="none"/>
        </w:rPr>
        <w:t>14.2 时间序列拍摄：可以对样品进行连续不间断拍摄，可以设置拍摄时间间隔以及拍摄时长，拍摄张数无上限；</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14.3 多通道叠加：在多通道下可自动获得多种荧光和透射光图片的叠加图像；</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14.4 Z轴序列拍摄：可以对较厚样品进行Z轴连续拍摄，从而获得完整样品信息；</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14.5 图像景深扩展：可以对多幅各层面聚焦图像进行自动处理，将不同层面清晰的部分合成在一张图片上；</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14.6 3D模式下支持多达五种的渲染模式效果：表面，透明，最大强度，阴影投射和混合渲染模式。可以轻松地动画窗口录制，不同角度旋转而生成视频文件；</w:t>
      </w:r>
    </w:p>
    <w:p>
      <w:pPr>
        <w:adjustRightInd w:val="0"/>
        <w:snapToGrid w:val="0"/>
        <w:spacing w:line="288" w:lineRule="auto"/>
        <w:jc w:val="left"/>
        <w:rPr>
          <w:rFonts w:ascii="宋体"/>
          <w:color w:val="auto"/>
          <w:szCs w:val="21"/>
          <w:highlight w:val="none"/>
        </w:rPr>
      </w:pPr>
      <w:r>
        <w:rPr>
          <w:rFonts w:ascii="宋体"/>
          <w:color w:val="auto"/>
          <w:szCs w:val="21"/>
          <w:highlight w:val="none"/>
        </w:rPr>
        <w:t xml:space="preserve">14.7 图像及图像的备注信息和原始扫描条件可保存于同一文件，以图像数据库方式管理组织数据，可以浏览缩略图及相关信息。可以从数据库中直接使用拍摄条件调用功能调用硬件设置； </w:t>
      </w:r>
    </w:p>
    <w:p>
      <w:pPr>
        <w:adjustRightInd w:val="0"/>
        <w:snapToGrid w:val="0"/>
        <w:spacing w:line="288" w:lineRule="auto"/>
        <w:jc w:val="left"/>
        <w:rPr>
          <w:rFonts w:ascii="宋体"/>
          <w:color w:val="auto"/>
          <w:szCs w:val="21"/>
          <w:highlight w:val="none"/>
        </w:rPr>
      </w:pPr>
      <w:r>
        <w:rPr>
          <w:rFonts w:ascii="宋体"/>
          <w:color w:val="auto"/>
          <w:szCs w:val="21"/>
          <w:highlight w:val="none"/>
        </w:rPr>
        <w:t>14.8 具有图形化的感兴趣区域荧光强度平均值分析；</w:t>
      </w:r>
    </w:p>
    <w:p>
      <w:pPr>
        <w:adjustRightInd w:val="0"/>
        <w:snapToGrid w:val="0"/>
        <w:spacing w:line="288" w:lineRule="auto"/>
        <w:jc w:val="lef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14.9 具有直方图（Histogram）分析工具，可测量直线和任意形状曲线的荧光强度分布，可测量长度、角度、面积、荧光强度；</w:t>
      </w:r>
    </w:p>
    <w:p>
      <w:pPr>
        <w:spacing w:line="360" w:lineRule="exact"/>
        <w:rPr>
          <w:rFonts w:ascii="宋体"/>
          <w:color w:val="auto"/>
          <w:szCs w:val="21"/>
          <w:highlight w:val="none"/>
        </w:rPr>
      </w:pPr>
      <w:r>
        <w:rPr>
          <w:rFonts w:hint="eastAsia" w:ascii="宋体" w:hAnsi="宋体"/>
          <w:color w:val="auto"/>
          <w:sz w:val="24"/>
          <w:szCs w:val="21"/>
          <w:highlight w:val="none"/>
        </w:rPr>
        <w:t>▲</w:t>
      </w:r>
      <w:r>
        <w:rPr>
          <w:rFonts w:ascii="宋体"/>
          <w:color w:val="auto"/>
          <w:szCs w:val="21"/>
          <w:highlight w:val="none"/>
        </w:rPr>
        <w:t>15. 图像处理工作站：不低于intel i7处理器，16G内存，独立显卡，显存至少2G，能提供显示分辨率至少1920x1200@32位真彩色，安装DirectX 8.0及以上，显示器21英寸以上，分辨率至少1600x1200，1T硬盘，win10 X64 系统。</w:t>
      </w:r>
    </w:p>
    <w:p>
      <w:pPr>
        <w:spacing w:line="360" w:lineRule="exact"/>
        <w:rPr>
          <w:rFonts w:ascii="宋体"/>
          <w:color w:val="auto"/>
          <w:szCs w:val="21"/>
          <w:highlight w:val="none"/>
        </w:rPr>
      </w:pP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注：货物需求中标注★的技术指标为重要技术指标，如有负偏离，则为无效报价文件。</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br w:type="page"/>
      </w:r>
    </w:p>
    <w:p>
      <w:pPr>
        <w:pStyle w:val="3"/>
        <w:jc w:val="center"/>
        <w:rPr>
          <w:rFonts w:ascii="宋体" w:hAnsi="宋体" w:cs="宋体"/>
          <w:color w:val="auto"/>
          <w:sz w:val="32"/>
          <w:szCs w:val="32"/>
          <w:highlight w:val="none"/>
        </w:rPr>
      </w:pPr>
      <w:bookmarkStart w:id="84" w:name="_Toc4485644"/>
      <w:r>
        <w:rPr>
          <w:rFonts w:hint="eastAsia" w:ascii="宋体" w:hAnsi="宋体" w:cs="宋体"/>
          <w:color w:val="auto"/>
          <w:sz w:val="32"/>
          <w:szCs w:val="32"/>
          <w:highlight w:val="none"/>
        </w:rPr>
        <w:t>第四章 磋商内容、磋商过程中可能实质性变动的内容</w:t>
      </w:r>
      <w:bookmarkEnd w:id="84"/>
    </w:p>
    <w:p>
      <w:pPr>
        <w:rPr>
          <w:rFonts w:ascii="宋体" w:hAnsi="宋体" w:cs="宋体"/>
          <w:bCs/>
          <w:color w:val="auto"/>
          <w:kern w:val="0"/>
          <w:szCs w:val="21"/>
          <w:highlight w:val="none"/>
        </w:rPr>
      </w:pPr>
    </w:p>
    <w:p>
      <w:pPr>
        <w:widowControl/>
        <w:snapToGrid w:val="0"/>
        <w:spacing w:line="50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磋商小组根据与供应商磋商情况可能实质性变动的内容（不得变动采购文件中的其他内容）： </w:t>
      </w:r>
    </w:p>
    <w:p>
      <w:pPr>
        <w:rPr>
          <w:rFonts w:ascii="宋体" w:hAnsi="宋体" w:cs="宋体"/>
          <w:bCs/>
          <w:color w:val="auto"/>
          <w:kern w:val="0"/>
          <w:szCs w:val="21"/>
          <w:highlight w:val="none"/>
        </w:rPr>
      </w:pPr>
    </w:p>
    <w:p>
      <w:pPr>
        <w:rPr>
          <w:rFonts w:ascii="宋体" w:hAnsi="宋体" w:cs="宋体"/>
          <w:bCs/>
          <w:color w:val="auto"/>
          <w:kern w:val="0"/>
          <w:szCs w:val="21"/>
          <w:highlight w:val="none"/>
        </w:rPr>
      </w:pPr>
      <w:r>
        <w:rPr>
          <w:rFonts w:hint="eastAsia" w:ascii="宋体" w:hAnsi="宋体" w:cs="宋体"/>
          <w:bCs/>
          <w:color w:val="auto"/>
          <w:kern w:val="0"/>
          <w:szCs w:val="21"/>
          <w:highlight w:val="none"/>
        </w:rPr>
        <w:t>1、技术要求</w:t>
      </w:r>
    </w:p>
    <w:p>
      <w:pPr>
        <w:rPr>
          <w:rFonts w:ascii="宋体" w:hAnsi="宋体" w:cs="宋体"/>
          <w:bCs/>
          <w:color w:val="auto"/>
          <w:kern w:val="0"/>
          <w:szCs w:val="21"/>
          <w:highlight w:val="none"/>
        </w:rPr>
      </w:pPr>
      <w:r>
        <w:rPr>
          <w:rFonts w:hint="eastAsia" w:ascii="宋体" w:hAnsi="宋体" w:cs="宋体"/>
          <w:bCs/>
          <w:color w:val="auto"/>
          <w:kern w:val="0"/>
          <w:szCs w:val="21"/>
          <w:highlight w:val="none"/>
        </w:rPr>
        <w:t>……</w:t>
      </w:r>
    </w:p>
    <w:p>
      <w:pPr>
        <w:rPr>
          <w:rFonts w:ascii="宋体" w:hAnsi="宋体" w:cs="宋体"/>
          <w:bCs/>
          <w:color w:val="auto"/>
          <w:kern w:val="0"/>
          <w:szCs w:val="21"/>
          <w:highlight w:val="none"/>
        </w:rPr>
      </w:pPr>
      <w:r>
        <w:rPr>
          <w:rFonts w:hint="eastAsia" w:ascii="宋体" w:hAnsi="宋体" w:cs="宋体"/>
          <w:bCs/>
          <w:color w:val="auto"/>
          <w:kern w:val="0"/>
          <w:szCs w:val="21"/>
          <w:highlight w:val="none"/>
        </w:rPr>
        <w:t>2、服务要求</w:t>
      </w:r>
    </w:p>
    <w:p>
      <w:pPr>
        <w:rPr>
          <w:rFonts w:ascii="宋体" w:hAnsi="宋体" w:cs="宋体"/>
          <w:bCs/>
          <w:color w:val="auto"/>
          <w:kern w:val="0"/>
          <w:szCs w:val="21"/>
          <w:highlight w:val="none"/>
        </w:rPr>
      </w:pPr>
      <w:r>
        <w:rPr>
          <w:rFonts w:hint="eastAsia" w:ascii="宋体" w:hAnsi="宋体" w:cs="宋体"/>
          <w:bCs/>
          <w:color w:val="auto"/>
          <w:kern w:val="0"/>
          <w:szCs w:val="21"/>
          <w:highlight w:val="none"/>
        </w:rPr>
        <w:t>……</w:t>
      </w:r>
    </w:p>
    <w:p>
      <w:pPr>
        <w:rPr>
          <w:rFonts w:ascii="宋体" w:hAnsi="宋体" w:cs="宋体"/>
          <w:bCs/>
          <w:color w:val="auto"/>
          <w:kern w:val="0"/>
          <w:szCs w:val="21"/>
          <w:highlight w:val="none"/>
        </w:rPr>
      </w:pPr>
      <w:r>
        <w:rPr>
          <w:rFonts w:hint="eastAsia" w:ascii="宋体" w:hAnsi="宋体" w:cs="宋体"/>
          <w:bCs/>
          <w:color w:val="auto"/>
          <w:kern w:val="0"/>
          <w:szCs w:val="21"/>
          <w:highlight w:val="none"/>
        </w:rPr>
        <w:t>3、合同草案条款</w:t>
      </w:r>
    </w:p>
    <w:p>
      <w:pPr>
        <w:rPr>
          <w:rFonts w:ascii="宋体" w:hAnsi="宋体" w:cs="宋体"/>
          <w:color w:val="auto"/>
          <w:highlight w:val="none"/>
        </w:rPr>
      </w:pPr>
      <w:r>
        <w:rPr>
          <w:rFonts w:hint="eastAsia" w:ascii="宋体" w:hAnsi="宋体" w:cs="宋体"/>
          <w:color w:val="auto"/>
          <w:highlight w:val="none"/>
        </w:rPr>
        <w:t>……</w:t>
      </w:r>
    </w:p>
    <w:p>
      <w:pPr>
        <w:rPr>
          <w:rFonts w:ascii="宋体" w:hAnsi="宋体" w:cs="宋体"/>
          <w:color w:val="auto"/>
          <w:highlight w:val="none"/>
        </w:rPr>
      </w:pPr>
      <w:r>
        <w:rPr>
          <w:rFonts w:hint="eastAsia" w:ascii="宋体" w:hAnsi="宋体" w:cs="宋体"/>
          <w:color w:val="auto"/>
          <w:highlight w:val="none"/>
        </w:rPr>
        <w:t>……</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bCs/>
          <w:color w:val="auto"/>
          <w:kern w:val="0"/>
          <w:szCs w:val="21"/>
          <w:highlight w:val="none"/>
        </w:rPr>
      </w:pPr>
      <w:r>
        <w:rPr>
          <w:rFonts w:hint="eastAsia" w:ascii="宋体" w:hAnsi="宋体" w:cs="宋体"/>
          <w:bCs/>
          <w:color w:val="auto"/>
          <w:kern w:val="0"/>
          <w:szCs w:val="21"/>
          <w:highlight w:val="none"/>
        </w:rPr>
        <w:t>注：采购人不同意采购文件在磋商过程中有任何变动的，直接写无，实质性变动的内容，须经采购人代表确认。</w:t>
      </w:r>
    </w:p>
    <w:p>
      <w:pPr>
        <w:widowControl/>
        <w:jc w:val="left"/>
        <w:rPr>
          <w:rFonts w:ascii="宋体" w:hAnsi="宋体" w:cs="宋体"/>
          <w:color w:val="auto"/>
          <w:highlight w:val="none"/>
        </w:rPr>
      </w:pPr>
      <w:r>
        <w:rPr>
          <w:rFonts w:hint="eastAsia" w:ascii="宋体" w:hAnsi="宋体" w:cs="宋体"/>
          <w:color w:val="auto"/>
          <w:highlight w:val="none"/>
        </w:rPr>
        <w:br w:type="page"/>
      </w:r>
    </w:p>
    <w:p>
      <w:pPr>
        <w:pStyle w:val="3"/>
        <w:adjustRightInd w:val="0"/>
        <w:snapToGrid w:val="0"/>
        <w:spacing w:before="0" w:after="0" w:line="360" w:lineRule="auto"/>
        <w:jc w:val="center"/>
        <w:rPr>
          <w:rFonts w:ascii="宋体" w:hAnsi="宋体" w:cs="宋体"/>
          <w:color w:val="auto"/>
          <w:highlight w:val="none"/>
        </w:rPr>
      </w:pPr>
      <w:bookmarkStart w:id="85" w:name="_Toc4485645"/>
      <w:r>
        <w:rPr>
          <w:rFonts w:hint="eastAsia" w:ascii="宋体" w:hAnsi="宋体" w:cs="宋体"/>
          <w:color w:val="auto"/>
          <w:highlight w:val="none"/>
        </w:rPr>
        <w:t>第五章 评审办法</w:t>
      </w:r>
      <w:bookmarkEnd w:id="85"/>
    </w:p>
    <w:p>
      <w:pPr>
        <w:adjustRightInd w:val="0"/>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本项目将按照采购文件第一章供应商须知中“五 磋商及评审”、“六 确定成交”及本章的规定评审。</w:t>
      </w:r>
    </w:p>
    <w:p>
      <w:pPr>
        <w:adjustRightInd w:val="0"/>
        <w:spacing w:line="36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一、评审方法</w:t>
      </w:r>
    </w:p>
    <w:p>
      <w:pPr>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本项目采用</w:t>
      </w:r>
      <w:r>
        <w:rPr>
          <w:rFonts w:hint="eastAsia" w:ascii="宋体" w:hAnsi="宋体" w:cs="宋体"/>
          <w:color w:val="auto"/>
          <w:kern w:val="0"/>
          <w:szCs w:val="21"/>
          <w:highlight w:val="none"/>
          <w:u w:val="single"/>
        </w:rPr>
        <w:t xml:space="preserve">   综合评分法   </w:t>
      </w:r>
      <w:r>
        <w:rPr>
          <w:rFonts w:hint="eastAsia" w:ascii="宋体" w:hAnsi="宋体" w:cs="宋体"/>
          <w:color w:val="auto"/>
          <w:kern w:val="0"/>
          <w:szCs w:val="21"/>
          <w:highlight w:val="none"/>
        </w:rPr>
        <w:t>进行</w:t>
      </w:r>
      <w:r>
        <w:rPr>
          <w:rFonts w:hint="eastAsia" w:ascii="宋体" w:hAnsi="宋体" w:cs="宋体"/>
          <w:bCs/>
          <w:color w:val="auto"/>
          <w:kern w:val="0"/>
          <w:szCs w:val="21"/>
          <w:highlight w:val="none"/>
        </w:rPr>
        <w:t>评审</w:t>
      </w:r>
      <w:r>
        <w:rPr>
          <w:rFonts w:hint="eastAsia" w:ascii="宋体" w:hAnsi="宋体" w:cs="宋体"/>
          <w:color w:val="auto"/>
          <w:kern w:val="0"/>
          <w:szCs w:val="21"/>
          <w:highlight w:val="none"/>
        </w:rPr>
        <w:t>。</w:t>
      </w:r>
    </w:p>
    <w:p>
      <w:pPr>
        <w:adjustRightInd w:val="0"/>
        <w:spacing w:line="360" w:lineRule="exact"/>
        <w:ind w:firstLine="422" w:firstLineChars="200"/>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二、评审原则及程序</w:t>
      </w:r>
    </w:p>
    <w:p>
      <w:pPr>
        <w:adjustRightInd w:val="0"/>
        <w:spacing w:line="360" w:lineRule="exact"/>
        <w:ind w:firstLine="422" w:firstLineChars="200"/>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（一）评审原则</w:t>
      </w:r>
    </w:p>
    <w:p>
      <w:pPr>
        <w:adjustRightInd w:val="0"/>
        <w:spacing w:line="360" w:lineRule="exact"/>
        <w:ind w:firstLine="420" w:firstLineChars="200"/>
        <w:textAlignment w:val="baseline"/>
        <w:rPr>
          <w:rFonts w:ascii="宋体" w:hAnsi="宋体" w:cs="宋体"/>
          <w:color w:val="auto"/>
          <w:kern w:val="0"/>
          <w:highlight w:val="none"/>
        </w:rPr>
      </w:pPr>
      <w:r>
        <w:rPr>
          <w:rFonts w:hint="eastAsia" w:ascii="宋体" w:hAnsi="宋体" w:cs="宋体"/>
          <w:color w:val="auto"/>
          <w:kern w:val="0"/>
          <w:highlight w:val="none"/>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pacing w:line="360" w:lineRule="exact"/>
        <w:ind w:firstLine="422" w:firstLineChars="200"/>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（二）评审程序</w:t>
      </w:r>
    </w:p>
    <w:p>
      <w:pPr>
        <w:adjustRightInd w:val="0"/>
        <w:spacing w:line="360" w:lineRule="exact"/>
        <w:ind w:firstLine="422" w:firstLineChars="200"/>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1、资格审查</w:t>
      </w:r>
    </w:p>
    <w:p>
      <w:pPr>
        <w:adjustRightInd w:val="0"/>
        <w:spacing w:line="360" w:lineRule="exact"/>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详见供应商须知22条。资格审查表详见本章附件1。</w:t>
      </w:r>
    </w:p>
    <w:p>
      <w:pPr>
        <w:numPr>
          <w:ilvl w:val="0"/>
          <w:numId w:val="3"/>
        </w:numPr>
        <w:adjustRightInd w:val="0"/>
        <w:spacing w:line="360" w:lineRule="exact"/>
        <w:ind w:firstLine="422" w:firstLineChars="200"/>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符合性审查</w:t>
      </w:r>
    </w:p>
    <w:p>
      <w:pPr>
        <w:adjustRightInd w:val="0"/>
        <w:spacing w:line="360" w:lineRule="exact"/>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2.1详见供应商须知23条。符合性审查表详见本章附件2。</w:t>
      </w:r>
    </w:p>
    <w:p>
      <w:pPr>
        <w:adjustRightInd w:val="0"/>
        <w:spacing w:line="360" w:lineRule="exact"/>
        <w:ind w:firstLine="422" w:firstLineChars="200"/>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3、样品及演示</w:t>
      </w:r>
    </w:p>
    <w:p>
      <w:pPr>
        <w:adjustRightInd w:val="0"/>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kern w:val="0"/>
          <w:szCs w:val="21"/>
          <w:highlight w:val="none"/>
        </w:rPr>
        <w:t>供应商须知表11.3条</w:t>
      </w:r>
      <w:r>
        <w:rPr>
          <w:rFonts w:hint="eastAsia" w:ascii="宋体" w:hAnsi="宋体" w:cs="宋体"/>
          <w:color w:val="auto"/>
          <w:szCs w:val="21"/>
          <w:highlight w:val="none"/>
        </w:rPr>
        <w:t>中要求</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提供样品或演示的，按照供</w:t>
      </w:r>
      <w:r>
        <w:rPr>
          <w:rFonts w:hint="eastAsia" w:ascii="宋体" w:hAnsi="宋体" w:cs="宋体"/>
          <w:color w:val="auto"/>
          <w:kern w:val="0"/>
          <w:szCs w:val="21"/>
          <w:highlight w:val="none"/>
        </w:rPr>
        <w:t>应商须知表24.1条</w:t>
      </w:r>
      <w:r>
        <w:rPr>
          <w:rFonts w:hint="eastAsia" w:ascii="宋体" w:hAnsi="宋体" w:cs="宋体"/>
          <w:color w:val="auto"/>
          <w:szCs w:val="21"/>
          <w:highlight w:val="none"/>
        </w:rPr>
        <w:t>中确定的评审方法以及评审标准进行评审。(样品或演示属于符合性审查的，按照供应商</w:t>
      </w:r>
      <w:r>
        <w:rPr>
          <w:rFonts w:hint="eastAsia" w:ascii="宋体" w:hAnsi="宋体" w:cs="宋体"/>
          <w:color w:val="auto"/>
          <w:kern w:val="0"/>
          <w:szCs w:val="21"/>
          <w:highlight w:val="none"/>
        </w:rPr>
        <w:t>须知23条</w:t>
      </w:r>
      <w:r>
        <w:rPr>
          <w:rFonts w:hint="eastAsia" w:ascii="宋体" w:hAnsi="宋体" w:cs="宋体"/>
          <w:color w:val="auto"/>
          <w:szCs w:val="21"/>
          <w:highlight w:val="none"/>
        </w:rPr>
        <w:t>规定执行）</w:t>
      </w:r>
    </w:p>
    <w:p>
      <w:pPr>
        <w:adjustRightInd w:val="0"/>
        <w:spacing w:line="360" w:lineRule="exact"/>
        <w:ind w:firstLine="422" w:firstLineChars="200"/>
        <w:textAlignment w:val="baseline"/>
        <w:rPr>
          <w:rFonts w:ascii="宋体" w:hAnsi="宋体" w:cs="宋体"/>
          <w:b/>
          <w:bCs/>
          <w:color w:val="auto"/>
          <w:kern w:val="0"/>
          <w:szCs w:val="21"/>
          <w:highlight w:val="none"/>
        </w:rPr>
      </w:pPr>
      <w:r>
        <w:rPr>
          <w:rFonts w:hint="eastAsia" w:ascii="宋体" w:hAnsi="宋体" w:cs="宋体"/>
          <w:b/>
          <w:color w:val="auto"/>
          <w:kern w:val="0"/>
          <w:szCs w:val="21"/>
          <w:highlight w:val="none"/>
        </w:rPr>
        <w:t>★4</w:t>
      </w:r>
      <w:r>
        <w:rPr>
          <w:rFonts w:hint="eastAsia" w:ascii="宋体" w:hAnsi="宋体" w:cs="宋体"/>
          <w:b/>
          <w:bCs/>
          <w:color w:val="auto"/>
          <w:kern w:val="0"/>
          <w:szCs w:val="21"/>
          <w:highlight w:val="none"/>
        </w:rPr>
        <w:t>、同一品牌产品</w:t>
      </w:r>
    </w:p>
    <w:p>
      <w:pPr>
        <w:adjustRightInd w:val="0"/>
        <w:spacing w:line="360" w:lineRule="exact"/>
        <w:ind w:firstLine="420" w:firstLineChars="200"/>
        <w:textAlignment w:val="baseline"/>
        <w:rPr>
          <w:rFonts w:ascii="宋体" w:hAnsi="宋体" w:cs="宋体"/>
          <w:color w:val="auto"/>
          <w:kern w:val="0"/>
          <w:szCs w:val="21"/>
          <w:highlight w:val="none"/>
        </w:rPr>
      </w:pPr>
      <w:r>
        <w:rPr>
          <w:rFonts w:hint="eastAsia" w:ascii="宋体" w:hAnsi="宋体" w:cs="宋体"/>
          <w:color w:val="auto"/>
          <w:szCs w:val="21"/>
          <w:highlight w:val="none"/>
        </w:rPr>
        <w:t>4.1通过资格审查、符合性审查的不同品牌供应商不足3家的，按照</w:t>
      </w:r>
      <w:r>
        <w:rPr>
          <w:rFonts w:hint="eastAsia" w:ascii="宋体" w:hAnsi="宋体" w:cs="宋体"/>
          <w:color w:val="auto"/>
          <w:kern w:val="0"/>
          <w:szCs w:val="21"/>
          <w:highlight w:val="none"/>
        </w:rPr>
        <w:t>供应商须知30条第（3）款</w:t>
      </w:r>
      <w:r>
        <w:rPr>
          <w:rFonts w:hint="eastAsia" w:ascii="宋体" w:hAnsi="宋体" w:cs="宋体"/>
          <w:color w:val="auto"/>
          <w:szCs w:val="21"/>
          <w:highlight w:val="none"/>
        </w:rPr>
        <w:t>执行</w:t>
      </w:r>
      <w:r>
        <w:rPr>
          <w:rFonts w:hint="eastAsia" w:ascii="宋体" w:hAnsi="宋体" w:cs="宋体"/>
          <w:color w:val="auto"/>
          <w:kern w:val="0"/>
          <w:szCs w:val="21"/>
          <w:highlight w:val="none"/>
        </w:rPr>
        <w:t>。</w:t>
      </w:r>
    </w:p>
    <w:p>
      <w:pPr>
        <w:adjustRightInd w:val="0"/>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4.2提供相同品牌产品且通过资格审查、符合性审查的不同供应商，按一家供应商计算。</w:t>
      </w:r>
    </w:p>
    <w:p>
      <w:pPr>
        <w:adjustRightInd w:val="0"/>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4.3如一个分包内只有一种产品，不同供应商所报产品为同一品牌的，按如下方式处理：</w:t>
      </w:r>
    </w:p>
    <w:p>
      <w:pPr>
        <w:adjustRightInd w:val="0"/>
        <w:spacing w:line="36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本项目使用综合评分法，评审后得分最高的同品牌供应商获得成交供应商推荐资格；评审得分相同的，按本章第10条“推荐成交候选供应商的原则”规定执行；未规定的采取随机抽取方式确定，其他同品牌供应商不作为成交候选供应商。</w:t>
      </w:r>
    </w:p>
    <w:p>
      <w:pPr>
        <w:adjustRightInd w:val="0"/>
        <w:spacing w:line="360" w:lineRule="exact"/>
        <w:ind w:firstLine="420" w:firstLineChars="200"/>
        <w:textAlignment w:val="baseline"/>
        <w:rPr>
          <w:rFonts w:ascii="宋体" w:hAnsi="宋体" w:cs="宋体"/>
          <w:color w:val="auto"/>
          <w:kern w:val="0"/>
          <w:szCs w:val="21"/>
          <w:highlight w:val="none"/>
        </w:rPr>
      </w:pPr>
      <w:r>
        <w:rPr>
          <w:rFonts w:hint="eastAsia" w:ascii="宋体" w:hAnsi="宋体" w:cs="宋体"/>
          <w:color w:val="auto"/>
          <w:szCs w:val="21"/>
          <w:highlight w:val="none"/>
        </w:rPr>
        <w:t>4.4如一个分包内包含多种产品的，采购人或采购代理机构将在采购文件中载明核心产品，多家</w:t>
      </w:r>
      <w:r>
        <w:rPr>
          <w:rFonts w:hint="eastAsia" w:ascii="宋体" w:hAnsi="宋体" w:cs="宋体"/>
          <w:color w:val="auto"/>
          <w:kern w:val="0"/>
          <w:szCs w:val="21"/>
          <w:highlight w:val="none"/>
        </w:rPr>
        <w:t>供应商</w:t>
      </w:r>
      <w:r>
        <w:rPr>
          <w:rFonts w:hint="eastAsia" w:ascii="宋体" w:hAnsi="宋体" w:cs="宋体"/>
          <w:color w:val="auto"/>
          <w:szCs w:val="21"/>
          <w:highlight w:val="none"/>
        </w:rPr>
        <w:t>提供的核心产品品牌相同的，</w:t>
      </w:r>
      <w:r>
        <w:rPr>
          <w:rFonts w:hint="eastAsia" w:ascii="宋体" w:hAnsi="宋体" w:cs="宋体"/>
          <w:color w:val="auto"/>
          <w:kern w:val="0"/>
          <w:szCs w:val="21"/>
          <w:highlight w:val="none"/>
        </w:rPr>
        <w:t>按本章第4.3条规定处理。</w:t>
      </w:r>
    </w:p>
    <w:p>
      <w:pPr>
        <w:adjustRightInd w:val="0"/>
        <w:spacing w:line="360" w:lineRule="exact"/>
        <w:ind w:firstLine="422" w:firstLineChars="200"/>
        <w:textAlignment w:val="baseline"/>
        <w:rPr>
          <w:rFonts w:ascii="宋体" w:hAnsi="宋体" w:cs="宋体"/>
          <w:b/>
          <w:bCs/>
          <w:color w:val="auto"/>
          <w:kern w:val="0"/>
          <w:szCs w:val="21"/>
          <w:highlight w:val="none"/>
        </w:rPr>
      </w:pPr>
      <w:r>
        <w:rPr>
          <w:rFonts w:hint="eastAsia" w:ascii="宋体" w:hAnsi="宋体" w:cs="宋体"/>
          <w:b/>
          <w:bCs/>
          <w:color w:val="auto"/>
          <w:kern w:val="0"/>
          <w:szCs w:val="21"/>
          <w:highlight w:val="none"/>
        </w:rPr>
        <w:t>5、磋商</w:t>
      </w:r>
    </w:p>
    <w:p>
      <w:pPr>
        <w:adjustRightInd w:val="0"/>
        <w:spacing w:line="360" w:lineRule="exact"/>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详见供应商须知26条。</w:t>
      </w:r>
    </w:p>
    <w:p>
      <w:pPr>
        <w:adjustRightInd w:val="0"/>
        <w:spacing w:line="36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6、最后报价</w:t>
      </w:r>
    </w:p>
    <w:p>
      <w:pPr>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详见供应商须知27条。</w:t>
      </w:r>
    </w:p>
    <w:p>
      <w:pPr>
        <w:numPr>
          <w:ilvl w:val="0"/>
          <w:numId w:val="4"/>
        </w:numPr>
        <w:adjustRightInd w:val="0"/>
        <w:spacing w:line="36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比较及评价</w:t>
      </w:r>
    </w:p>
    <w:p>
      <w:pPr>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7.1磋商小组对通过资格性审查、符合性审查的响应文件进行比较和评价。</w:t>
      </w:r>
    </w:p>
    <w:p>
      <w:pPr>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7.2在磋商期间，对响应文件的澄清按供应商须知25条内容执行。</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7.3磋商小组</w:t>
      </w:r>
      <w:r>
        <w:rPr>
          <w:rFonts w:hint="eastAsia" w:ascii="宋体" w:hAnsi="宋体" w:cs="宋体"/>
          <w:color w:val="auto"/>
          <w:szCs w:val="21"/>
          <w:highlight w:val="none"/>
        </w:rPr>
        <w:t>认为供应商的报价明显低于其他通过符合性审查的供应商报价，有可能影响产品质量或者不能诚信履约的，磋商小组应当要求其在评审现场合理的时间（</w:t>
      </w:r>
      <w:r>
        <w:rPr>
          <w:rFonts w:hint="eastAsia" w:ascii="宋体" w:hAnsi="宋体" w:cs="宋体"/>
          <w:color w:val="auto"/>
          <w:kern w:val="0"/>
          <w:szCs w:val="21"/>
          <w:highlight w:val="none"/>
        </w:rPr>
        <w:t>接到通知后15分钟</w:t>
      </w:r>
      <w:r>
        <w:rPr>
          <w:rFonts w:hint="eastAsia" w:ascii="宋体" w:hAnsi="宋体" w:cs="宋体"/>
          <w:color w:val="auto"/>
          <w:szCs w:val="21"/>
          <w:highlight w:val="none"/>
        </w:rPr>
        <w:t>）内提供书面说明，并提交相关证明材料，</w:t>
      </w:r>
      <w:r>
        <w:rPr>
          <w:rFonts w:hint="eastAsia" w:ascii="宋体" w:hAnsi="宋体" w:cs="宋体"/>
          <w:color w:val="auto"/>
          <w:kern w:val="0"/>
          <w:szCs w:val="21"/>
          <w:highlight w:val="none"/>
        </w:rPr>
        <w:t>供应商不能证明其报价合理性的，磋商小组应当将</w:t>
      </w:r>
      <w:r>
        <w:rPr>
          <w:rFonts w:hint="eastAsia" w:ascii="宋体" w:hAnsi="宋体" w:cs="宋体"/>
          <w:color w:val="auto"/>
          <w:szCs w:val="21"/>
          <w:highlight w:val="none"/>
        </w:rPr>
        <w:t>其响应作为</w:t>
      </w:r>
      <w:r>
        <w:rPr>
          <w:rFonts w:hint="eastAsia" w:ascii="宋体" w:hAnsi="宋体" w:cs="宋体"/>
          <w:b/>
          <w:bCs/>
          <w:color w:val="auto"/>
          <w:szCs w:val="21"/>
          <w:highlight w:val="none"/>
        </w:rPr>
        <w:t>无效响应处理</w:t>
      </w:r>
      <w:r>
        <w:rPr>
          <w:rFonts w:hint="eastAsia" w:ascii="宋体" w:hAnsi="宋体" w:cs="宋体"/>
          <w:color w:val="auto"/>
          <w:szCs w:val="21"/>
          <w:highlight w:val="none"/>
        </w:rPr>
        <w:t>。</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供应商的书面说明材料包含货物本身成本、人工费用、运输、税收等，以及最后报价不会影响产品质量或诚信履约能力的说明等。</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供应商的书面说明应当签字确认或者加盖公章，否则无效。书面说明的签字确认，由其法定代表人（非法人单位负责人或自然人本人）或者其授权代表签字确认。</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供应商提供书面说明后，磋商小组应当结合采购项目采购需求、专业实际情况、供应商财务状况报告、与其他供应商比较情况等就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的书面说明进行审查评价。供应商如有下列情况的，磋商小组应当将其响应文件作为无效处理：</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（1）拒绝或者变相拒绝提供有效书面说明；</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（2）书面说明不能证明其报价合理性的；</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（3）未在规定时间内递交有效书面说明书的。</w:t>
      </w:r>
    </w:p>
    <w:p>
      <w:pPr>
        <w:adjustRightInd w:val="0"/>
        <w:spacing w:line="360" w:lineRule="exact"/>
        <w:ind w:firstLine="422" w:firstLineChars="200"/>
        <w:rPr>
          <w:rFonts w:ascii="宋体" w:hAnsi="宋体" w:cs="宋体"/>
          <w:b/>
          <w:color w:val="auto"/>
          <w:kern w:val="0"/>
          <w:szCs w:val="21"/>
          <w:highlight w:val="none"/>
        </w:rPr>
      </w:pPr>
      <w:r>
        <w:rPr>
          <w:rFonts w:hint="eastAsia" w:ascii="宋体" w:hAnsi="宋体" w:cs="宋体"/>
          <w:b/>
          <w:bCs/>
          <w:color w:val="auto"/>
          <w:kern w:val="0"/>
          <w:szCs w:val="21"/>
          <w:highlight w:val="none"/>
        </w:rPr>
        <w:t>8、需落实的政府采购政</w:t>
      </w:r>
      <w:r>
        <w:rPr>
          <w:rFonts w:hint="eastAsia" w:ascii="宋体" w:hAnsi="宋体" w:cs="宋体"/>
          <w:b/>
          <w:color w:val="auto"/>
          <w:kern w:val="0"/>
          <w:szCs w:val="21"/>
          <w:highlight w:val="none"/>
        </w:rPr>
        <w:t>策性规定：</w:t>
      </w:r>
    </w:p>
    <w:p>
      <w:pPr>
        <w:adjustRightInd w:val="0"/>
        <w:spacing w:line="36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8.1对于中小微企业（含监狱企业）的相关规定</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于非专门面向中小企业的项目，在满足价格扣除条件且在响应文件中按要求提交了《中小企业声明函》或省级以上监狱管理局、戒毒管理局（含新疆生产建设兵团）出具的属于监狱企业的证明文件的供应商，对最后报价给予价格扣除，用扣除后的价格参与评审。最后报价扣除比例：小型和微型企业相关产品最后报价的</w:t>
      </w:r>
      <w:r>
        <w:rPr>
          <w:rFonts w:hint="eastAsia" w:ascii="宋体" w:hAnsi="宋体" w:cs="宋体"/>
          <w:color w:val="auto"/>
          <w:szCs w:val="21"/>
          <w:highlight w:val="none"/>
          <w:u w:val="single"/>
        </w:rPr>
        <w:t>10</w:t>
      </w:r>
      <w:r>
        <w:rPr>
          <w:rFonts w:hint="eastAsia" w:ascii="宋体" w:hAnsi="宋体" w:cs="宋体"/>
          <w:color w:val="auto"/>
          <w:szCs w:val="21"/>
          <w:highlight w:val="none"/>
        </w:rPr>
        <w:t>% 。</w:t>
      </w:r>
    </w:p>
    <w:p>
      <w:pPr>
        <w:adjustRightInd w:val="0"/>
        <w:spacing w:line="36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8.2对于促进残疾人就业政府采购政策的相关规定</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残疾人福利性单位视同小型、微型企业，对残疾人福利性单位的产品价格给</w:t>
      </w:r>
      <w:r>
        <w:rPr>
          <w:rFonts w:hint="eastAsia" w:ascii="宋体" w:hAnsi="宋体" w:cs="宋体"/>
          <w:color w:val="auto"/>
          <w:kern w:val="0"/>
          <w:szCs w:val="21"/>
          <w:highlight w:val="none"/>
        </w:rPr>
        <w:t>予</w:t>
      </w:r>
      <w:r>
        <w:rPr>
          <w:rFonts w:hint="eastAsia" w:ascii="宋体" w:hAnsi="宋体" w:cs="宋体"/>
          <w:color w:val="auto"/>
          <w:szCs w:val="21"/>
          <w:highlight w:val="none"/>
        </w:rPr>
        <w:t>10%</w:t>
      </w:r>
      <w:r>
        <w:rPr>
          <w:rFonts w:hint="eastAsia" w:ascii="宋体" w:hAnsi="宋体" w:cs="宋体"/>
          <w:color w:val="auto"/>
          <w:kern w:val="0"/>
          <w:szCs w:val="21"/>
          <w:highlight w:val="none"/>
        </w:rPr>
        <w:t>的价格扣除，用扣除后的价格参与评审。</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（2）响应文件中必须提供《残疾人福利性单位声明函》（详见第二章 响应文件内容及格式），否则不予享受该政策性优惠，并对声明的真实性负责</w:t>
      </w:r>
      <w:r>
        <w:rPr>
          <w:rFonts w:hint="eastAsia" w:ascii="宋体" w:hAnsi="宋体" w:cs="宋体"/>
          <w:color w:val="auto"/>
          <w:szCs w:val="21"/>
          <w:highlight w:val="none"/>
        </w:rPr>
        <w:t>，如《残疾人福利性单位声明函》与事实不符的，将依照《政府采购法》第七十七条第一款的规定追究法律责任。</w:t>
      </w:r>
    </w:p>
    <w:p>
      <w:pPr>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（3）残疾人福利性单位属于小型、微型企业的，不重复享受政策。</w:t>
      </w:r>
    </w:p>
    <w:p>
      <w:pPr>
        <w:adjustRightInd w:val="0"/>
        <w:snapToGrid w:val="0"/>
        <w:spacing w:line="36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8.3对于节能产品、环境标志产品的相关规定</w:t>
      </w:r>
    </w:p>
    <w:p>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（1）非政府强制采购的节能产品或环境标志产品，依据品目清单和认证证书实施政府优先采购。</w:t>
      </w:r>
      <w:r>
        <w:rPr>
          <w:rFonts w:hint="eastAsia" w:ascii="宋体" w:hAnsi="宋体" w:cs="宋体"/>
          <w:color w:val="auto"/>
          <w:highlight w:val="none"/>
        </w:rPr>
        <w:t>供应商</w:t>
      </w:r>
      <w:r>
        <w:rPr>
          <w:rFonts w:hint="eastAsia" w:ascii="宋体" w:hAnsi="宋体" w:cs="宋体"/>
          <w:color w:val="auto"/>
          <w:szCs w:val="21"/>
          <w:highlight w:val="none"/>
        </w:rPr>
        <w:t>应能够提供国家确定的认证机构出具的、处于有效期之内的节能产品、环境标志产品认证证书，方可对获得证书的产品优先推荐。对</w:t>
      </w:r>
      <w:r>
        <w:rPr>
          <w:rFonts w:hint="eastAsia" w:ascii="宋体" w:hAnsi="宋体" w:cs="宋体"/>
          <w:color w:val="auto"/>
          <w:kern w:val="0"/>
          <w:szCs w:val="21"/>
          <w:highlight w:val="none"/>
        </w:rPr>
        <w:t>清单中投标产品的报价</w:t>
      </w:r>
      <w:r>
        <w:rPr>
          <w:rFonts w:hint="eastAsia" w:ascii="宋体" w:hAnsi="宋体" w:cs="宋体"/>
          <w:color w:val="auto"/>
          <w:szCs w:val="21"/>
          <w:highlight w:val="none"/>
        </w:rPr>
        <w:t>给予价格扣除，用扣除后的价格参与评审。报价扣除比例为</w:t>
      </w:r>
      <w:r>
        <w:rPr>
          <w:rFonts w:hint="eastAsia" w:ascii="宋体" w:hAnsi="宋体" w:cs="宋体"/>
          <w:color w:val="auto"/>
          <w:kern w:val="0"/>
          <w:szCs w:val="21"/>
          <w:highlight w:val="none"/>
        </w:rPr>
        <w:t>清单中产品最后报价的</w:t>
      </w:r>
      <w:r>
        <w:rPr>
          <w:rFonts w:hint="eastAsia" w:ascii="宋体" w:hAnsi="宋体" w:cs="宋体"/>
          <w:color w:val="auto"/>
          <w:szCs w:val="21"/>
          <w:highlight w:val="none"/>
        </w:rPr>
        <w:t>3%。</w:t>
      </w:r>
    </w:p>
    <w:p>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（2）供应商应同时提供品目清单网络截图，并以明确标注所报产品信息和位置的方式，用以方便评审。</w:t>
      </w:r>
    </w:p>
    <w:p>
      <w:pPr>
        <w:adjustRightInd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（3）认证机构和获证产品信息发布媒体：详见中国政府采购网（www.ccgp.gov.cn）建立的与认证结果信息发布平台的链接。</w:t>
      </w:r>
    </w:p>
    <w:p>
      <w:pPr>
        <w:adjustRightInd w:val="0"/>
        <w:spacing w:line="36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9、响应无效</w:t>
      </w:r>
    </w:p>
    <w:p>
      <w:pPr>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详见供应商须知28条。</w:t>
      </w:r>
    </w:p>
    <w:p>
      <w:pPr>
        <w:numPr>
          <w:ilvl w:val="0"/>
          <w:numId w:val="5"/>
        </w:numPr>
        <w:adjustRightInd w:val="0"/>
        <w:spacing w:line="36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推荐成交候选供应商的原则</w:t>
      </w:r>
    </w:p>
    <w:p>
      <w:pPr>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详见第一章供应商须知第31条，报价相同的处理办法如下：</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得分相同的，按扣除后的最后报价由低到高顺序排列；</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按前款不能区分的，按最后报价由低至高顺序排序；</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按前款不能区分的，按技术指标优劣排序；</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其他情况，由磋商小组集体研究处理。</w:t>
      </w:r>
    </w:p>
    <w:p>
      <w:pPr>
        <w:adjustRightInd w:val="0"/>
        <w:spacing w:line="360" w:lineRule="exact"/>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rPr>
        <w:t>三、</w:t>
      </w:r>
      <w:r>
        <w:rPr>
          <w:rFonts w:hint="eastAsia" w:ascii="宋体" w:hAnsi="宋体" w:cs="宋体"/>
          <w:b/>
          <w:color w:val="auto"/>
          <w:kern w:val="0"/>
          <w:szCs w:val="21"/>
          <w:highlight w:val="none"/>
        </w:rPr>
        <w:t>确定成交供应商</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磋商小组根据全体磋商小组成员签字的原始评标记录和评审结果编写评审报告，并向采购人提交书面评审报告。</w:t>
      </w:r>
    </w:p>
    <w:p>
      <w:pPr>
        <w:adjustRightIn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采购人按照评审报告确定的成交候选供应商名单按顺序确定成交供应商，或由采购人委托磋商小组按照第一章 供应商须知表33条中规定的方式确定成交供应商。</w:t>
      </w:r>
    </w:p>
    <w:p>
      <w:pPr>
        <w:adjustRightInd w:val="0"/>
        <w:spacing w:line="360" w:lineRule="auto"/>
        <w:ind w:firstLine="420" w:firstLineChars="200"/>
        <w:rPr>
          <w:rFonts w:ascii="宋体" w:hAnsi="宋体" w:cs="宋体"/>
          <w:color w:val="auto"/>
          <w:szCs w:val="21"/>
          <w:highlight w:val="none"/>
        </w:rPr>
      </w:pPr>
    </w:p>
    <w:p>
      <w:pPr>
        <w:widowControl/>
        <w:jc w:val="left"/>
        <w:rPr>
          <w:rFonts w:ascii="宋体" w:hAnsi="宋体" w:cs="宋体"/>
          <w:color w:val="auto"/>
          <w:kern w:val="0"/>
          <w:sz w:val="24"/>
          <w:highlight w:val="none"/>
        </w:rPr>
      </w:pPr>
      <w:r>
        <w:rPr>
          <w:rFonts w:hint="eastAsia" w:ascii="宋体" w:hAnsi="宋体" w:cs="宋体"/>
          <w:color w:val="auto"/>
          <w:highlight w:val="none"/>
        </w:rPr>
        <w:br w:type="page"/>
      </w:r>
    </w:p>
    <w:p>
      <w:pPr>
        <w:pStyle w:val="4"/>
        <w:adjustRightInd w:val="0"/>
        <w:snapToGrid w:val="0"/>
        <w:spacing w:before="0" w:after="0" w:line="240" w:lineRule="auto"/>
        <w:jc w:val="left"/>
        <w:rPr>
          <w:rFonts w:ascii="宋体" w:hAnsi="宋体" w:eastAsia="宋体" w:cs="宋体"/>
          <w:color w:val="auto"/>
          <w:highlight w:val="none"/>
        </w:rPr>
      </w:pPr>
      <w:bookmarkStart w:id="86" w:name="_Toc533340170"/>
      <w:bookmarkStart w:id="87" w:name="_Toc4485646"/>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highlight w:val="none"/>
        </w:rPr>
        <w:t>资格审查表</w:t>
      </w:r>
      <w:bookmarkEnd w:id="86"/>
      <w:bookmarkEnd w:id="87"/>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472"/>
        <w:gridCol w:w="1996"/>
        <w:gridCol w:w="1046"/>
        <w:gridCol w:w="1047"/>
        <w:gridCol w:w="10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4" w:type="dxa"/>
            <w:vMerge w:val="restart"/>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bookmarkStart w:id="88" w:name="_Toc4485647"/>
            <w:bookmarkStart w:id="89" w:name="_Toc533340171"/>
            <w:r>
              <w:rPr>
                <w:rFonts w:hint="eastAsia" w:ascii="宋体" w:hAnsi="宋体" w:eastAsia="宋体" w:cs="宋体"/>
                <w:color w:val="auto"/>
                <w:sz w:val="21"/>
                <w:szCs w:val="21"/>
                <w:highlight w:val="none"/>
              </w:rPr>
              <w:t>序号</w:t>
            </w:r>
          </w:p>
        </w:tc>
        <w:tc>
          <w:tcPr>
            <w:tcW w:w="3472" w:type="dxa"/>
            <w:vMerge w:val="restart"/>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审查项目</w:t>
            </w:r>
            <w:bookmarkEnd w:id="88"/>
            <w:bookmarkEnd w:id="89"/>
          </w:p>
        </w:tc>
        <w:tc>
          <w:tcPr>
            <w:tcW w:w="1996" w:type="dxa"/>
            <w:vMerge w:val="restart"/>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bookmarkStart w:id="90" w:name="_Toc533340172"/>
            <w:bookmarkStart w:id="91" w:name="_Toc4485648"/>
            <w:r>
              <w:rPr>
                <w:rFonts w:hint="eastAsia" w:ascii="宋体" w:hAnsi="宋体" w:eastAsia="宋体" w:cs="宋体"/>
                <w:color w:val="auto"/>
                <w:sz w:val="21"/>
                <w:szCs w:val="21"/>
                <w:highlight w:val="none"/>
              </w:rPr>
              <w:t>审查标准</w:t>
            </w:r>
            <w:bookmarkEnd w:id="90"/>
            <w:bookmarkEnd w:id="91"/>
          </w:p>
        </w:tc>
        <w:tc>
          <w:tcPr>
            <w:tcW w:w="3140" w:type="dxa"/>
            <w:gridSpan w:val="3"/>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bookmarkStart w:id="92" w:name="_Toc4485649"/>
            <w:bookmarkStart w:id="93" w:name="_Toc533340173"/>
            <w:r>
              <w:rPr>
                <w:rFonts w:hint="eastAsia" w:ascii="宋体" w:hAnsi="宋体" w:eastAsia="宋体" w:cs="宋体"/>
                <w:color w:val="auto"/>
                <w:sz w:val="21"/>
                <w:szCs w:val="21"/>
                <w:highlight w:val="none"/>
              </w:rPr>
              <w:t>供应商名称</w:t>
            </w:r>
            <w:bookmarkEnd w:id="92"/>
            <w:bookmarkEnd w:id="9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4" w:type="dxa"/>
            <w:vMerge w:val="continue"/>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3472" w:type="dxa"/>
            <w:vMerge w:val="continue"/>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996" w:type="dxa"/>
            <w:vMerge w:val="continue"/>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6"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4" w:type="dxa"/>
            <w:vAlign w:val="center"/>
          </w:tcPr>
          <w:p>
            <w:pPr>
              <w:snapToGrid w:val="0"/>
              <w:jc w:val="center"/>
              <w:rPr>
                <w:rFonts w:ascii="宋体" w:hAnsi="宋体" w:cs="宋体"/>
                <w:color w:val="auto"/>
                <w:highlight w:val="none"/>
              </w:rPr>
            </w:pPr>
            <w:r>
              <w:rPr>
                <w:rFonts w:hint="eastAsia" w:ascii="宋体" w:hAnsi="宋体" w:cs="宋体"/>
                <w:color w:val="auto"/>
                <w:highlight w:val="none"/>
              </w:rPr>
              <w:t>1</w:t>
            </w:r>
          </w:p>
        </w:tc>
        <w:tc>
          <w:tcPr>
            <w:tcW w:w="3472" w:type="dxa"/>
            <w:vAlign w:val="center"/>
          </w:tcPr>
          <w:p>
            <w:pPr>
              <w:snapToGrid w:val="0"/>
              <w:rPr>
                <w:rFonts w:ascii="宋体" w:hAnsi="宋体" w:cs="宋体"/>
                <w:b/>
                <w:color w:val="auto"/>
                <w:szCs w:val="21"/>
                <w:highlight w:val="none"/>
              </w:rPr>
            </w:pPr>
            <w:r>
              <w:rPr>
                <w:rFonts w:hint="eastAsia" w:ascii="宋体" w:hAnsi="宋体" w:cs="宋体"/>
                <w:color w:val="auto"/>
                <w:highlight w:val="none"/>
              </w:rPr>
              <w:t>营业执照或事业单位法人证书或执业许可证等证明文件或自然人的身份证明</w:t>
            </w:r>
          </w:p>
        </w:tc>
        <w:tc>
          <w:tcPr>
            <w:tcW w:w="1996" w:type="dxa"/>
            <w:vAlign w:val="center"/>
          </w:tcPr>
          <w:p>
            <w:pPr>
              <w:pStyle w:val="4"/>
              <w:adjustRightInd w:val="0"/>
              <w:snapToGrid w:val="0"/>
              <w:spacing w:before="0" w:after="0" w:line="240" w:lineRule="auto"/>
              <w:rPr>
                <w:rFonts w:ascii="宋体" w:hAnsi="宋体" w:eastAsia="宋体" w:cs="宋体"/>
                <w:color w:val="auto"/>
                <w:sz w:val="21"/>
                <w:szCs w:val="21"/>
                <w:highlight w:val="none"/>
              </w:rPr>
            </w:pPr>
            <w:bookmarkStart w:id="94" w:name="_Toc533340174"/>
            <w:bookmarkStart w:id="95" w:name="_Toc4485650"/>
            <w:r>
              <w:rPr>
                <w:rFonts w:hint="eastAsia" w:ascii="宋体" w:hAnsi="宋体" w:eastAsia="宋体" w:cs="宋体"/>
                <w:color w:val="auto"/>
                <w:sz w:val="21"/>
                <w:szCs w:val="21"/>
                <w:highlight w:val="none"/>
              </w:rPr>
              <w:t>1、按要求提供</w:t>
            </w:r>
            <w:bookmarkEnd w:id="94"/>
            <w:bookmarkEnd w:id="95"/>
          </w:p>
          <w:p>
            <w:pPr>
              <w:pStyle w:val="4"/>
              <w:adjustRightInd w:val="0"/>
              <w:snapToGrid w:val="0"/>
              <w:spacing w:before="0" w:after="0" w:line="240" w:lineRule="auto"/>
              <w:rPr>
                <w:rFonts w:ascii="宋体" w:hAnsi="宋体" w:eastAsia="宋体" w:cs="宋体"/>
                <w:color w:val="auto"/>
                <w:sz w:val="21"/>
                <w:szCs w:val="21"/>
                <w:highlight w:val="none"/>
              </w:rPr>
            </w:pPr>
            <w:bookmarkStart w:id="96" w:name="_Toc4485651"/>
            <w:bookmarkStart w:id="97" w:name="_Toc533340175"/>
            <w:r>
              <w:rPr>
                <w:rFonts w:hint="eastAsia" w:ascii="宋体" w:hAnsi="宋体" w:eastAsia="宋体" w:cs="宋体"/>
                <w:color w:val="auto"/>
                <w:sz w:val="21"/>
                <w:szCs w:val="21"/>
                <w:highlight w:val="none"/>
              </w:rPr>
              <w:t>2、合法有效</w:t>
            </w:r>
            <w:bookmarkEnd w:id="96"/>
            <w:bookmarkEnd w:id="97"/>
          </w:p>
        </w:tc>
        <w:tc>
          <w:tcPr>
            <w:tcW w:w="1046"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4" w:type="dxa"/>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2</w:t>
            </w:r>
          </w:p>
        </w:tc>
        <w:tc>
          <w:tcPr>
            <w:tcW w:w="3472" w:type="dxa"/>
            <w:vAlign w:val="center"/>
          </w:tcPr>
          <w:p>
            <w:pPr>
              <w:widowControl/>
              <w:snapToGrid w:val="0"/>
              <w:rPr>
                <w:rFonts w:ascii="宋体" w:hAnsi="宋体" w:cs="宋体"/>
                <w:b/>
                <w:color w:val="auto"/>
                <w:szCs w:val="21"/>
                <w:highlight w:val="none"/>
              </w:rPr>
            </w:pPr>
            <w:r>
              <w:rPr>
                <w:rFonts w:hint="eastAsia" w:ascii="宋体" w:hAnsi="宋体" w:cs="宋体"/>
                <w:color w:val="auto"/>
                <w:highlight w:val="none"/>
              </w:rPr>
              <w:t>组织机构代码证</w:t>
            </w:r>
          </w:p>
        </w:tc>
        <w:tc>
          <w:tcPr>
            <w:tcW w:w="1996" w:type="dxa"/>
            <w:vAlign w:val="center"/>
          </w:tcPr>
          <w:p>
            <w:pPr>
              <w:pStyle w:val="4"/>
              <w:adjustRightInd w:val="0"/>
              <w:snapToGrid w:val="0"/>
              <w:spacing w:before="0" w:after="0" w:line="240" w:lineRule="auto"/>
              <w:rPr>
                <w:rFonts w:ascii="宋体" w:hAnsi="宋体" w:eastAsia="宋体" w:cs="宋体"/>
                <w:color w:val="auto"/>
                <w:sz w:val="21"/>
                <w:szCs w:val="21"/>
                <w:highlight w:val="none"/>
              </w:rPr>
            </w:pPr>
            <w:bookmarkStart w:id="98" w:name="_Toc533340176"/>
            <w:bookmarkStart w:id="99" w:name="_Toc4485652"/>
            <w:r>
              <w:rPr>
                <w:rFonts w:hint="eastAsia" w:ascii="宋体" w:hAnsi="宋体" w:eastAsia="宋体" w:cs="宋体"/>
                <w:color w:val="auto"/>
                <w:sz w:val="21"/>
                <w:szCs w:val="21"/>
                <w:highlight w:val="none"/>
              </w:rPr>
              <w:t>1、按要求提供</w:t>
            </w:r>
            <w:bookmarkEnd w:id="98"/>
            <w:bookmarkEnd w:id="99"/>
          </w:p>
          <w:p>
            <w:pPr>
              <w:pStyle w:val="4"/>
              <w:adjustRightInd w:val="0"/>
              <w:snapToGrid w:val="0"/>
              <w:spacing w:before="0" w:after="0" w:line="240" w:lineRule="auto"/>
              <w:rPr>
                <w:rFonts w:ascii="宋体" w:hAnsi="宋体" w:eastAsia="宋体" w:cs="宋体"/>
                <w:color w:val="auto"/>
                <w:sz w:val="21"/>
                <w:szCs w:val="21"/>
                <w:highlight w:val="none"/>
              </w:rPr>
            </w:pPr>
            <w:bookmarkStart w:id="100" w:name="_Toc533340177"/>
            <w:bookmarkStart w:id="101" w:name="_Toc4485653"/>
            <w:r>
              <w:rPr>
                <w:rFonts w:hint="eastAsia" w:ascii="宋体" w:hAnsi="宋体" w:eastAsia="宋体" w:cs="宋体"/>
                <w:color w:val="auto"/>
                <w:sz w:val="21"/>
                <w:szCs w:val="21"/>
                <w:highlight w:val="none"/>
              </w:rPr>
              <w:t>2、合法有效</w:t>
            </w:r>
            <w:bookmarkEnd w:id="100"/>
            <w:bookmarkEnd w:id="101"/>
          </w:p>
        </w:tc>
        <w:tc>
          <w:tcPr>
            <w:tcW w:w="104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4" w:type="dxa"/>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3</w:t>
            </w:r>
          </w:p>
        </w:tc>
        <w:tc>
          <w:tcPr>
            <w:tcW w:w="3472" w:type="dxa"/>
            <w:vAlign w:val="center"/>
          </w:tcPr>
          <w:p>
            <w:pPr>
              <w:widowControl/>
              <w:snapToGrid w:val="0"/>
              <w:rPr>
                <w:rFonts w:ascii="宋体" w:hAnsi="宋体" w:cs="宋体"/>
                <w:b/>
                <w:color w:val="auto"/>
                <w:szCs w:val="21"/>
                <w:highlight w:val="none"/>
              </w:rPr>
            </w:pPr>
            <w:r>
              <w:rPr>
                <w:rFonts w:hint="eastAsia" w:ascii="宋体" w:hAnsi="宋体" w:cs="宋体"/>
                <w:color w:val="auto"/>
                <w:highlight w:val="none"/>
              </w:rPr>
              <w:t>税务登记证</w:t>
            </w:r>
          </w:p>
        </w:tc>
        <w:tc>
          <w:tcPr>
            <w:tcW w:w="1996" w:type="dxa"/>
            <w:vAlign w:val="center"/>
          </w:tcPr>
          <w:p>
            <w:pPr>
              <w:pStyle w:val="4"/>
              <w:adjustRightInd w:val="0"/>
              <w:snapToGrid w:val="0"/>
              <w:spacing w:before="0" w:after="0" w:line="240" w:lineRule="auto"/>
              <w:rPr>
                <w:rFonts w:ascii="宋体" w:hAnsi="宋体" w:eastAsia="宋体" w:cs="宋体"/>
                <w:color w:val="auto"/>
                <w:sz w:val="21"/>
                <w:szCs w:val="21"/>
                <w:highlight w:val="none"/>
              </w:rPr>
            </w:pPr>
            <w:bookmarkStart w:id="102" w:name="_Toc4485654"/>
            <w:bookmarkStart w:id="103" w:name="_Toc533340178"/>
            <w:r>
              <w:rPr>
                <w:rFonts w:hint="eastAsia" w:ascii="宋体" w:hAnsi="宋体" w:eastAsia="宋体" w:cs="宋体"/>
                <w:color w:val="auto"/>
                <w:sz w:val="21"/>
                <w:szCs w:val="21"/>
                <w:highlight w:val="none"/>
              </w:rPr>
              <w:t>1、按要求提供</w:t>
            </w:r>
            <w:bookmarkEnd w:id="102"/>
            <w:bookmarkEnd w:id="103"/>
          </w:p>
          <w:p>
            <w:pPr>
              <w:pStyle w:val="4"/>
              <w:adjustRightInd w:val="0"/>
              <w:snapToGrid w:val="0"/>
              <w:spacing w:before="0" w:after="0" w:line="240" w:lineRule="auto"/>
              <w:rPr>
                <w:rFonts w:ascii="宋体" w:hAnsi="宋体" w:eastAsia="宋体" w:cs="宋体"/>
                <w:color w:val="auto"/>
                <w:sz w:val="21"/>
                <w:szCs w:val="21"/>
                <w:highlight w:val="none"/>
              </w:rPr>
            </w:pPr>
            <w:bookmarkStart w:id="104" w:name="_Toc4485655"/>
            <w:bookmarkStart w:id="105" w:name="_Toc533340179"/>
            <w:r>
              <w:rPr>
                <w:rFonts w:hint="eastAsia" w:ascii="宋体" w:hAnsi="宋体" w:eastAsia="宋体" w:cs="宋体"/>
                <w:color w:val="auto"/>
                <w:sz w:val="21"/>
                <w:szCs w:val="21"/>
                <w:highlight w:val="none"/>
              </w:rPr>
              <w:t>2、合法有效</w:t>
            </w:r>
            <w:bookmarkEnd w:id="104"/>
            <w:bookmarkEnd w:id="105"/>
          </w:p>
        </w:tc>
        <w:tc>
          <w:tcPr>
            <w:tcW w:w="104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4" w:type="dxa"/>
            <w:vAlign w:val="center"/>
          </w:tcPr>
          <w:p>
            <w:pPr>
              <w:widowControl/>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472" w:type="dxa"/>
            <w:vAlign w:val="center"/>
          </w:tcPr>
          <w:p>
            <w:pPr>
              <w:widowControl/>
              <w:snapToGrid w:val="0"/>
              <w:rPr>
                <w:rFonts w:ascii="宋体" w:hAnsi="宋体" w:cs="宋体"/>
                <w:b/>
                <w:color w:val="auto"/>
                <w:szCs w:val="21"/>
                <w:highlight w:val="none"/>
              </w:rPr>
            </w:pPr>
            <w:r>
              <w:rPr>
                <w:rFonts w:hint="eastAsia" w:ascii="宋体" w:hAnsi="宋体" w:cs="宋体"/>
                <w:color w:val="auto"/>
                <w:szCs w:val="21"/>
                <w:highlight w:val="none"/>
              </w:rPr>
              <w:t>法定代表人（或非法人组织负责人）身份证明书</w:t>
            </w:r>
          </w:p>
        </w:tc>
        <w:tc>
          <w:tcPr>
            <w:tcW w:w="1996" w:type="dxa"/>
            <w:vAlign w:val="center"/>
          </w:tcPr>
          <w:p>
            <w:pPr>
              <w:pStyle w:val="4"/>
              <w:adjustRightInd w:val="0"/>
              <w:snapToGrid w:val="0"/>
              <w:spacing w:before="0" w:after="0" w:line="240" w:lineRule="auto"/>
              <w:rPr>
                <w:rFonts w:ascii="宋体" w:hAnsi="宋体" w:eastAsia="宋体" w:cs="宋体"/>
                <w:color w:val="auto"/>
                <w:sz w:val="21"/>
                <w:szCs w:val="21"/>
                <w:highlight w:val="none"/>
              </w:rPr>
            </w:pPr>
            <w:bookmarkStart w:id="106" w:name="_Toc533340180"/>
            <w:bookmarkStart w:id="107" w:name="_Toc4485656"/>
            <w:r>
              <w:rPr>
                <w:rFonts w:hint="eastAsia" w:ascii="宋体" w:hAnsi="宋体" w:eastAsia="宋体" w:cs="宋体"/>
                <w:color w:val="auto"/>
                <w:sz w:val="21"/>
                <w:szCs w:val="21"/>
                <w:highlight w:val="none"/>
              </w:rPr>
              <w:t>1、按给定格式填写</w:t>
            </w:r>
            <w:bookmarkEnd w:id="106"/>
            <w:bookmarkEnd w:id="107"/>
          </w:p>
          <w:p>
            <w:pPr>
              <w:pStyle w:val="4"/>
              <w:adjustRightInd w:val="0"/>
              <w:snapToGrid w:val="0"/>
              <w:spacing w:before="0" w:after="0" w:line="240" w:lineRule="auto"/>
              <w:rPr>
                <w:rFonts w:ascii="宋体" w:hAnsi="宋体" w:eastAsia="宋体" w:cs="宋体"/>
                <w:color w:val="auto"/>
                <w:sz w:val="21"/>
                <w:szCs w:val="21"/>
                <w:highlight w:val="none"/>
              </w:rPr>
            </w:pPr>
            <w:bookmarkStart w:id="108" w:name="_Toc533340181"/>
            <w:bookmarkStart w:id="109" w:name="_Toc4485657"/>
            <w:r>
              <w:rPr>
                <w:rFonts w:hint="eastAsia" w:ascii="宋体" w:hAnsi="宋体" w:eastAsia="宋体" w:cs="宋体"/>
                <w:color w:val="auto"/>
                <w:sz w:val="21"/>
                <w:szCs w:val="21"/>
                <w:highlight w:val="none"/>
              </w:rPr>
              <w:t>2、按规定签章</w:t>
            </w:r>
            <w:bookmarkEnd w:id="108"/>
            <w:bookmarkEnd w:id="109"/>
          </w:p>
        </w:tc>
        <w:tc>
          <w:tcPr>
            <w:tcW w:w="104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4" w:type="dxa"/>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5</w:t>
            </w:r>
          </w:p>
        </w:tc>
        <w:tc>
          <w:tcPr>
            <w:tcW w:w="3472" w:type="dxa"/>
            <w:vAlign w:val="center"/>
          </w:tcPr>
          <w:p>
            <w:pPr>
              <w:widowControl/>
              <w:snapToGrid w:val="0"/>
              <w:rPr>
                <w:rFonts w:ascii="宋体" w:hAnsi="宋体" w:cs="宋体"/>
                <w:b/>
                <w:color w:val="auto"/>
                <w:szCs w:val="21"/>
                <w:highlight w:val="none"/>
              </w:rPr>
            </w:pPr>
            <w:r>
              <w:rPr>
                <w:rFonts w:hint="eastAsia" w:ascii="宋体" w:hAnsi="宋体" w:cs="宋体"/>
                <w:color w:val="auto"/>
                <w:highlight w:val="none"/>
              </w:rPr>
              <w:t>法定代表人（或非法人组织</w:t>
            </w:r>
            <w:r>
              <w:rPr>
                <w:rFonts w:hint="eastAsia" w:ascii="宋体" w:hAnsi="宋体" w:cs="宋体"/>
                <w:color w:val="auto"/>
                <w:szCs w:val="21"/>
                <w:highlight w:val="none"/>
              </w:rPr>
              <w:t>负责人）</w:t>
            </w:r>
            <w:r>
              <w:rPr>
                <w:rFonts w:hint="eastAsia" w:ascii="宋体" w:hAnsi="宋体" w:cs="宋体"/>
                <w:color w:val="auto"/>
                <w:highlight w:val="none"/>
              </w:rPr>
              <w:t>授权委托书</w:t>
            </w:r>
            <w:r>
              <w:rPr>
                <w:rFonts w:hint="eastAsia" w:ascii="宋体" w:hAnsi="宋体" w:cs="宋体"/>
                <w:color w:val="auto"/>
                <w:szCs w:val="21"/>
                <w:highlight w:val="none"/>
              </w:rPr>
              <w:t>（如适用）</w:t>
            </w:r>
          </w:p>
        </w:tc>
        <w:tc>
          <w:tcPr>
            <w:tcW w:w="1996" w:type="dxa"/>
            <w:vAlign w:val="center"/>
          </w:tcPr>
          <w:p>
            <w:pPr>
              <w:pStyle w:val="4"/>
              <w:adjustRightInd w:val="0"/>
              <w:snapToGrid w:val="0"/>
              <w:spacing w:before="0" w:after="0" w:line="240" w:lineRule="auto"/>
              <w:rPr>
                <w:rFonts w:ascii="宋体" w:hAnsi="宋体" w:eastAsia="宋体" w:cs="宋体"/>
                <w:color w:val="auto"/>
                <w:sz w:val="21"/>
                <w:szCs w:val="21"/>
                <w:highlight w:val="none"/>
              </w:rPr>
            </w:pPr>
            <w:bookmarkStart w:id="110" w:name="_Toc4485658"/>
            <w:bookmarkStart w:id="111" w:name="_Toc533340182"/>
            <w:r>
              <w:rPr>
                <w:rFonts w:hint="eastAsia" w:ascii="宋体" w:hAnsi="宋体" w:eastAsia="宋体" w:cs="宋体"/>
                <w:color w:val="auto"/>
                <w:sz w:val="21"/>
                <w:szCs w:val="21"/>
                <w:highlight w:val="none"/>
              </w:rPr>
              <w:t>1、按给定格式填写</w:t>
            </w:r>
            <w:bookmarkEnd w:id="110"/>
            <w:bookmarkEnd w:id="111"/>
          </w:p>
          <w:p>
            <w:pPr>
              <w:pStyle w:val="4"/>
              <w:adjustRightInd w:val="0"/>
              <w:snapToGrid w:val="0"/>
              <w:spacing w:before="0" w:after="0" w:line="240" w:lineRule="auto"/>
              <w:rPr>
                <w:rFonts w:ascii="宋体" w:hAnsi="宋体" w:eastAsia="宋体" w:cs="宋体"/>
                <w:color w:val="auto"/>
                <w:sz w:val="21"/>
                <w:szCs w:val="21"/>
                <w:highlight w:val="none"/>
              </w:rPr>
            </w:pPr>
            <w:bookmarkStart w:id="112" w:name="_Toc533340183"/>
            <w:bookmarkStart w:id="113" w:name="_Toc4485659"/>
            <w:r>
              <w:rPr>
                <w:rFonts w:hint="eastAsia" w:ascii="宋体" w:hAnsi="宋体" w:eastAsia="宋体" w:cs="宋体"/>
                <w:color w:val="auto"/>
                <w:sz w:val="21"/>
                <w:szCs w:val="21"/>
                <w:highlight w:val="none"/>
              </w:rPr>
              <w:t>2、按规定签章</w:t>
            </w:r>
            <w:bookmarkEnd w:id="112"/>
            <w:bookmarkEnd w:id="113"/>
          </w:p>
        </w:tc>
        <w:tc>
          <w:tcPr>
            <w:tcW w:w="104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4" w:type="dxa"/>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6</w:t>
            </w:r>
          </w:p>
        </w:tc>
        <w:tc>
          <w:tcPr>
            <w:tcW w:w="3472" w:type="dxa"/>
            <w:vAlign w:val="center"/>
          </w:tcPr>
          <w:p>
            <w:pPr>
              <w:widowControl/>
              <w:snapToGrid w:val="0"/>
              <w:rPr>
                <w:rFonts w:ascii="宋体" w:hAnsi="宋体" w:cs="宋体"/>
                <w:b/>
                <w:color w:val="auto"/>
                <w:szCs w:val="21"/>
                <w:highlight w:val="none"/>
              </w:rPr>
            </w:pPr>
            <w:r>
              <w:rPr>
                <w:rFonts w:hint="eastAsia" w:ascii="宋体" w:hAnsi="宋体" w:cs="宋体"/>
                <w:color w:val="auto"/>
                <w:highlight w:val="none"/>
              </w:rPr>
              <w:t>具有良好的商业信誉和健全的财务会计制度的承诺函</w:t>
            </w:r>
          </w:p>
        </w:tc>
        <w:tc>
          <w:tcPr>
            <w:tcW w:w="1996" w:type="dxa"/>
            <w:vAlign w:val="center"/>
          </w:tcPr>
          <w:p>
            <w:pPr>
              <w:pStyle w:val="4"/>
              <w:adjustRightInd w:val="0"/>
              <w:snapToGrid w:val="0"/>
              <w:spacing w:before="0" w:after="0" w:line="240" w:lineRule="auto"/>
              <w:rPr>
                <w:rFonts w:ascii="宋体" w:hAnsi="宋体" w:eastAsia="宋体" w:cs="宋体"/>
                <w:color w:val="auto"/>
                <w:sz w:val="21"/>
                <w:szCs w:val="21"/>
                <w:highlight w:val="none"/>
              </w:rPr>
            </w:pPr>
            <w:bookmarkStart w:id="114" w:name="_Toc4485660"/>
            <w:bookmarkStart w:id="115" w:name="_Toc533340184"/>
            <w:r>
              <w:rPr>
                <w:rFonts w:hint="eastAsia" w:ascii="宋体" w:hAnsi="宋体" w:eastAsia="宋体" w:cs="宋体"/>
                <w:color w:val="auto"/>
                <w:sz w:val="21"/>
                <w:szCs w:val="21"/>
                <w:highlight w:val="none"/>
              </w:rPr>
              <w:t>1、按要求提供</w:t>
            </w:r>
            <w:bookmarkEnd w:id="114"/>
            <w:bookmarkEnd w:id="115"/>
          </w:p>
          <w:p>
            <w:pPr>
              <w:pStyle w:val="4"/>
              <w:adjustRightInd w:val="0"/>
              <w:snapToGrid w:val="0"/>
              <w:spacing w:before="0" w:after="0" w:line="240" w:lineRule="auto"/>
              <w:rPr>
                <w:rFonts w:ascii="宋体" w:hAnsi="宋体" w:eastAsia="宋体" w:cs="宋体"/>
                <w:color w:val="auto"/>
                <w:sz w:val="21"/>
                <w:szCs w:val="21"/>
                <w:highlight w:val="none"/>
              </w:rPr>
            </w:pPr>
            <w:bookmarkStart w:id="116" w:name="_Toc4485661"/>
            <w:bookmarkStart w:id="117" w:name="_Toc533340185"/>
            <w:r>
              <w:rPr>
                <w:rFonts w:hint="eastAsia" w:ascii="宋体" w:hAnsi="宋体" w:eastAsia="宋体" w:cs="宋体"/>
                <w:color w:val="auto"/>
                <w:sz w:val="21"/>
                <w:szCs w:val="21"/>
                <w:highlight w:val="none"/>
              </w:rPr>
              <w:t>2、合法有效</w:t>
            </w:r>
            <w:bookmarkEnd w:id="116"/>
            <w:bookmarkEnd w:id="117"/>
          </w:p>
        </w:tc>
        <w:tc>
          <w:tcPr>
            <w:tcW w:w="104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4" w:type="dxa"/>
            <w:vAlign w:val="center"/>
          </w:tcPr>
          <w:p>
            <w:pPr>
              <w:snapToGrid w:val="0"/>
              <w:jc w:val="center"/>
              <w:rPr>
                <w:rFonts w:ascii="宋体" w:hAnsi="宋体" w:cs="宋体"/>
                <w:color w:val="auto"/>
                <w:highlight w:val="none"/>
              </w:rPr>
            </w:pPr>
            <w:r>
              <w:rPr>
                <w:rFonts w:hint="eastAsia" w:ascii="宋体" w:hAnsi="宋体" w:cs="宋体"/>
                <w:color w:val="auto"/>
                <w:highlight w:val="none"/>
              </w:rPr>
              <w:t>7</w:t>
            </w:r>
          </w:p>
        </w:tc>
        <w:tc>
          <w:tcPr>
            <w:tcW w:w="3472" w:type="dxa"/>
            <w:vAlign w:val="center"/>
          </w:tcPr>
          <w:p>
            <w:pPr>
              <w:snapToGrid w:val="0"/>
              <w:rPr>
                <w:rFonts w:ascii="宋体" w:hAnsi="宋体" w:cs="宋体"/>
                <w:b/>
                <w:color w:val="auto"/>
                <w:szCs w:val="21"/>
                <w:highlight w:val="none"/>
              </w:rPr>
            </w:pPr>
            <w:r>
              <w:rPr>
                <w:rFonts w:hint="eastAsia" w:ascii="宋体" w:hAnsi="宋体" w:cs="宋体"/>
                <w:color w:val="auto"/>
                <w:highlight w:val="none"/>
              </w:rPr>
              <w:t>竞争性磋商公告前六个月内任一个月的依法缴纳税收（包括但不限于增值税或企业所得税）的缴款凭据</w:t>
            </w:r>
          </w:p>
        </w:tc>
        <w:tc>
          <w:tcPr>
            <w:tcW w:w="1996" w:type="dxa"/>
            <w:vAlign w:val="center"/>
          </w:tcPr>
          <w:p>
            <w:pPr>
              <w:pStyle w:val="4"/>
              <w:adjustRightInd w:val="0"/>
              <w:snapToGrid w:val="0"/>
              <w:spacing w:before="0" w:after="0" w:line="240" w:lineRule="auto"/>
              <w:rPr>
                <w:rFonts w:ascii="宋体" w:hAnsi="宋体" w:eastAsia="宋体" w:cs="宋体"/>
                <w:color w:val="auto"/>
                <w:sz w:val="21"/>
                <w:szCs w:val="21"/>
                <w:highlight w:val="none"/>
              </w:rPr>
            </w:pPr>
            <w:bookmarkStart w:id="118" w:name="_Toc4485662"/>
            <w:bookmarkStart w:id="119" w:name="_Toc533340186"/>
            <w:r>
              <w:rPr>
                <w:rFonts w:hint="eastAsia" w:ascii="宋体" w:hAnsi="宋体" w:eastAsia="宋体" w:cs="宋体"/>
                <w:color w:val="auto"/>
                <w:sz w:val="21"/>
                <w:szCs w:val="21"/>
                <w:highlight w:val="none"/>
              </w:rPr>
              <w:t>1、按要求提供</w:t>
            </w:r>
            <w:bookmarkEnd w:id="118"/>
            <w:bookmarkEnd w:id="119"/>
          </w:p>
          <w:p>
            <w:pPr>
              <w:pStyle w:val="4"/>
              <w:adjustRightInd w:val="0"/>
              <w:snapToGrid w:val="0"/>
              <w:spacing w:before="0" w:after="0" w:line="240" w:lineRule="auto"/>
              <w:rPr>
                <w:rFonts w:ascii="宋体" w:hAnsi="宋体" w:eastAsia="宋体" w:cs="宋体"/>
                <w:color w:val="auto"/>
                <w:sz w:val="21"/>
                <w:szCs w:val="21"/>
                <w:highlight w:val="none"/>
              </w:rPr>
            </w:pPr>
            <w:bookmarkStart w:id="120" w:name="_Toc533340187"/>
            <w:bookmarkStart w:id="121" w:name="_Toc4485663"/>
            <w:r>
              <w:rPr>
                <w:rFonts w:hint="eastAsia" w:ascii="宋体" w:hAnsi="宋体" w:eastAsia="宋体" w:cs="宋体"/>
                <w:color w:val="auto"/>
                <w:sz w:val="21"/>
                <w:szCs w:val="21"/>
                <w:highlight w:val="none"/>
              </w:rPr>
              <w:t>2、合法有效</w:t>
            </w:r>
            <w:bookmarkEnd w:id="120"/>
            <w:bookmarkEnd w:id="121"/>
          </w:p>
        </w:tc>
        <w:tc>
          <w:tcPr>
            <w:tcW w:w="104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4" w:type="dxa"/>
            <w:vAlign w:val="center"/>
          </w:tcPr>
          <w:p>
            <w:pPr>
              <w:snapToGrid w:val="0"/>
              <w:jc w:val="center"/>
              <w:rPr>
                <w:rFonts w:ascii="宋体" w:hAnsi="宋体" w:cs="宋体"/>
                <w:color w:val="auto"/>
                <w:highlight w:val="none"/>
              </w:rPr>
            </w:pPr>
            <w:r>
              <w:rPr>
                <w:rFonts w:hint="eastAsia" w:ascii="宋体" w:hAnsi="宋体" w:cs="宋体"/>
                <w:color w:val="auto"/>
                <w:highlight w:val="none"/>
              </w:rPr>
              <w:t>8</w:t>
            </w:r>
          </w:p>
        </w:tc>
        <w:tc>
          <w:tcPr>
            <w:tcW w:w="3472" w:type="dxa"/>
            <w:vAlign w:val="center"/>
          </w:tcPr>
          <w:p>
            <w:pPr>
              <w:snapToGrid w:val="0"/>
              <w:rPr>
                <w:rFonts w:ascii="宋体" w:hAnsi="宋体" w:cs="宋体"/>
                <w:b/>
                <w:color w:val="auto"/>
                <w:szCs w:val="21"/>
                <w:highlight w:val="none"/>
              </w:rPr>
            </w:pPr>
            <w:r>
              <w:rPr>
                <w:rFonts w:hint="eastAsia" w:ascii="宋体" w:hAnsi="宋体" w:cs="宋体"/>
                <w:color w:val="auto"/>
                <w:highlight w:val="none"/>
              </w:rPr>
              <w:t>竞争性磋商前六个月内任一个月的依法缴纳社会保障资金的缴款凭据</w:t>
            </w:r>
          </w:p>
        </w:tc>
        <w:tc>
          <w:tcPr>
            <w:tcW w:w="1996" w:type="dxa"/>
            <w:vAlign w:val="center"/>
          </w:tcPr>
          <w:p>
            <w:pPr>
              <w:pStyle w:val="4"/>
              <w:adjustRightInd w:val="0"/>
              <w:snapToGrid w:val="0"/>
              <w:spacing w:before="0" w:after="0" w:line="240" w:lineRule="auto"/>
              <w:rPr>
                <w:rFonts w:ascii="宋体" w:hAnsi="宋体" w:eastAsia="宋体" w:cs="宋体"/>
                <w:color w:val="auto"/>
                <w:sz w:val="21"/>
                <w:szCs w:val="21"/>
                <w:highlight w:val="none"/>
              </w:rPr>
            </w:pPr>
            <w:bookmarkStart w:id="122" w:name="_Toc4485664"/>
            <w:bookmarkStart w:id="123" w:name="_Toc533340188"/>
            <w:r>
              <w:rPr>
                <w:rFonts w:hint="eastAsia" w:ascii="宋体" w:hAnsi="宋体" w:eastAsia="宋体" w:cs="宋体"/>
                <w:color w:val="auto"/>
                <w:sz w:val="21"/>
                <w:szCs w:val="21"/>
                <w:highlight w:val="none"/>
              </w:rPr>
              <w:t>1、按要求提供</w:t>
            </w:r>
            <w:bookmarkEnd w:id="122"/>
            <w:bookmarkEnd w:id="123"/>
          </w:p>
          <w:p>
            <w:pPr>
              <w:pStyle w:val="4"/>
              <w:adjustRightInd w:val="0"/>
              <w:snapToGrid w:val="0"/>
              <w:spacing w:before="0" w:after="0" w:line="240" w:lineRule="auto"/>
              <w:rPr>
                <w:rFonts w:ascii="宋体" w:hAnsi="宋体" w:eastAsia="宋体" w:cs="宋体"/>
                <w:color w:val="auto"/>
                <w:sz w:val="21"/>
                <w:szCs w:val="21"/>
                <w:highlight w:val="none"/>
              </w:rPr>
            </w:pPr>
            <w:bookmarkStart w:id="124" w:name="_Toc533340189"/>
            <w:bookmarkStart w:id="125" w:name="_Toc4485665"/>
            <w:r>
              <w:rPr>
                <w:rFonts w:hint="eastAsia" w:ascii="宋体" w:hAnsi="宋体" w:eastAsia="宋体" w:cs="宋体"/>
                <w:color w:val="auto"/>
                <w:sz w:val="21"/>
                <w:szCs w:val="21"/>
                <w:highlight w:val="none"/>
              </w:rPr>
              <w:t>2、合法有效</w:t>
            </w:r>
            <w:bookmarkEnd w:id="124"/>
            <w:bookmarkEnd w:id="125"/>
          </w:p>
        </w:tc>
        <w:tc>
          <w:tcPr>
            <w:tcW w:w="104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14" w:type="dxa"/>
            <w:vAlign w:val="center"/>
          </w:tcPr>
          <w:p>
            <w:pPr>
              <w:snapToGrid w:val="0"/>
              <w:jc w:val="center"/>
              <w:rPr>
                <w:rFonts w:ascii="宋体" w:hAnsi="宋体" w:cs="宋体"/>
                <w:color w:val="auto"/>
                <w:highlight w:val="none"/>
              </w:rPr>
            </w:pPr>
            <w:r>
              <w:rPr>
                <w:rFonts w:hint="eastAsia" w:ascii="宋体" w:hAnsi="宋体" w:cs="宋体"/>
                <w:color w:val="auto"/>
                <w:highlight w:val="none"/>
              </w:rPr>
              <w:t>9</w:t>
            </w:r>
          </w:p>
        </w:tc>
        <w:tc>
          <w:tcPr>
            <w:tcW w:w="3472" w:type="dxa"/>
            <w:vAlign w:val="center"/>
          </w:tcPr>
          <w:p>
            <w:pPr>
              <w:snapToGrid w:val="0"/>
              <w:rPr>
                <w:rFonts w:ascii="宋体" w:hAnsi="宋体" w:cs="宋体"/>
                <w:b/>
                <w:color w:val="auto"/>
                <w:szCs w:val="21"/>
                <w:highlight w:val="none"/>
              </w:rPr>
            </w:pPr>
            <w:r>
              <w:rPr>
                <w:rFonts w:hint="eastAsia" w:ascii="宋体" w:hAnsi="宋体" w:cs="宋体"/>
                <w:color w:val="auto"/>
                <w:highlight w:val="none"/>
              </w:rPr>
              <w:t>具备履行合同所必需的设备和专业技术能力声明函</w:t>
            </w:r>
          </w:p>
        </w:tc>
        <w:tc>
          <w:tcPr>
            <w:tcW w:w="1996" w:type="dxa"/>
            <w:vAlign w:val="center"/>
          </w:tcPr>
          <w:p>
            <w:pPr>
              <w:pStyle w:val="4"/>
              <w:adjustRightInd w:val="0"/>
              <w:snapToGrid w:val="0"/>
              <w:spacing w:before="0" w:after="0" w:line="240" w:lineRule="auto"/>
              <w:rPr>
                <w:rFonts w:ascii="宋体" w:hAnsi="宋体" w:eastAsia="宋体" w:cs="宋体"/>
                <w:color w:val="auto"/>
                <w:sz w:val="21"/>
                <w:szCs w:val="21"/>
                <w:highlight w:val="none"/>
              </w:rPr>
            </w:pPr>
            <w:bookmarkStart w:id="126" w:name="_Toc533340190"/>
            <w:bookmarkStart w:id="127" w:name="_Toc4485666"/>
            <w:r>
              <w:rPr>
                <w:rFonts w:hint="eastAsia" w:ascii="宋体" w:hAnsi="宋体" w:eastAsia="宋体" w:cs="宋体"/>
                <w:color w:val="auto"/>
                <w:sz w:val="21"/>
                <w:szCs w:val="21"/>
                <w:highlight w:val="none"/>
              </w:rPr>
              <w:t>1、信息完整</w:t>
            </w:r>
            <w:bookmarkEnd w:id="126"/>
            <w:bookmarkEnd w:id="127"/>
          </w:p>
          <w:p>
            <w:pPr>
              <w:pStyle w:val="4"/>
              <w:adjustRightInd w:val="0"/>
              <w:snapToGrid w:val="0"/>
              <w:spacing w:before="0" w:after="0" w:line="240" w:lineRule="auto"/>
              <w:rPr>
                <w:rFonts w:ascii="宋体" w:hAnsi="宋体" w:eastAsia="宋体" w:cs="宋体"/>
                <w:color w:val="auto"/>
                <w:sz w:val="21"/>
                <w:szCs w:val="21"/>
                <w:highlight w:val="none"/>
              </w:rPr>
            </w:pPr>
            <w:bookmarkStart w:id="128" w:name="_Toc533340191"/>
            <w:bookmarkStart w:id="129" w:name="_Toc4485667"/>
            <w:r>
              <w:rPr>
                <w:rFonts w:hint="eastAsia" w:ascii="宋体" w:hAnsi="宋体" w:eastAsia="宋体" w:cs="宋体"/>
                <w:color w:val="auto"/>
                <w:sz w:val="21"/>
                <w:szCs w:val="21"/>
                <w:highlight w:val="none"/>
              </w:rPr>
              <w:t>2、按规定签章</w:t>
            </w:r>
            <w:bookmarkEnd w:id="128"/>
            <w:bookmarkEnd w:id="129"/>
          </w:p>
        </w:tc>
        <w:tc>
          <w:tcPr>
            <w:tcW w:w="104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4"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w:t>
            </w:r>
          </w:p>
        </w:tc>
        <w:tc>
          <w:tcPr>
            <w:tcW w:w="3472" w:type="dxa"/>
            <w:vAlign w:val="center"/>
          </w:tcPr>
          <w:p>
            <w:pPr>
              <w:snapToGrid w:val="0"/>
              <w:rPr>
                <w:rFonts w:ascii="宋体" w:hAnsi="宋体" w:cs="宋体"/>
                <w:color w:val="auto"/>
                <w:highlight w:val="none"/>
              </w:rPr>
            </w:pPr>
            <w:r>
              <w:rPr>
                <w:rFonts w:hint="eastAsia" w:ascii="宋体" w:hAnsi="宋体" w:cs="宋体"/>
                <w:color w:val="auto"/>
                <w:szCs w:val="21"/>
                <w:highlight w:val="none"/>
              </w:rPr>
              <w:t>参加政府采购活动前3年内在经营活动中没有重大违法记录的书面声明</w:t>
            </w:r>
          </w:p>
        </w:tc>
        <w:tc>
          <w:tcPr>
            <w:tcW w:w="1996" w:type="dxa"/>
            <w:vAlign w:val="center"/>
          </w:tcPr>
          <w:p>
            <w:pPr>
              <w:pStyle w:val="4"/>
              <w:adjustRightInd w:val="0"/>
              <w:snapToGrid w:val="0"/>
              <w:spacing w:before="0" w:after="0" w:line="240" w:lineRule="auto"/>
              <w:rPr>
                <w:rFonts w:ascii="宋体" w:hAnsi="宋体" w:eastAsia="宋体" w:cs="宋体"/>
                <w:color w:val="auto"/>
                <w:sz w:val="21"/>
                <w:szCs w:val="21"/>
                <w:highlight w:val="none"/>
              </w:rPr>
            </w:pPr>
            <w:bookmarkStart w:id="130" w:name="_Toc4485668"/>
            <w:bookmarkStart w:id="131" w:name="_Toc533340192"/>
            <w:r>
              <w:rPr>
                <w:rFonts w:hint="eastAsia" w:ascii="宋体" w:hAnsi="宋体" w:eastAsia="宋体" w:cs="宋体"/>
                <w:color w:val="auto"/>
                <w:sz w:val="21"/>
                <w:szCs w:val="21"/>
                <w:highlight w:val="none"/>
              </w:rPr>
              <w:t>1、按给定格式填写</w:t>
            </w:r>
            <w:bookmarkEnd w:id="130"/>
            <w:bookmarkEnd w:id="131"/>
          </w:p>
          <w:p>
            <w:pPr>
              <w:pStyle w:val="4"/>
              <w:adjustRightInd w:val="0"/>
              <w:snapToGrid w:val="0"/>
              <w:spacing w:before="0" w:after="0" w:line="240" w:lineRule="auto"/>
              <w:rPr>
                <w:rFonts w:ascii="宋体" w:hAnsi="宋体" w:eastAsia="宋体" w:cs="宋体"/>
                <w:color w:val="auto"/>
                <w:sz w:val="21"/>
                <w:szCs w:val="21"/>
                <w:highlight w:val="none"/>
              </w:rPr>
            </w:pPr>
            <w:bookmarkStart w:id="132" w:name="_Toc533340193"/>
            <w:bookmarkStart w:id="133" w:name="_Toc4485669"/>
            <w:r>
              <w:rPr>
                <w:rFonts w:hint="eastAsia" w:ascii="宋体" w:hAnsi="宋体" w:eastAsia="宋体" w:cs="宋体"/>
                <w:color w:val="auto"/>
                <w:sz w:val="21"/>
                <w:szCs w:val="21"/>
                <w:highlight w:val="none"/>
              </w:rPr>
              <w:t>2、按规定签章</w:t>
            </w:r>
            <w:bookmarkEnd w:id="132"/>
            <w:bookmarkEnd w:id="133"/>
          </w:p>
        </w:tc>
        <w:tc>
          <w:tcPr>
            <w:tcW w:w="104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4"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11</w:t>
            </w:r>
          </w:p>
        </w:tc>
        <w:tc>
          <w:tcPr>
            <w:tcW w:w="3472" w:type="dxa"/>
            <w:vAlign w:val="center"/>
          </w:tcPr>
          <w:p>
            <w:pPr>
              <w:adjustRightInd w:val="0"/>
              <w:snapToGrid w:val="0"/>
              <w:rPr>
                <w:rFonts w:hint="eastAsia" w:ascii="宋体" w:hAnsi="宋体" w:cs="Arial"/>
                <w:color w:val="auto"/>
                <w:kern w:val="0"/>
                <w:szCs w:val="21"/>
                <w:highlight w:val="none"/>
              </w:rPr>
            </w:pPr>
            <w:r>
              <w:rPr>
                <w:rFonts w:hint="eastAsia" w:ascii="宋体" w:hAnsi="宋体" w:cs="宋体"/>
                <w:color w:val="auto"/>
                <w:szCs w:val="21"/>
                <w:highlight w:val="none"/>
              </w:rPr>
              <w:t>其它资格证明文件</w:t>
            </w:r>
            <w:r>
              <w:rPr>
                <w:rFonts w:hint="eastAsia" w:ascii="宋体" w:hAnsi="宋体" w:cs="宋体"/>
                <w:color w:val="auto"/>
                <w:szCs w:val="21"/>
                <w:highlight w:val="none"/>
                <w:lang w:val="en-US" w:eastAsia="zh-CN"/>
              </w:rPr>
              <w:t>:</w:t>
            </w:r>
            <w:r>
              <w:rPr>
                <w:rFonts w:hint="eastAsia" w:ascii="宋体" w:hAnsi="宋体" w:cs="Arial"/>
                <w:color w:val="auto"/>
                <w:kern w:val="0"/>
                <w:sz w:val="24"/>
                <w:highlight w:val="none"/>
                <w:lang w:eastAsia="zh-CN"/>
              </w:rPr>
              <w:t>供应商</w:t>
            </w:r>
            <w:r>
              <w:rPr>
                <w:rFonts w:hint="eastAsia" w:ascii="宋体" w:hAnsi="宋体" w:cs="Arial"/>
                <w:color w:val="auto"/>
                <w:kern w:val="0"/>
                <w:sz w:val="24"/>
                <w:highlight w:val="none"/>
              </w:rPr>
              <w:t>为进口产品的代理商时，必须提供货物制造商的授权（如是国内总代理出具的销售授权书，则需要附制造商给国内总代理的授权）</w:t>
            </w:r>
          </w:p>
        </w:tc>
        <w:tc>
          <w:tcPr>
            <w:tcW w:w="1996" w:type="dxa"/>
            <w:vAlign w:val="center"/>
          </w:tcPr>
          <w:p>
            <w:pPr>
              <w:pStyle w:val="4"/>
              <w:adjustRightInd w:val="0"/>
              <w:snapToGrid w:val="0"/>
              <w:spacing w:before="0" w:after="0" w:line="240" w:lineRule="auto"/>
              <w:rPr>
                <w:rFonts w:ascii="宋体" w:hAnsi="宋体" w:eastAsia="宋体" w:cs="宋体"/>
                <w:color w:val="auto"/>
                <w:sz w:val="21"/>
                <w:szCs w:val="21"/>
                <w:highlight w:val="none"/>
              </w:rPr>
            </w:pPr>
            <w:bookmarkStart w:id="134" w:name="_Toc4485670"/>
            <w:bookmarkStart w:id="135" w:name="_Toc533340194"/>
            <w:r>
              <w:rPr>
                <w:rFonts w:hint="eastAsia" w:ascii="宋体" w:hAnsi="宋体" w:eastAsia="宋体" w:cs="宋体"/>
                <w:color w:val="auto"/>
                <w:sz w:val="21"/>
                <w:szCs w:val="21"/>
                <w:highlight w:val="none"/>
              </w:rPr>
              <w:t>1、按要求提供</w:t>
            </w:r>
            <w:bookmarkEnd w:id="134"/>
            <w:bookmarkEnd w:id="135"/>
          </w:p>
          <w:p>
            <w:pPr>
              <w:pStyle w:val="4"/>
              <w:adjustRightInd w:val="0"/>
              <w:snapToGrid w:val="0"/>
              <w:spacing w:before="0" w:after="0" w:line="240" w:lineRule="auto"/>
              <w:rPr>
                <w:rFonts w:ascii="宋体" w:hAnsi="宋体" w:eastAsia="宋体" w:cs="宋体"/>
                <w:color w:val="auto"/>
                <w:sz w:val="21"/>
                <w:szCs w:val="21"/>
                <w:highlight w:val="none"/>
              </w:rPr>
            </w:pPr>
            <w:bookmarkStart w:id="136" w:name="_Toc533340195"/>
            <w:bookmarkStart w:id="137" w:name="_Toc4485671"/>
            <w:r>
              <w:rPr>
                <w:rFonts w:hint="eastAsia" w:ascii="宋体" w:hAnsi="宋体" w:eastAsia="宋体" w:cs="宋体"/>
                <w:color w:val="auto"/>
                <w:sz w:val="21"/>
                <w:szCs w:val="21"/>
                <w:highlight w:val="none"/>
              </w:rPr>
              <w:t>2、合法有效</w:t>
            </w:r>
            <w:bookmarkEnd w:id="136"/>
            <w:bookmarkEnd w:id="137"/>
          </w:p>
        </w:tc>
        <w:tc>
          <w:tcPr>
            <w:tcW w:w="104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12</w:t>
            </w:r>
          </w:p>
        </w:tc>
        <w:tc>
          <w:tcPr>
            <w:tcW w:w="3472" w:type="dxa"/>
            <w:vAlign w:val="center"/>
          </w:tcPr>
          <w:p>
            <w:pPr>
              <w:snapToGrid w:val="0"/>
              <w:rPr>
                <w:rFonts w:ascii="宋体" w:hAnsi="宋体" w:cs="宋体"/>
                <w:b/>
                <w:color w:val="auto"/>
                <w:szCs w:val="21"/>
                <w:highlight w:val="none"/>
              </w:rPr>
            </w:pPr>
            <w:r>
              <w:rPr>
                <w:rFonts w:hint="eastAsia" w:ascii="宋体" w:hAnsi="宋体" w:cs="宋体"/>
                <w:color w:val="auto"/>
                <w:highlight w:val="none"/>
              </w:rPr>
              <w:t>信用记录（</w:t>
            </w:r>
            <w:r>
              <w:rPr>
                <w:rFonts w:hint="eastAsia" w:ascii="宋体" w:hAnsi="宋体" w:cs="宋体"/>
                <w:color w:val="auto"/>
                <w:szCs w:val="21"/>
                <w:highlight w:val="none"/>
              </w:rPr>
              <w:t>采购人或采购代理机构将在资格审查期间内查询</w:t>
            </w:r>
            <w:r>
              <w:rPr>
                <w:rFonts w:hint="eastAsia" w:ascii="宋体" w:hAnsi="宋体" w:cs="宋体"/>
                <w:color w:val="auto"/>
                <w:highlight w:val="none"/>
              </w:rPr>
              <w:t>）</w:t>
            </w:r>
          </w:p>
        </w:tc>
        <w:tc>
          <w:tcPr>
            <w:tcW w:w="1996" w:type="dxa"/>
            <w:vAlign w:val="center"/>
          </w:tcPr>
          <w:p>
            <w:pPr>
              <w:pStyle w:val="4"/>
              <w:adjustRightInd w:val="0"/>
              <w:snapToGrid w:val="0"/>
              <w:spacing w:before="0" w:after="0" w:line="240" w:lineRule="auto"/>
              <w:rPr>
                <w:rFonts w:ascii="宋体" w:hAnsi="宋体" w:eastAsia="宋体" w:cs="宋体"/>
                <w:color w:val="auto"/>
                <w:sz w:val="21"/>
                <w:szCs w:val="21"/>
                <w:highlight w:val="none"/>
              </w:rPr>
            </w:pPr>
            <w:bookmarkStart w:id="138" w:name="_Toc533340198"/>
            <w:bookmarkStart w:id="139" w:name="_Toc4485674"/>
            <w:r>
              <w:rPr>
                <w:rFonts w:hint="eastAsia" w:ascii="宋体" w:hAnsi="宋体" w:eastAsia="宋体" w:cs="宋体"/>
                <w:color w:val="auto"/>
                <w:sz w:val="21"/>
                <w:szCs w:val="21"/>
                <w:highlight w:val="none"/>
              </w:rPr>
              <w:t>无供应商须知</w:t>
            </w:r>
          </w:p>
          <w:p>
            <w:pPr>
              <w:pStyle w:val="4"/>
              <w:adjustRightInd w:val="0"/>
              <w:snapToGrid w:val="0"/>
              <w:spacing w:before="0" w:after="0" w:line="24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22.3.1所述的不良记录</w:t>
            </w:r>
            <w:bookmarkEnd w:id="138"/>
            <w:bookmarkEnd w:id="139"/>
          </w:p>
        </w:tc>
        <w:tc>
          <w:tcPr>
            <w:tcW w:w="104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14" w:type="dxa"/>
            <w:vAlign w:val="center"/>
          </w:tcPr>
          <w:p>
            <w:pPr>
              <w:snapToGrid w:val="0"/>
              <w:jc w:val="center"/>
              <w:rPr>
                <w:rFonts w:ascii="宋体" w:hAnsi="宋体" w:cs="宋体"/>
                <w:color w:val="auto"/>
                <w:highlight w:val="none"/>
              </w:rPr>
            </w:pPr>
          </w:p>
        </w:tc>
        <w:tc>
          <w:tcPr>
            <w:tcW w:w="3472" w:type="dxa"/>
            <w:vAlign w:val="center"/>
          </w:tcPr>
          <w:p>
            <w:pPr>
              <w:snapToGrid w:val="0"/>
              <w:jc w:val="center"/>
              <w:rPr>
                <w:rFonts w:ascii="宋体" w:hAnsi="宋体" w:cs="宋体"/>
                <w:color w:val="auto"/>
                <w:highlight w:val="none"/>
              </w:rPr>
            </w:pPr>
            <w:r>
              <w:rPr>
                <w:rFonts w:hint="eastAsia" w:ascii="宋体" w:hAnsi="宋体" w:cs="宋体"/>
                <w:color w:val="auto"/>
                <w:highlight w:val="none"/>
              </w:rPr>
              <w:t>结论</w:t>
            </w:r>
          </w:p>
        </w:tc>
        <w:tc>
          <w:tcPr>
            <w:tcW w:w="199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4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bl>
    <w:p>
      <w:pPr>
        <w:keepNext/>
        <w:keepLines/>
        <w:adjustRightInd w:val="0"/>
        <w:snapToGrid w:val="0"/>
        <w:spacing w:line="360" w:lineRule="auto"/>
        <w:jc w:val="left"/>
        <w:rPr>
          <w:rFonts w:ascii="宋体" w:hAnsi="宋体" w:cs="宋体"/>
          <w:b/>
          <w:color w:val="auto"/>
          <w:szCs w:val="21"/>
          <w:highlight w:val="none"/>
        </w:rPr>
      </w:pPr>
    </w:p>
    <w:p>
      <w:pPr>
        <w:keepNext/>
        <w:keepLines/>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填表说明：1、每项审查内容中填写“√”或“×”</w:t>
      </w:r>
    </w:p>
    <w:p>
      <w:pPr>
        <w:keepNext/>
        <w:keepLines/>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          2、审查结论填写“通过”或“不通过”</w:t>
      </w:r>
    </w:p>
    <w:p>
      <w:pPr>
        <w:pStyle w:val="16"/>
        <w:widowControl w:val="0"/>
        <w:snapToGrid w:val="0"/>
        <w:spacing w:before="0" w:beforeAutospacing="0" w:after="0" w:afterAutospacing="0"/>
        <w:jc w:val="both"/>
        <w:rPr>
          <w:b/>
          <w:color w:val="auto"/>
          <w:sz w:val="21"/>
          <w:szCs w:val="21"/>
          <w:highlight w:val="none"/>
        </w:rPr>
      </w:pPr>
      <w:r>
        <w:rPr>
          <w:rFonts w:hint="eastAsia"/>
          <w:b/>
          <w:color w:val="auto"/>
          <w:sz w:val="21"/>
          <w:szCs w:val="21"/>
          <w:highlight w:val="none"/>
        </w:rPr>
        <w:t>审查人签字：</w:t>
      </w:r>
    </w:p>
    <w:p>
      <w:pPr>
        <w:pStyle w:val="16"/>
        <w:widowControl w:val="0"/>
        <w:snapToGrid w:val="0"/>
        <w:spacing w:before="0" w:beforeAutospacing="0" w:after="0" w:afterAutospacing="0"/>
        <w:jc w:val="center"/>
        <w:rPr>
          <w:b/>
          <w:color w:val="auto"/>
          <w:sz w:val="21"/>
          <w:szCs w:val="21"/>
          <w:highlight w:val="none"/>
        </w:rPr>
      </w:pPr>
      <w:r>
        <w:rPr>
          <w:rFonts w:hint="eastAsia"/>
          <w:b/>
          <w:color w:val="auto"/>
          <w:sz w:val="21"/>
          <w:szCs w:val="21"/>
          <w:highlight w:val="none"/>
        </w:rPr>
        <w:t xml:space="preserve">                                                日期：   年   月   日</w:t>
      </w:r>
    </w:p>
    <w:p>
      <w:pPr>
        <w:pStyle w:val="16"/>
        <w:widowControl w:val="0"/>
        <w:snapToGrid w:val="0"/>
        <w:spacing w:before="0" w:beforeAutospacing="0" w:after="0" w:afterAutospacing="0"/>
        <w:jc w:val="center"/>
        <w:rPr>
          <w:b/>
          <w:color w:val="auto"/>
          <w:sz w:val="21"/>
          <w:szCs w:val="21"/>
          <w:highlight w:val="none"/>
        </w:rPr>
      </w:pPr>
      <w:r>
        <w:rPr>
          <w:rFonts w:hint="eastAsia"/>
          <w:b/>
          <w:color w:val="auto"/>
          <w:sz w:val="21"/>
          <w:szCs w:val="21"/>
          <w:highlight w:val="none"/>
        </w:rPr>
        <w:br w:type="page"/>
      </w:r>
    </w:p>
    <w:p>
      <w:pPr>
        <w:pStyle w:val="4"/>
        <w:adjustRightInd w:val="0"/>
        <w:snapToGrid w:val="0"/>
        <w:spacing w:before="0" w:after="0" w:line="240" w:lineRule="auto"/>
        <w:jc w:val="left"/>
        <w:rPr>
          <w:rFonts w:ascii="宋体" w:hAnsi="宋体" w:eastAsia="宋体" w:cs="宋体"/>
          <w:color w:val="auto"/>
          <w:highlight w:val="none"/>
        </w:rPr>
      </w:pPr>
      <w:bookmarkStart w:id="140" w:name="_Toc4485675"/>
      <w:bookmarkStart w:id="141" w:name="_Toc533340199"/>
      <w:r>
        <w:rPr>
          <w:rFonts w:hint="eastAsia" w:ascii="宋体" w:hAnsi="宋体" w:eastAsia="宋体" w:cs="宋体"/>
          <w:color w:val="auto"/>
          <w:sz w:val="28"/>
          <w:szCs w:val="28"/>
          <w:highlight w:val="none"/>
        </w:rPr>
        <w:t xml:space="preserve">附件2                  </w:t>
      </w:r>
      <w:r>
        <w:rPr>
          <w:rFonts w:hint="eastAsia" w:ascii="宋体" w:hAnsi="宋体" w:eastAsia="宋体" w:cs="宋体"/>
          <w:color w:val="auto"/>
          <w:highlight w:val="none"/>
        </w:rPr>
        <w:t>符合性审查表</w:t>
      </w:r>
      <w:bookmarkEnd w:id="140"/>
      <w:bookmarkEnd w:id="141"/>
    </w:p>
    <w:tbl>
      <w:tblPr>
        <w:tblStyle w:val="18"/>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15"/>
        <w:gridCol w:w="2887"/>
        <w:gridCol w:w="1006"/>
        <w:gridCol w:w="1117"/>
        <w:gridCol w:w="11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bookmarkStart w:id="142" w:name="_Toc533340200"/>
            <w:bookmarkStart w:id="143" w:name="_Toc4485676"/>
            <w:r>
              <w:rPr>
                <w:rFonts w:hint="eastAsia" w:ascii="宋体" w:hAnsi="宋体" w:eastAsia="宋体" w:cs="宋体"/>
                <w:color w:val="auto"/>
                <w:sz w:val="21"/>
                <w:szCs w:val="21"/>
                <w:highlight w:val="none"/>
              </w:rPr>
              <w:t>序号</w:t>
            </w:r>
          </w:p>
        </w:tc>
        <w:tc>
          <w:tcPr>
            <w:tcW w:w="2415" w:type="dxa"/>
            <w:vMerge w:val="restart"/>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审查项目</w:t>
            </w:r>
            <w:bookmarkEnd w:id="142"/>
            <w:bookmarkEnd w:id="143"/>
          </w:p>
        </w:tc>
        <w:tc>
          <w:tcPr>
            <w:tcW w:w="2887" w:type="dxa"/>
            <w:vMerge w:val="restart"/>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bookmarkStart w:id="144" w:name="_Toc533340201"/>
            <w:bookmarkStart w:id="145" w:name="_Toc4485677"/>
            <w:r>
              <w:rPr>
                <w:rFonts w:hint="eastAsia" w:ascii="宋体" w:hAnsi="宋体" w:eastAsia="宋体" w:cs="宋体"/>
                <w:color w:val="auto"/>
                <w:sz w:val="21"/>
                <w:szCs w:val="21"/>
                <w:highlight w:val="none"/>
              </w:rPr>
              <w:t>审查标准</w:t>
            </w:r>
            <w:bookmarkEnd w:id="144"/>
            <w:bookmarkEnd w:id="145"/>
          </w:p>
        </w:tc>
        <w:tc>
          <w:tcPr>
            <w:tcW w:w="3241" w:type="dxa"/>
            <w:gridSpan w:val="3"/>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bookmarkStart w:id="146" w:name="_Toc533340202"/>
            <w:bookmarkStart w:id="147" w:name="_Toc4485678"/>
            <w:r>
              <w:rPr>
                <w:rFonts w:hint="eastAsia" w:ascii="宋体" w:hAnsi="宋体" w:eastAsia="宋体" w:cs="宋体"/>
                <w:color w:val="auto"/>
                <w:sz w:val="21"/>
                <w:szCs w:val="21"/>
                <w:highlight w:val="none"/>
              </w:rPr>
              <w:t>供应商名称</w:t>
            </w:r>
            <w:bookmarkEnd w:id="146"/>
            <w:bookmarkEnd w:id="14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2415" w:type="dxa"/>
            <w:vMerge w:val="continue"/>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2887" w:type="dxa"/>
            <w:vMerge w:val="continue"/>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06"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7"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8"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415"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响应函</w:t>
            </w:r>
          </w:p>
        </w:tc>
        <w:tc>
          <w:tcPr>
            <w:tcW w:w="2887" w:type="dxa"/>
          </w:tcPr>
          <w:p>
            <w:pPr>
              <w:pStyle w:val="4"/>
              <w:adjustRightInd w:val="0"/>
              <w:snapToGrid w:val="0"/>
              <w:spacing w:before="0" w:after="0" w:line="240" w:lineRule="auto"/>
              <w:jc w:val="left"/>
              <w:rPr>
                <w:rFonts w:ascii="宋体" w:hAnsi="宋体" w:eastAsia="宋体" w:cs="宋体"/>
                <w:color w:val="auto"/>
                <w:sz w:val="21"/>
                <w:szCs w:val="21"/>
                <w:highlight w:val="none"/>
              </w:rPr>
            </w:pPr>
            <w:bookmarkStart w:id="148" w:name="_Toc4485679"/>
            <w:bookmarkStart w:id="149" w:name="_Toc533340203"/>
            <w:r>
              <w:rPr>
                <w:rFonts w:hint="eastAsia" w:ascii="宋体" w:hAnsi="宋体" w:eastAsia="宋体" w:cs="宋体"/>
                <w:color w:val="auto"/>
                <w:sz w:val="21"/>
                <w:szCs w:val="21"/>
                <w:highlight w:val="none"/>
              </w:rPr>
              <w:t>1、按给定格式填写</w:t>
            </w:r>
            <w:bookmarkEnd w:id="148"/>
            <w:bookmarkEnd w:id="149"/>
          </w:p>
          <w:p>
            <w:pPr>
              <w:jc w:val="left"/>
              <w:rPr>
                <w:rFonts w:ascii="宋体" w:hAnsi="宋体" w:cs="宋体"/>
                <w:b/>
                <w:color w:val="auto"/>
                <w:szCs w:val="21"/>
                <w:highlight w:val="none"/>
              </w:rPr>
            </w:pPr>
            <w:r>
              <w:rPr>
                <w:rFonts w:hint="eastAsia" w:ascii="宋体" w:hAnsi="宋体" w:cs="宋体"/>
                <w:b/>
                <w:color w:val="auto"/>
                <w:szCs w:val="21"/>
                <w:highlight w:val="none"/>
              </w:rPr>
              <w:t>2、响应采购文件实质性要求</w:t>
            </w:r>
          </w:p>
          <w:p>
            <w:pPr>
              <w:pStyle w:val="4"/>
              <w:adjustRightInd w:val="0"/>
              <w:snapToGrid w:val="0"/>
              <w:spacing w:before="0" w:after="0" w:line="240" w:lineRule="auto"/>
              <w:jc w:val="left"/>
              <w:rPr>
                <w:rFonts w:ascii="宋体" w:hAnsi="宋体" w:eastAsia="宋体" w:cs="宋体"/>
                <w:color w:val="auto"/>
                <w:sz w:val="21"/>
                <w:szCs w:val="21"/>
                <w:highlight w:val="none"/>
              </w:rPr>
            </w:pPr>
            <w:bookmarkStart w:id="150" w:name="_Toc4485680"/>
            <w:bookmarkStart w:id="151" w:name="_Toc533340204"/>
            <w:r>
              <w:rPr>
                <w:rFonts w:hint="eastAsia" w:ascii="宋体" w:hAnsi="宋体" w:eastAsia="宋体" w:cs="宋体"/>
                <w:color w:val="auto"/>
                <w:sz w:val="21"/>
                <w:szCs w:val="21"/>
                <w:highlight w:val="none"/>
              </w:rPr>
              <w:t>3、按规定签章</w:t>
            </w:r>
            <w:bookmarkEnd w:id="150"/>
            <w:bookmarkEnd w:id="151"/>
          </w:p>
        </w:tc>
        <w:tc>
          <w:tcPr>
            <w:tcW w:w="1006"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7"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8"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415"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递交磋商保证金证明</w:t>
            </w:r>
          </w:p>
        </w:tc>
        <w:tc>
          <w:tcPr>
            <w:tcW w:w="2887" w:type="dxa"/>
          </w:tcPr>
          <w:p>
            <w:pPr>
              <w:pStyle w:val="4"/>
              <w:adjustRightInd w:val="0"/>
              <w:snapToGrid w:val="0"/>
              <w:spacing w:before="0" w:after="0" w:line="24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1、按要求提供</w:t>
            </w:r>
          </w:p>
          <w:p>
            <w:pPr>
              <w:pStyle w:val="4"/>
              <w:adjustRightInd w:val="0"/>
              <w:snapToGrid w:val="0"/>
              <w:spacing w:before="0" w:after="0" w:line="24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2、合法有效</w:t>
            </w:r>
          </w:p>
        </w:tc>
        <w:tc>
          <w:tcPr>
            <w:tcW w:w="1006"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7"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8"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415"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报价一览表</w:t>
            </w:r>
          </w:p>
        </w:tc>
        <w:tc>
          <w:tcPr>
            <w:tcW w:w="2887" w:type="dxa"/>
          </w:tcPr>
          <w:p>
            <w:pPr>
              <w:pStyle w:val="4"/>
              <w:adjustRightInd w:val="0"/>
              <w:snapToGrid w:val="0"/>
              <w:spacing w:before="0" w:after="0" w:line="240" w:lineRule="auto"/>
              <w:jc w:val="left"/>
              <w:rPr>
                <w:rFonts w:ascii="宋体" w:hAnsi="宋体" w:eastAsia="宋体" w:cs="宋体"/>
                <w:color w:val="auto"/>
                <w:sz w:val="21"/>
                <w:szCs w:val="21"/>
                <w:highlight w:val="none"/>
              </w:rPr>
            </w:pPr>
            <w:bookmarkStart w:id="152" w:name="_Toc4485681"/>
            <w:bookmarkStart w:id="153" w:name="_Toc533340207"/>
            <w:r>
              <w:rPr>
                <w:rFonts w:hint="eastAsia" w:ascii="宋体" w:hAnsi="宋体" w:eastAsia="宋体" w:cs="宋体"/>
                <w:color w:val="auto"/>
                <w:sz w:val="21"/>
                <w:szCs w:val="21"/>
                <w:highlight w:val="none"/>
              </w:rPr>
              <w:t>1、按给定格式填写</w:t>
            </w:r>
            <w:bookmarkEnd w:id="152"/>
            <w:bookmarkEnd w:id="153"/>
          </w:p>
          <w:p>
            <w:pPr>
              <w:jc w:val="left"/>
              <w:rPr>
                <w:rFonts w:ascii="宋体" w:hAnsi="宋体" w:cs="宋体"/>
                <w:b/>
                <w:color w:val="auto"/>
                <w:szCs w:val="21"/>
                <w:highlight w:val="none"/>
              </w:rPr>
            </w:pPr>
            <w:r>
              <w:rPr>
                <w:rFonts w:hint="eastAsia" w:ascii="宋体" w:hAnsi="宋体" w:cs="宋体"/>
                <w:b/>
                <w:color w:val="auto"/>
                <w:szCs w:val="21"/>
                <w:highlight w:val="none"/>
              </w:rPr>
              <w:t>2、响应采购文件实质性要求</w:t>
            </w:r>
          </w:p>
          <w:p>
            <w:pPr>
              <w:pStyle w:val="4"/>
              <w:adjustRightInd w:val="0"/>
              <w:snapToGrid w:val="0"/>
              <w:spacing w:before="0" w:after="0" w:line="240" w:lineRule="auto"/>
              <w:jc w:val="left"/>
              <w:rPr>
                <w:rFonts w:ascii="宋体" w:hAnsi="宋体" w:eastAsia="宋体" w:cs="宋体"/>
                <w:color w:val="auto"/>
                <w:sz w:val="21"/>
                <w:szCs w:val="21"/>
                <w:highlight w:val="none"/>
              </w:rPr>
            </w:pPr>
            <w:bookmarkStart w:id="154" w:name="_Toc533340208"/>
            <w:bookmarkStart w:id="155" w:name="_Toc4485682"/>
            <w:r>
              <w:rPr>
                <w:rFonts w:hint="eastAsia" w:ascii="宋体" w:hAnsi="宋体" w:eastAsia="宋体" w:cs="宋体"/>
                <w:color w:val="auto"/>
                <w:sz w:val="21"/>
                <w:szCs w:val="21"/>
                <w:highlight w:val="none"/>
              </w:rPr>
              <w:t>3、按规定签章</w:t>
            </w:r>
            <w:bookmarkEnd w:id="154"/>
            <w:bookmarkEnd w:id="155"/>
          </w:p>
        </w:tc>
        <w:tc>
          <w:tcPr>
            <w:tcW w:w="100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8"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2415"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分项报价表</w:t>
            </w:r>
          </w:p>
        </w:tc>
        <w:tc>
          <w:tcPr>
            <w:tcW w:w="2887" w:type="dxa"/>
          </w:tcPr>
          <w:p>
            <w:pPr>
              <w:pStyle w:val="4"/>
              <w:adjustRightInd w:val="0"/>
              <w:snapToGrid w:val="0"/>
              <w:spacing w:before="0" w:after="0" w:line="240" w:lineRule="auto"/>
              <w:jc w:val="left"/>
              <w:rPr>
                <w:rFonts w:ascii="宋体" w:hAnsi="宋体" w:eastAsia="宋体" w:cs="宋体"/>
                <w:color w:val="auto"/>
                <w:sz w:val="21"/>
                <w:szCs w:val="21"/>
                <w:highlight w:val="none"/>
              </w:rPr>
            </w:pPr>
            <w:bookmarkStart w:id="156" w:name="_Toc4485683"/>
            <w:bookmarkStart w:id="157" w:name="_Toc533340209"/>
            <w:r>
              <w:rPr>
                <w:rFonts w:hint="eastAsia" w:ascii="宋体" w:hAnsi="宋体" w:eastAsia="宋体" w:cs="宋体"/>
                <w:color w:val="auto"/>
                <w:sz w:val="21"/>
                <w:szCs w:val="21"/>
                <w:highlight w:val="none"/>
              </w:rPr>
              <w:t>1、按给定格式填写</w:t>
            </w:r>
            <w:bookmarkEnd w:id="156"/>
            <w:bookmarkEnd w:id="157"/>
          </w:p>
          <w:p>
            <w:pPr>
              <w:jc w:val="left"/>
              <w:rPr>
                <w:rFonts w:ascii="宋体" w:hAnsi="宋体" w:cs="宋体"/>
                <w:b/>
                <w:color w:val="auto"/>
                <w:szCs w:val="21"/>
                <w:highlight w:val="none"/>
              </w:rPr>
            </w:pPr>
            <w:r>
              <w:rPr>
                <w:rFonts w:hint="eastAsia" w:ascii="宋体" w:hAnsi="宋体" w:cs="宋体"/>
                <w:b/>
                <w:color w:val="auto"/>
                <w:szCs w:val="21"/>
                <w:highlight w:val="none"/>
              </w:rPr>
              <w:t>2、响应采购文件实质性要求</w:t>
            </w:r>
          </w:p>
          <w:p>
            <w:pPr>
              <w:pStyle w:val="4"/>
              <w:adjustRightInd w:val="0"/>
              <w:snapToGrid w:val="0"/>
              <w:spacing w:before="0" w:after="0" w:line="240" w:lineRule="auto"/>
              <w:jc w:val="left"/>
              <w:rPr>
                <w:rFonts w:ascii="宋体" w:hAnsi="宋体" w:eastAsia="宋体" w:cs="宋体"/>
                <w:color w:val="auto"/>
                <w:sz w:val="21"/>
                <w:szCs w:val="21"/>
                <w:highlight w:val="none"/>
              </w:rPr>
            </w:pPr>
            <w:bookmarkStart w:id="158" w:name="_Toc4485684"/>
            <w:bookmarkStart w:id="159" w:name="_Toc533340210"/>
            <w:r>
              <w:rPr>
                <w:rFonts w:hint="eastAsia" w:ascii="宋体" w:hAnsi="宋体" w:eastAsia="宋体" w:cs="宋体"/>
                <w:color w:val="auto"/>
                <w:sz w:val="21"/>
                <w:szCs w:val="21"/>
                <w:highlight w:val="none"/>
              </w:rPr>
              <w:t>3、按规定签章</w:t>
            </w:r>
            <w:bookmarkEnd w:id="158"/>
            <w:bookmarkEnd w:id="159"/>
          </w:p>
        </w:tc>
        <w:tc>
          <w:tcPr>
            <w:tcW w:w="100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8"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2415"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技术规格偏离表</w:t>
            </w:r>
          </w:p>
        </w:tc>
        <w:tc>
          <w:tcPr>
            <w:tcW w:w="2887" w:type="dxa"/>
          </w:tcPr>
          <w:p>
            <w:pPr>
              <w:pStyle w:val="4"/>
              <w:adjustRightInd w:val="0"/>
              <w:snapToGrid w:val="0"/>
              <w:spacing w:before="0" w:after="0" w:line="240" w:lineRule="auto"/>
              <w:jc w:val="left"/>
              <w:rPr>
                <w:rFonts w:ascii="宋体" w:hAnsi="宋体" w:eastAsia="宋体" w:cs="宋体"/>
                <w:color w:val="auto"/>
                <w:sz w:val="21"/>
                <w:szCs w:val="21"/>
                <w:highlight w:val="none"/>
              </w:rPr>
            </w:pPr>
            <w:bookmarkStart w:id="160" w:name="_Toc533340211"/>
            <w:bookmarkStart w:id="161" w:name="_Toc4485685"/>
            <w:r>
              <w:rPr>
                <w:rFonts w:hint="eastAsia" w:ascii="宋体" w:hAnsi="宋体" w:eastAsia="宋体" w:cs="宋体"/>
                <w:color w:val="auto"/>
                <w:sz w:val="21"/>
                <w:szCs w:val="21"/>
                <w:highlight w:val="none"/>
              </w:rPr>
              <w:t>1、按给定格式填写</w:t>
            </w:r>
            <w:bookmarkEnd w:id="160"/>
            <w:bookmarkEnd w:id="161"/>
          </w:p>
          <w:p>
            <w:pPr>
              <w:jc w:val="left"/>
              <w:rPr>
                <w:rFonts w:ascii="宋体" w:hAnsi="宋体" w:cs="宋体"/>
                <w:b/>
                <w:color w:val="auto"/>
                <w:szCs w:val="21"/>
                <w:highlight w:val="none"/>
              </w:rPr>
            </w:pPr>
            <w:r>
              <w:rPr>
                <w:rFonts w:hint="eastAsia" w:ascii="宋体" w:hAnsi="宋体" w:cs="宋体"/>
                <w:b/>
                <w:color w:val="auto"/>
                <w:szCs w:val="21"/>
                <w:highlight w:val="none"/>
              </w:rPr>
              <w:t>2、响应采购文件实质性要求</w:t>
            </w:r>
          </w:p>
          <w:p>
            <w:pPr>
              <w:pStyle w:val="4"/>
              <w:adjustRightInd w:val="0"/>
              <w:snapToGrid w:val="0"/>
              <w:spacing w:before="0" w:after="0" w:line="240" w:lineRule="auto"/>
              <w:jc w:val="left"/>
              <w:rPr>
                <w:rFonts w:ascii="宋体" w:hAnsi="宋体" w:eastAsia="宋体" w:cs="宋体"/>
                <w:color w:val="auto"/>
                <w:sz w:val="21"/>
                <w:szCs w:val="21"/>
                <w:highlight w:val="none"/>
              </w:rPr>
            </w:pPr>
            <w:bookmarkStart w:id="162" w:name="_Toc533340212"/>
            <w:bookmarkStart w:id="163" w:name="_Toc4485686"/>
            <w:r>
              <w:rPr>
                <w:rFonts w:hint="eastAsia" w:ascii="宋体" w:hAnsi="宋体" w:eastAsia="宋体" w:cs="宋体"/>
                <w:color w:val="auto"/>
                <w:sz w:val="21"/>
                <w:szCs w:val="21"/>
                <w:highlight w:val="none"/>
              </w:rPr>
              <w:t>3、按规定签章</w:t>
            </w:r>
            <w:bookmarkEnd w:id="162"/>
            <w:bookmarkEnd w:id="163"/>
          </w:p>
        </w:tc>
        <w:tc>
          <w:tcPr>
            <w:tcW w:w="100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8"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2415"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商务条款偏离表</w:t>
            </w:r>
          </w:p>
        </w:tc>
        <w:tc>
          <w:tcPr>
            <w:tcW w:w="2887" w:type="dxa"/>
          </w:tcPr>
          <w:p>
            <w:pPr>
              <w:pStyle w:val="4"/>
              <w:adjustRightInd w:val="0"/>
              <w:snapToGrid w:val="0"/>
              <w:spacing w:before="0" w:after="0" w:line="240" w:lineRule="auto"/>
              <w:jc w:val="left"/>
              <w:rPr>
                <w:rFonts w:ascii="宋体" w:hAnsi="宋体" w:eastAsia="宋体" w:cs="宋体"/>
                <w:color w:val="auto"/>
                <w:sz w:val="21"/>
                <w:szCs w:val="21"/>
                <w:highlight w:val="none"/>
              </w:rPr>
            </w:pPr>
            <w:bookmarkStart w:id="164" w:name="_Toc533340213"/>
            <w:bookmarkStart w:id="165" w:name="_Toc4485687"/>
            <w:r>
              <w:rPr>
                <w:rFonts w:hint="eastAsia" w:ascii="宋体" w:hAnsi="宋体" w:eastAsia="宋体" w:cs="宋体"/>
                <w:color w:val="auto"/>
                <w:sz w:val="21"/>
                <w:szCs w:val="21"/>
                <w:highlight w:val="none"/>
              </w:rPr>
              <w:t>1、按给定格式填写</w:t>
            </w:r>
            <w:bookmarkEnd w:id="164"/>
            <w:bookmarkEnd w:id="165"/>
          </w:p>
          <w:p>
            <w:pPr>
              <w:jc w:val="left"/>
              <w:rPr>
                <w:rFonts w:ascii="宋体" w:hAnsi="宋体" w:cs="宋体"/>
                <w:b/>
                <w:color w:val="auto"/>
                <w:szCs w:val="21"/>
                <w:highlight w:val="none"/>
              </w:rPr>
            </w:pPr>
            <w:r>
              <w:rPr>
                <w:rFonts w:hint="eastAsia" w:ascii="宋体" w:hAnsi="宋体" w:cs="宋体"/>
                <w:b/>
                <w:color w:val="auto"/>
                <w:szCs w:val="21"/>
                <w:highlight w:val="none"/>
              </w:rPr>
              <w:t>2、响应采购文件实质性要求</w:t>
            </w:r>
          </w:p>
          <w:p>
            <w:pPr>
              <w:pStyle w:val="4"/>
              <w:adjustRightInd w:val="0"/>
              <w:snapToGrid w:val="0"/>
              <w:spacing w:before="0" w:after="0" w:line="240" w:lineRule="auto"/>
              <w:jc w:val="left"/>
              <w:rPr>
                <w:rFonts w:ascii="宋体" w:hAnsi="宋体" w:eastAsia="宋体" w:cs="宋体"/>
                <w:color w:val="auto"/>
                <w:sz w:val="21"/>
                <w:szCs w:val="21"/>
                <w:highlight w:val="none"/>
              </w:rPr>
            </w:pPr>
            <w:bookmarkStart w:id="166" w:name="_Toc4485688"/>
            <w:bookmarkStart w:id="167" w:name="_Toc533340214"/>
            <w:r>
              <w:rPr>
                <w:rFonts w:hint="eastAsia" w:ascii="宋体" w:hAnsi="宋体" w:eastAsia="宋体" w:cs="宋体"/>
                <w:color w:val="auto"/>
                <w:sz w:val="21"/>
                <w:szCs w:val="21"/>
                <w:highlight w:val="none"/>
              </w:rPr>
              <w:t>3、按规定签章</w:t>
            </w:r>
            <w:bookmarkEnd w:id="166"/>
            <w:bookmarkEnd w:id="167"/>
          </w:p>
        </w:tc>
        <w:tc>
          <w:tcPr>
            <w:tcW w:w="100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8"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2415"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供应商关联单位说明</w:t>
            </w:r>
          </w:p>
        </w:tc>
        <w:tc>
          <w:tcPr>
            <w:tcW w:w="2887" w:type="dxa"/>
            <w:vAlign w:val="center"/>
          </w:tcPr>
          <w:p>
            <w:pPr>
              <w:pStyle w:val="4"/>
              <w:adjustRightInd w:val="0"/>
              <w:snapToGrid w:val="0"/>
              <w:spacing w:before="0" w:after="0" w:line="240" w:lineRule="auto"/>
              <w:jc w:val="center"/>
              <w:rPr>
                <w:rFonts w:ascii="宋体" w:hAnsi="宋体" w:eastAsia="宋体" w:cs="宋体"/>
                <w:color w:val="auto"/>
                <w:sz w:val="21"/>
                <w:szCs w:val="21"/>
                <w:highlight w:val="none"/>
              </w:rPr>
            </w:pPr>
            <w:bookmarkStart w:id="168" w:name="_Toc4485689"/>
            <w:bookmarkStart w:id="169" w:name="_Toc533340215"/>
            <w:r>
              <w:rPr>
                <w:rFonts w:hint="eastAsia" w:ascii="宋体" w:hAnsi="宋体" w:eastAsia="宋体" w:cs="宋体"/>
                <w:color w:val="auto"/>
                <w:sz w:val="21"/>
                <w:szCs w:val="21"/>
                <w:highlight w:val="none"/>
              </w:rPr>
              <w:t>无供应商须知1.5</w:t>
            </w:r>
            <w:bookmarkEnd w:id="168"/>
            <w:bookmarkEnd w:id="169"/>
            <w:bookmarkStart w:id="170" w:name="_Toc4485690"/>
            <w:bookmarkStart w:id="171" w:name="_Toc533340216"/>
            <w:r>
              <w:rPr>
                <w:rFonts w:hint="eastAsia" w:ascii="宋体" w:hAnsi="宋体" w:eastAsia="宋体" w:cs="宋体"/>
                <w:color w:val="auto"/>
                <w:sz w:val="21"/>
                <w:szCs w:val="21"/>
                <w:highlight w:val="none"/>
              </w:rPr>
              <w:t>所述情形</w:t>
            </w:r>
            <w:bookmarkEnd w:id="170"/>
            <w:bookmarkEnd w:id="171"/>
          </w:p>
        </w:tc>
        <w:tc>
          <w:tcPr>
            <w:tcW w:w="100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8"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79"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415" w:type="dxa"/>
            <w:vAlign w:val="center"/>
          </w:tcPr>
          <w:p>
            <w:pPr>
              <w:jc w:val="left"/>
              <w:rPr>
                <w:rFonts w:ascii="宋体" w:hAnsi="宋体" w:cs="宋体"/>
                <w:color w:val="auto"/>
                <w:szCs w:val="21"/>
                <w:highlight w:val="none"/>
              </w:rPr>
            </w:pPr>
            <w:r>
              <w:rPr>
                <w:rFonts w:hint="eastAsia" w:ascii="宋体" w:hAnsi="宋体" w:cs="宋体"/>
                <w:color w:val="auto"/>
                <w:kern w:val="0"/>
                <w:szCs w:val="21"/>
                <w:highlight w:val="none"/>
              </w:rPr>
              <w:t>《品目清单》、《节能产品认证证书》（政府强制采购的节能产品须提供）</w:t>
            </w:r>
          </w:p>
        </w:tc>
        <w:tc>
          <w:tcPr>
            <w:tcW w:w="2887" w:type="dxa"/>
            <w:vAlign w:val="center"/>
          </w:tcPr>
          <w:p>
            <w:pPr>
              <w:pStyle w:val="4"/>
              <w:adjustRightInd w:val="0"/>
              <w:snapToGrid w:val="0"/>
              <w:spacing w:before="0" w:after="0" w:line="240" w:lineRule="auto"/>
              <w:jc w:val="left"/>
              <w:rPr>
                <w:rFonts w:ascii="宋体" w:hAnsi="宋体" w:eastAsia="宋体" w:cs="宋体"/>
                <w:color w:val="auto"/>
                <w:sz w:val="21"/>
                <w:szCs w:val="21"/>
                <w:highlight w:val="none"/>
              </w:rPr>
            </w:pPr>
            <w:bookmarkStart w:id="172" w:name="_Toc4485691"/>
            <w:bookmarkStart w:id="173" w:name="_Toc533340217"/>
            <w:r>
              <w:rPr>
                <w:rFonts w:hint="eastAsia" w:ascii="宋体" w:hAnsi="宋体" w:eastAsia="宋体" w:cs="宋体"/>
                <w:color w:val="auto"/>
                <w:sz w:val="21"/>
                <w:szCs w:val="21"/>
                <w:highlight w:val="none"/>
              </w:rPr>
              <w:t>1、按要求提供</w:t>
            </w:r>
            <w:bookmarkEnd w:id="172"/>
            <w:bookmarkEnd w:id="173"/>
          </w:p>
          <w:p>
            <w:pPr>
              <w:pStyle w:val="4"/>
              <w:adjustRightInd w:val="0"/>
              <w:snapToGrid w:val="0"/>
              <w:spacing w:before="0" w:after="0" w:line="240" w:lineRule="auto"/>
              <w:jc w:val="left"/>
              <w:rPr>
                <w:rFonts w:ascii="宋体" w:hAnsi="宋体" w:eastAsia="宋体" w:cs="宋体"/>
                <w:color w:val="auto"/>
                <w:sz w:val="21"/>
                <w:szCs w:val="21"/>
                <w:highlight w:val="none"/>
              </w:rPr>
            </w:pPr>
            <w:bookmarkStart w:id="174" w:name="_Toc533340218"/>
            <w:bookmarkStart w:id="175" w:name="_Toc4485692"/>
            <w:r>
              <w:rPr>
                <w:rFonts w:hint="eastAsia" w:ascii="宋体" w:hAnsi="宋体" w:eastAsia="宋体" w:cs="宋体"/>
                <w:color w:val="auto"/>
                <w:sz w:val="21"/>
                <w:szCs w:val="21"/>
                <w:highlight w:val="none"/>
              </w:rPr>
              <w:t>2、合法有效</w:t>
            </w:r>
            <w:bookmarkEnd w:id="174"/>
            <w:bookmarkEnd w:id="175"/>
          </w:p>
        </w:tc>
        <w:tc>
          <w:tcPr>
            <w:tcW w:w="100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8"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79"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415" w:type="dxa"/>
            <w:vAlign w:val="center"/>
          </w:tcPr>
          <w:p>
            <w:pPr>
              <w:jc w:val="left"/>
              <w:rPr>
                <w:rFonts w:ascii="宋体" w:hAnsi="宋体" w:cs="宋体"/>
                <w:color w:val="auto"/>
                <w:szCs w:val="21"/>
                <w:highlight w:val="none"/>
              </w:rPr>
            </w:pPr>
            <w:r>
              <w:rPr>
                <w:rFonts w:hint="eastAsia" w:ascii="宋体" w:hAnsi="宋体" w:cs="宋体"/>
                <w:color w:val="auto"/>
                <w:kern w:val="0"/>
                <w:szCs w:val="21"/>
                <w:highlight w:val="none"/>
              </w:rPr>
              <w:t>其他符合性证明材料</w:t>
            </w:r>
          </w:p>
        </w:tc>
        <w:tc>
          <w:tcPr>
            <w:tcW w:w="2887" w:type="dxa"/>
            <w:vAlign w:val="center"/>
          </w:tcPr>
          <w:p>
            <w:pPr>
              <w:rPr>
                <w:rFonts w:ascii="宋体" w:hAnsi="宋体" w:cs="宋体"/>
                <w:b/>
                <w:color w:val="auto"/>
                <w:szCs w:val="21"/>
                <w:highlight w:val="none"/>
              </w:rPr>
            </w:pPr>
            <w:r>
              <w:rPr>
                <w:rFonts w:hint="eastAsia" w:ascii="宋体" w:hAnsi="宋体" w:cs="宋体"/>
                <w:b/>
                <w:color w:val="auto"/>
                <w:szCs w:val="21"/>
                <w:highlight w:val="none"/>
              </w:rPr>
              <w:t>响应采购文件实质性要求</w:t>
            </w:r>
          </w:p>
        </w:tc>
        <w:tc>
          <w:tcPr>
            <w:tcW w:w="100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8"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w:t>
            </w:r>
          </w:p>
        </w:tc>
        <w:tc>
          <w:tcPr>
            <w:tcW w:w="2415" w:type="dxa"/>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响应报价</w:t>
            </w:r>
          </w:p>
        </w:tc>
        <w:tc>
          <w:tcPr>
            <w:tcW w:w="2887" w:type="dxa"/>
          </w:tcPr>
          <w:p>
            <w:pPr>
              <w:pStyle w:val="4"/>
              <w:adjustRightInd w:val="0"/>
              <w:snapToGrid w:val="0"/>
              <w:spacing w:before="0" w:after="0" w:line="240" w:lineRule="auto"/>
              <w:jc w:val="left"/>
              <w:rPr>
                <w:rFonts w:ascii="宋体" w:hAnsi="宋体" w:eastAsia="宋体" w:cs="宋体"/>
                <w:color w:val="auto"/>
                <w:sz w:val="21"/>
                <w:szCs w:val="21"/>
                <w:highlight w:val="none"/>
              </w:rPr>
            </w:pPr>
            <w:bookmarkStart w:id="176" w:name="_Toc533340219"/>
            <w:bookmarkStart w:id="177" w:name="_Toc4485693"/>
            <w:r>
              <w:rPr>
                <w:rFonts w:hint="eastAsia" w:ascii="宋体" w:hAnsi="宋体" w:eastAsia="宋体" w:cs="宋体"/>
                <w:color w:val="auto"/>
                <w:sz w:val="21"/>
                <w:szCs w:val="21"/>
                <w:highlight w:val="none"/>
              </w:rPr>
              <w:t>1、响应采购文件实质性要求</w:t>
            </w:r>
            <w:bookmarkEnd w:id="176"/>
            <w:bookmarkEnd w:id="177"/>
          </w:p>
          <w:p>
            <w:pPr>
              <w:pStyle w:val="4"/>
              <w:adjustRightInd w:val="0"/>
              <w:snapToGrid w:val="0"/>
              <w:spacing w:before="0" w:after="0" w:line="240" w:lineRule="auto"/>
              <w:jc w:val="left"/>
              <w:rPr>
                <w:rFonts w:ascii="宋体" w:hAnsi="宋体" w:eastAsia="宋体" w:cs="宋体"/>
                <w:color w:val="auto"/>
                <w:sz w:val="21"/>
                <w:szCs w:val="21"/>
                <w:highlight w:val="none"/>
              </w:rPr>
            </w:pPr>
            <w:bookmarkStart w:id="178" w:name="_Toc533340220"/>
            <w:bookmarkStart w:id="179" w:name="_Toc4485694"/>
            <w:r>
              <w:rPr>
                <w:rFonts w:hint="eastAsia" w:ascii="宋体" w:hAnsi="宋体" w:eastAsia="宋体" w:cs="宋体"/>
                <w:color w:val="auto"/>
                <w:sz w:val="21"/>
                <w:szCs w:val="21"/>
                <w:highlight w:val="none"/>
              </w:rPr>
              <w:t>2、无供应商须知28.2条所述情形</w:t>
            </w:r>
            <w:bookmarkEnd w:id="178"/>
            <w:bookmarkEnd w:id="179"/>
          </w:p>
        </w:tc>
        <w:tc>
          <w:tcPr>
            <w:tcW w:w="100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8"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79" w:type="dxa"/>
            <w:vAlign w:val="center"/>
          </w:tcPr>
          <w:p>
            <w:pPr>
              <w:snapToGrid w:val="0"/>
              <w:jc w:val="center"/>
              <w:rPr>
                <w:rFonts w:ascii="宋体" w:hAnsi="宋体" w:cs="宋体"/>
                <w:color w:val="auto"/>
                <w:szCs w:val="21"/>
                <w:highlight w:val="none"/>
              </w:rPr>
            </w:pPr>
          </w:p>
        </w:tc>
        <w:tc>
          <w:tcPr>
            <w:tcW w:w="241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结论</w:t>
            </w:r>
          </w:p>
        </w:tc>
        <w:tc>
          <w:tcPr>
            <w:tcW w:w="288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006"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7"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c>
          <w:tcPr>
            <w:tcW w:w="1118" w:type="dxa"/>
          </w:tcPr>
          <w:p>
            <w:pPr>
              <w:pStyle w:val="4"/>
              <w:adjustRightInd w:val="0"/>
              <w:snapToGrid w:val="0"/>
              <w:spacing w:before="0" w:after="0" w:line="240" w:lineRule="auto"/>
              <w:jc w:val="center"/>
              <w:rPr>
                <w:rFonts w:ascii="宋体" w:hAnsi="宋体" w:eastAsia="宋体" w:cs="宋体"/>
                <w:color w:val="auto"/>
                <w:sz w:val="21"/>
                <w:szCs w:val="21"/>
                <w:highlight w:val="none"/>
              </w:rPr>
            </w:pPr>
          </w:p>
        </w:tc>
      </w:tr>
    </w:tbl>
    <w:p>
      <w:pPr>
        <w:keepNext/>
        <w:keepLines/>
        <w:adjustRightInd w:val="0"/>
        <w:snapToGrid w:val="0"/>
        <w:spacing w:line="360" w:lineRule="auto"/>
        <w:jc w:val="left"/>
        <w:rPr>
          <w:rFonts w:ascii="宋体" w:hAnsi="宋体" w:cs="宋体"/>
          <w:b/>
          <w:color w:val="auto"/>
          <w:szCs w:val="21"/>
          <w:highlight w:val="none"/>
        </w:rPr>
      </w:pPr>
    </w:p>
    <w:p>
      <w:pPr>
        <w:keepNext/>
        <w:keepLines/>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填表说明：1、每项审查内容中填写“有”或“无”</w:t>
      </w:r>
    </w:p>
    <w:p>
      <w:pPr>
        <w:keepNext/>
        <w:keepLines/>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          2、审查结论填写“通过”或“不通过”</w:t>
      </w:r>
    </w:p>
    <w:p>
      <w:pPr>
        <w:pStyle w:val="16"/>
        <w:widowControl w:val="0"/>
        <w:snapToGrid w:val="0"/>
        <w:spacing w:before="0" w:beforeAutospacing="0" w:after="0" w:afterAutospacing="0"/>
        <w:ind w:left="5903" w:hanging="5903" w:hangingChars="2800"/>
        <w:rPr>
          <w:b/>
          <w:color w:val="auto"/>
          <w:sz w:val="21"/>
          <w:szCs w:val="21"/>
          <w:highlight w:val="none"/>
        </w:rPr>
      </w:pPr>
    </w:p>
    <w:p>
      <w:pPr>
        <w:pStyle w:val="16"/>
        <w:widowControl w:val="0"/>
        <w:snapToGrid w:val="0"/>
        <w:spacing w:before="0" w:beforeAutospacing="0" w:after="0" w:afterAutospacing="0"/>
        <w:ind w:left="5903" w:hanging="5903" w:hangingChars="2800"/>
        <w:rPr>
          <w:b/>
          <w:color w:val="auto"/>
          <w:sz w:val="21"/>
          <w:szCs w:val="21"/>
          <w:highlight w:val="none"/>
        </w:rPr>
      </w:pPr>
      <w:r>
        <w:rPr>
          <w:rFonts w:hint="eastAsia"/>
          <w:b/>
          <w:color w:val="auto"/>
          <w:sz w:val="21"/>
          <w:szCs w:val="21"/>
          <w:highlight w:val="none"/>
        </w:rPr>
        <w:t xml:space="preserve">审查人签字：                                                                      </w:t>
      </w:r>
    </w:p>
    <w:p>
      <w:pPr>
        <w:pStyle w:val="16"/>
        <w:widowControl w:val="0"/>
        <w:snapToGrid w:val="0"/>
        <w:spacing w:before="0" w:beforeAutospacing="0" w:after="0" w:afterAutospacing="0"/>
        <w:ind w:left="5903" w:hanging="5903" w:hangingChars="2800"/>
        <w:rPr>
          <w:b/>
          <w:color w:val="auto"/>
          <w:sz w:val="21"/>
          <w:szCs w:val="21"/>
          <w:highlight w:val="none"/>
        </w:rPr>
      </w:pPr>
    </w:p>
    <w:p>
      <w:pPr>
        <w:pStyle w:val="16"/>
        <w:widowControl w:val="0"/>
        <w:snapToGrid w:val="0"/>
        <w:spacing w:before="0" w:beforeAutospacing="0" w:after="0" w:afterAutospacing="0"/>
        <w:ind w:left="5903" w:hanging="5903" w:hangingChars="2800"/>
        <w:jc w:val="right"/>
        <w:rPr>
          <w:b/>
          <w:color w:val="auto"/>
          <w:sz w:val="21"/>
          <w:szCs w:val="21"/>
          <w:highlight w:val="none"/>
        </w:rPr>
      </w:pPr>
      <w:r>
        <w:rPr>
          <w:rFonts w:hint="eastAsia"/>
          <w:b/>
          <w:color w:val="auto"/>
          <w:sz w:val="21"/>
          <w:szCs w:val="21"/>
          <w:highlight w:val="none"/>
        </w:rPr>
        <w:t>日期：   年   月   日</w:t>
      </w:r>
    </w:p>
    <w:p>
      <w:pPr>
        <w:pStyle w:val="16"/>
        <w:widowControl w:val="0"/>
        <w:snapToGrid w:val="0"/>
        <w:spacing w:before="0" w:beforeAutospacing="0" w:after="0" w:afterAutospacing="0"/>
        <w:ind w:left="5903" w:hanging="5903" w:hangingChars="2800"/>
        <w:rPr>
          <w:b/>
          <w:color w:val="auto"/>
          <w:sz w:val="21"/>
          <w:szCs w:val="21"/>
          <w:highlight w:val="none"/>
        </w:rPr>
      </w:pPr>
    </w:p>
    <w:p>
      <w:pPr>
        <w:pStyle w:val="4"/>
        <w:adjustRightInd w:val="0"/>
        <w:snapToGrid w:val="0"/>
        <w:spacing w:before="0" w:after="0" w:line="240" w:lineRule="auto"/>
        <w:jc w:val="left"/>
        <w:rPr>
          <w:rFonts w:ascii="宋体" w:hAnsi="宋体" w:eastAsia="宋体" w:cs="宋体"/>
          <w:color w:val="auto"/>
          <w:highlight w:val="none"/>
        </w:rPr>
      </w:pPr>
      <w:r>
        <w:rPr>
          <w:rFonts w:hint="eastAsia" w:ascii="宋体" w:hAnsi="宋体" w:eastAsia="宋体" w:cs="宋体"/>
          <w:color w:val="auto"/>
          <w:highlight w:val="none"/>
        </w:rPr>
        <w:br w:type="page"/>
      </w:r>
    </w:p>
    <w:p>
      <w:pPr>
        <w:pStyle w:val="4"/>
        <w:adjustRightInd w:val="0"/>
        <w:snapToGrid w:val="0"/>
        <w:spacing w:before="0" w:after="0" w:line="24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附件3                     评审细则</w:t>
      </w:r>
    </w:p>
    <w:p>
      <w:pPr>
        <w:rPr>
          <w:rFonts w:ascii="宋体" w:hAnsi="宋体" w:cs="宋体"/>
          <w:b/>
          <w:color w:val="auto"/>
          <w:szCs w:val="21"/>
          <w:highlight w:val="none"/>
        </w:rPr>
      </w:pPr>
      <w:r>
        <w:rPr>
          <w:rFonts w:hint="eastAsia" w:ascii="宋体" w:hAnsi="宋体" w:cs="宋体"/>
          <w:b/>
          <w:color w:val="auto"/>
          <w:szCs w:val="21"/>
          <w:highlight w:val="none"/>
        </w:rPr>
        <w:t>（一）基本评分标准（包2）</w:t>
      </w:r>
    </w:p>
    <w:p>
      <w:pPr>
        <w:rPr>
          <w:rFonts w:ascii="宋体" w:hAnsi="宋体" w:cs="宋体"/>
          <w:color w:val="auto"/>
          <w:highlight w:val="none"/>
        </w:rPr>
      </w:pPr>
      <w:r>
        <w:rPr>
          <w:rFonts w:hint="eastAsia" w:ascii="宋体" w:hAnsi="宋体" w:cs="宋体"/>
          <w:b/>
          <w:color w:val="auto"/>
          <w:highlight w:val="none"/>
        </w:rPr>
        <w:t>依据评分细则制作“评分细则指示表”一份放在报价响应文件目录后面，表中依次注明各项评分细则所在报价响应文件中的页码范围。</w:t>
      </w:r>
    </w:p>
    <w:tbl>
      <w:tblPr>
        <w:tblStyle w:val="18"/>
        <w:tblW w:w="46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431"/>
        <w:gridCol w:w="518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81" w:type="dxa"/>
            <w:tcBorders>
              <w:top w:val="single" w:color="auto" w:sz="4" w:space="0"/>
              <w:left w:val="single" w:color="auto" w:sz="4" w:space="0"/>
              <w:bottom w:val="single" w:color="auto" w:sz="4" w:space="0"/>
              <w:right w:val="single" w:color="auto" w:sz="4" w:space="0"/>
            </w:tcBorders>
            <w:noWrap/>
            <w:vAlign w:val="center"/>
          </w:tcPr>
          <w:p>
            <w:pPr>
              <w:pStyle w:val="2"/>
              <w:spacing w:after="0"/>
              <w:jc w:val="center"/>
              <w:rPr>
                <w:rFonts w:ascii="宋体" w:hAnsi="宋体"/>
                <w:b/>
                <w:bCs/>
                <w:color w:val="auto"/>
                <w:highlight w:val="none"/>
              </w:rPr>
            </w:pPr>
            <w:r>
              <w:rPr>
                <w:rFonts w:ascii="宋体" w:hAnsi="宋体"/>
                <w:b/>
                <w:bCs/>
                <w:color w:val="auto"/>
                <w:highlight w:val="none"/>
              </w:rPr>
              <w:t>项</w:t>
            </w:r>
            <w:r>
              <w:rPr>
                <w:rFonts w:hint="eastAsia" w:ascii="宋体" w:hAnsi="宋体"/>
                <w:b/>
                <w:bCs/>
                <w:color w:val="auto"/>
                <w:highlight w:val="none"/>
              </w:rPr>
              <w:t xml:space="preserve"> </w:t>
            </w:r>
            <w:r>
              <w:rPr>
                <w:rFonts w:ascii="宋体" w:hAnsi="宋体"/>
                <w:b/>
                <w:bCs/>
                <w:color w:val="auto"/>
                <w:highlight w:val="none"/>
              </w:rPr>
              <w:t>目</w:t>
            </w:r>
          </w:p>
        </w:tc>
        <w:tc>
          <w:tcPr>
            <w:tcW w:w="1429" w:type="dxa"/>
            <w:tcBorders>
              <w:top w:val="single" w:color="auto" w:sz="4" w:space="0"/>
              <w:left w:val="single" w:color="auto" w:sz="4" w:space="0"/>
              <w:bottom w:val="single" w:color="auto" w:sz="4" w:space="0"/>
              <w:right w:val="single" w:color="auto" w:sz="4" w:space="0"/>
            </w:tcBorders>
            <w:noWrap/>
            <w:vAlign w:val="center"/>
          </w:tcPr>
          <w:p>
            <w:pPr>
              <w:pStyle w:val="2"/>
              <w:spacing w:after="0"/>
              <w:jc w:val="center"/>
              <w:rPr>
                <w:rFonts w:ascii="宋体" w:hAnsi="宋体"/>
                <w:b/>
                <w:bCs/>
                <w:color w:val="auto"/>
                <w:highlight w:val="none"/>
              </w:rPr>
            </w:pPr>
            <w:r>
              <w:rPr>
                <w:rFonts w:ascii="宋体" w:hAnsi="宋体"/>
                <w:b/>
                <w:bCs/>
                <w:color w:val="auto"/>
                <w:highlight w:val="none"/>
              </w:rPr>
              <w:t>分项名称</w:t>
            </w:r>
          </w:p>
        </w:tc>
        <w:tc>
          <w:tcPr>
            <w:tcW w:w="5191" w:type="dxa"/>
            <w:tcBorders>
              <w:top w:val="single" w:color="auto" w:sz="4" w:space="0"/>
              <w:left w:val="single" w:color="auto" w:sz="4" w:space="0"/>
              <w:bottom w:val="single" w:color="auto" w:sz="4" w:space="0"/>
              <w:right w:val="single" w:color="auto" w:sz="4" w:space="0"/>
            </w:tcBorders>
            <w:noWrap/>
            <w:vAlign w:val="center"/>
          </w:tcPr>
          <w:p>
            <w:pPr>
              <w:pStyle w:val="2"/>
              <w:spacing w:after="0"/>
              <w:jc w:val="center"/>
              <w:rPr>
                <w:rFonts w:ascii="宋体" w:hAnsi="宋体"/>
                <w:b/>
                <w:bCs/>
                <w:color w:val="auto"/>
                <w:highlight w:val="none"/>
              </w:rPr>
            </w:pPr>
            <w:r>
              <w:rPr>
                <w:rFonts w:ascii="宋体" w:hAnsi="宋体"/>
                <w:b/>
                <w:bCs/>
                <w:color w:val="auto"/>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pStyle w:val="2"/>
              <w:spacing w:after="0"/>
              <w:jc w:val="center"/>
              <w:rPr>
                <w:rFonts w:ascii="宋体" w:hAnsi="宋体"/>
                <w:b/>
                <w:bCs/>
                <w:color w:val="auto"/>
                <w:highlight w:val="none"/>
              </w:rPr>
            </w:pPr>
            <w:r>
              <w:rPr>
                <w:rFonts w:ascii="宋体" w:hAnsi="宋体"/>
                <w:b/>
                <w:bCs/>
                <w:color w:val="auto"/>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81"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jc w:val="center"/>
              <w:rPr>
                <w:rFonts w:ascii="宋体" w:hAnsi="宋体"/>
                <w:bCs/>
                <w:color w:val="auto"/>
                <w:highlight w:val="none"/>
              </w:rPr>
            </w:pPr>
            <w:r>
              <w:rPr>
                <w:rFonts w:hint="eastAsia" w:ascii="宋体" w:hAnsi="宋体"/>
                <w:bCs/>
                <w:color w:val="auto"/>
                <w:highlight w:val="none"/>
              </w:rPr>
              <w:t>最终报价</w:t>
            </w:r>
          </w:p>
        </w:tc>
        <w:tc>
          <w:tcPr>
            <w:tcW w:w="1429"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jc w:val="center"/>
              <w:rPr>
                <w:rFonts w:ascii="宋体" w:hAnsi="宋体"/>
                <w:color w:val="auto"/>
                <w:szCs w:val="21"/>
                <w:highlight w:val="none"/>
              </w:rPr>
            </w:pPr>
            <w:r>
              <w:rPr>
                <w:rFonts w:hint="eastAsia" w:ascii="宋体" w:hAnsi="宋体"/>
                <w:bCs/>
                <w:color w:val="auto"/>
                <w:highlight w:val="none"/>
              </w:rPr>
              <w:t>最终报价</w:t>
            </w:r>
          </w:p>
        </w:tc>
        <w:tc>
          <w:tcPr>
            <w:tcW w:w="5191"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rPr>
                <w:b/>
                <w:color w:val="auto"/>
                <w:highlight w:val="none"/>
              </w:rPr>
            </w:pPr>
            <w:r>
              <w:rPr>
                <w:rFonts w:hint="eastAsia" w:ascii="宋体" w:hAnsi="宋体"/>
                <w:bCs/>
                <w:color w:val="auto"/>
                <w:highlight w:val="none"/>
              </w:rPr>
              <w:t>报价得分＝（所有有效报价供应商的最低报价</w:t>
            </w:r>
            <w:r>
              <w:rPr>
                <w:rFonts w:ascii="宋体" w:hAnsi="宋体"/>
                <w:bCs/>
                <w:color w:val="auto"/>
                <w:highlight w:val="none"/>
              </w:rPr>
              <w:t>/</w:t>
            </w:r>
            <w:r>
              <w:rPr>
                <w:rFonts w:hint="eastAsia" w:ascii="宋体" w:hAnsi="宋体"/>
                <w:bCs/>
                <w:color w:val="auto"/>
                <w:highlight w:val="none"/>
              </w:rPr>
              <w:t>报价供应商的最终报价）</w:t>
            </w:r>
            <w:r>
              <w:rPr>
                <w:rFonts w:ascii="宋体" w:hAnsi="宋体"/>
                <w:bCs/>
                <w:color w:val="auto"/>
                <w:highlight w:val="none"/>
              </w:rPr>
              <w:t>×</w:t>
            </w:r>
            <w:r>
              <w:rPr>
                <w:rFonts w:hint="eastAsia" w:ascii="宋体" w:hAnsi="宋体"/>
                <w:bCs/>
                <w:color w:val="auto"/>
                <w:highlight w:val="none"/>
              </w:rPr>
              <w:t>30</w:t>
            </w:r>
          </w:p>
        </w:tc>
        <w:tc>
          <w:tcPr>
            <w:tcW w:w="956" w:type="dxa"/>
            <w:tcBorders>
              <w:top w:val="single" w:color="auto" w:sz="4" w:space="0"/>
              <w:left w:val="single" w:color="auto" w:sz="4" w:space="0"/>
              <w:bottom w:val="single" w:color="auto" w:sz="4" w:space="0"/>
              <w:right w:val="single" w:color="auto" w:sz="4" w:space="0"/>
            </w:tcBorders>
            <w:vAlign w:val="center"/>
          </w:tcPr>
          <w:p>
            <w:pPr>
              <w:pStyle w:val="2"/>
              <w:spacing w:after="0"/>
              <w:jc w:val="center"/>
              <w:rPr>
                <w:rFonts w:ascii="宋体" w:hAnsi="宋体"/>
                <w:bCs/>
                <w:color w:val="auto"/>
                <w:highlight w:val="none"/>
              </w:rPr>
            </w:pPr>
            <w:r>
              <w:rPr>
                <w:rFonts w:ascii="宋体" w:hAnsi="宋体"/>
                <w:bCs/>
                <w:color w:val="auto"/>
                <w:highlight w:val="none"/>
              </w:rPr>
              <w:t>3</w:t>
            </w:r>
            <w:r>
              <w:rPr>
                <w:rFonts w:hint="eastAsia" w:ascii="宋体" w:hAnsi="宋体"/>
                <w:bCs/>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281"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jc w:val="center"/>
              <w:rPr>
                <w:rFonts w:ascii="宋体" w:hAnsi="宋体"/>
                <w:bCs/>
                <w:color w:val="auto"/>
                <w:highlight w:val="none"/>
              </w:rPr>
            </w:pPr>
            <w:r>
              <w:rPr>
                <w:rFonts w:hint="eastAsia" w:ascii="宋体" w:hAnsi="宋体"/>
                <w:bCs/>
                <w:color w:val="auto"/>
                <w:highlight w:val="none"/>
              </w:rPr>
              <w:t>技术要求</w:t>
            </w:r>
          </w:p>
        </w:tc>
        <w:tc>
          <w:tcPr>
            <w:tcW w:w="1429"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jc w:val="center"/>
              <w:rPr>
                <w:color w:val="auto"/>
                <w:highlight w:val="none"/>
              </w:rPr>
            </w:pPr>
            <w:r>
              <w:rPr>
                <w:rFonts w:hint="eastAsia" w:ascii="宋体" w:hAnsi="宋体"/>
                <w:bCs/>
                <w:color w:val="auto"/>
                <w:highlight w:val="none"/>
              </w:rPr>
              <w:t>技术要求</w:t>
            </w:r>
          </w:p>
        </w:tc>
        <w:tc>
          <w:tcPr>
            <w:tcW w:w="5191"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rPr>
                <w:rFonts w:ascii="宋体" w:hAnsi="宋体"/>
                <w:bCs/>
                <w:color w:val="auto"/>
                <w:highlight w:val="none"/>
              </w:rPr>
            </w:pPr>
            <w:r>
              <w:rPr>
                <w:rFonts w:hint="eastAsia" w:ascii="宋体" w:hAnsi="宋体"/>
                <w:bCs/>
                <w:color w:val="auto"/>
                <w:highlight w:val="none"/>
              </w:rPr>
              <w:t>不满足标★技术项的供应商属于实质性不满采购文件要求。</w:t>
            </w:r>
          </w:p>
          <w:p>
            <w:pPr>
              <w:pStyle w:val="2"/>
              <w:spacing w:after="0" w:line="240" w:lineRule="exact"/>
              <w:rPr>
                <w:rFonts w:ascii="宋体" w:hAnsi="宋体"/>
                <w:bCs/>
                <w:color w:val="auto"/>
                <w:highlight w:val="none"/>
              </w:rPr>
            </w:pPr>
            <w:r>
              <w:rPr>
                <w:rFonts w:hint="eastAsia" w:ascii="宋体" w:hAnsi="宋体"/>
                <w:bCs/>
                <w:color w:val="auto"/>
                <w:highlight w:val="none"/>
              </w:rPr>
              <w:t xml:space="preserve">（1）投标产品满足全部采购要求的，得满分； </w:t>
            </w:r>
          </w:p>
          <w:p>
            <w:pPr>
              <w:pStyle w:val="2"/>
              <w:spacing w:after="0" w:line="240" w:lineRule="exact"/>
              <w:rPr>
                <w:rFonts w:ascii="宋体" w:hAnsi="宋体"/>
                <w:bCs/>
                <w:color w:val="auto"/>
                <w:highlight w:val="none"/>
              </w:rPr>
            </w:pPr>
            <w:r>
              <w:rPr>
                <w:rFonts w:hint="eastAsia" w:ascii="宋体" w:hAnsi="宋体"/>
                <w:bCs/>
                <w:color w:val="auto"/>
                <w:highlight w:val="none"/>
              </w:rPr>
              <w:t>（2）标▲的关键技术参数共有18项，每一项不满足，扣1.5分，本项满分27分；</w:t>
            </w:r>
          </w:p>
          <w:p>
            <w:pPr>
              <w:pStyle w:val="2"/>
              <w:spacing w:after="0" w:line="240" w:lineRule="exact"/>
              <w:rPr>
                <w:rFonts w:ascii="宋体" w:hAnsi="宋体"/>
                <w:bCs/>
                <w:color w:val="auto"/>
                <w:highlight w:val="none"/>
              </w:rPr>
            </w:pPr>
            <w:r>
              <w:rPr>
                <w:rFonts w:hint="eastAsia" w:ascii="宋体" w:hAnsi="宋体"/>
                <w:bCs/>
                <w:color w:val="auto"/>
                <w:highlight w:val="none"/>
              </w:rPr>
              <w:t>（3）未标★、▲的普通技术参数共有13项，每一项不满足，扣1分，最低扣至13分，本项满分13分。</w:t>
            </w:r>
          </w:p>
        </w:tc>
        <w:tc>
          <w:tcPr>
            <w:tcW w:w="956" w:type="dxa"/>
            <w:tcBorders>
              <w:top w:val="single" w:color="auto" w:sz="4" w:space="0"/>
              <w:left w:val="single" w:color="auto" w:sz="4" w:space="0"/>
              <w:bottom w:val="single" w:color="auto" w:sz="4" w:space="0"/>
              <w:right w:val="single" w:color="auto" w:sz="4" w:space="0"/>
            </w:tcBorders>
            <w:vAlign w:val="center"/>
          </w:tcPr>
          <w:p>
            <w:pPr>
              <w:pStyle w:val="2"/>
              <w:spacing w:after="0"/>
              <w:jc w:val="center"/>
              <w:rPr>
                <w:rFonts w:ascii="宋体" w:hAnsi="宋体"/>
                <w:bCs/>
                <w:color w:val="auto"/>
                <w:highlight w:val="none"/>
              </w:rPr>
            </w:pPr>
            <w:r>
              <w:rPr>
                <w:rFonts w:ascii="宋体" w:hAnsi="宋体"/>
                <w:bCs/>
                <w:color w:val="auto"/>
                <w:highlight w:val="none"/>
              </w:rPr>
              <w:t>4</w:t>
            </w:r>
            <w:r>
              <w:rPr>
                <w:rFonts w:hint="eastAsia" w:ascii="宋体" w:hAnsi="宋体"/>
                <w:bCs/>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81"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jc w:val="center"/>
              <w:rPr>
                <w:rFonts w:ascii="宋体" w:hAnsi="宋体"/>
                <w:bCs/>
                <w:color w:val="auto"/>
                <w:highlight w:val="none"/>
              </w:rPr>
            </w:pPr>
            <w:r>
              <w:rPr>
                <w:rFonts w:hint="eastAsia" w:ascii="宋体" w:hAnsi="宋体"/>
                <w:bCs/>
                <w:color w:val="auto"/>
                <w:highlight w:val="none"/>
              </w:rPr>
              <w:t>销售业绩</w:t>
            </w:r>
          </w:p>
        </w:tc>
        <w:tc>
          <w:tcPr>
            <w:tcW w:w="1429"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jc w:val="center"/>
              <w:rPr>
                <w:rFonts w:ascii="宋体" w:hAnsi="宋体"/>
                <w:bCs/>
                <w:color w:val="auto"/>
                <w:highlight w:val="none"/>
              </w:rPr>
            </w:pPr>
            <w:r>
              <w:rPr>
                <w:rFonts w:hint="eastAsia" w:ascii="宋体" w:hAnsi="宋体"/>
                <w:bCs/>
                <w:color w:val="auto"/>
                <w:highlight w:val="none"/>
              </w:rPr>
              <w:t>同类设备销售业绩</w:t>
            </w:r>
          </w:p>
        </w:tc>
        <w:tc>
          <w:tcPr>
            <w:tcW w:w="5191"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rPr>
                <w:rFonts w:ascii="宋体" w:hAnsi="宋体"/>
                <w:bCs/>
                <w:color w:val="auto"/>
                <w:highlight w:val="none"/>
              </w:rPr>
            </w:pPr>
            <w:r>
              <w:rPr>
                <w:rFonts w:hint="eastAsia" w:ascii="宋体" w:hAnsi="宋体"/>
                <w:bCs/>
                <w:color w:val="auto"/>
                <w:highlight w:val="none"/>
              </w:rPr>
              <w:t>两年内同类设备销售业绩（2</w:t>
            </w:r>
            <w:r>
              <w:rPr>
                <w:rFonts w:ascii="宋体" w:hAnsi="宋体"/>
                <w:bCs/>
                <w:color w:val="auto"/>
                <w:highlight w:val="none"/>
              </w:rPr>
              <w:t>0</w:t>
            </w:r>
            <w:r>
              <w:rPr>
                <w:rFonts w:hint="eastAsia" w:ascii="宋体" w:hAnsi="宋体"/>
                <w:bCs/>
                <w:color w:val="auto"/>
                <w:highlight w:val="none"/>
              </w:rPr>
              <w:t>20年01月0</w:t>
            </w:r>
            <w:r>
              <w:rPr>
                <w:rFonts w:ascii="宋体" w:hAnsi="宋体"/>
                <w:bCs/>
                <w:color w:val="auto"/>
                <w:highlight w:val="none"/>
              </w:rPr>
              <w:t>1</w:t>
            </w:r>
            <w:r>
              <w:rPr>
                <w:rFonts w:hint="eastAsia" w:ascii="宋体" w:hAnsi="宋体"/>
                <w:bCs/>
                <w:color w:val="auto"/>
                <w:highlight w:val="none"/>
              </w:rPr>
              <w:t>日至今），每提供一份销售合同复印件加盖公章得2分，最高得8分。（评审时以</w:t>
            </w:r>
            <w:r>
              <w:rPr>
                <w:rFonts w:hint="eastAsia" w:ascii="宋体" w:hAnsi="宋体"/>
                <w:bCs/>
                <w:color w:val="auto"/>
                <w:highlight w:val="none"/>
                <w:lang w:eastAsia="zh-CN"/>
              </w:rPr>
              <w:t>响应文件</w:t>
            </w:r>
            <w:r>
              <w:rPr>
                <w:rFonts w:hint="eastAsia" w:ascii="宋体" w:hAnsi="宋体"/>
                <w:bCs/>
                <w:color w:val="auto"/>
                <w:highlight w:val="none"/>
              </w:rPr>
              <w:t>中所附复印件为准）；</w:t>
            </w:r>
          </w:p>
        </w:tc>
        <w:tc>
          <w:tcPr>
            <w:tcW w:w="956" w:type="dxa"/>
            <w:tcBorders>
              <w:top w:val="single" w:color="auto" w:sz="4" w:space="0"/>
              <w:left w:val="single" w:color="auto" w:sz="4" w:space="0"/>
              <w:bottom w:val="single" w:color="auto" w:sz="4" w:space="0"/>
              <w:right w:val="single" w:color="auto" w:sz="4" w:space="0"/>
            </w:tcBorders>
            <w:vAlign w:val="center"/>
          </w:tcPr>
          <w:p>
            <w:pPr>
              <w:pStyle w:val="2"/>
              <w:spacing w:after="0"/>
              <w:jc w:val="center"/>
              <w:rPr>
                <w:rFonts w:ascii="宋体" w:hAnsi="宋体"/>
                <w:bCs/>
                <w:color w:val="auto"/>
                <w:highlight w:val="none"/>
              </w:rPr>
            </w:pPr>
            <w:r>
              <w:rPr>
                <w:rFonts w:hint="eastAsia" w:ascii="宋体" w:hAnsi="宋体"/>
                <w:bCs/>
                <w:color w:val="auto"/>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81" w:type="dxa"/>
            <w:vMerge w:val="restart"/>
            <w:tcBorders>
              <w:top w:val="single" w:color="auto" w:sz="4" w:space="0"/>
              <w:left w:val="single" w:color="auto" w:sz="4" w:space="0"/>
              <w:right w:val="single" w:color="auto" w:sz="4" w:space="0"/>
            </w:tcBorders>
            <w:noWrap/>
            <w:vAlign w:val="center"/>
          </w:tcPr>
          <w:p>
            <w:pPr>
              <w:pStyle w:val="2"/>
              <w:spacing w:after="0" w:line="240" w:lineRule="exact"/>
              <w:jc w:val="center"/>
              <w:rPr>
                <w:rFonts w:ascii="宋体" w:hAnsi="宋体"/>
                <w:bCs/>
                <w:color w:val="auto"/>
                <w:highlight w:val="none"/>
              </w:rPr>
            </w:pPr>
            <w:r>
              <w:rPr>
                <w:rFonts w:hint="eastAsia" w:ascii="宋体" w:hAnsi="宋体"/>
                <w:bCs/>
                <w:color w:val="auto"/>
                <w:highlight w:val="none"/>
              </w:rPr>
              <w:t>售后服务</w:t>
            </w:r>
          </w:p>
        </w:tc>
        <w:tc>
          <w:tcPr>
            <w:tcW w:w="1429"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jc w:val="center"/>
              <w:rPr>
                <w:rFonts w:ascii="宋体" w:hAnsi="宋体"/>
                <w:bCs/>
                <w:color w:val="auto"/>
                <w:highlight w:val="none"/>
              </w:rPr>
            </w:pPr>
            <w:r>
              <w:rPr>
                <w:rFonts w:hint="eastAsia" w:ascii="宋体" w:hAnsi="宋体"/>
                <w:bCs/>
                <w:color w:val="auto"/>
                <w:highlight w:val="none"/>
              </w:rPr>
              <w:t>对招标文件商务条款的响应程度</w:t>
            </w:r>
          </w:p>
        </w:tc>
        <w:tc>
          <w:tcPr>
            <w:tcW w:w="5191"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eastAsia="zh-CN"/>
              </w:rPr>
              <w:t>供应商</w:t>
            </w:r>
            <w:r>
              <w:rPr>
                <w:rFonts w:hint="eastAsia" w:ascii="宋体" w:hAnsi="宋体"/>
                <w:color w:val="auto"/>
                <w:highlight w:val="none"/>
              </w:rPr>
              <w:t>对招标文件商务条款的响应程度进行评审，全部满足招标文件商务条款无偏离得6分，否则不得分。</w:t>
            </w:r>
          </w:p>
        </w:tc>
        <w:tc>
          <w:tcPr>
            <w:tcW w:w="956" w:type="dxa"/>
            <w:tcBorders>
              <w:top w:val="single" w:color="auto" w:sz="4" w:space="0"/>
              <w:left w:val="single" w:color="auto" w:sz="4" w:space="0"/>
              <w:bottom w:val="single" w:color="auto" w:sz="4" w:space="0"/>
              <w:right w:val="single" w:color="auto" w:sz="4" w:space="0"/>
            </w:tcBorders>
            <w:vAlign w:val="center"/>
          </w:tcPr>
          <w:p>
            <w:pPr>
              <w:pStyle w:val="2"/>
              <w:spacing w:after="0"/>
              <w:jc w:val="center"/>
              <w:rPr>
                <w:rFonts w:ascii="宋体" w:hAnsi="宋体"/>
                <w:bCs/>
                <w:color w:val="auto"/>
                <w:highlight w:val="none"/>
              </w:rPr>
            </w:pPr>
            <w:r>
              <w:rPr>
                <w:rFonts w:hint="eastAsia" w:ascii="宋体" w:hAnsi="宋体"/>
                <w:bCs/>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281" w:type="dxa"/>
            <w:vMerge w:val="continue"/>
            <w:tcBorders>
              <w:left w:val="single" w:color="auto" w:sz="4" w:space="0"/>
              <w:right w:val="single" w:color="auto" w:sz="4" w:space="0"/>
            </w:tcBorders>
            <w:noWrap/>
            <w:vAlign w:val="center"/>
          </w:tcPr>
          <w:p>
            <w:pPr>
              <w:pStyle w:val="2"/>
              <w:spacing w:after="0" w:line="240" w:lineRule="exact"/>
              <w:jc w:val="center"/>
              <w:rPr>
                <w:rFonts w:ascii="宋体" w:hAnsi="宋体"/>
                <w:bCs/>
                <w:color w:val="auto"/>
                <w:highlight w:val="none"/>
              </w:rPr>
            </w:pPr>
          </w:p>
        </w:tc>
        <w:tc>
          <w:tcPr>
            <w:tcW w:w="1429"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jc w:val="center"/>
              <w:rPr>
                <w:rFonts w:ascii="宋体" w:hAnsi="宋体"/>
                <w:bCs/>
                <w:color w:val="auto"/>
                <w:highlight w:val="none"/>
              </w:rPr>
            </w:pPr>
            <w:r>
              <w:rPr>
                <w:rFonts w:ascii="宋体" w:hAnsi="宋体"/>
                <w:bCs/>
                <w:color w:val="auto"/>
                <w:highlight w:val="none"/>
              </w:rPr>
              <w:t>安装、验收</w:t>
            </w:r>
            <w:r>
              <w:rPr>
                <w:rFonts w:hint="eastAsia" w:ascii="宋体" w:hAnsi="宋体"/>
                <w:bCs/>
                <w:color w:val="auto"/>
                <w:highlight w:val="none"/>
              </w:rPr>
              <w:t>方案</w:t>
            </w:r>
          </w:p>
          <w:p>
            <w:pPr>
              <w:pStyle w:val="2"/>
              <w:spacing w:after="0" w:line="240" w:lineRule="exact"/>
              <w:jc w:val="center"/>
              <w:rPr>
                <w:rFonts w:ascii="宋体" w:hAnsi="宋体"/>
                <w:bCs/>
                <w:color w:val="auto"/>
                <w:highlight w:val="none"/>
              </w:rPr>
            </w:pPr>
          </w:p>
        </w:tc>
        <w:tc>
          <w:tcPr>
            <w:tcW w:w="5191"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rPr>
                <w:rFonts w:ascii="宋体" w:hAnsi="宋体"/>
                <w:color w:val="auto"/>
                <w:highlight w:val="none"/>
              </w:rPr>
            </w:pPr>
            <w:r>
              <w:rPr>
                <w:rFonts w:hint="eastAsia" w:ascii="宋体" w:hAnsi="宋体"/>
                <w:color w:val="auto"/>
                <w:highlight w:val="none"/>
              </w:rPr>
              <w:t>未提供方案的，得0分；</w:t>
            </w:r>
          </w:p>
          <w:p>
            <w:pPr>
              <w:pStyle w:val="2"/>
              <w:spacing w:after="0" w:line="240" w:lineRule="exact"/>
              <w:rPr>
                <w:rFonts w:ascii="宋体" w:hAnsi="宋体"/>
                <w:color w:val="auto"/>
                <w:highlight w:val="none"/>
              </w:rPr>
            </w:pPr>
            <w:r>
              <w:rPr>
                <w:rFonts w:hint="eastAsia" w:ascii="宋体" w:hAnsi="宋体"/>
                <w:color w:val="auto"/>
                <w:highlight w:val="none"/>
              </w:rPr>
              <w:t>安装、验收方案过于简单的，得1分</w:t>
            </w:r>
          </w:p>
          <w:p>
            <w:pPr>
              <w:pStyle w:val="2"/>
              <w:spacing w:after="0" w:line="240" w:lineRule="exact"/>
              <w:rPr>
                <w:rFonts w:ascii="宋体" w:hAnsi="宋体"/>
                <w:color w:val="auto"/>
                <w:highlight w:val="none"/>
              </w:rPr>
            </w:pPr>
            <w:r>
              <w:rPr>
                <w:rFonts w:hint="eastAsia" w:ascii="宋体" w:hAnsi="宋体"/>
                <w:color w:val="auto"/>
                <w:highlight w:val="none"/>
              </w:rPr>
              <w:t>有较为详细的安装、验收方案的，得3分；</w:t>
            </w:r>
          </w:p>
          <w:p>
            <w:pPr>
              <w:pStyle w:val="2"/>
              <w:spacing w:after="0" w:line="240" w:lineRule="exact"/>
              <w:rPr>
                <w:rFonts w:ascii="宋体" w:hAnsi="宋体"/>
                <w:color w:val="auto"/>
                <w:highlight w:val="none"/>
              </w:rPr>
            </w:pPr>
            <w:r>
              <w:rPr>
                <w:rFonts w:hint="eastAsia" w:ascii="宋体" w:hAnsi="宋体"/>
                <w:color w:val="auto"/>
                <w:highlight w:val="none"/>
              </w:rPr>
              <w:t>安装、验收方案有明确的计划和步骤，有具体合理的验收标准的，得5分；</w:t>
            </w:r>
          </w:p>
        </w:tc>
        <w:tc>
          <w:tcPr>
            <w:tcW w:w="956" w:type="dxa"/>
            <w:tcBorders>
              <w:top w:val="single" w:color="auto" w:sz="4" w:space="0"/>
              <w:left w:val="single" w:color="auto" w:sz="4" w:space="0"/>
              <w:bottom w:val="single" w:color="auto" w:sz="4" w:space="0"/>
              <w:right w:val="single" w:color="auto" w:sz="4" w:space="0"/>
            </w:tcBorders>
            <w:vAlign w:val="center"/>
          </w:tcPr>
          <w:p>
            <w:pPr>
              <w:pStyle w:val="2"/>
              <w:spacing w:after="0"/>
              <w:jc w:val="center"/>
              <w:rPr>
                <w:rFonts w:ascii="宋体" w:hAnsi="宋体"/>
                <w:bCs/>
                <w:color w:val="auto"/>
                <w:highlight w:val="none"/>
              </w:rPr>
            </w:pPr>
            <w:r>
              <w:rPr>
                <w:rFonts w:hint="eastAsia" w:ascii="宋体" w:hAnsi="宋体"/>
                <w:bCs/>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281" w:type="dxa"/>
            <w:vMerge w:val="continue"/>
            <w:tcBorders>
              <w:left w:val="single" w:color="auto" w:sz="4" w:space="0"/>
              <w:right w:val="single" w:color="auto" w:sz="4" w:space="0"/>
            </w:tcBorders>
            <w:noWrap/>
            <w:vAlign w:val="center"/>
          </w:tcPr>
          <w:p>
            <w:pPr>
              <w:pStyle w:val="2"/>
              <w:spacing w:after="0" w:line="240" w:lineRule="exact"/>
              <w:jc w:val="center"/>
              <w:rPr>
                <w:rFonts w:ascii="宋体" w:hAnsi="宋体"/>
                <w:bCs/>
                <w:color w:val="auto"/>
                <w:highlight w:val="none"/>
              </w:rPr>
            </w:pPr>
          </w:p>
        </w:tc>
        <w:tc>
          <w:tcPr>
            <w:tcW w:w="1429"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jc w:val="center"/>
              <w:rPr>
                <w:rFonts w:ascii="宋体" w:hAnsi="宋体"/>
                <w:bCs/>
                <w:color w:val="auto"/>
                <w:highlight w:val="none"/>
              </w:rPr>
            </w:pPr>
            <w:r>
              <w:rPr>
                <w:rFonts w:ascii="宋体" w:hAnsi="宋体"/>
                <w:bCs/>
                <w:color w:val="auto"/>
                <w:highlight w:val="none"/>
              </w:rPr>
              <w:t>培训方案</w:t>
            </w:r>
          </w:p>
          <w:p>
            <w:pPr>
              <w:pStyle w:val="2"/>
              <w:spacing w:after="0" w:line="240" w:lineRule="exact"/>
              <w:jc w:val="center"/>
              <w:rPr>
                <w:rFonts w:ascii="宋体" w:hAnsi="宋体"/>
                <w:bCs/>
                <w:color w:val="auto"/>
                <w:highlight w:val="none"/>
              </w:rPr>
            </w:pPr>
          </w:p>
        </w:tc>
        <w:tc>
          <w:tcPr>
            <w:tcW w:w="5191"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rPr>
                <w:rFonts w:ascii="宋体" w:hAnsi="宋体"/>
                <w:color w:val="auto"/>
                <w:highlight w:val="none"/>
              </w:rPr>
            </w:pPr>
            <w:r>
              <w:rPr>
                <w:rFonts w:hint="eastAsia" w:ascii="宋体" w:hAnsi="宋体"/>
                <w:color w:val="auto"/>
                <w:highlight w:val="none"/>
              </w:rPr>
              <w:t>未提供方案的，得0分；</w:t>
            </w:r>
          </w:p>
          <w:p>
            <w:pPr>
              <w:pStyle w:val="2"/>
              <w:spacing w:after="0" w:line="240" w:lineRule="exact"/>
              <w:rPr>
                <w:rFonts w:hint="eastAsia" w:ascii="宋体" w:hAnsi="宋体"/>
                <w:color w:val="auto"/>
                <w:highlight w:val="none"/>
              </w:rPr>
            </w:pPr>
            <w:r>
              <w:rPr>
                <w:rFonts w:hint="eastAsia" w:ascii="宋体" w:hAnsi="宋体"/>
                <w:color w:val="auto"/>
                <w:highlight w:val="none"/>
              </w:rPr>
              <w:t>培训方案过于简单的，得</w:t>
            </w:r>
            <w:r>
              <w:rPr>
                <w:rFonts w:hint="eastAsia" w:ascii="宋体" w:hAnsi="宋体"/>
                <w:color w:val="auto"/>
                <w:highlight w:val="none"/>
                <w:lang w:val="en-US" w:eastAsia="zh-CN"/>
              </w:rPr>
              <w:t>1</w:t>
            </w:r>
            <w:r>
              <w:rPr>
                <w:rFonts w:hint="eastAsia" w:ascii="宋体" w:hAnsi="宋体"/>
                <w:color w:val="auto"/>
                <w:highlight w:val="none"/>
              </w:rPr>
              <w:t>分；</w:t>
            </w:r>
          </w:p>
          <w:p>
            <w:pPr>
              <w:rPr>
                <w:rFonts w:hint="default" w:eastAsia="宋体"/>
                <w:color w:val="auto"/>
                <w:highlight w:val="none"/>
                <w:lang w:val="en-US" w:eastAsia="zh-CN"/>
              </w:rPr>
            </w:pPr>
            <w:r>
              <w:rPr>
                <w:rFonts w:hint="eastAsia" w:ascii="宋体" w:hAnsi="宋体"/>
                <w:color w:val="auto"/>
                <w:highlight w:val="none"/>
                <w:lang w:eastAsia="zh-CN"/>
              </w:rPr>
              <w:t>培训方案较为具体的，得</w:t>
            </w:r>
            <w:r>
              <w:rPr>
                <w:rFonts w:hint="eastAsia" w:ascii="宋体" w:hAnsi="宋体"/>
                <w:color w:val="auto"/>
                <w:highlight w:val="none"/>
                <w:lang w:val="en-US" w:eastAsia="zh-CN"/>
              </w:rPr>
              <w:t>3分；</w:t>
            </w:r>
          </w:p>
          <w:p>
            <w:pPr>
              <w:pStyle w:val="2"/>
              <w:spacing w:after="0" w:line="240" w:lineRule="exact"/>
              <w:rPr>
                <w:rFonts w:ascii="宋体" w:hAnsi="宋体"/>
                <w:color w:val="auto"/>
                <w:highlight w:val="none"/>
              </w:rPr>
            </w:pPr>
            <w:r>
              <w:rPr>
                <w:rFonts w:hint="eastAsia" w:ascii="宋体" w:hAnsi="宋体"/>
                <w:color w:val="auto"/>
                <w:highlight w:val="none"/>
              </w:rPr>
              <w:t>培训方案具体、合理、可行的得5分。</w:t>
            </w:r>
          </w:p>
        </w:tc>
        <w:tc>
          <w:tcPr>
            <w:tcW w:w="956" w:type="dxa"/>
            <w:tcBorders>
              <w:top w:val="single" w:color="auto" w:sz="4" w:space="0"/>
              <w:left w:val="single" w:color="auto" w:sz="4" w:space="0"/>
              <w:bottom w:val="single" w:color="auto" w:sz="4" w:space="0"/>
              <w:right w:val="single" w:color="auto" w:sz="4" w:space="0"/>
            </w:tcBorders>
            <w:vAlign w:val="center"/>
          </w:tcPr>
          <w:p>
            <w:pPr>
              <w:pStyle w:val="2"/>
              <w:spacing w:after="0"/>
              <w:jc w:val="center"/>
              <w:rPr>
                <w:rFonts w:ascii="宋体" w:hAnsi="宋体"/>
                <w:bCs/>
                <w:color w:val="auto"/>
                <w:highlight w:val="none"/>
              </w:rPr>
            </w:pPr>
            <w:r>
              <w:rPr>
                <w:rFonts w:hint="eastAsia" w:ascii="宋体" w:hAnsi="宋体"/>
                <w:bCs/>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281" w:type="dxa"/>
            <w:vMerge w:val="continue"/>
            <w:tcBorders>
              <w:left w:val="single" w:color="auto" w:sz="4" w:space="0"/>
              <w:bottom w:val="single" w:color="auto" w:sz="4" w:space="0"/>
              <w:right w:val="single" w:color="auto" w:sz="4" w:space="0"/>
            </w:tcBorders>
            <w:noWrap/>
            <w:vAlign w:val="center"/>
          </w:tcPr>
          <w:p>
            <w:pPr>
              <w:pStyle w:val="2"/>
              <w:spacing w:after="0" w:line="240" w:lineRule="exact"/>
              <w:jc w:val="center"/>
              <w:rPr>
                <w:rFonts w:ascii="宋体" w:hAnsi="宋体"/>
                <w:bCs/>
                <w:color w:val="auto"/>
                <w:highlight w:val="none"/>
              </w:rPr>
            </w:pPr>
          </w:p>
        </w:tc>
        <w:tc>
          <w:tcPr>
            <w:tcW w:w="1429"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jc w:val="center"/>
              <w:rPr>
                <w:rFonts w:ascii="宋体" w:hAnsi="宋体"/>
                <w:bCs/>
                <w:color w:val="auto"/>
                <w:highlight w:val="none"/>
              </w:rPr>
            </w:pPr>
            <w:r>
              <w:rPr>
                <w:rFonts w:ascii="宋体" w:hAnsi="宋体"/>
                <w:bCs/>
                <w:color w:val="auto"/>
                <w:highlight w:val="none"/>
              </w:rPr>
              <w:t>售后服务能力、方案</w:t>
            </w:r>
          </w:p>
        </w:tc>
        <w:tc>
          <w:tcPr>
            <w:tcW w:w="5191" w:type="dxa"/>
            <w:tcBorders>
              <w:top w:val="single" w:color="auto" w:sz="4" w:space="0"/>
              <w:left w:val="single" w:color="auto" w:sz="4" w:space="0"/>
              <w:bottom w:val="single" w:color="auto" w:sz="4" w:space="0"/>
              <w:right w:val="single" w:color="auto" w:sz="4" w:space="0"/>
            </w:tcBorders>
            <w:noWrap/>
            <w:vAlign w:val="center"/>
          </w:tcPr>
          <w:p>
            <w:pPr>
              <w:pStyle w:val="2"/>
              <w:spacing w:after="0" w:line="240" w:lineRule="exact"/>
              <w:rPr>
                <w:rFonts w:ascii="宋体" w:hAnsi="宋体"/>
                <w:color w:val="auto"/>
                <w:highlight w:val="none"/>
              </w:rPr>
            </w:pPr>
            <w:r>
              <w:rPr>
                <w:rFonts w:hint="eastAsia" w:ascii="宋体" w:hAnsi="宋体"/>
                <w:color w:val="auto"/>
                <w:highlight w:val="none"/>
              </w:rPr>
              <w:t>由设备制造商提供质保期内售后服务给2分，否则不得分。</w:t>
            </w:r>
          </w:p>
          <w:p>
            <w:pPr>
              <w:pStyle w:val="2"/>
              <w:spacing w:after="0" w:line="240" w:lineRule="exact"/>
              <w:rPr>
                <w:rFonts w:ascii="宋体" w:hAnsi="宋体"/>
                <w:color w:val="auto"/>
                <w:highlight w:val="none"/>
              </w:rPr>
            </w:pPr>
            <w:r>
              <w:rPr>
                <w:rFonts w:hint="eastAsia" w:ascii="宋体" w:hAnsi="宋体"/>
                <w:color w:val="auto"/>
                <w:highlight w:val="none"/>
              </w:rPr>
              <w:t>未提供售后服务方案的，得0分；</w:t>
            </w:r>
          </w:p>
          <w:p>
            <w:pPr>
              <w:pStyle w:val="2"/>
              <w:spacing w:after="0" w:line="240" w:lineRule="exact"/>
              <w:rPr>
                <w:rFonts w:ascii="宋体" w:hAnsi="宋体"/>
                <w:color w:val="auto"/>
                <w:highlight w:val="none"/>
              </w:rPr>
            </w:pPr>
            <w:r>
              <w:rPr>
                <w:rFonts w:hint="eastAsia" w:ascii="宋体" w:hAnsi="宋体"/>
                <w:color w:val="auto"/>
                <w:highlight w:val="none"/>
              </w:rPr>
              <w:t>提供了售后服务方案、明确售后服务内容的得2分；</w:t>
            </w:r>
          </w:p>
          <w:p>
            <w:pPr>
              <w:pStyle w:val="2"/>
              <w:spacing w:after="0" w:line="240" w:lineRule="exact"/>
              <w:rPr>
                <w:rFonts w:ascii="宋体" w:hAnsi="宋体"/>
                <w:color w:val="auto"/>
                <w:highlight w:val="none"/>
              </w:rPr>
            </w:pPr>
            <w:r>
              <w:rPr>
                <w:rFonts w:hint="eastAsia" w:ascii="宋体" w:hAnsi="宋体"/>
                <w:color w:val="auto"/>
                <w:highlight w:val="none"/>
              </w:rPr>
              <w:t>售后服务方案具体、合理，售后服务内容优于招标要求的得4分。</w:t>
            </w:r>
          </w:p>
        </w:tc>
        <w:tc>
          <w:tcPr>
            <w:tcW w:w="956" w:type="dxa"/>
            <w:tcBorders>
              <w:top w:val="single" w:color="auto" w:sz="4" w:space="0"/>
              <w:left w:val="single" w:color="auto" w:sz="4" w:space="0"/>
              <w:bottom w:val="single" w:color="auto" w:sz="4" w:space="0"/>
              <w:right w:val="single" w:color="auto" w:sz="4" w:space="0"/>
            </w:tcBorders>
            <w:vAlign w:val="center"/>
          </w:tcPr>
          <w:p>
            <w:pPr>
              <w:pStyle w:val="2"/>
              <w:spacing w:after="0"/>
              <w:jc w:val="center"/>
              <w:rPr>
                <w:rFonts w:ascii="宋体" w:hAnsi="宋体"/>
                <w:bCs/>
                <w:color w:val="auto"/>
                <w:highlight w:val="none"/>
              </w:rPr>
            </w:pPr>
            <w:r>
              <w:rPr>
                <w:rFonts w:hint="eastAsia" w:ascii="宋体" w:hAnsi="宋体"/>
                <w:bCs/>
                <w:color w:val="auto"/>
                <w:highlight w:val="none"/>
              </w:rPr>
              <w:t>6分</w:t>
            </w:r>
          </w:p>
        </w:tc>
      </w:tr>
    </w:tbl>
    <w:p>
      <w:pPr>
        <w:rPr>
          <w:rFonts w:ascii="宋体" w:hAnsi="宋体" w:cs="宋体"/>
          <w:b/>
          <w:color w:val="auto"/>
          <w:szCs w:val="21"/>
          <w:highlight w:val="none"/>
        </w:rPr>
      </w:pPr>
      <w:r>
        <w:rPr>
          <w:rFonts w:hint="eastAsia" w:ascii="宋体" w:hAnsi="宋体" w:cs="宋体"/>
          <w:b/>
          <w:color w:val="auto"/>
          <w:szCs w:val="21"/>
          <w:highlight w:val="none"/>
        </w:rPr>
        <w:t xml:space="preserve"> （二）加分项评分标准（包1）</w:t>
      </w:r>
    </w:p>
    <w:tbl>
      <w:tblPr>
        <w:tblStyle w:val="18"/>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加分因素</w:t>
            </w:r>
          </w:p>
        </w:tc>
        <w:tc>
          <w:tcPr>
            <w:tcW w:w="76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节能产品</w:t>
            </w:r>
          </w:p>
        </w:tc>
        <w:tc>
          <w:tcPr>
            <w:tcW w:w="7670" w:type="dxa"/>
            <w:vAlign w:val="center"/>
          </w:tcPr>
          <w:p>
            <w:pPr>
              <w:rPr>
                <w:rFonts w:ascii="宋体" w:hAnsi="宋体" w:cs="宋体"/>
                <w:color w:val="auto"/>
                <w:szCs w:val="21"/>
                <w:highlight w:val="none"/>
              </w:rPr>
            </w:pPr>
            <w:r>
              <w:rPr>
                <w:rFonts w:hint="eastAsia" w:ascii="宋体" w:hAnsi="宋体" w:cs="宋体"/>
                <w:color w:val="auto"/>
                <w:szCs w:val="21"/>
                <w:highlight w:val="none"/>
              </w:rPr>
              <w:t>对于清单中的产品最后报价给予价格部分总分值3%的加分，计算公式如下：</w:t>
            </w:r>
          </w:p>
          <w:p>
            <w:pPr>
              <w:rPr>
                <w:rFonts w:ascii="宋体" w:hAnsi="宋体" w:cs="宋体"/>
                <w:color w:val="auto"/>
                <w:szCs w:val="21"/>
                <w:highlight w:val="none"/>
              </w:rPr>
            </w:pPr>
            <w:r>
              <w:rPr>
                <w:rFonts w:hint="eastAsia" w:ascii="宋体" w:hAnsi="宋体" w:cs="宋体"/>
                <w:color w:val="auto"/>
                <w:szCs w:val="21"/>
                <w:highlight w:val="none"/>
              </w:rPr>
              <w:t>节能产品加分＝（节能产品最后报价之和/最后报价总价）×价格部分总分值×3%。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环保</w:t>
            </w:r>
          </w:p>
          <w:p>
            <w:pPr>
              <w:jc w:val="center"/>
              <w:rPr>
                <w:rFonts w:ascii="宋体" w:hAnsi="宋体" w:cs="宋体"/>
                <w:color w:val="auto"/>
                <w:szCs w:val="21"/>
                <w:highlight w:val="none"/>
              </w:rPr>
            </w:pPr>
            <w:r>
              <w:rPr>
                <w:rFonts w:hint="eastAsia" w:ascii="宋体" w:hAnsi="宋体" w:cs="宋体"/>
                <w:color w:val="auto"/>
                <w:szCs w:val="21"/>
                <w:highlight w:val="none"/>
              </w:rPr>
              <w:t>产品</w:t>
            </w:r>
          </w:p>
        </w:tc>
        <w:tc>
          <w:tcPr>
            <w:tcW w:w="7670" w:type="dxa"/>
            <w:vAlign w:val="center"/>
          </w:tcPr>
          <w:p>
            <w:pPr>
              <w:rPr>
                <w:rFonts w:ascii="宋体" w:hAnsi="宋体" w:cs="宋体"/>
                <w:color w:val="auto"/>
                <w:szCs w:val="21"/>
                <w:highlight w:val="none"/>
              </w:rPr>
            </w:pPr>
            <w:r>
              <w:rPr>
                <w:rFonts w:hint="eastAsia" w:ascii="宋体" w:hAnsi="宋体" w:cs="宋体"/>
                <w:color w:val="auto"/>
                <w:szCs w:val="21"/>
                <w:highlight w:val="none"/>
              </w:rPr>
              <w:t>对于清单中的产品最后报价给予价格部分总分值3%的加分，计算公式如下：</w:t>
            </w:r>
          </w:p>
          <w:p>
            <w:pPr>
              <w:rPr>
                <w:rFonts w:ascii="宋体" w:hAnsi="宋体" w:cs="宋体"/>
                <w:color w:val="auto"/>
                <w:szCs w:val="21"/>
                <w:highlight w:val="none"/>
              </w:rPr>
            </w:pPr>
            <w:r>
              <w:rPr>
                <w:rFonts w:hint="eastAsia" w:ascii="宋体" w:hAnsi="宋体" w:cs="宋体"/>
                <w:color w:val="auto"/>
                <w:szCs w:val="21"/>
                <w:highlight w:val="none"/>
              </w:rPr>
              <w:t>环保产品加分＝（环保产品最后报价之和/最后报标总价）×价格部分总分值×3%。</w:t>
            </w:r>
          </w:p>
        </w:tc>
      </w:tr>
    </w:tbl>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widowControl/>
        <w:jc w:val="left"/>
        <w:rPr>
          <w:rFonts w:ascii="宋体" w:hAnsi="宋体" w:cs="宋体"/>
          <w:color w:val="auto"/>
          <w:highlight w:val="none"/>
        </w:rPr>
      </w:pPr>
    </w:p>
    <w:p>
      <w:pPr>
        <w:pStyle w:val="3"/>
        <w:adjustRightInd w:val="0"/>
        <w:snapToGrid w:val="0"/>
        <w:spacing w:before="0" w:after="0" w:line="360" w:lineRule="auto"/>
        <w:jc w:val="center"/>
        <w:rPr>
          <w:rFonts w:ascii="宋体" w:hAnsi="宋体" w:cs="宋体"/>
          <w:color w:val="auto"/>
          <w:sz w:val="32"/>
          <w:szCs w:val="32"/>
          <w:highlight w:val="none"/>
        </w:rPr>
      </w:pPr>
      <w:bookmarkStart w:id="180" w:name="_Toc4485696"/>
      <w:r>
        <w:rPr>
          <w:rFonts w:hint="eastAsia" w:ascii="宋体" w:hAnsi="宋体" w:cs="宋体"/>
          <w:color w:val="auto"/>
          <w:sz w:val="32"/>
          <w:szCs w:val="32"/>
          <w:highlight w:val="none"/>
        </w:rPr>
        <w:t xml:space="preserve">第六章 </w:t>
      </w:r>
      <w:bookmarkEnd w:id="180"/>
      <w:r>
        <w:rPr>
          <w:rFonts w:hint="eastAsia" w:ascii="宋体" w:hAnsi="宋体" w:cs="宋体"/>
          <w:color w:val="auto"/>
          <w:sz w:val="32"/>
          <w:szCs w:val="32"/>
          <w:highlight w:val="none"/>
        </w:rPr>
        <w:t xml:space="preserve"> 政府采购合同条款及格式</w:t>
      </w:r>
    </w:p>
    <w:p>
      <w:pPr>
        <w:widowControl/>
        <w:jc w:val="left"/>
        <w:rPr>
          <w:rFonts w:ascii="宋体" w:hAnsi="宋体" w:cs="宋体"/>
          <w:color w:val="auto"/>
          <w:highlight w:val="none"/>
        </w:rPr>
      </w:pPr>
      <w:r>
        <w:rPr>
          <w:rFonts w:hint="eastAsia" w:ascii="宋体" w:hAnsi="宋体" w:cs="宋体"/>
          <w:color w:val="auto"/>
          <w:highlight w:val="none"/>
        </w:rPr>
        <w:br w:type="page"/>
      </w:r>
    </w:p>
    <w:p>
      <w:pPr>
        <w:rPr>
          <w:rFonts w:ascii="宋体" w:hAnsi="宋体" w:cs="宋体"/>
          <w:color w:val="auto"/>
          <w:highlight w:val="none"/>
        </w:rPr>
      </w:pPr>
    </w:p>
    <w:p>
      <w:pPr>
        <w:pStyle w:val="4"/>
        <w:adjustRightInd w:val="0"/>
        <w:snapToGrid w:val="0"/>
        <w:spacing w:before="0" w:after="0" w:line="360" w:lineRule="auto"/>
        <w:jc w:val="left"/>
        <w:rPr>
          <w:rFonts w:ascii="宋体" w:hAnsi="宋体" w:eastAsia="宋体" w:cs="宋体"/>
          <w:color w:val="auto"/>
          <w:sz w:val="21"/>
          <w:szCs w:val="21"/>
          <w:highlight w:val="none"/>
        </w:rPr>
      </w:pPr>
      <w:r>
        <w:rPr>
          <w:rFonts w:hint="eastAsia" w:ascii="宋体" w:hAnsi="宋体" w:eastAsia="宋体" w:cs="宋体"/>
          <w:color w:val="auto"/>
          <w:sz w:val="28"/>
          <w:szCs w:val="28"/>
          <w:highlight w:val="none"/>
        </w:rPr>
        <w:t xml:space="preserve">通用合同条款   </w:t>
      </w:r>
    </w:p>
    <w:p>
      <w:pP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政府采购合同通用条款</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1.术语定义</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本政府采购合同下列术语应解释为：</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1.1“政府采购合同”指供需双方依照政府采购程序、按照报价采购文件</w:t>
      </w:r>
      <w:r>
        <w:rPr>
          <w:rFonts w:hint="eastAsia" w:ascii="宋体" w:hAnsi="宋体" w:cs="宋体"/>
          <w:color w:val="auto"/>
          <w:highlight w:val="none"/>
        </w:rPr>
        <w:t>响应</w:t>
      </w:r>
      <w:r>
        <w:rPr>
          <w:rFonts w:hint="eastAsia" w:ascii="宋体" w:hAnsi="宋体" w:cs="宋体"/>
          <w:color w:val="auto"/>
          <w:szCs w:val="21"/>
          <w:highlight w:val="none"/>
        </w:rPr>
        <w:t>文件确定的事项所达成的协议，包括附件、附录和上述文件所提到的构成政府采购合同的所有文件。</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1.3“政府采购合同货物”指政府采购合同货物清单（同</w:t>
      </w:r>
      <w:r>
        <w:rPr>
          <w:rFonts w:hint="eastAsia" w:ascii="宋体" w:hAnsi="宋体" w:cs="宋体"/>
          <w:color w:val="auto"/>
          <w:highlight w:val="none"/>
        </w:rPr>
        <w:t>响应</w:t>
      </w:r>
      <w:r>
        <w:rPr>
          <w:rFonts w:hint="eastAsia" w:ascii="宋体" w:hAnsi="宋体" w:cs="宋体"/>
          <w:color w:val="auto"/>
          <w:szCs w:val="21"/>
          <w:highlight w:val="none"/>
        </w:rPr>
        <w:t>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1.5“需方”指项目基本内容及要求中所述取得货物和服务的采购人。</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1.6“供方”指项目基本内容及要求中所述提供产品和服务的成交供应商。</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1.8“验收书”指需方对供方履行政府采购合同情况及结果进行现场检验和评估意见的文件。</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1.10“保修期”指自验收书签署之日起，供方以自担费用方式保证政府采购合同货物正常运行的时期。</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1.11“第三人”是指本政府采购合同双方以外的任何中国境内外的自然人、法人或其它经济组织。</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1.13“采购文件”指采购人或者采购代理机构发布的采购文件。</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1.14“</w:t>
      </w:r>
      <w:r>
        <w:rPr>
          <w:rFonts w:hint="eastAsia" w:ascii="宋体" w:hAnsi="宋体" w:cs="宋体"/>
          <w:color w:val="auto"/>
          <w:highlight w:val="none"/>
        </w:rPr>
        <w:t>响应</w:t>
      </w:r>
      <w:r>
        <w:rPr>
          <w:rFonts w:hint="eastAsia" w:ascii="宋体" w:hAnsi="宋体" w:cs="宋体"/>
          <w:color w:val="auto"/>
          <w:szCs w:val="21"/>
          <w:highlight w:val="none"/>
        </w:rPr>
        <w:t>文件”指供方按照采购代理机构采购文件的要求编制和递交，并最终被评标委员会接受的</w:t>
      </w:r>
      <w:r>
        <w:rPr>
          <w:rFonts w:hint="eastAsia" w:ascii="宋体" w:hAnsi="宋体" w:cs="宋体"/>
          <w:color w:val="auto"/>
          <w:highlight w:val="none"/>
        </w:rPr>
        <w:t>响应</w:t>
      </w:r>
      <w:r>
        <w:rPr>
          <w:rFonts w:hint="eastAsia" w:ascii="宋体" w:hAnsi="宋体" w:cs="宋体"/>
          <w:color w:val="auto"/>
          <w:szCs w:val="21"/>
          <w:highlight w:val="none"/>
        </w:rPr>
        <w:t>文件。</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2.技术指标</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2.1交付产品的技术指标应与采购文件规定的技术指标要求及响应文件中的“技术规格偏离表及商务条款偏离表”的承诺内容相一致。</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2.2 除技术指标另有规定外，计量单位应该使用公制。</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3.交货</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3.1供方按照合同约定的时间、地点交货</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3.2供方交货的同时应提交下列文件：销售发票，制造厂商出具的质量检验证书、产品合格证以及采购文件、响应文件确定供方应随货物同时提供的其他资料。</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4.合同金额</w:t>
      </w:r>
    </w:p>
    <w:p>
      <w:pPr>
        <w:adjustRightInd w:val="0"/>
        <w:snapToGrid w:val="0"/>
        <w:spacing w:line="360" w:lineRule="auto"/>
        <w:ind w:firstLine="411" w:firstLineChars="196"/>
        <w:rPr>
          <w:rFonts w:ascii="宋体" w:hAnsi="宋体" w:cs="宋体"/>
          <w:b/>
          <w:color w:val="auto"/>
          <w:szCs w:val="21"/>
          <w:highlight w:val="none"/>
        </w:rPr>
      </w:pPr>
      <w:r>
        <w:rPr>
          <w:rFonts w:hint="eastAsia" w:ascii="宋体" w:hAnsi="宋体" w:cs="宋体"/>
          <w:color w:val="auto"/>
          <w:szCs w:val="21"/>
          <w:highlight w:val="none"/>
        </w:rPr>
        <w:t>根据政府采购合同文件要求，确定政府采购合同的总金额。</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5.付款</w:t>
      </w:r>
    </w:p>
    <w:p>
      <w:pPr>
        <w:adjustRightInd w:val="0"/>
        <w:snapToGrid w:val="0"/>
        <w:spacing w:line="360" w:lineRule="auto"/>
        <w:ind w:firstLine="411" w:firstLineChars="196"/>
        <w:rPr>
          <w:rFonts w:ascii="宋体" w:hAnsi="宋体" w:cs="宋体"/>
          <w:color w:val="auto"/>
          <w:szCs w:val="21"/>
          <w:highlight w:val="none"/>
          <w:u w:val="single"/>
        </w:rPr>
      </w:pPr>
      <w:r>
        <w:rPr>
          <w:rFonts w:hint="eastAsia" w:ascii="宋体" w:hAnsi="宋体" w:cs="宋体"/>
          <w:color w:val="auto"/>
          <w:szCs w:val="21"/>
          <w:highlight w:val="none"/>
        </w:rPr>
        <w:t>5.1付款方式、条件：需方按照合同约定的方式和条件付款。</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 xml:space="preserve">6.验收 </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6.1供方提交的货物由需方或者需方的最终用户负责验收。</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6.3大型或者复杂的项目，应当邀请国家认可的质量检测机构参加验收。</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6.6货物保修期自验收书签署之日起计算。</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7.知识产权及有关规定</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7.4本合同中涉及保密和知识产权任何条款，在合同期限内及合同终止后持续有效。</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8.包装要求</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8.2每一个包装箱内应附一份详细的装箱单和质量合格证书。</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8.3包装费由供方承担，包装物不回收。</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9.伴随服务</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9.2供方还应提供下列服务：</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9.2.1货物的现场安装、启动和试运行；</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9.2.2提供货物组装和维修所需的工具；</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9.2.3在质量保证期内对所交付货物提供运行监督、维修、保养等,如果采购文件没有特别要求，以供方在</w:t>
      </w:r>
      <w:r>
        <w:rPr>
          <w:rFonts w:hint="eastAsia" w:ascii="宋体" w:hAnsi="宋体" w:cs="宋体"/>
          <w:color w:val="auto"/>
          <w:highlight w:val="none"/>
        </w:rPr>
        <w:t>响应</w:t>
      </w:r>
      <w:r>
        <w:rPr>
          <w:rFonts w:hint="eastAsia" w:ascii="宋体" w:hAnsi="宋体" w:cs="宋体"/>
          <w:color w:val="auto"/>
          <w:szCs w:val="21"/>
          <w:highlight w:val="none"/>
        </w:rPr>
        <w:t>文件中提交的售后服务承诺书为准。如果上述文件规定有不一致之处，以对需方有利的为准。</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9.3伴随服务的费用应含在合同价中，不单独进行支付。</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10.质量保证期</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10.1以采购文件中的规定为准，如果</w:t>
      </w:r>
      <w:r>
        <w:rPr>
          <w:rFonts w:hint="eastAsia" w:ascii="宋体" w:hAnsi="宋体" w:cs="宋体"/>
          <w:color w:val="auto"/>
          <w:highlight w:val="none"/>
        </w:rPr>
        <w:t>响应</w:t>
      </w:r>
      <w:r>
        <w:rPr>
          <w:rFonts w:hint="eastAsia" w:ascii="宋体" w:hAnsi="宋体" w:cs="宋体"/>
          <w:color w:val="auto"/>
          <w:szCs w:val="21"/>
          <w:highlight w:val="none"/>
        </w:rPr>
        <w:t>文件中的承诺优于采购文件规定，则以</w:t>
      </w:r>
      <w:r>
        <w:rPr>
          <w:rFonts w:hint="eastAsia" w:ascii="宋体" w:hAnsi="宋体" w:cs="宋体"/>
          <w:color w:val="auto"/>
          <w:highlight w:val="none"/>
        </w:rPr>
        <w:t>响应</w:t>
      </w:r>
      <w:r>
        <w:rPr>
          <w:rFonts w:hint="eastAsia" w:ascii="宋体" w:hAnsi="宋体" w:cs="宋体"/>
          <w:color w:val="auto"/>
          <w:szCs w:val="21"/>
          <w:highlight w:val="none"/>
        </w:rPr>
        <w:t>文件为准。</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10.2如果采购文件没有特别要求，以供方在</w:t>
      </w:r>
      <w:r>
        <w:rPr>
          <w:rFonts w:hint="eastAsia" w:ascii="宋体" w:hAnsi="宋体" w:cs="宋体"/>
          <w:color w:val="auto"/>
          <w:highlight w:val="none"/>
        </w:rPr>
        <w:t>响应</w:t>
      </w:r>
      <w:r>
        <w:rPr>
          <w:rFonts w:hint="eastAsia" w:ascii="宋体" w:hAnsi="宋体" w:cs="宋体"/>
          <w:color w:val="auto"/>
          <w:szCs w:val="21"/>
          <w:highlight w:val="none"/>
        </w:rPr>
        <w:t>文件中提交的制造厂商的有关文件为准。如果上述文件规定有不一致之处，以对需方有利的为准。</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11.质量保证</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hint="eastAsia" w:ascii="宋体" w:hAnsi="宋体" w:cs="宋体"/>
          <w:color w:val="auto"/>
          <w:highlight w:val="none"/>
        </w:rPr>
        <w:t>响应</w:t>
      </w:r>
      <w:r>
        <w:rPr>
          <w:rFonts w:hint="eastAsia" w:ascii="宋体" w:hAnsi="宋体" w:cs="宋体"/>
          <w:color w:val="auto"/>
          <w:szCs w:val="21"/>
          <w:highlight w:val="none"/>
        </w:rPr>
        <w:t>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12.技术服务和保修责任</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12.1供方对政府采购合同货物的保修期，以采购文件中的规定为准，如果</w:t>
      </w:r>
      <w:r>
        <w:rPr>
          <w:rFonts w:hint="eastAsia" w:ascii="宋体" w:hAnsi="宋体" w:cs="宋体"/>
          <w:color w:val="auto"/>
          <w:highlight w:val="none"/>
        </w:rPr>
        <w:t>响应</w:t>
      </w:r>
      <w:r>
        <w:rPr>
          <w:rFonts w:hint="eastAsia" w:ascii="宋体" w:hAnsi="宋体" w:cs="宋体"/>
          <w:color w:val="auto"/>
          <w:szCs w:val="21"/>
          <w:highlight w:val="none"/>
        </w:rPr>
        <w:t>文件中的承诺优于采购文件规定，则以</w:t>
      </w:r>
      <w:r>
        <w:rPr>
          <w:rFonts w:hint="eastAsia" w:ascii="宋体" w:hAnsi="宋体" w:cs="宋体"/>
          <w:color w:val="auto"/>
          <w:highlight w:val="none"/>
        </w:rPr>
        <w:t>响应</w:t>
      </w:r>
      <w:r>
        <w:rPr>
          <w:rFonts w:hint="eastAsia" w:ascii="宋体" w:hAnsi="宋体" w:cs="宋体"/>
          <w:color w:val="auto"/>
          <w:szCs w:val="21"/>
          <w:highlight w:val="none"/>
        </w:rPr>
        <w:t>文件为准。</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12.2供应商应按如下内容提供售后服务承诺书：</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12.2.1产品经过试运行期，所有性能指标达到技术规范书的要求时，可按采购文件、响应文件内容进行初验。在试运行期间，由于产品质量等造成某些指标达不到要求，供方须更换或进行修复，试运行期重新计算。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12.2.4保修期内，供方提供电话、电子邮件、Web、现场服务等方式的技术支持，对用户的现场服务要求，供方必须按响应文件做出的承诺进行响应。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12.2.6保修期内，供方应响应时的承诺提供相关服务。</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13.违约责任</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13.1.1在需方同意延长的期限内交付全部货物、提供服务并承担由此给需方造成的一切损失；</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13.3延期交货的违约责任</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13.4以上各项交付的违约金并不影响违约方履行政府采购合同的各项义务。</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14.不可抗力</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15.争端的解决</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15.1政府采购合同的履行、违约责任和解决争议的方法等适用《中华人民共和国合同法》。</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15.2需方和供方应通过友好协商，解决在执行本政府采购合同过程中所发生的或与本政府采购合同有关的一切争端。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15.3如果调解不成，双方中的任何一方可向需方所在地的人民法院提起诉讼。</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15.4因政府采购合同部分履行引发诉讼的，在诉讼期间，除正在进行诉讼的部分外，本政府采购合同的其它部分应继续执行。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16.违约终止政府采购合同</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16.1.2未经需方事先书面同意，供方部分转让和分包或全部转让和分包其应履行的政府采购合同义务。</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17.政府采购合同转让和分包</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18.适用法律：</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本政府采购合同按照中华人民共和国的现行法律进行解释。</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19.政府采购合同生效</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19.1本政府采购合同在供需双方法定代表人或其授权代理人签字和加盖公章后生效。</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19.2本政府采购合同一式五份，需方执二份，供方、采购代理机构、财政部门各执一份。</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20.政府采购合同附件</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下列文件构成本政府采购合同不可分割的组成部分，与本政府采购合同具有同等法律效力：</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20.1采购文件；</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20.2采购文件的更正公告、变更公告；</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20.3成交供应商提交的响应文件；</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20.4政府采购合同条款；</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20.5成交通知书；</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20.6政府采购合同的其它附件。</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21.通用合同条款和专用合同条款优先级</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b/>
          <w:color w:val="auto"/>
          <w:sz w:val="22"/>
          <w:szCs w:val="21"/>
          <w:highlight w:val="none"/>
        </w:rPr>
        <w:t>本招标文件通用合同条款与专用合同条款不一致之处，均以专用合同条款为准。</w:t>
      </w:r>
    </w:p>
    <w:p>
      <w:pPr>
        <w:ind w:firstLine="470" w:firstLineChars="196"/>
        <w:rPr>
          <w:rFonts w:ascii="宋体" w:hAnsi="宋体" w:cs="宋体"/>
          <w:color w:val="auto"/>
          <w:sz w:val="24"/>
          <w:highlight w:val="none"/>
        </w:rPr>
      </w:pPr>
    </w:p>
    <w:p>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pPr>
        <w:ind w:firstLine="470" w:firstLineChars="196"/>
        <w:rPr>
          <w:rFonts w:ascii="宋体" w:hAnsi="宋体" w:cs="宋体"/>
          <w:color w:val="auto"/>
          <w:sz w:val="24"/>
          <w:highlight w:val="none"/>
        </w:rPr>
      </w:pPr>
    </w:p>
    <w:p>
      <w:pPr>
        <w:pStyle w:val="4"/>
        <w:adjustRightInd w:val="0"/>
        <w:snapToGrid w:val="0"/>
        <w:spacing w:before="0" w:after="0" w:line="360" w:lineRule="auto"/>
        <w:jc w:val="left"/>
        <w:rPr>
          <w:rFonts w:ascii="宋体" w:hAnsi="宋体" w:eastAsia="宋体" w:cs="宋体"/>
          <w:color w:val="auto"/>
          <w:sz w:val="28"/>
          <w:szCs w:val="28"/>
          <w:highlight w:val="none"/>
        </w:rPr>
      </w:pPr>
      <w:bookmarkStart w:id="181" w:name="_Toc533340224"/>
      <w:bookmarkStart w:id="182" w:name="_Toc4485697"/>
      <w:r>
        <w:rPr>
          <w:rFonts w:hint="eastAsia" w:ascii="宋体" w:hAnsi="宋体" w:eastAsia="宋体" w:cs="宋体"/>
          <w:color w:val="auto"/>
          <w:sz w:val="28"/>
          <w:szCs w:val="28"/>
          <w:highlight w:val="none"/>
        </w:rPr>
        <w:t>专用合同条款</w:t>
      </w:r>
      <w:bookmarkEnd w:id="181"/>
      <w:bookmarkEnd w:id="182"/>
      <w:r>
        <w:rPr>
          <w:rFonts w:hint="eastAsia" w:ascii="宋体" w:hAnsi="宋体" w:eastAsia="宋体" w:cs="Arial"/>
          <w:color w:val="auto"/>
          <w:sz w:val="24"/>
          <w:highlight w:val="none"/>
        </w:rPr>
        <w:t>（最终依据成交供应商所投产品确定具体专用合同条款）</w:t>
      </w:r>
      <w:r>
        <w:rPr>
          <w:rFonts w:hint="eastAsia" w:ascii="宋体" w:hAnsi="宋体" w:eastAsia="宋体" w:cs="宋体"/>
          <w:color w:val="auto"/>
          <w:sz w:val="28"/>
          <w:szCs w:val="28"/>
          <w:highlight w:val="none"/>
        </w:rPr>
        <w:t xml:space="preserve">                    </w:t>
      </w:r>
    </w:p>
    <w:p>
      <w:pPr>
        <w:adjustRightInd w:val="0"/>
        <w:snapToGrid w:val="0"/>
        <w:jc w:val="center"/>
        <w:rPr>
          <w:rFonts w:ascii="宋体" w:hAnsi="宋体" w:cs="Arial"/>
          <w:b/>
          <w:bCs/>
          <w:color w:val="auto"/>
          <w:sz w:val="32"/>
          <w:szCs w:val="44"/>
          <w:highlight w:val="none"/>
        </w:rPr>
      </w:pPr>
      <w:bookmarkStart w:id="183" w:name="_Toc7832_WPSOffice_Level1"/>
      <w:bookmarkStart w:id="184" w:name="_Toc11644_WPSOffice_Level1"/>
      <w:r>
        <w:rPr>
          <w:rFonts w:hint="eastAsia" w:ascii="宋体" w:hAnsi="宋体" w:cs="Arial"/>
          <w:b/>
          <w:bCs/>
          <w:color w:val="auto"/>
          <w:sz w:val="32"/>
          <w:szCs w:val="44"/>
          <w:highlight w:val="none"/>
        </w:rPr>
        <w:t>进口设备技术协议</w:t>
      </w:r>
    </w:p>
    <w:p>
      <w:pPr>
        <w:adjustRightInd w:val="0"/>
        <w:snapToGrid w:val="0"/>
        <w:jc w:val="center"/>
        <w:rPr>
          <w:rFonts w:ascii="宋体" w:hAnsi="宋体" w:cs="Arial"/>
          <w:b/>
          <w:bCs/>
          <w:color w:val="auto"/>
          <w:sz w:val="32"/>
          <w:szCs w:val="44"/>
          <w:highlight w:val="none"/>
        </w:rPr>
      </w:pPr>
    </w:p>
    <w:p>
      <w:pPr>
        <w:adjustRightInd w:val="0"/>
        <w:snapToGrid w:val="0"/>
        <w:jc w:val="center"/>
        <w:rPr>
          <w:rFonts w:ascii="宋体" w:hAnsi="宋体" w:cs="Arial"/>
          <w:b/>
          <w:bCs/>
          <w:color w:val="auto"/>
          <w:sz w:val="32"/>
          <w:szCs w:val="44"/>
          <w:highlight w:val="none"/>
        </w:rPr>
      </w:pPr>
    </w:p>
    <w:bookmarkEnd w:id="183"/>
    <w:bookmarkEnd w:id="184"/>
    <w:p>
      <w:pPr>
        <w:shd w:val="clear" w:fill="FFFFFF" w:themeFill="background1"/>
        <w:adjustRightInd w:val="0"/>
        <w:snapToGrid w:val="0"/>
        <w:jc w:val="center"/>
        <w:rPr>
          <w:rFonts w:ascii="宋体" w:hAnsi="宋体" w:cs="Arial"/>
          <w:b/>
          <w:bCs/>
          <w:color w:val="auto"/>
          <w:sz w:val="32"/>
          <w:szCs w:val="44"/>
          <w:highlight w:val="none"/>
        </w:rPr>
      </w:pPr>
    </w:p>
    <w:p>
      <w:pPr>
        <w:spacing w:line="360" w:lineRule="exact"/>
        <w:jc w:val="left"/>
        <w:rPr>
          <w:rFonts w:ascii="宋体" w:hAnsi="宋体"/>
          <w:bCs/>
          <w:color w:val="auto"/>
          <w:sz w:val="24"/>
          <w:u w:val="single"/>
        </w:rPr>
      </w:pPr>
      <w:r>
        <w:rPr>
          <w:rFonts w:hint="eastAsia" w:ascii="宋体" w:hAnsi="宋体"/>
          <w:b/>
          <w:color w:val="auto"/>
          <w:sz w:val="24"/>
        </w:rPr>
        <w:t xml:space="preserve">甲方（买受人）：东北大学 </w:t>
      </w:r>
      <w:r>
        <w:rPr>
          <w:rFonts w:ascii="宋体" w:hAnsi="宋体"/>
          <w:b/>
          <w:color w:val="auto"/>
          <w:sz w:val="24"/>
        </w:rPr>
        <w:t xml:space="preserve">               </w:t>
      </w:r>
      <w:r>
        <w:rPr>
          <w:rFonts w:hint="eastAsia" w:ascii="宋体" w:hAnsi="宋体"/>
          <w:b/>
          <w:color w:val="auto"/>
          <w:sz w:val="24"/>
        </w:rPr>
        <w:t>乙方（出卖人）：</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p>
      <w:pPr>
        <w:spacing w:line="360" w:lineRule="exact"/>
        <w:jc w:val="left"/>
        <w:rPr>
          <w:rFonts w:ascii="宋体" w:hAnsi="宋体"/>
          <w:b/>
          <w:color w:val="auto"/>
          <w:sz w:val="24"/>
        </w:rPr>
      </w:pPr>
      <w:r>
        <w:rPr>
          <w:rFonts w:hint="eastAsia" w:ascii="宋体" w:hAnsi="宋体"/>
          <w:b/>
          <w:color w:val="auto"/>
          <w:sz w:val="24"/>
        </w:rPr>
        <w:t xml:space="preserve">地址：沈阳市和平区文化路3号巷11号 </w:t>
      </w:r>
      <w:r>
        <w:rPr>
          <w:rFonts w:ascii="宋体" w:hAnsi="宋体"/>
          <w:b/>
          <w:color w:val="auto"/>
          <w:sz w:val="24"/>
        </w:rPr>
        <w:t xml:space="preserve">    </w:t>
      </w:r>
      <w:r>
        <w:rPr>
          <w:rFonts w:hint="eastAsia" w:ascii="宋体" w:hAnsi="宋体"/>
          <w:b/>
          <w:color w:val="auto"/>
          <w:sz w:val="24"/>
        </w:rPr>
        <w:t>地址：</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p>
      <w:pPr>
        <w:spacing w:line="360" w:lineRule="exact"/>
        <w:jc w:val="left"/>
        <w:rPr>
          <w:rFonts w:ascii="宋体" w:hAnsi="宋体"/>
          <w:bCs/>
          <w:color w:val="auto"/>
          <w:sz w:val="24"/>
          <w:u w:val="single"/>
        </w:rPr>
      </w:pPr>
      <w:r>
        <w:rPr>
          <w:rFonts w:hint="eastAsia" w:ascii="宋体" w:hAnsi="宋体"/>
          <w:b/>
          <w:color w:val="auto"/>
          <w:sz w:val="24"/>
        </w:rPr>
        <w:t>法定代表人：</w:t>
      </w:r>
      <w:r>
        <w:rPr>
          <w:rFonts w:hint="eastAsia" w:ascii="宋体" w:hAnsi="宋体"/>
          <w:bCs/>
          <w:color w:val="auto"/>
          <w:sz w:val="24"/>
          <w:u w:val="single"/>
        </w:rPr>
        <w:fldChar w:fldCharType="begin">
          <w:ffData>
            <w:name w:val="文字15"/>
            <w:enabled/>
            <w:calcOnExit w:val="0"/>
            <w:textInput>
              <w:default w:val="冯夏庭"/>
            </w:textInput>
          </w:ffData>
        </w:fldChar>
      </w:r>
      <w:r>
        <w:rPr>
          <w:rFonts w:hint="eastAsia" w:ascii="宋体" w:hAnsi="宋体"/>
          <w:bCs/>
          <w:color w:val="auto"/>
          <w:sz w:val="24"/>
          <w:u w:val="single"/>
        </w:rPr>
        <w:instrText xml:space="preserve">FORMTEXT</w:instrText>
      </w:r>
      <w:r>
        <w:rPr>
          <w:rFonts w:hint="eastAsia" w:ascii="宋体" w:hAnsi="宋体"/>
          <w:bCs/>
          <w:color w:val="auto"/>
          <w:sz w:val="24"/>
          <w:u w:val="single"/>
        </w:rPr>
        <w:fldChar w:fldCharType="separate"/>
      </w:r>
      <w:r>
        <w:rPr>
          <w:rFonts w:hint="eastAsia" w:ascii="宋体" w:hAnsi="宋体"/>
          <w:bCs/>
          <w:color w:val="auto"/>
          <w:sz w:val="24"/>
          <w:u w:val="single"/>
        </w:rPr>
        <w:t>冯夏庭</w:t>
      </w:r>
      <w:r>
        <w:rPr>
          <w:rFonts w:hint="eastAsia" w:ascii="宋体" w:hAnsi="宋体"/>
          <w:bCs/>
          <w:color w:val="auto"/>
          <w:sz w:val="24"/>
          <w:u w:val="single"/>
        </w:rPr>
        <w:fldChar w:fldCharType="end"/>
      </w:r>
      <w:r>
        <w:rPr>
          <w:rFonts w:ascii="宋体" w:hAnsi="宋体"/>
          <w:bCs/>
          <w:color w:val="auto"/>
          <w:sz w:val="24"/>
        </w:rPr>
        <w:t xml:space="preserve">                      </w:t>
      </w:r>
      <w:r>
        <w:rPr>
          <w:rFonts w:hint="eastAsia" w:ascii="宋体" w:hAnsi="宋体"/>
          <w:b/>
          <w:color w:val="auto"/>
          <w:sz w:val="24"/>
        </w:rPr>
        <w:t>法定代表人：</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p>
      <w:pPr>
        <w:spacing w:line="360" w:lineRule="exact"/>
        <w:jc w:val="left"/>
        <w:rPr>
          <w:rFonts w:ascii="宋体" w:hAnsi="宋体"/>
          <w:bCs/>
          <w:color w:val="auto"/>
          <w:sz w:val="24"/>
          <w:u w:val="single"/>
        </w:rPr>
      </w:pPr>
      <w:r>
        <w:rPr>
          <w:rFonts w:hint="eastAsia" w:ascii="宋体" w:hAnsi="宋体"/>
          <w:b/>
          <w:color w:val="auto"/>
          <w:sz w:val="24"/>
        </w:rPr>
        <w:t>指定联系人：</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r>
        <w:rPr>
          <w:rFonts w:ascii="宋体" w:hAnsi="宋体"/>
          <w:bCs/>
          <w:color w:val="auto"/>
          <w:sz w:val="24"/>
        </w:rPr>
        <w:t xml:space="preserve">                       </w:t>
      </w:r>
      <w:r>
        <w:rPr>
          <w:rFonts w:hint="eastAsia" w:ascii="宋体" w:hAnsi="宋体"/>
          <w:b/>
          <w:color w:val="auto"/>
          <w:sz w:val="24"/>
        </w:rPr>
        <w:t>指定联系人：</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p>
      <w:pPr>
        <w:spacing w:line="360" w:lineRule="exact"/>
        <w:jc w:val="left"/>
        <w:rPr>
          <w:rFonts w:ascii="宋体" w:hAnsi="宋体"/>
          <w:bCs/>
          <w:color w:val="auto"/>
          <w:sz w:val="24"/>
          <w:u w:val="single"/>
        </w:rPr>
      </w:pPr>
      <w:r>
        <w:rPr>
          <w:rFonts w:hint="eastAsia" w:ascii="宋体" w:hAnsi="宋体"/>
          <w:b/>
          <w:color w:val="auto"/>
          <w:sz w:val="24"/>
        </w:rPr>
        <w:t>联系电话：</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r>
        <w:rPr>
          <w:rFonts w:ascii="宋体" w:hAnsi="宋体"/>
          <w:bCs/>
          <w:color w:val="auto"/>
          <w:sz w:val="24"/>
        </w:rPr>
        <w:t xml:space="preserve">                         </w:t>
      </w:r>
      <w:r>
        <w:rPr>
          <w:rFonts w:hint="eastAsia" w:ascii="宋体" w:hAnsi="宋体"/>
          <w:b/>
          <w:color w:val="auto"/>
          <w:sz w:val="24"/>
        </w:rPr>
        <w:t>联系电话：</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p>
      <w:pPr>
        <w:spacing w:line="360" w:lineRule="exact"/>
        <w:jc w:val="left"/>
        <w:rPr>
          <w:rFonts w:ascii="宋体" w:hAnsi="宋体"/>
          <w:b/>
          <w:color w:val="auto"/>
          <w:sz w:val="24"/>
        </w:rPr>
      </w:pPr>
      <w:r>
        <w:rPr>
          <w:rFonts w:hint="eastAsia" w:ascii="宋体" w:hAnsi="宋体"/>
          <w:b/>
          <w:color w:val="auto"/>
          <w:sz w:val="24"/>
        </w:rPr>
        <w:t>通讯地址：</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r>
        <w:rPr>
          <w:rFonts w:ascii="宋体" w:hAnsi="宋体"/>
          <w:bCs/>
          <w:color w:val="auto"/>
          <w:sz w:val="24"/>
        </w:rPr>
        <w:t xml:space="preserve">                         </w:t>
      </w:r>
      <w:r>
        <w:rPr>
          <w:rFonts w:hint="eastAsia" w:ascii="宋体" w:hAnsi="宋体"/>
          <w:b/>
          <w:color w:val="auto"/>
          <w:sz w:val="24"/>
        </w:rPr>
        <w:t>通讯地址：</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p>
      <w:pPr>
        <w:spacing w:line="360" w:lineRule="exact"/>
        <w:jc w:val="left"/>
        <w:rPr>
          <w:rFonts w:ascii="宋体" w:hAnsi="宋体"/>
          <w:bCs/>
          <w:color w:val="auto"/>
          <w:sz w:val="24"/>
          <w:u w:val="single"/>
        </w:rPr>
      </w:pPr>
      <w:r>
        <w:rPr>
          <w:rFonts w:hint="eastAsia" w:ascii="宋体" w:hAnsi="宋体"/>
          <w:b/>
          <w:color w:val="auto"/>
          <w:sz w:val="24"/>
        </w:rPr>
        <w:t>电子邮箱：</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r>
        <w:rPr>
          <w:rFonts w:ascii="宋体" w:hAnsi="宋体"/>
          <w:bCs/>
          <w:color w:val="auto"/>
          <w:sz w:val="24"/>
        </w:rPr>
        <w:t xml:space="preserve">                         </w:t>
      </w:r>
      <w:r>
        <w:rPr>
          <w:rFonts w:hint="eastAsia" w:ascii="宋体" w:hAnsi="宋体"/>
          <w:b/>
          <w:color w:val="auto"/>
          <w:sz w:val="24"/>
        </w:rPr>
        <w:t>电子邮箱：</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p>
      <w:pPr>
        <w:spacing w:line="320" w:lineRule="exact"/>
        <w:ind w:firstLine="482" w:firstLineChars="20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根据《中华人民共和国合同法》等法律法规，甲乙双方经平等协商一致，就甲方向乙方购买</w:t>
      </w: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r>
        <w:rPr>
          <w:rFonts w:hint="eastAsia" w:ascii="宋体" w:hAnsi="宋体" w:eastAsia="宋体" w:cs="宋体"/>
          <w:b/>
          <w:color w:val="FF0000"/>
          <w:sz w:val="24"/>
          <w:szCs w:val="24"/>
        </w:rPr>
        <w:t>货物事宜签订本协议，以兹双方共同遵守。</w:t>
      </w:r>
    </w:p>
    <w:p>
      <w:pPr>
        <w:spacing w:line="320" w:lineRule="exact"/>
        <w:ind w:firstLine="482" w:firstLineChars="20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第一条  货物明细</w:t>
      </w:r>
    </w:p>
    <w:p>
      <w:pPr>
        <w:spacing w:line="320" w:lineRule="exact"/>
        <w:ind w:right="-987" w:firstLine="480" w:firstLineChars="200"/>
        <w:rPr>
          <w:rFonts w:hint="eastAsia" w:ascii="宋体" w:hAnsi="宋体" w:eastAsia="宋体" w:cs="宋体"/>
          <w:bCs/>
          <w:color w:val="FF0000"/>
          <w:sz w:val="24"/>
          <w:szCs w:val="24"/>
        </w:rPr>
      </w:pPr>
      <w:r>
        <w:rPr>
          <w:rFonts w:hint="eastAsia" w:ascii="宋体" w:hAnsi="宋体" w:eastAsia="宋体" w:cs="宋体"/>
          <w:bCs/>
          <w:color w:val="FF0000"/>
          <w:sz w:val="24"/>
          <w:szCs w:val="24"/>
        </w:rPr>
        <w:t>1.1 甲方向乙方订购以下货物，详细配置清单见附件：</w:t>
      </w:r>
    </w:p>
    <w:tbl>
      <w:tblPr>
        <w:tblStyle w:val="18"/>
        <w:tblW w:w="103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67"/>
        <w:gridCol w:w="1560"/>
        <w:gridCol w:w="1134"/>
        <w:gridCol w:w="851"/>
        <w:gridCol w:w="1239"/>
        <w:gridCol w:w="887"/>
        <w:gridCol w:w="553"/>
        <w:gridCol w:w="581"/>
        <w:gridCol w:w="843"/>
        <w:gridCol w:w="1012"/>
        <w:gridCol w:w="1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67" w:type="dxa"/>
            <w:vAlign w:val="center"/>
          </w:tcPr>
          <w:p>
            <w:pPr>
              <w:spacing w:line="320" w:lineRule="exact"/>
              <w:jc w:val="center"/>
              <w:outlineLvl w:val="0"/>
              <w:rPr>
                <w:rFonts w:hint="eastAsia" w:ascii="宋体" w:hAnsi="宋体" w:eastAsia="宋体" w:cs="宋体"/>
                <w:bCs/>
                <w:color w:val="FF0000"/>
                <w:sz w:val="24"/>
                <w:szCs w:val="24"/>
              </w:rPr>
            </w:pPr>
            <w:r>
              <w:rPr>
                <w:rFonts w:hint="eastAsia" w:ascii="宋体" w:hAnsi="宋体" w:eastAsia="宋体" w:cs="宋体"/>
                <w:bCs/>
                <w:color w:val="FF0000"/>
                <w:sz w:val="24"/>
                <w:szCs w:val="24"/>
              </w:rPr>
              <w:t>序号</w:t>
            </w:r>
          </w:p>
        </w:tc>
        <w:tc>
          <w:tcPr>
            <w:tcW w:w="1560" w:type="dxa"/>
            <w:tcBorders>
              <w:right w:val="single" w:color="auto" w:sz="4" w:space="0"/>
            </w:tcBorders>
            <w:vAlign w:val="center"/>
          </w:tcPr>
          <w:p>
            <w:pPr>
              <w:widowControl/>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名称</w:t>
            </w:r>
          </w:p>
          <w:p>
            <w:pPr>
              <w:widowControl/>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(中英文)</w:t>
            </w:r>
          </w:p>
        </w:tc>
        <w:tc>
          <w:tcPr>
            <w:tcW w:w="1134" w:type="dxa"/>
            <w:tcBorders>
              <w:left w:val="single" w:color="auto" w:sz="4" w:space="0"/>
              <w:right w:val="single" w:color="auto" w:sz="4" w:space="0"/>
            </w:tcBorders>
            <w:vAlign w:val="center"/>
          </w:tcPr>
          <w:p>
            <w:pPr>
              <w:widowControl/>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型号规格</w:t>
            </w:r>
          </w:p>
        </w:tc>
        <w:tc>
          <w:tcPr>
            <w:tcW w:w="851" w:type="dxa"/>
            <w:tcBorders>
              <w:left w:val="single" w:color="auto" w:sz="4" w:space="0"/>
              <w:right w:val="single" w:color="auto" w:sz="4" w:space="0"/>
            </w:tcBorders>
            <w:vAlign w:val="center"/>
          </w:tcPr>
          <w:p>
            <w:pPr>
              <w:snapToGrid w:val="0"/>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品牌</w:t>
            </w:r>
          </w:p>
        </w:tc>
        <w:tc>
          <w:tcPr>
            <w:tcW w:w="1239" w:type="dxa"/>
            <w:tcBorders>
              <w:left w:val="single" w:color="auto" w:sz="4" w:space="0"/>
              <w:right w:val="single" w:color="auto" w:sz="4" w:space="0"/>
            </w:tcBorders>
            <w:vAlign w:val="center"/>
          </w:tcPr>
          <w:p>
            <w:pPr>
              <w:widowControl/>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制造商</w:t>
            </w:r>
          </w:p>
          <w:p>
            <w:pPr>
              <w:widowControl/>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(全称)</w:t>
            </w:r>
          </w:p>
        </w:tc>
        <w:tc>
          <w:tcPr>
            <w:tcW w:w="887" w:type="dxa"/>
            <w:tcBorders>
              <w:left w:val="single" w:color="auto" w:sz="4" w:space="0"/>
            </w:tcBorders>
            <w:vAlign w:val="center"/>
          </w:tcPr>
          <w:p>
            <w:pPr>
              <w:widowControl/>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产地</w:t>
            </w:r>
          </w:p>
        </w:tc>
        <w:tc>
          <w:tcPr>
            <w:tcW w:w="553" w:type="dxa"/>
            <w:vAlign w:val="center"/>
          </w:tcPr>
          <w:p>
            <w:pPr>
              <w:snapToGrid w:val="0"/>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数量</w:t>
            </w:r>
          </w:p>
        </w:tc>
        <w:tc>
          <w:tcPr>
            <w:tcW w:w="581" w:type="dxa"/>
            <w:tcBorders>
              <w:right w:val="single" w:color="auto" w:sz="4" w:space="0"/>
            </w:tcBorders>
            <w:vAlign w:val="center"/>
          </w:tcPr>
          <w:p>
            <w:pPr>
              <w:pStyle w:val="2"/>
              <w:spacing w:line="320" w:lineRule="exact"/>
              <w:rPr>
                <w:rFonts w:hint="eastAsia" w:ascii="宋体" w:hAnsi="宋体" w:eastAsia="宋体" w:cs="宋体"/>
                <w:bCs w:val="0"/>
                <w:color w:val="FF0000"/>
              </w:rPr>
            </w:pPr>
            <w:r>
              <w:rPr>
                <w:rFonts w:hint="eastAsia" w:ascii="宋体" w:hAnsi="宋体" w:eastAsia="宋体" w:cs="宋体"/>
                <w:color w:val="FF0000"/>
              </w:rPr>
              <w:t>单位</w:t>
            </w:r>
          </w:p>
        </w:tc>
        <w:tc>
          <w:tcPr>
            <w:tcW w:w="843" w:type="dxa"/>
            <w:tcBorders>
              <w:left w:val="single" w:color="auto" w:sz="4" w:space="0"/>
              <w:right w:val="single" w:color="auto" w:sz="4" w:space="0"/>
            </w:tcBorders>
            <w:vAlign w:val="center"/>
          </w:tcPr>
          <w:p>
            <w:pPr>
              <w:widowControl/>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币种</w:t>
            </w:r>
          </w:p>
        </w:tc>
        <w:tc>
          <w:tcPr>
            <w:tcW w:w="1012" w:type="dxa"/>
            <w:tcBorders>
              <w:left w:val="single" w:color="auto" w:sz="4" w:space="0"/>
            </w:tcBorders>
            <w:vAlign w:val="center"/>
          </w:tcPr>
          <w:p>
            <w:pPr>
              <w:widowControl/>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单价</w:t>
            </w:r>
          </w:p>
        </w:tc>
        <w:tc>
          <w:tcPr>
            <w:tcW w:w="1140" w:type="dxa"/>
            <w:vAlign w:val="center"/>
          </w:tcPr>
          <w:p>
            <w:pPr>
              <w:widowControl/>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1" w:hRule="atLeast"/>
          <w:jc w:val="center"/>
        </w:trPr>
        <w:tc>
          <w:tcPr>
            <w:tcW w:w="567" w:type="dxa"/>
            <w:vAlign w:val="center"/>
          </w:tcPr>
          <w:p>
            <w:pPr>
              <w:snapToGrid w:val="0"/>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1</w:t>
            </w:r>
          </w:p>
        </w:tc>
        <w:tc>
          <w:tcPr>
            <w:tcW w:w="1560" w:type="dxa"/>
            <w:tcBorders>
              <w:right w:val="single" w:color="auto" w:sz="4" w:space="0"/>
            </w:tcBorders>
            <w:vAlign w:val="center"/>
          </w:tcPr>
          <w:p>
            <w:pPr>
              <w:snapToGrid w:val="0"/>
              <w:spacing w:line="320" w:lineRule="exact"/>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1134" w:type="dxa"/>
            <w:tcBorders>
              <w:left w:val="single" w:color="auto" w:sz="4" w:space="0"/>
              <w:right w:val="single" w:color="auto" w:sz="4" w:space="0"/>
            </w:tcBorders>
            <w:vAlign w:val="center"/>
          </w:tcPr>
          <w:p>
            <w:pPr>
              <w:snapToGrid w:val="0"/>
              <w:spacing w:line="320" w:lineRule="exact"/>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851" w:type="dxa"/>
            <w:tcBorders>
              <w:left w:val="single" w:color="auto" w:sz="4" w:space="0"/>
              <w:right w:val="single" w:color="auto" w:sz="4" w:space="0"/>
            </w:tcBorders>
            <w:vAlign w:val="center"/>
          </w:tcPr>
          <w:p>
            <w:pPr>
              <w:snapToGrid w:val="0"/>
              <w:spacing w:line="320" w:lineRule="exact"/>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1239" w:type="dxa"/>
            <w:tcBorders>
              <w:left w:val="single" w:color="auto" w:sz="4" w:space="0"/>
              <w:right w:val="single" w:color="auto" w:sz="4" w:space="0"/>
            </w:tcBorders>
            <w:vAlign w:val="center"/>
          </w:tcPr>
          <w:p>
            <w:pPr>
              <w:snapToGrid w:val="0"/>
              <w:spacing w:line="320" w:lineRule="exact"/>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887" w:type="dxa"/>
            <w:tcBorders>
              <w:left w:val="single" w:color="auto" w:sz="4" w:space="0"/>
            </w:tcBorders>
            <w:vAlign w:val="center"/>
          </w:tcPr>
          <w:p>
            <w:pPr>
              <w:snapToGrid w:val="0"/>
              <w:spacing w:line="320" w:lineRule="exact"/>
              <w:jc w:val="center"/>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553" w:type="dxa"/>
            <w:vAlign w:val="center"/>
          </w:tcPr>
          <w:p>
            <w:pPr>
              <w:snapToGrid w:val="0"/>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581" w:type="dxa"/>
            <w:tcBorders>
              <w:right w:val="single" w:color="auto" w:sz="4" w:space="0"/>
            </w:tcBorders>
            <w:vAlign w:val="center"/>
          </w:tcPr>
          <w:p>
            <w:pPr>
              <w:spacing w:line="320" w:lineRule="exact"/>
              <w:jc w:val="center"/>
              <w:outlineLvl w:val="0"/>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843" w:type="dxa"/>
            <w:tcBorders>
              <w:left w:val="single" w:color="auto" w:sz="4" w:space="0"/>
              <w:right w:val="single" w:color="auto" w:sz="4" w:space="0"/>
            </w:tcBorders>
            <w:vAlign w:val="center"/>
          </w:tcPr>
          <w:p>
            <w:pPr>
              <w:spacing w:line="320" w:lineRule="exact"/>
              <w:jc w:val="center"/>
              <w:outlineLvl w:val="0"/>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1012" w:type="dxa"/>
            <w:tcBorders>
              <w:left w:val="single" w:color="auto" w:sz="4" w:space="0"/>
            </w:tcBorders>
            <w:vAlign w:val="center"/>
          </w:tcPr>
          <w:p>
            <w:pPr>
              <w:spacing w:line="320" w:lineRule="exact"/>
              <w:jc w:val="center"/>
              <w:outlineLvl w:val="0"/>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1140" w:type="dxa"/>
            <w:vAlign w:val="center"/>
          </w:tcPr>
          <w:p>
            <w:pPr>
              <w:spacing w:line="320" w:lineRule="exact"/>
              <w:jc w:val="center"/>
              <w:rPr>
                <w:rFonts w:hint="eastAsia" w:ascii="宋体" w:hAnsi="宋体" w:eastAsia="宋体" w:cs="宋体"/>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7" w:hRule="atLeast"/>
          <w:jc w:val="center"/>
        </w:trPr>
        <w:tc>
          <w:tcPr>
            <w:tcW w:w="567" w:type="dxa"/>
            <w:vAlign w:val="center"/>
          </w:tcPr>
          <w:p>
            <w:pPr>
              <w:snapToGrid w:val="0"/>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2</w:t>
            </w:r>
          </w:p>
        </w:tc>
        <w:tc>
          <w:tcPr>
            <w:tcW w:w="1560" w:type="dxa"/>
            <w:tcBorders>
              <w:right w:val="single" w:color="auto" w:sz="4" w:space="0"/>
            </w:tcBorders>
            <w:vAlign w:val="center"/>
          </w:tcPr>
          <w:p>
            <w:pPr>
              <w:snapToGrid w:val="0"/>
              <w:spacing w:line="320" w:lineRule="exact"/>
              <w:jc w:val="center"/>
              <w:rPr>
                <w:rFonts w:hint="eastAsia" w:ascii="宋体" w:hAnsi="宋体" w:eastAsia="宋体" w:cs="宋体"/>
                <w:bCs/>
                <w:color w:val="FF0000"/>
                <w:spacing w:val="-2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1134" w:type="dxa"/>
            <w:tcBorders>
              <w:left w:val="single" w:color="auto" w:sz="4" w:space="0"/>
              <w:right w:val="single" w:color="auto" w:sz="4" w:space="0"/>
            </w:tcBorders>
            <w:vAlign w:val="center"/>
          </w:tcPr>
          <w:p>
            <w:pPr>
              <w:snapToGrid w:val="0"/>
              <w:spacing w:line="320" w:lineRule="exact"/>
              <w:jc w:val="center"/>
              <w:rPr>
                <w:rFonts w:hint="eastAsia" w:ascii="宋体" w:hAnsi="宋体" w:eastAsia="宋体" w:cs="宋体"/>
                <w:bCs/>
                <w:color w:val="FF0000"/>
                <w:spacing w:val="-2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851" w:type="dxa"/>
            <w:tcBorders>
              <w:left w:val="single" w:color="auto" w:sz="4" w:space="0"/>
              <w:right w:val="single" w:color="auto" w:sz="4" w:space="0"/>
            </w:tcBorders>
            <w:vAlign w:val="center"/>
          </w:tcPr>
          <w:p>
            <w:pPr>
              <w:snapToGrid w:val="0"/>
              <w:spacing w:line="320" w:lineRule="exact"/>
              <w:jc w:val="center"/>
              <w:rPr>
                <w:rFonts w:hint="eastAsia" w:ascii="宋体" w:hAnsi="宋体" w:eastAsia="宋体" w:cs="宋体"/>
                <w:bCs/>
                <w:color w:val="FF0000"/>
                <w:spacing w:val="-2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1239" w:type="dxa"/>
            <w:tcBorders>
              <w:left w:val="single" w:color="auto" w:sz="4" w:space="0"/>
              <w:right w:val="single" w:color="auto" w:sz="4" w:space="0"/>
            </w:tcBorders>
            <w:vAlign w:val="center"/>
          </w:tcPr>
          <w:p>
            <w:pPr>
              <w:snapToGrid w:val="0"/>
              <w:spacing w:line="320" w:lineRule="exact"/>
              <w:jc w:val="center"/>
              <w:rPr>
                <w:rFonts w:hint="eastAsia" w:ascii="宋体" w:hAnsi="宋体" w:eastAsia="宋体" w:cs="宋体"/>
                <w:bCs/>
                <w:color w:val="FF0000"/>
                <w:spacing w:val="-2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887" w:type="dxa"/>
            <w:tcBorders>
              <w:left w:val="single" w:color="auto" w:sz="4" w:space="0"/>
            </w:tcBorders>
            <w:vAlign w:val="center"/>
          </w:tcPr>
          <w:p>
            <w:pPr>
              <w:snapToGrid w:val="0"/>
              <w:spacing w:line="320" w:lineRule="exact"/>
              <w:jc w:val="center"/>
              <w:rPr>
                <w:rFonts w:hint="eastAsia" w:ascii="宋体" w:hAnsi="宋体" w:eastAsia="宋体" w:cs="宋体"/>
                <w:bCs/>
                <w:color w:val="FF0000"/>
                <w:spacing w:val="-2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553" w:type="dxa"/>
            <w:vAlign w:val="center"/>
          </w:tcPr>
          <w:p>
            <w:pPr>
              <w:snapToGrid w:val="0"/>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581" w:type="dxa"/>
            <w:tcBorders>
              <w:right w:val="single" w:color="auto" w:sz="4" w:space="0"/>
            </w:tcBorders>
            <w:vAlign w:val="center"/>
          </w:tcPr>
          <w:p>
            <w:pPr>
              <w:spacing w:line="320" w:lineRule="exact"/>
              <w:jc w:val="center"/>
              <w:outlineLvl w:val="0"/>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843" w:type="dxa"/>
            <w:tcBorders>
              <w:left w:val="single" w:color="auto" w:sz="4" w:space="0"/>
              <w:right w:val="single" w:color="auto" w:sz="4" w:space="0"/>
            </w:tcBorders>
            <w:vAlign w:val="center"/>
          </w:tcPr>
          <w:p>
            <w:pPr>
              <w:spacing w:line="320" w:lineRule="exact"/>
              <w:jc w:val="center"/>
              <w:outlineLvl w:val="0"/>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1012" w:type="dxa"/>
            <w:tcBorders>
              <w:left w:val="single" w:color="auto" w:sz="4" w:space="0"/>
            </w:tcBorders>
            <w:vAlign w:val="center"/>
          </w:tcPr>
          <w:p>
            <w:pPr>
              <w:spacing w:line="320" w:lineRule="exact"/>
              <w:jc w:val="center"/>
              <w:outlineLvl w:val="0"/>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1140" w:type="dxa"/>
            <w:vAlign w:val="center"/>
          </w:tcPr>
          <w:p>
            <w:pPr>
              <w:spacing w:line="320" w:lineRule="exact"/>
              <w:jc w:val="center"/>
              <w:rPr>
                <w:rFonts w:hint="eastAsia" w:ascii="宋体" w:hAnsi="宋体" w:eastAsia="宋体" w:cs="宋体"/>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7" w:hRule="atLeast"/>
          <w:jc w:val="center"/>
        </w:trPr>
        <w:tc>
          <w:tcPr>
            <w:tcW w:w="567" w:type="dxa"/>
            <w:vAlign w:val="center"/>
          </w:tcPr>
          <w:p>
            <w:pPr>
              <w:snapToGrid w:val="0"/>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pacing w:val="6"/>
                <w:sz w:val="24"/>
                <w:szCs w:val="24"/>
              </w:rPr>
              <w:t>3</w:t>
            </w:r>
          </w:p>
        </w:tc>
        <w:tc>
          <w:tcPr>
            <w:tcW w:w="1560" w:type="dxa"/>
            <w:tcBorders>
              <w:right w:val="single" w:color="auto" w:sz="4" w:space="0"/>
            </w:tcBorders>
            <w:vAlign w:val="center"/>
          </w:tcPr>
          <w:p>
            <w:pPr>
              <w:snapToGrid w:val="0"/>
              <w:spacing w:line="320" w:lineRule="exact"/>
              <w:jc w:val="center"/>
              <w:rPr>
                <w:rFonts w:hint="eastAsia" w:ascii="宋体" w:hAnsi="宋体" w:eastAsia="宋体" w:cs="宋体"/>
                <w:bCs/>
                <w:color w:val="FF0000"/>
                <w:spacing w:val="-2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1134" w:type="dxa"/>
            <w:tcBorders>
              <w:left w:val="single" w:color="auto" w:sz="4" w:space="0"/>
              <w:right w:val="single" w:color="auto" w:sz="4" w:space="0"/>
            </w:tcBorders>
            <w:vAlign w:val="center"/>
          </w:tcPr>
          <w:p>
            <w:pPr>
              <w:snapToGrid w:val="0"/>
              <w:spacing w:line="320" w:lineRule="exact"/>
              <w:jc w:val="center"/>
              <w:rPr>
                <w:rFonts w:hint="eastAsia" w:ascii="宋体" w:hAnsi="宋体" w:eastAsia="宋体" w:cs="宋体"/>
                <w:bCs/>
                <w:color w:val="FF0000"/>
                <w:spacing w:val="-2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851" w:type="dxa"/>
            <w:tcBorders>
              <w:left w:val="single" w:color="auto" w:sz="4" w:space="0"/>
              <w:right w:val="single" w:color="auto" w:sz="4" w:space="0"/>
            </w:tcBorders>
            <w:vAlign w:val="center"/>
          </w:tcPr>
          <w:p>
            <w:pPr>
              <w:snapToGrid w:val="0"/>
              <w:spacing w:line="320" w:lineRule="exact"/>
              <w:jc w:val="center"/>
              <w:rPr>
                <w:rFonts w:hint="eastAsia" w:ascii="宋体" w:hAnsi="宋体" w:eastAsia="宋体" w:cs="宋体"/>
                <w:bCs/>
                <w:color w:val="FF0000"/>
                <w:spacing w:val="-2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1239" w:type="dxa"/>
            <w:tcBorders>
              <w:left w:val="single" w:color="auto" w:sz="4" w:space="0"/>
              <w:right w:val="single" w:color="auto" w:sz="4" w:space="0"/>
            </w:tcBorders>
            <w:vAlign w:val="center"/>
          </w:tcPr>
          <w:p>
            <w:pPr>
              <w:snapToGrid w:val="0"/>
              <w:spacing w:line="320" w:lineRule="exact"/>
              <w:jc w:val="center"/>
              <w:rPr>
                <w:rFonts w:hint="eastAsia" w:ascii="宋体" w:hAnsi="宋体" w:eastAsia="宋体" w:cs="宋体"/>
                <w:bCs/>
                <w:color w:val="FF0000"/>
                <w:spacing w:val="-2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887" w:type="dxa"/>
            <w:tcBorders>
              <w:left w:val="single" w:color="auto" w:sz="4" w:space="0"/>
            </w:tcBorders>
            <w:vAlign w:val="center"/>
          </w:tcPr>
          <w:p>
            <w:pPr>
              <w:snapToGrid w:val="0"/>
              <w:spacing w:line="320" w:lineRule="exact"/>
              <w:jc w:val="center"/>
              <w:rPr>
                <w:rFonts w:hint="eastAsia" w:ascii="宋体" w:hAnsi="宋体" w:eastAsia="宋体" w:cs="宋体"/>
                <w:bCs/>
                <w:color w:val="FF0000"/>
                <w:spacing w:val="-2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553" w:type="dxa"/>
            <w:vAlign w:val="center"/>
          </w:tcPr>
          <w:p>
            <w:pPr>
              <w:snapToGrid w:val="0"/>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581" w:type="dxa"/>
            <w:tcBorders>
              <w:right w:val="single" w:color="auto" w:sz="4" w:space="0"/>
            </w:tcBorders>
            <w:vAlign w:val="center"/>
          </w:tcPr>
          <w:p>
            <w:pPr>
              <w:spacing w:line="320" w:lineRule="exact"/>
              <w:jc w:val="center"/>
              <w:outlineLvl w:val="0"/>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843" w:type="dxa"/>
            <w:tcBorders>
              <w:left w:val="single" w:color="auto" w:sz="4" w:space="0"/>
              <w:right w:val="single" w:color="auto" w:sz="4" w:space="0"/>
            </w:tcBorders>
            <w:vAlign w:val="center"/>
          </w:tcPr>
          <w:p>
            <w:pPr>
              <w:spacing w:line="320" w:lineRule="exact"/>
              <w:jc w:val="center"/>
              <w:outlineLvl w:val="0"/>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1012" w:type="dxa"/>
            <w:tcBorders>
              <w:left w:val="single" w:color="auto" w:sz="4" w:space="0"/>
            </w:tcBorders>
            <w:vAlign w:val="center"/>
          </w:tcPr>
          <w:p>
            <w:pPr>
              <w:spacing w:line="320" w:lineRule="exact"/>
              <w:jc w:val="center"/>
              <w:outlineLvl w:val="0"/>
              <w:rPr>
                <w:rFonts w:hint="eastAsia" w:ascii="宋体" w:hAnsi="宋体" w:eastAsia="宋体" w:cs="宋体"/>
                <w:bCs/>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c>
          <w:tcPr>
            <w:tcW w:w="1140" w:type="dxa"/>
            <w:vAlign w:val="center"/>
          </w:tcPr>
          <w:p>
            <w:pPr>
              <w:spacing w:line="320" w:lineRule="exact"/>
              <w:jc w:val="center"/>
              <w:rPr>
                <w:rFonts w:hint="eastAsia" w:ascii="宋体" w:hAnsi="宋体" w:eastAsia="宋体" w:cs="宋体"/>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7" w:hRule="atLeast"/>
          <w:jc w:val="center"/>
        </w:trPr>
        <w:tc>
          <w:tcPr>
            <w:tcW w:w="10367" w:type="dxa"/>
            <w:gridSpan w:val="11"/>
            <w:vAlign w:val="center"/>
          </w:tcPr>
          <w:p>
            <w:pPr>
              <w:pStyle w:val="7"/>
              <w:tabs>
                <w:tab w:val="left" w:pos="324"/>
              </w:tabs>
              <w:spacing w:line="320" w:lineRule="exact"/>
              <w:rPr>
                <w:rFonts w:hint="eastAsia" w:ascii="宋体" w:hAnsi="宋体" w:eastAsia="宋体" w:cs="宋体"/>
                <w:color w:val="FF0000"/>
                <w:sz w:val="24"/>
              </w:rPr>
            </w:pPr>
            <w:r>
              <w:rPr>
                <w:rFonts w:hint="eastAsia" w:ascii="宋体" w:hAnsi="宋体" w:eastAsia="宋体" w:cs="宋体"/>
                <w:color w:val="FF0000"/>
                <w:sz w:val="24"/>
              </w:rPr>
              <w:tab/>
            </w:r>
            <w:r>
              <w:rPr>
                <w:rFonts w:hint="eastAsia" w:ascii="宋体" w:hAnsi="宋体" w:eastAsia="宋体" w:cs="宋体"/>
                <w:color w:val="FF0000"/>
                <w:sz w:val="24"/>
              </w:rPr>
              <w:t>如果填写不下可签订附件。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1" w:hRule="atLeast"/>
          <w:jc w:val="center"/>
        </w:trPr>
        <w:tc>
          <w:tcPr>
            <w:tcW w:w="567" w:type="dxa"/>
            <w:vAlign w:val="center"/>
          </w:tcPr>
          <w:p>
            <w:pPr>
              <w:snapToGrid w:val="0"/>
              <w:spacing w:line="320" w:lineRule="exact"/>
              <w:jc w:val="center"/>
              <w:rPr>
                <w:rFonts w:hint="eastAsia" w:ascii="宋体" w:hAnsi="宋体" w:eastAsia="宋体" w:cs="宋体"/>
                <w:bCs/>
                <w:color w:val="FF0000"/>
                <w:spacing w:val="6"/>
                <w:sz w:val="24"/>
                <w:szCs w:val="24"/>
              </w:rPr>
            </w:pPr>
            <w:r>
              <w:rPr>
                <w:rFonts w:hint="eastAsia" w:ascii="宋体" w:hAnsi="宋体" w:eastAsia="宋体" w:cs="宋体"/>
                <w:bCs/>
                <w:color w:val="FF0000"/>
                <w:sz w:val="24"/>
                <w:szCs w:val="24"/>
              </w:rPr>
              <w:t>合计</w:t>
            </w:r>
          </w:p>
        </w:tc>
        <w:tc>
          <w:tcPr>
            <w:tcW w:w="9800" w:type="dxa"/>
            <w:gridSpan w:val="10"/>
            <w:vAlign w:val="center"/>
          </w:tcPr>
          <w:p>
            <w:pPr>
              <w:pStyle w:val="7"/>
              <w:spacing w:line="320" w:lineRule="exact"/>
              <w:outlineLvl w:val="0"/>
              <w:rPr>
                <w:rFonts w:hint="eastAsia" w:ascii="宋体" w:hAnsi="宋体" w:eastAsia="宋体" w:cs="宋体"/>
                <w:bCs/>
                <w:color w:val="FF0000"/>
                <w:sz w:val="24"/>
              </w:rPr>
            </w:pPr>
            <w:r>
              <w:rPr>
                <w:rFonts w:hint="eastAsia" w:ascii="宋体" w:hAnsi="宋体" w:eastAsia="宋体" w:cs="宋体"/>
                <w:bCs/>
                <w:color w:val="FF0000"/>
                <w:sz w:val="24"/>
              </w:rPr>
              <w:t xml:space="preserve">总金额(大写): </w:t>
            </w:r>
            <w:r>
              <w:rPr>
                <w:rFonts w:hint="eastAsia" w:ascii="宋体" w:hAnsi="宋体" w:eastAsia="宋体" w:cs="宋体"/>
                <w:bCs/>
                <w:color w:val="FF0000"/>
                <w:sz w:val="24"/>
                <w:u w:val="single"/>
              </w:rPr>
              <w:fldChar w:fldCharType="begin">
                <w:ffData>
                  <w:name w:val="文字15"/>
                  <w:enabled/>
                  <w:calcOnExit w:val="0"/>
                  <w:textInput/>
                </w:ffData>
              </w:fldChar>
            </w:r>
            <w:r>
              <w:rPr>
                <w:rFonts w:hint="eastAsia" w:ascii="宋体" w:hAnsi="宋体" w:eastAsia="宋体" w:cs="宋体"/>
                <w:bCs/>
                <w:color w:val="FF0000"/>
                <w:sz w:val="24"/>
                <w:u w:val="single"/>
              </w:rPr>
              <w:instrText xml:space="preserve"> FORMTEXT </w:instrText>
            </w:r>
            <w:r>
              <w:rPr>
                <w:rFonts w:hint="eastAsia" w:ascii="宋体" w:hAnsi="宋体" w:eastAsia="宋体" w:cs="宋体"/>
                <w:bCs/>
                <w:color w:val="FF0000"/>
                <w:sz w:val="24"/>
                <w:u w:val="single"/>
              </w:rPr>
              <w:fldChar w:fldCharType="separate"/>
            </w:r>
            <w:r>
              <w:rPr>
                <w:rFonts w:hint="eastAsia" w:ascii="宋体" w:hAnsi="宋体" w:eastAsia="宋体" w:cs="宋体"/>
                <w:bCs/>
                <w:color w:val="FF0000"/>
                <w:sz w:val="24"/>
                <w:u w:val="single"/>
              </w:rPr>
              <w:t>     </w:t>
            </w:r>
            <w:r>
              <w:rPr>
                <w:rFonts w:hint="eastAsia" w:ascii="宋体" w:hAnsi="宋体" w:eastAsia="宋体" w:cs="宋体"/>
                <w:bCs/>
                <w:color w:val="FF0000"/>
                <w:sz w:val="24"/>
                <w:u w:val="single"/>
              </w:rPr>
              <w:fldChar w:fldCharType="end"/>
            </w:r>
            <w:r>
              <w:rPr>
                <w:rFonts w:hint="eastAsia" w:ascii="宋体" w:hAnsi="宋体" w:eastAsia="宋体" w:cs="宋体"/>
                <w:bCs/>
                <w:color w:val="FF0000"/>
                <w:sz w:val="24"/>
              </w:rPr>
              <w:t>万</w:t>
            </w:r>
            <w:r>
              <w:rPr>
                <w:rFonts w:hint="eastAsia" w:ascii="宋体" w:hAnsi="宋体" w:eastAsia="宋体" w:cs="宋体"/>
                <w:bCs/>
                <w:color w:val="FF0000"/>
                <w:sz w:val="24"/>
                <w:u w:val="single"/>
              </w:rPr>
              <w:fldChar w:fldCharType="begin">
                <w:ffData>
                  <w:name w:val="文字15"/>
                  <w:enabled/>
                  <w:calcOnExit w:val="0"/>
                  <w:textInput/>
                </w:ffData>
              </w:fldChar>
            </w:r>
            <w:r>
              <w:rPr>
                <w:rFonts w:hint="eastAsia" w:ascii="宋体" w:hAnsi="宋体" w:eastAsia="宋体" w:cs="宋体"/>
                <w:bCs/>
                <w:color w:val="FF0000"/>
                <w:sz w:val="24"/>
                <w:u w:val="single"/>
              </w:rPr>
              <w:instrText xml:space="preserve"> FORMTEXT </w:instrText>
            </w:r>
            <w:r>
              <w:rPr>
                <w:rFonts w:hint="eastAsia" w:ascii="宋体" w:hAnsi="宋体" w:eastAsia="宋体" w:cs="宋体"/>
                <w:bCs/>
                <w:color w:val="FF0000"/>
                <w:sz w:val="24"/>
                <w:u w:val="single"/>
              </w:rPr>
              <w:fldChar w:fldCharType="separate"/>
            </w:r>
            <w:r>
              <w:rPr>
                <w:rFonts w:hint="eastAsia" w:ascii="宋体" w:hAnsi="宋体" w:eastAsia="宋体" w:cs="宋体"/>
                <w:bCs/>
                <w:color w:val="FF0000"/>
                <w:sz w:val="24"/>
                <w:u w:val="single"/>
              </w:rPr>
              <w:t>     </w:t>
            </w:r>
            <w:r>
              <w:rPr>
                <w:rFonts w:hint="eastAsia" w:ascii="宋体" w:hAnsi="宋体" w:eastAsia="宋体" w:cs="宋体"/>
                <w:bCs/>
                <w:color w:val="FF0000"/>
                <w:sz w:val="24"/>
                <w:u w:val="single"/>
              </w:rPr>
              <w:fldChar w:fldCharType="end"/>
            </w:r>
            <w:r>
              <w:rPr>
                <w:rFonts w:hint="eastAsia" w:ascii="宋体" w:hAnsi="宋体" w:eastAsia="宋体" w:cs="宋体"/>
                <w:bCs/>
                <w:color w:val="FF0000"/>
                <w:sz w:val="24"/>
              </w:rPr>
              <w:t>仟</w:t>
            </w:r>
            <w:r>
              <w:rPr>
                <w:rFonts w:hint="eastAsia" w:ascii="宋体" w:hAnsi="宋体" w:eastAsia="宋体" w:cs="宋体"/>
                <w:bCs/>
                <w:color w:val="FF0000"/>
                <w:sz w:val="24"/>
                <w:u w:val="single"/>
              </w:rPr>
              <w:fldChar w:fldCharType="begin">
                <w:ffData>
                  <w:name w:val="文字15"/>
                  <w:enabled/>
                  <w:calcOnExit w:val="0"/>
                  <w:textInput/>
                </w:ffData>
              </w:fldChar>
            </w:r>
            <w:r>
              <w:rPr>
                <w:rFonts w:hint="eastAsia" w:ascii="宋体" w:hAnsi="宋体" w:eastAsia="宋体" w:cs="宋体"/>
                <w:bCs/>
                <w:color w:val="FF0000"/>
                <w:sz w:val="24"/>
                <w:u w:val="single"/>
              </w:rPr>
              <w:instrText xml:space="preserve"> FORMTEXT </w:instrText>
            </w:r>
            <w:r>
              <w:rPr>
                <w:rFonts w:hint="eastAsia" w:ascii="宋体" w:hAnsi="宋体" w:eastAsia="宋体" w:cs="宋体"/>
                <w:bCs/>
                <w:color w:val="FF0000"/>
                <w:sz w:val="24"/>
                <w:u w:val="single"/>
              </w:rPr>
              <w:fldChar w:fldCharType="separate"/>
            </w:r>
            <w:r>
              <w:rPr>
                <w:rFonts w:hint="eastAsia" w:ascii="宋体" w:hAnsi="宋体" w:eastAsia="宋体" w:cs="宋体"/>
                <w:bCs/>
                <w:color w:val="FF0000"/>
                <w:sz w:val="24"/>
                <w:u w:val="single"/>
              </w:rPr>
              <w:t>     </w:t>
            </w:r>
            <w:r>
              <w:rPr>
                <w:rFonts w:hint="eastAsia" w:ascii="宋体" w:hAnsi="宋体" w:eastAsia="宋体" w:cs="宋体"/>
                <w:bCs/>
                <w:color w:val="FF0000"/>
                <w:sz w:val="24"/>
                <w:u w:val="single"/>
              </w:rPr>
              <w:fldChar w:fldCharType="end"/>
            </w:r>
            <w:r>
              <w:rPr>
                <w:rFonts w:hint="eastAsia" w:ascii="宋体" w:hAnsi="宋体" w:eastAsia="宋体" w:cs="宋体"/>
                <w:bCs/>
                <w:color w:val="FF0000"/>
                <w:sz w:val="24"/>
              </w:rPr>
              <w:t>佰</w:t>
            </w:r>
            <w:r>
              <w:rPr>
                <w:rFonts w:hint="eastAsia" w:ascii="宋体" w:hAnsi="宋体" w:eastAsia="宋体" w:cs="宋体"/>
                <w:bCs/>
                <w:color w:val="FF0000"/>
                <w:sz w:val="24"/>
                <w:u w:val="single"/>
              </w:rPr>
              <w:fldChar w:fldCharType="begin">
                <w:ffData>
                  <w:name w:val="文字15"/>
                  <w:enabled/>
                  <w:calcOnExit w:val="0"/>
                  <w:textInput/>
                </w:ffData>
              </w:fldChar>
            </w:r>
            <w:r>
              <w:rPr>
                <w:rFonts w:hint="eastAsia" w:ascii="宋体" w:hAnsi="宋体" w:eastAsia="宋体" w:cs="宋体"/>
                <w:bCs/>
                <w:color w:val="FF0000"/>
                <w:sz w:val="24"/>
                <w:u w:val="single"/>
              </w:rPr>
              <w:instrText xml:space="preserve"> FORMTEXT </w:instrText>
            </w:r>
            <w:r>
              <w:rPr>
                <w:rFonts w:hint="eastAsia" w:ascii="宋体" w:hAnsi="宋体" w:eastAsia="宋体" w:cs="宋体"/>
                <w:bCs/>
                <w:color w:val="FF0000"/>
                <w:sz w:val="24"/>
                <w:u w:val="single"/>
              </w:rPr>
              <w:fldChar w:fldCharType="separate"/>
            </w:r>
            <w:r>
              <w:rPr>
                <w:rFonts w:hint="eastAsia" w:ascii="宋体" w:hAnsi="宋体" w:eastAsia="宋体" w:cs="宋体"/>
                <w:bCs/>
                <w:color w:val="FF0000"/>
                <w:sz w:val="24"/>
                <w:u w:val="single"/>
              </w:rPr>
              <w:t>     </w:t>
            </w:r>
            <w:r>
              <w:rPr>
                <w:rFonts w:hint="eastAsia" w:ascii="宋体" w:hAnsi="宋体" w:eastAsia="宋体" w:cs="宋体"/>
                <w:bCs/>
                <w:color w:val="FF0000"/>
                <w:sz w:val="24"/>
                <w:u w:val="single"/>
              </w:rPr>
              <w:fldChar w:fldCharType="end"/>
            </w:r>
            <w:r>
              <w:rPr>
                <w:rFonts w:hint="eastAsia" w:ascii="宋体" w:hAnsi="宋体" w:eastAsia="宋体" w:cs="宋体"/>
                <w:bCs/>
                <w:color w:val="FF0000"/>
                <w:sz w:val="24"/>
              </w:rPr>
              <w:t>拾</w:t>
            </w:r>
            <w:r>
              <w:rPr>
                <w:rFonts w:hint="eastAsia" w:ascii="宋体" w:hAnsi="宋体" w:eastAsia="宋体" w:cs="宋体"/>
                <w:bCs/>
                <w:color w:val="FF0000"/>
                <w:sz w:val="24"/>
                <w:u w:val="single"/>
              </w:rPr>
              <w:fldChar w:fldCharType="begin">
                <w:ffData>
                  <w:name w:val="文字15"/>
                  <w:enabled/>
                  <w:calcOnExit w:val="0"/>
                  <w:textInput/>
                </w:ffData>
              </w:fldChar>
            </w:r>
            <w:r>
              <w:rPr>
                <w:rFonts w:hint="eastAsia" w:ascii="宋体" w:hAnsi="宋体" w:eastAsia="宋体" w:cs="宋体"/>
                <w:bCs/>
                <w:color w:val="FF0000"/>
                <w:sz w:val="24"/>
                <w:u w:val="single"/>
              </w:rPr>
              <w:instrText xml:space="preserve"> FORMTEXT </w:instrText>
            </w:r>
            <w:r>
              <w:rPr>
                <w:rFonts w:hint="eastAsia" w:ascii="宋体" w:hAnsi="宋体" w:eastAsia="宋体" w:cs="宋体"/>
                <w:bCs/>
                <w:color w:val="FF0000"/>
                <w:sz w:val="24"/>
                <w:u w:val="single"/>
              </w:rPr>
              <w:fldChar w:fldCharType="separate"/>
            </w:r>
            <w:r>
              <w:rPr>
                <w:rFonts w:hint="eastAsia" w:ascii="宋体" w:hAnsi="宋体" w:eastAsia="宋体" w:cs="宋体"/>
                <w:bCs/>
                <w:color w:val="FF0000"/>
                <w:sz w:val="24"/>
                <w:u w:val="single"/>
              </w:rPr>
              <w:t>     </w:t>
            </w:r>
            <w:r>
              <w:rPr>
                <w:rFonts w:hint="eastAsia" w:ascii="宋体" w:hAnsi="宋体" w:eastAsia="宋体" w:cs="宋体"/>
                <w:bCs/>
                <w:color w:val="FF0000"/>
                <w:sz w:val="24"/>
                <w:u w:val="single"/>
              </w:rPr>
              <w:fldChar w:fldCharType="end"/>
            </w:r>
            <w:r>
              <w:rPr>
                <w:rFonts w:hint="eastAsia" w:ascii="宋体" w:hAnsi="宋体" w:eastAsia="宋体" w:cs="宋体"/>
                <w:bCs/>
                <w:color w:val="FF0000"/>
                <w:sz w:val="24"/>
              </w:rPr>
              <w:t>元</w:t>
            </w:r>
            <w:r>
              <w:rPr>
                <w:rFonts w:hint="eastAsia" w:ascii="宋体" w:hAnsi="宋体" w:eastAsia="宋体" w:cs="宋体"/>
                <w:bCs/>
                <w:color w:val="FF0000"/>
                <w:sz w:val="24"/>
                <w:u w:val="single"/>
              </w:rPr>
              <w:fldChar w:fldCharType="begin">
                <w:ffData>
                  <w:name w:val="文字15"/>
                  <w:enabled/>
                  <w:calcOnExit w:val="0"/>
                  <w:textInput/>
                </w:ffData>
              </w:fldChar>
            </w:r>
            <w:r>
              <w:rPr>
                <w:rFonts w:hint="eastAsia" w:ascii="宋体" w:hAnsi="宋体" w:eastAsia="宋体" w:cs="宋体"/>
                <w:bCs/>
                <w:color w:val="FF0000"/>
                <w:sz w:val="24"/>
                <w:u w:val="single"/>
              </w:rPr>
              <w:instrText xml:space="preserve"> FORMTEXT </w:instrText>
            </w:r>
            <w:r>
              <w:rPr>
                <w:rFonts w:hint="eastAsia" w:ascii="宋体" w:hAnsi="宋体" w:eastAsia="宋体" w:cs="宋体"/>
                <w:bCs/>
                <w:color w:val="FF0000"/>
                <w:sz w:val="24"/>
                <w:u w:val="single"/>
              </w:rPr>
              <w:fldChar w:fldCharType="separate"/>
            </w:r>
            <w:r>
              <w:rPr>
                <w:rFonts w:hint="eastAsia" w:ascii="宋体" w:hAnsi="宋体" w:eastAsia="宋体" w:cs="宋体"/>
                <w:bCs/>
                <w:color w:val="FF0000"/>
                <w:sz w:val="24"/>
                <w:u w:val="single"/>
              </w:rPr>
              <w:t>     </w:t>
            </w:r>
            <w:r>
              <w:rPr>
                <w:rFonts w:hint="eastAsia" w:ascii="宋体" w:hAnsi="宋体" w:eastAsia="宋体" w:cs="宋体"/>
                <w:bCs/>
                <w:color w:val="FF0000"/>
                <w:sz w:val="24"/>
                <w:u w:val="single"/>
              </w:rPr>
              <w:fldChar w:fldCharType="end"/>
            </w:r>
            <w:r>
              <w:rPr>
                <w:rFonts w:hint="eastAsia" w:ascii="宋体" w:hAnsi="宋体" w:eastAsia="宋体" w:cs="宋体"/>
                <w:bCs/>
                <w:color w:val="FF0000"/>
                <w:sz w:val="24"/>
              </w:rPr>
              <w:t>角</w:t>
            </w:r>
            <w:r>
              <w:rPr>
                <w:rFonts w:hint="eastAsia" w:ascii="宋体" w:hAnsi="宋体" w:eastAsia="宋体" w:cs="宋体"/>
                <w:bCs/>
                <w:color w:val="FF0000"/>
                <w:sz w:val="24"/>
                <w:u w:val="single"/>
              </w:rPr>
              <w:fldChar w:fldCharType="begin">
                <w:ffData>
                  <w:name w:val="文字15"/>
                  <w:enabled/>
                  <w:calcOnExit w:val="0"/>
                  <w:textInput/>
                </w:ffData>
              </w:fldChar>
            </w:r>
            <w:r>
              <w:rPr>
                <w:rFonts w:hint="eastAsia" w:ascii="宋体" w:hAnsi="宋体" w:eastAsia="宋体" w:cs="宋体"/>
                <w:bCs/>
                <w:color w:val="FF0000"/>
                <w:sz w:val="24"/>
                <w:u w:val="single"/>
              </w:rPr>
              <w:instrText xml:space="preserve"> FORMTEXT </w:instrText>
            </w:r>
            <w:r>
              <w:rPr>
                <w:rFonts w:hint="eastAsia" w:ascii="宋体" w:hAnsi="宋体" w:eastAsia="宋体" w:cs="宋体"/>
                <w:bCs/>
                <w:color w:val="FF0000"/>
                <w:sz w:val="24"/>
                <w:u w:val="single"/>
              </w:rPr>
              <w:fldChar w:fldCharType="separate"/>
            </w:r>
            <w:r>
              <w:rPr>
                <w:rFonts w:hint="eastAsia" w:ascii="宋体" w:hAnsi="宋体" w:eastAsia="宋体" w:cs="宋体"/>
                <w:bCs/>
                <w:color w:val="FF0000"/>
                <w:sz w:val="24"/>
                <w:u w:val="single"/>
              </w:rPr>
              <w:t>     </w:t>
            </w:r>
            <w:r>
              <w:rPr>
                <w:rFonts w:hint="eastAsia" w:ascii="宋体" w:hAnsi="宋体" w:eastAsia="宋体" w:cs="宋体"/>
                <w:bCs/>
                <w:color w:val="FF0000"/>
                <w:sz w:val="24"/>
                <w:u w:val="single"/>
              </w:rPr>
              <w:fldChar w:fldCharType="end"/>
            </w:r>
            <w:r>
              <w:rPr>
                <w:rFonts w:hint="eastAsia" w:ascii="宋体" w:hAnsi="宋体" w:eastAsia="宋体" w:cs="宋体"/>
                <w:bCs/>
                <w:color w:val="FF0000"/>
                <w:sz w:val="24"/>
              </w:rPr>
              <w:t>分（币种:</w:t>
            </w:r>
            <w:r>
              <w:rPr>
                <w:rFonts w:hint="eastAsia" w:ascii="宋体" w:hAnsi="宋体" w:eastAsia="宋体" w:cs="宋体"/>
                <w:bCs/>
                <w:color w:val="FF0000"/>
                <w:sz w:val="24"/>
                <w:u w:val="single"/>
              </w:rPr>
              <w:fldChar w:fldCharType="begin">
                <w:ffData>
                  <w:name w:val="文字15"/>
                  <w:enabled/>
                  <w:calcOnExit w:val="0"/>
                  <w:textInput/>
                </w:ffData>
              </w:fldChar>
            </w:r>
            <w:r>
              <w:rPr>
                <w:rFonts w:hint="eastAsia" w:ascii="宋体" w:hAnsi="宋体" w:eastAsia="宋体" w:cs="宋体"/>
                <w:bCs/>
                <w:color w:val="FF0000"/>
                <w:sz w:val="24"/>
                <w:u w:val="single"/>
              </w:rPr>
              <w:instrText xml:space="preserve"> FORMTEXT </w:instrText>
            </w:r>
            <w:r>
              <w:rPr>
                <w:rFonts w:hint="eastAsia" w:ascii="宋体" w:hAnsi="宋体" w:eastAsia="宋体" w:cs="宋体"/>
                <w:bCs/>
                <w:color w:val="FF0000"/>
                <w:sz w:val="24"/>
                <w:u w:val="single"/>
              </w:rPr>
              <w:fldChar w:fldCharType="separate"/>
            </w:r>
            <w:r>
              <w:rPr>
                <w:rFonts w:hint="eastAsia" w:ascii="宋体" w:hAnsi="宋体" w:eastAsia="宋体" w:cs="宋体"/>
                <w:bCs/>
                <w:color w:val="FF0000"/>
                <w:sz w:val="24"/>
                <w:u w:val="single"/>
              </w:rPr>
              <w:t>     </w:t>
            </w:r>
            <w:r>
              <w:rPr>
                <w:rFonts w:hint="eastAsia" w:ascii="宋体" w:hAnsi="宋体" w:eastAsia="宋体" w:cs="宋体"/>
                <w:bCs/>
                <w:color w:val="FF0000"/>
                <w:sz w:val="24"/>
                <w:u w:val="single"/>
              </w:rPr>
              <w:fldChar w:fldCharType="end"/>
            </w:r>
            <w:r>
              <w:rPr>
                <w:rFonts w:hint="eastAsia" w:ascii="宋体" w:hAnsi="宋体" w:eastAsia="宋体" w:cs="宋体"/>
                <w:bCs/>
                <w:color w:val="FF0000"/>
                <w:sz w:val="24"/>
              </w:rPr>
              <w:t xml:space="preserve">） </w:t>
            </w:r>
          </w:p>
          <w:p>
            <w:pPr>
              <w:pStyle w:val="7"/>
              <w:spacing w:line="320" w:lineRule="exact"/>
              <w:outlineLvl w:val="0"/>
              <w:rPr>
                <w:rFonts w:hint="eastAsia" w:ascii="宋体" w:hAnsi="宋体" w:eastAsia="宋体" w:cs="宋体"/>
                <w:bCs/>
                <w:color w:val="FF0000"/>
                <w:sz w:val="24"/>
              </w:rPr>
            </w:pPr>
            <w:r>
              <w:rPr>
                <w:rFonts w:hint="eastAsia" w:ascii="宋体" w:hAnsi="宋体" w:eastAsia="宋体" w:cs="宋体"/>
                <w:bCs/>
                <w:color w:val="FF0000"/>
                <w:sz w:val="24"/>
              </w:rPr>
              <w:t>小写：</w:t>
            </w:r>
            <w:r>
              <w:rPr>
                <w:rFonts w:hint="eastAsia" w:ascii="宋体" w:hAnsi="宋体" w:eastAsia="宋体" w:cs="宋体"/>
                <w:bCs/>
                <w:color w:val="FF0000"/>
                <w:sz w:val="24"/>
                <w:u w:val="single"/>
              </w:rPr>
              <w:fldChar w:fldCharType="begin">
                <w:ffData>
                  <w:name w:val="文字15"/>
                  <w:enabled/>
                  <w:calcOnExit w:val="0"/>
                  <w:textInput/>
                </w:ffData>
              </w:fldChar>
            </w:r>
            <w:r>
              <w:rPr>
                <w:rFonts w:hint="eastAsia" w:ascii="宋体" w:hAnsi="宋体" w:eastAsia="宋体" w:cs="宋体"/>
                <w:bCs/>
                <w:color w:val="FF0000"/>
                <w:sz w:val="24"/>
                <w:u w:val="single"/>
              </w:rPr>
              <w:instrText xml:space="preserve"> FORMTEXT </w:instrText>
            </w:r>
            <w:r>
              <w:rPr>
                <w:rFonts w:hint="eastAsia" w:ascii="宋体" w:hAnsi="宋体" w:eastAsia="宋体" w:cs="宋体"/>
                <w:bCs/>
                <w:color w:val="FF0000"/>
                <w:sz w:val="24"/>
                <w:u w:val="single"/>
              </w:rPr>
              <w:fldChar w:fldCharType="separate"/>
            </w:r>
            <w:r>
              <w:rPr>
                <w:rFonts w:hint="eastAsia" w:ascii="宋体" w:hAnsi="宋体" w:eastAsia="宋体" w:cs="宋体"/>
                <w:bCs/>
                <w:color w:val="FF0000"/>
                <w:sz w:val="24"/>
                <w:u w:val="single"/>
              </w:rPr>
              <w:t>     </w:t>
            </w:r>
            <w:r>
              <w:rPr>
                <w:rFonts w:hint="eastAsia" w:ascii="宋体" w:hAnsi="宋体" w:eastAsia="宋体" w:cs="宋体"/>
                <w:bCs/>
                <w:color w:val="FF0000"/>
                <w:sz w:val="24"/>
                <w:u w:val="single"/>
              </w:rPr>
              <w:fldChar w:fldCharType="end"/>
            </w:r>
            <w:r>
              <w:rPr>
                <w:rFonts w:hint="eastAsia" w:ascii="宋体" w:hAnsi="宋体" w:eastAsia="宋体" w:cs="宋体"/>
                <w:bCs/>
                <w:color w:val="FF0000"/>
                <w:sz w:val="24"/>
              </w:rPr>
              <w:t>（币种:</w:t>
            </w:r>
            <w:r>
              <w:rPr>
                <w:rFonts w:hint="eastAsia" w:ascii="宋体" w:hAnsi="宋体" w:eastAsia="宋体" w:cs="宋体"/>
                <w:bCs/>
                <w:color w:val="FF0000"/>
                <w:sz w:val="24"/>
                <w:u w:val="single"/>
              </w:rPr>
              <w:fldChar w:fldCharType="begin">
                <w:ffData>
                  <w:name w:val="文字15"/>
                  <w:enabled/>
                  <w:calcOnExit w:val="0"/>
                  <w:textInput/>
                </w:ffData>
              </w:fldChar>
            </w:r>
            <w:r>
              <w:rPr>
                <w:rFonts w:hint="eastAsia" w:ascii="宋体" w:hAnsi="宋体" w:eastAsia="宋体" w:cs="宋体"/>
                <w:bCs/>
                <w:color w:val="FF0000"/>
                <w:sz w:val="24"/>
                <w:u w:val="single"/>
              </w:rPr>
              <w:instrText xml:space="preserve"> FORMTEXT </w:instrText>
            </w:r>
            <w:r>
              <w:rPr>
                <w:rFonts w:hint="eastAsia" w:ascii="宋体" w:hAnsi="宋体" w:eastAsia="宋体" w:cs="宋体"/>
                <w:bCs/>
                <w:color w:val="FF0000"/>
                <w:sz w:val="24"/>
                <w:u w:val="single"/>
              </w:rPr>
              <w:fldChar w:fldCharType="separate"/>
            </w:r>
            <w:r>
              <w:rPr>
                <w:rFonts w:hint="eastAsia" w:ascii="宋体" w:hAnsi="宋体" w:eastAsia="宋体" w:cs="宋体"/>
                <w:bCs/>
                <w:color w:val="FF0000"/>
                <w:sz w:val="24"/>
                <w:u w:val="single"/>
              </w:rPr>
              <w:t>     </w:t>
            </w:r>
            <w:r>
              <w:rPr>
                <w:rFonts w:hint="eastAsia" w:ascii="宋体" w:hAnsi="宋体" w:eastAsia="宋体" w:cs="宋体"/>
                <w:bCs/>
                <w:color w:val="FF0000"/>
                <w:sz w:val="24"/>
                <w:u w:val="single"/>
              </w:rPr>
              <w:fldChar w:fldCharType="end"/>
            </w:r>
            <w:r>
              <w:rPr>
                <w:rFonts w:hint="eastAsia" w:ascii="宋体" w:hAnsi="宋体" w:eastAsia="宋体" w:cs="宋体"/>
                <w:bCs/>
                <w:color w:val="FF0000"/>
                <w:sz w:val="24"/>
              </w:rPr>
              <w:t xml:space="preserve">） </w:t>
            </w:r>
          </w:p>
        </w:tc>
      </w:tr>
    </w:tbl>
    <w:p>
      <w:pPr>
        <w:spacing w:line="320" w:lineRule="exact"/>
        <w:ind w:right="-2" w:firstLine="480" w:firstLineChars="200"/>
        <w:rPr>
          <w:rFonts w:hint="eastAsia" w:ascii="宋体" w:hAnsi="宋体" w:eastAsia="宋体" w:cs="宋体"/>
          <w:bCs/>
          <w:color w:val="FF0000"/>
          <w:sz w:val="24"/>
          <w:szCs w:val="24"/>
        </w:rPr>
      </w:pPr>
      <w:r>
        <w:rPr>
          <w:rFonts w:hint="eastAsia" w:ascii="宋体" w:hAnsi="宋体" w:eastAsia="宋体" w:cs="宋体"/>
          <w:bCs/>
          <w:color w:val="FF0000"/>
          <w:sz w:val="24"/>
          <w:szCs w:val="24"/>
        </w:rPr>
        <w:t xml:space="preserve">1.2 货物价格 </w:t>
      </w:r>
    </w:p>
    <w:p>
      <w:pPr>
        <w:spacing w:line="320" w:lineRule="exact"/>
        <w:ind w:right="-2" w:firstLine="480" w:firstLineChars="200"/>
        <w:rPr>
          <w:rFonts w:hint="eastAsia" w:ascii="宋体" w:hAnsi="宋体" w:eastAsia="宋体" w:cs="宋体"/>
          <w:bCs/>
          <w:color w:val="FF0000"/>
          <w:sz w:val="24"/>
          <w:szCs w:val="24"/>
        </w:rPr>
      </w:pPr>
      <w:r>
        <w:rPr>
          <w:rFonts w:hint="eastAsia" w:ascii="宋体" w:hAnsi="宋体" w:eastAsia="宋体" w:cs="宋体"/>
          <w:bCs/>
          <w:color w:val="FF0000"/>
          <w:sz w:val="24"/>
          <w:szCs w:val="24"/>
        </w:rPr>
        <w:t>双方确认本协议价格为</w:t>
      </w:r>
      <w:bookmarkStart w:id="185" w:name="文字15"/>
      <w:r>
        <w:rPr>
          <w:rFonts w:hint="eastAsia" w:ascii="宋体" w:hAnsi="宋体" w:eastAsia="宋体" w:cs="宋体"/>
          <w:bCs/>
          <w:color w:val="FF0000"/>
          <w:sz w:val="24"/>
          <w:szCs w:val="24"/>
          <w:u w:val="single"/>
        </w:rPr>
        <w:fldChar w:fldCharType="begin">
          <w:ffData>
            <w:name w:val="文字15"/>
            <w:enabled/>
            <w:calcOnExit w:val="0"/>
            <w:textInput>
              <w:default w:val="CIP沈阳"/>
            </w:textInput>
          </w:ffData>
        </w:fldChar>
      </w:r>
      <w:r>
        <w:rPr>
          <w:rFonts w:hint="eastAsia" w:ascii="宋体" w:hAnsi="宋体" w:eastAsia="宋体" w:cs="宋体"/>
          <w:bCs/>
          <w:color w:val="FF0000"/>
          <w:sz w:val="24"/>
          <w:szCs w:val="24"/>
          <w:u w:val="single"/>
        </w:rPr>
        <w:instrText xml:space="preserve">FORMTEXT</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CIP沈阳</w:t>
      </w:r>
      <w:r>
        <w:rPr>
          <w:rFonts w:hint="eastAsia" w:ascii="宋体" w:hAnsi="宋体" w:eastAsia="宋体" w:cs="宋体"/>
          <w:bCs/>
          <w:color w:val="FF0000"/>
          <w:sz w:val="24"/>
          <w:szCs w:val="24"/>
          <w:u w:val="single"/>
        </w:rPr>
        <w:fldChar w:fldCharType="end"/>
      </w:r>
      <w:bookmarkEnd w:id="185"/>
      <w:r>
        <w:rPr>
          <w:rFonts w:hint="eastAsia" w:ascii="宋体" w:hAnsi="宋体" w:eastAsia="宋体" w:cs="宋体"/>
          <w:bCs/>
          <w:color w:val="FF0000"/>
          <w:sz w:val="24"/>
          <w:szCs w:val="24"/>
        </w:rPr>
        <w:t>港口。</w:t>
      </w:r>
      <w:r>
        <w:rPr>
          <w:rFonts w:hint="eastAsia" w:ascii="宋体" w:hAnsi="宋体" w:eastAsia="宋体" w:cs="宋体"/>
          <w:color w:val="FF0000"/>
          <w:kern w:val="0"/>
          <w:sz w:val="24"/>
          <w:szCs w:val="24"/>
        </w:rPr>
        <w:t>除本协议另有约定外，货物单价已包含购买货物及售后服务所发生的所有费用，包括但不限于配套资料费、安装调试费用、</w:t>
      </w:r>
      <w:r>
        <w:rPr>
          <w:rFonts w:hint="eastAsia" w:ascii="宋体" w:hAnsi="宋体" w:eastAsia="宋体" w:cs="宋体"/>
          <w:color w:val="FF0000"/>
          <w:sz w:val="24"/>
          <w:szCs w:val="24"/>
        </w:rPr>
        <w:t>货物验收时的试剂耗材和强制性第三方监督检验机构的验收检验费</w:t>
      </w:r>
      <w:r>
        <w:rPr>
          <w:rFonts w:hint="eastAsia" w:ascii="宋体" w:hAnsi="宋体" w:eastAsia="宋体" w:cs="宋体"/>
          <w:color w:val="FF0000"/>
          <w:kern w:val="0"/>
          <w:sz w:val="24"/>
          <w:szCs w:val="24"/>
        </w:rPr>
        <w:t>用、培训费用以及免费保修期内的售后服务费用等。除本协议明确约定的费用外，甲方无需向乙方支付任何额外费用和承担任何额外义务。</w:t>
      </w:r>
      <w:r>
        <w:rPr>
          <w:rFonts w:hint="eastAsia" w:ascii="宋体" w:hAnsi="宋体" w:eastAsia="宋体" w:cs="宋体"/>
          <w:bCs/>
          <w:color w:val="FF0000"/>
          <w:sz w:val="24"/>
          <w:szCs w:val="24"/>
        </w:rPr>
        <w:t>上述协议价款等各项内容在本协议履行过程中保持不变，经甲乙双方协商一致以书面形式予以变更的除外。</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bCs/>
          <w:color w:val="FF0000"/>
          <w:sz w:val="24"/>
          <w:szCs w:val="24"/>
        </w:rPr>
        <w:sym w:font="Wingdings 2" w:char="00A3"/>
      </w:r>
      <w:r>
        <w:rPr>
          <w:rFonts w:hint="eastAsia" w:ascii="宋体" w:hAnsi="宋体" w:eastAsia="宋体" w:cs="宋体"/>
          <w:bCs/>
          <w:color w:val="FF0000"/>
          <w:sz w:val="24"/>
          <w:szCs w:val="24"/>
        </w:rPr>
        <w:t xml:space="preserve"> </w:t>
      </w:r>
      <w:r>
        <w:rPr>
          <w:rFonts w:hint="eastAsia" w:ascii="宋体" w:hAnsi="宋体" w:eastAsia="宋体" w:cs="宋体"/>
          <w:color w:val="FF0000"/>
          <w:sz w:val="24"/>
          <w:szCs w:val="24"/>
        </w:rPr>
        <w:t>目的港为沈阳桃仙机场：</w:t>
      </w:r>
      <w:r>
        <w:rPr>
          <w:rFonts w:hint="eastAsia" w:ascii="宋体" w:hAnsi="宋体" w:eastAsia="宋体" w:cs="宋体"/>
          <w:bCs/>
          <w:color w:val="FF0000"/>
          <w:sz w:val="24"/>
          <w:szCs w:val="24"/>
          <w:u w:val="single"/>
        </w:rPr>
        <w:fldChar w:fldCharType="begin">
          <w:ffData>
            <w:name w:val="文字15"/>
            <w:enabled/>
            <w:calcOnExit w:val="0"/>
            <w:textInput>
              <w:default w:val="从沈阳桃仙机场至甲方院内的运费和保险费由甲方委托的外贸代理公司承担；设备到达甲方院内后，运至甲方指定楼层、房间号的搬卸等费用和人员安排由乙方负责"/>
            </w:textInput>
          </w:ffData>
        </w:fldChar>
      </w:r>
      <w:r>
        <w:rPr>
          <w:rFonts w:hint="eastAsia" w:ascii="宋体" w:hAnsi="宋体" w:eastAsia="宋体" w:cs="宋体"/>
          <w:bCs/>
          <w:color w:val="FF0000"/>
          <w:sz w:val="24"/>
          <w:szCs w:val="24"/>
          <w:u w:val="single"/>
        </w:rPr>
        <w:instrText xml:space="preserve">FORMTEXT</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从沈阳桃仙机场至甲方院内的运费和保险费由甲方委托的外贸代理公司承担；设备到达甲方院内后，运至甲方指定楼层、房间号的搬卸等费用和人员安排由乙方负责</w:t>
      </w:r>
      <w:r>
        <w:rPr>
          <w:rFonts w:hint="eastAsia" w:ascii="宋体" w:hAnsi="宋体" w:eastAsia="宋体" w:cs="宋体"/>
          <w:bCs/>
          <w:color w:val="FF0000"/>
          <w:sz w:val="24"/>
          <w:szCs w:val="24"/>
          <w:u w:val="single"/>
        </w:rPr>
        <w:fldChar w:fldCharType="end"/>
      </w:r>
      <w:r>
        <w:rPr>
          <w:rFonts w:hint="eastAsia" w:ascii="宋体" w:hAnsi="宋体" w:eastAsia="宋体" w:cs="宋体"/>
          <w:color w:val="FF0000"/>
          <w:sz w:val="24"/>
          <w:szCs w:val="24"/>
        </w:rPr>
        <w:t>；</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bCs/>
          <w:color w:val="FF0000"/>
          <w:sz w:val="24"/>
          <w:szCs w:val="24"/>
        </w:rPr>
        <w:t>□</w:t>
      </w:r>
      <w:r>
        <w:rPr>
          <w:rFonts w:hint="eastAsia" w:ascii="宋体" w:hAnsi="宋体" w:eastAsia="宋体" w:cs="宋体"/>
          <w:color w:val="FF0000"/>
          <w:sz w:val="24"/>
          <w:szCs w:val="24"/>
        </w:rPr>
        <w:t xml:space="preserve"> 目的港除沈阳桃仙机场外其他港口：</w:t>
      </w:r>
      <w:r>
        <w:rPr>
          <w:rFonts w:hint="eastAsia" w:ascii="宋体" w:hAnsi="宋体" w:eastAsia="宋体" w:cs="宋体"/>
          <w:bCs/>
          <w:color w:val="FF0000"/>
          <w:sz w:val="24"/>
          <w:szCs w:val="24"/>
          <w:u w:val="single"/>
        </w:rPr>
        <w:fldChar w:fldCharType="begin">
          <w:ffData>
            <w:name w:val="文字15"/>
            <w:enabled/>
            <w:calcOnExit w:val="0"/>
            <w:textInput>
              <w:default w:val="从其他港口运至甲方院内指定楼层、房间号的运输、保险及搬卸费用以及人员安排全部由乙方负责"/>
            </w:textInput>
          </w:ffData>
        </w:fldChar>
      </w:r>
      <w:r>
        <w:rPr>
          <w:rFonts w:hint="eastAsia" w:ascii="宋体" w:hAnsi="宋体" w:eastAsia="宋体" w:cs="宋体"/>
          <w:bCs/>
          <w:color w:val="FF0000"/>
          <w:sz w:val="24"/>
          <w:szCs w:val="24"/>
          <w:u w:val="single"/>
        </w:rPr>
        <w:instrText xml:space="preserve">FORMTEXT</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从其他港口运至甲方院内指定楼层、房间号的运输、保险及搬卸费用以及人员安排全部由乙方负责</w:t>
      </w:r>
      <w:r>
        <w:rPr>
          <w:rFonts w:hint="eastAsia" w:ascii="宋体" w:hAnsi="宋体" w:eastAsia="宋体" w:cs="宋体"/>
          <w:bCs/>
          <w:color w:val="FF0000"/>
          <w:sz w:val="24"/>
          <w:szCs w:val="24"/>
          <w:u w:val="single"/>
        </w:rPr>
        <w:fldChar w:fldCharType="end"/>
      </w:r>
      <w:r>
        <w:rPr>
          <w:rFonts w:hint="eastAsia" w:ascii="宋体" w:hAnsi="宋体" w:eastAsia="宋体" w:cs="宋体"/>
          <w:color w:val="FF0000"/>
          <w:sz w:val="24"/>
          <w:szCs w:val="24"/>
        </w:rPr>
        <w:t>。</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1.3 付款方式</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bCs/>
          <w:color w:val="FF0000"/>
          <w:sz w:val="24"/>
          <w:szCs w:val="24"/>
          <w:u w:val="single"/>
        </w:rPr>
        <w:t>以招标文件（磋商文件、比选文件、单一来源文件）为准。</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1.4 供货时间</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本协议签订后</w:t>
      </w: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r>
        <w:rPr>
          <w:rFonts w:hint="eastAsia" w:ascii="宋体" w:hAnsi="宋体" w:eastAsia="宋体" w:cs="宋体"/>
          <w:color w:val="FF0000"/>
          <w:sz w:val="24"/>
          <w:szCs w:val="24"/>
        </w:rPr>
        <w:t>日内乙方将货物运至目的港。</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1.5 质量要求和验收依据</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乙方提供的货物必须符合中华人民共和国进口商品质量管理有关要求，必须提供货物合格资料或国家商检局签发的安全质量许可证书及《安全标志》，同时乙方提供的货物应满足如下技术要求：</w:t>
      </w:r>
    </w:p>
    <w:p>
      <w:pPr>
        <w:spacing w:line="320" w:lineRule="exact"/>
        <w:ind w:firstLine="480" w:firstLineChars="200"/>
        <w:jc w:val="left"/>
        <w:rPr>
          <w:rFonts w:hint="eastAsia" w:ascii="宋体" w:hAnsi="宋体" w:eastAsia="宋体" w:cs="宋体"/>
          <w:b/>
          <w:color w:val="FF0000"/>
          <w:sz w:val="24"/>
          <w:szCs w:val="24"/>
        </w:rPr>
      </w:pP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r>
        <w:rPr>
          <w:rFonts w:hint="eastAsia" w:ascii="宋体" w:hAnsi="宋体" w:eastAsia="宋体" w:cs="宋体"/>
          <w:color w:val="FF0000"/>
          <w:sz w:val="24"/>
          <w:szCs w:val="24"/>
        </w:rPr>
        <w:t>。</w:t>
      </w:r>
    </w:p>
    <w:p>
      <w:pPr>
        <w:spacing w:line="320" w:lineRule="exact"/>
        <w:ind w:firstLine="482" w:firstLineChars="20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第二条 设备的安装调试、培训与验收</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2.1 货物抵达甲方院内指定楼层、房间号后由乙方通知甲方、甲方委托的外贸公司三方共同到场开箱，并填写开箱记录，该开箱记录仅为三方对货物数量及外观瑕疵的检验。在货物抵达甲方院内指定楼层、房间号后</w:t>
      </w: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r>
        <w:rPr>
          <w:rFonts w:hint="eastAsia" w:ascii="宋体" w:hAnsi="宋体" w:eastAsia="宋体" w:cs="宋体"/>
          <w:color w:val="FF0000"/>
          <w:sz w:val="24"/>
          <w:szCs w:val="24"/>
        </w:rPr>
        <w:t>个工作日内，由甲方通知乙方派员上门免费进行货物的安装、调试。</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2.2 乙方应在交货的同时向甲方提供与本协议项下货物相符且完整的技术资料，技术资料应以简体中文书写。同时乙方应对甲方相关人员进行货物使用培训及日常保养培训。</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2.3 甲方在全部货物到齐（包括但不限于试剂耗材等），并安装、调试合格后</w:t>
      </w: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r>
        <w:rPr>
          <w:rFonts w:hint="eastAsia" w:ascii="宋体" w:hAnsi="宋体" w:eastAsia="宋体" w:cs="宋体"/>
          <w:color w:val="FF0000"/>
          <w:sz w:val="24"/>
          <w:szCs w:val="24"/>
        </w:rPr>
        <w:t>个工作日内对货物进行验收。在约定验收的日期前乙方必须协助甲方完成各项指标和功能的测试，并完成各项培训，现场验收时乙方提供必要的技术支持，否则验收延误由乙方负责。</w:t>
      </w:r>
    </w:p>
    <w:p>
      <w:pPr>
        <w:spacing w:line="320" w:lineRule="exact"/>
        <w:ind w:firstLine="480" w:firstLineChars="200"/>
        <w:jc w:val="left"/>
        <w:rPr>
          <w:rFonts w:hint="eastAsia" w:ascii="宋体" w:hAnsi="宋体" w:eastAsia="宋体" w:cs="宋体"/>
          <w:b/>
          <w:color w:val="FF0000"/>
          <w:sz w:val="24"/>
          <w:szCs w:val="24"/>
        </w:rPr>
      </w:pPr>
      <w:r>
        <w:rPr>
          <w:rFonts w:hint="eastAsia" w:ascii="宋体" w:hAnsi="宋体" w:eastAsia="宋体" w:cs="宋体"/>
          <w:color w:val="FF0000"/>
          <w:sz w:val="24"/>
          <w:szCs w:val="24"/>
        </w:rPr>
        <w:t>2.4 甲方所购货物通过验收，经甲方确认并出具验收合格证明，视为验收合格。</w:t>
      </w:r>
    </w:p>
    <w:p>
      <w:pPr>
        <w:spacing w:line="320" w:lineRule="exact"/>
        <w:ind w:firstLine="482" w:firstLineChars="20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第三条 售后服务及质量保修期</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3.1 保修期限：货物自验收合格之日起，提供</w:t>
      </w: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r>
        <w:rPr>
          <w:rFonts w:hint="eastAsia" w:ascii="宋体" w:hAnsi="宋体" w:eastAsia="宋体" w:cs="宋体"/>
          <w:color w:val="FF0000"/>
          <w:sz w:val="24"/>
          <w:szCs w:val="24"/>
        </w:rPr>
        <w:t>年免费保修服务（人为造成的损坏除外）。</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3.2 保修期内，乙方接到甲方维修通知后，应于</w:t>
      </w: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r>
        <w:rPr>
          <w:rFonts w:hint="eastAsia" w:ascii="宋体" w:hAnsi="宋体" w:eastAsia="宋体" w:cs="宋体"/>
          <w:color w:val="FF0000"/>
          <w:sz w:val="24"/>
          <w:szCs w:val="24"/>
        </w:rPr>
        <w:t>小时内到达现场处理，如货物在检修</w:t>
      </w: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r>
        <w:rPr>
          <w:rFonts w:hint="eastAsia" w:ascii="宋体" w:hAnsi="宋体" w:eastAsia="宋体" w:cs="宋体"/>
          <w:color w:val="FF0000"/>
          <w:sz w:val="24"/>
          <w:szCs w:val="24"/>
        </w:rPr>
        <w:t>小时后故障仍无法排除，乙方应在最短</w:t>
      </w: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r>
        <w:rPr>
          <w:rFonts w:hint="eastAsia" w:ascii="宋体" w:hAnsi="宋体" w:eastAsia="宋体" w:cs="宋体"/>
          <w:color w:val="FF0000"/>
          <w:sz w:val="24"/>
          <w:szCs w:val="24"/>
        </w:rPr>
        <w:t>小时内更换零配件，修复故障货物。</w:t>
      </w:r>
    </w:p>
    <w:p>
      <w:pPr>
        <w:spacing w:line="320" w:lineRule="exact"/>
        <w:ind w:firstLine="480" w:firstLineChars="200"/>
        <w:jc w:val="left"/>
        <w:rPr>
          <w:rFonts w:hint="eastAsia" w:ascii="宋体" w:hAnsi="宋体" w:eastAsia="宋体" w:cs="宋体"/>
          <w:b/>
          <w:color w:val="FF0000"/>
          <w:sz w:val="24"/>
          <w:szCs w:val="24"/>
        </w:rPr>
      </w:pPr>
      <w:r>
        <w:rPr>
          <w:rFonts w:hint="eastAsia" w:ascii="宋体" w:hAnsi="宋体" w:eastAsia="宋体" w:cs="宋体"/>
          <w:color w:val="FF0000"/>
          <w:sz w:val="24"/>
          <w:szCs w:val="24"/>
        </w:rPr>
        <w:t>3.3 所有货物保修服务方式为乙方派员到甲方货物使用现场进行保修。在保修期内，货物非因甲方原因而出现的质量问题由乙方负责保修、包换或包退，并承担修理、调换或退货的实际费用。乙方不能修复、调换或不能退货的，应退回相应货款，并承担相应的违约责任。</w:t>
      </w:r>
    </w:p>
    <w:p>
      <w:pPr>
        <w:spacing w:line="320" w:lineRule="exact"/>
        <w:ind w:firstLine="482" w:firstLineChars="20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第四条 甲方的权利和义务</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4.1 甲方承诺具有签署与履行本协议的合法权利、资质与能力。</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4.2 甲方应按本协议约定指定受托公司支付款项。</w:t>
      </w:r>
    </w:p>
    <w:p>
      <w:pPr>
        <w:spacing w:line="320" w:lineRule="exact"/>
        <w:ind w:firstLine="480" w:firstLineChars="200"/>
        <w:jc w:val="left"/>
        <w:rPr>
          <w:rFonts w:hint="eastAsia" w:ascii="宋体" w:hAnsi="宋体" w:eastAsia="宋体" w:cs="宋体"/>
          <w:b/>
          <w:color w:val="FF0000"/>
          <w:sz w:val="24"/>
          <w:szCs w:val="24"/>
        </w:rPr>
      </w:pPr>
      <w:r>
        <w:rPr>
          <w:rFonts w:hint="eastAsia" w:ascii="宋体" w:hAnsi="宋体" w:eastAsia="宋体" w:cs="宋体"/>
          <w:color w:val="FF0000"/>
          <w:sz w:val="24"/>
          <w:szCs w:val="24"/>
        </w:rPr>
        <w:t>4.3 甲方有权对乙方履行协议的行为进行监督管理，甲方提出整改意见的，乙方应予以配合。</w:t>
      </w:r>
    </w:p>
    <w:p>
      <w:pPr>
        <w:spacing w:line="320" w:lineRule="exact"/>
        <w:ind w:firstLine="482" w:firstLineChars="20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第五条 乙方的权利和义务</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5.1 乙方承诺具有签署与履行本协议的合法权利、资质与能力。</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5.2 乙方保证其对交付的货物拥有完全、合法的所有权与处置权，保证甲方免受任何第三方主张任何权利。</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5.3 乙方保证其交付的货物无任何质量缺陷或瑕疵，无任何著作权、商标权或其他知识产权方面的权利限制或瑕疵，不会侵犯任何专利、商标、企业或贸易名称、版权、肖像权、技术秘密、商业秘密或其他任何权益。</w:t>
      </w:r>
    </w:p>
    <w:p>
      <w:pPr>
        <w:spacing w:line="320" w:lineRule="exact"/>
        <w:ind w:firstLine="480" w:firstLineChars="200"/>
        <w:jc w:val="left"/>
        <w:rPr>
          <w:rFonts w:hint="eastAsia" w:ascii="宋体" w:hAnsi="宋体" w:eastAsia="宋体" w:cs="宋体"/>
          <w:b/>
          <w:color w:val="FF0000"/>
          <w:sz w:val="24"/>
          <w:szCs w:val="24"/>
        </w:rPr>
      </w:pPr>
      <w:r>
        <w:rPr>
          <w:rFonts w:hint="eastAsia" w:ascii="宋体" w:hAnsi="宋体" w:eastAsia="宋体" w:cs="宋体"/>
          <w:color w:val="FF0000"/>
          <w:sz w:val="24"/>
          <w:szCs w:val="24"/>
        </w:rPr>
        <w:t>5.4 乙方保证其交付的货物符合现行适用的相关法律法规和规定以及相应的国家标准、行业标准、地方标准或在政府部门备案的企业标准。</w:t>
      </w:r>
    </w:p>
    <w:p>
      <w:pPr>
        <w:spacing w:line="320" w:lineRule="exact"/>
        <w:ind w:firstLine="482" w:firstLineChars="20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第六条 违约责任</w:t>
      </w:r>
    </w:p>
    <w:p>
      <w:pPr>
        <w:spacing w:line="320" w:lineRule="exact"/>
        <w:ind w:firstLine="480" w:firstLineChars="200"/>
        <w:jc w:val="left"/>
        <w:rPr>
          <w:rFonts w:hint="eastAsia" w:ascii="宋体" w:hAnsi="宋体" w:eastAsia="宋体" w:cs="宋体"/>
          <w:color w:val="FF0000"/>
          <w:sz w:val="24"/>
          <w:szCs w:val="24"/>
          <w:u w:val="single"/>
        </w:rPr>
      </w:pPr>
      <w:r>
        <w:rPr>
          <w:rFonts w:hint="eastAsia" w:ascii="宋体" w:hAnsi="宋体" w:eastAsia="宋体" w:cs="宋体"/>
          <w:color w:val="FF0000"/>
          <w:sz w:val="24"/>
          <w:szCs w:val="24"/>
          <w:u w:val="single"/>
        </w:rPr>
        <w:t>以招标文件（磋商文件、比选文件、单一来源文件）为准。</w:t>
      </w:r>
    </w:p>
    <w:p>
      <w:pPr>
        <w:spacing w:line="320" w:lineRule="exact"/>
        <w:ind w:firstLine="482" w:firstLineChars="20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第七条 通知和送达</w:t>
      </w:r>
    </w:p>
    <w:p>
      <w:pPr>
        <w:spacing w:line="320" w:lineRule="exact"/>
        <w:ind w:firstLine="480" w:firstLineChars="200"/>
        <w:jc w:val="left"/>
        <w:rPr>
          <w:rFonts w:hint="eastAsia" w:ascii="宋体" w:hAnsi="宋体" w:eastAsia="宋体" w:cs="宋体"/>
          <w:b/>
          <w:color w:val="FF0000"/>
          <w:sz w:val="24"/>
          <w:szCs w:val="24"/>
        </w:rPr>
      </w:pPr>
      <w:r>
        <w:rPr>
          <w:rFonts w:hint="eastAsia" w:ascii="宋体" w:hAnsi="宋体" w:eastAsia="宋体" w:cs="宋体"/>
          <w:color w:val="FF0000"/>
          <w:sz w:val="24"/>
          <w:szCs w:val="24"/>
        </w:rPr>
        <w:t>一方在本协议履行过程中向对方发出或者提供的所有通知、文件、文书、资料等，均以本协议首部所列明的地址送达。一方如果迁址、变更电话，应当在变更后三日内书面通知对方，未履行书面通知义务的，一方按原地址邮寄相关材料或通知相关信息即视为已履行送达义务。</w:t>
      </w:r>
    </w:p>
    <w:p>
      <w:pPr>
        <w:spacing w:line="320" w:lineRule="exact"/>
        <w:ind w:firstLine="482" w:firstLineChars="20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第八条 法律适用和争议解决</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8.1 本协议的成立、有效性、解释、履行、签署、修订和终止以及争议的解决均适用中华人民共和国法律。</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8.2 如果任何争议或权利要求起因于本协议或与本协议有关或与本协议的解释、违约、终止或效力有关，都应由双方协商解决，协商不成，应提交甲方住所地人民法院诉讼解决。</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8.3 诉讼进行过程中，除双方有争议的部分外，本协议其他部分仍然有效，各方应继续履行。</w:t>
      </w:r>
    </w:p>
    <w:p>
      <w:pPr>
        <w:spacing w:line="320" w:lineRule="exact"/>
        <w:ind w:firstLine="482" w:firstLineChars="20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第九条 其它</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9.1 本合同经双方法定代表人（或委托代理人）签字并加盖单位印章生效。</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9.2 本协议未尽事宜，应由双方友好协商解决。如需对本协议及其附件作任何修改或补充，须由双方以书面做出方为有效，包括但不限于直接修改协议书、重签协议书、签订补充协议等形式。与货物内容相关的变更，必须通过变更审批后方可办理协议的书面变更手续。修改或补充文件与本协议有不一致的，以修改或补充文件为准。 </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9.3 附件为本协议不可分割的部分。若附件与协议正文有任何不一致，以协议正文为准。</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9.4 合同双方认可通过本合同约定的电子邮箱相互送达的合同扫描件与加盖印章的合同原件具有同等法律效力。</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9.5 本合同（含附加）条款为打印而成的清洁文本，无手写、涂改等内容。对本合同（含附件）以手写或打印形式进行的变动，包括但不限于删除、修改或添加等，均需双方在变动处加盖双方印章后才具法律效力。</w:t>
      </w:r>
    </w:p>
    <w:p>
      <w:pPr>
        <w:spacing w:line="320" w:lineRule="exact"/>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9.6 本协议一式</w:t>
      </w: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r>
        <w:rPr>
          <w:rFonts w:hint="eastAsia" w:ascii="宋体" w:hAnsi="宋体" w:eastAsia="宋体" w:cs="宋体"/>
          <w:color w:val="FF0000"/>
          <w:sz w:val="24"/>
          <w:szCs w:val="24"/>
        </w:rPr>
        <w:t>份(甲方执</w:t>
      </w: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r>
        <w:rPr>
          <w:rFonts w:hint="eastAsia" w:ascii="宋体" w:hAnsi="宋体" w:eastAsia="宋体" w:cs="宋体"/>
          <w:color w:val="FF0000"/>
          <w:sz w:val="24"/>
          <w:szCs w:val="24"/>
        </w:rPr>
        <w:t>份、乙方执</w:t>
      </w:r>
      <w:r>
        <w:rPr>
          <w:rFonts w:hint="eastAsia" w:ascii="宋体" w:hAnsi="宋体" w:eastAsia="宋体" w:cs="宋体"/>
          <w:bCs/>
          <w:color w:val="FF0000"/>
          <w:sz w:val="24"/>
          <w:szCs w:val="24"/>
          <w:u w:val="single"/>
        </w:rPr>
        <w:fldChar w:fldCharType="begin">
          <w:ffData>
            <w:name w:val="文字15"/>
            <w:enabled/>
            <w:calcOnExit w:val="0"/>
            <w:textInput/>
          </w:ffData>
        </w:fldChar>
      </w:r>
      <w:r>
        <w:rPr>
          <w:rFonts w:hint="eastAsia" w:ascii="宋体" w:hAnsi="宋体" w:eastAsia="宋体" w:cs="宋体"/>
          <w:bCs/>
          <w:color w:val="FF0000"/>
          <w:sz w:val="24"/>
          <w:szCs w:val="24"/>
          <w:u w:val="single"/>
        </w:rPr>
        <w:instrText xml:space="preserve"> FORMTEXT </w:instrText>
      </w:r>
      <w:r>
        <w:rPr>
          <w:rFonts w:hint="eastAsia" w:ascii="宋体" w:hAnsi="宋体" w:eastAsia="宋体" w:cs="宋体"/>
          <w:bCs/>
          <w:color w:val="FF0000"/>
          <w:sz w:val="24"/>
          <w:szCs w:val="24"/>
          <w:u w:val="single"/>
        </w:rPr>
        <w:fldChar w:fldCharType="separate"/>
      </w:r>
      <w:r>
        <w:rPr>
          <w:rFonts w:hint="eastAsia" w:ascii="宋体" w:hAnsi="宋体" w:eastAsia="宋体" w:cs="宋体"/>
          <w:bCs/>
          <w:color w:val="FF0000"/>
          <w:sz w:val="24"/>
          <w:szCs w:val="24"/>
          <w:u w:val="single"/>
        </w:rPr>
        <w:t>     </w:t>
      </w:r>
      <w:r>
        <w:rPr>
          <w:rFonts w:hint="eastAsia" w:ascii="宋体" w:hAnsi="宋体" w:eastAsia="宋体" w:cs="宋体"/>
          <w:bCs/>
          <w:color w:val="FF0000"/>
          <w:sz w:val="24"/>
          <w:szCs w:val="24"/>
          <w:u w:val="single"/>
        </w:rPr>
        <w:fldChar w:fldCharType="end"/>
      </w:r>
      <w:r>
        <w:rPr>
          <w:rFonts w:hint="eastAsia" w:ascii="宋体" w:hAnsi="宋体" w:eastAsia="宋体" w:cs="宋体"/>
          <w:color w:val="FF0000"/>
          <w:sz w:val="24"/>
          <w:szCs w:val="24"/>
        </w:rPr>
        <w:t>份)，均为正本，具有同等法律效力。</w:t>
      </w:r>
    </w:p>
    <w:p>
      <w:pPr>
        <w:spacing w:line="3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（以下无正文）</w:t>
      </w:r>
    </w:p>
    <w:p>
      <w:pPr>
        <w:spacing w:line="320" w:lineRule="exact"/>
        <w:ind w:firstLine="480" w:firstLineChars="200"/>
        <w:jc w:val="left"/>
        <w:rPr>
          <w:rFonts w:ascii="宋体" w:hAnsi="宋体" w:cs="仿宋"/>
          <w:color w:val="auto"/>
          <w:sz w:val="24"/>
        </w:rPr>
      </w:pPr>
    </w:p>
    <w:tbl>
      <w:tblPr>
        <w:tblStyle w:val="18"/>
        <w:tblW w:w="8800" w:type="dxa"/>
        <w:jc w:val="center"/>
        <w:tblLayout w:type="fixed"/>
        <w:tblCellMar>
          <w:top w:w="0" w:type="dxa"/>
          <w:left w:w="108" w:type="dxa"/>
          <w:bottom w:w="0" w:type="dxa"/>
          <w:right w:w="108" w:type="dxa"/>
        </w:tblCellMar>
      </w:tblPr>
      <w:tblGrid>
        <w:gridCol w:w="4399"/>
        <w:gridCol w:w="4401"/>
      </w:tblGrid>
      <w:tr>
        <w:tblPrEx>
          <w:tblCellMar>
            <w:top w:w="0" w:type="dxa"/>
            <w:left w:w="108" w:type="dxa"/>
            <w:bottom w:w="0" w:type="dxa"/>
            <w:right w:w="108" w:type="dxa"/>
          </w:tblCellMar>
        </w:tblPrEx>
        <w:trPr>
          <w:trHeight w:val="715" w:hRule="atLeast"/>
          <w:jc w:val="center"/>
        </w:trPr>
        <w:tc>
          <w:tcPr>
            <w:tcW w:w="4399" w:type="dxa"/>
          </w:tcPr>
          <w:p>
            <w:pPr>
              <w:widowControl/>
              <w:spacing w:line="320" w:lineRule="exact"/>
              <w:jc w:val="left"/>
              <w:rPr>
                <w:rFonts w:ascii="宋体" w:hAnsi="宋体" w:cs="仿宋"/>
                <w:color w:val="auto"/>
                <w:sz w:val="24"/>
              </w:rPr>
            </w:pPr>
            <w:r>
              <w:rPr>
                <w:rFonts w:hint="eastAsia" w:ascii="宋体" w:hAnsi="宋体" w:cs="仿宋"/>
                <w:color w:val="auto"/>
                <w:sz w:val="24"/>
              </w:rPr>
              <w:t>甲方（盖章）：</w:t>
            </w:r>
            <w:r>
              <w:rPr>
                <w:rFonts w:hint="eastAsia" w:ascii="宋体" w:hAnsi="宋体" w:cs="仿宋"/>
                <w:b/>
                <w:color w:val="auto"/>
                <w:sz w:val="24"/>
              </w:rPr>
              <w:t>东北大学</w:t>
            </w:r>
          </w:p>
        </w:tc>
        <w:tc>
          <w:tcPr>
            <w:tcW w:w="4401" w:type="dxa"/>
          </w:tcPr>
          <w:p>
            <w:pPr>
              <w:widowControl/>
              <w:spacing w:line="320" w:lineRule="exact"/>
              <w:jc w:val="left"/>
              <w:rPr>
                <w:rFonts w:ascii="宋体" w:hAnsi="宋体" w:cs="仿宋"/>
                <w:color w:val="auto"/>
                <w:sz w:val="24"/>
              </w:rPr>
            </w:pPr>
            <w:r>
              <w:rPr>
                <w:rFonts w:hint="eastAsia" w:ascii="宋体" w:hAnsi="宋体" w:cs="仿宋"/>
                <w:color w:val="auto"/>
                <w:sz w:val="24"/>
              </w:rPr>
              <w:t>乙方（盖章）：</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r>
      <w:tr>
        <w:tblPrEx>
          <w:tblCellMar>
            <w:top w:w="0" w:type="dxa"/>
            <w:left w:w="108" w:type="dxa"/>
            <w:bottom w:w="0" w:type="dxa"/>
            <w:right w:w="108" w:type="dxa"/>
          </w:tblCellMar>
        </w:tblPrEx>
        <w:trPr>
          <w:trHeight w:val="715" w:hRule="atLeast"/>
          <w:jc w:val="center"/>
        </w:trPr>
        <w:tc>
          <w:tcPr>
            <w:tcW w:w="4399" w:type="dxa"/>
          </w:tcPr>
          <w:p>
            <w:pPr>
              <w:widowControl/>
              <w:spacing w:line="320" w:lineRule="exact"/>
              <w:jc w:val="left"/>
              <w:rPr>
                <w:rFonts w:ascii="宋体" w:hAnsi="宋体" w:cs="仿宋"/>
                <w:bCs/>
                <w:color w:val="auto"/>
                <w:sz w:val="24"/>
              </w:rPr>
            </w:pPr>
          </w:p>
          <w:p>
            <w:pPr>
              <w:widowControl/>
              <w:spacing w:line="320" w:lineRule="exact"/>
              <w:jc w:val="left"/>
              <w:rPr>
                <w:rFonts w:ascii="宋体" w:hAnsi="宋体" w:cs="仿宋"/>
                <w:color w:val="auto"/>
                <w:sz w:val="24"/>
              </w:rPr>
            </w:pPr>
            <w:r>
              <w:rPr>
                <w:rFonts w:hint="eastAsia" w:ascii="宋体" w:hAnsi="宋体" w:cs="仿宋"/>
                <w:bCs/>
                <w:color w:val="auto"/>
                <w:sz w:val="24"/>
              </w:rPr>
              <w:t>委托代理人：：</w:t>
            </w:r>
          </w:p>
        </w:tc>
        <w:tc>
          <w:tcPr>
            <w:tcW w:w="4401" w:type="dxa"/>
          </w:tcPr>
          <w:p>
            <w:pPr>
              <w:widowControl/>
              <w:spacing w:line="320" w:lineRule="exact"/>
              <w:jc w:val="left"/>
              <w:rPr>
                <w:rFonts w:ascii="宋体" w:hAnsi="宋体" w:cs="仿宋"/>
                <w:bCs/>
                <w:color w:val="auto"/>
                <w:sz w:val="24"/>
              </w:rPr>
            </w:pPr>
          </w:p>
          <w:p>
            <w:pPr>
              <w:widowControl/>
              <w:spacing w:line="320" w:lineRule="exact"/>
              <w:jc w:val="left"/>
              <w:rPr>
                <w:rFonts w:ascii="宋体" w:hAnsi="宋体" w:cs="仿宋"/>
                <w:color w:val="auto"/>
                <w:sz w:val="24"/>
              </w:rPr>
            </w:pPr>
            <w:r>
              <w:rPr>
                <w:rFonts w:hint="eastAsia" w:ascii="宋体" w:hAnsi="宋体" w:cs="仿宋"/>
                <w:bCs/>
                <w:color w:val="auto"/>
                <w:sz w:val="24"/>
              </w:rPr>
              <w:t>委托代理人：</w:t>
            </w:r>
          </w:p>
        </w:tc>
      </w:tr>
      <w:tr>
        <w:tblPrEx>
          <w:tblCellMar>
            <w:top w:w="0" w:type="dxa"/>
            <w:left w:w="108" w:type="dxa"/>
            <w:bottom w:w="0" w:type="dxa"/>
            <w:right w:w="108" w:type="dxa"/>
          </w:tblCellMar>
        </w:tblPrEx>
        <w:trPr>
          <w:trHeight w:val="715" w:hRule="atLeast"/>
          <w:jc w:val="center"/>
        </w:trPr>
        <w:tc>
          <w:tcPr>
            <w:tcW w:w="4399" w:type="dxa"/>
          </w:tcPr>
          <w:p>
            <w:pPr>
              <w:widowControl/>
              <w:spacing w:line="320" w:lineRule="exact"/>
              <w:jc w:val="left"/>
              <w:rPr>
                <w:rFonts w:ascii="宋体" w:hAnsi="宋体" w:cs="仿宋"/>
                <w:color w:val="auto"/>
                <w:sz w:val="24"/>
              </w:rPr>
            </w:pPr>
          </w:p>
        </w:tc>
        <w:tc>
          <w:tcPr>
            <w:tcW w:w="4401" w:type="dxa"/>
          </w:tcPr>
          <w:p>
            <w:pPr>
              <w:widowControl/>
              <w:spacing w:line="320" w:lineRule="exact"/>
              <w:jc w:val="left"/>
              <w:rPr>
                <w:rFonts w:ascii="宋体" w:hAnsi="宋体" w:cs="仿宋"/>
                <w:color w:val="auto"/>
                <w:sz w:val="24"/>
              </w:rPr>
            </w:pPr>
          </w:p>
        </w:tc>
      </w:tr>
      <w:tr>
        <w:tblPrEx>
          <w:tblCellMar>
            <w:top w:w="0" w:type="dxa"/>
            <w:left w:w="108" w:type="dxa"/>
            <w:bottom w:w="0" w:type="dxa"/>
            <w:right w:w="108" w:type="dxa"/>
          </w:tblCellMar>
        </w:tblPrEx>
        <w:trPr>
          <w:trHeight w:val="715" w:hRule="atLeast"/>
          <w:jc w:val="center"/>
        </w:trPr>
        <w:tc>
          <w:tcPr>
            <w:tcW w:w="8800" w:type="dxa"/>
            <w:gridSpan w:val="2"/>
          </w:tcPr>
          <w:p>
            <w:pPr>
              <w:widowControl/>
              <w:spacing w:line="320" w:lineRule="exact"/>
              <w:jc w:val="center"/>
              <w:rPr>
                <w:rFonts w:ascii="宋体" w:hAnsi="宋体" w:cs="仿宋"/>
                <w:bCs/>
                <w:color w:val="auto"/>
                <w:sz w:val="24"/>
              </w:rPr>
            </w:pPr>
            <w:r>
              <w:rPr>
                <w:rFonts w:hint="eastAsia" w:ascii="宋体" w:hAnsi="宋体" w:cs="仿宋"/>
                <w:bCs/>
                <w:color w:val="auto"/>
                <w:sz w:val="24"/>
              </w:rPr>
              <w:t>签订时间：</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r>
              <w:rPr>
                <w:rFonts w:hint="eastAsia" w:ascii="宋体" w:hAnsi="宋体"/>
                <w:bCs/>
                <w:color w:val="auto"/>
                <w:sz w:val="24"/>
                <w:u w:val="single"/>
              </w:rPr>
              <w:t>年</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r>
              <w:rPr>
                <w:rFonts w:hint="eastAsia" w:ascii="宋体" w:hAnsi="宋体"/>
                <w:bCs/>
                <w:color w:val="auto"/>
                <w:sz w:val="24"/>
                <w:u w:val="single"/>
              </w:rPr>
              <w:t>月</w:t>
            </w: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r>
              <w:rPr>
                <w:rFonts w:hint="eastAsia" w:ascii="宋体" w:hAnsi="宋体"/>
                <w:bCs/>
                <w:color w:val="auto"/>
                <w:sz w:val="24"/>
                <w:u w:val="single"/>
              </w:rPr>
              <w:t>日</w:t>
            </w:r>
          </w:p>
        </w:tc>
      </w:tr>
    </w:tbl>
    <w:p>
      <w:pPr>
        <w:pageBreakBefore/>
        <w:spacing w:line="320" w:lineRule="exact"/>
        <w:rPr>
          <w:rFonts w:ascii="宋体" w:hAnsi="宋体" w:cs="仿宋"/>
          <w:b/>
          <w:color w:val="auto"/>
          <w:sz w:val="24"/>
        </w:rPr>
      </w:pPr>
      <w:r>
        <w:rPr>
          <w:rFonts w:hint="eastAsia" w:ascii="宋体" w:hAnsi="宋体" w:cs="仿宋"/>
          <w:b/>
          <w:color w:val="auto"/>
          <w:sz w:val="24"/>
        </w:rPr>
        <w:t>附件一</w:t>
      </w:r>
      <w:r>
        <w:rPr>
          <w:rFonts w:hint="eastAsia" w:ascii="宋体" w:hAnsi="宋体" w:cs="仿宋"/>
          <w:bCs/>
          <w:color w:val="auto"/>
          <w:sz w:val="24"/>
        </w:rPr>
        <w:t>：</w:t>
      </w:r>
    </w:p>
    <w:p>
      <w:pPr>
        <w:spacing w:before="159" w:beforeLines="50" w:after="159" w:afterLines="50" w:line="320" w:lineRule="exact"/>
        <w:rPr>
          <w:rFonts w:ascii="宋体" w:hAnsi="宋体" w:cs="仿宋"/>
          <w:bCs/>
          <w:color w:val="auto"/>
          <w:sz w:val="24"/>
        </w:rPr>
      </w:pPr>
      <w:r>
        <w:rPr>
          <w:rFonts w:hint="eastAsia" w:ascii="宋体" w:hAnsi="宋体" w:cs="仿宋"/>
          <w:bCs/>
          <w:color w:val="auto"/>
          <w:sz w:val="24"/>
        </w:rPr>
        <w:t>货物配置清单：</w:t>
      </w:r>
    </w:p>
    <w:tbl>
      <w:tblPr>
        <w:tblStyle w:val="18"/>
        <w:tblW w:w="82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94"/>
        <w:gridCol w:w="2379"/>
        <w:gridCol w:w="1368"/>
        <w:gridCol w:w="819"/>
        <w:gridCol w:w="900"/>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20" w:type="dxa"/>
          </w:tcPr>
          <w:p>
            <w:pPr>
              <w:spacing w:before="159" w:beforeLines="50" w:after="159" w:afterLines="50" w:line="320" w:lineRule="exact"/>
              <w:jc w:val="center"/>
              <w:rPr>
                <w:rFonts w:ascii="宋体" w:hAnsi="宋体" w:cs="仿宋"/>
                <w:bCs/>
                <w:color w:val="auto"/>
                <w:sz w:val="24"/>
              </w:rPr>
            </w:pPr>
            <w:r>
              <w:rPr>
                <w:rFonts w:hint="eastAsia" w:ascii="宋体" w:hAnsi="宋体" w:cs="仿宋"/>
                <w:bCs/>
                <w:color w:val="auto"/>
                <w:sz w:val="24"/>
              </w:rPr>
              <w:t>序号</w:t>
            </w:r>
          </w:p>
        </w:tc>
        <w:tc>
          <w:tcPr>
            <w:tcW w:w="1194" w:type="dxa"/>
          </w:tcPr>
          <w:p>
            <w:pPr>
              <w:spacing w:before="159" w:beforeLines="50" w:after="159" w:afterLines="50" w:line="320" w:lineRule="exact"/>
              <w:jc w:val="center"/>
              <w:rPr>
                <w:rFonts w:ascii="宋体" w:hAnsi="宋体" w:cs="仿宋"/>
                <w:bCs/>
                <w:color w:val="auto"/>
                <w:sz w:val="24"/>
              </w:rPr>
            </w:pPr>
            <w:r>
              <w:rPr>
                <w:rFonts w:hint="eastAsia" w:ascii="宋体" w:hAnsi="宋体" w:cs="仿宋"/>
                <w:bCs/>
                <w:color w:val="auto"/>
                <w:sz w:val="24"/>
              </w:rPr>
              <w:t>货号</w:t>
            </w:r>
          </w:p>
        </w:tc>
        <w:tc>
          <w:tcPr>
            <w:tcW w:w="2379" w:type="dxa"/>
          </w:tcPr>
          <w:p>
            <w:pPr>
              <w:spacing w:before="159" w:beforeLines="50" w:after="159" w:afterLines="50" w:line="320" w:lineRule="exact"/>
              <w:jc w:val="center"/>
              <w:rPr>
                <w:rFonts w:ascii="宋体" w:hAnsi="宋体" w:cs="仿宋"/>
                <w:bCs/>
                <w:color w:val="auto"/>
                <w:sz w:val="24"/>
              </w:rPr>
            </w:pPr>
            <w:r>
              <w:rPr>
                <w:rFonts w:hint="eastAsia" w:ascii="宋体" w:hAnsi="宋体" w:cs="仿宋"/>
                <w:bCs/>
                <w:color w:val="auto"/>
                <w:sz w:val="24"/>
              </w:rPr>
              <w:t>名称(中英文)</w:t>
            </w:r>
          </w:p>
        </w:tc>
        <w:tc>
          <w:tcPr>
            <w:tcW w:w="1368" w:type="dxa"/>
          </w:tcPr>
          <w:p>
            <w:pPr>
              <w:spacing w:before="159" w:beforeLines="50" w:after="159" w:afterLines="50" w:line="320" w:lineRule="exact"/>
              <w:jc w:val="center"/>
              <w:rPr>
                <w:rFonts w:ascii="宋体" w:hAnsi="宋体" w:cs="仿宋"/>
                <w:bCs/>
                <w:color w:val="auto"/>
                <w:sz w:val="24"/>
              </w:rPr>
            </w:pPr>
            <w:r>
              <w:rPr>
                <w:rFonts w:hint="eastAsia" w:ascii="宋体" w:hAnsi="宋体" w:cs="仿宋"/>
                <w:bCs/>
                <w:color w:val="auto"/>
                <w:sz w:val="24"/>
              </w:rPr>
              <w:t>型号规格</w:t>
            </w:r>
          </w:p>
        </w:tc>
        <w:tc>
          <w:tcPr>
            <w:tcW w:w="819" w:type="dxa"/>
          </w:tcPr>
          <w:p>
            <w:pPr>
              <w:spacing w:before="159" w:beforeLines="50" w:after="159" w:afterLines="50" w:line="320" w:lineRule="exact"/>
              <w:jc w:val="center"/>
              <w:rPr>
                <w:rFonts w:ascii="宋体" w:hAnsi="宋体" w:cs="仿宋"/>
                <w:bCs/>
                <w:color w:val="auto"/>
                <w:sz w:val="24"/>
              </w:rPr>
            </w:pPr>
            <w:r>
              <w:rPr>
                <w:rFonts w:hint="eastAsia" w:ascii="宋体" w:hAnsi="宋体" w:cs="仿宋"/>
                <w:bCs/>
                <w:color w:val="auto"/>
                <w:sz w:val="24"/>
              </w:rPr>
              <w:t>数量</w:t>
            </w:r>
          </w:p>
        </w:tc>
        <w:tc>
          <w:tcPr>
            <w:tcW w:w="900" w:type="dxa"/>
          </w:tcPr>
          <w:p>
            <w:pPr>
              <w:spacing w:before="159" w:beforeLines="50" w:after="159" w:afterLines="50" w:line="320" w:lineRule="exact"/>
              <w:jc w:val="center"/>
              <w:rPr>
                <w:rFonts w:ascii="宋体" w:hAnsi="宋体" w:cs="仿宋"/>
                <w:bCs/>
                <w:color w:val="auto"/>
                <w:sz w:val="24"/>
              </w:rPr>
            </w:pPr>
            <w:r>
              <w:rPr>
                <w:rFonts w:hint="eastAsia" w:ascii="宋体" w:hAnsi="宋体" w:cs="仿宋"/>
                <w:bCs/>
                <w:color w:val="auto"/>
                <w:sz w:val="24"/>
              </w:rPr>
              <w:t>单位</w:t>
            </w:r>
          </w:p>
        </w:tc>
        <w:tc>
          <w:tcPr>
            <w:tcW w:w="900" w:type="dxa"/>
          </w:tcPr>
          <w:p>
            <w:pPr>
              <w:spacing w:before="159" w:beforeLines="50" w:after="159" w:afterLines="50" w:line="320" w:lineRule="exact"/>
              <w:jc w:val="center"/>
              <w:rPr>
                <w:rFonts w:ascii="宋体" w:hAnsi="宋体" w:cs="仿宋"/>
                <w:bCs/>
                <w:color w:val="auto"/>
                <w:sz w:val="24"/>
              </w:rPr>
            </w:pPr>
            <w:r>
              <w:rPr>
                <w:rFonts w:hint="eastAsia" w:ascii="宋体" w:hAnsi="宋体" w:cs="仿宋"/>
                <w:bCs/>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before="159" w:beforeLines="50" w:after="159" w:afterLines="50" w:line="320" w:lineRule="exact"/>
              <w:jc w:val="center"/>
              <w:rPr>
                <w:rFonts w:ascii="宋体" w:hAnsi="宋体" w:cs="仿宋"/>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1194" w:type="dxa"/>
          </w:tcPr>
          <w:p>
            <w:pPr>
              <w:spacing w:before="159" w:beforeLines="50" w:after="159" w:afterLines="50" w:line="320" w:lineRule="exact"/>
              <w:jc w:val="center"/>
              <w:rPr>
                <w:rFonts w:ascii="宋体" w:hAnsi="宋体" w:cs="仿宋"/>
                <w:b/>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2379" w:type="dxa"/>
          </w:tcPr>
          <w:p>
            <w:pPr>
              <w:spacing w:before="159" w:beforeLines="50" w:after="159" w:afterLines="50" w:line="320" w:lineRule="exact"/>
              <w:rPr>
                <w:rFonts w:ascii="宋体" w:hAnsi="宋体" w:cs="仿宋"/>
                <w:b/>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1368" w:type="dxa"/>
          </w:tcPr>
          <w:p>
            <w:pPr>
              <w:spacing w:before="159" w:beforeLines="50" w:after="159" w:afterLines="50" w:line="320" w:lineRule="exact"/>
              <w:rPr>
                <w:rFonts w:ascii="宋体" w:hAnsi="宋体" w:cs="仿宋"/>
                <w:b/>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819" w:type="dxa"/>
          </w:tcPr>
          <w:p>
            <w:pPr>
              <w:spacing w:before="159" w:beforeLines="50" w:after="159" w:afterLines="50" w:line="320" w:lineRule="exact"/>
              <w:rPr>
                <w:rFonts w:ascii="宋体" w:hAnsi="宋体" w:cs="仿宋"/>
                <w:b/>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900" w:type="dxa"/>
          </w:tcPr>
          <w:p>
            <w:pPr>
              <w:spacing w:before="159" w:beforeLines="50" w:after="159" w:afterLines="50" w:line="320" w:lineRule="exact"/>
              <w:rPr>
                <w:rFonts w:ascii="宋体" w:hAnsi="宋体" w:cs="仿宋"/>
                <w:b/>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900" w:type="dxa"/>
          </w:tcPr>
          <w:p>
            <w:pPr>
              <w:spacing w:before="159" w:beforeLines="50" w:after="159" w:afterLines="50" w:line="320" w:lineRule="exact"/>
              <w:rPr>
                <w:rFonts w:ascii="宋体" w:hAnsi="宋体" w:cs="仿宋"/>
                <w:b/>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before="159" w:beforeLines="50" w:after="159" w:afterLines="50" w:line="320" w:lineRule="exact"/>
              <w:jc w:val="center"/>
              <w:rPr>
                <w:rFonts w:ascii="宋体" w:hAnsi="宋体" w:cs="仿宋"/>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1194" w:type="dxa"/>
          </w:tcPr>
          <w:p>
            <w:pPr>
              <w:spacing w:before="159" w:beforeLines="50" w:after="159" w:afterLines="50" w:line="320" w:lineRule="exact"/>
              <w:jc w:val="center"/>
              <w:rPr>
                <w:rFonts w:ascii="宋体" w:hAnsi="宋体" w:cs="仿宋"/>
                <w:b/>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2379" w:type="dxa"/>
          </w:tcPr>
          <w:p>
            <w:pPr>
              <w:spacing w:before="159" w:beforeLines="50" w:after="159" w:afterLines="50" w:line="320" w:lineRule="exact"/>
              <w:rPr>
                <w:rFonts w:ascii="宋体" w:hAnsi="宋体" w:cs="仿宋"/>
                <w:b/>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1368" w:type="dxa"/>
          </w:tcPr>
          <w:p>
            <w:pPr>
              <w:spacing w:before="159" w:beforeLines="50" w:after="159" w:afterLines="50" w:line="320" w:lineRule="exact"/>
              <w:rPr>
                <w:rFonts w:ascii="宋体" w:hAnsi="宋体" w:cs="仿宋"/>
                <w:b/>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819" w:type="dxa"/>
          </w:tcPr>
          <w:p>
            <w:pPr>
              <w:spacing w:before="159" w:beforeLines="50" w:after="159" w:afterLines="50" w:line="320" w:lineRule="exact"/>
              <w:rPr>
                <w:rFonts w:ascii="宋体" w:hAnsi="宋体" w:cs="仿宋"/>
                <w:b/>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900" w:type="dxa"/>
          </w:tcPr>
          <w:p>
            <w:pPr>
              <w:spacing w:before="159" w:beforeLines="50" w:after="159" w:afterLines="50" w:line="320" w:lineRule="exact"/>
              <w:rPr>
                <w:rFonts w:ascii="宋体" w:hAnsi="宋体" w:cs="仿宋"/>
                <w:b/>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900" w:type="dxa"/>
          </w:tcPr>
          <w:p>
            <w:pPr>
              <w:spacing w:before="159" w:beforeLines="50" w:after="159" w:afterLines="50" w:line="320" w:lineRule="exact"/>
              <w:rPr>
                <w:rFonts w:ascii="宋体" w:hAnsi="宋体" w:cs="仿宋"/>
                <w:b/>
                <w:bCs/>
                <w:color w:val="auto"/>
                <w:sz w:val="24"/>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before="159" w:beforeLines="50" w:after="159" w:afterLines="50" w:line="320" w:lineRule="exact"/>
              <w:jc w:val="center"/>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1194" w:type="dxa"/>
          </w:tcPr>
          <w:p>
            <w:pPr>
              <w:spacing w:before="159" w:beforeLines="50" w:after="159" w:afterLines="50" w:line="320" w:lineRule="exact"/>
              <w:jc w:val="center"/>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2379"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1368"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819"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900"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900"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before="159" w:beforeLines="50" w:after="159" w:afterLines="50" w:line="320" w:lineRule="exact"/>
              <w:jc w:val="center"/>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1194" w:type="dxa"/>
          </w:tcPr>
          <w:p>
            <w:pPr>
              <w:spacing w:before="159" w:beforeLines="50" w:after="159" w:afterLines="50" w:line="320" w:lineRule="exact"/>
              <w:jc w:val="center"/>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2379"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1368"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819"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900"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900"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before="159" w:beforeLines="50" w:after="159" w:afterLines="50" w:line="320" w:lineRule="exact"/>
              <w:jc w:val="center"/>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1194" w:type="dxa"/>
          </w:tcPr>
          <w:p>
            <w:pPr>
              <w:spacing w:before="159" w:beforeLines="50" w:after="159" w:afterLines="50" w:line="320" w:lineRule="exact"/>
              <w:jc w:val="center"/>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2379"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1368"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819"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900"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c>
          <w:tcPr>
            <w:tcW w:w="900" w:type="dxa"/>
          </w:tcPr>
          <w:p>
            <w:pPr>
              <w:spacing w:before="159" w:beforeLines="50" w:after="159" w:afterLines="50" w:line="320" w:lineRule="exact"/>
              <w:rPr>
                <w:rFonts w:ascii="宋体" w:hAnsi="宋体"/>
                <w:bCs/>
                <w:color w:val="auto"/>
                <w:sz w:val="24"/>
                <w:u w:val="single"/>
              </w:rPr>
            </w:pPr>
            <w:r>
              <w:rPr>
                <w:rFonts w:ascii="宋体" w:hAnsi="宋体"/>
                <w:bCs/>
                <w:color w:val="auto"/>
                <w:sz w:val="24"/>
                <w:u w:val="single"/>
              </w:rPr>
              <w:fldChar w:fldCharType="begin">
                <w:ffData>
                  <w:name w:val="文字15"/>
                  <w:enabled/>
                  <w:calcOnExit w:val="0"/>
                  <w:textInput/>
                </w:ffData>
              </w:fldChar>
            </w:r>
            <w:r>
              <w:rPr>
                <w:rFonts w:ascii="宋体" w:hAnsi="宋体"/>
                <w:bCs/>
                <w:color w:val="auto"/>
                <w:sz w:val="24"/>
                <w:u w:val="single"/>
              </w:rPr>
              <w:instrText xml:space="preserve"> </w:instrText>
            </w:r>
            <w:r>
              <w:rPr>
                <w:rFonts w:hint="eastAsia" w:ascii="宋体" w:hAnsi="宋体"/>
                <w:bCs/>
                <w:color w:val="auto"/>
                <w:sz w:val="24"/>
                <w:u w:val="single"/>
              </w:rPr>
              <w:instrText xml:space="preserve">FORMTEXT</w:instrText>
            </w:r>
            <w:r>
              <w:rPr>
                <w:rFonts w:ascii="宋体" w:hAnsi="宋体"/>
                <w:bCs/>
                <w:color w:val="auto"/>
                <w:sz w:val="24"/>
                <w:u w:val="single"/>
              </w:rPr>
              <w:instrText xml:space="preserve"> </w:instrText>
            </w:r>
            <w:r>
              <w:rPr>
                <w:rFonts w:ascii="宋体" w:hAnsi="宋体"/>
                <w:bCs/>
                <w:color w:val="auto"/>
                <w:sz w:val="24"/>
                <w:u w:val="single"/>
              </w:rPr>
              <w:fldChar w:fldCharType="separate"/>
            </w:r>
            <w:r>
              <w:rPr>
                <w:rFonts w:ascii="宋体" w:hAnsi="宋体"/>
                <w:bCs/>
                <w:color w:val="auto"/>
                <w:sz w:val="24"/>
                <w:u w:val="single"/>
              </w:rPr>
              <w:t>     </w:t>
            </w:r>
            <w:r>
              <w:rPr>
                <w:rFonts w:ascii="宋体" w:hAnsi="宋体"/>
                <w:bCs/>
                <w:color w:val="auto"/>
                <w:sz w:val="24"/>
                <w:u w:val="single"/>
              </w:rPr>
              <w:fldChar w:fldCharType="end"/>
            </w:r>
          </w:p>
        </w:tc>
      </w:tr>
    </w:tbl>
    <w:p>
      <w:pPr>
        <w:spacing w:before="159" w:beforeLines="50" w:after="159" w:afterLines="50" w:line="320" w:lineRule="exact"/>
        <w:rPr>
          <w:rFonts w:ascii="宋体" w:hAnsi="宋体" w:cs="仿宋"/>
          <w:bCs/>
          <w:color w:val="auto"/>
          <w:sz w:val="24"/>
        </w:rPr>
      </w:pPr>
      <w:r>
        <w:rPr>
          <w:rFonts w:hint="eastAsia" w:ascii="宋体" w:hAnsi="宋体" w:cs="仿宋"/>
          <w:bCs/>
          <w:color w:val="auto"/>
          <w:sz w:val="24"/>
        </w:rPr>
        <w:t xml:space="preserve">                                                                                            </w:t>
      </w:r>
    </w:p>
    <w:p>
      <w:pPr>
        <w:spacing w:before="159" w:beforeLines="50" w:after="159" w:afterLines="50" w:line="320" w:lineRule="exact"/>
        <w:rPr>
          <w:rFonts w:ascii="宋体" w:hAnsi="宋体" w:cs="仿宋"/>
          <w:bCs/>
          <w:color w:val="auto"/>
          <w:sz w:val="24"/>
        </w:rPr>
      </w:pPr>
    </w:p>
    <w:p>
      <w:pPr>
        <w:spacing w:before="159" w:beforeLines="50" w:after="159" w:afterLines="50" w:line="320" w:lineRule="exact"/>
        <w:jc w:val="center"/>
        <w:rPr>
          <w:rFonts w:ascii="宋体" w:hAnsi="宋体" w:cs="仿宋"/>
          <w:bCs/>
          <w:color w:val="auto"/>
          <w:sz w:val="24"/>
        </w:rPr>
      </w:pPr>
      <w:r>
        <w:rPr>
          <w:rFonts w:hint="eastAsia" w:ascii="宋体" w:hAnsi="宋体" w:cs="仿宋"/>
          <w:bCs/>
          <w:color w:val="auto"/>
          <w:sz w:val="24"/>
        </w:rPr>
        <w:t>甲方确认清单代表签名:                    乙方确认清单代表签名:</w:t>
      </w:r>
    </w:p>
    <w:p>
      <w:pPr>
        <w:spacing w:before="159" w:beforeLines="50" w:after="159" w:afterLines="50" w:line="320" w:lineRule="exact"/>
        <w:rPr>
          <w:rFonts w:ascii="宋体" w:hAnsi="宋体" w:cs="仿宋"/>
          <w:b/>
          <w:color w:val="auto"/>
          <w:sz w:val="24"/>
        </w:rPr>
      </w:pPr>
    </w:p>
    <w:p>
      <w:pPr>
        <w:spacing w:before="159" w:beforeLines="50" w:after="159" w:afterLines="50" w:line="320" w:lineRule="exact"/>
        <w:rPr>
          <w:rFonts w:ascii="宋体" w:hAnsi="宋体" w:cs="仿宋"/>
          <w:b/>
          <w:color w:val="auto"/>
          <w:sz w:val="24"/>
        </w:rPr>
      </w:pPr>
      <w:r>
        <w:rPr>
          <w:rFonts w:hint="eastAsia" w:ascii="宋体" w:hAnsi="宋体" w:cs="仿宋"/>
          <w:b/>
          <w:color w:val="auto"/>
          <w:sz w:val="24"/>
        </w:rPr>
        <w:t xml:space="preserve">  </w:t>
      </w:r>
    </w:p>
    <w:p>
      <w:pPr>
        <w:spacing w:before="159" w:beforeLines="50" w:after="159" w:afterLines="50" w:line="320" w:lineRule="exact"/>
        <w:rPr>
          <w:rFonts w:ascii="宋体" w:hAnsi="宋体" w:cs="仿宋"/>
          <w:b/>
          <w:color w:val="auto"/>
          <w:sz w:val="24"/>
        </w:rPr>
      </w:pPr>
    </w:p>
    <w:p>
      <w:pPr>
        <w:spacing w:before="159" w:beforeLines="50" w:after="159" w:afterLines="50" w:line="320" w:lineRule="exact"/>
        <w:rPr>
          <w:rFonts w:ascii="宋体" w:hAnsi="宋体" w:cs="仿宋"/>
          <w:b/>
          <w:color w:val="auto"/>
          <w:sz w:val="24"/>
        </w:rPr>
      </w:pPr>
    </w:p>
    <w:p>
      <w:pPr>
        <w:spacing w:line="320" w:lineRule="exact"/>
        <w:jc w:val="left"/>
        <w:rPr>
          <w:rFonts w:ascii="宋体" w:hAnsi="宋体" w:cs="仿宋"/>
          <w:color w:val="auto"/>
          <w:sz w:val="24"/>
        </w:rPr>
      </w:pPr>
    </w:p>
    <w:p>
      <w:pPr>
        <w:spacing w:line="360" w:lineRule="exact"/>
        <w:jc w:val="left"/>
        <w:rPr>
          <w:rFonts w:ascii="宋体" w:hAnsi="宋体"/>
          <w:b/>
          <w:color w:val="auto"/>
          <w:sz w:val="24"/>
        </w:rPr>
      </w:pPr>
    </w:p>
    <w:p>
      <w:pPr>
        <w:spacing w:before="159" w:beforeLines="50" w:line="440" w:lineRule="exact"/>
        <w:jc w:val="center"/>
        <w:rPr>
          <w:rFonts w:ascii="宋体" w:hAnsi="宋体"/>
          <w:b/>
          <w:color w:val="auto"/>
          <w:sz w:val="36"/>
          <w:szCs w:val="36"/>
        </w:rPr>
      </w:pPr>
    </w:p>
    <w:p>
      <w:pPr>
        <w:adjustRightInd w:val="0"/>
        <w:snapToGrid w:val="0"/>
        <w:jc w:val="center"/>
        <w:rPr>
          <w:rFonts w:ascii="宋体" w:hAnsi="宋体" w:cs="Arial"/>
          <w:b/>
          <w:bCs/>
          <w:color w:val="auto"/>
          <w:sz w:val="32"/>
          <w:szCs w:val="44"/>
        </w:rPr>
      </w:pPr>
      <w:r>
        <w:rPr>
          <w:rFonts w:ascii="宋体" w:hAnsi="宋体" w:cs="Arial"/>
          <w:b/>
          <w:bCs/>
          <w:color w:val="auto"/>
          <w:sz w:val="32"/>
          <w:szCs w:val="44"/>
        </w:rPr>
        <w:br w:type="page"/>
      </w:r>
    </w:p>
    <w:p>
      <w:pPr>
        <w:adjustRightInd w:val="0"/>
        <w:snapToGrid w:val="0"/>
        <w:jc w:val="center"/>
        <w:rPr>
          <w:rFonts w:ascii="宋体" w:hAnsi="宋体" w:cs="Arial"/>
          <w:b/>
          <w:bCs/>
          <w:color w:val="auto"/>
          <w:sz w:val="32"/>
          <w:szCs w:val="44"/>
        </w:rPr>
      </w:pPr>
    </w:p>
    <w:p>
      <w:pPr>
        <w:adjustRightInd w:val="0"/>
        <w:snapToGrid w:val="0"/>
        <w:jc w:val="center"/>
        <w:rPr>
          <w:rFonts w:ascii="宋体" w:hAnsi="宋体" w:cs="Arial"/>
          <w:b/>
          <w:bCs/>
          <w:color w:val="auto"/>
          <w:sz w:val="32"/>
          <w:szCs w:val="44"/>
        </w:rPr>
      </w:pPr>
      <w:r>
        <w:rPr>
          <w:rFonts w:hint="eastAsia" w:ascii="宋体" w:hAnsi="宋体" w:cs="Arial"/>
          <w:b/>
          <w:bCs/>
          <w:color w:val="auto"/>
          <w:sz w:val="32"/>
          <w:szCs w:val="44"/>
        </w:rPr>
        <w:t>贴息贷款项目专用</w:t>
      </w:r>
      <w:r>
        <w:rPr>
          <w:rFonts w:ascii="宋体" w:hAnsi="宋体" w:cs="Arial"/>
          <w:b/>
          <w:bCs/>
          <w:color w:val="auto"/>
          <w:sz w:val="32"/>
          <w:szCs w:val="44"/>
        </w:rPr>
        <w:t>合同</w:t>
      </w:r>
      <w:r>
        <w:rPr>
          <w:rFonts w:hint="eastAsia" w:ascii="宋体" w:hAnsi="宋体" w:cs="Arial"/>
          <w:b/>
          <w:bCs/>
          <w:color w:val="auto"/>
          <w:sz w:val="32"/>
          <w:szCs w:val="44"/>
        </w:rPr>
        <w:t>（适用于人民币结算方式）</w:t>
      </w:r>
    </w:p>
    <w:p>
      <w:pPr>
        <w:pStyle w:val="2"/>
        <w:rPr>
          <w:rFonts w:ascii="宋体" w:hAnsi="宋体"/>
          <w:color w:val="auto"/>
        </w:rPr>
      </w:pPr>
    </w:p>
    <w:p>
      <w:pPr>
        <w:adjustRightInd w:val="0"/>
        <w:snapToGrid w:val="0"/>
        <w:jc w:val="center"/>
        <w:rPr>
          <w:rFonts w:ascii="宋体" w:hAnsi="宋体" w:cs="宋体"/>
          <w:b/>
          <w:bCs/>
          <w:color w:val="auto"/>
          <w:sz w:val="32"/>
          <w:szCs w:val="44"/>
        </w:rPr>
      </w:pPr>
      <w:r>
        <w:rPr>
          <w:rFonts w:hint="eastAsia" w:ascii="宋体" w:hAnsi="宋体" w:cs="宋体"/>
          <w:b/>
          <w:bCs/>
          <w:color w:val="auto"/>
          <w:sz w:val="32"/>
          <w:szCs w:val="44"/>
        </w:rPr>
        <w:t>东北大学物资设备买卖合同(贴息贷款专项-共管账户版)</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28" w:type="dxa"/>
            <w:shd w:val="clear" w:color="auto" w:fill="auto"/>
          </w:tcPr>
          <w:p>
            <w:pPr>
              <w:jc w:val="left"/>
              <w:rPr>
                <w:rFonts w:ascii="宋体" w:hAnsi="宋体" w:cs="宋体"/>
                <w:b/>
                <w:color w:val="auto"/>
                <w:szCs w:val="21"/>
              </w:rPr>
            </w:pPr>
            <w:r>
              <w:rPr>
                <w:rFonts w:hint="eastAsia" w:ascii="宋体" w:hAnsi="宋体" w:cs="宋体"/>
                <w:b/>
                <w:color w:val="auto"/>
                <w:szCs w:val="21"/>
              </w:rPr>
              <w:t>甲方（买受人）：东北大学</w:t>
            </w:r>
          </w:p>
        </w:tc>
        <w:tc>
          <w:tcPr>
            <w:tcW w:w="4391" w:type="dxa"/>
            <w:shd w:val="clear" w:color="auto" w:fill="auto"/>
          </w:tcPr>
          <w:p>
            <w:pPr>
              <w:jc w:val="left"/>
              <w:rPr>
                <w:rFonts w:ascii="宋体" w:hAnsi="宋体" w:cs="宋体"/>
                <w:b/>
                <w:color w:val="auto"/>
                <w:szCs w:val="21"/>
              </w:rPr>
            </w:pPr>
            <w:r>
              <w:rPr>
                <w:rFonts w:hint="eastAsia" w:ascii="宋体" w:hAnsi="宋体" w:cs="宋体"/>
                <w:b/>
                <w:color w:val="auto"/>
                <w:szCs w:val="21"/>
              </w:rPr>
              <w:t xml:space="preserve">乙方（出卖人）：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28" w:type="dxa"/>
            <w:shd w:val="clear" w:color="auto" w:fill="auto"/>
          </w:tcPr>
          <w:p>
            <w:pPr>
              <w:jc w:val="left"/>
              <w:rPr>
                <w:rFonts w:ascii="宋体" w:hAnsi="宋体" w:cs="宋体"/>
                <w:b/>
                <w:color w:val="auto"/>
                <w:szCs w:val="21"/>
              </w:rPr>
            </w:pPr>
            <w:r>
              <w:rPr>
                <w:rFonts w:hint="eastAsia" w:ascii="宋体" w:hAnsi="宋体" w:cs="宋体"/>
                <w:b/>
                <w:color w:val="auto"/>
                <w:szCs w:val="21"/>
              </w:rPr>
              <w:t>地址：沈阳市和平区文化路3号巷11号</w:t>
            </w:r>
          </w:p>
        </w:tc>
        <w:tc>
          <w:tcPr>
            <w:tcW w:w="4391" w:type="dxa"/>
            <w:shd w:val="clear" w:color="auto" w:fill="auto"/>
          </w:tcPr>
          <w:p>
            <w:pPr>
              <w:jc w:val="left"/>
              <w:rPr>
                <w:rFonts w:ascii="宋体" w:hAnsi="宋体" w:cs="宋体"/>
                <w:b/>
                <w:color w:val="auto"/>
                <w:szCs w:val="21"/>
              </w:rPr>
            </w:pPr>
            <w:r>
              <w:rPr>
                <w:rFonts w:hint="eastAsia" w:ascii="宋体" w:hAnsi="宋体" w:cs="宋体"/>
                <w:b/>
                <w:color w:val="auto"/>
                <w:szCs w:val="21"/>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28" w:type="dxa"/>
            <w:shd w:val="clear" w:color="auto" w:fill="auto"/>
          </w:tcPr>
          <w:p>
            <w:pPr>
              <w:jc w:val="left"/>
              <w:rPr>
                <w:rFonts w:ascii="宋体" w:hAnsi="宋体" w:cs="宋体"/>
                <w:b/>
                <w:color w:val="auto"/>
                <w:szCs w:val="21"/>
              </w:rPr>
            </w:pPr>
            <w:r>
              <w:rPr>
                <w:rFonts w:hint="eastAsia" w:ascii="宋体" w:hAnsi="宋体" w:cs="宋体"/>
                <w:b/>
                <w:color w:val="auto"/>
                <w:szCs w:val="21"/>
              </w:rPr>
              <w:t>法定代表人：</w:t>
            </w:r>
            <w:r>
              <w:rPr>
                <w:rFonts w:hint="eastAsia" w:ascii="宋体" w:hAnsi="宋体" w:cs="宋体"/>
                <w:b/>
                <w:bCs/>
                <w:color w:val="auto"/>
                <w:szCs w:val="21"/>
                <w:u w:val="single"/>
              </w:rPr>
              <w:fldChar w:fldCharType="begin">
                <w:ffData>
                  <w:name w:val="文字15"/>
                  <w:enabled/>
                  <w:calcOnExit w:val="0"/>
                  <w:textInput>
                    <w:default w:val="冯夏庭"/>
                  </w:textInput>
                </w:ffData>
              </w:fldChar>
            </w:r>
            <w:r>
              <w:rPr>
                <w:rFonts w:hint="eastAsia" w:ascii="宋体" w:hAnsi="宋体" w:cs="宋体"/>
                <w:b/>
                <w:bCs/>
                <w:color w:val="auto"/>
                <w:szCs w:val="21"/>
                <w:u w:val="single"/>
              </w:rPr>
              <w:instrText xml:space="preserve">FORMTEXT</w:instrText>
            </w:r>
            <w:r>
              <w:rPr>
                <w:rFonts w:hint="eastAsia" w:ascii="宋体" w:hAnsi="宋体" w:cs="宋体"/>
                <w:b/>
                <w:bCs/>
                <w:color w:val="auto"/>
                <w:szCs w:val="21"/>
                <w:u w:val="single"/>
              </w:rPr>
              <w:fldChar w:fldCharType="separate"/>
            </w:r>
            <w:r>
              <w:rPr>
                <w:rFonts w:hint="eastAsia" w:ascii="宋体" w:hAnsi="宋体" w:cs="宋体"/>
                <w:b/>
                <w:bCs/>
                <w:color w:val="auto"/>
                <w:szCs w:val="21"/>
                <w:u w:val="single"/>
              </w:rPr>
              <w:t>冯夏庭</w:t>
            </w:r>
            <w:r>
              <w:rPr>
                <w:rFonts w:hint="eastAsia" w:ascii="宋体" w:hAnsi="宋体" w:cs="宋体"/>
                <w:b/>
                <w:bCs/>
                <w:color w:val="auto"/>
                <w:szCs w:val="21"/>
                <w:u w:val="single"/>
              </w:rPr>
              <w:fldChar w:fldCharType="end"/>
            </w:r>
          </w:p>
        </w:tc>
        <w:tc>
          <w:tcPr>
            <w:tcW w:w="4391" w:type="dxa"/>
            <w:shd w:val="clear" w:color="auto" w:fill="auto"/>
          </w:tcPr>
          <w:p>
            <w:pPr>
              <w:adjustRightInd w:val="0"/>
              <w:snapToGrid w:val="0"/>
              <w:jc w:val="left"/>
              <w:rPr>
                <w:rFonts w:ascii="宋体" w:hAnsi="宋体" w:cs="宋体"/>
                <w:b/>
                <w:color w:val="auto"/>
                <w:szCs w:val="21"/>
              </w:rPr>
            </w:pPr>
            <w:r>
              <w:rPr>
                <w:rFonts w:hint="eastAsia" w:ascii="宋体" w:hAnsi="宋体" w:cs="宋体"/>
                <w:b/>
                <w:bCs/>
                <w:color w:val="auto"/>
                <w:szCs w:val="21"/>
              </w:rPr>
              <w:t xml:space="preserve">法定代表人：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28" w:type="dxa"/>
            <w:shd w:val="clear" w:color="auto" w:fill="auto"/>
          </w:tcPr>
          <w:p>
            <w:pPr>
              <w:jc w:val="left"/>
              <w:rPr>
                <w:rFonts w:ascii="宋体" w:hAnsi="宋体" w:cs="宋体"/>
                <w:b/>
                <w:color w:val="auto"/>
                <w:szCs w:val="21"/>
              </w:rPr>
            </w:pPr>
            <w:r>
              <w:rPr>
                <w:rFonts w:hint="eastAsia" w:ascii="宋体" w:hAnsi="宋体" w:cs="宋体"/>
                <w:b/>
                <w:color w:val="auto"/>
                <w:szCs w:val="21"/>
              </w:rPr>
              <w:t>指定联系人：</w:t>
            </w:r>
            <w:r>
              <w:rPr>
                <w:rFonts w:hint="eastAsia" w:ascii="宋体" w:hAnsi="宋体" w:cs="宋体"/>
                <w:b/>
                <w:bCs/>
                <w:color w:val="auto"/>
                <w:szCs w:val="21"/>
                <w:u w:val="single"/>
              </w:rPr>
              <w:fldChar w:fldCharType="begin">
                <w:ffData>
                  <w:name w:val="文字15"/>
                  <w:enabled/>
                  <w:calcOnExit w:val="0"/>
                  <w:textInput/>
                </w:ffData>
              </w:fldChar>
            </w:r>
            <w:r>
              <w:rPr>
                <w:rFonts w:hint="eastAsia" w:ascii="宋体" w:hAnsi="宋体" w:cs="宋体"/>
                <w:b/>
                <w:bCs/>
                <w:color w:val="auto"/>
                <w:szCs w:val="21"/>
                <w:u w:val="single"/>
              </w:rPr>
              <w:instrText xml:space="preserve"> FORMTEXT </w:instrText>
            </w:r>
            <w:r>
              <w:rPr>
                <w:rFonts w:hint="eastAsia" w:ascii="宋体" w:hAnsi="宋体" w:cs="宋体"/>
                <w:b/>
                <w:bCs/>
                <w:color w:val="auto"/>
                <w:szCs w:val="21"/>
                <w:u w:val="single"/>
              </w:rPr>
              <w:fldChar w:fldCharType="separate"/>
            </w:r>
            <w:r>
              <w:rPr>
                <w:rFonts w:hint="eastAsia" w:ascii="宋体" w:hAnsi="宋体" w:cs="宋体"/>
                <w:b/>
                <w:bCs/>
                <w:color w:val="auto"/>
                <w:szCs w:val="21"/>
                <w:u w:val="single"/>
              </w:rPr>
              <w:t>     </w:t>
            </w:r>
            <w:r>
              <w:rPr>
                <w:rFonts w:hint="eastAsia" w:ascii="宋体" w:hAnsi="宋体" w:cs="宋体"/>
                <w:b/>
                <w:bCs/>
                <w:color w:val="auto"/>
                <w:szCs w:val="21"/>
                <w:u w:val="single"/>
              </w:rPr>
              <w:fldChar w:fldCharType="end"/>
            </w:r>
          </w:p>
        </w:tc>
        <w:tc>
          <w:tcPr>
            <w:tcW w:w="4391" w:type="dxa"/>
            <w:shd w:val="clear" w:color="auto" w:fill="auto"/>
          </w:tcPr>
          <w:p>
            <w:pPr>
              <w:jc w:val="left"/>
              <w:rPr>
                <w:rFonts w:ascii="宋体" w:hAnsi="宋体" w:cs="宋体"/>
                <w:b/>
                <w:color w:val="auto"/>
                <w:szCs w:val="21"/>
              </w:rPr>
            </w:pPr>
            <w:r>
              <w:rPr>
                <w:rFonts w:hint="eastAsia" w:ascii="宋体" w:hAnsi="宋体" w:cs="宋体"/>
                <w:b/>
                <w:color w:val="auto"/>
                <w:szCs w:val="21"/>
              </w:rPr>
              <w:t>指定联系人：</w:t>
            </w:r>
            <w:r>
              <w:rPr>
                <w:rFonts w:hint="eastAsia" w:ascii="宋体" w:hAnsi="宋体" w:cs="宋体"/>
                <w:b/>
                <w:bCs/>
                <w:color w:val="auto"/>
                <w:szCs w:val="21"/>
                <w:u w:val="single"/>
              </w:rPr>
              <w:fldChar w:fldCharType="begin">
                <w:ffData>
                  <w:name w:val="文字15"/>
                  <w:enabled/>
                  <w:calcOnExit w:val="0"/>
                  <w:textInput/>
                </w:ffData>
              </w:fldChar>
            </w:r>
            <w:r>
              <w:rPr>
                <w:rFonts w:hint="eastAsia" w:ascii="宋体" w:hAnsi="宋体" w:cs="宋体"/>
                <w:b/>
                <w:bCs/>
                <w:color w:val="auto"/>
                <w:szCs w:val="21"/>
                <w:u w:val="single"/>
              </w:rPr>
              <w:instrText xml:space="preserve"> FORMTEXT </w:instrText>
            </w:r>
            <w:r>
              <w:rPr>
                <w:rFonts w:hint="eastAsia" w:ascii="宋体" w:hAnsi="宋体" w:cs="宋体"/>
                <w:b/>
                <w:bCs/>
                <w:color w:val="auto"/>
                <w:szCs w:val="21"/>
                <w:u w:val="single"/>
              </w:rPr>
              <w:fldChar w:fldCharType="separate"/>
            </w:r>
            <w:r>
              <w:rPr>
                <w:rFonts w:hint="eastAsia" w:ascii="宋体" w:hAnsi="宋体" w:cs="宋体"/>
                <w:b/>
                <w:bCs/>
                <w:color w:val="auto"/>
                <w:szCs w:val="21"/>
                <w:u w:val="single"/>
              </w:rPr>
              <w:t>     </w:t>
            </w:r>
            <w:r>
              <w:rPr>
                <w:rFonts w:hint="eastAsia" w:ascii="宋体" w:hAnsi="宋体" w:cs="宋体"/>
                <w:b/>
                <w:bCs/>
                <w:color w:val="auto"/>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28" w:type="dxa"/>
            <w:shd w:val="clear" w:color="auto" w:fill="auto"/>
          </w:tcPr>
          <w:p>
            <w:pPr>
              <w:jc w:val="left"/>
              <w:rPr>
                <w:rFonts w:ascii="宋体" w:hAnsi="宋体" w:cs="宋体"/>
                <w:b/>
                <w:color w:val="auto"/>
                <w:szCs w:val="21"/>
              </w:rPr>
            </w:pPr>
            <w:r>
              <w:rPr>
                <w:rFonts w:hint="eastAsia" w:ascii="宋体" w:hAnsi="宋体" w:cs="宋体"/>
                <w:b/>
                <w:color w:val="auto"/>
                <w:szCs w:val="21"/>
              </w:rPr>
              <w:t>联系电话：</w:t>
            </w:r>
            <w:r>
              <w:rPr>
                <w:rFonts w:hint="eastAsia" w:ascii="宋体" w:hAnsi="宋体" w:cs="宋体"/>
                <w:b/>
                <w:bCs/>
                <w:color w:val="auto"/>
                <w:szCs w:val="21"/>
                <w:u w:val="single"/>
              </w:rPr>
              <w:fldChar w:fldCharType="begin">
                <w:ffData>
                  <w:name w:val="文字15"/>
                  <w:enabled/>
                  <w:calcOnExit w:val="0"/>
                  <w:textInput/>
                </w:ffData>
              </w:fldChar>
            </w:r>
            <w:r>
              <w:rPr>
                <w:rFonts w:hint="eastAsia" w:ascii="宋体" w:hAnsi="宋体" w:cs="宋体"/>
                <w:b/>
                <w:bCs/>
                <w:color w:val="auto"/>
                <w:szCs w:val="21"/>
                <w:u w:val="single"/>
              </w:rPr>
              <w:instrText xml:space="preserve"> FORMTEXT </w:instrText>
            </w:r>
            <w:r>
              <w:rPr>
                <w:rFonts w:hint="eastAsia" w:ascii="宋体" w:hAnsi="宋体" w:cs="宋体"/>
                <w:b/>
                <w:bCs/>
                <w:color w:val="auto"/>
                <w:szCs w:val="21"/>
                <w:u w:val="single"/>
              </w:rPr>
              <w:fldChar w:fldCharType="separate"/>
            </w:r>
            <w:r>
              <w:rPr>
                <w:rFonts w:hint="eastAsia" w:ascii="宋体" w:hAnsi="宋体" w:cs="宋体"/>
                <w:b/>
                <w:bCs/>
                <w:color w:val="auto"/>
                <w:szCs w:val="21"/>
                <w:u w:val="single"/>
              </w:rPr>
              <w:t>     </w:t>
            </w:r>
            <w:r>
              <w:rPr>
                <w:rFonts w:hint="eastAsia" w:ascii="宋体" w:hAnsi="宋体" w:cs="宋体"/>
                <w:b/>
                <w:bCs/>
                <w:color w:val="auto"/>
                <w:szCs w:val="21"/>
                <w:u w:val="single"/>
              </w:rPr>
              <w:fldChar w:fldCharType="end"/>
            </w:r>
          </w:p>
        </w:tc>
        <w:tc>
          <w:tcPr>
            <w:tcW w:w="4391" w:type="dxa"/>
            <w:shd w:val="clear" w:color="auto" w:fill="auto"/>
          </w:tcPr>
          <w:p>
            <w:pPr>
              <w:jc w:val="left"/>
              <w:rPr>
                <w:rFonts w:ascii="宋体" w:hAnsi="宋体" w:cs="宋体"/>
                <w:b/>
                <w:color w:val="auto"/>
                <w:szCs w:val="21"/>
              </w:rPr>
            </w:pPr>
            <w:r>
              <w:rPr>
                <w:rFonts w:hint="eastAsia" w:ascii="宋体" w:hAnsi="宋体" w:cs="宋体"/>
                <w:b/>
                <w:color w:val="auto"/>
                <w:szCs w:val="21"/>
              </w:rPr>
              <w:t>联系电话：</w:t>
            </w:r>
            <w:r>
              <w:rPr>
                <w:rFonts w:hint="eastAsia" w:ascii="宋体" w:hAnsi="宋体" w:cs="宋体"/>
                <w:b/>
                <w:bCs/>
                <w:color w:val="auto"/>
                <w:szCs w:val="21"/>
                <w:u w:val="single"/>
              </w:rPr>
              <w:fldChar w:fldCharType="begin">
                <w:ffData>
                  <w:name w:val="文字15"/>
                  <w:enabled/>
                  <w:calcOnExit w:val="0"/>
                  <w:textInput/>
                </w:ffData>
              </w:fldChar>
            </w:r>
            <w:r>
              <w:rPr>
                <w:rFonts w:hint="eastAsia" w:ascii="宋体" w:hAnsi="宋体" w:cs="宋体"/>
                <w:b/>
                <w:bCs/>
                <w:color w:val="auto"/>
                <w:szCs w:val="21"/>
                <w:u w:val="single"/>
              </w:rPr>
              <w:instrText xml:space="preserve"> FORMTEXT </w:instrText>
            </w:r>
            <w:r>
              <w:rPr>
                <w:rFonts w:hint="eastAsia" w:ascii="宋体" w:hAnsi="宋体" w:cs="宋体"/>
                <w:b/>
                <w:bCs/>
                <w:color w:val="auto"/>
                <w:szCs w:val="21"/>
                <w:u w:val="single"/>
              </w:rPr>
              <w:fldChar w:fldCharType="separate"/>
            </w:r>
            <w:r>
              <w:rPr>
                <w:rFonts w:hint="eastAsia" w:ascii="宋体" w:hAnsi="宋体" w:cs="宋体"/>
                <w:b/>
                <w:bCs/>
                <w:color w:val="auto"/>
                <w:szCs w:val="21"/>
                <w:u w:val="single"/>
              </w:rPr>
              <w:t>     </w:t>
            </w:r>
            <w:r>
              <w:rPr>
                <w:rFonts w:hint="eastAsia" w:ascii="宋体" w:hAnsi="宋体" w:cs="宋体"/>
                <w:b/>
                <w:bCs/>
                <w:color w:val="auto"/>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928" w:type="dxa"/>
            <w:shd w:val="clear" w:color="auto" w:fill="auto"/>
          </w:tcPr>
          <w:p>
            <w:pPr>
              <w:jc w:val="left"/>
              <w:rPr>
                <w:rFonts w:ascii="宋体" w:hAnsi="宋体" w:cs="宋体"/>
                <w:b/>
                <w:color w:val="auto"/>
                <w:szCs w:val="21"/>
              </w:rPr>
            </w:pPr>
            <w:r>
              <w:rPr>
                <w:rFonts w:hint="eastAsia" w:ascii="宋体" w:hAnsi="宋体" w:cs="宋体"/>
                <w:b/>
                <w:color w:val="auto"/>
                <w:szCs w:val="21"/>
              </w:rPr>
              <w:t>通讯地址：</w:t>
            </w:r>
            <w:r>
              <w:rPr>
                <w:rFonts w:hint="eastAsia" w:ascii="宋体" w:hAnsi="宋体" w:cs="宋体"/>
                <w:b/>
                <w:bCs/>
                <w:color w:val="auto"/>
                <w:szCs w:val="21"/>
                <w:u w:val="single"/>
              </w:rPr>
              <w:fldChar w:fldCharType="begin">
                <w:ffData>
                  <w:name w:val="文字15"/>
                  <w:enabled/>
                  <w:calcOnExit w:val="0"/>
                  <w:textInput/>
                </w:ffData>
              </w:fldChar>
            </w:r>
            <w:r>
              <w:rPr>
                <w:rFonts w:hint="eastAsia" w:ascii="宋体" w:hAnsi="宋体" w:cs="宋体"/>
                <w:b/>
                <w:bCs/>
                <w:color w:val="auto"/>
                <w:szCs w:val="21"/>
                <w:u w:val="single"/>
              </w:rPr>
              <w:instrText xml:space="preserve"> FORMTEXT </w:instrText>
            </w:r>
            <w:r>
              <w:rPr>
                <w:rFonts w:hint="eastAsia" w:ascii="宋体" w:hAnsi="宋体" w:cs="宋体"/>
                <w:b/>
                <w:bCs/>
                <w:color w:val="auto"/>
                <w:szCs w:val="21"/>
                <w:u w:val="single"/>
              </w:rPr>
              <w:fldChar w:fldCharType="separate"/>
            </w:r>
            <w:r>
              <w:rPr>
                <w:rFonts w:hint="eastAsia" w:ascii="宋体" w:hAnsi="宋体" w:cs="宋体"/>
                <w:b/>
                <w:bCs/>
                <w:color w:val="auto"/>
                <w:szCs w:val="21"/>
                <w:u w:val="single"/>
              </w:rPr>
              <w:t>     </w:t>
            </w:r>
            <w:r>
              <w:rPr>
                <w:rFonts w:hint="eastAsia" w:ascii="宋体" w:hAnsi="宋体" w:cs="宋体"/>
                <w:b/>
                <w:bCs/>
                <w:color w:val="auto"/>
                <w:szCs w:val="21"/>
                <w:u w:val="single"/>
              </w:rPr>
              <w:fldChar w:fldCharType="end"/>
            </w:r>
          </w:p>
        </w:tc>
        <w:tc>
          <w:tcPr>
            <w:tcW w:w="4391" w:type="dxa"/>
            <w:shd w:val="clear" w:color="auto" w:fill="auto"/>
          </w:tcPr>
          <w:p>
            <w:pPr>
              <w:jc w:val="left"/>
              <w:rPr>
                <w:rFonts w:ascii="宋体" w:hAnsi="宋体" w:cs="宋体"/>
                <w:b/>
                <w:color w:val="auto"/>
                <w:szCs w:val="21"/>
              </w:rPr>
            </w:pPr>
            <w:r>
              <w:rPr>
                <w:rFonts w:hint="eastAsia" w:ascii="宋体" w:hAnsi="宋体" w:cs="宋体"/>
                <w:b/>
                <w:color w:val="auto"/>
                <w:szCs w:val="21"/>
              </w:rPr>
              <w:t>通讯地址：</w:t>
            </w:r>
            <w:r>
              <w:rPr>
                <w:rFonts w:hint="eastAsia" w:ascii="宋体" w:hAnsi="宋体" w:cs="宋体"/>
                <w:b/>
                <w:bCs/>
                <w:color w:val="auto"/>
                <w:szCs w:val="21"/>
                <w:u w:val="single"/>
              </w:rPr>
              <w:fldChar w:fldCharType="begin">
                <w:ffData>
                  <w:name w:val="文字15"/>
                  <w:enabled/>
                  <w:calcOnExit w:val="0"/>
                  <w:textInput/>
                </w:ffData>
              </w:fldChar>
            </w:r>
            <w:r>
              <w:rPr>
                <w:rFonts w:hint="eastAsia" w:ascii="宋体" w:hAnsi="宋体" w:cs="宋体"/>
                <w:b/>
                <w:bCs/>
                <w:color w:val="auto"/>
                <w:szCs w:val="21"/>
                <w:u w:val="single"/>
              </w:rPr>
              <w:instrText xml:space="preserve"> FORMTEXT </w:instrText>
            </w:r>
            <w:r>
              <w:rPr>
                <w:rFonts w:hint="eastAsia" w:ascii="宋体" w:hAnsi="宋体" w:cs="宋体"/>
                <w:b/>
                <w:bCs/>
                <w:color w:val="auto"/>
                <w:szCs w:val="21"/>
                <w:u w:val="single"/>
              </w:rPr>
              <w:fldChar w:fldCharType="separate"/>
            </w:r>
            <w:r>
              <w:rPr>
                <w:rFonts w:hint="eastAsia" w:ascii="宋体" w:hAnsi="宋体" w:cs="宋体"/>
                <w:b/>
                <w:bCs/>
                <w:color w:val="auto"/>
                <w:szCs w:val="21"/>
                <w:u w:val="single"/>
              </w:rPr>
              <w:t>     </w:t>
            </w:r>
            <w:r>
              <w:rPr>
                <w:rFonts w:hint="eastAsia" w:ascii="宋体" w:hAnsi="宋体" w:cs="宋体"/>
                <w:b/>
                <w:bCs/>
                <w:color w:val="auto"/>
                <w:szCs w:val="21"/>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928" w:type="dxa"/>
            <w:shd w:val="clear" w:color="auto" w:fill="auto"/>
          </w:tcPr>
          <w:p>
            <w:pPr>
              <w:jc w:val="left"/>
              <w:rPr>
                <w:rFonts w:ascii="宋体" w:hAnsi="宋体" w:cs="宋体"/>
                <w:b/>
                <w:color w:val="auto"/>
                <w:szCs w:val="21"/>
              </w:rPr>
            </w:pPr>
            <w:r>
              <w:rPr>
                <w:rFonts w:hint="eastAsia" w:ascii="宋体" w:hAnsi="宋体" w:cs="宋体"/>
                <w:b/>
                <w:color w:val="auto"/>
                <w:szCs w:val="21"/>
              </w:rPr>
              <w:t>电子邮箱：</w:t>
            </w:r>
            <w:r>
              <w:rPr>
                <w:rFonts w:hint="eastAsia" w:ascii="宋体" w:hAnsi="宋体" w:cs="宋体"/>
                <w:b/>
                <w:bCs/>
                <w:color w:val="auto"/>
                <w:szCs w:val="21"/>
                <w:u w:val="single"/>
              </w:rPr>
              <w:fldChar w:fldCharType="begin">
                <w:ffData>
                  <w:name w:val="文字15"/>
                  <w:enabled/>
                  <w:calcOnExit w:val="0"/>
                  <w:textInput/>
                </w:ffData>
              </w:fldChar>
            </w:r>
            <w:r>
              <w:rPr>
                <w:rFonts w:hint="eastAsia" w:ascii="宋体" w:hAnsi="宋体" w:cs="宋体"/>
                <w:b/>
                <w:bCs/>
                <w:color w:val="auto"/>
                <w:szCs w:val="21"/>
                <w:u w:val="single"/>
              </w:rPr>
              <w:instrText xml:space="preserve"> FORMTEXT </w:instrText>
            </w:r>
            <w:r>
              <w:rPr>
                <w:rFonts w:hint="eastAsia" w:ascii="宋体" w:hAnsi="宋体" w:cs="宋体"/>
                <w:b/>
                <w:bCs/>
                <w:color w:val="auto"/>
                <w:szCs w:val="21"/>
                <w:u w:val="single"/>
              </w:rPr>
              <w:fldChar w:fldCharType="separate"/>
            </w:r>
            <w:r>
              <w:rPr>
                <w:rFonts w:hint="eastAsia" w:ascii="宋体" w:hAnsi="宋体" w:cs="宋体"/>
                <w:b/>
                <w:bCs/>
                <w:color w:val="auto"/>
                <w:szCs w:val="21"/>
                <w:u w:val="single"/>
              </w:rPr>
              <w:t>     </w:t>
            </w:r>
            <w:r>
              <w:rPr>
                <w:rFonts w:hint="eastAsia" w:ascii="宋体" w:hAnsi="宋体" w:cs="宋体"/>
                <w:b/>
                <w:bCs/>
                <w:color w:val="auto"/>
                <w:szCs w:val="21"/>
                <w:u w:val="single"/>
              </w:rPr>
              <w:fldChar w:fldCharType="end"/>
            </w:r>
          </w:p>
        </w:tc>
        <w:tc>
          <w:tcPr>
            <w:tcW w:w="4391" w:type="dxa"/>
            <w:shd w:val="clear" w:color="auto" w:fill="auto"/>
          </w:tcPr>
          <w:p>
            <w:pPr>
              <w:jc w:val="left"/>
              <w:rPr>
                <w:rFonts w:ascii="宋体" w:hAnsi="宋体" w:cs="宋体"/>
                <w:b/>
                <w:color w:val="auto"/>
                <w:szCs w:val="21"/>
              </w:rPr>
            </w:pPr>
            <w:r>
              <w:rPr>
                <w:rFonts w:hint="eastAsia" w:ascii="宋体" w:hAnsi="宋体" w:cs="宋体"/>
                <w:b/>
                <w:color w:val="auto"/>
                <w:szCs w:val="21"/>
              </w:rPr>
              <w:t>电子邮箱：</w:t>
            </w:r>
            <w:r>
              <w:rPr>
                <w:rFonts w:hint="eastAsia" w:ascii="宋体" w:hAnsi="宋体" w:cs="宋体"/>
                <w:b/>
                <w:bCs/>
                <w:color w:val="auto"/>
                <w:szCs w:val="21"/>
                <w:u w:val="single"/>
              </w:rPr>
              <w:fldChar w:fldCharType="begin">
                <w:ffData>
                  <w:name w:val="文字15"/>
                  <w:enabled/>
                  <w:calcOnExit w:val="0"/>
                  <w:textInput/>
                </w:ffData>
              </w:fldChar>
            </w:r>
            <w:r>
              <w:rPr>
                <w:rFonts w:hint="eastAsia" w:ascii="宋体" w:hAnsi="宋体" w:cs="宋体"/>
                <w:b/>
                <w:bCs/>
                <w:color w:val="auto"/>
                <w:szCs w:val="21"/>
                <w:u w:val="single"/>
              </w:rPr>
              <w:instrText xml:space="preserve"> FORMTEXT </w:instrText>
            </w:r>
            <w:r>
              <w:rPr>
                <w:rFonts w:hint="eastAsia" w:ascii="宋体" w:hAnsi="宋体" w:cs="宋体"/>
                <w:b/>
                <w:bCs/>
                <w:color w:val="auto"/>
                <w:szCs w:val="21"/>
                <w:u w:val="single"/>
              </w:rPr>
              <w:fldChar w:fldCharType="separate"/>
            </w:r>
            <w:r>
              <w:rPr>
                <w:rFonts w:hint="eastAsia" w:ascii="宋体" w:hAnsi="宋体" w:cs="宋体"/>
                <w:b/>
                <w:bCs/>
                <w:color w:val="auto"/>
                <w:szCs w:val="21"/>
                <w:u w:val="single"/>
              </w:rPr>
              <w:t>     </w:t>
            </w:r>
            <w:r>
              <w:rPr>
                <w:rFonts w:hint="eastAsia" w:ascii="宋体" w:hAnsi="宋体" w:cs="宋体"/>
                <w:b/>
                <w:bCs/>
                <w:color w:val="auto"/>
                <w:szCs w:val="21"/>
                <w:u w:val="single"/>
              </w:rPr>
              <w:fldChar w:fldCharType="end"/>
            </w:r>
          </w:p>
        </w:tc>
      </w:tr>
    </w:tbl>
    <w:p>
      <w:pPr>
        <w:keepNext w:val="0"/>
        <w:keepLines w:val="0"/>
        <w:pageBreakBefore w:val="0"/>
        <w:widowControl w:val="0"/>
        <w:kinsoku/>
        <w:wordWrap/>
        <w:overflowPunct/>
        <w:topLinePunct w:val="0"/>
        <w:autoSpaceDE/>
        <w:autoSpaceDN/>
        <w:bidi w:val="0"/>
        <w:adjustRightInd/>
        <w:snapToGrid/>
        <w:spacing w:line="320" w:lineRule="exact"/>
        <w:ind w:firstLine="440" w:firstLineChars="200"/>
        <w:jc w:val="left"/>
        <w:textAlignment w:val="auto"/>
        <w:rPr>
          <w:rFonts w:hint="eastAsia" w:ascii="宋体" w:hAnsi="宋体" w:eastAsia="宋体" w:cs="宋体"/>
          <w:b/>
          <w:color w:val="FF0000"/>
          <w:sz w:val="22"/>
          <w:szCs w:val="22"/>
          <w:highlight w:val="none"/>
        </w:rPr>
      </w:pPr>
      <w:r>
        <w:rPr>
          <w:rFonts w:hint="eastAsia" w:ascii="宋体" w:hAnsi="宋体" w:eastAsia="宋体" w:cs="宋体"/>
          <w:b w:val="0"/>
          <w:bCs/>
          <w:color w:val="FF0000"/>
          <w:sz w:val="22"/>
          <w:szCs w:val="22"/>
          <w:highlight w:val="none"/>
        </w:rPr>
        <w:t>根据《中华人民共和国</w:t>
      </w:r>
      <w:r>
        <w:rPr>
          <w:rFonts w:hint="eastAsia" w:ascii="宋体" w:hAnsi="宋体" w:eastAsia="宋体" w:cs="宋体"/>
          <w:b w:val="0"/>
          <w:bCs/>
          <w:color w:val="FF0000"/>
          <w:sz w:val="22"/>
          <w:szCs w:val="22"/>
          <w:highlight w:val="none"/>
          <w:lang w:val="en-US" w:eastAsia="zh-CN"/>
        </w:rPr>
        <w:t>民法典</w:t>
      </w:r>
      <w:r>
        <w:rPr>
          <w:rFonts w:hint="eastAsia" w:ascii="宋体" w:hAnsi="宋体" w:eastAsia="宋体" w:cs="宋体"/>
          <w:b w:val="0"/>
          <w:bCs/>
          <w:color w:val="FF0000"/>
          <w:sz w:val="22"/>
          <w:szCs w:val="22"/>
          <w:highlight w:val="none"/>
        </w:rPr>
        <w:t>》等法律法规规定，甲</w:t>
      </w:r>
      <w:r>
        <w:rPr>
          <w:rFonts w:hint="eastAsia" w:ascii="宋体" w:hAnsi="宋体" w:eastAsia="宋体" w:cs="宋体"/>
          <w:b w:val="0"/>
          <w:bCs/>
          <w:color w:val="FF0000"/>
          <w:sz w:val="22"/>
          <w:szCs w:val="22"/>
          <w:highlight w:val="none"/>
          <w:lang w:eastAsia="zh-CN"/>
        </w:rPr>
        <w:t>乙</w:t>
      </w:r>
      <w:r>
        <w:rPr>
          <w:rFonts w:hint="eastAsia" w:ascii="宋体" w:hAnsi="宋体" w:eastAsia="宋体" w:cs="宋体"/>
          <w:b w:val="0"/>
          <w:bCs/>
          <w:color w:val="FF0000"/>
          <w:sz w:val="22"/>
          <w:szCs w:val="22"/>
          <w:highlight w:val="none"/>
        </w:rPr>
        <w:t>双方经平等协商一致，就甲方向乙方购买</w:t>
      </w:r>
      <w:r>
        <w:rPr>
          <w:rFonts w:hint="eastAsia" w:ascii="宋体" w:hAnsi="宋体" w:eastAsia="宋体" w:cs="宋体"/>
          <w:b w:val="0"/>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 w:val="0"/>
          <w:bCs/>
          <w:color w:val="FF0000"/>
          <w:sz w:val="22"/>
          <w:szCs w:val="22"/>
          <w:highlight w:val="none"/>
          <w:u w:val="single"/>
        </w:rPr>
        <w:instrText xml:space="preserve"> FORMTEXT </w:instrText>
      </w:r>
      <w:r>
        <w:rPr>
          <w:rFonts w:hint="eastAsia" w:ascii="宋体" w:hAnsi="宋体" w:eastAsia="宋体" w:cs="宋体"/>
          <w:b w:val="0"/>
          <w:bCs/>
          <w:color w:val="FF0000"/>
          <w:sz w:val="22"/>
          <w:szCs w:val="22"/>
          <w:highlight w:val="none"/>
          <w:u w:val="single"/>
        </w:rPr>
        <w:fldChar w:fldCharType="separate"/>
      </w:r>
      <w:r>
        <w:rPr>
          <w:rFonts w:hint="eastAsia" w:ascii="宋体" w:hAnsi="宋体" w:eastAsia="宋体" w:cs="宋体"/>
          <w:b w:val="0"/>
          <w:bCs/>
          <w:color w:val="FF0000"/>
          <w:sz w:val="22"/>
          <w:szCs w:val="22"/>
          <w:highlight w:val="none"/>
          <w:u w:val="single"/>
        </w:rPr>
        <w:t>     </w:t>
      </w:r>
      <w:r>
        <w:rPr>
          <w:rFonts w:hint="eastAsia" w:ascii="宋体" w:hAnsi="宋体" w:eastAsia="宋体" w:cs="宋体"/>
          <w:b w:val="0"/>
          <w:bCs/>
          <w:color w:val="FF0000"/>
          <w:sz w:val="22"/>
          <w:szCs w:val="22"/>
          <w:highlight w:val="none"/>
          <w:u w:val="single"/>
        </w:rPr>
        <w:fldChar w:fldCharType="end"/>
      </w:r>
      <w:r>
        <w:rPr>
          <w:rFonts w:hint="eastAsia" w:ascii="宋体" w:hAnsi="宋体" w:eastAsia="宋体" w:cs="宋体"/>
          <w:b w:val="0"/>
          <w:bCs/>
          <w:color w:val="FF0000"/>
          <w:sz w:val="22"/>
          <w:szCs w:val="22"/>
          <w:highlight w:val="none"/>
          <w:lang w:eastAsia="zh-CN"/>
        </w:rPr>
        <w:t>等</w:t>
      </w:r>
      <w:r>
        <w:rPr>
          <w:rFonts w:hint="eastAsia" w:ascii="宋体" w:hAnsi="宋体" w:eastAsia="宋体" w:cs="宋体"/>
          <w:b w:val="0"/>
          <w:bCs/>
          <w:color w:val="FF0000"/>
          <w:sz w:val="22"/>
          <w:szCs w:val="22"/>
          <w:highlight w:val="none"/>
        </w:rPr>
        <w:t>货物（设备）事宜签订本合同，以兹双方共同遵守</w:t>
      </w:r>
      <w:r>
        <w:rPr>
          <w:rFonts w:hint="eastAsia" w:ascii="宋体" w:hAnsi="宋体" w:eastAsia="宋体" w:cs="宋体"/>
          <w:b w:val="0"/>
          <w:bCs/>
          <w:color w:val="FF0000"/>
          <w:sz w:val="22"/>
          <w:szCs w:val="22"/>
          <w:highlight w:val="none"/>
          <w:lang w:eastAsia="zh-CN"/>
        </w:rPr>
        <w:t>。</w:t>
      </w:r>
    </w:p>
    <w:p>
      <w:pPr>
        <w:keepNext w:val="0"/>
        <w:keepLines w:val="0"/>
        <w:pageBreakBefore w:val="0"/>
        <w:kinsoku/>
        <w:wordWrap/>
        <w:overflowPunct/>
        <w:topLinePunct w:val="0"/>
        <w:autoSpaceDE/>
        <w:autoSpaceDN/>
        <w:bidi w:val="0"/>
        <w:adjustRightInd/>
        <w:spacing w:line="320" w:lineRule="exact"/>
        <w:ind w:firstLine="442" w:firstLineChars="200"/>
        <w:jc w:val="left"/>
        <w:textAlignment w:val="auto"/>
        <w:rPr>
          <w:rFonts w:hint="eastAsia" w:ascii="宋体" w:hAnsi="宋体" w:eastAsia="宋体" w:cs="宋体"/>
          <w:b/>
          <w:color w:val="FF0000"/>
          <w:sz w:val="22"/>
          <w:szCs w:val="22"/>
          <w:highlight w:val="none"/>
        </w:rPr>
      </w:pPr>
      <w:r>
        <w:rPr>
          <w:rFonts w:hint="eastAsia" w:ascii="宋体" w:hAnsi="宋体" w:eastAsia="宋体" w:cs="宋体"/>
          <w:b/>
          <w:color w:val="FF0000"/>
          <w:sz w:val="22"/>
          <w:szCs w:val="22"/>
          <w:highlight w:val="none"/>
        </w:rPr>
        <w:t>第一条  货物（设备）明细</w:t>
      </w:r>
    </w:p>
    <w:p>
      <w:pPr>
        <w:keepNext w:val="0"/>
        <w:keepLines w:val="0"/>
        <w:pageBreakBefore w:val="0"/>
        <w:kinsoku/>
        <w:wordWrap/>
        <w:overflowPunct/>
        <w:topLinePunct w:val="0"/>
        <w:autoSpaceDE/>
        <w:autoSpaceDN/>
        <w:bidi w:val="0"/>
        <w:adjustRightInd/>
        <w:spacing w:line="320" w:lineRule="exact"/>
        <w:ind w:right="-987"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1.1 甲方向乙方订购以下货物（设备），详细配置清单见附件</w:t>
      </w:r>
      <w:r>
        <w:rPr>
          <w:rFonts w:hint="eastAsia" w:ascii="宋体" w:hAnsi="宋体" w:eastAsia="宋体" w:cs="宋体"/>
          <w:bCs/>
          <w:color w:val="FF0000"/>
          <w:sz w:val="22"/>
          <w:szCs w:val="22"/>
          <w:highlight w:val="none"/>
          <w:lang w:eastAsia="zh-CN"/>
        </w:rPr>
        <w:t>（若有）</w:t>
      </w:r>
      <w:r>
        <w:rPr>
          <w:rFonts w:hint="eastAsia" w:ascii="宋体" w:hAnsi="宋体" w:eastAsia="宋体" w:cs="宋体"/>
          <w:bCs/>
          <w:color w:val="FF0000"/>
          <w:sz w:val="22"/>
          <w:szCs w:val="22"/>
          <w:highlight w:val="none"/>
        </w:rPr>
        <w:t>：</w:t>
      </w:r>
    </w:p>
    <w:tbl>
      <w:tblPr>
        <w:tblStyle w:val="18"/>
        <w:tblW w:w="10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245"/>
        <w:gridCol w:w="1245"/>
        <w:gridCol w:w="1245"/>
        <w:gridCol w:w="1055"/>
        <w:gridCol w:w="994"/>
        <w:gridCol w:w="980"/>
        <w:gridCol w:w="1116"/>
        <w:gridCol w:w="111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411"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序号</w:t>
            </w:r>
          </w:p>
        </w:tc>
        <w:tc>
          <w:tcPr>
            <w:tcW w:w="1245"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产品</w:t>
            </w:r>
          </w:p>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名称</w:t>
            </w:r>
          </w:p>
        </w:tc>
        <w:tc>
          <w:tcPr>
            <w:tcW w:w="1245"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生产</w:t>
            </w:r>
          </w:p>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厂家</w:t>
            </w:r>
          </w:p>
        </w:tc>
        <w:tc>
          <w:tcPr>
            <w:tcW w:w="1245"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规格</w:t>
            </w:r>
          </w:p>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型号</w:t>
            </w:r>
          </w:p>
        </w:tc>
        <w:tc>
          <w:tcPr>
            <w:tcW w:w="1055"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lang w:eastAsia="zh-CN"/>
              </w:rPr>
            </w:pPr>
            <w:r>
              <w:rPr>
                <w:rFonts w:hint="eastAsia" w:ascii="宋体" w:hAnsi="宋体" w:eastAsia="宋体" w:cs="宋体"/>
                <w:color w:val="FF0000"/>
                <w:sz w:val="22"/>
                <w:szCs w:val="22"/>
                <w:highlight w:val="none"/>
                <w:lang w:eastAsia="zh-CN"/>
              </w:rPr>
              <w:t>品牌</w:t>
            </w:r>
          </w:p>
        </w:tc>
        <w:tc>
          <w:tcPr>
            <w:tcW w:w="994"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单位</w:t>
            </w:r>
          </w:p>
        </w:tc>
        <w:tc>
          <w:tcPr>
            <w:tcW w:w="980"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数量</w:t>
            </w:r>
          </w:p>
        </w:tc>
        <w:tc>
          <w:tcPr>
            <w:tcW w:w="1116" w:type="dxa"/>
            <w:tcBorders>
              <w:bottom w:val="single" w:color="auto" w:sz="4" w:space="0"/>
            </w:tcBorders>
            <w:vAlign w:val="center"/>
          </w:tcPr>
          <w:p>
            <w:pPr>
              <w:pStyle w:val="13"/>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320" w:lineRule="exac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单价（元）</w:t>
            </w:r>
          </w:p>
        </w:tc>
        <w:tc>
          <w:tcPr>
            <w:tcW w:w="1117"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金额（元）</w:t>
            </w:r>
          </w:p>
        </w:tc>
        <w:tc>
          <w:tcPr>
            <w:tcW w:w="1007"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411"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1</w:t>
            </w:r>
          </w:p>
        </w:tc>
        <w:tc>
          <w:tcPr>
            <w:tcW w:w="1245"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245"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245"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055"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lang w:val="en-US" w:eastAsia="zh-CN"/>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994"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980"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116"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117"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007"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411"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2</w:t>
            </w:r>
          </w:p>
        </w:tc>
        <w:tc>
          <w:tcPr>
            <w:tcW w:w="1245"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245"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245"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055"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994"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980"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116"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117"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007"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411"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3</w:t>
            </w:r>
          </w:p>
        </w:tc>
        <w:tc>
          <w:tcPr>
            <w:tcW w:w="1245"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245"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245"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055"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994"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980"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116"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117"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c>
          <w:tcPr>
            <w:tcW w:w="1007" w:type="dxa"/>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FF0000"/>
                <w:sz w:val="22"/>
                <w:szCs w:val="22"/>
                <w:highlight w:val="none"/>
              </w:rPr>
            </w:pP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0415" w:type="dxa"/>
            <w:gridSpan w:val="10"/>
            <w:vAlign w:val="center"/>
          </w:tcPr>
          <w:p>
            <w:pPr>
              <w:keepNext w:val="0"/>
              <w:keepLines w:val="0"/>
              <w:pageBreakBefore w:val="0"/>
              <w:tabs>
                <w:tab w:val="left" w:pos="399"/>
              </w:tabs>
              <w:kinsoku/>
              <w:wordWrap/>
              <w:overflowPunct/>
              <w:topLinePunct w:val="0"/>
              <w:autoSpaceDE/>
              <w:autoSpaceDN/>
              <w:bidi w:val="0"/>
              <w:adjustRightInd/>
              <w:spacing w:line="320" w:lineRule="exact"/>
              <w:jc w:val="left"/>
              <w:textAlignment w:val="auto"/>
              <w:rPr>
                <w:rFonts w:hint="eastAsia" w:ascii="宋体" w:hAnsi="宋体" w:eastAsia="宋体" w:cs="宋体"/>
                <w:color w:val="FF0000"/>
                <w:sz w:val="22"/>
                <w:szCs w:val="22"/>
                <w:highlight w:val="none"/>
                <w:lang w:eastAsia="zh-CN"/>
              </w:rPr>
            </w:pPr>
            <w:r>
              <w:rPr>
                <w:rFonts w:hint="eastAsia" w:ascii="宋体" w:hAnsi="宋体" w:eastAsia="宋体" w:cs="宋体"/>
                <w:color w:val="FF0000"/>
                <w:sz w:val="22"/>
                <w:szCs w:val="22"/>
                <w:highlight w:val="none"/>
                <w:lang w:eastAsia="zh-CN"/>
              </w:rPr>
              <w:tab/>
            </w:r>
            <w:r>
              <w:rPr>
                <w:rFonts w:hint="eastAsia" w:ascii="宋体" w:hAnsi="宋体" w:eastAsia="宋体" w:cs="宋体"/>
                <w:color w:val="FF0000"/>
                <w:sz w:val="22"/>
                <w:szCs w:val="22"/>
                <w:highlight w:val="none"/>
                <w:lang w:eastAsia="zh-CN"/>
              </w:rPr>
              <w:t>如果填写不下可签订附件。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10415" w:type="dxa"/>
            <w:gridSpan w:val="10"/>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FF0000"/>
                <w:sz w:val="22"/>
                <w:szCs w:val="22"/>
                <w:highlight w:val="none"/>
              </w:rPr>
            </w:pPr>
            <w:r>
              <w:rPr>
                <w:rFonts w:hint="eastAsia" w:ascii="宋体" w:hAnsi="宋体" w:eastAsia="宋体" w:cs="宋体"/>
                <w:b/>
                <w:bCs/>
                <w:color w:val="FF0000"/>
                <w:sz w:val="22"/>
                <w:szCs w:val="22"/>
                <w:highlight w:val="none"/>
              </w:rPr>
              <w:t>总金额</w:t>
            </w:r>
            <w:r>
              <w:rPr>
                <w:rFonts w:hint="eastAsia" w:ascii="宋体" w:hAnsi="宋体" w:eastAsia="宋体" w:cs="宋体"/>
                <w:color w:val="FF0000"/>
                <w:sz w:val="22"/>
                <w:szCs w:val="22"/>
                <w:highlight w:val="none"/>
              </w:rPr>
              <w:t>：人民币￥</w:t>
            </w: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r>
              <w:rPr>
                <w:rFonts w:hint="eastAsia" w:ascii="宋体" w:hAnsi="宋体" w:eastAsia="宋体" w:cs="宋体"/>
                <w:color w:val="FF0000"/>
                <w:sz w:val="22"/>
                <w:szCs w:val="22"/>
                <w:highlight w:val="none"/>
              </w:rPr>
              <w:t>元（大写）</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     </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color w:val="FF0000"/>
                <w:sz w:val="22"/>
                <w:szCs w:val="22"/>
                <w:highlight w:val="none"/>
              </w:rPr>
              <w:t xml:space="preserve">元整 </w:t>
            </w:r>
          </w:p>
        </w:tc>
      </w:tr>
    </w:tbl>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color w:val="FF0000"/>
          <w:kern w:val="0"/>
          <w:sz w:val="22"/>
          <w:szCs w:val="22"/>
          <w:highlight w:val="none"/>
        </w:rPr>
        <w:t>1.2 上述合同价款为包干总价</w:t>
      </w:r>
      <w:r>
        <w:rPr>
          <w:rFonts w:hint="eastAsia" w:ascii="宋体" w:hAnsi="宋体" w:eastAsia="宋体" w:cs="宋体"/>
          <w:color w:val="FF0000"/>
          <w:kern w:val="0"/>
          <w:sz w:val="22"/>
          <w:szCs w:val="22"/>
          <w:highlight w:val="none"/>
          <w:lang w:eastAsia="zh-CN"/>
        </w:rPr>
        <w:t>，</w:t>
      </w:r>
      <w:r>
        <w:rPr>
          <w:rFonts w:hint="eastAsia" w:ascii="宋体" w:hAnsi="宋体" w:eastAsia="宋体" w:cs="宋体"/>
          <w:color w:val="FF0000"/>
          <w:kern w:val="0"/>
          <w:sz w:val="22"/>
          <w:szCs w:val="22"/>
          <w:highlight w:val="none"/>
        </w:rPr>
        <w:t>该价格包括但不限于货物、附件、专用工具、安装、调试、</w:t>
      </w:r>
      <w:r>
        <w:rPr>
          <w:rFonts w:hint="eastAsia" w:ascii="宋体" w:hAnsi="宋体" w:eastAsia="宋体" w:cs="宋体"/>
          <w:color w:val="FF0000"/>
          <w:sz w:val="22"/>
          <w:szCs w:val="22"/>
          <w:highlight w:val="none"/>
        </w:rPr>
        <w:t>检验</w:t>
      </w:r>
      <w:r>
        <w:rPr>
          <w:rFonts w:hint="eastAsia" w:ascii="宋体" w:hAnsi="宋体" w:eastAsia="宋体" w:cs="宋体"/>
          <w:color w:val="FF0000"/>
          <w:kern w:val="0"/>
          <w:sz w:val="22"/>
          <w:szCs w:val="22"/>
          <w:highlight w:val="none"/>
        </w:rPr>
        <w:t>、技术培训、包装、运输、保险、保修、利润、税金等乙方履行合同全部义务后甲方应支付的总价格，</w:t>
      </w:r>
      <w:r>
        <w:rPr>
          <w:rFonts w:hint="eastAsia" w:ascii="宋体" w:hAnsi="宋体" w:eastAsia="宋体" w:cs="宋体"/>
          <w:color w:val="FF0000"/>
          <w:kern w:val="0"/>
          <w:sz w:val="22"/>
          <w:szCs w:val="22"/>
          <w:highlight w:val="none"/>
          <w:lang w:eastAsia="zh-CN"/>
        </w:rPr>
        <w:t>除双方针对附加服务另行签订书面合同外，</w:t>
      </w:r>
      <w:r>
        <w:rPr>
          <w:rFonts w:hint="eastAsia" w:ascii="宋体" w:hAnsi="宋体" w:eastAsia="宋体" w:cs="宋体"/>
          <w:color w:val="FF0000"/>
          <w:kern w:val="0"/>
          <w:sz w:val="22"/>
          <w:szCs w:val="22"/>
          <w:highlight w:val="none"/>
        </w:rPr>
        <w:t>甲方无需向乙方支付任何额外费用和承担任何额外义务。</w:t>
      </w:r>
      <w:r>
        <w:rPr>
          <w:rFonts w:hint="eastAsia" w:ascii="宋体" w:hAnsi="宋体" w:eastAsia="宋体" w:cs="宋体"/>
          <w:bCs/>
          <w:color w:val="FF0000"/>
          <w:sz w:val="22"/>
          <w:szCs w:val="22"/>
          <w:highlight w:val="none"/>
        </w:rPr>
        <w:t>上述合同价款等各项内容在本协议履行过程中保持不变，经甲乙双方协商一致以书面形式予以变更的除外。</w:t>
      </w:r>
    </w:p>
    <w:p>
      <w:pPr>
        <w:keepNext w:val="0"/>
        <w:keepLines w:val="0"/>
        <w:pageBreakBefore w:val="0"/>
        <w:kinsoku/>
        <w:wordWrap/>
        <w:overflowPunct/>
        <w:topLinePunct w:val="0"/>
        <w:autoSpaceDE/>
        <w:autoSpaceDN/>
        <w:bidi w:val="0"/>
        <w:adjustRightInd/>
        <w:spacing w:line="320" w:lineRule="exact"/>
        <w:ind w:right="-2" w:firstLine="442" w:firstLineChars="200"/>
        <w:textAlignment w:val="auto"/>
        <w:rPr>
          <w:rFonts w:hint="eastAsia" w:ascii="宋体" w:hAnsi="宋体" w:eastAsia="宋体" w:cs="宋体"/>
          <w:b/>
          <w:bCs/>
          <w:color w:val="FF0000"/>
          <w:sz w:val="22"/>
          <w:szCs w:val="22"/>
          <w:highlight w:val="none"/>
        </w:rPr>
      </w:pPr>
      <w:r>
        <w:rPr>
          <w:rFonts w:hint="eastAsia" w:ascii="宋体" w:hAnsi="宋体" w:eastAsia="宋体" w:cs="宋体"/>
          <w:b/>
          <w:bCs/>
          <w:color w:val="FF0000"/>
          <w:sz w:val="22"/>
          <w:szCs w:val="22"/>
          <w:highlight w:val="none"/>
        </w:rPr>
        <w:t>第二条 货物（设备）质量要求</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2.1 乙方所提供的货物（设备）必须是全新、未使用的原装产品，产品质量按国家标准、行业标准、企业标准执行（上述标准不一致的，以标准要求高者为准）；</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2.2 乙方向甲方提供的货物（设备）除符合本条第一款质量要求外，还应满足甲方如下特殊要求：</w:t>
      </w: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r>
        <w:rPr>
          <w:rFonts w:hint="eastAsia" w:ascii="宋体" w:hAnsi="宋体" w:eastAsia="宋体" w:cs="宋体"/>
          <w:bCs/>
          <w:color w:val="FF0000"/>
          <w:sz w:val="22"/>
          <w:szCs w:val="22"/>
          <w:highlight w:val="none"/>
        </w:rPr>
        <w:t>。</w:t>
      </w:r>
    </w:p>
    <w:p>
      <w:pPr>
        <w:keepNext w:val="0"/>
        <w:keepLines w:val="0"/>
        <w:pageBreakBefore w:val="0"/>
        <w:kinsoku/>
        <w:wordWrap/>
        <w:overflowPunct/>
        <w:topLinePunct w:val="0"/>
        <w:autoSpaceDE/>
        <w:autoSpaceDN/>
        <w:bidi w:val="0"/>
        <w:adjustRightInd/>
        <w:spacing w:line="320" w:lineRule="exact"/>
        <w:ind w:right="-2" w:firstLine="442" w:firstLineChars="200"/>
        <w:textAlignment w:val="auto"/>
        <w:rPr>
          <w:rFonts w:hint="eastAsia" w:ascii="宋体" w:hAnsi="宋体" w:eastAsia="宋体" w:cs="宋体"/>
          <w:b/>
          <w:bCs/>
          <w:color w:val="FF0000"/>
          <w:sz w:val="22"/>
          <w:szCs w:val="22"/>
          <w:highlight w:val="none"/>
        </w:rPr>
      </w:pPr>
      <w:r>
        <w:rPr>
          <w:rFonts w:hint="eastAsia" w:ascii="宋体" w:hAnsi="宋体" w:eastAsia="宋体" w:cs="宋体"/>
          <w:b/>
          <w:bCs/>
          <w:color w:val="FF0000"/>
          <w:sz w:val="22"/>
          <w:szCs w:val="22"/>
          <w:highlight w:val="none"/>
        </w:rPr>
        <w:t>第三条 交付与验收</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3.1 乙方应</w:t>
      </w:r>
      <w:r>
        <w:rPr>
          <w:rFonts w:hint="eastAsia" w:ascii="宋体" w:hAnsi="宋体" w:eastAsia="宋体" w:cs="宋体"/>
          <w:bCs/>
          <w:color w:val="FF0000"/>
          <w:sz w:val="22"/>
          <w:szCs w:val="22"/>
          <w:highlight w:val="none"/>
          <w:lang w:eastAsia="zh-CN"/>
        </w:rPr>
        <w:t>在</w:t>
      </w: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r>
        <w:rPr>
          <w:rFonts w:hint="eastAsia" w:ascii="宋体" w:hAnsi="宋体" w:eastAsia="宋体" w:cs="宋体"/>
          <w:bCs/>
          <w:color w:val="FF0000"/>
          <w:sz w:val="22"/>
          <w:szCs w:val="22"/>
          <w:highlight w:val="none"/>
          <w:lang w:eastAsia="zh-CN"/>
        </w:rPr>
        <w:t>年</w:t>
      </w: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r>
        <w:rPr>
          <w:rFonts w:hint="eastAsia" w:ascii="宋体" w:hAnsi="宋体" w:eastAsia="宋体" w:cs="宋体"/>
          <w:bCs/>
          <w:color w:val="FF0000"/>
          <w:sz w:val="22"/>
          <w:szCs w:val="22"/>
          <w:highlight w:val="none"/>
          <w:lang w:eastAsia="zh-CN"/>
        </w:rPr>
        <w:t>月</w:t>
      </w: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r>
        <w:rPr>
          <w:rFonts w:hint="eastAsia" w:ascii="宋体" w:hAnsi="宋体" w:eastAsia="宋体" w:cs="宋体"/>
          <w:bCs/>
          <w:color w:val="FF0000"/>
          <w:sz w:val="22"/>
          <w:szCs w:val="22"/>
          <w:highlight w:val="none"/>
          <w:lang w:eastAsia="zh-CN"/>
        </w:rPr>
        <w:t>日前</w:t>
      </w:r>
      <w:r>
        <w:rPr>
          <w:rFonts w:hint="eastAsia" w:ascii="宋体" w:hAnsi="宋体" w:eastAsia="宋体" w:cs="宋体"/>
          <w:bCs/>
          <w:color w:val="FF0000"/>
          <w:sz w:val="22"/>
          <w:szCs w:val="22"/>
          <w:highlight w:val="none"/>
        </w:rPr>
        <w:t>将货物（设备）运输至</w:t>
      </w: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r>
        <w:rPr>
          <w:rFonts w:hint="eastAsia" w:ascii="宋体" w:hAnsi="宋体" w:eastAsia="宋体" w:cs="宋体"/>
          <w:bCs/>
          <w:color w:val="FF0000"/>
          <w:sz w:val="22"/>
          <w:szCs w:val="22"/>
          <w:highlight w:val="none"/>
        </w:rPr>
        <w:t>：</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如甲方变更交付时间的，应提前</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3"/>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3</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bCs/>
          <w:color w:val="FF0000"/>
          <w:sz w:val="22"/>
          <w:szCs w:val="22"/>
          <w:highlight w:val="none"/>
        </w:rPr>
        <w:t>天通知乙方。甲方要求乙方迟延交货的，交货时间最晚不得迟于合同签订后</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2"/>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2</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bCs/>
          <w:color w:val="FF0000"/>
          <w:sz w:val="22"/>
          <w:szCs w:val="22"/>
          <w:highlight w:val="none"/>
        </w:rPr>
        <w:t>年。</w:t>
      </w:r>
    </w:p>
    <w:p>
      <w:pPr>
        <w:keepNext w:val="0"/>
        <w:keepLines w:val="0"/>
        <w:pageBreakBefore w:val="0"/>
        <w:kinsoku/>
        <w:wordWrap/>
        <w:overflowPunct/>
        <w:topLinePunct w:val="0"/>
        <w:autoSpaceDE/>
        <w:autoSpaceDN/>
        <w:bidi w:val="0"/>
        <w:adjustRightInd/>
        <w:spacing w:line="320" w:lineRule="exact"/>
        <w:ind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3.2 乙方应在交货的同时向甲方提供与本合同项下货物（设备）相符且完整的技术资料，技术资料必须以简体中文书写。</w:t>
      </w:r>
    </w:p>
    <w:p>
      <w:pPr>
        <w:keepNext w:val="0"/>
        <w:keepLines w:val="0"/>
        <w:pageBreakBefore w:val="0"/>
        <w:kinsoku/>
        <w:wordWrap/>
        <w:overflowPunct/>
        <w:topLinePunct w:val="0"/>
        <w:autoSpaceDE/>
        <w:autoSpaceDN/>
        <w:bidi w:val="0"/>
        <w:adjustRightInd/>
        <w:spacing w:line="320" w:lineRule="exact"/>
        <w:ind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 xml:space="preserve">3.3 乙方应保证货物（设备）的包装符合运输的要求，足以保护货物（设备）在运输过程中不受锈蚀、损坏或灭失。 </w:t>
      </w:r>
    </w:p>
    <w:p>
      <w:pPr>
        <w:keepNext w:val="0"/>
        <w:keepLines w:val="0"/>
        <w:pageBreakBefore w:val="0"/>
        <w:kinsoku/>
        <w:wordWrap/>
        <w:overflowPunct/>
        <w:topLinePunct w:val="0"/>
        <w:autoSpaceDE/>
        <w:autoSpaceDN/>
        <w:bidi w:val="0"/>
        <w:adjustRightInd/>
        <w:spacing w:line="320" w:lineRule="exact"/>
        <w:ind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 xml:space="preserve">3.4 乙方负责将货物（设备）运输至约定的交货地点并交付予甲方，并支付因运输货物（设备）所发生的一切费用，包括但不限于运输费、保险费、装卸费、二次搬运费等。 </w:t>
      </w:r>
    </w:p>
    <w:p>
      <w:pPr>
        <w:keepNext w:val="0"/>
        <w:keepLines w:val="0"/>
        <w:pageBreakBefore w:val="0"/>
        <w:kinsoku/>
        <w:wordWrap/>
        <w:overflowPunct/>
        <w:topLinePunct w:val="0"/>
        <w:autoSpaceDE/>
        <w:autoSpaceDN/>
        <w:bidi w:val="0"/>
        <w:adjustRightInd/>
        <w:spacing w:line="320" w:lineRule="exact"/>
        <w:ind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3.5 乙方将货物（设备）运输至甲方指定地点后，双方应对货物（设备）的型号、数量、外观、技术资料等外观瑕疵进行核对，核对无误后由双方签订收货凭证。</w:t>
      </w:r>
    </w:p>
    <w:p>
      <w:pPr>
        <w:keepNext w:val="0"/>
        <w:keepLines w:val="0"/>
        <w:pageBreakBefore w:val="0"/>
        <w:kinsoku/>
        <w:wordWrap/>
        <w:overflowPunct/>
        <w:topLinePunct w:val="0"/>
        <w:autoSpaceDE/>
        <w:autoSpaceDN/>
        <w:bidi w:val="0"/>
        <w:adjustRightInd/>
        <w:spacing w:line="320" w:lineRule="exact"/>
        <w:ind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3.6 乙方应在货物（设备）运输至甲方指定地点</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3"/>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3</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bCs/>
          <w:color w:val="FF0000"/>
          <w:sz w:val="22"/>
          <w:szCs w:val="22"/>
          <w:highlight w:val="none"/>
        </w:rPr>
        <w:t>日内安装、调试完毕，并提供货物（设备）安装调试的一切技术支持。甲方在</w:t>
      </w:r>
      <w:sdt>
        <w:sdtPr>
          <w:rPr>
            <w:rFonts w:hint="eastAsia" w:ascii="宋体" w:hAnsi="宋体" w:eastAsia="宋体" w:cs="宋体"/>
            <w:color w:val="FF0000"/>
            <w:sz w:val="22"/>
            <w:szCs w:val="22"/>
            <w:highlight w:val="none"/>
          </w:rPr>
          <w:tag w:val="tag42"/>
          <w:id w:val="42"/>
          <w15:appearance w15:val="hidden"/>
        </w:sdtPr>
        <w:sdtEndPr>
          <w:rPr>
            <w:rFonts w:hint="eastAsia" w:ascii="宋体" w:hAnsi="宋体" w:eastAsia="宋体" w:cs="宋体"/>
            <w:color w:val="FF0000"/>
            <w:sz w:val="22"/>
            <w:szCs w:val="22"/>
            <w:highlight w:val="none"/>
          </w:rPr>
        </w:sdtEndPr>
        <w:sdtContent>
          <w:r>
            <w:rPr>
              <w:rFonts w:hint="eastAsia" w:ascii="宋体" w:hAnsi="宋体" w:eastAsia="宋体" w:cs="宋体"/>
              <w:bCs/>
              <w:color w:val="FF0000"/>
              <w:sz w:val="22"/>
              <w:szCs w:val="22"/>
              <w:highlight w:val="none"/>
            </w:rPr>
            <w:t>安装调试完毕后</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5"/>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5</w:t>
          </w:r>
          <w:r>
            <w:rPr>
              <w:rFonts w:hint="eastAsia" w:ascii="宋体" w:hAnsi="宋体" w:eastAsia="宋体" w:cs="宋体"/>
              <w:bCs/>
              <w:color w:val="FF0000"/>
              <w:kern w:val="2"/>
              <w:sz w:val="22"/>
              <w:szCs w:val="22"/>
              <w:highlight w:val="none"/>
              <w:u w:val="single"/>
              <w:lang w:val="en-US" w:eastAsia="zh-CN" w:bidi="ar-SA"/>
            </w:rPr>
            <w:fldChar w:fldCharType="end"/>
          </w:r>
        </w:sdtContent>
      </w:sdt>
      <w:r>
        <w:rPr>
          <w:rFonts w:hint="eastAsia" w:ascii="宋体" w:hAnsi="宋体" w:eastAsia="宋体" w:cs="宋体"/>
          <w:color w:val="FF0000"/>
          <w:sz w:val="22"/>
          <w:szCs w:val="22"/>
          <w:highlight w:val="none"/>
          <w:lang w:eastAsia="zh-CN"/>
        </w:rPr>
        <w:t>个工作日</w:t>
      </w:r>
      <w:r>
        <w:rPr>
          <w:rFonts w:hint="eastAsia" w:ascii="宋体" w:hAnsi="宋体" w:eastAsia="宋体" w:cs="宋体"/>
          <w:bCs/>
          <w:color w:val="FF0000"/>
          <w:sz w:val="22"/>
          <w:szCs w:val="22"/>
          <w:highlight w:val="none"/>
        </w:rPr>
        <w:t>内，按照合同约定标准对货物（设备）进行验收，验收内容包括但不限于货物（设备）功能、性能及各项技术参数指标等。甲方所购货物（设备）全部通过验收，经甲方确认并出具验收合格证明，视为验收合格。</w:t>
      </w:r>
    </w:p>
    <w:p>
      <w:pPr>
        <w:keepNext w:val="0"/>
        <w:keepLines w:val="0"/>
        <w:pageBreakBefore w:val="0"/>
        <w:kinsoku/>
        <w:wordWrap/>
        <w:overflowPunct/>
        <w:topLinePunct w:val="0"/>
        <w:autoSpaceDE/>
        <w:autoSpaceDN/>
        <w:bidi w:val="0"/>
        <w:adjustRightInd/>
        <w:spacing w:line="320" w:lineRule="exact"/>
        <w:ind w:firstLine="440" w:firstLineChars="200"/>
        <w:textAlignment w:val="auto"/>
        <w:rPr>
          <w:rFonts w:hint="eastAsia" w:ascii="宋体" w:hAnsi="宋体" w:eastAsia="宋体" w:cs="宋体"/>
          <w:bCs/>
          <w:color w:val="FF0000"/>
          <w:sz w:val="22"/>
          <w:szCs w:val="22"/>
          <w:highlight w:val="none"/>
          <w:lang w:val="en-US" w:eastAsia="zh-CN"/>
        </w:rPr>
      </w:pPr>
      <w:r>
        <w:rPr>
          <w:rFonts w:hint="eastAsia" w:ascii="宋体" w:hAnsi="宋体" w:eastAsia="宋体" w:cs="宋体"/>
          <w:bCs/>
          <w:color w:val="FF0000"/>
          <w:sz w:val="22"/>
          <w:szCs w:val="22"/>
          <w:highlight w:val="none"/>
        </w:rPr>
        <w:t>3.7 如乙方对验收结果有异议，</w:t>
      </w:r>
      <w:r>
        <w:rPr>
          <w:rFonts w:hint="eastAsia" w:ascii="宋体" w:hAnsi="宋体" w:eastAsia="宋体" w:cs="宋体"/>
          <w:bCs/>
          <w:color w:val="FF0000"/>
          <w:sz w:val="22"/>
          <w:szCs w:val="22"/>
          <w:highlight w:val="none"/>
          <w:lang w:eastAsia="zh-CN"/>
        </w:rPr>
        <w:t>应在收到验收结果之日起</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7"/>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7</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bCs/>
          <w:color w:val="FF0000"/>
          <w:sz w:val="22"/>
          <w:szCs w:val="22"/>
          <w:highlight w:val="none"/>
          <w:lang w:val="en-US" w:eastAsia="zh-CN"/>
        </w:rPr>
        <w:t>日内向甲方书面提出，否则视为认可甲方的验收结果。</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3.</w:t>
      </w:r>
      <w:r>
        <w:rPr>
          <w:rFonts w:hint="eastAsia" w:ascii="宋体" w:hAnsi="宋体" w:eastAsia="宋体" w:cs="宋体"/>
          <w:bCs/>
          <w:color w:val="FF0000"/>
          <w:sz w:val="22"/>
          <w:szCs w:val="22"/>
          <w:highlight w:val="none"/>
          <w:lang w:val="en-US" w:eastAsia="zh-CN"/>
        </w:rPr>
        <w:t>8</w:t>
      </w:r>
      <w:r>
        <w:rPr>
          <w:rFonts w:hint="eastAsia" w:ascii="宋体" w:hAnsi="宋体" w:eastAsia="宋体" w:cs="宋体"/>
          <w:bCs/>
          <w:color w:val="FF0000"/>
          <w:sz w:val="22"/>
          <w:szCs w:val="22"/>
          <w:highlight w:val="none"/>
        </w:rPr>
        <w:t xml:space="preserve"> </w:t>
      </w:r>
      <w:r>
        <w:rPr>
          <w:rFonts w:hint="eastAsia" w:ascii="宋体" w:hAnsi="宋体" w:eastAsia="宋体" w:cs="宋体"/>
          <w:bCs/>
          <w:color w:val="FF0000"/>
          <w:sz w:val="22"/>
          <w:szCs w:val="22"/>
          <w:highlight w:val="none"/>
          <w:lang w:eastAsia="zh-CN"/>
        </w:rPr>
        <w:t>对于异议的处理，可以</w:t>
      </w:r>
      <w:r>
        <w:rPr>
          <w:rFonts w:hint="eastAsia" w:ascii="宋体" w:hAnsi="宋体" w:eastAsia="宋体" w:cs="宋体"/>
          <w:bCs/>
          <w:color w:val="FF0000"/>
          <w:sz w:val="22"/>
          <w:szCs w:val="22"/>
          <w:highlight w:val="none"/>
        </w:rPr>
        <w:t>由双方共同委托甲方所在地具有相应资质的鉴定机构进行复检。鉴定机构的检验结果表明货物（设备）不符合合同约定的，因复检发生的费用由乙方承担；检验结果表明货物（设备）符合合同约定的，因复检发生的费用由甲方承担。</w:t>
      </w:r>
    </w:p>
    <w:p>
      <w:pPr>
        <w:keepNext w:val="0"/>
        <w:keepLines w:val="0"/>
        <w:pageBreakBefore w:val="0"/>
        <w:kinsoku/>
        <w:wordWrap/>
        <w:overflowPunct/>
        <w:topLinePunct w:val="0"/>
        <w:autoSpaceDE/>
        <w:autoSpaceDN/>
        <w:bidi w:val="0"/>
        <w:adjustRightInd/>
        <w:spacing w:line="320" w:lineRule="exact"/>
        <w:ind w:right="-2" w:firstLine="442" w:firstLineChars="200"/>
        <w:textAlignment w:val="auto"/>
        <w:rPr>
          <w:rFonts w:hint="eastAsia" w:ascii="宋体" w:hAnsi="宋体" w:eastAsia="宋体" w:cs="宋体"/>
          <w:b/>
          <w:bCs/>
          <w:color w:val="FF0000"/>
          <w:sz w:val="22"/>
          <w:szCs w:val="22"/>
          <w:highlight w:val="none"/>
        </w:rPr>
      </w:pPr>
      <w:r>
        <w:rPr>
          <w:rFonts w:hint="eastAsia" w:ascii="宋体" w:hAnsi="宋体" w:eastAsia="宋体" w:cs="宋体"/>
          <w:b/>
          <w:bCs/>
          <w:color w:val="FF0000"/>
          <w:sz w:val="22"/>
          <w:szCs w:val="22"/>
          <w:highlight w:val="none"/>
        </w:rPr>
        <w:t>第四条 付款</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lang w:eastAsia="zh-CN"/>
        </w:rPr>
      </w:pPr>
      <w:r>
        <w:rPr>
          <w:rFonts w:hint="eastAsia" w:ascii="宋体" w:hAnsi="宋体" w:eastAsia="宋体" w:cs="宋体"/>
          <w:bCs/>
          <w:color w:val="FF0000"/>
          <w:sz w:val="22"/>
          <w:szCs w:val="22"/>
          <w:highlight w:val="none"/>
        </w:rPr>
        <w:t>4.1</w:t>
      </w:r>
      <w:r>
        <w:rPr>
          <w:rFonts w:hint="eastAsia" w:ascii="宋体" w:hAnsi="宋体" w:eastAsia="宋体" w:cs="宋体"/>
          <w:bCs/>
          <w:color w:val="FF0000"/>
          <w:sz w:val="22"/>
          <w:szCs w:val="22"/>
          <w:highlight w:val="none"/>
          <w:lang w:val="en-US" w:eastAsia="zh-CN"/>
        </w:rPr>
        <w:t xml:space="preserve"> 合同签订后3</w:t>
      </w:r>
      <w:r>
        <w:rPr>
          <w:rFonts w:hint="eastAsia" w:ascii="宋体" w:hAnsi="宋体" w:eastAsia="宋体" w:cs="宋体"/>
          <w:bCs/>
          <w:color w:val="FF0000"/>
          <w:sz w:val="22"/>
          <w:szCs w:val="22"/>
          <w:highlight w:val="none"/>
        </w:rPr>
        <w:t>日内</w:t>
      </w:r>
      <w:r>
        <w:rPr>
          <w:rFonts w:hint="eastAsia" w:ascii="宋体" w:hAnsi="宋体" w:eastAsia="宋体" w:cs="宋体"/>
          <w:bCs/>
          <w:color w:val="FF0000"/>
          <w:sz w:val="22"/>
          <w:szCs w:val="22"/>
          <w:highlight w:val="none"/>
          <w:lang w:eastAsia="zh-CN"/>
        </w:rPr>
        <w:t>，</w:t>
      </w:r>
      <w:r>
        <w:rPr>
          <w:rFonts w:hint="eastAsia" w:ascii="宋体" w:hAnsi="宋体" w:eastAsia="宋体" w:cs="宋体"/>
          <w:bCs/>
          <w:color w:val="FF0000"/>
          <w:sz w:val="22"/>
          <w:szCs w:val="22"/>
          <w:highlight w:val="none"/>
          <w:lang w:val="en-US" w:eastAsia="zh-CN"/>
        </w:rPr>
        <w:t>甲乙双方共同至中国银行</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支行开立乙方户名的甲乙双方共管账户（费用由乙方承担），账户开户时应向开户行预留三枚印鉴样式，分别为：甲方财务专用章一枚、甲方指定人员手签字、乙方财务专用章一枚。开户后，凡账户内资金的支取及销户，必须凭上述三枚印鉴同时齐备后方可进行，缺一不可。乙方未开上述立共管账户的，无权要求甲方支付合同款</w:t>
      </w:r>
      <w:r>
        <w:rPr>
          <w:rFonts w:hint="eastAsia" w:ascii="宋体" w:hAnsi="宋体" w:eastAsia="宋体" w:cs="宋体"/>
          <w:bCs/>
          <w:color w:val="FF0000"/>
          <w:sz w:val="22"/>
          <w:szCs w:val="22"/>
          <w:highlight w:val="none"/>
          <w:lang w:eastAsia="zh-CN"/>
        </w:rPr>
        <w:t>。</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lang w:val="en-US" w:eastAsia="zh-CN"/>
        </w:rPr>
      </w:pPr>
      <w:r>
        <w:rPr>
          <w:rFonts w:hint="eastAsia" w:ascii="宋体" w:hAnsi="宋体" w:eastAsia="宋体" w:cs="宋体"/>
          <w:bCs/>
          <w:color w:val="FF0000"/>
          <w:sz w:val="22"/>
          <w:szCs w:val="22"/>
          <w:highlight w:val="none"/>
          <w:lang w:val="en-US" w:eastAsia="zh-CN"/>
        </w:rPr>
        <w:t>4.2 甲方在</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年</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月</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日前向乙方支付本合同全部款项。</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lang w:eastAsia="zh-CN"/>
        </w:rPr>
      </w:pPr>
      <w:r>
        <w:rPr>
          <w:rFonts w:hint="eastAsia" w:ascii="宋体" w:hAnsi="宋体" w:eastAsia="宋体" w:cs="宋体"/>
          <w:bCs/>
          <w:color w:val="FF0000"/>
          <w:sz w:val="22"/>
          <w:szCs w:val="22"/>
          <w:highlight w:val="none"/>
        </w:rPr>
        <w:t>4.</w:t>
      </w:r>
      <w:r>
        <w:rPr>
          <w:rFonts w:hint="eastAsia" w:ascii="宋体" w:hAnsi="宋体" w:eastAsia="宋体" w:cs="宋体"/>
          <w:bCs/>
          <w:color w:val="FF0000"/>
          <w:sz w:val="22"/>
          <w:szCs w:val="22"/>
          <w:highlight w:val="none"/>
          <w:lang w:val="en-US" w:eastAsia="zh-CN"/>
        </w:rPr>
        <w:t>3</w:t>
      </w:r>
      <w:r>
        <w:rPr>
          <w:rFonts w:hint="eastAsia" w:ascii="宋体" w:hAnsi="宋体" w:eastAsia="宋体" w:cs="宋体"/>
          <w:bCs/>
          <w:color w:val="FF0000"/>
          <w:sz w:val="22"/>
          <w:szCs w:val="22"/>
          <w:highlight w:val="none"/>
        </w:rPr>
        <w:t xml:space="preserve"> 乙方应提供</w:t>
      </w:r>
      <w:r>
        <w:rPr>
          <w:rFonts w:hint="eastAsia" w:ascii="宋体" w:hAnsi="宋体" w:eastAsia="宋体" w:cs="宋体"/>
          <w:bCs/>
          <w:color w:val="FF0000"/>
          <w:sz w:val="22"/>
          <w:szCs w:val="22"/>
          <w:highlight w:val="none"/>
          <w:lang w:eastAsia="zh-CN"/>
        </w:rPr>
        <w:t>税率为</w:t>
      </w: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r>
        <w:rPr>
          <w:rFonts w:hint="eastAsia" w:ascii="宋体" w:hAnsi="宋体" w:eastAsia="宋体" w:cs="宋体"/>
          <w:bCs/>
          <w:color w:val="FF0000"/>
          <w:sz w:val="22"/>
          <w:szCs w:val="22"/>
          <w:highlight w:val="none"/>
        </w:rPr>
        <w:t>%合法</w:t>
      </w:r>
      <w:r>
        <w:rPr>
          <w:rFonts w:hint="eastAsia" w:ascii="宋体" w:hAnsi="宋体" w:eastAsia="宋体" w:cs="宋体"/>
          <w:bCs/>
          <w:color w:val="FF0000"/>
          <w:sz w:val="22"/>
          <w:szCs w:val="22"/>
          <w:highlight w:val="none"/>
          <w:lang w:eastAsia="zh-CN"/>
        </w:rPr>
        <w:t>有效的增值税</w:t>
      </w:r>
      <w:r>
        <w:rPr>
          <w:rFonts w:hint="eastAsia" w:ascii="宋体" w:hAnsi="宋体" w:eastAsia="宋体" w:cs="宋体"/>
          <w:bCs/>
          <w:i w:val="0"/>
          <w:iCs w:val="0"/>
          <w:color w:val="FF0000"/>
          <w:sz w:val="22"/>
          <w:szCs w:val="22"/>
          <w:highlight w:val="none"/>
          <w:u w:val="none"/>
          <w:lang w:eastAsia="zh-CN"/>
        </w:rPr>
        <w:t>专用</w:t>
      </w:r>
      <w:r>
        <w:rPr>
          <w:rFonts w:hint="eastAsia" w:ascii="宋体" w:hAnsi="宋体" w:eastAsia="宋体" w:cs="宋体"/>
          <w:bCs/>
          <w:color w:val="FF0000"/>
          <w:sz w:val="22"/>
          <w:szCs w:val="22"/>
          <w:highlight w:val="none"/>
          <w:lang w:val="en-US" w:eastAsia="zh-CN"/>
        </w:rPr>
        <w:t>发</w:t>
      </w:r>
      <w:r>
        <w:rPr>
          <w:rFonts w:hint="eastAsia" w:ascii="宋体" w:hAnsi="宋体" w:eastAsia="宋体" w:cs="宋体"/>
          <w:bCs/>
          <w:color w:val="FF0000"/>
          <w:sz w:val="22"/>
          <w:szCs w:val="22"/>
          <w:highlight w:val="none"/>
        </w:rPr>
        <w:t>票，否则甲方有权暂停付款。</w:t>
      </w:r>
      <w:r>
        <w:rPr>
          <w:rFonts w:hint="eastAsia" w:ascii="宋体" w:hAnsi="宋体" w:eastAsia="宋体" w:cs="宋体"/>
          <w:bCs/>
          <w:color w:val="FF0000"/>
          <w:sz w:val="22"/>
          <w:szCs w:val="22"/>
          <w:highlight w:val="none"/>
          <w:lang w:eastAsia="zh-CN"/>
        </w:rPr>
        <w:t>乙方提供发票的进度约定如下：在甲方付款前提供等额发票。</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乙方向甲方开具发票的信息：</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单位名称：东北大学</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lang w:eastAsia="zh-CN"/>
        </w:rPr>
        <w:t>统一社会信用代码</w:t>
      </w:r>
      <w:r>
        <w:rPr>
          <w:rFonts w:hint="eastAsia" w:ascii="宋体" w:hAnsi="宋体" w:eastAsia="宋体" w:cs="宋体"/>
          <w:bCs/>
          <w:color w:val="FF0000"/>
          <w:sz w:val="22"/>
          <w:szCs w:val="22"/>
          <w:highlight w:val="none"/>
        </w:rPr>
        <w:t>：1210000046300354XU</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单位地址：辽宁省沈阳市和平区文化路3号巷11号</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电话号码：024-83687506</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lang w:eastAsia="zh-CN"/>
        </w:rPr>
      </w:pPr>
      <w:r>
        <w:rPr>
          <w:rFonts w:hint="eastAsia" w:ascii="宋体" w:hAnsi="宋体" w:eastAsia="宋体" w:cs="宋体"/>
          <w:bCs/>
          <w:color w:val="FF0000"/>
          <w:sz w:val="22"/>
          <w:szCs w:val="22"/>
          <w:highlight w:val="none"/>
          <w:lang w:eastAsia="zh-CN"/>
        </w:rPr>
        <w:t>开户行名称</w:t>
      </w:r>
      <w:r>
        <w:rPr>
          <w:rFonts w:hint="eastAsia" w:ascii="宋体" w:hAnsi="宋体" w:eastAsia="宋体" w:cs="宋体"/>
          <w:bCs/>
          <w:color w:val="FF0000"/>
          <w:sz w:val="22"/>
          <w:szCs w:val="22"/>
          <w:highlight w:val="none"/>
        </w:rPr>
        <w:t>：</w:t>
      </w:r>
      <w:r>
        <w:rPr>
          <w:rFonts w:hint="eastAsia" w:ascii="宋体" w:hAnsi="宋体" w:eastAsia="宋体" w:cs="宋体"/>
          <w:bCs/>
          <w:color w:val="FF0000"/>
          <w:sz w:val="22"/>
          <w:szCs w:val="22"/>
          <w:highlight w:val="none"/>
          <w:lang w:eastAsia="zh-CN"/>
        </w:rPr>
        <w:t>中国银行沈阳东北大学支行</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lang w:val="en-US" w:eastAsia="zh-CN"/>
        </w:rPr>
      </w:pPr>
      <w:r>
        <w:rPr>
          <w:rFonts w:hint="eastAsia" w:ascii="宋体" w:hAnsi="宋体" w:eastAsia="宋体" w:cs="宋体"/>
          <w:bCs/>
          <w:color w:val="FF0000"/>
          <w:sz w:val="22"/>
          <w:szCs w:val="22"/>
          <w:highlight w:val="none"/>
          <w:lang w:eastAsia="zh-CN"/>
        </w:rPr>
        <w:t>开户行账号</w:t>
      </w:r>
      <w:r>
        <w:rPr>
          <w:rFonts w:hint="eastAsia" w:ascii="宋体" w:hAnsi="宋体" w:eastAsia="宋体" w:cs="宋体"/>
          <w:bCs/>
          <w:color w:val="FF0000"/>
          <w:sz w:val="22"/>
          <w:szCs w:val="22"/>
          <w:highlight w:val="none"/>
        </w:rPr>
        <w:t>：</w:t>
      </w:r>
      <w:r>
        <w:rPr>
          <w:rFonts w:hint="eastAsia" w:ascii="宋体" w:hAnsi="宋体" w:eastAsia="宋体" w:cs="宋体"/>
          <w:bCs/>
          <w:color w:val="FF0000"/>
          <w:sz w:val="22"/>
          <w:szCs w:val="22"/>
          <w:highlight w:val="none"/>
          <w:lang w:val="en-US" w:eastAsia="zh-CN"/>
        </w:rPr>
        <w:t>318146100001</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rPr>
        <w:t>4.</w:t>
      </w:r>
      <w:r>
        <w:rPr>
          <w:rFonts w:hint="eastAsia" w:ascii="宋体" w:hAnsi="宋体" w:eastAsia="宋体" w:cs="宋体"/>
          <w:bCs/>
          <w:color w:val="FF0000"/>
          <w:sz w:val="22"/>
          <w:szCs w:val="22"/>
          <w:highlight w:val="none"/>
          <w:lang w:val="en-US" w:eastAsia="zh-CN"/>
        </w:rPr>
        <w:t>4</w:t>
      </w:r>
      <w:r>
        <w:rPr>
          <w:rFonts w:hint="eastAsia" w:ascii="宋体" w:hAnsi="宋体" w:eastAsia="宋体" w:cs="宋体"/>
          <w:bCs/>
          <w:color w:val="FF0000"/>
          <w:sz w:val="22"/>
          <w:szCs w:val="22"/>
          <w:highlight w:val="none"/>
        </w:rPr>
        <w:t>收款账户（须与乙方向甲方开具发票的信息一致）</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rPr>
      </w:pPr>
      <w:r>
        <w:rPr>
          <w:rFonts w:hint="eastAsia" w:ascii="宋体" w:hAnsi="宋体" w:eastAsia="宋体" w:cs="宋体"/>
          <w:bCs/>
          <w:color w:val="FF0000"/>
          <w:sz w:val="22"/>
          <w:szCs w:val="22"/>
          <w:highlight w:val="none"/>
          <w:lang w:val="en-US" w:eastAsia="zh-CN"/>
        </w:rPr>
        <w:t>本合同采用</w:t>
      </w:r>
      <w:r>
        <w:rPr>
          <w:rFonts w:hint="eastAsia" w:ascii="宋体" w:hAnsi="宋体" w:eastAsia="宋体" w:cs="宋体"/>
          <w:bCs/>
          <w:color w:val="FF0000"/>
          <w:sz w:val="22"/>
          <w:szCs w:val="22"/>
          <w:highlight w:val="none"/>
        </w:rPr>
        <w:t>银行转账方式结算，且</w:t>
      </w:r>
      <w:r>
        <w:rPr>
          <w:rFonts w:hint="eastAsia" w:ascii="宋体" w:hAnsi="宋体" w:eastAsia="宋体" w:cs="宋体"/>
          <w:bCs/>
          <w:color w:val="FF0000"/>
          <w:sz w:val="22"/>
          <w:szCs w:val="22"/>
          <w:highlight w:val="none"/>
          <w:lang w:val="en-US" w:eastAsia="zh-CN"/>
        </w:rPr>
        <w:t>甲乙双方按照本合同第4.1款设立共管账户为乙方</w:t>
      </w:r>
      <w:r>
        <w:rPr>
          <w:rFonts w:hint="eastAsia" w:ascii="宋体" w:hAnsi="宋体" w:eastAsia="宋体" w:cs="宋体"/>
          <w:bCs/>
          <w:color w:val="FF0000"/>
          <w:sz w:val="22"/>
          <w:szCs w:val="22"/>
          <w:highlight w:val="none"/>
        </w:rPr>
        <w:t>唯一收款账户</w:t>
      </w:r>
      <w:r>
        <w:rPr>
          <w:rFonts w:hint="eastAsia" w:ascii="宋体" w:hAnsi="宋体" w:eastAsia="宋体" w:cs="宋体"/>
          <w:bCs/>
          <w:color w:val="FF0000"/>
          <w:sz w:val="22"/>
          <w:szCs w:val="22"/>
          <w:highlight w:val="none"/>
          <w:lang w:eastAsia="zh-CN"/>
        </w:rPr>
        <w:t>，</w:t>
      </w:r>
      <w:r>
        <w:rPr>
          <w:rFonts w:hint="eastAsia" w:ascii="宋体" w:hAnsi="宋体" w:eastAsia="宋体" w:cs="宋体"/>
          <w:bCs/>
          <w:color w:val="FF0000"/>
          <w:sz w:val="22"/>
          <w:szCs w:val="22"/>
          <w:highlight w:val="none"/>
        </w:rPr>
        <w:t>甲方向上述账户汇出款项后，即视为已履行付款义务</w:t>
      </w:r>
      <w:r>
        <w:rPr>
          <w:rFonts w:hint="eastAsia" w:ascii="宋体" w:hAnsi="宋体" w:eastAsia="宋体" w:cs="宋体"/>
          <w:bCs/>
          <w:color w:val="FF0000"/>
          <w:sz w:val="22"/>
          <w:szCs w:val="22"/>
          <w:highlight w:val="none"/>
          <w:lang w:eastAsia="zh-CN"/>
        </w:rPr>
        <w:t>。</w:t>
      </w:r>
      <w:r>
        <w:rPr>
          <w:rFonts w:hint="eastAsia" w:ascii="宋体" w:hAnsi="宋体" w:eastAsia="宋体" w:cs="宋体"/>
          <w:bCs/>
          <w:color w:val="FF0000"/>
          <w:sz w:val="22"/>
          <w:szCs w:val="22"/>
          <w:highlight w:val="none"/>
        </w:rPr>
        <w:t>因乙方账户的原因（包括但不限于账号被冻结等）导致其无法收取款项的，由乙方承担相应后果。</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lang w:val="en-US" w:eastAsia="zh-CN"/>
        </w:rPr>
      </w:pPr>
      <w:r>
        <w:rPr>
          <w:rFonts w:hint="eastAsia" w:ascii="宋体" w:hAnsi="宋体" w:eastAsia="宋体" w:cs="宋体"/>
          <w:bCs/>
          <w:color w:val="FF0000"/>
          <w:sz w:val="22"/>
          <w:szCs w:val="22"/>
          <w:highlight w:val="none"/>
          <w:lang w:val="en-US" w:eastAsia="zh-CN"/>
        </w:rPr>
        <w:t>4.5 共管账户管理（说明：</w:t>
      </w:r>
      <w:r>
        <w:rPr>
          <w:rFonts w:hint="eastAsia" w:ascii="宋体" w:hAnsi="宋体" w:eastAsia="宋体" w:cs="宋体"/>
          <w:bCs/>
          <w:color w:val="FF0000"/>
          <w:sz w:val="22"/>
          <w:szCs w:val="22"/>
          <w:highlight w:val="none"/>
          <w:lang w:val="en-US" w:eastAsia="zh-CN"/>
        </w:rPr>
        <w:sym w:font="Wingdings 2" w:char="00A3"/>
      </w:r>
      <w:r>
        <w:rPr>
          <w:rFonts w:hint="eastAsia" w:ascii="宋体" w:hAnsi="宋体" w:eastAsia="宋体" w:cs="宋体"/>
          <w:bCs/>
          <w:color w:val="FF0000"/>
          <w:sz w:val="22"/>
          <w:szCs w:val="22"/>
          <w:highlight w:val="none"/>
          <w:lang w:val="en-US" w:eastAsia="zh-CN"/>
        </w:rPr>
        <w:t>为选择项，根据实际情况选择其中一项或几项，</w:t>
      </w:r>
      <w:r>
        <w:rPr>
          <w:rFonts w:hint="eastAsia" w:ascii="宋体" w:hAnsi="宋体" w:eastAsia="宋体" w:cs="宋体"/>
          <w:bCs/>
          <w:color w:val="FF0000"/>
          <w:sz w:val="22"/>
          <w:szCs w:val="22"/>
          <w:highlight w:val="none"/>
          <w:lang w:val="en-US" w:eastAsia="zh-CN"/>
        </w:rPr>
        <w:sym w:font="Wingdings 2" w:char="0052"/>
      </w:r>
      <w:r>
        <w:rPr>
          <w:rFonts w:hint="eastAsia" w:ascii="宋体" w:hAnsi="宋体" w:eastAsia="宋体" w:cs="宋体"/>
          <w:bCs/>
          <w:color w:val="FF0000"/>
          <w:sz w:val="22"/>
          <w:szCs w:val="22"/>
          <w:highlight w:val="none"/>
          <w:lang w:val="en-US" w:eastAsia="zh-CN"/>
        </w:rPr>
        <w:t>为生效条款）</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lang w:val="en-US" w:eastAsia="zh-CN"/>
        </w:rPr>
      </w:pPr>
      <w:r>
        <w:rPr>
          <w:rFonts w:hint="eastAsia" w:ascii="宋体" w:hAnsi="宋体" w:eastAsia="宋体" w:cs="宋体"/>
          <w:bCs/>
          <w:color w:val="FF0000"/>
          <w:sz w:val="22"/>
          <w:szCs w:val="22"/>
          <w:highlight w:val="none"/>
          <w:lang w:val="en-US" w:eastAsia="zh-CN"/>
        </w:rPr>
        <w:t>4.5.1甲、乙双方各指定一名工作人员对账户进行日常管理，在开立账户时，应同时为双方指定的人员开通办理账户余额手机短信通知服务功能，以便甲、乙双方及时掌握账户资金变动情况。</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lang w:val="en-US" w:eastAsia="zh-CN"/>
        </w:rPr>
      </w:pPr>
      <w:r>
        <w:rPr>
          <w:rFonts w:hint="eastAsia" w:ascii="宋体" w:hAnsi="宋体" w:eastAsia="宋体" w:cs="宋体"/>
          <w:bCs/>
          <w:color w:val="FF0000"/>
          <w:sz w:val="22"/>
          <w:szCs w:val="22"/>
          <w:highlight w:val="non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lang w:val="en-US" w:eastAsia="zh-CN"/>
        </w:rPr>
        <w:instrText xml:space="preserve"> FORMTEXT </w:instrText>
      </w:r>
      <w:r>
        <w:rPr>
          <w:rFonts w:hint="eastAsia" w:ascii="宋体" w:hAnsi="宋体" w:eastAsia="宋体" w:cs="宋体"/>
          <w:bCs/>
          <w:color w:val="FF0000"/>
          <w:sz w:val="22"/>
          <w:szCs w:val="22"/>
          <w:highlight w:val="none"/>
          <w:lang w:val="en-US" w:eastAsia="zh-CN"/>
        </w:rPr>
        <w:fldChar w:fldCharType="separate"/>
      </w:r>
      <w:r>
        <w:rPr>
          <w:rFonts w:hint="eastAsia" w:ascii="宋体" w:hAnsi="宋体" w:eastAsia="宋体" w:cs="宋体"/>
          <w:bCs/>
          <w:color w:val="FF0000"/>
          <w:sz w:val="22"/>
          <w:szCs w:val="22"/>
          <w:highlight w:val="none"/>
          <w:lang w:val="en-US" w:eastAsia="zh-CN"/>
        </w:rPr>
        <w:sym w:font="Wingdings 2" w:char="00A3"/>
      </w:r>
      <w:r>
        <w:rPr>
          <w:rFonts w:hint="eastAsia" w:ascii="宋体" w:hAnsi="宋体" w:eastAsia="宋体" w:cs="宋体"/>
          <w:bCs/>
          <w:color w:val="FF0000"/>
          <w:sz w:val="22"/>
          <w:szCs w:val="22"/>
          <w:highlight w:val="none"/>
          <w:lang w:val="en-US" w:eastAsia="zh-CN"/>
        </w:rPr>
        <w:fldChar w:fldCharType="end"/>
      </w:r>
      <w:r>
        <w:rPr>
          <w:rFonts w:hint="eastAsia" w:ascii="宋体" w:hAnsi="宋体" w:eastAsia="宋体" w:cs="宋体"/>
          <w:bCs/>
          <w:color w:val="FF0000"/>
          <w:sz w:val="22"/>
          <w:szCs w:val="22"/>
          <w:highlight w:val="none"/>
          <w:lang w:val="en-US" w:eastAsia="zh-CN"/>
        </w:rPr>
        <w:t xml:space="preserve"> 乙方货物具备发货条件通知甲方并得到甲方认可后</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日内，甲乙双方委派指定工作人员从共管账户中支取合同金额的</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%即</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元（大写金额：</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元整）支付至乙方指定账户。</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lang w:val="en-US" w:eastAsia="zh-CN"/>
        </w:rPr>
      </w:pPr>
      <w:r>
        <w:rPr>
          <w:rFonts w:hint="eastAsia" w:ascii="宋体" w:hAnsi="宋体" w:eastAsia="宋体" w:cs="宋体"/>
          <w:bCs/>
          <w:color w:val="FF0000"/>
          <w:sz w:val="22"/>
          <w:szCs w:val="22"/>
          <w:highlight w:val="non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lang w:val="en-US" w:eastAsia="zh-CN"/>
        </w:rPr>
        <w:instrText xml:space="preserve"> FORMTEXT </w:instrText>
      </w:r>
      <w:r>
        <w:rPr>
          <w:rFonts w:hint="eastAsia" w:ascii="宋体" w:hAnsi="宋体" w:eastAsia="宋体" w:cs="宋体"/>
          <w:bCs/>
          <w:color w:val="FF0000"/>
          <w:sz w:val="22"/>
          <w:szCs w:val="22"/>
          <w:highlight w:val="none"/>
          <w:lang w:val="en-US" w:eastAsia="zh-CN"/>
        </w:rPr>
        <w:fldChar w:fldCharType="separate"/>
      </w:r>
      <w:r>
        <w:rPr>
          <w:rFonts w:hint="eastAsia" w:ascii="宋体" w:hAnsi="宋体" w:eastAsia="宋体" w:cs="宋体"/>
          <w:bCs/>
          <w:color w:val="FF0000"/>
          <w:sz w:val="22"/>
          <w:szCs w:val="22"/>
          <w:highlight w:val="none"/>
          <w:lang w:val="en-US" w:eastAsia="zh-CN"/>
        </w:rPr>
        <w:sym w:font="Wingdings 2" w:char="00A3"/>
      </w:r>
      <w:r>
        <w:rPr>
          <w:rFonts w:hint="eastAsia" w:ascii="宋体" w:hAnsi="宋体" w:eastAsia="宋体" w:cs="宋体"/>
          <w:bCs/>
          <w:color w:val="FF0000"/>
          <w:sz w:val="22"/>
          <w:szCs w:val="22"/>
          <w:highlight w:val="none"/>
          <w:lang w:val="en-US" w:eastAsia="zh-CN"/>
        </w:rPr>
        <w:fldChar w:fldCharType="end"/>
      </w:r>
      <w:r>
        <w:rPr>
          <w:rFonts w:hint="eastAsia" w:ascii="宋体" w:hAnsi="宋体" w:eastAsia="宋体" w:cs="宋体"/>
          <w:bCs/>
          <w:color w:val="FF0000"/>
          <w:sz w:val="22"/>
          <w:szCs w:val="22"/>
          <w:highlight w:val="none"/>
          <w:lang w:val="en-US" w:eastAsia="zh-CN"/>
        </w:rPr>
        <w:t xml:space="preserve"> </w:t>
      </w:r>
      <w:r>
        <w:rPr>
          <w:rFonts w:hint="eastAsia" w:ascii="宋体" w:hAnsi="宋体" w:eastAsia="宋体" w:cs="宋体"/>
          <w:bCs/>
          <w:color w:val="FF0000"/>
          <w:sz w:val="22"/>
          <w:szCs w:val="22"/>
          <w:highlight w:val="none"/>
        </w:rPr>
        <w:t>乙方将货物（设备）运输至甲方指定地点并经双方核对无误后</w:t>
      </w: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r>
        <w:rPr>
          <w:rFonts w:hint="eastAsia" w:ascii="宋体" w:hAnsi="宋体" w:eastAsia="宋体" w:cs="宋体"/>
          <w:bCs/>
          <w:color w:val="FF0000"/>
          <w:sz w:val="22"/>
          <w:szCs w:val="22"/>
          <w:highlight w:val="none"/>
        </w:rPr>
        <w:t>日内，</w:t>
      </w:r>
      <w:r>
        <w:rPr>
          <w:rFonts w:hint="eastAsia" w:ascii="宋体" w:hAnsi="宋体" w:eastAsia="宋体" w:cs="宋体"/>
          <w:bCs/>
          <w:color w:val="FF0000"/>
          <w:sz w:val="22"/>
          <w:szCs w:val="22"/>
          <w:highlight w:val="none"/>
          <w:lang w:val="en-US" w:eastAsia="zh-CN"/>
        </w:rPr>
        <w:t>甲乙双方委派指定工作人员从共管账户中支取合同金额的</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%即</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元（大写金额：</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元整）支付至乙方指定账户。</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lang w:val="en-US" w:eastAsia="zh-CN"/>
        </w:rPr>
      </w:pPr>
      <w:r>
        <w:rPr>
          <w:rFonts w:hint="eastAsia" w:ascii="宋体" w:hAnsi="宋体" w:eastAsia="宋体" w:cs="宋体"/>
          <w:bCs/>
          <w:color w:val="FF0000"/>
          <w:sz w:val="22"/>
          <w:szCs w:val="22"/>
          <w:highlight w:val="non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lang w:val="en-US" w:eastAsia="zh-CN"/>
        </w:rPr>
        <w:instrText xml:space="preserve"> FORMTEXT </w:instrText>
      </w:r>
      <w:r>
        <w:rPr>
          <w:rFonts w:hint="eastAsia" w:ascii="宋体" w:hAnsi="宋体" w:eastAsia="宋体" w:cs="宋体"/>
          <w:bCs/>
          <w:color w:val="FF0000"/>
          <w:sz w:val="22"/>
          <w:szCs w:val="22"/>
          <w:highlight w:val="none"/>
          <w:lang w:val="en-US" w:eastAsia="zh-CN"/>
        </w:rPr>
        <w:fldChar w:fldCharType="separate"/>
      </w:r>
      <w:r>
        <w:rPr>
          <w:rFonts w:hint="eastAsia" w:ascii="宋体" w:hAnsi="宋体" w:eastAsia="宋体" w:cs="宋体"/>
          <w:bCs/>
          <w:color w:val="FF0000"/>
          <w:sz w:val="22"/>
          <w:szCs w:val="22"/>
          <w:highlight w:val="none"/>
          <w:lang w:val="en-US" w:eastAsia="zh-CN"/>
        </w:rPr>
        <w:sym w:font="Wingdings 2" w:char="00A3"/>
      </w:r>
      <w:r>
        <w:rPr>
          <w:rFonts w:hint="eastAsia" w:ascii="宋体" w:hAnsi="宋体" w:eastAsia="宋体" w:cs="宋体"/>
          <w:bCs/>
          <w:color w:val="FF0000"/>
          <w:sz w:val="22"/>
          <w:szCs w:val="22"/>
          <w:highlight w:val="none"/>
          <w:lang w:val="en-US" w:eastAsia="zh-CN"/>
        </w:rPr>
        <w:fldChar w:fldCharType="end"/>
      </w:r>
      <w:r>
        <w:rPr>
          <w:rFonts w:hint="eastAsia" w:ascii="宋体" w:hAnsi="宋体" w:eastAsia="宋体" w:cs="宋体"/>
          <w:bCs/>
          <w:color w:val="FF0000"/>
          <w:sz w:val="22"/>
          <w:szCs w:val="22"/>
          <w:highlight w:val="none"/>
          <w:lang w:val="en-US" w:eastAsia="zh-CN"/>
        </w:rPr>
        <w:t xml:space="preserve"> 乙方安装调试完成并经甲方验收合格后</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日内，甲乙双方委派指定工作人员从共管账户中支取合同金额的</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%即</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元（大写金额：</w:t>
      </w:r>
      <w:r>
        <w:rPr>
          <w:rFonts w:hint="eastAsia" w:ascii="宋体" w:hAnsi="宋体" w:eastAsia="宋体" w:cs="宋体"/>
          <w:bCs/>
          <w:color w:val="FF0000"/>
          <w:sz w:val="22"/>
          <w:szCs w:val="22"/>
          <w:highlight w:val="none"/>
          <w:u w:val="single"/>
          <w:lang w:val="en-US" w:eastAsia="zh-CN"/>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lang w:val="en-US" w:eastAsia="zh-CN"/>
        </w:rPr>
        <w:instrText xml:space="preserve"> FORMTEXT </w:instrText>
      </w:r>
      <w:r>
        <w:rPr>
          <w:rFonts w:hint="eastAsia" w:ascii="宋体" w:hAnsi="宋体" w:eastAsia="宋体" w:cs="宋体"/>
          <w:bCs/>
          <w:color w:val="FF0000"/>
          <w:sz w:val="22"/>
          <w:szCs w:val="22"/>
          <w:highlight w:val="none"/>
          <w:u w:val="single"/>
          <w:lang w:val="en-US" w:eastAsia="zh-CN"/>
        </w:rPr>
        <w:fldChar w:fldCharType="separate"/>
      </w:r>
      <w:r>
        <w:rPr>
          <w:rFonts w:hint="eastAsia" w:ascii="宋体" w:hAnsi="宋体" w:eastAsia="宋体" w:cs="宋体"/>
          <w:bCs/>
          <w:color w:val="FF0000"/>
          <w:sz w:val="22"/>
          <w:szCs w:val="22"/>
          <w:highlight w:val="none"/>
          <w:u w:val="single"/>
          <w:lang w:val="en-US" w:eastAsia="zh-CN"/>
        </w:rPr>
        <w:t>     </w:t>
      </w:r>
      <w:r>
        <w:rPr>
          <w:rFonts w:hint="eastAsia" w:ascii="宋体" w:hAnsi="宋体" w:eastAsia="宋体" w:cs="宋体"/>
          <w:bCs/>
          <w:color w:val="FF0000"/>
          <w:sz w:val="22"/>
          <w:szCs w:val="22"/>
          <w:highlight w:val="none"/>
          <w:u w:val="single"/>
          <w:lang w:val="en-US" w:eastAsia="zh-CN"/>
        </w:rPr>
        <w:fldChar w:fldCharType="end"/>
      </w:r>
      <w:r>
        <w:rPr>
          <w:rFonts w:hint="eastAsia" w:ascii="宋体" w:hAnsi="宋体" w:eastAsia="宋体" w:cs="宋体"/>
          <w:bCs/>
          <w:color w:val="FF0000"/>
          <w:sz w:val="22"/>
          <w:szCs w:val="22"/>
          <w:highlight w:val="none"/>
          <w:lang w:val="en-US" w:eastAsia="zh-CN"/>
        </w:rPr>
        <w:t>元整）支付至乙方指定账户。</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lang w:val="en-US" w:eastAsia="zh-CN"/>
        </w:rPr>
      </w:pPr>
      <w:r>
        <w:rPr>
          <w:rFonts w:hint="eastAsia" w:ascii="宋体" w:hAnsi="宋体" w:eastAsia="宋体" w:cs="宋体"/>
          <w:bCs/>
          <w:color w:val="FF0000"/>
          <w:sz w:val="22"/>
          <w:szCs w:val="22"/>
          <w:highlight w:val="none"/>
          <w:lang w:val="en-US" w:eastAsia="zh-CN"/>
        </w:rPr>
        <w:t>4.5.2 在质保期满且货物（设备）不存在质量问题或存在质量问题乙方已及时解决的，甲乙双方委派指定工作人员将共管账户中剩余款项支付至乙方指定账户。</w:t>
      </w:r>
    </w:p>
    <w:p>
      <w:pPr>
        <w:keepNext w:val="0"/>
        <w:keepLines w:val="0"/>
        <w:pageBreakBefore w:val="0"/>
        <w:kinsoku/>
        <w:wordWrap/>
        <w:overflowPunct/>
        <w:topLinePunct w:val="0"/>
        <w:autoSpaceDE/>
        <w:autoSpaceDN/>
        <w:bidi w:val="0"/>
        <w:adjustRightInd/>
        <w:spacing w:line="320" w:lineRule="exact"/>
        <w:ind w:right="-2" w:firstLine="440" w:firstLineChars="200"/>
        <w:textAlignment w:val="auto"/>
        <w:rPr>
          <w:rFonts w:hint="eastAsia" w:ascii="宋体" w:hAnsi="宋体" w:eastAsia="宋体" w:cs="宋体"/>
          <w:bCs/>
          <w:color w:val="FF0000"/>
          <w:sz w:val="22"/>
          <w:szCs w:val="22"/>
          <w:highlight w:val="none"/>
          <w:lang w:val="en-US" w:eastAsia="zh-CN"/>
        </w:rPr>
      </w:pPr>
      <w:r>
        <w:rPr>
          <w:rFonts w:hint="eastAsia" w:ascii="宋体" w:hAnsi="宋体" w:eastAsia="宋体" w:cs="宋体"/>
          <w:bCs/>
          <w:color w:val="FF0000"/>
          <w:sz w:val="22"/>
          <w:szCs w:val="22"/>
          <w:highlight w:val="none"/>
          <w:lang w:val="en-US" w:eastAsia="zh-CN"/>
        </w:rPr>
        <w:t>4.5.3 共管账户支付凭证相关的原始单据交由甲方妥善保管，进行归档整理。</w:t>
      </w:r>
    </w:p>
    <w:p>
      <w:pPr>
        <w:keepNext w:val="0"/>
        <w:keepLines w:val="0"/>
        <w:pageBreakBefore w:val="0"/>
        <w:kinsoku/>
        <w:wordWrap/>
        <w:overflowPunct/>
        <w:topLinePunct w:val="0"/>
        <w:autoSpaceDE/>
        <w:autoSpaceDN/>
        <w:bidi w:val="0"/>
        <w:adjustRightInd/>
        <w:spacing w:line="320" w:lineRule="exact"/>
        <w:ind w:firstLine="442" w:firstLineChars="200"/>
        <w:jc w:val="left"/>
        <w:textAlignment w:val="auto"/>
        <w:rPr>
          <w:rFonts w:hint="eastAsia" w:ascii="宋体" w:hAnsi="宋体" w:eastAsia="宋体" w:cs="宋体"/>
          <w:b/>
          <w:color w:val="FF0000"/>
          <w:sz w:val="22"/>
          <w:szCs w:val="22"/>
          <w:highlight w:val="none"/>
        </w:rPr>
      </w:pPr>
      <w:r>
        <w:rPr>
          <w:rFonts w:hint="eastAsia" w:ascii="宋体" w:hAnsi="宋体" w:eastAsia="宋体" w:cs="宋体"/>
          <w:b/>
          <w:color w:val="FF0000"/>
          <w:sz w:val="22"/>
          <w:szCs w:val="22"/>
          <w:highlight w:val="none"/>
        </w:rPr>
        <w:t>第五条 质量保修期</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5.1 保修期限：乙方承诺本合同项下货物（设备）的免费质量保修期为</w:t>
      </w:r>
      <w:r>
        <w:rPr>
          <w:rFonts w:hint="eastAsia" w:ascii="宋体" w:hAnsi="宋体" w:eastAsia="宋体" w:cs="宋体"/>
          <w:bCs/>
          <w:color w:val="FF0000"/>
          <w:sz w:val="22"/>
          <w:szCs w:val="22"/>
          <w:highlight w:val="none"/>
          <w:u w:val="single"/>
        </w:rPr>
        <w:fldChar w:fldCharType="begin">
          <w:ffData>
            <w:name w:val="文字15"/>
            <w:enabled/>
            <w:calcOnExit w:val="0"/>
            <w:textInput/>
          </w:ffData>
        </w:fldChar>
      </w:r>
      <w:r>
        <w:rPr>
          <w:rFonts w:hint="eastAsia" w:ascii="宋体" w:hAnsi="宋体" w:eastAsia="宋体" w:cs="宋体"/>
          <w:bCs/>
          <w:color w:val="FF0000"/>
          <w:sz w:val="22"/>
          <w:szCs w:val="22"/>
          <w:highlight w:val="none"/>
          <w:u w:val="single"/>
        </w:rPr>
        <w:instrText xml:space="preserve"> FORMTEXT </w:instrText>
      </w:r>
      <w:r>
        <w:rPr>
          <w:rFonts w:hint="eastAsia" w:ascii="宋体" w:hAnsi="宋体" w:eastAsia="宋体" w:cs="宋体"/>
          <w:bCs/>
          <w:color w:val="FF0000"/>
          <w:sz w:val="22"/>
          <w:szCs w:val="22"/>
          <w:highlight w:val="none"/>
          <w:u w:val="single"/>
        </w:rPr>
        <w:fldChar w:fldCharType="separate"/>
      </w:r>
      <w:r>
        <w:rPr>
          <w:rFonts w:hint="eastAsia" w:ascii="宋体" w:hAnsi="宋体" w:eastAsia="宋体" w:cs="宋体"/>
          <w:bCs/>
          <w:color w:val="FF0000"/>
          <w:sz w:val="22"/>
          <w:szCs w:val="22"/>
          <w:highlight w:val="none"/>
          <w:u w:val="single"/>
        </w:rPr>
        <w:t>     </w:t>
      </w:r>
      <w:r>
        <w:rPr>
          <w:rFonts w:hint="eastAsia" w:ascii="宋体" w:hAnsi="宋体" w:eastAsia="宋体" w:cs="宋体"/>
          <w:bCs/>
          <w:color w:val="FF0000"/>
          <w:sz w:val="22"/>
          <w:szCs w:val="22"/>
          <w:highlight w:val="none"/>
          <w:u w:val="single"/>
        </w:rPr>
        <w:fldChar w:fldCharType="end"/>
      </w:r>
      <w:r>
        <w:rPr>
          <w:rFonts w:hint="eastAsia" w:ascii="宋体" w:hAnsi="宋体" w:eastAsia="宋体" w:cs="宋体"/>
          <w:color w:val="FF0000"/>
          <w:sz w:val="22"/>
          <w:szCs w:val="22"/>
          <w:highlight w:val="none"/>
        </w:rPr>
        <w:t>年，自货物（设备）安装调试完成并经甲方验收合格之日起算。在保修期内，如货物（设备）非因甲方原因而出现的质量问题由乙方负责保修、包换或包退，并承担修理、调换或退货的实际费用。乙方不能修复、调换或不能退货的，应退回相应货款，并承担相应的违约责任。</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lang w:val="en-US" w:eastAsia="zh-CN"/>
        </w:rPr>
      </w:pPr>
      <w:r>
        <w:rPr>
          <w:rFonts w:hint="eastAsia" w:ascii="宋体" w:hAnsi="宋体" w:eastAsia="宋体" w:cs="宋体"/>
          <w:color w:val="FF0000"/>
          <w:sz w:val="22"/>
          <w:szCs w:val="22"/>
          <w:highlight w:val="none"/>
          <w:lang w:val="en-US" w:eastAsia="zh-CN"/>
        </w:rPr>
        <w:t>5.2 货物（设备）经过维修后，自维修合格送还甲方之日起，保修期重新开始计算。</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5.</w:t>
      </w:r>
      <w:r>
        <w:rPr>
          <w:rFonts w:hint="eastAsia" w:ascii="宋体" w:hAnsi="宋体" w:eastAsia="宋体" w:cs="宋体"/>
          <w:color w:val="FF0000"/>
          <w:sz w:val="22"/>
          <w:szCs w:val="22"/>
          <w:highlight w:val="none"/>
          <w:lang w:val="en-US" w:eastAsia="zh-CN"/>
        </w:rPr>
        <w:t>3</w:t>
      </w:r>
      <w:r>
        <w:rPr>
          <w:rFonts w:hint="eastAsia" w:ascii="宋体" w:hAnsi="宋体" w:eastAsia="宋体" w:cs="宋体"/>
          <w:color w:val="FF0000"/>
          <w:sz w:val="22"/>
          <w:szCs w:val="22"/>
          <w:highlight w:val="none"/>
        </w:rPr>
        <w:t xml:space="preserve"> 免费保修期届满后，如甲方需要乙方继续提供维护服务，由甲乙双方另行协商。</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5.</w:t>
      </w:r>
      <w:r>
        <w:rPr>
          <w:rFonts w:hint="eastAsia" w:ascii="宋体" w:hAnsi="宋体" w:eastAsia="宋体" w:cs="宋体"/>
          <w:color w:val="FF0000"/>
          <w:sz w:val="22"/>
          <w:szCs w:val="22"/>
          <w:highlight w:val="none"/>
          <w:lang w:val="en-US" w:eastAsia="zh-CN"/>
        </w:rPr>
        <w:t>4</w:t>
      </w:r>
      <w:r>
        <w:rPr>
          <w:rFonts w:hint="eastAsia" w:ascii="宋体" w:hAnsi="宋体" w:eastAsia="宋体" w:cs="宋体"/>
          <w:color w:val="FF0000"/>
          <w:sz w:val="22"/>
          <w:szCs w:val="22"/>
          <w:highlight w:val="none"/>
        </w:rPr>
        <w:t xml:space="preserve"> 乙方未按本款约定提供质保义务的，甲方有权自行委托第三方代为履行，由此产生的费用及甲方损失等均由乙方承担，</w:t>
      </w:r>
      <w:r>
        <w:rPr>
          <w:rFonts w:hint="eastAsia" w:ascii="宋体" w:hAnsi="宋体" w:eastAsia="宋体" w:cs="宋体"/>
          <w:color w:val="FF0000"/>
          <w:sz w:val="22"/>
          <w:szCs w:val="22"/>
          <w:highlight w:val="none"/>
          <w:lang w:val="en-US" w:eastAsia="zh-CN"/>
        </w:rPr>
        <w:t>并有权向乙方追偿，同时不予配合乙方从共管账户中支取剩余款项</w:t>
      </w:r>
      <w:r>
        <w:rPr>
          <w:rFonts w:hint="eastAsia" w:ascii="宋体" w:hAnsi="宋体" w:eastAsia="宋体" w:cs="宋体"/>
          <w:color w:val="FF0000"/>
          <w:sz w:val="22"/>
          <w:szCs w:val="22"/>
          <w:highlight w:val="none"/>
        </w:rPr>
        <w:t>。</w:t>
      </w:r>
    </w:p>
    <w:p>
      <w:pPr>
        <w:keepNext w:val="0"/>
        <w:keepLines w:val="0"/>
        <w:pageBreakBefore w:val="0"/>
        <w:kinsoku/>
        <w:wordWrap/>
        <w:overflowPunct/>
        <w:topLinePunct w:val="0"/>
        <w:autoSpaceDE/>
        <w:autoSpaceDN/>
        <w:bidi w:val="0"/>
        <w:adjustRightInd/>
        <w:spacing w:line="320" w:lineRule="exact"/>
        <w:ind w:firstLine="442" w:firstLineChars="200"/>
        <w:jc w:val="left"/>
        <w:textAlignment w:val="auto"/>
        <w:rPr>
          <w:rFonts w:hint="eastAsia" w:ascii="宋体" w:hAnsi="宋体" w:eastAsia="宋体" w:cs="宋体"/>
          <w:b/>
          <w:color w:val="FF0000"/>
          <w:sz w:val="22"/>
          <w:szCs w:val="22"/>
          <w:highlight w:val="none"/>
        </w:rPr>
      </w:pPr>
      <w:r>
        <w:rPr>
          <w:rFonts w:hint="eastAsia" w:ascii="宋体" w:hAnsi="宋体" w:eastAsia="宋体" w:cs="宋体"/>
          <w:b/>
          <w:color w:val="FF0000"/>
          <w:sz w:val="22"/>
          <w:szCs w:val="22"/>
          <w:highlight w:val="none"/>
        </w:rPr>
        <w:t>第六条 甲方的权利和义务</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6.1 甲方承诺具有签署与履行本合同的合法权利、资质与能力。</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6.2 甲方应按本合同约定支付款项。</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6.3 甲方有权对乙方履行合同的行为进行监督管理，甲方提出整改意见的，乙方应予以配合并按甲方要求履行。</w:t>
      </w:r>
    </w:p>
    <w:p>
      <w:pPr>
        <w:keepNext w:val="0"/>
        <w:keepLines w:val="0"/>
        <w:pageBreakBefore w:val="0"/>
        <w:kinsoku/>
        <w:wordWrap/>
        <w:overflowPunct/>
        <w:topLinePunct w:val="0"/>
        <w:autoSpaceDE/>
        <w:autoSpaceDN/>
        <w:bidi w:val="0"/>
        <w:adjustRightInd/>
        <w:spacing w:line="320" w:lineRule="exact"/>
        <w:ind w:firstLine="442" w:firstLineChars="200"/>
        <w:jc w:val="left"/>
        <w:textAlignment w:val="auto"/>
        <w:rPr>
          <w:rFonts w:hint="eastAsia" w:ascii="宋体" w:hAnsi="宋体" w:eastAsia="宋体" w:cs="宋体"/>
          <w:b/>
          <w:color w:val="FF0000"/>
          <w:sz w:val="22"/>
          <w:szCs w:val="22"/>
          <w:highlight w:val="none"/>
        </w:rPr>
      </w:pPr>
      <w:r>
        <w:rPr>
          <w:rFonts w:hint="eastAsia" w:ascii="宋体" w:hAnsi="宋体" w:eastAsia="宋体" w:cs="宋体"/>
          <w:b/>
          <w:color w:val="FF0000"/>
          <w:sz w:val="22"/>
          <w:szCs w:val="22"/>
          <w:highlight w:val="none"/>
        </w:rPr>
        <w:t>第七条 乙方的权利和义务</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7.1 乙方承诺具有签署与履行本合同的合法权利、资质与能力。</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7.2 乙方保证其对交付的货物拥有完全、合法的所有权与处置权，保证甲方免受任何第三方主张任何权利。</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7.3 乙方保证其交付的货物无任何质量缺陷或瑕疵，无任何著作权、商标权或其他知识产权方面的权利限制或瑕疵，不会侵犯任何专利、商标、企业或贸易名称、版权、肖像权、技术秘密、商业秘密或其他任何权益。</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7.4 乙方保证其交付的货物符合现行适用的相关法律法规和规定以及相应的国家标准、行业标准、地方标准或在政府部门备案的企业标准。</w:t>
      </w:r>
    </w:p>
    <w:p>
      <w:pPr>
        <w:keepNext w:val="0"/>
        <w:keepLines w:val="0"/>
        <w:pageBreakBefore w:val="0"/>
        <w:kinsoku/>
        <w:wordWrap/>
        <w:overflowPunct/>
        <w:topLinePunct w:val="0"/>
        <w:autoSpaceDE/>
        <w:autoSpaceDN/>
        <w:bidi w:val="0"/>
        <w:adjustRightInd/>
        <w:spacing w:line="320" w:lineRule="exact"/>
        <w:ind w:firstLine="442" w:firstLineChars="200"/>
        <w:jc w:val="left"/>
        <w:textAlignment w:val="auto"/>
        <w:rPr>
          <w:rFonts w:hint="eastAsia" w:ascii="宋体" w:hAnsi="宋体" w:eastAsia="宋体" w:cs="宋体"/>
          <w:b/>
          <w:color w:val="FF0000"/>
          <w:sz w:val="22"/>
          <w:szCs w:val="22"/>
          <w:highlight w:val="none"/>
        </w:rPr>
      </w:pPr>
      <w:r>
        <w:rPr>
          <w:rFonts w:hint="eastAsia" w:ascii="宋体" w:hAnsi="宋体" w:eastAsia="宋体" w:cs="宋体"/>
          <w:b/>
          <w:color w:val="FF0000"/>
          <w:sz w:val="22"/>
          <w:szCs w:val="22"/>
          <w:highlight w:val="none"/>
        </w:rPr>
        <w:t xml:space="preserve">第八条 风险承担 </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8.1 货物（设备）毁损、灭失的风险，在安装调试完成并经甲方验收合格以前由乙方承担，在安装调试完成并经甲方验收合格以后由甲方承担。</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8.2 甲方因货物（设备）质量不符合约定的质量要求而拒绝接受货物（设备）或解除合同的，货物（设备）毁损、灭失的风险由乙方承担。</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8.3 货物（设备）毁损、灭失的风险由甲方承担的，不影响因乙方履行其他合同义务不符合约定时，甲方要求其承担违约责任的权利。</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8.4 由乙方承担货物（设备）毁损、灭失风险的，如货物（设备）毁损或灭失的，乙方应于</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7"/>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7</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color w:val="FF0000"/>
          <w:sz w:val="22"/>
          <w:szCs w:val="22"/>
          <w:highlight w:val="none"/>
        </w:rPr>
        <w:t>天内重新提供符合合同规定的货物（设备），否则视为乙方逾期交货。</w:t>
      </w:r>
    </w:p>
    <w:p>
      <w:pPr>
        <w:keepNext w:val="0"/>
        <w:keepLines w:val="0"/>
        <w:pageBreakBefore w:val="0"/>
        <w:kinsoku/>
        <w:wordWrap/>
        <w:overflowPunct/>
        <w:topLinePunct w:val="0"/>
        <w:autoSpaceDE/>
        <w:autoSpaceDN/>
        <w:bidi w:val="0"/>
        <w:adjustRightInd/>
        <w:spacing w:line="320" w:lineRule="exact"/>
        <w:ind w:firstLine="442" w:firstLineChars="200"/>
        <w:jc w:val="left"/>
        <w:textAlignment w:val="auto"/>
        <w:rPr>
          <w:rFonts w:hint="eastAsia" w:ascii="宋体" w:hAnsi="宋体" w:eastAsia="宋体" w:cs="宋体"/>
          <w:b/>
          <w:color w:val="FF0000"/>
          <w:sz w:val="22"/>
          <w:szCs w:val="22"/>
          <w:highlight w:val="none"/>
        </w:rPr>
      </w:pPr>
      <w:r>
        <w:rPr>
          <w:rFonts w:hint="eastAsia" w:ascii="宋体" w:hAnsi="宋体" w:eastAsia="宋体" w:cs="宋体"/>
          <w:b/>
          <w:color w:val="FF0000"/>
          <w:sz w:val="22"/>
          <w:szCs w:val="22"/>
          <w:highlight w:val="none"/>
        </w:rPr>
        <w:t>第九条 违约责任</w:t>
      </w:r>
    </w:p>
    <w:p>
      <w:pPr>
        <w:keepNext w:val="0"/>
        <w:keepLines w:val="0"/>
        <w:pageBreakBefore w:val="0"/>
        <w:kinsoku/>
        <w:wordWrap/>
        <w:overflowPunct/>
        <w:topLinePunct w:val="0"/>
        <w:autoSpaceDE/>
        <w:autoSpaceDN/>
        <w:bidi w:val="0"/>
        <w:adjustRightInd/>
        <w:spacing w:line="320" w:lineRule="exact"/>
        <w:ind w:firstLine="442" w:firstLineChars="200"/>
        <w:jc w:val="left"/>
        <w:textAlignment w:val="auto"/>
        <w:rPr>
          <w:rFonts w:hint="eastAsia" w:ascii="宋体" w:hAnsi="宋体" w:eastAsia="宋体" w:cs="宋体"/>
          <w:b/>
          <w:i w:val="0"/>
          <w:iCs w:val="0"/>
          <w:color w:val="FF0000"/>
          <w:sz w:val="22"/>
          <w:szCs w:val="22"/>
          <w:highlight w:val="none"/>
        </w:rPr>
      </w:pPr>
      <w:r>
        <w:rPr>
          <w:rFonts w:hint="eastAsia" w:ascii="宋体" w:hAnsi="宋体" w:eastAsia="宋体" w:cs="宋体"/>
          <w:b/>
          <w:bCs/>
          <w:i w:val="0"/>
          <w:iCs w:val="0"/>
          <w:color w:val="FF0000"/>
          <w:sz w:val="22"/>
          <w:szCs w:val="22"/>
          <w:highlight w:val="none"/>
          <w:lang w:val="en-US" w:eastAsia="zh-CN"/>
        </w:rPr>
        <w:t>鉴于在本合同产品采购招投标或磋商过程中，乙方已清楚了解，甲方采购本合同产品的资金来源为财政贴息贷款，贷款支付条件即甲方向乙方的付款条件为签订书面合同。同时，该贷款享受两年年息2.5个百分点的财政贴息，而办理财政贴息的条件为作为产品采购款的贷款在2022年12月25日前已支付且乙方已提供全额合法有效发票，在此基础上，双方约定违约条款如下：</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lang w:eastAsia="zh-CN"/>
        </w:rPr>
      </w:pPr>
      <w:r>
        <w:rPr>
          <w:rFonts w:hint="eastAsia" w:ascii="宋体" w:hAnsi="宋体" w:eastAsia="宋体" w:cs="宋体"/>
          <w:color w:val="FF0000"/>
          <w:sz w:val="22"/>
          <w:szCs w:val="22"/>
          <w:highlight w:val="none"/>
        </w:rPr>
        <w:t>9.1 甲方逾期付款的，每逾期一日应向乙方支付逾期付款金额</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1‰"/>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1‰</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color w:val="FF0000"/>
          <w:sz w:val="22"/>
          <w:szCs w:val="22"/>
          <w:highlight w:val="none"/>
        </w:rPr>
        <w:t>的违约金，</w:t>
      </w:r>
      <w:r>
        <w:rPr>
          <w:rFonts w:hint="eastAsia" w:ascii="宋体" w:hAnsi="宋体" w:eastAsia="宋体" w:cs="宋体"/>
          <w:color w:val="FF0000"/>
          <w:sz w:val="22"/>
          <w:szCs w:val="22"/>
          <w:highlight w:val="none"/>
          <w:lang w:eastAsia="zh-CN"/>
        </w:rPr>
        <w:t>累计不超过</w:t>
      </w:r>
      <w:r>
        <w:rPr>
          <w:rFonts w:hint="eastAsia" w:ascii="宋体" w:hAnsi="宋体" w:eastAsia="宋体" w:cs="宋体"/>
          <w:color w:val="FF0000"/>
          <w:sz w:val="22"/>
          <w:szCs w:val="22"/>
          <w:highlight w:val="none"/>
        </w:rPr>
        <w:t>逾期付款金额</w:t>
      </w:r>
      <w:r>
        <w:rPr>
          <w:rFonts w:hint="eastAsia" w:ascii="宋体" w:hAnsi="宋体" w:eastAsia="宋体" w:cs="宋体"/>
          <w:color w:val="FF0000"/>
          <w:sz w:val="22"/>
          <w:szCs w:val="22"/>
          <w:highlight w:val="none"/>
          <w:lang w:eastAsia="zh-CN"/>
        </w:rPr>
        <w:t>的</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10%"/>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10%</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color w:val="FF0000"/>
          <w:sz w:val="22"/>
          <w:szCs w:val="22"/>
          <w:highlight w:val="none"/>
          <w:lang w:val="en-US" w:eastAsia="zh-CN"/>
        </w:rPr>
        <w:t>。</w:t>
      </w:r>
      <w:r>
        <w:rPr>
          <w:rFonts w:hint="eastAsia" w:ascii="宋体" w:hAnsi="宋体" w:eastAsia="宋体" w:cs="宋体"/>
          <w:color w:val="FF0000"/>
          <w:sz w:val="22"/>
          <w:szCs w:val="22"/>
          <w:highlight w:val="none"/>
          <w:lang w:eastAsia="zh-CN"/>
        </w:rPr>
        <w:t>合同</w:t>
      </w:r>
      <w:r>
        <w:rPr>
          <w:rFonts w:hint="eastAsia" w:ascii="宋体" w:hAnsi="宋体" w:eastAsia="宋体" w:cs="宋体"/>
          <w:color w:val="FF0000"/>
          <w:sz w:val="22"/>
          <w:szCs w:val="22"/>
          <w:highlight w:val="none"/>
        </w:rPr>
        <w:t>逾期付款</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30"/>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30</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bCs/>
          <w:color w:val="FF0000"/>
          <w:kern w:val="2"/>
          <w:sz w:val="22"/>
          <w:szCs w:val="22"/>
          <w:highlight w:val="none"/>
          <w:u w:val="none"/>
          <w:lang w:val="en-US" w:eastAsia="zh-CN" w:bidi="ar-SA"/>
        </w:rPr>
        <w:t>日</w:t>
      </w:r>
      <w:r>
        <w:rPr>
          <w:rFonts w:hint="eastAsia" w:ascii="宋体" w:hAnsi="宋体" w:eastAsia="宋体" w:cs="宋体"/>
          <w:color w:val="FF0000"/>
          <w:sz w:val="22"/>
          <w:szCs w:val="22"/>
          <w:highlight w:val="none"/>
        </w:rPr>
        <w:t>以上的，乙方有权解除合同</w:t>
      </w:r>
      <w:r>
        <w:rPr>
          <w:rFonts w:hint="eastAsia" w:ascii="宋体" w:hAnsi="宋体" w:eastAsia="宋体" w:cs="宋体"/>
          <w:color w:val="FF0000"/>
          <w:sz w:val="22"/>
          <w:szCs w:val="22"/>
          <w:highlight w:val="none"/>
          <w:lang w:eastAsia="zh-CN"/>
        </w:rPr>
        <w:t>，</w:t>
      </w:r>
      <w:r>
        <w:rPr>
          <w:rFonts w:hint="eastAsia" w:ascii="宋体" w:hAnsi="宋体" w:eastAsia="宋体" w:cs="宋体"/>
          <w:color w:val="FF0000"/>
          <w:sz w:val="22"/>
          <w:szCs w:val="22"/>
          <w:highlight w:val="none"/>
        </w:rPr>
        <w:t>并由</w:t>
      </w:r>
      <w:r>
        <w:rPr>
          <w:rFonts w:hint="eastAsia" w:ascii="宋体" w:hAnsi="宋体" w:eastAsia="宋体" w:cs="宋体"/>
          <w:color w:val="FF0000"/>
          <w:sz w:val="22"/>
          <w:szCs w:val="22"/>
          <w:highlight w:val="none"/>
          <w:lang w:eastAsia="zh-CN"/>
        </w:rPr>
        <w:t>甲</w:t>
      </w:r>
      <w:r>
        <w:rPr>
          <w:rFonts w:hint="eastAsia" w:ascii="宋体" w:hAnsi="宋体" w:eastAsia="宋体" w:cs="宋体"/>
          <w:color w:val="FF0000"/>
          <w:sz w:val="22"/>
          <w:szCs w:val="22"/>
          <w:highlight w:val="none"/>
        </w:rPr>
        <w:t>方向</w:t>
      </w:r>
      <w:r>
        <w:rPr>
          <w:rFonts w:hint="eastAsia" w:ascii="宋体" w:hAnsi="宋体" w:eastAsia="宋体" w:cs="宋体"/>
          <w:color w:val="FF0000"/>
          <w:sz w:val="22"/>
          <w:szCs w:val="22"/>
          <w:highlight w:val="none"/>
          <w:lang w:eastAsia="zh-CN"/>
        </w:rPr>
        <w:t>乙</w:t>
      </w:r>
      <w:r>
        <w:rPr>
          <w:rFonts w:hint="eastAsia" w:ascii="宋体" w:hAnsi="宋体" w:eastAsia="宋体" w:cs="宋体"/>
          <w:color w:val="FF0000"/>
          <w:sz w:val="22"/>
          <w:szCs w:val="22"/>
          <w:highlight w:val="none"/>
        </w:rPr>
        <w:t>方支付</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合同额10%"/>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合同额10%</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color w:val="FF0000"/>
          <w:sz w:val="22"/>
          <w:szCs w:val="22"/>
          <w:highlight w:val="none"/>
        </w:rPr>
        <w:t>违约金。</w:t>
      </w:r>
      <w:r>
        <w:rPr>
          <w:rFonts w:hint="eastAsia" w:ascii="宋体" w:hAnsi="宋体" w:eastAsia="宋体" w:cs="宋体"/>
          <w:color w:val="FF0000"/>
          <w:sz w:val="22"/>
          <w:szCs w:val="22"/>
          <w:highlight w:val="none"/>
          <w:lang w:eastAsia="zh-CN"/>
        </w:rPr>
        <w:t>但因甲方处于寒暑假期间导致工作迟缓的，甲方不承担逾期付款的违约责任。</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9.2 乙方逾期交货的，须向甲方支付逾期交货的违约金，每逾期一天，应向甲方支付逾期交付货物（设备）对应合同价款的</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千分之三"/>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千分之三</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color w:val="FF0000"/>
          <w:sz w:val="22"/>
          <w:szCs w:val="22"/>
          <w:highlight w:val="none"/>
        </w:rPr>
        <w:t>的违约金，乙方逾期交付</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30"/>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30</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bCs/>
          <w:color w:val="FF0000"/>
          <w:kern w:val="2"/>
          <w:sz w:val="22"/>
          <w:szCs w:val="22"/>
          <w:highlight w:val="none"/>
          <w:u w:val="none"/>
          <w:lang w:val="en-US" w:eastAsia="zh-CN" w:bidi="ar-SA"/>
        </w:rPr>
        <w:t>日</w:t>
      </w:r>
      <w:r>
        <w:rPr>
          <w:rFonts w:hint="eastAsia" w:ascii="宋体" w:hAnsi="宋体" w:eastAsia="宋体" w:cs="宋体"/>
          <w:color w:val="FF0000"/>
          <w:sz w:val="22"/>
          <w:szCs w:val="22"/>
          <w:highlight w:val="none"/>
        </w:rPr>
        <w:t>以上的，甲方有权解除合同，并由乙方向甲方支付</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合同额10%"/>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合同额10%</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color w:val="FF0000"/>
          <w:sz w:val="22"/>
          <w:szCs w:val="22"/>
          <w:highlight w:val="none"/>
        </w:rPr>
        <w:t>违约金。</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9.3 若乙方提供的本协议项下货物（设备）不符合</w:t>
      </w:r>
      <w:r>
        <w:rPr>
          <w:rFonts w:hint="eastAsia" w:ascii="宋体" w:hAnsi="宋体" w:eastAsia="宋体" w:cs="宋体"/>
          <w:color w:val="FF0000"/>
          <w:sz w:val="22"/>
          <w:szCs w:val="22"/>
          <w:highlight w:val="none"/>
          <w:lang w:eastAsia="zh-CN"/>
        </w:rPr>
        <w:t>合同</w:t>
      </w:r>
      <w:r>
        <w:rPr>
          <w:rFonts w:hint="eastAsia" w:ascii="宋体" w:hAnsi="宋体" w:eastAsia="宋体" w:cs="宋体"/>
          <w:color w:val="FF0000"/>
          <w:sz w:val="22"/>
          <w:szCs w:val="22"/>
          <w:highlight w:val="none"/>
        </w:rPr>
        <w:t>约定且未能通过甲方验收，甲方有权选择以下方式之一处理：</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9.3.1要求乙方采取包括但不限于维修、补偿等措施给予补救，补救不能或者经补救仍不能使甲方满意的，甲方有权要求按照下述第9.3.2</w:t>
      </w:r>
      <w:r>
        <w:rPr>
          <w:rFonts w:hint="eastAsia" w:ascii="宋体" w:hAnsi="宋体" w:eastAsia="宋体" w:cs="宋体"/>
          <w:color w:val="FF0000"/>
          <w:sz w:val="22"/>
          <w:szCs w:val="22"/>
          <w:highlight w:val="none"/>
          <w:lang w:eastAsia="zh-CN"/>
        </w:rPr>
        <w:t>或</w:t>
      </w:r>
      <w:r>
        <w:rPr>
          <w:rFonts w:hint="eastAsia" w:ascii="宋体" w:hAnsi="宋体" w:eastAsia="宋体" w:cs="宋体"/>
          <w:color w:val="FF0000"/>
          <w:sz w:val="22"/>
          <w:szCs w:val="22"/>
          <w:highlight w:val="none"/>
        </w:rPr>
        <w:t>9.3.3项处理。</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lang w:eastAsia="zh-CN"/>
        </w:rPr>
      </w:pPr>
      <w:r>
        <w:rPr>
          <w:rFonts w:hint="eastAsia" w:ascii="宋体" w:hAnsi="宋体" w:eastAsia="宋体" w:cs="宋体"/>
          <w:color w:val="FF0000"/>
          <w:sz w:val="22"/>
          <w:szCs w:val="22"/>
          <w:highlight w:val="none"/>
        </w:rPr>
        <w:t>9.3.2 拒绝接受货物（设备），解除本合同并要求乙方退款，此外乙方应向甲方支付</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合同额20%"/>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合同额20%</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color w:val="FF0000"/>
          <w:sz w:val="22"/>
          <w:szCs w:val="22"/>
          <w:highlight w:val="none"/>
        </w:rPr>
        <w:t>违约金</w:t>
      </w:r>
      <w:r>
        <w:rPr>
          <w:rFonts w:hint="eastAsia" w:ascii="宋体" w:hAnsi="宋体" w:eastAsia="宋体" w:cs="宋体"/>
          <w:color w:val="FF0000"/>
          <w:sz w:val="22"/>
          <w:szCs w:val="22"/>
          <w:highlight w:val="none"/>
          <w:lang w:eastAsia="zh-CN"/>
        </w:rPr>
        <w:t>；</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9.3.3 要求乙方给予更换，乙方应在收到甲方换货通知后</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7"/>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7</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color w:val="FF0000"/>
          <w:sz w:val="22"/>
          <w:szCs w:val="22"/>
          <w:highlight w:val="none"/>
          <w:u w:val="none"/>
        </w:rPr>
        <w:t>日</w:t>
      </w:r>
      <w:r>
        <w:rPr>
          <w:rFonts w:hint="eastAsia" w:ascii="宋体" w:hAnsi="宋体" w:eastAsia="宋体" w:cs="宋体"/>
          <w:color w:val="FF0000"/>
          <w:sz w:val="22"/>
          <w:szCs w:val="22"/>
          <w:highlight w:val="none"/>
        </w:rPr>
        <w:t>内提供符合</w:t>
      </w:r>
      <w:r>
        <w:rPr>
          <w:rFonts w:hint="eastAsia" w:ascii="宋体" w:hAnsi="宋体" w:eastAsia="宋体" w:cs="宋体"/>
          <w:color w:val="FF0000"/>
          <w:sz w:val="22"/>
          <w:szCs w:val="22"/>
          <w:highlight w:val="none"/>
          <w:lang w:eastAsia="zh-CN"/>
        </w:rPr>
        <w:t>合同</w:t>
      </w:r>
      <w:r>
        <w:rPr>
          <w:rFonts w:hint="eastAsia" w:ascii="宋体" w:hAnsi="宋体" w:eastAsia="宋体" w:cs="宋体"/>
          <w:color w:val="FF0000"/>
          <w:sz w:val="22"/>
          <w:szCs w:val="22"/>
          <w:highlight w:val="none"/>
        </w:rPr>
        <w:t>约定的货物（设备），并自合同约定的交付日期</w:t>
      </w:r>
      <w:r>
        <w:rPr>
          <w:rFonts w:hint="eastAsia" w:ascii="宋体" w:hAnsi="宋体" w:eastAsia="宋体" w:cs="宋体"/>
          <w:color w:val="FF0000"/>
          <w:sz w:val="22"/>
          <w:szCs w:val="22"/>
          <w:highlight w:val="none"/>
          <w:lang w:val="en-US" w:eastAsia="zh-CN"/>
        </w:rPr>
        <w:t>起由乙方按照本合同第9.2款约定承担逾期交货违约责任</w:t>
      </w:r>
      <w:r>
        <w:rPr>
          <w:rFonts w:hint="eastAsia" w:ascii="宋体" w:hAnsi="宋体" w:eastAsia="宋体" w:cs="宋体"/>
          <w:color w:val="FF0000"/>
          <w:sz w:val="22"/>
          <w:szCs w:val="22"/>
          <w:highlight w:val="none"/>
        </w:rPr>
        <w:t>。</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9.4 有以下情形之一的，甲方有权解除合同，乙方需退还甲方已支付的所有款项，并按合同总金额的</w:t>
      </w:r>
      <w:r>
        <w:rPr>
          <w:rFonts w:hint="eastAsia" w:ascii="宋体" w:hAnsi="宋体" w:eastAsia="宋体" w:cs="宋体"/>
          <w:bCs/>
          <w:color w:val="FF0000"/>
          <w:sz w:val="22"/>
          <w:szCs w:val="22"/>
          <w:highlight w:val="none"/>
          <w:u w:val="single"/>
          <w:lang w:val="en-US" w:eastAsia="zh-CN"/>
        </w:rPr>
        <w:t>20</w:t>
      </w:r>
      <w:r>
        <w:rPr>
          <w:rFonts w:hint="eastAsia" w:ascii="宋体" w:hAnsi="宋体" w:eastAsia="宋体" w:cs="宋体"/>
          <w:i w:val="0"/>
          <w:iCs w:val="0"/>
          <w:color w:val="FF0000"/>
          <w:sz w:val="22"/>
          <w:szCs w:val="22"/>
          <w:highlight w:val="none"/>
          <w:u w:val="single"/>
        </w:rPr>
        <w:t>%</w:t>
      </w:r>
      <w:r>
        <w:rPr>
          <w:rFonts w:hint="eastAsia" w:ascii="宋体" w:hAnsi="宋体" w:eastAsia="宋体" w:cs="宋体"/>
          <w:i w:val="0"/>
          <w:iCs w:val="0"/>
          <w:color w:val="FF0000"/>
          <w:sz w:val="22"/>
          <w:szCs w:val="22"/>
          <w:highlight w:val="none"/>
          <w:u w:val="none"/>
        </w:rPr>
        <w:t>向</w:t>
      </w:r>
      <w:r>
        <w:rPr>
          <w:rFonts w:hint="eastAsia" w:ascii="宋体" w:hAnsi="宋体" w:eastAsia="宋体" w:cs="宋体"/>
          <w:color w:val="FF0000"/>
          <w:sz w:val="22"/>
          <w:szCs w:val="22"/>
          <w:highlight w:val="none"/>
        </w:rPr>
        <w:t>甲方支付违约金，违约金不足以弥补甲方损失的，乙方应另行赔偿，具体情形如下：</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9.4.1 乙方交付货物存在侵犯他人知识产权、肖像权、技术秘密、商业秘密或其他任何权益的；</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9.4.2 乙方履行义务不符合约定，经甲方提出后在合理期限内仍未改正的；</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9.4.3 未经甲方书面同意，乙方将本合同项下的权利或义务转让，或将本合同项下服务转包或分包的；</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 xml:space="preserve">9.4.4 </w:t>
      </w:r>
      <w:r>
        <w:rPr>
          <w:rFonts w:hint="eastAsia" w:ascii="宋体" w:hAnsi="宋体" w:eastAsia="宋体" w:cs="宋体"/>
          <w:color w:val="FF0000"/>
          <w:sz w:val="22"/>
          <w:szCs w:val="22"/>
          <w:highlight w:val="none"/>
          <w:lang w:val="en-US" w:eastAsia="zh-CN"/>
        </w:rPr>
        <w:t>乙方逾期开立共管账户十日以上的；</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lang w:val="en-US" w:eastAsia="zh-CN"/>
        </w:rPr>
        <w:t xml:space="preserve">9.4.5 </w:t>
      </w:r>
      <w:r>
        <w:rPr>
          <w:rFonts w:hint="eastAsia" w:ascii="宋体" w:hAnsi="宋体" w:eastAsia="宋体" w:cs="宋体"/>
          <w:color w:val="FF0000"/>
          <w:sz w:val="22"/>
          <w:szCs w:val="22"/>
          <w:highlight w:val="none"/>
        </w:rPr>
        <w:t>法律规定的其他合同解除情形。</w:t>
      </w:r>
    </w:p>
    <w:p>
      <w:pPr>
        <w:keepNext w:val="0"/>
        <w:keepLines w:val="0"/>
        <w:pageBreakBefore w:val="0"/>
        <w:kinsoku/>
        <w:wordWrap/>
        <w:overflowPunct/>
        <w:topLinePunct w:val="0"/>
        <w:autoSpaceDE/>
        <w:autoSpaceDN/>
        <w:bidi w:val="0"/>
        <w:adjustRightInd/>
        <w:spacing w:line="320" w:lineRule="exact"/>
        <w:ind w:firstLine="442" w:firstLineChars="200"/>
        <w:jc w:val="left"/>
        <w:textAlignment w:val="auto"/>
        <w:rPr>
          <w:rFonts w:hint="eastAsia" w:ascii="宋体" w:hAnsi="宋体" w:eastAsia="宋体" w:cs="宋体"/>
          <w:b/>
          <w:bCs/>
          <w:color w:val="FF0000"/>
          <w:sz w:val="22"/>
          <w:szCs w:val="22"/>
          <w:highlight w:val="none"/>
          <w:lang w:val="en-US" w:eastAsia="zh-CN"/>
        </w:rPr>
      </w:pPr>
      <w:r>
        <w:rPr>
          <w:rFonts w:hint="eastAsia" w:ascii="宋体" w:hAnsi="宋体" w:eastAsia="宋体" w:cs="宋体"/>
          <w:b/>
          <w:bCs/>
          <w:color w:val="FF0000"/>
          <w:sz w:val="22"/>
          <w:szCs w:val="22"/>
          <w:highlight w:val="none"/>
          <w:lang w:val="en-US" w:eastAsia="zh-CN"/>
        </w:rPr>
        <w:t>9.5 如乙方未按期向甲方提供发票导致甲方未享受财政贴息的，乙方应向赔偿甲方本合同采购款为基数的两年财政贴息损失。如因乙方未按约定提供发票导致贷款行收回贷款的，甲方有权解除合同，乙方应返还甲方已支付的合同款，并向甲方支付合同金额20%的违约金。</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lang w:val="en-US" w:eastAsia="zh-CN"/>
        </w:rPr>
      </w:pPr>
      <w:r>
        <w:rPr>
          <w:rFonts w:hint="eastAsia" w:ascii="宋体" w:hAnsi="宋体" w:eastAsia="宋体" w:cs="宋体"/>
          <w:color w:val="FF0000"/>
          <w:sz w:val="22"/>
          <w:szCs w:val="22"/>
          <w:highlight w:val="none"/>
          <w:lang w:val="en-US" w:eastAsia="zh-CN"/>
        </w:rPr>
        <w:t>9.6 如乙方未按约定履行合同义务需向甲方支付违约金或赔偿甲方损失的，甲方有权要求乙方承担相应违约责任，并有权不予配合乙方从共管账户中支取相应款项。</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lang w:val="en-US" w:eastAsia="zh-CN"/>
        </w:rPr>
      </w:pPr>
      <w:r>
        <w:rPr>
          <w:rFonts w:hint="eastAsia" w:ascii="宋体" w:hAnsi="宋体" w:eastAsia="宋体" w:cs="宋体"/>
          <w:color w:val="FF0000"/>
          <w:sz w:val="22"/>
          <w:szCs w:val="22"/>
          <w:highlight w:val="none"/>
          <w:lang w:val="en-US" w:eastAsia="zh-CN"/>
        </w:rPr>
        <w:t>9.7 如共管账户被冻结的，乙方应按照甲方要求提供与被冻结金额等额的担保，乙方未按甲方要求提供担保的，甲方有权解除合同，并由乙方向甲方支付合同金额20%的违约金。</w:t>
      </w:r>
    </w:p>
    <w:p>
      <w:pPr>
        <w:keepNext w:val="0"/>
        <w:keepLines w:val="0"/>
        <w:pageBreakBefore w:val="0"/>
        <w:kinsoku/>
        <w:wordWrap/>
        <w:overflowPunct/>
        <w:topLinePunct w:val="0"/>
        <w:autoSpaceDE/>
        <w:autoSpaceDN/>
        <w:bidi w:val="0"/>
        <w:adjustRightInd/>
        <w:spacing w:line="320" w:lineRule="exact"/>
        <w:ind w:firstLine="442" w:firstLineChars="200"/>
        <w:jc w:val="left"/>
        <w:textAlignment w:val="auto"/>
        <w:rPr>
          <w:rFonts w:hint="eastAsia" w:ascii="宋体" w:hAnsi="宋体" w:eastAsia="宋体" w:cs="宋体"/>
          <w:b/>
          <w:bCs/>
          <w:color w:val="FF0000"/>
          <w:sz w:val="22"/>
          <w:szCs w:val="22"/>
          <w:highlight w:val="none"/>
        </w:rPr>
      </w:pPr>
      <w:r>
        <w:rPr>
          <w:rFonts w:hint="eastAsia" w:ascii="宋体" w:hAnsi="宋体" w:eastAsia="宋体" w:cs="宋体"/>
          <w:b/>
          <w:bCs/>
          <w:color w:val="FF0000"/>
          <w:sz w:val="22"/>
          <w:szCs w:val="22"/>
          <w:highlight w:val="none"/>
          <w:lang w:val="en-US" w:eastAsia="zh-CN"/>
        </w:rPr>
        <w:t>9.8 考虑到甲方资金来源受政策及客观情况影响较大，乙方不可撤销的同意，因非乙方原因的任何情况导致作为本合同款项的贷款无法向乙方支付时，甲方有权解除本合同，并赔偿乙方损失（以合同额的50%为限）。</w:t>
      </w:r>
    </w:p>
    <w:p>
      <w:pPr>
        <w:keepNext w:val="0"/>
        <w:keepLines w:val="0"/>
        <w:pageBreakBefore w:val="0"/>
        <w:kinsoku/>
        <w:wordWrap/>
        <w:overflowPunct/>
        <w:topLinePunct w:val="0"/>
        <w:autoSpaceDE/>
        <w:autoSpaceDN/>
        <w:bidi w:val="0"/>
        <w:adjustRightInd/>
        <w:spacing w:line="320" w:lineRule="exact"/>
        <w:ind w:firstLine="442" w:firstLineChars="200"/>
        <w:jc w:val="left"/>
        <w:textAlignment w:val="auto"/>
        <w:rPr>
          <w:rFonts w:hint="eastAsia" w:ascii="宋体" w:hAnsi="宋体" w:eastAsia="宋体" w:cs="宋体"/>
          <w:b/>
          <w:color w:val="FF0000"/>
          <w:sz w:val="22"/>
          <w:szCs w:val="22"/>
          <w:highlight w:val="none"/>
        </w:rPr>
      </w:pPr>
      <w:r>
        <w:rPr>
          <w:rFonts w:hint="eastAsia" w:ascii="宋体" w:hAnsi="宋体" w:eastAsia="宋体" w:cs="宋体"/>
          <w:b/>
          <w:color w:val="FF0000"/>
          <w:sz w:val="22"/>
          <w:szCs w:val="22"/>
          <w:highlight w:val="none"/>
        </w:rPr>
        <w:t>第十条 通知和送达</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lang w:eastAsia="zh-CN"/>
        </w:rPr>
      </w:pPr>
      <w:r>
        <w:rPr>
          <w:rFonts w:hint="eastAsia" w:ascii="宋体" w:hAnsi="宋体" w:eastAsia="宋体" w:cs="宋体"/>
          <w:color w:val="FF0000"/>
          <w:sz w:val="22"/>
          <w:szCs w:val="22"/>
          <w:highlight w:val="none"/>
        </w:rPr>
        <w:t>一方在本合同履行过程中向对方发出或者提供的所有通知、文件、文书、资料等，均</w:t>
      </w:r>
      <w:r>
        <w:rPr>
          <w:rFonts w:hint="eastAsia" w:ascii="宋体" w:hAnsi="宋体" w:eastAsia="宋体" w:cs="宋体"/>
          <w:color w:val="FF0000"/>
          <w:sz w:val="22"/>
          <w:szCs w:val="22"/>
          <w:highlight w:val="none"/>
          <w:lang w:eastAsia="zh-CN"/>
        </w:rPr>
        <w:t>通过</w:t>
      </w:r>
      <w:r>
        <w:rPr>
          <w:rFonts w:hint="eastAsia" w:ascii="宋体" w:hAnsi="宋体" w:eastAsia="宋体" w:cs="宋体"/>
          <w:color w:val="FF0000"/>
          <w:sz w:val="22"/>
          <w:szCs w:val="22"/>
          <w:highlight w:val="none"/>
        </w:rPr>
        <w:t>本合同首部所列明的</w:t>
      </w:r>
      <w:r>
        <w:rPr>
          <w:rFonts w:hint="eastAsia" w:ascii="宋体" w:hAnsi="宋体" w:eastAsia="宋体" w:cs="宋体"/>
          <w:color w:val="FF0000"/>
          <w:sz w:val="22"/>
          <w:szCs w:val="22"/>
          <w:highlight w:val="none"/>
          <w:lang w:eastAsia="zh-CN"/>
        </w:rPr>
        <w:t>联系方式进行送达</w:t>
      </w:r>
      <w:r>
        <w:rPr>
          <w:rFonts w:hint="eastAsia" w:ascii="宋体" w:hAnsi="宋体" w:eastAsia="宋体" w:cs="宋体"/>
          <w:color w:val="FF0000"/>
          <w:sz w:val="22"/>
          <w:szCs w:val="22"/>
          <w:highlight w:val="none"/>
        </w:rPr>
        <w:t>。</w:t>
      </w:r>
      <w:r>
        <w:rPr>
          <w:rFonts w:hint="eastAsia" w:ascii="宋体" w:hAnsi="宋体" w:eastAsia="宋体" w:cs="宋体"/>
          <w:color w:val="FF0000"/>
          <w:sz w:val="22"/>
          <w:szCs w:val="22"/>
          <w:highlight w:val="none"/>
          <w:lang w:eastAsia="zh-CN"/>
        </w:rPr>
        <w:t>通过合同约定的联系方式进行送达，无论对方是否实际查阅，均视为有效送达。</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一方</w:t>
      </w:r>
      <w:r>
        <w:rPr>
          <w:rFonts w:hint="eastAsia" w:ascii="宋体" w:hAnsi="宋体" w:eastAsia="宋体" w:cs="宋体"/>
          <w:color w:val="FF0000"/>
          <w:sz w:val="22"/>
          <w:szCs w:val="22"/>
          <w:highlight w:val="none"/>
          <w:lang w:eastAsia="zh-CN"/>
        </w:rPr>
        <w:t>变更联系方式</w:t>
      </w:r>
      <w:r>
        <w:rPr>
          <w:rFonts w:hint="eastAsia" w:ascii="宋体" w:hAnsi="宋体" w:eastAsia="宋体" w:cs="宋体"/>
          <w:color w:val="FF0000"/>
          <w:sz w:val="22"/>
          <w:szCs w:val="22"/>
          <w:highlight w:val="none"/>
        </w:rPr>
        <w:t>，应当在</w:t>
      </w:r>
      <w:r>
        <w:rPr>
          <w:rFonts w:hint="eastAsia" w:ascii="宋体" w:hAnsi="宋体" w:eastAsia="宋体" w:cs="宋体"/>
          <w:color w:val="FF0000"/>
          <w:sz w:val="22"/>
          <w:szCs w:val="22"/>
          <w:highlight w:val="none"/>
          <w:lang w:eastAsia="zh-CN"/>
        </w:rPr>
        <w:t>变更后</w:t>
      </w:r>
      <w:r>
        <w:rPr>
          <w:rFonts w:hint="eastAsia" w:ascii="宋体" w:hAnsi="宋体" w:eastAsia="宋体" w:cs="宋体"/>
          <w:color w:val="FF0000"/>
          <w:sz w:val="22"/>
          <w:szCs w:val="22"/>
          <w:highlight w:val="none"/>
        </w:rPr>
        <w:t>三日内书面通知对方，未履行书面通知义务的，一方按</w:t>
      </w:r>
      <w:r>
        <w:rPr>
          <w:rFonts w:hint="eastAsia" w:ascii="宋体" w:hAnsi="宋体" w:eastAsia="宋体" w:cs="宋体"/>
          <w:color w:val="FF0000"/>
          <w:sz w:val="22"/>
          <w:szCs w:val="22"/>
          <w:highlight w:val="none"/>
          <w:lang w:eastAsia="zh-CN"/>
        </w:rPr>
        <w:t>原联系方式送达</w:t>
      </w:r>
      <w:r>
        <w:rPr>
          <w:rFonts w:hint="eastAsia" w:ascii="宋体" w:hAnsi="宋体" w:eastAsia="宋体" w:cs="宋体"/>
          <w:color w:val="FF0000"/>
          <w:sz w:val="22"/>
          <w:szCs w:val="22"/>
          <w:highlight w:val="none"/>
        </w:rPr>
        <w:t>相关材料或通知相关信息</w:t>
      </w:r>
      <w:r>
        <w:rPr>
          <w:rFonts w:hint="eastAsia" w:ascii="宋体" w:hAnsi="宋体" w:eastAsia="宋体" w:cs="宋体"/>
          <w:color w:val="FF0000"/>
          <w:sz w:val="22"/>
          <w:szCs w:val="22"/>
          <w:highlight w:val="none"/>
          <w:lang w:eastAsia="zh-CN"/>
        </w:rPr>
        <w:t>，</w:t>
      </w:r>
      <w:r>
        <w:rPr>
          <w:rFonts w:hint="eastAsia" w:ascii="宋体" w:hAnsi="宋体" w:eastAsia="宋体" w:cs="宋体"/>
          <w:color w:val="FF0000"/>
          <w:sz w:val="22"/>
          <w:szCs w:val="22"/>
          <w:highlight w:val="none"/>
        </w:rPr>
        <w:t>视为已履行送达义务。</w:t>
      </w:r>
    </w:p>
    <w:p>
      <w:pPr>
        <w:keepNext w:val="0"/>
        <w:keepLines w:val="0"/>
        <w:pageBreakBefore w:val="0"/>
        <w:kinsoku/>
        <w:wordWrap/>
        <w:overflowPunct/>
        <w:topLinePunct w:val="0"/>
        <w:autoSpaceDE/>
        <w:autoSpaceDN/>
        <w:bidi w:val="0"/>
        <w:adjustRightInd/>
        <w:spacing w:line="320" w:lineRule="exact"/>
        <w:ind w:firstLine="442" w:firstLineChars="200"/>
        <w:jc w:val="left"/>
        <w:textAlignment w:val="auto"/>
        <w:rPr>
          <w:rFonts w:hint="eastAsia" w:ascii="宋体" w:hAnsi="宋体" w:eastAsia="宋体" w:cs="宋体"/>
          <w:b/>
          <w:color w:val="FF0000"/>
          <w:sz w:val="22"/>
          <w:szCs w:val="22"/>
          <w:highlight w:val="none"/>
        </w:rPr>
      </w:pPr>
      <w:r>
        <w:rPr>
          <w:rFonts w:hint="eastAsia" w:ascii="宋体" w:hAnsi="宋体" w:eastAsia="宋体" w:cs="宋体"/>
          <w:b/>
          <w:color w:val="FF0000"/>
          <w:sz w:val="22"/>
          <w:szCs w:val="22"/>
          <w:highlight w:val="none"/>
        </w:rPr>
        <w:t>第十一条 争议解决</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11.1 如果任何争议或权利要求起因于本协议或与本协议有关或与本协议的解释、违约、终止或效力有关，都应由双方协商解决，协商不成，应提交甲方住所地</w:t>
      </w:r>
      <w:r>
        <w:rPr>
          <w:rFonts w:hint="eastAsia" w:ascii="宋体" w:hAnsi="宋体" w:eastAsia="宋体" w:cs="宋体"/>
          <w:color w:val="FF0000"/>
          <w:sz w:val="22"/>
          <w:szCs w:val="22"/>
          <w:highlight w:val="none"/>
          <w:lang w:eastAsia="zh-CN"/>
        </w:rPr>
        <w:t>有管辖权的</w:t>
      </w:r>
      <w:r>
        <w:rPr>
          <w:rFonts w:hint="eastAsia" w:ascii="宋体" w:hAnsi="宋体" w:eastAsia="宋体" w:cs="宋体"/>
          <w:color w:val="FF0000"/>
          <w:sz w:val="22"/>
          <w:szCs w:val="22"/>
          <w:highlight w:val="none"/>
        </w:rPr>
        <w:t>人民法院诉讼解决。</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11.2 诉讼进行过程中，除双方有争议的部分外，本合同其他部分仍然有效，各方应继续履行。</w:t>
      </w:r>
    </w:p>
    <w:p>
      <w:pPr>
        <w:keepNext w:val="0"/>
        <w:keepLines w:val="0"/>
        <w:pageBreakBefore w:val="0"/>
        <w:kinsoku/>
        <w:wordWrap/>
        <w:overflowPunct/>
        <w:topLinePunct w:val="0"/>
        <w:autoSpaceDE/>
        <w:autoSpaceDN/>
        <w:bidi w:val="0"/>
        <w:adjustRightInd/>
        <w:spacing w:line="320" w:lineRule="exact"/>
        <w:ind w:firstLine="442" w:firstLineChars="200"/>
        <w:jc w:val="left"/>
        <w:textAlignment w:val="auto"/>
        <w:rPr>
          <w:rFonts w:hint="eastAsia" w:ascii="宋体" w:hAnsi="宋体" w:eastAsia="宋体" w:cs="宋体"/>
          <w:b/>
          <w:color w:val="FF0000"/>
          <w:sz w:val="22"/>
          <w:szCs w:val="22"/>
          <w:highlight w:val="none"/>
        </w:rPr>
      </w:pPr>
      <w:r>
        <w:rPr>
          <w:rFonts w:hint="eastAsia" w:ascii="宋体" w:hAnsi="宋体" w:eastAsia="宋体" w:cs="宋体"/>
          <w:b/>
          <w:color w:val="FF0000"/>
          <w:sz w:val="22"/>
          <w:szCs w:val="22"/>
          <w:highlight w:val="none"/>
        </w:rPr>
        <w:t>第十二条 其它</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12.1本合同经双方法定代表人（</w:t>
      </w:r>
      <w:r>
        <w:rPr>
          <w:rFonts w:hint="eastAsia" w:ascii="宋体" w:hAnsi="宋体" w:eastAsia="宋体" w:cs="宋体"/>
          <w:color w:val="FF0000"/>
          <w:sz w:val="22"/>
          <w:szCs w:val="22"/>
          <w:highlight w:val="none"/>
          <w:lang w:eastAsia="zh-CN"/>
        </w:rPr>
        <w:t>或</w:t>
      </w:r>
      <w:r>
        <w:rPr>
          <w:rFonts w:hint="eastAsia" w:ascii="宋体" w:hAnsi="宋体" w:eastAsia="宋体" w:cs="宋体"/>
          <w:color w:val="FF0000"/>
          <w:sz w:val="22"/>
          <w:szCs w:val="22"/>
          <w:highlight w:val="none"/>
        </w:rPr>
        <w:t>委托代理人）签字并加盖</w:t>
      </w:r>
      <w:r>
        <w:rPr>
          <w:rFonts w:hint="eastAsia" w:ascii="宋体" w:hAnsi="宋体" w:eastAsia="宋体" w:cs="宋体"/>
          <w:color w:val="FF0000"/>
          <w:sz w:val="22"/>
          <w:szCs w:val="22"/>
          <w:highlight w:val="none"/>
          <w:lang w:eastAsia="zh-CN"/>
        </w:rPr>
        <w:t>单位</w:t>
      </w:r>
      <w:r>
        <w:rPr>
          <w:rFonts w:hint="eastAsia" w:ascii="宋体" w:hAnsi="宋体" w:eastAsia="宋体" w:cs="宋体"/>
          <w:color w:val="FF0000"/>
          <w:sz w:val="22"/>
          <w:szCs w:val="22"/>
          <w:highlight w:val="none"/>
        </w:rPr>
        <w:t>印章生效。</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12.2本合同未尽事宜，应由双方友好协商解决。如需对本合同及其附件作任何修改或补充，须由双方以书面</w:t>
      </w:r>
      <w:r>
        <w:rPr>
          <w:rFonts w:hint="eastAsia" w:ascii="宋体" w:hAnsi="宋体" w:eastAsia="宋体" w:cs="宋体"/>
          <w:color w:val="FF0000"/>
          <w:sz w:val="22"/>
          <w:szCs w:val="22"/>
          <w:highlight w:val="none"/>
          <w:lang w:eastAsia="zh-CN"/>
        </w:rPr>
        <w:t>作</w:t>
      </w:r>
      <w:r>
        <w:rPr>
          <w:rFonts w:hint="eastAsia" w:ascii="宋体" w:hAnsi="宋体" w:eastAsia="宋体" w:cs="宋体"/>
          <w:color w:val="FF0000"/>
          <w:sz w:val="22"/>
          <w:szCs w:val="22"/>
          <w:highlight w:val="none"/>
        </w:rPr>
        <w:t xml:space="preserve">出方为有效。修改或补充文件与本合同有不一致的，以修改或补充文件为准。 </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12.3 附件为本合同不可分割的部分。若附件与合同正文有任何不一致，以合同正文为准。</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rPr>
      </w:pPr>
      <w:r>
        <w:rPr>
          <w:rFonts w:hint="eastAsia" w:ascii="宋体" w:hAnsi="宋体" w:eastAsia="宋体" w:cs="宋体"/>
          <w:color w:val="FF0000"/>
          <w:sz w:val="22"/>
          <w:szCs w:val="22"/>
          <w:highlight w:val="none"/>
        </w:rPr>
        <w:t xml:space="preserve">12.4 </w:t>
      </w:r>
      <w:r>
        <w:rPr>
          <w:rFonts w:hint="eastAsia" w:ascii="宋体" w:hAnsi="宋体" w:eastAsia="宋体" w:cs="宋体"/>
          <w:color w:val="FF0000"/>
          <w:sz w:val="22"/>
          <w:szCs w:val="22"/>
          <w:highlight w:val="none"/>
          <w:lang w:val="en-US" w:eastAsia="zh-CN"/>
        </w:rPr>
        <w:t>合同双方认可通过本合同约定的电子邮箱相互送达的合同扫描件与加盖印章的合同原件具有同等法律效力。</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lang w:val="en-US" w:eastAsia="zh-CN"/>
        </w:rPr>
      </w:pPr>
      <w:r>
        <w:rPr>
          <w:rFonts w:hint="eastAsia" w:ascii="宋体" w:hAnsi="宋体" w:eastAsia="宋体" w:cs="宋体"/>
          <w:color w:val="FF0000"/>
          <w:sz w:val="22"/>
          <w:szCs w:val="22"/>
          <w:highlight w:val="none"/>
          <w:lang w:val="en-US" w:eastAsia="zh-CN"/>
        </w:rPr>
        <w:t>12.5 本合同（含附加）条款为打印而成的清洁文本，无手写、涂改等内容。对本合同（含附件）以手写或打印形式进行的变动，包括但不限于删除、修改或添加等，均需双方在变动处加盖双方印章后才具法律效力。</w:t>
      </w:r>
    </w:p>
    <w:p>
      <w:pPr>
        <w:keepNext w:val="0"/>
        <w:keepLines w:val="0"/>
        <w:pageBreakBefore w:val="0"/>
        <w:kinsoku/>
        <w:wordWrap/>
        <w:overflowPunct/>
        <w:topLinePunct w:val="0"/>
        <w:autoSpaceDE/>
        <w:autoSpaceDN/>
        <w:bidi w:val="0"/>
        <w:adjustRightInd/>
        <w:spacing w:line="320" w:lineRule="exact"/>
        <w:ind w:firstLine="440" w:firstLineChars="200"/>
        <w:jc w:val="left"/>
        <w:textAlignment w:val="auto"/>
        <w:rPr>
          <w:rFonts w:hint="eastAsia" w:ascii="宋体" w:hAnsi="宋体" w:eastAsia="宋体" w:cs="宋体"/>
          <w:color w:val="FF0000"/>
          <w:sz w:val="22"/>
          <w:szCs w:val="22"/>
          <w:highlight w:val="none"/>
          <w:lang w:val="en-US" w:eastAsia="zh-CN"/>
        </w:rPr>
      </w:pPr>
      <w:r>
        <w:rPr>
          <w:rFonts w:hint="eastAsia" w:ascii="宋体" w:hAnsi="宋体" w:eastAsia="宋体" w:cs="宋体"/>
          <w:color w:val="FF0000"/>
          <w:sz w:val="22"/>
          <w:szCs w:val="22"/>
          <w:highlight w:val="none"/>
          <w:lang w:val="en-US" w:eastAsia="zh-CN"/>
        </w:rPr>
        <w:t xml:space="preserve">12.6 </w:t>
      </w:r>
      <w:r>
        <w:rPr>
          <w:rFonts w:hint="eastAsia" w:ascii="宋体" w:hAnsi="宋体" w:eastAsia="宋体" w:cs="宋体"/>
          <w:color w:val="FF0000"/>
          <w:sz w:val="22"/>
          <w:szCs w:val="22"/>
          <w:highlight w:val="none"/>
        </w:rPr>
        <w:t>本</w:t>
      </w:r>
      <w:r>
        <w:rPr>
          <w:rFonts w:hint="eastAsia" w:ascii="宋体" w:hAnsi="宋体" w:eastAsia="宋体" w:cs="宋体"/>
          <w:color w:val="FF0000"/>
          <w:sz w:val="22"/>
          <w:szCs w:val="22"/>
          <w:highlight w:val="none"/>
          <w:lang w:eastAsia="zh-CN"/>
        </w:rPr>
        <w:t>合同</w:t>
      </w:r>
      <w:r>
        <w:rPr>
          <w:rFonts w:hint="eastAsia" w:ascii="宋体" w:hAnsi="宋体" w:eastAsia="宋体" w:cs="宋体"/>
          <w:color w:val="FF0000"/>
          <w:sz w:val="22"/>
          <w:szCs w:val="22"/>
          <w:highlight w:val="none"/>
        </w:rPr>
        <w:t>一式</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4"/>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4</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color w:val="FF0000"/>
          <w:sz w:val="22"/>
          <w:szCs w:val="22"/>
          <w:highlight w:val="none"/>
        </w:rPr>
        <w:t>份(甲方执</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3"/>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3</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color w:val="FF0000"/>
          <w:sz w:val="22"/>
          <w:szCs w:val="22"/>
          <w:highlight w:val="none"/>
        </w:rPr>
        <w:t>份、乙方执</w:t>
      </w:r>
      <w:r>
        <w:rPr>
          <w:rFonts w:hint="eastAsia" w:ascii="宋体" w:hAnsi="宋体" w:eastAsia="宋体" w:cs="宋体"/>
          <w:bCs/>
          <w:color w:val="FF0000"/>
          <w:kern w:val="2"/>
          <w:sz w:val="22"/>
          <w:szCs w:val="22"/>
          <w:highlight w:val="none"/>
          <w:u w:val="single"/>
          <w:lang w:val="en-US" w:eastAsia="zh-CN" w:bidi="ar-SA"/>
        </w:rPr>
        <w:fldChar w:fldCharType="begin">
          <w:ffData>
            <w:name w:val="文字15"/>
            <w:enabled/>
            <w:calcOnExit w:val="0"/>
            <w:textInput>
              <w:default w:val="1"/>
            </w:textInput>
          </w:ffData>
        </w:fldChar>
      </w:r>
      <w:r>
        <w:rPr>
          <w:rFonts w:hint="eastAsia" w:ascii="宋体" w:hAnsi="宋体" w:eastAsia="宋体" w:cs="宋体"/>
          <w:bCs/>
          <w:color w:val="FF0000"/>
          <w:kern w:val="2"/>
          <w:sz w:val="22"/>
          <w:szCs w:val="22"/>
          <w:highlight w:val="none"/>
          <w:u w:val="single"/>
          <w:lang w:val="en-US" w:eastAsia="zh-CN" w:bidi="ar-SA"/>
        </w:rPr>
        <w:instrText xml:space="preserve">FORMTEXT</w:instrText>
      </w:r>
      <w:r>
        <w:rPr>
          <w:rFonts w:hint="eastAsia" w:ascii="宋体" w:hAnsi="宋体" w:eastAsia="宋体" w:cs="宋体"/>
          <w:bCs/>
          <w:color w:val="FF0000"/>
          <w:kern w:val="2"/>
          <w:sz w:val="22"/>
          <w:szCs w:val="22"/>
          <w:highlight w:val="none"/>
          <w:u w:val="single"/>
          <w:lang w:val="en-US" w:eastAsia="zh-CN" w:bidi="ar-SA"/>
        </w:rPr>
        <w:fldChar w:fldCharType="separate"/>
      </w:r>
      <w:r>
        <w:rPr>
          <w:rFonts w:hint="eastAsia" w:ascii="宋体" w:hAnsi="宋体" w:eastAsia="宋体" w:cs="宋体"/>
          <w:bCs/>
          <w:color w:val="FF0000"/>
          <w:kern w:val="2"/>
          <w:sz w:val="22"/>
          <w:szCs w:val="22"/>
          <w:highlight w:val="none"/>
          <w:u w:val="single"/>
          <w:lang w:val="en-US" w:eastAsia="zh-CN" w:bidi="ar-SA"/>
        </w:rPr>
        <w:t>1</w:t>
      </w:r>
      <w:r>
        <w:rPr>
          <w:rFonts w:hint="eastAsia" w:ascii="宋体" w:hAnsi="宋体" w:eastAsia="宋体" w:cs="宋体"/>
          <w:bCs/>
          <w:color w:val="FF0000"/>
          <w:kern w:val="2"/>
          <w:sz w:val="22"/>
          <w:szCs w:val="22"/>
          <w:highlight w:val="none"/>
          <w:u w:val="single"/>
          <w:lang w:val="en-US" w:eastAsia="zh-CN" w:bidi="ar-SA"/>
        </w:rPr>
        <w:fldChar w:fldCharType="end"/>
      </w:r>
      <w:r>
        <w:rPr>
          <w:rFonts w:hint="eastAsia" w:ascii="宋体" w:hAnsi="宋体" w:eastAsia="宋体" w:cs="宋体"/>
          <w:color w:val="FF0000"/>
          <w:sz w:val="22"/>
          <w:szCs w:val="22"/>
          <w:highlight w:val="none"/>
        </w:rPr>
        <w:t>份)，均为正本，具有同等法律效力。</w:t>
      </w:r>
    </w:p>
    <w:p>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（以下无正文）</w:t>
      </w:r>
    </w:p>
    <w:p>
      <w:pPr>
        <w:spacing w:line="320" w:lineRule="exact"/>
        <w:ind w:firstLine="420" w:firstLineChars="200"/>
        <w:jc w:val="left"/>
        <w:rPr>
          <w:rFonts w:ascii="宋体" w:hAnsi="宋体" w:cs="宋体"/>
          <w:color w:val="auto"/>
          <w:szCs w:val="21"/>
        </w:rPr>
      </w:pPr>
      <w:r>
        <w:rPr>
          <w:rFonts w:hint="eastAsia" w:ascii="宋体" w:hAnsi="宋体" w:cs="宋体"/>
          <w:color w:val="auto"/>
          <w:szCs w:val="21"/>
        </w:rPr>
        <w:t>甲方向乙方购买</w:t>
      </w:r>
      <w:r>
        <w:rPr>
          <w:rFonts w:hint="eastAsia" w:ascii="宋体" w:hAnsi="宋体" w:cs="宋体"/>
          <w:color w:val="auto"/>
          <w:szCs w:val="21"/>
          <w:u w:val="single"/>
        </w:rPr>
        <w:fldChar w:fldCharType="begin">
          <w:ffData>
            <w:name w:val="文字15"/>
            <w:enabled/>
            <w:calcOnExit w:val="0"/>
            <w:textInput/>
          </w:ffData>
        </w:fldChar>
      </w:r>
      <w:r>
        <w:rPr>
          <w:rFonts w:hint="eastAsia" w:ascii="宋体" w:hAnsi="宋体" w:cs="宋体"/>
          <w:color w:val="auto"/>
          <w:szCs w:val="21"/>
          <w:u w:val="single"/>
        </w:rPr>
        <w:instrText xml:space="preserve"> FORMTEXT </w:instrText>
      </w:r>
      <w:r>
        <w:rPr>
          <w:rFonts w:hint="eastAsia" w:ascii="宋体" w:hAnsi="宋体" w:cs="宋体"/>
          <w:color w:val="auto"/>
          <w:szCs w:val="21"/>
          <w:u w:val="single"/>
        </w:rPr>
        <w:fldChar w:fldCharType="separate"/>
      </w:r>
      <w:r>
        <w:rPr>
          <w:rFonts w:hint="eastAsia" w:ascii="宋体" w:hAnsi="宋体" w:cs="宋体"/>
          <w:color w:val="auto"/>
          <w:szCs w:val="21"/>
          <w:u w:val="single"/>
        </w:rPr>
        <w:t>     </w:t>
      </w:r>
      <w:r>
        <w:rPr>
          <w:rFonts w:hint="eastAsia" w:ascii="宋体" w:hAnsi="宋体" w:cs="宋体"/>
          <w:color w:val="auto"/>
          <w:szCs w:val="21"/>
          <w:u w:val="single"/>
        </w:rPr>
        <w:fldChar w:fldCharType="end"/>
      </w:r>
      <w:r>
        <w:rPr>
          <w:rFonts w:hint="eastAsia" w:ascii="宋体" w:hAnsi="宋体" w:cs="宋体"/>
          <w:color w:val="auto"/>
          <w:szCs w:val="21"/>
        </w:rPr>
        <w:t>等货物（设备）事宜，所签订东北大学物资设备买卖合同(贴息贷款专项-共管账户版)盖章页。</w:t>
      </w:r>
    </w:p>
    <w:p>
      <w:pPr>
        <w:spacing w:line="320" w:lineRule="exact"/>
        <w:ind w:firstLine="420" w:firstLineChars="200"/>
        <w:jc w:val="left"/>
        <w:rPr>
          <w:rFonts w:ascii="宋体" w:hAnsi="宋体" w:cs="宋体"/>
          <w:color w:val="auto"/>
          <w:szCs w:val="21"/>
        </w:rPr>
      </w:pPr>
    </w:p>
    <w:tbl>
      <w:tblPr>
        <w:tblStyle w:val="18"/>
        <w:tblW w:w="8800" w:type="dxa"/>
        <w:jc w:val="center"/>
        <w:tblLayout w:type="fixed"/>
        <w:tblCellMar>
          <w:top w:w="0" w:type="dxa"/>
          <w:left w:w="108" w:type="dxa"/>
          <w:bottom w:w="0" w:type="dxa"/>
          <w:right w:w="108" w:type="dxa"/>
        </w:tblCellMar>
      </w:tblPr>
      <w:tblGrid>
        <w:gridCol w:w="4399"/>
        <w:gridCol w:w="4401"/>
      </w:tblGrid>
      <w:tr>
        <w:tblPrEx>
          <w:tblCellMar>
            <w:top w:w="0" w:type="dxa"/>
            <w:left w:w="108" w:type="dxa"/>
            <w:bottom w:w="0" w:type="dxa"/>
            <w:right w:w="108" w:type="dxa"/>
          </w:tblCellMar>
        </w:tblPrEx>
        <w:trPr>
          <w:trHeight w:val="715" w:hRule="atLeast"/>
          <w:jc w:val="center"/>
        </w:trPr>
        <w:tc>
          <w:tcPr>
            <w:tcW w:w="4399" w:type="dxa"/>
          </w:tcPr>
          <w:p>
            <w:pPr>
              <w:widowControl/>
              <w:spacing w:line="320" w:lineRule="exact"/>
              <w:jc w:val="left"/>
              <w:rPr>
                <w:rFonts w:ascii="宋体" w:hAnsi="宋体" w:cs="宋体"/>
                <w:color w:val="auto"/>
                <w:szCs w:val="21"/>
              </w:rPr>
            </w:pPr>
            <w:r>
              <w:rPr>
                <w:rFonts w:hint="eastAsia" w:ascii="宋体" w:hAnsi="宋体" w:cs="宋体"/>
                <w:color w:val="auto"/>
                <w:kern w:val="0"/>
                <w:szCs w:val="21"/>
              </w:rPr>
              <w:t>甲方（盖章）：</w:t>
            </w:r>
            <w:r>
              <w:rPr>
                <w:rFonts w:hint="eastAsia" w:ascii="宋体" w:hAnsi="宋体" w:cs="宋体"/>
                <w:b/>
                <w:color w:val="auto"/>
                <w:kern w:val="0"/>
                <w:szCs w:val="21"/>
              </w:rPr>
              <w:t>东北大学</w:t>
            </w:r>
          </w:p>
        </w:tc>
        <w:tc>
          <w:tcPr>
            <w:tcW w:w="4401" w:type="dxa"/>
          </w:tcPr>
          <w:p>
            <w:pPr>
              <w:widowControl/>
              <w:spacing w:line="320" w:lineRule="exact"/>
              <w:jc w:val="left"/>
              <w:rPr>
                <w:rFonts w:ascii="宋体" w:hAnsi="宋体" w:cs="宋体"/>
                <w:color w:val="auto"/>
                <w:szCs w:val="21"/>
              </w:rPr>
            </w:pPr>
            <w:r>
              <w:rPr>
                <w:rFonts w:hint="eastAsia" w:ascii="宋体" w:hAnsi="宋体" w:cs="宋体"/>
                <w:color w:val="auto"/>
                <w:kern w:val="0"/>
                <w:szCs w:val="21"/>
              </w:rPr>
              <w:t>乙方（盖章）：</w:t>
            </w:r>
            <w:r>
              <w:rPr>
                <w:rFonts w:hint="eastAsia" w:ascii="宋体" w:hAnsi="宋体" w:cs="宋体"/>
                <w:bCs/>
                <w:color w:val="auto"/>
                <w:szCs w:val="21"/>
                <w:u w:val="single"/>
              </w:rPr>
              <w:fldChar w:fldCharType="begin">
                <w:ffData>
                  <w:name w:val="文字15"/>
                  <w:enabled/>
                  <w:calcOnExit w:val="0"/>
                  <w:textInput/>
                </w:ffData>
              </w:fldChar>
            </w:r>
            <w:r>
              <w:rPr>
                <w:rFonts w:hint="eastAsia" w:ascii="宋体" w:hAnsi="宋体" w:cs="宋体"/>
                <w:bCs/>
                <w:color w:val="auto"/>
                <w:szCs w:val="21"/>
                <w:u w:val="single"/>
              </w:rPr>
              <w:instrText xml:space="preserve"> FORMTEXT </w:instrText>
            </w:r>
            <w:r>
              <w:rPr>
                <w:rFonts w:hint="eastAsia" w:ascii="宋体" w:hAnsi="宋体" w:cs="宋体"/>
                <w:bCs/>
                <w:color w:val="auto"/>
                <w:szCs w:val="21"/>
                <w:u w:val="single"/>
              </w:rPr>
              <w:fldChar w:fldCharType="separate"/>
            </w:r>
            <w:r>
              <w:rPr>
                <w:rFonts w:hint="eastAsia" w:ascii="宋体" w:hAnsi="宋体" w:cs="宋体"/>
                <w:bCs/>
                <w:color w:val="auto"/>
                <w:szCs w:val="21"/>
                <w:u w:val="single"/>
              </w:rPr>
              <w:t>     </w:t>
            </w:r>
            <w:r>
              <w:rPr>
                <w:rFonts w:hint="eastAsia" w:ascii="宋体" w:hAnsi="宋体" w:cs="宋体"/>
                <w:bCs/>
                <w:color w:val="auto"/>
                <w:szCs w:val="21"/>
                <w:u w:val="single"/>
              </w:rPr>
              <w:fldChar w:fldCharType="end"/>
            </w:r>
          </w:p>
        </w:tc>
      </w:tr>
      <w:tr>
        <w:tblPrEx>
          <w:tblCellMar>
            <w:top w:w="0" w:type="dxa"/>
            <w:left w:w="108" w:type="dxa"/>
            <w:bottom w:w="0" w:type="dxa"/>
            <w:right w:w="108" w:type="dxa"/>
          </w:tblCellMar>
        </w:tblPrEx>
        <w:trPr>
          <w:trHeight w:val="715" w:hRule="atLeast"/>
          <w:jc w:val="center"/>
        </w:trPr>
        <w:tc>
          <w:tcPr>
            <w:tcW w:w="4399" w:type="dxa"/>
          </w:tcPr>
          <w:p>
            <w:pPr>
              <w:widowControl/>
              <w:spacing w:line="320" w:lineRule="exact"/>
              <w:jc w:val="left"/>
              <w:rPr>
                <w:rFonts w:ascii="宋体" w:hAnsi="宋体" w:cs="宋体"/>
                <w:bCs/>
                <w:color w:val="auto"/>
                <w:kern w:val="0"/>
                <w:szCs w:val="21"/>
              </w:rPr>
            </w:pPr>
          </w:p>
          <w:p>
            <w:pPr>
              <w:widowControl/>
              <w:spacing w:line="320" w:lineRule="exact"/>
              <w:jc w:val="left"/>
              <w:rPr>
                <w:rFonts w:ascii="宋体" w:hAnsi="宋体" w:cs="宋体"/>
                <w:color w:val="auto"/>
                <w:szCs w:val="21"/>
              </w:rPr>
            </w:pPr>
            <w:r>
              <w:rPr>
                <w:rFonts w:hint="eastAsia" w:ascii="宋体" w:hAnsi="宋体" w:cs="宋体"/>
                <w:bCs/>
                <w:color w:val="auto"/>
                <w:kern w:val="0"/>
                <w:szCs w:val="21"/>
              </w:rPr>
              <w:t>委托代理人：</w:t>
            </w:r>
          </w:p>
        </w:tc>
        <w:tc>
          <w:tcPr>
            <w:tcW w:w="4401" w:type="dxa"/>
          </w:tcPr>
          <w:p>
            <w:pPr>
              <w:widowControl/>
              <w:spacing w:line="320" w:lineRule="exact"/>
              <w:jc w:val="left"/>
              <w:rPr>
                <w:rFonts w:ascii="宋体" w:hAnsi="宋体" w:cs="宋体"/>
                <w:bCs/>
                <w:color w:val="auto"/>
                <w:kern w:val="0"/>
                <w:szCs w:val="21"/>
              </w:rPr>
            </w:pPr>
          </w:p>
          <w:p>
            <w:pPr>
              <w:widowControl/>
              <w:spacing w:line="320" w:lineRule="exact"/>
              <w:jc w:val="left"/>
              <w:rPr>
                <w:rFonts w:ascii="宋体" w:hAnsi="宋体" w:cs="宋体"/>
                <w:color w:val="auto"/>
                <w:szCs w:val="21"/>
              </w:rPr>
            </w:pPr>
            <w:r>
              <w:rPr>
                <w:rFonts w:hint="eastAsia" w:ascii="宋体" w:hAnsi="宋体" w:cs="宋体"/>
                <w:bCs/>
                <w:color w:val="auto"/>
                <w:kern w:val="0"/>
                <w:szCs w:val="21"/>
              </w:rPr>
              <w:t>委托代理人：</w:t>
            </w:r>
          </w:p>
        </w:tc>
      </w:tr>
      <w:tr>
        <w:tblPrEx>
          <w:tblCellMar>
            <w:top w:w="0" w:type="dxa"/>
            <w:left w:w="108" w:type="dxa"/>
            <w:bottom w:w="0" w:type="dxa"/>
            <w:right w:w="108" w:type="dxa"/>
          </w:tblCellMar>
        </w:tblPrEx>
        <w:trPr>
          <w:trHeight w:val="459" w:hRule="atLeast"/>
          <w:jc w:val="center"/>
        </w:trPr>
        <w:tc>
          <w:tcPr>
            <w:tcW w:w="4399" w:type="dxa"/>
          </w:tcPr>
          <w:p>
            <w:pPr>
              <w:widowControl/>
              <w:spacing w:line="320" w:lineRule="exact"/>
              <w:jc w:val="left"/>
              <w:rPr>
                <w:rFonts w:ascii="宋体" w:hAnsi="宋体" w:cs="宋体"/>
                <w:color w:val="auto"/>
                <w:szCs w:val="21"/>
              </w:rPr>
            </w:pPr>
          </w:p>
        </w:tc>
        <w:tc>
          <w:tcPr>
            <w:tcW w:w="4401" w:type="dxa"/>
          </w:tcPr>
          <w:p>
            <w:pPr>
              <w:widowControl/>
              <w:spacing w:line="320" w:lineRule="exact"/>
              <w:jc w:val="left"/>
              <w:rPr>
                <w:rFonts w:ascii="宋体" w:hAnsi="宋体" w:cs="宋体"/>
                <w:color w:val="auto"/>
                <w:szCs w:val="21"/>
              </w:rPr>
            </w:pPr>
          </w:p>
        </w:tc>
      </w:tr>
      <w:tr>
        <w:tblPrEx>
          <w:tblCellMar>
            <w:top w:w="0" w:type="dxa"/>
            <w:left w:w="108" w:type="dxa"/>
            <w:bottom w:w="0" w:type="dxa"/>
            <w:right w:w="108" w:type="dxa"/>
          </w:tblCellMar>
        </w:tblPrEx>
        <w:trPr>
          <w:trHeight w:val="440" w:hRule="atLeast"/>
          <w:jc w:val="center"/>
        </w:trPr>
        <w:tc>
          <w:tcPr>
            <w:tcW w:w="8800" w:type="dxa"/>
            <w:gridSpan w:val="2"/>
          </w:tcPr>
          <w:p>
            <w:pPr>
              <w:widowControl/>
              <w:spacing w:line="320" w:lineRule="exact"/>
              <w:jc w:val="center"/>
              <w:rPr>
                <w:rFonts w:ascii="宋体" w:hAnsi="宋体" w:cs="宋体"/>
                <w:bCs/>
                <w:color w:val="auto"/>
                <w:kern w:val="0"/>
                <w:szCs w:val="21"/>
              </w:rPr>
            </w:pPr>
            <w:r>
              <w:rPr>
                <w:rFonts w:hint="eastAsia" w:ascii="宋体" w:hAnsi="宋体" w:cs="宋体"/>
                <w:bCs/>
                <w:color w:val="auto"/>
                <w:kern w:val="0"/>
                <w:szCs w:val="21"/>
              </w:rPr>
              <w:t>签订时间：</w:t>
            </w:r>
            <w:r>
              <w:rPr>
                <w:rFonts w:hint="eastAsia" w:ascii="宋体" w:hAnsi="宋体" w:cs="宋体"/>
                <w:bCs/>
                <w:color w:val="auto"/>
                <w:szCs w:val="21"/>
                <w:u w:val="single"/>
              </w:rPr>
              <w:fldChar w:fldCharType="begin">
                <w:ffData>
                  <w:name w:val="文字15"/>
                  <w:enabled/>
                  <w:calcOnExit w:val="0"/>
                  <w:textInput/>
                </w:ffData>
              </w:fldChar>
            </w:r>
            <w:r>
              <w:rPr>
                <w:rFonts w:hint="eastAsia" w:ascii="宋体" w:hAnsi="宋体" w:cs="宋体"/>
                <w:bCs/>
                <w:color w:val="auto"/>
                <w:szCs w:val="21"/>
                <w:u w:val="single"/>
              </w:rPr>
              <w:instrText xml:space="preserve"> FORMTEXT </w:instrText>
            </w:r>
            <w:r>
              <w:rPr>
                <w:rFonts w:hint="eastAsia" w:ascii="宋体" w:hAnsi="宋体" w:cs="宋体"/>
                <w:bCs/>
                <w:color w:val="auto"/>
                <w:szCs w:val="21"/>
                <w:u w:val="single"/>
              </w:rPr>
              <w:fldChar w:fldCharType="separate"/>
            </w:r>
            <w:r>
              <w:rPr>
                <w:rFonts w:hint="eastAsia" w:ascii="宋体" w:hAnsi="宋体" w:cs="宋体"/>
                <w:bCs/>
                <w:color w:val="auto"/>
                <w:szCs w:val="21"/>
                <w:u w:val="single"/>
              </w:rPr>
              <w:t>     </w:t>
            </w:r>
            <w:r>
              <w:rPr>
                <w:rFonts w:hint="eastAsia" w:ascii="宋体" w:hAnsi="宋体" w:cs="宋体"/>
                <w:bCs/>
                <w:color w:val="auto"/>
                <w:szCs w:val="21"/>
                <w:u w:val="single"/>
              </w:rPr>
              <w:fldChar w:fldCharType="end"/>
            </w:r>
            <w:r>
              <w:rPr>
                <w:rFonts w:hint="eastAsia" w:ascii="宋体" w:hAnsi="宋体" w:cs="宋体"/>
                <w:bCs/>
                <w:color w:val="auto"/>
                <w:szCs w:val="21"/>
                <w:u w:val="single"/>
              </w:rPr>
              <w:t>年</w:t>
            </w:r>
            <w:r>
              <w:rPr>
                <w:rFonts w:hint="eastAsia" w:ascii="宋体" w:hAnsi="宋体" w:cs="宋体"/>
                <w:bCs/>
                <w:color w:val="auto"/>
                <w:szCs w:val="21"/>
                <w:u w:val="single"/>
              </w:rPr>
              <w:fldChar w:fldCharType="begin">
                <w:ffData>
                  <w:name w:val="文字15"/>
                  <w:enabled/>
                  <w:calcOnExit w:val="0"/>
                  <w:textInput/>
                </w:ffData>
              </w:fldChar>
            </w:r>
            <w:r>
              <w:rPr>
                <w:rFonts w:hint="eastAsia" w:ascii="宋体" w:hAnsi="宋体" w:cs="宋体"/>
                <w:bCs/>
                <w:color w:val="auto"/>
                <w:szCs w:val="21"/>
                <w:u w:val="single"/>
              </w:rPr>
              <w:instrText xml:space="preserve"> FORMTEXT </w:instrText>
            </w:r>
            <w:r>
              <w:rPr>
                <w:rFonts w:hint="eastAsia" w:ascii="宋体" w:hAnsi="宋体" w:cs="宋体"/>
                <w:bCs/>
                <w:color w:val="auto"/>
                <w:szCs w:val="21"/>
                <w:u w:val="single"/>
              </w:rPr>
              <w:fldChar w:fldCharType="separate"/>
            </w:r>
            <w:r>
              <w:rPr>
                <w:rFonts w:hint="eastAsia" w:ascii="宋体" w:hAnsi="宋体" w:cs="宋体"/>
                <w:bCs/>
                <w:color w:val="auto"/>
                <w:szCs w:val="21"/>
                <w:u w:val="single"/>
              </w:rPr>
              <w:t>     </w:t>
            </w:r>
            <w:r>
              <w:rPr>
                <w:rFonts w:hint="eastAsia" w:ascii="宋体" w:hAnsi="宋体" w:cs="宋体"/>
                <w:bCs/>
                <w:color w:val="auto"/>
                <w:szCs w:val="21"/>
                <w:u w:val="single"/>
              </w:rPr>
              <w:fldChar w:fldCharType="end"/>
            </w:r>
            <w:r>
              <w:rPr>
                <w:rFonts w:hint="eastAsia" w:ascii="宋体" w:hAnsi="宋体" w:cs="宋体"/>
                <w:bCs/>
                <w:color w:val="auto"/>
                <w:szCs w:val="21"/>
                <w:u w:val="single"/>
              </w:rPr>
              <w:t>月</w:t>
            </w:r>
            <w:r>
              <w:rPr>
                <w:rFonts w:hint="eastAsia" w:ascii="宋体" w:hAnsi="宋体" w:cs="宋体"/>
                <w:bCs/>
                <w:color w:val="auto"/>
                <w:szCs w:val="21"/>
                <w:u w:val="single"/>
              </w:rPr>
              <w:fldChar w:fldCharType="begin">
                <w:ffData>
                  <w:name w:val="文字15"/>
                  <w:enabled/>
                  <w:calcOnExit w:val="0"/>
                  <w:textInput/>
                </w:ffData>
              </w:fldChar>
            </w:r>
            <w:r>
              <w:rPr>
                <w:rFonts w:hint="eastAsia" w:ascii="宋体" w:hAnsi="宋体" w:cs="宋体"/>
                <w:bCs/>
                <w:color w:val="auto"/>
                <w:szCs w:val="21"/>
                <w:u w:val="single"/>
              </w:rPr>
              <w:instrText xml:space="preserve"> FORMTEXT </w:instrText>
            </w:r>
            <w:r>
              <w:rPr>
                <w:rFonts w:hint="eastAsia" w:ascii="宋体" w:hAnsi="宋体" w:cs="宋体"/>
                <w:bCs/>
                <w:color w:val="auto"/>
                <w:szCs w:val="21"/>
                <w:u w:val="single"/>
              </w:rPr>
              <w:fldChar w:fldCharType="separate"/>
            </w:r>
            <w:r>
              <w:rPr>
                <w:rFonts w:hint="eastAsia" w:ascii="宋体" w:hAnsi="宋体" w:cs="宋体"/>
                <w:bCs/>
                <w:color w:val="auto"/>
                <w:szCs w:val="21"/>
                <w:u w:val="single"/>
              </w:rPr>
              <w:t>     </w:t>
            </w:r>
            <w:r>
              <w:rPr>
                <w:rFonts w:hint="eastAsia" w:ascii="宋体" w:hAnsi="宋体" w:cs="宋体"/>
                <w:bCs/>
                <w:color w:val="auto"/>
                <w:szCs w:val="21"/>
                <w:u w:val="single"/>
              </w:rPr>
              <w:fldChar w:fldCharType="end"/>
            </w:r>
            <w:r>
              <w:rPr>
                <w:rFonts w:hint="eastAsia" w:ascii="宋体" w:hAnsi="宋体" w:cs="宋体"/>
                <w:bCs/>
                <w:color w:val="auto"/>
                <w:szCs w:val="21"/>
                <w:u w:val="single"/>
              </w:rPr>
              <w:t>日</w:t>
            </w:r>
          </w:p>
        </w:tc>
      </w:tr>
    </w:tbl>
    <w:p>
      <w:pPr>
        <w:wordWrap w:val="0"/>
        <w:adjustRightInd w:val="0"/>
        <w:snapToGrid w:val="0"/>
        <w:spacing w:line="360" w:lineRule="auto"/>
        <w:jc w:val="right"/>
        <w:rPr>
          <w:rFonts w:ascii="宋体" w:hAnsi="宋体" w:cs="宋体"/>
          <w:color w:val="auto"/>
          <w:szCs w:val="21"/>
          <w:highlight w:val="none"/>
        </w:rPr>
      </w:pPr>
    </w:p>
    <w:sectPr>
      <w:pgSz w:w="11906" w:h="16838"/>
      <w:pgMar w:top="1191" w:right="1191" w:bottom="1191" w:left="1418" w:header="851" w:footer="79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12" w:space="1"/>
      </w:pBdr>
    </w:pPr>
  </w:p>
  <w:p>
    <w:pPr>
      <w:pStyle w:val="12"/>
      <w:rPr>
        <w:rFonts w:ascii="Arial" w:hAnsi="Arial" w:cs="Arial"/>
      </w:rPr>
    </w:pPr>
    <w:r>
      <w:rPr>
        <w:rFonts w:ascii="Arial" w:hAnsi="Arial" w:cs="Arial"/>
      </w:rPr>
      <w:t>地址：</w:t>
    </w:r>
    <w:r>
      <w:rPr>
        <w:rFonts w:hint="eastAsia" w:ascii="Arial" w:hAnsi="Arial" w:cs="Arial"/>
      </w:rPr>
      <w:t>沈阳市皇姑区黄河南大街56号中建峰汇广场A-801</w:t>
    </w:r>
  </w:p>
  <w:p>
    <w:pPr>
      <w:pStyle w:val="12"/>
      <w:rPr>
        <w:rFonts w:ascii="Arial" w:hAnsi="Arial" w:cs="Arial"/>
      </w:rPr>
    </w:pPr>
    <w:r>
      <w:rPr>
        <w:rFonts w:ascii="Arial" w:hAnsi="Arial" w:cs="Arial"/>
      </w:rPr>
      <w:t>电话：</w:t>
    </w:r>
    <w:r>
      <w:rPr>
        <w:rFonts w:hint="eastAsia" w:ascii="Arial" w:hAnsi="Arial" w:cs="Arial"/>
      </w:rPr>
      <w:t>024-31918388-313</w:t>
    </w:r>
    <w:r>
      <w:rPr>
        <w:rFonts w:ascii="Arial" w:hAnsi="Arial" w:cs="Arial"/>
      </w:rPr>
      <w:t xml:space="preserve">                                                            </w:t>
    </w:r>
    <w:r>
      <w:rPr>
        <w:rFonts w:hint="eastAsia" w:ascii="Arial" w:hAnsi="Arial" w:cs="Arial"/>
      </w:rPr>
      <w:t xml:space="preserve">    </w:t>
    </w:r>
    <w:r>
      <w:rPr>
        <w:rFonts w:ascii="Arial" w:hAnsi="Arial" w:cs="Arial"/>
      </w:rPr>
      <w:t xml:space="preserve">第 </w:t>
    </w: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1</w:t>
    </w:r>
    <w:r>
      <w:rPr>
        <w:rFonts w:ascii="Arial" w:hAnsi="Arial" w:cs="Arial"/>
      </w:rPr>
      <w:fldChar w:fldCharType="end"/>
    </w:r>
    <w:r>
      <w:rPr>
        <w:rFonts w:ascii="Arial" w:hAnsi="Arial" w:cs="Arial"/>
      </w:rPr>
      <w:t xml:space="preserve"> 页 共</w:t>
    </w:r>
    <w:r>
      <w:rPr>
        <w:rFonts w:hint="eastAsia" w:ascii="Arial" w:hAnsi="Arial" w:cs="Arial"/>
      </w:rPr>
      <w:t xml:space="preserve"> </w:t>
    </w:r>
    <w:r>
      <w:rPr>
        <w:rFonts w:hint="eastAsia" w:ascii="Arial" w:hAnsi="Arial" w:cs="Arial"/>
        <w:lang w:val="en-US" w:eastAsia="zh-CN"/>
      </w:rPr>
      <w:t>77</w:t>
    </w:r>
    <w:r>
      <w:rPr>
        <w:rFonts w:ascii="Arial" w:hAnsi="Arial" w:cs="Arial"/>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12" w:space="1"/>
      </w:pBdr>
    </w:pPr>
  </w:p>
  <w:p>
    <w:pPr>
      <w:pStyle w:val="12"/>
      <w:rPr>
        <w:rFonts w:ascii="Arial" w:hAnsi="Arial" w:cs="Arial"/>
      </w:rPr>
    </w:pPr>
    <w:r>
      <w:rPr>
        <w:rFonts w:ascii="Arial" w:hAnsi="Arial" w:cs="Arial"/>
      </w:rPr>
      <w:t>地址：</w:t>
    </w:r>
    <w:r>
      <w:rPr>
        <w:rFonts w:hint="eastAsia" w:ascii="Arial" w:hAnsi="Arial" w:cs="Arial"/>
      </w:rPr>
      <w:t>沈阳市皇姑区黄河南大街56号中建峰汇广场A-801</w:t>
    </w:r>
  </w:p>
  <w:p>
    <w:pPr>
      <w:pStyle w:val="12"/>
    </w:pPr>
    <w:r>
      <w:rPr>
        <w:rFonts w:ascii="Arial" w:hAnsi="Arial" w:cs="Arial"/>
      </w:rPr>
      <w:t>电话：</w:t>
    </w:r>
    <w:r>
      <w:rPr>
        <w:rFonts w:hint="eastAsia" w:ascii="Arial" w:hAnsi="Arial" w:cs="Arial"/>
      </w:rPr>
      <w:t>024-31918388-313</w:t>
    </w:r>
    <w:r>
      <w:rPr>
        <w:rFonts w:ascii="Arial" w:hAnsi="Arial" w:cs="Arial"/>
      </w:rPr>
      <w:t xml:space="preserve">                                                             </w:t>
    </w:r>
    <w:r>
      <w:rPr>
        <w:rFonts w:hint="eastAsia" w:ascii="Arial" w:hAnsi="Arial" w:cs="Arial"/>
      </w:rPr>
      <w:t xml:space="preserve">  </w:t>
    </w:r>
    <w:r>
      <w:rPr>
        <w:rFonts w:ascii="Arial" w:hAnsi="Arial" w:cs="Arial"/>
      </w:rPr>
      <w:t xml:space="preserve">第 </w:t>
    </w: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20</w:t>
    </w:r>
    <w:r>
      <w:rPr>
        <w:rFonts w:ascii="Arial" w:hAnsi="Arial" w:cs="Arial"/>
      </w:rPr>
      <w:fldChar w:fldCharType="end"/>
    </w:r>
    <w:r>
      <w:rPr>
        <w:rFonts w:ascii="Arial" w:hAnsi="Arial" w:cs="Arial"/>
      </w:rPr>
      <w:t xml:space="preserve"> 页 共</w:t>
    </w:r>
    <w:r>
      <w:rPr>
        <w:rFonts w:hint="eastAsia" w:ascii="Arial" w:hAnsi="Arial" w:cs="Arial"/>
      </w:rPr>
      <w:t xml:space="preserve"> </w:t>
    </w:r>
    <w:r>
      <w:rPr>
        <w:rFonts w:hint="eastAsia" w:ascii="Arial" w:hAnsi="Arial" w:cs="Arial"/>
        <w:lang w:val="en-US" w:eastAsia="zh-CN"/>
      </w:rPr>
      <w:t>77</w:t>
    </w:r>
    <w:r>
      <w:rPr>
        <w:rFonts w:ascii="Arial" w:hAnsi="Arial" w:cs="Arial"/>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u w:val="single"/>
      </w:rPr>
    </w:pPr>
    <w:r>
      <w:rPr>
        <w:rFonts w:hint="eastAsia" w:ascii="Arial" w:hAnsi="Arial" w:cs="Arial"/>
        <w:szCs w:val="18"/>
        <w:u w:val="single"/>
      </w:rPr>
      <w:t>生命医学实验平台-宏观变倍体视显微镜（进口）（贴息贷款）</w:t>
    </w:r>
    <w:r>
      <w:rPr>
        <w:rFonts w:ascii="Arial" w:hAnsi="Arial" w:cs="Arial"/>
        <w:szCs w:val="18"/>
        <w:u w:val="single"/>
      </w:rPr>
      <w:t xml:space="preserve">   </w:t>
    </w:r>
    <w:r>
      <w:rPr>
        <w:u w:val="single"/>
      </w:rPr>
      <w:t xml:space="preserve">                          </w:t>
    </w:r>
    <w:r>
      <w:rPr>
        <w:rFonts w:hint="eastAsia"/>
        <w:u w:val="single"/>
      </w:rPr>
      <w:t>竞争性</w:t>
    </w:r>
    <w:r>
      <w:rPr>
        <w:rFonts w:ascii="Arial" w:hAnsi="Arial" w:cs="Arial"/>
        <w:szCs w:val="18"/>
        <w:u w:val="single"/>
      </w:rPr>
      <w:t>性磋商采购文件</w:t>
    </w:r>
    <w:r>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33D77"/>
    <w:multiLevelType w:val="singleLevel"/>
    <w:tmpl w:val="A3633D77"/>
    <w:lvl w:ilvl="0" w:tentative="0">
      <w:start w:val="10"/>
      <w:numFmt w:val="decimal"/>
      <w:suff w:val="nothing"/>
      <w:lvlText w:val="%1、"/>
      <w:lvlJc w:val="left"/>
    </w:lvl>
  </w:abstractNum>
  <w:abstractNum w:abstractNumId="1">
    <w:nsid w:val="D08E3349"/>
    <w:multiLevelType w:val="singleLevel"/>
    <w:tmpl w:val="D08E3349"/>
    <w:lvl w:ilvl="0" w:tentative="0">
      <w:start w:val="7"/>
      <w:numFmt w:val="decimal"/>
      <w:suff w:val="nothing"/>
      <w:lvlText w:val="%1、"/>
      <w:lvlJc w:val="left"/>
    </w:lvl>
  </w:abstractNum>
  <w:abstractNum w:abstractNumId="2">
    <w:nsid w:val="F77C3188"/>
    <w:multiLevelType w:val="singleLevel"/>
    <w:tmpl w:val="F77C3188"/>
    <w:lvl w:ilvl="0" w:tentative="0">
      <w:start w:val="2"/>
      <w:numFmt w:val="decimal"/>
      <w:suff w:val="nothing"/>
      <w:lvlText w:val="%1、"/>
      <w:lvlJc w:val="left"/>
    </w:lvl>
  </w:abstractNum>
  <w:abstractNum w:abstractNumId="3">
    <w:nsid w:val="27040BFC"/>
    <w:multiLevelType w:val="multilevel"/>
    <w:tmpl w:val="27040B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20C153B"/>
    <w:multiLevelType w:val="multilevel"/>
    <w:tmpl w:val="420C153B"/>
    <w:lvl w:ilvl="0" w:tentative="0">
      <w:start w:val="1"/>
      <w:numFmt w:val="decimal"/>
      <w:pStyle w:val="3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5N2I4YWE0YTdhNTQxNjkxMWUxMWUzNDNiN2Y3YjUifQ=="/>
  </w:docVars>
  <w:rsids>
    <w:rsidRoot w:val="35AB3B2B"/>
    <w:rsid w:val="000035B3"/>
    <w:rsid w:val="000073CE"/>
    <w:rsid w:val="00010ACC"/>
    <w:rsid w:val="00011C8C"/>
    <w:rsid w:val="00011D0D"/>
    <w:rsid w:val="000122BC"/>
    <w:rsid w:val="00014C2B"/>
    <w:rsid w:val="00020305"/>
    <w:rsid w:val="00020B39"/>
    <w:rsid w:val="0002450C"/>
    <w:rsid w:val="00024BE1"/>
    <w:rsid w:val="00026F5F"/>
    <w:rsid w:val="00030667"/>
    <w:rsid w:val="0003153D"/>
    <w:rsid w:val="00035830"/>
    <w:rsid w:val="0003651B"/>
    <w:rsid w:val="000366EB"/>
    <w:rsid w:val="0003776A"/>
    <w:rsid w:val="000406B4"/>
    <w:rsid w:val="00040886"/>
    <w:rsid w:val="00040983"/>
    <w:rsid w:val="00040B5B"/>
    <w:rsid w:val="00051759"/>
    <w:rsid w:val="00052FCA"/>
    <w:rsid w:val="0006626C"/>
    <w:rsid w:val="00083219"/>
    <w:rsid w:val="00087626"/>
    <w:rsid w:val="000922FC"/>
    <w:rsid w:val="00096194"/>
    <w:rsid w:val="000A3122"/>
    <w:rsid w:val="000A6C80"/>
    <w:rsid w:val="000B05A5"/>
    <w:rsid w:val="000B08F1"/>
    <w:rsid w:val="000B1E2F"/>
    <w:rsid w:val="000B69EC"/>
    <w:rsid w:val="000B78F5"/>
    <w:rsid w:val="000C28F9"/>
    <w:rsid w:val="000C66F6"/>
    <w:rsid w:val="000C6BDB"/>
    <w:rsid w:val="000C6DD2"/>
    <w:rsid w:val="000C6F0E"/>
    <w:rsid w:val="000D1545"/>
    <w:rsid w:val="000D2960"/>
    <w:rsid w:val="000D2C1D"/>
    <w:rsid w:val="000D5B0D"/>
    <w:rsid w:val="000E4BB4"/>
    <w:rsid w:val="000F17B2"/>
    <w:rsid w:val="000F4130"/>
    <w:rsid w:val="000F6516"/>
    <w:rsid w:val="00102355"/>
    <w:rsid w:val="001122E0"/>
    <w:rsid w:val="00112309"/>
    <w:rsid w:val="001144B9"/>
    <w:rsid w:val="0011683B"/>
    <w:rsid w:val="001175E6"/>
    <w:rsid w:val="0013083C"/>
    <w:rsid w:val="00130A8A"/>
    <w:rsid w:val="0013158F"/>
    <w:rsid w:val="00132068"/>
    <w:rsid w:val="0013776E"/>
    <w:rsid w:val="00140565"/>
    <w:rsid w:val="00151E0A"/>
    <w:rsid w:val="0015220F"/>
    <w:rsid w:val="0015390E"/>
    <w:rsid w:val="00154CCD"/>
    <w:rsid w:val="00167297"/>
    <w:rsid w:val="001712A2"/>
    <w:rsid w:val="001719AC"/>
    <w:rsid w:val="00176F02"/>
    <w:rsid w:val="00180633"/>
    <w:rsid w:val="001806B7"/>
    <w:rsid w:val="00185BFC"/>
    <w:rsid w:val="00185D8B"/>
    <w:rsid w:val="00187BB0"/>
    <w:rsid w:val="00191F4C"/>
    <w:rsid w:val="00193136"/>
    <w:rsid w:val="001B0330"/>
    <w:rsid w:val="001B222B"/>
    <w:rsid w:val="001B2FBA"/>
    <w:rsid w:val="001B7FCB"/>
    <w:rsid w:val="001C1F7D"/>
    <w:rsid w:val="001C66A7"/>
    <w:rsid w:val="001C685B"/>
    <w:rsid w:val="001E3243"/>
    <w:rsid w:val="001E4670"/>
    <w:rsid w:val="001E776C"/>
    <w:rsid w:val="001F3179"/>
    <w:rsid w:val="001F423E"/>
    <w:rsid w:val="001F567E"/>
    <w:rsid w:val="001F70A6"/>
    <w:rsid w:val="002005AF"/>
    <w:rsid w:val="00202A79"/>
    <w:rsid w:val="00206ABC"/>
    <w:rsid w:val="0021042D"/>
    <w:rsid w:val="00213462"/>
    <w:rsid w:val="0021427F"/>
    <w:rsid w:val="0022001E"/>
    <w:rsid w:val="002248D7"/>
    <w:rsid w:val="00226C64"/>
    <w:rsid w:val="00234E3E"/>
    <w:rsid w:val="00235674"/>
    <w:rsid w:val="002440B1"/>
    <w:rsid w:val="00253AF8"/>
    <w:rsid w:val="0025421A"/>
    <w:rsid w:val="00261A9B"/>
    <w:rsid w:val="00264193"/>
    <w:rsid w:val="002706E5"/>
    <w:rsid w:val="002742E6"/>
    <w:rsid w:val="002743E6"/>
    <w:rsid w:val="0027492C"/>
    <w:rsid w:val="00274BF1"/>
    <w:rsid w:val="00281CBC"/>
    <w:rsid w:val="0028342A"/>
    <w:rsid w:val="00285136"/>
    <w:rsid w:val="002908AE"/>
    <w:rsid w:val="00295601"/>
    <w:rsid w:val="002A41DE"/>
    <w:rsid w:val="002A6564"/>
    <w:rsid w:val="002B03B5"/>
    <w:rsid w:val="002B08BA"/>
    <w:rsid w:val="002B1EFC"/>
    <w:rsid w:val="002B3358"/>
    <w:rsid w:val="002B339F"/>
    <w:rsid w:val="002B3998"/>
    <w:rsid w:val="002C10CF"/>
    <w:rsid w:val="002C582E"/>
    <w:rsid w:val="002C58D5"/>
    <w:rsid w:val="002C5EF4"/>
    <w:rsid w:val="002E1E50"/>
    <w:rsid w:val="002E4605"/>
    <w:rsid w:val="002E5682"/>
    <w:rsid w:val="002F0866"/>
    <w:rsid w:val="002F0C30"/>
    <w:rsid w:val="002F5921"/>
    <w:rsid w:val="002F6CF7"/>
    <w:rsid w:val="002F74BC"/>
    <w:rsid w:val="003009F1"/>
    <w:rsid w:val="003013EB"/>
    <w:rsid w:val="003020F2"/>
    <w:rsid w:val="00306BC1"/>
    <w:rsid w:val="00310C01"/>
    <w:rsid w:val="003237DC"/>
    <w:rsid w:val="00324252"/>
    <w:rsid w:val="00332350"/>
    <w:rsid w:val="00333A1B"/>
    <w:rsid w:val="0033419F"/>
    <w:rsid w:val="0033768B"/>
    <w:rsid w:val="00342D45"/>
    <w:rsid w:val="003532A1"/>
    <w:rsid w:val="003577B2"/>
    <w:rsid w:val="003614EF"/>
    <w:rsid w:val="003615B4"/>
    <w:rsid w:val="00367FB4"/>
    <w:rsid w:val="0037130E"/>
    <w:rsid w:val="00374B84"/>
    <w:rsid w:val="00381164"/>
    <w:rsid w:val="0038216F"/>
    <w:rsid w:val="003838BC"/>
    <w:rsid w:val="0039068D"/>
    <w:rsid w:val="0039212B"/>
    <w:rsid w:val="003A3FBB"/>
    <w:rsid w:val="003A4369"/>
    <w:rsid w:val="003A43C7"/>
    <w:rsid w:val="003B5F11"/>
    <w:rsid w:val="003B5F92"/>
    <w:rsid w:val="003C498E"/>
    <w:rsid w:val="003D1064"/>
    <w:rsid w:val="003D5AD5"/>
    <w:rsid w:val="003D5E53"/>
    <w:rsid w:val="003E12A9"/>
    <w:rsid w:val="003E2139"/>
    <w:rsid w:val="003E3E25"/>
    <w:rsid w:val="003E495D"/>
    <w:rsid w:val="003F2B21"/>
    <w:rsid w:val="003F346A"/>
    <w:rsid w:val="003F5CE3"/>
    <w:rsid w:val="003F6E87"/>
    <w:rsid w:val="00400454"/>
    <w:rsid w:val="00403F5B"/>
    <w:rsid w:val="004053E3"/>
    <w:rsid w:val="00415B97"/>
    <w:rsid w:val="00420DC3"/>
    <w:rsid w:val="0042385A"/>
    <w:rsid w:val="00424004"/>
    <w:rsid w:val="004270B0"/>
    <w:rsid w:val="0042796F"/>
    <w:rsid w:val="00431723"/>
    <w:rsid w:val="00432E48"/>
    <w:rsid w:val="00436CEC"/>
    <w:rsid w:val="00440AA4"/>
    <w:rsid w:val="0044288A"/>
    <w:rsid w:val="004466E5"/>
    <w:rsid w:val="004468DD"/>
    <w:rsid w:val="00446FB6"/>
    <w:rsid w:val="00450710"/>
    <w:rsid w:val="00450C31"/>
    <w:rsid w:val="0045212F"/>
    <w:rsid w:val="004536C7"/>
    <w:rsid w:val="00456AE2"/>
    <w:rsid w:val="0046016B"/>
    <w:rsid w:val="0046167F"/>
    <w:rsid w:val="004628B5"/>
    <w:rsid w:val="00462C35"/>
    <w:rsid w:val="00463F1C"/>
    <w:rsid w:val="00466697"/>
    <w:rsid w:val="004736BE"/>
    <w:rsid w:val="004752A5"/>
    <w:rsid w:val="0048085C"/>
    <w:rsid w:val="00480B5C"/>
    <w:rsid w:val="00480CFA"/>
    <w:rsid w:val="00485D89"/>
    <w:rsid w:val="0048675D"/>
    <w:rsid w:val="00493F6F"/>
    <w:rsid w:val="00495BA7"/>
    <w:rsid w:val="0049755B"/>
    <w:rsid w:val="004A2961"/>
    <w:rsid w:val="004A4274"/>
    <w:rsid w:val="004A58A0"/>
    <w:rsid w:val="004A672D"/>
    <w:rsid w:val="004A6C3E"/>
    <w:rsid w:val="004B05DF"/>
    <w:rsid w:val="004B2A6E"/>
    <w:rsid w:val="004B2AA2"/>
    <w:rsid w:val="004B31C2"/>
    <w:rsid w:val="004B5DE7"/>
    <w:rsid w:val="004C2470"/>
    <w:rsid w:val="004C7548"/>
    <w:rsid w:val="004D1ECD"/>
    <w:rsid w:val="004E460D"/>
    <w:rsid w:val="004E5365"/>
    <w:rsid w:val="004E5B1F"/>
    <w:rsid w:val="004F0D04"/>
    <w:rsid w:val="004F1259"/>
    <w:rsid w:val="004F1FB5"/>
    <w:rsid w:val="004F6D68"/>
    <w:rsid w:val="00503778"/>
    <w:rsid w:val="00503D81"/>
    <w:rsid w:val="00506175"/>
    <w:rsid w:val="0050625F"/>
    <w:rsid w:val="00511452"/>
    <w:rsid w:val="00512824"/>
    <w:rsid w:val="00512F22"/>
    <w:rsid w:val="00521EE3"/>
    <w:rsid w:val="00523EE1"/>
    <w:rsid w:val="00526A9D"/>
    <w:rsid w:val="00533776"/>
    <w:rsid w:val="00533C52"/>
    <w:rsid w:val="00534355"/>
    <w:rsid w:val="00541192"/>
    <w:rsid w:val="00541B72"/>
    <w:rsid w:val="005429BA"/>
    <w:rsid w:val="00542C90"/>
    <w:rsid w:val="00546DC1"/>
    <w:rsid w:val="00547460"/>
    <w:rsid w:val="00550C50"/>
    <w:rsid w:val="00551407"/>
    <w:rsid w:val="00556D0D"/>
    <w:rsid w:val="00557F0B"/>
    <w:rsid w:val="005636FD"/>
    <w:rsid w:val="005659BD"/>
    <w:rsid w:val="0057148B"/>
    <w:rsid w:val="00572281"/>
    <w:rsid w:val="00584267"/>
    <w:rsid w:val="005863BC"/>
    <w:rsid w:val="005A38DE"/>
    <w:rsid w:val="005A5A53"/>
    <w:rsid w:val="005B2636"/>
    <w:rsid w:val="005B2D03"/>
    <w:rsid w:val="005B32F7"/>
    <w:rsid w:val="005B6B48"/>
    <w:rsid w:val="005C4242"/>
    <w:rsid w:val="005C4E89"/>
    <w:rsid w:val="005C5F4F"/>
    <w:rsid w:val="005C78DA"/>
    <w:rsid w:val="005C7BF7"/>
    <w:rsid w:val="005E2ABC"/>
    <w:rsid w:val="005E3015"/>
    <w:rsid w:val="005E3ED4"/>
    <w:rsid w:val="005F281B"/>
    <w:rsid w:val="005F33F3"/>
    <w:rsid w:val="005F4FEE"/>
    <w:rsid w:val="005F7EF8"/>
    <w:rsid w:val="006056FD"/>
    <w:rsid w:val="00607CA9"/>
    <w:rsid w:val="00610847"/>
    <w:rsid w:val="006233D3"/>
    <w:rsid w:val="00624F9C"/>
    <w:rsid w:val="00626201"/>
    <w:rsid w:val="006314DE"/>
    <w:rsid w:val="006322B4"/>
    <w:rsid w:val="0064213A"/>
    <w:rsid w:val="00643919"/>
    <w:rsid w:val="00646012"/>
    <w:rsid w:val="006468A5"/>
    <w:rsid w:val="00665C04"/>
    <w:rsid w:val="006679BD"/>
    <w:rsid w:val="0067138D"/>
    <w:rsid w:val="00673701"/>
    <w:rsid w:val="00674519"/>
    <w:rsid w:val="00677DB3"/>
    <w:rsid w:val="006800BB"/>
    <w:rsid w:val="006814F3"/>
    <w:rsid w:val="006873D0"/>
    <w:rsid w:val="00687966"/>
    <w:rsid w:val="00691878"/>
    <w:rsid w:val="00691C2A"/>
    <w:rsid w:val="006950F5"/>
    <w:rsid w:val="006964BF"/>
    <w:rsid w:val="006977FB"/>
    <w:rsid w:val="006A215E"/>
    <w:rsid w:val="006A7AE8"/>
    <w:rsid w:val="006A7EF3"/>
    <w:rsid w:val="006B0FE1"/>
    <w:rsid w:val="006B15F7"/>
    <w:rsid w:val="006C4AA6"/>
    <w:rsid w:val="006C57FF"/>
    <w:rsid w:val="006C617D"/>
    <w:rsid w:val="006C6B21"/>
    <w:rsid w:val="006D2948"/>
    <w:rsid w:val="006D58BC"/>
    <w:rsid w:val="006D7F80"/>
    <w:rsid w:val="006E0811"/>
    <w:rsid w:val="006E1425"/>
    <w:rsid w:val="006E50EE"/>
    <w:rsid w:val="006E5B1C"/>
    <w:rsid w:val="006E61AC"/>
    <w:rsid w:val="006E625D"/>
    <w:rsid w:val="006E63CA"/>
    <w:rsid w:val="006F266B"/>
    <w:rsid w:val="006F28CA"/>
    <w:rsid w:val="006F2AD7"/>
    <w:rsid w:val="006F48FA"/>
    <w:rsid w:val="006F5BB1"/>
    <w:rsid w:val="006F696A"/>
    <w:rsid w:val="0070149A"/>
    <w:rsid w:val="0070245C"/>
    <w:rsid w:val="00703AF0"/>
    <w:rsid w:val="00704769"/>
    <w:rsid w:val="00713C88"/>
    <w:rsid w:val="00716810"/>
    <w:rsid w:val="00724A7C"/>
    <w:rsid w:val="00724D2F"/>
    <w:rsid w:val="00724EC4"/>
    <w:rsid w:val="00734A75"/>
    <w:rsid w:val="00753B75"/>
    <w:rsid w:val="007548A6"/>
    <w:rsid w:val="00757F7D"/>
    <w:rsid w:val="00761E03"/>
    <w:rsid w:val="00763DAC"/>
    <w:rsid w:val="0076429C"/>
    <w:rsid w:val="00767ED9"/>
    <w:rsid w:val="00770484"/>
    <w:rsid w:val="00774C80"/>
    <w:rsid w:val="00775171"/>
    <w:rsid w:val="00781DB0"/>
    <w:rsid w:val="00783721"/>
    <w:rsid w:val="0078447A"/>
    <w:rsid w:val="007846B3"/>
    <w:rsid w:val="00786720"/>
    <w:rsid w:val="007923A7"/>
    <w:rsid w:val="007925DF"/>
    <w:rsid w:val="007A1656"/>
    <w:rsid w:val="007A2BB9"/>
    <w:rsid w:val="007B08BA"/>
    <w:rsid w:val="007B470C"/>
    <w:rsid w:val="007B6E36"/>
    <w:rsid w:val="007C03AE"/>
    <w:rsid w:val="007C1EDF"/>
    <w:rsid w:val="007C2A3E"/>
    <w:rsid w:val="007C4E10"/>
    <w:rsid w:val="007C5F25"/>
    <w:rsid w:val="007D6551"/>
    <w:rsid w:val="007E5FCE"/>
    <w:rsid w:val="007E7CA0"/>
    <w:rsid w:val="007F321C"/>
    <w:rsid w:val="00801392"/>
    <w:rsid w:val="00801886"/>
    <w:rsid w:val="00802FF5"/>
    <w:rsid w:val="00807274"/>
    <w:rsid w:val="00807717"/>
    <w:rsid w:val="00810DB5"/>
    <w:rsid w:val="00811577"/>
    <w:rsid w:val="00811852"/>
    <w:rsid w:val="00813006"/>
    <w:rsid w:val="008136E9"/>
    <w:rsid w:val="008155D6"/>
    <w:rsid w:val="00820C29"/>
    <w:rsid w:val="00820F82"/>
    <w:rsid w:val="008218BD"/>
    <w:rsid w:val="00823F9E"/>
    <w:rsid w:val="00844AC6"/>
    <w:rsid w:val="00846E23"/>
    <w:rsid w:val="00852EAF"/>
    <w:rsid w:val="00854A74"/>
    <w:rsid w:val="00855A2E"/>
    <w:rsid w:val="008619E1"/>
    <w:rsid w:val="008623AC"/>
    <w:rsid w:val="00864A4E"/>
    <w:rsid w:val="008656D0"/>
    <w:rsid w:val="008667AA"/>
    <w:rsid w:val="0087000A"/>
    <w:rsid w:val="0087266C"/>
    <w:rsid w:val="0087275E"/>
    <w:rsid w:val="00874685"/>
    <w:rsid w:val="0087576E"/>
    <w:rsid w:val="0087599A"/>
    <w:rsid w:val="00880525"/>
    <w:rsid w:val="00881ACF"/>
    <w:rsid w:val="0088272B"/>
    <w:rsid w:val="00882800"/>
    <w:rsid w:val="00883007"/>
    <w:rsid w:val="00884137"/>
    <w:rsid w:val="0088427E"/>
    <w:rsid w:val="00890434"/>
    <w:rsid w:val="008932A6"/>
    <w:rsid w:val="00894443"/>
    <w:rsid w:val="00895771"/>
    <w:rsid w:val="00896983"/>
    <w:rsid w:val="008A4974"/>
    <w:rsid w:val="008A6080"/>
    <w:rsid w:val="008A6258"/>
    <w:rsid w:val="008B57BA"/>
    <w:rsid w:val="008B5895"/>
    <w:rsid w:val="008B6516"/>
    <w:rsid w:val="008B6A29"/>
    <w:rsid w:val="008B6DD4"/>
    <w:rsid w:val="008C1681"/>
    <w:rsid w:val="008C5191"/>
    <w:rsid w:val="008C5E5D"/>
    <w:rsid w:val="008C6C43"/>
    <w:rsid w:val="008C7402"/>
    <w:rsid w:val="008D2943"/>
    <w:rsid w:val="008D63CA"/>
    <w:rsid w:val="008E235D"/>
    <w:rsid w:val="008E472C"/>
    <w:rsid w:val="008E51F6"/>
    <w:rsid w:val="008F5A48"/>
    <w:rsid w:val="0090119B"/>
    <w:rsid w:val="00913683"/>
    <w:rsid w:val="00916453"/>
    <w:rsid w:val="009174AF"/>
    <w:rsid w:val="00921D88"/>
    <w:rsid w:val="0092281A"/>
    <w:rsid w:val="00927284"/>
    <w:rsid w:val="00930B1F"/>
    <w:rsid w:val="00931172"/>
    <w:rsid w:val="0093406F"/>
    <w:rsid w:val="00935AB5"/>
    <w:rsid w:val="00935B3A"/>
    <w:rsid w:val="00936E4D"/>
    <w:rsid w:val="0094178C"/>
    <w:rsid w:val="00941EC0"/>
    <w:rsid w:val="00943B48"/>
    <w:rsid w:val="00945810"/>
    <w:rsid w:val="009517C2"/>
    <w:rsid w:val="00962617"/>
    <w:rsid w:val="009675CA"/>
    <w:rsid w:val="00971CDB"/>
    <w:rsid w:val="0097457D"/>
    <w:rsid w:val="00977D07"/>
    <w:rsid w:val="00985042"/>
    <w:rsid w:val="009852DE"/>
    <w:rsid w:val="009854AB"/>
    <w:rsid w:val="009854B4"/>
    <w:rsid w:val="00986C9B"/>
    <w:rsid w:val="009A6197"/>
    <w:rsid w:val="009A6377"/>
    <w:rsid w:val="009A73DF"/>
    <w:rsid w:val="009A7A23"/>
    <w:rsid w:val="009B3544"/>
    <w:rsid w:val="009B454C"/>
    <w:rsid w:val="009B4C4E"/>
    <w:rsid w:val="009B7E9C"/>
    <w:rsid w:val="009C2B50"/>
    <w:rsid w:val="009C4A28"/>
    <w:rsid w:val="009C7CDB"/>
    <w:rsid w:val="009D03DF"/>
    <w:rsid w:val="009D34A1"/>
    <w:rsid w:val="009D3B59"/>
    <w:rsid w:val="009D7FE6"/>
    <w:rsid w:val="009E7C8A"/>
    <w:rsid w:val="009F1A84"/>
    <w:rsid w:val="009F2CF0"/>
    <w:rsid w:val="009F6F96"/>
    <w:rsid w:val="009F7113"/>
    <w:rsid w:val="009F7BA6"/>
    <w:rsid w:val="00A00449"/>
    <w:rsid w:val="00A005E8"/>
    <w:rsid w:val="00A03FE0"/>
    <w:rsid w:val="00A20F7B"/>
    <w:rsid w:val="00A22B58"/>
    <w:rsid w:val="00A2318F"/>
    <w:rsid w:val="00A23717"/>
    <w:rsid w:val="00A27DA1"/>
    <w:rsid w:val="00A34297"/>
    <w:rsid w:val="00A36DF1"/>
    <w:rsid w:val="00A37134"/>
    <w:rsid w:val="00A40C92"/>
    <w:rsid w:val="00A40D02"/>
    <w:rsid w:val="00A4363D"/>
    <w:rsid w:val="00A44AA0"/>
    <w:rsid w:val="00A45C3B"/>
    <w:rsid w:val="00A47233"/>
    <w:rsid w:val="00A50BF4"/>
    <w:rsid w:val="00A60CBA"/>
    <w:rsid w:val="00A60D10"/>
    <w:rsid w:val="00A61331"/>
    <w:rsid w:val="00A6582D"/>
    <w:rsid w:val="00A67AB9"/>
    <w:rsid w:val="00A67ABF"/>
    <w:rsid w:val="00A736FB"/>
    <w:rsid w:val="00A73727"/>
    <w:rsid w:val="00A73DB3"/>
    <w:rsid w:val="00A759B5"/>
    <w:rsid w:val="00A80E10"/>
    <w:rsid w:val="00A81824"/>
    <w:rsid w:val="00A90DEA"/>
    <w:rsid w:val="00A915D5"/>
    <w:rsid w:val="00A91E1D"/>
    <w:rsid w:val="00A945FE"/>
    <w:rsid w:val="00A959A1"/>
    <w:rsid w:val="00A96232"/>
    <w:rsid w:val="00AA5408"/>
    <w:rsid w:val="00AA6D06"/>
    <w:rsid w:val="00AA7CAE"/>
    <w:rsid w:val="00AB20CE"/>
    <w:rsid w:val="00AB21D1"/>
    <w:rsid w:val="00AB3E8D"/>
    <w:rsid w:val="00AB516E"/>
    <w:rsid w:val="00AB5AA3"/>
    <w:rsid w:val="00AC5D2C"/>
    <w:rsid w:val="00AD167D"/>
    <w:rsid w:val="00AD7A85"/>
    <w:rsid w:val="00AE181B"/>
    <w:rsid w:val="00AF4D83"/>
    <w:rsid w:val="00B01524"/>
    <w:rsid w:val="00B05620"/>
    <w:rsid w:val="00B12B71"/>
    <w:rsid w:val="00B164FA"/>
    <w:rsid w:val="00B16DCA"/>
    <w:rsid w:val="00B17A91"/>
    <w:rsid w:val="00B21859"/>
    <w:rsid w:val="00B24DEC"/>
    <w:rsid w:val="00B26F29"/>
    <w:rsid w:val="00B27014"/>
    <w:rsid w:val="00B3028C"/>
    <w:rsid w:val="00B313C9"/>
    <w:rsid w:val="00B35102"/>
    <w:rsid w:val="00B3580C"/>
    <w:rsid w:val="00B373C1"/>
    <w:rsid w:val="00B412C7"/>
    <w:rsid w:val="00B41354"/>
    <w:rsid w:val="00B41F88"/>
    <w:rsid w:val="00B4204C"/>
    <w:rsid w:val="00B43CDB"/>
    <w:rsid w:val="00B44791"/>
    <w:rsid w:val="00B45835"/>
    <w:rsid w:val="00B4593D"/>
    <w:rsid w:val="00B46895"/>
    <w:rsid w:val="00B52547"/>
    <w:rsid w:val="00B62865"/>
    <w:rsid w:val="00B64407"/>
    <w:rsid w:val="00B67877"/>
    <w:rsid w:val="00B71CFA"/>
    <w:rsid w:val="00B71F31"/>
    <w:rsid w:val="00B7290F"/>
    <w:rsid w:val="00B73698"/>
    <w:rsid w:val="00B811F6"/>
    <w:rsid w:val="00B9169C"/>
    <w:rsid w:val="00B93125"/>
    <w:rsid w:val="00B93189"/>
    <w:rsid w:val="00B9681B"/>
    <w:rsid w:val="00B96AE5"/>
    <w:rsid w:val="00B96C1C"/>
    <w:rsid w:val="00BA4313"/>
    <w:rsid w:val="00BA483E"/>
    <w:rsid w:val="00BA54C9"/>
    <w:rsid w:val="00BA7018"/>
    <w:rsid w:val="00BA7C61"/>
    <w:rsid w:val="00BB3D9F"/>
    <w:rsid w:val="00BC161C"/>
    <w:rsid w:val="00BC611B"/>
    <w:rsid w:val="00BD0B8F"/>
    <w:rsid w:val="00BD10F2"/>
    <w:rsid w:val="00BD4456"/>
    <w:rsid w:val="00BD4A11"/>
    <w:rsid w:val="00BD5954"/>
    <w:rsid w:val="00BD6D48"/>
    <w:rsid w:val="00BE189E"/>
    <w:rsid w:val="00BE63EE"/>
    <w:rsid w:val="00BF0415"/>
    <w:rsid w:val="00BF1844"/>
    <w:rsid w:val="00BF1A85"/>
    <w:rsid w:val="00BF2D5F"/>
    <w:rsid w:val="00C0056B"/>
    <w:rsid w:val="00C0084D"/>
    <w:rsid w:val="00C12EE2"/>
    <w:rsid w:val="00C1695F"/>
    <w:rsid w:val="00C26147"/>
    <w:rsid w:val="00C27848"/>
    <w:rsid w:val="00C349FD"/>
    <w:rsid w:val="00C42DBC"/>
    <w:rsid w:val="00C430E2"/>
    <w:rsid w:val="00C47662"/>
    <w:rsid w:val="00C51672"/>
    <w:rsid w:val="00C5478D"/>
    <w:rsid w:val="00C55454"/>
    <w:rsid w:val="00C608B4"/>
    <w:rsid w:val="00C61085"/>
    <w:rsid w:val="00C63B72"/>
    <w:rsid w:val="00C646B5"/>
    <w:rsid w:val="00C707F2"/>
    <w:rsid w:val="00C73630"/>
    <w:rsid w:val="00C73855"/>
    <w:rsid w:val="00C7574A"/>
    <w:rsid w:val="00C75905"/>
    <w:rsid w:val="00C7798C"/>
    <w:rsid w:val="00C81F30"/>
    <w:rsid w:val="00C82C66"/>
    <w:rsid w:val="00C8406F"/>
    <w:rsid w:val="00C873A5"/>
    <w:rsid w:val="00C87B3D"/>
    <w:rsid w:val="00C930AF"/>
    <w:rsid w:val="00C93CDD"/>
    <w:rsid w:val="00C941BA"/>
    <w:rsid w:val="00C94AC1"/>
    <w:rsid w:val="00CA011F"/>
    <w:rsid w:val="00CA3109"/>
    <w:rsid w:val="00CA754E"/>
    <w:rsid w:val="00CB0B8C"/>
    <w:rsid w:val="00CB1A3F"/>
    <w:rsid w:val="00CB2481"/>
    <w:rsid w:val="00CC52A5"/>
    <w:rsid w:val="00CD41FB"/>
    <w:rsid w:val="00CE4031"/>
    <w:rsid w:val="00CE635F"/>
    <w:rsid w:val="00CE75B8"/>
    <w:rsid w:val="00CF5612"/>
    <w:rsid w:val="00D01B18"/>
    <w:rsid w:val="00D11513"/>
    <w:rsid w:val="00D12A29"/>
    <w:rsid w:val="00D12A77"/>
    <w:rsid w:val="00D1310D"/>
    <w:rsid w:val="00D14E5D"/>
    <w:rsid w:val="00D16C8E"/>
    <w:rsid w:val="00D20E66"/>
    <w:rsid w:val="00D23683"/>
    <w:rsid w:val="00D2600E"/>
    <w:rsid w:val="00D270B9"/>
    <w:rsid w:val="00D37BB8"/>
    <w:rsid w:val="00D43E5E"/>
    <w:rsid w:val="00D465BE"/>
    <w:rsid w:val="00D5583D"/>
    <w:rsid w:val="00D57015"/>
    <w:rsid w:val="00D606D0"/>
    <w:rsid w:val="00D63F92"/>
    <w:rsid w:val="00D74037"/>
    <w:rsid w:val="00D80F7D"/>
    <w:rsid w:val="00D81D78"/>
    <w:rsid w:val="00D83AA9"/>
    <w:rsid w:val="00D83E9F"/>
    <w:rsid w:val="00D866F6"/>
    <w:rsid w:val="00D86E39"/>
    <w:rsid w:val="00D94C88"/>
    <w:rsid w:val="00DA0D1F"/>
    <w:rsid w:val="00DA3A9D"/>
    <w:rsid w:val="00DA4D1C"/>
    <w:rsid w:val="00DA61A6"/>
    <w:rsid w:val="00DB10A5"/>
    <w:rsid w:val="00DB1489"/>
    <w:rsid w:val="00DB41F3"/>
    <w:rsid w:val="00DB494C"/>
    <w:rsid w:val="00DB56FE"/>
    <w:rsid w:val="00DB72A1"/>
    <w:rsid w:val="00DC1547"/>
    <w:rsid w:val="00DC16F2"/>
    <w:rsid w:val="00DC1AA9"/>
    <w:rsid w:val="00DC3333"/>
    <w:rsid w:val="00DC49C2"/>
    <w:rsid w:val="00DC7AD3"/>
    <w:rsid w:val="00DD1DC8"/>
    <w:rsid w:val="00DD51C6"/>
    <w:rsid w:val="00DE39C0"/>
    <w:rsid w:val="00DE4036"/>
    <w:rsid w:val="00DE6CF7"/>
    <w:rsid w:val="00DF1501"/>
    <w:rsid w:val="00DF57A4"/>
    <w:rsid w:val="00DF5B0E"/>
    <w:rsid w:val="00DF6E76"/>
    <w:rsid w:val="00DF78B0"/>
    <w:rsid w:val="00E000F1"/>
    <w:rsid w:val="00E02CC5"/>
    <w:rsid w:val="00E03D40"/>
    <w:rsid w:val="00E051E9"/>
    <w:rsid w:val="00E1259B"/>
    <w:rsid w:val="00E14713"/>
    <w:rsid w:val="00E157A0"/>
    <w:rsid w:val="00E2055A"/>
    <w:rsid w:val="00E316CA"/>
    <w:rsid w:val="00E318D6"/>
    <w:rsid w:val="00E34F59"/>
    <w:rsid w:val="00E40BEB"/>
    <w:rsid w:val="00E46E2C"/>
    <w:rsid w:val="00E47803"/>
    <w:rsid w:val="00E51336"/>
    <w:rsid w:val="00E51EAC"/>
    <w:rsid w:val="00E51EEE"/>
    <w:rsid w:val="00E527B6"/>
    <w:rsid w:val="00E532F7"/>
    <w:rsid w:val="00E57717"/>
    <w:rsid w:val="00E620BA"/>
    <w:rsid w:val="00E72DDB"/>
    <w:rsid w:val="00E7409D"/>
    <w:rsid w:val="00E744F8"/>
    <w:rsid w:val="00E763E3"/>
    <w:rsid w:val="00E86FA2"/>
    <w:rsid w:val="00E904B4"/>
    <w:rsid w:val="00E90B57"/>
    <w:rsid w:val="00E966FC"/>
    <w:rsid w:val="00EA6938"/>
    <w:rsid w:val="00EB68F2"/>
    <w:rsid w:val="00ED0952"/>
    <w:rsid w:val="00ED1893"/>
    <w:rsid w:val="00ED3625"/>
    <w:rsid w:val="00ED60F0"/>
    <w:rsid w:val="00ED7B94"/>
    <w:rsid w:val="00EE4B7A"/>
    <w:rsid w:val="00EE696B"/>
    <w:rsid w:val="00EE758F"/>
    <w:rsid w:val="00EF4DB0"/>
    <w:rsid w:val="00EF69AB"/>
    <w:rsid w:val="00F00FB5"/>
    <w:rsid w:val="00F02640"/>
    <w:rsid w:val="00F12143"/>
    <w:rsid w:val="00F12D67"/>
    <w:rsid w:val="00F15778"/>
    <w:rsid w:val="00F17C4C"/>
    <w:rsid w:val="00F26065"/>
    <w:rsid w:val="00F310E3"/>
    <w:rsid w:val="00F32FB8"/>
    <w:rsid w:val="00F34D23"/>
    <w:rsid w:val="00F356FA"/>
    <w:rsid w:val="00F36E6E"/>
    <w:rsid w:val="00F40855"/>
    <w:rsid w:val="00F471F5"/>
    <w:rsid w:val="00F47643"/>
    <w:rsid w:val="00F47970"/>
    <w:rsid w:val="00F47A4F"/>
    <w:rsid w:val="00F5029F"/>
    <w:rsid w:val="00F56C87"/>
    <w:rsid w:val="00F6149C"/>
    <w:rsid w:val="00F64CB3"/>
    <w:rsid w:val="00F67E67"/>
    <w:rsid w:val="00F724CD"/>
    <w:rsid w:val="00F727CC"/>
    <w:rsid w:val="00F737C5"/>
    <w:rsid w:val="00F81FBE"/>
    <w:rsid w:val="00F829EF"/>
    <w:rsid w:val="00F84559"/>
    <w:rsid w:val="00F84B22"/>
    <w:rsid w:val="00F86ABE"/>
    <w:rsid w:val="00F944CD"/>
    <w:rsid w:val="00F95804"/>
    <w:rsid w:val="00F979BF"/>
    <w:rsid w:val="00FA4B83"/>
    <w:rsid w:val="00FA7474"/>
    <w:rsid w:val="00FB1CD8"/>
    <w:rsid w:val="00FB20EB"/>
    <w:rsid w:val="00FB4BB5"/>
    <w:rsid w:val="00FC3673"/>
    <w:rsid w:val="00FD1B2E"/>
    <w:rsid w:val="00FD2D5A"/>
    <w:rsid w:val="00FD2FCF"/>
    <w:rsid w:val="00FD3AB4"/>
    <w:rsid w:val="00FD5535"/>
    <w:rsid w:val="00FD55CA"/>
    <w:rsid w:val="00FE0C55"/>
    <w:rsid w:val="00FE6CA1"/>
    <w:rsid w:val="00FE7360"/>
    <w:rsid w:val="00FF5A98"/>
    <w:rsid w:val="00FF62E0"/>
    <w:rsid w:val="00FF76FC"/>
    <w:rsid w:val="01520AA4"/>
    <w:rsid w:val="017734C4"/>
    <w:rsid w:val="019A5532"/>
    <w:rsid w:val="01CE7D24"/>
    <w:rsid w:val="01E82BE5"/>
    <w:rsid w:val="01EB5EF8"/>
    <w:rsid w:val="0299720E"/>
    <w:rsid w:val="02FA30D3"/>
    <w:rsid w:val="048C542A"/>
    <w:rsid w:val="04AC72EC"/>
    <w:rsid w:val="04CB15EC"/>
    <w:rsid w:val="05190704"/>
    <w:rsid w:val="05270DB5"/>
    <w:rsid w:val="0580226C"/>
    <w:rsid w:val="06750C66"/>
    <w:rsid w:val="07116147"/>
    <w:rsid w:val="072C6AB1"/>
    <w:rsid w:val="07576574"/>
    <w:rsid w:val="075E76FE"/>
    <w:rsid w:val="077D7634"/>
    <w:rsid w:val="07B60CA2"/>
    <w:rsid w:val="08422A5C"/>
    <w:rsid w:val="08524FDB"/>
    <w:rsid w:val="0855720F"/>
    <w:rsid w:val="088D5F5C"/>
    <w:rsid w:val="08B71729"/>
    <w:rsid w:val="09705641"/>
    <w:rsid w:val="0997077C"/>
    <w:rsid w:val="0A260FC3"/>
    <w:rsid w:val="0A4E254C"/>
    <w:rsid w:val="0ACA4546"/>
    <w:rsid w:val="0B290A93"/>
    <w:rsid w:val="0BA525D8"/>
    <w:rsid w:val="0BD50CE3"/>
    <w:rsid w:val="0BEE2901"/>
    <w:rsid w:val="0C1F3CBE"/>
    <w:rsid w:val="0C2F6006"/>
    <w:rsid w:val="0C5B37C6"/>
    <w:rsid w:val="0C8352C9"/>
    <w:rsid w:val="0C88726E"/>
    <w:rsid w:val="0C98437D"/>
    <w:rsid w:val="0CED4903"/>
    <w:rsid w:val="0D5E5DCC"/>
    <w:rsid w:val="0DBB7938"/>
    <w:rsid w:val="0E473521"/>
    <w:rsid w:val="0E7864B7"/>
    <w:rsid w:val="0F465E03"/>
    <w:rsid w:val="0F5951D3"/>
    <w:rsid w:val="0F681E22"/>
    <w:rsid w:val="0F9262E5"/>
    <w:rsid w:val="10390CED"/>
    <w:rsid w:val="10680058"/>
    <w:rsid w:val="108D7FEC"/>
    <w:rsid w:val="10B70ADD"/>
    <w:rsid w:val="10D80485"/>
    <w:rsid w:val="10EB0A61"/>
    <w:rsid w:val="10F96CD3"/>
    <w:rsid w:val="11230728"/>
    <w:rsid w:val="11714A01"/>
    <w:rsid w:val="117B7F5E"/>
    <w:rsid w:val="117E3EBF"/>
    <w:rsid w:val="11973FF7"/>
    <w:rsid w:val="11A63895"/>
    <w:rsid w:val="11AA0E33"/>
    <w:rsid w:val="11D465DE"/>
    <w:rsid w:val="11DF5B8B"/>
    <w:rsid w:val="12356713"/>
    <w:rsid w:val="124E6914"/>
    <w:rsid w:val="12F51579"/>
    <w:rsid w:val="13042B7A"/>
    <w:rsid w:val="1338631F"/>
    <w:rsid w:val="13B124D5"/>
    <w:rsid w:val="13F14B1A"/>
    <w:rsid w:val="13F9694A"/>
    <w:rsid w:val="14333776"/>
    <w:rsid w:val="144F6715"/>
    <w:rsid w:val="14742001"/>
    <w:rsid w:val="14AA5797"/>
    <w:rsid w:val="14B71172"/>
    <w:rsid w:val="15667555"/>
    <w:rsid w:val="16150220"/>
    <w:rsid w:val="164342FA"/>
    <w:rsid w:val="16A22BEB"/>
    <w:rsid w:val="16B966B9"/>
    <w:rsid w:val="16CA0BFA"/>
    <w:rsid w:val="16CB645F"/>
    <w:rsid w:val="171820A2"/>
    <w:rsid w:val="17571001"/>
    <w:rsid w:val="181270D8"/>
    <w:rsid w:val="183A7AB3"/>
    <w:rsid w:val="184335AA"/>
    <w:rsid w:val="185C4B83"/>
    <w:rsid w:val="18B45F0F"/>
    <w:rsid w:val="1ADD1051"/>
    <w:rsid w:val="1B170F6C"/>
    <w:rsid w:val="1B200CF6"/>
    <w:rsid w:val="1B2E05FE"/>
    <w:rsid w:val="1B3C6ED8"/>
    <w:rsid w:val="1B804CE5"/>
    <w:rsid w:val="1C2D7855"/>
    <w:rsid w:val="1C4200E7"/>
    <w:rsid w:val="1CA7647F"/>
    <w:rsid w:val="1CB1569A"/>
    <w:rsid w:val="1CB313F6"/>
    <w:rsid w:val="1CD30593"/>
    <w:rsid w:val="1D3A13B3"/>
    <w:rsid w:val="1D503F50"/>
    <w:rsid w:val="1E1C5E73"/>
    <w:rsid w:val="1E391DB3"/>
    <w:rsid w:val="1E3D5BFF"/>
    <w:rsid w:val="1E5A0DBD"/>
    <w:rsid w:val="1E5B585E"/>
    <w:rsid w:val="1E8563ED"/>
    <w:rsid w:val="1EA0459D"/>
    <w:rsid w:val="1EB21D4C"/>
    <w:rsid w:val="1ED42809"/>
    <w:rsid w:val="1F492E83"/>
    <w:rsid w:val="1F6A2CF4"/>
    <w:rsid w:val="1FFD6FC8"/>
    <w:rsid w:val="202279CC"/>
    <w:rsid w:val="20441B19"/>
    <w:rsid w:val="205D447F"/>
    <w:rsid w:val="20663493"/>
    <w:rsid w:val="20A6481A"/>
    <w:rsid w:val="20B87A68"/>
    <w:rsid w:val="20BF45FE"/>
    <w:rsid w:val="20C70459"/>
    <w:rsid w:val="2102069D"/>
    <w:rsid w:val="215F78EC"/>
    <w:rsid w:val="22160B82"/>
    <w:rsid w:val="22633CAD"/>
    <w:rsid w:val="229F23A9"/>
    <w:rsid w:val="22D26F9A"/>
    <w:rsid w:val="230F44D7"/>
    <w:rsid w:val="23875C45"/>
    <w:rsid w:val="23B12896"/>
    <w:rsid w:val="23F316BB"/>
    <w:rsid w:val="24963225"/>
    <w:rsid w:val="24994A73"/>
    <w:rsid w:val="24EC4414"/>
    <w:rsid w:val="25377C12"/>
    <w:rsid w:val="254E30EB"/>
    <w:rsid w:val="25B0273C"/>
    <w:rsid w:val="25B86354"/>
    <w:rsid w:val="25D45C3E"/>
    <w:rsid w:val="25DB33D1"/>
    <w:rsid w:val="25DD61F7"/>
    <w:rsid w:val="276E7580"/>
    <w:rsid w:val="277070EA"/>
    <w:rsid w:val="279E1806"/>
    <w:rsid w:val="279F27E3"/>
    <w:rsid w:val="281E11E4"/>
    <w:rsid w:val="283E4B96"/>
    <w:rsid w:val="28B92147"/>
    <w:rsid w:val="28D21E67"/>
    <w:rsid w:val="295A3ADD"/>
    <w:rsid w:val="29D26BE3"/>
    <w:rsid w:val="2A19597B"/>
    <w:rsid w:val="2A6C2D68"/>
    <w:rsid w:val="2A7439F6"/>
    <w:rsid w:val="2AEA69C9"/>
    <w:rsid w:val="2AFF1738"/>
    <w:rsid w:val="2B371124"/>
    <w:rsid w:val="2B376F2C"/>
    <w:rsid w:val="2B417276"/>
    <w:rsid w:val="2B5A5895"/>
    <w:rsid w:val="2BA702B7"/>
    <w:rsid w:val="2C4F787A"/>
    <w:rsid w:val="2C764B59"/>
    <w:rsid w:val="2C852F06"/>
    <w:rsid w:val="2C9F53AF"/>
    <w:rsid w:val="2CBA641B"/>
    <w:rsid w:val="2CFB4920"/>
    <w:rsid w:val="2D982E0B"/>
    <w:rsid w:val="2DA20924"/>
    <w:rsid w:val="2DEE5C16"/>
    <w:rsid w:val="2E072654"/>
    <w:rsid w:val="2E4C0591"/>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A63D95"/>
    <w:rsid w:val="35AB3B2B"/>
    <w:rsid w:val="35B11597"/>
    <w:rsid w:val="360B3E62"/>
    <w:rsid w:val="367F29FE"/>
    <w:rsid w:val="36D72917"/>
    <w:rsid w:val="36E41E01"/>
    <w:rsid w:val="370E4390"/>
    <w:rsid w:val="3744619F"/>
    <w:rsid w:val="37797AAB"/>
    <w:rsid w:val="379154B0"/>
    <w:rsid w:val="37965565"/>
    <w:rsid w:val="38195423"/>
    <w:rsid w:val="395B7FBE"/>
    <w:rsid w:val="3971655D"/>
    <w:rsid w:val="397B07A1"/>
    <w:rsid w:val="39D5177E"/>
    <w:rsid w:val="3A8525FC"/>
    <w:rsid w:val="3AC91B59"/>
    <w:rsid w:val="3AD4225A"/>
    <w:rsid w:val="3B0C0B24"/>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8B79DD"/>
    <w:rsid w:val="3FE168EF"/>
    <w:rsid w:val="405A34BE"/>
    <w:rsid w:val="40B251CA"/>
    <w:rsid w:val="40D12F9B"/>
    <w:rsid w:val="40D50F73"/>
    <w:rsid w:val="40E765BD"/>
    <w:rsid w:val="414E6719"/>
    <w:rsid w:val="417A46D4"/>
    <w:rsid w:val="419345E1"/>
    <w:rsid w:val="41940CDA"/>
    <w:rsid w:val="41CF0BCF"/>
    <w:rsid w:val="41D427C4"/>
    <w:rsid w:val="41E04248"/>
    <w:rsid w:val="42042CCA"/>
    <w:rsid w:val="42F14CA1"/>
    <w:rsid w:val="43252782"/>
    <w:rsid w:val="43482809"/>
    <w:rsid w:val="43727FC7"/>
    <w:rsid w:val="43794BD1"/>
    <w:rsid w:val="44781099"/>
    <w:rsid w:val="44D70159"/>
    <w:rsid w:val="4553238D"/>
    <w:rsid w:val="461A78A6"/>
    <w:rsid w:val="46A301C2"/>
    <w:rsid w:val="46B215A3"/>
    <w:rsid w:val="46C36755"/>
    <w:rsid w:val="46D027AA"/>
    <w:rsid w:val="47440ED2"/>
    <w:rsid w:val="47723768"/>
    <w:rsid w:val="479D6455"/>
    <w:rsid w:val="47D9353C"/>
    <w:rsid w:val="47FB70B2"/>
    <w:rsid w:val="48690797"/>
    <w:rsid w:val="48B42737"/>
    <w:rsid w:val="48B5112D"/>
    <w:rsid w:val="48DD2962"/>
    <w:rsid w:val="49413270"/>
    <w:rsid w:val="4942032F"/>
    <w:rsid w:val="49490BB1"/>
    <w:rsid w:val="49692915"/>
    <w:rsid w:val="49EF1F42"/>
    <w:rsid w:val="4A3847B0"/>
    <w:rsid w:val="4A3F772C"/>
    <w:rsid w:val="4A6603DD"/>
    <w:rsid w:val="4A6E7668"/>
    <w:rsid w:val="4A9647BF"/>
    <w:rsid w:val="4AC61690"/>
    <w:rsid w:val="4B992729"/>
    <w:rsid w:val="4BAA4DA4"/>
    <w:rsid w:val="4BF14E5C"/>
    <w:rsid w:val="4D2301A6"/>
    <w:rsid w:val="4D397E04"/>
    <w:rsid w:val="4DA237EC"/>
    <w:rsid w:val="4DD1007C"/>
    <w:rsid w:val="4DD80FF0"/>
    <w:rsid w:val="4DF37665"/>
    <w:rsid w:val="4E51488B"/>
    <w:rsid w:val="4EB04CEB"/>
    <w:rsid w:val="4EBC4081"/>
    <w:rsid w:val="4F96706C"/>
    <w:rsid w:val="4FA060F5"/>
    <w:rsid w:val="4FC915F8"/>
    <w:rsid w:val="504E4277"/>
    <w:rsid w:val="506F3038"/>
    <w:rsid w:val="50F07683"/>
    <w:rsid w:val="516C70A1"/>
    <w:rsid w:val="519C25A2"/>
    <w:rsid w:val="52002EB5"/>
    <w:rsid w:val="525C4143"/>
    <w:rsid w:val="52B85D86"/>
    <w:rsid w:val="53084074"/>
    <w:rsid w:val="534B0C47"/>
    <w:rsid w:val="5360776D"/>
    <w:rsid w:val="537261AA"/>
    <w:rsid w:val="53E411F3"/>
    <w:rsid w:val="53E7314D"/>
    <w:rsid w:val="551032A1"/>
    <w:rsid w:val="558B0EF2"/>
    <w:rsid w:val="56195DC5"/>
    <w:rsid w:val="5671771B"/>
    <w:rsid w:val="56B26734"/>
    <w:rsid w:val="56D21446"/>
    <w:rsid w:val="572A056F"/>
    <w:rsid w:val="572F2122"/>
    <w:rsid w:val="57513E3C"/>
    <w:rsid w:val="575E71D1"/>
    <w:rsid w:val="577379DD"/>
    <w:rsid w:val="57780285"/>
    <w:rsid w:val="57CB7122"/>
    <w:rsid w:val="58C67724"/>
    <w:rsid w:val="58F74373"/>
    <w:rsid w:val="592B2BC8"/>
    <w:rsid w:val="5945570A"/>
    <w:rsid w:val="598A1022"/>
    <w:rsid w:val="5A5538A1"/>
    <w:rsid w:val="5AA20FEB"/>
    <w:rsid w:val="5AD14650"/>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EF37788"/>
    <w:rsid w:val="5F372A1F"/>
    <w:rsid w:val="5F460C39"/>
    <w:rsid w:val="5FEB56E6"/>
    <w:rsid w:val="60210B27"/>
    <w:rsid w:val="605B7E8A"/>
    <w:rsid w:val="605E59DD"/>
    <w:rsid w:val="609E675C"/>
    <w:rsid w:val="610B3038"/>
    <w:rsid w:val="61391272"/>
    <w:rsid w:val="613B6F0D"/>
    <w:rsid w:val="6157463B"/>
    <w:rsid w:val="61633902"/>
    <w:rsid w:val="61A15272"/>
    <w:rsid w:val="61D95E93"/>
    <w:rsid w:val="62012E19"/>
    <w:rsid w:val="620C4DF8"/>
    <w:rsid w:val="62B11F77"/>
    <w:rsid w:val="62D2414E"/>
    <w:rsid w:val="62FE72D8"/>
    <w:rsid w:val="634D2D5C"/>
    <w:rsid w:val="63856413"/>
    <w:rsid w:val="63B05CBA"/>
    <w:rsid w:val="63D201A3"/>
    <w:rsid w:val="64003D27"/>
    <w:rsid w:val="646E04C5"/>
    <w:rsid w:val="64AD388C"/>
    <w:rsid w:val="64B60830"/>
    <w:rsid w:val="657E6542"/>
    <w:rsid w:val="66372AB9"/>
    <w:rsid w:val="66564BC8"/>
    <w:rsid w:val="66C66E69"/>
    <w:rsid w:val="67834728"/>
    <w:rsid w:val="67E623F7"/>
    <w:rsid w:val="67F17622"/>
    <w:rsid w:val="681253D0"/>
    <w:rsid w:val="685A6D95"/>
    <w:rsid w:val="68F2680E"/>
    <w:rsid w:val="69271690"/>
    <w:rsid w:val="69C55233"/>
    <w:rsid w:val="69EB0D20"/>
    <w:rsid w:val="69FB5F53"/>
    <w:rsid w:val="6A1C22CC"/>
    <w:rsid w:val="6A436251"/>
    <w:rsid w:val="6AE866A8"/>
    <w:rsid w:val="6AF619D0"/>
    <w:rsid w:val="6B051D29"/>
    <w:rsid w:val="6B106310"/>
    <w:rsid w:val="6B703D33"/>
    <w:rsid w:val="6B711B7A"/>
    <w:rsid w:val="6BC524A5"/>
    <w:rsid w:val="6BE8725E"/>
    <w:rsid w:val="6C152647"/>
    <w:rsid w:val="6C2F6077"/>
    <w:rsid w:val="6C6608D6"/>
    <w:rsid w:val="6D722C89"/>
    <w:rsid w:val="6D8D7A35"/>
    <w:rsid w:val="6DDB69F4"/>
    <w:rsid w:val="6E4F523E"/>
    <w:rsid w:val="6E5729A2"/>
    <w:rsid w:val="6E583A1F"/>
    <w:rsid w:val="6EAB742B"/>
    <w:rsid w:val="6EB0558D"/>
    <w:rsid w:val="6EC6113E"/>
    <w:rsid w:val="6EF260EC"/>
    <w:rsid w:val="6F170E2C"/>
    <w:rsid w:val="70531535"/>
    <w:rsid w:val="70672A43"/>
    <w:rsid w:val="70BF0D6E"/>
    <w:rsid w:val="70E01DD1"/>
    <w:rsid w:val="71027CA7"/>
    <w:rsid w:val="71267D29"/>
    <w:rsid w:val="71597165"/>
    <w:rsid w:val="718544F1"/>
    <w:rsid w:val="71976AED"/>
    <w:rsid w:val="71F60334"/>
    <w:rsid w:val="721F1D01"/>
    <w:rsid w:val="723E3936"/>
    <w:rsid w:val="7341102A"/>
    <w:rsid w:val="734173F7"/>
    <w:rsid w:val="73A17E6A"/>
    <w:rsid w:val="73E16D57"/>
    <w:rsid w:val="745C3615"/>
    <w:rsid w:val="746049BA"/>
    <w:rsid w:val="74752B92"/>
    <w:rsid w:val="74874E5A"/>
    <w:rsid w:val="74A2568B"/>
    <w:rsid w:val="74EC0DD1"/>
    <w:rsid w:val="75A66BAC"/>
    <w:rsid w:val="76021882"/>
    <w:rsid w:val="762568A1"/>
    <w:rsid w:val="762B6181"/>
    <w:rsid w:val="763970F9"/>
    <w:rsid w:val="766574D1"/>
    <w:rsid w:val="766A35F9"/>
    <w:rsid w:val="767C3DB4"/>
    <w:rsid w:val="76DE1045"/>
    <w:rsid w:val="77AF2483"/>
    <w:rsid w:val="77D64484"/>
    <w:rsid w:val="77E92124"/>
    <w:rsid w:val="77E922B4"/>
    <w:rsid w:val="781E6438"/>
    <w:rsid w:val="786258A4"/>
    <w:rsid w:val="7928350F"/>
    <w:rsid w:val="7969405B"/>
    <w:rsid w:val="798B1783"/>
    <w:rsid w:val="79B2108A"/>
    <w:rsid w:val="7A417E6A"/>
    <w:rsid w:val="7A867D5E"/>
    <w:rsid w:val="7A98347A"/>
    <w:rsid w:val="7AA222D1"/>
    <w:rsid w:val="7B2C0F71"/>
    <w:rsid w:val="7B647A4A"/>
    <w:rsid w:val="7B8B77FD"/>
    <w:rsid w:val="7BC71689"/>
    <w:rsid w:val="7BE20360"/>
    <w:rsid w:val="7C5A2582"/>
    <w:rsid w:val="7C78688F"/>
    <w:rsid w:val="7D21376C"/>
    <w:rsid w:val="7D2D5273"/>
    <w:rsid w:val="7D3943CC"/>
    <w:rsid w:val="7D8B198E"/>
    <w:rsid w:val="7DFC7E2B"/>
    <w:rsid w:val="7E777D38"/>
    <w:rsid w:val="7E955D77"/>
    <w:rsid w:val="7ED72C8B"/>
    <w:rsid w:val="7F183048"/>
    <w:rsid w:val="7F8B1A78"/>
    <w:rsid w:val="7FA418D8"/>
    <w:rsid w:val="7FA92784"/>
    <w:rsid w:val="7FAD1D73"/>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6" w:lineRule="auto"/>
      <w:outlineLvl w:val="0"/>
    </w:pPr>
    <w:rPr>
      <w:b/>
      <w:kern w:val="44"/>
      <w:sz w:val="44"/>
    </w:rPr>
  </w:style>
  <w:style w:type="paragraph" w:styleId="4">
    <w:name w:val="heading 2"/>
    <w:basedOn w:val="1"/>
    <w:next w:val="1"/>
    <w:link w:val="25"/>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qFormat/>
    <w:uiPriority w:val="0"/>
    <w:pPr>
      <w:keepNext/>
      <w:keepLines/>
      <w:outlineLvl w:val="3"/>
    </w:pPr>
    <w:rPr>
      <w:rFonts w:ascii="Arial" w:hAnsi="Arial" w:eastAsia="黑体"/>
      <w:bCs/>
      <w:kern w:val="0"/>
      <w:sz w:val="24"/>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annotation text"/>
    <w:basedOn w:val="1"/>
    <w:link w:val="26"/>
    <w:unhideWhenUsed/>
    <w:qFormat/>
    <w:uiPriority w:val="99"/>
    <w:pPr>
      <w:jc w:val="left"/>
    </w:pPr>
  </w:style>
  <w:style w:type="paragraph" w:styleId="7">
    <w:name w:val="Salutation"/>
    <w:basedOn w:val="1"/>
    <w:next w:val="1"/>
    <w:link w:val="46"/>
    <w:qFormat/>
    <w:uiPriority w:val="0"/>
    <w:pPr>
      <w:widowControl/>
      <w:jc w:val="left"/>
    </w:pPr>
    <w:rPr>
      <w:rFonts w:ascii="Times New Roman" w:hAnsi="Times New Roman"/>
      <w:kern w:val="0"/>
      <w:sz w:val="20"/>
    </w:rPr>
  </w:style>
  <w:style w:type="paragraph" w:styleId="8">
    <w:name w:val="toc 3"/>
    <w:basedOn w:val="1"/>
    <w:next w:val="1"/>
    <w:unhideWhenUsed/>
    <w:qFormat/>
    <w:uiPriority w:val="39"/>
    <w:pPr>
      <w:widowControl/>
      <w:spacing w:after="100" w:line="276" w:lineRule="auto"/>
      <w:ind w:left="440"/>
      <w:jc w:val="left"/>
    </w:pPr>
    <w:rPr>
      <w:kern w:val="0"/>
      <w:sz w:val="22"/>
      <w:szCs w:val="22"/>
    </w:rPr>
  </w:style>
  <w:style w:type="paragraph" w:styleId="9">
    <w:name w:val="Plain Text"/>
    <w:basedOn w:val="1"/>
    <w:link w:val="27"/>
    <w:qFormat/>
    <w:uiPriority w:val="99"/>
    <w:rPr>
      <w:rFonts w:ascii="宋体" w:hAnsi="Courier New"/>
      <w:szCs w:val="21"/>
    </w:rPr>
  </w:style>
  <w:style w:type="paragraph" w:styleId="10">
    <w:name w:val="Date"/>
    <w:basedOn w:val="1"/>
    <w:next w:val="1"/>
    <w:link w:val="28"/>
    <w:qFormat/>
    <w:uiPriority w:val="0"/>
    <w:pPr>
      <w:ind w:left="100" w:leftChars="2500"/>
    </w:pPr>
  </w:style>
  <w:style w:type="paragraph" w:styleId="11">
    <w:name w:val="Balloon Text"/>
    <w:basedOn w:val="1"/>
    <w:link w:val="29"/>
    <w:qFormat/>
    <w:uiPriority w:val="0"/>
    <w:rPr>
      <w:sz w:val="18"/>
      <w:szCs w:val="18"/>
    </w:rPr>
  </w:style>
  <w:style w:type="paragraph" w:styleId="12">
    <w:name w:val="footer"/>
    <w:basedOn w:val="1"/>
    <w:link w:val="30"/>
    <w:qFormat/>
    <w:uiPriority w:val="99"/>
    <w:pPr>
      <w:tabs>
        <w:tab w:val="center" w:pos="4153"/>
        <w:tab w:val="right" w:pos="8306"/>
      </w:tabs>
      <w:snapToGrid w:val="0"/>
      <w:jc w:val="left"/>
    </w:pPr>
    <w:rPr>
      <w:sz w:val="18"/>
    </w:rPr>
  </w:style>
  <w:style w:type="paragraph" w:styleId="13">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link w:val="32"/>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Hyperlink"/>
    <w:qFormat/>
    <w:uiPriority w:val="99"/>
    <w:rPr>
      <w:color w:val="0000FF"/>
      <w:u w:val="single"/>
    </w:rPr>
  </w:style>
  <w:style w:type="character" w:styleId="23">
    <w:name w:val="annotation reference"/>
    <w:unhideWhenUsed/>
    <w:qFormat/>
    <w:uiPriority w:val="99"/>
    <w:rPr>
      <w:sz w:val="21"/>
      <w:szCs w:val="21"/>
    </w:rPr>
  </w:style>
  <w:style w:type="character" w:customStyle="1" w:styleId="24">
    <w:name w:val="标题 1 字符"/>
    <w:link w:val="3"/>
    <w:qFormat/>
    <w:uiPriority w:val="0"/>
    <w:rPr>
      <w:rFonts w:ascii="Calibri" w:hAnsi="Calibri"/>
      <w:b/>
      <w:kern w:val="44"/>
      <w:sz w:val="44"/>
      <w:szCs w:val="24"/>
    </w:rPr>
  </w:style>
  <w:style w:type="character" w:customStyle="1" w:styleId="25">
    <w:name w:val="标题 2 字符"/>
    <w:link w:val="4"/>
    <w:qFormat/>
    <w:uiPriority w:val="0"/>
    <w:rPr>
      <w:rFonts w:ascii="Arial" w:hAnsi="Arial" w:eastAsia="黑体"/>
      <w:b/>
      <w:kern w:val="2"/>
      <w:sz w:val="32"/>
      <w:szCs w:val="24"/>
    </w:rPr>
  </w:style>
  <w:style w:type="character" w:customStyle="1" w:styleId="26">
    <w:name w:val="批注文字 字符"/>
    <w:link w:val="6"/>
    <w:qFormat/>
    <w:uiPriority w:val="99"/>
    <w:rPr>
      <w:rFonts w:ascii="Calibri" w:hAnsi="Calibri" w:eastAsia="宋体" w:cs="Times New Roman"/>
      <w:kern w:val="2"/>
      <w:sz w:val="21"/>
      <w:szCs w:val="24"/>
    </w:rPr>
  </w:style>
  <w:style w:type="character" w:customStyle="1" w:styleId="27">
    <w:name w:val="纯文本 字符"/>
    <w:link w:val="9"/>
    <w:qFormat/>
    <w:uiPriority w:val="99"/>
    <w:rPr>
      <w:rFonts w:ascii="宋体" w:hAnsi="Courier New" w:eastAsia="宋体" w:cs="Courier New"/>
      <w:kern w:val="2"/>
      <w:sz w:val="21"/>
      <w:szCs w:val="21"/>
    </w:rPr>
  </w:style>
  <w:style w:type="character" w:customStyle="1" w:styleId="28">
    <w:name w:val="日期 字符"/>
    <w:link w:val="10"/>
    <w:qFormat/>
    <w:uiPriority w:val="0"/>
    <w:rPr>
      <w:rFonts w:ascii="Calibri" w:hAnsi="Calibri" w:eastAsia="宋体" w:cs="Times New Roman"/>
      <w:kern w:val="2"/>
      <w:sz w:val="21"/>
      <w:szCs w:val="24"/>
    </w:rPr>
  </w:style>
  <w:style w:type="character" w:customStyle="1" w:styleId="29">
    <w:name w:val="批注框文本 字符"/>
    <w:link w:val="11"/>
    <w:qFormat/>
    <w:uiPriority w:val="0"/>
    <w:rPr>
      <w:rFonts w:ascii="Calibri" w:hAnsi="Calibri" w:eastAsia="宋体" w:cs="Times New Roman"/>
      <w:kern w:val="2"/>
      <w:sz w:val="18"/>
      <w:szCs w:val="18"/>
    </w:rPr>
  </w:style>
  <w:style w:type="character" w:customStyle="1" w:styleId="30">
    <w:name w:val="页脚 字符"/>
    <w:link w:val="12"/>
    <w:qFormat/>
    <w:uiPriority w:val="99"/>
    <w:rPr>
      <w:rFonts w:ascii="Calibri" w:hAnsi="Calibri"/>
      <w:kern w:val="2"/>
      <w:sz w:val="18"/>
      <w:szCs w:val="24"/>
    </w:rPr>
  </w:style>
  <w:style w:type="character" w:customStyle="1" w:styleId="31">
    <w:name w:val="页眉 字符"/>
    <w:link w:val="13"/>
    <w:qFormat/>
    <w:uiPriority w:val="0"/>
    <w:rPr>
      <w:rFonts w:ascii="Calibri" w:hAnsi="Calibri"/>
      <w:kern w:val="2"/>
      <w:sz w:val="18"/>
      <w:szCs w:val="24"/>
    </w:rPr>
  </w:style>
  <w:style w:type="character" w:customStyle="1" w:styleId="32">
    <w:name w:val="批注主题 字符"/>
    <w:link w:val="17"/>
    <w:qFormat/>
    <w:uiPriority w:val="0"/>
    <w:rPr>
      <w:rFonts w:ascii="Calibri" w:hAnsi="Calibri" w:eastAsia="宋体" w:cs="Times New Roman"/>
      <w:b/>
      <w:bCs/>
      <w:kern w:val="2"/>
      <w:sz w:val="21"/>
      <w:szCs w:val="24"/>
    </w:rPr>
  </w:style>
  <w:style w:type="paragraph" w:customStyle="1" w:styleId="33">
    <w:name w:val="列出段落11"/>
    <w:basedOn w:val="1"/>
    <w:qFormat/>
    <w:uiPriority w:val="34"/>
    <w:pPr>
      <w:ind w:firstLine="420" w:firstLineChars="200"/>
    </w:pPr>
    <w:rPr>
      <w:szCs w:val="22"/>
      <w:lang w:val="zh-CN"/>
    </w:rPr>
  </w:style>
  <w:style w:type="paragraph" w:customStyle="1" w:styleId="34">
    <w:name w:val="TOC 标题1"/>
    <w:basedOn w:val="3"/>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36">
    <w:name w:val="List Paragraph"/>
    <w:basedOn w:val="1"/>
    <w:qFormat/>
    <w:uiPriority w:val="34"/>
    <w:pPr>
      <w:ind w:firstLine="420" w:firstLineChars="200"/>
    </w:p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修订1"/>
    <w:unhideWhenUsed/>
    <w:qFormat/>
    <w:uiPriority w:val="99"/>
    <w:rPr>
      <w:rFonts w:ascii="Calibri" w:hAnsi="Calibri" w:eastAsia="宋体" w:cs="Times New Roman"/>
      <w:kern w:val="2"/>
      <w:sz w:val="21"/>
      <w:szCs w:val="24"/>
      <w:lang w:val="en-US" w:eastAsia="zh-CN" w:bidi="ar-SA"/>
    </w:rPr>
  </w:style>
  <w:style w:type="paragraph" w:customStyle="1" w:styleId="39">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0">
    <w:name w:val="_Style 46"/>
    <w:basedOn w:val="1"/>
    <w:qFormat/>
    <w:uiPriority w:val="0"/>
    <w:pPr>
      <w:ind w:firstLine="420" w:firstLineChars="200"/>
    </w:pPr>
    <w:rPr>
      <w:rFonts w:ascii="Times New Roman" w:hAnsi="Times New Roman"/>
    </w:rPr>
  </w:style>
  <w:style w:type="character" w:customStyle="1" w:styleId="41">
    <w:name w:val="批注文字 字符1"/>
    <w:qFormat/>
    <w:uiPriority w:val="99"/>
    <w:rPr>
      <w:rFonts w:cs="Times New Roman"/>
    </w:rPr>
  </w:style>
  <w:style w:type="paragraph" w:customStyle="1" w:styleId="42">
    <w:name w:val="Fließtext"/>
    <w:basedOn w:val="1"/>
    <w:qFormat/>
    <w:uiPriority w:val="99"/>
    <w:pPr>
      <w:overflowPunct w:val="0"/>
      <w:autoSpaceDE w:val="0"/>
      <w:autoSpaceDN w:val="0"/>
      <w:adjustRightInd w:val="0"/>
    </w:pPr>
    <w:rPr>
      <w:rFonts w:ascii="Times New Roman" w:hAnsi="Times New Roman"/>
      <w:kern w:val="28"/>
      <w:szCs w:val="20"/>
    </w:rPr>
  </w:style>
  <w:style w:type="paragraph" w:customStyle="1" w:styleId="43">
    <w:name w:val="Body text|1"/>
    <w:basedOn w:val="1"/>
    <w:qFormat/>
    <w:uiPriority w:val="0"/>
    <w:rPr>
      <w:rFonts w:ascii="宋体" w:hAnsi="宋体" w:cs="宋体"/>
      <w:kern w:val="0"/>
      <w:sz w:val="26"/>
      <w:szCs w:val="26"/>
      <w:lang w:val="zh-TW" w:eastAsia="zh-TW" w:bidi="zh-TW"/>
    </w:rPr>
  </w:style>
  <w:style w:type="paragraph" w:customStyle="1" w:styleId="44">
    <w:name w:val="Other|1"/>
    <w:basedOn w:val="1"/>
    <w:qFormat/>
    <w:uiPriority w:val="0"/>
    <w:pPr>
      <w:jc w:val="center"/>
    </w:pPr>
    <w:rPr>
      <w:rFonts w:ascii="宋体" w:hAnsi="宋体" w:cs="宋体"/>
      <w:kern w:val="0"/>
      <w:sz w:val="22"/>
      <w:szCs w:val="22"/>
    </w:rPr>
  </w:style>
  <w:style w:type="paragraph" w:customStyle="1" w:styleId="45">
    <w:name w:val="Table Paragraph"/>
    <w:basedOn w:val="1"/>
    <w:qFormat/>
    <w:uiPriority w:val="1"/>
    <w:pPr>
      <w:jc w:val="left"/>
    </w:pPr>
    <w:rPr>
      <w:kern w:val="0"/>
      <w:sz w:val="22"/>
      <w:szCs w:val="22"/>
      <w:lang w:eastAsia="en-US"/>
    </w:rPr>
  </w:style>
  <w:style w:type="character" w:customStyle="1" w:styleId="46">
    <w:name w:val="称呼 字符"/>
    <w:basedOn w:val="20"/>
    <w:link w:val="7"/>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B23EC-D116-4E2D-8960-7244D315A235}">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46987</Words>
  <Characters>50779</Characters>
  <Lines>433</Lines>
  <Paragraphs>121</Paragraphs>
  <TotalTime>0</TotalTime>
  <ScaleCrop>false</ScaleCrop>
  <LinksUpToDate>false</LinksUpToDate>
  <CharactersWithSpaces>53018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2022-11-04T08:23:00Z</dcterms:created>
  <dc:creator>ZFL</dc:creator>
  <cp:lastModifiedBy>Brilliantの</cp:lastModifiedBy>
  <cp:lastPrinted>2020-05-21T01:30:00Z</cp:lastPrinted>
  <dcterms:modified xsi:type="dcterms:W3CDTF">2022-11-11T07:59:39Z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33EDE530781B4CD49860FBC9046D67E0</vt:lpwstr>
  </property>
</Properties>
</file>