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32"/>
          <w:szCs w:val="32"/>
          <w:highlight w:val="none"/>
        </w:rPr>
      </w:pPr>
      <w:r>
        <w:rPr>
          <w:rFonts w:hint="eastAsia" w:ascii="宋体" w:hAnsi="宋体" w:cs="宋体"/>
          <w:b/>
          <w:bCs/>
          <w:sz w:val="32"/>
          <w:szCs w:val="32"/>
          <w:highlight w:val="none"/>
          <w:lang w:val="en-US" w:eastAsia="zh-CN"/>
        </w:rPr>
        <w:t>采购技术参数及</w:t>
      </w:r>
      <w:r>
        <w:rPr>
          <w:rFonts w:hint="eastAsia" w:ascii="宋体" w:hAnsi="宋体" w:cs="宋体"/>
          <w:b/>
          <w:bCs/>
          <w:sz w:val="32"/>
          <w:szCs w:val="32"/>
          <w:highlight w:val="none"/>
        </w:rPr>
        <w:t>清单</w:t>
      </w:r>
    </w:p>
    <w:p>
      <w:pPr>
        <w:rPr>
          <w:rFonts w:hint="eastAsia" w:ascii="宋体" w:hAnsi="宋体" w:cs="宋体"/>
          <w:sz w:val="18"/>
          <w:szCs w:val="18"/>
        </w:rPr>
      </w:pPr>
    </w:p>
    <w:tbl>
      <w:tblPr>
        <w:tblStyle w:val="9"/>
        <w:tblW w:w="9661" w:type="dxa"/>
        <w:tblInd w:w="-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724"/>
        <w:gridCol w:w="5224"/>
        <w:gridCol w:w="414"/>
        <w:gridCol w:w="447"/>
        <w:gridCol w:w="1122"/>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noWrap w:val="0"/>
            <w:vAlign w:val="center"/>
          </w:tcPr>
          <w:p>
            <w:pPr>
              <w:jc w:val="center"/>
              <w:rPr>
                <w:rFonts w:hint="eastAsia" w:ascii="微软雅黑" w:hAnsi="微软雅黑" w:eastAsia="微软雅黑" w:cs="微软雅黑"/>
                <w:bCs/>
                <w:color w:val="000000"/>
                <w:sz w:val="18"/>
                <w:szCs w:val="18"/>
              </w:rPr>
            </w:pPr>
            <w:r>
              <w:rPr>
                <w:rFonts w:hint="eastAsia" w:ascii="微软雅黑" w:hAnsi="微软雅黑" w:eastAsia="微软雅黑" w:cs="微软雅黑"/>
                <w:bCs/>
                <w:color w:val="000000"/>
                <w:sz w:val="18"/>
                <w:szCs w:val="18"/>
              </w:rPr>
              <w:t>序号</w:t>
            </w:r>
          </w:p>
        </w:tc>
        <w:tc>
          <w:tcPr>
            <w:tcW w:w="724" w:type="dxa"/>
            <w:noWrap w:val="0"/>
            <w:vAlign w:val="center"/>
          </w:tcPr>
          <w:p>
            <w:pPr>
              <w:jc w:val="center"/>
              <w:rPr>
                <w:rFonts w:hint="eastAsia" w:ascii="微软雅黑" w:hAnsi="微软雅黑" w:eastAsia="微软雅黑" w:cs="微软雅黑"/>
                <w:bCs/>
                <w:color w:val="000000"/>
                <w:sz w:val="18"/>
                <w:szCs w:val="18"/>
              </w:rPr>
            </w:pPr>
            <w:r>
              <w:rPr>
                <w:rFonts w:hint="eastAsia" w:ascii="微软雅黑" w:hAnsi="微软雅黑" w:eastAsia="微软雅黑" w:cs="微软雅黑"/>
                <w:bCs/>
                <w:color w:val="000000"/>
                <w:sz w:val="18"/>
                <w:szCs w:val="18"/>
              </w:rPr>
              <w:t>产品名称</w:t>
            </w:r>
          </w:p>
        </w:tc>
        <w:tc>
          <w:tcPr>
            <w:tcW w:w="5224" w:type="dxa"/>
            <w:noWrap w:val="0"/>
            <w:vAlign w:val="top"/>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技术条款</w:t>
            </w:r>
          </w:p>
        </w:tc>
        <w:tc>
          <w:tcPr>
            <w:tcW w:w="414" w:type="dxa"/>
            <w:noWrap w:val="0"/>
            <w:vAlign w:val="center"/>
          </w:tcPr>
          <w:p>
            <w:pPr>
              <w:jc w:val="center"/>
              <w:rPr>
                <w:rFonts w:hint="eastAsia" w:ascii="微软雅黑" w:hAnsi="微软雅黑" w:eastAsia="微软雅黑" w:cs="微软雅黑"/>
                <w:bCs/>
                <w:color w:val="000000"/>
                <w:sz w:val="18"/>
                <w:szCs w:val="18"/>
              </w:rPr>
            </w:pPr>
            <w:r>
              <w:rPr>
                <w:rFonts w:hint="eastAsia" w:ascii="微软雅黑" w:hAnsi="微软雅黑" w:eastAsia="微软雅黑" w:cs="微软雅黑"/>
                <w:bCs/>
                <w:color w:val="000000"/>
                <w:sz w:val="18"/>
                <w:szCs w:val="18"/>
              </w:rPr>
              <w:t>单位</w:t>
            </w:r>
          </w:p>
        </w:tc>
        <w:tc>
          <w:tcPr>
            <w:tcW w:w="447" w:type="dxa"/>
            <w:noWrap w:val="0"/>
            <w:vAlign w:val="center"/>
          </w:tcPr>
          <w:p>
            <w:pPr>
              <w:jc w:val="center"/>
              <w:rPr>
                <w:rFonts w:hint="eastAsia" w:ascii="微软雅黑" w:hAnsi="微软雅黑" w:eastAsia="微软雅黑" w:cs="微软雅黑"/>
                <w:bCs/>
                <w:color w:val="000000"/>
                <w:sz w:val="18"/>
                <w:szCs w:val="18"/>
              </w:rPr>
            </w:pPr>
            <w:r>
              <w:rPr>
                <w:rFonts w:hint="eastAsia" w:ascii="微软雅黑" w:hAnsi="微软雅黑" w:eastAsia="微软雅黑" w:cs="微软雅黑"/>
                <w:bCs/>
                <w:color w:val="000000"/>
                <w:sz w:val="18"/>
                <w:szCs w:val="18"/>
              </w:rPr>
              <w:t>数量</w:t>
            </w:r>
          </w:p>
        </w:tc>
        <w:tc>
          <w:tcPr>
            <w:tcW w:w="1122" w:type="dxa"/>
            <w:noWrap w:val="0"/>
            <w:vAlign w:val="center"/>
          </w:tcPr>
          <w:p>
            <w:pPr>
              <w:jc w:val="center"/>
              <w:rPr>
                <w:rFonts w:hint="eastAsia" w:ascii="微软雅黑" w:hAnsi="微软雅黑" w:eastAsia="微软雅黑" w:cs="微软雅黑"/>
                <w:bCs/>
                <w:color w:val="000000"/>
                <w:sz w:val="18"/>
                <w:szCs w:val="18"/>
                <w:lang w:eastAsia="zh-CN"/>
              </w:rPr>
            </w:pPr>
            <w:r>
              <w:rPr>
                <w:rFonts w:hint="eastAsia" w:ascii="微软雅黑" w:hAnsi="微软雅黑" w:eastAsia="微软雅黑" w:cs="微软雅黑"/>
                <w:bCs/>
                <w:color w:val="000000"/>
                <w:sz w:val="18"/>
                <w:szCs w:val="18"/>
              </w:rPr>
              <w:t>单价</w:t>
            </w:r>
            <w:r>
              <w:rPr>
                <w:rFonts w:hint="eastAsia" w:ascii="微软雅黑" w:hAnsi="微软雅黑" w:eastAsia="微软雅黑" w:cs="微软雅黑"/>
                <w:bCs/>
                <w:color w:val="000000"/>
                <w:sz w:val="18"/>
                <w:szCs w:val="18"/>
                <w:lang w:eastAsia="zh-CN"/>
              </w:rPr>
              <w:t>（</w:t>
            </w:r>
            <w:r>
              <w:rPr>
                <w:rFonts w:hint="eastAsia" w:ascii="微软雅黑" w:hAnsi="微软雅黑" w:eastAsia="微软雅黑" w:cs="微软雅黑"/>
                <w:bCs/>
                <w:color w:val="000000"/>
                <w:sz w:val="18"/>
                <w:szCs w:val="18"/>
                <w:lang w:val="en-US" w:eastAsia="zh-CN"/>
              </w:rPr>
              <w:t>元</w:t>
            </w:r>
            <w:r>
              <w:rPr>
                <w:rFonts w:hint="eastAsia" w:ascii="微软雅黑" w:hAnsi="微软雅黑" w:eastAsia="微软雅黑" w:cs="微软雅黑"/>
                <w:bCs/>
                <w:color w:val="000000"/>
                <w:sz w:val="18"/>
                <w:szCs w:val="18"/>
                <w:lang w:eastAsia="zh-CN"/>
              </w:rPr>
              <w:t>）</w:t>
            </w:r>
          </w:p>
        </w:tc>
        <w:tc>
          <w:tcPr>
            <w:tcW w:w="1143" w:type="dxa"/>
            <w:noWrap w:val="0"/>
            <w:vAlign w:val="center"/>
          </w:tcPr>
          <w:p>
            <w:pPr>
              <w:jc w:val="center"/>
              <w:rPr>
                <w:rFonts w:hint="eastAsia" w:ascii="微软雅黑" w:hAnsi="微软雅黑" w:eastAsia="微软雅黑" w:cs="微软雅黑"/>
                <w:bCs/>
                <w:color w:val="000000"/>
                <w:sz w:val="18"/>
                <w:szCs w:val="18"/>
              </w:rPr>
            </w:pPr>
            <w:r>
              <w:rPr>
                <w:rFonts w:hint="eastAsia" w:ascii="微软雅黑" w:hAnsi="微软雅黑" w:eastAsia="微软雅黑" w:cs="微软雅黑"/>
                <w:bCs/>
                <w:color w:val="000000"/>
                <w:sz w:val="18"/>
                <w:szCs w:val="18"/>
              </w:rPr>
              <w:t>总价</w:t>
            </w:r>
            <w:r>
              <w:rPr>
                <w:rFonts w:hint="eastAsia" w:ascii="微软雅黑" w:hAnsi="微软雅黑" w:eastAsia="微软雅黑" w:cs="微软雅黑"/>
                <w:bCs/>
                <w:color w:val="000000"/>
                <w:sz w:val="18"/>
                <w:szCs w:val="18"/>
                <w:lang w:eastAsia="zh-CN"/>
              </w:rPr>
              <w:t>（</w:t>
            </w:r>
            <w:r>
              <w:rPr>
                <w:rFonts w:hint="eastAsia" w:ascii="微软雅黑" w:hAnsi="微软雅黑" w:eastAsia="微软雅黑" w:cs="微软雅黑"/>
                <w:bCs/>
                <w:color w:val="000000"/>
                <w:sz w:val="18"/>
                <w:szCs w:val="18"/>
                <w:lang w:val="en-US" w:eastAsia="zh-CN"/>
              </w:rPr>
              <w:t>元</w:t>
            </w:r>
            <w:r>
              <w:rPr>
                <w:rFonts w:hint="eastAsia" w:ascii="微软雅黑" w:hAnsi="微软雅黑" w:eastAsia="微软雅黑" w:cs="微软雅黑"/>
                <w:bCs/>
                <w:color w:val="00000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noWrap w:val="0"/>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w:t>
            </w:r>
          </w:p>
        </w:tc>
        <w:tc>
          <w:tcPr>
            <w:tcW w:w="724" w:type="dxa"/>
            <w:noWrap w:val="0"/>
            <w:vAlign w:val="center"/>
          </w:tcPr>
          <w:p>
            <w:pPr>
              <w:jc w:val="left"/>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rPr>
              <w:t>测评服务</w:t>
            </w:r>
          </w:p>
        </w:tc>
        <w:tc>
          <w:tcPr>
            <w:tcW w:w="5224" w:type="dxa"/>
            <w:noWrap w:val="0"/>
            <w:vAlign w:val="top"/>
          </w:tcPr>
          <w:p>
            <w:pPr>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★等级保护二级测评及配套文档整理服务，负责全流程完成等保测评的相关工作。提供评测资格证明并加盖公章。</w:t>
            </w:r>
          </w:p>
        </w:tc>
        <w:tc>
          <w:tcPr>
            <w:tcW w:w="414" w:type="dxa"/>
            <w:noWrap w:val="0"/>
            <w:vAlign w:val="center"/>
          </w:tcPr>
          <w:p>
            <w:pPr>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项</w:t>
            </w:r>
          </w:p>
        </w:tc>
        <w:tc>
          <w:tcPr>
            <w:tcW w:w="447" w:type="dxa"/>
            <w:noWrap w:val="0"/>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w:t>
            </w:r>
          </w:p>
        </w:tc>
        <w:tc>
          <w:tcPr>
            <w:tcW w:w="1122" w:type="dxa"/>
            <w:noWrap w:val="0"/>
            <w:vAlign w:val="center"/>
          </w:tcPr>
          <w:p>
            <w:pPr>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50，000.00</w:t>
            </w:r>
          </w:p>
        </w:tc>
        <w:tc>
          <w:tcPr>
            <w:tcW w:w="1143" w:type="dxa"/>
            <w:noWrap w:val="0"/>
            <w:vAlign w:val="center"/>
          </w:tcPr>
          <w:p>
            <w:pPr>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noWrap w:val="0"/>
            <w:vAlign w:val="center"/>
          </w:tcPr>
          <w:p>
            <w:pPr>
              <w:jc w:val="cente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val="en-US" w:eastAsia="zh-CN"/>
              </w:rPr>
              <w:t>2</w:t>
            </w:r>
          </w:p>
        </w:tc>
        <w:tc>
          <w:tcPr>
            <w:tcW w:w="724" w:type="dxa"/>
            <w:noWrap w:val="0"/>
            <w:vAlign w:val="center"/>
          </w:tcPr>
          <w:p>
            <w:pPr>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UPS</w:t>
            </w:r>
          </w:p>
        </w:tc>
        <w:tc>
          <w:tcPr>
            <w:tcW w:w="5224" w:type="dxa"/>
            <w:noWrap w:val="0"/>
            <w:vAlign w:val="top"/>
          </w:tcPr>
          <w:p>
            <w:pPr>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1、额定容量：6KVA，在线式双变换拓朴结构。</w:t>
            </w:r>
          </w:p>
          <w:p>
            <w:pPr>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2、市电异常状况可以直接用电池启动UPS，满足应急需求。</w:t>
            </w:r>
          </w:p>
          <w:p>
            <w:pPr>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3、过载能力：100%~110% 10分钟到旁路； 110%~130% 1分钟到旁路；130~150% 30 秒到旁路；&gt;150% 1 秒到旁路</w:t>
            </w:r>
          </w:p>
          <w:p>
            <w:pPr>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4、UPS必须包含ECO节能模式。</w:t>
            </w:r>
          </w:p>
          <w:p>
            <w:pPr>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5、UPS主机的输入：</w:t>
            </w:r>
          </w:p>
          <w:p>
            <w:pPr>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输入电压范围：110-300VAC；</w:t>
            </w:r>
          </w:p>
          <w:p>
            <w:pPr>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输入频率范围：普通模式：50/60±4Hz；发电机模式：40-70Hz</w:t>
            </w:r>
          </w:p>
          <w:p>
            <w:pPr>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输入功率因数：≥0.99；</w:t>
            </w:r>
          </w:p>
          <w:p>
            <w:pPr>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输入谐波失真度：THDi≤4%输入保护：应配置63A以上的空开</w:t>
            </w:r>
          </w:p>
          <w:p>
            <w:pPr>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6、UPS主机的输出：</w:t>
            </w:r>
          </w:p>
          <w:p>
            <w:pPr>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输出功率因数：高达1</w:t>
            </w:r>
          </w:p>
          <w:p>
            <w:pPr>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输出电压：220Vac</w:t>
            </w:r>
          </w:p>
          <w:p>
            <w:pPr>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效率：94%</w:t>
            </w:r>
          </w:p>
          <w:p>
            <w:pPr>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输出电压调节：±1%</w:t>
            </w:r>
          </w:p>
          <w:p>
            <w:pPr>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输出电压失真度：&lt;1% 线性负载，&lt;4% 非线性负载</w:t>
            </w:r>
          </w:p>
          <w:p>
            <w:pPr>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7、UPS需标配RS232和USB通讯接口，并随机配置RS232和USB线缆，可选配干接点，SNMP，Modbus通讯卡。</w:t>
            </w:r>
          </w:p>
          <w:p>
            <w:pPr>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8、UPS每组蓄电池数量应可调，应支持每组16-20节电池，且应为连续可调。</w:t>
            </w:r>
          </w:p>
          <w:p>
            <w:pPr>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9、蓄电池保护开关应采用直流断路器，不得采用交流或者交直流断路器。为便于后期维护，保证监控协议与电源主机一致，要求直流断路器与电源主机为同一品牌，提供直流断路器官方网站截图及官网链接并加盖制造商公章或投标专用章。</w:t>
            </w:r>
          </w:p>
          <w:p>
            <w:pPr>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10、UPS应配置紧急关机接口（EPO）。</w:t>
            </w:r>
          </w:p>
          <w:p>
            <w:pPr>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11、UPS需标配监控管理软件，应采用C/S架构，提供UPS实时状态监控、事件管理及通知、计划停机和重启、电池管理、UPS监控等软件功能。</w:t>
            </w:r>
          </w:p>
          <w:p>
            <w:pPr>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12、应标配UPS集中管理软件，可至少集中管理1000台同系列UPS。</w:t>
            </w:r>
          </w:p>
          <w:p>
            <w:pPr>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13、UPS需标配安全关机软件，可以在市电断电电池耗尽之前，将服务器的重要数据进行保存并安全关机，以避免发生意外断电事故时造成的数据丢失和系统崩溃。</w:t>
            </w:r>
          </w:p>
          <w:p>
            <w:pPr>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14、可选配温湿度环境监控卡</w:t>
            </w:r>
          </w:p>
          <w:p>
            <w:pPr>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15、UPS须喷涂三防漆，适应多种严苛使用环境</w:t>
            </w:r>
          </w:p>
          <w:p>
            <w:pPr>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16、UPS须配置LCD显示屏，丰富的显示和配置内容，便于用户操作维护。</w:t>
            </w:r>
          </w:p>
          <w:p>
            <w:pPr>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★17、提供2年电源原厂上门换机服务，不接受送修，上门维修方式。提供原厂售后服务承诺函。</w:t>
            </w:r>
          </w:p>
          <w:p>
            <w:pPr>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★18、提供电源合法来源渠道证明。</w:t>
            </w:r>
          </w:p>
          <w:p>
            <w:pPr>
              <w:jc w:val="left"/>
              <w:rPr>
                <w:rFonts w:hint="eastAsia" w:ascii="宋体" w:hAnsi="宋体" w:cs="宋体"/>
                <w:kern w:val="2"/>
                <w:sz w:val="21"/>
                <w:szCs w:val="22"/>
                <w:lang w:val="en-US" w:eastAsia="zh-CN" w:bidi="ar-SA"/>
              </w:rPr>
            </w:pPr>
            <w:r>
              <w:rPr>
                <w:rFonts w:hint="eastAsia" w:ascii="微软雅黑" w:hAnsi="微软雅黑" w:eastAsia="微软雅黑" w:cs="微软雅黑"/>
                <w:color w:val="000000"/>
                <w:sz w:val="18"/>
                <w:szCs w:val="18"/>
              </w:rPr>
              <w:t>19、配置12V65AH蓄电池16块后备时间两小时，含配套电池柜。</w:t>
            </w:r>
          </w:p>
        </w:tc>
        <w:tc>
          <w:tcPr>
            <w:tcW w:w="414" w:type="dxa"/>
            <w:noWrap w:val="0"/>
            <w:vAlign w:val="center"/>
          </w:tcPr>
          <w:p>
            <w:pPr>
              <w:jc w:val="cente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val="en-US" w:eastAsia="zh-CN"/>
              </w:rPr>
              <w:t>套</w:t>
            </w:r>
          </w:p>
        </w:tc>
        <w:tc>
          <w:tcPr>
            <w:tcW w:w="447"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w:t>
            </w:r>
          </w:p>
        </w:tc>
        <w:tc>
          <w:tcPr>
            <w:tcW w:w="1122" w:type="dxa"/>
            <w:noWrap w:val="0"/>
            <w:vAlign w:val="center"/>
          </w:tcPr>
          <w:p>
            <w:pPr>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b w:val="0"/>
                <w:bCs w:val="0"/>
                <w:sz w:val="18"/>
                <w:szCs w:val="18"/>
              </w:rPr>
              <w:t xml:space="preserve">  33,000.00 </w:t>
            </w:r>
          </w:p>
        </w:tc>
        <w:tc>
          <w:tcPr>
            <w:tcW w:w="1143"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b w:val="0"/>
                <w:bCs w:val="0"/>
                <w:sz w:val="18"/>
                <w:szCs w:val="18"/>
              </w:rPr>
              <w:t xml:space="preserve">  33,000.00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noWrap w:val="0"/>
            <w:vAlign w:val="center"/>
          </w:tcPr>
          <w:p>
            <w:pPr>
              <w:jc w:val="cente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val="en-US" w:eastAsia="zh-CN"/>
              </w:rPr>
              <w:t>3</w:t>
            </w:r>
          </w:p>
        </w:tc>
        <w:tc>
          <w:tcPr>
            <w:tcW w:w="724" w:type="dxa"/>
            <w:noWrap w:val="0"/>
            <w:vAlign w:val="center"/>
          </w:tcPr>
          <w:p>
            <w:pPr>
              <w:jc w:val="cente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val="en-US" w:eastAsia="zh-CN"/>
              </w:rPr>
              <w:t>交换机</w:t>
            </w:r>
          </w:p>
        </w:tc>
        <w:tc>
          <w:tcPr>
            <w:tcW w:w="5224" w:type="dxa"/>
            <w:noWrap w:val="0"/>
            <w:vAlign w:val="top"/>
          </w:tcPr>
          <w:p>
            <w:pPr>
              <w:pStyle w:val="12"/>
              <w:numPr>
                <w:ilvl w:val="0"/>
                <w:numId w:val="0"/>
              </w:numPr>
              <w:tabs>
                <w:tab w:val="left" w:pos="420"/>
              </w:tabs>
              <w:autoSpaceDE w:val="0"/>
              <w:autoSpaceDN w:val="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kern w:val="2"/>
                <w:sz w:val="18"/>
                <w:szCs w:val="18"/>
                <w:lang w:val="en-US" w:eastAsia="zh-CN" w:bidi="ar-SA"/>
              </w:rPr>
              <w:t>1.交换容量≥1.28Tbps，包转发率≥108Mpps；</w:t>
            </w:r>
          </w:p>
          <w:p>
            <w:pPr>
              <w:pStyle w:val="12"/>
              <w:numPr>
                <w:ilvl w:val="0"/>
                <w:numId w:val="0"/>
              </w:numPr>
              <w:tabs>
                <w:tab w:val="left" w:pos="420"/>
              </w:tabs>
              <w:autoSpaceDE w:val="0"/>
              <w:autoSpaceDN w:val="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kern w:val="2"/>
                <w:sz w:val="18"/>
                <w:szCs w:val="18"/>
                <w:lang w:val="en-US" w:eastAsia="zh-CN" w:bidi="ar-SA"/>
              </w:rPr>
              <w:t>2.支持千兆电口≥24个，万兆光口≥4个;</w:t>
            </w:r>
          </w:p>
          <w:p>
            <w:pPr>
              <w:pStyle w:val="12"/>
              <w:numPr>
                <w:ilvl w:val="0"/>
                <w:numId w:val="0"/>
              </w:numPr>
              <w:tabs>
                <w:tab w:val="left" w:pos="420"/>
              </w:tabs>
              <w:autoSpaceDE w:val="0"/>
              <w:autoSpaceDN w:val="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kern w:val="2"/>
                <w:sz w:val="18"/>
                <w:szCs w:val="18"/>
                <w:lang w:val="en-US" w:eastAsia="zh-CN" w:bidi="ar-SA"/>
              </w:rPr>
              <w:t>3.为了提高设备可靠性，支持可插拔的双电源；</w:t>
            </w:r>
          </w:p>
          <w:p>
            <w:pPr>
              <w:pStyle w:val="12"/>
              <w:numPr>
                <w:ilvl w:val="0"/>
                <w:numId w:val="0"/>
              </w:numPr>
              <w:tabs>
                <w:tab w:val="left" w:pos="420"/>
              </w:tabs>
              <w:autoSpaceDE w:val="0"/>
              <w:autoSpaceDN w:val="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kern w:val="2"/>
                <w:sz w:val="18"/>
                <w:szCs w:val="18"/>
                <w:lang w:val="en-US" w:eastAsia="zh-CN" w:bidi="ar-SA"/>
              </w:rPr>
              <w:t>4.支持4K个VLAN，支持Guest VLAN、Voice VLAN，支持基于MAC/协议/IP子网/策略/端口的VLAN；</w:t>
            </w:r>
          </w:p>
          <w:p>
            <w:pPr>
              <w:pStyle w:val="12"/>
              <w:numPr>
                <w:ilvl w:val="0"/>
                <w:numId w:val="0"/>
              </w:numPr>
              <w:tabs>
                <w:tab w:val="left" w:pos="420"/>
              </w:tabs>
              <w:autoSpaceDE w:val="0"/>
              <w:autoSpaceDN w:val="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kern w:val="2"/>
                <w:sz w:val="18"/>
                <w:szCs w:val="18"/>
                <w:lang w:val="en-US" w:eastAsia="zh-CN" w:bidi="ar-SA"/>
              </w:rPr>
              <w:t>5.支持1:1和N:1 VLAN交换功能；</w:t>
            </w:r>
          </w:p>
          <w:p>
            <w:pPr>
              <w:pStyle w:val="12"/>
              <w:numPr>
                <w:ilvl w:val="0"/>
                <w:numId w:val="0"/>
              </w:numPr>
              <w:tabs>
                <w:tab w:val="left" w:pos="420"/>
              </w:tabs>
              <w:autoSpaceDE w:val="0"/>
              <w:autoSpaceDN w:val="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kern w:val="2"/>
                <w:sz w:val="18"/>
                <w:szCs w:val="18"/>
                <w:lang w:val="en-US" w:eastAsia="zh-CN" w:bidi="ar-SA"/>
              </w:rPr>
              <w:t>6.支持静态路由、RIP V1/2、OSPF、IS-IS、BGP、RIPng、OSPFv3、BGP4+、ISISv6；</w:t>
            </w:r>
          </w:p>
          <w:p>
            <w:pPr>
              <w:pStyle w:val="12"/>
              <w:numPr>
                <w:ilvl w:val="0"/>
                <w:numId w:val="0"/>
              </w:numPr>
              <w:tabs>
                <w:tab w:val="left" w:pos="420"/>
              </w:tabs>
              <w:autoSpaceDE w:val="0"/>
              <w:autoSpaceDN w:val="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kern w:val="2"/>
                <w:sz w:val="18"/>
                <w:szCs w:val="18"/>
                <w:lang w:val="en-US" w:eastAsia="zh-CN" w:bidi="ar-SA"/>
              </w:rPr>
              <w:t>7.支持统一用户管理功能，支持802.1X/MAC/Portal等多种认证方式，支持对用户进行分组/分域/分时的管理，用户、业务可视可控；</w:t>
            </w:r>
          </w:p>
          <w:p>
            <w:pPr>
              <w:pStyle w:val="12"/>
              <w:numPr>
                <w:ilvl w:val="0"/>
                <w:numId w:val="0"/>
              </w:numPr>
              <w:tabs>
                <w:tab w:val="left" w:pos="420"/>
              </w:tabs>
              <w:autoSpaceDE w:val="0"/>
              <w:autoSpaceDN w:val="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kern w:val="2"/>
                <w:sz w:val="18"/>
                <w:szCs w:val="18"/>
                <w:lang w:val="en-US" w:eastAsia="zh-CN" w:bidi="ar-SA"/>
              </w:rPr>
              <w:t>8.支持VxLAN功能，支持VxLAN二层网关、三层网关，支持BGP EVPN，实现自动建立隧道；</w:t>
            </w:r>
          </w:p>
          <w:p>
            <w:pPr>
              <w:pStyle w:val="12"/>
              <w:numPr>
                <w:ilvl w:val="0"/>
                <w:numId w:val="0"/>
              </w:numPr>
              <w:tabs>
                <w:tab w:val="left" w:pos="420"/>
              </w:tabs>
              <w:autoSpaceDE w:val="0"/>
              <w:autoSpaceDN w:val="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kern w:val="2"/>
                <w:sz w:val="18"/>
                <w:szCs w:val="18"/>
                <w:lang w:val="en-US" w:eastAsia="zh-CN" w:bidi="ar-SA"/>
              </w:rPr>
              <w:t>9.支持WRR、DRR、SP、WRR＋SP、DRR+SP队列调度算法；</w:t>
            </w:r>
          </w:p>
          <w:p>
            <w:pPr>
              <w:pStyle w:val="12"/>
              <w:numPr>
                <w:ilvl w:val="0"/>
                <w:numId w:val="0"/>
              </w:numPr>
              <w:tabs>
                <w:tab w:val="left" w:pos="420"/>
              </w:tabs>
              <w:autoSpaceDE w:val="0"/>
              <w:autoSpaceDN w:val="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kern w:val="2"/>
                <w:sz w:val="18"/>
                <w:szCs w:val="18"/>
                <w:lang w:val="en-US" w:eastAsia="zh-CN" w:bidi="ar-SA"/>
              </w:rPr>
              <w:t>10.支持报文的802.1p和DSCP优先级重新标记；</w:t>
            </w:r>
          </w:p>
          <w:p>
            <w:pPr>
              <w:pStyle w:val="12"/>
              <w:numPr>
                <w:ilvl w:val="0"/>
                <w:numId w:val="0"/>
              </w:numPr>
              <w:tabs>
                <w:tab w:val="left" w:pos="420"/>
              </w:tabs>
              <w:autoSpaceDE w:val="0"/>
              <w:autoSpaceDN w:val="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kern w:val="2"/>
                <w:sz w:val="18"/>
                <w:szCs w:val="18"/>
                <w:lang w:val="en-US" w:eastAsia="zh-CN" w:bidi="ar-SA"/>
              </w:rPr>
              <w:t>11.支持SNMPv1/v2c/v3，支持RMON；</w:t>
            </w:r>
          </w:p>
          <w:p>
            <w:pPr>
              <w:pStyle w:val="12"/>
              <w:numPr>
                <w:ilvl w:val="0"/>
                <w:numId w:val="0"/>
              </w:numPr>
              <w:tabs>
                <w:tab w:val="left" w:pos="420"/>
              </w:tabs>
              <w:autoSpaceDE w:val="0"/>
              <w:autoSpaceDN w:val="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kern w:val="2"/>
                <w:sz w:val="18"/>
                <w:szCs w:val="18"/>
                <w:lang w:val="en-US" w:eastAsia="zh-CN" w:bidi="ar-SA"/>
              </w:rPr>
              <w:t>12.支持网管系统、支持WEB网管特性，支持NetStream；</w:t>
            </w:r>
          </w:p>
          <w:p>
            <w:pPr>
              <w:pStyle w:val="12"/>
              <w:numPr>
                <w:ilvl w:val="0"/>
                <w:numId w:val="0"/>
              </w:numPr>
              <w:tabs>
                <w:tab w:val="left" w:pos="420"/>
              </w:tabs>
              <w:autoSpaceDE w:val="0"/>
              <w:autoSpaceDN w:val="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kern w:val="2"/>
                <w:sz w:val="18"/>
                <w:szCs w:val="18"/>
                <w:lang w:val="en-US" w:eastAsia="zh-CN" w:bidi="ar-SA"/>
              </w:rPr>
              <w:t>13.可实现基于Python语言的开放可编程特性，提供开放的编辑语言和更简单的操作方法，实现智能化运维；</w:t>
            </w:r>
          </w:p>
          <w:p>
            <w:pPr>
              <w:pStyle w:val="12"/>
              <w:numPr>
                <w:ilvl w:val="0"/>
                <w:numId w:val="0"/>
              </w:numPr>
              <w:tabs>
                <w:tab w:val="left" w:pos="420"/>
              </w:tabs>
              <w:autoSpaceDE w:val="0"/>
              <w:autoSpaceDN w:val="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kern w:val="2"/>
                <w:sz w:val="18"/>
                <w:szCs w:val="18"/>
                <w:lang w:val="en-US" w:eastAsia="zh-CN" w:bidi="ar-SA"/>
              </w:rPr>
              <w:t>14.支持DHCP Snooping，IP Source Guard，SAVI等安全特性；</w:t>
            </w:r>
          </w:p>
          <w:p>
            <w:pPr>
              <w:pStyle w:val="12"/>
              <w:numPr>
                <w:ilvl w:val="0"/>
                <w:numId w:val="0"/>
              </w:numPr>
              <w:tabs>
                <w:tab w:val="left" w:pos="420"/>
              </w:tabs>
              <w:autoSpaceDE w:val="0"/>
              <w:autoSpaceDN w:val="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kern w:val="2"/>
                <w:sz w:val="18"/>
                <w:szCs w:val="18"/>
                <w:lang w:val="en-US" w:eastAsia="zh-CN" w:bidi="ar-SA"/>
              </w:rPr>
              <w:t>15.支持防ARP攻击、DOS攻击、ICMP防攻击、CPU防攻击；</w:t>
            </w:r>
          </w:p>
          <w:p>
            <w:pPr>
              <w:pStyle w:val="12"/>
              <w:numPr>
                <w:ilvl w:val="0"/>
                <w:numId w:val="0"/>
              </w:numPr>
              <w:tabs>
                <w:tab w:val="left" w:pos="420"/>
              </w:tabs>
              <w:autoSpaceDE w:val="0"/>
              <w:autoSpaceDN w:val="0"/>
              <w:jc w:val="lef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kern w:val="2"/>
                <w:sz w:val="18"/>
                <w:szCs w:val="18"/>
                <w:lang w:val="en-US" w:eastAsia="zh-CN" w:bidi="ar-SA"/>
              </w:rPr>
              <w:t>16.支持G.8032标准环网协议；</w:t>
            </w:r>
          </w:p>
          <w:p>
            <w:pPr>
              <w:jc w:val="left"/>
              <w:rPr>
                <w:rFonts w:hint="eastAsia" w:ascii="Calibri" w:hAnsi="Calibri"/>
                <w:kern w:val="2"/>
                <w:sz w:val="21"/>
                <w:szCs w:val="22"/>
                <w:lang w:val="en-US" w:eastAsia="zh-CN" w:bidi="ar-SA"/>
              </w:rPr>
            </w:pPr>
            <w:r>
              <w:rPr>
                <w:rFonts w:hint="eastAsia" w:ascii="微软雅黑" w:hAnsi="微软雅黑" w:eastAsia="微软雅黑" w:cs="微软雅黑"/>
                <w:color w:val="000000"/>
                <w:kern w:val="2"/>
                <w:sz w:val="18"/>
                <w:szCs w:val="18"/>
                <w:lang w:val="en-US" w:eastAsia="zh-CN" w:bidi="ar-SA"/>
              </w:rPr>
              <w:t>17. 支持Telemetry技术，配合网络分析组件通过智能故障识别算法对网络数据进行分析，精准展现网络实时状态，并能及时有效地定界故障以及定位故障发生原因，发现影响用户体验的网络问题，精准保障用户体验；</w:t>
            </w:r>
          </w:p>
        </w:tc>
        <w:tc>
          <w:tcPr>
            <w:tcW w:w="414"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台</w:t>
            </w:r>
          </w:p>
        </w:tc>
        <w:tc>
          <w:tcPr>
            <w:tcW w:w="447" w:type="dxa"/>
            <w:noWrap w:val="0"/>
            <w:vAlign w:val="center"/>
          </w:tcPr>
          <w:p>
            <w:pPr>
              <w:jc w:val="cente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val="en-US" w:eastAsia="zh-CN"/>
              </w:rPr>
              <w:t>1</w:t>
            </w:r>
          </w:p>
        </w:tc>
        <w:tc>
          <w:tcPr>
            <w:tcW w:w="1122" w:type="dxa"/>
            <w:noWrap w:val="0"/>
            <w:vAlign w:val="center"/>
          </w:tcPr>
          <w:p>
            <w:pPr>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b w:val="0"/>
                <w:bCs w:val="0"/>
                <w:sz w:val="18"/>
                <w:szCs w:val="18"/>
              </w:rPr>
              <w:t xml:space="preserve"> 23,000.00</w:t>
            </w:r>
          </w:p>
        </w:tc>
        <w:tc>
          <w:tcPr>
            <w:tcW w:w="1143" w:type="dxa"/>
            <w:noWrap w:val="0"/>
            <w:vAlign w:val="center"/>
          </w:tcPr>
          <w:p>
            <w:pPr>
              <w:jc w:val="cente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xml:space="preserve"> </w:t>
            </w:r>
          </w:p>
          <w:p>
            <w:pPr>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b w:val="0"/>
                <w:bCs w:val="0"/>
                <w:sz w:val="18"/>
                <w:szCs w:val="18"/>
              </w:rPr>
              <w:t>23,000.00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noWrap w:val="0"/>
            <w:vAlign w:val="center"/>
          </w:tcPr>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4</w:t>
            </w: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ind w:firstLine="180" w:firstLineChars="100"/>
              <w:jc w:val="both"/>
              <w:rPr>
                <w:rFonts w:hint="eastAsia" w:ascii="微软雅黑" w:hAnsi="微软雅黑" w:eastAsia="微软雅黑" w:cs="微软雅黑"/>
                <w:color w:val="000000"/>
                <w:sz w:val="18"/>
                <w:szCs w:val="18"/>
              </w:rPr>
            </w:pPr>
          </w:p>
        </w:tc>
        <w:tc>
          <w:tcPr>
            <w:tcW w:w="724" w:type="dxa"/>
            <w:noWrap w:val="0"/>
            <w:vAlign w:val="center"/>
          </w:tcPr>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日志审计</w:t>
            </w: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tc>
        <w:tc>
          <w:tcPr>
            <w:tcW w:w="5224" w:type="dxa"/>
            <w:noWrap w:val="0"/>
            <w:vAlign w:val="top"/>
          </w:tcPr>
          <w:p>
            <w:pPr>
              <w:jc w:val="left"/>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rPr>
              <w:t>1、★要求包含主机审计数量≥50，最大可扩展审计主机许可数≥150，可用存储量≥2TB，平均每秒处理日志数≥1200。2U设备，内存≥16G，至少提供6个千兆电口，2个万兆光口；包含日志分析系统软件一套，提供三年硬件质保及软件升级服务，提供产品功能截图并加盖厂商公章。</w:t>
            </w:r>
          </w:p>
          <w:p>
            <w:pPr>
              <w:jc w:val="left"/>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rPr>
              <w:t>2、★支持TLS加密方式进行日志传输，支持日志传输状态、最近同步时间进行监控，可统计每个日志源的今日传输量和传输总量，提供产品功能截图并加盖厂商公章。</w:t>
            </w:r>
          </w:p>
          <w:p>
            <w:pPr>
              <w:jc w:val="left"/>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rPr>
              <w:t>3、支持审计对象的定义，包括：审计目标对象、审计行为对象、审计行为执行者对象、审计行为来源对象、审计时间段对象等；</w:t>
            </w:r>
          </w:p>
          <w:p>
            <w:pPr>
              <w:jc w:val="left"/>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rPr>
              <w:t>4、支持定义部门和人员的对应关系；支持定义人员与账号的对应关系；</w:t>
            </w:r>
          </w:p>
          <w:p>
            <w:pPr>
              <w:jc w:val="left"/>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rPr>
              <w:t>5、可通过自定义聚合规则修改日志的聚合归并逻辑规则，提高日志分析效率，支持归并技术，一段时间内对重复日志进行归并；</w:t>
            </w:r>
          </w:p>
          <w:p>
            <w:pPr>
              <w:jc w:val="left"/>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rPr>
              <w:t>6、支持主动、被动相结合的数据采集方式，支持通过Agent采集日志数据，支持通过syslog、SNMP Trap、JDBC、WMI、webservice、FTP、文件\文件夹读取、Kafka等多种方式完成日志收集；</w:t>
            </w:r>
          </w:p>
          <w:p>
            <w:pPr>
              <w:jc w:val="left"/>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rPr>
              <w:t>7、支持解码小工具，按照不同的解码方式解码成不同的目标内容，编码格式包括base64、Unicode、GBK、HEX、UTF-8等，提供产品功能截图并加盖厂商公章。</w:t>
            </w:r>
          </w:p>
          <w:p>
            <w:pPr>
              <w:jc w:val="left"/>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rPr>
              <w:t>8、支持DNS、DGA、解码错误、解码失败、解码超时的网络会话分类展现；</w:t>
            </w:r>
          </w:p>
          <w:p>
            <w:pPr>
              <w:jc w:val="left"/>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rPr>
              <w:t>9、支持简单易用的日志查询普通模式，根据系统预置的查询条件，根据用户需求查询对应的日志，并且支持查询条件的保存，供后续快捷使用</w:t>
            </w:r>
          </w:p>
          <w:p>
            <w:pPr>
              <w:jc w:val="left"/>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rPr>
              <w:t>10、支持个性化定制，支持全系统更换logo与系统名称，支持一键恢复默认。</w:t>
            </w:r>
          </w:p>
          <w:p>
            <w:pPr>
              <w:jc w:val="left"/>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rPr>
              <w:t>11、支持通过正则、分隔符、json、xml的可视方式进行自定义规则解析，支持对解析结果字段的新增、合并、映射，提供产品功能截图并加盖厂商公章。</w:t>
            </w:r>
          </w:p>
          <w:p>
            <w:pPr>
              <w:jc w:val="left"/>
              <w:rPr>
                <w:rFonts w:hint="eastAsia" w:ascii="宋体" w:hAnsi="宋体" w:cs="宋体"/>
                <w:color w:val="000000"/>
                <w:kern w:val="2"/>
                <w:sz w:val="21"/>
                <w:szCs w:val="22"/>
                <w:lang w:val="en-US" w:eastAsia="zh-CN" w:bidi="ar-SA"/>
              </w:rPr>
            </w:pPr>
            <w:r>
              <w:rPr>
                <w:rFonts w:hint="eastAsia" w:ascii="微软雅黑" w:hAnsi="微软雅黑" w:eastAsia="微软雅黑" w:cs="微软雅黑"/>
                <w:color w:val="333333"/>
                <w:sz w:val="18"/>
                <w:szCs w:val="18"/>
                <w:shd w:val="clear" w:color="auto" w:fill="FFFFFF"/>
              </w:rPr>
              <w:t>12、支持日志进行归一化操作后，对日志等级进行映射，根据不同日志源统计不同等级下的日志数量，提供产品功能截图并加盖厂商公章。</w:t>
            </w:r>
          </w:p>
        </w:tc>
        <w:tc>
          <w:tcPr>
            <w:tcW w:w="414" w:type="dxa"/>
            <w:noWrap w:val="0"/>
            <w:vAlign w:val="center"/>
          </w:tcPr>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台</w:t>
            </w: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both"/>
              <w:rPr>
                <w:rFonts w:hint="eastAsia" w:ascii="微软雅黑" w:hAnsi="微软雅黑" w:eastAsia="微软雅黑" w:cs="微软雅黑"/>
                <w:color w:val="000000"/>
                <w:sz w:val="18"/>
                <w:szCs w:val="18"/>
              </w:rPr>
            </w:pPr>
          </w:p>
        </w:tc>
        <w:tc>
          <w:tcPr>
            <w:tcW w:w="447" w:type="dxa"/>
            <w:noWrap w:val="0"/>
            <w:vAlign w:val="center"/>
          </w:tcPr>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both"/>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w:t>
            </w: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tc>
        <w:tc>
          <w:tcPr>
            <w:tcW w:w="1122" w:type="dxa"/>
            <w:noWrap w:val="0"/>
            <w:vAlign w:val="center"/>
          </w:tcPr>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b w:val="0"/>
                <w:bCs w:val="0"/>
                <w:sz w:val="18"/>
                <w:szCs w:val="18"/>
              </w:rPr>
              <w:t xml:space="preserve"> 38,000.00</w:t>
            </w: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tc>
        <w:tc>
          <w:tcPr>
            <w:tcW w:w="1143" w:type="dxa"/>
            <w:noWrap w:val="0"/>
            <w:vAlign w:val="center"/>
          </w:tcPr>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xml:space="preserve"> </w:t>
            </w:r>
          </w:p>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b w:val="0"/>
                <w:bCs w:val="0"/>
                <w:sz w:val="18"/>
                <w:szCs w:val="18"/>
              </w:rPr>
              <w:t>38,000.00</w:t>
            </w: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ind w:firstLine="180" w:firstLineChars="100"/>
              <w:jc w:val="both"/>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noWrap w:val="0"/>
            <w:vAlign w:val="center"/>
          </w:tcPr>
          <w:p>
            <w:pPr>
              <w:jc w:val="cente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val="en-US" w:eastAsia="zh-CN"/>
              </w:rPr>
              <w:t>5</w:t>
            </w:r>
          </w:p>
        </w:tc>
        <w:tc>
          <w:tcPr>
            <w:tcW w:w="724" w:type="dxa"/>
            <w:noWrap w:val="0"/>
            <w:vAlign w:val="center"/>
          </w:tcPr>
          <w:p>
            <w:pPr>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终端安全管理系统</w:t>
            </w:r>
          </w:p>
        </w:tc>
        <w:tc>
          <w:tcPr>
            <w:tcW w:w="5224" w:type="dxa"/>
            <w:noWrap w:val="0"/>
            <w:vAlign w:val="top"/>
          </w:tcPr>
          <w:p>
            <w:pPr>
              <w:jc w:val="left"/>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rPr>
              <w:t>1、★端点安全设备包含管理控制平台及终端客户端软件，控制平台可以纯软件形式交付，无需另行提供设备安装部署。客户端直接部署在个人用户主机或是单位服务器中，服务器支持Windows和Linux多种操作系统，本次项目提供30个Windows PC授权，1个Windows或Linux操作系统服务器主机授权；</w:t>
            </w:r>
          </w:p>
          <w:p>
            <w:pPr>
              <w:jc w:val="left"/>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rPr>
              <w:t>2、★支持与同厂商的网络防火墙进行安全联动，管理员可以在网络防火墙管理界面下发快速查杀任务，并查看任务状态、结果并进行处置，支持在管理平台查询和统计联动信息，在网络防火墙管理界面下发一键隔离指令，对终端恶意文件进行隔离，防止病毒进一步扩散，提供产品功能截图并加盖厂商公章。</w:t>
            </w:r>
          </w:p>
          <w:p>
            <w:pPr>
              <w:jc w:val="left"/>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rPr>
              <w:t>3、支持客户端的错峰升级或灰度升级，可根据实际情况控制客户端同时升级的最大数量，避免大量终端程序同时更新造成网络拥堵或I/O风暴，提供产品功能截图并加盖厂商公章。</w:t>
            </w:r>
          </w:p>
          <w:p>
            <w:pPr>
              <w:jc w:val="left"/>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rPr>
              <w:t>4、支持对系统账号信息进行梳理，了解账号权限分布概况以及风险账号分布情况，可按照隐藏账号、弱密码账号、可疑root权限账号、长期未使用账号、半夜登录、多IP登录进行账号分类查看，支持统计最近一年未修改密码的账户，提供产品功能截图并加盖厂商公章。</w:t>
            </w:r>
          </w:p>
          <w:p>
            <w:pPr>
              <w:jc w:val="left"/>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rPr>
              <w:t>5、一键式操作对指定终端/终端组进行合规性检查，包括身份鉴别、访问控制、安全审计、剩余信息保护、入侵防范、恶意代码防范，对不合规的检查项提供设置建议，并可视化展示终端的基线合规检查结果；</w:t>
            </w:r>
          </w:p>
          <w:p>
            <w:pPr>
              <w:jc w:val="left"/>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rPr>
              <w:t>6、支持对勒索病毒的家族名、病毒名、加密文件后缀名的链接查询，或者通过直接上传加密文件的方式确定勒索病毒类型，如果能解密可以提供必要的解密工具</w:t>
            </w:r>
          </w:p>
          <w:p>
            <w:pPr>
              <w:jc w:val="left"/>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rPr>
              <w:t>7、支持插入U盘时主动扫描U盘文件，可直观展示U盘窗口信息展示：剩余空间、总空间，针对U盘窗口操作包括打开、弹出、查杀；</w:t>
            </w:r>
          </w:p>
          <w:p>
            <w:pPr>
              <w:jc w:val="left"/>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rPr>
              <w:t>8、支持跳转链接至云端安全威胁响应系统，针对已发生的病毒的基本信息，影响分析（客户情况、影响行业、区域分布）、威胁分析和处理建议等，提供产品功能截图并加盖厂商公章。</w:t>
            </w:r>
          </w:p>
          <w:p>
            <w:pPr>
              <w:jc w:val="left"/>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rPr>
              <w:t>9、支持全网风险展示，包括但不限于未处理的勒索病毒数量、暴力破解数量、僵尸网络、WebShell后门数量、高危漏洞及其各自影响的终端数量；</w:t>
            </w:r>
          </w:p>
          <w:p>
            <w:pPr>
              <w:jc w:val="left"/>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rPr>
              <w:t>10、支持终端客户端软件的启用禁用，重启，支持在管理平台直接卸载客户端软件；</w:t>
            </w:r>
          </w:p>
          <w:p>
            <w:pPr>
              <w:jc w:val="left"/>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rPr>
              <w:t>11、流量线详情支持展示该流量线对应的控制策略；图形化显示服务器间流量关系，包括访问详情、流量趋势等，提供产品功能截图并加盖厂商公章。</w:t>
            </w:r>
          </w:p>
        </w:tc>
        <w:tc>
          <w:tcPr>
            <w:tcW w:w="414" w:type="dxa"/>
            <w:noWrap w:val="0"/>
            <w:vAlign w:val="center"/>
          </w:tcPr>
          <w:p>
            <w:pPr>
              <w:jc w:val="cente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val="en-US" w:eastAsia="zh-CN"/>
              </w:rPr>
              <w:t>套</w:t>
            </w:r>
          </w:p>
        </w:tc>
        <w:tc>
          <w:tcPr>
            <w:tcW w:w="447" w:type="dxa"/>
            <w:noWrap w:val="0"/>
            <w:vAlign w:val="center"/>
          </w:tcPr>
          <w:p>
            <w:pPr>
              <w:jc w:val="cente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val="en-US" w:eastAsia="zh-CN"/>
              </w:rPr>
              <w:t>1</w:t>
            </w:r>
          </w:p>
        </w:tc>
        <w:tc>
          <w:tcPr>
            <w:tcW w:w="1122" w:type="dxa"/>
            <w:noWrap w:val="0"/>
            <w:vAlign w:val="center"/>
          </w:tcPr>
          <w:p>
            <w:pPr>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b w:val="0"/>
                <w:bCs w:val="0"/>
                <w:sz w:val="18"/>
                <w:szCs w:val="18"/>
              </w:rPr>
              <w:t xml:space="preserve"> 36,000.00</w:t>
            </w:r>
          </w:p>
        </w:tc>
        <w:tc>
          <w:tcPr>
            <w:tcW w:w="1143" w:type="dxa"/>
            <w:noWrap w:val="0"/>
            <w:vAlign w:val="center"/>
          </w:tcPr>
          <w:p>
            <w:pPr>
              <w:jc w:val="cente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xml:space="preserve"> </w:t>
            </w:r>
          </w:p>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b w:val="0"/>
                <w:bCs w:val="0"/>
                <w:sz w:val="18"/>
                <w:szCs w:val="18"/>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noWrap w:val="0"/>
            <w:vAlign w:val="center"/>
          </w:tcPr>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val="en-US" w:eastAsia="zh-CN"/>
              </w:rPr>
              <w:t>6</w:t>
            </w:r>
          </w:p>
        </w:tc>
        <w:tc>
          <w:tcPr>
            <w:tcW w:w="724" w:type="dxa"/>
            <w:noWrap w:val="0"/>
            <w:vAlign w:val="center"/>
          </w:tcPr>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入侵防御</w:t>
            </w:r>
          </w:p>
        </w:tc>
        <w:tc>
          <w:tcPr>
            <w:tcW w:w="5224" w:type="dxa"/>
            <w:noWrap w:val="0"/>
            <w:vAlign w:val="top"/>
          </w:tcPr>
          <w:p>
            <w:pPr>
              <w:jc w:val="left"/>
              <w:rPr>
                <w:rFonts w:hint="eastAsia" w:ascii="微软雅黑" w:hAnsi="微软雅黑" w:eastAsia="微软雅黑" w:cs="微软雅黑"/>
                <w:color w:val="333333"/>
                <w:sz w:val="18"/>
                <w:szCs w:val="18"/>
                <w:shd w:val="clear" w:color="auto" w:fill="FFFFFF"/>
              </w:rPr>
            </w:pPr>
            <w:bookmarkStart w:id="0" w:name="_GoBack"/>
            <w:bookmarkEnd w:id="0"/>
            <w:r>
              <w:rPr>
                <w:rFonts w:hint="eastAsia" w:ascii="微软雅黑" w:hAnsi="微软雅黑" w:eastAsia="微软雅黑" w:cs="微软雅黑"/>
                <w:color w:val="333333"/>
                <w:sz w:val="18"/>
                <w:szCs w:val="18"/>
                <w:shd w:val="clear" w:color="auto" w:fill="FFFFFF"/>
              </w:rPr>
              <w:t>1、★网络层吞吐量≥6Gbps，并发连接数≥1800000，新建连接数≥60000，接口不少于6千兆电口+4万兆光口，提供产品功能截图并加盖厂商公章。</w:t>
            </w:r>
          </w:p>
          <w:p>
            <w:pPr>
              <w:jc w:val="left"/>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rPr>
              <w:t>2、支持路由模式、透明网桥部署、旁路部署、单臂部署以及混合部署等多种方式。</w:t>
            </w:r>
          </w:p>
          <w:p>
            <w:pPr>
              <w:jc w:val="left"/>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rPr>
              <w:t>3、支持静态路由协议，OSPF动态路由协议，路由异常告警功能；支持DHCP中继。</w:t>
            </w:r>
          </w:p>
          <w:p>
            <w:pPr>
              <w:jc w:val="left"/>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rPr>
              <w:t>4、★支持多链路出站负载，支持基于源/目的IP、源/目的端口、协议、ISP、应用类型以及国家地域来进行选路的策略路由选路功能，提供产品功能截图并加盖厂商公章。</w:t>
            </w:r>
          </w:p>
          <w:p>
            <w:pPr>
              <w:jc w:val="left"/>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rPr>
              <w:t>5、支持连接会话展示，可针对具体的IP地址进行会话详情查询，支持封锁异常会话信息，并支持设置监听具体IP的会话记录。</w:t>
            </w:r>
          </w:p>
          <w:p>
            <w:pPr>
              <w:jc w:val="left"/>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rPr>
              <w:t>6、★支持同访问控制规则进行联动，可以针对检测到的攻击源IP进行联动封锁，支持自定义封锁时间，提供产品功能截图并加盖厂商公章。</w:t>
            </w:r>
          </w:p>
          <w:p>
            <w:pPr>
              <w:jc w:val="left"/>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rPr>
              <w:t>7、访问控制规则支持基于源／目的IP，源端口，源／目的区域，用户（组），应用/服务类型，时间组的细化控制方式。</w:t>
            </w:r>
          </w:p>
          <w:p>
            <w:pPr>
              <w:jc w:val="left"/>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rPr>
              <w:t>8、访问控制规则支持数据模拟匹配，输入源目的IP、端口、协议五元组信息，模拟策略匹配方式，给出最可能的匹配结果，方便排查故障，或环境部署前的调试，提供产品功能截图并加盖厂商公章。</w:t>
            </w:r>
          </w:p>
          <w:p>
            <w:pPr>
              <w:jc w:val="left"/>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rPr>
              <w:t>9、支持P2P、IM、游戏、炒股软件、网银，流媒体，常用邮件以及远程控制软件等的识别和控制，支持识别管控的应用类型超过1200种，应用识别规则总数超过3000条。</w:t>
            </w:r>
          </w:p>
          <w:p>
            <w:pPr>
              <w:jc w:val="left"/>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rPr>
              <w:t>10、支持基于应用类型，网站类型，文件类型进行带宽分配和流量控制，支持基于时间、地域、认证用户、子接口和VLAN等因素实现对象的流量控制，提供产品功能截图并加盖厂商公章。</w:t>
            </w:r>
          </w:p>
          <w:p>
            <w:pPr>
              <w:jc w:val="left"/>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rPr>
              <w:t>11、内置海量URL分类库，包含非法及不良网站、成人内容、网上购物、微博论坛等分类，实现全面高效的不良网站过滤。</w:t>
            </w:r>
          </w:p>
          <w:p>
            <w:pPr>
              <w:jc w:val="left"/>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rPr>
              <w:t>12、支持SYN Flood、ICMP Flood、UDP Flood、DNS Flood、ARP Flood等DoS/DDoS攻击防护；支持IP地址扫描和端口扫描防护。</w:t>
            </w:r>
          </w:p>
          <w:p>
            <w:pPr>
              <w:jc w:val="left"/>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rPr>
              <w:t>13、支持在同一个界面对全网所有服务器的安全状况进行风险评估，支持对当前所有业务的安全防护状态进行动态保护。</w:t>
            </w:r>
          </w:p>
          <w:p>
            <w:pPr>
              <w:jc w:val="left"/>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rPr>
              <w:t>14、支持产品安全能力图谱，可展示设备对资产防护的有效性，对当前的风险预测、风险防御、风险检测能力进行展示，并对当前资产安全状态进行评级；同时展示当前设备的安全能力等级，展示每日安全能力的更新情况，提供产品功能截图并加盖厂商公章。</w:t>
            </w:r>
          </w:p>
          <w:p>
            <w:pPr>
              <w:jc w:val="left"/>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rPr>
              <w:t>15、支持以安全策略模板方式快速部署安全策略，安全策略模板支持默认模板和自定义模板等多种格式，减少配置工作，提高部署效率。</w:t>
            </w:r>
          </w:p>
          <w:p>
            <w:pPr>
              <w:jc w:val="left"/>
              <w:rPr>
                <w:rFonts w:hint="eastAsia" w:ascii="宋体" w:hAnsi="宋体" w:eastAsia="宋体" w:cs="宋体"/>
                <w:color w:val="000000"/>
                <w:kern w:val="2"/>
                <w:sz w:val="21"/>
                <w:szCs w:val="22"/>
                <w:lang w:val="en-US" w:eastAsia="zh-CN" w:bidi="ar-SA"/>
              </w:rPr>
            </w:pPr>
            <w:r>
              <w:rPr>
                <w:rFonts w:hint="eastAsia" w:ascii="微软雅黑" w:hAnsi="微软雅黑" w:eastAsia="微软雅黑" w:cs="微软雅黑"/>
                <w:color w:val="333333"/>
                <w:sz w:val="18"/>
                <w:szCs w:val="18"/>
                <w:shd w:val="clear" w:color="auto" w:fill="FFFFFF"/>
              </w:rPr>
              <w:t>16、支持设备软硬件异常状态监控，可以监控设备CPU、内存、硬盘使用率，并且可监控系统状态、网络接口状态、安全能力监控状态，帮助用户实时了解安全设备运行状况。</w:t>
            </w:r>
          </w:p>
        </w:tc>
        <w:tc>
          <w:tcPr>
            <w:tcW w:w="414" w:type="dxa"/>
            <w:noWrap w:val="0"/>
            <w:vAlign w:val="center"/>
          </w:tcPr>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台</w:t>
            </w:r>
          </w:p>
        </w:tc>
        <w:tc>
          <w:tcPr>
            <w:tcW w:w="447" w:type="dxa"/>
            <w:noWrap w:val="0"/>
            <w:vAlign w:val="center"/>
          </w:tcPr>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both"/>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w:t>
            </w:r>
          </w:p>
        </w:tc>
        <w:tc>
          <w:tcPr>
            <w:tcW w:w="1122" w:type="dxa"/>
            <w:noWrap w:val="0"/>
            <w:vAlign w:val="center"/>
          </w:tcPr>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lang w:val="en-US" w:eastAsia="zh-CN"/>
              </w:rPr>
            </w:pPr>
          </w:p>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b w:val="0"/>
                <w:bCs w:val="0"/>
                <w:sz w:val="18"/>
                <w:szCs w:val="18"/>
              </w:rPr>
              <w:t>115,000.00</w:t>
            </w: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tc>
        <w:tc>
          <w:tcPr>
            <w:tcW w:w="1143" w:type="dxa"/>
            <w:noWrap w:val="0"/>
            <w:vAlign w:val="center"/>
          </w:tcPr>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lang w:val="en-US" w:eastAsia="zh-CN"/>
              </w:rPr>
            </w:pPr>
          </w:p>
          <w:p>
            <w:pPr>
              <w:jc w:val="center"/>
              <w:rPr>
                <w:rFonts w:hint="eastAsia" w:ascii="微软雅黑" w:hAnsi="微软雅黑" w:eastAsia="微软雅黑" w:cs="微软雅黑"/>
                <w:color w:val="000000"/>
                <w:sz w:val="18"/>
                <w:szCs w:val="18"/>
                <w:lang w:val="en-US" w:eastAsia="zh-CN"/>
              </w:rPr>
            </w:pPr>
          </w:p>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b w:val="0"/>
                <w:bCs w:val="0"/>
                <w:sz w:val="18"/>
                <w:szCs w:val="18"/>
              </w:rPr>
              <w:t>115,000.00</w:t>
            </w: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p>
            <w:pPr>
              <w:jc w:val="cente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noWrap w:val="0"/>
            <w:vAlign w:val="top"/>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w:t>
            </w:r>
          </w:p>
        </w:tc>
        <w:tc>
          <w:tcPr>
            <w:tcW w:w="724" w:type="dxa"/>
            <w:noWrap w:val="0"/>
            <w:vAlign w:val="top"/>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合计金额</w:t>
            </w:r>
          </w:p>
        </w:tc>
        <w:tc>
          <w:tcPr>
            <w:tcW w:w="7207" w:type="dxa"/>
            <w:gridSpan w:val="4"/>
            <w:noWrap w:val="0"/>
            <w:vAlign w:val="top"/>
          </w:tcPr>
          <w:p>
            <w:pPr>
              <w:jc w:val="center"/>
              <w:rPr>
                <w:rFonts w:hint="eastAsia" w:ascii="微软雅黑" w:hAnsi="微软雅黑" w:eastAsia="微软雅黑" w:cs="微软雅黑"/>
                <w:sz w:val="18"/>
                <w:szCs w:val="18"/>
              </w:rPr>
            </w:pPr>
          </w:p>
        </w:tc>
        <w:tc>
          <w:tcPr>
            <w:tcW w:w="1143" w:type="dxa"/>
            <w:noWrap w:val="0"/>
            <w:vAlign w:val="top"/>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295,000.00</w:t>
            </w:r>
          </w:p>
        </w:tc>
      </w:tr>
    </w:tbl>
    <w:p>
      <w:pPr>
        <w:pStyle w:val="5"/>
        <w:ind w:left="0" w:leftChars="0" w:firstLine="0" w:firstLineChars="0"/>
        <w:rPr>
          <w:rFonts w:hint="eastAsia"/>
        </w:rPr>
      </w:pPr>
    </w:p>
    <w:p>
      <w:pPr>
        <w:rPr>
          <w:rFonts w:ascii="宋体" w:hAnsi="宋体" w:cs="宋体"/>
          <w:b/>
          <w:bCs/>
          <w:sz w:val="18"/>
          <w:szCs w:val="18"/>
        </w:rPr>
      </w:pPr>
      <w:r>
        <w:rPr>
          <w:rFonts w:hint="eastAsia" w:ascii="宋体" w:hAnsi="宋体" w:cs="宋体"/>
          <w:b/>
          <w:bCs/>
          <w:sz w:val="18"/>
          <w:szCs w:val="18"/>
        </w:rPr>
        <w:t>标注星号（★）条款为必须满足项，不符合任何一项条款，投标无效。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yMTYxZjcxN2YyOTkxY2I0NTU1N2EzMWRjMjI0NGMifQ=="/>
  </w:docVars>
  <w:rsids>
    <w:rsidRoot w:val="1FEF285B"/>
    <w:rsid w:val="1FEF285B"/>
    <w:rsid w:val="6AC07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wang正文"/>
    <w:basedOn w:val="1"/>
    <w:qFormat/>
    <w:uiPriority w:val="0"/>
    <w:pPr>
      <w:tabs>
        <w:tab w:val="left" w:pos="6840"/>
      </w:tabs>
      <w:topLinePunct/>
      <w:ind w:firstLine="420"/>
    </w:pPr>
    <w:rPr>
      <w:kern w:val="0"/>
    </w:rPr>
  </w:style>
  <w:style w:type="paragraph" w:styleId="4">
    <w:name w:val="Body Text"/>
    <w:basedOn w:val="1"/>
    <w:next w:val="5"/>
    <w:uiPriority w:val="0"/>
    <w:pPr>
      <w:spacing w:after="120"/>
    </w:pPr>
    <w:rPr>
      <w:rFonts w:ascii="Times New Roman" w:hAnsi="Times New Roman" w:eastAsia="宋体" w:cs="Times New Roman"/>
      <w:szCs w:val="20"/>
    </w:rPr>
  </w:style>
  <w:style w:type="paragraph" w:styleId="5">
    <w:name w:val="Date"/>
    <w:basedOn w:val="1"/>
    <w:next w:val="1"/>
    <w:qFormat/>
    <w:uiPriority w:val="0"/>
    <w:pPr>
      <w:ind w:left="2500" w:leftChars="2500"/>
    </w:pPr>
    <w:rPr>
      <w:rFonts w:ascii="Times New Roman" w:hAnsi="Times New Roman" w:eastAsia="宋体" w:cs="Times New Roman"/>
      <w:szCs w:val="20"/>
    </w:rPr>
  </w:style>
  <w:style w:type="paragraph" w:styleId="6">
    <w:name w:val="Plain Text"/>
    <w:basedOn w:val="1"/>
    <w:uiPriority w:val="0"/>
    <w:rPr>
      <w:rFonts w:ascii="宋体" w:hAnsi="Times New Roman" w:eastAsia="宋体" w:cs="Times New Roman"/>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color w:val="000000"/>
      <w:kern w:val="0"/>
      <w:sz w:val="24"/>
      <w:szCs w:val="20"/>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BodyTextIndent"/>
    <w:basedOn w:val="1"/>
    <w:qFormat/>
    <w:uiPriority w:val="0"/>
    <w:pPr>
      <w:spacing w:line="360" w:lineRule="auto"/>
      <w:ind w:firstLine="480" w:firstLineChars="200"/>
    </w:pPr>
    <w:rPr>
      <w:rFonts w:ascii="宋体" w:hAnsi="宋体"/>
    </w:rPr>
  </w:style>
  <w:style w:type="paragraph" w:customStyle="1" w:styleId="12">
    <w:name w:val="列出段落11"/>
    <w:basedOn w:val="1"/>
    <w:unhideWhenUsed/>
    <w:qFormat/>
    <w:uiPriority w:val="99"/>
    <w:pPr>
      <w:ind w:firstLine="420"/>
    </w:pPr>
    <w:rPr>
      <w:rFonts w:ascii="等线" w:hAnsi="等线" w:eastAsia="等线"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5530</Words>
  <Characters>6530</Characters>
  <Lines>0</Lines>
  <Paragraphs>0</Paragraphs>
  <TotalTime>0</TotalTime>
  <ScaleCrop>false</ScaleCrop>
  <LinksUpToDate>false</LinksUpToDate>
  <CharactersWithSpaces>6627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2022-11-07T01:31:00Z</dcterms:created>
  <dc:creator>乀犯夫俗子</dc:creator>
  <cp:lastModifiedBy>乀犯夫俗子</cp:lastModifiedBy>
  <dcterms:modified xsi:type="dcterms:W3CDTF">2022-11-08T08:47:18Z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21208366D9534286B5CF3079447FB198</vt:lpwstr>
  </property>
</Properties>
</file>