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67" w:rsidRPr="00286014" w:rsidRDefault="00C83167" w:rsidP="00C83167">
      <w:pPr>
        <w:pStyle w:val="a5"/>
        <w:widowControl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line="360" w:lineRule="auto"/>
        <w:ind w:firstLineChars="0"/>
        <w:jc w:val="left"/>
        <w:textAlignment w:val="baseline"/>
        <w:rPr>
          <w:rFonts w:ascii="宋体" w:hAnsi="宋体" w:cs="Arial"/>
          <w:kern w:val="0"/>
          <w:sz w:val="24"/>
        </w:rPr>
      </w:pPr>
      <w:r w:rsidRPr="005A5AAD">
        <w:rPr>
          <w:rFonts w:ascii="宋体" w:hAnsi="宋体" w:cs="宋体" w:hint="eastAsia"/>
          <w:b/>
          <w:bCs/>
          <w:sz w:val="24"/>
        </w:rPr>
        <w:t>采购内</w:t>
      </w:r>
      <w:r w:rsidRPr="005A5AAD">
        <w:rPr>
          <w:rFonts w:ascii="宋体" w:hAnsi="宋体" w:cs="宋体" w:hint="eastAsia"/>
          <w:b/>
          <w:bCs/>
          <w:color w:val="000000" w:themeColor="text1"/>
          <w:sz w:val="24"/>
        </w:rPr>
        <w:t>容</w:t>
      </w:r>
      <w:r w:rsidRPr="005A5AAD">
        <w:rPr>
          <w:rFonts w:hint="eastAsia"/>
          <w:color w:val="000000" w:themeColor="text1"/>
          <w:sz w:val="24"/>
        </w:rPr>
        <w:t>：</w:t>
      </w:r>
    </w:p>
    <w:tbl>
      <w:tblPr>
        <w:tblStyle w:val="a6"/>
        <w:tblW w:w="0" w:type="auto"/>
        <w:tblInd w:w="876" w:type="dxa"/>
        <w:tblLook w:val="04A0"/>
      </w:tblPr>
      <w:tblGrid>
        <w:gridCol w:w="663"/>
        <w:gridCol w:w="1138"/>
        <w:gridCol w:w="2534"/>
        <w:gridCol w:w="1419"/>
        <w:gridCol w:w="1700"/>
      </w:tblGrid>
      <w:tr w:rsidR="00C83167" w:rsidRPr="00027C89" w:rsidTr="00125A86">
        <w:trPr>
          <w:trHeight w:val="661"/>
        </w:trPr>
        <w:tc>
          <w:tcPr>
            <w:tcW w:w="663" w:type="dxa"/>
            <w:vAlign w:val="bottom"/>
          </w:tcPr>
          <w:p w:rsidR="00C83167" w:rsidRPr="00027C89" w:rsidRDefault="00C83167" w:rsidP="00125A86">
            <w:pPr>
              <w:pStyle w:val="a5"/>
              <w:widowControl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firstLineChars="0" w:firstLine="0"/>
              <w:jc w:val="center"/>
              <w:textAlignment w:val="baseline"/>
              <w:rPr>
                <w:rFonts w:ascii="宋体" w:hAnsi="宋体" w:cs="Arial"/>
                <w:b/>
                <w:szCs w:val="21"/>
              </w:rPr>
            </w:pPr>
            <w:r w:rsidRPr="00027C89">
              <w:rPr>
                <w:rFonts w:asciiTheme="minorEastAsia" w:eastAsiaTheme="minorEastAsia" w:hAnsiTheme="minorEastAsia" w:cs="宋体" w:hint="eastAsia"/>
                <w:b/>
                <w:szCs w:val="21"/>
              </w:rPr>
              <w:t>序号</w:t>
            </w:r>
          </w:p>
        </w:tc>
        <w:tc>
          <w:tcPr>
            <w:tcW w:w="1138" w:type="dxa"/>
            <w:vAlign w:val="bottom"/>
          </w:tcPr>
          <w:p w:rsidR="00C83167" w:rsidRPr="00027C89" w:rsidRDefault="00C83167" w:rsidP="00125A86">
            <w:pPr>
              <w:pStyle w:val="a5"/>
              <w:widowControl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firstLineChars="0" w:firstLine="0"/>
              <w:jc w:val="center"/>
              <w:textAlignment w:val="baseline"/>
              <w:rPr>
                <w:rFonts w:ascii="宋体" w:hAnsi="宋体" w:cs="Arial"/>
                <w:b/>
                <w:szCs w:val="21"/>
              </w:rPr>
            </w:pPr>
            <w:r w:rsidRPr="00027C89">
              <w:rPr>
                <w:rFonts w:asciiTheme="minorEastAsia" w:eastAsiaTheme="minorEastAsia" w:hAnsiTheme="minorEastAsia" w:cs="宋体" w:hint="eastAsia"/>
                <w:b/>
                <w:szCs w:val="21"/>
              </w:rPr>
              <w:t>货物名称</w:t>
            </w:r>
          </w:p>
        </w:tc>
        <w:tc>
          <w:tcPr>
            <w:tcW w:w="2534" w:type="dxa"/>
            <w:vAlign w:val="bottom"/>
          </w:tcPr>
          <w:p w:rsidR="00C83167" w:rsidRPr="00027C89" w:rsidRDefault="00C83167" w:rsidP="00125A86">
            <w:pPr>
              <w:pStyle w:val="a5"/>
              <w:widowControl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firstLineChars="0" w:firstLine="0"/>
              <w:jc w:val="center"/>
              <w:textAlignment w:val="baseline"/>
              <w:rPr>
                <w:rFonts w:ascii="宋体" w:hAnsi="宋体" w:cs="Arial"/>
                <w:b/>
                <w:szCs w:val="21"/>
              </w:rPr>
            </w:pPr>
            <w:r w:rsidRPr="00027C89">
              <w:rPr>
                <w:rFonts w:asciiTheme="minorEastAsia" w:eastAsiaTheme="minorEastAsia" w:hAnsiTheme="minorEastAsia" w:cs="宋体"/>
                <w:b/>
                <w:szCs w:val="21"/>
              </w:rPr>
              <w:t>技术要求</w:t>
            </w:r>
          </w:p>
        </w:tc>
        <w:tc>
          <w:tcPr>
            <w:tcW w:w="1419" w:type="dxa"/>
            <w:vAlign w:val="bottom"/>
          </w:tcPr>
          <w:p w:rsidR="00C83167" w:rsidRPr="00027C89" w:rsidRDefault="00C83167" w:rsidP="00125A86">
            <w:pPr>
              <w:pStyle w:val="a5"/>
              <w:widowControl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firstLineChars="0" w:firstLine="0"/>
              <w:jc w:val="center"/>
              <w:textAlignment w:val="baseline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027C89">
              <w:rPr>
                <w:rFonts w:asciiTheme="minorEastAsia" w:eastAsiaTheme="minorEastAsia" w:hAnsiTheme="minorEastAsia" w:cs="宋体"/>
                <w:b/>
                <w:szCs w:val="21"/>
              </w:rPr>
              <w:t>数量</w:t>
            </w:r>
          </w:p>
        </w:tc>
        <w:tc>
          <w:tcPr>
            <w:tcW w:w="1700" w:type="dxa"/>
            <w:vAlign w:val="bottom"/>
          </w:tcPr>
          <w:p w:rsidR="00C83167" w:rsidRPr="00027C89" w:rsidRDefault="00C83167" w:rsidP="00125A86">
            <w:pPr>
              <w:pStyle w:val="a5"/>
              <w:widowControl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firstLineChars="0" w:firstLine="0"/>
              <w:jc w:val="center"/>
              <w:textAlignment w:val="baseline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027C89">
              <w:rPr>
                <w:rFonts w:asciiTheme="minorEastAsia" w:eastAsiaTheme="minorEastAsia" w:hAnsiTheme="minorEastAsia" w:cs="宋体"/>
                <w:b/>
                <w:szCs w:val="21"/>
              </w:rPr>
              <w:t>单位</w:t>
            </w:r>
          </w:p>
        </w:tc>
      </w:tr>
      <w:tr w:rsidR="00C83167" w:rsidRPr="00027C89" w:rsidTr="00125A86">
        <w:trPr>
          <w:trHeight w:val="1177"/>
        </w:trPr>
        <w:tc>
          <w:tcPr>
            <w:tcW w:w="663" w:type="dxa"/>
            <w:vAlign w:val="center"/>
          </w:tcPr>
          <w:p w:rsidR="00C83167" w:rsidRPr="00027C89" w:rsidRDefault="00C83167" w:rsidP="00125A86">
            <w:pPr>
              <w:pStyle w:val="a5"/>
              <w:widowControl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firstLineChars="0" w:firstLine="0"/>
              <w:jc w:val="center"/>
              <w:textAlignment w:val="baseline"/>
              <w:rPr>
                <w:rFonts w:ascii="宋体" w:hAnsi="宋体" w:cs="Arial"/>
                <w:szCs w:val="21"/>
              </w:rPr>
            </w:pPr>
            <w:r w:rsidRPr="00027C89"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C83167" w:rsidRPr="00027C89" w:rsidRDefault="00C83167" w:rsidP="00125A86">
            <w:pPr>
              <w:pStyle w:val="a5"/>
              <w:widowControl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firstLineChars="0" w:firstLine="0"/>
              <w:jc w:val="center"/>
              <w:textAlignment w:val="baseline"/>
              <w:rPr>
                <w:rFonts w:ascii="宋体" w:hAnsi="宋体" w:cs="Arial"/>
                <w:szCs w:val="21"/>
              </w:rPr>
            </w:pPr>
            <w:r w:rsidRPr="00027C89">
              <w:rPr>
                <w:rFonts w:asciiTheme="minorEastAsia" w:eastAsiaTheme="minorEastAsia" w:hAnsiTheme="minorEastAsia" w:cs="宋体" w:hint="eastAsia"/>
                <w:szCs w:val="21"/>
              </w:rPr>
              <w:t>土方</w:t>
            </w:r>
          </w:p>
        </w:tc>
        <w:tc>
          <w:tcPr>
            <w:tcW w:w="2534" w:type="dxa"/>
          </w:tcPr>
          <w:p w:rsidR="00C83167" w:rsidRPr="00027C89" w:rsidRDefault="00C83167" w:rsidP="00125A86">
            <w:pPr>
              <w:tabs>
                <w:tab w:val="left" w:pos="567"/>
                <w:tab w:val="left" w:pos="709"/>
                <w:tab w:val="left" w:pos="993"/>
              </w:tabs>
              <w:topLinePunct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027C89">
              <w:rPr>
                <w:rFonts w:asciiTheme="minorEastAsia" w:eastAsiaTheme="minorEastAsia" w:hAnsiTheme="minorEastAsia" w:cs="宋体" w:hint="eastAsia"/>
                <w:szCs w:val="21"/>
              </w:rPr>
              <w:t>1、土质要求：须符合相关施工技术规范和设计要求</w:t>
            </w:r>
          </w:p>
          <w:p w:rsidR="00C83167" w:rsidRPr="00027C89" w:rsidRDefault="00C83167" w:rsidP="00125A86">
            <w:pPr>
              <w:tabs>
                <w:tab w:val="left" w:pos="567"/>
                <w:tab w:val="left" w:pos="709"/>
                <w:tab w:val="left" w:pos="993"/>
              </w:tabs>
              <w:topLinePunct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027C89">
              <w:rPr>
                <w:rFonts w:asciiTheme="minorEastAsia" w:eastAsiaTheme="minorEastAsia" w:hAnsiTheme="minorEastAsia" w:cs="宋体" w:hint="eastAsia"/>
                <w:szCs w:val="21"/>
              </w:rPr>
              <w:t>2、运距：投标人自行考虑，结算不作调整</w:t>
            </w:r>
          </w:p>
          <w:p w:rsidR="00C83167" w:rsidRPr="00027C89" w:rsidRDefault="00C83167" w:rsidP="00125A86">
            <w:pPr>
              <w:pStyle w:val="a5"/>
              <w:widowControl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 w:rsidRPr="00027C89">
              <w:rPr>
                <w:rFonts w:asciiTheme="minorEastAsia" w:eastAsiaTheme="minorEastAsia" w:hAnsiTheme="minorEastAsia" w:cs="宋体" w:hint="eastAsia"/>
                <w:szCs w:val="21"/>
              </w:rPr>
              <w:t>3、备注：中标人须配合工程施工进度按招标人要求的时点、批次运至施工现场招标人指定位置</w:t>
            </w:r>
          </w:p>
        </w:tc>
        <w:tc>
          <w:tcPr>
            <w:tcW w:w="1419" w:type="dxa"/>
            <w:vAlign w:val="center"/>
          </w:tcPr>
          <w:p w:rsidR="00C83167" w:rsidRPr="00027C89" w:rsidRDefault="00C83167" w:rsidP="00125A86">
            <w:pPr>
              <w:pStyle w:val="a5"/>
              <w:widowControl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firstLineChars="0" w:firstLine="0"/>
              <w:jc w:val="center"/>
              <w:textAlignment w:val="baseline"/>
              <w:rPr>
                <w:rFonts w:ascii="宋体" w:hAnsi="宋体" w:cs="Arial"/>
                <w:szCs w:val="21"/>
              </w:rPr>
            </w:pPr>
            <w:r w:rsidRPr="00027C89">
              <w:rPr>
                <w:rFonts w:asciiTheme="minorEastAsia" w:eastAsiaTheme="minorEastAsia" w:hAnsiTheme="minorEastAsia" w:cs="宋体"/>
                <w:szCs w:val="21"/>
              </w:rPr>
              <w:t>43341.1</w:t>
            </w:r>
          </w:p>
        </w:tc>
        <w:tc>
          <w:tcPr>
            <w:tcW w:w="1700" w:type="dxa"/>
            <w:vAlign w:val="center"/>
          </w:tcPr>
          <w:p w:rsidR="00C83167" w:rsidRPr="00027C89" w:rsidRDefault="00C83167" w:rsidP="00125A86">
            <w:pPr>
              <w:pStyle w:val="a5"/>
              <w:widowControl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firstLineChars="0" w:firstLine="0"/>
              <w:jc w:val="center"/>
              <w:textAlignment w:val="baseline"/>
              <w:rPr>
                <w:rFonts w:ascii="宋体" w:hAnsi="宋体" w:cs="Arial"/>
                <w:szCs w:val="21"/>
              </w:rPr>
            </w:pPr>
            <w:r w:rsidRPr="00027C89">
              <w:rPr>
                <w:rFonts w:asciiTheme="minorEastAsia" w:eastAsiaTheme="minorEastAsia" w:hAnsiTheme="minorEastAsia" w:cs="宋体"/>
                <w:szCs w:val="21"/>
              </w:rPr>
              <w:t>m</w:t>
            </w:r>
            <w:r w:rsidRPr="00B71236">
              <w:rPr>
                <w:rFonts w:asciiTheme="minorEastAsia" w:eastAsiaTheme="minorEastAsia" w:hAnsiTheme="minorEastAsia" w:cs="宋体"/>
                <w:szCs w:val="21"/>
                <w:vertAlign w:val="superscript"/>
              </w:rPr>
              <w:t>3</w:t>
            </w:r>
          </w:p>
        </w:tc>
      </w:tr>
    </w:tbl>
    <w:p w:rsidR="00C83167" w:rsidRPr="005A5AAD" w:rsidRDefault="00C83167" w:rsidP="00C83167">
      <w:pPr>
        <w:pStyle w:val="a5"/>
        <w:widowControl/>
        <w:tabs>
          <w:tab w:val="left" w:pos="567"/>
          <w:tab w:val="left" w:pos="709"/>
          <w:tab w:val="left" w:pos="993"/>
        </w:tabs>
        <w:spacing w:line="360" w:lineRule="auto"/>
        <w:ind w:left="876" w:firstLineChars="0" w:firstLine="0"/>
        <w:jc w:val="left"/>
        <w:textAlignment w:val="baseline"/>
        <w:rPr>
          <w:rFonts w:ascii="宋体" w:hAnsi="宋体" w:cs="Arial"/>
          <w:kern w:val="0"/>
          <w:sz w:val="24"/>
        </w:rPr>
      </w:pPr>
    </w:p>
    <w:p w:rsidR="00C83167" w:rsidRPr="001D22C5" w:rsidRDefault="00C83167" w:rsidP="00C83167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 w:rsidRPr="001D22C5">
        <w:rPr>
          <w:rFonts w:ascii="宋体" w:hAnsi="宋体" w:hint="eastAsia"/>
          <w:bCs/>
          <w:szCs w:val="21"/>
        </w:rPr>
        <w:t>（一）本次招标范围为“东风片区改造一期（天翔路南延）项目南段路基工程”回填用土源（含灰土拌合用</w:t>
      </w:r>
      <w:r>
        <w:rPr>
          <w:rFonts w:ascii="宋体" w:hAnsi="宋体" w:hint="eastAsia"/>
          <w:bCs/>
          <w:szCs w:val="21"/>
        </w:rPr>
        <w:t>的</w:t>
      </w:r>
      <w:r w:rsidRPr="001D22C5">
        <w:rPr>
          <w:rFonts w:ascii="宋体" w:hAnsi="宋体" w:hint="eastAsia"/>
          <w:bCs/>
          <w:szCs w:val="21"/>
        </w:rPr>
        <w:t>土源），包括土源开挖、装卸、运输。</w:t>
      </w:r>
    </w:p>
    <w:p w:rsidR="00C83167" w:rsidRPr="001D22C5" w:rsidRDefault="00C83167" w:rsidP="00C83167">
      <w:pPr>
        <w:spacing w:line="500" w:lineRule="exact"/>
        <w:ind w:firstLineChars="250" w:firstLine="525"/>
        <w:rPr>
          <w:rFonts w:ascii="宋体" w:hAnsi="宋体"/>
          <w:bCs/>
          <w:szCs w:val="21"/>
        </w:rPr>
      </w:pPr>
      <w:r w:rsidRPr="001D22C5">
        <w:rPr>
          <w:rFonts w:ascii="宋体" w:hAnsi="宋体" w:hint="eastAsia"/>
          <w:bCs/>
          <w:szCs w:val="21"/>
        </w:rPr>
        <w:t>东风片区改造一期（天翔路南延）项目南段路基工程概况：东风片区改造一期（天翔路南延）项目为丹阳市241省道西侧地块内的一条南北向道路，北</w:t>
      </w:r>
      <w:proofErr w:type="gramStart"/>
      <w:r w:rsidRPr="001D22C5">
        <w:rPr>
          <w:rFonts w:ascii="宋体" w:hAnsi="宋体" w:hint="eastAsia"/>
          <w:bCs/>
          <w:szCs w:val="21"/>
        </w:rPr>
        <w:t>起丹句路</w:t>
      </w:r>
      <w:proofErr w:type="gramEnd"/>
      <w:r w:rsidRPr="001D22C5">
        <w:rPr>
          <w:rFonts w:ascii="宋体" w:hAnsi="宋体" w:hint="eastAsia"/>
          <w:bCs/>
          <w:szCs w:val="21"/>
        </w:rPr>
        <w:t>，南至香草路，全长1259.589米，其中：南段工程，桩号范围TXLK0+630.000-TXL K1+259.589，实施长度约629.589米，一般路段道路红线宽度32米，交叉口</w:t>
      </w:r>
      <w:proofErr w:type="gramStart"/>
      <w:r w:rsidRPr="001D22C5">
        <w:rPr>
          <w:rFonts w:ascii="宋体" w:hAnsi="宋体" w:hint="eastAsia"/>
          <w:bCs/>
          <w:szCs w:val="21"/>
        </w:rPr>
        <w:t>渠化段道路</w:t>
      </w:r>
      <w:proofErr w:type="gramEnd"/>
      <w:r w:rsidRPr="001D22C5">
        <w:rPr>
          <w:rFonts w:ascii="宋体" w:hAnsi="宋体" w:hint="eastAsia"/>
          <w:bCs/>
          <w:szCs w:val="21"/>
        </w:rPr>
        <w:t>红线总宽度34-36米。</w:t>
      </w:r>
    </w:p>
    <w:p w:rsidR="00C83167" w:rsidRPr="001D22C5" w:rsidRDefault="00C83167" w:rsidP="00C83167">
      <w:pPr>
        <w:spacing w:line="500" w:lineRule="exact"/>
        <w:ind w:firstLineChars="250" w:firstLine="525"/>
        <w:rPr>
          <w:rFonts w:ascii="宋体" w:hAnsi="宋体"/>
          <w:bCs/>
          <w:szCs w:val="21"/>
        </w:rPr>
      </w:pPr>
      <w:r w:rsidRPr="001D22C5">
        <w:rPr>
          <w:rFonts w:ascii="宋体" w:hAnsi="宋体" w:hint="eastAsia"/>
          <w:bCs/>
          <w:szCs w:val="21"/>
        </w:rPr>
        <w:t>（二）土质满足以下要求：</w:t>
      </w:r>
    </w:p>
    <w:p w:rsidR="00C83167" w:rsidRDefault="00C83167" w:rsidP="00C83167">
      <w:pPr>
        <w:widowControl/>
        <w:tabs>
          <w:tab w:val="left" w:pos="567"/>
          <w:tab w:val="left" w:pos="709"/>
          <w:tab w:val="left" w:pos="993"/>
        </w:tabs>
        <w:spacing w:line="360" w:lineRule="auto"/>
        <w:ind w:firstLineChars="300" w:firstLine="630"/>
        <w:jc w:val="left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1、</w:t>
      </w:r>
      <w:r w:rsidRPr="00837A92">
        <w:rPr>
          <w:rFonts w:ascii="宋体" w:hAnsi="宋体" w:hint="eastAsia"/>
          <w:bCs/>
          <w:szCs w:val="21"/>
        </w:rPr>
        <w:t>符合相关施工技术规范和设计要求；</w:t>
      </w:r>
    </w:p>
    <w:p w:rsidR="00C83167" w:rsidRDefault="00C83167" w:rsidP="00C83167">
      <w:pPr>
        <w:widowControl/>
        <w:tabs>
          <w:tab w:val="left" w:pos="567"/>
          <w:tab w:val="left" w:pos="709"/>
          <w:tab w:val="left" w:pos="993"/>
        </w:tabs>
        <w:spacing w:line="360" w:lineRule="auto"/>
        <w:ind w:firstLineChars="300" w:firstLine="630"/>
        <w:jc w:val="left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2、</w:t>
      </w:r>
      <w:r w:rsidRPr="00837A92">
        <w:rPr>
          <w:rFonts w:ascii="宋体" w:hAnsi="宋体" w:hint="eastAsia"/>
          <w:bCs/>
          <w:szCs w:val="21"/>
        </w:rPr>
        <w:t>粘性黄土，可塑，土的塑性指数应在12～20之间，压缩性中等，不得含有建筑垃圾、有机物等杂质；</w:t>
      </w:r>
    </w:p>
    <w:p w:rsidR="00C83167" w:rsidRPr="001D22C5" w:rsidRDefault="00C83167" w:rsidP="00C83167">
      <w:pPr>
        <w:pStyle w:val="a5"/>
        <w:widowControl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line="360" w:lineRule="auto"/>
        <w:ind w:firstLineChars="0"/>
        <w:jc w:val="left"/>
        <w:textAlignment w:val="baseline"/>
        <w:rPr>
          <w:rFonts w:ascii="宋体" w:hAnsi="宋体"/>
          <w:bCs/>
          <w:szCs w:val="21"/>
        </w:rPr>
      </w:pPr>
      <w:r w:rsidRPr="001D22C5">
        <w:rPr>
          <w:rFonts w:ascii="宋体" w:hAnsi="宋体" w:hint="eastAsia"/>
          <w:bCs/>
          <w:szCs w:val="21"/>
        </w:rPr>
        <w:t>不得含有对道路、管网及构筑物造成腐蚀的物质。</w:t>
      </w:r>
    </w:p>
    <w:p w:rsidR="00C83167" w:rsidRPr="001D22C5" w:rsidRDefault="00C83167" w:rsidP="00C83167">
      <w:pPr>
        <w:pStyle w:val="a5"/>
        <w:widowControl/>
        <w:tabs>
          <w:tab w:val="left" w:pos="567"/>
          <w:tab w:val="left" w:pos="709"/>
          <w:tab w:val="left" w:pos="993"/>
        </w:tabs>
        <w:spacing w:line="360" w:lineRule="auto"/>
        <w:ind w:leftChars="49" w:left="103" w:firstLineChars="98" w:firstLine="207"/>
        <w:jc w:val="left"/>
        <w:textAlignment w:val="baseline"/>
        <w:rPr>
          <w:b/>
          <w:sz w:val="24"/>
        </w:rPr>
      </w:pPr>
      <w:r w:rsidRPr="001D22C5">
        <w:rPr>
          <w:rFonts w:ascii="宋体" w:hAnsi="宋体" w:cs="宋体" w:hint="eastAsia"/>
          <w:b/>
          <w:szCs w:val="21"/>
          <w:lang w:val="zh-CN"/>
        </w:rPr>
        <w:t>★</w:t>
      </w:r>
      <w:r w:rsidRPr="001D22C5">
        <w:rPr>
          <w:rFonts w:ascii="宋体" w:hAnsi="宋体" w:cs="宋体" w:hint="eastAsia"/>
          <w:b/>
          <w:bCs/>
          <w:sz w:val="24"/>
        </w:rPr>
        <w:t>二、服务要求</w:t>
      </w:r>
    </w:p>
    <w:p w:rsidR="00C83167" w:rsidRPr="00FB1710" w:rsidRDefault="00C83167" w:rsidP="00C83167">
      <w:pPr>
        <w:pStyle w:val="a5"/>
        <w:numPr>
          <w:ilvl w:val="0"/>
          <w:numId w:val="3"/>
        </w:numPr>
        <w:snapToGrid w:val="0"/>
        <w:spacing w:line="340" w:lineRule="exact"/>
        <w:ind w:firstLineChars="0"/>
        <w:jc w:val="left"/>
        <w:rPr>
          <w:rFonts w:ascii="宋体" w:hAnsi="宋体" w:cs="宋体"/>
          <w:color w:val="FF0000"/>
          <w:kern w:val="0"/>
          <w:szCs w:val="21"/>
        </w:rPr>
      </w:pPr>
      <w:r w:rsidRPr="00FB1710">
        <w:rPr>
          <w:rFonts w:ascii="宋体" w:hAnsi="宋体" w:cs="宋体" w:hint="eastAsia"/>
          <w:color w:val="FF0000"/>
          <w:kern w:val="0"/>
          <w:szCs w:val="21"/>
        </w:rPr>
        <w:t>投标单位必须符合渣土运输资质条件，且在丹阳市城管系统进行登记备案；</w:t>
      </w:r>
      <w:r>
        <w:rPr>
          <w:rFonts w:ascii="宋体" w:hAnsi="宋体" w:cs="宋体" w:hint="eastAsia"/>
          <w:color w:val="FF0000"/>
          <w:kern w:val="0"/>
          <w:szCs w:val="21"/>
        </w:rPr>
        <w:t>（须提供相关证明材料）</w:t>
      </w:r>
    </w:p>
    <w:p w:rsidR="00C83167" w:rsidRPr="00FB1710" w:rsidRDefault="00C83167" w:rsidP="00C83167">
      <w:pPr>
        <w:pStyle w:val="a5"/>
        <w:numPr>
          <w:ilvl w:val="0"/>
          <w:numId w:val="3"/>
        </w:numPr>
        <w:snapToGrid w:val="0"/>
        <w:spacing w:line="340" w:lineRule="exact"/>
        <w:ind w:firstLineChars="0"/>
        <w:jc w:val="left"/>
        <w:rPr>
          <w:rFonts w:ascii="宋体" w:hAnsi="宋体" w:cs="宋体"/>
          <w:color w:val="000000"/>
          <w:kern w:val="0"/>
          <w:szCs w:val="21"/>
        </w:rPr>
      </w:pPr>
      <w:r w:rsidRPr="00FB1710">
        <w:rPr>
          <w:rFonts w:ascii="宋体" w:hAnsi="宋体" w:cs="宋体" w:hint="eastAsia"/>
          <w:color w:val="000000"/>
          <w:kern w:val="0"/>
          <w:szCs w:val="21"/>
        </w:rPr>
        <w:t>交货地点：用户指定地点；</w:t>
      </w:r>
    </w:p>
    <w:p w:rsidR="00C83167" w:rsidRPr="001D22C5" w:rsidRDefault="00C83167" w:rsidP="00C83167">
      <w:pPr>
        <w:snapToGrid w:val="0"/>
        <w:spacing w:line="340" w:lineRule="exact"/>
        <w:ind w:firstLineChars="250" w:firstLine="525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3、</w:t>
      </w:r>
      <w:r w:rsidRPr="001D22C5">
        <w:rPr>
          <w:rFonts w:ascii="宋体" w:hAnsi="宋体" w:cs="宋体" w:hint="eastAsia"/>
          <w:color w:val="000000"/>
          <w:kern w:val="0"/>
          <w:szCs w:val="21"/>
        </w:rPr>
        <w:t>中标人须配合“东风片区改造一期（天翔路南延）项目南段路基工程”施工进度按建设单位要求的时点、批次运至施工现场招标人指定位置</w:t>
      </w:r>
      <w:r>
        <w:rPr>
          <w:rFonts w:ascii="宋体" w:hAnsi="宋体" w:cs="宋体" w:hint="eastAsia"/>
          <w:color w:val="000000"/>
          <w:kern w:val="0"/>
          <w:szCs w:val="21"/>
        </w:rPr>
        <w:t>；</w:t>
      </w:r>
    </w:p>
    <w:p w:rsidR="00C83167" w:rsidRPr="00ED2C7F" w:rsidRDefault="00C83167" w:rsidP="00C83167">
      <w:pPr>
        <w:snapToGrid w:val="0"/>
        <w:spacing w:line="340" w:lineRule="exact"/>
        <w:ind w:firstLineChars="250" w:firstLine="525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4</w:t>
      </w:r>
      <w:r w:rsidRPr="00ED2C7F">
        <w:rPr>
          <w:rFonts w:ascii="宋体" w:hAnsi="宋体" w:cs="宋体" w:hint="eastAsia"/>
          <w:color w:val="000000"/>
          <w:kern w:val="0"/>
          <w:szCs w:val="21"/>
        </w:rPr>
        <w:t>、中标单位应保证投标货物符合招标文件规定的要求</w:t>
      </w:r>
      <w:r>
        <w:rPr>
          <w:rFonts w:ascii="宋体" w:hAnsi="宋体" w:cs="宋体" w:hint="eastAsia"/>
          <w:color w:val="000000"/>
          <w:kern w:val="0"/>
          <w:szCs w:val="21"/>
        </w:rPr>
        <w:t>；</w:t>
      </w:r>
    </w:p>
    <w:p w:rsidR="00C83167" w:rsidRPr="004E7562" w:rsidRDefault="00C83167" w:rsidP="00C83167">
      <w:pPr>
        <w:snapToGrid w:val="0"/>
        <w:spacing w:line="340" w:lineRule="exact"/>
        <w:ind w:firstLineChars="250" w:firstLine="525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5</w:t>
      </w:r>
      <w:r w:rsidRPr="00ED2C7F">
        <w:rPr>
          <w:rFonts w:ascii="宋体" w:hAnsi="宋体" w:cs="宋体" w:hint="eastAsia"/>
          <w:color w:val="000000"/>
          <w:kern w:val="0"/>
          <w:szCs w:val="21"/>
        </w:rPr>
        <w:t>、在验收之前所发生所有与之有关的设备、材料的运输、仓储、保管和装卸工作均应由中标单位自行负责</w:t>
      </w:r>
      <w:r>
        <w:rPr>
          <w:rFonts w:ascii="宋体" w:hAnsi="宋体" w:cs="宋体" w:hint="eastAsia"/>
          <w:color w:val="000000"/>
          <w:kern w:val="0"/>
          <w:szCs w:val="21"/>
        </w:rPr>
        <w:t>，</w:t>
      </w:r>
      <w:r w:rsidRPr="004E7562">
        <w:rPr>
          <w:rFonts w:ascii="宋体" w:hAnsi="宋体" w:cs="宋体" w:hint="eastAsia"/>
          <w:color w:val="000000"/>
          <w:kern w:val="0"/>
          <w:szCs w:val="21"/>
        </w:rPr>
        <w:t>由此产生的费用均由投标人承担</w:t>
      </w:r>
      <w:r>
        <w:rPr>
          <w:rFonts w:ascii="宋体" w:hAnsi="宋体" w:cs="宋体" w:hint="eastAsia"/>
          <w:color w:val="000000"/>
          <w:kern w:val="0"/>
          <w:szCs w:val="21"/>
        </w:rPr>
        <w:t>；</w:t>
      </w:r>
    </w:p>
    <w:p w:rsidR="00C83167" w:rsidRDefault="00C83167" w:rsidP="00C83167">
      <w:pPr>
        <w:snapToGrid w:val="0"/>
        <w:spacing w:line="340" w:lineRule="exact"/>
        <w:ind w:firstLineChars="250" w:firstLine="525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6</w:t>
      </w:r>
      <w:r w:rsidRPr="00824489">
        <w:rPr>
          <w:rFonts w:ascii="宋体" w:hAnsi="宋体" w:cs="宋体" w:hint="eastAsia"/>
          <w:color w:val="000000"/>
          <w:kern w:val="0"/>
          <w:szCs w:val="21"/>
        </w:rPr>
        <w:t>、中标单位供应的土方如不符合采购方的要求，由中标单位负责调换</w:t>
      </w:r>
      <w:r>
        <w:rPr>
          <w:rFonts w:ascii="宋体" w:hAnsi="宋体" w:cs="宋体" w:hint="eastAsia"/>
          <w:color w:val="000000"/>
          <w:kern w:val="0"/>
          <w:szCs w:val="21"/>
        </w:rPr>
        <w:t>直至</w:t>
      </w:r>
      <w:r w:rsidRPr="00824489">
        <w:rPr>
          <w:rFonts w:ascii="宋体" w:hAnsi="宋体" w:cs="宋体" w:hint="eastAsia"/>
          <w:color w:val="000000"/>
          <w:kern w:val="0"/>
          <w:szCs w:val="21"/>
        </w:rPr>
        <w:t>符合采购方</w:t>
      </w:r>
      <w:r w:rsidRPr="00824489">
        <w:rPr>
          <w:rFonts w:ascii="宋体" w:hAnsi="宋体" w:cs="宋体" w:hint="eastAsia"/>
          <w:color w:val="000000"/>
          <w:kern w:val="0"/>
          <w:szCs w:val="21"/>
        </w:rPr>
        <w:lastRenderedPageBreak/>
        <w:t>的要求</w:t>
      </w:r>
      <w:r>
        <w:rPr>
          <w:rFonts w:ascii="宋体" w:hAnsi="宋体" w:cs="宋体" w:hint="eastAsia"/>
          <w:color w:val="000000"/>
          <w:kern w:val="0"/>
          <w:szCs w:val="21"/>
        </w:rPr>
        <w:t>；</w:t>
      </w:r>
    </w:p>
    <w:p w:rsidR="00C83167" w:rsidRPr="008055AB" w:rsidRDefault="00C83167" w:rsidP="00C83167">
      <w:pPr>
        <w:snapToGrid w:val="0"/>
        <w:spacing w:line="340" w:lineRule="exact"/>
        <w:ind w:firstLineChars="250" w:firstLine="525"/>
        <w:jc w:val="left"/>
        <w:rPr>
          <w:rFonts w:ascii="宋体" w:hAnsi="宋体" w:cs="宋体"/>
          <w:bCs/>
          <w:kern w:val="28"/>
          <w:szCs w:val="21"/>
        </w:rPr>
      </w:pPr>
      <w:r>
        <w:rPr>
          <w:rFonts w:ascii="宋体" w:hAnsi="宋体" w:hint="eastAsia"/>
          <w:szCs w:val="21"/>
        </w:rPr>
        <w:t>7</w:t>
      </w:r>
      <w:r w:rsidRPr="008055AB">
        <w:rPr>
          <w:rFonts w:ascii="宋体" w:hAnsi="宋体" w:hint="eastAsia"/>
          <w:szCs w:val="21"/>
        </w:rPr>
        <w:t>、验收</w:t>
      </w:r>
      <w:r w:rsidRPr="008055AB">
        <w:rPr>
          <w:rFonts w:ascii="宋体" w:hAnsi="宋体" w:cs="宋体" w:hint="eastAsia"/>
          <w:bCs/>
          <w:kern w:val="28"/>
          <w:szCs w:val="21"/>
        </w:rPr>
        <w:t>要求：</w:t>
      </w:r>
    </w:p>
    <w:p w:rsidR="00C83167" w:rsidRPr="004E7562" w:rsidRDefault="00C83167" w:rsidP="00C83167">
      <w:pPr>
        <w:snapToGrid w:val="0"/>
        <w:spacing w:line="340" w:lineRule="exact"/>
        <w:ind w:firstLineChars="150" w:firstLine="315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（1）验收之前，中标单位应先完成自检；</w:t>
      </w:r>
    </w:p>
    <w:p w:rsidR="00C83167" w:rsidRPr="008055AB" w:rsidRDefault="00C83167" w:rsidP="00C83167">
      <w:pPr>
        <w:snapToGrid w:val="0"/>
        <w:spacing w:line="340" w:lineRule="exact"/>
        <w:ind w:firstLineChars="150" w:firstLine="315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（2）</w:t>
      </w:r>
      <w:r w:rsidRPr="00B71236">
        <w:rPr>
          <w:rFonts w:ascii="宋体" w:hAnsi="宋体" w:cs="宋体" w:hint="eastAsia"/>
          <w:color w:val="000000"/>
          <w:kern w:val="0"/>
          <w:szCs w:val="21"/>
        </w:rPr>
        <w:t>甲方按照土质要求验收。</w:t>
      </w:r>
    </w:p>
    <w:p w:rsidR="00C83167" w:rsidRPr="005A5AAD" w:rsidRDefault="00C83167" w:rsidP="00C83167">
      <w:pPr>
        <w:spacing w:line="360" w:lineRule="auto"/>
        <w:ind w:leftChars="-1" w:left="-2" w:firstLineChars="100" w:firstLine="241"/>
        <w:rPr>
          <w:rFonts w:ascii="宋体" w:hAnsi="宋体" w:cs="宋体"/>
          <w:b/>
          <w:color w:val="000000"/>
          <w:kern w:val="0"/>
          <w:sz w:val="24"/>
        </w:rPr>
      </w:pPr>
      <w:r w:rsidRPr="005A5AAD">
        <w:rPr>
          <w:rFonts w:ascii="宋体" w:hAnsi="宋体" w:cs="宋体" w:hint="eastAsia"/>
          <w:b/>
          <w:color w:val="000000"/>
          <w:kern w:val="0"/>
          <w:sz w:val="24"/>
        </w:rPr>
        <w:t>三、商务部分</w:t>
      </w:r>
      <w:r w:rsidRPr="005A5AAD">
        <w:rPr>
          <w:rFonts w:ascii="宋体" w:hAnsi="宋体" w:cs="宋体"/>
          <w:b/>
          <w:color w:val="000000"/>
          <w:kern w:val="0"/>
          <w:sz w:val="24"/>
        </w:rPr>
        <w:t xml:space="preserve"> </w:t>
      </w:r>
    </w:p>
    <w:p w:rsidR="00C83167" w:rsidRPr="008055AB" w:rsidRDefault="00C83167" w:rsidP="00C83167">
      <w:pPr>
        <w:autoSpaceDE w:val="0"/>
        <w:autoSpaceDN w:val="0"/>
        <w:adjustRightInd w:val="0"/>
        <w:spacing w:line="360" w:lineRule="auto"/>
        <w:ind w:firstLineChars="202" w:firstLine="426"/>
        <w:jc w:val="left"/>
        <w:rPr>
          <w:rFonts w:ascii="宋体" w:hAnsi="宋体"/>
          <w:color w:val="FF0000"/>
          <w:szCs w:val="21"/>
          <w:lang w:val="zh-CN"/>
        </w:rPr>
      </w:pPr>
      <w:r w:rsidRPr="00A24E26">
        <w:rPr>
          <w:rFonts w:ascii="宋体" w:hAnsi="宋体" w:cs="宋体" w:hint="eastAsia"/>
          <w:b/>
          <w:szCs w:val="21"/>
          <w:lang w:val="zh-CN"/>
        </w:rPr>
        <w:t>★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1、</w:t>
      </w:r>
      <w:r w:rsidRPr="004E7562">
        <w:rPr>
          <w:rFonts w:ascii="宋体" w:hAnsi="宋体" w:cs="宋体" w:hint="eastAsia"/>
          <w:b/>
          <w:color w:val="000000"/>
          <w:kern w:val="0"/>
          <w:szCs w:val="21"/>
        </w:rPr>
        <w:t>采购预算：</w:t>
      </w:r>
      <w:r>
        <w:rPr>
          <w:rFonts w:ascii="宋体" w:hAnsi="宋体" w:cs="宋体" w:hint="eastAsia"/>
          <w:color w:val="000000"/>
          <w:kern w:val="0"/>
          <w:szCs w:val="21"/>
        </w:rPr>
        <w:t>1449409</w:t>
      </w:r>
      <w:r w:rsidRPr="00A24E26">
        <w:rPr>
          <w:rFonts w:ascii="宋体" w:hAnsi="宋体" w:cs="宋体" w:hint="eastAsia"/>
          <w:color w:val="000000"/>
          <w:kern w:val="0"/>
          <w:szCs w:val="21"/>
        </w:rPr>
        <w:t>元</w:t>
      </w:r>
      <w:r>
        <w:rPr>
          <w:rFonts w:ascii="宋体" w:hAnsi="宋体" w:cs="宋体" w:hint="eastAsia"/>
          <w:color w:val="000000"/>
          <w:kern w:val="0"/>
          <w:szCs w:val="21"/>
        </w:rPr>
        <w:t>，</w:t>
      </w:r>
      <w:r>
        <w:rPr>
          <w:rFonts w:hint="eastAsia"/>
        </w:rPr>
        <w:t>投标报价超过预算金额的为无效报价，按照无效响应处理</w:t>
      </w:r>
      <w:r w:rsidRPr="00A24E26"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C83167" w:rsidRDefault="00C83167" w:rsidP="00C83167">
      <w:pPr>
        <w:autoSpaceDE w:val="0"/>
        <w:autoSpaceDN w:val="0"/>
        <w:adjustRightInd w:val="0"/>
        <w:spacing w:line="360" w:lineRule="auto"/>
        <w:ind w:firstLineChars="202" w:firstLine="426"/>
        <w:jc w:val="left"/>
        <w:rPr>
          <w:rFonts w:ascii="宋体" w:hAnsi="宋体" w:cs="宋体"/>
          <w:color w:val="000000"/>
          <w:kern w:val="0"/>
          <w:szCs w:val="21"/>
        </w:rPr>
      </w:pPr>
      <w:r w:rsidRPr="00A24E26">
        <w:rPr>
          <w:rFonts w:ascii="宋体" w:hAnsi="宋体" w:cs="宋体" w:hint="eastAsia"/>
          <w:b/>
          <w:szCs w:val="21"/>
          <w:lang w:val="zh-CN"/>
        </w:rPr>
        <w:t>★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2、</w:t>
      </w:r>
      <w:r w:rsidRPr="004E7562">
        <w:rPr>
          <w:rFonts w:ascii="宋体" w:hAnsi="宋体" w:cs="宋体" w:hint="eastAsia"/>
          <w:b/>
          <w:color w:val="000000"/>
          <w:kern w:val="0"/>
          <w:szCs w:val="21"/>
        </w:rPr>
        <w:t>完工期：</w:t>
      </w:r>
      <w:r w:rsidRPr="00B74E28">
        <w:rPr>
          <w:rFonts w:ascii="宋体" w:hAnsi="宋体" w:cs="宋体" w:hint="eastAsia"/>
          <w:color w:val="000000"/>
          <w:kern w:val="0"/>
          <w:szCs w:val="21"/>
        </w:rPr>
        <w:t>合同签订后，接甲方通知起10内完成供货。</w:t>
      </w:r>
    </w:p>
    <w:p w:rsidR="00C83167" w:rsidRDefault="00C83167" w:rsidP="00C83167">
      <w:pPr>
        <w:spacing w:line="360" w:lineRule="auto"/>
        <w:ind w:firstLineChars="196" w:firstLine="413"/>
        <w:rPr>
          <w:rFonts w:ascii="宋体" w:hAnsi="宋体" w:cs="宋体"/>
          <w:b/>
          <w:color w:val="000000"/>
          <w:kern w:val="0"/>
          <w:szCs w:val="21"/>
        </w:rPr>
      </w:pPr>
      <w:r w:rsidRPr="00A24E26">
        <w:rPr>
          <w:rFonts w:ascii="宋体" w:hAnsi="宋体" w:cs="宋体" w:hint="eastAsia"/>
          <w:b/>
          <w:szCs w:val="21"/>
          <w:lang w:val="zh-CN"/>
        </w:rPr>
        <w:t>★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3、</w:t>
      </w:r>
      <w:r w:rsidRPr="00A24E26">
        <w:rPr>
          <w:rFonts w:ascii="宋体" w:hAnsi="宋体" w:cs="宋体" w:hint="eastAsia"/>
          <w:b/>
          <w:color w:val="000000"/>
          <w:kern w:val="0"/>
          <w:szCs w:val="21"/>
        </w:rPr>
        <w:t>付款方式：</w:t>
      </w:r>
    </w:p>
    <w:p w:rsidR="00C83167" w:rsidRPr="000D2968" w:rsidRDefault="00C83167" w:rsidP="00C83167">
      <w:pPr>
        <w:spacing w:line="360" w:lineRule="auto"/>
        <w:ind w:firstLineChars="196" w:firstLine="412"/>
        <w:rPr>
          <w:rFonts w:ascii="宋体" w:hAnsi="宋体" w:cs="宋体"/>
          <w:color w:val="000000"/>
          <w:kern w:val="0"/>
          <w:szCs w:val="21"/>
        </w:rPr>
      </w:pPr>
      <w:r w:rsidRPr="000D2968">
        <w:rPr>
          <w:rFonts w:ascii="宋体" w:hAnsi="宋体" w:cs="宋体" w:hint="eastAsia"/>
          <w:color w:val="000000"/>
          <w:kern w:val="0"/>
          <w:szCs w:val="21"/>
        </w:rPr>
        <w:t>（1）</w:t>
      </w:r>
      <w:r w:rsidRPr="00B71236">
        <w:rPr>
          <w:rFonts w:ascii="宋体" w:hAnsi="宋体" w:cs="宋体" w:hint="eastAsia"/>
          <w:color w:val="000000"/>
          <w:kern w:val="0"/>
          <w:szCs w:val="21"/>
        </w:rPr>
        <w:t>自工程验</w:t>
      </w:r>
      <w:r w:rsidRPr="000D2968">
        <w:rPr>
          <w:rFonts w:ascii="宋体" w:hAnsi="宋体" w:cs="宋体" w:hint="eastAsia"/>
          <w:color w:val="000000"/>
          <w:kern w:val="0"/>
          <w:szCs w:val="21"/>
        </w:rPr>
        <w:t>收合格后，当年支付合同价款的50%；</w:t>
      </w:r>
    </w:p>
    <w:p w:rsidR="00C83167" w:rsidRPr="000D2968" w:rsidRDefault="00C83167" w:rsidP="00C83167">
      <w:pPr>
        <w:spacing w:line="360" w:lineRule="auto"/>
        <w:ind w:firstLineChars="196" w:firstLine="412"/>
        <w:rPr>
          <w:rFonts w:ascii="宋体" w:hAnsi="宋体" w:cs="宋体"/>
          <w:color w:val="000000"/>
          <w:kern w:val="0"/>
          <w:szCs w:val="21"/>
        </w:rPr>
      </w:pPr>
      <w:r w:rsidRPr="000D2968">
        <w:rPr>
          <w:rFonts w:ascii="宋体" w:hAnsi="宋体" w:cs="宋体" w:hint="eastAsia"/>
          <w:color w:val="000000"/>
          <w:kern w:val="0"/>
          <w:szCs w:val="21"/>
        </w:rPr>
        <w:t>（2）丹阳市审计部门出具审计报告后第一年内，支付至审定价的80%，余款第二年内结清；</w:t>
      </w:r>
    </w:p>
    <w:p w:rsidR="00C83167" w:rsidRPr="000D2968" w:rsidRDefault="00C83167" w:rsidP="00C83167">
      <w:pPr>
        <w:spacing w:line="360" w:lineRule="auto"/>
        <w:ind w:firstLineChars="196" w:firstLine="412"/>
        <w:rPr>
          <w:rFonts w:ascii="宋体" w:hAnsi="宋体" w:cs="宋体"/>
          <w:color w:val="000000"/>
          <w:kern w:val="0"/>
          <w:szCs w:val="21"/>
        </w:rPr>
      </w:pPr>
      <w:r w:rsidRPr="000D2968">
        <w:rPr>
          <w:rFonts w:ascii="宋体" w:hAnsi="宋体" w:cs="宋体" w:hint="eastAsia"/>
          <w:color w:val="000000"/>
          <w:kern w:val="0"/>
          <w:szCs w:val="21"/>
        </w:rPr>
        <w:t>（3）超出签约合同</w:t>
      </w:r>
      <w:proofErr w:type="gramStart"/>
      <w:r w:rsidRPr="000D2968">
        <w:rPr>
          <w:rFonts w:ascii="宋体" w:hAnsi="宋体" w:cs="宋体" w:hint="eastAsia"/>
          <w:color w:val="000000"/>
          <w:kern w:val="0"/>
          <w:szCs w:val="21"/>
        </w:rPr>
        <w:t>价部分</w:t>
      </w:r>
      <w:proofErr w:type="gramEnd"/>
      <w:r w:rsidRPr="000D2968">
        <w:rPr>
          <w:rFonts w:ascii="宋体" w:hAnsi="宋体" w:cs="宋体" w:hint="eastAsia"/>
          <w:color w:val="000000"/>
          <w:kern w:val="0"/>
          <w:szCs w:val="21"/>
        </w:rPr>
        <w:t>的价款在丹阳市审计部门出具审计报告后开始支付，并按照第2条执行；</w:t>
      </w:r>
    </w:p>
    <w:p w:rsidR="00C83167" w:rsidRDefault="00C83167" w:rsidP="00C83167">
      <w:pPr>
        <w:spacing w:line="360" w:lineRule="auto"/>
        <w:ind w:firstLineChars="196" w:firstLine="412"/>
        <w:rPr>
          <w:rFonts w:ascii="宋体" w:hAnsi="宋体" w:cs="宋体"/>
          <w:color w:val="000000"/>
          <w:kern w:val="0"/>
          <w:szCs w:val="21"/>
        </w:rPr>
      </w:pPr>
      <w:r w:rsidRPr="000D2968">
        <w:rPr>
          <w:rFonts w:ascii="宋体" w:hAnsi="宋体" w:cs="宋体" w:hint="eastAsia"/>
          <w:color w:val="000000"/>
          <w:kern w:val="0"/>
          <w:szCs w:val="21"/>
        </w:rPr>
        <w:t>（4）农民工工资与工程款实行分账管理，其中工程款中的人工费将单独拨付至农民工工资专用账户，用于支付农民工工资。</w:t>
      </w:r>
    </w:p>
    <w:p w:rsidR="00C83167" w:rsidRDefault="00C83167" w:rsidP="00C83167">
      <w:pPr>
        <w:spacing w:line="360" w:lineRule="auto"/>
        <w:ind w:firstLineChars="196" w:firstLine="412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（5）</w:t>
      </w:r>
      <w:r w:rsidRPr="00DB706A">
        <w:rPr>
          <w:rFonts w:ascii="宋体" w:hAnsi="宋体" w:cs="宋体" w:hint="eastAsia"/>
          <w:color w:val="000000"/>
          <w:kern w:val="0"/>
          <w:szCs w:val="21"/>
        </w:rPr>
        <w:t>达到支付条件后，中标人需在采购人办理付款手续之前7个工作日内，提供等额的正式发票给采购人，以便采购人办理付款手续。</w:t>
      </w:r>
    </w:p>
    <w:p w:rsidR="00C83167" w:rsidRPr="00A51485" w:rsidRDefault="00C83167" w:rsidP="00C83167">
      <w:pPr>
        <w:spacing w:line="360" w:lineRule="auto"/>
        <w:ind w:firstLineChars="196" w:firstLine="413"/>
        <w:rPr>
          <w:rFonts w:ascii="宋体" w:hAnsi="宋体"/>
          <w:szCs w:val="21"/>
        </w:rPr>
      </w:pPr>
      <w:r w:rsidRPr="001D0937">
        <w:rPr>
          <w:rFonts w:ascii="宋体" w:hAnsi="宋体" w:cs="宋体" w:hint="eastAsia"/>
          <w:b/>
          <w:szCs w:val="21"/>
          <w:lang w:val="zh-CN"/>
        </w:rPr>
        <w:t>★</w:t>
      </w:r>
      <w:r w:rsidRPr="001D0937">
        <w:rPr>
          <w:rFonts w:ascii="宋体" w:hAnsi="宋体" w:hint="eastAsia"/>
          <w:b/>
          <w:szCs w:val="21"/>
        </w:rPr>
        <w:t>4、</w:t>
      </w:r>
      <w:r w:rsidRPr="001D0937">
        <w:rPr>
          <w:rFonts w:ascii="宋体" w:hAnsi="宋体" w:hint="eastAsia"/>
          <w:szCs w:val="21"/>
        </w:rPr>
        <w:t>除非合同中另有规定，投标报价应包含与招标项目有关的所用费用，包括土源（含开挖、装卸、运输）、保险、专用工具、伴随服务、所有含税费用、支付给员工的工资和国家强制缴纳的各种社会保障资金等，以及供应商认为需要的其他费用。投标报价为最终报价，投标人不得再要求追加任何费用。同时，除非合同条款中另有规定，否则，投标人所报价格在合同实施期间不因市场变化因素而变动。</w:t>
      </w:r>
    </w:p>
    <w:p w:rsidR="00C83167" w:rsidRPr="00286014" w:rsidRDefault="00C83167" w:rsidP="00C83167">
      <w:pPr>
        <w:spacing w:line="360" w:lineRule="auto"/>
        <w:ind w:firstLineChars="196" w:firstLine="413"/>
        <w:rPr>
          <w:rFonts w:ascii="宋体" w:hAnsi="宋体"/>
          <w:b/>
          <w:szCs w:val="21"/>
        </w:rPr>
      </w:pPr>
      <w:r w:rsidRPr="00A24E26">
        <w:rPr>
          <w:rFonts w:ascii="宋体" w:hAnsi="宋体" w:cs="宋体" w:hint="eastAsia"/>
          <w:b/>
          <w:szCs w:val="21"/>
          <w:lang w:val="zh-CN"/>
        </w:rPr>
        <w:t>★</w:t>
      </w:r>
      <w:r>
        <w:rPr>
          <w:rFonts w:ascii="宋体" w:hAnsi="宋体" w:hint="eastAsia"/>
          <w:b/>
          <w:szCs w:val="21"/>
        </w:rPr>
        <w:t>5、</w:t>
      </w:r>
      <w:r w:rsidRPr="00A24E26">
        <w:rPr>
          <w:rFonts w:ascii="宋体" w:hAnsi="宋体" w:hint="eastAsia"/>
          <w:b/>
          <w:szCs w:val="21"/>
        </w:rPr>
        <w:t>投标货币：</w:t>
      </w:r>
      <w:r w:rsidRPr="00A24E26">
        <w:rPr>
          <w:rFonts w:ascii="宋体" w:hAnsi="宋体" w:cs="宋体" w:hint="eastAsia"/>
          <w:color w:val="000000"/>
          <w:kern w:val="0"/>
          <w:szCs w:val="21"/>
        </w:rPr>
        <w:t>投标文件中的所有</w:t>
      </w:r>
      <w:r w:rsidRPr="008055AB">
        <w:rPr>
          <w:rFonts w:ascii="宋体" w:hAnsi="宋体" w:cs="宋体" w:hint="eastAsia"/>
          <w:color w:val="000000"/>
          <w:kern w:val="0"/>
          <w:szCs w:val="21"/>
        </w:rPr>
        <w:t>货物</w:t>
      </w:r>
      <w:r w:rsidRPr="00A24E26">
        <w:rPr>
          <w:rFonts w:ascii="宋体" w:hAnsi="宋体" w:cs="宋体" w:hint="eastAsia"/>
          <w:color w:val="000000"/>
          <w:kern w:val="0"/>
          <w:szCs w:val="21"/>
        </w:rPr>
        <w:t>单价和总价采用人民币报价，以元为单位标注。</w:t>
      </w:r>
    </w:p>
    <w:p w:rsidR="00C83167" w:rsidRPr="00A24E26" w:rsidRDefault="00C83167" w:rsidP="00C83167">
      <w:pPr>
        <w:tabs>
          <w:tab w:val="left" w:pos="567"/>
          <w:tab w:val="left" w:pos="709"/>
          <w:tab w:val="left" w:pos="993"/>
        </w:tabs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C83167" w:rsidRPr="00A24E26" w:rsidRDefault="00C83167" w:rsidP="00C83167">
      <w:pPr>
        <w:topLinePunct/>
        <w:spacing w:line="300" w:lineRule="exact"/>
        <w:ind w:firstLineChars="196" w:firstLine="413"/>
        <w:rPr>
          <w:rFonts w:ascii="宋体" w:hAnsi="宋体"/>
          <w:b/>
          <w:color w:val="FF3300"/>
          <w:szCs w:val="21"/>
        </w:rPr>
      </w:pPr>
      <w:r w:rsidRPr="00A24E26">
        <w:rPr>
          <w:rFonts w:ascii="宋体" w:hAnsi="宋体"/>
          <w:b/>
          <w:color w:val="FF3300"/>
          <w:szCs w:val="21"/>
        </w:rPr>
        <w:t>注：本部分标注“</w:t>
      </w:r>
      <w:r w:rsidRPr="00A24E26">
        <w:rPr>
          <w:rFonts w:ascii="宋体" w:hAnsi="宋体" w:cs="宋体" w:hint="eastAsia"/>
          <w:b/>
          <w:szCs w:val="21"/>
          <w:lang w:val="zh-CN"/>
        </w:rPr>
        <w:t>★</w:t>
      </w:r>
      <w:r w:rsidRPr="00A24E26">
        <w:rPr>
          <w:rFonts w:ascii="宋体" w:hAnsi="宋体"/>
          <w:b/>
          <w:color w:val="FF3300"/>
          <w:szCs w:val="21"/>
        </w:rPr>
        <w:t>”实质性要求，</w:t>
      </w:r>
      <w:r w:rsidRPr="00A24E26">
        <w:rPr>
          <w:rFonts w:ascii="宋体" w:hAnsi="宋体" w:hint="eastAsia"/>
          <w:b/>
          <w:color w:val="FF3300"/>
          <w:szCs w:val="21"/>
        </w:rPr>
        <w:t>必须响应，</w:t>
      </w:r>
      <w:r w:rsidRPr="00A24E26">
        <w:rPr>
          <w:rFonts w:ascii="宋体" w:hAnsi="宋体"/>
          <w:b/>
          <w:color w:val="FF3300"/>
          <w:szCs w:val="21"/>
        </w:rPr>
        <w:t>不允许负偏离，否则作为无效投标</w:t>
      </w:r>
      <w:r w:rsidRPr="00A24E26">
        <w:rPr>
          <w:rFonts w:ascii="宋体" w:hAnsi="宋体" w:hint="eastAsia"/>
          <w:b/>
          <w:color w:val="FF3300"/>
          <w:szCs w:val="21"/>
        </w:rPr>
        <w:t>处理</w:t>
      </w:r>
      <w:r w:rsidRPr="00A24E26">
        <w:rPr>
          <w:rFonts w:ascii="宋体" w:hAnsi="宋体"/>
          <w:b/>
          <w:color w:val="FF3300"/>
          <w:szCs w:val="21"/>
        </w:rPr>
        <w:t>。</w:t>
      </w:r>
    </w:p>
    <w:p w:rsidR="00C83167" w:rsidRPr="00A24E26" w:rsidRDefault="00C83167" w:rsidP="00C83167">
      <w:pPr>
        <w:topLinePunct/>
        <w:spacing w:line="300" w:lineRule="exact"/>
        <w:ind w:firstLineChars="196" w:firstLine="413"/>
        <w:rPr>
          <w:rFonts w:ascii="宋体" w:hAnsi="宋体"/>
          <w:b/>
          <w:color w:val="FF3300"/>
          <w:szCs w:val="21"/>
        </w:rPr>
      </w:pPr>
      <w:r w:rsidRPr="00A24E26">
        <w:rPr>
          <w:rFonts w:ascii="宋体" w:hAnsi="宋体" w:hint="eastAsia"/>
          <w:b/>
          <w:color w:val="FF3300"/>
          <w:szCs w:val="21"/>
        </w:rPr>
        <w:t>◆对项目需求部分的询问、质疑请向采购人提出，询问、质疑有采购人负责解释。</w:t>
      </w:r>
    </w:p>
    <w:p w:rsidR="00000000" w:rsidRPr="00C83167" w:rsidRDefault="00C83167"/>
    <w:sectPr w:rsidR="00000000" w:rsidRPr="00C83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167" w:rsidRDefault="00C83167" w:rsidP="00C83167">
      <w:r>
        <w:separator/>
      </w:r>
    </w:p>
  </w:endnote>
  <w:endnote w:type="continuationSeparator" w:id="1">
    <w:p w:rsidR="00C83167" w:rsidRDefault="00C83167" w:rsidP="00C83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167" w:rsidRDefault="00C83167" w:rsidP="00C83167">
      <w:r>
        <w:separator/>
      </w:r>
    </w:p>
  </w:footnote>
  <w:footnote w:type="continuationSeparator" w:id="1">
    <w:p w:rsidR="00C83167" w:rsidRDefault="00C83167" w:rsidP="00C831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29EE"/>
    <w:multiLevelType w:val="hybridMultilevel"/>
    <w:tmpl w:val="FDA664B4"/>
    <w:lvl w:ilvl="0" w:tplc="A69C48A2">
      <w:start w:val="3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6C390456"/>
    <w:multiLevelType w:val="hybridMultilevel"/>
    <w:tmpl w:val="3526477A"/>
    <w:lvl w:ilvl="0" w:tplc="9F145B62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6F1A1120"/>
    <w:multiLevelType w:val="hybridMultilevel"/>
    <w:tmpl w:val="6AD286E4"/>
    <w:lvl w:ilvl="0" w:tplc="73064DFE">
      <w:start w:val="1"/>
      <w:numFmt w:val="japaneseCounting"/>
      <w:lvlText w:val="%1、"/>
      <w:lvlJc w:val="left"/>
      <w:pPr>
        <w:ind w:left="876" w:hanging="450"/>
      </w:pPr>
      <w:rPr>
        <w:rFonts w:cs="宋体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167"/>
    <w:rsid w:val="00C8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3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31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3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3167"/>
    <w:rPr>
      <w:sz w:val="18"/>
      <w:szCs w:val="18"/>
    </w:rPr>
  </w:style>
  <w:style w:type="paragraph" w:styleId="a5">
    <w:name w:val="List Paragraph"/>
    <w:basedOn w:val="a"/>
    <w:uiPriority w:val="99"/>
    <w:qFormat/>
    <w:rsid w:val="00C83167"/>
    <w:pPr>
      <w:ind w:firstLineChars="200" w:firstLine="420"/>
    </w:pPr>
  </w:style>
  <w:style w:type="table" w:styleId="a6">
    <w:name w:val="Table Grid"/>
    <w:basedOn w:val="a1"/>
    <w:uiPriority w:val="59"/>
    <w:rsid w:val="00C8316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倀࠼</dc:creator>
  <cp:keywords/>
  <dc:description/>
  <cp:lastModifiedBy>倀࠼</cp:lastModifiedBy>
  <cp:revision>2</cp:revision>
  <dcterms:created xsi:type="dcterms:W3CDTF">2022-11-08T00:58:00Z</dcterms:created>
  <dcterms:modified xsi:type="dcterms:W3CDTF">2022-11-08T01:00:00Z</dcterms:modified>
</cp:coreProperties>
</file>