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000000"/>
        </w:rPr>
      </w:pPr>
      <w:r>
        <w:rPr>
          <w:rFonts w:hint="eastAsia" w:ascii="宋体" w:hAnsi="宋体" w:cs="宋体"/>
          <w:color w:val="000000"/>
        </w:rPr>
        <w:t xml:space="preserve">                                  </w:t>
      </w:r>
    </w:p>
    <w:p>
      <w:pPr>
        <w:tabs>
          <w:tab w:val="left" w:pos="7360"/>
        </w:tabs>
        <w:jc w:val="center"/>
        <w:rPr>
          <w:rFonts w:ascii="宋体" w:hAnsi="宋体" w:cs="宋体"/>
          <w:color w:val="000000"/>
        </w:rPr>
      </w:pPr>
      <w:r>
        <w:rPr>
          <w:rFonts w:hint="eastAsia" w:ascii="宋体" w:hAnsi="宋体" w:cs="宋体"/>
          <w:color w:val="000000"/>
        </w:rPr>
        <w:cr/>
      </w:r>
      <w:r>
        <w:rPr>
          <w:rFonts w:hint="eastAsia" w:ascii="宋体" w:hAnsi="宋体" w:cs="宋体"/>
          <w:color w:val="000000"/>
        </w:rPr>
        <w:drawing>
          <wp:inline distT="0" distB="0" distL="114300" distR="114300">
            <wp:extent cx="3134360" cy="2485390"/>
            <wp:effectExtent l="0" t="0" r="508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3134360" cy="2485390"/>
                    </a:xfrm>
                    <a:prstGeom prst="rect">
                      <a:avLst/>
                    </a:prstGeom>
                    <a:noFill/>
                    <a:ln>
                      <a:noFill/>
                    </a:ln>
                  </pic:spPr>
                </pic:pic>
              </a:graphicData>
            </a:graphic>
          </wp:inline>
        </w:drawing>
      </w:r>
    </w:p>
    <w:p>
      <w:pPr>
        <w:pStyle w:val="27"/>
        <w:ind w:firstLine="464"/>
        <w:rPr>
          <w:rFonts w:hint="default" w:hAnsi="宋体" w:cs="宋体"/>
          <w:color w:val="000000"/>
        </w:rPr>
      </w:pPr>
    </w:p>
    <w:p>
      <w:pPr>
        <w:pStyle w:val="28"/>
        <w:rPr>
          <w:color w:val="000000"/>
        </w:rPr>
      </w:pPr>
    </w:p>
    <w:p>
      <w:pPr>
        <w:tabs>
          <w:tab w:val="left" w:pos="7360"/>
        </w:tabs>
        <w:jc w:val="center"/>
        <w:rPr>
          <w:rFonts w:ascii="宋体" w:hAnsi="宋体" w:cs="宋体"/>
          <w:color w:val="000000"/>
          <w:sz w:val="120"/>
          <w:szCs w:val="120"/>
        </w:rPr>
      </w:pPr>
      <w:r>
        <w:rPr>
          <w:rFonts w:hint="eastAsia" w:ascii="宋体" w:hAnsi="宋体" w:cs="宋体"/>
          <w:color w:val="000000"/>
          <w:sz w:val="96"/>
          <w:szCs w:val="96"/>
        </w:rPr>
        <w:t>竞争性谈判文件</w:t>
      </w:r>
    </w:p>
    <w:p>
      <w:pPr>
        <w:snapToGrid w:val="0"/>
        <w:spacing w:before="156" w:beforeLines="50" w:line="360" w:lineRule="auto"/>
        <w:rPr>
          <w:rFonts w:ascii="宋体" w:hAnsi="宋体" w:cs="宋体"/>
          <w:color w:val="000000"/>
          <w:sz w:val="30"/>
          <w:szCs w:val="72"/>
        </w:rPr>
      </w:pPr>
    </w:p>
    <w:p>
      <w:pPr>
        <w:pStyle w:val="13"/>
        <w:jc w:val="center"/>
        <w:rPr>
          <w:rFonts w:hAnsi="宋体" w:cs="宋体"/>
          <w:b/>
          <w:color w:val="000000"/>
          <w:sz w:val="32"/>
          <w:szCs w:val="32"/>
        </w:rPr>
      </w:pPr>
      <w:r>
        <w:rPr>
          <w:rFonts w:hint="eastAsia" w:hAnsi="宋体" w:cs="宋体"/>
          <w:b/>
          <w:bCs/>
          <w:color w:val="000000"/>
          <w:w w:val="95"/>
          <w:sz w:val="32"/>
          <w:szCs w:val="32"/>
        </w:rPr>
        <w:t>采购项目名称：</w:t>
      </w:r>
      <w:r>
        <w:rPr>
          <w:rFonts w:hint="eastAsia" w:hAnsi="宋体" w:cs="宋体"/>
          <w:b/>
          <w:color w:val="000000"/>
          <w:sz w:val="32"/>
          <w:szCs w:val="32"/>
        </w:rPr>
        <w:t>梧州职业学院智慧访客管理项目</w:t>
      </w:r>
    </w:p>
    <w:p>
      <w:pPr>
        <w:pStyle w:val="13"/>
        <w:jc w:val="center"/>
        <w:rPr>
          <w:rFonts w:hAnsi="宋体" w:cs="宋体"/>
          <w:b/>
          <w:color w:val="000000"/>
          <w:sz w:val="32"/>
          <w:szCs w:val="32"/>
        </w:rPr>
      </w:pPr>
    </w:p>
    <w:p>
      <w:pPr>
        <w:pStyle w:val="13"/>
        <w:ind w:firstLine="1526" w:firstLineChars="500"/>
        <w:rPr>
          <w:rFonts w:hAnsi="宋体" w:cs="宋体"/>
          <w:b/>
          <w:bCs/>
          <w:color w:val="000000"/>
          <w:w w:val="95"/>
          <w:sz w:val="32"/>
          <w:szCs w:val="32"/>
        </w:rPr>
      </w:pPr>
      <w:r>
        <w:rPr>
          <w:rFonts w:hint="eastAsia" w:hAnsi="宋体" w:cs="宋体"/>
          <w:b/>
          <w:bCs/>
          <w:color w:val="000000"/>
          <w:w w:val="95"/>
          <w:sz w:val="32"/>
          <w:szCs w:val="32"/>
        </w:rPr>
        <w:t xml:space="preserve">采购项目编号：WZZC2022-J1-990423-GXGB </w:t>
      </w:r>
    </w:p>
    <w:p>
      <w:pPr>
        <w:tabs>
          <w:tab w:val="left" w:pos="5644"/>
        </w:tabs>
        <w:rPr>
          <w:rFonts w:ascii="宋体" w:hAnsi="宋体" w:cs="宋体"/>
          <w:b/>
          <w:color w:val="000000"/>
          <w:sz w:val="32"/>
          <w:szCs w:val="32"/>
        </w:rPr>
      </w:pPr>
      <w:r>
        <w:rPr>
          <w:rFonts w:hint="eastAsia" w:ascii="宋体" w:hAnsi="宋体" w:cs="宋体"/>
          <w:b/>
          <w:color w:val="000000"/>
          <w:sz w:val="32"/>
          <w:szCs w:val="32"/>
        </w:rPr>
        <w:tab/>
      </w:r>
    </w:p>
    <w:p>
      <w:pPr>
        <w:rPr>
          <w:rFonts w:ascii="宋体" w:hAnsi="宋体" w:cs="宋体"/>
          <w:b/>
          <w:bCs/>
          <w:color w:val="000000"/>
          <w:w w:val="95"/>
          <w:sz w:val="32"/>
          <w:szCs w:val="32"/>
        </w:rPr>
      </w:pPr>
      <w:r>
        <w:rPr>
          <w:rFonts w:hint="eastAsia" w:ascii="宋体" w:hAnsi="宋体" w:cs="宋体"/>
          <w:b/>
          <w:bCs/>
          <w:color w:val="000000"/>
          <w:w w:val="95"/>
          <w:sz w:val="32"/>
          <w:szCs w:val="32"/>
        </w:rPr>
        <mc:AlternateContent>
          <mc:Choice Requires="wps">
            <w:drawing>
              <wp:anchor distT="0" distB="0" distL="114300" distR="114300" simplePos="0" relativeHeight="251667456" behindDoc="0" locked="0" layoutInCell="1" allowOverlap="1">
                <wp:simplePos x="0" y="0"/>
                <wp:positionH relativeFrom="column">
                  <wp:posOffset>209550</wp:posOffset>
                </wp:positionH>
                <wp:positionV relativeFrom="paragraph">
                  <wp:posOffset>165100</wp:posOffset>
                </wp:positionV>
                <wp:extent cx="6233795" cy="19685"/>
                <wp:effectExtent l="0" t="28575" r="14605" b="43180"/>
                <wp:wrapNone/>
                <wp:docPr id="3" name="直接连接符 3"/>
                <wp:cNvGraphicFramePr/>
                <a:graphic xmlns:a="http://schemas.openxmlformats.org/drawingml/2006/main">
                  <a:graphicData uri="http://schemas.microsoft.com/office/word/2010/wordprocessingShape">
                    <wps:wsp>
                      <wps:cNvCnPr/>
                      <wps:spPr>
                        <a:xfrm>
                          <a:off x="0" y="0"/>
                          <a:ext cx="6233795" cy="19685"/>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6.5pt;margin-top:13pt;height:1.55pt;width:490.85pt;z-index:251667456;mso-width-relative:page;mso-height-relative:page;" filled="f" stroked="t" coordsize="21600,21600" o:gfxdata="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fn1LtoAAAAJAQAADwAAAAAAAAABACAAAAAiAAAAZHJzL2Rvd25yZXYueG1s&#10;UEsBAhQAFAAAAAgAh07iQBMlaBz2AQAA4wMAAA4AAAAAAAAAAQAgAAAAKQEAAGRycy9lMm9Eb2Mu&#10;eG1sUEsFBgAAAAAGAAYAWQEAAJEFAAAAAA==&#10;">
                <v:fill on="f" focussize="0,0"/>
                <v:stroke weight="4.5pt" color="#000000" linestyle="thinThick" joinstyle="round"/>
                <v:imagedata o:title=""/>
                <o:lock v:ext="edit" aspectratio="f"/>
              </v:line>
            </w:pict>
          </mc:Fallback>
        </mc:AlternateContent>
      </w:r>
    </w:p>
    <w:p>
      <w:pPr>
        <w:spacing w:line="440" w:lineRule="exact"/>
        <w:ind w:firstLine="1832" w:firstLineChars="600"/>
        <w:rPr>
          <w:rFonts w:ascii="宋体" w:hAnsi="宋体" w:cs="宋体"/>
          <w:b/>
          <w:bCs/>
          <w:color w:val="000000"/>
          <w:w w:val="95"/>
          <w:sz w:val="32"/>
          <w:szCs w:val="32"/>
        </w:rPr>
      </w:pPr>
      <w:r>
        <w:rPr>
          <w:rFonts w:hint="eastAsia" w:ascii="宋体" w:hAnsi="宋体" w:cs="宋体"/>
          <w:b/>
          <w:bCs/>
          <w:color w:val="000000"/>
          <w:w w:val="95"/>
          <w:sz w:val="32"/>
          <w:szCs w:val="32"/>
        </w:rPr>
        <w:t>采 购 单 位：</w:t>
      </w:r>
      <w:r>
        <w:rPr>
          <w:rFonts w:hint="eastAsia" w:ascii="宋体" w:hAnsi="宋体" w:cs="宋体"/>
          <w:b/>
          <w:color w:val="000000"/>
          <w:sz w:val="32"/>
          <w:szCs w:val="32"/>
        </w:rPr>
        <w:t>梧州职业学院</w:t>
      </w:r>
    </w:p>
    <w:p>
      <w:pPr>
        <w:pStyle w:val="11"/>
        <w:spacing w:line="440" w:lineRule="exact"/>
        <w:rPr>
          <w:rFonts w:ascii="宋体" w:hAnsi="宋体" w:cs="宋体"/>
          <w:color w:val="000000"/>
          <w:sz w:val="32"/>
          <w:szCs w:val="32"/>
        </w:rPr>
      </w:pPr>
    </w:p>
    <w:p>
      <w:pPr>
        <w:pStyle w:val="11"/>
        <w:spacing w:line="440" w:lineRule="exact"/>
        <w:rPr>
          <w:rFonts w:ascii="宋体" w:hAnsi="宋体" w:cs="宋体"/>
          <w:color w:val="000000"/>
          <w:sz w:val="32"/>
          <w:szCs w:val="32"/>
        </w:rPr>
      </w:pPr>
    </w:p>
    <w:p>
      <w:pPr>
        <w:spacing w:line="440" w:lineRule="exact"/>
        <w:jc w:val="center"/>
        <w:rPr>
          <w:rFonts w:ascii="宋体" w:hAnsi="宋体" w:cs="宋体"/>
          <w:b/>
          <w:bCs/>
          <w:color w:val="000000"/>
          <w:w w:val="95"/>
          <w:sz w:val="32"/>
          <w:szCs w:val="32"/>
        </w:rPr>
      </w:pPr>
      <w:r>
        <w:rPr>
          <w:rFonts w:hint="eastAsia" w:ascii="宋体" w:hAnsi="宋体" w:cs="宋体"/>
          <w:b/>
          <w:bCs/>
          <w:color w:val="000000"/>
          <w:w w:val="95"/>
          <w:sz w:val="32"/>
          <w:szCs w:val="32"/>
        </w:rPr>
        <w:t>采购代理机构：广西桂宝工程监理咨询有限公司</w:t>
      </w:r>
    </w:p>
    <w:p>
      <w:pPr>
        <w:snapToGrid w:val="0"/>
        <w:spacing w:before="120" w:line="440" w:lineRule="exact"/>
        <w:ind w:firstLine="3663" w:firstLineChars="1200"/>
        <w:rPr>
          <w:rFonts w:ascii="宋体" w:hAnsi="宋体" w:cs="宋体"/>
          <w:b/>
          <w:bCs/>
          <w:color w:val="000000"/>
          <w:w w:val="95"/>
          <w:sz w:val="32"/>
          <w:szCs w:val="32"/>
        </w:rPr>
      </w:pPr>
    </w:p>
    <w:p>
      <w:pPr>
        <w:jc w:val="center"/>
        <w:rPr>
          <w:rFonts w:ascii="宋体" w:hAnsi="宋体" w:cs="宋体"/>
          <w:color w:val="000000"/>
          <w:sz w:val="32"/>
          <w:szCs w:val="32"/>
        </w:rPr>
      </w:pPr>
      <w:r>
        <w:rPr>
          <w:rFonts w:hint="eastAsia" w:ascii="宋体" w:hAnsi="宋体" w:cs="宋体"/>
          <w:b/>
          <w:bCs/>
          <w:color w:val="000000"/>
          <w:w w:val="95"/>
          <w:sz w:val="32"/>
          <w:szCs w:val="32"/>
        </w:rPr>
        <w:t>二O二二年十</w:t>
      </w:r>
      <w:r>
        <w:rPr>
          <w:rFonts w:hint="eastAsia" w:ascii="宋体" w:hAnsi="宋体" w:cs="宋体"/>
          <w:b/>
          <w:bCs/>
          <w:color w:val="000000"/>
          <w:w w:val="95"/>
          <w:sz w:val="32"/>
          <w:szCs w:val="32"/>
          <w:lang w:eastAsia="zh-CN"/>
        </w:rPr>
        <w:t>一</w:t>
      </w:r>
      <w:r>
        <w:rPr>
          <w:rFonts w:hint="eastAsia" w:ascii="宋体" w:hAnsi="宋体" w:cs="宋体"/>
          <w:b/>
          <w:bCs/>
          <w:color w:val="000000"/>
          <w:w w:val="95"/>
          <w:sz w:val="32"/>
          <w:szCs w:val="32"/>
        </w:rPr>
        <w:t>月</w:t>
      </w:r>
    </w:p>
    <w:p>
      <w:pPr>
        <w:pStyle w:val="13"/>
        <w:rPr>
          <w:rFonts w:hAnsi="宋体" w:cs="宋体"/>
          <w:color w:val="000000"/>
          <w:sz w:val="24"/>
          <w:szCs w:val="24"/>
        </w:rPr>
      </w:pPr>
    </w:p>
    <w:p>
      <w:pPr>
        <w:pStyle w:val="13"/>
        <w:rPr>
          <w:rFonts w:hAnsi="宋体" w:cs="宋体"/>
          <w:color w:val="000000"/>
          <w:sz w:val="24"/>
          <w:szCs w:val="24"/>
        </w:rPr>
        <w:sectPr>
          <w:headerReference r:id="rId5" w:type="first"/>
          <w:headerReference r:id="rId3" w:type="default"/>
          <w:headerReference r:id="rId4" w:type="even"/>
          <w:footerReference r:id="rId6" w:type="even"/>
          <w:pgSz w:w="11906" w:h="16838"/>
          <w:pgMar w:top="1440" w:right="1077" w:bottom="1440" w:left="1077" w:header="851" w:footer="992" w:gutter="0"/>
          <w:cols w:space="0" w:num="1"/>
          <w:docGrid w:type="lines" w:linePitch="312" w:charSpace="0"/>
        </w:sectPr>
      </w:pPr>
    </w:p>
    <w:p>
      <w:pPr>
        <w:pStyle w:val="14"/>
        <w:ind w:firstLine="384"/>
      </w:pPr>
    </w:p>
    <w:p>
      <w:pPr>
        <w:pStyle w:val="13"/>
        <w:rPr>
          <w:rFonts w:hAnsi="宋体" w:cs="宋体"/>
          <w:color w:val="000000"/>
          <w:sz w:val="24"/>
          <w:szCs w:val="24"/>
        </w:rPr>
      </w:pPr>
    </w:p>
    <w:p>
      <w:pPr>
        <w:spacing w:line="400" w:lineRule="exact"/>
        <w:ind w:left="-2" w:leftChars="-1"/>
        <w:rPr>
          <w:rFonts w:ascii="宋体" w:hAnsi="宋体" w:cs="宋体"/>
          <w:color w:val="000000"/>
        </w:rPr>
      </w:pPr>
    </w:p>
    <w:p>
      <w:pPr>
        <w:spacing w:line="400" w:lineRule="exact"/>
        <w:ind w:left="-2" w:leftChars="-1"/>
        <w:rPr>
          <w:rFonts w:ascii="宋体" w:hAnsi="宋体" w:cs="宋体"/>
          <w:color w:val="000000"/>
        </w:rPr>
      </w:pPr>
    </w:p>
    <w:p>
      <w:pPr>
        <w:pStyle w:val="19"/>
        <w:ind w:left="0"/>
        <w:jc w:val="center"/>
        <w:rPr>
          <w:rFonts w:cs="宋体"/>
          <w:color w:val="000000"/>
          <w:sz w:val="36"/>
          <w:szCs w:val="36"/>
        </w:rPr>
      </w:pPr>
      <w:r>
        <w:rPr>
          <w:rFonts w:hint="eastAsia" w:cs="宋体"/>
          <w:color w:val="000000"/>
          <w:sz w:val="36"/>
          <w:szCs w:val="36"/>
        </w:rPr>
        <w:t>目    录</w:t>
      </w:r>
    </w:p>
    <w:p>
      <w:pPr>
        <w:rPr>
          <w:rFonts w:ascii="宋体" w:hAnsi="宋体" w:cs="宋体"/>
          <w:color w:val="000000"/>
        </w:rPr>
      </w:pPr>
    </w:p>
    <w:p>
      <w:pPr>
        <w:rPr>
          <w:rFonts w:ascii="宋体" w:hAnsi="宋体" w:cs="宋体"/>
          <w:color w:val="000000"/>
        </w:rPr>
      </w:pPr>
    </w:p>
    <w:p>
      <w:pPr>
        <w:pStyle w:val="19"/>
        <w:rPr>
          <w:rFonts w:cs="宋体"/>
          <w:b w:val="0"/>
          <w:bCs w:val="0"/>
          <w:caps w:val="0"/>
          <w:color w:val="000000"/>
          <w:sz w:val="30"/>
          <w:szCs w:val="30"/>
        </w:rPr>
      </w:pPr>
      <w:r>
        <w:rPr>
          <w:rFonts w:hint="eastAsia" w:cs="宋体"/>
          <w:color w:val="000000"/>
          <w:sz w:val="30"/>
          <w:szCs w:val="30"/>
        </w:rPr>
        <w:fldChar w:fldCharType="begin"/>
      </w:r>
      <w:r>
        <w:rPr>
          <w:rStyle w:val="35"/>
          <w:rFonts w:hint="eastAsia" w:cs="宋体"/>
          <w:color w:val="000000"/>
          <w:sz w:val="30"/>
          <w:szCs w:val="30"/>
        </w:rPr>
        <w:instrText xml:space="preserve"> TOC \o "1-3" \h \z \u </w:instrText>
      </w:r>
      <w:r>
        <w:rPr>
          <w:rFonts w:hint="eastAsia" w:cs="宋体"/>
          <w:color w:val="000000"/>
          <w:sz w:val="30"/>
          <w:szCs w:val="30"/>
        </w:rPr>
        <w:fldChar w:fldCharType="separate"/>
      </w:r>
      <w:r>
        <w:fldChar w:fldCharType="begin"/>
      </w:r>
      <w:r>
        <w:instrText xml:space="preserve"> HYPERLINK \l "_Toc517938789" </w:instrText>
      </w:r>
      <w:r>
        <w:fldChar w:fldCharType="separate"/>
      </w:r>
      <w:r>
        <w:rPr>
          <w:rStyle w:val="35"/>
          <w:rFonts w:hint="eastAsia" w:cs="宋体"/>
          <w:color w:val="000000"/>
          <w:sz w:val="30"/>
          <w:szCs w:val="30"/>
        </w:rPr>
        <w:t>第一章  竞争性谈判公告</w:t>
      </w:r>
      <w:r>
        <w:rPr>
          <w:rFonts w:hint="eastAsia" w:cs="宋体"/>
          <w:color w:val="000000"/>
          <w:sz w:val="30"/>
          <w:szCs w:val="30"/>
        </w:rPr>
        <w:tab/>
      </w:r>
      <w:r>
        <w:rPr>
          <w:rFonts w:hint="eastAsia" w:cs="宋体"/>
          <w:color w:val="000000"/>
          <w:sz w:val="30"/>
          <w:szCs w:val="30"/>
        </w:rPr>
        <w:t>1</w:t>
      </w:r>
      <w:r>
        <w:rPr>
          <w:rFonts w:hint="eastAsia" w:cs="宋体"/>
          <w:color w:val="000000"/>
          <w:sz w:val="30"/>
          <w:szCs w:val="30"/>
        </w:rPr>
        <w:fldChar w:fldCharType="end"/>
      </w:r>
    </w:p>
    <w:p>
      <w:pPr>
        <w:pStyle w:val="19"/>
        <w:rPr>
          <w:rFonts w:cs="宋体"/>
          <w:b w:val="0"/>
          <w:bCs w:val="0"/>
          <w:caps w:val="0"/>
          <w:color w:val="000000"/>
          <w:sz w:val="30"/>
          <w:szCs w:val="30"/>
        </w:rPr>
      </w:pPr>
      <w:r>
        <w:fldChar w:fldCharType="begin"/>
      </w:r>
      <w:r>
        <w:instrText xml:space="preserve"> HYPERLINK \l "_Toc517938790" </w:instrText>
      </w:r>
      <w:r>
        <w:fldChar w:fldCharType="separate"/>
      </w:r>
      <w:r>
        <w:rPr>
          <w:rStyle w:val="35"/>
          <w:rFonts w:hint="eastAsia" w:cs="宋体"/>
          <w:color w:val="000000"/>
          <w:sz w:val="30"/>
          <w:szCs w:val="30"/>
        </w:rPr>
        <w:t>第二章  供应商须知及前附表</w:t>
      </w:r>
      <w:r>
        <w:rPr>
          <w:rFonts w:hint="eastAsia" w:cs="宋体"/>
          <w:color w:val="000000"/>
          <w:sz w:val="30"/>
          <w:szCs w:val="30"/>
        </w:rPr>
        <w:tab/>
      </w:r>
      <w:r>
        <w:rPr>
          <w:rFonts w:hint="eastAsia" w:cs="宋体"/>
          <w:color w:val="000000"/>
          <w:sz w:val="30"/>
          <w:szCs w:val="30"/>
        </w:rPr>
        <w:t>4</w:t>
      </w:r>
      <w:r>
        <w:rPr>
          <w:rFonts w:hint="eastAsia" w:cs="宋体"/>
          <w:color w:val="000000"/>
          <w:sz w:val="30"/>
          <w:szCs w:val="30"/>
        </w:rPr>
        <w:fldChar w:fldCharType="end"/>
      </w:r>
    </w:p>
    <w:p>
      <w:pPr>
        <w:pStyle w:val="19"/>
        <w:rPr>
          <w:rFonts w:cs="宋体"/>
          <w:b w:val="0"/>
          <w:bCs w:val="0"/>
          <w:caps w:val="0"/>
          <w:color w:val="000000"/>
          <w:sz w:val="30"/>
          <w:szCs w:val="30"/>
        </w:rPr>
      </w:pPr>
      <w:r>
        <w:fldChar w:fldCharType="begin"/>
      </w:r>
      <w:r>
        <w:instrText xml:space="preserve"> HYPERLINK \l "_Toc517938831" </w:instrText>
      </w:r>
      <w:r>
        <w:fldChar w:fldCharType="separate"/>
      </w:r>
      <w:r>
        <w:rPr>
          <w:rStyle w:val="35"/>
          <w:rFonts w:hint="eastAsia" w:cs="宋体"/>
          <w:color w:val="000000"/>
          <w:sz w:val="30"/>
          <w:szCs w:val="30"/>
        </w:rPr>
        <w:t>第三章  采购内容及要求</w:t>
      </w:r>
      <w:r>
        <w:rPr>
          <w:rFonts w:hint="eastAsia" w:cs="宋体"/>
          <w:color w:val="000000"/>
          <w:sz w:val="30"/>
          <w:szCs w:val="30"/>
        </w:rPr>
        <w:tab/>
      </w:r>
      <w:r>
        <w:rPr>
          <w:rFonts w:hint="eastAsia" w:cs="宋体"/>
          <w:color w:val="000000"/>
          <w:sz w:val="30"/>
          <w:szCs w:val="30"/>
        </w:rPr>
        <w:fldChar w:fldCharType="begin"/>
      </w:r>
      <w:r>
        <w:rPr>
          <w:rFonts w:hint="eastAsia" w:cs="宋体"/>
          <w:color w:val="000000"/>
          <w:sz w:val="30"/>
          <w:szCs w:val="30"/>
        </w:rPr>
        <w:instrText xml:space="preserve"> PAGEREF _Toc517938831 \h </w:instrText>
      </w:r>
      <w:r>
        <w:rPr>
          <w:rFonts w:hint="eastAsia" w:cs="宋体"/>
          <w:color w:val="000000"/>
          <w:sz w:val="30"/>
          <w:szCs w:val="30"/>
        </w:rPr>
        <w:fldChar w:fldCharType="separate"/>
      </w:r>
      <w:r>
        <w:rPr>
          <w:rFonts w:hint="eastAsia" w:cs="宋体"/>
          <w:color w:val="000000"/>
          <w:sz w:val="30"/>
          <w:szCs w:val="30"/>
        </w:rPr>
        <w:t>21</w:t>
      </w:r>
      <w:r>
        <w:rPr>
          <w:rFonts w:hint="eastAsia" w:cs="宋体"/>
          <w:color w:val="000000"/>
          <w:sz w:val="30"/>
          <w:szCs w:val="30"/>
        </w:rPr>
        <w:fldChar w:fldCharType="end"/>
      </w:r>
      <w:r>
        <w:rPr>
          <w:rFonts w:hint="eastAsia" w:cs="宋体"/>
          <w:color w:val="000000"/>
          <w:sz w:val="30"/>
          <w:szCs w:val="30"/>
        </w:rPr>
        <w:fldChar w:fldCharType="end"/>
      </w:r>
    </w:p>
    <w:p>
      <w:pPr>
        <w:pStyle w:val="19"/>
        <w:rPr>
          <w:rFonts w:cs="宋体"/>
          <w:b w:val="0"/>
          <w:bCs w:val="0"/>
          <w:caps w:val="0"/>
          <w:color w:val="000000"/>
          <w:sz w:val="30"/>
          <w:szCs w:val="30"/>
        </w:rPr>
      </w:pPr>
      <w:r>
        <w:fldChar w:fldCharType="begin"/>
      </w:r>
      <w:r>
        <w:instrText xml:space="preserve"> HYPERLINK \l "_Toc517938832" </w:instrText>
      </w:r>
      <w:r>
        <w:fldChar w:fldCharType="separate"/>
      </w:r>
      <w:r>
        <w:rPr>
          <w:rStyle w:val="35"/>
          <w:rFonts w:hint="eastAsia" w:cs="宋体"/>
          <w:color w:val="000000"/>
          <w:sz w:val="30"/>
          <w:szCs w:val="30"/>
        </w:rPr>
        <w:t>第四章  政府采购合同书（格式）</w:t>
      </w:r>
      <w:r>
        <w:rPr>
          <w:rFonts w:hint="eastAsia" w:cs="宋体"/>
          <w:color w:val="000000"/>
          <w:sz w:val="30"/>
          <w:szCs w:val="30"/>
        </w:rPr>
        <w:tab/>
      </w:r>
      <w:r>
        <w:rPr>
          <w:rFonts w:hint="eastAsia" w:cs="宋体"/>
          <w:color w:val="000000"/>
          <w:sz w:val="30"/>
          <w:szCs w:val="30"/>
        </w:rPr>
        <w:t>3</w:t>
      </w:r>
      <w:r>
        <w:rPr>
          <w:rFonts w:hint="eastAsia" w:cs="宋体"/>
          <w:color w:val="000000"/>
          <w:sz w:val="30"/>
          <w:szCs w:val="30"/>
        </w:rPr>
        <w:fldChar w:fldCharType="end"/>
      </w:r>
      <w:r>
        <w:rPr>
          <w:rFonts w:hint="eastAsia" w:cs="宋体"/>
          <w:color w:val="000000"/>
          <w:sz w:val="30"/>
          <w:szCs w:val="30"/>
        </w:rPr>
        <w:t>3</w:t>
      </w:r>
    </w:p>
    <w:p>
      <w:pPr>
        <w:pStyle w:val="19"/>
        <w:rPr>
          <w:rFonts w:cs="宋体"/>
          <w:b w:val="0"/>
          <w:bCs w:val="0"/>
          <w:caps w:val="0"/>
          <w:color w:val="000000"/>
          <w:sz w:val="30"/>
          <w:szCs w:val="30"/>
        </w:rPr>
      </w:pPr>
      <w:r>
        <w:fldChar w:fldCharType="begin"/>
      </w:r>
      <w:r>
        <w:instrText xml:space="preserve"> HYPERLINK \l "_Toc517938833" </w:instrText>
      </w:r>
      <w:r>
        <w:fldChar w:fldCharType="separate"/>
      </w:r>
      <w:r>
        <w:rPr>
          <w:rStyle w:val="35"/>
          <w:rFonts w:hint="eastAsia" w:cs="宋体"/>
          <w:color w:val="000000"/>
          <w:sz w:val="30"/>
          <w:szCs w:val="30"/>
        </w:rPr>
        <w:t>第五章  评标方法</w:t>
      </w:r>
      <w:r>
        <w:rPr>
          <w:rFonts w:hint="eastAsia" w:cs="宋体"/>
          <w:color w:val="000000"/>
          <w:sz w:val="30"/>
          <w:szCs w:val="30"/>
        </w:rPr>
        <w:tab/>
      </w:r>
      <w:r>
        <w:rPr>
          <w:rFonts w:hint="eastAsia" w:cs="宋体"/>
          <w:color w:val="000000"/>
          <w:sz w:val="30"/>
          <w:szCs w:val="30"/>
        </w:rPr>
        <w:t>4</w:t>
      </w:r>
      <w:r>
        <w:rPr>
          <w:rFonts w:hint="eastAsia" w:cs="宋体"/>
          <w:color w:val="000000"/>
          <w:sz w:val="30"/>
          <w:szCs w:val="30"/>
        </w:rPr>
        <w:fldChar w:fldCharType="end"/>
      </w:r>
      <w:r>
        <w:rPr>
          <w:rFonts w:hint="eastAsia" w:cs="宋体"/>
          <w:color w:val="000000"/>
          <w:sz w:val="30"/>
          <w:szCs w:val="30"/>
        </w:rPr>
        <w:t>5</w:t>
      </w:r>
    </w:p>
    <w:p>
      <w:pPr>
        <w:pStyle w:val="19"/>
        <w:rPr>
          <w:rFonts w:cs="宋体"/>
          <w:b w:val="0"/>
          <w:bCs w:val="0"/>
          <w:caps w:val="0"/>
          <w:color w:val="000000"/>
          <w:sz w:val="30"/>
          <w:szCs w:val="30"/>
        </w:rPr>
      </w:pPr>
      <w:r>
        <w:fldChar w:fldCharType="begin"/>
      </w:r>
      <w:r>
        <w:instrText xml:space="preserve"> HYPERLINK \l "_Toc517938834" </w:instrText>
      </w:r>
      <w:r>
        <w:fldChar w:fldCharType="separate"/>
      </w:r>
      <w:r>
        <w:rPr>
          <w:rStyle w:val="35"/>
          <w:rFonts w:hint="eastAsia" w:cs="宋体"/>
          <w:color w:val="000000"/>
          <w:sz w:val="30"/>
          <w:szCs w:val="30"/>
        </w:rPr>
        <w:t>第六章  响应文件（格式）</w:t>
      </w:r>
      <w:r>
        <w:rPr>
          <w:rFonts w:hint="eastAsia" w:cs="宋体"/>
          <w:color w:val="000000"/>
          <w:sz w:val="30"/>
          <w:szCs w:val="30"/>
        </w:rPr>
        <w:tab/>
      </w:r>
      <w:r>
        <w:rPr>
          <w:rFonts w:hint="eastAsia" w:cs="宋体"/>
          <w:color w:val="000000"/>
          <w:sz w:val="30"/>
          <w:szCs w:val="30"/>
        </w:rPr>
        <w:t>4</w:t>
      </w:r>
      <w:r>
        <w:rPr>
          <w:rFonts w:hint="eastAsia" w:cs="宋体"/>
          <w:color w:val="000000"/>
          <w:sz w:val="30"/>
          <w:szCs w:val="30"/>
        </w:rPr>
        <w:fldChar w:fldCharType="end"/>
      </w:r>
      <w:r>
        <w:rPr>
          <w:rFonts w:hint="eastAsia" w:cs="宋体"/>
          <w:color w:val="000000"/>
          <w:sz w:val="30"/>
          <w:szCs w:val="30"/>
        </w:rPr>
        <w:t>6</w:t>
      </w:r>
    </w:p>
    <w:p>
      <w:pPr>
        <w:pStyle w:val="19"/>
        <w:rPr>
          <w:rFonts w:cs="宋体"/>
          <w:b w:val="0"/>
          <w:bCs w:val="0"/>
          <w:caps w:val="0"/>
          <w:color w:val="000000"/>
          <w:sz w:val="30"/>
          <w:szCs w:val="30"/>
        </w:rPr>
      </w:pPr>
      <w:r>
        <w:fldChar w:fldCharType="begin"/>
      </w:r>
      <w:r>
        <w:instrText xml:space="preserve"> HYPERLINK \l "_Toc517938835" </w:instrText>
      </w:r>
      <w:r>
        <w:fldChar w:fldCharType="separate"/>
      </w:r>
      <w:r>
        <w:rPr>
          <w:rStyle w:val="35"/>
          <w:rFonts w:hint="eastAsia" w:cs="宋体"/>
          <w:color w:val="000000"/>
          <w:sz w:val="30"/>
          <w:szCs w:val="30"/>
        </w:rPr>
        <w:t>第七章  附件</w:t>
      </w:r>
      <w:r>
        <w:rPr>
          <w:rFonts w:hint="eastAsia" w:cs="宋体"/>
          <w:color w:val="000000"/>
          <w:sz w:val="30"/>
          <w:szCs w:val="30"/>
        </w:rPr>
        <w:tab/>
      </w:r>
      <w:r>
        <w:rPr>
          <w:rFonts w:hint="eastAsia" w:cs="宋体"/>
          <w:color w:val="000000"/>
          <w:sz w:val="30"/>
          <w:szCs w:val="30"/>
        </w:rPr>
        <w:t>5</w:t>
      </w:r>
      <w:r>
        <w:rPr>
          <w:rFonts w:hint="eastAsia" w:cs="宋体"/>
          <w:color w:val="000000"/>
          <w:sz w:val="30"/>
          <w:szCs w:val="30"/>
        </w:rPr>
        <w:fldChar w:fldCharType="end"/>
      </w:r>
      <w:r>
        <w:rPr>
          <w:rFonts w:hint="eastAsia" w:cs="宋体"/>
          <w:color w:val="000000"/>
          <w:sz w:val="30"/>
          <w:szCs w:val="30"/>
        </w:rPr>
        <w:t>9</w:t>
      </w:r>
    </w:p>
    <w:p>
      <w:pPr>
        <w:pStyle w:val="19"/>
        <w:spacing w:line="900" w:lineRule="exact"/>
        <w:ind w:left="539"/>
        <w:jc w:val="center"/>
        <w:rPr>
          <w:rFonts w:cs="宋体"/>
          <w:color w:val="000000"/>
          <w:sz w:val="30"/>
          <w:szCs w:val="30"/>
        </w:rPr>
        <w:sectPr>
          <w:footerReference r:id="rId8" w:type="first"/>
          <w:footerReference r:id="rId7" w:type="default"/>
          <w:pgSz w:w="11906" w:h="16838"/>
          <w:pgMar w:top="1134" w:right="964" w:bottom="1134" w:left="1134" w:header="720" w:footer="720" w:gutter="0"/>
          <w:cols w:space="720" w:num="1"/>
          <w:titlePg/>
          <w:docGrid w:type="lines" w:linePitch="312" w:charSpace="0"/>
        </w:sectPr>
      </w:pPr>
      <w:r>
        <w:rPr>
          <w:rFonts w:hint="eastAsia" w:cs="宋体"/>
          <w:color w:val="000000"/>
          <w:sz w:val="30"/>
          <w:szCs w:val="30"/>
        </w:rPr>
        <w:fldChar w:fldCharType="end"/>
      </w:r>
      <w:bookmarkStart w:id="0" w:name="_Toc517938789"/>
    </w:p>
    <w:p>
      <w:pPr>
        <w:pStyle w:val="3"/>
        <w:spacing w:line="560" w:lineRule="exact"/>
        <w:jc w:val="center"/>
        <w:rPr>
          <w:rFonts w:cs="宋体"/>
          <w:color w:val="000000"/>
          <w:sz w:val="44"/>
        </w:rPr>
      </w:pPr>
      <w:r>
        <w:rPr>
          <w:rFonts w:hint="eastAsia" w:ascii="宋体" w:hAnsi="宋体" w:cs="宋体"/>
          <w:bCs/>
          <w:color w:val="000000"/>
          <w:sz w:val="44"/>
        </w:rPr>
        <w:t>第一章</w:t>
      </w:r>
      <w:r>
        <w:rPr>
          <w:rFonts w:ascii="宋体" w:hAnsi="宋体" w:cs="宋体"/>
          <w:bCs/>
          <w:color w:val="000000"/>
          <w:sz w:val="44"/>
        </w:rPr>
        <w:t xml:space="preserve">  </w:t>
      </w:r>
      <w:r>
        <w:rPr>
          <w:rFonts w:hint="eastAsia" w:ascii="宋体" w:hAnsi="宋体" w:cs="宋体"/>
          <w:bCs/>
          <w:color w:val="000000"/>
          <w:sz w:val="44"/>
        </w:rPr>
        <w:t>竞争性谈判公告</w:t>
      </w:r>
      <w:bookmarkEnd w:id="0"/>
    </w:p>
    <w:p>
      <w:pPr>
        <w:pStyle w:val="13"/>
        <w:spacing w:line="400" w:lineRule="exact"/>
        <w:jc w:val="center"/>
        <w:rPr>
          <w:rFonts w:hAnsi="宋体" w:cs="宋体"/>
          <w:b/>
          <w:color w:val="000000"/>
          <w:spacing w:val="-2"/>
          <w:sz w:val="32"/>
          <w:szCs w:val="32"/>
        </w:rPr>
      </w:pPr>
      <w:r>
        <w:rPr>
          <w:rFonts w:hint="eastAsia" w:hAnsi="宋体" w:cs="宋体"/>
          <w:b/>
          <w:color w:val="000000"/>
          <w:spacing w:val="-2"/>
          <w:sz w:val="32"/>
          <w:szCs w:val="32"/>
        </w:rPr>
        <w:t>广西桂宝工程监理咨询有限公司</w:t>
      </w:r>
    </w:p>
    <w:p>
      <w:pPr>
        <w:pStyle w:val="13"/>
        <w:spacing w:line="400" w:lineRule="exact"/>
        <w:jc w:val="center"/>
        <w:rPr>
          <w:rFonts w:hAnsi="宋体" w:cs="宋体"/>
          <w:b/>
          <w:color w:val="000000"/>
          <w:spacing w:val="-2"/>
          <w:sz w:val="32"/>
          <w:szCs w:val="32"/>
        </w:rPr>
      </w:pPr>
      <w:bookmarkStart w:id="1" w:name="OLE_LINK3"/>
      <w:r>
        <w:rPr>
          <w:rFonts w:hint="eastAsia" w:hAnsi="宋体" w:cs="宋体"/>
          <w:b/>
          <w:color w:val="000000"/>
          <w:spacing w:val="-2"/>
          <w:sz w:val="32"/>
          <w:szCs w:val="32"/>
        </w:rPr>
        <w:t>梧州职业学院智慧访客管理项目</w:t>
      </w:r>
    </w:p>
    <w:p>
      <w:pPr>
        <w:pStyle w:val="13"/>
        <w:spacing w:line="400" w:lineRule="exact"/>
        <w:jc w:val="center"/>
        <w:rPr>
          <w:rFonts w:hAnsi="宋体" w:cs="宋体"/>
          <w:b/>
          <w:color w:val="000000"/>
          <w:spacing w:val="-2"/>
          <w:sz w:val="32"/>
          <w:szCs w:val="32"/>
        </w:rPr>
      </w:pPr>
      <w:r>
        <w:rPr>
          <w:rFonts w:hint="eastAsia" w:hAnsi="宋体" w:cs="宋体"/>
          <w:b/>
          <w:color w:val="000000"/>
          <w:spacing w:val="-2"/>
          <w:sz w:val="32"/>
          <w:szCs w:val="32"/>
        </w:rPr>
        <w:t>（</w:t>
      </w:r>
      <w:r>
        <w:rPr>
          <w:rFonts w:hint="eastAsia" w:cs="宋体"/>
          <w:b/>
          <w:color w:val="000000"/>
          <w:spacing w:val="-2"/>
          <w:sz w:val="28"/>
          <w:szCs w:val="28"/>
        </w:rPr>
        <w:t xml:space="preserve">采购项目编号：WZZC2022-J1-990423-GXGB </w:t>
      </w:r>
      <w:r>
        <w:rPr>
          <w:rFonts w:hint="eastAsia" w:hAnsi="宋体" w:cs="宋体"/>
          <w:b/>
          <w:color w:val="000000"/>
          <w:spacing w:val="-2"/>
          <w:sz w:val="32"/>
          <w:szCs w:val="32"/>
        </w:rPr>
        <w:t>）</w:t>
      </w:r>
      <w:bookmarkEnd w:id="1"/>
    </w:p>
    <w:p>
      <w:pPr>
        <w:pStyle w:val="13"/>
        <w:spacing w:line="400" w:lineRule="exact"/>
        <w:jc w:val="center"/>
        <w:rPr>
          <w:rFonts w:hAnsi="宋体" w:cs="宋体"/>
          <w:b/>
          <w:color w:val="000000"/>
          <w:spacing w:val="-2"/>
          <w:sz w:val="32"/>
          <w:szCs w:val="32"/>
        </w:rPr>
      </w:pPr>
      <w:r>
        <w:rPr>
          <w:rFonts w:hint="eastAsia" w:hAnsi="宋体" w:cs="宋体"/>
          <w:b/>
          <w:color w:val="000000"/>
          <w:spacing w:val="-2"/>
          <w:sz w:val="32"/>
          <w:szCs w:val="32"/>
        </w:rPr>
        <w:t>竞争性谈判公告</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color w:val="000000"/>
          <w:sz w:val="24"/>
        </w:rPr>
      </w:pPr>
      <w:r>
        <w:rPr>
          <w:rFonts w:hint="eastAsia" w:ascii="宋体" w:hAnsi="宋体" w:cs="宋体"/>
          <w:color w:val="000000"/>
          <w:sz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color w:val="000000"/>
          <w:sz w:val="24"/>
        </w:rPr>
      </w:pPr>
      <w:r>
        <w:rPr>
          <w:rFonts w:hint="eastAsia" w:ascii="宋体" w:hAnsi="宋体" w:cs="宋体"/>
          <w:color w:val="000000"/>
          <w:sz w:val="24"/>
          <w:u w:val="single"/>
        </w:rPr>
        <w:t>梧州职业学院智慧访客管理项目</w:t>
      </w:r>
      <w:r>
        <w:rPr>
          <w:rFonts w:hint="eastAsia" w:ascii="宋体" w:hAnsi="宋体" w:cs="宋体"/>
          <w:color w:val="000000"/>
          <w:sz w:val="24"/>
        </w:rPr>
        <w:t>的潜在供应商应在</w:t>
      </w:r>
      <w:r>
        <w:rPr>
          <w:rFonts w:hint="eastAsia" w:ascii="宋体" w:hAnsi="宋体" w:cs="宋体"/>
          <w:color w:val="000000"/>
          <w:sz w:val="24"/>
          <w:u w:val="single"/>
        </w:rPr>
        <w:t>“政府采购云平台”（https://www.zcygov.cn）</w:t>
      </w:r>
      <w:r>
        <w:rPr>
          <w:rFonts w:hint="eastAsia" w:ascii="宋体" w:hAnsi="宋体" w:cs="宋体"/>
          <w:color w:val="000000"/>
          <w:sz w:val="24"/>
        </w:rPr>
        <w:t>获取采购文件，并于</w:t>
      </w:r>
      <w:r>
        <w:rPr>
          <w:rFonts w:hint="eastAsia" w:ascii="宋体" w:hAnsi="宋体" w:cs="宋体"/>
          <w:color w:val="000000"/>
          <w:sz w:val="24"/>
          <w:lang w:eastAsia="zh-CN"/>
        </w:rPr>
        <w:t>2022年11月8日</w:t>
      </w:r>
      <w:r>
        <w:rPr>
          <w:rFonts w:hint="eastAsia" w:ascii="宋体" w:hAnsi="宋体" w:cs="宋体"/>
          <w:color w:val="000000"/>
          <w:sz w:val="24"/>
        </w:rPr>
        <w:t>09时00分</w:t>
      </w:r>
      <w:r>
        <w:rPr>
          <w:rFonts w:hint="eastAsia" w:ascii="宋体" w:hAnsi="宋体" w:cs="宋体"/>
          <w:bCs/>
          <w:color w:val="000000"/>
          <w:sz w:val="24"/>
        </w:rPr>
        <w:t>（北京时间）前提交响应文件</w:t>
      </w:r>
      <w:r>
        <w:rPr>
          <w:rFonts w:hint="eastAsia" w:ascii="宋体" w:hAnsi="宋体" w:cs="宋体"/>
          <w:color w:val="000000"/>
          <w:sz w:val="24"/>
        </w:rPr>
        <w:t>。</w:t>
      </w:r>
    </w:p>
    <w:p>
      <w:pPr>
        <w:spacing w:line="400" w:lineRule="exact"/>
        <w:rPr>
          <w:rFonts w:ascii="宋体" w:hAnsi="宋体" w:cs="宋体"/>
          <w:b/>
          <w:bCs/>
          <w:color w:val="000000"/>
          <w:sz w:val="24"/>
        </w:rPr>
      </w:pPr>
      <w:bookmarkStart w:id="2" w:name="_Toc35393798"/>
      <w:bookmarkStart w:id="3" w:name="_Toc28359012"/>
      <w:bookmarkStart w:id="4" w:name="_Toc35393629"/>
      <w:bookmarkStart w:id="5" w:name="_Toc28359089"/>
      <w:r>
        <w:rPr>
          <w:rFonts w:hint="eastAsia" w:ascii="宋体" w:hAnsi="宋体" w:cs="宋体"/>
          <w:b/>
          <w:bCs/>
          <w:color w:val="000000"/>
          <w:sz w:val="24"/>
        </w:rPr>
        <w:t>一、项目基本情况</w:t>
      </w:r>
      <w:bookmarkEnd w:id="2"/>
      <w:bookmarkEnd w:id="3"/>
      <w:bookmarkEnd w:id="4"/>
      <w:bookmarkEnd w:id="5"/>
    </w:p>
    <w:p>
      <w:pPr>
        <w:spacing w:line="400" w:lineRule="exact"/>
        <w:ind w:left="1897" w:leftChars="228" w:hanging="1418" w:hangingChars="591"/>
        <w:rPr>
          <w:rFonts w:ascii="宋体" w:hAnsi="宋体" w:cs="宋体"/>
          <w:color w:val="000000"/>
          <w:sz w:val="24"/>
        </w:rPr>
      </w:pPr>
      <w:r>
        <w:rPr>
          <w:rFonts w:hint="eastAsia" w:ascii="宋体" w:hAnsi="宋体" w:cs="宋体"/>
          <w:color w:val="000000"/>
          <w:sz w:val="24"/>
        </w:rPr>
        <w:t xml:space="preserve">项目编号：WZZC2022-J1-990423-GXGB </w:t>
      </w:r>
    </w:p>
    <w:p>
      <w:pPr>
        <w:spacing w:line="400" w:lineRule="exact"/>
        <w:ind w:firstLine="480" w:firstLineChars="200"/>
        <w:rPr>
          <w:rFonts w:ascii="宋体" w:hAnsi="宋体" w:cs="宋体"/>
          <w:color w:val="000000"/>
          <w:sz w:val="24"/>
        </w:rPr>
      </w:pPr>
      <w:r>
        <w:rPr>
          <w:rFonts w:hint="eastAsia" w:ascii="宋体" w:hAnsi="宋体" w:cs="宋体"/>
          <w:color w:val="000000"/>
          <w:sz w:val="24"/>
        </w:rPr>
        <w:t>项目名称：梧州职业学院智慧访客管理项目</w:t>
      </w:r>
    </w:p>
    <w:p>
      <w:pPr>
        <w:spacing w:line="400" w:lineRule="exact"/>
        <w:ind w:firstLine="480" w:firstLineChars="200"/>
        <w:rPr>
          <w:rFonts w:ascii="宋体" w:hAnsi="宋体" w:cs="宋体"/>
          <w:color w:val="000000"/>
          <w:sz w:val="24"/>
        </w:rPr>
      </w:pPr>
      <w:r>
        <w:rPr>
          <w:rFonts w:hint="eastAsia" w:ascii="宋体" w:hAnsi="宋体" w:cs="宋体"/>
          <w:color w:val="000000"/>
          <w:sz w:val="24"/>
        </w:rPr>
        <w:t>采购方式：竞争性谈判</w:t>
      </w:r>
    </w:p>
    <w:p>
      <w:pPr>
        <w:spacing w:line="400" w:lineRule="exact"/>
        <w:ind w:firstLine="480" w:firstLineChars="200"/>
        <w:rPr>
          <w:rFonts w:ascii="宋体" w:hAnsi="宋体" w:cs="宋体"/>
          <w:color w:val="000000"/>
          <w:sz w:val="24"/>
        </w:rPr>
      </w:pPr>
      <w:r>
        <w:rPr>
          <w:rFonts w:hint="eastAsia" w:ascii="宋体" w:hAnsi="宋体" w:cs="宋体"/>
          <w:color w:val="000000"/>
          <w:sz w:val="24"/>
        </w:rPr>
        <w:t>预算金额：人民币陆拾陆万玖仟元整（￥669000.00）</w:t>
      </w:r>
    </w:p>
    <w:p>
      <w:pPr>
        <w:spacing w:line="400" w:lineRule="exact"/>
        <w:ind w:firstLine="480" w:firstLineChars="200"/>
        <w:rPr>
          <w:rFonts w:ascii="宋体" w:hAnsi="宋体" w:cs="宋体"/>
          <w:color w:val="000000"/>
          <w:sz w:val="24"/>
        </w:rPr>
      </w:pPr>
      <w:r>
        <w:rPr>
          <w:rFonts w:hint="eastAsia" w:ascii="宋体" w:hAnsi="宋体" w:cs="宋体"/>
          <w:color w:val="000000"/>
          <w:sz w:val="24"/>
        </w:rPr>
        <w:t>最高限价：人民币陆拾陆万玖仟元整（￥669000.00）</w:t>
      </w:r>
    </w:p>
    <w:p>
      <w:pPr>
        <w:widowControl/>
        <w:spacing w:line="360" w:lineRule="auto"/>
        <w:ind w:firstLine="482"/>
        <w:rPr>
          <w:rFonts w:ascii="宋体" w:hAnsi="宋体" w:cs="宋体"/>
          <w:color w:val="000000"/>
          <w:sz w:val="24"/>
        </w:rPr>
      </w:pPr>
      <w:r>
        <w:rPr>
          <w:rFonts w:hint="eastAsia" w:ascii="宋体" w:hAnsi="宋体" w:cs="宋体"/>
          <w:color w:val="000000"/>
          <w:sz w:val="24"/>
        </w:rPr>
        <w:t>采购需求：</w:t>
      </w:r>
      <w:r>
        <w:rPr>
          <w:rFonts w:hint="eastAsia" w:ascii="宋体" w:hAnsi="宋体"/>
          <w:sz w:val="24"/>
        </w:rPr>
        <w:t>本项目将在梧州市职业学院建设一套智能校园出入口管理系统项目，主要在出入口布置</w:t>
      </w:r>
      <w:r>
        <w:rPr>
          <w:rFonts w:ascii="宋体" w:hAnsi="宋体"/>
          <w:sz w:val="24"/>
        </w:rPr>
        <w:t>4套智能人脸抓拍摄像机</w:t>
      </w:r>
      <w:r>
        <w:rPr>
          <w:rFonts w:hint="eastAsia" w:ascii="宋体" w:hAnsi="宋体"/>
          <w:sz w:val="24"/>
        </w:rPr>
        <w:t>；在3个主要出入口布置6套车辆进出管理道闸一体机；3套访客户系统终端；4套人行道闸及8套人脸门禁测温一体机；机房端布置一套智慧校园综合管理平台以及存储服务器等，通过以上内容的建设，完善学院出入口管理、实时监控、异常预警等相关校园安全管控功能，建立符合校园发展的校园安全防控管理模式。</w:t>
      </w:r>
      <w:r>
        <w:rPr>
          <w:rFonts w:hint="eastAsia" w:ascii="宋体" w:hAnsi="宋体" w:cs="宋体"/>
          <w:color w:val="000000"/>
          <w:sz w:val="24"/>
        </w:rPr>
        <w:t>具体内容详见竞争性谈判文件。</w:t>
      </w:r>
    </w:p>
    <w:p>
      <w:pPr>
        <w:spacing w:line="400" w:lineRule="exact"/>
        <w:ind w:firstLine="480" w:firstLineChars="200"/>
        <w:rPr>
          <w:rFonts w:ascii="宋体" w:hAnsi="宋体" w:cs="宋体"/>
          <w:color w:val="000000"/>
          <w:sz w:val="24"/>
        </w:rPr>
      </w:pPr>
      <w:r>
        <w:rPr>
          <w:rFonts w:hint="eastAsia" w:ascii="宋体" w:hAnsi="宋体" w:cs="宋体"/>
          <w:color w:val="000000"/>
          <w:sz w:val="24"/>
        </w:rPr>
        <w:t>合同履行期限：自合同签订之日起30个日历天内。</w:t>
      </w:r>
    </w:p>
    <w:p>
      <w:pPr>
        <w:spacing w:line="400" w:lineRule="exact"/>
        <w:ind w:firstLine="480" w:firstLineChars="200"/>
        <w:rPr>
          <w:rFonts w:ascii="宋体" w:hAnsi="宋体" w:cs="宋体"/>
          <w:color w:val="000000"/>
          <w:sz w:val="24"/>
        </w:rPr>
      </w:pPr>
      <w:r>
        <w:rPr>
          <w:rFonts w:hint="eastAsia" w:ascii="宋体" w:hAnsi="宋体" w:cs="宋体"/>
          <w:color w:val="000000"/>
          <w:sz w:val="24"/>
        </w:rPr>
        <w:t>本项目（否）接受联合体。</w:t>
      </w:r>
    </w:p>
    <w:p>
      <w:pPr>
        <w:spacing w:line="400" w:lineRule="exact"/>
        <w:ind w:firstLine="480" w:firstLineChars="200"/>
        <w:rPr>
          <w:rFonts w:ascii="宋体" w:hAnsi="宋体" w:cs="宋体"/>
          <w:color w:val="000000"/>
          <w:sz w:val="24"/>
        </w:rPr>
      </w:pPr>
      <w:bookmarkStart w:id="6" w:name="_Toc28359090"/>
      <w:bookmarkStart w:id="7" w:name="_Toc28359013"/>
      <w:bookmarkStart w:id="8" w:name="_Toc35393799"/>
      <w:bookmarkStart w:id="9" w:name="_Toc35393630"/>
      <w:r>
        <w:rPr>
          <w:rFonts w:hint="eastAsia" w:ascii="宋体" w:hAnsi="宋体" w:cs="宋体"/>
          <w:color w:val="000000"/>
          <w:sz w:val="24"/>
        </w:rPr>
        <w:t>备注：/</w:t>
      </w:r>
    </w:p>
    <w:p>
      <w:pPr>
        <w:spacing w:line="400" w:lineRule="exact"/>
        <w:rPr>
          <w:rFonts w:ascii="宋体" w:hAnsi="宋体" w:cs="宋体"/>
          <w:b/>
          <w:bCs/>
          <w:color w:val="000000"/>
          <w:sz w:val="24"/>
        </w:rPr>
      </w:pPr>
      <w:r>
        <w:rPr>
          <w:rFonts w:hint="eastAsia" w:ascii="宋体" w:hAnsi="宋体" w:cs="宋体"/>
          <w:b/>
          <w:bCs/>
          <w:color w:val="000000"/>
          <w:sz w:val="24"/>
        </w:rPr>
        <w:t>二、申请人的资格要求：</w:t>
      </w:r>
      <w:bookmarkEnd w:id="6"/>
      <w:bookmarkEnd w:id="7"/>
      <w:bookmarkEnd w:id="8"/>
      <w:bookmarkEnd w:id="9"/>
    </w:p>
    <w:p>
      <w:pPr>
        <w:spacing w:line="400" w:lineRule="exact"/>
        <w:ind w:firstLine="480" w:firstLineChars="200"/>
        <w:rPr>
          <w:rFonts w:ascii="宋体" w:hAnsi="宋体" w:cs="宋体"/>
          <w:color w:val="000000"/>
          <w:sz w:val="24"/>
        </w:rPr>
      </w:pPr>
      <w:r>
        <w:rPr>
          <w:rFonts w:hint="eastAsia" w:ascii="宋体" w:hAnsi="宋体" w:cs="宋体"/>
          <w:color w:val="000000"/>
          <w:sz w:val="24"/>
        </w:rPr>
        <w:t>1.满足《中华人民共和国政府采购法》第二十二条规定；</w:t>
      </w:r>
      <w:bookmarkStart w:id="10" w:name="_Toc28359014"/>
      <w:bookmarkStart w:id="11" w:name="_Toc28359091"/>
    </w:p>
    <w:p>
      <w:pPr>
        <w:spacing w:line="360" w:lineRule="auto"/>
        <w:ind w:firstLine="480" w:firstLineChars="200"/>
        <w:rPr>
          <w:rFonts w:ascii="宋体" w:hAnsi="宋体" w:cs="宋体"/>
          <w:color w:val="000000"/>
          <w:sz w:val="24"/>
        </w:rPr>
      </w:pPr>
      <w:r>
        <w:rPr>
          <w:rFonts w:hint="eastAsia" w:ascii="宋体" w:hAnsi="宋体" w:cs="宋体"/>
          <w:color w:val="000000"/>
          <w:sz w:val="24"/>
        </w:rPr>
        <w:t>2.落实政府采购政策需满足的资格要求：</w:t>
      </w:r>
      <w:r>
        <w:rPr>
          <w:rFonts w:hint="eastAsia"/>
          <w:color w:val="auto"/>
          <w:sz w:val="24"/>
          <w:szCs w:val="24"/>
          <w:highlight w:val="none"/>
        </w:rPr>
        <w:t>本项目</w:t>
      </w:r>
      <w:r>
        <w:rPr>
          <w:rFonts w:hint="eastAsia"/>
          <w:color w:val="auto"/>
          <w:sz w:val="24"/>
          <w:szCs w:val="24"/>
          <w:highlight w:val="none"/>
          <w:lang w:val="en-US"/>
        </w:rPr>
        <w:t>为</w:t>
      </w:r>
      <w:r>
        <w:rPr>
          <w:rFonts w:hint="eastAsia"/>
          <w:color w:val="auto"/>
          <w:sz w:val="24"/>
          <w:szCs w:val="24"/>
          <w:highlight w:val="none"/>
        </w:rPr>
        <w:t>专门面向中小企业采购的项目（供应商应为中小微企业、监狱企业、残疾人福利性单位)；</w:t>
      </w:r>
    </w:p>
    <w:p>
      <w:pPr>
        <w:spacing w:line="400" w:lineRule="exact"/>
        <w:ind w:firstLine="480" w:firstLineChars="200"/>
        <w:rPr>
          <w:rFonts w:ascii="宋体" w:hAnsi="宋体" w:cs="宋体"/>
          <w:color w:val="000000"/>
          <w:sz w:val="24"/>
        </w:rPr>
      </w:pPr>
      <w:r>
        <w:rPr>
          <w:rFonts w:hint="eastAsia" w:ascii="宋体" w:hAnsi="宋体" w:cs="宋体"/>
          <w:color w:val="000000"/>
          <w:sz w:val="24"/>
        </w:rPr>
        <w:t>3.本项目的特定资格要求：无</w:t>
      </w:r>
      <w:bookmarkStart w:id="266" w:name="_GoBack"/>
      <w:bookmarkEnd w:id="266"/>
    </w:p>
    <w:p>
      <w:pPr>
        <w:spacing w:line="400" w:lineRule="exact"/>
        <w:rPr>
          <w:rFonts w:ascii="宋体" w:hAnsi="宋体" w:cs="宋体"/>
          <w:b/>
          <w:bCs/>
          <w:color w:val="000000"/>
          <w:sz w:val="24"/>
        </w:rPr>
      </w:pPr>
      <w:bookmarkStart w:id="12" w:name="_Toc35393800"/>
      <w:bookmarkStart w:id="13" w:name="_Toc35393631"/>
      <w:r>
        <w:rPr>
          <w:rFonts w:hint="eastAsia" w:ascii="宋体" w:hAnsi="宋体" w:cs="宋体"/>
          <w:b/>
          <w:bCs/>
          <w:color w:val="000000"/>
          <w:sz w:val="24"/>
        </w:rPr>
        <w:t>三、获取采购文件</w:t>
      </w:r>
      <w:bookmarkEnd w:id="10"/>
      <w:bookmarkEnd w:id="11"/>
      <w:bookmarkEnd w:id="12"/>
      <w:bookmarkEnd w:id="13"/>
    </w:p>
    <w:p>
      <w:pPr>
        <w:spacing w:line="400" w:lineRule="exact"/>
        <w:ind w:firstLine="480" w:firstLineChars="200"/>
        <w:rPr>
          <w:rFonts w:ascii="宋体" w:hAnsi="宋体" w:cs="宋体"/>
          <w:color w:val="000000"/>
          <w:sz w:val="24"/>
        </w:rPr>
      </w:pPr>
      <w:bookmarkStart w:id="14" w:name="_Toc28359015"/>
      <w:bookmarkStart w:id="15" w:name="_Toc35393632"/>
      <w:bookmarkStart w:id="16" w:name="_Toc28359092"/>
      <w:bookmarkStart w:id="17" w:name="_Toc35393801"/>
      <w:r>
        <w:rPr>
          <w:rFonts w:hint="eastAsia" w:ascii="宋体" w:hAnsi="宋体" w:cs="宋体"/>
          <w:color w:val="000000"/>
          <w:sz w:val="24"/>
        </w:rPr>
        <w:t>时间：</w:t>
      </w:r>
      <w:r>
        <w:rPr>
          <w:rFonts w:hint="eastAsia" w:ascii="宋体" w:hAnsi="宋体" w:cs="宋体"/>
          <w:color w:val="000000"/>
          <w:sz w:val="24"/>
          <w:lang w:eastAsia="zh-CN"/>
        </w:rPr>
        <w:t>2022年11月</w:t>
      </w:r>
      <w:r>
        <w:rPr>
          <w:rFonts w:hint="eastAsia" w:ascii="宋体" w:hAnsi="宋体" w:cs="宋体"/>
          <w:color w:val="000000"/>
          <w:sz w:val="24"/>
          <w:lang w:val="en-US" w:eastAsia="zh-CN"/>
        </w:rPr>
        <w:t>1</w:t>
      </w:r>
      <w:r>
        <w:rPr>
          <w:rFonts w:hint="eastAsia" w:ascii="宋体" w:hAnsi="宋体" w:cs="宋体"/>
          <w:color w:val="000000"/>
          <w:sz w:val="24"/>
          <w:lang w:eastAsia="zh-CN"/>
        </w:rPr>
        <w:t>日</w:t>
      </w:r>
      <w:r>
        <w:rPr>
          <w:rFonts w:hint="eastAsia" w:ascii="宋体" w:hAnsi="宋体" w:cs="宋体"/>
          <w:color w:val="000000"/>
          <w:sz w:val="24"/>
        </w:rPr>
        <w:t>至</w:t>
      </w:r>
      <w:r>
        <w:rPr>
          <w:rFonts w:hint="eastAsia" w:ascii="宋体" w:hAnsi="宋体" w:cs="宋体"/>
          <w:color w:val="000000"/>
          <w:sz w:val="24"/>
          <w:lang w:eastAsia="zh-CN"/>
        </w:rPr>
        <w:t>2022年11月</w:t>
      </w:r>
      <w:r>
        <w:rPr>
          <w:rFonts w:hint="eastAsia" w:ascii="宋体" w:hAnsi="宋体" w:cs="宋体"/>
          <w:color w:val="000000"/>
          <w:sz w:val="24"/>
          <w:lang w:val="en-US" w:eastAsia="zh-CN"/>
        </w:rPr>
        <w:t>4</w:t>
      </w:r>
      <w:r>
        <w:rPr>
          <w:rFonts w:hint="eastAsia" w:ascii="宋体" w:hAnsi="宋体" w:cs="宋体"/>
          <w:color w:val="000000"/>
          <w:sz w:val="24"/>
          <w:lang w:eastAsia="zh-CN"/>
        </w:rPr>
        <w:t>日</w:t>
      </w:r>
      <w:r>
        <w:rPr>
          <w:rFonts w:hint="eastAsia" w:ascii="宋体" w:hAnsi="宋体" w:cs="宋体"/>
          <w:color w:val="000000"/>
          <w:sz w:val="24"/>
        </w:rPr>
        <w:t>，每天上午00:00至12:00，下午12:00至23:59（北京时间，法定节假日除外）</w:t>
      </w:r>
    </w:p>
    <w:p>
      <w:pPr>
        <w:spacing w:line="400" w:lineRule="exact"/>
        <w:ind w:firstLine="480" w:firstLineChars="200"/>
        <w:rPr>
          <w:rFonts w:ascii="宋体" w:hAnsi="宋体" w:cs="宋体"/>
          <w:color w:val="000000"/>
          <w:sz w:val="24"/>
        </w:rPr>
      </w:pPr>
      <w:r>
        <w:rPr>
          <w:rFonts w:hint="eastAsia" w:ascii="宋体" w:hAnsi="宋体" w:cs="宋体"/>
          <w:color w:val="000000"/>
          <w:sz w:val="24"/>
        </w:rPr>
        <w:t>地点</w:t>
      </w:r>
      <w:r>
        <w:rPr>
          <w:rFonts w:ascii="宋体" w:hAnsi="宋体" w:cs="宋体"/>
          <w:color w:val="000000"/>
          <w:sz w:val="24"/>
        </w:rPr>
        <w:t>（网址）：</w:t>
      </w:r>
      <w:r>
        <w:rPr>
          <w:rFonts w:hint="eastAsia" w:ascii="宋体" w:hAnsi="宋体" w:cs="宋体"/>
          <w:color w:val="000000"/>
          <w:sz w:val="24"/>
        </w:rPr>
        <w:t>“政府采购云平台”（https://www.zcygov.cn）</w:t>
      </w:r>
    </w:p>
    <w:p>
      <w:pPr>
        <w:spacing w:line="400" w:lineRule="exact"/>
        <w:ind w:firstLine="480" w:firstLineChars="200"/>
        <w:rPr>
          <w:rFonts w:ascii="宋体" w:hAnsi="宋体" w:cs="宋体"/>
          <w:color w:val="000000"/>
          <w:sz w:val="24"/>
        </w:rPr>
        <w:sectPr>
          <w:footerReference r:id="rId10" w:type="first"/>
          <w:footerReference r:id="rId9" w:type="default"/>
          <w:pgSz w:w="11906" w:h="16838"/>
          <w:pgMar w:top="1134" w:right="964" w:bottom="1134" w:left="1134" w:header="720" w:footer="720" w:gutter="0"/>
          <w:pgNumType w:start="1"/>
          <w:cols w:space="720" w:num="1"/>
          <w:titlePg/>
          <w:docGrid w:type="lines" w:linePitch="312" w:charSpace="0"/>
        </w:sectPr>
      </w:pPr>
      <w:r>
        <w:rPr>
          <w:rFonts w:hint="eastAsia" w:ascii="宋体" w:hAnsi="宋体" w:cs="宋体"/>
          <w:color w:val="000000"/>
          <w:sz w:val="24"/>
        </w:rPr>
        <w:t>方式：在竞争性谈判文件获取期限内登陆“政府采购云平台”（https://www.zcygov.cn）</w:t>
      </w:r>
    </w:p>
    <w:p>
      <w:pPr>
        <w:spacing w:line="400" w:lineRule="exact"/>
        <w:ind w:firstLine="480" w:firstLineChars="200"/>
        <w:rPr>
          <w:rFonts w:ascii="宋体" w:hAnsi="宋体" w:cs="宋体"/>
          <w:color w:val="000000"/>
          <w:sz w:val="24"/>
        </w:rPr>
      </w:pPr>
      <w:r>
        <w:rPr>
          <w:rFonts w:hint="eastAsia" w:ascii="宋体" w:hAnsi="宋体" w:cs="宋体"/>
          <w:color w:val="000000"/>
          <w:sz w:val="24"/>
        </w:rPr>
        <w:t>免费申请获取并下载竞争性谈判文件。</w:t>
      </w:r>
    </w:p>
    <w:p>
      <w:pPr>
        <w:spacing w:line="400" w:lineRule="exact"/>
        <w:ind w:firstLine="480" w:firstLineChars="200"/>
        <w:rPr>
          <w:rFonts w:ascii="宋体" w:hAnsi="宋体" w:cs="宋体"/>
          <w:color w:val="000000"/>
          <w:sz w:val="24"/>
        </w:rPr>
      </w:pPr>
      <w:r>
        <w:rPr>
          <w:rFonts w:hint="eastAsia" w:ascii="宋体" w:hAnsi="宋体" w:cs="宋体"/>
          <w:color w:val="000000"/>
          <w:sz w:val="24"/>
        </w:rPr>
        <w:t>售价（元）：0</w:t>
      </w:r>
    </w:p>
    <w:p>
      <w:pPr>
        <w:spacing w:line="400" w:lineRule="exact"/>
        <w:rPr>
          <w:rFonts w:ascii="宋体" w:hAnsi="宋体" w:cs="宋体"/>
          <w:b/>
          <w:bCs/>
          <w:color w:val="000000"/>
          <w:sz w:val="24"/>
        </w:rPr>
      </w:pPr>
      <w:r>
        <w:rPr>
          <w:rFonts w:hint="eastAsia" w:ascii="宋体" w:hAnsi="宋体" w:cs="宋体"/>
          <w:b/>
          <w:bCs/>
          <w:color w:val="000000"/>
          <w:sz w:val="24"/>
        </w:rPr>
        <w:t>四、响应文件提交</w:t>
      </w:r>
      <w:bookmarkEnd w:id="14"/>
      <w:bookmarkEnd w:id="15"/>
      <w:bookmarkEnd w:id="16"/>
      <w:bookmarkEnd w:id="17"/>
    </w:p>
    <w:p>
      <w:pPr>
        <w:spacing w:line="400" w:lineRule="exact"/>
        <w:ind w:firstLine="480" w:firstLineChars="200"/>
        <w:rPr>
          <w:rFonts w:ascii="宋体" w:hAnsi="宋体" w:cs="宋体"/>
          <w:color w:val="000000"/>
          <w:sz w:val="24"/>
        </w:rPr>
      </w:pPr>
      <w:bookmarkStart w:id="18" w:name="_Toc35393802"/>
      <w:bookmarkStart w:id="19" w:name="_Toc28359093"/>
      <w:bookmarkStart w:id="20" w:name="_Toc35393633"/>
      <w:bookmarkStart w:id="21" w:name="_Toc28359016"/>
      <w:r>
        <w:rPr>
          <w:rFonts w:hint="eastAsia" w:ascii="宋体" w:hAnsi="宋体" w:cs="宋体"/>
          <w:color w:val="000000"/>
          <w:sz w:val="24"/>
        </w:rPr>
        <w:t>截止时间：</w:t>
      </w:r>
      <w:r>
        <w:rPr>
          <w:rFonts w:hint="eastAsia" w:ascii="宋体" w:hAnsi="宋体" w:cs="宋体"/>
          <w:color w:val="000000"/>
          <w:sz w:val="24"/>
          <w:lang w:eastAsia="zh-CN"/>
        </w:rPr>
        <w:t>2022年11月8日</w:t>
      </w:r>
      <w:r>
        <w:rPr>
          <w:rFonts w:hint="eastAsia" w:ascii="宋体" w:hAnsi="宋体"/>
          <w:bCs/>
          <w:sz w:val="24"/>
        </w:rPr>
        <w:t>09时00分</w:t>
      </w:r>
      <w:r>
        <w:rPr>
          <w:rFonts w:hint="eastAsia" w:ascii="宋体" w:hAnsi="宋体" w:cs="宋体"/>
          <w:color w:val="000000"/>
          <w:sz w:val="24"/>
        </w:rPr>
        <w:t>（北京时间）</w:t>
      </w:r>
    </w:p>
    <w:p>
      <w:pPr>
        <w:spacing w:line="400" w:lineRule="exact"/>
        <w:ind w:firstLine="480" w:firstLineChars="200"/>
        <w:rPr>
          <w:rFonts w:ascii="宋体" w:hAnsi="宋体" w:cs="宋体"/>
          <w:color w:val="000000"/>
          <w:sz w:val="24"/>
        </w:rPr>
      </w:pPr>
      <w:r>
        <w:rPr>
          <w:rFonts w:hint="eastAsia" w:ascii="宋体" w:hAnsi="宋体" w:cs="宋体"/>
          <w:color w:val="000000"/>
          <w:sz w:val="24"/>
        </w:rPr>
        <w:t>地点：</w:t>
      </w:r>
      <w:r>
        <w:rPr>
          <w:rFonts w:ascii="宋体" w:hAnsi="宋体" w:cs="宋体"/>
          <w:color w:val="000000"/>
          <w:sz w:val="24"/>
        </w:rPr>
        <w:t>政府采购云平台（https://www.zcygov.cn）在线谈判。（本项目不要求供应商到达开标现场，但供应商应派法定代表人或委托代理人准时在线出席电子开评标会议，随时关注开评标进度，如在开评标过程中有电子询标，应在规定的时间内对电子询标函进行澄清回复）。</w:t>
      </w:r>
    </w:p>
    <w:p>
      <w:pPr>
        <w:spacing w:line="400" w:lineRule="exact"/>
        <w:rPr>
          <w:rFonts w:ascii="宋体" w:hAnsi="宋体" w:cs="宋体"/>
          <w:color w:val="000000"/>
          <w:sz w:val="24"/>
        </w:rPr>
      </w:pPr>
      <w:r>
        <w:rPr>
          <w:rFonts w:hint="eastAsia" w:ascii="宋体" w:hAnsi="宋体" w:cs="宋体"/>
          <w:b/>
          <w:bCs/>
          <w:color w:val="000000"/>
          <w:sz w:val="24"/>
        </w:rPr>
        <w:t>五、响应文件开启</w:t>
      </w:r>
      <w:bookmarkEnd w:id="18"/>
      <w:bookmarkEnd w:id="19"/>
      <w:bookmarkEnd w:id="20"/>
      <w:bookmarkEnd w:id="21"/>
    </w:p>
    <w:p>
      <w:pPr>
        <w:spacing w:line="400" w:lineRule="exact"/>
        <w:ind w:firstLine="480" w:firstLineChars="200"/>
        <w:rPr>
          <w:rFonts w:ascii="宋体" w:hAnsi="宋体" w:cs="宋体"/>
          <w:color w:val="000000"/>
          <w:sz w:val="24"/>
        </w:rPr>
      </w:pPr>
      <w:bookmarkStart w:id="22" w:name="_Toc35393803"/>
      <w:bookmarkStart w:id="23" w:name="_Toc35393634"/>
      <w:bookmarkStart w:id="24" w:name="_Toc28359017"/>
      <w:bookmarkStart w:id="25" w:name="_Toc28359094"/>
      <w:r>
        <w:rPr>
          <w:rFonts w:hint="eastAsia" w:ascii="宋体" w:hAnsi="宋体" w:cs="宋体"/>
          <w:color w:val="000000"/>
          <w:sz w:val="24"/>
        </w:rPr>
        <w:t>时间：</w:t>
      </w:r>
      <w:r>
        <w:rPr>
          <w:rFonts w:hint="eastAsia" w:ascii="宋体" w:hAnsi="宋体" w:cs="宋体"/>
          <w:color w:val="000000"/>
          <w:sz w:val="24"/>
          <w:lang w:eastAsia="zh-CN"/>
        </w:rPr>
        <w:t>2022年11月8日</w:t>
      </w:r>
      <w:r>
        <w:rPr>
          <w:rFonts w:hint="eastAsia" w:ascii="宋体" w:hAnsi="宋体" w:cs="宋体"/>
          <w:color w:val="000000"/>
          <w:sz w:val="24"/>
        </w:rPr>
        <w:t>09时00分（北京时间）</w:t>
      </w:r>
    </w:p>
    <w:p>
      <w:pPr>
        <w:spacing w:line="400" w:lineRule="exact"/>
        <w:ind w:firstLine="480" w:firstLineChars="200"/>
        <w:rPr>
          <w:rFonts w:ascii="宋体" w:hAnsi="宋体" w:cs="宋体"/>
          <w:color w:val="000000"/>
          <w:sz w:val="24"/>
        </w:rPr>
      </w:pPr>
      <w:r>
        <w:rPr>
          <w:rFonts w:hint="eastAsia" w:ascii="宋体" w:hAnsi="宋体" w:cs="宋体"/>
          <w:color w:val="000000"/>
          <w:sz w:val="24"/>
        </w:rPr>
        <w:t>地点：</w:t>
      </w:r>
      <w:r>
        <w:rPr>
          <w:rFonts w:ascii="宋体" w:hAnsi="宋体" w:cs="宋体"/>
          <w:color w:val="000000"/>
          <w:sz w:val="24"/>
        </w:rPr>
        <w:t>通过“政府采购云平台”（https://www.zcygov.cn）在线解密开启响应文件</w:t>
      </w:r>
      <w:r>
        <w:rPr>
          <w:rFonts w:hint="eastAsia" w:ascii="宋体" w:hAnsi="宋体" w:cs="宋体"/>
          <w:color w:val="000000"/>
          <w:sz w:val="24"/>
        </w:rPr>
        <w:t>。</w:t>
      </w:r>
    </w:p>
    <w:p>
      <w:pPr>
        <w:spacing w:line="400" w:lineRule="exact"/>
        <w:rPr>
          <w:rFonts w:ascii="宋体" w:hAnsi="宋体" w:cs="宋体"/>
          <w:b/>
          <w:bCs/>
          <w:color w:val="000000"/>
          <w:sz w:val="24"/>
        </w:rPr>
      </w:pPr>
      <w:r>
        <w:rPr>
          <w:rFonts w:hint="eastAsia" w:ascii="宋体" w:hAnsi="宋体" w:cs="宋体"/>
          <w:b/>
          <w:bCs/>
          <w:color w:val="000000"/>
          <w:sz w:val="24"/>
        </w:rPr>
        <w:t>六、公告期限</w:t>
      </w:r>
      <w:bookmarkEnd w:id="22"/>
      <w:bookmarkEnd w:id="23"/>
      <w:bookmarkEnd w:id="24"/>
      <w:bookmarkEnd w:id="25"/>
    </w:p>
    <w:p>
      <w:pPr>
        <w:spacing w:line="400" w:lineRule="exact"/>
        <w:ind w:firstLine="480" w:firstLineChars="200"/>
        <w:rPr>
          <w:rFonts w:ascii="宋体" w:hAnsi="宋体" w:cs="宋体"/>
          <w:color w:val="000000"/>
          <w:sz w:val="24"/>
        </w:rPr>
      </w:pPr>
      <w:r>
        <w:rPr>
          <w:rFonts w:hint="eastAsia" w:ascii="宋体" w:hAnsi="宋体" w:cs="宋体"/>
          <w:color w:val="000000"/>
          <w:sz w:val="24"/>
        </w:rPr>
        <w:t>自本公告发布之日起3个工作日。</w:t>
      </w:r>
    </w:p>
    <w:p>
      <w:pPr>
        <w:spacing w:line="400" w:lineRule="exact"/>
        <w:rPr>
          <w:rFonts w:ascii="宋体" w:hAnsi="宋体" w:cs="宋体"/>
          <w:b/>
          <w:bCs/>
          <w:color w:val="000000"/>
          <w:sz w:val="24"/>
        </w:rPr>
      </w:pPr>
      <w:bookmarkStart w:id="26" w:name="_Toc35393635"/>
      <w:bookmarkStart w:id="27" w:name="_Toc35393804"/>
      <w:r>
        <w:rPr>
          <w:rFonts w:hint="eastAsia" w:ascii="宋体" w:hAnsi="宋体" w:cs="宋体"/>
          <w:b/>
          <w:bCs/>
          <w:color w:val="000000"/>
          <w:sz w:val="24"/>
        </w:rPr>
        <w:t>七、其他补充事宜</w:t>
      </w:r>
      <w:bookmarkEnd w:id="26"/>
      <w:bookmarkEnd w:id="27"/>
    </w:p>
    <w:p>
      <w:pPr>
        <w:spacing w:line="400" w:lineRule="exact"/>
        <w:ind w:firstLine="480" w:firstLineChars="200"/>
        <w:rPr>
          <w:rFonts w:ascii="宋体" w:hAnsi="宋体" w:cs="宋体"/>
          <w:color w:val="000000"/>
          <w:sz w:val="24"/>
        </w:rPr>
      </w:pPr>
      <w:bookmarkStart w:id="28" w:name="_Toc35393805"/>
      <w:bookmarkStart w:id="29" w:name="_Toc28359018"/>
      <w:bookmarkStart w:id="30" w:name="_Toc28359095"/>
      <w:bookmarkStart w:id="31" w:name="_Toc35393636"/>
      <w:r>
        <w:rPr>
          <w:rFonts w:ascii="宋体" w:hAnsi="宋体" w:cs="宋体"/>
          <w:color w:val="000000"/>
          <w:sz w:val="24"/>
        </w:rPr>
        <w:t>1.谈判保证金：</w:t>
      </w:r>
      <w:r>
        <w:rPr>
          <w:rFonts w:hint="eastAsia" w:ascii="宋体" w:hAnsi="宋体" w:cs="宋体"/>
          <w:color w:val="000000"/>
          <w:sz w:val="24"/>
        </w:rPr>
        <w:t>人民币陆仟元整（￥6000.00）</w:t>
      </w:r>
    </w:p>
    <w:p>
      <w:pPr>
        <w:spacing w:line="400" w:lineRule="exact"/>
        <w:ind w:firstLine="480" w:firstLineChars="200"/>
        <w:rPr>
          <w:rFonts w:ascii="宋体" w:hAnsi="宋体" w:cs="宋体"/>
          <w:color w:val="000000"/>
          <w:sz w:val="24"/>
        </w:rPr>
      </w:pPr>
      <w:r>
        <w:rPr>
          <w:rFonts w:ascii="宋体" w:hAnsi="宋体" w:cs="宋体"/>
          <w:color w:val="000000"/>
          <w:sz w:val="24"/>
        </w:rPr>
        <w:t>谈判保证金的缴纳方式：银行转账、支票、汇票、本票或者金融机构、担保机构出具的保函等非现金形式提交。采用银行转账方式的，在首次响应文件提交截止时间前交至采购代理机构指定账户并且到账；缴纳谈判保证金指定账户的信息：</w:t>
      </w:r>
    </w:p>
    <w:p>
      <w:pPr>
        <w:spacing w:line="400" w:lineRule="exact"/>
        <w:ind w:firstLine="480" w:firstLineChars="200"/>
        <w:rPr>
          <w:rFonts w:ascii="宋体" w:hAnsi="宋体" w:cs="宋体"/>
          <w:color w:val="000000"/>
          <w:sz w:val="24"/>
        </w:rPr>
      </w:pPr>
      <w:r>
        <w:rPr>
          <w:rFonts w:ascii="宋体" w:hAnsi="宋体" w:cs="宋体"/>
          <w:color w:val="000000"/>
          <w:sz w:val="24"/>
        </w:rPr>
        <w:t>开户名称：广西桂宝工程监理咨询有限公司桂东分公司</w:t>
      </w:r>
    </w:p>
    <w:p>
      <w:pPr>
        <w:spacing w:line="400" w:lineRule="exact"/>
        <w:ind w:firstLine="480" w:firstLineChars="200"/>
        <w:rPr>
          <w:rFonts w:ascii="宋体" w:hAnsi="宋体" w:cs="宋体"/>
          <w:color w:val="000000"/>
          <w:sz w:val="24"/>
        </w:rPr>
      </w:pPr>
      <w:r>
        <w:rPr>
          <w:rFonts w:ascii="宋体" w:hAnsi="宋体" w:cs="宋体"/>
          <w:color w:val="000000"/>
          <w:sz w:val="24"/>
        </w:rPr>
        <w:t>开户银行：中国邮政储蓄银行股份有限公司广西壮族自治区梧州市分行</w:t>
      </w:r>
    </w:p>
    <w:p>
      <w:pPr>
        <w:spacing w:line="400" w:lineRule="exact"/>
        <w:ind w:firstLine="480" w:firstLineChars="200"/>
        <w:rPr>
          <w:rFonts w:ascii="宋体" w:hAnsi="宋体" w:cs="宋体"/>
          <w:color w:val="000000"/>
          <w:sz w:val="24"/>
        </w:rPr>
      </w:pPr>
      <w:r>
        <w:rPr>
          <w:rFonts w:ascii="宋体" w:hAnsi="宋体" w:cs="宋体"/>
          <w:color w:val="000000"/>
          <w:sz w:val="24"/>
        </w:rPr>
        <w:t>银行账号：945003010049238896</w:t>
      </w:r>
    </w:p>
    <w:p>
      <w:pPr>
        <w:spacing w:line="400" w:lineRule="exact"/>
        <w:ind w:firstLine="480" w:firstLineChars="200"/>
        <w:rPr>
          <w:rFonts w:ascii="宋体" w:hAnsi="宋体" w:cs="宋体"/>
          <w:color w:val="000000"/>
          <w:sz w:val="24"/>
        </w:rPr>
      </w:pPr>
      <w:r>
        <w:rPr>
          <w:rFonts w:ascii="宋体" w:hAnsi="宋体" w:cs="宋体"/>
          <w:color w:val="000000"/>
          <w:sz w:val="24"/>
        </w:rPr>
        <w:t>采用支票、汇票、本票或者保函等方式的，在首次响应文件提交截止时间前，供应商必须提交单独密封的支票、汇票、本票或者保函等原件给采购代理机构。否则视为无效谈判保证金。</w:t>
      </w:r>
    </w:p>
    <w:p>
      <w:pPr>
        <w:spacing w:line="400" w:lineRule="exact"/>
        <w:ind w:firstLine="480" w:firstLineChars="200"/>
        <w:rPr>
          <w:rFonts w:ascii="宋体" w:hAnsi="宋体" w:cs="宋体"/>
          <w:color w:val="000000"/>
          <w:sz w:val="24"/>
        </w:rPr>
      </w:pPr>
      <w:r>
        <w:rPr>
          <w:rFonts w:ascii="宋体" w:hAnsi="宋体" w:cs="宋体"/>
          <w:color w:val="000000"/>
          <w:sz w:val="24"/>
        </w:rPr>
        <w:t>2.公告媒介：中国政府采购网（http://pub.ccgp.gov.cn/loginx/）</w:t>
      </w:r>
      <w:r>
        <w:rPr>
          <w:rFonts w:hint="eastAsia" w:ascii="宋体" w:hAnsi="宋体" w:cs="宋体"/>
          <w:color w:val="000000"/>
          <w:sz w:val="24"/>
        </w:rPr>
        <w:t>、广西壮族自治区政府采购网（http://zfcg.gxzf.gov.cn/）、梧州市政府采购网（http://www.wuzhou.gov.cn:8090/zfcgw）。</w:t>
      </w:r>
    </w:p>
    <w:p>
      <w:pPr>
        <w:spacing w:line="400" w:lineRule="exact"/>
        <w:ind w:firstLine="480" w:firstLineChars="200"/>
        <w:rPr>
          <w:rFonts w:ascii="宋体" w:hAnsi="宋体" w:cs="宋体"/>
          <w:color w:val="000000"/>
          <w:sz w:val="24"/>
        </w:rPr>
      </w:pPr>
      <w:r>
        <w:rPr>
          <w:rFonts w:ascii="宋体" w:hAnsi="宋体" w:cs="宋体"/>
          <w:color w:val="000000"/>
          <w:sz w:val="24"/>
        </w:rPr>
        <w:t xml:space="preserve">3. </w:t>
      </w:r>
      <w:r>
        <w:rPr>
          <w:rFonts w:ascii="宋体" w:hAnsi="宋体" w:cs="宋体"/>
          <w:color w:val="000000"/>
          <w:sz w:val="24"/>
          <w:lang w:val="zh-CN"/>
        </w:rPr>
        <w:t>本项目需要落实的政府采购政策：</w:t>
      </w:r>
      <w:r>
        <w:rPr>
          <w:rFonts w:ascii="宋体" w:hAnsi="宋体" w:cs="宋体"/>
          <w:color w:val="000000"/>
          <w:sz w:val="24"/>
        </w:rPr>
        <w:t>《政府采购促进中小企业发展管理办法》、《关于政府采购支持监狱企业发展有关问题的通知》、《政府采购支持采用本国产品的政策》、《关于环境标志产品政府采购实施的意见》、《节能产品政府采购实施意见的通知》、《关于促进残疾人就业政府政策的通知》</w:t>
      </w:r>
      <w:r>
        <w:rPr>
          <w:rFonts w:ascii="宋体" w:hAnsi="宋体" w:cs="宋体"/>
          <w:color w:val="000000"/>
          <w:sz w:val="24"/>
          <w:lang w:val="zh-CN"/>
        </w:rPr>
        <w:t>。</w:t>
      </w:r>
    </w:p>
    <w:p>
      <w:pPr>
        <w:spacing w:line="400" w:lineRule="exact"/>
        <w:ind w:firstLine="480" w:firstLineChars="200"/>
        <w:rPr>
          <w:rFonts w:ascii="宋体" w:hAnsi="宋体" w:cs="宋体"/>
          <w:color w:val="000000"/>
          <w:sz w:val="24"/>
        </w:rPr>
      </w:pPr>
      <w:r>
        <w:rPr>
          <w:rFonts w:ascii="宋体" w:hAnsi="宋体" w:cs="宋体"/>
          <w:color w:val="000000"/>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80" w:firstLineChars="200"/>
        <w:rPr>
          <w:rFonts w:ascii="宋体" w:hAnsi="宋体" w:cs="宋体"/>
          <w:color w:val="000000"/>
          <w:sz w:val="24"/>
        </w:rPr>
      </w:pPr>
      <w:r>
        <w:rPr>
          <w:rFonts w:ascii="宋体" w:hAnsi="宋体" w:cs="宋体"/>
          <w:color w:val="000000"/>
          <w:sz w:val="24"/>
        </w:rPr>
        <w:t>5.对在“信用中国”网站(www.creditchina.gov.cn)、中国政府采购网(www.ccgp.gov.cn)等渠道列入失信被执行人、大税收违法案件当事人名单、政府采购严违法失信行为记录名单及其他不符合《中华人民共和国政府采购法》第二十二条规定条件的供应商，不得参与政府采购活动。</w:t>
      </w:r>
    </w:p>
    <w:p>
      <w:pPr>
        <w:spacing w:line="40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在线</w:t>
      </w:r>
      <w:r>
        <w:rPr>
          <w:rFonts w:ascii="宋体" w:hAnsi="宋体" w:cs="宋体"/>
          <w:color w:val="000000"/>
          <w:sz w:val="24"/>
        </w:rPr>
        <w:t>响应（</w:t>
      </w:r>
      <w:r>
        <w:rPr>
          <w:rFonts w:hint="eastAsia" w:ascii="宋体" w:hAnsi="宋体" w:cs="宋体"/>
          <w:color w:val="000000"/>
          <w:sz w:val="24"/>
        </w:rPr>
        <w:t>电子</w:t>
      </w:r>
      <w:r>
        <w:rPr>
          <w:rFonts w:ascii="宋体" w:hAnsi="宋体" w:cs="宋体"/>
          <w:color w:val="000000"/>
          <w:sz w:val="24"/>
        </w:rPr>
        <w:t>投标）</w:t>
      </w:r>
      <w:r>
        <w:rPr>
          <w:rFonts w:hint="eastAsia" w:ascii="宋体" w:hAnsi="宋体" w:cs="宋体"/>
          <w:color w:val="000000"/>
          <w:sz w:val="24"/>
        </w:rPr>
        <w:t>说明</w:t>
      </w:r>
      <w:r>
        <w:rPr>
          <w:rFonts w:ascii="宋体" w:hAnsi="宋体" w:cs="宋体"/>
          <w:color w:val="000000"/>
          <w:sz w:val="24"/>
        </w:rPr>
        <w:t>：</w:t>
      </w:r>
    </w:p>
    <w:p>
      <w:pPr>
        <w:spacing w:line="400" w:lineRule="exact"/>
        <w:ind w:firstLine="480" w:firstLineChars="200"/>
        <w:rPr>
          <w:rFonts w:ascii="宋体" w:hAnsi="宋体" w:cs="宋体"/>
          <w:color w:val="000000"/>
          <w:sz w:val="24"/>
        </w:rPr>
      </w:pPr>
      <w:r>
        <w:rPr>
          <w:rFonts w:ascii="宋体" w:hAnsi="宋体" w:cs="宋体"/>
          <w:color w:val="000000"/>
          <w:sz w:val="24"/>
        </w:rPr>
        <w:t>（1）本项目实行电子投标，服务商应按照本项目谈判文件和政采云平台的要求编制、加密并提交响应文件。服务商在使用系统参与投标过程中遇到涉及平台使用的任何问题，可致电政采云平台技术支持热线咨询，联系方式：400-881-7190。</w:t>
      </w:r>
    </w:p>
    <w:p>
      <w:pPr>
        <w:spacing w:line="400" w:lineRule="exact"/>
        <w:ind w:firstLine="480" w:firstLineChars="200"/>
        <w:rPr>
          <w:rFonts w:ascii="宋体" w:hAnsi="宋体" w:cs="宋体"/>
          <w:color w:val="000000"/>
          <w:sz w:val="24"/>
        </w:rPr>
      </w:pPr>
      <w:r>
        <w:rPr>
          <w:rFonts w:ascii="宋体" w:hAnsi="宋体" w:cs="宋体"/>
          <w:color w:val="000000"/>
          <w:sz w:val="24"/>
        </w:rPr>
        <w:t>（2）服务商应及时熟悉掌握电子标系统操作指南（见政采云电子卖场首页右上角—服务中心—帮助文档—项目采购）：</w:t>
      </w:r>
    </w:p>
    <w:p>
      <w:pPr>
        <w:spacing w:line="400" w:lineRule="exact"/>
        <w:ind w:firstLine="420" w:firstLineChars="200"/>
        <w:rPr>
          <w:rFonts w:ascii="宋体" w:hAnsi="宋体" w:cs="宋体"/>
          <w:color w:val="000000"/>
          <w:sz w:val="24"/>
        </w:rPr>
      </w:pPr>
      <w:r>
        <w:fldChar w:fldCharType="begin"/>
      </w:r>
      <w:r>
        <w:instrText xml:space="preserve"> HYPERLINK "https://service.zcygov.cn/#/knowledges/tree?tag=AG1DtGwBFdiHxlNdhY0r" </w:instrText>
      </w:r>
      <w:r>
        <w:fldChar w:fldCharType="separate"/>
      </w:r>
      <w:r>
        <w:rPr>
          <w:rStyle w:val="35"/>
          <w:rFonts w:ascii="宋体" w:hAnsi="宋体" w:cs="宋体"/>
          <w:sz w:val="24"/>
        </w:rPr>
        <w:t>https://service.zcygov.cn/#/knowledges/tree?tag=AG1DtGwBFdiHxlNdhY0r</w:t>
      </w:r>
      <w:r>
        <w:rPr>
          <w:rStyle w:val="35"/>
          <w:rFonts w:ascii="宋体" w:hAnsi="宋体" w:cs="宋体"/>
          <w:sz w:val="24"/>
        </w:rPr>
        <w:fldChar w:fldCharType="end"/>
      </w:r>
      <w:r>
        <w:rPr>
          <w:rFonts w:ascii="宋体" w:hAnsi="宋体" w:cs="宋体"/>
          <w:color w:val="000000"/>
          <w:sz w:val="24"/>
        </w:rPr>
        <w:t>。</w:t>
      </w:r>
    </w:p>
    <w:p>
      <w:pPr>
        <w:spacing w:line="400" w:lineRule="exact"/>
        <w:ind w:firstLine="480" w:firstLineChars="200"/>
        <w:rPr>
          <w:rFonts w:ascii="宋体" w:hAnsi="宋体" w:cs="宋体"/>
          <w:color w:val="000000"/>
          <w:sz w:val="24"/>
        </w:rPr>
      </w:pPr>
      <w:r>
        <w:rPr>
          <w:rFonts w:ascii="宋体" w:hAnsi="宋体" w:cs="宋体"/>
          <w:color w:val="000000"/>
          <w:sz w:val="24"/>
        </w:rPr>
        <w:t>（3）服务商应及时完成CA申领和绑定（见广西壮族自治区政府采购网—办事服务—下载专区-政采云CA证书办理操作指南）</w:t>
      </w:r>
    </w:p>
    <w:p>
      <w:pPr>
        <w:spacing w:line="400" w:lineRule="exact"/>
        <w:ind w:firstLine="480" w:firstLineChars="200"/>
        <w:rPr>
          <w:rFonts w:ascii="宋体" w:hAnsi="宋体" w:cs="宋体"/>
          <w:color w:val="000000"/>
          <w:sz w:val="24"/>
        </w:rPr>
      </w:pPr>
      <w:r>
        <w:rPr>
          <w:rFonts w:ascii="宋体" w:hAnsi="宋体" w:cs="宋体"/>
          <w:color w:val="000000"/>
          <w:sz w:val="24"/>
        </w:rPr>
        <w:t>（4）服务商通过政采云投标客户端软件制作响应文件，政采云投标客户端软件由服务商自行前往下载并安装（见广西壮族自治区政府采购网—办事服务—下载专区-广西壮族自治区全流程电子招投标项目管理系统--服务商客户端）。</w:t>
      </w:r>
    </w:p>
    <w:p>
      <w:pPr>
        <w:spacing w:line="400" w:lineRule="exact"/>
        <w:ind w:firstLine="480" w:firstLineChars="200"/>
        <w:rPr>
          <w:rFonts w:ascii="宋体" w:hAnsi="宋体" w:cs="宋体"/>
          <w:color w:val="000000"/>
          <w:sz w:val="24"/>
        </w:rPr>
      </w:pPr>
      <w:r>
        <w:rPr>
          <w:rFonts w:ascii="宋体" w:hAnsi="宋体" w:cs="宋体"/>
          <w:color w:val="000000"/>
          <w:sz w:val="24"/>
        </w:rPr>
        <w:t>（5）因未注册入库、未办理CA数字证书、CA证书故障、操作不当等原因造成无法参与或投标失败等后果由服务商自行承担。</w:t>
      </w:r>
    </w:p>
    <w:p>
      <w:pPr>
        <w:spacing w:line="400" w:lineRule="exact"/>
        <w:ind w:firstLine="480" w:firstLineChars="200"/>
        <w:rPr>
          <w:rFonts w:ascii="宋体" w:hAnsi="宋体" w:cs="宋体"/>
          <w:color w:val="000000"/>
          <w:sz w:val="24"/>
        </w:rPr>
      </w:pPr>
      <w:r>
        <w:rPr>
          <w:rFonts w:ascii="宋体" w:hAnsi="宋体" w:cs="宋体"/>
          <w:color w:val="000000"/>
          <w:sz w:val="24"/>
        </w:rPr>
        <w:t>（6）响应文件递交截止时间后，政采云（电子标系统）自动提取所有响应文件，各服务商须在开启程序开始后30分钟内对上传政采云的响应文件进行解密，所有服务商在规定的解密时限内解密完成或解密时限结束后，本代理机构开启响应文件；服务商超过解密时限的，系统默认服务商自动放弃投标。</w:t>
      </w:r>
    </w:p>
    <w:p>
      <w:pPr>
        <w:spacing w:line="400" w:lineRule="exact"/>
        <w:ind w:firstLine="420"/>
        <w:rPr>
          <w:rFonts w:ascii="宋体" w:hAnsi="宋体" w:cs="宋体"/>
          <w:color w:val="000000"/>
          <w:sz w:val="24"/>
        </w:rPr>
      </w:pPr>
      <w:r>
        <w:rPr>
          <w:rFonts w:ascii="宋体" w:hAnsi="宋体" w:cs="宋体"/>
          <w:color w:val="000000"/>
          <w:sz w:val="24"/>
        </w:rPr>
        <w:t>7.</w:t>
      </w:r>
      <w:r>
        <w:rPr>
          <w:rFonts w:hint="eastAsia" w:ascii="宋体" w:hAnsi="宋体" w:cs="宋体"/>
          <w:sz w:val="24"/>
        </w:rPr>
        <w:t>监督管理部门：</w:t>
      </w:r>
      <w:r>
        <w:rPr>
          <w:rFonts w:hint="eastAsia" w:ascii="宋体" w:hAnsi="宋体"/>
          <w:bCs/>
          <w:sz w:val="24"/>
        </w:rPr>
        <w:t>梧州市长洲区财政局政采办，电话：0774-3860212</w:t>
      </w:r>
    </w:p>
    <w:p>
      <w:pPr>
        <w:spacing w:line="400" w:lineRule="exact"/>
        <w:rPr>
          <w:rFonts w:ascii="宋体" w:hAnsi="宋体" w:cs="宋体"/>
          <w:b/>
          <w:bCs/>
          <w:color w:val="000000"/>
          <w:sz w:val="24"/>
        </w:rPr>
      </w:pPr>
      <w:r>
        <w:rPr>
          <w:rFonts w:hint="eastAsia" w:ascii="宋体" w:hAnsi="宋体" w:cs="宋体"/>
          <w:b/>
          <w:bCs/>
          <w:color w:val="000000"/>
          <w:sz w:val="24"/>
        </w:rPr>
        <w:t>八、凡对本次采购提出询问，请按以下方式联系。</w:t>
      </w:r>
      <w:bookmarkEnd w:id="28"/>
      <w:bookmarkEnd w:id="29"/>
      <w:bookmarkEnd w:id="30"/>
      <w:bookmarkEnd w:id="31"/>
    </w:p>
    <w:p>
      <w:pPr>
        <w:spacing w:line="400" w:lineRule="exact"/>
        <w:ind w:firstLine="480" w:firstLineChars="200"/>
        <w:rPr>
          <w:rFonts w:ascii="宋体" w:hAnsi="宋体" w:cs="宋体"/>
          <w:color w:val="000000"/>
          <w:sz w:val="24"/>
        </w:rPr>
      </w:pPr>
      <w:bookmarkStart w:id="32" w:name="_Toc35393806"/>
      <w:bookmarkStart w:id="33" w:name="_Toc35393637"/>
      <w:bookmarkStart w:id="34" w:name="_Toc28359096"/>
      <w:bookmarkStart w:id="35" w:name="_Toc28359019"/>
      <w:r>
        <w:rPr>
          <w:rFonts w:hint="eastAsia" w:ascii="宋体" w:hAnsi="宋体" w:cs="宋体"/>
          <w:color w:val="000000"/>
          <w:sz w:val="24"/>
        </w:rPr>
        <w:t>1.采购人信息</w:t>
      </w:r>
      <w:bookmarkEnd w:id="32"/>
      <w:bookmarkEnd w:id="33"/>
      <w:bookmarkEnd w:id="34"/>
      <w:bookmarkEnd w:id="35"/>
    </w:p>
    <w:p>
      <w:pPr>
        <w:spacing w:line="400" w:lineRule="exact"/>
        <w:ind w:firstLine="720" w:firstLineChars="300"/>
        <w:rPr>
          <w:rFonts w:ascii="宋体" w:hAnsi="宋体" w:cs="宋体"/>
          <w:color w:val="000000"/>
          <w:sz w:val="24"/>
        </w:rPr>
      </w:pPr>
      <w:r>
        <w:rPr>
          <w:rFonts w:hint="eastAsia" w:ascii="宋体" w:hAnsi="宋体" w:cs="宋体"/>
          <w:color w:val="000000"/>
          <w:sz w:val="24"/>
        </w:rPr>
        <w:t>名    称：梧州职业学院　　　　　　　　　　　　</w:t>
      </w:r>
    </w:p>
    <w:p>
      <w:pPr>
        <w:spacing w:line="400" w:lineRule="exact"/>
        <w:ind w:firstLine="720" w:firstLineChars="300"/>
        <w:rPr>
          <w:rFonts w:ascii="宋体" w:hAnsi="宋体" w:cs="宋体"/>
          <w:color w:val="000000"/>
          <w:sz w:val="24"/>
        </w:rPr>
      </w:pPr>
      <w:r>
        <w:rPr>
          <w:rFonts w:hint="eastAsia" w:ascii="宋体" w:hAnsi="宋体" w:cs="宋体"/>
          <w:color w:val="000000"/>
          <w:sz w:val="24"/>
        </w:rPr>
        <w:t>地    址：广西梧州市三龙大道88号　　　　　　　　　　　　</w:t>
      </w:r>
    </w:p>
    <w:p>
      <w:pPr>
        <w:spacing w:line="400" w:lineRule="exact"/>
        <w:ind w:firstLine="720" w:firstLineChars="300"/>
        <w:rPr>
          <w:rFonts w:ascii="宋体" w:hAnsi="宋体" w:cs="宋体"/>
          <w:color w:val="000000"/>
          <w:sz w:val="24"/>
        </w:rPr>
      </w:pPr>
      <w:r>
        <w:rPr>
          <w:rFonts w:ascii="宋体" w:hAnsi="宋体" w:cs="宋体"/>
          <w:color w:val="000000"/>
          <w:sz w:val="24"/>
        </w:rPr>
        <w:t>项目联系人：</w:t>
      </w:r>
      <w:r>
        <w:rPr>
          <w:rFonts w:hint="eastAsia" w:ascii="宋体" w:hAnsi="宋体" w:cs="宋体"/>
          <w:color w:val="000000"/>
          <w:sz w:val="24"/>
        </w:rPr>
        <w:t xml:space="preserve"> </w:t>
      </w:r>
      <w:r>
        <w:rPr>
          <w:rFonts w:hint="eastAsia" w:ascii="宋体" w:hAnsi="宋体" w:cs="宋体"/>
          <w:color w:val="000000"/>
          <w:sz w:val="24"/>
          <w:lang w:eastAsia="zh-CN"/>
        </w:rPr>
        <w:t>曾老师</w:t>
      </w:r>
      <w:r>
        <w:rPr>
          <w:rFonts w:ascii="宋体" w:hAnsi="宋体" w:cs="宋体"/>
          <w:color w:val="000000"/>
          <w:sz w:val="24"/>
        </w:rPr>
        <w:t> </w:t>
      </w:r>
    </w:p>
    <w:p>
      <w:pPr>
        <w:spacing w:line="400" w:lineRule="exact"/>
        <w:ind w:firstLine="720" w:firstLineChars="300"/>
        <w:rPr>
          <w:rFonts w:hint="eastAsia" w:ascii="宋体" w:hAnsi="宋体" w:eastAsia="宋体" w:cs="宋体"/>
          <w:color w:val="000000"/>
          <w:sz w:val="24"/>
          <w:lang w:eastAsia="zh-CN"/>
        </w:rPr>
      </w:pPr>
      <w:r>
        <w:rPr>
          <w:rFonts w:ascii="宋体" w:hAnsi="宋体" w:cs="宋体"/>
          <w:color w:val="000000"/>
          <w:sz w:val="24"/>
        </w:rPr>
        <w:t>项目联系方式：</w:t>
      </w:r>
      <w:r>
        <w:rPr>
          <w:rFonts w:hint="eastAsia" w:ascii="宋体" w:hAnsi="宋体" w:cs="宋体"/>
          <w:color w:val="000000"/>
          <w:sz w:val="24"/>
          <w:lang w:eastAsia="zh-CN"/>
        </w:rPr>
        <w:t>0774-3832396</w:t>
      </w:r>
    </w:p>
    <w:p>
      <w:pPr>
        <w:spacing w:line="400" w:lineRule="exact"/>
        <w:ind w:firstLine="480" w:firstLineChars="200"/>
        <w:rPr>
          <w:rFonts w:ascii="宋体" w:hAnsi="宋体" w:cs="宋体"/>
          <w:color w:val="000000"/>
          <w:sz w:val="24"/>
        </w:rPr>
      </w:pPr>
      <w:r>
        <w:rPr>
          <w:rFonts w:hint="eastAsia" w:ascii="宋体" w:hAnsi="宋体" w:cs="宋体"/>
          <w:color w:val="000000"/>
          <w:sz w:val="24"/>
        </w:rPr>
        <w:t xml:space="preserve">　　　　　　　 　　　 </w:t>
      </w:r>
    </w:p>
    <w:p>
      <w:pPr>
        <w:spacing w:line="400" w:lineRule="exact"/>
        <w:ind w:firstLine="480" w:firstLineChars="200"/>
        <w:rPr>
          <w:rFonts w:ascii="宋体" w:hAnsi="宋体" w:cs="宋体"/>
          <w:color w:val="000000"/>
          <w:sz w:val="24"/>
        </w:rPr>
      </w:pPr>
      <w:bookmarkStart w:id="36" w:name="_Toc28359097"/>
      <w:bookmarkStart w:id="37" w:name="_Toc35393807"/>
      <w:bookmarkStart w:id="38" w:name="_Toc28359020"/>
      <w:bookmarkStart w:id="39" w:name="_Toc35393638"/>
      <w:r>
        <w:rPr>
          <w:rFonts w:hint="eastAsia" w:ascii="宋体" w:hAnsi="宋体" w:cs="宋体"/>
          <w:color w:val="000000"/>
          <w:sz w:val="24"/>
        </w:rPr>
        <w:t>2.采购代理机构信息</w:t>
      </w:r>
      <w:bookmarkEnd w:id="36"/>
      <w:bookmarkEnd w:id="37"/>
      <w:bookmarkEnd w:id="38"/>
      <w:bookmarkEnd w:id="39"/>
    </w:p>
    <w:p>
      <w:pPr>
        <w:spacing w:line="400" w:lineRule="exact"/>
        <w:ind w:firstLine="720" w:firstLineChars="300"/>
        <w:rPr>
          <w:rFonts w:ascii="宋体" w:hAnsi="宋体" w:cs="宋体"/>
          <w:color w:val="000000"/>
          <w:sz w:val="24"/>
        </w:rPr>
      </w:pPr>
      <w:r>
        <w:rPr>
          <w:rFonts w:hint="eastAsia" w:ascii="宋体" w:hAnsi="宋体" w:cs="宋体"/>
          <w:color w:val="000000"/>
          <w:sz w:val="24"/>
        </w:rPr>
        <w:t>名    称：广西桂宝工程监理咨询有限公司　　　　　　　　　　　　</w:t>
      </w:r>
    </w:p>
    <w:p>
      <w:pPr>
        <w:spacing w:line="400" w:lineRule="exact"/>
        <w:ind w:firstLine="720" w:firstLineChars="300"/>
        <w:rPr>
          <w:rFonts w:ascii="宋体" w:hAnsi="宋体" w:cs="宋体"/>
          <w:color w:val="000000"/>
          <w:sz w:val="24"/>
        </w:rPr>
      </w:pPr>
      <w:r>
        <w:rPr>
          <w:rFonts w:hint="eastAsia" w:ascii="宋体" w:hAnsi="宋体" w:cs="宋体"/>
          <w:color w:val="000000"/>
          <w:sz w:val="24"/>
        </w:rPr>
        <w:t>地　　址：梧州市长洲区西堤路28号灏景尚都8号楼二层　　　　　　　　　　　　</w:t>
      </w:r>
    </w:p>
    <w:p>
      <w:pPr>
        <w:spacing w:line="400" w:lineRule="exact"/>
        <w:ind w:firstLine="720" w:firstLineChars="300"/>
        <w:rPr>
          <w:rFonts w:ascii="宋体" w:hAnsi="宋体" w:cs="宋体"/>
          <w:color w:val="000000"/>
          <w:sz w:val="24"/>
        </w:rPr>
      </w:pPr>
      <w:r>
        <w:rPr>
          <w:rFonts w:ascii="宋体" w:hAnsi="宋体" w:cs="宋体"/>
          <w:color w:val="000000"/>
          <w:sz w:val="24"/>
        </w:rPr>
        <w:t>项目联系人：</w:t>
      </w:r>
      <w:r>
        <w:rPr>
          <w:rFonts w:hint="eastAsia"/>
          <w:color w:val="000000"/>
          <w:sz w:val="24"/>
        </w:rPr>
        <w:t>甘先生</w:t>
      </w:r>
    </w:p>
    <w:p>
      <w:pPr>
        <w:spacing w:line="400" w:lineRule="exact"/>
        <w:ind w:firstLine="720" w:firstLineChars="300"/>
        <w:rPr>
          <w:rFonts w:ascii="宋体" w:hAnsi="宋体" w:cs="宋体"/>
          <w:color w:val="000000"/>
          <w:sz w:val="24"/>
        </w:rPr>
      </w:pPr>
      <w:r>
        <w:rPr>
          <w:rFonts w:ascii="宋体" w:hAnsi="宋体" w:cs="宋体"/>
          <w:color w:val="000000"/>
          <w:sz w:val="24"/>
        </w:rPr>
        <w:t>项目</w:t>
      </w:r>
      <w:r>
        <w:rPr>
          <w:rFonts w:hint="eastAsia" w:ascii="宋体" w:hAnsi="宋体" w:cs="宋体"/>
          <w:color w:val="000000"/>
          <w:sz w:val="24"/>
        </w:rPr>
        <w:t>联系方式：0774-3819158　　</w:t>
      </w:r>
    </w:p>
    <w:p>
      <w:pPr>
        <w:spacing w:line="400" w:lineRule="exact"/>
        <w:ind w:firstLine="480" w:firstLineChars="200"/>
        <w:rPr>
          <w:rFonts w:ascii="宋体" w:hAnsi="宋体" w:cs="宋体"/>
          <w:color w:val="000000"/>
          <w:sz w:val="24"/>
        </w:rPr>
      </w:pPr>
      <w:r>
        <w:rPr>
          <w:rFonts w:hint="eastAsia" w:ascii="宋体" w:hAnsi="宋体" w:cs="宋体"/>
          <w:color w:val="000000"/>
          <w:sz w:val="24"/>
        </w:rPr>
        <w:t>　　　　　　　　　　</w:t>
      </w:r>
    </w:p>
    <w:p>
      <w:pPr>
        <w:spacing w:line="400" w:lineRule="exact"/>
        <w:ind w:firstLine="480" w:firstLineChars="200"/>
        <w:rPr>
          <w:rFonts w:ascii="宋体" w:hAnsi="宋体" w:cs="宋体"/>
          <w:color w:val="000000"/>
          <w:sz w:val="24"/>
        </w:rPr>
      </w:pPr>
      <w:bookmarkStart w:id="40" w:name="_Toc28359021"/>
      <w:bookmarkStart w:id="41" w:name="_Toc35393639"/>
      <w:bookmarkStart w:id="42" w:name="_Toc28359098"/>
      <w:bookmarkStart w:id="43" w:name="_Toc35393808"/>
      <w:r>
        <w:rPr>
          <w:rFonts w:hint="eastAsia" w:ascii="宋体" w:hAnsi="宋体" w:cs="宋体"/>
          <w:color w:val="000000"/>
          <w:sz w:val="24"/>
        </w:rPr>
        <w:t>3.</w:t>
      </w:r>
      <w:bookmarkEnd w:id="40"/>
      <w:bookmarkEnd w:id="41"/>
      <w:bookmarkEnd w:id="42"/>
      <w:bookmarkEnd w:id="43"/>
      <w:r>
        <w:rPr>
          <w:rFonts w:ascii="宋体" w:hAnsi="宋体" w:cs="宋体"/>
          <w:color w:val="000000"/>
          <w:sz w:val="24"/>
        </w:rPr>
        <w:t>相关业务联系单位及联系电话</w:t>
      </w:r>
    </w:p>
    <w:p>
      <w:pPr>
        <w:spacing w:line="400" w:lineRule="exact"/>
        <w:ind w:firstLine="720" w:firstLineChars="300"/>
        <w:rPr>
          <w:rFonts w:ascii="宋体" w:hAnsi="宋体" w:cs="宋体"/>
          <w:color w:val="000000"/>
          <w:sz w:val="24"/>
        </w:rPr>
      </w:pPr>
      <w:r>
        <w:rPr>
          <w:rFonts w:ascii="宋体" w:hAnsi="宋体" w:cs="宋体"/>
          <w:color w:val="000000"/>
          <w:sz w:val="24"/>
        </w:rPr>
        <w:t>CA咨询(汇信公司)客服热线：400-888-4636</w:t>
      </w:r>
    </w:p>
    <w:p>
      <w:pPr>
        <w:spacing w:line="400" w:lineRule="exact"/>
        <w:ind w:firstLine="480" w:firstLineChars="200"/>
        <w:rPr>
          <w:rFonts w:hAnsi="宋体" w:cs="宋体"/>
          <w:b/>
          <w:color w:val="000000"/>
        </w:rPr>
      </w:pPr>
      <w:r>
        <w:rPr>
          <w:rFonts w:ascii="宋体" w:hAnsi="宋体" w:cs="宋体"/>
          <w:color w:val="000000"/>
          <w:sz w:val="24"/>
        </w:rPr>
        <w:t>“政采云”平台客服电话：400-881-7190</w:t>
      </w:r>
    </w:p>
    <w:p>
      <w:pPr>
        <w:pStyle w:val="57"/>
        <w:spacing w:line="140" w:lineRule="exact"/>
        <w:rPr>
          <w:rFonts w:hAnsi="宋体" w:cs="宋体"/>
          <w:color w:val="000000"/>
          <w:sz w:val="32"/>
        </w:rPr>
      </w:pPr>
    </w:p>
    <w:p>
      <w:pPr>
        <w:pStyle w:val="3"/>
        <w:spacing w:line="360" w:lineRule="exact"/>
        <w:jc w:val="center"/>
        <w:rPr>
          <w:rFonts w:ascii="宋体" w:hAnsi="宋体" w:cs="宋体"/>
          <w:bCs/>
          <w:color w:val="000000"/>
          <w:sz w:val="32"/>
        </w:rPr>
      </w:pPr>
      <w:bookmarkStart w:id="44" w:name="_Toc185702547"/>
      <w:bookmarkStart w:id="45" w:name="_Toc207770833"/>
      <w:bookmarkStart w:id="46" w:name="_Toc517938791"/>
      <w:bookmarkStart w:id="47" w:name="_Toc239839861"/>
      <w:bookmarkStart w:id="48" w:name="_Toc206525680"/>
      <w:bookmarkStart w:id="49" w:name="_Toc230578055"/>
      <w:bookmarkStart w:id="50" w:name="_Toc493765475"/>
    </w:p>
    <w:p>
      <w:pPr>
        <w:pStyle w:val="3"/>
        <w:spacing w:line="560" w:lineRule="exact"/>
        <w:rPr>
          <w:rFonts w:ascii="宋体" w:hAnsi="宋体" w:cs="宋体"/>
          <w:bCs/>
          <w:color w:val="000000"/>
          <w:sz w:val="44"/>
        </w:rPr>
      </w:pPr>
    </w:p>
    <w:p>
      <w:pPr>
        <w:pStyle w:val="3"/>
        <w:spacing w:line="560" w:lineRule="exact"/>
        <w:jc w:val="center"/>
        <w:rPr>
          <w:rFonts w:ascii="宋体" w:hAnsi="宋体" w:cs="宋体"/>
          <w:bCs/>
          <w:color w:val="000000"/>
          <w:sz w:val="44"/>
        </w:rPr>
      </w:pPr>
    </w:p>
    <w:p>
      <w:pPr>
        <w:pStyle w:val="3"/>
        <w:spacing w:line="560" w:lineRule="exact"/>
        <w:jc w:val="center"/>
        <w:rPr>
          <w:rFonts w:ascii="宋体" w:hAnsi="宋体" w:cs="宋体"/>
          <w:bCs/>
          <w:color w:val="000000"/>
          <w:sz w:val="44"/>
        </w:rPr>
      </w:pPr>
      <w:r>
        <w:rPr>
          <w:rFonts w:hint="eastAsia" w:ascii="宋体" w:hAnsi="宋体" w:cs="宋体"/>
          <w:bCs/>
          <w:color w:val="000000"/>
          <w:sz w:val="44"/>
        </w:rPr>
        <w:t>第二章   供应商须知及前附表</w:t>
      </w:r>
    </w:p>
    <w:p>
      <w:pPr>
        <w:rPr>
          <w:color w:val="000000"/>
        </w:rPr>
      </w:pPr>
    </w:p>
    <w:p>
      <w:pPr>
        <w:pStyle w:val="3"/>
        <w:spacing w:line="360" w:lineRule="exact"/>
        <w:jc w:val="center"/>
        <w:rPr>
          <w:rFonts w:ascii="宋体" w:hAnsi="宋体" w:cs="宋体"/>
          <w:bCs/>
          <w:color w:val="000000"/>
          <w:sz w:val="32"/>
        </w:rPr>
      </w:pPr>
      <w:r>
        <w:rPr>
          <w:rFonts w:hint="eastAsia" w:ascii="宋体" w:hAnsi="宋体" w:cs="宋体"/>
          <w:bCs/>
          <w:color w:val="000000"/>
          <w:sz w:val="32"/>
        </w:rPr>
        <w:t>供应商须知前附表</w:t>
      </w:r>
      <w:bookmarkEnd w:id="44"/>
      <w:bookmarkEnd w:id="45"/>
      <w:bookmarkEnd w:id="46"/>
      <w:bookmarkEnd w:id="47"/>
      <w:bookmarkEnd w:id="48"/>
      <w:bookmarkEnd w:id="49"/>
      <w:bookmarkEnd w:id="50"/>
    </w:p>
    <w:p>
      <w:pPr>
        <w:pStyle w:val="57"/>
        <w:spacing w:line="140" w:lineRule="exact"/>
        <w:rPr>
          <w:rFonts w:hAnsi="宋体" w:cs="宋体"/>
          <w:color w:val="000000"/>
          <w:sz w:val="32"/>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696"/>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536" w:type="dxa"/>
            <w:vAlign w:val="center"/>
          </w:tcPr>
          <w:p>
            <w:pPr>
              <w:pStyle w:val="57"/>
              <w:snapToGrid w:val="0"/>
              <w:ind w:left="-105" w:leftChars="-50" w:right="-105" w:rightChars="-50"/>
              <w:jc w:val="center"/>
              <w:rPr>
                <w:rFonts w:hAnsi="宋体" w:cs="宋体"/>
                <w:color w:val="000000"/>
                <w:sz w:val="24"/>
                <w:szCs w:val="24"/>
              </w:rPr>
            </w:pPr>
            <w:r>
              <w:rPr>
                <w:rFonts w:hint="eastAsia" w:hAnsi="宋体" w:cs="宋体"/>
                <w:color w:val="000000"/>
                <w:sz w:val="24"/>
                <w:szCs w:val="24"/>
              </w:rPr>
              <w:t>序号</w:t>
            </w:r>
          </w:p>
        </w:tc>
        <w:tc>
          <w:tcPr>
            <w:tcW w:w="682" w:type="dxa"/>
            <w:vAlign w:val="center"/>
          </w:tcPr>
          <w:p>
            <w:pPr>
              <w:pStyle w:val="57"/>
              <w:snapToGrid w:val="0"/>
              <w:ind w:left="-105" w:leftChars="-50" w:right="-105" w:rightChars="-50"/>
              <w:jc w:val="center"/>
              <w:rPr>
                <w:rFonts w:hAnsi="宋体" w:cs="宋体"/>
                <w:color w:val="000000"/>
                <w:sz w:val="24"/>
                <w:szCs w:val="24"/>
              </w:rPr>
            </w:pPr>
            <w:r>
              <w:rPr>
                <w:rFonts w:hint="eastAsia" w:hAnsi="宋体" w:cs="宋体"/>
                <w:color w:val="000000"/>
                <w:sz w:val="24"/>
                <w:szCs w:val="24"/>
              </w:rPr>
              <w:t>条款号</w:t>
            </w:r>
          </w:p>
        </w:tc>
        <w:tc>
          <w:tcPr>
            <w:tcW w:w="8190" w:type="dxa"/>
            <w:vAlign w:val="center"/>
          </w:tcPr>
          <w:p>
            <w:pPr>
              <w:pStyle w:val="57"/>
              <w:snapToGrid w:val="0"/>
              <w:jc w:val="center"/>
              <w:rPr>
                <w:rFonts w:hAnsi="宋体" w:cs="宋体"/>
                <w:color w:val="000000"/>
                <w:sz w:val="24"/>
                <w:szCs w:val="24"/>
              </w:rPr>
            </w:pPr>
            <w:r>
              <w:rPr>
                <w:rFonts w:hint="eastAsia" w:hAnsi="宋体" w:cs="宋体"/>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36" w:type="dxa"/>
            <w:vAlign w:val="center"/>
          </w:tcPr>
          <w:p>
            <w:pPr>
              <w:snapToGrid w:val="0"/>
              <w:jc w:val="center"/>
              <w:rPr>
                <w:rFonts w:ascii="宋体" w:hAnsi="宋体" w:cs="宋体"/>
                <w:color w:val="000000"/>
                <w:sz w:val="24"/>
              </w:rPr>
            </w:pPr>
            <w:r>
              <w:rPr>
                <w:rFonts w:hint="eastAsia" w:ascii="宋体" w:hAnsi="宋体" w:cs="宋体"/>
                <w:color w:val="000000"/>
                <w:sz w:val="24"/>
              </w:rPr>
              <w:t>1</w:t>
            </w:r>
          </w:p>
        </w:tc>
        <w:tc>
          <w:tcPr>
            <w:tcW w:w="682" w:type="dxa"/>
            <w:vAlign w:val="center"/>
          </w:tcPr>
          <w:p>
            <w:pPr>
              <w:snapToGrid w:val="0"/>
              <w:jc w:val="center"/>
              <w:rPr>
                <w:rFonts w:ascii="宋体" w:hAnsi="宋体" w:cs="宋体"/>
                <w:color w:val="000000"/>
                <w:sz w:val="24"/>
              </w:rPr>
            </w:pPr>
            <w:r>
              <w:rPr>
                <w:rFonts w:hint="eastAsia" w:ascii="宋体" w:hAnsi="宋体" w:cs="宋体"/>
                <w:color w:val="000000"/>
                <w:sz w:val="24"/>
              </w:rPr>
              <w:t>1.1</w:t>
            </w:r>
          </w:p>
        </w:tc>
        <w:tc>
          <w:tcPr>
            <w:tcW w:w="8190" w:type="dxa"/>
            <w:vAlign w:val="center"/>
          </w:tcPr>
          <w:p>
            <w:pPr>
              <w:pStyle w:val="57"/>
              <w:snapToGrid w:val="0"/>
              <w:spacing w:line="380" w:lineRule="exact"/>
              <w:rPr>
                <w:rFonts w:hAnsi="宋体" w:cs="宋体"/>
                <w:color w:val="000000"/>
                <w:sz w:val="24"/>
                <w:szCs w:val="24"/>
                <w:u w:val="single"/>
              </w:rPr>
            </w:pPr>
            <w:r>
              <w:rPr>
                <w:rFonts w:hint="eastAsia" w:hAnsi="宋体" w:cs="宋体"/>
                <w:color w:val="000000"/>
                <w:sz w:val="24"/>
                <w:szCs w:val="24"/>
              </w:rPr>
              <w:t>项目名称：梧州职业学院智慧访客管理项目</w:t>
            </w:r>
          </w:p>
          <w:p>
            <w:pPr>
              <w:pStyle w:val="57"/>
              <w:snapToGrid w:val="0"/>
              <w:spacing w:line="380" w:lineRule="exact"/>
              <w:rPr>
                <w:rFonts w:hAnsi="宋体" w:cs="宋体"/>
                <w:color w:val="000000"/>
                <w:sz w:val="24"/>
                <w:szCs w:val="24"/>
              </w:rPr>
            </w:pPr>
            <w:r>
              <w:rPr>
                <w:rFonts w:hint="eastAsia" w:hAnsi="宋体" w:cs="宋体"/>
                <w:color w:val="000000"/>
                <w:sz w:val="24"/>
                <w:szCs w:val="24"/>
              </w:rPr>
              <w:t xml:space="preserve">项目编号：WZZC2022-J1-990423-GXGB </w:t>
            </w:r>
          </w:p>
          <w:p>
            <w:pPr>
              <w:snapToGrid w:val="0"/>
              <w:spacing w:line="380" w:lineRule="exact"/>
              <w:rPr>
                <w:rFonts w:hAnsi="宋体" w:cs="宋体"/>
                <w:color w:val="000000"/>
                <w:sz w:val="24"/>
              </w:rPr>
            </w:pPr>
            <w:r>
              <w:rPr>
                <w:rFonts w:hint="eastAsia" w:hAnsi="宋体" w:cs="宋体"/>
                <w:color w:val="000000"/>
                <w:sz w:val="24"/>
              </w:rPr>
              <w:t>采购内容：</w:t>
            </w:r>
            <w:r>
              <w:rPr>
                <w:rFonts w:hint="eastAsia" w:ascii="宋体" w:hAnsi="宋体" w:cs="宋体"/>
                <w:color w:val="000000"/>
                <w:sz w:val="24"/>
              </w:rPr>
              <w:t>详见竞争性谈判文件。</w:t>
            </w:r>
          </w:p>
          <w:p>
            <w:pPr>
              <w:pStyle w:val="13"/>
              <w:snapToGrid w:val="0"/>
              <w:spacing w:line="380" w:lineRule="exact"/>
              <w:rPr>
                <w:rFonts w:hAnsi="宋体" w:cs="宋体"/>
                <w:color w:val="000000"/>
                <w:sz w:val="24"/>
                <w:szCs w:val="24"/>
              </w:rPr>
            </w:pPr>
            <w:r>
              <w:rPr>
                <w:rFonts w:hint="eastAsia" w:hAnsi="宋体" w:cs="宋体"/>
                <w:color w:val="000000"/>
                <w:sz w:val="24"/>
                <w:szCs w:val="24"/>
              </w:rPr>
              <w:t>采购预算：人民币陆拾陆万玖仟元整（￥669000.00）</w:t>
            </w:r>
          </w:p>
          <w:p>
            <w:pPr>
              <w:pStyle w:val="13"/>
              <w:snapToGrid w:val="0"/>
              <w:spacing w:line="380" w:lineRule="exact"/>
              <w:rPr>
                <w:rFonts w:hAnsi="宋体" w:cs="宋体"/>
                <w:color w:val="000000"/>
                <w:sz w:val="24"/>
                <w:szCs w:val="24"/>
              </w:rPr>
            </w:pPr>
            <w:r>
              <w:rPr>
                <w:rFonts w:hint="eastAsia" w:hAnsi="宋体" w:cs="宋体"/>
                <w:color w:val="000000"/>
                <w:sz w:val="24"/>
                <w:szCs w:val="24"/>
              </w:rPr>
              <w:t>最高限价：人民币陆拾陆万玖仟元整（￥669000.00）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36" w:type="dxa"/>
            <w:vAlign w:val="center"/>
          </w:tcPr>
          <w:p>
            <w:pPr>
              <w:snapToGrid w:val="0"/>
              <w:jc w:val="center"/>
              <w:rPr>
                <w:rFonts w:ascii="宋体" w:hAnsi="宋体" w:cs="宋体"/>
                <w:color w:val="000000"/>
                <w:sz w:val="24"/>
              </w:rPr>
            </w:pPr>
            <w:r>
              <w:rPr>
                <w:rFonts w:hint="eastAsia" w:ascii="宋体" w:hAnsi="宋体" w:cs="宋体"/>
                <w:color w:val="000000"/>
                <w:sz w:val="24"/>
              </w:rPr>
              <w:t>2</w:t>
            </w:r>
          </w:p>
        </w:tc>
        <w:tc>
          <w:tcPr>
            <w:tcW w:w="682" w:type="dxa"/>
            <w:vAlign w:val="center"/>
          </w:tcPr>
          <w:p>
            <w:pPr>
              <w:snapToGrid w:val="0"/>
              <w:jc w:val="center"/>
              <w:rPr>
                <w:rFonts w:ascii="宋体" w:hAnsi="宋体" w:cs="宋体"/>
                <w:color w:val="000000"/>
                <w:sz w:val="24"/>
              </w:rPr>
            </w:pPr>
            <w:r>
              <w:rPr>
                <w:rFonts w:hint="eastAsia" w:ascii="宋体" w:hAnsi="宋体" w:cs="宋体"/>
                <w:color w:val="000000"/>
                <w:sz w:val="24"/>
              </w:rPr>
              <w:t>1.2</w:t>
            </w:r>
          </w:p>
        </w:tc>
        <w:tc>
          <w:tcPr>
            <w:tcW w:w="8190" w:type="dxa"/>
            <w:vAlign w:val="center"/>
          </w:tcPr>
          <w:p>
            <w:pPr>
              <w:pStyle w:val="13"/>
              <w:snapToGrid w:val="0"/>
              <w:spacing w:line="380" w:lineRule="exact"/>
              <w:rPr>
                <w:rFonts w:hAnsi="宋体" w:cs="宋体"/>
                <w:color w:val="000000"/>
                <w:sz w:val="24"/>
                <w:szCs w:val="24"/>
              </w:rPr>
            </w:pPr>
            <w:r>
              <w:rPr>
                <w:rFonts w:hint="eastAsia" w:hAnsi="宋体" w:cs="宋体"/>
                <w:color w:val="000000"/>
                <w:sz w:val="24"/>
                <w:szCs w:val="24"/>
              </w:rPr>
              <w:t>采购人：梧州职业学院</w:t>
            </w:r>
          </w:p>
          <w:p>
            <w:pPr>
              <w:pStyle w:val="13"/>
              <w:snapToGrid w:val="0"/>
              <w:spacing w:line="380" w:lineRule="exact"/>
              <w:rPr>
                <w:rFonts w:hAnsi="宋体" w:cs="宋体"/>
                <w:color w:val="000000"/>
                <w:sz w:val="24"/>
                <w:szCs w:val="24"/>
              </w:rPr>
            </w:pPr>
            <w:r>
              <w:rPr>
                <w:rFonts w:hint="eastAsia" w:hAnsi="宋体" w:cs="宋体"/>
                <w:color w:val="000000"/>
                <w:sz w:val="24"/>
                <w:szCs w:val="24"/>
              </w:rPr>
              <w:t>地址：广西梧州市三龙大道88号　</w:t>
            </w:r>
          </w:p>
          <w:p>
            <w:pPr>
              <w:pStyle w:val="13"/>
              <w:snapToGrid w:val="0"/>
              <w:spacing w:line="380" w:lineRule="exact"/>
              <w:rPr>
                <w:rFonts w:hint="eastAsia" w:hAnsi="宋体" w:eastAsia="宋体" w:cs="宋体"/>
                <w:color w:val="000000"/>
                <w:sz w:val="24"/>
                <w:szCs w:val="24"/>
                <w:lang w:eastAsia="zh-CN"/>
              </w:rPr>
            </w:pPr>
            <w:r>
              <w:rPr>
                <w:rFonts w:hint="eastAsia" w:hAnsi="宋体" w:cs="宋体"/>
                <w:color w:val="000000"/>
                <w:sz w:val="24"/>
                <w:szCs w:val="24"/>
              </w:rPr>
              <w:t>联系人：</w:t>
            </w:r>
            <w:r>
              <w:rPr>
                <w:rFonts w:hint="eastAsia" w:hAnsi="宋体" w:cs="宋体"/>
                <w:color w:val="000000"/>
                <w:sz w:val="24"/>
                <w:szCs w:val="24"/>
                <w:lang w:eastAsia="zh-CN"/>
              </w:rPr>
              <w:t>曾老师</w:t>
            </w:r>
            <w:r>
              <w:rPr>
                <w:rFonts w:hint="eastAsia" w:hAnsi="宋体" w:cs="宋体"/>
                <w:color w:val="000000"/>
                <w:sz w:val="24"/>
                <w:szCs w:val="24"/>
              </w:rPr>
              <w:t xml:space="preserve">  联系电话：</w:t>
            </w:r>
            <w:r>
              <w:rPr>
                <w:rFonts w:hint="eastAsia" w:hAnsi="宋体" w:cs="宋体"/>
                <w:color w:val="000000"/>
                <w:sz w:val="24"/>
                <w:szCs w:val="24"/>
                <w:lang w:eastAsia="zh-CN"/>
              </w:rPr>
              <w:t>0774-3832396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36" w:type="dxa"/>
            <w:vAlign w:val="center"/>
          </w:tcPr>
          <w:p>
            <w:pPr>
              <w:snapToGrid w:val="0"/>
              <w:jc w:val="center"/>
              <w:rPr>
                <w:rFonts w:ascii="宋体" w:hAnsi="宋体" w:cs="宋体"/>
                <w:color w:val="000000"/>
                <w:sz w:val="24"/>
              </w:rPr>
            </w:pPr>
            <w:r>
              <w:rPr>
                <w:rFonts w:hint="eastAsia" w:ascii="宋体" w:hAnsi="宋体" w:cs="宋体"/>
                <w:color w:val="000000"/>
                <w:sz w:val="24"/>
              </w:rPr>
              <w:t>3</w:t>
            </w:r>
          </w:p>
        </w:tc>
        <w:tc>
          <w:tcPr>
            <w:tcW w:w="682" w:type="dxa"/>
            <w:vAlign w:val="center"/>
          </w:tcPr>
          <w:p>
            <w:pPr>
              <w:snapToGrid w:val="0"/>
              <w:jc w:val="center"/>
              <w:rPr>
                <w:rFonts w:ascii="宋体" w:hAnsi="宋体" w:cs="宋体"/>
                <w:color w:val="000000"/>
                <w:sz w:val="24"/>
              </w:rPr>
            </w:pPr>
            <w:r>
              <w:rPr>
                <w:rFonts w:hint="eastAsia" w:ascii="宋体" w:hAnsi="宋体" w:cs="宋体"/>
                <w:color w:val="000000"/>
                <w:sz w:val="24"/>
              </w:rPr>
              <w:t>1.3</w:t>
            </w:r>
          </w:p>
        </w:tc>
        <w:tc>
          <w:tcPr>
            <w:tcW w:w="8190" w:type="dxa"/>
            <w:vAlign w:val="center"/>
          </w:tcPr>
          <w:p>
            <w:pPr>
              <w:pStyle w:val="13"/>
              <w:snapToGrid w:val="0"/>
              <w:spacing w:line="380" w:lineRule="exact"/>
              <w:rPr>
                <w:rFonts w:hAnsi="宋体" w:cs="宋体"/>
                <w:color w:val="000000"/>
                <w:sz w:val="24"/>
                <w:szCs w:val="24"/>
              </w:rPr>
            </w:pPr>
            <w:r>
              <w:rPr>
                <w:rFonts w:hint="eastAsia" w:hAnsi="宋体" w:cs="宋体"/>
                <w:color w:val="000000"/>
                <w:sz w:val="24"/>
                <w:szCs w:val="24"/>
              </w:rPr>
              <w:t>采购代理机构：广西桂宝工程监理咨询有限公司</w:t>
            </w:r>
          </w:p>
          <w:p>
            <w:pPr>
              <w:pStyle w:val="13"/>
              <w:snapToGrid w:val="0"/>
              <w:spacing w:line="380" w:lineRule="exact"/>
              <w:rPr>
                <w:rFonts w:hAnsi="宋体" w:cs="宋体"/>
                <w:color w:val="000000"/>
                <w:sz w:val="24"/>
                <w:szCs w:val="24"/>
              </w:rPr>
            </w:pPr>
            <w:r>
              <w:rPr>
                <w:rFonts w:hint="eastAsia" w:hAnsi="宋体" w:cs="宋体"/>
                <w:color w:val="000000"/>
                <w:sz w:val="24"/>
                <w:szCs w:val="24"/>
              </w:rPr>
              <w:t>本项目联系地址：梧州市长洲区西堤路28号灏景尚都8号楼二层</w:t>
            </w:r>
          </w:p>
          <w:p>
            <w:pPr>
              <w:pStyle w:val="13"/>
              <w:snapToGrid w:val="0"/>
              <w:spacing w:line="380" w:lineRule="exact"/>
              <w:rPr>
                <w:rFonts w:hAnsi="宋体" w:cs="宋体"/>
                <w:color w:val="000000"/>
                <w:szCs w:val="24"/>
              </w:rPr>
            </w:pPr>
            <w:r>
              <w:rPr>
                <w:rFonts w:hint="eastAsia" w:hAnsi="宋体" w:cs="宋体"/>
                <w:color w:val="000000"/>
                <w:sz w:val="24"/>
                <w:szCs w:val="24"/>
              </w:rPr>
              <w:t>联系人及电话：甘先生，0774-3819158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36" w:type="dxa"/>
            <w:vAlign w:val="center"/>
          </w:tcPr>
          <w:p>
            <w:pPr>
              <w:snapToGrid w:val="0"/>
              <w:jc w:val="center"/>
              <w:rPr>
                <w:rFonts w:ascii="宋体" w:hAnsi="宋体" w:cs="宋体"/>
                <w:color w:val="000000"/>
                <w:sz w:val="24"/>
              </w:rPr>
            </w:pPr>
            <w:r>
              <w:rPr>
                <w:rFonts w:hint="eastAsia" w:ascii="宋体" w:hAnsi="宋体" w:cs="宋体"/>
                <w:color w:val="000000"/>
                <w:sz w:val="24"/>
              </w:rPr>
              <w:t>4</w:t>
            </w:r>
          </w:p>
        </w:tc>
        <w:tc>
          <w:tcPr>
            <w:tcW w:w="682" w:type="dxa"/>
            <w:vAlign w:val="center"/>
          </w:tcPr>
          <w:p>
            <w:pPr>
              <w:snapToGrid w:val="0"/>
              <w:jc w:val="center"/>
              <w:rPr>
                <w:rFonts w:ascii="宋体" w:hAnsi="宋体" w:cs="宋体"/>
                <w:color w:val="000000"/>
                <w:sz w:val="24"/>
              </w:rPr>
            </w:pPr>
            <w:r>
              <w:rPr>
                <w:rFonts w:hint="eastAsia" w:ascii="宋体" w:hAnsi="宋体" w:cs="宋体"/>
                <w:color w:val="000000"/>
                <w:sz w:val="24"/>
              </w:rPr>
              <w:t>1.4</w:t>
            </w:r>
          </w:p>
        </w:tc>
        <w:tc>
          <w:tcPr>
            <w:tcW w:w="8190" w:type="dxa"/>
            <w:vAlign w:val="center"/>
          </w:tcPr>
          <w:p>
            <w:pPr>
              <w:spacing w:line="400" w:lineRule="exact"/>
              <w:rPr>
                <w:rFonts w:hAnsi="宋体" w:cs="宋体"/>
                <w:color w:val="000000"/>
                <w:sz w:val="24"/>
              </w:rPr>
            </w:pPr>
            <w:r>
              <w:rPr>
                <w:rFonts w:hint="eastAsia" w:hAnsi="宋体" w:cs="宋体"/>
                <w:color w:val="000000"/>
                <w:sz w:val="24"/>
              </w:rPr>
              <w:t>监督部门：</w:t>
            </w:r>
            <w:r>
              <w:rPr>
                <w:rFonts w:hint="eastAsia" w:ascii="宋体" w:hAnsi="宋体"/>
                <w:bCs/>
                <w:sz w:val="24"/>
              </w:rPr>
              <w:t>梧州市长洲区财政局政采办，电话：0774-3860212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536" w:type="dxa"/>
            <w:vAlign w:val="center"/>
          </w:tcPr>
          <w:p>
            <w:pPr>
              <w:snapToGrid w:val="0"/>
              <w:jc w:val="center"/>
              <w:rPr>
                <w:rFonts w:ascii="宋体" w:hAnsi="宋体" w:cs="宋体"/>
                <w:color w:val="000000"/>
                <w:sz w:val="24"/>
              </w:rPr>
            </w:pPr>
            <w:r>
              <w:rPr>
                <w:rFonts w:hint="eastAsia" w:ascii="宋体" w:hAnsi="宋体" w:cs="宋体"/>
                <w:color w:val="000000"/>
                <w:sz w:val="24"/>
              </w:rPr>
              <w:t>5</w:t>
            </w:r>
          </w:p>
        </w:tc>
        <w:tc>
          <w:tcPr>
            <w:tcW w:w="682" w:type="dxa"/>
            <w:vAlign w:val="center"/>
          </w:tcPr>
          <w:p>
            <w:pPr>
              <w:snapToGrid w:val="0"/>
              <w:jc w:val="center"/>
              <w:rPr>
                <w:rFonts w:ascii="宋体" w:hAnsi="宋体" w:cs="宋体"/>
                <w:color w:val="000000"/>
                <w:sz w:val="24"/>
              </w:rPr>
            </w:pPr>
            <w:r>
              <w:rPr>
                <w:rFonts w:hint="eastAsia" w:ascii="宋体" w:hAnsi="宋体" w:cs="宋体"/>
                <w:color w:val="000000"/>
                <w:sz w:val="24"/>
              </w:rPr>
              <w:t>2.1</w:t>
            </w:r>
          </w:p>
        </w:tc>
        <w:tc>
          <w:tcPr>
            <w:tcW w:w="8190" w:type="dxa"/>
            <w:vAlign w:val="center"/>
          </w:tcPr>
          <w:p>
            <w:pPr>
              <w:snapToGrid w:val="0"/>
              <w:spacing w:line="380" w:lineRule="exact"/>
              <w:rPr>
                <w:rFonts w:ascii="宋体" w:hAnsi="宋体" w:cs="宋体"/>
                <w:color w:val="000000"/>
                <w:sz w:val="24"/>
              </w:rPr>
            </w:pPr>
            <w:r>
              <w:rPr>
                <w:rFonts w:hint="eastAsia" w:ascii="宋体" w:hAnsi="宋体" w:cs="宋体"/>
                <w:color w:val="000000"/>
                <w:sz w:val="24"/>
              </w:rPr>
              <w:t>1.满足《中华人民共和国政府采购法》第二十二条规定；</w:t>
            </w:r>
          </w:p>
          <w:p>
            <w:pPr>
              <w:spacing w:line="360" w:lineRule="auto"/>
              <w:rPr>
                <w:rFonts w:ascii="宋体" w:hAnsi="宋体" w:cs="宋体"/>
                <w:color w:val="000000"/>
                <w:sz w:val="24"/>
              </w:rPr>
            </w:pPr>
            <w:r>
              <w:rPr>
                <w:rFonts w:hint="eastAsia" w:ascii="宋体" w:hAnsi="宋体" w:cs="宋体"/>
                <w:color w:val="000000"/>
                <w:sz w:val="24"/>
              </w:rPr>
              <w:t>2.落实政府采购政策需满足的资格要求：</w:t>
            </w:r>
            <w:r>
              <w:rPr>
                <w:rFonts w:hint="eastAsia"/>
                <w:color w:val="auto"/>
                <w:sz w:val="24"/>
                <w:szCs w:val="24"/>
                <w:highlight w:val="none"/>
              </w:rPr>
              <w:t>本项目</w:t>
            </w:r>
            <w:r>
              <w:rPr>
                <w:rFonts w:hint="eastAsia"/>
                <w:color w:val="auto"/>
                <w:sz w:val="24"/>
                <w:szCs w:val="24"/>
                <w:highlight w:val="none"/>
                <w:lang w:val="en-US"/>
              </w:rPr>
              <w:t>为</w:t>
            </w:r>
            <w:r>
              <w:rPr>
                <w:rFonts w:hint="eastAsia"/>
                <w:color w:val="auto"/>
                <w:sz w:val="24"/>
                <w:szCs w:val="24"/>
                <w:highlight w:val="none"/>
              </w:rPr>
              <w:t>专门面向中小企业采购的项目（供应商应为中小微企业、监狱企业、残疾人福利性单位)；</w:t>
            </w:r>
          </w:p>
          <w:p>
            <w:pPr>
              <w:snapToGrid w:val="0"/>
              <w:spacing w:line="380" w:lineRule="exact"/>
              <w:rPr>
                <w:rFonts w:ascii="宋体" w:hAnsi="宋体" w:cs="宋体"/>
                <w:color w:val="000000"/>
                <w:sz w:val="24"/>
              </w:rPr>
            </w:pPr>
            <w:r>
              <w:rPr>
                <w:rFonts w:hint="eastAsia" w:ascii="宋体" w:hAnsi="宋体" w:cs="宋体"/>
                <w:color w:val="000000"/>
                <w:sz w:val="24"/>
              </w:rPr>
              <w:t>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36" w:type="dxa"/>
            <w:vAlign w:val="center"/>
          </w:tcPr>
          <w:p>
            <w:pPr>
              <w:snapToGrid w:val="0"/>
              <w:jc w:val="center"/>
              <w:rPr>
                <w:rFonts w:ascii="宋体" w:hAnsi="宋体" w:cs="宋体"/>
                <w:color w:val="000000"/>
                <w:sz w:val="24"/>
              </w:rPr>
            </w:pPr>
            <w:r>
              <w:rPr>
                <w:rFonts w:hint="eastAsia" w:ascii="宋体" w:hAnsi="宋体" w:cs="宋体"/>
                <w:color w:val="000000"/>
                <w:sz w:val="24"/>
              </w:rPr>
              <w:t>6</w:t>
            </w:r>
          </w:p>
        </w:tc>
        <w:tc>
          <w:tcPr>
            <w:tcW w:w="682" w:type="dxa"/>
            <w:vAlign w:val="center"/>
          </w:tcPr>
          <w:p>
            <w:pPr>
              <w:snapToGrid w:val="0"/>
              <w:jc w:val="center"/>
              <w:rPr>
                <w:rFonts w:ascii="宋体" w:hAnsi="宋体" w:cs="宋体"/>
                <w:color w:val="000000"/>
                <w:sz w:val="24"/>
              </w:rPr>
            </w:pPr>
            <w:r>
              <w:rPr>
                <w:rFonts w:hint="eastAsia" w:ascii="宋体" w:hAnsi="宋体" w:cs="宋体"/>
                <w:color w:val="000000"/>
                <w:sz w:val="24"/>
              </w:rPr>
              <w:t>11.1</w:t>
            </w:r>
          </w:p>
        </w:tc>
        <w:tc>
          <w:tcPr>
            <w:tcW w:w="8190" w:type="dxa"/>
            <w:vAlign w:val="center"/>
          </w:tcPr>
          <w:p>
            <w:pPr>
              <w:pStyle w:val="13"/>
              <w:snapToGrid w:val="0"/>
              <w:spacing w:line="380" w:lineRule="exact"/>
              <w:rPr>
                <w:rFonts w:hAnsi="宋体" w:cs="宋体"/>
                <w:color w:val="000000"/>
                <w:sz w:val="24"/>
                <w:szCs w:val="24"/>
              </w:rPr>
            </w:pPr>
            <w:r>
              <w:rPr>
                <w:rFonts w:hint="eastAsia" w:hAnsi="宋体" w:cs="宋体"/>
                <w:color w:val="000000"/>
                <w:sz w:val="24"/>
                <w:szCs w:val="24"/>
              </w:rPr>
              <w:t>竞标报价方式：供应商必须就《采购内容及要求》的项目和服务内容可能发生的费用作唯一完整报价。（本项目只允许递交一个方案的报价，不接受任何有选择性的报价。）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36" w:type="dxa"/>
            <w:vAlign w:val="center"/>
          </w:tcPr>
          <w:p>
            <w:pPr>
              <w:snapToGrid w:val="0"/>
              <w:jc w:val="center"/>
              <w:rPr>
                <w:rFonts w:ascii="宋体" w:hAnsi="宋体" w:cs="宋体"/>
                <w:color w:val="000000"/>
                <w:sz w:val="24"/>
              </w:rPr>
            </w:pPr>
            <w:r>
              <w:rPr>
                <w:rFonts w:hint="eastAsia" w:ascii="宋体" w:hAnsi="宋体" w:cs="宋体"/>
                <w:color w:val="000000"/>
                <w:sz w:val="24"/>
              </w:rPr>
              <w:t>7</w:t>
            </w:r>
          </w:p>
        </w:tc>
        <w:tc>
          <w:tcPr>
            <w:tcW w:w="682" w:type="dxa"/>
            <w:vAlign w:val="center"/>
          </w:tcPr>
          <w:p>
            <w:pPr>
              <w:snapToGrid w:val="0"/>
              <w:jc w:val="center"/>
              <w:rPr>
                <w:rFonts w:ascii="宋体" w:hAnsi="宋体" w:cs="宋体"/>
                <w:color w:val="000000"/>
                <w:sz w:val="24"/>
              </w:rPr>
            </w:pPr>
            <w:r>
              <w:rPr>
                <w:rFonts w:hint="eastAsia" w:ascii="宋体" w:hAnsi="宋体" w:cs="宋体"/>
                <w:color w:val="000000"/>
                <w:sz w:val="24"/>
              </w:rPr>
              <w:t>12.1</w:t>
            </w:r>
          </w:p>
        </w:tc>
        <w:tc>
          <w:tcPr>
            <w:tcW w:w="8190" w:type="dxa"/>
            <w:vAlign w:val="center"/>
          </w:tcPr>
          <w:p>
            <w:pPr>
              <w:pStyle w:val="13"/>
              <w:snapToGrid w:val="0"/>
              <w:spacing w:line="380" w:lineRule="exact"/>
              <w:ind w:left="1186" w:hanging="1185" w:hangingChars="494"/>
              <w:rPr>
                <w:rFonts w:hAnsi="宋体" w:cs="宋体"/>
                <w:color w:val="000000"/>
                <w:sz w:val="24"/>
                <w:szCs w:val="24"/>
              </w:rPr>
            </w:pPr>
            <w:r>
              <w:rPr>
                <w:rFonts w:hint="eastAsia" w:hAnsi="宋体" w:cs="宋体"/>
                <w:color w:val="000000"/>
                <w:sz w:val="24"/>
                <w:szCs w:val="24"/>
              </w:rPr>
              <w:t>竞标有效期：竞标截止日期后60天。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36" w:type="dxa"/>
            <w:vAlign w:val="center"/>
          </w:tcPr>
          <w:p>
            <w:pPr>
              <w:snapToGrid w:val="0"/>
              <w:jc w:val="center"/>
              <w:rPr>
                <w:rFonts w:ascii="宋体" w:hAnsi="宋体" w:cs="宋体"/>
                <w:color w:val="000000"/>
                <w:sz w:val="24"/>
              </w:rPr>
            </w:pPr>
            <w:r>
              <w:rPr>
                <w:rFonts w:hint="eastAsia" w:ascii="宋体" w:hAnsi="宋体" w:cs="宋体"/>
                <w:color w:val="000000"/>
                <w:sz w:val="24"/>
              </w:rPr>
              <w:t>8</w:t>
            </w:r>
          </w:p>
        </w:tc>
        <w:tc>
          <w:tcPr>
            <w:tcW w:w="682" w:type="dxa"/>
            <w:vAlign w:val="center"/>
          </w:tcPr>
          <w:p>
            <w:pPr>
              <w:snapToGrid w:val="0"/>
              <w:jc w:val="center"/>
              <w:rPr>
                <w:rFonts w:ascii="宋体" w:hAnsi="宋体" w:cs="宋体"/>
                <w:color w:val="000000"/>
                <w:sz w:val="24"/>
              </w:rPr>
            </w:pPr>
            <w:r>
              <w:rPr>
                <w:rFonts w:hint="eastAsia" w:ascii="宋体" w:hAnsi="宋体" w:cs="宋体"/>
                <w:color w:val="000000"/>
                <w:sz w:val="24"/>
              </w:rPr>
              <w:t>13.5</w:t>
            </w:r>
          </w:p>
        </w:tc>
        <w:tc>
          <w:tcPr>
            <w:tcW w:w="8190" w:type="dxa"/>
            <w:vAlign w:val="center"/>
          </w:tcPr>
          <w:p>
            <w:pPr>
              <w:pStyle w:val="13"/>
              <w:snapToGrid w:val="0"/>
              <w:spacing w:line="380" w:lineRule="exact"/>
              <w:ind w:left="1186" w:hanging="1185" w:hangingChars="494"/>
              <w:rPr>
                <w:rFonts w:hAnsi="宋体" w:cs="宋体"/>
                <w:color w:val="000000"/>
                <w:sz w:val="24"/>
                <w:szCs w:val="24"/>
              </w:rPr>
            </w:pPr>
            <w:r>
              <w:rPr>
                <w:rFonts w:hint="eastAsia" w:hAnsi="宋体" w:cs="宋体"/>
                <w:color w:val="000000"/>
                <w:sz w:val="24"/>
                <w:szCs w:val="24"/>
              </w:rPr>
              <w:t>响应文件份数：电子加密响应文件在线上传提交一份。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jc w:val="center"/>
        </w:trPr>
        <w:tc>
          <w:tcPr>
            <w:tcW w:w="536" w:type="dxa"/>
            <w:vAlign w:val="center"/>
          </w:tcPr>
          <w:p>
            <w:pPr>
              <w:snapToGrid w:val="0"/>
              <w:jc w:val="center"/>
              <w:rPr>
                <w:rFonts w:ascii="宋体" w:hAnsi="宋体" w:cs="宋体"/>
                <w:color w:val="000000"/>
                <w:sz w:val="24"/>
              </w:rPr>
            </w:pPr>
            <w:r>
              <w:rPr>
                <w:rFonts w:hint="eastAsia" w:ascii="宋体" w:hAnsi="宋体" w:cs="宋体"/>
                <w:color w:val="000000"/>
                <w:sz w:val="24"/>
              </w:rPr>
              <w:t>9</w:t>
            </w:r>
          </w:p>
        </w:tc>
        <w:tc>
          <w:tcPr>
            <w:tcW w:w="682" w:type="dxa"/>
            <w:vAlign w:val="center"/>
          </w:tcPr>
          <w:p>
            <w:pPr>
              <w:snapToGrid w:val="0"/>
              <w:jc w:val="center"/>
              <w:rPr>
                <w:rFonts w:ascii="宋体" w:hAnsi="宋体" w:cs="宋体"/>
                <w:color w:val="000000"/>
                <w:sz w:val="24"/>
              </w:rPr>
            </w:pPr>
            <w:r>
              <w:rPr>
                <w:rFonts w:hint="eastAsia" w:ascii="宋体" w:hAnsi="宋体" w:cs="宋体"/>
                <w:color w:val="000000"/>
                <w:sz w:val="24"/>
              </w:rPr>
              <w:t>14.1</w:t>
            </w:r>
          </w:p>
        </w:tc>
        <w:tc>
          <w:tcPr>
            <w:tcW w:w="8190" w:type="dxa"/>
            <w:vAlign w:val="center"/>
          </w:tcPr>
          <w:p>
            <w:pPr>
              <w:spacing w:line="380" w:lineRule="exact"/>
              <w:rPr>
                <w:rFonts w:ascii="宋体" w:hAnsi="宋体" w:cs="宋体"/>
                <w:color w:val="000000"/>
                <w:sz w:val="24"/>
              </w:rPr>
            </w:pPr>
            <w:r>
              <w:rPr>
                <w:rFonts w:hint="eastAsia" w:ascii="宋体" w:hAnsi="宋体" w:cs="宋体"/>
                <w:color w:val="000000"/>
                <w:sz w:val="24"/>
              </w:rPr>
              <w:t>1、谈判保证金递交形式：银行转账或支票、汇票、本票、保函等非转账形式。</w:t>
            </w:r>
          </w:p>
          <w:p>
            <w:pPr>
              <w:spacing w:line="380" w:lineRule="exact"/>
              <w:rPr>
                <w:rFonts w:ascii="宋体" w:hAnsi="宋体" w:cs="宋体"/>
                <w:color w:val="000000"/>
                <w:sz w:val="24"/>
              </w:rPr>
            </w:pPr>
            <w:r>
              <w:rPr>
                <w:rFonts w:hint="eastAsia" w:ascii="宋体" w:hAnsi="宋体" w:cs="宋体"/>
                <w:color w:val="000000"/>
                <w:sz w:val="24"/>
              </w:rPr>
              <w:t>2、谈判保证金（人民币）：人民币陆仟元整（￥6000.00）。</w:t>
            </w:r>
          </w:p>
          <w:p>
            <w:pPr>
              <w:pStyle w:val="13"/>
              <w:snapToGrid w:val="0"/>
              <w:spacing w:line="380" w:lineRule="exact"/>
              <w:ind w:left="360" w:hanging="360" w:hangingChars="150"/>
              <w:rPr>
                <w:rFonts w:hAnsi="宋体" w:cs="宋体"/>
                <w:color w:val="000000"/>
                <w:sz w:val="24"/>
                <w:szCs w:val="24"/>
              </w:rPr>
            </w:pPr>
            <w:r>
              <w:rPr>
                <w:rFonts w:hint="eastAsia" w:hAnsi="宋体" w:cs="宋体"/>
                <w:color w:val="000000"/>
                <w:sz w:val="24"/>
                <w:szCs w:val="24"/>
              </w:rPr>
              <w:t>3、递交方式：供应商从对公帐户转账到以下专用帐户。</w:t>
            </w:r>
          </w:p>
          <w:p>
            <w:pPr>
              <w:spacing w:line="380" w:lineRule="exact"/>
              <w:ind w:firstLine="480" w:firstLineChars="200"/>
              <w:rPr>
                <w:rFonts w:ascii="宋体" w:hAnsi="宋体" w:cs="宋体"/>
                <w:color w:val="000000"/>
                <w:sz w:val="24"/>
              </w:rPr>
            </w:pPr>
            <w:r>
              <w:rPr>
                <w:rFonts w:hint="eastAsia" w:ascii="宋体" w:hAnsi="宋体" w:cs="宋体"/>
                <w:color w:val="000000"/>
                <w:sz w:val="24"/>
              </w:rPr>
              <w:t>开户名称：广西桂宝工程监理咨询有限公司桂东分公司</w:t>
            </w:r>
          </w:p>
          <w:p>
            <w:pPr>
              <w:spacing w:line="380" w:lineRule="exact"/>
              <w:ind w:firstLine="480" w:firstLineChars="200"/>
              <w:rPr>
                <w:rFonts w:ascii="宋体" w:hAnsi="宋体" w:cs="宋体"/>
                <w:color w:val="000000"/>
                <w:sz w:val="24"/>
              </w:rPr>
            </w:pPr>
            <w:r>
              <w:rPr>
                <w:rFonts w:hint="eastAsia" w:ascii="宋体" w:hAnsi="宋体" w:cs="宋体"/>
                <w:color w:val="000000"/>
                <w:sz w:val="24"/>
              </w:rPr>
              <w:t>开户银行：中国邮政储蓄银行股份有限公司广西壮族自治区梧州市分行</w:t>
            </w:r>
          </w:p>
          <w:p>
            <w:pPr>
              <w:spacing w:line="380" w:lineRule="exact"/>
              <w:ind w:firstLine="480" w:firstLineChars="200"/>
              <w:rPr>
                <w:rFonts w:ascii="宋体" w:hAnsi="宋体" w:cs="宋体"/>
                <w:color w:val="000000"/>
                <w:sz w:val="24"/>
              </w:rPr>
            </w:pPr>
            <w:r>
              <w:rPr>
                <w:rFonts w:hint="eastAsia" w:ascii="宋体" w:hAnsi="宋体" w:cs="宋体"/>
                <w:color w:val="000000"/>
                <w:sz w:val="24"/>
              </w:rPr>
              <w:t>银行账号：945003010049238896</w:t>
            </w:r>
          </w:p>
          <w:p>
            <w:pPr>
              <w:pStyle w:val="13"/>
              <w:snapToGrid w:val="0"/>
              <w:spacing w:line="380" w:lineRule="exact"/>
              <w:ind w:left="360" w:hanging="360" w:hangingChars="150"/>
              <w:rPr>
                <w:rFonts w:hAnsi="宋体" w:cs="宋体"/>
                <w:color w:val="000000"/>
                <w:sz w:val="24"/>
                <w:szCs w:val="24"/>
              </w:rPr>
            </w:pPr>
            <w:r>
              <w:rPr>
                <w:rFonts w:hint="eastAsia" w:hAnsi="宋体" w:cs="宋体"/>
                <w:color w:val="000000"/>
                <w:sz w:val="24"/>
                <w:szCs w:val="24"/>
              </w:rPr>
              <w:t>4、交纳谈判保证金截止时间：①以转帐方式缴纳谈判保证金的必须在竞标截止时间之前到达专用帐户。②以其他非转账方式递交谈判保证金的应在竞标截止时间之前提交</w:t>
            </w:r>
            <w:r>
              <w:rPr>
                <w:rFonts w:hint="eastAsia"/>
                <w:color w:val="000000"/>
                <w:sz w:val="24"/>
                <w:szCs w:val="24"/>
              </w:rPr>
              <w:t>原件</w:t>
            </w:r>
            <w:r>
              <w:rPr>
                <w:rFonts w:hint="eastAsia" w:hAnsi="宋体" w:cs="宋体"/>
                <w:color w:val="000000"/>
                <w:sz w:val="24"/>
                <w:szCs w:val="24"/>
              </w:rPr>
              <w:t>。</w:t>
            </w:r>
          </w:p>
          <w:p>
            <w:pPr>
              <w:pStyle w:val="13"/>
              <w:snapToGrid w:val="0"/>
              <w:spacing w:line="380" w:lineRule="exact"/>
              <w:ind w:left="360" w:hanging="360" w:hangingChars="150"/>
              <w:rPr>
                <w:rFonts w:hAnsi="宋体" w:cs="宋体"/>
                <w:color w:val="000000"/>
                <w:sz w:val="24"/>
                <w:szCs w:val="24"/>
              </w:rPr>
            </w:pPr>
            <w:r>
              <w:rPr>
                <w:rFonts w:hint="eastAsia" w:hAnsi="宋体" w:cs="宋体"/>
                <w:color w:val="000000"/>
                <w:sz w:val="24"/>
                <w:szCs w:val="24"/>
              </w:rPr>
              <w:t>5、办理谈判保证金手续时，请务必注明事由</w:t>
            </w:r>
            <w:r>
              <w:rPr>
                <w:rFonts w:hint="eastAsia" w:hAnsi="宋体" w:cs="宋体"/>
                <w:color w:val="000000"/>
                <w:sz w:val="24"/>
                <w:szCs w:val="24"/>
                <w:u w:val="single"/>
              </w:rPr>
              <w:t>“项目编号＋谈判保证金（如有分标，须列出分标号）”</w:t>
            </w:r>
            <w:r>
              <w:rPr>
                <w:rFonts w:hint="eastAsia" w:hAnsi="宋体" w:cs="宋体"/>
                <w:color w:val="000000"/>
                <w:sz w:val="24"/>
                <w:szCs w:val="24"/>
              </w:rPr>
              <w:t>字样，经查实谈判保证金没有在规定时间到账的，其竞标无效</w:t>
            </w:r>
          </w:p>
          <w:p>
            <w:pPr>
              <w:pStyle w:val="13"/>
              <w:snapToGrid w:val="0"/>
              <w:spacing w:line="380" w:lineRule="exact"/>
              <w:rPr>
                <w:rFonts w:hAnsi="宋体" w:cs="宋体"/>
                <w:color w:val="000000"/>
                <w:sz w:val="24"/>
                <w:szCs w:val="24"/>
              </w:rPr>
            </w:pPr>
            <w:r>
              <w:rPr>
                <w:rFonts w:hint="eastAsia" w:hAnsi="宋体" w:cs="宋体"/>
                <w:color w:val="000000"/>
                <w:sz w:val="24"/>
                <w:szCs w:val="24"/>
              </w:rPr>
              <w:t>[注：如需开具收据的，请在开标会议结束后自行到广西桂宝工程监理咨询有限公司财务部开具谈判保证金收据。]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36" w:type="dxa"/>
            <w:vAlign w:val="center"/>
          </w:tcPr>
          <w:p>
            <w:pPr>
              <w:snapToGrid w:val="0"/>
              <w:jc w:val="center"/>
              <w:rPr>
                <w:rFonts w:ascii="宋体" w:hAnsi="宋体" w:cs="宋体"/>
                <w:color w:val="000000"/>
                <w:sz w:val="24"/>
              </w:rPr>
            </w:pPr>
            <w:r>
              <w:rPr>
                <w:rFonts w:hint="eastAsia" w:ascii="宋体" w:hAnsi="宋体" w:cs="宋体"/>
                <w:color w:val="000000"/>
                <w:sz w:val="24"/>
              </w:rPr>
              <w:t>10</w:t>
            </w:r>
          </w:p>
        </w:tc>
        <w:tc>
          <w:tcPr>
            <w:tcW w:w="682" w:type="dxa"/>
            <w:vAlign w:val="center"/>
          </w:tcPr>
          <w:p>
            <w:pPr>
              <w:snapToGrid w:val="0"/>
              <w:jc w:val="center"/>
              <w:rPr>
                <w:rFonts w:ascii="宋体" w:hAnsi="宋体" w:cs="宋体"/>
                <w:color w:val="000000"/>
                <w:sz w:val="24"/>
              </w:rPr>
            </w:pPr>
            <w:r>
              <w:rPr>
                <w:rFonts w:hint="eastAsia" w:ascii="宋体" w:hAnsi="宋体" w:cs="宋体"/>
                <w:color w:val="000000"/>
                <w:sz w:val="24"/>
              </w:rPr>
              <w:t>16</w:t>
            </w:r>
          </w:p>
        </w:tc>
        <w:tc>
          <w:tcPr>
            <w:tcW w:w="8190" w:type="dxa"/>
            <w:vAlign w:val="center"/>
          </w:tcPr>
          <w:p>
            <w:pPr>
              <w:pStyle w:val="13"/>
              <w:snapToGrid w:val="0"/>
              <w:spacing w:line="380" w:lineRule="exact"/>
              <w:ind w:hanging="5"/>
              <w:rPr>
                <w:rFonts w:hAnsi="宋体" w:cs="宋体"/>
                <w:color w:val="000000"/>
                <w:sz w:val="24"/>
                <w:szCs w:val="24"/>
              </w:rPr>
            </w:pPr>
            <w:r>
              <w:rPr>
                <w:rFonts w:hint="eastAsia" w:hAnsi="宋体" w:cs="宋体"/>
                <w:color w:val="000000"/>
                <w:sz w:val="24"/>
                <w:szCs w:val="24"/>
              </w:rPr>
              <w:t>1、响应文件递交截止时间：</w:t>
            </w:r>
            <w:r>
              <w:rPr>
                <w:rFonts w:hint="eastAsia" w:hAnsi="宋体" w:cs="宋体"/>
                <w:color w:val="000000"/>
                <w:sz w:val="24"/>
                <w:lang w:eastAsia="zh-CN"/>
              </w:rPr>
              <w:t>2022年11月8日</w:t>
            </w:r>
            <w:r>
              <w:rPr>
                <w:rFonts w:hint="eastAsia" w:hAnsi="宋体" w:cs="宋体"/>
                <w:color w:val="000000"/>
                <w:sz w:val="24"/>
                <w:szCs w:val="24"/>
              </w:rPr>
              <w:t>09时00分</w:t>
            </w:r>
          </w:p>
          <w:p>
            <w:pPr>
              <w:snapToGrid w:val="0"/>
              <w:spacing w:line="380" w:lineRule="exact"/>
              <w:ind w:left="360" w:hanging="360" w:hangingChars="150"/>
              <w:rPr>
                <w:rFonts w:ascii="宋体" w:hAnsi="宋体" w:cs="宋体"/>
                <w:sz w:val="24"/>
              </w:rPr>
            </w:pPr>
            <w:r>
              <w:rPr>
                <w:rFonts w:hint="eastAsia"/>
                <w:sz w:val="24"/>
              </w:rPr>
              <w:t>2、响应文件递交地点：</w:t>
            </w:r>
            <w:r>
              <w:rPr>
                <w:sz w:val="24"/>
              </w:rPr>
              <w:t>政府采购云平台（https://www.zcygov.cn）在线谈判。（本项目不要求供应商到达开标现场，但供应商应派法定代表人或委托代理人准时在线出席电子开评标会议，随时关注开评标进度，如在开评标过</w:t>
            </w:r>
            <w:r>
              <w:rPr>
                <w:rFonts w:ascii="宋体" w:hAnsi="宋体" w:cs="宋体"/>
                <w:sz w:val="24"/>
              </w:rPr>
              <w:t>程中有电子询标，应在规定的时间内对电子询标函进行澄清回复）。</w:t>
            </w:r>
          </w:p>
          <w:p>
            <w:pPr>
              <w:pStyle w:val="13"/>
              <w:snapToGrid w:val="0"/>
              <w:spacing w:line="380" w:lineRule="exact"/>
              <w:rPr>
                <w:rFonts w:hAnsi="宋体" w:cs="宋体"/>
                <w:color w:val="000000"/>
                <w:sz w:val="24"/>
                <w:szCs w:val="24"/>
              </w:rPr>
            </w:pPr>
            <w:r>
              <w:rPr>
                <w:rFonts w:hint="eastAsia" w:hAnsi="宋体" w:cs="宋体"/>
                <w:sz w:val="24"/>
              </w:rPr>
              <w:t>3、电子响应文件解密时间：截标时间后30分钟内，供应商必须在此时间段内登录政采云平台，用“项目采购-开标评标”功能完成电子响应文件的解密。若供应商在规定时间内未按时解密的，视为响应文件撤回。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vAlign w:val="center"/>
          </w:tcPr>
          <w:p>
            <w:pPr>
              <w:rPr>
                <w:rFonts w:ascii="宋体" w:hAnsi="宋体" w:cs="宋体"/>
                <w:color w:val="000000"/>
                <w:sz w:val="24"/>
              </w:rPr>
            </w:pPr>
            <w:r>
              <w:rPr>
                <w:rFonts w:hint="eastAsia" w:ascii="宋体" w:hAnsi="宋体" w:cs="宋体"/>
                <w:color w:val="000000"/>
                <w:sz w:val="24"/>
              </w:rPr>
              <w:t>11</w:t>
            </w:r>
          </w:p>
        </w:tc>
        <w:tc>
          <w:tcPr>
            <w:tcW w:w="682" w:type="dxa"/>
            <w:vAlign w:val="center"/>
          </w:tcPr>
          <w:p>
            <w:pPr>
              <w:snapToGrid w:val="0"/>
              <w:jc w:val="center"/>
              <w:rPr>
                <w:rFonts w:ascii="宋体" w:hAnsi="宋体" w:cs="宋体"/>
                <w:color w:val="000000"/>
                <w:sz w:val="24"/>
              </w:rPr>
            </w:pPr>
            <w:r>
              <w:rPr>
                <w:rFonts w:hint="eastAsia" w:ascii="宋体" w:hAnsi="宋体" w:cs="宋体"/>
                <w:color w:val="000000"/>
                <w:sz w:val="24"/>
              </w:rPr>
              <w:t>19.4</w:t>
            </w:r>
          </w:p>
        </w:tc>
        <w:tc>
          <w:tcPr>
            <w:tcW w:w="8190" w:type="dxa"/>
            <w:vAlign w:val="center"/>
          </w:tcPr>
          <w:p>
            <w:pPr>
              <w:snapToGrid w:val="0"/>
              <w:spacing w:line="380" w:lineRule="exact"/>
              <w:ind w:left="360" w:hanging="360" w:hangingChars="150"/>
              <w:rPr>
                <w:rFonts w:ascii="宋体" w:hAnsi="宋体" w:cs="宋体"/>
                <w:color w:val="000000"/>
                <w:sz w:val="24"/>
              </w:rPr>
            </w:pPr>
            <w:r>
              <w:rPr>
                <w:rFonts w:hint="eastAsia" w:ascii="宋体" w:hAnsi="宋体" w:cs="宋体"/>
                <w:color w:val="000000"/>
                <w:sz w:val="24"/>
              </w:rPr>
              <w:t>1、谈判时间：</w:t>
            </w:r>
            <w:r>
              <w:rPr>
                <w:rFonts w:hint="eastAsia" w:ascii="宋体" w:hAnsi="宋体" w:cs="宋体"/>
                <w:color w:val="000000"/>
                <w:sz w:val="24"/>
                <w:lang w:eastAsia="zh-CN"/>
              </w:rPr>
              <w:t>2022年11月8日</w:t>
            </w:r>
            <w:r>
              <w:rPr>
                <w:rFonts w:hint="eastAsia" w:hAnsi="宋体" w:cs="宋体"/>
                <w:color w:val="000000"/>
                <w:sz w:val="24"/>
              </w:rPr>
              <w:t>09时00分</w:t>
            </w:r>
            <w:r>
              <w:rPr>
                <w:rFonts w:hint="eastAsia" w:ascii="宋体" w:hAnsi="宋体" w:cs="宋体"/>
                <w:color w:val="000000"/>
                <w:kern w:val="0"/>
                <w:sz w:val="24"/>
              </w:rPr>
              <w:t>截标后</w:t>
            </w:r>
          </w:p>
          <w:p>
            <w:pPr>
              <w:snapToGrid w:val="0"/>
              <w:spacing w:line="380" w:lineRule="exact"/>
              <w:ind w:left="360" w:hanging="360" w:hangingChars="150"/>
              <w:rPr>
                <w:rFonts w:ascii="宋体" w:hAnsi="宋体" w:cs="宋体"/>
                <w:color w:val="000000"/>
                <w:sz w:val="24"/>
              </w:rPr>
            </w:pPr>
            <w:r>
              <w:rPr>
                <w:rFonts w:hint="eastAsia" w:ascii="宋体" w:hAnsi="宋体" w:cs="宋体"/>
                <w:color w:val="000000"/>
                <w:sz w:val="24"/>
              </w:rPr>
              <w:t>2、谈判地点：</w:t>
            </w:r>
            <w:r>
              <w:rPr>
                <w:rFonts w:hint="eastAsia"/>
                <w:color w:val="000000"/>
                <w:sz w:val="24"/>
              </w:rPr>
              <w:t>在“政采云”平台电子开标大厅开标。</w:t>
            </w:r>
          </w:p>
          <w:p>
            <w:pPr>
              <w:snapToGrid w:val="0"/>
              <w:spacing w:line="380" w:lineRule="exact"/>
              <w:ind w:left="360" w:hanging="360" w:hangingChars="150"/>
              <w:rPr>
                <w:rFonts w:ascii="宋体" w:hAnsi="宋体" w:cs="宋体"/>
                <w:color w:val="000000"/>
                <w:kern w:val="0"/>
                <w:sz w:val="24"/>
              </w:rPr>
            </w:pPr>
            <w:r>
              <w:rPr>
                <w:rFonts w:hint="eastAsia" w:ascii="宋体" w:hAnsi="宋体" w:cs="宋体"/>
                <w:color w:val="000000"/>
                <w:sz w:val="24"/>
              </w:rPr>
              <w:t>3、</w:t>
            </w:r>
            <w:r>
              <w:rPr>
                <w:rFonts w:hint="eastAsia" w:ascii="宋体" w:hAnsi="宋体" w:cs="宋体"/>
                <w:color w:val="000000"/>
                <w:kern w:val="0"/>
                <w:sz w:val="24"/>
              </w:rPr>
              <w:t>本项目不要求供应商到达开标现场，但供应商应派法定代表人或委托代理人准时在线出席电子开评标会议，随时关注开评标进度，如在开评标过程中有电子询标，应在规定的时间内对电子询标函进行澄清回复）。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36" w:type="dxa"/>
            <w:vAlign w:val="center"/>
          </w:tcPr>
          <w:p>
            <w:pPr>
              <w:snapToGrid w:val="0"/>
              <w:jc w:val="center"/>
              <w:rPr>
                <w:rFonts w:ascii="宋体" w:hAnsi="宋体" w:cs="宋体"/>
                <w:color w:val="000000"/>
                <w:sz w:val="24"/>
              </w:rPr>
            </w:pPr>
            <w:r>
              <w:rPr>
                <w:rFonts w:hint="eastAsia" w:ascii="宋体" w:hAnsi="宋体" w:cs="宋体"/>
                <w:color w:val="000000"/>
                <w:sz w:val="24"/>
              </w:rPr>
              <w:t>12</w:t>
            </w:r>
          </w:p>
        </w:tc>
        <w:tc>
          <w:tcPr>
            <w:tcW w:w="682" w:type="dxa"/>
            <w:vAlign w:val="center"/>
          </w:tcPr>
          <w:p>
            <w:pPr>
              <w:pStyle w:val="13"/>
              <w:snapToGrid w:val="0"/>
              <w:ind w:left="1186" w:hanging="1185" w:hangingChars="494"/>
              <w:jc w:val="center"/>
              <w:rPr>
                <w:rFonts w:hAnsi="宋体" w:cs="宋体"/>
                <w:color w:val="000000"/>
                <w:sz w:val="24"/>
                <w:szCs w:val="24"/>
              </w:rPr>
            </w:pPr>
            <w:r>
              <w:rPr>
                <w:rFonts w:hint="eastAsia" w:hAnsi="宋体" w:cs="宋体"/>
                <w:color w:val="000000"/>
                <w:sz w:val="24"/>
                <w:szCs w:val="24"/>
              </w:rPr>
              <w:t>26</w:t>
            </w:r>
          </w:p>
        </w:tc>
        <w:tc>
          <w:tcPr>
            <w:tcW w:w="8190" w:type="dxa"/>
            <w:vAlign w:val="center"/>
          </w:tcPr>
          <w:p>
            <w:pPr>
              <w:pStyle w:val="13"/>
              <w:snapToGrid w:val="0"/>
              <w:spacing w:line="380" w:lineRule="exact"/>
              <w:rPr>
                <w:rFonts w:hAnsi="宋体" w:cs="宋体"/>
                <w:bCs/>
                <w:color w:val="000000"/>
                <w:sz w:val="24"/>
                <w:szCs w:val="24"/>
              </w:rPr>
            </w:pPr>
            <w:r>
              <w:rPr>
                <w:rFonts w:hint="eastAsia" w:hAnsi="宋体" w:cs="宋体"/>
                <w:bCs/>
                <w:color w:val="000000"/>
                <w:sz w:val="24"/>
                <w:szCs w:val="24"/>
              </w:rPr>
              <w:t>履约保证金递交及退还：</w:t>
            </w:r>
          </w:p>
          <w:p>
            <w:pPr>
              <w:numPr>
                <w:ilvl w:val="0"/>
                <w:numId w:val="2"/>
              </w:numPr>
              <w:spacing w:line="312" w:lineRule="auto"/>
              <w:jc w:val="left"/>
              <w:rPr>
                <w:rFonts w:hAnsi="宋体" w:cs="宋体"/>
                <w:bCs/>
                <w:color w:val="000000"/>
                <w:sz w:val="24"/>
              </w:rPr>
            </w:pPr>
            <w:r>
              <w:rPr>
                <w:rFonts w:hint="eastAsia" w:hAnsi="宋体" w:cs="宋体"/>
                <w:bCs/>
                <w:color w:val="000000"/>
                <w:sz w:val="24"/>
              </w:rPr>
              <w:t>递交</w:t>
            </w:r>
          </w:p>
          <w:p>
            <w:pPr>
              <w:spacing w:line="312" w:lineRule="auto"/>
              <w:jc w:val="left"/>
              <w:rPr>
                <w:rFonts w:ascii="宋体" w:hAnsi="宋体" w:cs="Arial"/>
                <w:color w:val="000000"/>
                <w:kern w:val="0"/>
                <w:sz w:val="24"/>
              </w:rPr>
            </w:pPr>
            <w:r>
              <w:rPr>
                <w:rFonts w:ascii="宋体" w:hAnsi="宋体" w:cs="Arial"/>
                <w:color w:val="000000"/>
                <w:kern w:val="0"/>
                <w:sz w:val="24"/>
              </w:rPr>
              <w:t>履约保证金的形式：</w:t>
            </w:r>
            <w:r>
              <w:rPr>
                <w:rFonts w:hint="eastAsia" w:ascii="宋体" w:hAnsi="宋体" w:cs="Arial"/>
                <w:color w:val="000000"/>
                <w:kern w:val="0"/>
                <w:sz w:val="24"/>
              </w:rPr>
              <w:t>电汇、转账、</w:t>
            </w:r>
            <w:r>
              <w:rPr>
                <w:rFonts w:ascii="宋体" w:hAnsi="宋体" w:cs="Arial"/>
                <w:color w:val="000000"/>
                <w:kern w:val="0"/>
                <w:sz w:val="24"/>
              </w:rPr>
              <w:t>银行保函或保证保险等形式。</w:t>
            </w:r>
          </w:p>
          <w:p>
            <w:pPr>
              <w:spacing w:line="312" w:lineRule="auto"/>
              <w:jc w:val="left"/>
              <w:rPr>
                <w:rFonts w:ascii="宋体" w:hAnsi="宋体" w:cs="Arial"/>
                <w:kern w:val="0"/>
                <w:sz w:val="24"/>
              </w:rPr>
            </w:pPr>
            <w:r>
              <w:rPr>
                <w:rFonts w:ascii="宋体" w:hAnsi="宋体" w:cs="Arial"/>
                <w:kern w:val="0"/>
                <w:sz w:val="24"/>
              </w:rPr>
              <w:t>履约保证金的金额：成交金额的</w:t>
            </w:r>
            <w:r>
              <w:rPr>
                <w:rFonts w:hint="eastAsia" w:ascii="宋体" w:hAnsi="宋体" w:cs="Arial"/>
                <w:kern w:val="0"/>
                <w:sz w:val="24"/>
              </w:rPr>
              <w:t>2</w:t>
            </w:r>
            <w:r>
              <w:rPr>
                <w:rFonts w:ascii="宋体" w:hAnsi="宋体" w:cs="Arial"/>
                <w:kern w:val="0"/>
                <w:sz w:val="24"/>
              </w:rPr>
              <w:t>%。</w:t>
            </w:r>
          </w:p>
          <w:p>
            <w:pPr>
              <w:spacing w:line="312" w:lineRule="auto"/>
              <w:jc w:val="left"/>
              <w:rPr>
                <w:rFonts w:ascii="宋体" w:hAnsi="宋体" w:cs="Arial"/>
                <w:kern w:val="0"/>
                <w:sz w:val="24"/>
              </w:rPr>
            </w:pPr>
            <w:r>
              <w:rPr>
                <w:rFonts w:ascii="宋体" w:hAnsi="宋体" w:cs="Arial"/>
                <w:kern w:val="0"/>
                <w:sz w:val="24"/>
              </w:rPr>
              <w:t>成交供应商</w:t>
            </w:r>
            <w:r>
              <w:rPr>
                <w:rFonts w:hint="eastAsia" w:ascii="宋体" w:hAnsi="宋体" w:cs="Arial"/>
                <w:kern w:val="0"/>
                <w:sz w:val="24"/>
              </w:rPr>
              <w:t>须在采购合同签订并生效后5个工作日内，</w:t>
            </w:r>
            <w:r>
              <w:rPr>
                <w:rFonts w:ascii="宋体" w:hAnsi="宋体" w:cs="Arial"/>
                <w:kern w:val="0"/>
                <w:sz w:val="24"/>
              </w:rPr>
              <w:t>将履约保证金足额提交至以下</w:t>
            </w:r>
            <w:r>
              <w:rPr>
                <w:rFonts w:hint="eastAsia" w:ascii="宋体" w:hAnsi="宋体" w:cs="Arial"/>
                <w:kern w:val="0"/>
                <w:sz w:val="24"/>
              </w:rPr>
              <w:t>账户</w:t>
            </w:r>
            <w:r>
              <w:rPr>
                <w:rFonts w:ascii="宋体" w:hAnsi="宋体" w:cs="Arial"/>
                <w:kern w:val="0"/>
                <w:sz w:val="24"/>
              </w:rPr>
              <w:t>，否则采购人可以取消其成交资格。</w:t>
            </w:r>
            <w:r>
              <w:rPr>
                <w:rFonts w:hint="eastAsia" w:ascii="宋体" w:hAnsi="宋体" w:cs="Arial"/>
                <w:kern w:val="0"/>
                <w:sz w:val="24"/>
              </w:rPr>
              <w:t>履约保证金在全部货物均验收合格后15个工作日内无息退还。</w:t>
            </w:r>
          </w:p>
          <w:p>
            <w:pPr>
              <w:spacing w:line="312" w:lineRule="auto"/>
              <w:jc w:val="left"/>
              <w:rPr>
                <w:rFonts w:ascii="宋体" w:hAnsi="宋体" w:cs="Arial"/>
                <w:kern w:val="0"/>
                <w:sz w:val="24"/>
              </w:rPr>
            </w:pPr>
            <w:r>
              <w:rPr>
                <w:rFonts w:ascii="宋体" w:hAnsi="宋体" w:cs="Arial"/>
                <w:kern w:val="0"/>
                <w:sz w:val="24"/>
              </w:rPr>
              <w:t>开户名称：</w:t>
            </w:r>
            <w:r>
              <w:rPr>
                <w:rFonts w:hint="eastAsia" w:ascii="宋体" w:hAnsi="宋体" w:cs="Arial"/>
                <w:kern w:val="0"/>
                <w:sz w:val="24"/>
              </w:rPr>
              <w:t>梧州职业学院</w:t>
            </w:r>
          </w:p>
          <w:p>
            <w:pPr>
              <w:spacing w:line="312" w:lineRule="auto"/>
              <w:jc w:val="left"/>
              <w:rPr>
                <w:rFonts w:ascii="宋体" w:hAnsi="宋体" w:cs="Arial"/>
                <w:kern w:val="0"/>
                <w:sz w:val="24"/>
              </w:rPr>
            </w:pPr>
            <w:r>
              <w:rPr>
                <w:rFonts w:ascii="宋体" w:hAnsi="宋体" w:cs="Arial"/>
                <w:kern w:val="0"/>
                <w:sz w:val="24"/>
              </w:rPr>
              <w:t>开户银行：</w:t>
            </w:r>
            <w:r>
              <w:rPr>
                <w:rFonts w:hint="eastAsia"/>
                <w:color w:val="000000"/>
                <w:sz w:val="24"/>
              </w:rPr>
              <w:t>农行梧州灏景支行</w:t>
            </w:r>
          </w:p>
          <w:p>
            <w:pPr>
              <w:tabs>
                <w:tab w:val="left" w:pos="6106"/>
              </w:tabs>
              <w:spacing w:line="312" w:lineRule="auto"/>
              <w:jc w:val="left"/>
              <w:rPr>
                <w:rFonts w:ascii="宋体" w:hAnsi="宋体" w:cs="Arial"/>
                <w:kern w:val="0"/>
                <w:sz w:val="24"/>
              </w:rPr>
            </w:pPr>
            <w:r>
              <w:rPr>
                <w:rFonts w:ascii="宋体" w:hAnsi="宋体" w:cs="Arial"/>
                <w:kern w:val="0"/>
                <w:sz w:val="24"/>
              </w:rPr>
              <w:t>银行账号：</w:t>
            </w:r>
            <w:r>
              <w:rPr>
                <w:rFonts w:hint="eastAsia" w:ascii="宋体" w:hAnsi="宋体" w:cs="Arial"/>
                <w:kern w:val="0"/>
                <w:sz w:val="24"/>
              </w:rPr>
              <w:t>20312801040005880</w:t>
            </w:r>
          </w:p>
          <w:p>
            <w:pPr>
              <w:pStyle w:val="57"/>
              <w:snapToGrid w:val="0"/>
              <w:spacing w:line="380" w:lineRule="exact"/>
              <w:ind w:left="29" w:leftChars="14" w:firstLine="480" w:firstLineChars="200"/>
              <w:rPr>
                <w:rFonts w:hAnsi="宋体" w:cs="宋体"/>
                <w:color w:val="000000"/>
                <w:sz w:val="24"/>
                <w:szCs w:val="24"/>
                <w:highlight w:val="cyan"/>
              </w:rPr>
            </w:pPr>
            <w:r>
              <w:rPr>
                <w:rFonts w:hint="eastAsia" w:hAnsi="宋体" w:cs="Arial"/>
                <w:sz w:val="24"/>
                <w:szCs w:val="24"/>
              </w:rPr>
              <w:t>以上账户信息如若未提供，则由采购人及成交供应商在合同签订前双方自行约定。</w:t>
            </w:r>
          </w:p>
          <w:p>
            <w:pPr>
              <w:pStyle w:val="57"/>
              <w:snapToGrid w:val="0"/>
              <w:spacing w:line="380" w:lineRule="exact"/>
              <w:ind w:left="360" w:hanging="360" w:hangingChars="150"/>
              <w:rPr>
                <w:rFonts w:hAnsi="宋体" w:cs="宋体"/>
                <w:bCs/>
                <w:color w:val="000000"/>
                <w:sz w:val="24"/>
                <w:szCs w:val="24"/>
              </w:rPr>
            </w:pPr>
            <w:r>
              <w:rPr>
                <w:rFonts w:hint="eastAsia" w:hAnsi="宋体" w:cs="宋体"/>
                <w:color w:val="000000"/>
                <w:sz w:val="24"/>
                <w:szCs w:val="24"/>
              </w:rPr>
              <w:t>2、退还：自项目验收合格之日起15个工作日内，成交供应商按第七章附件“政府采购项目履约保证金退付意见书”的要求至采购人或采购代理机构办理退还履约保证金手续。采购人或采购代理机构将在收到退还履约保证金申请后15个工作日内无息原额退还，因采购人或采购代理机构原因导致无法及时退还时，每逾期退还一天按履约保证金万分之一支付违约金给成交供应商，但因成交供应商自身原因导致无法及时退还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536" w:type="dxa"/>
            <w:vAlign w:val="center"/>
          </w:tcPr>
          <w:p>
            <w:pPr>
              <w:snapToGrid w:val="0"/>
              <w:jc w:val="center"/>
              <w:rPr>
                <w:rFonts w:ascii="宋体" w:hAnsi="宋体" w:cs="宋体"/>
                <w:color w:val="000000"/>
                <w:sz w:val="24"/>
              </w:rPr>
            </w:pPr>
            <w:r>
              <w:rPr>
                <w:rFonts w:hint="eastAsia" w:ascii="宋体" w:hAnsi="宋体" w:cs="宋体"/>
                <w:color w:val="000000"/>
                <w:sz w:val="24"/>
              </w:rPr>
              <w:t>13</w:t>
            </w:r>
          </w:p>
        </w:tc>
        <w:tc>
          <w:tcPr>
            <w:tcW w:w="682" w:type="dxa"/>
            <w:vAlign w:val="center"/>
          </w:tcPr>
          <w:p>
            <w:pPr>
              <w:snapToGrid w:val="0"/>
              <w:jc w:val="center"/>
              <w:rPr>
                <w:rFonts w:ascii="宋体" w:hAnsi="宋体" w:cs="宋体"/>
                <w:color w:val="000000"/>
                <w:sz w:val="24"/>
              </w:rPr>
            </w:pPr>
            <w:r>
              <w:rPr>
                <w:rFonts w:hint="eastAsia" w:ascii="宋体" w:hAnsi="宋体" w:cs="宋体"/>
                <w:color w:val="000000"/>
                <w:sz w:val="24"/>
              </w:rPr>
              <w:t>27</w:t>
            </w:r>
          </w:p>
        </w:tc>
        <w:tc>
          <w:tcPr>
            <w:tcW w:w="8190" w:type="dxa"/>
            <w:vAlign w:val="center"/>
          </w:tcPr>
          <w:p>
            <w:pPr>
              <w:pStyle w:val="57"/>
              <w:snapToGrid w:val="0"/>
              <w:spacing w:line="380" w:lineRule="exact"/>
              <w:ind w:left="9" w:hanging="9"/>
              <w:rPr>
                <w:rFonts w:hAnsi="宋体" w:cs="宋体"/>
                <w:color w:val="000000"/>
                <w:sz w:val="24"/>
                <w:szCs w:val="24"/>
              </w:rPr>
            </w:pPr>
            <w:r>
              <w:rPr>
                <w:rFonts w:hint="eastAsia" w:hAnsi="宋体" w:cs="宋体"/>
                <w:color w:val="000000"/>
                <w:sz w:val="24"/>
                <w:szCs w:val="24"/>
              </w:rPr>
              <w:t>签订合同：自成交通知书发出之日起十五日内凭成交通知书与采购人签订政府采购合同，延期自误。</w:t>
            </w:r>
          </w:p>
          <w:p>
            <w:pPr>
              <w:pStyle w:val="57"/>
              <w:snapToGrid w:val="0"/>
              <w:spacing w:line="380" w:lineRule="exact"/>
              <w:ind w:left="7" w:hanging="7"/>
              <w:rPr>
                <w:rFonts w:hAnsi="宋体" w:cs="宋体"/>
                <w:color w:val="000000"/>
                <w:sz w:val="24"/>
                <w:szCs w:val="24"/>
              </w:rPr>
            </w:pPr>
            <w:r>
              <w:rPr>
                <w:rFonts w:hint="eastAsia" w:hAnsi="宋体" w:cs="宋体"/>
                <w:color w:val="000000"/>
                <w:sz w:val="24"/>
                <w:szCs w:val="24"/>
              </w:rPr>
              <w:t>注：采购合同必须与本谈判文件中的合同书格式(包括内容和结构)相一致，不能改变主要条款。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536" w:type="dxa"/>
            <w:vAlign w:val="center"/>
          </w:tcPr>
          <w:p>
            <w:pPr>
              <w:snapToGrid w:val="0"/>
              <w:jc w:val="center"/>
              <w:rPr>
                <w:rFonts w:ascii="宋体" w:hAnsi="宋体" w:cs="宋体"/>
                <w:color w:val="000000"/>
                <w:sz w:val="24"/>
              </w:rPr>
            </w:pPr>
            <w:r>
              <w:rPr>
                <w:rFonts w:hint="eastAsia" w:ascii="宋体" w:hAnsi="宋体" w:cs="宋体"/>
                <w:color w:val="000000"/>
                <w:sz w:val="24"/>
              </w:rPr>
              <w:t>14</w:t>
            </w:r>
          </w:p>
        </w:tc>
        <w:tc>
          <w:tcPr>
            <w:tcW w:w="682" w:type="dxa"/>
            <w:vAlign w:val="center"/>
          </w:tcPr>
          <w:p>
            <w:pPr>
              <w:snapToGrid w:val="0"/>
              <w:jc w:val="center"/>
              <w:rPr>
                <w:rFonts w:ascii="宋体" w:hAnsi="宋体" w:cs="宋体"/>
                <w:color w:val="000000"/>
                <w:sz w:val="24"/>
              </w:rPr>
            </w:pPr>
            <w:r>
              <w:rPr>
                <w:rFonts w:hint="eastAsia" w:ascii="宋体" w:hAnsi="宋体" w:cs="宋体"/>
                <w:color w:val="000000"/>
                <w:sz w:val="24"/>
              </w:rPr>
              <w:t>28</w:t>
            </w:r>
          </w:p>
        </w:tc>
        <w:tc>
          <w:tcPr>
            <w:tcW w:w="8190" w:type="dxa"/>
            <w:vAlign w:val="center"/>
          </w:tcPr>
          <w:p>
            <w:pPr>
              <w:pStyle w:val="57"/>
              <w:snapToGrid w:val="0"/>
              <w:spacing w:line="380" w:lineRule="exact"/>
              <w:ind w:left="306" w:hanging="306"/>
              <w:rPr>
                <w:rFonts w:hAnsi="宋体" w:cs="宋体"/>
                <w:color w:val="000000"/>
                <w:sz w:val="24"/>
                <w:szCs w:val="24"/>
              </w:rPr>
            </w:pPr>
            <w:r>
              <w:rPr>
                <w:rFonts w:hint="eastAsia" w:hAnsi="宋体" w:cs="宋体"/>
                <w:color w:val="000000"/>
                <w:sz w:val="24"/>
                <w:szCs w:val="24"/>
              </w:rPr>
              <w:t>1、</w:t>
            </w:r>
            <w:r>
              <w:rPr>
                <w:sz w:val="24"/>
                <w:szCs w:val="32"/>
              </w:rPr>
              <w:t>采购</w:t>
            </w:r>
            <w:r>
              <w:rPr>
                <w:sz w:val="24"/>
              </w:rPr>
              <w:t>代理服务费将由招标代理机构按国家发展改革委《关于进一步放开建设项目专业服务价格的通知》发改价格〔2015〕299号文“</w:t>
            </w:r>
            <w:r>
              <w:rPr>
                <w:rFonts w:hint="eastAsia"/>
                <w:sz w:val="24"/>
              </w:rPr>
              <w:t>货物</w:t>
            </w:r>
            <w:r>
              <w:rPr>
                <w:sz w:val="24"/>
              </w:rPr>
              <w:t>类”执行。领取成交通知书前，</w:t>
            </w:r>
            <w:r>
              <w:rPr>
                <w:rFonts w:hint="eastAsia" w:hAnsi="宋体" w:cs="宋体"/>
                <w:sz w:val="24"/>
                <w:szCs w:val="24"/>
              </w:rPr>
              <w:t>成交人向广西桂宝工程监理咨询有限公司一次性付清代理服务费及开标费。</w:t>
            </w:r>
          </w:p>
          <w:p>
            <w:pPr>
              <w:pStyle w:val="57"/>
              <w:snapToGrid w:val="0"/>
              <w:spacing w:line="380" w:lineRule="exact"/>
              <w:ind w:left="306" w:hanging="306"/>
              <w:rPr>
                <w:rFonts w:hAnsi="宋体" w:cs="宋体"/>
                <w:color w:val="000000"/>
                <w:sz w:val="24"/>
                <w:szCs w:val="24"/>
              </w:rPr>
            </w:pPr>
            <w:r>
              <w:rPr>
                <w:rFonts w:hint="eastAsia" w:hAnsi="宋体" w:cs="宋体"/>
                <w:color w:val="000000"/>
                <w:sz w:val="24"/>
                <w:szCs w:val="24"/>
              </w:rPr>
              <w:t>2、上述款项，请现金现存或转账电汇转入下列银行帐户。</w:t>
            </w:r>
          </w:p>
          <w:p>
            <w:pPr>
              <w:pStyle w:val="57"/>
              <w:snapToGrid w:val="0"/>
              <w:spacing w:line="380" w:lineRule="exact"/>
              <w:ind w:left="306" w:hanging="306"/>
              <w:rPr>
                <w:rFonts w:hAnsi="宋体" w:cs="宋体"/>
                <w:color w:val="000000"/>
                <w:sz w:val="24"/>
                <w:szCs w:val="24"/>
              </w:rPr>
            </w:pPr>
            <w:r>
              <w:rPr>
                <w:rFonts w:hint="eastAsia" w:hAnsi="宋体" w:cs="宋体"/>
                <w:color w:val="000000"/>
                <w:sz w:val="24"/>
                <w:szCs w:val="24"/>
              </w:rPr>
              <w:t>开户名称：广西桂宝工程监理咨询有限公司桂东分公司</w:t>
            </w:r>
          </w:p>
          <w:p>
            <w:pPr>
              <w:pStyle w:val="57"/>
              <w:snapToGrid w:val="0"/>
              <w:spacing w:line="380" w:lineRule="exact"/>
              <w:ind w:left="306" w:hanging="306"/>
              <w:rPr>
                <w:rFonts w:hAnsi="宋体" w:cs="宋体"/>
                <w:color w:val="000000"/>
                <w:sz w:val="24"/>
                <w:szCs w:val="24"/>
              </w:rPr>
            </w:pPr>
            <w:r>
              <w:rPr>
                <w:rFonts w:hint="eastAsia" w:hAnsi="宋体" w:cs="宋体"/>
                <w:color w:val="000000"/>
                <w:sz w:val="24"/>
                <w:szCs w:val="24"/>
              </w:rPr>
              <w:t>开户银行：中国邮政储蓄银行股份有限公司广西壮族自治区梧州市分行</w:t>
            </w:r>
          </w:p>
          <w:p>
            <w:pPr>
              <w:pStyle w:val="57"/>
              <w:snapToGrid w:val="0"/>
              <w:spacing w:line="380" w:lineRule="exact"/>
              <w:ind w:left="306" w:hanging="306"/>
              <w:rPr>
                <w:rFonts w:hAnsi="宋体" w:cs="宋体"/>
                <w:color w:val="000000"/>
                <w:sz w:val="24"/>
                <w:szCs w:val="24"/>
              </w:rPr>
            </w:pPr>
            <w:r>
              <w:rPr>
                <w:rFonts w:hint="eastAsia" w:hAnsi="宋体" w:cs="宋体"/>
                <w:color w:val="000000"/>
                <w:sz w:val="24"/>
                <w:szCs w:val="24"/>
              </w:rPr>
              <w:t>银行账号：945003010049238896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36" w:type="dxa"/>
            <w:vAlign w:val="center"/>
          </w:tcPr>
          <w:p>
            <w:pPr>
              <w:snapToGrid w:val="0"/>
              <w:jc w:val="center"/>
              <w:rPr>
                <w:rFonts w:ascii="宋体" w:hAnsi="宋体" w:cs="宋体"/>
                <w:color w:val="000000"/>
                <w:sz w:val="24"/>
              </w:rPr>
            </w:pPr>
            <w:r>
              <w:rPr>
                <w:rFonts w:hint="eastAsia" w:ascii="宋体" w:hAnsi="宋体" w:cs="宋体"/>
                <w:color w:val="000000"/>
                <w:sz w:val="24"/>
              </w:rPr>
              <w:t>15</w:t>
            </w:r>
          </w:p>
        </w:tc>
        <w:tc>
          <w:tcPr>
            <w:tcW w:w="682" w:type="dxa"/>
            <w:vAlign w:val="center"/>
          </w:tcPr>
          <w:p>
            <w:pPr>
              <w:snapToGrid w:val="0"/>
              <w:jc w:val="center"/>
              <w:rPr>
                <w:rFonts w:ascii="宋体" w:hAnsi="宋体" w:cs="宋体"/>
                <w:color w:val="000000"/>
                <w:sz w:val="24"/>
              </w:rPr>
            </w:pPr>
            <w:r>
              <w:rPr>
                <w:rFonts w:hint="eastAsia" w:ascii="宋体" w:hAnsi="宋体" w:cs="宋体"/>
                <w:color w:val="000000"/>
                <w:sz w:val="24"/>
              </w:rPr>
              <w:t>30.1</w:t>
            </w:r>
          </w:p>
        </w:tc>
        <w:tc>
          <w:tcPr>
            <w:tcW w:w="8190" w:type="dxa"/>
            <w:vAlign w:val="center"/>
          </w:tcPr>
          <w:p>
            <w:pPr>
              <w:pStyle w:val="57"/>
              <w:snapToGrid w:val="0"/>
              <w:spacing w:line="380" w:lineRule="exact"/>
              <w:ind w:left="306" w:hanging="306"/>
              <w:rPr>
                <w:rFonts w:hAnsi="宋体" w:cs="宋体"/>
                <w:color w:val="000000"/>
                <w:sz w:val="24"/>
                <w:szCs w:val="24"/>
              </w:rPr>
            </w:pPr>
            <w:r>
              <w:rPr>
                <w:rFonts w:hint="eastAsia" w:hAnsi="宋体" w:cs="宋体"/>
                <w:color w:val="000000"/>
                <w:sz w:val="24"/>
                <w:szCs w:val="24"/>
              </w:rPr>
              <w:t>本项目适用落实相应的政府采购政策：</w:t>
            </w:r>
          </w:p>
          <w:p>
            <w:pPr>
              <w:pStyle w:val="57"/>
              <w:snapToGrid w:val="0"/>
              <w:spacing w:line="380" w:lineRule="exact"/>
              <w:ind w:left="306" w:hanging="306"/>
              <w:rPr>
                <w:rFonts w:hAnsi="宋体" w:cs="宋体"/>
                <w:color w:val="000000"/>
                <w:sz w:val="24"/>
                <w:szCs w:val="24"/>
              </w:rPr>
            </w:pPr>
            <w:r>
              <w:rPr>
                <w:rFonts w:hint="eastAsia" w:hAnsi="宋体" w:cs="宋体"/>
                <w:color w:val="000000"/>
                <w:sz w:val="24"/>
                <w:szCs w:val="24"/>
              </w:rPr>
              <w:t>①《财政部、司法部关于政府采购支持监狱企业发展有关问题的通知》（财库〔2014〕68号）</w:t>
            </w:r>
          </w:p>
          <w:p>
            <w:pPr>
              <w:pStyle w:val="57"/>
              <w:snapToGrid w:val="0"/>
              <w:spacing w:line="380" w:lineRule="exact"/>
              <w:ind w:left="306" w:hanging="306"/>
              <w:rPr>
                <w:rFonts w:hAnsi="宋体" w:cs="宋体"/>
                <w:color w:val="000000"/>
                <w:sz w:val="24"/>
                <w:szCs w:val="24"/>
              </w:rPr>
            </w:pPr>
            <w:r>
              <w:rPr>
                <w:rFonts w:hint="eastAsia" w:hAnsi="宋体" w:cs="宋体"/>
                <w:color w:val="000000"/>
                <w:sz w:val="24"/>
                <w:szCs w:val="24"/>
              </w:rPr>
              <w:t>②《财政部、民政部、中国残疾人联合会三部门联合发布关于促进残疾人就业政府采购政策的通知》（财库〔2017〕141号）</w:t>
            </w:r>
          </w:p>
          <w:p>
            <w:pPr>
              <w:pStyle w:val="57"/>
              <w:snapToGrid w:val="0"/>
              <w:spacing w:line="380" w:lineRule="exact"/>
              <w:ind w:left="306" w:hanging="306"/>
              <w:rPr>
                <w:rFonts w:hAnsi="宋体" w:cs="宋体"/>
                <w:color w:val="000000"/>
                <w:sz w:val="24"/>
                <w:szCs w:val="24"/>
              </w:rPr>
            </w:pPr>
            <w:r>
              <w:rPr>
                <w:rFonts w:hint="eastAsia" w:hAnsi="宋体" w:cs="宋体"/>
                <w:color w:val="000000"/>
                <w:sz w:val="24"/>
                <w:szCs w:val="24"/>
              </w:rPr>
              <w:t>③《节能产品政府采购实施意见》（财库〔2004〕185号）</w:t>
            </w:r>
          </w:p>
          <w:p>
            <w:pPr>
              <w:pStyle w:val="57"/>
              <w:snapToGrid w:val="0"/>
              <w:spacing w:line="380" w:lineRule="exact"/>
              <w:ind w:left="306" w:hanging="306"/>
              <w:rPr>
                <w:rFonts w:hAnsi="宋体" w:cs="宋体"/>
                <w:color w:val="000000"/>
                <w:sz w:val="24"/>
                <w:szCs w:val="24"/>
              </w:rPr>
            </w:pPr>
            <w:r>
              <w:rPr>
                <w:rFonts w:hint="eastAsia" w:hAnsi="宋体" w:cs="宋体"/>
                <w:color w:val="000000"/>
                <w:sz w:val="24"/>
                <w:szCs w:val="24"/>
              </w:rPr>
              <w:t>④《环保总局关于环境标志产品政府采购实施的意见》（财库〔2006〕90号）</w:t>
            </w:r>
          </w:p>
          <w:p>
            <w:pPr>
              <w:pStyle w:val="57"/>
              <w:snapToGrid w:val="0"/>
              <w:spacing w:line="380" w:lineRule="exact"/>
              <w:ind w:left="306" w:hanging="306"/>
              <w:rPr>
                <w:rFonts w:hAnsi="宋体" w:cs="宋体"/>
                <w:color w:val="000000"/>
                <w:sz w:val="24"/>
                <w:szCs w:val="24"/>
              </w:rPr>
            </w:pPr>
            <w:r>
              <w:rPr>
                <w:rFonts w:hint="eastAsia" w:hAnsi="宋体" w:cs="宋体"/>
                <w:color w:val="000000"/>
                <w:sz w:val="24"/>
                <w:szCs w:val="24"/>
              </w:rPr>
              <w:t>⑤财政部 发展改革委 生态环境部 市场监管总局 关于调整优化节能产品、环境标志产品政府采购执行机制的通知（财库〔2019〕9号）</w:t>
            </w:r>
          </w:p>
          <w:p>
            <w:pPr>
              <w:pStyle w:val="57"/>
              <w:snapToGrid w:val="0"/>
              <w:spacing w:line="380" w:lineRule="exact"/>
              <w:ind w:left="306" w:hanging="306"/>
              <w:rPr>
                <w:rFonts w:hAnsi="宋体" w:cs="宋体"/>
                <w:color w:val="000000"/>
                <w:sz w:val="24"/>
                <w:szCs w:val="24"/>
              </w:rPr>
            </w:pPr>
            <w:r>
              <w:rPr>
                <w:rFonts w:hint="eastAsia" w:hAnsi="宋体" w:cs="宋体"/>
                <w:color w:val="000000"/>
                <w:sz w:val="24"/>
                <w:szCs w:val="24"/>
              </w:rPr>
              <w:t>⑥关于印发环境标志产品政府采购品目清单的通知（财库〔2019〕18号）环境标志产品政府采购品目清单</w:t>
            </w:r>
          </w:p>
          <w:p>
            <w:pPr>
              <w:pStyle w:val="57"/>
              <w:snapToGrid w:val="0"/>
              <w:spacing w:line="380" w:lineRule="exact"/>
              <w:ind w:left="306" w:hanging="306"/>
              <w:rPr>
                <w:rFonts w:hAnsi="宋体" w:cs="宋体"/>
                <w:color w:val="000000"/>
                <w:sz w:val="24"/>
                <w:szCs w:val="24"/>
              </w:rPr>
            </w:pPr>
            <w:r>
              <w:rPr>
                <w:rFonts w:hint="eastAsia" w:hAnsi="宋体" w:cs="宋体"/>
                <w:color w:val="000000"/>
                <w:sz w:val="24"/>
                <w:szCs w:val="24"/>
              </w:rPr>
              <w:t>⑦关于印发节能产品政府采购品目清单的通知（财库〔2019〕19号）节能产品政府采购品目清单</w:t>
            </w:r>
          </w:p>
          <w:p>
            <w:pPr>
              <w:pStyle w:val="57"/>
              <w:snapToGrid w:val="0"/>
              <w:spacing w:line="380" w:lineRule="exact"/>
              <w:ind w:left="306" w:hanging="306"/>
              <w:rPr>
                <w:rFonts w:hAnsi="宋体" w:cs="宋体"/>
                <w:color w:val="000000"/>
                <w:sz w:val="24"/>
                <w:szCs w:val="24"/>
              </w:rPr>
            </w:pPr>
            <w:r>
              <w:rPr>
                <w:rFonts w:hint="eastAsia" w:hAnsi="宋体" w:cs="宋体"/>
                <w:color w:val="000000"/>
                <w:sz w:val="24"/>
                <w:szCs w:val="24"/>
              </w:rPr>
              <w:t>⑧市场监管总局关于发布参与实施政府采购节能产品、环境标志产品认证机构名录的公告（2019年第16号）</w:t>
            </w:r>
          </w:p>
          <w:p>
            <w:pPr>
              <w:pStyle w:val="57"/>
              <w:snapToGrid w:val="0"/>
              <w:spacing w:line="380" w:lineRule="exact"/>
              <w:ind w:left="306" w:hanging="306"/>
              <w:rPr>
                <w:rFonts w:hAnsi="宋体" w:cs="宋体"/>
                <w:color w:val="000000"/>
                <w:sz w:val="24"/>
              </w:rPr>
            </w:pPr>
            <w:r>
              <w:rPr>
                <w:rFonts w:hint="eastAsia" w:hAnsi="宋体" w:cs="宋体"/>
                <w:color w:val="000000"/>
                <w:sz w:val="24"/>
                <w:szCs w:val="24"/>
              </w:rPr>
              <w:t>⑨关于印发《政府采购促进中小企业发展管理办法》的通知（财库〔2020〕46号）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36" w:type="dxa"/>
            <w:vAlign w:val="center"/>
          </w:tcPr>
          <w:p>
            <w:pPr>
              <w:snapToGrid w:val="0"/>
              <w:jc w:val="center"/>
              <w:rPr>
                <w:rFonts w:ascii="宋体" w:hAnsi="宋体" w:cs="宋体"/>
                <w:color w:val="000000"/>
                <w:sz w:val="24"/>
              </w:rPr>
            </w:pPr>
            <w:r>
              <w:rPr>
                <w:rFonts w:hint="eastAsia" w:ascii="宋体" w:hAnsi="宋体" w:cs="宋体"/>
                <w:color w:val="000000"/>
                <w:sz w:val="24"/>
              </w:rPr>
              <w:t>16</w:t>
            </w:r>
          </w:p>
        </w:tc>
        <w:tc>
          <w:tcPr>
            <w:tcW w:w="682" w:type="dxa"/>
            <w:vAlign w:val="center"/>
          </w:tcPr>
          <w:p>
            <w:pPr>
              <w:snapToGrid w:val="0"/>
              <w:jc w:val="center"/>
              <w:rPr>
                <w:rFonts w:ascii="宋体" w:hAnsi="宋体" w:cs="宋体"/>
                <w:color w:val="000000"/>
                <w:sz w:val="24"/>
              </w:rPr>
            </w:pPr>
            <w:r>
              <w:rPr>
                <w:rFonts w:hint="eastAsia" w:ascii="宋体" w:hAnsi="宋体" w:cs="宋体"/>
                <w:color w:val="000000"/>
                <w:sz w:val="24"/>
              </w:rPr>
              <w:t>30.2</w:t>
            </w:r>
          </w:p>
        </w:tc>
        <w:tc>
          <w:tcPr>
            <w:tcW w:w="8190" w:type="dxa"/>
            <w:vAlign w:val="center"/>
          </w:tcPr>
          <w:p>
            <w:pPr>
              <w:pStyle w:val="8"/>
              <w:snapToGrid w:val="0"/>
              <w:spacing w:line="380" w:lineRule="exact"/>
              <w:rPr>
                <w:rFonts w:ascii="宋体" w:hAnsi="宋体" w:cs="宋体"/>
                <w:b/>
                <w:bCs/>
                <w:color w:val="000000"/>
                <w:sz w:val="24"/>
              </w:rPr>
            </w:pPr>
            <w:r>
              <w:rPr>
                <w:rFonts w:hint="eastAsia" w:ascii="宋体" w:hAnsi="宋体" w:cs="宋体"/>
                <w:b/>
                <w:bCs/>
                <w:color w:val="000000"/>
                <w:sz w:val="24"/>
              </w:rPr>
              <w:t>政府采购合同备案：</w:t>
            </w:r>
          </w:p>
          <w:p>
            <w:pPr>
              <w:pStyle w:val="57"/>
              <w:snapToGrid w:val="0"/>
              <w:spacing w:line="380" w:lineRule="exact"/>
              <w:rPr>
                <w:rFonts w:hAnsi="宋体" w:cs="宋体"/>
                <w:color w:val="000000"/>
                <w:sz w:val="24"/>
                <w:szCs w:val="24"/>
              </w:rPr>
            </w:pPr>
            <w:r>
              <w:rPr>
                <w:rFonts w:hint="eastAsia" w:hAnsi="宋体" w:cs="宋体"/>
                <w:color w:val="000000"/>
                <w:sz w:val="24"/>
                <w:szCs w:val="24"/>
              </w:rPr>
              <w:t>政府采购合同自签订之日起2个工作日内，成交供应商必须将政府采购合同送本采购代理机构备案确认。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36" w:type="dxa"/>
            <w:vAlign w:val="center"/>
          </w:tcPr>
          <w:p>
            <w:pPr>
              <w:snapToGrid w:val="0"/>
              <w:jc w:val="center"/>
              <w:rPr>
                <w:rFonts w:ascii="宋体" w:hAnsi="宋体" w:cs="宋体"/>
                <w:color w:val="000000"/>
                <w:sz w:val="24"/>
              </w:rPr>
            </w:pPr>
            <w:r>
              <w:rPr>
                <w:rFonts w:hint="eastAsia" w:ascii="宋体" w:hAnsi="宋体" w:cs="宋体"/>
                <w:color w:val="000000"/>
                <w:sz w:val="24"/>
              </w:rPr>
              <w:t>17</w:t>
            </w:r>
          </w:p>
        </w:tc>
        <w:tc>
          <w:tcPr>
            <w:tcW w:w="8872" w:type="dxa"/>
            <w:gridSpan w:val="2"/>
            <w:vAlign w:val="center"/>
          </w:tcPr>
          <w:p>
            <w:pPr>
              <w:pStyle w:val="57"/>
              <w:snapToGrid w:val="0"/>
              <w:spacing w:line="380" w:lineRule="exact"/>
              <w:rPr>
                <w:rFonts w:hAnsi="宋体" w:cs="宋体"/>
                <w:color w:val="000000"/>
                <w:sz w:val="24"/>
                <w:szCs w:val="24"/>
              </w:rPr>
            </w:pPr>
            <w:r>
              <w:rPr>
                <w:rFonts w:hint="eastAsia" w:hAnsi="宋体" w:cs="宋体"/>
                <w:b/>
                <w:bCs/>
                <w:color w:val="000000"/>
                <w:sz w:val="24"/>
                <w:szCs w:val="24"/>
              </w:rPr>
              <w:t>竞标截止后，采购代理机构将对各供应商进行信用查询，作为谈判小组在响应文件初审阶段的评审依据。对在中国政府采购网(www.ccgp.gov.cn)列入“政府采购严重违法失信行为记录名单”和在信用中国网（www.creditchina.gov.cn/）列入“失信被执行人”、 “重大税收违法案件当事人名单”、 “政府采购严重违法失信名单”且在处罚期限内的供应商，视为存在不良信用记录，其竞标将被否决。</w:t>
            </w:r>
          </w:p>
        </w:tc>
      </w:tr>
    </w:tbl>
    <w:p>
      <w:pPr>
        <w:pStyle w:val="57"/>
        <w:spacing w:line="200" w:lineRule="exact"/>
        <w:rPr>
          <w:rFonts w:hAnsi="宋体" w:cs="宋体"/>
          <w:color w:val="000000"/>
        </w:rPr>
      </w:pPr>
      <w:r>
        <w:rPr>
          <w:rFonts w:hint="eastAsia" w:hAnsi="宋体" w:cs="宋体"/>
          <w:color w:val="000000"/>
        </w:rPr>
        <w:br w:type="page"/>
      </w:r>
    </w:p>
    <w:p>
      <w:pPr>
        <w:pStyle w:val="13"/>
        <w:jc w:val="center"/>
        <w:rPr>
          <w:rFonts w:hAnsi="宋体" w:cs="宋体"/>
          <w:b/>
          <w:color w:val="000000"/>
          <w:sz w:val="32"/>
        </w:rPr>
      </w:pPr>
      <w:r>
        <w:rPr>
          <w:rFonts w:hint="eastAsia" w:hAnsi="宋体" w:cs="宋体"/>
          <w:b/>
          <w:color w:val="000000"/>
          <w:sz w:val="32"/>
        </w:rPr>
        <w:t>供 应 商 须 知</w:t>
      </w:r>
    </w:p>
    <w:p>
      <w:pPr>
        <w:spacing w:line="400" w:lineRule="exact"/>
        <w:ind w:firstLine="420"/>
        <w:rPr>
          <w:rFonts w:ascii="宋体" w:hAnsi="宋体" w:cs="宋体"/>
          <w:color w:val="000000"/>
          <w:szCs w:val="21"/>
        </w:rPr>
      </w:pPr>
    </w:p>
    <w:p>
      <w:pPr>
        <w:pStyle w:val="3"/>
        <w:spacing w:line="400" w:lineRule="exact"/>
        <w:jc w:val="center"/>
        <w:rPr>
          <w:rFonts w:ascii="宋体" w:hAnsi="宋体" w:cs="宋体"/>
          <w:color w:val="000000"/>
          <w:sz w:val="24"/>
        </w:rPr>
      </w:pPr>
      <w:bookmarkStart w:id="51" w:name="_Toc517938792"/>
      <w:bookmarkStart w:id="52" w:name="_Toc185702548"/>
      <w:bookmarkStart w:id="53" w:name="_Toc230578056"/>
      <w:bookmarkStart w:id="54" w:name="_Toc207770834"/>
      <w:bookmarkStart w:id="55" w:name="_Toc206525681"/>
      <w:bookmarkStart w:id="56" w:name="_Toc239839862"/>
      <w:r>
        <w:rPr>
          <w:rFonts w:hint="eastAsia" w:ascii="宋体" w:hAnsi="宋体" w:cs="宋体"/>
          <w:color w:val="000000"/>
          <w:sz w:val="24"/>
        </w:rPr>
        <w:t>一   总  则</w:t>
      </w:r>
      <w:bookmarkEnd w:id="51"/>
      <w:bookmarkEnd w:id="52"/>
      <w:bookmarkEnd w:id="53"/>
      <w:bookmarkEnd w:id="54"/>
      <w:bookmarkEnd w:id="55"/>
      <w:bookmarkEnd w:id="56"/>
    </w:p>
    <w:p>
      <w:pPr>
        <w:pStyle w:val="4"/>
        <w:spacing w:before="0" w:after="0" w:line="400" w:lineRule="exact"/>
        <w:rPr>
          <w:rFonts w:ascii="宋体" w:hAnsi="宋体" w:eastAsia="宋体" w:cs="宋体"/>
          <w:color w:val="000000"/>
          <w:sz w:val="24"/>
          <w:szCs w:val="24"/>
        </w:rPr>
      </w:pPr>
      <w:bookmarkStart w:id="57" w:name="_Toc239839863"/>
      <w:bookmarkStart w:id="58" w:name="_Toc207770835"/>
      <w:bookmarkStart w:id="59" w:name="_Toc185702549"/>
      <w:bookmarkStart w:id="60" w:name="_Toc230578057"/>
      <w:bookmarkStart w:id="61" w:name="_Toc206525682"/>
      <w:bookmarkStart w:id="62" w:name="_Toc517938793"/>
      <w:r>
        <w:rPr>
          <w:rFonts w:hint="eastAsia" w:ascii="宋体" w:hAnsi="宋体" w:eastAsia="宋体" w:cs="宋体"/>
          <w:color w:val="000000"/>
          <w:sz w:val="24"/>
          <w:szCs w:val="24"/>
        </w:rPr>
        <w:t>1、</w:t>
      </w:r>
      <w:bookmarkEnd w:id="57"/>
      <w:bookmarkEnd w:id="58"/>
      <w:bookmarkEnd w:id="59"/>
      <w:bookmarkEnd w:id="60"/>
      <w:bookmarkEnd w:id="61"/>
      <w:r>
        <w:rPr>
          <w:rFonts w:hint="eastAsia" w:ascii="宋体" w:hAnsi="宋体" w:eastAsia="宋体" w:cs="宋体"/>
          <w:color w:val="000000"/>
          <w:sz w:val="24"/>
          <w:szCs w:val="24"/>
        </w:rPr>
        <w:t>项目基本情况、适用范围及定义</w:t>
      </w:r>
      <w:bookmarkEnd w:id="62"/>
    </w:p>
    <w:p>
      <w:pPr>
        <w:spacing w:line="400" w:lineRule="exact"/>
        <w:ind w:firstLine="420"/>
        <w:rPr>
          <w:rFonts w:ascii="宋体" w:hAnsi="宋体" w:cs="宋体"/>
          <w:color w:val="000000"/>
          <w:sz w:val="24"/>
        </w:rPr>
      </w:pPr>
      <w:bookmarkStart w:id="63" w:name="_Toc207770836"/>
      <w:bookmarkStart w:id="64" w:name="_Toc230578058"/>
      <w:bookmarkStart w:id="65" w:name="_Toc185702550"/>
      <w:bookmarkStart w:id="66" w:name="_Toc206525683"/>
      <w:bookmarkStart w:id="67" w:name="_Toc239839864"/>
      <w:r>
        <w:rPr>
          <w:rFonts w:hint="eastAsia" w:ascii="宋体" w:hAnsi="宋体" w:cs="宋体"/>
          <w:color w:val="000000"/>
          <w:sz w:val="24"/>
        </w:rPr>
        <w:t>1.1项目基本情况：见须知前附表。</w:t>
      </w:r>
    </w:p>
    <w:p>
      <w:pPr>
        <w:spacing w:line="400" w:lineRule="exact"/>
        <w:ind w:firstLine="420"/>
        <w:rPr>
          <w:rFonts w:ascii="宋体" w:hAnsi="宋体" w:cs="宋体"/>
          <w:color w:val="000000"/>
          <w:sz w:val="24"/>
        </w:rPr>
      </w:pPr>
      <w:r>
        <w:rPr>
          <w:rFonts w:hint="eastAsia" w:ascii="宋体" w:hAnsi="宋体" w:cs="宋体"/>
          <w:color w:val="000000"/>
          <w:sz w:val="24"/>
        </w:rPr>
        <w:t>1.2采购人：见须知前附表。</w:t>
      </w:r>
    </w:p>
    <w:p>
      <w:pPr>
        <w:spacing w:line="400" w:lineRule="exact"/>
        <w:ind w:firstLine="420"/>
        <w:rPr>
          <w:rFonts w:ascii="宋体" w:hAnsi="宋体" w:cs="宋体"/>
          <w:color w:val="000000"/>
          <w:sz w:val="24"/>
        </w:rPr>
      </w:pPr>
      <w:r>
        <w:rPr>
          <w:rFonts w:hint="eastAsia" w:ascii="宋体" w:hAnsi="宋体" w:cs="宋体"/>
          <w:color w:val="000000"/>
          <w:sz w:val="24"/>
        </w:rPr>
        <w:t>1.3采购代理机构：见须知前附表。</w:t>
      </w:r>
    </w:p>
    <w:p>
      <w:pPr>
        <w:spacing w:line="400" w:lineRule="exact"/>
        <w:ind w:firstLine="420"/>
        <w:rPr>
          <w:rFonts w:ascii="宋体" w:hAnsi="宋体" w:cs="宋体"/>
          <w:color w:val="000000"/>
          <w:sz w:val="24"/>
        </w:rPr>
      </w:pPr>
      <w:r>
        <w:rPr>
          <w:rFonts w:hint="eastAsia" w:ascii="宋体" w:hAnsi="宋体" w:cs="宋体"/>
          <w:color w:val="000000"/>
          <w:sz w:val="24"/>
        </w:rPr>
        <w:t>1.4监督部门：见须知前附表。</w:t>
      </w:r>
    </w:p>
    <w:p>
      <w:pPr>
        <w:spacing w:line="400" w:lineRule="exact"/>
        <w:ind w:firstLine="420"/>
        <w:rPr>
          <w:rFonts w:ascii="宋体" w:hAnsi="宋体" w:cs="宋体"/>
          <w:color w:val="000000"/>
          <w:sz w:val="24"/>
        </w:rPr>
      </w:pPr>
      <w:r>
        <w:rPr>
          <w:rFonts w:hint="eastAsia" w:ascii="宋体" w:hAnsi="宋体" w:cs="宋体"/>
          <w:color w:val="000000"/>
          <w:sz w:val="24"/>
        </w:rPr>
        <w:t>1.5适用范围：本竞争性谈判文件仅适用于本次招标中所述项目的货物、服务类政府采购项目。</w:t>
      </w:r>
    </w:p>
    <w:p>
      <w:pPr>
        <w:spacing w:line="400" w:lineRule="exact"/>
        <w:ind w:firstLine="420"/>
        <w:rPr>
          <w:rFonts w:ascii="宋体" w:hAnsi="宋体" w:cs="宋体"/>
          <w:color w:val="000000"/>
          <w:sz w:val="24"/>
        </w:rPr>
      </w:pPr>
      <w:r>
        <w:rPr>
          <w:rFonts w:hint="eastAsia" w:ascii="宋体" w:hAnsi="宋体" w:cs="宋体"/>
          <w:color w:val="000000"/>
          <w:sz w:val="24"/>
        </w:rPr>
        <w:t>1.6定义：</w:t>
      </w:r>
    </w:p>
    <w:p>
      <w:pPr>
        <w:spacing w:line="400" w:lineRule="exact"/>
        <w:ind w:firstLine="420"/>
        <w:rPr>
          <w:rFonts w:ascii="宋体" w:hAnsi="宋体" w:cs="宋体"/>
          <w:color w:val="000000"/>
          <w:sz w:val="24"/>
        </w:rPr>
      </w:pPr>
      <w:r>
        <w:rPr>
          <w:rFonts w:hint="eastAsia" w:ascii="宋体" w:hAnsi="宋体" w:cs="宋体"/>
          <w:color w:val="000000"/>
          <w:sz w:val="24"/>
        </w:rPr>
        <w:t>1.6.1“采购人”系指本次采购项目的业主方或买方。</w:t>
      </w:r>
    </w:p>
    <w:p>
      <w:pPr>
        <w:spacing w:line="400" w:lineRule="exact"/>
        <w:ind w:firstLine="420"/>
        <w:rPr>
          <w:rFonts w:ascii="宋体" w:hAnsi="宋体" w:cs="宋体"/>
          <w:color w:val="000000"/>
          <w:sz w:val="24"/>
        </w:rPr>
      </w:pPr>
      <w:r>
        <w:rPr>
          <w:rFonts w:hint="eastAsia" w:ascii="宋体" w:hAnsi="宋体" w:cs="宋体"/>
          <w:color w:val="000000"/>
          <w:sz w:val="24"/>
        </w:rPr>
        <w:t>1.6.2“采购代理机构”系指本次采购项目活动组织方广西桂宝工程监理咨询有限公司。</w:t>
      </w:r>
    </w:p>
    <w:p>
      <w:pPr>
        <w:spacing w:line="400" w:lineRule="exact"/>
        <w:ind w:firstLine="420"/>
        <w:rPr>
          <w:rFonts w:ascii="宋体" w:hAnsi="宋体" w:cs="宋体"/>
          <w:color w:val="000000"/>
          <w:sz w:val="24"/>
        </w:rPr>
      </w:pPr>
      <w:r>
        <w:rPr>
          <w:rFonts w:hint="eastAsia" w:ascii="宋体" w:hAnsi="宋体" w:cs="宋体"/>
          <w:color w:val="000000"/>
          <w:sz w:val="24"/>
        </w:rPr>
        <w:t>1.6.3“供应商”系指参与本项目采购活动的法人、其他组织或者自然人。在竞争性谈判公告规定的时间获取竞争性谈判文件的称为“潜在供应商”；提交“响应文件”参加采购活动的称为竞标供应商；在谈判阶段称为谈判供应商；经法定程序确定成交的供应商称为“成交供应商”。</w:t>
      </w:r>
    </w:p>
    <w:p>
      <w:pPr>
        <w:spacing w:line="400" w:lineRule="exact"/>
        <w:ind w:firstLine="420"/>
        <w:rPr>
          <w:rFonts w:ascii="宋体" w:hAnsi="宋体" w:cs="宋体"/>
          <w:color w:val="000000"/>
          <w:sz w:val="24"/>
        </w:rPr>
      </w:pPr>
      <w:r>
        <w:rPr>
          <w:rFonts w:hint="eastAsia" w:ascii="宋体" w:hAnsi="宋体" w:cs="宋体"/>
          <w:color w:val="000000"/>
          <w:sz w:val="24"/>
        </w:rPr>
        <w:t>1.6.4“产品”系指供应商按竞争性谈判文件规定向采购人提供的一切货物、设备、机械、仪器仪表、备品备件、工具、手册及其它有关技术资料和材料。</w:t>
      </w:r>
    </w:p>
    <w:p>
      <w:pPr>
        <w:spacing w:line="400" w:lineRule="exact"/>
        <w:ind w:firstLine="420"/>
        <w:rPr>
          <w:rFonts w:ascii="宋体" w:hAnsi="宋体" w:cs="宋体"/>
          <w:color w:val="000000"/>
          <w:sz w:val="24"/>
        </w:rPr>
      </w:pPr>
      <w:r>
        <w:rPr>
          <w:rFonts w:hint="eastAsia" w:ascii="宋体" w:hAnsi="宋体" w:cs="宋体"/>
          <w:color w:val="000000"/>
          <w:sz w:val="24"/>
        </w:rPr>
        <w:t>1.6.5“服务”系指竞争性谈判文件规定供应商须承担的安装、调试、技术协助、校准、培训以及其他类似的义务。</w:t>
      </w:r>
    </w:p>
    <w:p>
      <w:pPr>
        <w:spacing w:line="400" w:lineRule="exact"/>
        <w:ind w:firstLine="420"/>
        <w:rPr>
          <w:rFonts w:ascii="宋体" w:hAnsi="宋体" w:cs="宋体"/>
          <w:color w:val="000000"/>
          <w:sz w:val="24"/>
        </w:rPr>
      </w:pPr>
      <w:r>
        <w:rPr>
          <w:rFonts w:hint="eastAsia" w:ascii="宋体" w:hAnsi="宋体" w:cs="宋体"/>
          <w:color w:val="000000"/>
          <w:sz w:val="24"/>
        </w:rPr>
        <w:t>1.6.6“响应文件”是指供应商根据竞争性谈判文件要求，编制包含报价、技术和服务等所有内容的文件。</w:t>
      </w:r>
    </w:p>
    <w:p>
      <w:pPr>
        <w:spacing w:line="400" w:lineRule="exact"/>
        <w:ind w:firstLine="420"/>
        <w:rPr>
          <w:rFonts w:ascii="宋体" w:hAnsi="宋体" w:cs="宋体"/>
          <w:color w:val="000000"/>
          <w:sz w:val="24"/>
        </w:rPr>
      </w:pPr>
      <w:r>
        <w:rPr>
          <w:rFonts w:hint="eastAsia" w:ascii="宋体" w:hAnsi="宋体" w:cs="宋体"/>
          <w:color w:val="000000"/>
          <w:sz w:val="24"/>
        </w:rPr>
        <w:t>1.6.7“公章”系指供应商用自己法定主体行为名称制作的签名印章，不包含其他替代章（如业务专用章、合同专用章、报价专用章等）。</w:t>
      </w:r>
    </w:p>
    <w:p>
      <w:pPr>
        <w:spacing w:line="400" w:lineRule="exact"/>
        <w:ind w:firstLine="420" w:firstLineChars="175"/>
        <w:rPr>
          <w:rFonts w:ascii="宋体" w:hAnsi="宋体" w:cs="宋体"/>
          <w:color w:val="000000"/>
          <w:sz w:val="24"/>
        </w:rPr>
      </w:pPr>
      <w:r>
        <w:rPr>
          <w:rFonts w:hint="eastAsia" w:ascii="宋体" w:hAnsi="宋体" w:cs="宋体"/>
          <w:color w:val="000000"/>
          <w:sz w:val="24"/>
        </w:rPr>
        <w:t>1.6.8</w:t>
      </w:r>
      <w:bookmarkStart w:id="68" w:name="_Toc517938794"/>
      <w:r>
        <w:rPr>
          <w:rFonts w:hint="eastAsia" w:ascii="宋体" w:hAnsi="宋体" w:cs="宋体"/>
          <w:color w:val="000000"/>
          <w:sz w:val="24"/>
        </w:rPr>
        <w:t>“财政部门指定的政府采购信息发布媒体”系指广西壮族自治区政府采购网（http://www.gxzfcg.gov.cn）。本项目相关信息除在财政部指定的政府采购信息发布媒体上发布外，还同时在梧州市政府采购网网站上发布。</w:t>
      </w:r>
    </w:p>
    <w:p>
      <w:pPr>
        <w:pStyle w:val="4"/>
        <w:spacing w:before="0" w:after="0" w:line="400" w:lineRule="exact"/>
        <w:rPr>
          <w:rFonts w:ascii="宋体" w:hAnsi="宋体" w:cs="宋体"/>
          <w:color w:val="000000"/>
          <w:sz w:val="24"/>
        </w:rPr>
      </w:pPr>
      <w:r>
        <w:rPr>
          <w:rFonts w:ascii="宋体" w:hAnsi="宋体" w:eastAsia="宋体" w:cs="宋体"/>
          <w:color w:val="000000"/>
          <w:sz w:val="24"/>
          <w:szCs w:val="24"/>
        </w:rPr>
        <w:t>2、</w:t>
      </w:r>
      <w:bookmarkEnd w:id="63"/>
      <w:bookmarkEnd w:id="64"/>
      <w:bookmarkEnd w:id="65"/>
      <w:bookmarkEnd w:id="66"/>
      <w:bookmarkEnd w:id="67"/>
      <w:bookmarkEnd w:id="68"/>
      <w:r>
        <w:rPr>
          <w:rFonts w:hint="eastAsia" w:ascii="宋体" w:hAnsi="宋体" w:eastAsia="宋体" w:cs="宋体"/>
          <w:color w:val="000000"/>
          <w:sz w:val="24"/>
          <w:szCs w:val="24"/>
        </w:rPr>
        <w:t>合格的供应商资格要求</w:t>
      </w:r>
    </w:p>
    <w:p>
      <w:pPr>
        <w:pStyle w:val="13"/>
        <w:spacing w:line="400" w:lineRule="exact"/>
        <w:ind w:firstLine="420"/>
        <w:rPr>
          <w:rFonts w:hAnsi="宋体" w:cs="宋体"/>
          <w:color w:val="000000"/>
          <w:sz w:val="24"/>
          <w:szCs w:val="24"/>
        </w:rPr>
      </w:pPr>
      <w:r>
        <w:rPr>
          <w:rFonts w:hint="eastAsia" w:hAnsi="宋体" w:cs="宋体"/>
          <w:color w:val="000000"/>
          <w:sz w:val="24"/>
          <w:szCs w:val="24"/>
        </w:rPr>
        <w:t>2.1供应商应符合供应商须知前附表第5项所规定的要求。</w:t>
      </w:r>
    </w:p>
    <w:p>
      <w:pPr>
        <w:pStyle w:val="13"/>
        <w:spacing w:line="400" w:lineRule="exact"/>
        <w:ind w:firstLine="420"/>
        <w:rPr>
          <w:rFonts w:hAnsi="宋体" w:cs="宋体"/>
          <w:color w:val="000000"/>
          <w:sz w:val="24"/>
          <w:szCs w:val="24"/>
        </w:rPr>
      </w:pPr>
      <w:r>
        <w:rPr>
          <w:rFonts w:hint="eastAsia" w:hAnsi="宋体" w:cs="宋体"/>
          <w:color w:val="000000"/>
          <w:sz w:val="24"/>
          <w:szCs w:val="24"/>
        </w:rPr>
        <w:t>2.2对在中国政府采购网(www.ccgp.gov.cn)列入“政府采购严重违法失信行为记录名单”和在信用中国网（www.creditchina.gov.cn/）列入“失信被执行人”、 “重大税收违法案件当事人名单”、 “政府采购严重违法失信名单”且处于处罚期限的</w:t>
      </w:r>
      <w:r>
        <w:rPr>
          <w:rFonts w:hint="eastAsia" w:hAnsi="宋体" w:cs="宋体"/>
          <w:bCs/>
          <w:color w:val="000000"/>
          <w:sz w:val="24"/>
          <w:szCs w:val="24"/>
        </w:rPr>
        <w:t>供应商</w:t>
      </w:r>
      <w:r>
        <w:rPr>
          <w:rFonts w:hint="eastAsia" w:hAnsi="宋体" w:cs="宋体"/>
          <w:color w:val="000000"/>
          <w:sz w:val="24"/>
          <w:szCs w:val="24"/>
        </w:rPr>
        <w:t>不得参与本项目政府采购活动。</w:t>
      </w:r>
    </w:p>
    <w:p>
      <w:pPr>
        <w:pStyle w:val="13"/>
        <w:spacing w:line="400" w:lineRule="exact"/>
        <w:ind w:firstLine="420"/>
        <w:rPr>
          <w:rFonts w:hAnsi="宋体" w:cs="宋体"/>
          <w:color w:val="000000"/>
          <w:sz w:val="24"/>
          <w:szCs w:val="24"/>
        </w:rPr>
      </w:pPr>
      <w:r>
        <w:rPr>
          <w:rFonts w:hint="eastAsia" w:hAnsi="宋体" w:cs="宋体"/>
          <w:color w:val="000000"/>
          <w:sz w:val="24"/>
          <w:szCs w:val="24"/>
        </w:rPr>
        <w:t>2.3供应商不得直接或间接地与为本次采购的项目内容进行设计、编制规范和其他文件的咨询公司、采购代理机构或其附属机构有任何关联。</w:t>
      </w:r>
    </w:p>
    <w:p>
      <w:pPr>
        <w:pStyle w:val="13"/>
        <w:spacing w:line="400" w:lineRule="exact"/>
        <w:ind w:firstLine="420"/>
        <w:rPr>
          <w:rFonts w:hAnsi="宋体" w:cs="宋体"/>
          <w:color w:val="000000"/>
          <w:sz w:val="24"/>
          <w:szCs w:val="24"/>
        </w:rPr>
      </w:pPr>
      <w:r>
        <w:rPr>
          <w:rFonts w:hint="eastAsia" w:hAnsi="宋体" w:cs="宋体"/>
          <w:color w:val="000000"/>
          <w:sz w:val="24"/>
          <w:szCs w:val="24"/>
        </w:rPr>
        <w:t>2.4符合供应商资格的供应商应承担竞标及履约中应承担的全部责任与义务。</w:t>
      </w:r>
    </w:p>
    <w:p>
      <w:pPr>
        <w:pStyle w:val="13"/>
        <w:spacing w:line="400" w:lineRule="exact"/>
        <w:ind w:firstLine="420"/>
        <w:rPr>
          <w:rFonts w:hAnsi="宋体" w:cs="宋体"/>
          <w:color w:val="000000"/>
          <w:sz w:val="24"/>
          <w:szCs w:val="24"/>
        </w:rPr>
      </w:pPr>
      <w:r>
        <w:rPr>
          <w:rFonts w:hint="eastAsia" w:hAnsi="宋体" w:cs="宋体"/>
          <w:color w:val="000000"/>
          <w:sz w:val="24"/>
          <w:szCs w:val="24"/>
        </w:rPr>
        <w:t>2.5有下列情形之一的视为竞标人相互串通竞标，竞标文件将被视为无效：</w:t>
      </w:r>
    </w:p>
    <w:p>
      <w:pPr>
        <w:pStyle w:val="13"/>
        <w:spacing w:line="400" w:lineRule="exact"/>
        <w:ind w:firstLine="420"/>
        <w:rPr>
          <w:rFonts w:hAnsi="宋体" w:cs="宋体"/>
          <w:color w:val="000000"/>
          <w:sz w:val="24"/>
          <w:szCs w:val="24"/>
        </w:rPr>
      </w:pPr>
      <w:r>
        <w:rPr>
          <w:rFonts w:hint="eastAsia" w:hAnsi="宋体" w:cs="宋体"/>
          <w:color w:val="000000"/>
          <w:sz w:val="24"/>
          <w:szCs w:val="24"/>
        </w:rPr>
        <w:t>（1）不同竞标人的竞标文件由同一个单位或者个人编制；或不同竞标人报名的IP地址一致的；</w:t>
      </w:r>
    </w:p>
    <w:p>
      <w:pPr>
        <w:pStyle w:val="13"/>
        <w:spacing w:line="400" w:lineRule="exact"/>
        <w:ind w:firstLine="420"/>
        <w:rPr>
          <w:rFonts w:hAnsi="宋体" w:cs="宋体"/>
          <w:color w:val="000000"/>
          <w:sz w:val="24"/>
          <w:szCs w:val="24"/>
        </w:rPr>
      </w:pPr>
      <w:r>
        <w:rPr>
          <w:rFonts w:hint="eastAsia" w:hAnsi="宋体" w:cs="宋体"/>
          <w:color w:val="000000"/>
          <w:sz w:val="24"/>
          <w:szCs w:val="24"/>
        </w:rPr>
        <w:t>（2）不同竞标人委托同一单位或者个人办理竞标事宜；</w:t>
      </w:r>
    </w:p>
    <w:p>
      <w:pPr>
        <w:pStyle w:val="13"/>
        <w:spacing w:line="400" w:lineRule="exact"/>
        <w:ind w:firstLine="420"/>
        <w:rPr>
          <w:rFonts w:hAnsi="宋体" w:cs="宋体"/>
          <w:color w:val="000000"/>
          <w:sz w:val="24"/>
          <w:szCs w:val="24"/>
        </w:rPr>
      </w:pPr>
      <w:r>
        <w:rPr>
          <w:rFonts w:hint="eastAsia" w:hAnsi="宋体" w:cs="宋体"/>
          <w:color w:val="000000"/>
          <w:sz w:val="24"/>
          <w:szCs w:val="24"/>
        </w:rPr>
        <w:t>（3）不同的竞标人的竞标文件载明的项目管理员为同一个人；</w:t>
      </w:r>
    </w:p>
    <w:p>
      <w:pPr>
        <w:pStyle w:val="13"/>
        <w:spacing w:line="400" w:lineRule="exact"/>
        <w:ind w:firstLine="420"/>
        <w:rPr>
          <w:rFonts w:hAnsi="宋体" w:cs="宋体"/>
          <w:color w:val="000000"/>
          <w:sz w:val="24"/>
          <w:szCs w:val="24"/>
        </w:rPr>
      </w:pPr>
      <w:r>
        <w:rPr>
          <w:rFonts w:hint="eastAsia" w:hAnsi="宋体" w:cs="宋体"/>
          <w:color w:val="000000"/>
          <w:sz w:val="24"/>
          <w:szCs w:val="24"/>
        </w:rPr>
        <w:t>（4）不同竞标人的竞标文件异常一致或竞标报价呈规律性差异；</w:t>
      </w:r>
    </w:p>
    <w:p>
      <w:pPr>
        <w:pStyle w:val="13"/>
        <w:spacing w:line="400" w:lineRule="exact"/>
        <w:ind w:firstLine="420"/>
        <w:rPr>
          <w:rFonts w:hAnsi="宋体" w:cs="宋体"/>
          <w:color w:val="000000"/>
          <w:sz w:val="24"/>
          <w:szCs w:val="24"/>
        </w:rPr>
      </w:pPr>
      <w:r>
        <w:rPr>
          <w:rFonts w:hint="eastAsia" w:hAnsi="宋体" w:cs="宋体"/>
          <w:color w:val="000000"/>
          <w:sz w:val="24"/>
          <w:szCs w:val="24"/>
        </w:rPr>
        <w:t>（5）不同竞标人的竞标文件相互混装；</w:t>
      </w:r>
    </w:p>
    <w:p>
      <w:pPr>
        <w:pStyle w:val="13"/>
        <w:spacing w:line="400" w:lineRule="exact"/>
        <w:ind w:firstLine="420"/>
        <w:rPr>
          <w:rFonts w:hAnsi="宋体" w:cs="宋体"/>
          <w:color w:val="000000"/>
          <w:sz w:val="24"/>
          <w:szCs w:val="24"/>
        </w:rPr>
      </w:pPr>
      <w:r>
        <w:rPr>
          <w:rFonts w:hint="eastAsia" w:hAnsi="宋体" w:cs="宋体"/>
          <w:color w:val="000000"/>
          <w:sz w:val="24"/>
          <w:szCs w:val="24"/>
        </w:rPr>
        <w:t>（6）不同竞标人的竞标保证金从同一单位或者个人账户转出。</w:t>
      </w:r>
    </w:p>
    <w:p>
      <w:pPr>
        <w:pStyle w:val="13"/>
        <w:spacing w:line="400" w:lineRule="exact"/>
        <w:ind w:firstLine="420"/>
        <w:rPr>
          <w:rFonts w:hAnsi="宋体" w:cs="宋体"/>
          <w:color w:val="000000"/>
          <w:sz w:val="24"/>
          <w:szCs w:val="24"/>
        </w:rPr>
      </w:pPr>
      <w:r>
        <w:rPr>
          <w:rFonts w:hint="eastAsia" w:hAnsi="宋体" w:cs="宋体"/>
          <w:color w:val="000000"/>
          <w:sz w:val="24"/>
          <w:szCs w:val="24"/>
        </w:rPr>
        <w:t>（7）采购人或采购代理机构应当在竞争性谈判文件中载明以下内容：</w:t>
      </w:r>
    </w:p>
    <w:p>
      <w:pPr>
        <w:pStyle w:val="13"/>
        <w:spacing w:line="400" w:lineRule="exact"/>
        <w:ind w:firstLine="420"/>
        <w:rPr>
          <w:rFonts w:hAnsi="宋体" w:cs="宋体"/>
          <w:color w:val="000000"/>
          <w:sz w:val="24"/>
          <w:szCs w:val="24"/>
        </w:rPr>
      </w:pPr>
      <w:r>
        <w:rPr>
          <w:rFonts w:hint="eastAsia" w:hAnsi="宋体" w:cs="宋体"/>
          <w:color w:val="000000"/>
          <w:sz w:val="24"/>
          <w:szCs w:val="24"/>
        </w:rPr>
        <w:t>（8）提供相同品牌产品的不同竞标人参加同一合同项下竞标的，以其中通过资格审查、符合性审查且报价最低的参加评标，报价相同的，由采购人自主选择确定一个参加评标的竞标人，其他竞标无效；</w:t>
      </w:r>
    </w:p>
    <w:p>
      <w:pPr>
        <w:pStyle w:val="13"/>
        <w:spacing w:line="400" w:lineRule="exact"/>
        <w:ind w:firstLine="420"/>
        <w:rPr>
          <w:rFonts w:hAnsi="宋体" w:cs="宋体"/>
          <w:color w:val="000000"/>
          <w:sz w:val="24"/>
          <w:szCs w:val="24"/>
        </w:rPr>
      </w:pPr>
      <w:r>
        <w:rPr>
          <w:rFonts w:hint="eastAsia" w:hAnsi="宋体" w:cs="宋体"/>
          <w:color w:val="000000"/>
          <w:sz w:val="24"/>
          <w:szCs w:val="24"/>
        </w:rPr>
        <w:t>（9）非单一产品采购项目中，多家竞标人提供的核心产品品牌相同的，视为提供相同品牌产品。核心产品的名称应当在竞争性谈判文件中载明。</w:t>
      </w:r>
    </w:p>
    <w:p>
      <w:pPr>
        <w:pStyle w:val="13"/>
        <w:spacing w:line="400" w:lineRule="exact"/>
        <w:ind w:firstLine="420"/>
        <w:rPr>
          <w:rFonts w:hAnsi="宋体" w:cs="宋体"/>
          <w:color w:val="000000"/>
          <w:sz w:val="24"/>
          <w:szCs w:val="24"/>
        </w:rPr>
      </w:pPr>
      <w:r>
        <w:rPr>
          <w:rFonts w:hint="eastAsia" w:hAnsi="宋体" w:cs="宋体"/>
          <w:color w:val="000000"/>
          <w:sz w:val="24"/>
          <w:szCs w:val="24"/>
        </w:rPr>
        <w:t>（10）关联供应商不得参加同一合同项下政府采购活动，否则竞标文件将视为无效：</w:t>
      </w:r>
    </w:p>
    <w:p>
      <w:pPr>
        <w:pStyle w:val="13"/>
        <w:spacing w:line="400" w:lineRule="exact"/>
        <w:ind w:firstLine="420"/>
        <w:rPr>
          <w:rFonts w:hAnsi="宋体" w:cs="宋体"/>
          <w:color w:val="000000"/>
          <w:sz w:val="24"/>
          <w:szCs w:val="24"/>
        </w:rPr>
      </w:pPr>
      <w:r>
        <w:rPr>
          <w:rFonts w:hint="eastAsia" w:hAnsi="宋体" w:cs="宋体"/>
          <w:color w:val="000000"/>
          <w:sz w:val="24"/>
          <w:szCs w:val="24"/>
        </w:rPr>
        <w:t>（11）单位负责人为同一人或者存在直接控股管理关系的不同的供应商，不得参加同一合同项下的政府采购活动；</w:t>
      </w:r>
    </w:p>
    <w:p>
      <w:pPr>
        <w:pStyle w:val="13"/>
        <w:spacing w:line="400" w:lineRule="exact"/>
        <w:ind w:firstLine="420"/>
        <w:rPr>
          <w:rFonts w:hAnsi="宋体" w:cs="宋体"/>
          <w:color w:val="000000"/>
          <w:sz w:val="24"/>
          <w:szCs w:val="24"/>
        </w:rPr>
      </w:pPr>
      <w:r>
        <w:rPr>
          <w:rFonts w:hint="eastAsia" w:hAnsi="宋体" w:cs="宋体"/>
          <w:color w:val="000000"/>
          <w:sz w:val="24"/>
          <w:szCs w:val="24"/>
        </w:rPr>
        <w:t>（12）生产厂商授权给供应商后自己不得参加同一合同项下的政府采购活动；生产厂商对同一品牌同一型号的货物，仅能委托一个代理商参加竞标。</w:t>
      </w:r>
    </w:p>
    <w:p>
      <w:pPr>
        <w:pStyle w:val="13"/>
        <w:spacing w:line="400" w:lineRule="exact"/>
        <w:ind w:firstLine="420"/>
        <w:rPr>
          <w:rFonts w:hAnsi="宋体" w:cs="宋体"/>
          <w:color w:val="000000"/>
          <w:sz w:val="24"/>
          <w:szCs w:val="24"/>
        </w:rPr>
      </w:pPr>
      <w:r>
        <w:rPr>
          <w:rFonts w:hint="eastAsia" w:hAnsi="宋体" w:cs="宋体"/>
          <w:color w:val="000000"/>
          <w:sz w:val="24"/>
          <w:szCs w:val="24"/>
        </w:rPr>
        <w:t>（13）供应商有下列情形之一的，属于恶意串通行为：</w:t>
      </w:r>
    </w:p>
    <w:p>
      <w:pPr>
        <w:pStyle w:val="13"/>
        <w:spacing w:line="400" w:lineRule="exact"/>
        <w:ind w:firstLine="420"/>
        <w:rPr>
          <w:rFonts w:hAnsi="宋体" w:cs="宋体"/>
          <w:color w:val="000000"/>
          <w:sz w:val="24"/>
          <w:szCs w:val="24"/>
        </w:rPr>
      </w:pPr>
      <w:r>
        <w:rPr>
          <w:rFonts w:hint="eastAsia" w:hAnsi="宋体" w:cs="宋体"/>
          <w:color w:val="000000"/>
          <w:sz w:val="24"/>
          <w:szCs w:val="24"/>
        </w:rPr>
        <w:t>（14）供应商直接或者间接从采购人或者采购代理机构处获得其他供应商的相关信息并修改其竞标文件或者响应文件；</w:t>
      </w:r>
    </w:p>
    <w:p>
      <w:pPr>
        <w:pStyle w:val="13"/>
        <w:spacing w:line="400" w:lineRule="exact"/>
        <w:ind w:firstLine="420"/>
        <w:rPr>
          <w:rFonts w:hAnsi="宋体" w:cs="宋体"/>
          <w:color w:val="000000"/>
          <w:sz w:val="24"/>
          <w:szCs w:val="24"/>
        </w:rPr>
      </w:pPr>
      <w:r>
        <w:rPr>
          <w:rFonts w:hint="eastAsia" w:hAnsi="宋体" w:cs="宋体"/>
          <w:color w:val="000000"/>
          <w:sz w:val="24"/>
          <w:szCs w:val="24"/>
        </w:rPr>
        <w:t>（15）供应商按照采购人或者采购代理机构的授意撤换、修改竞标文件或者响应文件；</w:t>
      </w:r>
    </w:p>
    <w:p>
      <w:pPr>
        <w:pStyle w:val="13"/>
        <w:spacing w:line="400" w:lineRule="exact"/>
        <w:ind w:firstLine="420"/>
        <w:rPr>
          <w:rFonts w:hAnsi="宋体" w:cs="宋体"/>
          <w:color w:val="000000"/>
          <w:sz w:val="24"/>
          <w:szCs w:val="24"/>
        </w:rPr>
      </w:pPr>
      <w:r>
        <w:rPr>
          <w:rFonts w:hint="eastAsia" w:hAnsi="宋体" w:cs="宋体"/>
          <w:color w:val="000000"/>
          <w:sz w:val="24"/>
          <w:szCs w:val="24"/>
        </w:rPr>
        <w:t>（16）供应商之间协商报价、技术方案等竞标文件或者响应文件的实质性的内容；</w:t>
      </w:r>
    </w:p>
    <w:p>
      <w:pPr>
        <w:pStyle w:val="13"/>
        <w:spacing w:line="400" w:lineRule="exact"/>
        <w:ind w:firstLine="420"/>
        <w:rPr>
          <w:rFonts w:hAnsi="宋体" w:cs="宋体"/>
          <w:color w:val="000000"/>
          <w:sz w:val="24"/>
          <w:szCs w:val="24"/>
        </w:rPr>
      </w:pPr>
      <w:r>
        <w:rPr>
          <w:rFonts w:hint="eastAsia" w:hAnsi="宋体" w:cs="宋体"/>
          <w:color w:val="000000"/>
          <w:sz w:val="24"/>
          <w:szCs w:val="24"/>
        </w:rPr>
        <w:t>（17）属于同一集团、协会、商会等组织成员的供应商按照该组织要求协同参加政府采购活动；</w:t>
      </w:r>
    </w:p>
    <w:p>
      <w:pPr>
        <w:pStyle w:val="13"/>
        <w:spacing w:line="400" w:lineRule="exact"/>
        <w:ind w:firstLine="420"/>
        <w:rPr>
          <w:rFonts w:hAnsi="宋体" w:cs="宋体"/>
          <w:color w:val="000000"/>
          <w:sz w:val="24"/>
          <w:szCs w:val="24"/>
        </w:rPr>
      </w:pPr>
      <w:r>
        <w:rPr>
          <w:rFonts w:hint="eastAsia" w:hAnsi="宋体" w:cs="宋体"/>
          <w:color w:val="000000"/>
          <w:sz w:val="24"/>
          <w:szCs w:val="24"/>
        </w:rPr>
        <w:t>（18）供应商之间事先约定一致抬高或者压低竞标报价，或者在采购项目中事先约定轮流以高价位或者低价位成交，或者事先约定由某一特定供应商成交，然后在参加竞标；</w:t>
      </w:r>
    </w:p>
    <w:p>
      <w:pPr>
        <w:pStyle w:val="13"/>
        <w:spacing w:line="400" w:lineRule="exact"/>
        <w:ind w:firstLine="420"/>
        <w:rPr>
          <w:rFonts w:hAnsi="宋体" w:cs="宋体"/>
          <w:color w:val="000000"/>
          <w:sz w:val="24"/>
          <w:szCs w:val="24"/>
        </w:rPr>
      </w:pPr>
      <w:r>
        <w:rPr>
          <w:rFonts w:hint="eastAsia" w:hAnsi="宋体" w:cs="宋体"/>
          <w:color w:val="000000"/>
          <w:sz w:val="24"/>
          <w:szCs w:val="24"/>
        </w:rPr>
        <w:t>（19）供应商之间商定部分供应商放弃参加政府采购活动或者放弃成交；</w:t>
      </w:r>
    </w:p>
    <w:p>
      <w:pPr>
        <w:pStyle w:val="13"/>
        <w:spacing w:line="400" w:lineRule="exact"/>
        <w:ind w:firstLine="420"/>
        <w:rPr>
          <w:color w:val="000000"/>
        </w:rPr>
      </w:pPr>
      <w:r>
        <w:rPr>
          <w:rFonts w:hint="eastAsia" w:hAnsi="宋体" w:cs="宋体"/>
          <w:color w:val="000000"/>
          <w:sz w:val="24"/>
          <w:szCs w:val="24"/>
        </w:rPr>
        <w:t>（20）供应商与采购人或者采购代理机构之间、供应商相互之间，为谋求特定供应商成交或者排斥其他供应商的其他串通行为。</w:t>
      </w:r>
    </w:p>
    <w:p>
      <w:pPr>
        <w:pStyle w:val="4"/>
        <w:spacing w:before="0" w:after="0" w:line="400" w:lineRule="exact"/>
        <w:rPr>
          <w:rFonts w:ascii="宋体" w:hAnsi="宋体" w:eastAsia="宋体" w:cs="宋体"/>
          <w:color w:val="000000"/>
          <w:sz w:val="24"/>
          <w:szCs w:val="24"/>
        </w:rPr>
      </w:pPr>
      <w:bookmarkStart w:id="69" w:name="_Toc230578059"/>
      <w:bookmarkStart w:id="70" w:name="_Toc207770837"/>
      <w:bookmarkStart w:id="71" w:name="_Toc239839865"/>
      <w:bookmarkStart w:id="72" w:name="_Toc185702551"/>
      <w:bookmarkStart w:id="73" w:name="_Toc517938795"/>
      <w:bookmarkStart w:id="74" w:name="_Toc206525684"/>
      <w:bookmarkStart w:id="75" w:name="OLE_LINK4"/>
      <w:r>
        <w:rPr>
          <w:rFonts w:hint="eastAsia" w:ascii="宋体" w:hAnsi="宋体" w:eastAsia="宋体" w:cs="宋体"/>
          <w:color w:val="000000"/>
          <w:sz w:val="24"/>
          <w:szCs w:val="24"/>
        </w:rPr>
        <w:t>3、竞标费用</w:t>
      </w:r>
      <w:bookmarkEnd w:id="69"/>
      <w:bookmarkEnd w:id="70"/>
      <w:bookmarkEnd w:id="71"/>
      <w:bookmarkEnd w:id="72"/>
      <w:bookmarkEnd w:id="73"/>
      <w:bookmarkEnd w:id="74"/>
    </w:p>
    <w:bookmarkEnd w:id="75"/>
    <w:p>
      <w:pPr>
        <w:pStyle w:val="13"/>
        <w:spacing w:line="400" w:lineRule="exact"/>
        <w:ind w:firstLine="420"/>
        <w:rPr>
          <w:rFonts w:hAnsi="宋体" w:cs="宋体"/>
          <w:color w:val="000000"/>
          <w:sz w:val="24"/>
          <w:szCs w:val="24"/>
        </w:rPr>
      </w:pPr>
      <w:r>
        <w:rPr>
          <w:rFonts w:hint="eastAsia" w:hAnsi="宋体" w:cs="宋体"/>
          <w:color w:val="000000"/>
          <w:sz w:val="24"/>
          <w:szCs w:val="24"/>
        </w:rPr>
        <w:t>3.1供应商应自行承担所有与编写和提交响应文件有关的费用，不论谈判结果如何，采购人（采购代理机构）在任何情况下无义务和责任承担此类费用。</w:t>
      </w:r>
    </w:p>
    <w:p>
      <w:pPr>
        <w:pStyle w:val="4"/>
        <w:spacing w:before="0" w:after="0" w:line="400" w:lineRule="exact"/>
        <w:rPr>
          <w:rFonts w:ascii="宋体" w:hAnsi="宋体" w:eastAsia="宋体" w:cs="宋体"/>
          <w:color w:val="000000"/>
          <w:sz w:val="24"/>
          <w:szCs w:val="24"/>
        </w:rPr>
      </w:pPr>
      <w:bookmarkStart w:id="76" w:name="_Toc517938796"/>
      <w:r>
        <w:rPr>
          <w:rFonts w:hint="eastAsia" w:ascii="宋体" w:hAnsi="宋体" w:eastAsia="宋体" w:cs="宋体"/>
          <w:color w:val="000000"/>
          <w:sz w:val="24"/>
          <w:szCs w:val="24"/>
        </w:rPr>
        <w:t>4、特别说明</w:t>
      </w:r>
      <w:bookmarkEnd w:id="76"/>
    </w:p>
    <w:p>
      <w:pPr>
        <w:pStyle w:val="13"/>
        <w:spacing w:line="400" w:lineRule="exact"/>
        <w:ind w:firstLine="420"/>
        <w:rPr>
          <w:rFonts w:hAnsi="宋体" w:cs="宋体"/>
          <w:color w:val="000000"/>
          <w:sz w:val="24"/>
          <w:szCs w:val="24"/>
        </w:rPr>
      </w:pPr>
      <w:r>
        <w:rPr>
          <w:rFonts w:hint="eastAsia" w:hAnsi="宋体" w:cs="宋体"/>
          <w:color w:val="000000"/>
          <w:sz w:val="24"/>
          <w:szCs w:val="24"/>
        </w:rPr>
        <w:t>4.1提供相同品牌产品的不同供应商参加同一合同项下竞标的，以其中通过资格审查、符合性审查且报价最低的参加评标，报价相同的，由采购人自主选择确定一个参加评标的供应商，其他竞标无效。非单一产品采购项目中，多家供应商提供的核心产品品牌相同的，视为提供相同品牌产品。</w:t>
      </w:r>
    </w:p>
    <w:p>
      <w:pPr>
        <w:pStyle w:val="13"/>
        <w:spacing w:line="400" w:lineRule="exact"/>
        <w:ind w:firstLine="420"/>
        <w:rPr>
          <w:rFonts w:hAnsi="宋体" w:cs="宋体"/>
          <w:color w:val="000000"/>
          <w:sz w:val="24"/>
          <w:szCs w:val="24"/>
        </w:rPr>
      </w:pPr>
      <w:r>
        <w:rPr>
          <w:rFonts w:hint="eastAsia" w:hAnsi="宋体" w:cs="宋体"/>
          <w:color w:val="000000"/>
          <w:sz w:val="24"/>
          <w:szCs w:val="24"/>
        </w:rPr>
        <w:t>4.2关联供应商不得参加同一合同项下政府采购活动，否则响应文件将被视为无效。单位负责人为同一人或者存在直接控股、管理关系的不同的供应商，不得参加同一合同项下的政府采购活动；生产厂商授权给供应商后自己不得参加同一合同项下的政府采购活动；生产厂商对同一品牌同一型号的货物，仅能委托一个代理商参加竞标。除单一来源采购项目外，为采购项目提供整体设计、规范编制或者项目管理、监理、检测等服务的供应商，不得再参加该采购项目的其他采购活动。</w:t>
      </w:r>
    </w:p>
    <w:p>
      <w:pPr>
        <w:pStyle w:val="13"/>
        <w:spacing w:line="400" w:lineRule="exact"/>
        <w:ind w:firstLine="420"/>
        <w:rPr>
          <w:rFonts w:hAnsi="宋体" w:cs="宋体"/>
          <w:color w:val="000000"/>
          <w:sz w:val="24"/>
          <w:szCs w:val="24"/>
        </w:rPr>
      </w:pPr>
      <w:r>
        <w:rPr>
          <w:rFonts w:hint="eastAsia" w:hAnsi="宋体" w:cs="宋体"/>
          <w:color w:val="000000"/>
          <w:sz w:val="24"/>
          <w:szCs w:val="24"/>
        </w:rPr>
        <w:t>4.3供应商竞标所使用的资格、信誉、荣誉、业绩与企业认证必须为本法人所拥有。供应商投入所使用的采购项目实施人员必须为本法人员工（或必须为本法人或控股公司正式员工）。</w:t>
      </w:r>
    </w:p>
    <w:p>
      <w:pPr>
        <w:pStyle w:val="13"/>
        <w:spacing w:line="400" w:lineRule="exact"/>
        <w:ind w:firstLine="420"/>
        <w:rPr>
          <w:rFonts w:hAnsi="宋体" w:cs="宋体"/>
          <w:color w:val="000000"/>
          <w:sz w:val="24"/>
          <w:szCs w:val="24"/>
        </w:rPr>
      </w:pPr>
      <w:r>
        <w:rPr>
          <w:rFonts w:hint="eastAsia" w:hAnsi="宋体" w:cs="宋体"/>
          <w:color w:val="000000"/>
          <w:sz w:val="24"/>
          <w:szCs w:val="24"/>
        </w:rPr>
        <w:t>4.4供应商应仔细阅读谈判文件的所有内容，按照谈判文件的要求提交响应文件，并对所提供的全部资料的真实性承担法律责任。</w:t>
      </w:r>
    </w:p>
    <w:p>
      <w:pPr>
        <w:pStyle w:val="13"/>
        <w:spacing w:line="400" w:lineRule="exact"/>
        <w:ind w:firstLine="420"/>
        <w:rPr>
          <w:rFonts w:hAnsi="宋体" w:cs="宋体"/>
          <w:color w:val="000000"/>
          <w:sz w:val="24"/>
          <w:szCs w:val="24"/>
        </w:rPr>
      </w:pPr>
      <w:r>
        <w:rPr>
          <w:rFonts w:hint="eastAsia" w:hAnsi="宋体" w:cs="宋体"/>
          <w:color w:val="000000"/>
          <w:sz w:val="24"/>
          <w:szCs w:val="24"/>
        </w:rPr>
        <w:t>4.5供应商在政府采购活动中提供任何虚假材料，其竞标无效，并报政府采购监管部门查处；中标后发现的，供应商须依照《中华人民共和国消费者权益保护法》的规定双倍赔偿采购人，且民事赔偿并不免除违法供应商的行政与刑事责任。</w:t>
      </w:r>
    </w:p>
    <w:p>
      <w:pPr>
        <w:pStyle w:val="13"/>
        <w:spacing w:line="400" w:lineRule="exact"/>
        <w:ind w:firstLine="420"/>
        <w:rPr>
          <w:rFonts w:hAnsi="宋体" w:cs="宋体"/>
          <w:color w:val="000000"/>
          <w:sz w:val="24"/>
          <w:szCs w:val="24"/>
        </w:rPr>
      </w:pPr>
      <w:r>
        <w:rPr>
          <w:rFonts w:hint="eastAsia" w:hAnsi="宋体" w:cs="宋体"/>
          <w:color w:val="000000"/>
          <w:sz w:val="24"/>
          <w:szCs w:val="24"/>
        </w:rPr>
        <w:t>4.6本项目不允许转包、分包。如成交供应商出现转包或分包情形，按相关规定报送梧州市财政局政府采购监督管理科。</w:t>
      </w:r>
    </w:p>
    <w:p>
      <w:pPr>
        <w:pStyle w:val="4"/>
        <w:spacing w:before="0" w:after="0" w:line="400" w:lineRule="exact"/>
        <w:rPr>
          <w:rFonts w:hAnsi="宋体" w:cs="宋体"/>
          <w:b w:val="0"/>
          <w:color w:val="000000"/>
          <w:sz w:val="24"/>
          <w:szCs w:val="24"/>
        </w:rPr>
      </w:pPr>
      <w:r>
        <w:rPr>
          <w:rFonts w:ascii="宋体" w:hAnsi="宋体" w:eastAsia="宋体" w:cs="宋体"/>
          <w:color w:val="000000"/>
          <w:sz w:val="24"/>
          <w:szCs w:val="24"/>
        </w:rPr>
        <w:t>5．询问、质疑和投诉</w:t>
      </w:r>
    </w:p>
    <w:p>
      <w:pPr>
        <w:pStyle w:val="13"/>
        <w:spacing w:line="380" w:lineRule="exact"/>
        <w:ind w:firstLine="420"/>
        <w:rPr>
          <w:rFonts w:hAnsi="宋体" w:cs="宋体"/>
          <w:color w:val="000000"/>
          <w:sz w:val="24"/>
          <w:szCs w:val="24"/>
        </w:rPr>
      </w:pPr>
      <w:r>
        <w:rPr>
          <w:rFonts w:hint="eastAsia" w:hAnsi="宋体" w:cs="宋体"/>
          <w:color w:val="000000"/>
          <w:sz w:val="24"/>
          <w:szCs w:val="24"/>
        </w:rPr>
        <w:t>5.1询问。供应商如发现谈判文件内容有误或对采购活动事项有疑问的，应在谈判截止日期3个工作日前的正常工作时间以书面形式向采购人、采购代理机构提出询问、澄清。采购人、采购代理机构自收到之日起3个工作日内对供应商依法提出的询问作出答复，但答复的内容不得涉及商业秘密。</w:t>
      </w:r>
    </w:p>
    <w:p>
      <w:pPr>
        <w:pStyle w:val="13"/>
        <w:spacing w:line="380" w:lineRule="exact"/>
        <w:ind w:firstLine="420"/>
        <w:rPr>
          <w:rFonts w:hAnsi="宋体" w:cs="宋体"/>
          <w:color w:val="000000"/>
          <w:sz w:val="24"/>
          <w:szCs w:val="24"/>
        </w:rPr>
      </w:pPr>
      <w:r>
        <w:rPr>
          <w:rFonts w:hint="eastAsia" w:hAnsi="宋体" w:cs="宋体"/>
          <w:color w:val="000000"/>
          <w:sz w:val="24"/>
          <w:szCs w:val="24"/>
        </w:rPr>
        <w:t>5.2质疑。</w:t>
      </w:r>
    </w:p>
    <w:p>
      <w:pPr>
        <w:pStyle w:val="13"/>
        <w:spacing w:line="380" w:lineRule="exact"/>
        <w:ind w:firstLine="420"/>
        <w:rPr>
          <w:rFonts w:hAnsi="宋体" w:cs="宋体"/>
          <w:color w:val="000000"/>
          <w:sz w:val="24"/>
          <w:szCs w:val="24"/>
        </w:rPr>
      </w:pPr>
      <w:r>
        <w:rPr>
          <w:rFonts w:hint="eastAsia" w:hAnsi="宋体" w:cs="宋体"/>
          <w:color w:val="000000"/>
          <w:sz w:val="24"/>
          <w:szCs w:val="24"/>
        </w:rPr>
        <w:t>5.2.1供应商认为谈判文件、采购过程、中标或者成交结果使自己的权益受到损害的，可以在知道或者应知其权益受到损害之日起7个工作日内，以书面形式向采购人、采购代理机构提出质疑。供应商必须在法定质疑期内一次性提出针对同一采购程序环节的质疑。</w:t>
      </w:r>
    </w:p>
    <w:p>
      <w:pPr>
        <w:pStyle w:val="13"/>
        <w:spacing w:line="380" w:lineRule="exact"/>
        <w:ind w:firstLine="420"/>
        <w:rPr>
          <w:rFonts w:hAnsi="宋体" w:cs="宋体"/>
          <w:color w:val="000000"/>
          <w:sz w:val="24"/>
          <w:szCs w:val="24"/>
        </w:rPr>
      </w:pPr>
      <w:r>
        <w:rPr>
          <w:rFonts w:hint="eastAsia" w:hAnsi="宋体" w:cs="宋体"/>
          <w:color w:val="000000"/>
          <w:sz w:val="24"/>
          <w:szCs w:val="24"/>
        </w:rPr>
        <w:t>5.2.2提出质疑的供应商应当是参与所质疑项目采购活动的供应商。潜在供应商已依法获取其可质疑的谈判文件的，可以对谈判文件提出质疑。对谈判文件提出质疑的，应当在获取谈判文件或者谈判文件公告期限届满之日起7个工作日内提出。</w:t>
      </w:r>
    </w:p>
    <w:p>
      <w:pPr>
        <w:pStyle w:val="13"/>
        <w:spacing w:line="380" w:lineRule="exact"/>
        <w:ind w:firstLine="420"/>
        <w:rPr>
          <w:rFonts w:hAnsi="宋体" w:cs="宋体"/>
          <w:color w:val="000000"/>
          <w:sz w:val="24"/>
          <w:szCs w:val="24"/>
        </w:rPr>
      </w:pPr>
      <w:r>
        <w:rPr>
          <w:rFonts w:hint="eastAsia" w:hAnsi="宋体" w:cs="宋体"/>
          <w:color w:val="000000"/>
          <w:sz w:val="24"/>
          <w:szCs w:val="24"/>
        </w:rPr>
        <w:t>5.2.3供应商提出质疑应当提交质疑函和必要的证明材料。质疑函应按财政部发布的《</w:t>
      </w:r>
      <w:bookmarkStart w:id="77" w:name="OLE_LINK1"/>
      <w:r>
        <w:rPr>
          <w:rFonts w:hint="eastAsia" w:hAnsi="宋体" w:cs="宋体"/>
          <w:color w:val="000000"/>
          <w:sz w:val="24"/>
          <w:szCs w:val="24"/>
        </w:rPr>
        <w:t>政府采购供应商质疑函范本</w:t>
      </w:r>
      <w:bookmarkEnd w:id="77"/>
      <w:r>
        <w:rPr>
          <w:rFonts w:hint="eastAsia" w:hAnsi="宋体" w:cs="宋体"/>
          <w:color w:val="000000"/>
          <w:sz w:val="24"/>
          <w:szCs w:val="24"/>
        </w:rPr>
        <w:t>》编制。</w:t>
      </w:r>
    </w:p>
    <w:p>
      <w:pPr>
        <w:pStyle w:val="13"/>
        <w:spacing w:line="380" w:lineRule="exact"/>
        <w:ind w:firstLine="420"/>
        <w:rPr>
          <w:rFonts w:hAnsi="宋体" w:cs="宋体"/>
          <w:color w:val="000000"/>
          <w:sz w:val="24"/>
          <w:szCs w:val="24"/>
        </w:rPr>
      </w:pPr>
      <w:r>
        <w:rPr>
          <w:rFonts w:hint="eastAsia" w:hAnsi="宋体" w:cs="宋体"/>
          <w:color w:val="000000"/>
          <w:sz w:val="24"/>
          <w:szCs w:val="24"/>
        </w:rPr>
        <w:t>5.2.4采购人、采购代理机构只接受纸质材料形式的质疑，不接受电子送达的质疑材料，即不接受以传真、电子邮件、移动通信等即时收悉的特定系统作为送达媒介的质疑材料。采购人、采购代理机构接收质疑函的联系部门、联系电话和通讯地址详见竞争性谈判公告。</w:t>
      </w:r>
    </w:p>
    <w:p>
      <w:pPr>
        <w:pStyle w:val="13"/>
        <w:spacing w:line="380" w:lineRule="exact"/>
        <w:ind w:firstLine="420"/>
        <w:rPr>
          <w:rFonts w:hAnsi="宋体" w:cs="宋体"/>
          <w:color w:val="000000"/>
          <w:sz w:val="24"/>
          <w:szCs w:val="24"/>
        </w:rPr>
      </w:pPr>
      <w:r>
        <w:rPr>
          <w:rFonts w:hint="eastAsia" w:hAnsi="宋体" w:cs="宋体"/>
          <w:color w:val="000000"/>
          <w:sz w:val="24"/>
          <w:szCs w:val="24"/>
        </w:rPr>
        <w:t>5.2.5采购人、采购代理机构在收到供应商的质疑函后7个工作日内作出答复，并以书面形式通知质疑供应商和其他有关供应商。但答复的内容不得涉及商业秘密。</w:t>
      </w:r>
    </w:p>
    <w:p>
      <w:pPr>
        <w:pStyle w:val="13"/>
        <w:spacing w:line="380" w:lineRule="exact"/>
        <w:ind w:firstLine="420"/>
        <w:rPr>
          <w:rFonts w:hAnsi="宋体" w:cs="宋体"/>
          <w:color w:val="000000"/>
          <w:sz w:val="24"/>
          <w:szCs w:val="24"/>
        </w:rPr>
      </w:pPr>
      <w:r>
        <w:rPr>
          <w:rFonts w:hint="eastAsia" w:hAnsi="宋体" w:cs="宋体"/>
          <w:color w:val="000000"/>
          <w:sz w:val="24"/>
          <w:szCs w:val="24"/>
        </w:rPr>
        <w:t>5.3投诉。质疑供应商对采购人、采购代理机构的答复不满意，或者采购人、采购代理机构未在规定时间内作出答复的，可以在答复期满后15个工作日内向本级财政部门提起投诉。</w:t>
      </w:r>
    </w:p>
    <w:p>
      <w:pPr>
        <w:pStyle w:val="13"/>
        <w:spacing w:line="380" w:lineRule="exact"/>
        <w:ind w:firstLine="420"/>
        <w:rPr>
          <w:rFonts w:hAnsi="宋体" w:cs="宋体"/>
          <w:color w:val="000000"/>
          <w:sz w:val="24"/>
          <w:szCs w:val="24"/>
        </w:rPr>
      </w:pPr>
    </w:p>
    <w:p>
      <w:pPr>
        <w:pStyle w:val="3"/>
        <w:spacing w:line="380" w:lineRule="exact"/>
        <w:jc w:val="center"/>
        <w:rPr>
          <w:rFonts w:ascii="宋体" w:hAnsi="宋体" w:cs="宋体"/>
          <w:color w:val="000000"/>
          <w:sz w:val="24"/>
        </w:rPr>
      </w:pPr>
      <w:bookmarkStart w:id="78" w:name="_Toc239839866"/>
      <w:bookmarkStart w:id="79" w:name="_Toc517938797"/>
      <w:bookmarkStart w:id="80" w:name="_Toc230578060"/>
      <w:bookmarkStart w:id="81" w:name="_Toc185702552"/>
      <w:bookmarkStart w:id="82" w:name="_Toc207770838"/>
      <w:bookmarkStart w:id="83" w:name="_Toc206525685"/>
      <w:r>
        <w:rPr>
          <w:rFonts w:hint="eastAsia" w:ascii="宋体" w:hAnsi="宋体" w:cs="宋体"/>
          <w:color w:val="000000"/>
          <w:sz w:val="24"/>
        </w:rPr>
        <w:t>二   竞争性谈判文件（简称谈判文件）</w:t>
      </w:r>
      <w:bookmarkEnd w:id="78"/>
      <w:bookmarkEnd w:id="79"/>
      <w:bookmarkEnd w:id="80"/>
      <w:bookmarkEnd w:id="81"/>
      <w:bookmarkEnd w:id="82"/>
      <w:bookmarkEnd w:id="83"/>
    </w:p>
    <w:p>
      <w:pPr>
        <w:pStyle w:val="4"/>
        <w:spacing w:before="0" w:after="0" w:line="380" w:lineRule="exact"/>
        <w:rPr>
          <w:rFonts w:ascii="宋体" w:hAnsi="宋体" w:eastAsia="宋体" w:cs="宋体"/>
          <w:color w:val="000000"/>
          <w:sz w:val="24"/>
          <w:szCs w:val="24"/>
        </w:rPr>
      </w:pPr>
      <w:bookmarkStart w:id="84" w:name="_Toc517938798"/>
      <w:bookmarkStart w:id="85" w:name="_Toc207770839"/>
      <w:bookmarkStart w:id="86" w:name="_Toc230578061"/>
      <w:bookmarkStart w:id="87" w:name="_Toc239839867"/>
      <w:bookmarkStart w:id="88" w:name="_Toc185702553"/>
      <w:bookmarkStart w:id="89" w:name="_Toc206525686"/>
      <w:r>
        <w:rPr>
          <w:rFonts w:hint="eastAsia" w:ascii="宋体" w:hAnsi="宋体" w:eastAsia="宋体" w:cs="宋体"/>
          <w:color w:val="000000"/>
          <w:sz w:val="24"/>
          <w:szCs w:val="24"/>
        </w:rPr>
        <w:t>6、谈判文件的构成</w:t>
      </w:r>
      <w:bookmarkEnd w:id="84"/>
      <w:bookmarkEnd w:id="85"/>
      <w:bookmarkEnd w:id="86"/>
      <w:bookmarkEnd w:id="87"/>
      <w:bookmarkEnd w:id="88"/>
      <w:bookmarkEnd w:id="89"/>
    </w:p>
    <w:p>
      <w:pPr>
        <w:pStyle w:val="13"/>
        <w:spacing w:line="380" w:lineRule="exact"/>
        <w:ind w:firstLine="420"/>
        <w:rPr>
          <w:rFonts w:hAnsi="宋体" w:cs="宋体"/>
          <w:color w:val="000000"/>
          <w:sz w:val="24"/>
          <w:szCs w:val="24"/>
        </w:rPr>
      </w:pPr>
      <w:r>
        <w:rPr>
          <w:rFonts w:hint="eastAsia" w:hAnsi="宋体" w:cs="宋体"/>
          <w:color w:val="000000"/>
          <w:sz w:val="24"/>
          <w:szCs w:val="24"/>
        </w:rPr>
        <w:t>6.1谈判文件包括：</w:t>
      </w:r>
    </w:p>
    <w:p>
      <w:pPr>
        <w:pStyle w:val="13"/>
        <w:spacing w:line="380" w:lineRule="exact"/>
        <w:ind w:firstLine="426"/>
        <w:rPr>
          <w:rFonts w:hAnsi="宋体" w:cs="宋体"/>
          <w:color w:val="000000"/>
          <w:sz w:val="24"/>
          <w:szCs w:val="24"/>
        </w:rPr>
      </w:pPr>
      <w:r>
        <w:rPr>
          <w:rFonts w:hint="eastAsia" w:hAnsi="宋体" w:cs="宋体"/>
          <w:color w:val="000000"/>
          <w:sz w:val="24"/>
          <w:szCs w:val="24"/>
        </w:rPr>
        <w:t>第一章  竞争性谈判公告</w:t>
      </w:r>
    </w:p>
    <w:p>
      <w:pPr>
        <w:pStyle w:val="13"/>
        <w:spacing w:line="380" w:lineRule="exact"/>
        <w:ind w:firstLine="426"/>
        <w:rPr>
          <w:rFonts w:hAnsi="宋体" w:cs="宋体"/>
          <w:color w:val="000000"/>
          <w:sz w:val="24"/>
          <w:szCs w:val="24"/>
        </w:rPr>
      </w:pPr>
      <w:r>
        <w:rPr>
          <w:rFonts w:hint="eastAsia" w:hAnsi="宋体" w:cs="宋体"/>
          <w:color w:val="000000"/>
          <w:sz w:val="24"/>
          <w:szCs w:val="24"/>
        </w:rPr>
        <w:t>第二章  供应商须知及前附表</w:t>
      </w:r>
    </w:p>
    <w:p>
      <w:pPr>
        <w:pStyle w:val="13"/>
        <w:spacing w:line="380" w:lineRule="exact"/>
        <w:ind w:firstLine="420"/>
        <w:rPr>
          <w:rFonts w:hAnsi="宋体" w:cs="宋体"/>
          <w:color w:val="000000"/>
          <w:sz w:val="24"/>
          <w:szCs w:val="24"/>
        </w:rPr>
      </w:pPr>
      <w:r>
        <w:rPr>
          <w:rFonts w:hint="eastAsia" w:hAnsi="宋体" w:cs="宋体"/>
          <w:color w:val="000000"/>
          <w:sz w:val="24"/>
          <w:szCs w:val="24"/>
        </w:rPr>
        <w:t>第三章  采购内容及要求</w:t>
      </w:r>
    </w:p>
    <w:p>
      <w:pPr>
        <w:pStyle w:val="13"/>
        <w:spacing w:line="380" w:lineRule="exact"/>
        <w:ind w:firstLine="420"/>
        <w:rPr>
          <w:rFonts w:hAnsi="宋体" w:cs="宋体"/>
          <w:color w:val="000000"/>
          <w:sz w:val="24"/>
          <w:szCs w:val="24"/>
        </w:rPr>
      </w:pPr>
      <w:r>
        <w:rPr>
          <w:rFonts w:hint="eastAsia" w:hAnsi="宋体" w:cs="宋体"/>
          <w:color w:val="000000"/>
          <w:sz w:val="24"/>
          <w:szCs w:val="24"/>
        </w:rPr>
        <w:t>第四章  政府采购合同书（格式）</w:t>
      </w:r>
    </w:p>
    <w:p>
      <w:pPr>
        <w:pStyle w:val="13"/>
        <w:spacing w:line="380" w:lineRule="exact"/>
        <w:ind w:firstLine="420"/>
        <w:rPr>
          <w:rFonts w:hAnsi="宋体" w:cs="宋体"/>
          <w:color w:val="000000"/>
          <w:sz w:val="24"/>
          <w:szCs w:val="24"/>
        </w:rPr>
      </w:pPr>
      <w:r>
        <w:rPr>
          <w:rFonts w:hint="eastAsia" w:hAnsi="宋体" w:cs="宋体"/>
          <w:color w:val="000000"/>
          <w:sz w:val="24"/>
          <w:szCs w:val="24"/>
        </w:rPr>
        <w:t>第五章  评审方法</w:t>
      </w:r>
    </w:p>
    <w:p>
      <w:pPr>
        <w:pStyle w:val="13"/>
        <w:spacing w:line="380" w:lineRule="exact"/>
        <w:ind w:firstLine="420"/>
        <w:rPr>
          <w:rFonts w:hAnsi="宋体" w:cs="宋体"/>
          <w:color w:val="000000"/>
          <w:sz w:val="24"/>
          <w:szCs w:val="24"/>
        </w:rPr>
      </w:pPr>
      <w:r>
        <w:rPr>
          <w:rFonts w:hint="eastAsia" w:hAnsi="宋体" w:cs="宋体"/>
          <w:color w:val="000000"/>
          <w:sz w:val="24"/>
          <w:szCs w:val="24"/>
        </w:rPr>
        <w:t>第六章  响应文件（格式）</w:t>
      </w:r>
    </w:p>
    <w:p>
      <w:pPr>
        <w:pStyle w:val="13"/>
        <w:spacing w:line="380" w:lineRule="exact"/>
        <w:ind w:firstLine="420"/>
        <w:rPr>
          <w:rFonts w:hAnsi="宋体" w:cs="宋体"/>
          <w:color w:val="000000"/>
          <w:sz w:val="24"/>
          <w:szCs w:val="24"/>
        </w:rPr>
      </w:pPr>
      <w:r>
        <w:rPr>
          <w:rFonts w:hint="eastAsia" w:hAnsi="宋体" w:cs="宋体"/>
          <w:color w:val="000000"/>
          <w:sz w:val="24"/>
          <w:szCs w:val="24"/>
        </w:rPr>
        <w:t>第七章  附件</w:t>
      </w:r>
    </w:p>
    <w:p>
      <w:pPr>
        <w:pStyle w:val="4"/>
        <w:spacing w:before="0" w:after="0" w:line="380" w:lineRule="exact"/>
        <w:rPr>
          <w:rFonts w:ascii="宋体" w:hAnsi="宋体" w:eastAsia="宋体" w:cs="宋体"/>
          <w:color w:val="000000"/>
          <w:sz w:val="24"/>
          <w:szCs w:val="24"/>
        </w:rPr>
      </w:pPr>
      <w:bookmarkStart w:id="90" w:name="_Toc230578062"/>
      <w:bookmarkStart w:id="91" w:name="_Toc517938799"/>
      <w:bookmarkStart w:id="92" w:name="_Toc207770840"/>
      <w:bookmarkStart w:id="93" w:name="_Toc239839868"/>
      <w:bookmarkStart w:id="94" w:name="_Toc206525687"/>
      <w:bookmarkStart w:id="95" w:name="_Toc185702554"/>
      <w:r>
        <w:rPr>
          <w:rFonts w:hint="eastAsia" w:ascii="宋体" w:hAnsi="宋体" w:eastAsia="宋体" w:cs="宋体"/>
          <w:color w:val="000000"/>
          <w:sz w:val="24"/>
          <w:szCs w:val="24"/>
        </w:rPr>
        <w:t>7、谈判文件的澄清和修改</w:t>
      </w:r>
      <w:bookmarkEnd w:id="90"/>
      <w:bookmarkEnd w:id="91"/>
      <w:bookmarkEnd w:id="92"/>
      <w:bookmarkEnd w:id="93"/>
      <w:bookmarkEnd w:id="94"/>
      <w:bookmarkEnd w:id="95"/>
    </w:p>
    <w:p>
      <w:pPr>
        <w:pStyle w:val="13"/>
        <w:spacing w:line="380" w:lineRule="exact"/>
        <w:ind w:firstLine="420"/>
        <w:rPr>
          <w:rFonts w:hAnsi="宋体" w:cs="宋体"/>
          <w:color w:val="000000"/>
          <w:sz w:val="24"/>
          <w:szCs w:val="24"/>
        </w:rPr>
      </w:pPr>
      <w:r>
        <w:rPr>
          <w:rFonts w:hint="eastAsia" w:hAnsi="宋体" w:cs="宋体"/>
          <w:color w:val="000000"/>
          <w:sz w:val="24"/>
          <w:szCs w:val="24"/>
        </w:rPr>
        <w:t>7.1供应商应认真查阅谈判文件中的内容和服务要求，如发现内容有误的，供应商必须在竞标截止日期两日前要求澄清。任何要求澄清文件的供应商，应以书面形式（内容包括项目名称及编号、澄清内容、要求澄清的单位名称或姓名、地址、联系电话等，并加盖公章，法定代表人</w:t>
      </w:r>
      <w:r>
        <w:rPr>
          <w:rFonts w:hint="eastAsia" w:hAnsi="宋体" w:cs="宋体"/>
          <w:color w:val="000000"/>
          <w:kern w:val="0"/>
          <w:sz w:val="24"/>
          <w:szCs w:val="24"/>
        </w:rPr>
        <w:t>(负责人)</w:t>
      </w:r>
      <w:r>
        <w:rPr>
          <w:rFonts w:hint="eastAsia" w:hAnsi="宋体" w:cs="宋体"/>
          <w:color w:val="000000"/>
          <w:sz w:val="24"/>
          <w:szCs w:val="24"/>
        </w:rPr>
        <w:t>签字）通知采购代理机构，否则，采购代理机构将不予受理，同时认定其他要求澄清的方式为无效。采购代理机构将以书面形式予以答复。</w:t>
      </w:r>
    </w:p>
    <w:p>
      <w:pPr>
        <w:pStyle w:val="13"/>
        <w:spacing w:line="380" w:lineRule="exact"/>
        <w:ind w:firstLine="420"/>
        <w:rPr>
          <w:rFonts w:hAnsi="宋体" w:cs="宋体"/>
          <w:color w:val="000000"/>
          <w:sz w:val="24"/>
          <w:szCs w:val="24"/>
        </w:rPr>
      </w:pPr>
      <w:r>
        <w:rPr>
          <w:rFonts w:hint="eastAsia" w:hAnsi="宋体" w:cs="宋体"/>
          <w:color w:val="000000"/>
          <w:sz w:val="24"/>
          <w:szCs w:val="24"/>
        </w:rPr>
        <w:t>7.2采购人、采购代理机构对已发出的谈判文件进行必要澄清或者修改的，在谈判文件要求提交首次响应文件截止之日3个工作日前，在政府采购信息发布媒体发布更正公告。</w:t>
      </w:r>
    </w:p>
    <w:p>
      <w:pPr>
        <w:pStyle w:val="13"/>
        <w:spacing w:line="380" w:lineRule="exact"/>
        <w:ind w:firstLine="420"/>
        <w:rPr>
          <w:rFonts w:hAnsi="宋体" w:cs="宋体"/>
          <w:color w:val="000000"/>
          <w:sz w:val="24"/>
          <w:szCs w:val="24"/>
        </w:rPr>
      </w:pPr>
      <w:r>
        <w:rPr>
          <w:rFonts w:hint="eastAsia" w:hAnsi="宋体" w:cs="宋体"/>
          <w:color w:val="000000"/>
          <w:sz w:val="24"/>
          <w:szCs w:val="24"/>
        </w:rPr>
        <w:t>7.3采购人、采购代理机构可视具体情况，延长谈判截止时间和开标时间的，在谈判文件要求提交响应文件的截止时间两日前，在政府采购信息发布媒体上发布变更公告。</w:t>
      </w:r>
    </w:p>
    <w:p>
      <w:pPr>
        <w:pStyle w:val="13"/>
        <w:spacing w:line="380" w:lineRule="exact"/>
        <w:ind w:firstLine="420"/>
        <w:rPr>
          <w:rFonts w:hAnsi="宋体" w:cs="宋体"/>
          <w:color w:val="000000"/>
          <w:sz w:val="24"/>
          <w:szCs w:val="24"/>
        </w:rPr>
      </w:pPr>
      <w:r>
        <w:rPr>
          <w:rFonts w:hint="eastAsia" w:hAnsi="宋体" w:cs="宋体"/>
          <w:color w:val="000000"/>
          <w:sz w:val="24"/>
          <w:szCs w:val="24"/>
        </w:rPr>
        <w:t>7.4与本项目谈判文件相关的更改通知、澄清补遗通知等书面文件，为谈判文件的组成部分。该所有通知在政府采购信息媒体发布之日起，视为供应商已收到该通知。供应商未及时关注网站上发布的通知文件造成的损失，由供应商负责。</w:t>
      </w:r>
    </w:p>
    <w:p>
      <w:pPr>
        <w:pStyle w:val="13"/>
        <w:spacing w:line="380" w:lineRule="exact"/>
        <w:ind w:firstLine="420"/>
        <w:rPr>
          <w:rFonts w:hAnsi="宋体" w:cs="宋体"/>
          <w:color w:val="000000"/>
          <w:sz w:val="24"/>
          <w:szCs w:val="24"/>
        </w:rPr>
      </w:pPr>
    </w:p>
    <w:p>
      <w:pPr>
        <w:pStyle w:val="3"/>
        <w:spacing w:line="400" w:lineRule="exact"/>
        <w:jc w:val="center"/>
        <w:rPr>
          <w:rFonts w:ascii="宋体" w:hAnsi="宋体" w:cs="宋体"/>
          <w:color w:val="000000"/>
          <w:sz w:val="24"/>
        </w:rPr>
      </w:pPr>
      <w:bookmarkStart w:id="96" w:name="_Toc239839869"/>
      <w:bookmarkStart w:id="97" w:name="_Toc185702555"/>
      <w:bookmarkStart w:id="98" w:name="_Toc207770841"/>
      <w:bookmarkStart w:id="99" w:name="_Toc230578063"/>
      <w:bookmarkStart w:id="100" w:name="_Toc517938800"/>
      <w:bookmarkStart w:id="101" w:name="_Toc206525688"/>
      <w:r>
        <w:rPr>
          <w:rFonts w:hint="eastAsia" w:ascii="宋体" w:hAnsi="宋体" w:cs="宋体"/>
          <w:color w:val="000000"/>
          <w:sz w:val="24"/>
        </w:rPr>
        <w:t>三   响应文件的编制</w:t>
      </w:r>
      <w:bookmarkEnd w:id="96"/>
      <w:bookmarkEnd w:id="97"/>
      <w:bookmarkEnd w:id="98"/>
      <w:bookmarkEnd w:id="99"/>
      <w:bookmarkEnd w:id="100"/>
      <w:bookmarkEnd w:id="101"/>
    </w:p>
    <w:p>
      <w:pPr>
        <w:pStyle w:val="4"/>
        <w:spacing w:before="0" w:after="0" w:line="400" w:lineRule="exact"/>
        <w:rPr>
          <w:rFonts w:ascii="宋体" w:hAnsi="宋体" w:eastAsia="宋体" w:cs="宋体"/>
          <w:color w:val="000000"/>
          <w:sz w:val="24"/>
          <w:szCs w:val="24"/>
        </w:rPr>
      </w:pPr>
      <w:bookmarkStart w:id="102" w:name="_Toc517938801"/>
      <w:bookmarkStart w:id="103" w:name="_Toc207770842"/>
      <w:bookmarkStart w:id="104" w:name="_Toc206525689"/>
      <w:bookmarkStart w:id="105" w:name="_Toc230578064"/>
      <w:bookmarkStart w:id="106" w:name="_Toc185702556"/>
      <w:bookmarkStart w:id="107" w:name="_Toc239839870"/>
      <w:r>
        <w:rPr>
          <w:rFonts w:hint="eastAsia" w:ascii="宋体" w:hAnsi="宋体" w:eastAsia="宋体" w:cs="宋体"/>
          <w:color w:val="000000"/>
          <w:sz w:val="24"/>
          <w:szCs w:val="24"/>
        </w:rPr>
        <w:t>8、响应文件编写</w:t>
      </w:r>
      <w:bookmarkEnd w:id="102"/>
      <w:bookmarkEnd w:id="103"/>
      <w:bookmarkEnd w:id="104"/>
      <w:bookmarkEnd w:id="105"/>
      <w:bookmarkEnd w:id="106"/>
      <w:bookmarkEnd w:id="107"/>
    </w:p>
    <w:p>
      <w:pPr>
        <w:pStyle w:val="13"/>
        <w:spacing w:line="400" w:lineRule="exact"/>
        <w:ind w:firstLine="420"/>
        <w:rPr>
          <w:rFonts w:hAnsi="宋体" w:cs="宋体"/>
          <w:color w:val="000000"/>
          <w:sz w:val="24"/>
          <w:szCs w:val="24"/>
        </w:rPr>
      </w:pPr>
      <w:r>
        <w:rPr>
          <w:rFonts w:hint="eastAsia" w:hAnsi="宋体" w:cs="宋体"/>
          <w:color w:val="000000"/>
          <w:sz w:val="24"/>
          <w:szCs w:val="24"/>
        </w:rPr>
        <w:t>8.1供应商应仔细阅读谈判文件，按谈判文件的要求编制响应文件。如果没有按谈判文件要求提交响应文件，没有对谈判文件提出的实质性要求和条件作出响应，该竞标将被拒绝。</w:t>
      </w:r>
    </w:p>
    <w:p>
      <w:pPr>
        <w:pStyle w:val="13"/>
        <w:spacing w:line="400" w:lineRule="exact"/>
        <w:ind w:firstLine="420"/>
        <w:rPr>
          <w:rFonts w:hAnsi="宋体" w:cs="宋体"/>
          <w:color w:val="000000"/>
          <w:spacing w:val="-2"/>
          <w:sz w:val="24"/>
          <w:szCs w:val="24"/>
        </w:rPr>
      </w:pPr>
      <w:r>
        <w:rPr>
          <w:rFonts w:hint="eastAsia" w:hAnsi="宋体" w:cs="宋体"/>
          <w:color w:val="000000"/>
          <w:spacing w:val="-2"/>
          <w:sz w:val="24"/>
          <w:szCs w:val="24"/>
        </w:rPr>
        <w:t>8.2对谈判文件提出的实质性要求和条件作出响应是指供应商必须对谈判文件中涉及的价格、技术要求、数量、售后服务及其它要求、合同主要条款等内容作出满足或者优于原要求和条件的承诺。</w:t>
      </w:r>
    </w:p>
    <w:p>
      <w:pPr>
        <w:pStyle w:val="13"/>
        <w:spacing w:line="400" w:lineRule="exact"/>
        <w:ind w:firstLine="420"/>
        <w:rPr>
          <w:rFonts w:hAnsi="宋体" w:cs="宋体"/>
          <w:b/>
          <w:color w:val="000000"/>
          <w:sz w:val="24"/>
          <w:szCs w:val="24"/>
        </w:rPr>
      </w:pPr>
      <w:r>
        <w:rPr>
          <w:rFonts w:hint="eastAsia" w:hAnsi="宋体" w:cs="宋体"/>
          <w:color w:val="000000"/>
          <w:sz w:val="24"/>
          <w:szCs w:val="24"/>
        </w:rPr>
        <w:t>8.3在竞标报价表中，供应商必须按格式文件完整填写，不能自行修改格式内容。</w:t>
      </w:r>
    </w:p>
    <w:p>
      <w:pPr>
        <w:pStyle w:val="4"/>
        <w:spacing w:before="0" w:after="0" w:line="400" w:lineRule="exact"/>
        <w:rPr>
          <w:rFonts w:ascii="宋体" w:hAnsi="宋体" w:eastAsia="宋体" w:cs="宋体"/>
          <w:color w:val="000000"/>
          <w:sz w:val="24"/>
          <w:szCs w:val="24"/>
        </w:rPr>
      </w:pPr>
      <w:bookmarkStart w:id="108" w:name="_Toc207770843"/>
      <w:bookmarkStart w:id="109" w:name="_Toc206525690"/>
      <w:bookmarkStart w:id="110" w:name="_Toc517938802"/>
      <w:bookmarkStart w:id="111" w:name="_Toc230578065"/>
      <w:bookmarkStart w:id="112" w:name="_Toc239839871"/>
      <w:bookmarkStart w:id="113" w:name="_Toc185702557"/>
      <w:r>
        <w:rPr>
          <w:rFonts w:hint="eastAsia" w:ascii="宋体" w:hAnsi="宋体" w:eastAsia="宋体" w:cs="宋体"/>
          <w:color w:val="000000"/>
          <w:sz w:val="24"/>
          <w:szCs w:val="24"/>
        </w:rPr>
        <w:t>9、响应文件的文字及计量单位</w:t>
      </w:r>
      <w:bookmarkEnd w:id="108"/>
      <w:bookmarkEnd w:id="109"/>
      <w:bookmarkEnd w:id="110"/>
      <w:bookmarkEnd w:id="111"/>
      <w:bookmarkEnd w:id="112"/>
      <w:bookmarkEnd w:id="113"/>
    </w:p>
    <w:p>
      <w:pPr>
        <w:pStyle w:val="13"/>
        <w:spacing w:line="400" w:lineRule="exact"/>
        <w:ind w:firstLine="435"/>
        <w:rPr>
          <w:rFonts w:hAnsi="宋体" w:cs="宋体"/>
          <w:color w:val="000000"/>
          <w:spacing w:val="-4"/>
          <w:sz w:val="24"/>
          <w:szCs w:val="24"/>
        </w:rPr>
      </w:pPr>
      <w:r>
        <w:rPr>
          <w:rFonts w:hint="eastAsia" w:hAnsi="宋体" w:cs="宋体"/>
          <w:color w:val="000000"/>
          <w:spacing w:val="-4"/>
          <w:sz w:val="24"/>
          <w:szCs w:val="24"/>
        </w:rPr>
        <w:t>9.1供应商的响应文件以及供应商与采购代理机构的所有来往的函件统一使用中文（另有规定的除外）。</w:t>
      </w:r>
    </w:p>
    <w:p>
      <w:pPr>
        <w:pStyle w:val="13"/>
        <w:spacing w:line="400" w:lineRule="exact"/>
        <w:ind w:firstLine="435"/>
        <w:rPr>
          <w:rFonts w:hAnsi="宋体" w:cs="宋体"/>
          <w:color w:val="000000"/>
          <w:sz w:val="24"/>
          <w:szCs w:val="24"/>
        </w:rPr>
      </w:pPr>
      <w:r>
        <w:rPr>
          <w:rFonts w:hint="eastAsia" w:hAnsi="宋体" w:cs="宋体"/>
          <w:color w:val="000000"/>
          <w:sz w:val="24"/>
          <w:szCs w:val="24"/>
        </w:rPr>
        <w:t>9.2响应文件使用的计量单位除谈判文件中有特殊规定外，一律使用法定计量单位。</w:t>
      </w:r>
    </w:p>
    <w:p>
      <w:pPr>
        <w:pStyle w:val="4"/>
        <w:spacing w:before="0" w:after="0" w:line="400" w:lineRule="exact"/>
        <w:rPr>
          <w:rFonts w:ascii="宋体" w:hAnsi="宋体" w:eastAsia="宋体" w:cs="宋体"/>
          <w:color w:val="000000"/>
          <w:sz w:val="24"/>
          <w:szCs w:val="24"/>
        </w:rPr>
      </w:pPr>
      <w:bookmarkStart w:id="114" w:name="_Toc206525691"/>
      <w:bookmarkStart w:id="115" w:name="_Toc207770844"/>
      <w:bookmarkStart w:id="116" w:name="_Toc230578066"/>
      <w:bookmarkStart w:id="117" w:name="_Toc185702558"/>
      <w:bookmarkStart w:id="118" w:name="_Toc239839872"/>
      <w:bookmarkStart w:id="119" w:name="_Toc517938803"/>
      <w:r>
        <w:rPr>
          <w:rFonts w:hint="eastAsia" w:ascii="宋体" w:hAnsi="宋体" w:eastAsia="宋体" w:cs="宋体"/>
          <w:color w:val="000000"/>
          <w:sz w:val="24"/>
          <w:szCs w:val="24"/>
        </w:rPr>
        <w:t>10、响应文件的构成</w:t>
      </w:r>
      <w:bookmarkEnd w:id="114"/>
      <w:bookmarkEnd w:id="115"/>
      <w:bookmarkEnd w:id="116"/>
      <w:bookmarkEnd w:id="117"/>
      <w:r>
        <w:rPr>
          <w:rFonts w:hint="eastAsia" w:ascii="宋体" w:hAnsi="宋体" w:eastAsia="宋体" w:cs="宋体"/>
          <w:color w:val="000000"/>
          <w:sz w:val="24"/>
          <w:szCs w:val="24"/>
        </w:rPr>
        <w:t>及装订要求</w:t>
      </w:r>
      <w:bookmarkEnd w:id="118"/>
      <w:bookmarkEnd w:id="119"/>
    </w:p>
    <w:p>
      <w:pPr>
        <w:pStyle w:val="13"/>
        <w:spacing w:line="400" w:lineRule="exact"/>
        <w:ind w:firstLine="420"/>
        <w:rPr>
          <w:rFonts w:hAnsi="宋体" w:cs="宋体"/>
          <w:color w:val="000000"/>
          <w:spacing w:val="-2"/>
          <w:sz w:val="24"/>
          <w:szCs w:val="24"/>
        </w:rPr>
      </w:pPr>
      <w:r>
        <w:rPr>
          <w:rFonts w:hint="eastAsia" w:hAnsi="宋体" w:cs="宋体"/>
          <w:color w:val="000000"/>
          <w:spacing w:val="-2"/>
          <w:sz w:val="24"/>
          <w:szCs w:val="24"/>
        </w:rPr>
        <w:t>10.1</w:t>
      </w:r>
      <w:r>
        <w:rPr>
          <w:rFonts w:hint="eastAsia" w:hAnsi="宋体" w:cs="宋体"/>
          <w:color w:val="000000"/>
          <w:sz w:val="24"/>
          <w:szCs w:val="24"/>
        </w:rPr>
        <w:t>响应文件由资格、商务、技术文件组成，供应商应按下列说明编写和提供。应递交的有关文件如未特别注明为复印件的，须提供原件，所有文件均要加盖供应商公章，</w:t>
      </w:r>
      <w:r>
        <w:rPr>
          <w:rFonts w:hint="eastAsia" w:hAnsi="宋体" w:cs="宋体"/>
          <w:bCs/>
          <w:color w:val="000000"/>
          <w:sz w:val="24"/>
          <w:szCs w:val="24"/>
        </w:rPr>
        <w:t>带“▲”的必须提供，否则竞标无效。</w:t>
      </w:r>
    </w:p>
    <w:p>
      <w:pPr>
        <w:pStyle w:val="13"/>
        <w:spacing w:line="400" w:lineRule="exact"/>
        <w:ind w:firstLine="482" w:firstLineChars="200"/>
        <w:rPr>
          <w:rFonts w:hAnsi="宋体" w:cs="宋体"/>
          <w:b/>
          <w:bCs/>
          <w:color w:val="000000"/>
          <w:sz w:val="24"/>
          <w:szCs w:val="24"/>
        </w:rPr>
      </w:pPr>
      <w:r>
        <w:rPr>
          <w:rFonts w:hint="eastAsia" w:hAnsi="宋体" w:cs="宋体"/>
          <w:b/>
          <w:bCs/>
          <w:color w:val="000000"/>
          <w:sz w:val="24"/>
          <w:szCs w:val="24"/>
        </w:rPr>
        <w:t>一、</w:t>
      </w:r>
      <w:r>
        <w:rPr>
          <w:rFonts w:hint="eastAsia" w:hAnsi="宋体" w:cs="宋体"/>
          <w:bCs/>
          <w:color w:val="000000"/>
          <w:sz w:val="24"/>
          <w:szCs w:val="24"/>
        </w:rPr>
        <w:t>▲</w:t>
      </w:r>
      <w:r>
        <w:rPr>
          <w:rFonts w:hint="eastAsia" w:hAnsi="宋体" w:cs="宋体"/>
          <w:b/>
          <w:bCs/>
          <w:color w:val="000000"/>
          <w:sz w:val="24"/>
          <w:szCs w:val="24"/>
        </w:rPr>
        <w:t>商务文件</w:t>
      </w:r>
    </w:p>
    <w:p>
      <w:pPr>
        <w:pStyle w:val="13"/>
        <w:spacing w:line="400" w:lineRule="exact"/>
        <w:ind w:firstLine="480" w:firstLineChars="200"/>
        <w:rPr>
          <w:rFonts w:hAnsi="宋体" w:cs="宋体"/>
          <w:color w:val="000000"/>
          <w:sz w:val="24"/>
          <w:szCs w:val="24"/>
        </w:rPr>
      </w:pPr>
      <w:r>
        <w:rPr>
          <w:rFonts w:hint="eastAsia" w:hAnsi="宋体" w:cs="宋体"/>
          <w:color w:val="000000"/>
          <w:sz w:val="24"/>
          <w:szCs w:val="24"/>
        </w:rPr>
        <w:t>1、竞标函</w:t>
      </w:r>
    </w:p>
    <w:p>
      <w:pPr>
        <w:pStyle w:val="13"/>
        <w:spacing w:line="400" w:lineRule="exact"/>
        <w:ind w:firstLine="480" w:firstLineChars="200"/>
        <w:rPr>
          <w:rFonts w:hAnsi="宋体" w:cs="宋体"/>
          <w:color w:val="000000"/>
          <w:sz w:val="24"/>
          <w:szCs w:val="24"/>
        </w:rPr>
      </w:pPr>
      <w:r>
        <w:rPr>
          <w:rFonts w:hint="eastAsia" w:hAnsi="宋体" w:cs="宋体"/>
          <w:color w:val="000000"/>
          <w:sz w:val="24"/>
          <w:szCs w:val="24"/>
        </w:rPr>
        <w:t>2、竞标报价明细表</w:t>
      </w:r>
    </w:p>
    <w:p>
      <w:pPr>
        <w:pStyle w:val="13"/>
        <w:spacing w:line="400" w:lineRule="exact"/>
        <w:ind w:firstLine="480" w:firstLineChars="200"/>
        <w:rPr>
          <w:rFonts w:hAnsi="宋体" w:cs="宋体"/>
          <w:color w:val="000000"/>
          <w:sz w:val="24"/>
          <w:szCs w:val="24"/>
        </w:rPr>
      </w:pPr>
      <w:r>
        <w:rPr>
          <w:rFonts w:hint="eastAsia" w:hAnsi="宋体" w:cs="宋体"/>
          <w:color w:val="000000"/>
          <w:sz w:val="24"/>
          <w:szCs w:val="24"/>
        </w:rPr>
        <w:t>3、商务条款响应表</w:t>
      </w:r>
    </w:p>
    <w:p>
      <w:pPr>
        <w:pStyle w:val="13"/>
        <w:spacing w:line="400" w:lineRule="exact"/>
        <w:ind w:firstLine="482" w:firstLineChars="200"/>
        <w:rPr>
          <w:rFonts w:hAnsi="宋体" w:cs="宋体"/>
          <w:b/>
          <w:bCs/>
          <w:color w:val="000000"/>
          <w:sz w:val="24"/>
          <w:szCs w:val="24"/>
        </w:rPr>
      </w:pPr>
      <w:r>
        <w:rPr>
          <w:rFonts w:hint="eastAsia" w:hAnsi="宋体" w:cs="宋体"/>
          <w:b/>
          <w:bCs/>
          <w:color w:val="000000"/>
          <w:sz w:val="24"/>
          <w:szCs w:val="24"/>
        </w:rPr>
        <w:t>二、</w:t>
      </w:r>
      <w:r>
        <w:rPr>
          <w:rFonts w:hint="eastAsia" w:hAnsi="宋体" w:cs="宋体"/>
          <w:bCs/>
          <w:color w:val="000000"/>
          <w:sz w:val="24"/>
          <w:szCs w:val="24"/>
        </w:rPr>
        <w:t>▲</w:t>
      </w:r>
      <w:r>
        <w:rPr>
          <w:rFonts w:hint="eastAsia" w:hAnsi="宋体" w:cs="宋体"/>
          <w:b/>
          <w:bCs/>
          <w:color w:val="000000"/>
          <w:sz w:val="24"/>
          <w:szCs w:val="24"/>
        </w:rPr>
        <w:t>资格证明文件</w:t>
      </w:r>
    </w:p>
    <w:p>
      <w:pPr>
        <w:pStyle w:val="13"/>
        <w:spacing w:line="400" w:lineRule="exact"/>
        <w:ind w:firstLine="420"/>
        <w:rPr>
          <w:rFonts w:hAnsi="宋体" w:cs="宋体"/>
          <w:bCs/>
          <w:color w:val="000000"/>
          <w:sz w:val="24"/>
          <w:szCs w:val="24"/>
        </w:rPr>
      </w:pPr>
      <w:r>
        <w:rPr>
          <w:rFonts w:hint="eastAsia" w:hAnsi="宋体" w:cs="宋体"/>
          <w:bCs/>
          <w:color w:val="000000"/>
          <w:sz w:val="24"/>
          <w:szCs w:val="24"/>
        </w:rPr>
        <w:t>1、法定代表人</w:t>
      </w:r>
      <w:r>
        <w:rPr>
          <w:rFonts w:hint="eastAsia" w:hAnsi="宋体" w:cs="宋体"/>
          <w:color w:val="000000"/>
          <w:kern w:val="0"/>
          <w:sz w:val="24"/>
          <w:szCs w:val="24"/>
        </w:rPr>
        <w:t>(负责人)</w:t>
      </w:r>
      <w:r>
        <w:rPr>
          <w:rFonts w:hint="eastAsia" w:hAnsi="宋体" w:cs="宋体"/>
          <w:bCs/>
          <w:color w:val="000000"/>
          <w:sz w:val="24"/>
          <w:szCs w:val="24"/>
        </w:rPr>
        <w:t>身份证明书</w:t>
      </w:r>
    </w:p>
    <w:p>
      <w:pPr>
        <w:pStyle w:val="13"/>
        <w:spacing w:line="400" w:lineRule="exact"/>
        <w:ind w:firstLine="420"/>
        <w:rPr>
          <w:rFonts w:hAnsi="宋体" w:cs="宋体"/>
          <w:bCs/>
          <w:color w:val="000000"/>
          <w:sz w:val="24"/>
          <w:szCs w:val="24"/>
        </w:rPr>
      </w:pPr>
      <w:r>
        <w:rPr>
          <w:rFonts w:hint="eastAsia" w:hAnsi="宋体" w:cs="宋体"/>
          <w:bCs/>
          <w:color w:val="000000"/>
          <w:sz w:val="24"/>
          <w:szCs w:val="24"/>
        </w:rPr>
        <w:t>2、法定代表人</w:t>
      </w:r>
      <w:r>
        <w:rPr>
          <w:rFonts w:hint="eastAsia" w:hAnsi="宋体" w:cs="宋体"/>
          <w:color w:val="000000"/>
          <w:kern w:val="0"/>
          <w:sz w:val="24"/>
          <w:szCs w:val="24"/>
        </w:rPr>
        <w:t>(负责人)</w:t>
      </w:r>
      <w:r>
        <w:rPr>
          <w:rFonts w:hint="eastAsia" w:hAnsi="宋体" w:cs="宋体"/>
          <w:bCs/>
          <w:color w:val="000000"/>
          <w:sz w:val="24"/>
          <w:szCs w:val="24"/>
        </w:rPr>
        <w:t>授权委托书（</w:t>
      </w:r>
      <w:r>
        <w:rPr>
          <w:rFonts w:hint="eastAsia" w:hAnsi="宋体" w:cs="宋体"/>
          <w:color w:val="000000"/>
          <w:sz w:val="24"/>
          <w:szCs w:val="24"/>
        </w:rPr>
        <w:t>如委托代理人参加竞标时</w:t>
      </w:r>
      <w:r>
        <w:rPr>
          <w:rFonts w:hint="eastAsia" w:hAnsi="宋体" w:cs="宋体"/>
          <w:bCs/>
          <w:color w:val="000000"/>
          <w:sz w:val="24"/>
          <w:szCs w:val="24"/>
        </w:rPr>
        <w:t>）</w:t>
      </w:r>
    </w:p>
    <w:p>
      <w:pPr>
        <w:pStyle w:val="13"/>
        <w:spacing w:line="400" w:lineRule="exact"/>
        <w:ind w:firstLine="420"/>
        <w:rPr>
          <w:rFonts w:hAnsi="宋体" w:cs="宋体"/>
          <w:bCs/>
          <w:color w:val="000000"/>
          <w:sz w:val="24"/>
          <w:szCs w:val="24"/>
        </w:rPr>
      </w:pPr>
      <w:r>
        <w:rPr>
          <w:rFonts w:hint="eastAsia" w:hAnsi="宋体" w:cs="宋体"/>
          <w:bCs/>
          <w:color w:val="000000"/>
          <w:sz w:val="24"/>
          <w:szCs w:val="24"/>
        </w:rPr>
        <w:t>3、谈判保证金声明或支票、汇票、本票、保函等非转账形式保证金证明复印件</w:t>
      </w:r>
    </w:p>
    <w:p>
      <w:pPr>
        <w:pStyle w:val="13"/>
        <w:spacing w:line="400" w:lineRule="exact"/>
        <w:ind w:firstLine="420"/>
        <w:rPr>
          <w:rFonts w:hAnsi="宋体" w:cs="宋体"/>
          <w:bCs/>
          <w:color w:val="000000"/>
          <w:sz w:val="24"/>
          <w:szCs w:val="24"/>
        </w:rPr>
      </w:pPr>
      <w:r>
        <w:rPr>
          <w:rFonts w:hint="eastAsia" w:hAnsi="宋体" w:cs="宋体"/>
          <w:bCs/>
          <w:color w:val="000000"/>
          <w:sz w:val="24"/>
          <w:szCs w:val="24"/>
        </w:rPr>
        <w:t>4、获取竞争性谈判文件证明文件（政采云平台获取文件截图）</w:t>
      </w:r>
    </w:p>
    <w:p>
      <w:pPr>
        <w:pStyle w:val="13"/>
        <w:spacing w:line="400" w:lineRule="exact"/>
        <w:ind w:firstLine="420"/>
        <w:rPr>
          <w:rFonts w:hAnsi="宋体" w:cs="宋体"/>
          <w:bCs/>
          <w:color w:val="000000"/>
          <w:sz w:val="24"/>
          <w:szCs w:val="24"/>
        </w:rPr>
      </w:pPr>
      <w:r>
        <w:rPr>
          <w:rFonts w:hint="eastAsia" w:hAnsi="宋体" w:cs="宋体"/>
          <w:bCs/>
          <w:color w:val="000000"/>
          <w:sz w:val="24"/>
          <w:szCs w:val="24"/>
        </w:rPr>
        <w:t>5、供应商有效的营业执照或事业单位法人证书复印件（须清晰反映经营期限）</w:t>
      </w:r>
    </w:p>
    <w:p>
      <w:pPr>
        <w:snapToGrid w:val="0"/>
        <w:spacing w:line="400" w:lineRule="exact"/>
        <w:ind w:firstLine="420" w:firstLineChars="175"/>
        <w:jc w:val="left"/>
        <w:rPr>
          <w:rFonts w:ascii="宋体" w:hAnsi="宋体" w:cs="宋体"/>
          <w:bCs/>
          <w:color w:val="000000"/>
          <w:sz w:val="24"/>
        </w:rPr>
      </w:pPr>
      <w:r>
        <w:rPr>
          <w:rFonts w:hint="eastAsia" w:ascii="宋体" w:hAnsi="宋体" w:cs="宋体"/>
          <w:bCs/>
          <w:color w:val="000000"/>
          <w:sz w:val="24"/>
        </w:rPr>
        <w:t>6、供应商2022年任意1个月依法缴纳税收或者依法减免缴纳税费的证明复印件（以缴税证明、免税证明或无欠税证明为准；若为新成立的，请根据实际情况提供。）</w:t>
      </w:r>
    </w:p>
    <w:p>
      <w:pPr>
        <w:snapToGrid w:val="0"/>
        <w:spacing w:line="400" w:lineRule="exact"/>
        <w:ind w:firstLine="420" w:firstLineChars="175"/>
        <w:jc w:val="left"/>
        <w:rPr>
          <w:rFonts w:ascii="宋体" w:hAnsi="宋体" w:cs="宋体"/>
          <w:bCs/>
          <w:color w:val="000000"/>
          <w:sz w:val="24"/>
        </w:rPr>
      </w:pPr>
      <w:r>
        <w:rPr>
          <w:rFonts w:hint="eastAsia" w:ascii="宋体" w:hAnsi="宋体" w:cs="宋体"/>
          <w:bCs/>
          <w:color w:val="000000"/>
          <w:sz w:val="24"/>
        </w:rPr>
        <w:t>7、供应商2022年任意1个月依法缴纳社会保障资金或者依法免缴社会保障资金证明复印件（</w:t>
      </w:r>
      <w:r>
        <w:rPr>
          <w:rFonts w:hint="eastAsia" w:ascii="宋体" w:hAnsi="宋体" w:cs="宋体"/>
          <w:color w:val="000000"/>
          <w:sz w:val="24"/>
        </w:rPr>
        <w:t>以参保证明复印件或免参保证明复印件为准；若为新成立的，请根据实际情况提供。</w:t>
      </w:r>
      <w:r>
        <w:rPr>
          <w:rFonts w:hint="eastAsia" w:ascii="宋体" w:hAnsi="宋体" w:cs="宋体"/>
          <w:bCs/>
          <w:color w:val="000000"/>
          <w:sz w:val="24"/>
        </w:rPr>
        <w:t>）</w:t>
      </w:r>
    </w:p>
    <w:p>
      <w:pPr>
        <w:pStyle w:val="13"/>
        <w:spacing w:line="400" w:lineRule="exact"/>
        <w:ind w:firstLine="420"/>
        <w:rPr>
          <w:rFonts w:hAnsi="宋体" w:cs="宋体"/>
          <w:bCs/>
          <w:color w:val="000000"/>
          <w:sz w:val="24"/>
          <w:szCs w:val="24"/>
        </w:rPr>
      </w:pPr>
      <w:r>
        <w:rPr>
          <w:rFonts w:hint="eastAsia" w:hAnsi="宋体" w:cs="宋体"/>
          <w:bCs/>
          <w:color w:val="000000"/>
          <w:sz w:val="24"/>
        </w:rPr>
        <w:t>8、</w:t>
      </w:r>
      <w:r>
        <w:rPr>
          <w:rFonts w:hint="eastAsia" w:hAnsi="宋体" w:cs="宋体"/>
          <w:bCs/>
          <w:color w:val="000000"/>
          <w:sz w:val="24"/>
          <w:szCs w:val="24"/>
        </w:rPr>
        <w:t>供应商2021年度经审计过的年度财务报告复印件，或银行出具的供应商2021年度资信证明复印件，或提交本公司出具的2021年度财务报表（包含资产负债表、利润表（收入支出表））；（2021年成立不足1年的新公司应提供公司成立日之后的财务报表复印件）</w:t>
      </w:r>
    </w:p>
    <w:p>
      <w:pPr>
        <w:pStyle w:val="13"/>
        <w:spacing w:line="400" w:lineRule="exact"/>
        <w:ind w:firstLine="482" w:firstLineChars="200"/>
        <w:rPr>
          <w:rFonts w:hAnsi="宋体" w:cs="宋体"/>
          <w:b/>
          <w:bCs/>
          <w:color w:val="000000"/>
          <w:sz w:val="24"/>
          <w:szCs w:val="24"/>
        </w:rPr>
      </w:pPr>
      <w:r>
        <w:rPr>
          <w:rFonts w:hint="eastAsia" w:hAnsi="宋体" w:cs="宋体"/>
          <w:b/>
          <w:bCs/>
          <w:color w:val="000000"/>
          <w:sz w:val="24"/>
          <w:szCs w:val="24"/>
        </w:rPr>
        <w:t>三、</w:t>
      </w:r>
      <w:r>
        <w:rPr>
          <w:rFonts w:hint="eastAsia" w:hAnsi="宋体" w:cs="宋体"/>
          <w:bCs/>
          <w:color w:val="000000"/>
          <w:sz w:val="24"/>
          <w:szCs w:val="24"/>
        </w:rPr>
        <w:t>▲</w:t>
      </w:r>
      <w:r>
        <w:rPr>
          <w:rFonts w:hint="eastAsia" w:hAnsi="宋体" w:cs="宋体"/>
          <w:b/>
          <w:bCs/>
          <w:color w:val="000000"/>
          <w:sz w:val="24"/>
          <w:szCs w:val="24"/>
        </w:rPr>
        <w:t>技术文件</w:t>
      </w:r>
    </w:p>
    <w:p>
      <w:pPr>
        <w:pStyle w:val="13"/>
        <w:spacing w:line="400" w:lineRule="exact"/>
        <w:ind w:left="900" w:leftChars="200" w:hanging="480" w:hangingChars="200"/>
        <w:rPr>
          <w:rFonts w:hAnsi="宋体" w:cs="宋体"/>
          <w:color w:val="000000"/>
          <w:sz w:val="24"/>
          <w:szCs w:val="24"/>
        </w:rPr>
      </w:pPr>
      <w:r>
        <w:rPr>
          <w:rFonts w:hint="eastAsia" w:hAnsi="宋体" w:cs="宋体"/>
          <w:color w:val="000000"/>
          <w:sz w:val="24"/>
          <w:szCs w:val="24"/>
        </w:rPr>
        <w:t>1、技术要求响应表</w:t>
      </w:r>
    </w:p>
    <w:p>
      <w:pPr>
        <w:pStyle w:val="13"/>
        <w:spacing w:line="400" w:lineRule="exact"/>
        <w:ind w:left="900" w:leftChars="200" w:hanging="480" w:hangingChars="200"/>
        <w:rPr>
          <w:rFonts w:hAnsi="宋体" w:cs="宋体"/>
          <w:color w:val="000000"/>
          <w:sz w:val="24"/>
          <w:szCs w:val="24"/>
        </w:rPr>
      </w:pPr>
      <w:r>
        <w:rPr>
          <w:rFonts w:hint="eastAsia" w:hAnsi="宋体" w:cs="宋体"/>
          <w:color w:val="000000"/>
          <w:sz w:val="24"/>
          <w:szCs w:val="24"/>
        </w:rPr>
        <w:t>2、货物质量保证和售后服务承诺书。</w:t>
      </w:r>
    </w:p>
    <w:p>
      <w:pPr>
        <w:pStyle w:val="13"/>
        <w:spacing w:line="400" w:lineRule="exact"/>
        <w:ind w:firstLine="420"/>
        <w:rPr>
          <w:rFonts w:hAnsi="宋体" w:cs="宋体"/>
          <w:color w:val="000000"/>
          <w:sz w:val="24"/>
          <w:szCs w:val="24"/>
        </w:rPr>
      </w:pPr>
      <w:r>
        <w:rPr>
          <w:rFonts w:hint="eastAsia" w:hAnsi="宋体" w:cs="宋体"/>
          <w:color w:val="000000"/>
          <w:sz w:val="24"/>
          <w:szCs w:val="24"/>
        </w:rPr>
        <w:t>10.2供应商必须按谈判文件第五章《响应文件格式》要求顺序自编目录及页码装订成册</w:t>
      </w:r>
      <w:r>
        <w:rPr>
          <w:rFonts w:hint="eastAsia" w:hAnsi="宋体" w:cs="宋体"/>
          <w:bCs/>
          <w:color w:val="000000"/>
          <w:sz w:val="24"/>
          <w:szCs w:val="24"/>
        </w:rPr>
        <w:t>。</w:t>
      </w:r>
    </w:p>
    <w:p>
      <w:pPr>
        <w:pStyle w:val="4"/>
        <w:tabs>
          <w:tab w:val="left" w:pos="8489"/>
        </w:tabs>
        <w:spacing w:before="0" w:after="0" w:line="400" w:lineRule="exact"/>
        <w:rPr>
          <w:rFonts w:ascii="宋体" w:hAnsi="宋体" w:eastAsia="宋体" w:cs="宋体"/>
          <w:color w:val="000000"/>
          <w:sz w:val="24"/>
          <w:szCs w:val="24"/>
        </w:rPr>
      </w:pPr>
      <w:bookmarkStart w:id="120" w:name="_Toc207770846"/>
      <w:bookmarkStart w:id="121" w:name="_Toc517938804"/>
      <w:bookmarkStart w:id="122" w:name="_Toc230578068"/>
      <w:bookmarkStart w:id="123" w:name="_Toc239839874"/>
      <w:bookmarkStart w:id="124" w:name="_Toc185702560"/>
      <w:bookmarkStart w:id="125" w:name="_Toc206525693"/>
      <w:r>
        <w:rPr>
          <w:rFonts w:hint="eastAsia" w:ascii="宋体" w:hAnsi="宋体" w:eastAsia="宋体" w:cs="宋体"/>
          <w:color w:val="000000"/>
          <w:sz w:val="24"/>
          <w:szCs w:val="24"/>
        </w:rPr>
        <w:t>11、竞标报价</w:t>
      </w:r>
      <w:bookmarkEnd w:id="120"/>
      <w:bookmarkEnd w:id="121"/>
      <w:bookmarkEnd w:id="122"/>
      <w:bookmarkEnd w:id="123"/>
      <w:bookmarkEnd w:id="124"/>
      <w:bookmarkEnd w:id="125"/>
      <w:r>
        <w:rPr>
          <w:rFonts w:hint="eastAsia" w:ascii="宋体" w:hAnsi="宋体" w:eastAsia="宋体" w:cs="宋体"/>
          <w:color w:val="000000"/>
          <w:sz w:val="24"/>
          <w:szCs w:val="24"/>
        </w:rPr>
        <w:tab/>
      </w:r>
    </w:p>
    <w:p>
      <w:pPr>
        <w:pStyle w:val="13"/>
        <w:spacing w:line="400" w:lineRule="exact"/>
        <w:ind w:firstLine="420" w:firstLineChars="175"/>
        <w:rPr>
          <w:rFonts w:hAnsi="宋体" w:cs="宋体"/>
          <w:color w:val="000000"/>
          <w:sz w:val="24"/>
          <w:szCs w:val="24"/>
        </w:rPr>
      </w:pPr>
      <w:r>
        <w:rPr>
          <w:rFonts w:hint="eastAsia" w:hAnsi="宋体" w:cs="宋体"/>
          <w:color w:val="000000"/>
          <w:sz w:val="24"/>
          <w:szCs w:val="24"/>
        </w:rPr>
        <w:t>11.1竞标报价方式：供应商必须就《采购内容及要求》的项目和服务内容可能发生的费用作唯一完整报价。（本项目只允许递交一个方案的报价，不接受任何有选择性的报价。）</w:t>
      </w:r>
    </w:p>
    <w:p>
      <w:pPr>
        <w:pStyle w:val="13"/>
        <w:spacing w:line="400" w:lineRule="exact"/>
        <w:ind w:firstLine="420" w:firstLineChars="175"/>
        <w:rPr>
          <w:rFonts w:hAnsi="宋体" w:cs="宋体"/>
          <w:color w:val="000000"/>
          <w:sz w:val="24"/>
          <w:szCs w:val="24"/>
        </w:rPr>
      </w:pPr>
      <w:r>
        <w:rPr>
          <w:rFonts w:hint="eastAsia" w:hAnsi="宋体" w:cs="宋体"/>
          <w:color w:val="000000"/>
          <w:sz w:val="24"/>
          <w:szCs w:val="24"/>
        </w:rPr>
        <w:t>11.2竞标货币：竞标应以人民币报价。</w:t>
      </w:r>
    </w:p>
    <w:p>
      <w:pPr>
        <w:pStyle w:val="13"/>
        <w:spacing w:line="400" w:lineRule="exact"/>
        <w:ind w:firstLine="420" w:firstLineChars="175"/>
        <w:rPr>
          <w:rFonts w:hAnsi="宋体" w:cs="宋体"/>
          <w:bCs/>
          <w:color w:val="000000"/>
          <w:sz w:val="24"/>
          <w:szCs w:val="24"/>
        </w:rPr>
      </w:pPr>
      <w:bookmarkStart w:id="126" w:name="_Toc239839875"/>
      <w:bookmarkStart w:id="127" w:name="_Toc185702561"/>
      <w:bookmarkStart w:id="128" w:name="_Toc230578069"/>
      <w:bookmarkStart w:id="129" w:name="_Toc207770847"/>
      <w:bookmarkStart w:id="130" w:name="_Toc206525694"/>
      <w:r>
        <w:rPr>
          <w:rFonts w:hint="eastAsia" w:hAnsi="宋体" w:cs="宋体"/>
          <w:color w:val="000000"/>
          <w:sz w:val="24"/>
          <w:szCs w:val="24"/>
        </w:rPr>
        <w:t>11.3</w:t>
      </w:r>
      <w:r>
        <w:rPr>
          <w:rFonts w:hint="eastAsia" w:hAnsi="宋体" w:cs="宋体"/>
          <w:color w:val="000000"/>
          <w:kern w:val="0"/>
          <w:sz w:val="24"/>
          <w:szCs w:val="24"/>
        </w:rPr>
        <w:t>竞标报价应为采购人指定地点的现场交货价，其组成部分包括实施本项目所需的所有费用，</w:t>
      </w:r>
      <w:r>
        <w:rPr>
          <w:rFonts w:hint="eastAsia" w:hAnsi="宋体" w:cs="宋体"/>
          <w:color w:val="000000"/>
          <w:sz w:val="24"/>
          <w:szCs w:val="24"/>
        </w:rPr>
        <w:t>包含采购、制造、改造、</w:t>
      </w:r>
      <w:r>
        <w:rPr>
          <w:rFonts w:hint="eastAsia" w:hAnsi="宋体" w:cs="宋体"/>
          <w:color w:val="000000"/>
          <w:kern w:val="0"/>
          <w:sz w:val="24"/>
          <w:szCs w:val="24"/>
        </w:rPr>
        <w:t>包装、</w:t>
      </w:r>
      <w:r>
        <w:rPr>
          <w:rFonts w:hint="eastAsia" w:hAnsi="宋体" w:cs="宋体"/>
          <w:color w:val="000000"/>
          <w:sz w:val="24"/>
          <w:szCs w:val="24"/>
        </w:rPr>
        <w:t>运输、劳务、管理、利润、税金、保险、协调、</w:t>
      </w:r>
      <w:r>
        <w:rPr>
          <w:rFonts w:hint="eastAsia" w:hAnsi="宋体" w:cs="宋体"/>
          <w:color w:val="000000"/>
          <w:kern w:val="0"/>
          <w:sz w:val="24"/>
          <w:szCs w:val="24"/>
        </w:rPr>
        <w:t>装卸、</w:t>
      </w:r>
      <w:r>
        <w:rPr>
          <w:rFonts w:hint="eastAsia" w:hAnsi="宋体" w:cs="宋体"/>
          <w:color w:val="000000"/>
          <w:sz w:val="24"/>
          <w:szCs w:val="24"/>
        </w:rPr>
        <w:t>调试、培训、售后服务费用以及相关文件规定及合同包含的所有风险、责任等各项应有费用。</w:t>
      </w:r>
    </w:p>
    <w:p>
      <w:pPr>
        <w:pStyle w:val="13"/>
        <w:spacing w:line="400" w:lineRule="exact"/>
        <w:ind w:firstLine="420" w:firstLineChars="175"/>
        <w:rPr>
          <w:rFonts w:hAnsi="宋体" w:cs="宋体"/>
          <w:color w:val="000000"/>
          <w:sz w:val="24"/>
          <w:szCs w:val="24"/>
        </w:rPr>
      </w:pPr>
      <w:r>
        <w:rPr>
          <w:rFonts w:hint="eastAsia" w:hAnsi="宋体" w:cs="宋体"/>
          <w:color w:val="000000"/>
          <w:sz w:val="24"/>
          <w:szCs w:val="24"/>
        </w:rPr>
        <w:t>11.4供应商应在响应文件中的竞标报价表上标明，本次竞标拟提供产品的单价金额及竞标总价，经最终谈判后不得更改，供应商对本项目的报价必须是唯一的。</w:t>
      </w:r>
    </w:p>
    <w:p>
      <w:pPr>
        <w:pStyle w:val="13"/>
        <w:spacing w:line="380" w:lineRule="exact"/>
        <w:ind w:firstLine="420" w:firstLineChars="175"/>
        <w:rPr>
          <w:rFonts w:hAnsi="宋体" w:cs="宋体"/>
          <w:color w:val="000000"/>
          <w:sz w:val="24"/>
          <w:szCs w:val="24"/>
        </w:rPr>
      </w:pPr>
      <w:r>
        <w:rPr>
          <w:rFonts w:hint="eastAsia" w:hAnsi="宋体" w:cs="宋体"/>
          <w:color w:val="000000"/>
          <w:sz w:val="24"/>
          <w:szCs w:val="24"/>
        </w:rPr>
        <w:t>11.5供应商所填报的产品内容如存在有漏项的情况且在评标时被接受，则将被认定为该遗漏项已包含在竞标报价中，成交供应商在供货时应按响应文件及经澄清后的结果要求完整提供产品及服务，采购人对其漏报的项目不追加任何货款。</w:t>
      </w:r>
    </w:p>
    <w:p>
      <w:pPr>
        <w:pStyle w:val="13"/>
        <w:spacing w:line="380" w:lineRule="exact"/>
        <w:ind w:firstLine="420" w:firstLineChars="175"/>
        <w:rPr>
          <w:rFonts w:hAnsi="宋体" w:cs="宋体"/>
          <w:color w:val="000000"/>
          <w:sz w:val="24"/>
          <w:szCs w:val="24"/>
        </w:rPr>
      </w:pPr>
      <w:r>
        <w:rPr>
          <w:rFonts w:hint="eastAsia" w:hAnsi="宋体" w:cs="宋体"/>
          <w:color w:val="000000"/>
          <w:sz w:val="24"/>
          <w:szCs w:val="24"/>
        </w:rPr>
        <w:t>11.6本项目不接受有任何选择的报价，任何有选择的报价或包含价格调整要求的竞标，将被认为是非响应性竞标而作为无效响应文件处理。</w:t>
      </w:r>
    </w:p>
    <w:bookmarkEnd w:id="126"/>
    <w:bookmarkEnd w:id="127"/>
    <w:bookmarkEnd w:id="128"/>
    <w:bookmarkEnd w:id="129"/>
    <w:bookmarkEnd w:id="130"/>
    <w:p>
      <w:pPr>
        <w:pStyle w:val="4"/>
        <w:spacing w:before="0" w:after="0" w:line="380" w:lineRule="exact"/>
        <w:rPr>
          <w:rFonts w:ascii="宋体" w:hAnsi="宋体" w:eastAsia="宋体" w:cs="宋体"/>
          <w:color w:val="000000"/>
          <w:sz w:val="24"/>
          <w:szCs w:val="24"/>
        </w:rPr>
      </w:pPr>
      <w:bookmarkStart w:id="131" w:name="_Toc517938805"/>
      <w:bookmarkStart w:id="132" w:name="_Toc239839878"/>
      <w:bookmarkStart w:id="133" w:name="_Toc207770850"/>
      <w:bookmarkStart w:id="134" w:name="_Toc206525697"/>
      <w:bookmarkStart w:id="135" w:name="_Toc230578072"/>
      <w:bookmarkStart w:id="136" w:name="_Toc185702564"/>
      <w:r>
        <w:rPr>
          <w:rFonts w:hint="eastAsia" w:ascii="宋体" w:hAnsi="宋体" w:eastAsia="宋体" w:cs="宋体"/>
          <w:color w:val="000000"/>
          <w:sz w:val="24"/>
          <w:szCs w:val="24"/>
        </w:rPr>
        <w:t>12、竞标的有效期</w:t>
      </w:r>
      <w:bookmarkEnd w:id="131"/>
      <w:bookmarkEnd w:id="132"/>
      <w:bookmarkEnd w:id="133"/>
      <w:bookmarkEnd w:id="134"/>
      <w:bookmarkEnd w:id="135"/>
      <w:bookmarkEnd w:id="136"/>
    </w:p>
    <w:p>
      <w:pPr>
        <w:pStyle w:val="13"/>
        <w:spacing w:line="380" w:lineRule="exact"/>
        <w:ind w:firstLine="420"/>
        <w:rPr>
          <w:rFonts w:hAnsi="宋体" w:cs="宋体"/>
          <w:color w:val="000000"/>
          <w:sz w:val="24"/>
          <w:szCs w:val="24"/>
        </w:rPr>
      </w:pPr>
      <w:r>
        <w:rPr>
          <w:rFonts w:hint="eastAsia" w:hAnsi="宋体" w:cs="宋体"/>
          <w:color w:val="000000"/>
          <w:sz w:val="24"/>
          <w:szCs w:val="24"/>
        </w:rPr>
        <w:t>12.1竞标有效期：响应文件从竞标截止日期后60天内有效。</w:t>
      </w:r>
    </w:p>
    <w:p>
      <w:pPr>
        <w:pStyle w:val="13"/>
        <w:spacing w:line="380" w:lineRule="exact"/>
        <w:ind w:firstLine="420"/>
        <w:rPr>
          <w:rFonts w:hAnsi="宋体" w:cs="宋体"/>
          <w:color w:val="000000"/>
          <w:sz w:val="24"/>
          <w:szCs w:val="24"/>
        </w:rPr>
      </w:pPr>
      <w:r>
        <w:rPr>
          <w:rFonts w:hint="eastAsia" w:hAnsi="宋体" w:cs="宋体"/>
          <w:color w:val="000000"/>
          <w:sz w:val="24"/>
          <w:szCs w:val="24"/>
        </w:rPr>
        <w:t>12.2在特殊情况下，采购代理机构可与供应商协商延长响应文件的有效期。供应商可同意或不同意延长竞标有效期，不同意延长竞标有效期的供应商，其谈判保证金将在成交通知书发出后5个工作日内无息退还；同意延长竞标有效期的供应商不能要求对原响应文件（经谈判小组确认有效且没有超出响应文件的范围或改变竞标的实质内容的澄清或说明作为响应文件的组成部分）作任何改变，并同意在延长的竞标有效期内遵循本响应文件，在延长的竞标有效期满之前继续具有约束力。</w:t>
      </w:r>
    </w:p>
    <w:p>
      <w:pPr>
        <w:pStyle w:val="4"/>
        <w:spacing w:before="0" w:after="0" w:line="380" w:lineRule="exact"/>
        <w:rPr>
          <w:rFonts w:ascii="宋体" w:hAnsi="宋体" w:eastAsia="宋体" w:cs="宋体"/>
          <w:color w:val="000000"/>
          <w:sz w:val="24"/>
          <w:szCs w:val="24"/>
        </w:rPr>
      </w:pPr>
      <w:bookmarkStart w:id="137" w:name="_Toc206525698"/>
      <w:bookmarkStart w:id="138" w:name="_Toc207770851"/>
      <w:bookmarkStart w:id="139" w:name="_Toc517938806"/>
      <w:bookmarkStart w:id="140" w:name="_Toc185702565"/>
      <w:bookmarkStart w:id="141" w:name="_Toc230578073"/>
      <w:bookmarkStart w:id="142" w:name="_Toc239839879"/>
      <w:r>
        <w:rPr>
          <w:rFonts w:hint="eastAsia" w:ascii="宋体" w:hAnsi="宋体" w:eastAsia="宋体" w:cs="宋体"/>
          <w:color w:val="000000"/>
          <w:sz w:val="24"/>
          <w:szCs w:val="24"/>
        </w:rPr>
        <w:t>13、响应文件书写及签名、盖章要求</w:t>
      </w:r>
      <w:bookmarkEnd w:id="137"/>
      <w:bookmarkEnd w:id="138"/>
      <w:bookmarkEnd w:id="139"/>
      <w:bookmarkEnd w:id="140"/>
      <w:bookmarkEnd w:id="141"/>
      <w:bookmarkEnd w:id="142"/>
    </w:p>
    <w:p>
      <w:pPr>
        <w:pStyle w:val="13"/>
        <w:spacing w:line="380" w:lineRule="exact"/>
        <w:ind w:firstLine="420"/>
        <w:rPr>
          <w:rFonts w:hAnsi="宋体" w:cs="宋体"/>
          <w:sz w:val="24"/>
          <w:szCs w:val="24"/>
        </w:rPr>
      </w:pPr>
      <w:r>
        <w:rPr>
          <w:rFonts w:hint="eastAsia" w:hAnsi="宋体" w:cs="宋体"/>
          <w:sz w:val="24"/>
          <w:szCs w:val="24"/>
        </w:rPr>
        <w:t>13.1电子响应文件中须加盖供应商公章部分均采用 CA 签章，并根据“政府采购项目电子交易管理操作指南-供应商” 及本招标文件规定的格式和顺序编制电子响应文件并进行关联定位，以便评标委员会在评审时，点击评审项可直接定位到该项内容。如对招标文件的某项要求，供应商的电子响应文件未能关联定位提供相应的内容与其对应，则评标委员会在评审时如做出对供应商不利的评审由供应商自行承担。电子响应文件如内容不完整、编排混乱导致电子响应文件被误读、 漏读，或者在按采购文件规定的部位查找不到相关内容的，由供应商自行承担。</w:t>
      </w:r>
    </w:p>
    <w:p>
      <w:pPr>
        <w:pStyle w:val="13"/>
        <w:spacing w:line="380" w:lineRule="exact"/>
        <w:ind w:firstLine="420"/>
        <w:rPr>
          <w:rFonts w:hAnsi="宋体" w:cs="宋体"/>
          <w:sz w:val="24"/>
          <w:szCs w:val="24"/>
        </w:rPr>
      </w:pPr>
      <w:r>
        <w:rPr>
          <w:rFonts w:hAnsi="宋体" w:cs="宋体"/>
          <w:sz w:val="24"/>
          <w:szCs w:val="24"/>
        </w:rPr>
        <w:t>13.2 CA签章上目前没有法人（负责人或自然人）或授权代表签字信息，供应商在响应文件中涉及到签字的位置线下签好字然后扫描或者拍照做成PDF的格式即可。</w:t>
      </w:r>
    </w:p>
    <w:p>
      <w:pPr>
        <w:pStyle w:val="13"/>
        <w:spacing w:line="380" w:lineRule="exact"/>
        <w:ind w:firstLine="420"/>
        <w:rPr>
          <w:rFonts w:hAnsi="宋体" w:cs="宋体"/>
          <w:sz w:val="24"/>
          <w:szCs w:val="24"/>
        </w:rPr>
      </w:pPr>
      <w:r>
        <w:rPr>
          <w:rFonts w:hint="eastAsia" w:hAnsi="宋体" w:cs="宋体"/>
          <w:sz w:val="24"/>
          <w:szCs w:val="24"/>
        </w:rPr>
        <w:t>13.3电子响应文件中标注的供应商名称应与主体资格证明（如营业执照、事业单位法人证书、执业许可证、个体工商户营业执照、自然人身份证等）和公章一致，否则其电子响应文件作无效处理。</w:t>
      </w:r>
    </w:p>
    <w:p>
      <w:pPr>
        <w:pStyle w:val="13"/>
        <w:spacing w:line="380" w:lineRule="exact"/>
        <w:ind w:firstLine="420"/>
        <w:rPr>
          <w:rFonts w:hAnsi="宋体" w:cs="宋体"/>
          <w:sz w:val="24"/>
          <w:szCs w:val="24"/>
        </w:rPr>
      </w:pPr>
      <w:r>
        <w:rPr>
          <w:rFonts w:hint="eastAsia" w:hAnsi="宋体" w:cs="宋体"/>
          <w:sz w:val="24"/>
          <w:szCs w:val="24"/>
        </w:rPr>
        <w:t>13.4电子响应文件应尽量避免涂改、行间插字或删除。如果出现上述情况，改动之处应由供应商的法定代表人（负责人或自然人）或其委托代理人签字或盖章。电子响应文件因字迹潦草或表达不清所引起的后果由供应商承担。</w:t>
      </w:r>
    </w:p>
    <w:p>
      <w:pPr>
        <w:pStyle w:val="4"/>
        <w:spacing w:before="0" w:after="0" w:line="380" w:lineRule="exact"/>
        <w:rPr>
          <w:rFonts w:ascii="宋体" w:hAnsi="宋体" w:eastAsia="宋体" w:cs="宋体"/>
          <w:color w:val="000000"/>
          <w:sz w:val="24"/>
          <w:szCs w:val="24"/>
        </w:rPr>
      </w:pPr>
      <w:bookmarkStart w:id="143" w:name="_Toc206525699"/>
      <w:bookmarkStart w:id="144" w:name="_Toc517938807"/>
      <w:bookmarkStart w:id="145" w:name="_Toc230578074"/>
      <w:bookmarkStart w:id="146" w:name="_Toc239839880"/>
      <w:bookmarkStart w:id="147" w:name="_Toc185702566"/>
      <w:bookmarkStart w:id="148" w:name="_Toc207770852"/>
      <w:r>
        <w:rPr>
          <w:rFonts w:hint="eastAsia" w:ascii="宋体" w:hAnsi="宋体" w:eastAsia="宋体" w:cs="宋体"/>
          <w:color w:val="000000"/>
          <w:sz w:val="24"/>
          <w:szCs w:val="24"/>
        </w:rPr>
        <w:t>14、谈判保证金</w:t>
      </w:r>
      <w:bookmarkEnd w:id="143"/>
      <w:bookmarkEnd w:id="144"/>
      <w:bookmarkEnd w:id="145"/>
      <w:bookmarkEnd w:id="146"/>
      <w:bookmarkEnd w:id="147"/>
      <w:bookmarkEnd w:id="148"/>
    </w:p>
    <w:p>
      <w:pPr>
        <w:pStyle w:val="13"/>
        <w:spacing w:line="380" w:lineRule="exact"/>
        <w:ind w:firstLine="484" w:firstLineChars="209"/>
        <w:rPr>
          <w:rFonts w:hAnsi="宋体" w:cs="宋体"/>
          <w:color w:val="000000"/>
          <w:spacing w:val="-4"/>
          <w:sz w:val="24"/>
          <w:szCs w:val="24"/>
        </w:rPr>
      </w:pPr>
      <w:r>
        <w:rPr>
          <w:rFonts w:hint="eastAsia" w:hAnsi="宋体" w:cs="宋体"/>
          <w:color w:val="000000"/>
          <w:spacing w:val="-4"/>
          <w:sz w:val="24"/>
          <w:szCs w:val="24"/>
        </w:rPr>
        <w:t xml:space="preserve">14.1 </w:t>
      </w:r>
      <w:r>
        <w:rPr>
          <w:rFonts w:hint="eastAsia" w:hAnsi="宋体" w:cs="宋体"/>
          <w:color w:val="000000"/>
          <w:sz w:val="24"/>
          <w:szCs w:val="24"/>
        </w:rPr>
        <w:t>谈判保证金的递交：供应商</w:t>
      </w:r>
      <w:r>
        <w:rPr>
          <w:rFonts w:hint="eastAsia" w:hAnsi="宋体" w:cs="宋体"/>
          <w:color w:val="000000"/>
          <w:spacing w:val="-4"/>
          <w:sz w:val="24"/>
          <w:szCs w:val="24"/>
        </w:rPr>
        <w:t>必须按</w:t>
      </w:r>
      <w:r>
        <w:rPr>
          <w:rFonts w:hint="eastAsia" w:hAnsi="宋体" w:cs="宋体"/>
          <w:color w:val="000000"/>
          <w:sz w:val="24"/>
          <w:szCs w:val="24"/>
        </w:rPr>
        <w:t>供应商</w:t>
      </w:r>
      <w:r>
        <w:rPr>
          <w:rFonts w:hint="eastAsia" w:hAnsi="宋体" w:cs="宋体"/>
          <w:color w:val="000000"/>
          <w:spacing w:val="-4"/>
          <w:sz w:val="24"/>
          <w:szCs w:val="24"/>
        </w:rPr>
        <w:t>须知前附表第9项的要求递交</w:t>
      </w:r>
      <w:r>
        <w:rPr>
          <w:rFonts w:hint="eastAsia" w:hAnsi="宋体" w:cs="宋体"/>
          <w:color w:val="000000"/>
          <w:sz w:val="24"/>
          <w:szCs w:val="24"/>
        </w:rPr>
        <w:t>谈判保证金。</w:t>
      </w:r>
    </w:p>
    <w:p>
      <w:pPr>
        <w:pStyle w:val="13"/>
        <w:spacing w:line="380" w:lineRule="exact"/>
        <w:ind w:firstLine="501" w:firstLineChars="209"/>
        <w:rPr>
          <w:rFonts w:hAnsi="宋体" w:cs="宋体"/>
          <w:color w:val="000000"/>
          <w:sz w:val="24"/>
          <w:szCs w:val="24"/>
        </w:rPr>
      </w:pPr>
      <w:r>
        <w:rPr>
          <w:rFonts w:hint="eastAsia" w:hAnsi="宋体" w:cs="宋体"/>
          <w:color w:val="000000"/>
          <w:sz w:val="24"/>
          <w:szCs w:val="24"/>
        </w:rPr>
        <w:t>14.2谈判保证金的退还。</w:t>
      </w:r>
    </w:p>
    <w:p>
      <w:pPr>
        <w:pStyle w:val="13"/>
        <w:spacing w:line="400" w:lineRule="exact"/>
        <w:ind w:firstLine="501" w:firstLineChars="209"/>
        <w:rPr>
          <w:rFonts w:hAnsi="宋体" w:cs="宋体"/>
          <w:color w:val="000000"/>
          <w:sz w:val="24"/>
          <w:szCs w:val="24"/>
        </w:rPr>
      </w:pPr>
      <w:r>
        <w:rPr>
          <w:rFonts w:hint="eastAsia" w:hAnsi="宋体" w:cs="宋体"/>
          <w:color w:val="000000"/>
          <w:sz w:val="24"/>
          <w:szCs w:val="24"/>
        </w:rPr>
        <w:t>14.2.1落标人的谈判保证金，落标人向采购代理机构财务部递交“谈判保证金声明”原件申请退还。采购代理机构财务部收到退还申请，将在成交通知书发出后5个工作日内不计利息原额退还，但因供应商自身原因导致无法及时退还的除外。以支票、汇票、本票、保函等非现金形式的将在成交通知书发出后5个工作日内退还原件，但因供应商自身原因导致无法及时退还的除外。</w:t>
      </w:r>
    </w:p>
    <w:p>
      <w:pPr>
        <w:pStyle w:val="13"/>
        <w:spacing w:line="400" w:lineRule="exact"/>
        <w:ind w:firstLine="501" w:firstLineChars="209"/>
        <w:rPr>
          <w:rFonts w:hAnsi="宋体" w:cs="宋体"/>
          <w:color w:val="000000"/>
          <w:sz w:val="24"/>
          <w:szCs w:val="24"/>
        </w:rPr>
      </w:pPr>
      <w:r>
        <w:rPr>
          <w:rFonts w:hint="eastAsia" w:hAnsi="宋体" w:cs="宋体"/>
          <w:color w:val="000000"/>
          <w:sz w:val="24"/>
          <w:szCs w:val="24"/>
        </w:rPr>
        <w:t>14.2.2如有质疑或投诉，将在质疑和投诉处理完毕后不计利息原额退还。</w:t>
      </w:r>
    </w:p>
    <w:p>
      <w:pPr>
        <w:pStyle w:val="13"/>
        <w:spacing w:line="380" w:lineRule="exact"/>
        <w:ind w:firstLine="501" w:firstLineChars="209"/>
        <w:rPr>
          <w:rFonts w:hAnsi="宋体" w:cs="宋体"/>
          <w:color w:val="000000"/>
          <w:sz w:val="24"/>
          <w:szCs w:val="24"/>
        </w:rPr>
      </w:pPr>
      <w:r>
        <w:rPr>
          <w:rFonts w:hint="eastAsia" w:hAnsi="宋体" w:cs="宋体"/>
          <w:color w:val="000000"/>
          <w:sz w:val="24"/>
          <w:szCs w:val="24"/>
        </w:rPr>
        <w:t>14.3 涉及质疑和投诉的供应商，在质疑和投诉调查处理结束前其谈判保证金暂不退还。</w:t>
      </w:r>
    </w:p>
    <w:p>
      <w:pPr>
        <w:pStyle w:val="13"/>
        <w:spacing w:line="380" w:lineRule="exact"/>
        <w:ind w:firstLine="501" w:firstLineChars="209"/>
        <w:rPr>
          <w:rFonts w:hAnsi="宋体" w:cs="宋体"/>
          <w:color w:val="000000"/>
          <w:sz w:val="24"/>
          <w:szCs w:val="24"/>
        </w:rPr>
      </w:pPr>
      <w:r>
        <w:rPr>
          <w:rFonts w:hint="eastAsia" w:hAnsi="宋体" w:cs="宋体"/>
          <w:color w:val="000000"/>
          <w:sz w:val="24"/>
          <w:szCs w:val="24"/>
        </w:rPr>
        <w:t>14.4 供应商有下列情形之一时，谈判保证金将不予退还：</w:t>
      </w:r>
    </w:p>
    <w:p>
      <w:pPr>
        <w:pStyle w:val="13"/>
        <w:spacing w:line="380" w:lineRule="exact"/>
        <w:ind w:firstLine="840" w:firstLineChars="350"/>
        <w:rPr>
          <w:rFonts w:hAnsi="宋体" w:cs="宋体"/>
          <w:bCs/>
          <w:color w:val="000000"/>
          <w:sz w:val="24"/>
          <w:szCs w:val="24"/>
        </w:rPr>
      </w:pPr>
      <w:r>
        <w:rPr>
          <w:rFonts w:hint="eastAsia" w:hAnsi="宋体" w:cs="宋体"/>
          <w:bCs/>
          <w:color w:val="000000"/>
          <w:sz w:val="24"/>
          <w:szCs w:val="24"/>
        </w:rPr>
        <w:t>（1）供应商在提交响应文件截止时间后撤回响应文件的；</w:t>
      </w:r>
    </w:p>
    <w:p>
      <w:pPr>
        <w:pStyle w:val="13"/>
        <w:spacing w:line="380" w:lineRule="exact"/>
        <w:ind w:firstLine="840" w:firstLineChars="350"/>
        <w:rPr>
          <w:rFonts w:hAnsi="宋体" w:cs="宋体"/>
          <w:bCs/>
          <w:color w:val="000000"/>
          <w:sz w:val="24"/>
          <w:szCs w:val="24"/>
        </w:rPr>
      </w:pPr>
      <w:r>
        <w:rPr>
          <w:rFonts w:hint="eastAsia" w:hAnsi="宋体" w:cs="宋体"/>
          <w:bCs/>
          <w:color w:val="000000"/>
          <w:sz w:val="24"/>
          <w:szCs w:val="24"/>
        </w:rPr>
        <w:t>（2）供应商在响应文件中提供虚假材料的；</w:t>
      </w:r>
    </w:p>
    <w:p>
      <w:pPr>
        <w:pStyle w:val="13"/>
        <w:spacing w:line="380" w:lineRule="exact"/>
        <w:ind w:firstLine="840" w:firstLineChars="350"/>
        <w:rPr>
          <w:rFonts w:hAnsi="宋体" w:cs="宋体"/>
          <w:bCs/>
          <w:color w:val="000000"/>
          <w:sz w:val="24"/>
          <w:szCs w:val="24"/>
        </w:rPr>
      </w:pPr>
      <w:r>
        <w:rPr>
          <w:rFonts w:hint="eastAsia" w:hAnsi="宋体" w:cs="宋体"/>
          <w:bCs/>
          <w:color w:val="000000"/>
          <w:sz w:val="24"/>
          <w:szCs w:val="24"/>
        </w:rPr>
        <w:t>（3）除因不可抗力或谈判文件、询价通知书认可的情形以外，成交供应商不与采购人签订合同的；</w:t>
      </w:r>
    </w:p>
    <w:p>
      <w:pPr>
        <w:pStyle w:val="13"/>
        <w:spacing w:line="380" w:lineRule="exact"/>
        <w:ind w:firstLine="840" w:firstLineChars="350"/>
        <w:rPr>
          <w:rFonts w:hAnsi="宋体" w:cs="宋体"/>
          <w:bCs/>
          <w:color w:val="000000"/>
          <w:sz w:val="24"/>
          <w:szCs w:val="24"/>
        </w:rPr>
      </w:pPr>
      <w:r>
        <w:rPr>
          <w:rFonts w:hint="eastAsia" w:hAnsi="宋体" w:cs="宋体"/>
          <w:bCs/>
          <w:color w:val="000000"/>
          <w:sz w:val="24"/>
          <w:szCs w:val="24"/>
        </w:rPr>
        <w:t>（4）供应商与采购人、其他供应商或者采购代理机构恶意串通的；</w:t>
      </w:r>
    </w:p>
    <w:p>
      <w:pPr>
        <w:pStyle w:val="13"/>
        <w:spacing w:line="380" w:lineRule="exact"/>
        <w:ind w:firstLine="840" w:firstLineChars="350"/>
        <w:rPr>
          <w:rFonts w:hAnsi="宋体" w:cs="宋体"/>
          <w:bCs/>
          <w:color w:val="000000"/>
          <w:sz w:val="24"/>
          <w:szCs w:val="24"/>
        </w:rPr>
      </w:pPr>
      <w:r>
        <w:rPr>
          <w:rFonts w:hint="eastAsia" w:hAnsi="宋体" w:cs="宋体"/>
          <w:bCs/>
          <w:color w:val="000000"/>
          <w:sz w:val="24"/>
          <w:szCs w:val="24"/>
        </w:rPr>
        <w:t>（5）采购文件规定的其他情形。</w:t>
      </w:r>
    </w:p>
    <w:p>
      <w:pPr>
        <w:pStyle w:val="13"/>
        <w:spacing w:line="380" w:lineRule="exact"/>
        <w:rPr>
          <w:rFonts w:hAnsi="宋体" w:cs="宋体"/>
          <w:b/>
          <w:color w:val="000000"/>
          <w:sz w:val="24"/>
          <w:szCs w:val="24"/>
        </w:rPr>
      </w:pPr>
    </w:p>
    <w:p>
      <w:pPr>
        <w:pStyle w:val="3"/>
        <w:spacing w:line="400" w:lineRule="exact"/>
        <w:jc w:val="center"/>
        <w:rPr>
          <w:rFonts w:ascii="宋体" w:hAnsi="宋体" w:cs="宋体"/>
          <w:color w:val="000000"/>
          <w:sz w:val="24"/>
        </w:rPr>
      </w:pPr>
      <w:bookmarkStart w:id="149" w:name="_Toc517938808"/>
      <w:bookmarkStart w:id="150" w:name="_Toc185702567"/>
      <w:bookmarkStart w:id="151" w:name="_Toc230578075"/>
      <w:bookmarkStart w:id="152" w:name="_Toc206525700"/>
      <w:bookmarkStart w:id="153" w:name="_Toc239839881"/>
      <w:bookmarkStart w:id="154" w:name="_Toc207770853"/>
      <w:r>
        <w:rPr>
          <w:rFonts w:hint="eastAsia" w:ascii="宋体" w:hAnsi="宋体" w:cs="宋体"/>
          <w:color w:val="000000"/>
          <w:sz w:val="24"/>
        </w:rPr>
        <w:t>四   响应文件的递交</w:t>
      </w:r>
      <w:bookmarkEnd w:id="149"/>
      <w:bookmarkEnd w:id="150"/>
      <w:bookmarkEnd w:id="151"/>
      <w:bookmarkEnd w:id="152"/>
      <w:bookmarkEnd w:id="153"/>
      <w:bookmarkEnd w:id="154"/>
    </w:p>
    <w:p>
      <w:pPr>
        <w:pStyle w:val="13"/>
        <w:tabs>
          <w:tab w:val="left" w:pos="1957"/>
        </w:tabs>
        <w:spacing w:line="400" w:lineRule="exact"/>
        <w:ind w:firstLine="420"/>
        <w:rPr>
          <w:rFonts w:hAnsi="宋体" w:cs="宋体"/>
          <w:spacing w:val="-4"/>
          <w:sz w:val="24"/>
          <w:szCs w:val="24"/>
        </w:rPr>
      </w:pPr>
      <w:bookmarkStart w:id="155" w:name="_Toc185702569"/>
      <w:bookmarkStart w:id="156" w:name="_Toc207770855"/>
      <w:bookmarkStart w:id="157" w:name="_Toc230578077"/>
      <w:bookmarkStart w:id="158" w:name="_Toc517938810"/>
      <w:bookmarkStart w:id="159" w:name="_Toc206525702"/>
      <w:bookmarkStart w:id="160" w:name="_Toc239839883"/>
      <w:r>
        <w:rPr>
          <w:rFonts w:hint="eastAsia" w:hAnsi="宋体" w:cs="宋体"/>
          <w:spacing w:val="-4"/>
          <w:sz w:val="24"/>
          <w:szCs w:val="24"/>
        </w:rPr>
        <w:t>供应商必须在“供应商须知前附表”规定的时间和地点提交响应文件。</w:t>
      </w:r>
    </w:p>
    <w:p>
      <w:pPr>
        <w:pStyle w:val="4"/>
        <w:spacing w:before="0" w:after="0" w:line="400" w:lineRule="exact"/>
        <w:rPr>
          <w:rFonts w:ascii="宋体" w:hAnsi="宋体" w:eastAsia="宋体" w:cs="宋体"/>
          <w:sz w:val="24"/>
          <w:szCs w:val="24"/>
        </w:rPr>
      </w:pPr>
      <w:r>
        <w:rPr>
          <w:rFonts w:hint="eastAsia" w:ascii="宋体" w:hAnsi="宋体" w:eastAsia="宋体" w:cs="宋体"/>
          <w:sz w:val="24"/>
          <w:szCs w:val="24"/>
        </w:rPr>
        <w:t>15、谈判截止时间、地点</w:t>
      </w:r>
    </w:p>
    <w:p>
      <w:pPr>
        <w:spacing w:line="360" w:lineRule="auto"/>
        <w:ind w:firstLine="480" w:firstLineChars="200"/>
        <w:rPr>
          <w:rFonts w:ascii="宋体" w:hAnsi="宋体" w:cs="宋体"/>
          <w:sz w:val="24"/>
        </w:rPr>
      </w:pPr>
      <w:r>
        <w:rPr>
          <w:rFonts w:hint="eastAsia" w:ascii="宋体" w:hAnsi="宋体" w:cs="宋体"/>
          <w:sz w:val="24"/>
        </w:rPr>
        <w:t>15.1供应商进行电子投标应安装客户端软件，并按照投标文件和电子交易平台的要求编制并加密投标响应文件。供应商未按规定加密的投标响应文件，电子交易平台将拒收。供应商应当在投标截止时间前完成投标响应文件的传输递交，并可以补充、修改或者撤回投标响应文件。补充或者修改投标响应文件的，应当先行撤回原文件，补充、修改后重新传输递交。投标截止时间前未完成传输的，视为撤回投标响应文件。投标截止时间后递交的投标响应文件，电子交易平台将拒收。</w:t>
      </w:r>
    </w:p>
    <w:p>
      <w:pPr>
        <w:spacing w:line="360" w:lineRule="auto"/>
        <w:ind w:firstLine="480" w:firstLineChars="200"/>
        <w:rPr>
          <w:rFonts w:ascii="宋体" w:hAnsi="宋体" w:cs="宋体"/>
          <w:sz w:val="24"/>
        </w:rPr>
      </w:pPr>
      <w:r>
        <w:rPr>
          <w:rFonts w:hint="eastAsia" w:ascii="宋体" w:hAnsi="宋体" w:cs="宋体"/>
          <w:sz w:val="24"/>
        </w:rPr>
        <w:t>15.2如有特殊情况，采购代理机构延长截止时间和开标时间，采购代理机构和供应商的权利和义务将受到新的截止时间和开标时间的约束。</w:t>
      </w:r>
    </w:p>
    <w:p>
      <w:pPr>
        <w:spacing w:line="360" w:lineRule="auto"/>
        <w:ind w:firstLine="480" w:firstLineChars="200"/>
        <w:rPr>
          <w:rFonts w:ascii="宋体" w:hAnsi="宋体" w:cs="宋体"/>
          <w:sz w:val="24"/>
        </w:rPr>
      </w:pPr>
      <w:r>
        <w:rPr>
          <w:rFonts w:hint="eastAsia" w:ascii="宋体" w:hAnsi="宋体" w:cs="宋体"/>
          <w:sz w:val="24"/>
        </w:rPr>
        <w:t>15.3采购人和采购代理机构对所接收的电子响应文件除“第四章 评审程序、评审方法和评审标准”8.6条规定的情形外，在电子响应文件提交截止时间止提交电子响应文件的供应商不足3家的，应当退回供应商电子响应文件。</w:t>
      </w:r>
    </w:p>
    <w:p>
      <w:pPr>
        <w:spacing w:line="360" w:lineRule="auto"/>
        <w:ind w:firstLine="480" w:firstLineChars="200"/>
        <w:rPr>
          <w:rFonts w:ascii="宋体" w:hAnsi="宋体" w:cs="宋体"/>
          <w:sz w:val="24"/>
        </w:rPr>
      </w:pPr>
      <w:r>
        <w:rPr>
          <w:rFonts w:hint="eastAsia" w:ascii="宋体" w:hAnsi="宋体" w:cs="宋体"/>
          <w:sz w:val="24"/>
        </w:rPr>
        <w:t>15.4供应商在电子响应文件提交截止时间后向采购人、采购代理机构书面申请撤回电子响应文件的，除此之外采购人和采购代理机构对已开启的电子响应文件概不退回。</w:t>
      </w:r>
    </w:p>
    <w:p>
      <w:pPr>
        <w:pStyle w:val="13"/>
        <w:spacing w:line="400" w:lineRule="exact"/>
        <w:ind w:firstLine="420"/>
        <w:rPr>
          <w:rFonts w:hAnsi="宋体" w:cs="宋体"/>
          <w:sz w:val="24"/>
          <w:szCs w:val="24"/>
        </w:rPr>
      </w:pPr>
    </w:p>
    <w:bookmarkEnd w:id="155"/>
    <w:bookmarkEnd w:id="156"/>
    <w:bookmarkEnd w:id="157"/>
    <w:bookmarkEnd w:id="158"/>
    <w:bookmarkEnd w:id="159"/>
    <w:bookmarkEnd w:id="160"/>
    <w:p>
      <w:pPr>
        <w:pStyle w:val="13"/>
        <w:spacing w:line="400" w:lineRule="exact"/>
        <w:ind w:firstLine="420"/>
        <w:rPr>
          <w:rFonts w:hAnsi="宋体" w:cs="宋体"/>
          <w:color w:val="000000"/>
          <w:sz w:val="24"/>
          <w:szCs w:val="24"/>
        </w:rPr>
      </w:pPr>
    </w:p>
    <w:p>
      <w:pPr>
        <w:pStyle w:val="3"/>
        <w:spacing w:line="400" w:lineRule="exact"/>
        <w:jc w:val="center"/>
        <w:rPr>
          <w:rFonts w:ascii="宋体" w:hAnsi="宋体" w:cs="宋体"/>
          <w:color w:val="000000"/>
          <w:sz w:val="24"/>
        </w:rPr>
      </w:pPr>
      <w:bookmarkStart w:id="161" w:name="_Toc230578079"/>
      <w:bookmarkStart w:id="162" w:name="_Toc207770857"/>
      <w:bookmarkStart w:id="163" w:name="_Toc206525704"/>
      <w:bookmarkStart w:id="164" w:name="_Toc239839885"/>
      <w:bookmarkStart w:id="165" w:name="_Toc185702571"/>
      <w:bookmarkStart w:id="166" w:name="_Toc517938812"/>
      <w:r>
        <w:rPr>
          <w:rFonts w:hint="eastAsia" w:ascii="宋体" w:hAnsi="宋体" w:cs="宋体"/>
          <w:color w:val="000000"/>
          <w:sz w:val="24"/>
        </w:rPr>
        <w:t>五   竞争性谈判（简称谈判）与评审</w:t>
      </w:r>
      <w:bookmarkEnd w:id="161"/>
      <w:bookmarkEnd w:id="162"/>
      <w:bookmarkEnd w:id="163"/>
      <w:bookmarkEnd w:id="164"/>
      <w:bookmarkEnd w:id="165"/>
      <w:bookmarkEnd w:id="166"/>
    </w:p>
    <w:p>
      <w:pPr>
        <w:pStyle w:val="4"/>
        <w:spacing w:before="0" w:after="0" w:line="400" w:lineRule="exact"/>
        <w:rPr>
          <w:rFonts w:ascii="宋体" w:hAnsi="宋体" w:eastAsia="宋体" w:cs="宋体"/>
          <w:color w:val="000000"/>
          <w:sz w:val="24"/>
          <w:szCs w:val="24"/>
        </w:rPr>
      </w:pPr>
      <w:bookmarkStart w:id="167" w:name="_Toc185702572"/>
      <w:bookmarkStart w:id="168" w:name="_Toc207770858"/>
      <w:bookmarkStart w:id="169" w:name="_Toc239839886"/>
      <w:bookmarkStart w:id="170" w:name="_Toc230578080"/>
      <w:bookmarkStart w:id="171" w:name="_Toc206525705"/>
      <w:bookmarkStart w:id="172" w:name="_Toc517938813"/>
      <w:r>
        <w:rPr>
          <w:rFonts w:hint="eastAsia" w:ascii="宋体" w:hAnsi="宋体" w:eastAsia="宋体" w:cs="宋体"/>
          <w:color w:val="000000"/>
          <w:sz w:val="24"/>
          <w:szCs w:val="24"/>
        </w:rPr>
        <w:t>16、</w:t>
      </w:r>
      <w:bookmarkEnd w:id="167"/>
      <w:bookmarkEnd w:id="168"/>
      <w:bookmarkEnd w:id="169"/>
      <w:bookmarkEnd w:id="170"/>
      <w:bookmarkEnd w:id="171"/>
      <w:r>
        <w:rPr>
          <w:rFonts w:hint="eastAsia" w:ascii="宋体" w:hAnsi="宋体" w:eastAsia="宋体" w:cs="宋体"/>
          <w:color w:val="000000"/>
          <w:sz w:val="24"/>
          <w:szCs w:val="24"/>
        </w:rPr>
        <w:t>组建谈判小组</w:t>
      </w:r>
      <w:bookmarkEnd w:id="172"/>
    </w:p>
    <w:p>
      <w:pPr>
        <w:pStyle w:val="13"/>
        <w:spacing w:line="400" w:lineRule="exact"/>
        <w:ind w:firstLine="420"/>
        <w:rPr>
          <w:rFonts w:hAnsi="宋体" w:cs="宋体"/>
          <w:color w:val="000000"/>
          <w:sz w:val="24"/>
          <w:szCs w:val="24"/>
        </w:rPr>
      </w:pPr>
      <w:r>
        <w:rPr>
          <w:rFonts w:hint="eastAsia" w:hAnsi="宋体" w:cs="宋体"/>
          <w:color w:val="000000"/>
          <w:sz w:val="24"/>
          <w:szCs w:val="24"/>
        </w:rPr>
        <w:t>16.1采购人和采购代理机构依法组建竞争性谈判小组（以下简称谈判小组），谈判小组由采购人代表和评审专家共三人以上（含三人）单数组成，其中评审专家人数不少于谈判小组成员总数的2/3。评审专家在政府采购评审专家库内相关专业技术、经济等方面的专家名单中随机抽取。</w:t>
      </w:r>
    </w:p>
    <w:p>
      <w:pPr>
        <w:pStyle w:val="13"/>
        <w:spacing w:line="400" w:lineRule="exact"/>
        <w:ind w:firstLine="420"/>
        <w:rPr>
          <w:rFonts w:hAnsi="宋体" w:cs="宋体"/>
          <w:color w:val="000000"/>
          <w:sz w:val="24"/>
          <w:szCs w:val="24"/>
        </w:rPr>
      </w:pPr>
      <w:r>
        <w:rPr>
          <w:rFonts w:hint="eastAsia" w:hAnsi="宋体" w:cs="宋体"/>
          <w:color w:val="000000"/>
          <w:sz w:val="24"/>
          <w:szCs w:val="24"/>
        </w:rPr>
        <w:t>16.2评审专家应当遵守评审工作纪律，不得泄露评审情况和评审中获悉的商业秘密。</w:t>
      </w:r>
    </w:p>
    <w:p>
      <w:pPr>
        <w:pStyle w:val="13"/>
        <w:spacing w:line="400" w:lineRule="exact"/>
        <w:ind w:firstLine="420"/>
        <w:rPr>
          <w:rFonts w:hAnsi="宋体" w:cs="宋体"/>
          <w:color w:val="000000"/>
          <w:sz w:val="24"/>
          <w:szCs w:val="24"/>
        </w:rPr>
      </w:pPr>
      <w:r>
        <w:rPr>
          <w:rFonts w:hint="eastAsia" w:hAnsi="宋体" w:cs="宋体"/>
          <w:color w:val="000000"/>
          <w:sz w:val="24"/>
          <w:szCs w:val="24"/>
        </w:rPr>
        <w:t>16.3谈判小组成员应当按照客观、公正、审慎的原则，根据谈判文件规定的评审程序、评审方法和评审标准进行独立评审。</w:t>
      </w:r>
    </w:p>
    <w:p>
      <w:pPr>
        <w:pStyle w:val="4"/>
        <w:spacing w:before="0" w:after="0" w:line="400" w:lineRule="exact"/>
        <w:rPr>
          <w:rFonts w:ascii="宋体" w:hAnsi="宋体" w:eastAsia="宋体" w:cs="宋体"/>
          <w:color w:val="000000"/>
          <w:sz w:val="24"/>
          <w:szCs w:val="24"/>
        </w:rPr>
      </w:pPr>
      <w:bookmarkStart w:id="173" w:name="_Toc206525706"/>
      <w:bookmarkStart w:id="174" w:name="_Toc207770859"/>
      <w:bookmarkStart w:id="175" w:name="_Toc185702573"/>
      <w:bookmarkStart w:id="176" w:name="_Toc230578081"/>
      <w:bookmarkStart w:id="177" w:name="_Toc239839887"/>
      <w:bookmarkStart w:id="178" w:name="_Toc517938814"/>
      <w:r>
        <w:rPr>
          <w:rFonts w:hint="eastAsia" w:ascii="宋体" w:hAnsi="宋体" w:eastAsia="宋体" w:cs="宋体"/>
          <w:color w:val="000000"/>
          <w:sz w:val="24"/>
          <w:szCs w:val="24"/>
        </w:rPr>
        <w:t>17、评</w:t>
      </w:r>
      <w:bookmarkEnd w:id="173"/>
      <w:bookmarkEnd w:id="174"/>
      <w:bookmarkEnd w:id="175"/>
      <w:bookmarkEnd w:id="176"/>
      <w:bookmarkEnd w:id="177"/>
      <w:r>
        <w:rPr>
          <w:rFonts w:hint="eastAsia" w:ascii="宋体" w:hAnsi="宋体" w:eastAsia="宋体" w:cs="宋体"/>
          <w:color w:val="000000"/>
          <w:sz w:val="24"/>
          <w:szCs w:val="24"/>
        </w:rPr>
        <w:t>审</w:t>
      </w:r>
      <w:bookmarkEnd w:id="178"/>
    </w:p>
    <w:p>
      <w:pPr>
        <w:pStyle w:val="13"/>
        <w:spacing w:line="400" w:lineRule="exact"/>
        <w:ind w:firstLine="420"/>
        <w:rPr>
          <w:rFonts w:hAnsi="宋体" w:cs="宋体"/>
          <w:color w:val="000000"/>
          <w:sz w:val="24"/>
          <w:szCs w:val="24"/>
        </w:rPr>
      </w:pPr>
      <w:r>
        <w:rPr>
          <w:rFonts w:hint="eastAsia" w:hAnsi="宋体" w:cs="宋体"/>
          <w:color w:val="000000"/>
          <w:sz w:val="24"/>
          <w:szCs w:val="24"/>
        </w:rPr>
        <w:t>17.1本采购项目采用不公开方式评标，评标的依据为谈判文件和响应文件及谈判应答文件等。谈判小组决定竞标的响应性只根据响应文件本身的内容，而不寻找其他的外部证据。</w:t>
      </w:r>
    </w:p>
    <w:p>
      <w:pPr>
        <w:pStyle w:val="13"/>
        <w:spacing w:line="400" w:lineRule="exact"/>
        <w:ind w:firstLine="420"/>
        <w:rPr>
          <w:rFonts w:hAnsi="宋体" w:cs="宋体"/>
          <w:bCs/>
          <w:color w:val="000000"/>
          <w:sz w:val="24"/>
          <w:szCs w:val="24"/>
        </w:rPr>
      </w:pPr>
      <w:r>
        <w:rPr>
          <w:rFonts w:hint="eastAsia" w:hAnsi="宋体" w:cs="宋体"/>
          <w:bCs/>
          <w:color w:val="000000"/>
          <w:sz w:val="24"/>
          <w:szCs w:val="24"/>
        </w:rPr>
        <w:t>17.2谈判小组对响应文件进行评审，并根据谈判文件规定的程序、评定成交的标准等事项与实质性响应谈判文件要求的供应商进行谈判。未实质性响应谈判文件的响应文件按无效处理。</w:t>
      </w:r>
    </w:p>
    <w:p>
      <w:pPr>
        <w:pStyle w:val="13"/>
        <w:spacing w:line="400" w:lineRule="exact"/>
        <w:ind w:firstLine="420"/>
        <w:rPr>
          <w:rFonts w:hAnsi="宋体" w:cs="宋体"/>
          <w:b/>
          <w:color w:val="000000"/>
          <w:sz w:val="24"/>
          <w:szCs w:val="24"/>
        </w:rPr>
      </w:pPr>
      <w:r>
        <w:rPr>
          <w:rFonts w:hint="eastAsia" w:hAnsi="宋体" w:cs="宋体"/>
          <w:b/>
          <w:color w:val="000000"/>
          <w:sz w:val="24"/>
          <w:szCs w:val="24"/>
        </w:rPr>
        <w:t>17.3响应文件初审</w:t>
      </w:r>
    </w:p>
    <w:p>
      <w:pPr>
        <w:pStyle w:val="13"/>
        <w:spacing w:line="400" w:lineRule="exact"/>
        <w:ind w:firstLine="420"/>
        <w:rPr>
          <w:rFonts w:hAnsi="宋体" w:cs="宋体"/>
          <w:b/>
          <w:color w:val="000000"/>
          <w:sz w:val="24"/>
          <w:szCs w:val="24"/>
        </w:rPr>
      </w:pPr>
      <w:r>
        <w:rPr>
          <w:rFonts w:hint="eastAsia" w:hAnsi="宋体" w:cs="宋体"/>
          <w:color w:val="000000"/>
          <w:sz w:val="24"/>
          <w:szCs w:val="24"/>
        </w:rPr>
        <w:t>响应文件初审。初审分为资格性审查和符合性审查。</w:t>
      </w:r>
    </w:p>
    <w:p>
      <w:pPr>
        <w:pStyle w:val="13"/>
        <w:spacing w:line="400" w:lineRule="exact"/>
        <w:ind w:firstLine="420"/>
        <w:rPr>
          <w:rFonts w:hAnsi="宋体" w:cs="宋体"/>
          <w:color w:val="000000"/>
          <w:sz w:val="24"/>
          <w:szCs w:val="24"/>
        </w:rPr>
      </w:pPr>
      <w:bookmarkStart w:id="179" w:name="_Toc206525707"/>
      <w:bookmarkStart w:id="180" w:name="_Toc207770860"/>
      <w:bookmarkStart w:id="181" w:name="_Toc185702574"/>
      <w:bookmarkStart w:id="182" w:name="_Toc230578082"/>
      <w:r>
        <w:rPr>
          <w:rFonts w:hint="eastAsia" w:hAnsi="宋体" w:cs="宋体"/>
          <w:color w:val="000000"/>
          <w:sz w:val="24"/>
          <w:szCs w:val="24"/>
        </w:rPr>
        <w:t>1、资格性检查。依据法律法规和竞争性谈判文件的规定对响应文件的资质证明、谈判保证金等进行审查及按规定进行原件核查，以确定供应商是否具备资格条件。它所涉及到的主要文件和内容为谈判文件所述的资格证明文件内容和签章的合格性、合法性等。如果供应商不具备谈判资格，不满足谈判文件所规定的资格标准或提供资格证明文件不全的，其竞标将被拒绝。</w:t>
      </w:r>
    </w:p>
    <w:p>
      <w:pPr>
        <w:pStyle w:val="13"/>
        <w:spacing w:line="400" w:lineRule="exact"/>
        <w:ind w:firstLine="420"/>
        <w:rPr>
          <w:rFonts w:hAnsi="宋体" w:cs="宋体"/>
          <w:color w:val="000000"/>
          <w:sz w:val="24"/>
          <w:szCs w:val="24"/>
        </w:rPr>
      </w:pPr>
      <w:r>
        <w:rPr>
          <w:rFonts w:hint="eastAsia" w:hAnsi="宋体" w:cs="宋体"/>
          <w:color w:val="000000"/>
          <w:sz w:val="24"/>
          <w:szCs w:val="24"/>
        </w:rPr>
        <w:t>2、符合性检查。依据谈判文件的规定，从响应文件的有效性、完整性和对谈判文件的响应程度进行审查，以确定是否对谈判文件的实质性要求作出响应（采购人可根据具体项目的情况对实质性要求作特别的规定）。实质性偏离是指：(1)实质性影响合同的范围、质量和履行；(2)实质性违背谈判文件，限制了采购人的权利和成交供应商合同项下的义务；(3)不公正地影响了其它作出实质性响应的供应商的竞争地位。</w:t>
      </w:r>
    </w:p>
    <w:p>
      <w:pPr>
        <w:pStyle w:val="13"/>
        <w:spacing w:line="400" w:lineRule="exact"/>
        <w:ind w:firstLine="420"/>
        <w:rPr>
          <w:rFonts w:hAnsi="宋体" w:cs="宋体"/>
          <w:b/>
          <w:color w:val="000000"/>
          <w:sz w:val="24"/>
          <w:szCs w:val="24"/>
        </w:rPr>
      </w:pPr>
      <w:r>
        <w:rPr>
          <w:rFonts w:hint="eastAsia" w:hAnsi="宋体" w:cs="宋体"/>
          <w:b/>
          <w:color w:val="000000"/>
          <w:sz w:val="24"/>
          <w:szCs w:val="24"/>
        </w:rPr>
        <w:t>17.4澄清有关问题、算术性修正</w:t>
      </w:r>
    </w:p>
    <w:p>
      <w:pPr>
        <w:pStyle w:val="13"/>
        <w:spacing w:line="400" w:lineRule="exact"/>
        <w:ind w:firstLine="420"/>
        <w:rPr>
          <w:rFonts w:hAnsi="宋体" w:cs="宋体"/>
          <w:color w:val="000000"/>
          <w:sz w:val="24"/>
          <w:szCs w:val="24"/>
        </w:rPr>
      </w:pPr>
      <w:r>
        <w:rPr>
          <w:rFonts w:hint="eastAsia" w:hAnsi="宋体" w:cs="宋体"/>
          <w:color w:val="000000"/>
          <w:sz w:val="24"/>
          <w:szCs w:val="24"/>
        </w:rPr>
        <w:t>17.4.1谈判小组对响应文件的有效性、完整性和响应性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spacing w:line="400" w:lineRule="exact"/>
        <w:ind w:firstLine="420"/>
        <w:rPr>
          <w:rFonts w:hAnsi="宋体" w:cs="宋体"/>
          <w:color w:val="000000"/>
          <w:sz w:val="24"/>
          <w:szCs w:val="24"/>
        </w:rPr>
      </w:pPr>
      <w:r>
        <w:rPr>
          <w:rFonts w:hint="eastAsia" w:hAnsi="宋体" w:cs="宋体"/>
          <w:color w:val="000000"/>
          <w:sz w:val="24"/>
          <w:szCs w:val="24"/>
        </w:rPr>
        <w:t>17.4.2谈判小组要求供应商澄清、说明或者更正响应文件应当以书面形式作出。供应商的澄清、说明或者更正应由法定代表人</w:t>
      </w:r>
      <w:r>
        <w:rPr>
          <w:rFonts w:hint="eastAsia" w:hAnsi="宋体" w:cs="宋体"/>
          <w:color w:val="000000"/>
          <w:kern w:val="0"/>
          <w:sz w:val="24"/>
          <w:szCs w:val="24"/>
        </w:rPr>
        <w:t>(负责人)</w:t>
      </w:r>
      <w:r>
        <w:rPr>
          <w:rFonts w:hint="eastAsia" w:hAnsi="宋体" w:cs="宋体"/>
          <w:color w:val="000000"/>
          <w:sz w:val="24"/>
          <w:szCs w:val="24"/>
        </w:rPr>
        <w:t>或其委托代理人签字或者加盖公章。供应商的澄清文件是响应文件的组成部分。</w:t>
      </w:r>
    </w:p>
    <w:p>
      <w:pPr>
        <w:pStyle w:val="13"/>
        <w:spacing w:line="400" w:lineRule="exact"/>
        <w:ind w:firstLine="420"/>
        <w:rPr>
          <w:rFonts w:hAnsi="宋体" w:cs="宋体"/>
          <w:color w:val="000000"/>
          <w:sz w:val="24"/>
          <w:szCs w:val="24"/>
        </w:rPr>
      </w:pPr>
      <w:r>
        <w:rPr>
          <w:rFonts w:hint="eastAsia" w:hAnsi="宋体" w:cs="宋体"/>
          <w:color w:val="000000"/>
          <w:sz w:val="24"/>
          <w:szCs w:val="24"/>
        </w:rPr>
        <w:t>17.4.3响应文件如果出现计算或表达上的错误，修正错误的原则如下：</w:t>
      </w:r>
    </w:p>
    <w:p>
      <w:pPr>
        <w:pStyle w:val="13"/>
        <w:spacing w:line="400" w:lineRule="exact"/>
        <w:ind w:firstLine="420"/>
        <w:rPr>
          <w:rFonts w:hAnsi="宋体" w:cs="宋体"/>
          <w:color w:val="000000"/>
          <w:sz w:val="24"/>
          <w:szCs w:val="24"/>
        </w:rPr>
      </w:pPr>
      <w:bookmarkStart w:id="183" w:name="OLE_LINK7"/>
      <w:r>
        <w:rPr>
          <w:rFonts w:hint="eastAsia" w:hAnsi="宋体" w:cs="宋体"/>
          <w:color w:val="000000"/>
          <w:sz w:val="24"/>
          <w:szCs w:val="24"/>
        </w:rPr>
        <w:t>① 响应文件的大写金额和小写金额不一致时，以大写金额为准；</w:t>
      </w:r>
    </w:p>
    <w:p>
      <w:pPr>
        <w:pStyle w:val="13"/>
        <w:spacing w:line="400" w:lineRule="exact"/>
        <w:ind w:firstLine="420"/>
        <w:rPr>
          <w:rFonts w:hAnsi="宋体" w:cs="宋体"/>
          <w:color w:val="000000"/>
          <w:sz w:val="24"/>
          <w:szCs w:val="24"/>
        </w:rPr>
      </w:pPr>
      <w:r>
        <w:rPr>
          <w:rFonts w:hint="eastAsia" w:hAnsi="宋体" w:cs="宋体"/>
          <w:color w:val="000000"/>
          <w:sz w:val="24"/>
          <w:szCs w:val="24"/>
        </w:rPr>
        <w:t>② 总价金额与按单价汇总金额不一致的，以单价金额计算结果为准；</w:t>
      </w:r>
    </w:p>
    <w:p>
      <w:pPr>
        <w:pStyle w:val="13"/>
        <w:spacing w:line="400" w:lineRule="exact"/>
        <w:ind w:firstLine="420"/>
        <w:rPr>
          <w:rFonts w:hAnsi="宋体" w:cs="宋体"/>
          <w:color w:val="000000"/>
          <w:sz w:val="24"/>
          <w:szCs w:val="24"/>
        </w:rPr>
      </w:pPr>
      <w:r>
        <w:rPr>
          <w:rFonts w:hint="eastAsia" w:hAnsi="宋体" w:cs="宋体"/>
          <w:color w:val="000000"/>
          <w:sz w:val="24"/>
          <w:szCs w:val="24"/>
        </w:rPr>
        <w:t>③ 单价金额小数点有明显错位的，应以总价为准，并修改单价；</w:t>
      </w:r>
    </w:p>
    <w:p>
      <w:pPr>
        <w:pStyle w:val="13"/>
        <w:spacing w:line="400" w:lineRule="exact"/>
        <w:ind w:firstLine="420"/>
        <w:rPr>
          <w:rFonts w:hAnsi="宋体" w:cs="宋体"/>
          <w:color w:val="000000"/>
          <w:sz w:val="24"/>
          <w:szCs w:val="24"/>
        </w:rPr>
      </w:pPr>
      <w:r>
        <w:rPr>
          <w:rFonts w:hint="eastAsia" w:hAnsi="宋体" w:cs="宋体"/>
          <w:color w:val="000000"/>
          <w:sz w:val="24"/>
          <w:szCs w:val="24"/>
        </w:rPr>
        <w:t>④ 对不同文字文本响应文件的解释发生异议的，以中文文本为准。</w:t>
      </w:r>
    </w:p>
    <w:p>
      <w:pPr>
        <w:pStyle w:val="13"/>
        <w:spacing w:line="400" w:lineRule="exact"/>
        <w:ind w:firstLine="420"/>
        <w:rPr>
          <w:rFonts w:hAnsi="宋体" w:cs="宋体"/>
          <w:color w:val="000000"/>
          <w:sz w:val="24"/>
          <w:szCs w:val="24"/>
        </w:rPr>
      </w:pPr>
      <w:r>
        <w:rPr>
          <w:rFonts w:hint="eastAsia" w:hAnsi="宋体" w:cs="宋体"/>
          <w:color w:val="000000"/>
          <w:sz w:val="24"/>
          <w:szCs w:val="24"/>
        </w:rPr>
        <w:t>⑤ 按上述修正错误的原则及方法调整或修正响应文件的竞标报价，在供应商确认后，调整后的竞标报价对供应商起约束作用。如果供应商拒绝确认，不接受修正后的价格或内容的，则其响应文件将不予评审，其竞标将被拒绝，采购人有权没收其谈判保证金。</w:t>
      </w:r>
    </w:p>
    <w:p>
      <w:pPr>
        <w:pStyle w:val="13"/>
        <w:spacing w:line="400" w:lineRule="exact"/>
        <w:ind w:firstLine="420"/>
        <w:rPr>
          <w:rFonts w:hAnsi="宋体" w:cs="宋体"/>
          <w:b/>
          <w:color w:val="000000"/>
          <w:sz w:val="24"/>
          <w:szCs w:val="24"/>
        </w:rPr>
      </w:pPr>
      <w:r>
        <w:rPr>
          <w:rFonts w:hint="eastAsia" w:hAnsi="宋体" w:cs="宋体"/>
          <w:b/>
          <w:color w:val="000000"/>
          <w:sz w:val="24"/>
          <w:szCs w:val="24"/>
        </w:rPr>
        <w:t>18.</w:t>
      </w:r>
      <w:bookmarkEnd w:id="183"/>
      <w:r>
        <w:rPr>
          <w:rFonts w:hint="eastAsia" w:hAnsi="宋体" w:cs="宋体"/>
          <w:b/>
          <w:color w:val="000000"/>
          <w:sz w:val="24"/>
          <w:szCs w:val="24"/>
        </w:rPr>
        <w:t>5谈判</w:t>
      </w:r>
    </w:p>
    <w:p>
      <w:pPr>
        <w:pStyle w:val="13"/>
        <w:spacing w:line="400" w:lineRule="exact"/>
        <w:ind w:firstLine="420"/>
        <w:rPr>
          <w:rFonts w:hAnsi="宋体" w:cs="宋体"/>
          <w:color w:val="000000"/>
          <w:spacing w:val="-4"/>
          <w:sz w:val="24"/>
          <w:szCs w:val="24"/>
        </w:rPr>
      </w:pPr>
      <w:r>
        <w:rPr>
          <w:rFonts w:hint="eastAsia" w:hAnsi="宋体" w:cs="宋体"/>
          <w:color w:val="000000"/>
          <w:sz w:val="24"/>
          <w:szCs w:val="24"/>
        </w:rPr>
        <w:t>18.5.1谈判时间及地点：</w:t>
      </w:r>
      <w:r>
        <w:rPr>
          <w:rFonts w:hint="eastAsia" w:hAnsi="宋体" w:cs="宋体"/>
          <w:color w:val="000000"/>
          <w:spacing w:val="-4"/>
          <w:sz w:val="24"/>
          <w:szCs w:val="24"/>
        </w:rPr>
        <w:t>本须知前附表第11项规定的时间和地点。</w:t>
      </w:r>
    </w:p>
    <w:p>
      <w:pPr>
        <w:pStyle w:val="13"/>
        <w:spacing w:line="400" w:lineRule="exact"/>
        <w:ind w:firstLine="420"/>
        <w:rPr>
          <w:rFonts w:hAnsi="宋体" w:cs="宋体"/>
          <w:bCs/>
          <w:color w:val="000000"/>
          <w:sz w:val="24"/>
          <w:szCs w:val="24"/>
        </w:rPr>
      </w:pPr>
      <w:r>
        <w:rPr>
          <w:rFonts w:hint="eastAsia" w:hAnsi="宋体" w:cs="宋体"/>
          <w:color w:val="000000"/>
          <w:sz w:val="24"/>
          <w:szCs w:val="24"/>
        </w:rPr>
        <w:t>18.5.2</w:t>
      </w:r>
      <w:r>
        <w:rPr>
          <w:rFonts w:hint="eastAsia" w:hAnsi="宋体" w:cs="宋体"/>
          <w:bCs/>
          <w:color w:val="000000"/>
          <w:sz w:val="24"/>
          <w:szCs w:val="24"/>
        </w:rPr>
        <w:t>谈判小组对响应文件进行评审，并根据谈判文件规定的程序、评定成交的标准等事项与实质性响应谈判文件要求的供应商进行谈判。未实质性响应谈判文件的响应文件按无效处理，谈判小组应当告知有关供应商。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13"/>
        <w:spacing w:line="400" w:lineRule="exact"/>
        <w:ind w:firstLine="420"/>
        <w:rPr>
          <w:rFonts w:hAnsi="宋体" w:cs="宋体"/>
          <w:color w:val="000000"/>
          <w:sz w:val="24"/>
          <w:szCs w:val="24"/>
        </w:rPr>
      </w:pPr>
      <w:r>
        <w:rPr>
          <w:rFonts w:hint="eastAsia" w:hAnsi="宋体" w:cs="宋体"/>
          <w:color w:val="000000"/>
          <w:sz w:val="24"/>
          <w:szCs w:val="24"/>
        </w:rPr>
        <w:t>18.5.3谈判小组所有成员集中与单一供应商分别进行谈判（最多三轮），谈判的内容包括技术条件、商务性条件及谈判小组认为需要谈判的内容。</w:t>
      </w:r>
    </w:p>
    <w:p>
      <w:pPr>
        <w:pStyle w:val="13"/>
        <w:spacing w:line="400" w:lineRule="exact"/>
        <w:ind w:firstLine="420"/>
        <w:rPr>
          <w:rFonts w:hAnsi="宋体" w:cs="宋体"/>
          <w:color w:val="000000"/>
          <w:sz w:val="24"/>
          <w:szCs w:val="24"/>
        </w:rPr>
      </w:pPr>
      <w:r>
        <w:rPr>
          <w:rFonts w:hint="eastAsia" w:hAnsi="宋体" w:cs="宋体"/>
          <w:color w:val="000000"/>
          <w:sz w:val="24"/>
          <w:szCs w:val="24"/>
        </w:rPr>
        <w:t>谈判中，谈判小组不得透露与谈判有关的其他供应商的技术资料、价格和其他信息。</w:t>
      </w:r>
    </w:p>
    <w:p>
      <w:pPr>
        <w:pStyle w:val="13"/>
        <w:spacing w:line="400" w:lineRule="exact"/>
        <w:ind w:firstLine="420"/>
        <w:rPr>
          <w:rFonts w:hAnsi="宋体" w:cs="宋体"/>
          <w:color w:val="000000"/>
          <w:sz w:val="24"/>
          <w:szCs w:val="24"/>
        </w:rPr>
      </w:pPr>
      <w:r>
        <w:rPr>
          <w:rFonts w:hint="eastAsia" w:hAnsi="宋体" w:cs="宋体"/>
          <w:color w:val="000000"/>
          <w:sz w:val="24"/>
          <w:szCs w:val="24"/>
        </w:rPr>
        <w:t>采购代理机构对谈判过程和重要谈判内容进行记录，谈判双方在记录上签字确认。</w:t>
      </w:r>
    </w:p>
    <w:p>
      <w:pPr>
        <w:pStyle w:val="13"/>
        <w:spacing w:line="400" w:lineRule="exact"/>
        <w:ind w:firstLine="420"/>
        <w:rPr>
          <w:rFonts w:hAnsi="宋体" w:cs="宋体"/>
          <w:color w:val="000000"/>
          <w:sz w:val="24"/>
          <w:szCs w:val="24"/>
        </w:rPr>
      </w:pPr>
      <w:r>
        <w:rPr>
          <w:rFonts w:hint="eastAsia" w:hAnsi="宋体" w:cs="宋体"/>
          <w:color w:val="000000"/>
          <w:sz w:val="24"/>
          <w:szCs w:val="24"/>
        </w:rPr>
        <w:t>在谈判过程中，谈判小组可以根据谈判文件和谈判情况实质性变动项目需求中的技术、服务要求以及合同草案条款，但不得变动谈判文件中的其他内容。实质性变动的内容，须经采购人代表确认。</w:t>
      </w:r>
    </w:p>
    <w:p>
      <w:pPr>
        <w:pStyle w:val="13"/>
        <w:spacing w:line="400" w:lineRule="exact"/>
        <w:ind w:firstLine="420"/>
        <w:rPr>
          <w:rFonts w:hAnsi="宋体" w:cs="宋体"/>
          <w:color w:val="000000"/>
          <w:sz w:val="24"/>
          <w:szCs w:val="24"/>
        </w:rPr>
      </w:pPr>
      <w:r>
        <w:rPr>
          <w:rFonts w:hint="eastAsia" w:hAnsi="宋体" w:cs="宋体"/>
          <w:color w:val="000000"/>
          <w:sz w:val="24"/>
          <w:szCs w:val="24"/>
        </w:rPr>
        <w:t>对谈判文件作出的实质性变动是谈判文件的有效组成部分，谈判小组应当及时以书面形式同时通知所有参加谈判的供应商。</w:t>
      </w:r>
    </w:p>
    <w:p>
      <w:pPr>
        <w:pStyle w:val="13"/>
        <w:spacing w:line="400" w:lineRule="exact"/>
        <w:ind w:firstLine="420"/>
        <w:rPr>
          <w:rFonts w:hAnsi="宋体" w:cs="宋体"/>
          <w:color w:val="000000"/>
          <w:sz w:val="24"/>
          <w:szCs w:val="24"/>
        </w:rPr>
      </w:pPr>
      <w:r>
        <w:rPr>
          <w:rFonts w:hint="eastAsia" w:hAnsi="宋体" w:cs="宋体"/>
          <w:color w:val="000000"/>
          <w:sz w:val="24"/>
          <w:szCs w:val="24"/>
        </w:rPr>
        <w:t>供应商应当按照谈判文件的变动情况和谈判小组的要求重新提交响应文件，并由其法定代表人</w:t>
      </w:r>
      <w:r>
        <w:rPr>
          <w:rFonts w:hint="eastAsia" w:hAnsi="宋体" w:cs="宋体"/>
          <w:color w:val="000000"/>
          <w:kern w:val="0"/>
          <w:sz w:val="24"/>
          <w:szCs w:val="24"/>
        </w:rPr>
        <w:t>(负责人)</w:t>
      </w:r>
      <w:r>
        <w:rPr>
          <w:rFonts w:hint="eastAsia" w:hAnsi="宋体" w:cs="宋体"/>
          <w:color w:val="000000"/>
          <w:sz w:val="24"/>
          <w:szCs w:val="24"/>
        </w:rPr>
        <w:t>或授权代表签字或者加盖公章。逾时不交的，视同放弃谈判。</w:t>
      </w:r>
    </w:p>
    <w:p>
      <w:pPr>
        <w:pStyle w:val="13"/>
        <w:spacing w:line="400" w:lineRule="exact"/>
        <w:ind w:firstLine="420"/>
        <w:rPr>
          <w:rFonts w:hAnsi="宋体" w:cs="宋体"/>
          <w:color w:val="000000"/>
          <w:kern w:val="0"/>
          <w:sz w:val="24"/>
          <w:szCs w:val="24"/>
        </w:rPr>
      </w:pPr>
      <w:r>
        <w:rPr>
          <w:rFonts w:hint="eastAsia" w:hAnsi="宋体" w:cs="宋体"/>
          <w:color w:val="000000"/>
          <w:sz w:val="24"/>
          <w:szCs w:val="24"/>
        </w:rPr>
        <w:t>18.5.4</w:t>
      </w:r>
      <w:r>
        <w:rPr>
          <w:rFonts w:hint="eastAsia" w:hAnsi="宋体" w:cs="宋体"/>
          <w:color w:val="000000"/>
          <w:kern w:val="0"/>
          <w:sz w:val="24"/>
          <w:szCs w:val="24"/>
        </w:rPr>
        <w:t>在采购过程中符合竞争要求的供应商或者报价未超过采购预算的供应商不足3家的，采购人或者采购代理机构应当终止竞争性谈判采购活动。</w:t>
      </w:r>
    </w:p>
    <w:p>
      <w:pPr>
        <w:pStyle w:val="13"/>
        <w:spacing w:line="400" w:lineRule="exact"/>
        <w:ind w:firstLine="420"/>
        <w:rPr>
          <w:rFonts w:hAnsi="宋体" w:cs="宋体"/>
          <w:b/>
          <w:color w:val="000000"/>
          <w:sz w:val="24"/>
          <w:szCs w:val="24"/>
        </w:rPr>
      </w:pPr>
      <w:r>
        <w:rPr>
          <w:rFonts w:hint="eastAsia" w:hAnsi="宋体" w:cs="宋体"/>
          <w:b/>
          <w:color w:val="000000"/>
          <w:sz w:val="24"/>
          <w:szCs w:val="24"/>
        </w:rPr>
        <w:t>19.6最后报价</w:t>
      </w:r>
    </w:p>
    <w:p>
      <w:pPr>
        <w:pStyle w:val="13"/>
        <w:spacing w:line="400" w:lineRule="exact"/>
        <w:ind w:firstLine="420"/>
        <w:rPr>
          <w:rFonts w:hAnsi="宋体" w:cs="宋体"/>
          <w:color w:val="000000"/>
          <w:sz w:val="24"/>
          <w:szCs w:val="24"/>
        </w:rPr>
      </w:pPr>
      <w:r>
        <w:rPr>
          <w:rFonts w:hint="eastAsia" w:hAnsi="宋体" w:cs="宋体"/>
          <w:color w:val="000000"/>
          <w:sz w:val="24"/>
          <w:szCs w:val="24"/>
        </w:rPr>
        <w:t>19.6.1谈判文件能够详细列明采购标的的技术、服务要求的，谈判结束后，谈判小组要求所有继续参加谈判的供应商在规定时间内提交最后报价，提交最后报价的供应商不得少于3家。</w:t>
      </w:r>
    </w:p>
    <w:p>
      <w:pPr>
        <w:pStyle w:val="13"/>
        <w:spacing w:line="400" w:lineRule="exact"/>
        <w:ind w:firstLine="420"/>
        <w:rPr>
          <w:rFonts w:hAnsi="宋体" w:cs="宋体"/>
          <w:color w:val="000000"/>
          <w:sz w:val="24"/>
          <w:szCs w:val="24"/>
        </w:rPr>
      </w:pPr>
      <w:r>
        <w:rPr>
          <w:rFonts w:hint="eastAsia" w:hAnsi="宋体" w:cs="宋体"/>
          <w:color w:val="000000"/>
          <w:sz w:val="24"/>
          <w:szCs w:val="24"/>
        </w:rPr>
        <w:t>19.6.2谈判文件不能详细列明采购标的的技术、服务要求，经谈判由供应商提供最终设计方案或解决方案的，谈判结束后，谈判小组按照少数服从多数的原则投票推荐3家以上（含3家）供应商的设计方案或者解决方案，并要求其在规定时间内密封提交最后报价。</w:t>
      </w:r>
    </w:p>
    <w:p>
      <w:pPr>
        <w:pStyle w:val="13"/>
        <w:spacing w:line="400" w:lineRule="exact"/>
        <w:ind w:firstLine="420"/>
        <w:rPr>
          <w:rFonts w:hAnsi="宋体" w:cs="宋体"/>
          <w:color w:val="000000"/>
          <w:sz w:val="24"/>
          <w:szCs w:val="24"/>
        </w:rPr>
      </w:pPr>
      <w:r>
        <w:rPr>
          <w:rFonts w:hint="eastAsia" w:hAnsi="宋体" w:cs="宋体"/>
          <w:color w:val="000000"/>
          <w:sz w:val="24"/>
          <w:szCs w:val="24"/>
        </w:rPr>
        <w:t>19.6.3</w:t>
      </w:r>
      <w:r>
        <w:rPr>
          <w:rFonts w:hint="eastAsia" w:hAnsi="宋体" w:cs="宋体"/>
          <w:color w:val="000000"/>
          <w:spacing w:val="-4"/>
          <w:sz w:val="24"/>
          <w:szCs w:val="24"/>
        </w:rPr>
        <w:t>最后报价不得高于上一轮总报价，</w:t>
      </w:r>
      <w:r>
        <w:rPr>
          <w:rFonts w:hint="eastAsia" w:hAnsi="宋体" w:cs="宋体"/>
          <w:color w:val="000000"/>
          <w:sz w:val="24"/>
          <w:szCs w:val="24"/>
        </w:rPr>
        <w:t>最后报价是供应商响应文件的有效组成部分，若供应商成交，各子项最后成交单价均不得高于各子项首次单价报价。</w:t>
      </w:r>
    </w:p>
    <w:p>
      <w:pPr>
        <w:pStyle w:val="13"/>
        <w:spacing w:line="400" w:lineRule="exact"/>
        <w:ind w:firstLine="420"/>
        <w:rPr>
          <w:rFonts w:hAnsi="宋体" w:cs="宋体"/>
          <w:color w:val="000000"/>
          <w:sz w:val="24"/>
          <w:szCs w:val="24"/>
        </w:rPr>
      </w:pPr>
      <w:r>
        <w:rPr>
          <w:rFonts w:hint="eastAsia" w:hAnsi="宋体" w:cs="宋体"/>
          <w:b/>
          <w:color w:val="000000"/>
          <w:sz w:val="24"/>
          <w:szCs w:val="24"/>
        </w:rPr>
        <w:t>19.7</w:t>
      </w:r>
      <w:r>
        <w:rPr>
          <w:rFonts w:hint="eastAsia" w:hAnsi="宋体" w:cs="宋体"/>
          <w:color w:val="000000"/>
          <w:sz w:val="24"/>
          <w:szCs w:val="24"/>
        </w:rPr>
        <w:t>已提交响应文件的供应商，在提交最后报价之前，可以根据谈判情况退出谈判。采购人、采购代理机构退还退出谈判的供应商的谈判保证金。</w:t>
      </w:r>
    </w:p>
    <w:p>
      <w:pPr>
        <w:pStyle w:val="13"/>
        <w:spacing w:line="400" w:lineRule="exact"/>
        <w:ind w:firstLine="420"/>
        <w:rPr>
          <w:rFonts w:hAnsi="宋体" w:cs="宋体"/>
          <w:color w:val="000000"/>
          <w:sz w:val="24"/>
          <w:szCs w:val="24"/>
        </w:rPr>
      </w:pPr>
      <w:r>
        <w:rPr>
          <w:rFonts w:hint="eastAsia" w:hAnsi="宋体" w:cs="宋体"/>
          <w:color w:val="000000"/>
          <w:sz w:val="24"/>
          <w:szCs w:val="24"/>
        </w:rPr>
        <w:t>供应商未在通知的时间内到达现场参加谈判的，或未提交书面说明退出谈判的，或未在规定时间内提交书面应答文件和最后报价的，视为供应商自动放弃谈判。</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未书面退出谈判的供应商在规定时间内密封提交最后报价，其最后报价超出采购预算导致已通过评审的响应文件无效的，按供应商在提交响应文件截止时间后撤回响应文件处理。</w:t>
      </w:r>
    </w:p>
    <w:p>
      <w:pPr>
        <w:pStyle w:val="13"/>
        <w:spacing w:line="400" w:lineRule="exact"/>
        <w:ind w:firstLine="420"/>
        <w:rPr>
          <w:rFonts w:hAnsi="宋体" w:cs="宋体"/>
          <w:color w:val="000000"/>
          <w:sz w:val="24"/>
          <w:szCs w:val="24"/>
        </w:rPr>
      </w:pPr>
      <w:r>
        <w:rPr>
          <w:rFonts w:hint="eastAsia" w:hAnsi="宋体" w:cs="宋体"/>
          <w:b/>
          <w:color w:val="000000"/>
          <w:sz w:val="24"/>
          <w:szCs w:val="24"/>
        </w:rPr>
        <w:t>19.8推荐成交候选供应商名单并编写评审报告。</w:t>
      </w:r>
      <w:r>
        <w:rPr>
          <w:rFonts w:hint="eastAsia" w:hAnsi="宋体" w:cs="宋体"/>
          <w:color w:val="000000"/>
          <w:kern w:val="0"/>
          <w:sz w:val="24"/>
          <w:szCs w:val="24"/>
        </w:rPr>
        <w:t>谈判小组按谈判文件第五章评审方法推荐成交供应商名单，并向采购人提交书面评审报告。</w:t>
      </w:r>
    </w:p>
    <w:p>
      <w:pPr>
        <w:pStyle w:val="13"/>
        <w:spacing w:line="400" w:lineRule="exact"/>
        <w:ind w:firstLine="420"/>
        <w:rPr>
          <w:rFonts w:hAnsi="宋体" w:cs="宋体"/>
          <w:color w:val="000000"/>
          <w:kern w:val="0"/>
          <w:sz w:val="24"/>
          <w:szCs w:val="24"/>
        </w:rPr>
      </w:pPr>
      <w:r>
        <w:rPr>
          <w:rFonts w:hint="eastAsia" w:hAnsi="宋体" w:cs="宋体"/>
          <w:color w:val="000000"/>
          <w:kern w:val="0"/>
          <w:sz w:val="24"/>
          <w:szCs w:val="24"/>
        </w:rPr>
        <w:t>19.9在评审过程中出现法律法规和谈判文件均没有明确规定的情形时，由谈判小组现场协商解决，协商不一致的，由全体谈判小组投票表决，以得票率二分之一以上谈判小组成员的意见为准。</w:t>
      </w:r>
    </w:p>
    <w:p>
      <w:pPr>
        <w:pStyle w:val="13"/>
        <w:spacing w:line="400" w:lineRule="exact"/>
        <w:ind w:right="-187" w:rightChars="-89" w:firstLine="420"/>
        <w:rPr>
          <w:rFonts w:hAnsi="宋体" w:cs="宋体"/>
          <w:color w:val="000000"/>
          <w:spacing w:val="-2"/>
          <w:sz w:val="24"/>
          <w:szCs w:val="24"/>
        </w:rPr>
      </w:pPr>
      <w:r>
        <w:rPr>
          <w:rFonts w:hint="eastAsia" w:hAnsi="宋体" w:cs="宋体"/>
          <w:color w:val="000000"/>
          <w:spacing w:val="-2"/>
          <w:sz w:val="24"/>
          <w:szCs w:val="24"/>
        </w:rPr>
        <w:t>19.10评标会纪律</w:t>
      </w:r>
    </w:p>
    <w:p>
      <w:pPr>
        <w:pStyle w:val="13"/>
        <w:spacing w:line="400" w:lineRule="exact"/>
        <w:ind w:firstLine="420"/>
        <w:rPr>
          <w:rFonts w:hAnsi="宋体" w:cs="宋体"/>
          <w:color w:val="000000"/>
          <w:sz w:val="24"/>
          <w:szCs w:val="24"/>
        </w:rPr>
      </w:pPr>
      <w:r>
        <w:rPr>
          <w:rFonts w:hint="eastAsia" w:hAnsi="宋体" w:cs="宋体"/>
          <w:color w:val="000000"/>
          <w:sz w:val="24"/>
          <w:szCs w:val="24"/>
        </w:rPr>
        <w:t>(1) 评标过程的保密性。谈判小组成员、有关工作人员及其他知情人不得透露对响应文件评审、比较、成交候选供应商的推荐情况以及与评标有关的其他情况。</w:t>
      </w:r>
    </w:p>
    <w:p>
      <w:pPr>
        <w:pStyle w:val="13"/>
        <w:spacing w:line="400" w:lineRule="exact"/>
        <w:ind w:right="-187" w:rightChars="-89" w:firstLine="420"/>
        <w:rPr>
          <w:rFonts w:hAnsi="宋体" w:cs="宋体"/>
          <w:color w:val="000000"/>
          <w:sz w:val="24"/>
          <w:szCs w:val="24"/>
        </w:rPr>
      </w:pPr>
      <w:r>
        <w:rPr>
          <w:rFonts w:hint="eastAsia" w:hAnsi="宋体" w:cs="宋体"/>
          <w:color w:val="000000"/>
          <w:sz w:val="24"/>
          <w:szCs w:val="24"/>
        </w:rPr>
        <w:t>(2) 供应商在评标过程中，所进行的力图影响评标结果公正性的活动，将可能导致其成交资格被取消。</w:t>
      </w:r>
    </w:p>
    <w:p>
      <w:pPr>
        <w:pStyle w:val="4"/>
        <w:spacing w:before="0" w:after="0" w:line="400" w:lineRule="exact"/>
        <w:rPr>
          <w:rFonts w:ascii="宋体" w:hAnsi="宋体" w:eastAsia="宋体" w:cs="宋体"/>
          <w:color w:val="000000"/>
          <w:sz w:val="24"/>
          <w:szCs w:val="24"/>
        </w:rPr>
      </w:pPr>
      <w:bookmarkStart w:id="184" w:name="_Toc239839888"/>
      <w:bookmarkStart w:id="185" w:name="_Toc517938815"/>
      <w:r>
        <w:rPr>
          <w:rFonts w:hint="eastAsia" w:ascii="宋体" w:hAnsi="宋体" w:eastAsia="宋体" w:cs="宋体"/>
          <w:color w:val="000000"/>
          <w:sz w:val="24"/>
          <w:szCs w:val="24"/>
        </w:rPr>
        <w:t>20、无效的响应文件</w:t>
      </w:r>
      <w:bookmarkEnd w:id="179"/>
      <w:bookmarkEnd w:id="180"/>
      <w:bookmarkEnd w:id="181"/>
      <w:bookmarkEnd w:id="182"/>
      <w:bookmarkEnd w:id="184"/>
      <w:bookmarkEnd w:id="185"/>
    </w:p>
    <w:p>
      <w:pPr>
        <w:pStyle w:val="13"/>
        <w:spacing w:line="400" w:lineRule="exact"/>
        <w:ind w:firstLine="420"/>
        <w:rPr>
          <w:rFonts w:hAnsi="宋体" w:cs="宋体"/>
          <w:color w:val="000000"/>
          <w:sz w:val="24"/>
          <w:szCs w:val="24"/>
        </w:rPr>
      </w:pPr>
      <w:r>
        <w:rPr>
          <w:rFonts w:hint="eastAsia" w:hAnsi="宋体" w:cs="宋体"/>
          <w:color w:val="000000"/>
          <w:sz w:val="24"/>
          <w:szCs w:val="24"/>
        </w:rPr>
        <w:t>20.1属于下列情况之一者，响应文件无效：</w:t>
      </w:r>
    </w:p>
    <w:p>
      <w:pPr>
        <w:snapToGrid w:val="0"/>
        <w:spacing w:line="400" w:lineRule="exact"/>
        <w:ind w:firstLine="470" w:firstLineChars="196"/>
        <w:outlineLvl w:val="4"/>
        <w:rPr>
          <w:rFonts w:ascii="宋体" w:hAnsi="宋体" w:cs="宋体"/>
          <w:color w:val="000000"/>
          <w:sz w:val="24"/>
        </w:rPr>
      </w:pPr>
      <w:bookmarkStart w:id="186" w:name="_Toc206525708"/>
      <w:bookmarkStart w:id="187" w:name="_Toc185702575"/>
      <w:bookmarkStart w:id="188" w:name="_Toc230578083"/>
      <w:bookmarkStart w:id="189" w:name="_Toc239839889"/>
      <w:bookmarkStart w:id="190" w:name="_Toc207770861"/>
      <w:r>
        <w:rPr>
          <w:rFonts w:hint="eastAsia" w:ascii="宋体" w:hAnsi="宋体" w:cs="宋体"/>
          <w:color w:val="000000"/>
          <w:sz w:val="24"/>
        </w:rPr>
        <w:t>(1) 未按有关要求提交或足额提交谈判保证金的；</w:t>
      </w:r>
    </w:p>
    <w:p>
      <w:pPr>
        <w:snapToGrid w:val="0"/>
        <w:spacing w:line="400" w:lineRule="exact"/>
        <w:ind w:firstLine="470" w:firstLineChars="196"/>
        <w:outlineLvl w:val="4"/>
        <w:rPr>
          <w:rFonts w:ascii="宋体" w:hAnsi="宋体" w:cs="宋体"/>
          <w:color w:val="000000"/>
          <w:sz w:val="24"/>
        </w:rPr>
      </w:pPr>
      <w:r>
        <w:rPr>
          <w:rFonts w:hint="eastAsia" w:ascii="宋体" w:hAnsi="宋体" w:cs="宋体"/>
          <w:color w:val="000000"/>
          <w:sz w:val="24"/>
        </w:rPr>
        <w:t>(2) 未按谈判文件规定完整提交响应文件或未按规定要求密封标记、签字、盖章的；</w:t>
      </w:r>
    </w:p>
    <w:p>
      <w:pPr>
        <w:snapToGrid w:val="0"/>
        <w:spacing w:line="400" w:lineRule="exact"/>
        <w:ind w:firstLine="470" w:firstLineChars="196"/>
        <w:outlineLvl w:val="4"/>
        <w:rPr>
          <w:rFonts w:ascii="宋体" w:hAnsi="宋体" w:cs="宋体"/>
          <w:color w:val="000000"/>
          <w:sz w:val="24"/>
        </w:rPr>
      </w:pPr>
      <w:r>
        <w:rPr>
          <w:rFonts w:hint="eastAsia" w:ascii="宋体" w:hAnsi="宋体" w:cs="宋体"/>
          <w:color w:val="000000"/>
          <w:sz w:val="24"/>
        </w:rPr>
        <w:t>(3) 不具备谈判文件规定的资格要求的；</w:t>
      </w:r>
    </w:p>
    <w:p>
      <w:pPr>
        <w:snapToGrid w:val="0"/>
        <w:spacing w:line="400" w:lineRule="exact"/>
        <w:ind w:firstLine="470" w:firstLineChars="196"/>
        <w:outlineLvl w:val="4"/>
        <w:rPr>
          <w:rFonts w:ascii="宋体" w:hAnsi="宋体" w:cs="宋体"/>
          <w:color w:val="000000"/>
          <w:sz w:val="24"/>
        </w:rPr>
      </w:pPr>
      <w:r>
        <w:rPr>
          <w:rFonts w:hint="eastAsia" w:ascii="宋体" w:hAnsi="宋体" w:cs="宋体"/>
          <w:color w:val="000000"/>
          <w:sz w:val="24"/>
        </w:rPr>
        <w:t>(4) 响应文件未按谈判文件的内容和要求编制，或提供虚假材料的；</w:t>
      </w:r>
    </w:p>
    <w:p>
      <w:pPr>
        <w:snapToGrid w:val="0"/>
        <w:spacing w:line="400" w:lineRule="exact"/>
        <w:ind w:firstLine="480" w:firstLineChars="200"/>
        <w:outlineLvl w:val="4"/>
        <w:rPr>
          <w:rFonts w:ascii="宋体" w:hAnsi="宋体" w:cs="宋体"/>
          <w:color w:val="000000"/>
          <w:sz w:val="24"/>
        </w:rPr>
      </w:pPr>
      <w:r>
        <w:rPr>
          <w:rFonts w:hint="eastAsia" w:ascii="宋体" w:hAnsi="宋体" w:cs="宋体"/>
          <w:color w:val="000000"/>
          <w:sz w:val="24"/>
        </w:rPr>
        <w:t>(5) 属于“必须提供”的响应文件未能按时提供或补正、更正的；</w:t>
      </w:r>
    </w:p>
    <w:p>
      <w:pPr>
        <w:snapToGrid w:val="0"/>
        <w:spacing w:line="400" w:lineRule="exact"/>
        <w:ind w:firstLine="470" w:firstLineChars="196"/>
        <w:outlineLvl w:val="4"/>
        <w:rPr>
          <w:rFonts w:ascii="宋体" w:hAnsi="宋体" w:cs="宋体"/>
          <w:color w:val="000000"/>
          <w:sz w:val="24"/>
        </w:rPr>
      </w:pPr>
      <w:r>
        <w:rPr>
          <w:rFonts w:hint="eastAsia" w:ascii="宋体" w:hAnsi="宋体" w:cs="宋体"/>
          <w:color w:val="000000"/>
          <w:sz w:val="24"/>
        </w:rPr>
        <w:t>(6) 响应文件有效期、保证金有效期、交货时间、质保期、售后服务不能满足谈判文件要求的；</w:t>
      </w:r>
    </w:p>
    <w:p>
      <w:pPr>
        <w:snapToGrid w:val="0"/>
        <w:spacing w:line="400" w:lineRule="exact"/>
        <w:ind w:firstLine="470" w:firstLineChars="196"/>
        <w:outlineLvl w:val="4"/>
        <w:rPr>
          <w:rFonts w:ascii="宋体" w:hAnsi="宋体" w:cs="宋体"/>
          <w:color w:val="000000"/>
          <w:sz w:val="24"/>
        </w:rPr>
      </w:pPr>
      <w:r>
        <w:rPr>
          <w:rFonts w:hint="eastAsia" w:ascii="宋体" w:hAnsi="宋体" w:cs="宋体"/>
          <w:color w:val="000000"/>
          <w:sz w:val="24"/>
        </w:rPr>
        <w:t>(7) 竞标内容与采购内容及要求存在重大偏离或保留的（如严重背离采购需求、合同协议要求等）；</w:t>
      </w:r>
    </w:p>
    <w:p>
      <w:pPr>
        <w:snapToGrid w:val="0"/>
        <w:spacing w:line="400" w:lineRule="exact"/>
        <w:ind w:firstLine="470" w:firstLineChars="196"/>
        <w:outlineLvl w:val="4"/>
        <w:rPr>
          <w:rFonts w:ascii="宋体" w:hAnsi="宋体" w:cs="宋体"/>
          <w:color w:val="000000"/>
          <w:sz w:val="24"/>
        </w:rPr>
      </w:pPr>
      <w:r>
        <w:rPr>
          <w:rFonts w:hint="eastAsia" w:ascii="宋体" w:hAnsi="宋体" w:cs="宋体"/>
          <w:color w:val="000000"/>
          <w:sz w:val="24"/>
        </w:rPr>
        <w:t>(8) 通过对“采购内容及要求”内容的修改以达到满足技术要求的；响应文件商务条款和技术参数偏离表没有按要求表述的或与项目要求表述不一致却没有提供相关依据说明的；</w:t>
      </w:r>
    </w:p>
    <w:p>
      <w:pPr>
        <w:snapToGrid w:val="0"/>
        <w:spacing w:line="400" w:lineRule="exact"/>
        <w:ind w:firstLine="470" w:firstLineChars="196"/>
        <w:outlineLvl w:val="4"/>
        <w:rPr>
          <w:rFonts w:ascii="宋体" w:hAnsi="宋体" w:cs="宋体"/>
          <w:color w:val="000000"/>
          <w:sz w:val="24"/>
        </w:rPr>
      </w:pPr>
      <w:r>
        <w:rPr>
          <w:rFonts w:hint="eastAsia" w:ascii="宋体" w:hAnsi="宋体" w:cs="宋体"/>
          <w:color w:val="000000"/>
          <w:sz w:val="24"/>
        </w:rPr>
        <w:t>(9)未按谈判文件要求提供样品的或经谈判小组评审样品不符合采购要求的；（若谈判文件要求递交样品的）</w:t>
      </w:r>
    </w:p>
    <w:p>
      <w:pPr>
        <w:snapToGrid w:val="0"/>
        <w:spacing w:line="400" w:lineRule="exact"/>
        <w:ind w:firstLine="470" w:firstLineChars="196"/>
        <w:outlineLvl w:val="4"/>
        <w:rPr>
          <w:rFonts w:ascii="宋体" w:hAnsi="宋体" w:cs="宋体"/>
          <w:color w:val="000000"/>
          <w:sz w:val="24"/>
        </w:rPr>
      </w:pPr>
      <w:r>
        <w:rPr>
          <w:rFonts w:hint="eastAsia" w:ascii="宋体" w:hAnsi="宋体" w:cs="宋体"/>
          <w:color w:val="000000"/>
          <w:sz w:val="24"/>
        </w:rPr>
        <w:t>(10)供应商未就“采购内容及要求”中所竞标货物内容作完整唯一报价的，或报价超出所竞标货物采购预算金额（最高限价）的；</w:t>
      </w:r>
    </w:p>
    <w:p>
      <w:pPr>
        <w:pStyle w:val="13"/>
        <w:spacing w:line="400" w:lineRule="exact"/>
        <w:ind w:firstLine="480" w:firstLineChars="200"/>
        <w:rPr>
          <w:rFonts w:hAnsi="宋体" w:cs="宋体"/>
          <w:color w:val="000000"/>
          <w:sz w:val="24"/>
          <w:szCs w:val="24"/>
        </w:rPr>
      </w:pPr>
      <w:r>
        <w:rPr>
          <w:rFonts w:hint="eastAsia" w:hAnsi="宋体" w:cs="宋体"/>
          <w:color w:val="000000"/>
          <w:sz w:val="24"/>
          <w:szCs w:val="24"/>
        </w:rPr>
        <w:t>(11)未在谈判小组规定的时间内重新提交响应文件的；</w:t>
      </w:r>
    </w:p>
    <w:p>
      <w:pPr>
        <w:pStyle w:val="13"/>
        <w:spacing w:line="400" w:lineRule="exact"/>
        <w:ind w:firstLine="480" w:firstLineChars="200"/>
        <w:rPr>
          <w:rFonts w:hAnsi="宋体" w:cs="宋体"/>
          <w:color w:val="000000"/>
          <w:sz w:val="24"/>
          <w:szCs w:val="24"/>
        </w:rPr>
      </w:pPr>
      <w:r>
        <w:rPr>
          <w:rFonts w:hint="eastAsia" w:hAnsi="宋体" w:cs="宋体"/>
          <w:color w:val="000000"/>
          <w:sz w:val="24"/>
          <w:szCs w:val="24"/>
        </w:rPr>
        <w:t>(12)未满足谈判文件全部实质性要求的或者响应文件有采购人不能接受的附加条件的；</w:t>
      </w:r>
    </w:p>
    <w:p>
      <w:pPr>
        <w:pStyle w:val="13"/>
        <w:spacing w:line="400" w:lineRule="exact"/>
        <w:ind w:firstLine="480" w:firstLineChars="200"/>
        <w:rPr>
          <w:rFonts w:hAnsi="宋体" w:cs="宋体"/>
          <w:color w:val="000000"/>
          <w:sz w:val="24"/>
          <w:szCs w:val="24"/>
        </w:rPr>
      </w:pPr>
      <w:r>
        <w:rPr>
          <w:rFonts w:hint="eastAsia" w:hAnsi="宋体" w:cs="宋体"/>
          <w:color w:val="000000"/>
          <w:sz w:val="24"/>
          <w:szCs w:val="24"/>
        </w:rPr>
        <w:t>(13)没有在竞争性谈判公告规定的时间获取竞争性谈判文件的（有文件规定除外）；</w:t>
      </w:r>
    </w:p>
    <w:p>
      <w:pPr>
        <w:pStyle w:val="13"/>
        <w:spacing w:line="400" w:lineRule="exact"/>
        <w:ind w:firstLine="480" w:firstLineChars="200"/>
        <w:rPr>
          <w:rFonts w:hAnsi="宋体" w:cs="宋体"/>
          <w:color w:val="000000"/>
          <w:sz w:val="24"/>
          <w:szCs w:val="24"/>
        </w:rPr>
      </w:pPr>
      <w:r>
        <w:rPr>
          <w:rFonts w:hint="eastAsia" w:hAnsi="宋体" w:cs="宋体"/>
          <w:color w:val="000000"/>
          <w:sz w:val="24"/>
          <w:szCs w:val="24"/>
        </w:rPr>
        <w:t>(14)不符合法律、法规和谈判文件规定的其他实质性要求和条件的；</w:t>
      </w:r>
    </w:p>
    <w:p>
      <w:pPr>
        <w:pStyle w:val="13"/>
        <w:spacing w:line="400" w:lineRule="exact"/>
        <w:ind w:firstLine="480" w:firstLineChars="200"/>
        <w:rPr>
          <w:rFonts w:hAnsi="宋体" w:cs="宋体"/>
          <w:color w:val="000000"/>
          <w:sz w:val="24"/>
          <w:szCs w:val="24"/>
        </w:rPr>
      </w:pPr>
      <w:r>
        <w:rPr>
          <w:rFonts w:hint="eastAsia" w:hAnsi="宋体" w:cs="宋体"/>
          <w:color w:val="000000"/>
          <w:sz w:val="24"/>
          <w:szCs w:val="24"/>
        </w:rPr>
        <w:t>(15)响应文件份数不符合竞争性谈判文件规定的要求的。</w:t>
      </w:r>
    </w:p>
    <w:p>
      <w:pPr>
        <w:pStyle w:val="4"/>
        <w:spacing w:before="0" w:after="0" w:line="400" w:lineRule="exact"/>
        <w:rPr>
          <w:rFonts w:ascii="宋体" w:hAnsi="宋体" w:eastAsia="宋体" w:cs="宋体"/>
          <w:color w:val="000000"/>
          <w:sz w:val="24"/>
          <w:szCs w:val="24"/>
        </w:rPr>
      </w:pPr>
      <w:bookmarkStart w:id="191" w:name="_Toc517938816"/>
      <w:r>
        <w:rPr>
          <w:rFonts w:hint="eastAsia" w:ascii="宋体" w:hAnsi="宋体" w:eastAsia="宋体" w:cs="宋体"/>
          <w:color w:val="000000"/>
          <w:sz w:val="24"/>
          <w:szCs w:val="24"/>
        </w:rPr>
        <w:t>21、废标</w:t>
      </w:r>
      <w:bookmarkEnd w:id="186"/>
      <w:bookmarkEnd w:id="187"/>
      <w:bookmarkEnd w:id="188"/>
      <w:bookmarkEnd w:id="189"/>
      <w:bookmarkEnd w:id="190"/>
      <w:bookmarkEnd w:id="191"/>
    </w:p>
    <w:p>
      <w:pPr>
        <w:pStyle w:val="13"/>
        <w:spacing w:line="400" w:lineRule="exact"/>
        <w:ind w:firstLine="435"/>
        <w:rPr>
          <w:rFonts w:hAnsi="宋体" w:cs="宋体"/>
          <w:bCs/>
          <w:color w:val="000000"/>
          <w:sz w:val="24"/>
          <w:szCs w:val="24"/>
        </w:rPr>
      </w:pPr>
      <w:r>
        <w:rPr>
          <w:rFonts w:hint="eastAsia" w:hAnsi="宋体" w:cs="宋体"/>
          <w:bCs/>
          <w:color w:val="000000"/>
          <w:sz w:val="24"/>
          <w:szCs w:val="24"/>
        </w:rPr>
        <w:t>21.1谈判采购项目出现下列情形之一的，将予以废标；</w:t>
      </w:r>
    </w:p>
    <w:p>
      <w:pPr>
        <w:pStyle w:val="13"/>
        <w:spacing w:line="400" w:lineRule="exact"/>
        <w:ind w:left="420"/>
        <w:rPr>
          <w:rFonts w:hAnsi="宋体" w:cs="宋体"/>
          <w:bCs/>
          <w:color w:val="000000"/>
          <w:sz w:val="24"/>
          <w:szCs w:val="24"/>
        </w:rPr>
      </w:pPr>
      <w:r>
        <w:rPr>
          <w:rFonts w:hint="eastAsia" w:hAnsi="宋体" w:cs="宋体"/>
          <w:bCs/>
          <w:color w:val="000000"/>
          <w:sz w:val="24"/>
          <w:szCs w:val="24"/>
        </w:rPr>
        <w:t>(1) 因情况变化，不再符合规定的竞争性谈判采购方式适用情形的；</w:t>
      </w:r>
    </w:p>
    <w:p>
      <w:pPr>
        <w:pStyle w:val="13"/>
        <w:spacing w:line="400" w:lineRule="exact"/>
        <w:ind w:left="420"/>
        <w:rPr>
          <w:rFonts w:hAnsi="宋体" w:cs="宋体"/>
          <w:bCs/>
          <w:color w:val="000000"/>
          <w:sz w:val="24"/>
          <w:szCs w:val="24"/>
        </w:rPr>
      </w:pPr>
      <w:r>
        <w:rPr>
          <w:rFonts w:hint="eastAsia" w:hAnsi="宋体" w:cs="宋体"/>
          <w:bCs/>
          <w:color w:val="000000"/>
          <w:sz w:val="24"/>
          <w:szCs w:val="24"/>
        </w:rPr>
        <w:t>(2) 出现影响采购公正的违法、违规行为的；</w:t>
      </w:r>
    </w:p>
    <w:p>
      <w:pPr>
        <w:pStyle w:val="13"/>
        <w:spacing w:line="400" w:lineRule="exact"/>
        <w:ind w:left="420"/>
        <w:rPr>
          <w:rFonts w:hAnsi="宋体" w:cs="宋体"/>
          <w:bCs/>
          <w:color w:val="000000"/>
          <w:sz w:val="24"/>
          <w:szCs w:val="24"/>
        </w:rPr>
      </w:pPr>
      <w:r>
        <w:rPr>
          <w:rFonts w:hint="eastAsia" w:hAnsi="宋体" w:cs="宋体"/>
          <w:bCs/>
          <w:color w:val="000000"/>
          <w:sz w:val="24"/>
          <w:szCs w:val="24"/>
        </w:rPr>
        <w:t>(3) 在采购过程中符合竞争要求的供应商或者报价未超过采购预算的供应商不足3家的。</w:t>
      </w:r>
    </w:p>
    <w:p>
      <w:pPr>
        <w:pStyle w:val="13"/>
        <w:spacing w:line="400" w:lineRule="exact"/>
        <w:ind w:left="435"/>
        <w:rPr>
          <w:rFonts w:hAnsi="宋体" w:cs="宋体"/>
          <w:bCs/>
          <w:color w:val="000000"/>
          <w:sz w:val="24"/>
          <w:szCs w:val="24"/>
        </w:rPr>
      </w:pPr>
      <w:r>
        <w:rPr>
          <w:rFonts w:hint="eastAsia" w:hAnsi="宋体" w:cs="宋体"/>
          <w:bCs/>
          <w:color w:val="000000"/>
          <w:sz w:val="24"/>
          <w:szCs w:val="24"/>
        </w:rPr>
        <w:t>21.2废标后，</w:t>
      </w:r>
      <w:r>
        <w:rPr>
          <w:rFonts w:hint="eastAsia" w:hAnsi="宋体" w:cs="宋体"/>
          <w:color w:val="000000"/>
          <w:sz w:val="24"/>
          <w:szCs w:val="24"/>
        </w:rPr>
        <w:t>采购代理机构</w:t>
      </w:r>
      <w:r>
        <w:rPr>
          <w:rFonts w:hint="eastAsia" w:hAnsi="宋体" w:cs="宋体"/>
          <w:bCs/>
          <w:color w:val="000000"/>
          <w:sz w:val="24"/>
          <w:szCs w:val="24"/>
        </w:rPr>
        <w:t>将把废标理由通知所有供应商。</w:t>
      </w:r>
    </w:p>
    <w:p>
      <w:pPr>
        <w:pStyle w:val="4"/>
        <w:spacing w:before="0" w:after="0" w:line="400" w:lineRule="exact"/>
        <w:rPr>
          <w:rFonts w:ascii="宋体" w:hAnsi="宋体" w:eastAsia="宋体" w:cs="宋体"/>
          <w:color w:val="000000"/>
          <w:sz w:val="24"/>
          <w:szCs w:val="24"/>
        </w:rPr>
      </w:pPr>
      <w:bookmarkStart w:id="192" w:name="_Toc517938817"/>
      <w:r>
        <w:rPr>
          <w:rFonts w:hint="eastAsia" w:ascii="宋体" w:hAnsi="宋体" w:eastAsia="宋体" w:cs="宋体"/>
          <w:color w:val="000000"/>
          <w:sz w:val="24"/>
          <w:szCs w:val="24"/>
        </w:rPr>
        <w:t>22、响应文件及样品的退回</w:t>
      </w:r>
      <w:bookmarkEnd w:id="192"/>
    </w:p>
    <w:p>
      <w:pPr>
        <w:pStyle w:val="13"/>
        <w:spacing w:line="400" w:lineRule="exact"/>
        <w:ind w:firstLine="480" w:firstLineChars="200"/>
        <w:rPr>
          <w:rFonts w:hAnsi="宋体" w:cs="宋体"/>
          <w:color w:val="000000"/>
          <w:sz w:val="24"/>
          <w:szCs w:val="24"/>
        </w:rPr>
      </w:pPr>
      <w:r>
        <w:rPr>
          <w:rFonts w:hint="eastAsia" w:hAnsi="宋体" w:cs="宋体"/>
          <w:color w:val="000000"/>
          <w:sz w:val="24"/>
          <w:szCs w:val="24"/>
        </w:rPr>
        <w:t>22.1采购人及采购代理机构无义务退还响应文件。</w:t>
      </w:r>
    </w:p>
    <w:p>
      <w:pPr>
        <w:pStyle w:val="13"/>
        <w:spacing w:line="400" w:lineRule="exact"/>
        <w:ind w:firstLine="480" w:firstLineChars="200"/>
        <w:rPr>
          <w:rFonts w:hAnsi="宋体" w:cs="宋体"/>
          <w:color w:val="000000"/>
          <w:sz w:val="24"/>
          <w:szCs w:val="24"/>
        </w:rPr>
      </w:pPr>
      <w:r>
        <w:rPr>
          <w:rFonts w:hint="eastAsia" w:hAnsi="宋体" w:cs="宋体"/>
          <w:color w:val="000000"/>
          <w:sz w:val="24"/>
          <w:szCs w:val="24"/>
        </w:rPr>
        <w:t>22.2成交供应商的竞标样品由采购人保管，作为验收的依据，验收后由采购人退回。未成交的供应商的竞标样品由供应商在成交结果公布后5个工作日内领回，否则按无主物品处理。（若谈判文件要求递交样品的）</w:t>
      </w:r>
    </w:p>
    <w:p>
      <w:pPr>
        <w:pStyle w:val="13"/>
        <w:spacing w:line="400" w:lineRule="exact"/>
        <w:ind w:left="435"/>
        <w:rPr>
          <w:rFonts w:hAnsi="宋体" w:cs="宋体"/>
          <w:bCs/>
          <w:color w:val="000000"/>
          <w:sz w:val="24"/>
          <w:szCs w:val="24"/>
        </w:rPr>
      </w:pPr>
    </w:p>
    <w:p>
      <w:pPr>
        <w:pStyle w:val="3"/>
        <w:spacing w:line="400" w:lineRule="exact"/>
        <w:jc w:val="center"/>
        <w:rPr>
          <w:rFonts w:ascii="宋体" w:hAnsi="宋体" w:cs="宋体"/>
          <w:color w:val="000000"/>
          <w:sz w:val="24"/>
        </w:rPr>
      </w:pPr>
      <w:bookmarkStart w:id="193" w:name="_Toc517938818"/>
      <w:r>
        <w:rPr>
          <w:rFonts w:hint="eastAsia" w:ascii="宋体" w:hAnsi="宋体" w:cs="宋体"/>
          <w:color w:val="000000"/>
          <w:sz w:val="24"/>
        </w:rPr>
        <w:t>六   确定成交供应商</w:t>
      </w:r>
      <w:bookmarkEnd w:id="193"/>
    </w:p>
    <w:p>
      <w:pPr>
        <w:pStyle w:val="4"/>
        <w:spacing w:before="0" w:after="0" w:line="400" w:lineRule="exact"/>
        <w:rPr>
          <w:rFonts w:ascii="宋体" w:hAnsi="宋体" w:eastAsia="宋体" w:cs="宋体"/>
          <w:color w:val="000000"/>
          <w:sz w:val="24"/>
          <w:szCs w:val="24"/>
        </w:rPr>
      </w:pPr>
      <w:bookmarkStart w:id="194" w:name="_Toc517938819"/>
      <w:r>
        <w:rPr>
          <w:rFonts w:hint="eastAsia" w:ascii="宋体" w:hAnsi="宋体" w:eastAsia="宋体" w:cs="宋体"/>
          <w:color w:val="000000"/>
          <w:sz w:val="24"/>
          <w:szCs w:val="24"/>
        </w:rPr>
        <w:t>23．确定成交供应商</w:t>
      </w:r>
      <w:bookmarkEnd w:id="194"/>
    </w:p>
    <w:p>
      <w:pPr>
        <w:pStyle w:val="13"/>
        <w:tabs>
          <w:tab w:val="left" w:pos="4214"/>
        </w:tabs>
        <w:spacing w:line="400" w:lineRule="exact"/>
        <w:ind w:firstLine="480" w:firstLineChars="200"/>
        <w:rPr>
          <w:rFonts w:hAnsi="宋体" w:cs="宋体"/>
          <w:color w:val="000000"/>
          <w:sz w:val="24"/>
          <w:szCs w:val="24"/>
        </w:rPr>
      </w:pPr>
      <w:r>
        <w:rPr>
          <w:rFonts w:hint="eastAsia" w:hAnsi="宋体" w:cs="宋体"/>
          <w:color w:val="000000"/>
          <w:sz w:val="24"/>
          <w:szCs w:val="24"/>
        </w:rPr>
        <w:t>23.1采购人应当确定谈判小组推荐排名第一的成交候选人为成交供应商。</w:t>
      </w:r>
    </w:p>
    <w:p>
      <w:pPr>
        <w:pStyle w:val="13"/>
        <w:spacing w:line="400" w:lineRule="exact"/>
        <w:ind w:firstLine="511" w:firstLineChars="213"/>
        <w:rPr>
          <w:rFonts w:hAnsi="宋体" w:cs="宋体"/>
          <w:color w:val="000000"/>
          <w:sz w:val="24"/>
          <w:szCs w:val="24"/>
        </w:rPr>
      </w:pPr>
      <w:r>
        <w:rPr>
          <w:rFonts w:hint="eastAsia" w:hAnsi="宋体" w:cs="宋体"/>
          <w:color w:val="000000"/>
          <w:sz w:val="24"/>
          <w:szCs w:val="24"/>
        </w:rPr>
        <w:t>23.2若排名第一的成交候选供应商自愿放弃中标、因不可抗力提出不能履行合同，或者谈判文件规定应当提交履约保证金而在规定的期限内未能提交的，采购人可以确定排名第二的成交候选人为成交供应商。</w:t>
      </w:r>
    </w:p>
    <w:p>
      <w:pPr>
        <w:pStyle w:val="13"/>
        <w:spacing w:line="400" w:lineRule="exact"/>
        <w:ind w:firstLine="480" w:firstLineChars="200"/>
        <w:rPr>
          <w:rFonts w:hAnsi="宋体" w:cs="宋体"/>
          <w:color w:val="000000"/>
          <w:sz w:val="24"/>
          <w:szCs w:val="24"/>
        </w:rPr>
      </w:pPr>
      <w:r>
        <w:rPr>
          <w:rFonts w:hint="eastAsia" w:hAnsi="宋体" w:cs="宋体"/>
          <w:color w:val="000000"/>
          <w:sz w:val="24"/>
          <w:szCs w:val="24"/>
        </w:rPr>
        <w:t>23.3排名第二的成交候选人因前款规定的同样原因不能签订合同的，采购人可以确定排名第三的成交候选人为成交供应商。</w:t>
      </w:r>
    </w:p>
    <w:p>
      <w:pPr>
        <w:pStyle w:val="13"/>
        <w:spacing w:line="400" w:lineRule="exact"/>
        <w:ind w:firstLine="480" w:firstLineChars="200"/>
        <w:rPr>
          <w:rFonts w:hAnsi="宋体" w:cs="宋体"/>
          <w:color w:val="000000"/>
          <w:sz w:val="24"/>
          <w:szCs w:val="24"/>
        </w:rPr>
      </w:pPr>
    </w:p>
    <w:p>
      <w:pPr>
        <w:pStyle w:val="3"/>
        <w:spacing w:line="400" w:lineRule="exact"/>
        <w:jc w:val="center"/>
        <w:rPr>
          <w:rFonts w:ascii="宋体" w:hAnsi="宋体" w:cs="宋体"/>
          <w:color w:val="000000"/>
          <w:sz w:val="24"/>
        </w:rPr>
      </w:pPr>
      <w:bookmarkStart w:id="195" w:name="_Toc206525709"/>
      <w:bookmarkStart w:id="196" w:name="_Toc239839890"/>
      <w:bookmarkStart w:id="197" w:name="_Toc230578084"/>
      <w:bookmarkStart w:id="198" w:name="_Toc207770862"/>
      <w:bookmarkStart w:id="199" w:name="_Toc185702576"/>
      <w:bookmarkStart w:id="200" w:name="_Toc517938820"/>
      <w:r>
        <w:rPr>
          <w:rFonts w:hint="eastAsia" w:ascii="宋体" w:hAnsi="宋体" w:cs="宋体"/>
          <w:color w:val="000000"/>
          <w:sz w:val="24"/>
        </w:rPr>
        <w:t xml:space="preserve">七   </w:t>
      </w:r>
      <w:bookmarkEnd w:id="195"/>
      <w:bookmarkEnd w:id="196"/>
      <w:bookmarkEnd w:id="197"/>
      <w:bookmarkEnd w:id="198"/>
      <w:bookmarkEnd w:id="199"/>
      <w:r>
        <w:rPr>
          <w:rFonts w:hint="eastAsia" w:ascii="宋体" w:hAnsi="宋体" w:cs="宋体"/>
          <w:color w:val="000000"/>
          <w:sz w:val="24"/>
        </w:rPr>
        <w:t>成交公告</w:t>
      </w:r>
      <w:bookmarkEnd w:id="200"/>
    </w:p>
    <w:p>
      <w:pPr>
        <w:pStyle w:val="4"/>
        <w:spacing w:before="0" w:after="0" w:line="400" w:lineRule="exact"/>
        <w:rPr>
          <w:rFonts w:ascii="宋体" w:hAnsi="宋体" w:eastAsia="宋体" w:cs="宋体"/>
          <w:color w:val="000000"/>
          <w:sz w:val="24"/>
          <w:szCs w:val="24"/>
        </w:rPr>
      </w:pPr>
      <w:bookmarkStart w:id="201" w:name="_Toc207770863"/>
      <w:bookmarkStart w:id="202" w:name="_Toc206525710"/>
      <w:bookmarkStart w:id="203" w:name="_Toc185702577"/>
      <w:bookmarkStart w:id="204" w:name="_Toc230578085"/>
      <w:bookmarkStart w:id="205" w:name="_Toc239839891"/>
      <w:bookmarkStart w:id="206" w:name="_Toc517938821"/>
      <w:r>
        <w:rPr>
          <w:rFonts w:hint="eastAsia" w:ascii="宋体" w:hAnsi="宋体" w:eastAsia="宋体" w:cs="宋体"/>
          <w:color w:val="000000"/>
          <w:sz w:val="24"/>
          <w:szCs w:val="24"/>
        </w:rPr>
        <w:t>24、</w:t>
      </w:r>
      <w:bookmarkEnd w:id="201"/>
      <w:bookmarkEnd w:id="202"/>
      <w:bookmarkEnd w:id="203"/>
      <w:bookmarkEnd w:id="204"/>
      <w:r>
        <w:rPr>
          <w:rFonts w:hint="eastAsia" w:ascii="宋体" w:hAnsi="宋体" w:eastAsia="宋体" w:cs="宋体"/>
          <w:color w:val="000000"/>
          <w:sz w:val="24"/>
          <w:szCs w:val="24"/>
        </w:rPr>
        <w:t>结果</w:t>
      </w:r>
      <w:bookmarkEnd w:id="205"/>
      <w:r>
        <w:rPr>
          <w:rFonts w:hint="eastAsia" w:ascii="宋体" w:hAnsi="宋体" w:eastAsia="宋体" w:cs="宋体"/>
          <w:color w:val="000000"/>
          <w:sz w:val="24"/>
          <w:szCs w:val="24"/>
        </w:rPr>
        <w:t>公告</w:t>
      </w:r>
      <w:bookmarkEnd w:id="206"/>
    </w:p>
    <w:p>
      <w:pPr>
        <w:pStyle w:val="13"/>
        <w:spacing w:line="400" w:lineRule="exact"/>
        <w:ind w:firstLine="420"/>
        <w:rPr>
          <w:rFonts w:hAnsi="宋体" w:cs="宋体"/>
          <w:color w:val="000000"/>
          <w:sz w:val="24"/>
          <w:szCs w:val="24"/>
        </w:rPr>
      </w:pPr>
      <w:r>
        <w:rPr>
          <w:rFonts w:hint="eastAsia" w:hAnsi="宋体" w:cs="宋体"/>
          <w:color w:val="000000"/>
          <w:sz w:val="24"/>
          <w:szCs w:val="24"/>
        </w:rPr>
        <w:t>24.1在采购人确定成交供应商后，采购代理机构将在政府采购信息发布媒体上公告成交结果。</w:t>
      </w:r>
    </w:p>
    <w:p>
      <w:pPr>
        <w:pStyle w:val="13"/>
        <w:spacing w:line="400" w:lineRule="exact"/>
        <w:ind w:firstLine="420"/>
        <w:rPr>
          <w:rFonts w:hAnsi="宋体" w:cs="宋体"/>
          <w:color w:val="000000"/>
          <w:sz w:val="24"/>
          <w:szCs w:val="24"/>
        </w:rPr>
      </w:pPr>
      <w:r>
        <w:rPr>
          <w:rFonts w:hint="eastAsia" w:hAnsi="宋体" w:cs="宋体"/>
          <w:color w:val="000000"/>
          <w:sz w:val="24"/>
          <w:szCs w:val="24"/>
        </w:rPr>
        <w:t>24.2供应商认为成交结果使自己的权益受到损害的，可以在成交结果公告期限届满之日起7个工作日内以书面形式向采购人或采购代理机构提出质疑，逾期将不再受理。</w:t>
      </w:r>
    </w:p>
    <w:p>
      <w:pPr>
        <w:pStyle w:val="13"/>
        <w:spacing w:line="400" w:lineRule="exact"/>
        <w:ind w:firstLine="420"/>
        <w:rPr>
          <w:rFonts w:hAnsi="宋体" w:cs="宋体"/>
          <w:color w:val="000000"/>
          <w:sz w:val="24"/>
          <w:szCs w:val="24"/>
        </w:rPr>
      </w:pPr>
      <w:r>
        <w:rPr>
          <w:rFonts w:hint="eastAsia" w:hAnsi="宋体" w:cs="宋体"/>
          <w:color w:val="000000"/>
          <w:sz w:val="24"/>
          <w:szCs w:val="24"/>
        </w:rPr>
        <w:t>24.3采购人、采购代理机构将在收到供应商的书面形式质疑后七个工作日内做出答复，但答复的内容不得涉及商业秘密。</w:t>
      </w:r>
    </w:p>
    <w:p>
      <w:pPr>
        <w:pStyle w:val="13"/>
        <w:spacing w:line="400" w:lineRule="exact"/>
        <w:ind w:firstLine="420"/>
        <w:rPr>
          <w:rFonts w:hAnsi="宋体" w:cs="宋体"/>
          <w:color w:val="000000"/>
          <w:sz w:val="24"/>
          <w:szCs w:val="24"/>
        </w:rPr>
      </w:pPr>
      <w:r>
        <w:rPr>
          <w:rFonts w:hint="eastAsia" w:hAnsi="宋体" w:cs="宋体"/>
          <w:color w:val="000000"/>
          <w:sz w:val="24"/>
          <w:szCs w:val="24"/>
        </w:rPr>
        <w:t>24.4质疑供应商必须首先经过质疑程序，对采购代理机构的答复不满意或者采购代理机构未在规定的时间内做出答复的，可以在答复期满后十五个工作日内书面向同可以在答复期满后十五个工作日内书面向同级政府采购监督管理部门投诉。</w:t>
      </w:r>
    </w:p>
    <w:p>
      <w:pPr>
        <w:pStyle w:val="3"/>
        <w:spacing w:line="400" w:lineRule="exact"/>
        <w:jc w:val="center"/>
        <w:rPr>
          <w:rFonts w:ascii="宋体" w:hAnsi="宋体" w:cs="宋体"/>
          <w:color w:val="000000"/>
          <w:sz w:val="24"/>
        </w:rPr>
      </w:pPr>
      <w:bookmarkStart w:id="207" w:name="_Toc517938822"/>
      <w:r>
        <w:rPr>
          <w:rFonts w:hint="eastAsia" w:ascii="宋体" w:hAnsi="宋体" w:cs="宋体"/>
          <w:color w:val="000000"/>
          <w:sz w:val="24"/>
        </w:rPr>
        <w:t>八   签订合同</w:t>
      </w:r>
      <w:bookmarkEnd w:id="207"/>
    </w:p>
    <w:p>
      <w:pPr>
        <w:pStyle w:val="4"/>
        <w:spacing w:before="0" w:after="0" w:line="400" w:lineRule="exact"/>
        <w:rPr>
          <w:rFonts w:ascii="宋体" w:hAnsi="宋体" w:eastAsia="宋体" w:cs="宋体"/>
          <w:color w:val="000000"/>
          <w:sz w:val="24"/>
          <w:szCs w:val="24"/>
        </w:rPr>
      </w:pPr>
      <w:bookmarkStart w:id="208" w:name="_Toc185702578"/>
      <w:bookmarkStart w:id="209" w:name="_Toc517938823"/>
      <w:bookmarkStart w:id="210" w:name="_Toc230578086"/>
      <w:bookmarkStart w:id="211" w:name="_Toc239839892"/>
      <w:bookmarkStart w:id="212" w:name="_Toc207770864"/>
      <w:bookmarkStart w:id="213" w:name="_Toc206525711"/>
      <w:r>
        <w:rPr>
          <w:rFonts w:hint="eastAsia" w:ascii="宋体" w:hAnsi="宋体" w:eastAsia="宋体" w:cs="宋体"/>
          <w:color w:val="000000"/>
          <w:sz w:val="24"/>
          <w:szCs w:val="24"/>
        </w:rPr>
        <w:t>25、成交通知</w:t>
      </w:r>
      <w:bookmarkEnd w:id="208"/>
      <w:bookmarkEnd w:id="209"/>
      <w:bookmarkEnd w:id="210"/>
      <w:bookmarkEnd w:id="211"/>
      <w:bookmarkEnd w:id="212"/>
      <w:bookmarkEnd w:id="213"/>
    </w:p>
    <w:p>
      <w:pPr>
        <w:pStyle w:val="13"/>
        <w:spacing w:line="400" w:lineRule="exact"/>
        <w:ind w:firstLine="464" w:firstLineChars="200"/>
        <w:rPr>
          <w:rFonts w:hAnsi="宋体" w:cs="宋体"/>
          <w:color w:val="000000"/>
          <w:sz w:val="24"/>
          <w:szCs w:val="24"/>
        </w:rPr>
      </w:pPr>
      <w:r>
        <w:rPr>
          <w:rFonts w:hint="eastAsia" w:hAnsi="宋体" w:cs="宋体"/>
          <w:color w:val="000000"/>
          <w:spacing w:val="-4"/>
          <w:sz w:val="24"/>
          <w:szCs w:val="24"/>
        </w:rPr>
        <w:t>25.1在发布成交结果的同时向成交供应商发出成交通知书，</w:t>
      </w:r>
      <w:r>
        <w:rPr>
          <w:rFonts w:hint="eastAsia" w:hAnsi="宋体" w:cs="宋体"/>
          <w:color w:val="000000"/>
          <w:sz w:val="24"/>
          <w:szCs w:val="24"/>
        </w:rPr>
        <w:t>成交通知书对采购人和成交供应商具有法律效力。成交通知书发出后，成交供应商放弃成交资格的，应当承担相应的法律责任。</w:t>
      </w:r>
    </w:p>
    <w:p>
      <w:pPr>
        <w:pStyle w:val="4"/>
        <w:spacing w:before="0" w:after="0" w:line="400" w:lineRule="exact"/>
        <w:rPr>
          <w:rFonts w:ascii="宋体" w:hAnsi="宋体" w:eastAsia="宋体" w:cs="宋体"/>
          <w:color w:val="000000"/>
          <w:sz w:val="24"/>
          <w:szCs w:val="24"/>
        </w:rPr>
      </w:pPr>
      <w:bookmarkStart w:id="214" w:name="_Toc517938824"/>
      <w:bookmarkStart w:id="215" w:name="_Toc230578089"/>
      <w:bookmarkStart w:id="216" w:name="_Toc239839895"/>
      <w:bookmarkStart w:id="217" w:name="_Toc207770867"/>
      <w:bookmarkStart w:id="218" w:name="_Toc206525714"/>
      <w:bookmarkStart w:id="219" w:name="_Toc230578088"/>
      <w:bookmarkStart w:id="220" w:name="_Toc239839894"/>
      <w:bookmarkStart w:id="221" w:name="_Toc206525713"/>
      <w:bookmarkStart w:id="222" w:name="_Toc207770866"/>
      <w:bookmarkStart w:id="223" w:name="_Toc185702580"/>
      <w:r>
        <w:rPr>
          <w:rFonts w:hint="eastAsia" w:ascii="宋体" w:hAnsi="宋体" w:eastAsia="宋体" w:cs="宋体"/>
          <w:color w:val="000000"/>
          <w:sz w:val="24"/>
          <w:szCs w:val="24"/>
        </w:rPr>
        <w:t>26、履约保证金</w:t>
      </w:r>
      <w:bookmarkEnd w:id="214"/>
      <w:bookmarkEnd w:id="215"/>
      <w:bookmarkEnd w:id="216"/>
      <w:bookmarkEnd w:id="217"/>
      <w:bookmarkEnd w:id="218"/>
    </w:p>
    <w:p>
      <w:pPr>
        <w:spacing w:line="312" w:lineRule="auto"/>
        <w:ind w:firstLine="480" w:firstLineChars="200"/>
        <w:jc w:val="left"/>
        <w:rPr>
          <w:rFonts w:hAnsi="宋体" w:cs="宋体"/>
          <w:color w:val="000000"/>
          <w:sz w:val="24"/>
        </w:rPr>
      </w:pPr>
      <w:r>
        <w:rPr>
          <w:rFonts w:hint="eastAsia" w:hAnsi="宋体" w:cs="宋体"/>
          <w:color w:val="000000"/>
          <w:sz w:val="24"/>
        </w:rPr>
        <w:t xml:space="preserve">26.1 </w:t>
      </w:r>
      <w:r>
        <w:rPr>
          <w:rFonts w:ascii="宋体" w:hAnsi="宋体" w:cs="Arial"/>
          <w:color w:val="000000"/>
          <w:kern w:val="0"/>
          <w:sz w:val="24"/>
        </w:rPr>
        <w:t>履约保证金的金额：成交金额的</w:t>
      </w:r>
      <w:r>
        <w:rPr>
          <w:rFonts w:hint="eastAsia" w:ascii="宋体" w:hAnsi="宋体" w:cs="Arial"/>
          <w:color w:val="000000"/>
          <w:kern w:val="0"/>
          <w:sz w:val="24"/>
        </w:rPr>
        <w:t>2</w:t>
      </w:r>
      <w:r>
        <w:rPr>
          <w:rFonts w:ascii="宋体" w:hAnsi="宋体" w:cs="Arial"/>
          <w:color w:val="000000"/>
          <w:kern w:val="0"/>
          <w:sz w:val="24"/>
        </w:rPr>
        <w:t>%。</w:t>
      </w:r>
    </w:p>
    <w:p>
      <w:pPr>
        <w:spacing w:line="312" w:lineRule="auto"/>
        <w:ind w:firstLine="480" w:firstLineChars="200"/>
        <w:jc w:val="left"/>
        <w:rPr>
          <w:rFonts w:ascii="宋体" w:hAnsi="宋体" w:cs="Arial"/>
          <w:kern w:val="0"/>
          <w:sz w:val="24"/>
        </w:rPr>
      </w:pPr>
      <w:r>
        <w:rPr>
          <w:rFonts w:ascii="宋体" w:hAnsi="宋体" w:cs="Arial"/>
          <w:kern w:val="0"/>
          <w:sz w:val="24"/>
        </w:rPr>
        <w:t>成交供应商</w:t>
      </w:r>
      <w:r>
        <w:rPr>
          <w:rFonts w:hint="eastAsia" w:ascii="宋体" w:hAnsi="宋体" w:cs="Arial"/>
          <w:kern w:val="0"/>
          <w:sz w:val="24"/>
        </w:rPr>
        <w:t>须在采购合同签订并生效后5个工作日内，</w:t>
      </w:r>
      <w:r>
        <w:rPr>
          <w:rFonts w:ascii="宋体" w:hAnsi="宋体" w:cs="Arial"/>
          <w:kern w:val="0"/>
          <w:sz w:val="24"/>
        </w:rPr>
        <w:t>将履约保证金足额提交至以下</w:t>
      </w:r>
      <w:r>
        <w:rPr>
          <w:rFonts w:hint="eastAsia" w:ascii="宋体" w:hAnsi="宋体" w:cs="Arial"/>
          <w:kern w:val="0"/>
          <w:sz w:val="24"/>
        </w:rPr>
        <w:t>账户</w:t>
      </w:r>
      <w:r>
        <w:rPr>
          <w:rFonts w:ascii="宋体" w:hAnsi="宋体" w:cs="Arial"/>
          <w:kern w:val="0"/>
          <w:sz w:val="24"/>
        </w:rPr>
        <w:t>，否则采购人可以取消其成交资格。</w:t>
      </w:r>
      <w:r>
        <w:rPr>
          <w:rFonts w:hint="eastAsia" w:ascii="宋体" w:hAnsi="宋体" w:cs="Arial"/>
          <w:kern w:val="0"/>
          <w:sz w:val="24"/>
        </w:rPr>
        <w:t>履约保证金在全部货物均验收合格后15个工作日内无息退还。</w:t>
      </w:r>
    </w:p>
    <w:p>
      <w:pPr>
        <w:spacing w:line="312" w:lineRule="auto"/>
        <w:ind w:firstLine="480" w:firstLineChars="200"/>
        <w:jc w:val="left"/>
        <w:rPr>
          <w:rFonts w:ascii="宋体" w:hAnsi="宋体" w:cs="Arial"/>
          <w:kern w:val="0"/>
          <w:sz w:val="24"/>
        </w:rPr>
      </w:pPr>
      <w:r>
        <w:rPr>
          <w:rFonts w:ascii="宋体" w:hAnsi="宋体" w:cs="Arial"/>
          <w:kern w:val="0"/>
          <w:sz w:val="24"/>
        </w:rPr>
        <w:t>开户名称：</w:t>
      </w:r>
      <w:r>
        <w:rPr>
          <w:rFonts w:hint="eastAsia" w:ascii="宋体" w:hAnsi="宋体" w:cs="Arial"/>
          <w:kern w:val="0"/>
          <w:sz w:val="24"/>
        </w:rPr>
        <w:t>梧州职业学院</w:t>
      </w:r>
    </w:p>
    <w:p>
      <w:pPr>
        <w:spacing w:line="312" w:lineRule="auto"/>
        <w:ind w:firstLine="480" w:firstLineChars="200"/>
        <w:jc w:val="left"/>
        <w:rPr>
          <w:rFonts w:ascii="宋体" w:hAnsi="宋体" w:cs="Arial"/>
          <w:kern w:val="0"/>
          <w:sz w:val="24"/>
        </w:rPr>
      </w:pPr>
      <w:r>
        <w:rPr>
          <w:rFonts w:ascii="宋体" w:hAnsi="宋体" w:cs="Arial"/>
          <w:kern w:val="0"/>
          <w:sz w:val="24"/>
        </w:rPr>
        <w:t>开户银行：</w:t>
      </w:r>
      <w:r>
        <w:rPr>
          <w:rFonts w:hint="eastAsia"/>
          <w:color w:val="000000"/>
          <w:sz w:val="24"/>
        </w:rPr>
        <w:t>农行梧州灏景支行</w:t>
      </w:r>
    </w:p>
    <w:p>
      <w:pPr>
        <w:tabs>
          <w:tab w:val="left" w:pos="6106"/>
        </w:tabs>
        <w:spacing w:line="312" w:lineRule="auto"/>
        <w:ind w:firstLine="480" w:firstLineChars="200"/>
        <w:jc w:val="left"/>
        <w:rPr>
          <w:rFonts w:ascii="宋体" w:hAnsi="宋体" w:cs="Arial"/>
          <w:kern w:val="0"/>
          <w:sz w:val="24"/>
        </w:rPr>
      </w:pPr>
      <w:r>
        <w:rPr>
          <w:rFonts w:ascii="宋体" w:hAnsi="宋体" w:cs="Arial"/>
          <w:kern w:val="0"/>
          <w:sz w:val="24"/>
        </w:rPr>
        <w:t>银行账号：</w:t>
      </w:r>
      <w:r>
        <w:rPr>
          <w:rFonts w:hint="eastAsia" w:ascii="宋体" w:hAnsi="宋体" w:cs="Arial"/>
          <w:kern w:val="0"/>
          <w:sz w:val="24"/>
        </w:rPr>
        <w:t>20312801040005880</w:t>
      </w:r>
    </w:p>
    <w:p>
      <w:pPr>
        <w:pStyle w:val="57"/>
        <w:snapToGrid w:val="0"/>
        <w:spacing w:line="380" w:lineRule="exact"/>
        <w:ind w:left="360" w:firstLine="480" w:firstLineChars="200"/>
        <w:rPr>
          <w:rFonts w:hAnsi="宋体" w:cs="宋体"/>
          <w:color w:val="000000"/>
          <w:sz w:val="24"/>
          <w:szCs w:val="24"/>
          <w:highlight w:val="cyan"/>
        </w:rPr>
      </w:pPr>
      <w:r>
        <w:rPr>
          <w:rFonts w:hint="eastAsia" w:hAnsi="宋体" w:cs="Arial"/>
          <w:sz w:val="24"/>
          <w:szCs w:val="24"/>
        </w:rPr>
        <w:t>以上账户信息如若未提供，则由采购人及成交供应商在合同签订前双方自行约定。</w:t>
      </w:r>
    </w:p>
    <w:p>
      <w:pPr>
        <w:pStyle w:val="13"/>
        <w:spacing w:line="400" w:lineRule="exact"/>
        <w:ind w:firstLine="420"/>
        <w:rPr>
          <w:rFonts w:hAnsi="宋体" w:cs="宋体"/>
          <w:color w:val="000000"/>
          <w:sz w:val="24"/>
          <w:szCs w:val="24"/>
        </w:rPr>
      </w:pPr>
      <w:r>
        <w:rPr>
          <w:rFonts w:hint="eastAsia" w:hAnsi="宋体" w:cs="宋体"/>
          <w:color w:val="000000"/>
          <w:sz w:val="24"/>
          <w:szCs w:val="24"/>
        </w:rPr>
        <w:t xml:space="preserve">26.2 </w:t>
      </w:r>
      <w:r>
        <w:rPr>
          <w:rFonts w:hint="eastAsia" w:hAnsi="宋体" w:cs="宋体"/>
          <w:color w:val="000000"/>
          <w:spacing w:val="-4"/>
          <w:sz w:val="24"/>
          <w:szCs w:val="24"/>
        </w:rPr>
        <w:t>履约保证金的退还</w:t>
      </w:r>
      <w:r>
        <w:rPr>
          <w:rFonts w:hint="eastAsia" w:hAnsi="宋体" w:cs="宋体"/>
          <w:color w:val="000000"/>
          <w:sz w:val="24"/>
          <w:szCs w:val="24"/>
        </w:rPr>
        <w:t>：自项目验收合格之日起15个工作日内，成交供应商按第七章附件“政府采购项目履约保证金退付意见书”的要求至采购人或采购代理机构办理退还履约保证金手续。采购人或采购代理机构将在收到退还履约保证金申请后15个工作日内无息原额退还，因采购人或采购代理机构原因导致无法及时退还时，每逾期退还一天按履约保证金万分之一支付违约金给成交供应商，但因成交供应商自身原因导致无法及时退还的除外。</w:t>
      </w:r>
    </w:p>
    <w:p>
      <w:pPr>
        <w:pStyle w:val="13"/>
        <w:spacing w:line="400" w:lineRule="exact"/>
        <w:ind w:firstLine="420"/>
        <w:rPr>
          <w:rFonts w:hAnsi="宋体" w:cs="宋体"/>
          <w:color w:val="000000"/>
          <w:sz w:val="24"/>
          <w:szCs w:val="24"/>
        </w:rPr>
      </w:pPr>
      <w:r>
        <w:rPr>
          <w:rFonts w:hint="eastAsia" w:hAnsi="宋体" w:cs="宋体"/>
          <w:color w:val="000000"/>
          <w:sz w:val="24"/>
          <w:szCs w:val="24"/>
        </w:rPr>
        <w:t>26.3履约保证金作为违约金的一部分及用于补偿采购人因成交供应商不能完成其合同义务而蒙受的损失。如成交供应商不按双方签订的合同规定履约，则对其全部履约保证金不予退还，履约保证金不足以赔偿损失的，按实际损失赔偿。</w:t>
      </w:r>
    </w:p>
    <w:p>
      <w:pPr>
        <w:pStyle w:val="13"/>
        <w:spacing w:line="400" w:lineRule="exact"/>
        <w:ind w:firstLine="420"/>
        <w:rPr>
          <w:rFonts w:hAnsi="宋体" w:cs="宋体"/>
          <w:color w:val="000000"/>
          <w:sz w:val="24"/>
          <w:szCs w:val="24"/>
        </w:rPr>
      </w:pPr>
      <w:r>
        <w:rPr>
          <w:rFonts w:hint="eastAsia" w:hAnsi="宋体" w:cs="宋体"/>
          <w:color w:val="000000"/>
          <w:sz w:val="24"/>
          <w:szCs w:val="24"/>
        </w:rPr>
        <w:t>26.4在履约保证金到期退还日期前，若成交供应商的开户名称、开户银行、帐号有变动的，请以书面形式通知采购代理机构，否则由此产生的后果由成交供应商自负。</w:t>
      </w:r>
    </w:p>
    <w:p>
      <w:pPr>
        <w:pStyle w:val="4"/>
        <w:spacing w:before="0" w:after="0" w:line="400" w:lineRule="exact"/>
        <w:rPr>
          <w:rFonts w:ascii="宋体" w:hAnsi="宋体" w:eastAsia="宋体" w:cs="宋体"/>
          <w:color w:val="000000"/>
          <w:sz w:val="24"/>
          <w:szCs w:val="24"/>
        </w:rPr>
      </w:pPr>
      <w:bookmarkStart w:id="224" w:name="_Toc517938825"/>
      <w:r>
        <w:rPr>
          <w:rFonts w:hint="eastAsia" w:ascii="宋体" w:hAnsi="宋体" w:eastAsia="宋体" w:cs="宋体"/>
          <w:color w:val="000000"/>
          <w:sz w:val="24"/>
          <w:szCs w:val="24"/>
        </w:rPr>
        <w:t>27、签订合同</w:t>
      </w:r>
      <w:bookmarkEnd w:id="219"/>
      <w:bookmarkEnd w:id="220"/>
      <w:bookmarkEnd w:id="221"/>
      <w:bookmarkEnd w:id="222"/>
      <w:bookmarkEnd w:id="223"/>
      <w:bookmarkEnd w:id="224"/>
    </w:p>
    <w:p>
      <w:pPr>
        <w:pStyle w:val="13"/>
        <w:spacing w:line="400" w:lineRule="exact"/>
        <w:ind w:firstLine="420"/>
        <w:rPr>
          <w:rFonts w:hAnsi="宋体" w:cs="宋体"/>
          <w:color w:val="000000"/>
          <w:sz w:val="24"/>
          <w:szCs w:val="24"/>
        </w:rPr>
      </w:pPr>
      <w:bookmarkStart w:id="225" w:name="_Toc185702581"/>
      <w:r>
        <w:rPr>
          <w:rFonts w:hint="eastAsia" w:hAnsi="宋体" w:cs="宋体"/>
          <w:color w:val="000000"/>
          <w:sz w:val="24"/>
          <w:szCs w:val="24"/>
        </w:rPr>
        <w:t>27.1成交供应商须凭成交通知书及授权委托书按成交通知书中规定的时间、地点与采购人签订合同。成交供应商不得再与采购人签署订立背离谈判文件确定的合同文本以及采购标的、规格型号、采购金额、采购数量、技术和服务要求等实质性内容的协议。</w:t>
      </w:r>
    </w:p>
    <w:p>
      <w:pPr>
        <w:pStyle w:val="13"/>
        <w:spacing w:line="400" w:lineRule="exact"/>
        <w:ind w:firstLine="420"/>
        <w:rPr>
          <w:rFonts w:hAnsi="宋体" w:cs="宋体"/>
          <w:color w:val="000000"/>
          <w:sz w:val="24"/>
          <w:szCs w:val="24"/>
        </w:rPr>
      </w:pPr>
      <w:r>
        <w:rPr>
          <w:rFonts w:hint="eastAsia" w:hAnsi="宋体" w:cs="宋体"/>
          <w:color w:val="000000"/>
          <w:sz w:val="24"/>
          <w:szCs w:val="24"/>
        </w:rPr>
        <w:t>27.2如成交供应商不按成交通知书的规定签订合同，则按成交供应商违约处理，对成交供应商所递交的全部谈判保证金将不予退还。</w:t>
      </w:r>
    </w:p>
    <w:p>
      <w:pPr>
        <w:pStyle w:val="13"/>
        <w:spacing w:line="400" w:lineRule="exact"/>
        <w:ind w:firstLine="480" w:firstLineChars="200"/>
        <w:rPr>
          <w:rFonts w:hAnsi="宋体" w:cs="宋体"/>
          <w:bCs/>
          <w:color w:val="000000"/>
          <w:sz w:val="24"/>
          <w:szCs w:val="24"/>
        </w:rPr>
      </w:pPr>
      <w:r>
        <w:rPr>
          <w:rFonts w:hint="eastAsia" w:hAnsi="宋体" w:cs="宋体"/>
          <w:bCs/>
          <w:color w:val="000000"/>
          <w:sz w:val="24"/>
          <w:szCs w:val="24"/>
        </w:rPr>
        <w:t>27.3成交供应商因不可抗力或者自身原因不能履行政府采购合同的，采购人按谈判文件要求重新确定成交供应商并签订合同，或重新采购。</w:t>
      </w:r>
    </w:p>
    <w:p>
      <w:pPr>
        <w:pStyle w:val="13"/>
        <w:spacing w:line="400" w:lineRule="exact"/>
        <w:ind w:firstLine="420"/>
        <w:rPr>
          <w:rFonts w:hAnsi="宋体" w:cs="宋体"/>
          <w:color w:val="000000"/>
          <w:sz w:val="24"/>
          <w:szCs w:val="24"/>
        </w:rPr>
      </w:pPr>
      <w:r>
        <w:rPr>
          <w:rFonts w:hint="eastAsia" w:hAnsi="宋体" w:cs="宋体"/>
          <w:color w:val="000000"/>
          <w:sz w:val="24"/>
          <w:szCs w:val="24"/>
        </w:rPr>
        <w:t>27.4由于成交供应商放弃成交或未按规定签订合同，造成本项目的合同成交价提高（指采购人选择第二成交候选供应商导致成交金额高于违约人的成交价），所超出违约人的成交价部分由违约人承担赔偿责任。</w:t>
      </w:r>
    </w:p>
    <w:p>
      <w:pPr>
        <w:pStyle w:val="13"/>
        <w:spacing w:line="400" w:lineRule="exact"/>
        <w:ind w:firstLine="420"/>
        <w:rPr>
          <w:rFonts w:hAnsi="宋体" w:cs="宋体"/>
          <w:color w:val="000000"/>
          <w:sz w:val="24"/>
          <w:szCs w:val="24"/>
        </w:rPr>
      </w:pPr>
      <w:r>
        <w:rPr>
          <w:rFonts w:hint="eastAsia" w:hAnsi="宋体" w:cs="宋体"/>
          <w:color w:val="000000"/>
          <w:sz w:val="24"/>
          <w:szCs w:val="24"/>
        </w:rPr>
        <w:t>27.5政府采购合同必须与谈判文件第四章合同书格式(包括内容和结构)相一致，不能改变主要条款。</w:t>
      </w:r>
    </w:p>
    <w:bookmarkEnd w:id="225"/>
    <w:p>
      <w:pPr>
        <w:pStyle w:val="13"/>
        <w:spacing w:line="400" w:lineRule="exact"/>
        <w:ind w:firstLine="420"/>
        <w:rPr>
          <w:rFonts w:hAnsi="宋体" w:cs="宋体"/>
          <w:color w:val="000000"/>
          <w:sz w:val="24"/>
          <w:szCs w:val="24"/>
        </w:rPr>
      </w:pPr>
    </w:p>
    <w:p>
      <w:pPr>
        <w:pStyle w:val="3"/>
        <w:spacing w:line="400" w:lineRule="exact"/>
        <w:jc w:val="center"/>
        <w:rPr>
          <w:rFonts w:ascii="宋体" w:hAnsi="宋体" w:cs="宋体"/>
          <w:color w:val="000000"/>
          <w:sz w:val="24"/>
        </w:rPr>
      </w:pPr>
      <w:bookmarkStart w:id="226" w:name="_Toc206525715"/>
      <w:bookmarkStart w:id="227" w:name="_Toc239839896"/>
      <w:bookmarkStart w:id="228" w:name="_Toc230578090"/>
      <w:bookmarkStart w:id="229" w:name="_Toc185702582"/>
      <w:bookmarkStart w:id="230" w:name="_Toc517938826"/>
      <w:bookmarkStart w:id="231" w:name="_Toc207770868"/>
      <w:r>
        <w:rPr>
          <w:rFonts w:hint="eastAsia" w:ascii="宋体" w:hAnsi="宋体" w:cs="宋体"/>
          <w:color w:val="000000"/>
          <w:sz w:val="24"/>
        </w:rPr>
        <w:t>九   其他事项</w:t>
      </w:r>
      <w:bookmarkEnd w:id="226"/>
      <w:bookmarkEnd w:id="227"/>
      <w:bookmarkEnd w:id="228"/>
      <w:bookmarkEnd w:id="229"/>
      <w:bookmarkEnd w:id="230"/>
      <w:bookmarkEnd w:id="231"/>
    </w:p>
    <w:p>
      <w:pPr>
        <w:pStyle w:val="4"/>
        <w:spacing w:before="0" w:after="0" w:line="400" w:lineRule="exact"/>
        <w:rPr>
          <w:rFonts w:ascii="宋体" w:hAnsi="宋体" w:eastAsia="宋体" w:cs="宋体"/>
          <w:color w:val="000000"/>
          <w:sz w:val="24"/>
          <w:szCs w:val="24"/>
        </w:rPr>
      </w:pPr>
      <w:bookmarkStart w:id="232" w:name="_Toc206525716"/>
      <w:bookmarkStart w:id="233" w:name="_Toc207770869"/>
      <w:bookmarkStart w:id="234" w:name="_Toc230578091"/>
      <w:bookmarkStart w:id="235" w:name="_Toc239839897"/>
      <w:bookmarkStart w:id="236" w:name="_Toc185702583"/>
      <w:bookmarkStart w:id="237" w:name="_Toc517938827"/>
      <w:r>
        <w:rPr>
          <w:rFonts w:hint="eastAsia" w:ascii="宋体" w:hAnsi="宋体" w:eastAsia="宋体" w:cs="宋体"/>
          <w:color w:val="000000"/>
          <w:sz w:val="24"/>
          <w:szCs w:val="24"/>
        </w:rPr>
        <w:t>28、相关费</w:t>
      </w:r>
      <w:bookmarkEnd w:id="232"/>
      <w:bookmarkEnd w:id="233"/>
      <w:bookmarkEnd w:id="234"/>
      <w:bookmarkEnd w:id="235"/>
      <w:bookmarkEnd w:id="236"/>
      <w:r>
        <w:rPr>
          <w:rFonts w:hint="eastAsia" w:ascii="宋体" w:hAnsi="宋体" w:eastAsia="宋体" w:cs="宋体"/>
          <w:color w:val="000000"/>
          <w:sz w:val="24"/>
          <w:szCs w:val="24"/>
        </w:rPr>
        <w:t>用</w:t>
      </w:r>
      <w:bookmarkEnd w:id="237"/>
    </w:p>
    <w:p>
      <w:pPr>
        <w:pStyle w:val="13"/>
        <w:spacing w:line="400" w:lineRule="exact"/>
        <w:ind w:firstLine="420" w:firstLineChars="175"/>
        <w:rPr>
          <w:rFonts w:hAnsi="宋体" w:cs="宋体"/>
          <w:bCs/>
          <w:color w:val="000000"/>
          <w:sz w:val="24"/>
          <w:szCs w:val="24"/>
        </w:rPr>
      </w:pPr>
      <w:bookmarkStart w:id="238" w:name="_Toc185702584"/>
      <w:bookmarkStart w:id="239" w:name="_Toc206525717"/>
      <w:bookmarkStart w:id="240" w:name="_Toc207770870"/>
      <w:bookmarkStart w:id="241" w:name="_Toc239839898"/>
      <w:bookmarkStart w:id="242" w:name="_Toc230578092"/>
      <w:r>
        <w:rPr>
          <w:rFonts w:hint="eastAsia" w:hAnsi="宋体" w:cs="宋体"/>
          <w:bCs/>
          <w:color w:val="000000"/>
          <w:sz w:val="24"/>
          <w:szCs w:val="24"/>
        </w:rPr>
        <w:t>28.1代理服务收费标准及金额：代理服务费根据《国家发展改革委关于进一步放开建设项目专业服务价格的通知》（发改价格〔2015〕299号），代理服务费以成交价为计算基数，按差额定率累进法计取；由中标人在领取中标通知书时，一次性向采购代理机构支付。招标代理服务收费按差额定率累进法计算如下。</w:t>
      </w:r>
    </w:p>
    <w:tbl>
      <w:tblPr>
        <w:tblStyle w:val="29"/>
        <w:tblW w:w="0" w:type="auto"/>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1984"/>
        <w:gridCol w:w="170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3260" w:type="dxa"/>
          </w:tcPr>
          <w:p>
            <w:pPr>
              <w:pStyle w:val="13"/>
              <w:spacing w:line="400" w:lineRule="exact"/>
              <w:ind w:left="525" w:leftChars="250" w:firstLine="1440" w:firstLineChars="600"/>
              <w:rPr>
                <w:rFonts w:hAnsi="宋体" w:cs="宋体"/>
                <w:bCs/>
                <w:color w:val="000000"/>
                <w:sz w:val="24"/>
                <w:szCs w:val="24"/>
              </w:rPr>
            </w:pPr>
            <w:r>
              <w:rPr>
                <w:rFonts w:hAnsi="宋体" w:cs="宋体"/>
                <w:bCs/>
                <w:color w:val="000000"/>
                <w:sz w:val="24"/>
                <w:szCs w:val="24"/>
              </w:rPr>
              <mc:AlternateContent>
                <mc:Choice Requires="wpg">
                  <w:drawing>
                    <wp:anchor distT="0" distB="0" distL="114300" distR="114300" simplePos="0" relativeHeight="251665408" behindDoc="0" locked="0" layoutInCell="1" allowOverlap="1">
                      <wp:simplePos x="0" y="0"/>
                      <wp:positionH relativeFrom="column">
                        <wp:posOffset>-71120</wp:posOffset>
                      </wp:positionH>
                      <wp:positionV relativeFrom="paragraph">
                        <wp:posOffset>635</wp:posOffset>
                      </wp:positionV>
                      <wp:extent cx="2077720" cy="1021080"/>
                      <wp:effectExtent l="8255" t="6350" r="9525" b="10795"/>
                      <wp:wrapNone/>
                      <wp:docPr id="6" name="组合 3"/>
                      <wp:cNvGraphicFramePr/>
                      <a:graphic xmlns:a="http://schemas.openxmlformats.org/drawingml/2006/main">
                        <a:graphicData uri="http://schemas.microsoft.com/office/word/2010/wordprocessingGroup">
                          <wpg:wgp>
                            <wpg:cNvGrpSpPr/>
                            <wpg:grpSpPr>
                              <a:xfrm>
                                <a:off x="0" y="0"/>
                                <a:ext cx="2077720" cy="1021080"/>
                                <a:chOff x="959" y="1984"/>
                                <a:chExt cx="2534" cy="1072"/>
                              </a:xfrm>
                            </wpg:grpSpPr>
                            <wps:wsp>
                              <wps:cNvPr id="7" name="直线 4"/>
                              <wps:cNvCnPr>
                                <a:cxnSpLocks noChangeShapeType="1"/>
                              </wps:cNvCnPr>
                              <wps:spPr bwMode="auto">
                                <a:xfrm>
                                  <a:off x="2226" y="1984"/>
                                  <a:ext cx="1267" cy="1072"/>
                                </a:xfrm>
                                <a:prstGeom prst="line">
                                  <a:avLst/>
                                </a:prstGeom>
                                <a:noFill/>
                                <a:ln w="6350">
                                  <a:solidFill>
                                    <a:srgbClr val="000000"/>
                                  </a:solidFill>
                                  <a:round/>
                                </a:ln>
                              </wps:spPr>
                              <wps:bodyPr/>
                            </wps:wsp>
                            <wps:wsp>
                              <wps:cNvPr id="8" name="直线 5"/>
                              <wps:cNvCnPr>
                                <a:cxnSpLocks noChangeShapeType="1"/>
                              </wps:cNvCnPr>
                              <wps:spPr bwMode="auto">
                                <a:xfrm>
                                  <a:off x="959" y="2520"/>
                                  <a:ext cx="2534" cy="536"/>
                                </a:xfrm>
                                <a:prstGeom prst="line">
                                  <a:avLst/>
                                </a:prstGeom>
                                <a:noFill/>
                                <a:ln w="6350">
                                  <a:solidFill>
                                    <a:srgbClr val="000000"/>
                                  </a:solidFill>
                                  <a:round/>
                                </a:ln>
                              </wps:spPr>
                              <wps:bodyPr/>
                            </wps:wsp>
                          </wpg:wgp>
                        </a:graphicData>
                      </a:graphic>
                    </wp:anchor>
                  </w:drawing>
                </mc:Choice>
                <mc:Fallback>
                  <w:pict>
                    <v:group id="组合 3" o:spid="_x0000_s1026" o:spt="203" style="position:absolute;left:0pt;margin-left:-5.6pt;margin-top:0.05pt;height:80.4pt;width:163.6pt;z-index:251665408;mso-width-relative:page;mso-height-relative:page;" coordorigin="959,1984" coordsize="2534,1072" o:gfxdata="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s/PK/1gAAAAgBAAAPAAAAAAAAAAEAIAAAACIA&#10;AABkcnMvZG93bnJldi54bWxQSwECFAAUAAAACACHTuJAu8Y2Gn0CAACeBgAADgAAAAAAAAABACAA&#10;AAAlAQAAZHJzL2Uyb0RvYy54bWxQSwUGAAAAAAYABgBZAQAAFAYAAAAA&#10;">
                      <o:lock v:ext="edit" aspectratio="f"/>
                      <v:line id="直线 4" o:spid="_x0000_s1026" o:spt="20" style="position:absolute;left:2226;top:1984;height:1072;width:1267;" filled="f" stroked="t" coordsize="21600,21600" o:gfxdata="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I1kr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5" o:spid="_x0000_s1026" o:spt="20" style="position:absolute;left:959;top:2520;height:536;width:2534;" filled="f" stroked="t" coordsize="21600,21600"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group>
                  </w:pict>
                </mc:Fallback>
              </mc:AlternateContent>
            </w:r>
            <w:r>
              <w:rPr>
                <w:rFonts w:hint="eastAsia" w:hAnsi="宋体" w:cs="宋体"/>
                <w:bCs/>
                <w:color w:val="000000"/>
                <w:sz w:val="24"/>
                <w:szCs w:val="24"/>
              </w:rPr>
              <w:t>服务类型             费  率</w:t>
            </w:r>
          </w:p>
          <w:p>
            <w:pPr>
              <w:pStyle w:val="13"/>
              <w:spacing w:line="400" w:lineRule="exact"/>
              <w:ind w:left="600" w:hanging="600" w:hangingChars="250"/>
              <w:rPr>
                <w:rFonts w:hAnsi="宋体" w:cs="宋体"/>
                <w:bCs/>
                <w:color w:val="000000"/>
                <w:sz w:val="24"/>
                <w:szCs w:val="24"/>
              </w:rPr>
            </w:pPr>
          </w:p>
          <w:p>
            <w:pPr>
              <w:pStyle w:val="13"/>
              <w:spacing w:line="400" w:lineRule="exact"/>
              <w:ind w:left="600" w:hanging="600" w:hangingChars="250"/>
              <w:rPr>
                <w:rFonts w:hAnsi="宋体" w:cs="宋体"/>
                <w:bCs/>
                <w:color w:val="000000"/>
                <w:sz w:val="24"/>
                <w:szCs w:val="24"/>
              </w:rPr>
            </w:pPr>
            <w:r>
              <w:rPr>
                <w:rFonts w:hint="eastAsia" w:hAnsi="宋体" w:cs="宋体"/>
                <w:bCs/>
                <w:color w:val="000000"/>
                <w:sz w:val="24"/>
                <w:szCs w:val="24"/>
              </w:rPr>
              <w:t>成交金额（万元）</w:t>
            </w:r>
          </w:p>
        </w:tc>
        <w:tc>
          <w:tcPr>
            <w:tcW w:w="1984" w:type="dxa"/>
            <w:vAlign w:val="center"/>
          </w:tcPr>
          <w:p>
            <w:pPr>
              <w:pStyle w:val="13"/>
              <w:spacing w:line="400" w:lineRule="exact"/>
              <w:ind w:left="600" w:hanging="600" w:hangingChars="250"/>
              <w:jc w:val="center"/>
              <w:rPr>
                <w:rFonts w:hAnsi="宋体" w:cs="宋体"/>
                <w:bCs/>
                <w:color w:val="000000"/>
                <w:sz w:val="24"/>
                <w:szCs w:val="24"/>
              </w:rPr>
            </w:pPr>
            <w:r>
              <w:rPr>
                <w:rFonts w:hint="eastAsia" w:hAnsi="宋体" w:cs="宋体"/>
                <w:bCs/>
                <w:color w:val="000000"/>
                <w:sz w:val="24"/>
                <w:szCs w:val="24"/>
              </w:rPr>
              <w:t>货物招标</w:t>
            </w:r>
          </w:p>
        </w:tc>
        <w:tc>
          <w:tcPr>
            <w:tcW w:w="1701" w:type="dxa"/>
            <w:vAlign w:val="center"/>
          </w:tcPr>
          <w:p>
            <w:pPr>
              <w:pStyle w:val="13"/>
              <w:spacing w:line="400" w:lineRule="exact"/>
              <w:ind w:left="600" w:hanging="600" w:hangingChars="250"/>
              <w:jc w:val="center"/>
              <w:rPr>
                <w:rFonts w:hAnsi="宋体" w:cs="宋体"/>
                <w:bCs/>
                <w:color w:val="000000"/>
                <w:sz w:val="24"/>
                <w:szCs w:val="24"/>
              </w:rPr>
            </w:pPr>
            <w:r>
              <w:rPr>
                <w:rFonts w:hint="eastAsia" w:hAnsi="宋体" w:cs="宋体"/>
                <w:bCs/>
                <w:color w:val="000000"/>
                <w:sz w:val="24"/>
                <w:szCs w:val="24"/>
              </w:rPr>
              <w:t>服务招标</w:t>
            </w:r>
          </w:p>
        </w:tc>
        <w:tc>
          <w:tcPr>
            <w:tcW w:w="2127" w:type="dxa"/>
            <w:vAlign w:val="center"/>
          </w:tcPr>
          <w:p>
            <w:pPr>
              <w:pStyle w:val="13"/>
              <w:spacing w:line="400" w:lineRule="exact"/>
              <w:ind w:left="600" w:hanging="600" w:hangingChars="250"/>
              <w:jc w:val="center"/>
              <w:rPr>
                <w:rFonts w:hAnsi="宋体" w:cs="宋体"/>
                <w:bCs/>
                <w:color w:val="000000"/>
                <w:sz w:val="24"/>
                <w:szCs w:val="24"/>
              </w:rPr>
            </w:pPr>
            <w:r>
              <w:rPr>
                <w:rFonts w:hint="eastAsia" w:hAnsi="宋体" w:cs="宋体"/>
                <w:bCs/>
                <w:color w:val="000000"/>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0" w:type="dxa"/>
            <w:vAlign w:val="center"/>
          </w:tcPr>
          <w:p>
            <w:pPr>
              <w:pStyle w:val="13"/>
              <w:spacing w:line="400" w:lineRule="exact"/>
              <w:ind w:left="600" w:hanging="600" w:hangingChars="250"/>
              <w:rPr>
                <w:rFonts w:hAnsi="宋体" w:cs="宋体"/>
                <w:bCs/>
                <w:color w:val="000000"/>
                <w:sz w:val="24"/>
                <w:szCs w:val="24"/>
              </w:rPr>
            </w:pPr>
            <w:r>
              <w:rPr>
                <w:rFonts w:hint="eastAsia" w:hAnsi="宋体" w:cs="宋体"/>
                <w:bCs/>
                <w:color w:val="000000"/>
                <w:sz w:val="24"/>
                <w:szCs w:val="24"/>
              </w:rPr>
              <w:t>100以下</w:t>
            </w:r>
          </w:p>
        </w:tc>
        <w:tc>
          <w:tcPr>
            <w:tcW w:w="1984" w:type="dxa"/>
            <w:vAlign w:val="center"/>
          </w:tcPr>
          <w:p>
            <w:pPr>
              <w:pStyle w:val="13"/>
              <w:spacing w:line="400" w:lineRule="exact"/>
              <w:ind w:left="600" w:hanging="600" w:hangingChars="250"/>
              <w:rPr>
                <w:rFonts w:hAnsi="宋体" w:cs="宋体"/>
                <w:bCs/>
                <w:color w:val="000000"/>
                <w:sz w:val="24"/>
                <w:szCs w:val="24"/>
              </w:rPr>
            </w:pPr>
            <w:r>
              <w:rPr>
                <w:rFonts w:hint="eastAsia" w:hAnsi="宋体" w:cs="宋体"/>
                <w:bCs/>
                <w:color w:val="000000"/>
                <w:sz w:val="24"/>
                <w:szCs w:val="24"/>
              </w:rPr>
              <w:t>1.5%</w:t>
            </w:r>
          </w:p>
        </w:tc>
        <w:tc>
          <w:tcPr>
            <w:tcW w:w="1701" w:type="dxa"/>
            <w:vAlign w:val="center"/>
          </w:tcPr>
          <w:p>
            <w:pPr>
              <w:pStyle w:val="13"/>
              <w:spacing w:line="400" w:lineRule="exact"/>
              <w:ind w:left="600" w:hanging="600" w:hangingChars="250"/>
              <w:rPr>
                <w:rFonts w:hAnsi="宋体" w:cs="宋体"/>
                <w:bCs/>
                <w:color w:val="000000"/>
                <w:sz w:val="24"/>
                <w:szCs w:val="24"/>
              </w:rPr>
            </w:pPr>
            <w:r>
              <w:rPr>
                <w:rFonts w:hint="eastAsia" w:hAnsi="宋体" w:cs="宋体"/>
                <w:bCs/>
                <w:color w:val="000000"/>
                <w:sz w:val="24"/>
                <w:szCs w:val="24"/>
              </w:rPr>
              <w:t>1.5%</w:t>
            </w:r>
          </w:p>
        </w:tc>
        <w:tc>
          <w:tcPr>
            <w:tcW w:w="2127" w:type="dxa"/>
            <w:vAlign w:val="center"/>
          </w:tcPr>
          <w:p>
            <w:pPr>
              <w:pStyle w:val="13"/>
              <w:spacing w:line="400" w:lineRule="exact"/>
              <w:ind w:left="600" w:hanging="600" w:hangingChars="250"/>
              <w:rPr>
                <w:rFonts w:hAnsi="宋体" w:cs="宋体"/>
                <w:bCs/>
                <w:color w:val="000000"/>
                <w:sz w:val="24"/>
                <w:szCs w:val="24"/>
              </w:rPr>
            </w:pPr>
            <w:r>
              <w:rPr>
                <w:rFonts w:hint="eastAsia" w:hAnsi="宋体" w:cs="宋体"/>
                <w:bCs/>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0" w:type="dxa"/>
            <w:vAlign w:val="center"/>
          </w:tcPr>
          <w:p>
            <w:pPr>
              <w:pStyle w:val="13"/>
              <w:spacing w:line="400" w:lineRule="exact"/>
              <w:ind w:left="600" w:hanging="600" w:hangingChars="250"/>
              <w:rPr>
                <w:rFonts w:hAnsi="宋体" w:cs="宋体"/>
                <w:bCs/>
                <w:color w:val="000000"/>
                <w:sz w:val="24"/>
                <w:szCs w:val="24"/>
              </w:rPr>
            </w:pPr>
            <w:r>
              <w:rPr>
                <w:rFonts w:hint="eastAsia" w:hAnsi="宋体" w:cs="宋体"/>
                <w:bCs/>
                <w:color w:val="000000"/>
                <w:sz w:val="24"/>
                <w:szCs w:val="24"/>
              </w:rPr>
              <w:t>100-500</w:t>
            </w:r>
          </w:p>
        </w:tc>
        <w:tc>
          <w:tcPr>
            <w:tcW w:w="1984" w:type="dxa"/>
            <w:vAlign w:val="center"/>
          </w:tcPr>
          <w:p>
            <w:pPr>
              <w:pStyle w:val="13"/>
              <w:spacing w:line="400" w:lineRule="exact"/>
              <w:ind w:left="600" w:hanging="600" w:hangingChars="250"/>
              <w:rPr>
                <w:rFonts w:hAnsi="宋体" w:cs="宋体"/>
                <w:bCs/>
                <w:color w:val="000000"/>
                <w:sz w:val="24"/>
                <w:szCs w:val="24"/>
              </w:rPr>
            </w:pPr>
            <w:r>
              <w:rPr>
                <w:rFonts w:hint="eastAsia" w:hAnsi="宋体" w:cs="宋体"/>
                <w:bCs/>
                <w:color w:val="000000"/>
                <w:sz w:val="24"/>
                <w:szCs w:val="24"/>
              </w:rPr>
              <w:t>1.1%</w:t>
            </w:r>
          </w:p>
        </w:tc>
        <w:tc>
          <w:tcPr>
            <w:tcW w:w="1701" w:type="dxa"/>
            <w:vAlign w:val="center"/>
          </w:tcPr>
          <w:p>
            <w:pPr>
              <w:pStyle w:val="13"/>
              <w:spacing w:line="400" w:lineRule="exact"/>
              <w:ind w:left="600" w:hanging="600" w:hangingChars="250"/>
              <w:rPr>
                <w:rFonts w:hAnsi="宋体" w:cs="宋体"/>
                <w:bCs/>
                <w:color w:val="000000"/>
                <w:sz w:val="24"/>
                <w:szCs w:val="24"/>
              </w:rPr>
            </w:pPr>
            <w:r>
              <w:rPr>
                <w:rFonts w:hint="eastAsia" w:hAnsi="宋体" w:cs="宋体"/>
                <w:bCs/>
                <w:color w:val="000000"/>
                <w:sz w:val="24"/>
                <w:szCs w:val="24"/>
              </w:rPr>
              <w:t>0.8%</w:t>
            </w:r>
          </w:p>
        </w:tc>
        <w:tc>
          <w:tcPr>
            <w:tcW w:w="2127" w:type="dxa"/>
            <w:vAlign w:val="center"/>
          </w:tcPr>
          <w:p>
            <w:pPr>
              <w:pStyle w:val="13"/>
              <w:spacing w:line="400" w:lineRule="exact"/>
              <w:ind w:left="600" w:hanging="600" w:hangingChars="250"/>
              <w:rPr>
                <w:rFonts w:hAnsi="宋体" w:cs="宋体"/>
                <w:bCs/>
                <w:color w:val="000000"/>
                <w:sz w:val="24"/>
                <w:szCs w:val="24"/>
              </w:rPr>
            </w:pPr>
            <w:r>
              <w:rPr>
                <w:rFonts w:hint="eastAsia" w:hAnsi="宋体" w:cs="宋体"/>
                <w:bCs/>
                <w:color w:val="000000"/>
                <w:sz w:val="24"/>
                <w:szCs w:val="24"/>
              </w:rPr>
              <w:t>0.7%</w:t>
            </w:r>
          </w:p>
        </w:tc>
      </w:tr>
    </w:tbl>
    <w:p>
      <w:pPr>
        <w:pStyle w:val="13"/>
        <w:spacing w:line="400" w:lineRule="exact"/>
        <w:rPr>
          <w:rFonts w:hAnsi="宋体" w:cs="宋体"/>
          <w:bCs/>
          <w:color w:val="000000"/>
          <w:sz w:val="24"/>
          <w:szCs w:val="24"/>
        </w:rPr>
      </w:pPr>
      <w:r>
        <w:rPr>
          <w:rFonts w:hint="eastAsia" w:hAnsi="宋体" w:cs="宋体"/>
          <w:bCs/>
          <w:color w:val="000000"/>
          <w:sz w:val="24"/>
          <w:szCs w:val="24"/>
        </w:rPr>
        <w:t>例如：某货物招标代理业务成交金额为200万元，计算招标代理服务收费额如下：</w:t>
      </w:r>
    </w:p>
    <w:p>
      <w:pPr>
        <w:pStyle w:val="13"/>
        <w:spacing w:line="400" w:lineRule="exact"/>
        <w:rPr>
          <w:rFonts w:hAnsi="宋体" w:cs="宋体"/>
          <w:bCs/>
          <w:color w:val="000000"/>
          <w:sz w:val="24"/>
          <w:szCs w:val="24"/>
        </w:rPr>
      </w:pPr>
      <w:r>
        <w:rPr>
          <w:rFonts w:hint="eastAsia" w:hAnsi="宋体" w:cs="宋体"/>
          <w:bCs/>
          <w:color w:val="000000"/>
          <w:sz w:val="24"/>
          <w:szCs w:val="24"/>
        </w:rPr>
        <w:t>100万元×1.5%=1.5万元</w:t>
      </w:r>
    </w:p>
    <w:p>
      <w:pPr>
        <w:pStyle w:val="13"/>
        <w:spacing w:line="400" w:lineRule="exact"/>
        <w:ind w:left="600" w:hanging="600" w:hangingChars="250"/>
        <w:rPr>
          <w:rFonts w:hAnsi="宋体" w:cs="宋体"/>
          <w:bCs/>
          <w:color w:val="000000"/>
          <w:sz w:val="24"/>
          <w:szCs w:val="24"/>
        </w:rPr>
      </w:pPr>
      <w:r>
        <w:rPr>
          <w:rFonts w:hint="eastAsia" w:hAnsi="宋体" w:cs="宋体"/>
          <w:bCs/>
          <w:color w:val="000000"/>
          <w:sz w:val="24"/>
          <w:szCs w:val="24"/>
        </w:rPr>
        <w:t>（200-100）万元×1.1%=1.1万元</w:t>
      </w:r>
    </w:p>
    <w:p>
      <w:pPr>
        <w:pStyle w:val="13"/>
        <w:spacing w:line="400" w:lineRule="exact"/>
        <w:ind w:left="600" w:hanging="600" w:hangingChars="250"/>
        <w:rPr>
          <w:rFonts w:hAnsi="宋体" w:cs="宋体"/>
          <w:bCs/>
          <w:color w:val="000000"/>
          <w:sz w:val="24"/>
          <w:szCs w:val="24"/>
        </w:rPr>
      </w:pPr>
      <w:r>
        <w:rPr>
          <w:rFonts w:hint="eastAsia" w:hAnsi="宋体" w:cs="宋体"/>
          <w:bCs/>
          <w:color w:val="000000"/>
          <w:sz w:val="24"/>
          <w:szCs w:val="24"/>
        </w:rPr>
        <w:t>合计收费 = 1.5 + 1.1 = 2.6（万元）</w:t>
      </w:r>
    </w:p>
    <w:p>
      <w:pPr>
        <w:pStyle w:val="13"/>
        <w:spacing w:line="400" w:lineRule="exact"/>
        <w:ind w:left="599" w:leftChars="228" w:hanging="120" w:hangingChars="50"/>
        <w:rPr>
          <w:rFonts w:hAnsi="宋体" w:cs="宋体"/>
          <w:color w:val="000000"/>
          <w:sz w:val="24"/>
          <w:szCs w:val="24"/>
        </w:rPr>
      </w:pPr>
      <w:r>
        <w:rPr>
          <w:rFonts w:hint="eastAsia" w:hAnsi="宋体" w:cs="宋体"/>
          <w:color w:val="000000"/>
          <w:sz w:val="24"/>
          <w:szCs w:val="24"/>
        </w:rPr>
        <w:t>28.2上述款项，请现金现存或转账电汇转入下列银行帐户。</w:t>
      </w:r>
    </w:p>
    <w:p>
      <w:pPr>
        <w:pStyle w:val="13"/>
        <w:spacing w:line="400" w:lineRule="exact"/>
        <w:ind w:firstLine="960" w:firstLineChars="400"/>
        <w:rPr>
          <w:rFonts w:hAnsi="宋体" w:cs="宋体"/>
          <w:color w:val="000000"/>
          <w:sz w:val="24"/>
          <w:szCs w:val="24"/>
        </w:rPr>
      </w:pPr>
      <w:r>
        <w:rPr>
          <w:rFonts w:hint="eastAsia" w:hAnsi="宋体" w:cs="宋体"/>
          <w:color w:val="000000"/>
          <w:sz w:val="24"/>
          <w:szCs w:val="24"/>
        </w:rPr>
        <w:t>开户名称：广西桂宝工程监理咨询有限公司桂东分公司</w:t>
      </w:r>
    </w:p>
    <w:p>
      <w:pPr>
        <w:pStyle w:val="13"/>
        <w:spacing w:line="400" w:lineRule="exact"/>
        <w:ind w:firstLine="960" w:firstLineChars="400"/>
        <w:rPr>
          <w:rFonts w:hAnsi="宋体" w:cs="宋体"/>
          <w:color w:val="000000"/>
          <w:sz w:val="24"/>
          <w:szCs w:val="24"/>
        </w:rPr>
      </w:pPr>
      <w:r>
        <w:rPr>
          <w:rFonts w:hint="eastAsia" w:hAnsi="宋体" w:cs="宋体"/>
          <w:color w:val="000000"/>
          <w:sz w:val="24"/>
          <w:szCs w:val="24"/>
        </w:rPr>
        <w:t>开户银行：中国邮政储蓄银行股份有限公司广西壮族自治区梧州市分行</w:t>
      </w:r>
    </w:p>
    <w:p>
      <w:pPr>
        <w:pStyle w:val="13"/>
        <w:spacing w:line="400" w:lineRule="exact"/>
        <w:ind w:firstLine="960" w:firstLineChars="400"/>
        <w:rPr>
          <w:rFonts w:hAnsi="宋体" w:cs="宋体"/>
          <w:color w:val="000000"/>
          <w:sz w:val="24"/>
          <w:szCs w:val="24"/>
        </w:rPr>
      </w:pPr>
      <w:r>
        <w:rPr>
          <w:rFonts w:hint="eastAsia" w:hAnsi="宋体" w:cs="宋体"/>
          <w:color w:val="000000"/>
          <w:sz w:val="24"/>
          <w:szCs w:val="24"/>
        </w:rPr>
        <w:t>银行账号：945003010049238896</w:t>
      </w:r>
    </w:p>
    <w:p>
      <w:pPr>
        <w:pStyle w:val="4"/>
        <w:spacing w:before="0" w:after="0" w:line="400" w:lineRule="exact"/>
        <w:rPr>
          <w:rFonts w:ascii="宋体" w:hAnsi="宋体" w:eastAsia="宋体" w:cs="宋体"/>
          <w:color w:val="000000"/>
          <w:sz w:val="24"/>
          <w:szCs w:val="24"/>
        </w:rPr>
      </w:pPr>
      <w:bookmarkStart w:id="243" w:name="_Toc517938828"/>
      <w:r>
        <w:rPr>
          <w:rFonts w:hint="eastAsia" w:ascii="宋体" w:hAnsi="宋体" w:eastAsia="宋体" w:cs="宋体"/>
          <w:color w:val="000000"/>
          <w:sz w:val="24"/>
          <w:szCs w:val="24"/>
        </w:rPr>
        <w:t>29、解释权</w:t>
      </w:r>
      <w:bookmarkEnd w:id="238"/>
      <w:bookmarkEnd w:id="239"/>
      <w:bookmarkEnd w:id="240"/>
      <w:bookmarkEnd w:id="241"/>
      <w:bookmarkEnd w:id="242"/>
      <w:bookmarkEnd w:id="243"/>
    </w:p>
    <w:p>
      <w:pPr>
        <w:pStyle w:val="13"/>
        <w:spacing w:line="400" w:lineRule="exact"/>
        <w:ind w:firstLine="420"/>
        <w:rPr>
          <w:rFonts w:hAnsi="宋体" w:cs="宋体"/>
          <w:color w:val="000000"/>
          <w:sz w:val="24"/>
          <w:szCs w:val="24"/>
        </w:rPr>
      </w:pPr>
      <w:r>
        <w:rPr>
          <w:rFonts w:hint="eastAsia" w:hAnsi="宋体" w:cs="宋体"/>
          <w:color w:val="000000"/>
          <w:sz w:val="24"/>
          <w:szCs w:val="24"/>
        </w:rPr>
        <w:t>29.1本谈判文件是根据国家有关法律、法规以及政府采购管理有关规定和参照国际惯例编制，解释权属本采购代理机构。</w:t>
      </w:r>
    </w:p>
    <w:p>
      <w:pPr>
        <w:pStyle w:val="4"/>
        <w:spacing w:before="0" w:after="0" w:line="400" w:lineRule="exact"/>
        <w:rPr>
          <w:rFonts w:ascii="宋体" w:hAnsi="宋体" w:eastAsia="宋体" w:cs="宋体"/>
          <w:color w:val="000000"/>
          <w:sz w:val="24"/>
          <w:szCs w:val="24"/>
        </w:rPr>
      </w:pPr>
      <w:bookmarkStart w:id="244" w:name="_Toc230578093"/>
      <w:bookmarkStart w:id="245" w:name="_Toc207770871"/>
      <w:bookmarkStart w:id="246" w:name="_Toc185702585"/>
      <w:bookmarkStart w:id="247" w:name="_Toc206525718"/>
      <w:bookmarkStart w:id="248" w:name="_Toc239839899"/>
      <w:bookmarkStart w:id="249" w:name="_Toc517938829"/>
      <w:r>
        <w:rPr>
          <w:rFonts w:hint="eastAsia" w:ascii="宋体" w:hAnsi="宋体" w:eastAsia="宋体" w:cs="宋体"/>
          <w:color w:val="000000"/>
          <w:sz w:val="24"/>
          <w:szCs w:val="24"/>
        </w:rPr>
        <w:t>30、</w:t>
      </w:r>
      <w:bookmarkEnd w:id="244"/>
      <w:bookmarkEnd w:id="245"/>
      <w:bookmarkEnd w:id="246"/>
      <w:bookmarkEnd w:id="247"/>
      <w:bookmarkEnd w:id="248"/>
      <w:r>
        <w:rPr>
          <w:rFonts w:hint="eastAsia" w:ascii="宋体" w:hAnsi="宋体" w:eastAsia="宋体" w:cs="宋体"/>
          <w:color w:val="000000"/>
          <w:sz w:val="24"/>
          <w:szCs w:val="24"/>
        </w:rPr>
        <w:t>知识产权</w:t>
      </w:r>
      <w:bookmarkEnd w:id="249"/>
    </w:p>
    <w:p>
      <w:pPr>
        <w:pStyle w:val="13"/>
        <w:spacing w:line="400" w:lineRule="exact"/>
        <w:ind w:firstLine="420"/>
        <w:rPr>
          <w:rFonts w:hAnsi="宋体" w:cs="宋体"/>
          <w:color w:val="000000"/>
          <w:sz w:val="24"/>
          <w:szCs w:val="24"/>
        </w:rPr>
      </w:pPr>
      <w:r>
        <w:rPr>
          <w:rFonts w:hint="eastAsia" w:hAnsi="宋体" w:cs="宋体"/>
          <w:color w:val="000000"/>
          <w:sz w:val="24"/>
          <w:szCs w:val="24"/>
        </w:rPr>
        <w:t>30.1所有供应商的响应文件（包括知识产权在内的任何权利）均归采购人所有，不予退还。</w:t>
      </w:r>
    </w:p>
    <w:p>
      <w:pPr>
        <w:pStyle w:val="4"/>
        <w:spacing w:before="0" w:after="0" w:line="400" w:lineRule="exact"/>
        <w:rPr>
          <w:rFonts w:ascii="宋体" w:hAnsi="宋体" w:eastAsia="宋体" w:cs="宋体"/>
          <w:color w:val="000000"/>
          <w:sz w:val="24"/>
          <w:szCs w:val="24"/>
        </w:rPr>
      </w:pPr>
      <w:bookmarkStart w:id="250" w:name="_Toc517938830"/>
      <w:r>
        <w:rPr>
          <w:rFonts w:hint="eastAsia" w:ascii="宋体" w:hAnsi="宋体" w:eastAsia="宋体" w:cs="宋体"/>
          <w:color w:val="000000"/>
          <w:sz w:val="24"/>
          <w:szCs w:val="24"/>
        </w:rPr>
        <w:t>31、需要补充的其他内容</w:t>
      </w:r>
      <w:bookmarkEnd w:id="250"/>
    </w:p>
    <w:p>
      <w:pPr>
        <w:pStyle w:val="13"/>
        <w:spacing w:line="400" w:lineRule="exact"/>
        <w:ind w:firstLine="420"/>
        <w:rPr>
          <w:rFonts w:hAnsi="宋体" w:cs="宋体"/>
          <w:color w:val="000000"/>
          <w:sz w:val="24"/>
          <w:szCs w:val="24"/>
        </w:rPr>
      </w:pPr>
      <w:r>
        <w:rPr>
          <w:rFonts w:hint="eastAsia" w:hAnsi="宋体" w:cs="宋体"/>
          <w:color w:val="000000"/>
          <w:sz w:val="24"/>
          <w:szCs w:val="24"/>
        </w:rPr>
        <w:t>31.1需要补充的其他内容：见须知前附表。</w:t>
      </w:r>
    </w:p>
    <w:p>
      <w:pPr>
        <w:spacing w:line="300" w:lineRule="exact"/>
        <w:rPr>
          <w:rFonts w:ascii="宋体" w:hAnsi="宋体" w:cs="宋体"/>
          <w:color w:val="000000"/>
        </w:rPr>
      </w:pPr>
    </w:p>
    <w:p>
      <w:pPr>
        <w:pStyle w:val="3"/>
        <w:spacing w:line="560" w:lineRule="exact"/>
        <w:rPr>
          <w:rFonts w:ascii="宋体" w:hAnsi="宋体" w:cs="宋体"/>
          <w:bCs/>
          <w:color w:val="000000"/>
          <w:sz w:val="44"/>
        </w:rPr>
      </w:pPr>
    </w:p>
    <w:p>
      <w:pPr>
        <w:pStyle w:val="3"/>
        <w:spacing w:line="560" w:lineRule="exact"/>
        <w:jc w:val="center"/>
        <w:rPr>
          <w:rFonts w:hint="eastAsia" w:ascii="宋体" w:hAnsi="宋体" w:cs="宋体"/>
          <w:bCs/>
          <w:color w:val="000000"/>
          <w:sz w:val="44"/>
        </w:rPr>
      </w:pPr>
    </w:p>
    <w:p>
      <w:pPr>
        <w:pStyle w:val="3"/>
        <w:spacing w:line="560" w:lineRule="exact"/>
        <w:jc w:val="center"/>
        <w:rPr>
          <w:rFonts w:hint="eastAsia" w:ascii="宋体" w:hAnsi="宋体" w:cs="宋体"/>
          <w:bCs/>
          <w:color w:val="000000"/>
          <w:sz w:val="44"/>
        </w:rPr>
      </w:pPr>
    </w:p>
    <w:p>
      <w:pPr>
        <w:pStyle w:val="3"/>
        <w:spacing w:line="560" w:lineRule="exact"/>
        <w:jc w:val="center"/>
        <w:rPr>
          <w:rFonts w:hint="eastAsia" w:ascii="宋体" w:hAnsi="宋体" w:cs="宋体"/>
          <w:bCs/>
          <w:color w:val="000000"/>
          <w:sz w:val="44"/>
        </w:rPr>
      </w:pPr>
    </w:p>
    <w:p>
      <w:pPr>
        <w:pStyle w:val="3"/>
        <w:spacing w:line="560" w:lineRule="exact"/>
        <w:jc w:val="center"/>
        <w:rPr>
          <w:rFonts w:hint="eastAsia" w:ascii="宋体" w:hAnsi="宋体" w:cs="宋体"/>
          <w:bCs/>
          <w:color w:val="000000"/>
          <w:sz w:val="44"/>
        </w:rPr>
      </w:pPr>
    </w:p>
    <w:p>
      <w:pPr>
        <w:pStyle w:val="3"/>
        <w:spacing w:line="560" w:lineRule="exact"/>
        <w:jc w:val="center"/>
        <w:rPr>
          <w:rFonts w:hint="eastAsia" w:ascii="宋体" w:hAnsi="宋体" w:cs="宋体"/>
          <w:bCs/>
          <w:color w:val="000000"/>
          <w:sz w:val="44"/>
        </w:rPr>
      </w:pPr>
    </w:p>
    <w:p>
      <w:pPr>
        <w:pStyle w:val="3"/>
        <w:spacing w:line="560" w:lineRule="exact"/>
        <w:jc w:val="center"/>
        <w:rPr>
          <w:rFonts w:hint="eastAsia" w:ascii="宋体" w:hAnsi="宋体" w:cs="宋体"/>
          <w:bCs/>
          <w:color w:val="000000"/>
          <w:sz w:val="44"/>
        </w:rPr>
      </w:pPr>
    </w:p>
    <w:p>
      <w:pPr>
        <w:pStyle w:val="3"/>
        <w:spacing w:line="560" w:lineRule="exact"/>
        <w:jc w:val="center"/>
        <w:rPr>
          <w:rFonts w:hint="eastAsia" w:ascii="宋体" w:hAnsi="宋体" w:cs="宋体"/>
          <w:bCs/>
          <w:color w:val="000000"/>
          <w:sz w:val="44"/>
        </w:rPr>
      </w:pPr>
    </w:p>
    <w:p>
      <w:pPr>
        <w:pStyle w:val="3"/>
        <w:spacing w:line="560" w:lineRule="exact"/>
        <w:jc w:val="center"/>
        <w:rPr>
          <w:rFonts w:hint="eastAsia" w:ascii="宋体" w:hAnsi="宋体" w:cs="宋体"/>
          <w:bCs/>
          <w:color w:val="000000"/>
          <w:sz w:val="44"/>
        </w:rPr>
      </w:pPr>
    </w:p>
    <w:p>
      <w:pPr>
        <w:pStyle w:val="3"/>
        <w:spacing w:line="560" w:lineRule="exact"/>
        <w:jc w:val="both"/>
        <w:rPr>
          <w:rFonts w:hint="eastAsia" w:ascii="宋体" w:hAnsi="宋体" w:cs="宋体"/>
          <w:bCs/>
          <w:color w:val="000000"/>
          <w:sz w:val="44"/>
        </w:rPr>
      </w:pPr>
    </w:p>
    <w:p>
      <w:pPr>
        <w:rPr>
          <w:rFonts w:hint="eastAsia" w:ascii="宋体" w:hAnsi="宋体" w:cs="宋体"/>
          <w:bCs/>
          <w:color w:val="000000"/>
          <w:sz w:val="44"/>
        </w:rPr>
      </w:pPr>
    </w:p>
    <w:p>
      <w:pPr>
        <w:pStyle w:val="2"/>
        <w:rPr>
          <w:rFonts w:hint="eastAsia"/>
        </w:rPr>
      </w:pPr>
    </w:p>
    <w:p>
      <w:pPr>
        <w:pStyle w:val="3"/>
        <w:spacing w:line="560" w:lineRule="exact"/>
        <w:jc w:val="center"/>
        <w:rPr>
          <w:rFonts w:hint="eastAsia" w:ascii="宋体" w:hAnsi="宋体" w:cs="宋体"/>
          <w:bCs/>
          <w:color w:val="000000"/>
          <w:sz w:val="44"/>
        </w:rPr>
      </w:pPr>
    </w:p>
    <w:p>
      <w:pPr>
        <w:pStyle w:val="3"/>
        <w:spacing w:line="560" w:lineRule="exact"/>
        <w:jc w:val="center"/>
        <w:rPr>
          <w:rFonts w:hAnsi="宋体" w:cs="宋体"/>
          <w:color w:val="000000"/>
          <w:sz w:val="30"/>
        </w:rPr>
      </w:pPr>
      <w:r>
        <w:rPr>
          <w:rFonts w:hint="eastAsia" w:ascii="宋体" w:hAnsi="宋体" w:cs="宋体"/>
          <w:bCs/>
          <w:color w:val="000000"/>
          <w:sz w:val="44"/>
        </w:rPr>
        <w:t>第三章   采购内容及要求</w:t>
      </w:r>
    </w:p>
    <w:p>
      <w:pPr>
        <w:pStyle w:val="13"/>
        <w:spacing w:line="340" w:lineRule="exact"/>
        <w:jc w:val="center"/>
        <w:rPr>
          <w:rFonts w:hAnsi="宋体" w:cs="宋体"/>
          <w:b/>
          <w:color w:val="000000"/>
          <w:sz w:val="30"/>
        </w:rPr>
      </w:pPr>
    </w:p>
    <w:p>
      <w:pPr>
        <w:pStyle w:val="13"/>
        <w:spacing w:line="340" w:lineRule="exact"/>
        <w:jc w:val="center"/>
        <w:rPr>
          <w:rFonts w:hAnsi="宋体" w:cs="宋体"/>
          <w:b/>
          <w:color w:val="000000"/>
          <w:sz w:val="30"/>
        </w:rPr>
      </w:pPr>
      <w:r>
        <w:rPr>
          <w:rFonts w:hint="eastAsia" w:hAnsi="宋体" w:cs="宋体"/>
          <w:b/>
          <w:color w:val="000000"/>
          <w:sz w:val="30"/>
        </w:rPr>
        <w:t>采购内容及要求</w:t>
      </w:r>
    </w:p>
    <w:p>
      <w:pPr>
        <w:spacing w:line="300" w:lineRule="exact"/>
        <w:ind w:left="629" w:hanging="629"/>
        <w:rPr>
          <w:rFonts w:ascii="宋体" w:hAnsi="宋体" w:cs="宋体"/>
          <w:color w:val="000000"/>
        </w:rPr>
      </w:pPr>
    </w:p>
    <w:p>
      <w:pPr>
        <w:spacing w:line="300" w:lineRule="exact"/>
        <w:ind w:left="629" w:hanging="629"/>
        <w:rPr>
          <w:rFonts w:ascii="宋体" w:hAnsi="宋体" w:cs="宋体"/>
          <w:b/>
          <w:bCs/>
          <w:color w:val="000000"/>
        </w:rPr>
      </w:pPr>
      <w:r>
        <w:rPr>
          <w:rFonts w:hint="eastAsia" w:ascii="宋体" w:hAnsi="宋体" w:cs="宋体"/>
          <w:b/>
          <w:bCs/>
          <w:color w:val="000000"/>
        </w:rPr>
        <w:t>一、</w:t>
      </w:r>
      <w:r>
        <w:rPr>
          <w:rFonts w:hint="eastAsia" w:hAnsi="宋体" w:cs="宋体"/>
          <w:b/>
          <w:bCs/>
          <w:color w:val="000000"/>
          <w:sz w:val="28"/>
          <w:szCs w:val="28"/>
        </w:rPr>
        <w:t>采购内容</w:t>
      </w:r>
    </w:p>
    <w:tbl>
      <w:tblPr>
        <w:tblStyle w:val="29"/>
        <w:tblpPr w:leftFromText="180" w:rightFromText="180" w:vertAnchor="text" w:tblpXSpec="left" w:tblpY="610"/>
        <w:tblOverlap w:val="never"/>
        <w:tblW w:w="5000" w:type="pct"/>
        <w:tblInd w:w="0" w:type="dxa"/>
        <w:tblLayout w:type="autofit"/>
        <w:tblCellMar>
          <w:top w:w="0" w:type="dxa"/>
          <w:left w:w="108" w:type="dxa"/>
          <w:bottom w:w="0" w:type="dxa"/>
          <w:right w:w="108" w:type="dxa"/>
        </w:tblCellMar>
      </w:tblPr>
      <w:tblGrid>
        <w:gridCol w:w="1183"/>
        <w:gridCol w:w="904"/>
        <w:gridCol w:w="3426"/>
        <w:gridCol w:w="1618"/>
        <w:gridCol w:w="906"/>
        <w:gridCol w:w="748"/>
        <w:gridCol w:w="1239"/>
      </w:tblGrid>
      <w:tr>
        <w:tblPrEx>
          <w:tblCellMar>
            <w:top w:w="0" w:type="dxa"/>
            <w:left w:w="108" w:type="dxa"/>
            <w:bottom w:w="0" w:type="dxa"/>
            <w:right w:w="108" w:type="dxa"/>
          </w:tblCellMar>
        </w:tblPrEx>
        <w:trPr>
          <w:trHeight w:val="350" w:hRule="atLeast"/>
        </w:trPr>
        <w:tc>
          <w:tcPr>
            <w:tcW w:w="59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Arial"/>
                <w:b/>
                <w:bCs/>
                <w:kern w:val="0"/>
                <w:sz w:val="28"/>
                <w:szCs w:val="28"/>
              </w:rPr>
            </w:pPr>
            <w:r>
              <w:rPr>
                <w:rFonts w:hint="eastAsia" w:ascii="仿宋" w:hAnsi="仿宋" w:eastAsia="仿宋" w:cs="Arial"/>
                <w:b/>
                <w:bCs/>
                <w:kern w:val="0"/>
                <w:sz w:val="28"/>
                <w:szCs w:val="28"/>
              </w:rPr>
              <w:t>包号</w:t>
            </w:r>
          </w:p>
        </w:tc>
        <w:tc>
          <w:tcPr>
            <w:tcW w:w="45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Arial"/>
                <w:b/>
                <w:bCs/>
                <w:kern w:val="0"/>
                <w:sz w:val="28"/>
                <w:szCs w:val="28"/>
              </w:rPr>
            </w:pPr>
            <w:r>
              <w:rPr>
                <w:rFonts w:hint="eastAsia" w:ascii="仿宋" w:hAnsi="仿宋" w:eastAsia="仿宋" w:cs="Arial"/>
                <w:b/>
                <w:bCs/>
                <w:kern w:val="0"/>
                <w:sz w:val="28"/>
                <w:szCs w:val="28"/>
              </w:rPr>
              <w:t>序号</w:t>
            </w:r>
          </w:p>
        </w:tc>
        <w:tc>
          <w:tcPr>
            <w:tcW w:w="170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Arial"/>
                <w:b/>
                <w:bCs/>
                <w:kern w:val="0"/>
                <w:sz w:val="28"/>
                <w:szCs w:val="28"/>
              </w:rPr>
            </w:pPr>
            <w:r>
              <w:rPr>
                <w:rFonts w:hint="eastAsia" w:ascii="仿宋" w:hAnsi="仿宋" w:eastAsia="仿宋" w:cs="Arial"/>
                <w:b/>
                <w:bCs/>
                <w:kern w:val="0"/>
                <w:sz w:val="28"/>
                <w:szCs w:val="28"/>
              </w:rPr>
              <w:t>标的名称</w:t>
            </w:r>
          </w:p>
        </w:tc>
        <w:tc>
          <w:tcPr>
            <w:tcW w:w="80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Arial"/>
                <w:b/>
                <w:bCs/>
                <w:kern w:val="0"/>
                <w:sz w:val="28"/>
                <w:szCs w:val="28"/>
              </w:rPr>
            </w:pPr>
            <w:r>
              <w:rPr>
                <w:rFonts w:hint="eastAsia" w:ascii="仿宋" w:hAnsi="仿宋" w:eastAsia="仿宋" w:cs="Arial"/>
                <w:b/>
                <w:bCs/>
                <w:kern w:val="0"/>
                <w:sz w:val="28"/>
                <w:szCs w:val="28"/>
              </w:rPr>
              <w:t>品目</w:t>
            </w:r>
          </w:p>
        </w:tc>
        <w:tc>
          <w:tcPr>
            <w:tcW w:w="45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Arial"/>
                <w:b/>
                <w:bCs/>
                <w:kern w:val="0"/>
                <w:sz w:val="28"/>
                <w:szCs w:val="28"/>
              </w:rPr>
            </w:pPr>
            <w:r>
              <w:rPr>
                <w:rFonts w:hint="eastAsia" w:ascii="仿宋" w:hAnsi="仿宋" w:eastAsia="仿宋" w:cs="Arial"/>
                <w:b/>
                <w:bCs/>
                <w:kern w:val="0"/>
                <w:sz w:val="28"/>
                <w:szCs w:val="28"/>
              </w:rPr>
              <w:t>计量</w:t>
            </w:r>
          </w:p>
        </w:tc>
        <w:tc>
          <w:tcPr>
            <w:tcW w:w="37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Arial"/>
                <w:b/>
                <w:bCs/>
                <w:kern w:val="0"/>
                <w:sz w:val="28"/>
                <w:szCs w:val="28"/>
              </w:rPr>
            </w:pPr>
            <w:r>
              <w:rPr>
                <w:rFonts w:hint="eastAsia" w:ascii="仿宋" w:hAnsi="仿宋" w:eastAsia="仿宋" w:cs="Arial"/>
                <w:b/>
                <w:bCs/>
                <w:kern w:val="0"/>
                <w:sz w:val="28"/>
                <w:szCs w:val="28"/>
              </w:rPr>
              <w:t>数量</w:t>
            </w:r>
          </w:p>
        </w:tc>
        <w:tc>
          <w:tcPr>
            <w:tcW w:w="61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Arial"/>
                <w:b/>
                <w:bCs/>
                <w:kern w:val="0"/>
                <w:sz w:val="28"/>
                <w:szCs w:val="28"/>
              </w:rPr>
            </w:pPr>
            <w:r>
              <w:rPr>
                <w:rFonts w:hint="eastAsia" w:ascii="仿宋" w:hAnsi="仿宋" w:eastAsia="仿宋" w:cs="Arial"/>
                <w:b/>
                <w:bCs/>
                <w:kern w:val="0"/>
                <w:sz w:val="28"/>
                <w:szCs w:val="28"/>
              </w:rPr>
              <w:t>是否进口</w:t>
            </w:r>
          </w:p>
        </w:tc>
      </w:tr>
      <w:tr>
        <w:tblPrEx>
          <w:tblCellMar>
            <w:top w:w="0" w:type="dxa"/>
            <w:left w:w="108" w:type="dxa"/>
            <w:bottom w:w="0" w:type="dxa"/>
            <w:right w:w="108" w:type="dxa"/>
          </w:tblCellMar>
        </w:tblPrEx>
        <w:trPr>
          <w:trHeight w:val="350" w:hRule="atLeast"/>
        </w:trPr>
        <w:tc>
          <w:tcPr>
            <w:tcW w:w="59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Arial"/>
                <w:b/>
                <w:bCs/>
                <w:kern w:val="0"/>
                <w:sz w:val="28"/>
                <w:szCs w:val="28"/>
              </w:rPr>
            </w:pPr>
          </w:p>
        </w:tc>
        <w:tc>
          <w:tcPr>
            <w:tcW w:w="45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Arial"/>
                <w:b/>
                <w:bCs/>
                <w:kern w:val="0"/>
                <w:sz w:val="28"/>
                <w:szCs w:val="28"/>
              </w:rPr>
            </w:pPr>
          </w:p>
        </w:tc>
        <w:tc>
          <w:tcPr>
            <w:tcW w:w="170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Arial"/>
                <w:b/>
                <w:bCs/>
                <w:kern w:val="0"/>
                <w:sz w:val="28"/>
                <w:szCs w:val="28"/>
              </w:rPr>
            </w:pPr>
          </w:p>
        </w:tc>
        <w:tc>
          <w:tcPr>
            <w:tcW w:w="807"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Arial"/>
                <w:b/>
                <w:bCs/>
                <w:kern w:val="0"/>
                <w:sz w:val="28"/>
                <w:szCs w:val="28"/>
              </w:rPr>
            </w:pPr>
            <w:r>
              <w:rPr>
                <w:rFonts w:hint="eastAsia" w:ascii="仿宋" w:hAnsi="仿宋" w:eastAsia="仿宋" w:cs="Arial"/>
                <w:b/>
                <w:bCs/>
                <w:kern w:val="0"/>
                <w:sz w:val="28"/>
                <w:szCs w:val="28"/>
              </w:rPr>
              <w:t>分类编码</w:t>
            </w:r>
          </w:p>
        </w:tc>
        <w:tc>
          <w:tcPr>
            <w:tcW w:w="452"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Arial"/>
                <w:b/>
                <w:bCs/>
                <w:kern w:val="0"/>
                <w:sz w:val="28"/>
                <w:szCs w:val="28"/>
              </w:rPr>
            </w:pPr>
            <w:r>
              <w:rPr>
                <w:rFonts w:hint="eastAsia" w:ascii="仿宋" w:hAnsi="仿宋" w:eastAsia="仿宋" w:cs="Arial"/>
                <w:b/>
                <w:bCs/>
                <w:kern w:val="0"/>
                <w:sz w:val="28"/>
                <w:szCs w:val="28"/>
              </w:rPr>
              <w:t>单位</w:t>
            </w:r>
          </w:p>
        </w:tc>
        <w:tc>
          <w:tcPr>
            <w:tcW w:w="3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Arial"/>
                <w:b/>
                <w:bCs/>
                <w:kern w:val="0"/>
                <w:sz w:val="28"/>
                <w:szCs w:val="28"/>
              </w:rPr>
            </w:pPr>
          </w:p>
        </w:tc>
        <w:tc>
          <w:tcPr>
            <w:tcW w:w="61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Arial"/>
                <w:b/>
                <w:bCs/>
                <w:kern w:val="0"/>
                <w:sz w:val="28"/>
                <w:szCs w:val="28"/>
              </w:rPr>
            </w:pPr>
          </w:p>
        </w:tc>
      </w:tr>
    </w:tbl>
    <w:p>
      <w:pPr>
        <w:spacing w:line="300" w:lineRule="exact"/>
        <w:ind w:left="629" w:hanging="629"/>
        <w:rPr>
          <w:rFonts w:ascii="宋体" w:hAnsi="宋体" w:cs="宋体"/>
          <w:color w:val="000000"/>
        </w:rPr>
      </w:pPr>
    </w:p>
    <w:tbl>
      <w:tblPr>
        <w:tblStyle w:val="29"/>
        <w:tblW w:w="8090" w:type="pct"/>
        <w:tblInd w:w="0" w:type="dxa"/>
        <w:tblLayout w:type="autofit"/>
        <w:tblCellMar>
          <w:top w:w="0" w:type="dxa"/>
          <w:left w:w="108" w:type="dxa"/>
          <w:bottom w:w="0" w:type="dxa"/>
          <w:right w:w="108" w:type="dxa"/>
        </w:tblCellMar>
      </w:tblPr>
      <w:tblGrid>
        <w:gridCol w:w="1178"/>
        <w:gridCol w:w="899"/>
        <w:gridCol w:w="3572"/>
        <w:gridCol w:w="1466"/>
        <w:gridCol w:w="902"/>
        <w:gridCol w:w="769"/>
        <w:gridCol w:w="1239"/>
        <w:gridCol w:w="1236"/>
        <w:gridCol w:w="1236"/>
        <w:gridCol w:w="1236"/>
        <w:gridCol w:w="1236"/>
        <w:gridCol w:w="1250"/>
      </w:tblGrid>
      <w:tr>
        <w:tblPrEx>
          <w:tblCellMar>
            <w:top w:w="0" w:type="dxa"/>
            <w:left w:w="108" w:type="dxa"/>
            <w:bottom w:w="0" w:type="dxa"/>
            <w:right w:w="108" w:type="dxa"/>
          </w:tblCellMar>
        </w:tblPrEx>
        <w:trPr>
          <w:gridAfter w:val="5"/>
          <w:wAfter w:w="1909" w:type="pct"/>
          <w:trHeight w:val="350" w:hRule="atLeast"/>
        </w:trPr>
        <w:tc>
          <w:tcPr>
            <w:tcW w:w="3090"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bCs/>
                <w:kern w:val="0"/>
                <w:sz w:val="28"/>
                <w:szCs w:val="28"/>
              </w:rPr>
            </w:pPr>
            <w:bookmarkStart w:id="251" w:name="_Hlk113351721"/>
            <w:r>
              <w:rPr>
                <w:rFonts w:hint="eastAsia" w:ascii="仿宋" w:hAnsi="仿宋" w:eastAsia="仿宋" w:cs="Arial"/>
                <w:b/>
                <w:bCs/>
                <w:kern w:val="0"/>
                <w:sz w:val="28"/>
                <w:szCs w:val="28"/>
              </w:rPr>
              <w:t>一、前端设备建设部分</w:t>
            </w:r>
          </w:p>
        </w:tc>
      </w:tr>
      <w:tr>
        <w:tblPrEx>
          <w:tblCellMar>
            <w:top w:w="0" w:type="dxa"/>
            <w:left w:w="108" w:type="dxa"/>
            <w:bottom w:w="0" w:type="dxa"/>
            <w:right w:w="108" w:type="dxa"/>
          </w:tblCellMar>
        </w:tblPrEx>
        <w:trPr>
          <w:gridAfter w:val="5"/>
          <w:wAfter w:w="1909" w:type="pct"/>
          <w:trHeight w:val="580" w:hRule="atLeast"/>
        </w:trPr>
        <w:tc>
          <w:tcPr>
            <w:tcW w:w="363" w:type="pct"/>
            <w:vMerge w:val="restart"/>
            <w:tcBorders>
              <w:top w:val="nil"/>
              <w:left w:val="single" w:color="auto" w:sz="4" w:space="0"/>
              <w:right w:val="single" w:color="auto" w:sz="4" w:space="0"/>
            </w:tcBorders>
            <w:noWrap/>
            <w:vAlign w:val="center"/>
          </w:tcPr>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jc w:val="center"/>
              <w:rPr>
                <w:rFonts w:ascii="Arial" w:hAnsi="Arial" w:cs="Arial"/>
                <w:kern w:val="0"/>
                <w:sz w:val="20"/>
                <w:szCs w:val="20"/>
              </w:rPr>
            </w:pPr>
            <w:r>
              <w:rPr>
                <w:rFonts w:ascii="Arial" w:hAnsi="Arial" w:cs="Arial"/>
                <w:kern w:val="0"/>
                <w:sz w:val="20"/>
                <w:szCs w:val="20"/>
              </w:rPr>
              <w:t>　</w:t>
            </w:r>
            <w:r>
              <w:rPr>
                <w:rFonts w:hint="eastAsia" w:ascii="Arial" w:hAnsi="Arial" w:cs="Arial"/>
                <w:kern w:val="0"/>
                <w:sz w:val="20"/>
                <w:szCs w:val="20"/>
              </w:rPr>
              <w:t>1</w:t>
            </w:r>
          </w:p>
        </w:tc>
        <w:tc>
          <w:tcPr>
            <w:tcW w:w="277"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ascii="微软雅黑" w:hAnsi="微软雅黑" w:eastAsia="微软雅黑" w:cs="Arial"/>
                <w:color w:val="000000"/>
                <w:kern w:val="0"/>
                <w:sz w:val="20"/>
                <w:szCs w:val="20"/>
              </w:rPr>
              <w:t>400万人脸比对变焦枪型网络摄像机</w:t>
            </w:r>
          </w:p>
        </w:tc>
        <w:tc>
          <w:tcPr>
            <w:tcW w:w="452" w:type="pct"/>
            <w:tcBorders>
              <w:top w:val="nil"/>
              <w:left w:val="nil"/>
              <w:bottom w:val="single" w:color="auto" w:sz="4" w:space="0"/>
              <w:right w:val="single" w:color="auto" w:sz="4" w:space="0"/>
            </w:tcBorders>
            <w:noWrap/>
            <w:vAlign w:val="center"/>
          </w:tcPr>
          <w:p>
            <w:pPr>
              <w:widowControl/>
              <w:jc w:val="center"/>
              <w:rPr>
                <w:rFonts w:ascii="Arial" w:hAnsi="Arial" w:cs="Arial"/>
                <w:kern w:val="0"/>
                <w:sz w:val="20"/>
                <w:szCs w:val="20"/>
              </w:rPr>
            </w:pPr>
            <w:r>
              <w:rPr>
                <w:rFonts w:ascii="Arial" w:hAnsi="Arial" w:cs="Arial"/>
                <w:kern w:val="0"/>
                <w:sz w:val="20"/>
                <w:szCs w:val="20"/>
              </w:rPr>
              <w:t>A02091107　</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个</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4</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60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2</w:t>
            </w:r>
          </w:p>
        </w:tc>
        <w:tc>
          <w:tcPr>
            <w:tcW w:w="1101" w:type="pct"/>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出入口杆式抓拍一体机</w:t>
            </w:r>
          </w:p>
        </w:tc>
        <w:tc>
          <w:tcPr>
            <w:tcW w:w="452"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A02091107　</w:t>
            </w:r>
          </w:p>
        </w:tc>
        <w:tc>
          <w:tcPr>
            <w:tcW w:w="2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Arial"/>
                <w:kern w:val="0"/>
                <w:sz w:val="24"/>
              </w:rPr>
            </w:pPr>
            <w:r>
              <w:rPr>
                <w:rFonts w:hint="eastAsia" w:ascii="宋体" w:hAnsi="宋体" w:cs="Arial"/>
                <w:kern w:val="0"/>
                <w:sz w:val="24"/>
              </w:rPr>
              <w:t>台</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Arial"/>
                <w:kern w:val="0"/>
                <w:sz w:val="24"/>
              </w:rPr>
            </w:pPr>
            <w:r>
              <w:rPr>
                <w:rFonts w:hint="eastAsia" w:ascii="宋体" w:hAnsi="宋体" w:cs="Arial"/>
                <w:kern w:val="0"/>
                <w:sz w:val="24"/>
              </w:rPr>
              <w:t>6</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30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3</w:t>
            </w:r>
          </w:p>
        </w:tc>
        <w:tc>
          <w:tcPr>
            <w:tcW w:w="1101" w:type="pct"/>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立杆</w:t>
            </w:r>
          </w:p>
        </w:tc>
        <w:tc>
          <w:tcPr>
            <w:tcW w:w="452"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A02091107　</w:t>
            </w:r>
          </w:p>
        </w:tc>
        <w:tc>
          <w:tcPr>
            <w:tcW w:w="2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Arial"/>
                <w:kern w:val="0"/>
                <w:sz w:val="24"/>
              </w:rPr>
            </w:pPr>
            <w:r>
              <w:rPr>
                <w:rFonts w:hint="eastAsia" w:ascii="宋体" w:hAnsi="宋体" w:cs="Arial"/>
                <w:kern w:val="0"/>
                <w:sz w:val="24"/>
              </w:rPr>
              <w:t>套</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Arial"/>
                <w:kern w:val="0"/>
                <w:sz w:val="24"/>
              </w:rPr>
            </w:pPr>
            <w:r>
              <w:rPr>
                <w:rFonts w:hint="eastAsia" w:ascii="宋体" w:hAnsi="宋体" w:cs="Arial"/>
                <w:kern w:val="0"/>
                <w:sz w:val="24"/>
              </w:rPr>
              <w:t>6</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30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4</w:t>
            </w:r>
          </w:p>
        </w:tc>
        <w:tc>
          <w:tcPr>
            <w:tcW w:w="1101" w:type="pct"/>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显示屏</w:t>
            </w:r>
          </w:p>
        </w:tc>
        <w:tc>
          <w:tcPr>
            <w:tcW w:w="452"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A02091107　</w:t>
            </w:r>
          </w:p>
        </w:tc>
        <w:tc>
          <w:tcPr>
            <w:tcW w:w="2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Arial"/>
                <w:kern w:val="0"/>
                <w:sz w:val="24"/>
              </w:rPr>
            </w:pPr>
            <w:r>
              <w:rPr>
                <w:rFonts w:hint="eastAsia" w:ascii="宋体" w:hAnsi="宋体" w:cs="Arial"/>
                <w:kern w:val="0"/>
                <w:sz w:val="24"/>
              </w:rPr>
              <w:t>套</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Arial"/>
                <w:kern w:val="0"/>
                <w:sz w:val="24"/>
              </w:rPr>
            </w:pPr>
            <w:r>
              <w:rPr>
                <w:rFonts w:hint="eastAsia" w:ascii="宋体" w:hAnsi="宋体" w:cs="Arial"/>
                <w:kern w:val="0"/>
                <w:sz w:val="24"/>
              </w:rPr>
              <w:t>6</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30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5</w:t>
            </w:r>
          </w:p>
        </w:tc>
        <w:tc>
          <w:tcPr>
            <w:tcW w:w="1101" w:type="pct"/>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伸缩杆道闸</w:t>
            </w:r>
          </w:p>
        </w:tc>
        <w:tc>
          <w:tcPr>
            <w:tcW w:w="452"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　A032504</w:t>
            </w:r>
          </w:p>
        </w:tc>
        <w:tc>
          <w:tcPr>
            <w:tcW w:w="2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Arial"/>
                <w:kern w:val="0"/>
                <w:sz w:val="24"/>
              </w:rPr>
            </w:pPr>
            <w:r>
              <w:rPr>
                <w:rFonts w:hint="eastAsia" w:ascii="宋体" w:hAnsi="宋体" w:cs="Arial"/>
                <w:kern w:val="0"/>
                <w:sz w:val="24"/>
              </w:rPr>
              <w:t>台</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Arial"/>
                <w:kern w:val="0"/>
                <w:sz w:val="24"/>
              </w:rPr>
            </w:pPr>
            <w:r>
              <w:rPr>
                <w:rFonts w:hint="eastAsia" w:ascii="宋体" w:hAnsi="宋体" w:cs="Arial"/>
                <w:kern w:val="0"/>
                <w:sz w:val="24"/>
              </w:rPr>
              <w:t>6</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30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6</w:t>
            </w:r>
          </w:p>
        </w:tc>
        <w:tc>
          <w:tcPr>
            <w:tcW w:w="1101" w:type="pct"/>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直流伸缩杆</w:t>
            </w:r>
          </w:p>
        </w:tc>
        <w:tc>
          <w:tcPr>
            <w:tcW w:w="452"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A032504　</w:t>
            </w:r>
          </w:p>
        </w:tc>
        <w:tc>
          <w:tcPr>
            <w:tcW w:w="2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Arial"/>
                <w:kern w:val="0"/>
                <w:sz w:val="24"/>
              </w:rPr>
            </w:pPr>
            <w:r>
              <w:rPr>
                <w:rFonts w:hint="eastAsia" w:ascii="宋体" w:hAnsi="宋体" w:cs="Arial"/>
                <w:kern w:val="0"/>
                <w:sz w:val="24"/>
              </w:rPr>
              <w:t>套</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Arial"/>
                <w:kern w:val="0"/>
                <w:sz w:val="24"/>
              </w:rPr>
            </w:pPr>
            <w:r>
              <w:rPr>
                <w:rFonts w:hint="eastAsia" w:ascii="宋体" w:hAnsi="宋体" w:cs="Arial"/>
                <w:kern w:val="0"/>
                <w:sz w:val="24"/>
              </w:rPr>
              <w:t>6</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30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7</w:t>
            </w:r>
          </w:p>
        </w:tc>
        <w:tc>
          <w:tcPr>
            <w:tcW w:w="1101" w:type="pct"/>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防砸雷达（79G）</w:t>
            </w:r>
          </w:p>
        </w:tc>
        <w:tc>
          <w:tcPr>
            <w:tcW w:w="452"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A032504　</w:t>
            </w:r>
          </w:p>
        </w:tc>
        <w:tc>
          <w:tcPr>
            <w:tcW w:w="27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Arial"/>
                <w:kern w:val="0"/>
                <w:sz w:val="24"/>
              </w:rPr>
            </w:pPr>
            <w:r>
              <w:rPr>
                <w:rFonts w:hint="eastAsia" w:ascii="宋体" w:hAnsi="宋体" w:cs="Arial"/>
                <w:kern w:val="0"/>
                <w:sz w:val="24"/>
              </w:rPr>
              <w:t>个</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Arial"/>
                <w:kern w:val="0"/>
                <w:sz w:val="24"/>
              </w:rPr>
            </w:pPr>
            <w:r>
              <w:rPr>
                <w:rFonts w:hint="eastAsia" w:ascii="宋体" w:hAnsi="宋体" w:cs="Arial"/>
                <w:kern w:val="0"/>
                <w:sz w:val="24"/>
              </w:rPr>
              <w:t>6</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58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8</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13寸双屏台式访客终端</w:t>
            </w:r>
          </w:p>
        </w:tc>
        <w:tc>
          <w:tcPr>
            <w:tcW w:w="452" w:type="pct"/>
            <w:tcBorders>
              <w:top w:val="nil"/>
              <w:left w:val="nil"/>
              <w:bottom w:val="single" w:color="auto" w:sz="4" w:space="0"/>
              <w:right w:val="single" w:color="auto" w:sz="4" w:space="0"/>
            </w:tcBorders>
            <w:noWrap/>
            <w:vAlign w:val="center"/>
          </w:tcPr>
          <w:p>
            <w:pPr>
              <w:widowControl/>
              <w:jc w:val="center"/>
              <w:rPr>
                <w:rFonts w:ascii="Arial" w:hAnsi="Arial" w:cs="Arial"/>
                <w:kern w:val="0"/>
                <w:sz w:val="20"/>
                <w:szCs w:val="20"/>
              </w:rPr>
            </w:pPr>
            <w:r>
              <w:rPr>
                <w:rFonts w:ascii="Arial" w:hAnsi="Arial" w:cs="Arial"/>
                <w:kern w:val="0"/>
                <w:sz w:val="20"/>
                <w:szCs w:val="20"/>
              </w:rPr>
              <w:t>A032504　</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个</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3</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87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9</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 xml:space="preserve"> 人脸门禁一体主机(室内、测温、人证) </w:t>
            </w:r>
          </w:p>
        </w:tc>
        <w:tc>
          <w:tcPr>
            <w:tcW w:w="452" w:type="pct"/>
            <w:tcBorders>
              <w:top w:val="nil"/>
              <w:left w:val="nil"/>
              <w:bottom w:val="single" w:color="auto" w:sz="4" w:space="0"/>
              <w:right w:val="single" w:color="auto" w:sz="4" w:space="0"/>
            </w:tcBorders>
            <w:noWrap/>
            <w:vAlign w:val="center"/>
          </w:tcPr>
          <w:p>
            <w:pPr>
              <w:widowControl/>
              <w:jc w:val="center"/>
              <w:rPr>
                <w:rFonts w:ascii="Arial" w:hAnsi="Arial" w:cs="Arial"/>
                <w:kern w:val="0"/>
                <w:sz w:val="20"/>
                <w:szCs w:val="20"/>
              </w:rPr>
            </w:pPr>
            <w:r>
              <w:rPr>
                <w:rFonts w:ascii="Arial" w:hAnsi="Arial" w:cs="Arial"/>
                <w:kern w:val="0"/>
                <w:sz w:val="20"/>
                <w:szCs w:val="20"/>
              </w:rPr>
              <w:t>A032504</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个</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8</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580" w:hRule="atLeast"/>
        </w:trPr>
        <w:tc>
          <w:tcPr>
            <w:tcW w:w="363" w:type="pct"/>
            <w:vMerge w:val="continue"/>
            <w:tcBorders>
              <w:left w:val="single" w:color="auto" w:sz="4" w:space="0"/>
              <w:right w:val="single" w:color="auto" w:sz="4" w:space="0"/>
            </w:tcBorders>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10</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 xml:space="preserve"> 人脸识别通用闸机支架 </w:t>
            </w:r>
          </w:p>
        </w:tc>
        <w:tc>
          <w:tcPr>
            <w:tcW w:w="452" w:type="pct"/>
            <w:tcBorders>
              <w:top w:val="nil"/>
              <w:left w:val="nil"/>
              <w:bottom w:val="single" w:color="auto" w:sz="4" w:space="0"/>
              <w:right w:val="single" w:color="auto" w:sz="4" w:space="0"/>
            </w:tcBorders>
            <w:noWrap/>
            <w:vAlign w:val="center"/>
          </w:tcPr>
          <w:p>
            <w:pPr>
              <w:widowControl/>
              <w:jc w:val="center"/>
              <w:rPr>
                <w:rFonts w:ascii="Arial" w:hAnsi="Arial" w:cs="Arial"/>
                <w:kern w:val="0"/>
                <w:sz w:val="20"/>
                <w:szCs w:val="20"/>
              </w:rPr>
            </w:pPr>
            <w:r>
              <w:rPr>
                <w:rFonts w:ascii="Arial" w:hAnsi="Arial" w:cs="Arial"/>
                <w:kern w:val="0"/>
                <w:sz w:val="20"/>
                <w:szCs w:val="20"/>
              </w:rPr>
              <w:t>A032504</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个</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8</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58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11</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 xml:space="preserve">摆闸(中闸，开孔，室外) </w:t>
            </w:r>
          </w:p>
        </w:tc>
        <w:tc>
          <w:tcPr>
            <w:tcW w:w="452" w:type="pct"/>
            <w:tcBorders>
              <w:top w:val="nil"/>
              <w:left w:val="nil"/>
              <w:bottom w:val="single" w:color="auto" w:sz="4" w:space="0"/>
              <w:right w:val="single" w:color="auto" w:sz="4" w:space="0"/>
            </w:tcBorders>
            <w:noWrap/>
          </w:tcPr>
          <w:p>
            <w:pPr>
              <w:jc w:val="center"/>
            </w:pPr>
            <w:r>
              <w:t>A032504</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台</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4</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58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12</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 xml:space="preserve">摆闸(左闸，开孔，室外) </w:t>
            </w:r>
          </w:p>
        </w:tc>
        <w:tc>
          <w:tcPr>
            <w:tcW w:w="452" w:type="pct"/>
            <w:tcBorders>
              <w:top w:val="nil"/>
              <w:left w:val="nil"/>
              <w:bottom w:val="single" w:color="auto" w:sz="4" w:space="0"/>
              <w:right w:val="single" w:color="auto" w:sz="4" w:space="0"/>
            </w:tcBorders>
            <w:noWrap/>
          </w:tcPr>
          <w:p>
            <w:pPr>
              <w:jc w:val="center"/>
            </w:pPr>
            <w:r>
              <w:t>A032504</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台</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4</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580" w:hRule="atLeast"/>
        </w:trPr>
        <w:tc>
          <w:tcPr>
            <w:tcW w:w="363" w:type="pct"/>
            <w:vMerge w:val="continue"/>
            <w:tcBorders>
              <w:left w:val="single" w:color="auto" w:sz="4" w:space="0"/>
              <w:right w:val="single" w:color="auto" w:sz="4" w:space="0"/>
            </w:tcBorders>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13</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 xml:space="preserve">摆闸(右闸，开孔，室外) </w:t>
            </w:r>
          </w:p>
        </w:tc>
        <w:tc>
          <w:tcPr>
            <w:tcW w:w="452" w:type="pct"/>
            <w:tcBorders>
              <w:top w:val="nil"/>
              <w:left w:val="nil"/>
              <w:bottom w:val="single" w:color="auto" w:sz="4" w:space="0"/>
              <w:right w:val="single" w:color="auto" w:sz="4" w:space="0"/>
            </w:tcBorders>
            <w:noWrap/>
          </w:tcPr>
          <w:p>
            <w:pPr>
              <w:jc w:val="center"/>
            </w:pPr>
            <w:r>
              <w:t>A032504</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台</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4</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58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14</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7寸人脸测温门禁一体主机</w:t>
            </w:r>
          </w:p>
        </w:tc>
        <w:tc>
          <w:tcPr>
            <w:tcW w:w="452" w:type="pct"/>
            <w:tcBorders>
              <w:top w:val="nil"/>
              <w:left w:val="nil"/>
              <w:bottom w:val="single" w:color="auto" w:sz="4" w:space="0"/>
              <w:right w:val="single" w:color="auto" w:sz="4" w:space="0"/>
            </w:tcBorders>
            <w:noWrap/>
          </w:tcPr>
          <w:p>
            <w:pPr>
              <w:jc w:val="center"/>
            </w:pPr>
            <w:r>
              <w:t>A032504</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个</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8</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29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15</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落地支架</w:t>
            </w:r>
          </w:p>
        </w:tc>
        <w:tc>
          <w:tcPr>
            <w:tcW w:w="452" w:type="pct"/>
            <w:tcBorders>
              <w:top w:val="nil"/>
              <w:left w:val="nil"/>
              <w:bottom w:val="single" w:color="auto" w:sz="4" w:space="0"/>
              <w:right w:val="single" w:color="auto" w:sz="4" w:space="0"/>
            </w:tcBorders>
            <w:noWrap/>
          </w:tcPr>
          <w:p>
            <w:pPr>
              <w:jc w:val="center"/>
            </w:pPr>
            <w:r>
              <w:t>A032504</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个</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8</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290" w:hRule="atLeast"/>
        </w:trPr>
        <w:tc>
          <w:tcPr>
            <w:tcW w:w="363" w:type="pct"/>
            <w:vMerge w:val="continue"/>
            <w:tcBorders>
              <w:left w:val="single" w:color="auto" w:sz="4" w:space="0"/>
              <w:right w:val="single" w:color="auto" w:sz="4" w:space="0"/>
            </w:tcBorders>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16</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电车道闸</w:t>
            </w:r>
          </w:p>
        </w:tc>
        <w:tc>
          <w:tcPr>
            <w:tcW w:w="452" w:type="pct"/>
            <w:tcBorders>
              <w:top w:val="nil"/>
              <w:left w:val="nil"/>
              <w:bottom w:val="single" w:color="auto" w:sz="4" w:space="0"/>
              <w:right w:val="single" w:color="auto" w:sz="4" w:space="0"/>
            </w:tcBorders>
            <w:noWrap/>
          </w:tcPr>
          <w:p>
            <w:pPr>
              <w:jc w:val="center"/>
            </w:pPr>
            <w:r>
              <w:t>A032504</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台</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4</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58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17</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网线</w:t>
            </w:r>
          </w:p>
        </w:tc>
        <w:tc>
          <w:tcPr>
            <w:tcW w:w="452" w:type="pct"/>
            <w:tcBorders>
              <w:top w:val="nil"/>
              <w:left w:val="nil"/>
              <w:bottom w:val="single" w:color="auto" w:sz="4" w:space="0"/>
              <w:right w:val="single" w:color="auto" w:sz="4" w:space="0"/>
            </w:tcBorders>
            <w:noWrap/>
            <w:vAlign w:val="center"/>
          </w:tcPr>
          <w:p>
            <w:pPr>
              <w:widowControl/>
              <w:jc w:val="center"/>
              <w:rPr>
                <w:rFonts w:ascii="Arial" w:hAnsi="Arial" w:cs="Arial"/>
                <w:kern w:val="0"/>
                <w:sz w:val="20"/>
                <w:szCs w:val="20"/>
              </w:rPr>
            </w:pPr>
            <w:r>
              <w:rPr>
                <w:rFonts w:ascii="Arial" w:hAnsi="Arial" w:cs="Arial"/>
                <w:kern w:val="0"/>
                <w:sz w:val="20"/>
                <w:szCs w:val="20"/>
              </w:rPr>
              <w:t>A02010299　</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箱</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3</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29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18</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5口交换机</w:t>
            </w:r>
          </w:p>
        </w:tc>
        <w:tc>
          <w:tcPr>
            <w:tcW w:w="452" w:type="pct"/>
            <w:tcBorders>
              <w:top w:val="nil"/>
              <w:left w:val="nil"/>
              <w:bottom w:val="single" w:color="auto" w:sz="4" w:space="0"/>
              <w:right w:val="single" w:color="auto" w:sz="4" w:space="0"/>
            </w:tcBorders>
            <w:noWrap/>
            <w:vAlign w:val="center"/>
          </w:tcPr>
          <w:p>
            <w:pPr>
              <w:widowControl/>
              <w:jc w:val="center"/>
              <w:rPr>
                <w:rFonts w:ascii="Arial" w:hAnsi="Arial" w:cs="Arial"/>
                <w:kern w:val="0"/>
                <w:sz w:val="20"/>
                <w:szCs w:val="20"/>
              </w:rPr>
            </w:pPr>
            <w:r>
              <w:rPr>
                <w:rFonts w:ascii="Arial" w:hAnsi="Arial" w:cs="Arial"/>
                <w:kern w:val="0"/>
                <w:sz w:val="20"/>
                <w:szCs w:val="20"/>
              </w:rPr>
              <w:t>　A02010202</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个</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10</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290" w:hRule="atLeast"/>
        </w:trPr>
        <w:tc>
          <w:tcPr>
            <w:tcW w:w="363" w:type="pct"/>
            <w:vMerge w:val="continue"/>
            <w:tcBorders>
              <w:left w:val="single" w:color="auto" w:sz="4" w:space="0"/>
              <w:right w:val="single" w:color="auto" w:sz="4" w:space="0"/>
            </w:tcBorders>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19</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施工辅材</w:t>
            </w:r>
          </w:p>
        </w:tc>
        <w:tc>
          <w:tcPr>
            <w:tcW w:w="452" w:type="pct"/>
            <w:tcBorders>
              <w:top w:val="nil"/>
              <w:left w:val="nil"/>
              <w:bottom w:val="single" w:color="auto" w:sz="4" w:space="0"/>
              <w:right w:val="single" w:color="auto" w:sz="4" w:space="0"/>
            </w:tcBorders>
            <w:noWrap/>
            <w:vAlign w:val="center"/>
          </w:tcPr>
          <w:p>
            <w:pPr>
              <w:widowControl/>
              <w:jc w:val="center"/>
              <w:rPr>
                <w:rFonts w:ascii="Arial" w:hAnsi="Arial" w:cs="Arial"/>
                <w:kern w:val="0"/>
                <w:sz w:val="20"/>
                <w:szCs w:val="20"/>
              </w:rPr>
            </w:pPr>
            <w:r>
              <w:rPr>
                <w:rFonts w:ascii="Arial" w:hAnsi="Arial" w:cs="Arial"/>
                <w:kern w:val="0"/>
                <w:sz w:val="20"/>
                <w:szCs w:val="20"/>
              </w:rPr>
              <w:t>A9999　</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项</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290" w:hRule="atLeast"/>
        </w:trPr>
        <w:tc>
          <w:tcPr>
            <w:tcW w:w="363"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20</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安装调试</w:t>
            </w:r>
          </w:p>
        </w:tc>
        <w:tc>
          <w:tcPr>
            <w:tcW w:w="452" w:type="pct"/>
            <w:tcBorders>
              <w:top w:val="nil"/>
              <w:left w:val="nil"/>
              <w:bottom w:val="single" w:color="auto" w:sz="4" w:space="0"/>
              <w:right w:val="single" w:color="auto" w:sz="4" w:space="0"/>
            </w:tcBorders>
            <w:noWrap/>
            <w:vAlign w:val="center"/>
          </w:tcPr>
          <w:p>
            <w:pPr>
              <w:widowControl/>
              <w:jc w:val="center"/>
              <w:rPr>
                <w:rFonts w:ascii="Arial" w:hAnsi="Arial" w:cs="Arial"/>
                <w:kern w:val="0"/>
                <w:sz w:val="20"/>
                <w:szCs w:val="20"/>
              </w:rPr>
            </w:pPr>
            <w:r>
              <w:rPr>
                <w:rFonts w:ascii="Arial" w:hAnsi="Arial" w:cs="Arial"/>
                <w:kern w:val="0"/>
                <w:sz w:val="20"/>
                <w:szCs w:val="20"/>
              </w:rPr>
              <w:t>C020202　</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项</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trHeight w:val="350" w:hRule="atLeast"/>
        </w:trPr>
        <w:tc>
          <w:tcPr>
            <w:tcW w:w="2708" w:type="pct"/>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bCs/>
                <w:kern w:val="0"/>
                <w:sz w:val="28"/>
                <w:szCs w:val="28"/>
              </w:rPr>
            </w:pPr>
            <w:r>
              <w:rPr>
                <w:rFonts w:hint="eastAsia" w:ascii="仿宋" w:hAnsi="仿宋" w:eastAsia="仿宋" w:cs="Arial"/>
                <w:b/>
                <w:bCs/>
                <w:kern w:val="0"/>
                <w:sz w:val="28"/>
                <w:szCs w:val="28"/>
              </w:rPr>
              <w:t>二、后端校园综合管理平台部分</w:t>
            </w:r>
          </w:p>
        </w:tc>
        <w:tc>
          <w:tcPr>
            <w:tcW w:w="381" w:type="pct"/>
            <w:tcBorders>
              <w:top w:val="nil"/>
              <w:left w:val="nil"/>
              <w:bottom w:val="single" w:color="auto" w:sz="4" w:space="0"/>
              <w:right w:val="single" w:color="auto"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c>
          <w:tcPr>
            <w:tcW w:w="381" w:type="pct"/>
            <w:tcBorders>
              <w:top w:val="nil"/>
              <w:left w:val="nil"/>
              <w:bottom w:val="single" w:color="auto" w:sz="4" w:space="0"/>
              <w:right w:val="single" w:color="auto" w:sz="4" w:space="0"/>
            </w:tcBorders>
            <w:noWrap/>
            <w:vAlign w:val="center"/>
          </w:tcPr>
          <w:p>
            <w:pPr>
              <w:widowControl/>
              <w:jc w:val="center"/>
              <w:rPr>
                <w:rFonts w:hint="eastAsia" w:ascii="宋体" w:hAnsi="宋体" w:cs="Arial"/>
                <w:kern w:val="0"/>
                <w:sz w:val="20"/>
                <w:szCs w:val="20"/>
              </w:rPr>
            </w:pPr>
          </w:p>
        </w:tc>
        <w:tc>
          <w:tcPr>
            <w:tcW w:w="381" w:type="pct"/>
            <w:tcBorders>
              <w:top w:val="nil"/>
              <w:left w:val="nil"/>
              <w:bottom w:val="single" w:color="auto" w:sz="4" w:space="0"/>
              <w:right w:val="single" w:color="auto" w:sz="4" w:space="0"/>
            </w:tcBorders>
            <w:noWrap/>
            <w:vAlign w:val="center"/>
          </w:tcPr>
          <w:p>
            <w:pPr>
              <w:widowControl/>
              <w:jc w:val="center"/>
              <w:rPr>
                <w:rFonts w:hint="eastAsia" w:ascii="宋体" w:hAnsi="宋体" w:cs="Arial"/>
                <w:kern w:val="0"/>
                <w:sz w:val="20"/>
                <w:szCs w:val="20"/>
              </w:rPr>
            </w:pPr>
          </w:p>
        </w:tc>
        <w:tc>
          <w:tcPr>
            <w:tcW w:w="381" w:type="pct"/>
            <w:tcBorders>
              <w:top w:val="nil"/>
              <w:left w:val="nil"/>
              <w:bottom w:val="single" w:color="auto" w:sz="4" w:space="0"/>
              <w:right w:val="single" w:color="auto" w:sz="4" w:space="0"/>
            </w:tcBorders>
            <w:noWrap/>
            <w:vAlign w:val="center"/>
          </w:tcPr>
          <w:p>
            <w:pPr>
              <w:widowControl/>
              <w:jc w:val="center"/>
              <w:rPr>
                <w:rFonts w:hint="eastAsia" w:ascii="宋体" w:hAnsi="宋体" w:cs="Arial"/>
                <w:kern w:val="0"/>
                <w:sz w:val="20"/>
                <w:szCs w:val="20"/>
              </w:rPr>
            </w:pPr>
          </w:p>
        </w:tc>
        <w:tc>
          <w:tcPr>
            <w:tcW w:w="381" w:type="pct"/>
            <w:tcBorders>
              <w:top w:val="nil"/>
              <w:left w:val="nil"/>
              <w:bottom w:val="single" w:color="auto" w:sz="4" w:space="0"/>
              <w:right w:val="single" w:color="auto" w:sz="4" w:space="0"/>
            </w:tcBorders>
            <w:noWrap/>
            <w:vAlign w:val="center"/>
          </w:tcPr>
          <w:p>
            <w:pPr>
              <w:widowControl/>
              <w:jc w:val="center"/>
              <w:rPr>
                <w:rFonts w:hint="eastAsia" w:ascii="宋体" w:hAnsi="宋体" w:cs="Arial"/>
                <w:kern w:val="0"/>
                <w:sz w:val="20"/>
                <w:szCs w:val="20"/>
              </w:rPr>
            </w:pP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　</w:t>
            </w:r>
          </w:p>
        </w:tc>
      </w:tr>
      <w:tr>
        <w:tblPrEx>
          <w:tblCellMar>
            <w:top w:w="0" w:type="dxa"/>
            <w:left w:w="108" w:type="dxa"/>
            <w:bottom w:w="0" w:type="dxa"/>
            <w:right w:w="108" w:type="dxa"/>
          </w:tblCellMar>
        </w:tblPrEx>
        <w:trPr>
          <w:gridAfter w:val="5"/>
          <w:wAfter w:w="1909" w:type="pct"/>
          <w:trHeight w:val="580" w:hRule="atLeast"/>
        </w:trPr>
        <w:tc>
          <w:tcPr>
            <w:tcW w:w="363" w:type="pct"/>
            <w:vMerge w:val="restart"/>
            <w:tcBorders>
              <w:top w:val="nil"/>
              <w:left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ascii="Arial" w:hAnsi="Arial" w:cs="Arial"/>
                <w:kern w:val="0"/>
                <w:sz w:val="20"/>
                <w:szCs w:val="20"/>
              </w:rPr>
              <w:t>　</w:t>
            </w:r>
          </w:p>
          <w:p>
            <w:pPr>
              <w:widowControl/>
              <w:jc w:val="center"/>
              <w:rPr>
                <w:rFonts w:ascii="Arial" w:hAnsi="Arial" w:cs="Arial"/>
                <w:kern w:val="0"/>
                <w:sz w:val="20"/>
                <w:szCs w:val="20"/>
              </w:rPr>
            </w:pPr>
            <w:r>
              <w:rPr>
                <w:rFonts w:hint="eastAsia" w:ascii="Arial" w:hAnsi="Arial" w:cs="Arial"/>
                <w:kern w:val="0"/>
                <w:sz w:val="20"/>
                <w:szCs w:val="20"/>
              </w:rPr>
              <w:t>1</w:t>
            </w:r>
            <w:r>
              <w:rPr>
                <w:rFonts w:ascii="Arial" w:hAnsi="Arial" w:cs="Arial"/>
                <w:kern w:val="0"/>
                <w:sz w:val="20"/>
                <w:szCs w:val="20"/>
              </w:rPr>
              <w:t>　</w:t>
            </w:r>
          </w:p>
          <w:p>
            <w:pPr>
              <w:jc w:val="center"/>
              <w:rPr>
                <w:rFonts w:ascii="Arial" w:hAnsi="Arial" w:cs="Arial"/>
                <w:kern w:val="0"/>
                <w:sz w:val="20"/>
                <w:szCs w:val="20"/>
              </w:rPr>
            </w:pPr>
            <w:r>
              <w:rPr>
                <w:rFonts w:ascii="Arial" w:hAnsi="Arial" w:cs="Arial"/>
                <w:kern w:val="0"/>
                <w:sz w:val="20"/>
                <w:szCs w:val="20"/>
              </w:rPr>
              <w:t>　</w:t>
            </w:r>
          </w:p>
        </w:tc>
        <w:tc>
          <w:tcPr>
            <w:tcW w:w="277" w:type="pct"/>
            <w:tcBorders>
              <w:top w:val="nil"/>
              <w:left w:val="nil"/>
              <w:bottom w:val="single" w:color="auto" w:sz="4" w:space="0"/>
              <w:right w:val="single" w:color="auto" w:sz="4" w:space="0"/>
            </w:tcBorders>
            <w:shd w:val="clear" w:color="000000" w:fill="FFFFFF"/>
            <w:vAlign w:val="center"/>
          </w:tcPr>
          <w:p>
            <w:pPr>
              <w:widowControl/>
              <w:jc w:val="center"/>
              <w:outlineLvl w:val="0"/>
              <w:rPr>
                <w:rFonts w:ascii="微软雅黑" w:hAnsi="微软雅黑" w:eastAsia="微软雅黑" w:cs="Arial"/>
                <w:color w:val="000000"/>
                <w:kern w:val="0"/>
                <w:sz w:val="20"/>
                <w:szCs w:val="20"/>
              </w:rPr>
            </w:pPr>
            <w:r>
              <w:rPr>
                <w:rFonts w:hint="eastAsia" w:ascii="微软雅黑" w:hAnsi="微软雅黑" w:eastAsia="微软雅黑" w:cs="Arial"/>
                <w:color w:val="000000"/>
                <w:sz w:val="20"/>
                <w:szCs w:val="20"/>
              </w:rPr>
              <w:t>1</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物联网自动化可视化管理系统</w:t>
            </w:r>
          </w:p>
        </w:tc>
        <w:tc>
          <w:tcPr>
            <w:tcW w:w="452" w:type="pct"/>
            <w:tcBorders>
              <w:top w:val="nil"/>
              <w:left w:val="nil"/>
              <w:bottom w:val="single" w:color="auto" w:sz="4" w:space="0"/>
              <w:right w:val="single" w:color="auto" w:sz="4" w:space="0"/>
            </w:tcBorders>
            <w:noWrap/>
            <w:vAlign w:val="center"/>
          </w:tcPr>
          <w:p>
            <w:pPr>
              <w:widowControl/>
              <w:jc w:val="center"/>
              <w:rPr>
                <w:rFonts w:ascii="Arial" w:hAnsi="Arial" w:cs="Arial"/>
                <w:kern w:val="0"/>
                <w:sz w:val="20"/>
                <w:szCs w:val="20"/>
              </w:rPr>
            </w:pPr>
            <w:r>
              <w:rPr>
                <w:rFonts w:ascii="Arial" w:hAnsi="Arial" w:cs="Arial"/>
                <w:kern w:val="0"/>
                <w:sz w:val="20"/>
                <w:szCs w:val="20"/>
              </w:rPr>
              <w:t>A0201080302　</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个</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套</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58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jc w:val="center"/>
              <w:outlineLvl w:val="0"/>
              <w:rPr>
                <w:rFonts w:ascii="微软雅黑" w:hAnsi="微软雅黑" w:eastAsia="微软雅黑" w:cs="Arial"/>
                <w:color w:val="000000"/>
                <w:sz w:val="20"/>
                <w:szCs w:val="20"/>
              </w:rPr>
            </w:pPr>
            <w:r>
              <w:rPr>
                <w:rFonts w:hint="eastAsia" w:ascii="微软雅黑" w:hAnsi="微软雅黑" w:eastAsia="微软雅黑" w:cs="Arial"/>
                <w:color w:val="000000"/>
                <w:sz w:val="20"/>
                <w:szCs w:val="20"/>
              </w:rPr>
              <w:t>2</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智慧校园综合管理平台（服务器）</w:t>
            </w:r>
          </w:p>
        </w:tc>
        <w:tc>
          <w:tcPr>
            <w:tcW w:w="452" w:type="pct"/>
            <w:tcBorders>
              <w:top w:val="nil"/>
              <w:left w:val="nil"/>
              <w:bottom w:val="single" w:color="auto" w:sz="4" w:space="0"/>
              <w:right w:val="single" w:color="auto" w:sz="4" w:space="0"/>
            </w:tcBorders>
            <w:noWrap/>
            <w:vAlign w:val="center"/>
          </w:tcPr>
          <w:p>
            <w:pPr>
              <w:widowControl/>
              <w:jc w:val="center"/>
              <w:rPr>
                <w:rFonts w:ascii="Arial" w:hAnsi="Arial" w:cs="Arial"/>
                <w:kern w:val="0"/>
                <w:sz w:val="20"/>
                <w:szCs w:val="20"/>
              </w:rPr>
            </w:pPr>
            <w:r>
              <w:rPr>
                <w:rFonts w:ascii="Arial" w:hAnsi="Arial" w:cs="Arial"/>
                <w:kern w:val="0"/>
                <w:sz w:val="20"/>
                <w:szCs w:val="20"/>
              </w:rPr>
              <w:t>A02010103　</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个</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116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jc w:val="center"/>
              <w:outlineLvl w:val="0"/>
              <w:rPr>
                <w:rFonts w:ascii="微软雅黑" w:hAnsi="微软雅黑" w:eastAsia="微软雅黑" w:cs="Arial"/>
                <w:color w:val="000000"/>
                <w:sz w:val="20"/>
                <w:szCs w:val="20"/>
              </w:rPr>
            </w:pPr>
            <w:r>
              <w:rPr>
                <w:rFonts w:hint="eastAsia" w:ascii="微软雅黑" w:hAnsi="微软雅黑" w:eastAsia="微软雅黑" w:cs="Arial"/>
                <w:color w:val="000000"/>
                <w:sz w:val="20"/>
                <w:szCs w:val="20"/>
              </w:rPr>
              <w:t>3</w:t>
            </w:r>
          </w:p>
        </w:tc>
        <w:tc>
          <w:tcPr>
            <w:tcW w:w="1101" w:type="pct"/>
            <w:tcBorders>
              <w:top w:val="nil"/>
              <w:left w:val="nil"/>
              <w:bottom w:val="single" w:color="auto" w:sz="4" w:space="0"/>
              <w:right w:val="single" w:color="auto" w:sz="4" w:space="0"/>
            </w:tcBorders>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智慧校园综合管理平台软件（出入口管理、人脸业务、访客管理系统）</w:t>
            </w:r>
          </w:p>
        </w:tc>
        <w:tc>
          <w:tcPr>
            <w:tcW w:w="452" w:type="pct"/>
            <w:tcBorders>
              <w:top w:val="nil"/>
              <w:left w:val="nil"/>
              <w:bottom w:val="single" w:color="auto" w:sz="4" w:space="0"/>
              <w:right w:val="single" w:color="auto" w:sz="4" w:space="0"/>
            </w:tcBorders>
            <w:noWrap/>
            <w:vAlign w:val="center"/>
          </w:tcPr>
          <w:p>
            <w:pPr>
              <w:widowControl/>
              <w:jc w:val="center"/>
              <w:rPr>
                <w:rFonts w:ascii="微软雅黑" w:hAnsi="微软雅黑" w:eastAsia="微软雅黑" w:cs="Arial"/>
                <w:color w:val="000000"/>
                <w:kern w:val="0"/>
                <w:sz w:val="20"/>
                <w:szCs w:val="20"/>
              </w:rPr>
            </w:pPr>
            <w:r>
              <w:rPr>
                <w:rFonts w:ascii="Arial" w:hAnsi="Arial" w:cs="Arial"/>
                <w:kern w:val="0"/>
                <w:sz w:val="20"/>
                <w:szCs w:val="20"/>
              </w:rPr>
              <w:t>A0201080302</w:t>
            </w:r>
            <w:r>
              <w:rPr>
                <w:rFonts w:ascii="微软雅黑" w:hAnsi="微软雅黑" w:eastAsia="微软雅黑" w:cs="Arial"/>
                <w:color w:val="000000"/>
                <w:kern w:val="0"/>
                <w:sz w:val="20"/>
                <w:szCs w:val="20"/>
              </w:rPr>
              <w:t>　</w:t>
            </w:r>
          </w:p>
        </w:tc>
        <w:tc>
          <w:tcPr>
            <w:tcW w:w="278"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个</w:t>
            </w:r>
          </w:p>
        </w:tc>
        <w:tc>
          <w:tcPr>
            <w:tcW w:w="235" w:type="pct"/>
            <w:tcBorders>
              <w:top w:val="nil"/>
              <w:left w:val="nil"/>
              <w:bottom w:val="single" w:color="auto" w:sz="4" w:space="0"/>
              <w:right w:val="single" w:color="auto" w:sz="4" w:space="0"/>
            </w:tcBorders>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w:t>
            </w:r>
          </w:p>
        </w:tc>
        <w:tc>
          <w:tcPr>
            <w:tcW w:w="381" w:type="pct"/>
            <w:tcBorders>
              <w:top w:val="nil"/>
              <w:left w:val="nil"/>
              <w:bottom w:val="single" w:color="auto" w:sz="4" w:space="0"/>
              <w:right w:val="single" w:color="auto" w:sz="4" w:space="0"/>
            </w:tcBorders>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29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jc w:val="center"/>
              <w:outlineLvl w:val="0"/>
              <w:rPr>
                <w:rFonts w:ascii="微软雅黑" w:hAnsi="微软雅黑" w:eastAsia="微软雅黑" w:cs="Arial"/>
                <w:color w:val="000000"/>
                <w:sz w:val="20"/>
                <w:szCs w:val="20"/>
              </w:rPr>
            </w:pPr>
            <w:r>
              <w:rPr>
                <w:rFonts w:hint="eastAsia" w:ascii="微软雅黑" w:hAnsi="微软雅黑" w:eastAsia="微软雅黑" w:cs="Arial"/>
                <w:color w:val="000000"/>
                <w:sz w:val="20"/>
                <w:szCs w:val="20"/>
              </w:rPr>
              <w:t>4</w:t>
            </w:r>
          </w:p>
        </w:tc>
        <w:tc>
          <w:tcPr>
            <w:tcW w:w="110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视频通道路数授权</w:t>
            </w:r>
          </w:p>
        </w:tc>
        <w:tc>
          <w:tcPr>
            <w:tcW w:w="452"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Arial"/>
                <w:color w:val="000000"/>
                <w:kern w:val="0"/>
                <w:sz w:val="20"/>
                <w:szCs w:val="20"/>
              </w:rPr>
            </w:pPr>
            <w:r>
              <w:rPr>
                <w:rFonts w:ascii="微软雅黑" w:hAnsi="微软雅黑" w:eastAsia="微软雅黑" w:cs="Arial"/>
                <w:color w:val="000000"/>
                <w:kern w:val="0"/>
                <w:sz w:val="20"/>
                <w:szCs w:val="20"/>
              </w:rPr>
              <w:t>A02010899　</w:t>
            </w:r>
          </w:p>
        </w:tc>
        <w:tc>
          <w:tcPr>
            <w:tcW w:w="27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个</w:t>
            </w:r>
          </w:p>
        </w:tc>
        <w:tc>
          <w:tcPr>
            <w:tcW w:w="235"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10</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29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jc w:val="center"/>
              <w:outlineLvl w:val="0"/>
              <w:rPr>
                <w:rFonts w:ascii="微软雅黑" w:hAnsi="微软雅黑" w:eastAsia="微软雅黑" w:cs="Arial"/>
                <w:color w:val="000000"/>
                <w:sz w:val="20"/>
                <w:szCs w:val="20"/>
              </w:rPr>
            </w:pPr>
            <w:r>
              <w:rPr>
                <w:rFonts w:hint="eastAsia" w:ascii="微软雅黑" w:hAnsi="微软雅黑" w:eastAsia="微软雅黑" w:cs="Arial"/>
                <w:color w:val="000000"/>
                <w:sz w:val="20"/>
                <w:szCs w:val="20"/>
              </w:rPr>
              <w:t>5</w:t>
            </w:r>
          </w:p>
        </w:tc>
        <w:tc>
          <w:tcPr>
            <w:tcW w:w="110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门禁通道路数授权</w:t>
            </w:r>
          </w:p>
        </w:tc>
        <w:tc>
          <w:tcPr>
            <w:tcW w:w="452"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Arial"/>
                <w:color w:val="000000"/>
                <w:kern w:val="0"/>
                <w:sz w:val="20"/>
                <w:szCs w:val="20"/>
              </w:rPr>
            </w:pPr>
            <w:r>
              <w:rPr>
                <w:rFonts w:ascii="微软雅黑" w:hAnsi="微软雅黑" w:eastAsia="微软雅黑" w:cs="Arial"/>
                <w:color w:val="000000"/>
                <w:kern w:val="0"/>
                <w:sz w:val="20"/>
                <w:szCs w:val="20"/>
              </w:rPr>
              <w:t>A02010899　</w:t>
            </w:r>
          </w:p>
        </w:tc>
        <w:tc>
          <w:tcPr>
            <w:tcW w:w="27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个</w:t>
            </w:r>
          </w:p>
        </w:tc>
        <w:tc>
          <w:tcPr>
            <w:tcW w:w="235"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20</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58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jc w:val="center"/>
              <w:outlineLvl w:val="0"/>
              <w:rPr>
                <w:rFonts w:ascii="微软雅黑" w:hAnsi="微软雅黑" w:eastAsia="微软雅黑" w:cs="Arial"/>
                <w:color w:val="000000"/>
                <w:sz w:val="20"/>
                <w:szCs w:val="20"/>
              </w:rPr>
            </w:pPr>
            <w:r>
              <w:rPr>
                <w:rFonts w:hint="eastAsia" w:ascii="微软雅黑" w:hAnsi="微软雅黑" w:eastAsia="微软雅黑" w:cs="Arial"/>
                <w:color w:val="000000"/>
                <w:sz w:val="20"/>
                <w:szCs w:val="20"/>
              </w:rPr>
              <w:t>6</w:t>
            </w:r>
          </w:p>
        </w:tc>
        <w:tc>
          <w:tcPr>
            <w:tcW w:w="110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出入口车道数量授权</w:t>
            </w:r>
          </w:p>
        </w:tc>
        <w:tc>
          <w:tcPr>
            <w:tcW w:w="452"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Arial"/>
                <w:color w:val="000000"/>
                <w:kern w:val="0"/>
                <w:sz w:val="20"/>
                <w:szCs w:val="20"/>
              </w:rPr>
            </w:pPr>
            <w:r>
              <w:rPr>
                <w:rFonts w:ascii="微软雅黑" w:hAnsi="微软雅黑" w:eastAsia="微软雅黑" w:cs="Arial"/>
                <w:color w:val="000000"/>
                <w:kern w:val="0"/>
                <w:sz w:val="20"/>
                <w:szCs w:val="20"/>
              </w:rPr>
              <w:t>A02010899　</w:t>
            </w:r>
          </w:p>
        </w:tc>
        <w:tc>
          <w:tcPr>
            <w:tcW w:w="27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个</w:t>
            </w:r>
          </w:p>
        </w:tc>
        <w:tc>
          <w:tcPr>
            <w:tcW w:w="235"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3</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58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jc w:val="center"/>
              <w:outlineLvl w:val="0"/>
              <w:rPr>
                <w:rFonts w:ascii="微软雅黑" w:hAnsi="微软雅黑" w:eastAsia="微软雅黑" w:cs="Arial"/>
                <w:color w:val="000000"/>
                <w:sz w:val="20"/>
                <w:szCs w:val="20"/>
              </w:rPr>
            </w:pPr>
            <w:r>
              <w:rPr>
                <w:rFonts w:hint="eastAsia" w:ascii="微软雅黑" w:hAnsi="微软雅黑" w:eastAsia="微软雅黑" w:cs="Arial"/>
                <w:color w:val="000000"/>
                <w:sz w:val="20"/>
                <w:szCs w:val="20"/>
              </w:rPr>
              <w:t>7</w:t>
            </w:r>
          </w:p>
        </w:tc>
        <w:tc>
          <w:tcPr>
            <w:tcW w:w="1101"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防疫三码联查对接调试服务费</w:t>
            </w:r>
          </w:p>
        </w:tc>
        <w:tc>
          <w:tcPr>
            <w:tcW w:w="452"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Arial"/>
                <w:color w:val="000000"/>
                <w:kern w:val="0"/>
                <w:sz w:val="20"/>
                <w:szCs w:val="20"/>
              </w:rPr>
            </w:pPr>
            <w:r>
              <w:rPr>
                <w:rFonts w:ascii="微软雅黑" w:hAnsi="微软雅黑" w:eastAsia="微软雅黑" w:cs="Arial"/>
                <w:color w:val="000000"/>
                <w:kern w:val="0"/>
                <w:sz w:val="20"/>
                <w:szCs w:val="20"/>
              </w:rPr>
              <w:t>C020202　</w:t>
            </w:r>
          </w:p>
        </w:tc>
        <w:tc>
          <w:tcPr>
            <w:tcW w:w="27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台</w:t>
            </w:r>
          </w:p>
        </w:tc>
        <w:tc>
          <w:tcPr>
            <w:tcW w:w="235"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8</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29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jc w:val="center"/>
              <w:outlineLvl w:val="0"/>
              <w:rPr>
                <w:rFonts w:ascii="微软雅黑" w:hAnsi="微软雅黑" w:eastAsia="微软雅黑" w:cs="Arial"/>
                <w:color w:val="000000"/>
                <w:sz w:val="20"/>
                <w:szCs w:val="20"/>
              </w:rPr>
            </w:pPr>
            <w:r>
              <w:rPr>
                <w:rFonts w:hint="eastAsia" w:ascii="微软雅黑" w:hAnsi="微软雅黑" w:eastAsia="微软雅黑" w:cs="Arial"/>
                <w:color w:val="000000"/>
                <w:sz w:val="20"/>
                <w:szCs w:val="20"/>
              </w:rPr>
              <w:t>8</w:t>
            </w:r>
          </w:p>
        </w:tc>
        <w:tc>
          <w:tcPr>
            <w:tcW w:w="1101"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存储服务器</w:t>
            </w:r>
          </w:p>
        </w:tc>
        <w:tc>
          <w:tcPr>
            <w:tcW w:w="452" w:type="pct"/>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Arial"/>
                <w:color w:val="000000"/>
                <w:kern w:val="0"/>
                <w:sz w:val="20"/>
                <w:szCs w:val="20"/>
              </w:rPr>
            </w:pPr>
            <w:r>
              <w:rPr>
                <w:rFonts w:ascii="微软雅黑" w:hAnsi="微软雅黑" w:eastAsia="微软雅黑" w:cs="Arial"/>
                <w:color w:val="000000"/>
                <w:kern w:val="0"/>
                <w:sz w:val="20"/>
                <w:szCs w:val="20"/>
              </w:rPr>
              <w:t>A02010502　</w:t>
            </w:r>
          </w:p>
        </w:tc>
        <w:tc>
          <w:tcPr>
            <w:tcW w:w="27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台</w:t>
            </w:r>
          </w:p>
        </w:tc>
        <w:tc>
          <w:tcPr>
            <w:tcW w:w="235"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290" w:hRule="atLeast"/>
        </w:trPr>
        <w:tc>
          <w:tcPr>
            <w:tcW w:w="363" w:type="pct"/>
            <w:vMerge w:val="continue"/>
            <w:tcBorders>
              <w:left w:val="single" w:color="auto" w:sz="4" w:space="0"/>
              <w:right w:val="single" w:color="auto" w:sz="4" w:space="0"/>
            </w:tcBorders>
            <w:shd w:val="clear" w:color="auto" w:fill="auto"/>
            <w:noWrap/>
            <w:vAlign w:val="center"/>
          </w:tcPr>
          <w:p>
            <w:pPr>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jc w:val="center"/>
              <w:outlineLvl w:val="0"/>
              <w:rPr>
                <w:rFonts w:ascii="微软雅黑" w:hAnsi="微软雅黑" w:eastAsia="微软雅黑" w:cs="Arial"/>
                <w:color w:val="000000"/>
                <w:sz w:val="20"/>
                <w:szCs w:val="20"/>
              </w:rPr>
            </w:pPr>
            <w:r>
              <w:rPr>
                <w:rFonts w:hint="eastAsia" w:ascii="微软雅黑" w:hAnsi="微软雅黑" w:eastAsia="微软雅黑" w:cs="Arial"/>
                <w:color w:val="000000"/>
                <w:sz w:val="20"/>
                <w:szCs w:val="20"/>
              </w:rPr>
              <w:t>9</w:t>
            </w:r>
          </w:p>
        </w:tc>
        <w:tc>
          <w:tcPr>
            <w:tcW w:w="1101" w:type="pct"/>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企业级硬盘</w:t>
            </w:r>
          </w:p>
        </w:tc>
        <w:tc>
          <w:tcPr>
            <w:tcW w:w="452"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A02010599　</w:t>
            </w:r>
          </w:p>
        </w:tc>
        <w:tc>
          <w:tcPr>
            <w:tcW w:w="27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块</w:t>
            </w:r>
          </w:p>
        </w:tc>
        <w:tc>
          <w:tcPr>
            <w:tcW w:w="235"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24</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tr>
        <w:tblPrEx>
          <w:tblCellMar>
            <w:top w:w="0" w:type="dxa"/>
            <w:left w:w="108" w:type="dxa"/>
            <w:bottom w:w="0" w:type="dxa"/>
            <w:right w:w="108" w:type="dxa"/>
          </w:tblCellMar>
        </w:tblPrEx>
        <w:trPr>
          <w:gridAfter w:val="5"/>
          <w:wAfter w:w="1909" w:type="pct"/>
          <w:trHeight w:val="580" w:hRule="atLeast"/>
        </w:trPr>
        <w:tc>
          <w:tcPr>
            <w:tcW w:w="363"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p>
        </w:tc>
        <w:tc>
          <w:tcPr>
            <w:tcW w:w="277" w:type="pct"/>
            <w:tcBorders>
              <w:top w:val="nil"/>
              <w:left w:val="nil"/>
              <w:bottom w:val="single" w:color="auto" w:sz="4" w:space="0"/>
              <w:right w:val="single" w:color="auto" w:sz="4" w:space="0"/>
            </w:tcBorders>
            <w:shd w:val="clear" w:color="000000" w:fill="FFFFFF"/>
            <w:vAlign w:val="center"/>
          </w:tcPr>
          <w:p>
            <w:pPr>
              <w:jc w:val="center"/>
              <w:outlineLvl w:val="0"/>
              <w:rPr>
                <w:rFonts w:ascii="微软雅黑" w:hAnsi="微软雅黑" w:eastAsia="微软雅黑" w:cs="Arial"/>
                <w:color w:val="000000"/>
                <w:sz w:val="20"/>
                <w:szCs w:val="20"/>
              </w:rPr>
            </w:pPr>
            <w:r>
              <w:rPr>
                <w:rFonts w:hint="eastAsia" w:ascii="微软雅黑" w:hAnsi="微软雅黑" w:eastAsia="微软雅黑" w:cs="Arial"/>
                <w:color w:val="000000"/>
                <w:sz w:val="20"/>
                <w:szCs w:val="20"/>
              </w:rPr>
              <w:t>10</w:t>
            </w:r>
          </w:p>
        </w:tc>
        <w:tc>
          <w:tcPr>
            <w:tcW w:w="1101" w:type="pct"/>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智慧校园综合管理平台扩展功能定制开发</w:t>
            </w:r>
          </w:p>
        </w:tc>
        <w:tc>
          <w:tcPr>
            <w:tcW w:w="452" w:type="pct"/>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A0201080302　</w:t>
            </w:r>
          </w:p>
        </w:tc>
        <w:tc>
          <w:tcPr>
            <w:tcW w:w="27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人/天</w:t>
            </w:r>
          </w:p>
        </w:tc>
        <w:tc>
          <w:tcPr>
            <w:tcW w:w="235"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30</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hint="eastAsia" w:ascii="宋体" w:hAnsi="宋体" w:eastAsia="宋体" w:cs="Arial"/>
                <w:kern w:val="0"/>
                <w:sz w:val="20"/>
                <w:szCs w:val="20"/>
                <w:lang w:val="en-US" w:eastAsia="zh-CN" w:bidi="ar-SA"/>
              </w:rPr>
            </w:pPr>
            <w:r>
              <w:rPr>
                <w:rFonts w:hint="eastAsia" w:ascii="宋体" w:hAnsi="宋体" w:cs="Arial"/>
                <w:kern w:val="0"/>
                <w:sz w:val="20"/>
                <w:szCs w:val="20"/>
              </w:rPr>
              <w:t>否</w:t>
            </w:r>
          </w:p>
        </w:tc>
      </w:tr>
      <w:bookmarkEnd w:id="251"/>
    </w:tbl>
    <w:p>
      <w:pPr>
        <w:pStyle w:val="2"/>
      </w:pPr>
    </w:p>
    <w:p>
      <w:pPr>
        <w:pStyle w:val="2"/>
      </w:pPr>
    </w:p>
    <w:p>
      <w:pPr>
        <w:pStyle w:val="2"/>
        <w:rPr>
          <w:b/>
          <w:bCs/>
        </w:rPr>
      </w:pPr>
      <w:r>
        <w:rPr>
          <w:rFonts w:hint="eastAsia"/>
          <w:b/>
          <w:bCs/>
          <w:sz w:val="28"/>
          <w:szCs w:val="28"/>
        </w:rPr>
        <w:t>二、</w:t>
      </w:r>
      <w:r>
        <w:rPr>
          <w:b/>
          <w:bCs/>
          <w:sz w:val="28"/>
          <w:szCs w:val="28"/>
        </w:rPr>
        <w:t>技术</w:t>
      </w:r>
      <w:r>
        <w:rPr>
          <w:rFonts w:hint="eastAsia"/>
          <w:b/>
          <w:bCs/>
          <w:sz w:val="28"/>
          <w:szCs w:val="28"/>
        </w:rPr>
        <w:t>要求</w:t>
      </w:r>
    </w:p>
    <w:p>
      <w:pPr>
        <w:pStyle w:val="2"/>
        <w:rPr>
          <w:rFonts w:hAnsi="宋体"/>
        </w:rPr>
      </w:pPr>
      <w:r>
        <w:t xml:space="preserve">  </w:t>
      </w:r>
      <w:r>
        <w:rPr>
          <w:rFonts w:hint="eastAsia"/>
        </w:rPr>
        <w:t>（1）</w:t>
      </w:r>
      <w:r>
        <w:rPr>
          <w:rFonts w:hint="eastAsia" w:hAnsi="宋体"/>
        </w:rPr>
        <w:t>本标的核心产品为下表的标注●的“智慧校园综合管理平台软件”产品。</w:t>
      </w:r>
    </w:p>
    <w:p>
      <w:pPr>
        <w:pStyle w:val="2"/>
        <w:rPr>
          <w:rFonts w:hint="eastAsia"/>
        </w:rPr>
      </w:pPr>
      <w:r>
        <w:rPr>
          <w:rFonts w:hint="eastAsia" w:hAnsi="宋体"/>
        </w:rPr>
        <w:t xml:space="preserve"> </w:t>
      </w:r>
      <w:r>
        <w:rPr>
          <w:rFonts w:hAnsi="宋体"/>
        </w:rPr>
        <w:t xml:space="preserve"> </w:t>
      </w:r>
      <w:r>
        <w:rPr>
          <w:rFonts w:hint="eastAsia" w:hAnsi="宋体"/>
        </w:rPr>
        <w:t>（2）本标的下表的标注◆的为</w:t>
      </w:r>
      <w:r>
        <w:rPr>
          <w:rFonts w:hAnsi="宋体"/>
        </w:rPr>
        <w:t>重要参数项，</w:t>
      </w:r>
      <w:r>
        <w:rPr>
          <w:rFonts w:hint="eastAsia"/>
        </w:rPr>
        <w:t>投标</w:t>
      </w:r>
      <w:r>
        <w:t>时</w:t>
      </w:r>
      <w:r>
        <w:rPr>
          <w:rFonts w:hint="eastAsia"/>
        </w:rPr>
        <w:t>提供具备</w:t>
      </w:r>
      <w:r>
        <w:t>资质的</w:t>
      </w:r>
      <w:r>
        <w:rPr>
          <w:rFonts w:hint="eastAsia"/>
        </w:rPr>
        <w:t>第三方检测</w:t>
      </w:r>
      <w:r>
        <w:t>机构出具的</w:t>
      </w:r>
      <w:r>
        <w:rPr>
          <w:rFonts w:hint="eastAsia"/>
        </w:rPr>
        <w:t>功能性检验报告复印件，并加盖投标人CA电子签章</w:t>
      </w:r>
    </w:p>
    <w:tbl>
      <w:tblPr>
        <w:tblStyle w:val="29"/>
        <w:tblW w:w="0" w:type="auto"/>
        <w:tblInd w:w="108" w:type="dxa"/>
        <w:tblLayout w:type="autofit"/>
        <w:tblCellMar>
          <w:top w:w="0" w:type="dxa"/>
          <w:left w:w="108" w:type="dxa"/>
          <w:bottom w:w="0" w:type="dxa"/>
          <w:right w:w="108" w:type="dxa"/>
        </w:tblCellMar>
      </w:tblPr>
      <w:tblGrid>
        <w:gridCol w:w="636"/>
        <w:gridCol w:w="2016"/>
        <w:gridCol w:w="5527"/>
        <w:gridCol w:w="1056"/>
        <w:gridCol w:w="636"/>
      </w:tblGrid>
      <w:tr>
        <w:tblPrEx>
          <w:tblCellMar>
            <w:top w:w="0" w:type="dxa"/>
            <w:left w:w="108" w:type="dxa"/>
            <w:bottom w:w="0" w:type="dxa"/>
            <w:right w:w="108" w:type="dxa"/>
          </w:tblCellMar>
        </w:tblPrEx>
        <w:trPr>
          <w:trHeight w:val="780" w:hRule="atLeast"/>
        </w:trPr>
        <w:tc>
          <w:tcPr>
            <w:tcW w:w="0" w:type="auto"/>
            <w:tcBorders>
              <w:top w:val="single" w:color="auto" w:sz="8" w:space="0"/>
              <w:left w:val="single" w:color="auto" w:sz="8" w:space="0"/>
              <w:bottom w:val="nil"/>
              <w:right w:val="single" w:color="auto" w:sz="8" w:space="0"/>
            </w:tcBorders>
            <w:shd w:val="clear" w:color="000000" w:fill="FFFFFF"/>
            <w:vAlign w:val="center"/>
          </w:tcPr>
          <w:p>
            <w:r>
              <w:rPr>
                <w:rFonts w:hint="eastAsia"/>
              </w:rPr>
              <w:t>序号</w:t>
            </w:r>
          </w:p>
        </w:tc>
        <w:tc>
          <w:tcPr>
            <w:tcW w:w="2016" w:type="dxa"/>
            <w:tcBorders>
              <w:top w:val="single" w:color="auto" w:sz="8" w:space="0"/>
              <w:left w:val="nil"/>
              <w:bottom w:val="nil"/>
              <w:right w:val="single" w:color="auto" w:sz="8" w:space="0"/>
            </w:tcBorders>
            <w:shd w:val="clear" w:color="000000" w:fill="FFFFFF"/>
            <w:vAlign w:val="center"/>
          </w:tcPr>
          <w:p>
            <w:r>
              <w:rPr>
                <w:rFonts w:hint="eastAsia"/>
              </w:rPr>
              <w:t>标的名称</w:t>
            </w:r>
          </w:p>
        </w:tc>
        <w:tc>
          <w:tcPr>
            <w:tcW w:w="5527" w:type="dxa"/>
            <w:tcBorders>
              <w:top w:val="single" w:color="auto" w:sz="8" w:space="0"/>
              <w:left w:val="nil"/>
              <w:bottom w:val="single" w:color="auto" w:sz="8" w:space="0"/>
              <w:right w:val="single" w:color="auto" w:sz="8" w:space="0"/>
            </w:tcBorders>
            <w:shd w:val="clear" w:color="000000" w:fill="FFFFFF"/>
            <w:vAlign w:val="center"/>
          </w:tcPr>
          <w:p>
            <w:r>
              <w:rPr>
                <w:rFonts w:hint="eastAsia"/>
              </w:rPr>
              <w:t>性能参数</w:t>
            </w:r>
          </w:p>
        </w:tc>
        <w:tc>
          <w:tcPr>
            <w:tcW w:w="0" w:type="auto"/>
            <w:tcBorders>
              <w:top w:val="single" w:color="auto" w:sz="8" w:space="0"/>
              <w:left w:val="nil"/>
              <w:bottom w:val="single" w:color="auto" w:sz="8" w:space="0"/>
              <w:right w:val="single" w:color="auto" w:sz="8" w:space="0"/>
            </w:tcBorders>
            <w:shd w:val="clear" w:color="000000" w:fill="FFFFFF"/>
            <w:vAlign w:val="center"/>
          </w:tcPr>
          <w:p>
            <w:r>
              <w:rPr>
                <w:rFonts w:hint="eastAsia"/>
              </w:rPr>
              <w:t>计量单位</w:t>
            </w:r>
          </w:p>
        </w:tc>
        <w:tc>
          <w:tcPr>
            <w:tcW w:w="0" w:type="auto"/>
            <w:tcBorders>
              <w:top w:val="single" w:color="auto" w:sz="8" w:space="0"/>
              <w:left w:val="nil"/>
              <w:bottom w:val="single" w:color="auto" w:sz="8" w:space="0"/>
              <w:right w:val="single" w:color="auto" w:sz="8" w:space="0"/>
            </w:tcBorders>
            <w:shd w:val="clear" w:color="000000" w:fill="FFFFFF"/>
            <w:vAlign w:val="center"/>
          </w:tcPr>
          <w:p>
            <w:r>
              <w:rPr>
                <w:rFonts w:hint="eastAsia"/>
              </w:rPr>
              <w:t>数量</w:t>
            </w:r>
          </w:p>
        </w:tc>
      </w:tr>
      <w:tr>
        <w:tblPrEx>
          <w:tblCellMar>
            <w:top w:w="0" w:type="dxa"/>
            <w:left w:w="108" w:type="dxa"/>
            <w:bottom w:w="0" w:type="dxa"/>
            <w:right w:w="108" w:type="dxa"/>
          </w:tblCellMar>
        </w:tblPrEx>
        <w:trPr>
          <w:trHeight w:val="7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000000" w:fill="FFFFFF"/>
            <w:vAlign w:val="center"/>
          </w:tcPr>
          <w:p>
            <w:r>
              <w:rPr>
                <w:rFonts w:hint="eastAsia"/>
              </w:rPr>
              <w:t xml:space="preserve">    一、 前端设备建设</w:t>
            </w:r>
          </w:p>
        </w:tc>
      </w:tr>
      <w:tr>
        <w:tblPrEx>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1</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400万人脸比对变焦枪型网络摄像机</w:t>
            </w:r>
          </w:p>
        </w:tc>
        <w:tc>
          <w:tcPr>
            <w:tcW w:w="5527" w:type="dxa"/>
            <w:tcBorders>
              <w:top w:val="nil"/>
              <w:left w:val="nil"/>
              <w:bottom w:val="single" w:color="000000" w:sz="4" w:space="0"/>
              <w:right w:val="single" w:color="000000" w:sz="4" w:space="0"/>
            </w:tcBorders>
            <w:shd w:val="clear" w:color="000000" w:fill="FFFFFF"/>
            <w:vAlign w:val="center"/>
          </w:tcPr>
          <w:p>
            <w:r>
              <w:rPr>
                <w:rFonts w:hint="eastAsia"/>
              </w:rPr>
              <w:t>1.传感器类型≥1/1.8英寸CMOS；</w:t>
            </w:r>
          </w:p>
          <w:p>
            <w:r>
              <w:rPr>
                <w:rFonts w:hint="eastAsia"/>
              </w:rPr>
              <w:t>2.像素≥400万；</w:t>
            </w:r>
          </w:p>
          <w:p>
            <w:r>
              <w:rPr>
                <w:rFonts w:hint="eastAsia"/>
              </w:rPr>
              <w:t>3.最大分辨率≥2688×1520；</w:t>
            </w:r>
          </w:p>
          <w:p>
            <w:r>
              <w:rPr>
                <w:rFonts w:hint="eastAsia"/>
              </w:rPr>
              <w:t>4.最低照度≤0.001Lux（彩色模式）；0.0001Lux（黑白模式）；0Lux（补光灯开启）；</w:t>
            </w:r>
          </w:p>
          <w:p>
            <w:r>
              <w:rPr>
                <w:rFonts w:hint="eastAsia"/>
              </w:rPr>
              <w:t>5.最大补光距离≥80m（视频监控距离）50m（人脸检测距离）；</w:t>
            </w:r>
          </w:p>
          <w:p>
            <w:r>
              <w:rPr>
                <w:rFonts w:hint="eastAsia"/>
              </w:rPr>
              <w:t>6.镜头类型满足电动变焦；</w:t>
            </w:r>
          </w:p>
          <w:p>
            <w:r>
              <w:rPr>
                <w:rFonts w:hint="eastAsia"/>
              </w:rPr>
              <w:t>7.镜头焦距满足8mm~56mm；</w:t>
            </w:r>
          </w:p>
          <w:p>
            <w:r>
              <w:rPr>
                <w:rFonts w:hint="eastAsia"/>
              </w:rPr>
              <w:t>8.支持人脸检测；支持跟踪；支持优选；支持抓拍；支持上报最优的人脸抓图；支持人脸增强，支持人脸曝光；</w:t>
            </w:r>
          </w:p>
          <w:p>
            <w:r>
              <w:rPr>
                <w:rFonts w:hint="eastAsia"/>
              </w:rPr>
              <w:t>9.支持≥10万人脸底库的人脸比对；</w:t>
            </w:r>
          </w:p>
          <w:p>
            <w:r>
              <w:rPr>
                <w:rFonts w:hint="eastAsia"/>
              </w:rPr>
              <w:t>10.支持混合场景抓拍功能，在低照度环境混合场景下，可同时分别抓拍清晰的车牌、车辆及人脸。</w:t>
            </w:r>
          </w:p>
          <w:p>
            <w:r>
              <w:rPr>
                <w:rFonts w:hint="eastAsia"/>
              </w:rPr>
              <w:t>11.支持视频压缩标准：H.265;H.264;H.264H;H.264B;MJPEG（仅辅码流支持）；</w:t>
            </w:r>
          </w:p>
          <w:p>
            <w:r>
              <w:rPr>
                <w:rFonts w:hint="eastAsia"/>
              </w:rPr>
              <w:t>12.智能编码≥H.264:支持;H.265:支持；</w:t>
            </w:r>
          </w:p>
          <w:p>
            <w:r>
              <w:rPr>
                <w:rFonts w:hint="eastAsia"/>
              </w:rPr>
              <w:t>13.宽动态≥120dB；支持透雾功能；</w:t>
            </w:r>
          </w:p>
          <w:p>
            <w:r>
              <w:rPr>
                <w:rFonts w:hint="eastAsia"/>
              </w:rPr>
              <w:t>14.支持内置MIC；支持内置扬声器；</w:t>
            </w:r>
          </w:p>
          <w:p>
            <w:r>
              <w:rPr>
                <w:rFonts w:hint="eastAsia"/>
              </w:rPr>
              <w:t>15.支持报警事件：无SD卡;SD卡空间不足;SD卡出错;网络断开;IP冲突;非法访问;动态检测;视频遮挡;绊线入侵;区域入侵;快速移动;物品遗留;物品搬移;徘徊检测;人员聚集;停车检测;场景变更;音频异常侦测;电压检测;虚焦侦测;外部报警;人脸检测;人脸识别;视频结构化;区域内人数统计;人数统计;人数异常检测;安全异常；</w:t>
            </w:r>
          </w:p>
          <w:p>
            <w:r>
              <w:rPr>
                <w:rFonts w:hint="eastAsia"/>
              </w:rPr>
              <w:t>16.支持接入标准：ONVIF（Profile S/Profile G/Profile T）;CGI;GB/T28181（双国标）;GA/T1400;GB/35114A；</w:t>
            </w:r>
          </w:p>
          <w:p>
            <w:r>
              <w:rPr>
                <w:rFonts w:hint="eastAsia"/>
              </w:rPr>
              <w:t>17.支持双SD卡，当第一张SD卡损坏时，自动切换第二张SD卡进行存储。最大Micro SD卡≥256GB；</w:t>
            </w:r>
          </w:p>
          <w:p>
            <w:r>
              <w:rPr>
                <w:rFonts w:hint="eastAsia"/>
              </w:rPr>
              <w:t>18.RS-485接口≥1个（波特率范围:1200bps~115200bps）；</w:t>
            </w:r>
          </w:p>
          <w:p>
            <w:r>
              <w:rPr>
                <w:rFonts w:hint="eastAsia"/>
              </w:rPr>
              <w:t>19.音频输入≥2路（RCA头）；音频输出≥1路（RCA头）；报警输入≥3路；报警输出≥2路；模拟输出接口≥1路（CVBS输出 BNC接口）；</w:t>
            </w:r>
          </w:p>
          <w:p>
            <w:r>
              <w:rPr>
                <w:rFonts w:hint="eastAsia"/>
              </w:rPr>
              <w:t>20.支持报警输入可切换为报警输出。可支持0~3路报警输入，当报警输入切换为报警输出时可最高支持5路报警输出</w:t>
            </w:r>
          </w:p>
          <w:p>
            <w:r>
              <w:rPr>
                <w:rFonts w:hint="eastAsia"/>
              </w:rPr>
              <w:t>21.供电方式DC12V3A；</w:t>
            </w:r>
          </w:p>
          <w:p>
            <w:r>
              <w:rPr>
                <w:rFonts w:hint="eastAsia"/>
              </w:rPr>
              <w:t>22.防护等级≥IP67</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个</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4</w:t>
            </w:r>
          </w:p>
        </w:tc>
      </w:tr>
      <w:tr>
        <w:tblPrEx>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2</w:t>
            </w:r>
          </w:p>
        </w:tc>
        <w:tc>
          <w:tcPr>
            <w:tcW w:w="2016" w:type="dxa"/>
            <w:tcBorders>
              <w:top w:val="nil"/>
              <w:left w:val="nil"/>
              <w:bottom w:val="single" w:color="auto" w:sz="4" w:space="0"/>
              <w:right w:val="single" w:color="auto" w:sz="4" w:space="0"/>
            </w:tcBorders>
            <w:shd w:val="clear" w:color="000000" w:fill="FFFFFF"/>
            <w:vAlign w:val="center"/>
          </w:tcPr>
          <w:p>
            <w:r>
              <w:rPr>
                <w:rFonts w:hint="eastAsia"/>
              </w:rPr>
              <w:t>出入口杆式抓拍一体机</w:t>
            </w:r>
          </w:p>
        </w:tc>
        <w:tc>
          <w:tcPr>
            <w:tcW w:w="5527" w:type="dxa"/>
            <w:tcBorders>
              <w:top w:val="nil"/>
              <w:left w:val="nil"/>
              <w:bottom w:val="nil"/>
              <w:right w:val="single" w:color="auto" w:sz="4" w:space="0"/>
            </w:tcBorders>
            <w:shd w:val="clear" w:color="000000" w:fill="FFFFFF"/>
            <w:vAlign w:val="center"/>
          </w:tcPr>
          <w:p>
            <w:r>
              <w:rPr>
                <w:rFonts w:hint="eastAsia"/>
              </w:rPr>
              <w:t>1.传感器类型≥1/3英寸CMOS；</w:t>
            </w:r>
          </w:p>
          <w:p>
            <w:r>
              <w:rPr>
                <w:rFonts w:hint="eastAsia"/>
              </w:rPr>
              <w:t>2.标配4mm定焦镜头；</w:t>
            </w:r>
          </w:p>
          <w:p>
            <w:r>
              <w:rPr>
                <w:rFonts w:hint="eastAsia"/>
              </w:rPr>
              <w:t>3.图像分辨率≥2304×1296（不包含OSD黑边）；</w:t>
            </w:r>
          </w:p>
          <w:p>
            <w:r>
              <w:rPr>
                <w:rFonts w:hint="eastAsia"/>
              </w:rPr>
              <w:t>4.视频分辨率：主码流≥1080P（1920×1080）/720P（1280×720）辅码流≥720P（1280×720）/D1（704× 576）；</w:t>
            </w:r>
          </w:p>
          <w:p>
            <w:r>
              <w:rPr>
                <w:rFonts w:hint="eastAsia"/>
              </w:rPr>
              <w:t>5.抓拍距离≥3~6m；</w:t>
            </w:r>
          </w:p>
          <w:p>
            <w:r>
              <w:rPr>
                <w:rFonts w:hint="eastAsia"/>
              </w:rPr>
              <w:t>6.最大补光距离≥8m；</w:t>
            </w:r>
          </w:p>
          <w:p>
            <w:r>
              <w:rPr>
                <w:rFonts w:hint="eastAsia"/>
              </w:rPr>
              <w:t>7.支持真车识别和车牌防伪功能；</w:t>
            </w:r>
          </w:p>
          <w:p>
            <w:r>
              <w:rPr>
                <w:rFonts w:hint="eastAsia"/>
              </w:rPr>
              <w:t>8.支持获取道闸运行状态、工作状态、道闸运行次数、设备型号和故障代码。支持获取防砸雷达运行状态、工作状态、继电器动作次数和设备型号；支持雷达参数设置。</w:t>
            </w:r>
          </w:p>
          <w:p>
            <w:r>
              <w:rPr>
                <w:rFonts w:hint="eastAsia"/>
              </w:rPr>
              <w:t>9.支持≥10 种车型识别，包括大客车、大货车、中货车、轿车、面包车、小货车、SUV、MPV、中客车、皮卡车、微型车；</w:t>
            </w:r>
          </w:p>
          <w:p>
            <w:r>
              <w:rPr>
                <w:rFonts w:hint="eastAsia"/>
              </w:rPr>
              <w:t>10.支持纯视频混进混出；</w:t>
            </w:r>
          </w:p>
          <w:p>
            <w:r>
              <w:rPr>
                <w:rFonts w:hint="eastAsia"/>
              </w:rPr>
              <w:t xml:space="preserve">11.支持语音播报功能；                                  </w:t>
            </w:r>
          </w:p>
          <w:p>
            <w:r>
              <w:rPr>
                <w:rFonts w:hint="eastAsia"/>
              </w:rPr>
              <w:t xml:space="preserve">12.支持单网线、单电源设计，相机集中控制；   </w:t>
            </w:r>
          </w:p>
          <w:p>
            <w:r>
              <w:rPr>
                <w:rFonts w:hint="eastAsia"/>
              </w:rPr>
              <w:t>13.支持多样信号通讯接口，可控制出入口道闸等外设，通过485可配置雷达和道闸；</w:t>
            </w:r>
          </w:p>
          <w:p>
            <w:r>
              <w:rPr>
                <w:rFonts w:hint="eastAsia"/>
              </w:rPr>
              <w:t>14.在天气晴朗无雾，车牌无遮挡，无污损，车身无大面积遮挡的条件下，白天时的环境光照度应不低于200lx，晚上时的辅助设备照明度应不高于100lx。车标识别率：≥99%（白光模式）；车标识别率：≥95%（红外模式）。</w:t>
            </w:r>
          </w:p>
          <w:p>
            <w:pPr>
              <w:rPr>
                <w:rFonts w:hint="eastAsia"/>
              </w:rPr>
            </w:pPr>
            <w:r>
              <w:rPr>
                <w:rFonts w:hint="eastAsia"/>
              </w:rPr>
              <w:t>15.支持IP67防护等级。</w:t>
            </w:r>
          </w:p>
        </w:tc>
        <w:tc>
          <w:tcPr>
            <w:tcW w:w="0" w:type="auto"/>
            <w:tcBorders>
              <w:top w:val="nil"/>
              <w:left w:val="nil"/>
              <w:bottom w:val="single" w:color="auto" w:sz="4" w:space="0"/>
              <w:right w:val="single" w:color="auto" w:sz="4" w:space="0"/>
            </w:tcBorders>
            <w:shd w:val="clear" w:color="000000" w:fill="FFFFFF"/>
            <w:noWrap/>
            <w:vAlign w:val="center"/>
          </w:tcPr>
          <w:p>
            <w:r>
              <w:rPr>
                <w:rFonts w:hint="eastAsia"/>
              </w:rPr>
              <w:t>台</w:t>
            </w:r>
          </w:p>
        </w:tc>
        <w:tc>
          <w:tcPr>
            <w:tcW w:w="0" w:type="auto"/>
            <w:tcBorders>
              <w:top w:val="nil"/>
              <w:left w:val="nil"/>
              <w:bottom w:val="single" w:color="auto" w:sz="4" w:space="0"/>
              <w:right w:val="single" w:color="auto" w:sz="4" w:space="0"/>
            </w:tcBorders>
            <w:shd w:val="clear" w:color="000000" w:fill="FFFFFF"/>
            <w:noWrap/>
            <w:vAlign w:val="center"/>
          </w:tcPr>
          <w:p>
            <w:r>
              <w:rPr>
                <w:rFonts w:hint="eastAsia"/>
              </w:rPr>
              <w:t>6</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3</w:t>
            </w:r>
          </w:p>
        </w:tc>
        <w:tc>
          <w:tcPr>
            <w:tcW w:w="2016" w:type="dxa"/>
            <w:tcBorders>
              <w:top w:val="nil"/>
              <w:left w:val="nil"/>
              <w:bottom w:val="single" w:color="auto" w:sz="4" w:space="0"/>
              <w:right w:val="single" w:color="auto" w:sz="4" w:space="0"/>
            </w:tcBorders>
            <w:shd w:val="clear" w:color="000000" w:fill="FFFFFF"/>
            <w:vAlign w:val="center"/>
          </w:tcPr>
          <w:p>
            <w:r>
              <w:rPr>
                <w:rFonts w:hint="eastAsia"/>
              </w:rPr>
              <w:t>立杆</w:t>
            </w:r>
          </w:p>
        </w:tc>
        <w:tc>
          <w:tcPr>
            <w:tcW w:w="5527" w:type="dxa"/>
            <w:tcBorders>
              <w:top w:val="single" w:color="auto" w:sz="4" w:space="0"/>
              <w:left w:val="nil"/>
              <w:bottom w:val="single" w:color="auto" w:sz="4" w:space="0"/>
              <w:right w:val="single" w:color="auto" w:sz="4" w:space="0"/>
            </w:tcBorders>
            <w:shd w:val="clear" w:color="000000" w:fill="FFFFFF"/>
            <w:vAlign w:val="center"/>
          </w:tcPr>
          <w:p>
            <w:r>
              <w:t>铝</w:t>
            </w:r>
            <w:r>
              <w:rPr>
                <w:rFonts w:hint="eastAsia"/>
              </w:rPr>
              <w:t>质</w:t>
            </w:r>
            <w:r>
              <w:t>材料</w:t>
            </w:r>
            <w:r>
              <w:rPr>
                <w:rFonts w:hint="eastAsia"/>
              </w:rPr>
              <w:t>，高度</w:t>
            </w:r>
            <w:r>
              <w:t>约</w:t>
            </w:r>
            <w:r>
              <w:rPr>
                <w:rFonts w:hint="eastAsia"/>
              </w:rPr>
              <w:t>1.2米。</w:t>
            </w:r>
          </w:p>
        </w:tc>
        <w:tc>
          <w:tcPr>
            <w:tcW w:w="0" w:type="auto"/>
            <w:tcBorders>
              <w:top w:val="nil"/>
              <w:left w:val="nil"/>
              <w:bottom w:val="single" w:color="auto" w:sz="4" w:space="0"/>
              <w:right w:val="single" w:color="auto" w:sz="4" w:space="0"/>
            </w:tcBorders>
            <w:shd w:val="clear" w:color="000000" w:fill="FFFFFF"/>
            <w:noWrap/>
            <w:vAlign w:val="center"/>
          </w:tcPr>
          <w:p>
            <w:r>
              <w:rPr>
                <w:rFonts w:hint="eastAsia"/>
              </w:rPr>
              <w:t>台</w:t>
            </w:r>
          </w:p>
        </w:tc>
        <w:tc>
          <w:tcPr>
            <w:tcW w:w="0" w:type="auto"/>
            <w:tcBorders>
              <w:top w:val="nil"/>
              <w:left w:val="nil"/>
              <w:bottom w:val="single" w:color="auto" w:sz="4" w:space="0"/>
              <w:right w:val="single" w:color="auto" w:sz="4" w:space="0"/>
            </w:tcBorders>
            <w:shd w:val="clear" w:color="000000" w:fill="FFFFFF"/>
            <w:noWrap/>
            <w:vAlign w:val="center"/>
          </w:tcPr>
          <w:p>
            <w:r>
              <w:rPr>
                <w:rFonts w:hint="eastAsia"/>
              </w:rPr>
              <w:t>6</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4</w:t>
            </w:r>
          </w:p>
        </w:tc>
        <w:tc>
          <w:tcPr>
            <w:tcW w:w="2016" w:type="dxa"/>
            <w:tcBorders>
              <w:top w:val="nil"/>
              <w:left w:val="nil"/>
              <w:bottom w:val="single" w:color="auto" w:sz="4" w:space="0"/>
              <w:right w:val="single" w:color="auto" w:sz="4" w:space="0"/>
            </w:tcBorders>
            <w:shd w:val="clear" w:color="000000" w:fill="FFFFFF"/>
            <w:vAlign w:val="center"/>
          </w:tcPr>
          <w:p>
            <w:r>
              <w:rPr>
                <w:rFonts w:hint="eastAsia"/>
              </w:rPr>
              <w:t>显示屏</w:t>
            </w:r>
          </w:p>
        </w:tc>
        <w:tc>
          <w:tcPr>
            <w:tcW w:w="5527" w:type="dxa"/>
            <w:tcBorders>
              <w:top w:val="nil"/>
              <w:left w:val="nil"/>
              <w:bottom w:val="single" w:color="auto" w:sz="4" w:space="0"/>
              <w:right w:val="single" w:color="auto" w:sz="4" w:space="0"/>
            </w:tcBorders>
            <w:shd w:val="clear" w:color="000000" w:fill="FFFFFF"/>
            <w:vAlign w:val="center"/>
          </w:tcPr>
          <w:p>
            <w:r>
              <w:rPr>
                <w:rFonts w:hint="eastAsia"/>
              </w:rPr>
              <w:t>1.≥2行≥4字高亮显示屏,支持红绿黄三色显示，点间距 ≤4.75mm;</w:t>
            </w:r>
          </w:p>
          <w:p>
            <w:r>
              <w:t>2</w:t>
            </w:r>
            <w:r>
              <w:rPr>
                <w:rFonts w:hint="eastAsia"/>
              </w:rPr>
              <w:t>.支持车牌、收费金额、停车时长等固定语音播报;</w:t>
            </w:r>
          </w:p>
          <w:p>
            <w:r>
              <w:t>3</w:t>
            </w:r>
            <w:r>
              <w:rPr>
                <w:rFonts w:hint="eastAsia"/>
              </w:rPr>
              <w:t>.支持车牌、用户类型、收费金额、停车时长、自定义等信息显示</w:t>
            </w:r>
          </w:p>
        </w:tc>
        <w:tc>
          <w:tcPr>
            <w:tcW w:w="0" w:type="auto"/>
            <w:tcBorders>
              <w:top w:val="nil"/>
              <w:left w:val="nil"/>
              <w:bottom w:val="single" w:color="auto" w:sz="4" w:space="0"/>
              <w:right w:val="single" w:color="auto" w:sz="4" w:space="0"/>
            </w:tcBorders>
            <w:shd w:val="clear" w:color="000000" w:fill="FFFFFF"/>
            <w:noWrap/>
            <w:vAlign w:val="center"/>
          </w:tcPr>
          <w:p>
            <w:r>
              <w:rPr>
                <w:rFonts w:hint="eastAsia"/>
              </w:rPr>
              <w:t>台</w:t>
            </w:r>
          </w:p>
        </w:tc>
        <w:tc>
          <w:tcPr>
            <w:tcW w:w="0" w:type="auto"/>
            <w:tcBorders>
              <w:top w:val="nil"/>
              <w:left w:val="nil"/>
              <w:bottom w:val="single" w:color="auto" w:sz="4" w:space="0"/>
              <w:right w:val="single" w:color="auto" w:sz="4" w:space="0"/>
            </w:tcBorders>
            <w:shd w:val="clear" w:color="000000" w:fill="FFFFFF"/>
            <w:noWrap/>
            <w:vAlign w:val="center"/>
          </w:tcPr>
          <w:p>
            <w:r>
              <w:rPr>
                <w:rFonts w:hint="eastAsia"/>
              </w:rPr>
              <w:t>6</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5</w:t>
            </w:r>
          </w:p>
        </w:tc>
        <w:tc>
          <w:tcPr>
            <w:tcW w:w="2016" w:type="dxa"/>
            <w:tcBorders>
              <w:top w:val="nil"/>
              <w:left w:val="nil"/>
              <w:bottom w:val="single" w:color="auto" w:sz="4" w:space="0"/>
              <w:right w:val="single" w:color="auto" w:sz="4" w:space="0"/>
            </w:tcBorders>
            <w:shd w:val="clear" w:color="000000" w:fill="FFFFFF"/>
            <w:vAlign w:val="center"/>
          </w:tcPr>
          <w:p>
            <w:r>
              <w:rPr>
                <w:rFonts w:hint="eastAsia"/>
              </w:rPr>
              <w:t>伸缩杆道闸</w:t>
            </w:r>
          </w:p>
        </w:tc>
        <w:tc>
          <w:tcPr>
            <w:tcW w:w="5527" w:type="dxa"/>
            <w:tcBorders>
              <w:top w:val="nil"/>
              <w:left w:val="nil"/>
              <w:bottom w:val="single" w:color="auto" w:sz="4" w:space="0"/>
              <w:right w:val="single" w:color="auto" w:sz="4" w:space="0"/>
            </w:tcBorders>
            <w:shd w:val="clear" w:color="000000" w:fill="FFFFFF"/>
            <w:vAlign w:val="center"/>
          </w:tcPr>
          <w:p>
            <w:r>
              <w:rPr>
                <w:rFonts w:hint="eastAsia"/>
              </w:rPr>
              <w:t>1.防护等级：≥IP54</w:t>
            </w:r>
          </w:p>
          <w:p>
            <w:r>
              <w:rPr>
                <w:rFonts w:hint="eastAsia"/>
              </w:rPr>
              <w:t>2.右向伸缩杆道闸</w:t>
            </w:r>
          </w:p>
          <w:p>
            <w:r>
              <w:rPr>
                <w:rFonts w:hint="eastAsia"/>
              </w:rPr>
              <w:t>3.采用直流无刷电机</w:t>
            </w:r>
          </w:p>
          <w:p>
            <w:r>
              <w:rPr>
                <w:rFonts w:hint="eastAsia"/>
              </w:rPr>
              <w:t>4.支持3米~4米伸缩杆</w:t>
            </w:r>
          </w:p>
          <w:p>
            <w:r>
              <w:rPr>
                <w:rFonts w:hint="eastAsia"/>
              </w:rPr>
              <w:t>5.支持道闸起落杆速度可调</w:t>
            </w:r>
          </w:p>
          <w:p>
            <w:r>
              <w:rPr>
                <w:rFonts w:hint="eastAsia"/>
              </w:rPr>
              <w:t>6.支持道闸开关限位位置可调</w:t>
            </w:r>
          </w:p>
          <w:p>
            <w:r>
              <w:rPr>
                <w:rFonts w:hint="eastAsia"/>
              </w:rPr>
              <w:t>7.支持数码管面板显示，支持设备故障码、设备运行状态显示</w:t>
            </w:r>
          </w:p>
          <w:p>
            <w:r>
              <w:rPr>
                <w:rFonts w:hint="eastAsia"/>
              </w:rPr>
              <w:t>8.可通过485接口连接相机</w:t>
            </w:r>
          </w:p>
          <w:p>
            <w:r>
              <w:rPr>
                <w:rFonts w:hint="eastAsia"/>
              </w:rPr>
              <w:t>9.支持外接雷达、 线圈、 红外防砸功能， 内置 DC12V输出，可用于外接雷达供电</w:t>
            </w:r>
          </w:p>
          <w:p>
            <w:r>
              <w:rPr>
                <w:rFonts w:hint="eastAsia"/>
              </w:rPr>
              <w:t>10.支持遇阻反弹功能，当杆子下落过程中受阻时会自动反弹</w:t>
            </w:r>
          </w:p>
          <w:p>
            <w:r>
              <w:rPr>
                <w:rFonts w:hint="eastAsia"/>
              </w:rPr>
              <w:t>11.支持断电手摇起落杆，断电之后可以通过手摇电机把手控制起落杆</w:t>
            </w:r>
          </w:p>
          <w:p>
            <w:r>
              <w:rPr>
                <w:rFonts w:hint="eastAsia"/>
              </w:rPr>
              <w:t>12.支持无线摇控功能最大遥控距离≥50米（空旷无干扰）</w:t>
            </w:r>
          </w:p>
          <w:p>
            <w:r>
              <w:rPr>
                <w:rFonts w:hint="eastAsia"/>
              </w:rPr>
              <w:t>13.支持一键车队模式</w:t>
            </w:r>
          </w:p>
          <w:p>
            <w:r>
              <w:rPr>
                <w:rFonts w:hint="eastAsia"/>
              </w:rPr>
              <w:t>14.支持道闸计数模式</w:t>
            </w:r>
          </w:p>
          <w:p>
            <w:r>
              <w:rPr>
                <w:rFonts w:hint="eastAsia"/>
              </w:rPr>
              <w:t>15.支持延迟落杆且延迟落杆时间和速度均可设置</w:t>
            </w:r>
          </w:p>
          <w:p>
            <w:r>
              <w:rPr>
                <w:rFonts w:hint="eastAsia"/>
              </w:rPr>
              <w:t>16.电机寿命：≥300万次；弹簧寿命：≥80万次</w:t>
            </w:r>
          </w:p>
          <w:p>
            <w:r>
              <w:rPr>
                <w:rFonts w:hint="eastAsia"/>
              </w:rPr>
              <w:t>17.工作温度：-35℃~85℃；工作湿度：10%~90%</w:t>
            </w:r>
          </w:p>
        </w:tc>
        <w:tc>
          <w:tcPr>
            <w:tcW w:w="0" w:type="auto"/>
            <w:tcBorders>
              <w:top w:val="nil"/>
              <w:left w:val="nil"/>
              <w:bottom w:val="single" w:color="auto" w:sz="4" w:space="0"/>
              <w:right w:val="single" w:color="auto" w:sz="4" w:space="0"/>
            </w:tcBorders>
            <w:shd w:val="clear" w:color="000000" w:fill="FFFFFF"/>
            <w:noWrap/>
            <w:vAlign w:val="center"/>
          </w:tcPr>
          <w:p>
            <w:r>
              <w:rPr>
                <w:rFonts w:hint="eastAsia"/>
              </w:rPr>
              <w:t>台</w:t>
            </w:r>
          </w:p>
        </w:tc>
        <w:tc>
          <w:tcPr>
            <w:tcW w:w="0" w:type="auto"/>
            <w:tcBorders>
              <w:top w:val="nil"/>
              <w:left w:val="nil"/>
              <w:bottom w:val="single" w:color="auto" w:sz="4" w:space="0"/>
              <w:right w:val="single" w:color="auto" w:sz="4" w:space="0"/>
            </w:tcBorders>
            <w:shd w:val="clear" w:color="000000" w:fill="FFFFFF"/>
            <w:noWrap/>
            <w:vAlign w:val="center"/>
          </w:tcPr>
          <w:p>
            <w:r>
              <w:rPr>
                <w:rFonts w:hint="eastAsia"/>
              </w:rPr>
              <w:t>6</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6</w:t>
            </w:r>
          </w:p>
        </w:tc>
        <w:tc>
          <w:tcPr>
            <w:tcW w:w="2016" w:type="dxa"/>
            <w:tcBorders>
              <w:top w:val="nil"/>
              <w:left w:val="nil"/>
              <w:bottom w:val="single" w:color="auto" w:sz="4" w:space="0"/>
              <w:right w:val="single" w:color="auto" w:sz="4" w:space="0"/>
            </w:tcBorders>
            <w:shd w:val="clear" w:color="000000" w:fill="FFFFFF"/>
            <w:vAlign w:val="center"/>
          </w:tcPr>
          <w:p>
            <w:r>
              <w:rPr>
                <w:rFonts w:hint="eastAsia"/>
              </w:rPr>
              <w:t>直流伸缩杆</w:t>
            </w:r>
          </w:p>
        </w:tc>
        <w:tc>
          <w:tcPr>
            <w:tcW w:w="5527" w:type="dxa"/>
            <w:tcBorders>
              <w:top w:val="nil"/>
              <w:left w:val="nil"/>
              <w:bottom w:val="single" w:color="auto" w:sz="4" w:space="0"/>
              <w:right w:val="single" w:color="auto" w:sz="4" w:space="0"/>
            </w:tcBorders>
            <w:shd w:val="clear" w:color="000000" w:fill="FFFFFF"/>
            <w:vAlign w:val="center"/>
          </w:tcPr>
          <w:p>
            <w:r>
              <w:rPr>
                <w:rFonts w:hint="eastAsia"/>
              </w:rPr>
              <w:t>1.伸缩杆杆件</w:t>
            </w:r>
          </w:p>
          <w:p>
            <w:r>
              <w:rPr>
                <w:rFonts w:hint="eastAsia"/>
              </w:rPr>
              <w:t>2.杆长3米~4米</w:t>
            </w:r>
          </w:p>
          <w:p>
            <w:r>
              <w:rPr>
                <w:rFonts w:hint="eastAsia"/>
              </w:rPr>
              <w:t>3.左右向通用</w:t>
            </w:r>
          </w:p>
        </w:tc>
        <w:tc>
          <w:tcPr>
            <w:tcW w:w="0" w:type="auto"/>
            <w:tcBorders>
              <w:top w:val="nil"/>
              <w:left w:val="nil"/>
              <w:bottom w:val="single" w:color="auto" w:sz="4" w:space="0"/>
              <w:right w:val="single" w:color="auto" w:sz="4" w:space="0"/>
            </w:tcBorders>
            <w:shd w:val="clear" w:color="000000" w:fill="FFFFFF"/>
            <w:noWrap/>
            <w:vAlign w:val="center"/>
          </w:tcPr>
          <w:p>
            <w:r>
              <w:rPr>
                <w:rFonts w:hint="eastAsia"/>
              </w:rPr>
              <w:t>台</w:t>
            </w:r>
          </w:p>
        </w:tc>
        <w:tc>
          <w:tcPr>
            <w:tcW w:w="0" w:type="auto"/>
            <w:tcBorders>
              <w:top w:val="nil"/>
              <w:left w:val="nil"/>
              <w:bottom w:val="single" w:color="auto" w:sz="4" w:space="0"/>
              <w:right w:val="single" w:color="auto" w:sz="4" w:space="0"/>
            </w:tcBorders>
            <w:shd w:val="clear" w:color="000000" w:fill="FFFFFF"/>
            <w:noWrap/>
            <w:vAlign w:val="center"/>
          </w:tcPr>
          <w:p>
            <w:r>
              <w:rPr>
                <w:rFonts w:hint="eastAsia"/>
              </w:rPr>
              <w:t>6</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7</w:t>
            </w:r>
          </w:p>
        </w:tc>
        <w:tc>
          <w:tcPr>
            <w:tcW w:w="2016" w:type="dxa"/>
            <w:tcBorders>
              <w:top w:val="nil"/>
              <w:left w:val="nil"/>
              <w:bottom w:val="single" w:color="auto" w:sz="4" w:space="0"/>
              <w:right w:val="single" w:color="auto" w:sz="4" w:space="0"/>
            </w:tcBorders>
            <w:shd w:val="clear" w:color="000000" w:fill="FFFFFF"/>
            <w:noWrap/>
            <w:vAlign w:val="center"/>
          </w:tcPr>
          <w:p>
            <w:r>
              <w:rPr>
                <w:rFonts w:hint="eastAsia"/>
              </w:rPr>
              <w:t>防砸雷达（79G）</w:t>
            </w:r>
          </w:p>
        </w:tc>
        <w:tc>
          <w:tcPr>
            <w:tcW w:w="5527" w:type="dxa"/>
            <w:tcBorders>
              <w:top w:val="nil"/>
              <w:left w:val="nil"/>
              <w:bottom w:val="single" w:color="auto" w:sz="4" w:space="0"/>
              <w:right w:val="single" w:color="auto" w:sz="4" w:space="0"/>
            </w:tcBorders>
            <w:shd w:val="clear" w:color="000000" w:fill="FFFFFF"/>
            <w:vAlign w:val="center"/>
          </w:tcPr>
          <w:p>
            <w:r>
              <w:rPr>
                <w:rFonts w:hint="eastAsia"/>
              </w:rPr>
              <w:t>1. 检测目标：人、车；</w:t>
            </w:r>
          </w:p>
          <w:p>
            <w:r>
              <w:rPr>
                <w:rFonts w:hint="eastAsia"/>
              </w:rPr>
              <w:t>2. 在线调试：支持（RS485上位机软件、手机APP通过蓝牙连接）；</w:t>
            </w:r>
          </w:p>
          <w:p>
            <w:r>
              <w:rPr>
                <w:rFonts w:hint="eastAsia"/>
              </w:rPr>
              <w:t>3. 升级功能：支持（RS485上位机软件、手机APP通过蓝牙连接）；</w:t>
            </w:r>
          </w:p>
          <w:p>
            <w:r>
              <w:rPr>
                <w:rFonts w:hint="eastAsia"/>
              </w:rPr>
              <w:t>4. 检测区域：1~6m（可调）；</w:t>
            </w:r>
          </w:p>
          <w:p>
            <w:r>
              <w:rPr>
                <w:rFonts w:hint="eastAsia"/>
              </w:rPr>
              <w:t>5. 防砸区域：广告杆、栅栏杆：左侧0.7-1.5m（可调），右侧0.7-1.5m（可调）折臂杆、直杆：左侧0.1-1.5m（可调），右侧0.1-1.5m（可调）</w:t>
            </w:r>
          </w:p>
        </w:tc>
        <w:tc>
          <w:tcPr>
            <w:tcW w:w="0" w:type="auto"/>
            <w:tcBorders>
              <w:top w:val="nil"/>
              <w:left w:val="nil"/>
              <w:bottom w:val="single" w:color="auto" w:sz="4" w:space="0"/>
              <w:right w:val="single" w:color="auto" w:sz="4" w:space="0"/>
            </w:tcBorders>
            <w:shd w:val="clear" w:color="000000" w:fill="FFFFFF"/>
            <w:noWrap/>
            <w:vAlign w:val="center"/>
          </w:tcPr>
          <w:p>
            <w:r>
              <w:rPr>
                <w:rFonts w:hint="eastAsia"/>
              </w:rPr>
              <w:t>个</w:t>
            </w:r>
          </w:p>
        </w:tc>
        <w:tc>
          <w:tcPr>
            <w:tcW w:w="0" w:type="auto"/>
            <w:tcBorders>
              <w:top w:val="nil"/>
              <w:left w:val="nil"/>
              <w:bottom w:val="single" w:color="auto" w:sz="4" w:space="0"/>
              <w:right w:val="single" w:color="auto" w:sz="4" w:space="0"/>
            </w:tcBorders>
            <w:shd w:val="clear" w:color="000000" w:fill="FFFFFF"/>
            <w:noWrap/>
            <w:vAlign w:val="center"/>
          </w:tcPr>
          <w:p>
            <w:r>
              <w:rPr>
                <w:rFonts w:hint="eastAsia"/>
              </w:rPr>
              <w:t>6</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8</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13寸双屏台式访客终端</w:t>
            </w:r>
          </w:p>
        </w:tc>
        <w:tc>
          <w:tcPr>
            <w:tcW w:w="5527" w:type="dxa"/>
            <w:tcBorders>
              <w:top w:val="nil"/>
              <w:left w:val="nil"/>
              <w:bottom w:val="single" w:color="000000" w:sz="4" w:space="0"/>
              <w:right w:val="single" w:color="000000" w:sz="4" w:space="0"/>
            </w:tcBorders>
            <w:shd w:val="clear" w:color="000000" w:fill="FFFFFF"/>
            <w:vAlign w:val="center"/>
          </w:tcPr>
          <w:p>
            <w:r>
              <w:rPr>
                <w:rFonts w:hint="eastAsia"/>
              </w:rPr>
              <w:t>1.人脸识别距离0.3m~1.0m；</w:t>
            </w:r>
          </w:p>
          <w:p>
            <w:r>
              <w:rPr>
                <w:rFonts w:hint="eastAsia"/>
              </w:rPr>
              <w:t>2.居民身份证阅读模块符合GA450-2013标准；</w:t>
            </w:r>
          </w:p>
          <w:p>
            <w:r>
              <w:rPr>
                <w:rFonts w:hint="eastAsia"/>
              </w:rPr>
              <w:t>3.存储记录数量≥100000条记录；</w:t>
            </w:r>
          </w:p>
          <w:p>
            <w:r>
              <w:rPr>
                <w:rFonts w:hint="eastAsia"/>
              </w:rPr>
              <w:t>4.支持照片、视频防假体检测功能。</w:t>
            </w:r>
          </w:p>
          <w:p>
            <w:r>
              <w:rPr>
                <w:rFonts w:hint="eastAsia"/>
              </w:rPr>
              <w:t>5.人脸容量≥20000张；</w:t>
            </w:r>
          </w:p>
          <w:p>
            <w:r>
              <w:rPr>
                <w:rFonts w:hint="eastAsia"/>
              </w:rPr>
              <w:t>6.摄像头≥1/2.7" 2MP CMOS 高清宽动态双摄像头；摄像头支持0°至180°翻转。</w:t>
            </w:r>
          </w:p>
          <w:p>
            <w:r>
              <w:rPr>
                <w:rFonts w:hint="eastAsia"/>
              </w:rPr>
              <w:t>7.USB接口≥2个USB2.0接口；</w:t>
            </w:r>
          </w:p>
          <w:p>
            <w:r>
              <w:rPr>
                <w:rFonts w:hint="eastAsia"/>
              </w:rPr>
              <w:t>8.屏幕分辨率≥1280*800；</w:t>
            </w:r>
          </w:p>
          <w:p>
            <w:r>
              <w:rPr>
                <w:rFonts w:hint="eastAsia"/>
              </w:rPr>
              <w:t>9.网络协议支持TCP;P2P;UDP;IPv4；</w:t>
            </w:r>
          </w:p>
          <w:p>
            <w:r>
              <w:rPr>
                <w:rFonts w:hint="eastAsia"/>
              </w:rPr>
              <w:t>10.支持SDK和API；</w:t>
            </w:r>
          </w:p>
          <w:p>
            <w:r>
              <w:rPr>
                <w:rFonts w:hint="eastAsia"/>
              </w:rPr>
              <w:t>11.显示屏≥10.1寸TFT屏；</w:t>
            </w:r>
          </w:p>
          <w:p>
            <w:r>
              <w:rPr>
                <w:rFonts w:hint="eastAsia"/>
              </w:rPr>
              <w:t>12.支持人证比对；支持实时监控；支持抓拍功能；</w:t>
            </w:r>
          </w:p>
          <w:p>
            <w:r>
              <w:rPr>
                <w:rFonts w:hint="eastAsia"/>
              </w:rPr>
              <w:t>13.支持断网情况下，设备能正常进行人脸识别或人证比证检测。</w:t>
            </w:r>
          </w:p>
          <w:p>
            <w:r>
              <w:rPr>
                <w:rFonts w:hint="eastAsia"/>
              </w:rPr>
              <w:t>14.人脸识别准确率≥99.5%；人脸识别速度≤0.2s；人证比对时间≤1.5s；</w:t>
            </w:r>
          </w:p>
          <w:p>
            <w:r>
              <w:rPr>
                <w:rFonts w:hint="eastAsia"/>
              </w:rPr>
              <w:t>15.设备支持进入后台需要管理员鉴权，保护设备数据安全。</w:t>
            </w:r>
          </w:p>
          <w:p>
            <w:r>
              <w:rPr>
                <w:rFonts w:hint="eastAsia"/>
              </w:rPr>
              <w:t xml:space="preserve">16.工作温度-10℃～＋55℃； </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个</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3</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9</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 xml:space="preserve"> 人脸门禁一体主机(室内、测温、人证) </w:t>
            </w:r>
          </w:p>
        </w:tc>
        <w:tc>
          <w:tcPr>
            <w:tcW w:w="5527" w:type="dxa"/>
            <w:tcBorders>
              <w:top w:val="nil"/>
              <w:left w:val="nil"/>
              <w:bottom w:val="single" w:color="000000" w:sz="4" w:space="0"/>
              <w:right w:val="single" w:color="000000" w:sz="4" w:space="0"/>
            </w:tcBorders>
            <w:shd w:val="clear" w:color="000000" w:fill="FFFFFF"/>
            <w:vAlign w:val="center"/>
          </w:tcPr>
          <w:p>
            <w:r>
              <w:rPr>
                <w:rFonts w:hint="eastAsia"/>
              </w:rPr>
              <w:t>1.高性能嵌入式处理器；</w:t>
            </w:r>
          </w:p>
          <w:p>
            <w:r>
              <w:rPr>
                <w:rFonts w:hint="eastAsia"/>
              </w:rPr>
              <w:t>2.显示屏≥7寸TFT液晶屏；</w:t>
            </w:r>
          </w:p>
          <w:p>
            <w:r>
              <w:rPr>
                <w:rFonts w:hint="eastAsia"/>
              </w:rPr>
              <w:t>3.摄像头≥1/2.8" 2MP CMOS高清宽动态双摄像头；</w:t>
            </w:r>
          </w:p>
          <w:p>
            <w:r>
              <w:rPr>
                <w:rFonts w:hint="eastAsia"/>
              </w:rPr>
              <w:t>4.支持刷卡/身份证/远程/密码/二维码/人脸识别开门模式；支持组合开门模式设置；；</w:t>
            </w:r>
          </w:p>
          <w:p>
            <w:r>
              <w:rPr>
                <w:rFonts w:hint="eastAsia"/>
              </w:rPr>
              <w:t>5.支持远程验证；支持黑白名单设定；支持实时监控；支持多重认证；支持WEB配置；支持Wi-Fi；</w:t>
            </w:r>
          </w:p>
          <w:p>
            <w:r>
              <w:rPr>
                <w:rFonts w:hint="eastAsia"/>
              </w:rPr>
              <w:t>◆6.支持防假体攻击能力，对视频、电子照片、打印照片中的人脸、3D人脸面具应不能进行人脸识别；</w:t>
            </w:r>
          </w:p>
          <w:p>
            <w:r>
              <w:rPr>
                <w:rFonts w:hint="eastAsia"/>
              </w:rPr>
              <w:t>◆7.人脸识别准确率≥99.5%；人脸识别速度≤0.2s，设备人脸识别误识率应≤0.01%；</w:t>
            </w:r>
          </w:p>
          <w:p>
            <w:r>
              <w:rPr>
                <w:rFonts w:hint="eastAsia"/>
              </w:rPr>
              <w:t>8.用户容量≥100000个用户；人脸容量≥100000张；卡片容量≥100000张；密码容量≥100000个；存储记录数量≥300000条开门记录；</w:t>
            </w:r>
          </w:p>
          <w:p>
            <w:r>
              <w:rPr>
                <w:rFonts w:hint="eastAsia"/>
              </w:rPr>
              <w:t>9.RS-485接口≥1个；RS-232接口≥1个；韦根接口≥1路输入/输出；USB接口≥2个USB2.0接口；网络接口≥2个10Mbps/100Mbps自适应以太网口；；</w:t>
            </w:r>
          </w:p>
          <w:p>
            <w:r>
              <w:rPr>
                <w:rFonts w:hint="eastAsia"/>
              </w:rPr>
              <w:t>10.报警输入≥2路（开关量）；报警输出≥2路（继电器）；报警联动支持；</w:t>
            </w:r>
          </w:p>
          <w:p>
            <w:r>
              <w:rPr>
                <w:rFonts w:hint="eastAsia"/>
              </w:rPr>
              <w:t>11.开门按钮≥1路；门状态检测≥1路；门锁控制≥1路；</w:t>
            </w:r>
          </w:p>
          <w:p>
            <w:r>
              <w:rPr>
                <w:rFonts w:hint="eastAsia"/>
              </w:rPr>
              <w:t>◆12.支持防反潜；支持防拆报警；支持胁迫报警；支持门超时报警；支持非法闯入报警；支持非法卡超次报警；</w:t>
            </w:r>
          </w:p>
          <w:p>
            <w:r>
              <w:rPr>
                <w:rFonts w:hint="eastAsia"/>
              </w:rPr>
              <w:t>◆13.支持将图片、视频语音在设备上播放；能配置图片播放开始、结束时间及播放的停留时间;能配置视频的开始和结束时间;设备主界面支持视频、语音、图片播放功能的开启和关闭，默认开启。</w:t>
            </w:r>
          </w:p>
          <w:p>
            <w:r>
              <w:rPr>
                <w:rFonts w:hint="eastAsia"/>
              </w:rPr>
              <w:t>◆14.支持机身防拆报警功能；支持离墙报警功能；</w:t>
            </w:r>
          </w:p>
          <w:p>
            <w:r>
              <w:rPr>
                <w:rFonts w:hint="eastAsia"/>
              </w:rPr>
              <w:t>15.供电方式DC 12V 2A；</w:t>
            </w:r>
          </w:p>
          <w:p>
            <w:r>
              <w:rPr>
                <w:rFonts w:hint="eastAsia"/>
              </w:rPr>
              <w:t>16.工作温度-10℃~+55℃(测温功能打开的情况下，工作温度为+15℃~+30℃)；</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个</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8</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10</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 xml:space="preserve"> 人脸识别通用闸机支架 </w:t>
            </w:r>
          </w:p>
        </w:tc>
        <w:tc>
          <w:tcPr>
            <w:tcW w:w="5527" w:type="dxa"/>
            <w:tcBorders>
              <w:top w:val="nil"/>
              <w:left w:val="nil"/>
              <w:bottom w:val="single" w:color="000000" w:sz="4" w:space="0"/>
              <w:right w:val="single" w:color="000000" w:sz="4" w:space="0"/>
            </w:tcBorders>
            <w:shd w:val="clear" w:color="000000" w:fill="FFFFFF"/>
            <w:vAlign w:val="center"/>
          </w:tcPr>
          <w:p>
            <w:r>
              <w:rPr>
                <w:rFonts w:hint="eastAsia"/>
              </w:rPr>
              <w:t>定制铝合金闸机支架</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个</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8</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11</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 xml:space="preserve">摆闸(中闸，开孔，室外) </w:t>
            </w:r>
          </w:p>
        </w:tc>
        <w:tc>
          <w:tcPr>
            <w:tcW w:w="5527" w:type="dxa"/>
            <w:tcBorders>
              <w:top w:val="nil"/>
              <w:left w:val="nil"/>
              <w:bottom w:val="nil"/>
              <w:right w:val="single" w:color="000000" w:sz="4" w:space="0"/>
            </w:tcBorders>
            <w:shd w:val="clear" w:color="000000" w:fill="FFFFFF"/>
            <w:vAlign w:val="center"/>
          </w:tcPr>
          <w:p>
            <w:r>
              <w:rPr>
                <w:rFonts w:hint="eastAsia"/>
              </w:rPr>
              <w:t>1、机箱采用国标304不锈钢材质，机箱厚度≥1.2mm；</w:t>
            </w:r>
          </w:p>
          <w:p>
            <w:r>
              <w:rPr>
                <w:rFonts w:hint="eastAsia"/>
              </w:rPr>
              <w:t>2、支持≥12对红外检测；</w:t>
            </w:r>
          </w:p>
          <w:p>
            <w:r>
              <w:rPr>
                <w:rFonts w:hint="eastAsia"/>
              </w:rPr>
              <w:t>3、支持超级电容，支持断电开闸功能;</w:t>
            </w:r>
          </w:p>
          <w:p>
            <w:r>
              <w:rPr>
                <w:rFonts w:hint="eastAsia"/>
              </w:rPr>
              <w:t>4、采用直流无刷电机；</w:t>
            </w:r>
          </w:p>
          <w:p>
            <w:r>
              <w:rPr>
                <w:rFonts w:hint="eastAsia"/>
              </w:rPr>
              <w:t>5、支持开门超时自动复位功能；</w:t>
            </w:r>
          </w:p>
          <w:p>
            <w:r>
              <w:rPr>
                <w:rFonts w:hint="eastAsia"/>
              </w:rPr>
              <w:t>6、支持声光报警提示，支持音量调节；</w:t>
            </w:r>
          </w:p>
          <w:p>
            <w:r>
              <w:rPr>
                <w:rFonts w:hint="eastAsia"/>
              </w:rPr>
              <w:t>7、通道尺寸采用不锈钢摆臂支持600mm-1100mm通道；</w:t>
            </w:r>
          </w:p>
          <w:p>
            <w:r>
              <w:rPr>
                <w:rFonts w:hint="eastAsia"/>
              </w:rPr>
              <w:t>8、平均无故障使用次数（MCBF）大于500万次；</w:t>
            </w:r>
          </w:p>
          <w:p>
            <w:r>
              <w:rPr>
                <w:rFonts w:hint="eastAsia"/>
              </w:rPr>
              <w:t>◆9、支持消防应急常开功能；支持报警信号输出功能；</w:t>
            </w:r>
          </w:p>
          <w:p>
            <w:r>
              <w:rPr>
                <w:rFonts w:hint="eastAsia"/>
              </w:rPr>
              <w:t>10、支持机械防夹、红外防夹功能；</w:t>
            </w:r>
          </w:p>
          <w:p>
            <w:r>
              <w:rPr>
                <w:rFonts w:hint="eastAsia"/>
              </w:rPr>
              <w:t>11、支持防冲撞功能；</w:t>
            </w:r>
          </w:p>
          <w:p>
            <w:r>
              <w:rPr>
                <w:rFonts w:hint="eastAsia"/>
              </w:rPr>
              <w:t>◆12、支持≥4种安全等级设置，适用不同安全级别的场景；</w:t>
            </w:r>
          </w:p>
          <w:p>
            <w:r>
              <w:rPr>
                <w:rFonts w:hint="eastAsia"/>
              </w:rPr>
              <w:t>◆13、支持≥9种通行模式组合：授权通行、禁止通行、自由通行等组合；</w:t>
            </w:r>
          </w:p>
          <w:p>
            <w:r>
              <w:rPr>
                <w:rFonts w:hint="eastAsia"/>
              </w:rPr>
              <w:t>14、支持开关门速度调节；支持通行时间设置；支持延时关闸时间设置；</w:t>
            </w:r>
          </w:p>
          <w:p>
            <w:r>
              <w:rPr>
                <w:rFonts w:hint="eastAsia"/>
              </w:rPr>
              <w:t>15、支持二次开启功能，人员在通道内可以授权；</w:t>
            </w:r>
          </w:p>
          <w:p>
            <w:r>
              <w:rPr>
                <w:rFonts w:hint="eastAsia"/>
              </w:rPr>
              <w:t>16、支持出入口记忆功能，可以连续授权过人；</w:t>
            </w:r>
          </w:p>
          <w:p>
            <w:r>
              <w:rPr>
                <w:rFonts w:hint="eastAsia"/>
              </w:rPr>
              <w:t>◆17、支持非法闯入、尾随、反向闯入、滞留、异常开门、非法翻越、门翼故障、红外异常等声光报警提示；</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台</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4</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12</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 xml:space="preserve">摆闸(左闸，开孔，室外) </w:t>
            </w:r>
          </w:p>
        </w:tc>
        <w:tc>
          <w:tcPr>
            <w:tcW w:w="5527" w:type="dxa"/>
            <w:tcBorders>
              <w:top w:val="single" w:color="000000" w:sz="4" w:space="0"/>
              <w:left w:val="nil"/>
              <w:bottom w:val="nil"/>
              <w:right w:val="single" w:color="000000" w:sz="4" w:space="0"/>
            </w:tcBorders>
            <w:shd w:val="clear" w:color="000000" w:fill="FFFFFF"/>
            <w:vAlign w:val="center"/>
          </w:tcPr>
          <w:p>
            <w:r>
              <w:rPr>
                <w:rFonts w:hint="eastAsia"/>
              </w:rPr>
              <w:t>1、机箱采用国标304不锈钢材质，机箱厚度≥1.2mm；</w:t>
            </w:r>
          </w:p>
          <w:p>
            <w:r>
              <w:rPr>
                <w:rFonts w:hint="eastAsia"/>
              </w:rPr>
              <w:t>2、支持≥12对红外检测；</w:t>
            </w:r>
          </w:p>
          <w:p>
            <w:r>
              <w:rPr>
                <w:rFonts w:hint="eastAsia"/>
              </w:rPr>
              <w:t>3、支持超级电容，支持断电开闸功能;</w:t>
            </w:r>
          </w:p>
          <w:p>
            <w:r>
              <w:rPr>
                <w:rFonts w:hint="eastAsia"/>
              </w:rPr>
              <w:t>4、采用直流无刷电机；</w:t>
            </w:r>
          </w:p>
          <w:p>
            <w:r>
              <w:rPr>
                <w:rFonts w:hint="eastAsia"/>
              </w:rPr>
              <w:t>5、支持开门超时自动复位功能；</w:t>
            </w:r>
          </w:p>
          <w:p>
            <w:r>
              <w:rPr>
                <w:rFonts w:hint="eastAsia"/>
              </w:rPr>
              <w:t>6、支持声光报警提示，支持音量调节；</w:t>
            </w:r>
          </w:p>
          <w:p>
            <w:r>
              <w:rPr>
                <w:rFonts w:hint="eastAsia"/>
              </w:rPr>
              <w:t>7、通道尺寸采用不锈钢摆臂支持600mm-1100mm通道；</w:t>
            </w:r>
          </w:p>
          <w:p>
            <w:r>
              <w:rPr>
                <w:rFonts w:hint="eastAsia"/>
              </w:rPr>
              <w:t>8、平均无故障使用次数（MCBF）大于500万次；</w:t>
            </w:r>
          </w:p>
          <w:p>
            <w:r>
              <w:rPr>
                <w:rFonts w:hint="eastAsia"/>
              </w:rPr>
              <w:t>◆9、支持消防应急常开功能；支持报警信号输出功能；</w:t>
            </w:r>
          </w:p>
          <w:p>
            <w:r>
              <w:rPr>
                <w:rFonts w:hint="eastAsia"/>
              </w:rPr>
              <w:t>10、支持机械防夹、红外防夹功能；</w:t>
            </w:r>
          </w:p>
          <w:p>
            <w:r>
              <w:rPr>
                <w:rFonts w:hint="eastAsia"/>
              </w:rPr>
              <w:t>11、支持防冲撞功能；</w:t>
            </w:r>
          </w:p>
          <w:p>
            <w:r>
              <w:rPr>
                <w:rFonts w:hint="eastAsia"/>
              </w:rPr>
              <w:t>◆12、支持≥4种安全等级设置，适用不同安全级别的场景；</w:t>
            </w:r>
          </w:p>
          <w:p>
            <w:r>
              <w:rPr>
                <w:rFonts w:hint="eastAsia"/>
              </w:rPr>
              <w:t>◆13、支持≥9种通行模式组合：授权通行、禁止通行、自由通行等组合；</w:t>
            </w:r>
          </w:p>
          <w:p>
            <w:r>
              <w:rPr>
                <w:rFonts w:hint="eastAsia"/>
              </w:rPr>
              <w:t>14、支持开关门速度调节；支持通行时间设置；支持延时关闸时间设置；</w:t>
            </w:r>
          </w:p>
          <w:p>
            <w:r>
              <w:rPr>
                <w:rFonts w:hint="eastAsia"/>
              </w:rPr>
              <w:t>15、支持二次开启功能，人员在通道内可以授权；</w:t>
            </w:r>
          </w:p>
          <w:p>
            <w:r>
              <w:rPr>
                <w:rFonts w:hint="eastAsia"/>
              </w:rPr>
              <w:t>16、支持出入口记忆功能，可以连续授权过人；</w:t>
            </w:r>
          </w:p>
          <w:p>
            <w:r>
              <w:rPr>
                <w:rFonts w:hint="eastAsia"/>
              </w:rPr>
              <w:t>◆17、支持非法闯入、尾随、反向闯入、滞留、异常开门、非法翻越、门翼故障、红外异常等声光报警提示；</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台</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4</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13</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 xml:space="preserve">摆闸(右闸，开孔，室外) </w:t>
            </w:r>
          </w:p>
        </w:tc>
        <w:tc>
          <w:tcPr>
            <w:tcW w:w="5527" w:type="dxa"/>
            <w:tcBorders>
              <w:top w:val="single" w:color="000000" w:sz="4" w:space="0"/>
              <w:left w:val="nil"/>
              <w:bottom w:val="nil"/>
              <w:right w:val="single" w:color="000000" w:sz="4" w:space="0"/>
            </w:tcBorders>
            <w:shd w:val="clear" w:color="000000" w:fill="FFFFFF"/>
            <w:vAlign w:val="center"/>
          </w:tcPr>
          <w:p>
            <w:r>
              <w:rPr>
                <w:rFonts w:hint="eastAsia"/>
              </w:rPr>
              <w:t>1、机箱采用国标304不锈钢材质，机箱厚度≥1.2mm；</w:t>
            </w:r>
          </w:p>
          <w:p>
            <w:r>
              <w:rPr>
                <w:rFonts w:hint="eastAsia"/>
              </w:rPr>
              <w:t>2、支持≥12对红外检测；</w:t>
            </w:r>
          </w:p>
          <w:p>
            <w:r>
              <w:rPr>
                <w:rFonts w:hint="eastAsia"/>
              </w:rPr>
              <w:t>3、支持超级电容，支持断电开闸功能;</w:t>
            </w:r>
          </w:p>
          <w:p>
            <w:r>
              <w:rPr>
                <w:rFonts w:hint="eastAsia"/>
              </w:rPr>
              <w:t>4、采用直流无刷电机；</w:t>
            </w:r>
          </w:p>
          <w:p>
            <w:r>
              <w:rPr>
                <w:rFonts w:hint="eastAsia"/>
              </w:rPr>
              <w:t>5、支持开门超时自动复位功能；</w:t>
            </w:r>
          </w:p>
          <w:p>
            <w:r>
              <w:rPr>
                <w:rFonts w:hint="eastAsia"/>
              </w:rPr>
              <w:t>6、支持声光报警提示，支持音量调节；</w:t>
            </w:r>
          </w:p>
          <w:p>
            <w:r>
              <w:rPr>
                <w:rFonts w:hint="eastAsia"/>
              </w:rPr>
              <w:t>7、通道尺寸采用不锈钢摆臂支持600mm-1100mm通道；</w:t>
            </w:r>
          </w:p>
          <w:p>
            <w:r>
              <w:rPr>
                <w:rFonts w:hint="eastAsia"/>
              </w:rPr>
              <w:t>8、平均无故障使用次数（MCBF）大于500万次；</w:t>
            </w:r>
          </w:p>
          <w:p>
            <w:r>
              <w:rPr>
                <w:rFonts w:hint="eastAsia"/>
              </w:rPr>
              <w:t>◆9、支持消防应急常开功能；支持报警信号输出功能；</w:t>
            </w:r>
          </w:p>
          <w:p>
            <w:r>
              <w:rPr>
                <w:rFonts w:hint="eastAsia"/>
              </w:rPr>
              <w:t>10、支持机械防夹、红外防夹功能；</w:t>
            </w:r>
          </w:p>
          <w:p>
            <w:r>
              <w:rPr>
                <w:rFonts w:hint="eastAsia"/>
              </w:rPr>
              <w:t>11、支持防冲撞功能；</w:t>
            </w:r>
          </w:p>
          <w:p>
            <w:r>
              <w:rPr>
                <w:rFonts w:hint="eastAsia"/>
              </w:rPr>
              <w:t>◆12、支持≥4种安全等级设置，适用不同安全级别的场景；</w:t>
            </w:r>
          </w:p>
          <w:p>
            <w:r>
              <w:rPr>
                <w:rFonts w:hint="eastAsia"/>
              </w:rPr>
              <w:t>◆13、支持≥9种通行模式组合：授权通行、禁止通行、自由通行等组合；</w:t>
            </w:r>
          </w:p>
          <w:p>
            <w:r>
              <w:rPr>
                <w:rFonts w:hint="eastAsia"/>
              </w:rPr>
              <w:t>14、支持开关门速度调节；支持通行时间设置；支持延时关闸时间设置；</w:t>
            </w:r>
          </w:p>
          <w:p>
            <w:r>
              <w:rPr>
                <w:rFonts w:hint="eastAsia"/>
              </w:rPr>
              <w:t>15、支持二次开启功能，人员在通道内可以授权；</w:t>
            </w:r>
          </w:p>
          <w:p>
            <w:r>
              <w:rPr>
                <w:rFonts w:hint="eastAsia"/>
              </w:rPr>
              <w:t>16、支持出入口记忆功能，可以连续授权过人；</w:t>
            </w:r>
          </w:p>
          <w:p>
            <w:r>
              <w:rPr>
                <w:rFonts w:hint="eastAsia"/>
              </w:rPr>
              <w:t>◆17、支持非法闯入、尾随、反向闯入、滞留、异常开门、非法翻越、门翼故障、红外异常等声光报警提示；</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台</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4</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14</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7寸人脸测温门禁一体主机</w:t>
            </w:r>
          </w:p>
        </w:tc>
        <w:tc>
          <w:tcPr>
            <w:tcW w:w="5527" w:type="dxa"/>
            <w:tcBorders>
              <w:top w:val="single" w:color="000000" w:sz="4" w:space="0"/>
              <w:left w:val="nil"/>
              <w:bottom w:val="single" w:color="000000" w:sz="4" w:space="0"/>
              <w:right w:val="single" w:color="000000" w:sz="4" w:space="0"/>
            </w:tcBorders>
            <w:shd w:val="clear" w:color="000000" w:fill="FFFFFF"/>
            <w:vAlign w:val="center"/>
          </w:tcPr>
          <w:p>
            <w:r>
              <w:rPr>
                <w:rFonts w:hint="eastAsia"/>
              </w:rPr>
              <w:t>1.高性能嵌入式处理器；</w:t>
            </w:r>
          </w:p>
          <w:p>
            <w:r>
              <w:rPr>
                <w:rFonts w:hint="eastAsia"/>
              </w:rPr>
              <w:t>2.显示屏≥7英寸液晶屏；电容触摸屏；</w:t>
            </w:r>
          </w:p>
          <w:p>
            <w:r>
              <w:rPr>
                <w:rFonts w:hint="eastAsia"/>
              </w:rPr>
              <w:t>3.摄像头≥1/2.7" 2MP CMOS高清宽动态双摄像头；</w:t>
            </w:r>
          </w:p>
          <w:p>
            <w:r>
              <w:rPr>
                <w:rFonts w:hint="eastAsia"/>
              </w:rPr>
              <w:t>4.支持刷卡/远程/密码/二维码/人脸识别开门模式支持组合开门模式设置</w:t>
            </w:r>
          </w:p>
          <w:p>
            <w:r>
              <w:rPr>
                <w:rFonts w:hint="eastAsia"/>
              </w:rPr>
              <w:t>5.测温模式下，仅支持人脸识别开门模式；；</w:t>
            </w:r>
          </w:p>
          <w:p>
            <w:r>
              <w:rPr>
                <w:rFonts w:hint="eastAsia"/>
              </w:rPr>
              <w:t>6.支持远程验证；支持黑白名单设定；支持实时监控；支持多重认证；支持WEB配置；</w:t>
            </w:r>
          </w:p>
          <w:p>
            <w:r>
              <w:rPr>
                <w:rFonts w:hint="eastAsia"/>
              </w:rPr>
              <w:t>7.人脸识别准确率≥99.8%；人脸识别速度≤0.2s；</w:t>
            </w:r>
          </w:p>
          <w:p>
            <w:r>
              <w:rPr>
                <w:rFonts w:hint="eastAsia"/>
              </w:rPr>
              <w:t>8.用户容量≥50000个；人脸容量≥50000张；卡片容量≥50000张；密码容量≥50000个；存储记录数量≥10万条；</w:t>
            </w:r>
          </w:p>
          <w:p>
            <w:r>
              <w:rPr>
                <w:rFonts w:hint="eastAsia"/>
              </w:rPr>
              <w:t>9.RS-485接口≥1个；RS-232接口≥1个；韦根接口≥1路输入/输出；USB接口≥1个USB2.0接口；网络接口≥1个10Mbps/100Mbps以太网口；</w:t>
            </w:r>
          </w:p>
          <w:p>
            <w:r>
              <w:rPr>
                <w:rFonts w:hint="eastAsia"/>
              </w:rPr>
              <w:t>10.报警输入≥2路（开关量）；报警输出≥2路（继电器）；支持报警联动；</w:t>
            </w:r>
          </w:p>
          <w:p>
            <w:r>
              <w:rPr>
                <w:rFonts w:hint="eastAsia"/>
              </w:rPr>
              <w:t>11.开门按钮≥1路；门状态检测≥1路；门锁控制≥1路；</w:t>
            </w:r>
          </w:p>
          <w:p>
            <w:r>
              <w:rPr>
                <w:rFonts w:hint="eastAsia"/>
              </w:rPr>
              <w:t>12.支持防反潜；支持防拆报警；支持胁迫报警；支持门超时报警；支持非法闯入报警；支持非法卡超次报警；</w:t>
            </w:r>
          </w:p>
          <w:p>
            <w:r>
              <w:rPr>
                <w:rFonts w:hint="eastAsia"/>
              </w:rPr>
              <w:t>13.供电方式 DC 12V 2A；</w:t>
            </w:r>
          </w:p>
          <w:p>
            <w:r>
              <w:rPr>
                <w:rFonts w:hint="eastAsia"/>
              </w:rPr>
              <w:t>14.工作温度-10℃~+55℃；</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个</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8</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15</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落地支架</w:t>
            </w:r>
          </w:p>
        </w:tc>
        <w:tc>
          <w:tcPr>
            <w:tcW w:w="5527" w:type="dxa"/>
            <w:tcBorders>
              <w:top w:val="nil"/>
              <w:left w:val="nil"/>
              <w:bottom w:val="single" w:color="000000" w:sz="4" w:space="0"/>
              <w:right w:val="single" w:color="000000" w:sz="4" w:space="0"/>
            </w:tcBorders>
            <w:shd w:val="clear" w:color="000000" w:fill="FFFFFF"/>
            <w:vAlign w:val="center"/>
          </w:tcPr>
          <w:p>
            <w:pPr>
              <w:rPr>
                <w:rFonts w:hint="eastAsia"/>
              </w:rPr>
            </w:pPr>
            <w:r>
              <w:rPr>
                <w:rFonts w:hint="eastAsia"/>
              </w:rPr>
              <w:t>定制落地铝合金支架，</w:t>
            </w:r>
            <w:r>
              <w:t>高度约</w:t>
            </w:r>
            <w:r>
              <w:rPr>
                <w:rFonts w:hint="eastAsia"/>
              </w:rPr>
              <w:t>1.5米</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个</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8</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16</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电车道闸</w:t>
            </w:r>
          </w:p>
        </w:tc>
        <w:tc>
          <w:tcPr>
            <w:tcW w:w="5527" w:type="dxa"/>
            <w:tcBorders>
              <w:top w:val="nil"/>
              <w:left w:val="nil"/>
              <w:bottom w:val="single" w:color="000000" w:sz="4" w:space="0"/>
              <w:right w:val="single" w:color="000000" w:sz="4" w:space="0"/>
            </w:tcBorders>
            <w:shd w:val="clear" w:color="000000" w:fill="FFFFFF"/>
            <w:vAlign w:val="center"/>
          </w:tcPr>
          <w:p>
            <w:r>
              <w:rPr>
                <w:rFonts w:hint="eastAsia"/>
              </w:rPr>
              <w:t>1、支持延时关门功能。</w:t>
            </w:r>
          </w:p>
          <w:p>
            <w:r>
              <w:rPr>
                <w:rFonts w:hint="eastAsia"/>
              </w:rPr>
              <w:t>2、支持开门关门速度调节。</w:t>
            </w:r>
          </w:p>
          <w:p>
            <w:r>
              <w:rPr>
                <w:rFonts w:hint="eastAsia"/>
              </w:rPr>
              <w:t>3、支持遇阻反弹、开关门遇阻灵敏度可调。</w:t>
            </w:r>
          </w:p>
          <w:p>
            <w:r>
              <w:rPr>
                <w:rFonts w:hint="eastAsia"/>
              </w:rPr>
              <w:t>4、支持关门力度、开门保持时间调节。</w:t>
            </w:r>
          </w:p>
          <w:p>
            <w:r>
              <w:rPr>
                <w:rFonts w:hint="eastAsia"/>
              </w:rPr>
              <w:t>5、功耗：≤2W（待机），≤60W（工作）。</w:t>
            </w:r>
          </w:p>
          <w:p>
            <w:r>
              <w:rPr>
                <w:rFonts w:hint="eastAsia"/>
              </w:rPr>
              <w:t>6、整机使用寿命≥100万次。</w:t>
            </w:r>
          </w:p>
          <w:p>
            <w:r>
              <w:rPr>
                <w:rFonts w:hint="eastAsia"/>
              </w:rPr>
              <w:t>7、根据不同场合的人行通道，可选择不同的开门方向。</w:t>
            </w:r>
          </w:p>
          <w:p>
            <w:r>
              <w:rPr>
                <w:rFonts w:hint="eastAsia"/>
              </w:rPr>
              <w:t>8、内置LED灯。</w:t>
            </w:r>
          </w:p>
          <w:p>
            <w:r>
              <w:rPr>
                <w:rFonts w:hint="eastAsia"/>
              </w:rPr>
              <w:t>9、自带遥控器，可扩展门禁控制器、读卡器、人脸识别组件等。</w:t>
            </w:r>
          </w:p>
          <w:p>
            <w:r>
              <w:rPr>
                <w:rFonts w:hint="eastAsia"/>
              </w:rPr>
              <w:t>10、支持门体宽度自由调节，通道宽度可调节范围1170mm～1700mm。</w:t>
            </w:r>
          </w:p>
          <w:p>
            <w:r>
              <w:rPr>
                <w:rFonts w:hint="eastAsia"/>
              </w:rPr>
              <w:t>11、灯光板具有定时开关功能，可对灯光的开关时间进行设定。</w:t>
            </w:r>
          </w:p>
          <w:p>
            <w:r>
              <w:rPr>
                <w:rFonts w:hint="eastAsia"/>
              </w:rPr>
              <w:t>12、指示灯功能</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台</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4</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17</w:t>
            </w:r>
          </w:p>
        </w:tc>
        <w:tc>
          <w:tcPr>
            <w:tcW w:w="2016" w:type="dxa"/>
            <w:tcBorders>
              <w:top w:val="nil"/>
              <w:left w:val="nil"/>
              <w:bottom w:val="nil"/>
              <w:right w:val="single" w:color="000000" w:sz="4" w:space="0"/>
            </w:tcBorders>
            <w:shd w:val="clear" w:color="000000" w:fill="FFFFFF"/>
            <w:vAlign w:val="center"/>
          </w:tcPr>
          <w:p>
            <w:r>
              <w:rPr>
                <w:rFonts w:hint="eastAsia"/>
              </w:rPr>
              <w:t>网线</w:t>
            </w:r>
          </w:p>
        </w:tc>
        <w:tc>
          <w:tcPr>
            <w:tcW w:w="5527" w:type="dxa"/>
            <w:tcBorders>
              <w:top w:val="nil"/>
              <w:left w:val="nil"/>
              <w:bottom w:val="nil"/>
              <w:right w:val="single" w:color="000000" w:sz="4" w:space="0"/>
            </w:tcBorders>
            <w:shd w:val="clear" w:color="000000" w:fill="FFFFFF"/>
            <w:vAlign w:val="center"/>
          </w:tcPr>
          <w:p>
            <w:r>
              <w:rPr>
                <w:rFonts w:hint="eastAsia"/>
              </w:rPr>
              <w:t>室外非屏蔽超五类，305米/箱</w:t>
            </w:r>
          </w:p>
        </w:tc>
        <w:tc>
          <w:tcPr>
            <w:tcW w:w="0" w:type="auto"/>
            <w:tcBorders>
              <w:top w:val="nil"/>
              <w:left w:val="nil"/>
              <w:bottom w:val="nil"/>
              <w:right w:val="single" w:color="000000" w:sz="4" w:space="0"/>
            </w:tcBorders>
            <w:shd w:val="clear" w:color="000000" w:fill="FFFFFF"/>
            <w:vAlign w:val="center"/>
          </w:tcPr>
          <w:p>
            <w:r>
              <w:rPr>
                <w:rFonts w:hint="eastAsia"/>
              </w:rPr>
              <w:t>箱</w:t>
            </w:r>
          </w:p>
        </w:tc>
        <w:tc>
          <w:tcPr>
            <w:tcW w:w="0" w:type="auto"/>
            <w:tcBorders>
              <w:top w:val="nil"/>
              <w:left w:val="nil"/>
              <w:bottom w:val="nil"/>
              <w:right w:val="single" w:color="000000" w:sz="4" w:space="0"/>
            </w:tcBorders>
            <w:shd w:val="clear" w:color="000000" w:fill="FFFFFF"/>
            <w:vAlign w:val="center"/>
          </w:tcPr>
          <w:p>
            <w:r>
              <w:rPr>
                <w:rFonts w:hint="eastAsia"/>
              </w:rPr>
              <w:t>3</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18</w:t>
            </w:r>
          </w:p>
        </w:tc>
        <w:tc>
          <w:tcPr>
            <w:tcW w:w="2016" w:type="dxa"/>
            <w:tcBorders>
              <w:top w:val="single" w:color="000000" w:sz="4" w:space="0"/>
              <w:left w:val="nil"/>
              <w:bottom w:val="nil"/>
              <w:right w:val="single" w:color="000000" w:sz="4" w:space="0"/>
            </w:tcBorders>
            <w:shd w:val="clear" w:color="000000" w:fill="FFFFFF"/>
            <w:vAlign w:val="center"/>
          </w:tcPr>
          <w:p>
            <w:r>
              <w:rPr>
                <w:rFonts w:hint="eastAsia"/>
              </w:rPr>
              <w:t>5口交换机</w:t>
            </w:r>
          </w:p>
        </w:tc>
        <w:tc>
          <w:tcPr>
            <w:tcW w:w="5527" w:type="dxa"/>
            <w:tcBorders>
              <w:top w:val="single" w:color="000000" w:sz="4" w:space="0"/>
              <w:left w:val="nil"/>
              <w:bottom w:val="nil"/>
              <w:right w:val="single" w:color="000000" w:sz="4" w:space="0"/>
            </w:tcBorders>
            <w:shd w:val="clear" w:color="000000" w:fill="FFFFFF"/>
            <w:vAlign w:val="center"/>
          </w:tcPr>
          <w:p>
            <w:r>
              <w:rPr>
                <w:rFonts w:hint="eastAsia"/>
              </w:rPr>
              <w:t>二层非网管交换机；</w:t>
            </w:r>
          </w:p>
          <w:p>
            <w:r>
              <w:rPr>
                <w:rFonts w:hint="eastAsia"/>
              </w:rPr>
              <w:t>交换容量：≥1.0Gbps；包转发率：≥0.74Mpps；</w:t>
            </w:r>
          </w:p>
          <w:p>
            <w:r>
              <w:rPr>
                <w:rFonts w:hint="eastAsia"/>
              </w:rPr>
              <w:t>5个10/100Mbps自适应电口；</w:t>
            </w:r>
          </w:p>
          <w:p>
            <w:r>
              <w:rPr>
                <w:rFonts w:hint="eastAsia"/>
              </w:rPr>
              <w:t>支持桌面式安装方式；</w:t>
            </w:r>
          </w:p>
          <w:p>
            <w:r>
              <w:rPr>
                <w:rFonts w:hint="eastAsia"/>
              </w:rPr>
              <w:t>工作温度：0℃～40℃；雷电防护：共模 2KV，差模 0.5KV。</w:t>
            </w:r>
          </w:p>
        </w:tc>
        <w:tc>
          <w:tcPr>
            <w:tcW w:w="0" w:type="auto"/>
            <w:tcBorders>
              <w:top w:val="single" w:color="000000" w:sz="4" w:space="0"/>
              <w:left w:val="nil"/>
              <w:bottom w:val="nil"/>
              <w:right w:val="single" w:color="000000" w:sz="4" w:space="0"/>
            </w:tcBorders>
            <w:shd w:val="clear" w:color="000000" w:fill="FFFFFF"/>
            <w:vAlign w:val="center"/>
          </w:tcPr>
          <w:p>
            <w:r>
              <w:rPr>
                <w:rFonts w:hint="eastAsia"/>
              </w:rPr>
              <w:t>个</w:t>
            </w:r>
          </w:p>
        </w:tc>
        <w:tc>
          <w:tcPr>
            <w:tcW w:w="0" w:type="auto"/>
            <w:tcBorders>
              <w:top w:val="single" w:color="000000" w:sz="4" w:space="0"/>
              <w:left w:val="nil"/>
              <w:bottom w:val="nil"/>
              <w:right w:val="single" w:color="000000" w:sz="4" w:space="0"/>
            </w:tcBorders>
            <w:shd w:val="clear" w:color="000000" w:fill="FFFFFF"/>
            <w:vAlign w:val="center"/>
          </w:tcPr>
          <w:p>
            <w:r>
              <w:rPr>
                <w:rFonts w:hint="eastAsia"/>
              </w:rPr>
              <w:t>10</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19</w:t>
            </w:r>
          </w:p>
        </w:tc>
        <w:tc>
          <w:tcPr>
            <w:tcW w:w="2016" w:type="dxa"/>
            <w:tcBorders>
              <w:top w:val="single" w:color="auto" w:sz="4" w:space="0"/>
              <w:left w:val="nil"/>
              <w:bottom w:val="single" w:color="auto" w:sz="4" w:space="0"/>
              <w:right w:val="single" w:color="auto" w:sz="4" w:space="0"/>
            </w:tcBorders>
            <w:shd w:val="clear" w:color="000000" w:fill="FFFFFF"/>
            <w:vAlign w:val="center"/>
          </w:tcPr>
          <w:p>
            <w:r>
              <w:rPr>
                <w:rFonts w:hint="eastAsia"/>
              </w:rPr>
              <w:t>施工辅材</w:t>
            </w:r>
          </w:p>
        </w:tc>
        <w:tc>
          <w:tcPr>
            <w:tcW w:w="5527" w:type="dxa"/>
            <w:tcBorders>
              <w:top w:val="single" w:color="auto" w:sz="4" w:space="0"/>
              <w:left w:val="nil"/>
              <w:bottom w:val="single" w:color="auto" w:sz="4" w:space="0"/>
              <w:right w:val="single" w:color="auto" w:sz="4" w:space="0"/>
            </w:tcBorders>
            <w:shd w:val="clear" w:color="000000" w:fill="FFFFFF"/>
            <w:vAlign w:val="center"/>
          </w:tcPr>
          <w:p>
            <w:r>
              <w:rPr>
                <w:rFonts w:hint="eastAsia"/>
              </w:rPr>
              <w:t>满足</w:t>
            </w:r>
            <w:r>
              <w:t>本项目所需辅材，</w:t>
            </w:r>
            <w:r>
              <w:rPr>
                <w:rFonts w:hint="eastAsia"/>
              </w:rPr>
              <w:t>包括空开、热缩管、水晶头、波纹管、插座、成品跳线等</w:t>
            </w:r>
          </w:p>
        </w:tc>
        <w:tc>
          <w:tcPr>
            <w:tcW w:w="0" w:type="auto"/>
            <w:tcBorders>
              <w:top w:val="single" w:color="auto" w:sz="4" w:space="0"/>
              <w:left w:val="nil"/>
              <w:bottom w:val="single" w:color="auto" w:sz="4" w:space="0"/>
              <w:right w:val="single" w:color="auto" w:sz="4" w:space="0"/>
            </w:tcBorders>
            <w:shd w:val="clear" w:color="000000" w:fill="FFFFFF"/>
            <w:vAlign w:val="center"/>
          </w:tcPr>
          <w:p>
            <w:r>
              <w:rPr>
                <w:rFonts w:hint="eastAsia"/>
              </w:rPr>
              <w:t>项</w:t>
            </w:r>
          </w:p>
        </w:tc>
        <w:tc>
          <w:tcPr>
            <w:tcW w:w="0" w:type="auto"/>
            <w:tcBorders>
              <w:top w:val="single" w:color="auto" w:sz="4" w:space="0"/>
              <w:left w:val="nil"/>
              <w:bottom w:val="single" w:color="auto" w:sz="4" w:space="0"/>
              <w:right w:val="single" w:color="auto" w:sz="4" w:space="0"/>
            </w:tcBorders>
            <w:shd w:val="clear" w:color="000000" w:fill="FFFFFF"/>
            <w:vAlign w:val="center"/>
          </w:tcPr>
          <w:p>
            <w:r>
              <w:rPr>
                <w:rFonts w:hint="eastAsia"/>
              </w:rPr>
              <w:t>1</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20</w:t>
            </w:r>
          </w:p>
        </w:tc>
        <w:tc>
          <w:tcPr>
            <w:tcW w:w="2016" w:type="dxa"/>
            <w:tcBorders>
              <w:top w:val="nil"/>
              <w:left w:val="nil"/>
              <w:bottom w:val="single" w:color="auto" w:sz="4" w:space="0"/>
              <w:right w:val="single" w:color="auto" w:sz="4" w:space="0"/>
            </w:tcBorders>
            <w:shd w:val="clear" w:color="000000" w:fill="FFFFFF"/>
            <w:vAlign w:val="center"/>
          </w:tcPr>
          <w:p>
            <w:r>
              <w:rPr>
                <w:rFonts w:hint="eastAsia"/>
              </w:rPr>
              <w:t>安装调试</w:t>
            </w:r>
          </w:p>
        </w:tc>
        <w:tc>
          <w:tcPr>
            <w:tcW w:w="5527" w:type="dxa"/>
            <w:tcBorders>
              <w:top w:val="nil"/>
              <w:left w:val="nil"/>
              <w:bottom w:val="single" w:color="auto" w:sz="4" w:space="0"/>
              <w:right w:val="single" w:color="auto" w:sz="4" w:space="0"/>
            </w:tcBorders>
            <w:shd w:val="clear" w:color="000000" w:fill="FFFFFF"/>
            <w:vAlign w:val="center"/>
          </w:tcPr>
          <w:p>
            <w:r>
              <w:rPr>
                <w:rFonts w:hint="eastAsia"/>
              </w:rPr>
              <w:t>对</w:t>
            </w:r>
            <w:r>
              <w:t>本项目所涉及的</w:t>
            </w:r>
            <w:r>
              <w:rPr>
                <w:rFonts w:hint="eastAsia"/>
              </w:rPr>
              <w:t>所有</w:t>
            </w:r>
            <w:r>
              <w:t>设备进行安装调试</w:t>
            </w:r>
          </w:p>
        </w:tc>
        <w:tc>
          <w:tcPr>
            <w:tcW w:w="0" w:type="auto"/>
            <w:tcBorders>
              <w:top w:val="nil"/>
              <w:left w:val="nil"/>
              <w:bottom w:val="single" w:color="auto" w:sz="4" w:space="0"/>
              <w:right w:val="single" w:color="auto" w:sz="4" w:space="0"/>
            </w:tcBorders>
            <w:shd w:val="clear" w:color="000000" w:fill="FFFFFF"/>
            <w:vAlign w:val="center"/>
          </w:tcPr>
          <w:p>
            <w:r>
              <w:rPr>
                <w:rFonts w:hint="eastAsia"/>
              </w:rPr>
              <w:t>项</w:t>
            </w:r>
          </w:p>
        </w:tc>
        <w:tc>
          <w:tcPr>
            <w:tcW w:w="0" w:type="auto"/>
            <w:tcBorders>
              <w:top w:val="nil"/>
              <w:left w:val="nil"/>
              <w:bottom w:val="single" w:color="auto" w:sz="4" w:space="0"/>
              <w:right w:val="single" w:color="auto" w:sz="4" w:space="0"/>
            </w:tcBorders>
            <w:shd w:val="clear" w:color="000000" w:fill="FFFFFF"/>
            <w:vAlign w:val="center"/>
          </w:tcPr>
          <w:p>
            <w:r>
              <w:rPr>
                <w:rFonts w:hint="eastAsia"/>
              </w:rPr>
              <w:t>1</w:t>
            </w:r>
          </w:p>
        </w:tc>
      </w:tr>
      <w:tr>
        <w:trPr>
          <w:trHeight w:val="7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000000" w:fill="FFFFFF"/>
            <w:vAlign w:val="center"/>
          </w:tcPr>
          <w:p>
            <w:r>
              <w:rPr>
                <w:rFonts w:hint="eastAsia"/>
              </w:rPr>
              <w:t>二、智慧校园综合管理平台</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1</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物联网自动化可视化管理系统</w:t>
            </w:r>
          </w:p>
        </w:tc>
        <w:tc>
          <w:tcPr>
            <w:tcW w:w="5527" w:type="dxa"/>
            <w:tcBorders>
              <w:top w:val="nil"/>
              <w:left w:val="nil"/>
              <w:bottom w:val="single" w:color="000000" w:sz="4" w:space="0"/>
              <w:right w:val="single" w:color="000000" w:sz="4" w:space="0"/>
            </w:tcBorders>
            <w:shd w:val="clear" w:color="000000" w:fill="FFFFFF"/>
            <w:vAlign w:val="center"/>
          </w:tcPr>
          <w:p>
            <w:r>
              <w:rPr>
                <w:rFonts w:hint="eastAsia"/>
              </w:rPr>
              <w:t>1、基于Linux操作系统运行，兼容IEEE网络标准化管理，为软件平台数据分发提供安全、稳定、高效的数据自动化计算和系统运行能力，是由软件、硬件组成；系统为用户提供环境所需的音频、视频、环境、安防、传感以及用户所需的其他功能性物联设备，实现IT可视化全网络全系统融合集成管理，系统提供人性化的可视化工程配置、数据物模型管理，人机交互的业务模式全场景融合构建、远程运维调试等应用；</w:t>
            </w:r>
          </w:p>
          <w:p>
            <w:r>
              <w:rPr>
                <w:rFonts w:hint="eastAsia"/>
              </w:rPr>
              <w:t> 2、平台支持海量设备接入与数据融合集成，可对生态系统设备进行连接与自动化管理（音视频、环境、感知、机电等多种生态应用）；</w:t>
            </w:r>
          </w:p>
          <w:p>
            <w:r>
              <w:rPr>
                <w:rFonts w:hint="eastAsia"/>
              </w:rPr>
              <w:t>3、固件升级功能系统平台支持固件本地及远程在线升级能力；</w:t>
            </w:r>
          </w:p>
          <w:p>
            <w:r>
              <w:rPr>
                <w:rFonts w:hint="eastAsia"/>
              </w:rPr>
              <w:t>◆4、物模型属性功能系统平台釆用物模型设计功能，通过网络交换机连接第三方硬件设备，可实现设备属性的全面操作、全面调试、所有设备管理功能；</w:t>
            </w:r>
          </w:p>
          <w:p>
            <w:r>
              <w:rPr>
                <w:rFonts w:hint="eastAsia"/>
              </w:rPr>
              <w:t>5、网络运行环境平台支持局域网运行及广域网运行；</w:t>
            </w:r>
          </w:p>
          <w:p>
            <w:r>
              <w:rPr>
                <w:rFonts w:hint="eastAsia"/>
              </w:rPr>
              <w:t>6、处理器性能选用专业级T系列处理器，具有较高的处理器性能，基于稳定的Linux操作系统，为软件平台数据分发提供安全、稳定、高效的数据自动化计算和系统运行能力；</w:t>
            </w:r>
          </w:p>
          <w:p>
            <w:r>
              <w:rPr>
                <w:rFonts w:hint="eastAsia"/>
              </w:rPr>
              <w:t>7、数据集成对接功能系统平台支持通过物联网交换机可对广泛通讯传输协议对接：行业标准TCP/IP协议,UDP/IP.CIP,DHCP,SSL,TSL,SSH,SFTP（SSH文件传输协议）,IEEE802.IX,BACnet/IP、Dant、AES67,Jpeg2000、H.264/5、SDVOE等；支持非网络通讯协议对接：与工业标准数据协议对接：HTTPS、UDP、TCP、DMX512、RS-422、RS-433、ModBus、CanBus、KNX、D/A数模转换器、A/D模数转换器、Zigbee、2.4G、Wifi、蓝牙、Zwave、433/315射频，满足企业应用所需的IP软件应用、SaaS服务应用、I0T设备连接应用和API数据的物模型资产套件，平台提供标准的API端口及协议文档，可与上层应用平台无缝对接；</w:t>
            </w:r>
          </w:p>
          <w:p>
            <w:r>
              <w:rPr>
                <w:rFonts w:hint="eastAsia"/>
              </w:rPr>
              <w:t>8、平台系统断电记忆功能系统平台具备断电存储能力，断电重启后完全恢复系统断电前的状态，并不影响正在使用中的任何设备；</w:t>
            </w:r>
          </w:p>
          <w:p>
            <w:r>
              <w:rPr>
                <w:rFonts w:hint="eastAsia"/>
              </w:rPr>
              <w:t>9、平台系统热备份功能系统平台支持双机及多机冗余式热备份设计，可实时检测主机和单台备份机或多台备机的工作状态，实现主从机的自动切换；</w:t>
            </w:r>
          </w:p>
          <w:p>
            <w:r>
              <w:rPr>
                <w:rFonts w:hint="eastAsia"/>
              </w:rPr>
              <w:t>10、平台采用物模型管理机制，可对物模型进行数据采集、功能定义及用户需求定义功能；</w:t>
            </w:r>
          </w:p>
          <w:p>
            <w:r>
              <w:rPr>
                <w:rFonts w:hint="eastAsia"/>
              </w:rPr>
              <w:t>◆11、本地及远程运维调试功能系统平台具有本地及远程数据运维服务使能，可远程对平台下所有设备进行AI自动化管理、操控、调试、和任意场景修改，所有操作都支持实时双向反馈功能；</w:t>
            </w:r>
          </w:p>
          <w:p>
            <w:r>
              <w:rPr>
                <w:rFonts w:hint="eastAsia"/>
              </w:rPr>
              <w:t>12、平台提供数据安全保障：物模型安全认证、数据云备份、本机备份、平台软件备份及数据恢复；</w:t>
            </w:r>
          </w:p>
          <w:p>
            <w:r>
              <w:rPr>
                <w:rFonts w:hint="eastAsia"/>
              </w:rPr>
              <w:t>13、平台支持海量设备连接与数据自动化管理，可对南北向数据接口融合对接，充分满足企业IT应用生态、SaaS应用生态、IOT应用生态、API应用生态数据集成及资产套件数据封装；</w:t>
            </w:r>
          </w:p>
          <w:p>
            <w:r>
              <w:rPr>
                <w:rFonts w:hint="eastAsia"/>
              </w:rPr>
              <w:t>14、平台支持管理终端墙面触摸屏场景名称自定义修改；</w:t>
            </w:r>
          </w:p>
          <w:p>
            <w:r>
              <w:rPr>
                <w:rFonts w:hint="eastAsia"/>
              </w:rPr>
              <w:t>15、平台支持管理终端墙面触摸屏门禁管理、音频生态管理、视频生态管理、环境生态管理等；</w:t>
            </w:r>
          </w:p>
          <w:p>
            <w:r>
              <w:rPr>
                <w:rFonts w:hint="eastAsia"/>
              </w:rPr>
              <w:t>16、平台支持管理终端墙面触摸屏单键单场景设定、一键双场景设定、多建场景联动设定；</w:t>
            </w:r>
          </w:p>
          <w:p>
            <w:r>
              <w:rPr>
                <w:rFonts w:hint="eastAsia"/>
              </w:rPr>
              <w:t>17、支持节能降耗管理功能；</w:t>
            </w:r>
          </w:p>
          <w:p>
            <w:r>
              <w:rPr>
                <w:rFonts w:hint="eastAsia"/>
              </w:rPr>
              <w:t>18、平台支持设备运行状态实时监测功能，可判断设备在线离线状态，APP内告警提示；</w:t>
            </w:r>
          </w:p>
          <w:p>
            <w:r>
              <w:rPr>
                <w:rFonts w:hint="eastAsia"/>
              </w:rPr>
              <w:t>19、客户端安装用户可通过IPADAppStore自行下载安装；安卓用户可在官网下载apk安装包，并在安卓系统终端，自行安装；具备pc端触控软件通过windows平台自行安装；具备WEB端访问管理，可通过任意设备上的浏览，输入服务器IP地址，访问服务器客户端，进行管理；</w:t>
            </w:r>
          </w:p>
          <w:p>
            <w:r>
              <w:rPr>
                <w:rFonts w:hint="eastAsia"/>
              </w:rPr>
              <w:t>◆20、权限功能系统平台支持多权限多终端数据管理设计，具有用户管理权限、用户使用权限及工程师权限，工程师权限由用户授权使用，保障用户私密性；支持管理员注册任意个数管理帐号，赋予不同帐号不同的管理权限及使用权限；实现预览权限、控制调度权限、环境监测权限、主/备机开关权限、智能控制权限、远程访问权限、远程管理权限、远程查看权限、远程操作权限、远程调度权限的权限分配；</w:t>
            </w:r>
          </w:p>
          <w:p>
            <w:r>
              <w:rPr>
                <w:rFonts w:hint="eastAsia"/>
              </w:rPr>
              <w:t>◆21、AI智慧场景构建功能：系统平台支持应用所需的开放生态设备，进行定制化免编程免代码的数据自动化AI智慧场景构建；</w:t>
            </w:r>
          </w:p>
          <w:p>
            <w:r>
              <w:rPr>
                <w:rFonts w:hint="eastAsia"/>
              </w:rPr>
              <w:t xml:space="preserve">22、平台支持AI自动化空间管理，可实现日程、场景、预约、事件自动化设定、修改及管理功能； </w:t>
            </w:r>
          </w:p>
          <w:p>
            <w:r>
              <w:rPr>
                <w:rFonts w:hint="eastAsia"/>
              </w:rPr>
              <w:t xml:space="preserve">◆23、场景自动化编辑功能系统平台具有自动化场景编辑功能，可根据添加的物模型进行自动化场景构建、修改、删除、场景重命名、场景图标配置等操作，用户可根据自己的需求，自行编辑用户所需求的场景. </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套</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1</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2</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智慧校园综合管理平台（服务器）</w:t>
            </w:r>
          </w:p>
        </w:tc>
        <w:tc>
          <w:tcPr>
            <w:tcW w:w="5527" w:type="dxa"/>
            <w:tcBorders>
              <w:top w:val="nil"/>
              <w:left w:val="nil"/>
              <w:bottom w:val="single" w:color="000000" w:sz="4" w:space="0"/>
              <w:right w:val="single" w:color="000000" w:sz="4" w:space="0"/>
            </w:tcBorders>
            <w:shd w:val="clear" w:color="000000" w:fill="FFFFFF"/>
            <w:vAlign w:val="center"/>
          </w:tcPr>
          <w:p>
            <w:pPr>
              <w:rPr>
                <w:rFonts w:hint="eastAsia"/>
              </w:rPr>
            </w:pPr>
            <w:r>
              <w:rPr>
                <w:rFonts w:hint="eastAsia"/>
              </w:rPr>
              <w:t>CPU：≥2颗Intel Xeon 4210 处理器，频率2.2GHz，13.75缓存，10核</w:t>
            </w:r>
          </w:p>
          <w:p>
            <w:pPr>
              <w:rPr>
                <w:rFonts w:hint="eastAsia"/>
              </w:rPr>
            </w:pPr>
            <w:r>
              <w:rPr>
                <w:rFonts w:hint="eastAsia"/>
              </w:rPr>
              <w:t>内存：≥16GB 2666*4 最多支持24根DDR4内存条 支持的单根DIMM容量：8GB、16GB和32GB</w:t>
            </w:r>
          </w:p>
          <w:p>
            <w:r>
              <w:rPr>
                <w:rFonts w:hint="eastAsia"/>
              </w:rPr>
              <w:t>硬盘：≥2*2TB 3.5寸 6Gb SATA接口硬盘</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个</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1</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3</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●智慧校园综合管理平台软件（出入口管理、人脸业务、访客管理系统）【核心</w:t>
            </w:r>
            <w:r>
              <w:t>产品</w:t>
            </w:r>
            <w:r>
              <w:rPr>
                <w:rFonts w:hint="eastAsia"/>
              </w:rPr>
              <w:t>】</w:t>
            </w:r>
          </w:p>
        </w:tc>
        <w:tc>
          <w:tcPr>
            <w:tcW w:w="5527" w:type="dxa"/>
            <w:tcBorders>
              <w:top w:val="nil"/>
              <w:left w:val="nil"/>
              <w:bottom w:val="nil"/>
              <w:right w:val="single" w:color="000000" w:sz="4" w:space="0"/>
            </w:tcBorders>
            <w:shd w:val="clear" w:color="000000" w:fill="FFFFFF"/>
            <w:vAlign w:val="center"/>
          </w:tcPr>
          <w:p>
            <w:r>
              <w:rPr>
                <w:rFonts w:hint="eastAsia"/>
              </w:rPr>
              <w:t>1、采用弹性可扩展的架构，安全可控，根据实际需求叠加业务系统；</w:t>
            </w:r>
          </w:p>
          <w:p>
            <w:r>
              <w:rPr>
                <w:rFonts w:hint="eastAsia"/>
              </w:rPr>
              <w:t>2、支持系统管理，角色管理、用户管理、组织管理、学校设置、人员管理、设备管理、卡片管理、车辆管理、日志管理；</w:t>
            </w:r>
          </w:p>
          <w:p>
            <w:r>
              <w:rPr>
                <w:rFonts w:hint="eastAsia"/>
              </w:rPr>
              <w:t>3、支持资源绑定，可将指定设备和通道绑定业务相关业务资源，并配置录制计划、补录计划、盘组配置、存储配置；</w:t>
            </w:r>
          </w:p>
          <w:p>
            <w:r>
              <w:rPr>
                <w:rFonts w:hint="eastAsia"/>
              </w:rPr>
              <w:t>4、支持视频上墙查看；</w:t>
            </w:r>
          </w:p>
          <w:p>
            <w:r>
              <w:rPr>
                <w:rFonts w:hint="eastAsia"/>
              </w:rPr>
              <w:t>5、支持电子地图；</w:t>
            </w:r>
          </w:p>
          <w:p>
            <w:r>
              <w:rPr>
                <w:rFonts w:hint="eastAsia"/>
              </w:rPr>
              <w:t>6、支持为报警事件配置联动动作，包括：联动录像、邮件、短信及新增子系统支持的联动动作（视频弹窗、门禁、抓图、云台等）；</w:t>
            </w:r>
          </w:p>
          <w:p>
            <w:r>
              <w:rPr>
                <w:rFonts w:hint="eastAsia"/>
              </w:rPr>
              <w:t>7、支持设置报警风暴间隔、报警等级、是否保存、是否启用；</w:t>
            </w:r>
          </w:p>
          <w:p>
            <w:r>
              <w:rPr>
                <w:rFonts w:hint="eastAsia"/>
              </w:rPr>
              <w:t>8、支持平台上下级联，可查看下级平台的状态和级联网络拓扑结构，可进行数据推送控制；</w:t>
            </w:r>
          </w:p>
          <w:p>
            <w:r>
              <w:rPr>
                <w:rFonts w:hint="eastAsia"/>
              </w:rPr>
              <w:t>9、支持系统配置、学校/学期设置、节假日设置；</w:t>
            </w:r>
          </w:p>
          <w:p>
            <w:r>
              <w:rPr>
                <w:rFonts w:hint="eastAsia"/>
              </w:rPr>
              <w:t>10、支持教学管理，可进行教室管理、课表模板、科目管理、课程管理、课表管理；</w:t>
            </w:r>
          </w:p>
          <w:p>
            <w:r>
              <w:rPr>
                <w:rFonts w:hint="eastAsia"/>
              </w:rPr>
              <w:t>11、支持访客、消费、巡更、动环、可视对讲、客流等增值业务；</w:t>
            </w:r>
          </w:p>
          <w:p>
            <w:r>
              <w:rPr>
                <w:rFonts w:hint="eastAsia"/>
              </w:rPr>
              <w:t>12、支持课堂考勤、智慧评估、出入校管理、在线巡查、宿舍管理、资源互动等教育特色业务加载；</w:t>
            </w:r>
          </w:p>
          <w:p>
            <w:r>
              <w:rPr>
                <w:rFonts w:hint="eastAsia"/>
              </w:rPr>
              <w:t>13、支持人脸布控、人脸检测、人脸识别，支持以图搜图、人脸轨迹；</w:t>
            </w:r>
          </w:p>
          <w:p>
            <w:r>
              <w:rPr>
                <w:rFonts w:hint="eastAsia"/>
              </w:rPr>
              <w:t>14、支持门禁控制，授权下发等业务；</w:t>
            </w:r>
          </w:p>
          <w:p>
            <w:r>
              <w:rPr>
                <w:rFonts w:hint="eastAsia"/>
              </w:rPr>
              <w:t>15、支持停车场场区管理、地图向导、二维码、收缴费等业务，支持车辆进出记录、过车记录等查询；</w:t>
            </w:r>
          </w:p>
          <w:p>
            <w:r>
              <w:rPr>
                <w:rFonts w:hint="eastAsia"/>
              </w:rPr>
              <w:t>16、支持设备运维，对设备/通道/服务器进行资源监控，支持视频质量巡检、录像质量巡检；</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个</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1</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4</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视频通道路数授权</w:t>
            </w:r>
          </w:p>
        </w:tc>
        <w:tc>
          <w:tcPr>
            <w:tcW w:w="5527" w:type="dxa"/>
            <w:tcBorders>
              <w:top w:val="single" w:color="000000" w:sz="4" w:space="0"/>
              <w:left w:val="nil"/>
              <w:bottom w:val="single" w:color="000000" w:sz="4" w:space="0"/>
              <w:right w:val="single" w:color="000000" w:sz="4" w:space="0"/>
            </w:tcBorders>
            <w:shd w:val="clear" w:color="000000" w:fill="FFFFFF"/>
            <w:vAlign w:val="center"/>
          </w:tcPr>
          <w:p>
            <w:r>
              <w:rPr>
                <w:rFonts w:hint="eastAsia"/>
              </w:rPr>
              <w:t xml:space="preserve">功能参数：； </w:t>
            </w:r>
          </w:p>
          <w:p>
            <w:r>
              <w:rPr>
                <w:rFonts w:hint="eastAsia"/>
              </w:rPr>
              <w:t xml:space="preserve">1、支持实时预览，云台控制、录像回放、视频上墙等基础功能； </w:t>
            </w:r>
          </w:p>
          <w:p>
            <w:r>
              <w:rPr>
                <w:rFonts w:hint="eastAsia"/>
              </w:rPr>
              <w:t xml:space="preserve">2、支持flv/hls/rtmp协议拉流，提供给第三方调用； </w:t>
            </w:r>
          </w:p>
          <w:p>
            <w:r>
              <w:rPr>
                <w:rFonts w:hint="eastAsia"/>
              </w:rPr>
              <w:t xml:space="preserve">3、支持mac采集设备，能够将前端设备采集到的mac信息在客户端上展示； </w:t>
            </w:r>
          </w:p>
          <w:p>
            <w:r>
              <w:rPr>
                <w:rFonts w:hint="eastAsia"/>
              </w:rPr>
              <w:t xml:space="preserve">4、支持视频云存储直存节点，满足用户对视频云存储多种部署方式的要求； </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个</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10</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5</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门禁通道路数授权</w:t>
            </w:r>
          </w:p>
        </w:tc>
        <w:tc>
          <w:tcPr>
            <w:tcW w:w="5527" w:type="dxa"/>
            <w:tcBorders>
              <w:top w:val="nil"/>
              <w:left w:val="nil"/>
              <w:bottom w:val="single" w:color="000000" w:sz="4" w:space="0"/>
              <w:right w:val="single" w:color="000000" w:sz="4" w:space="0"/>
            </w:tcBorders>
            <w:shd w:val="clear" w:color="000000" w:fill="FFFFFF"/>
            <w:vAlign w:val="center"/>
          </w:tcPr>
          <w:p>
            <w:r>
              <w:rPr>
                <w:rFonts w:hint="eastAsia"/>
              </w:rPr>
              <w:t xml:space="preserve">功能参数：； </w:t>
            </w:r>
          </w:p>
          <w:p>
            <w:r>
              <w:rPr>
                <w:rFonts w:hint="eastAsia"/>
              </w:rPr>
              <w:t xml:space="preserve">1、门禁权限设置，并支持进行权限的快速下发； </w:t>
            </w:r>
          </w:p>
          <w:p>
            <w:r>
              <w:rPr>
                <w:rFonts w:hint="eastAsia"/>
              </w:rPr>
              <w:t xml:space="preserve">2、门禁相关记录查询，显示过人记录、考勤记录、设备状态记录等； </w:t>
            </w:r>
          </w:p>
          <w:p>
            <w:r>
              <w:rPr>
                <w:rFonts w:hint="eastAsia"/>
              </w:rPr>
              <w:t xml:space="preserve">3、支持门禁报警，联动视频、抓图、录像、上墙、短信、邮件、广播等功能； </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个</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20</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6</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出入口车道数量授权</w:t>
            </w:r>
          </w:p>
        </w:tc>
        <w:tc>
          <w:tcPr>
            <w:tcW w:w="5527" w:type="dxa"/>
            <w:tcBorders>
              <w:top w:val="nil"/>
              <w:left w:val="nil"/>
              <w:bottom w:val="single" w:color="000000" w:sz="4" w:space="0"/>
              <w:right w:val="single" w:color="000000" w:sz="4" w:space="0"/>
            </w:tcBorders>
            <w:shd w:val="clear" w:color="000000" w:fill="FFFFFF"/>
            <w:vAlign w:val="center"/>
          </w:tcPr>
          <w:p>
            <w:r>
              <w:rPr>
                <w:rFonts w:hint="eastAsia"/>
              </w:rPr>
              <w:t xml:space="preserve">功能参数； </w:t>
            </w:r>
          </w:p>
          <w:p>
            <w:r>
              <w:rPr>
                <w:rFonts w:hint="eastAsia"/>
              </w:rPr>
              <w:t xml:space="preserve">1、支持室内停车诱导，反向寻车； </w:t>
            </w:r>
          </w:p>
          <w:p>
            <w:r>
              <w:rPr>
                <w:rFonts w:hint="eastAsia"/>
              </w:rPr>
              <w:t xml:space="preserve">2、支持按次、按日、按时长、按时段、按组合的收费，包括节假日或者周末的不同收费方式；  </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个</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3</w:t>
            </w:r>
          </w:p>
        </w:tc>
      </w:tr>
      <w:tr>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7</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防疫三码联查对接调试服务费</w:t>
            </w:r>
          </w:p>
        </w:tc>
        <w:tc>
          <w:tcPr>
            <w:tcW w:w="5527" w:type="dxa"/>
            <w:tcBorders>
              <w:top w:val="nil"/>
              <w:left w:val="nil"/>
              <w:bottom w:val="single" w:color="000000" w:sz="4" w:space="0"/>
              <w:right w:val="single" w:color="000000" w:sz="4" w:space="0"/>
            </w:tcBorders>
            <w:shd w:val="clear" w:color="000000" w:fill="FFFFFF"/>
            <w:vAlign w:val="center"/>
          </w:tcPr>
          <w:p>
            <w:pPr>
              <w:pStyle w:val="86"/>
              <w:numPr>
                <w:ilvl w:val="0"/>
                <w:numId w:val="3"/>
              </w:numPr>
              <w:ind w:firstLineChars="0"/>
            </w:pPr>
            <w:r>
              <w:rPr>
                <w:rFonts w:hint="eastAsia"/>
              </w:rPr>
              <w:t>防疫三码联查对接调试服务。</w:t>
            </w:r>
          </w:p>
          <w:p>
            <w:pPr>
              <w:pStyle w:val="86"/>
              <w:numPr>
                <w:ilvl w:val="0"/>
                <w:numId w:val="3"/>
              </w:numPr>
              <w:ind w:firstLineChars="0"/>
            </w:pPr>
            <w:r>
              <w:rPr>
                <w:rFonts w:hint="eastAsia"/>
              </w:rPr>
              <w:t>实现</w:t>
            </w:r>
            <w:r>
              <w:t>与新冠疫情</w:t>
            </w:r>
            <w:r>
              <w:rPr>
                <w:rFonts w:hint="eastAsia"/>
              </w:rPr>
              <w:t>防控</w:t>
            </w:r>
            <w:r>
              <w:t>相关</w:t>
            </w:r>
            <w:r>
              <w:rPr>
                <w:rFonts w:hint="eastAsia"/>
              </w:rPr>
              <w:t>数据</w:t>
            </w:r>
            <w:r>
              <w:t>平台</w:t>
            </w:r>
            <w:r>
              <w:rPr>
                <w:rFonts w:hint="eastAsia"/>
              </w:rPr>
              <w:t>无缝</w:t>
            </w:r>
            <w:r>
              <w:t>对接，获取进出人员的三码信息</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台</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8</w:t>
            </w:r>
          </w:p>
        </w:tc>
      </w:tr>
      <w:tr>
        <w:tblPrEx>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8</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存储服务器</w:t>
            </w:r>
          </w:p>
        </w:tc>
        <w:tc>
          <w:tcPr>
            <w:tcW w:w="5527" w:type="dxa"/>
            <w:tcBorders>
              <w:top w:val="nil"/>
              <w:left w:val="nil"/>
              <w:bottom w:val="single" w:color="000000" w:sz="4" w:space="0"/>
              <w:right w:val="single" w:color="000000" w:sz="4" w:space="0"/>
            </w:tcBorders>
            <w:shd w:val="clear" w:color="000000" w:fill="FFFFFF"/>
            <w:vAlign w:val="center"/>
          </w:tcPr>
          <w:p>
            <w:r>
              <w:rPr>
                <w:rFonts w:hint="eastAsia"/>
              </w:rPr>
              <w:t>1.嵌入式Linux操作系统；</w:t>
            </w:r>
          </w:p>
          <w:p>
            <w:r>
              <w:rPr>
                <w:rFonts w:hint="eastAsia"/>
              </w:rPr>
              <w:t>2.64位高性能多核处理器；</w:t>
            </w:r>
          </w:p>
          <w:p>
            <w:r>
              <w:rPr>
                <w:rFonts w:hint="eastAsia"/>
              </w:rPr>
              <w:t>3.单控制器；</w:t>
            </w:r>
          </w:p>
          <w:p>
            <w:r>
              <w:rPr>
                <w:rFonts w:hint="eastAsia"/>
              </w:rPr>
              <w:t>4.高速缓存≥ 8GB，可扩展至64GB；</w:t>
            </w:r>
          </w:p>
          <w:p>
            <w:r>
              <w:rPr>
                <w:rFonts w:hint="eastAsia"/>
              </w:rPr>
              <w:t>5.网络接口≥4个RJ-45，10/100/1000Mbps自适应以太网口（千兆电口）1个RJ-45，10/100Mbps自适应以太网口（百兆电口）；</w:t>
            </w:r>
          </w:p>
          <w:p>
            <w:r>
              <w:rPr>
                <w:rFonts w:hint="eastAsia"/>
              </w:rPr>
              <w:t>6.视频直存≥320路（800Mbps）接入，320路（800Mbps） 存储，320路（800Mbps） 转发，32路（64Mbps）网络回放；</w:t>
            </w:r>
          </w:p>
          <w:p>
            <w:r>
              <w:rPr>
                <w:rFonts w:hint="eastAsia"/>
              </w:rPr>
              <w:t>7.硬盘接口≥24个，SATA，单盘容量支持1~18TB，支持热插拔，支持CMR，支持企业盘</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台</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1</w:t>
            </w:r>
          </w:p>
        </w:tc>
      </w:tr>
      <w:tr>
        <w:tblPrEx>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9</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企业级硬盘</w:t>
            </w:r>
          </w:p>
        </w:tc>
        <w:tc>
          <w:tcPr>
            <w:tcW w:w="5527" w:type="dxa"/>
            <w:tcBorders>
              <w:top w:val="nil"/>
              <w:left w:val="nil"/>
              <w:bottom w:val="single" w:color="000000" w:sz="4" w:space="0"/>
              <w:right w:val="single" w:color="000000" w:sz="4" w:space="0"/>
            </w:tcBorders>
            <w:shd w:val="clear" w:color="000000" w:fill="FFFFFF"/>
            <w:vAlign w:val="center"/>
          </w:tcPr>
          <w:p>
            <w:r>
              <w:rPr>
                <w:rFonts w:hint="eastAsia"/>
              </w:rPr>
              <w:t>单硬盘容量：≥ 6TB；</w:t>
            </w:r>
          </w:p>
          <w:p>
            <w:r>
              <w:rPr>
                <w:rFonts w:hint="eastAsia"/>
              </w:rPr>
              <w:t>硬盘转速：≥7200RPM；</w:t>
            </w:r>
          </w:p>
          <w:p>
            <w:r>
              <w:rPr>
                <w:rFonts w:hint="eastAsia"/>
              </w:rPr>
              <w:t>硬盘缓存：≥ 256MB；</w:t>
            </w:r>
          </w:p>
          <w:p>
            <w:r>
              <w:rPr>
                <w:rFonts w:hint="eastAsia"/>
              </w:rPr>
              <w:t>硬盘接口：SATA；</w:t>
            </w:r>
          </w:p>
          <w:p>
            <w:r>
              <w:rPr>
                <w:rFonts w:hint="eastAsia"/>
              </w:rPr>
              <w:t>硬盘磁记录：CMR</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块</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24</w:t>
            </w:r>
          </w:p>
        </w:tc>
      </w:tr>
      <w:tr>
        <w:tblPrEx>
          <w:tblCellMar>
            <w:top w:w="0" w:type="dxa"/>
            <w:left w:w="108" w:type="dxa"/>
            <w:bottom w:w="0" w:type="dxa"/>
            <w:right w:w="108" w:type="dxa"/>
          </w:tblCellMar>
        </w:tblPrEx>
        <w:trPr>
          <w:trHeight w:val="78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r>
              <w:rPr>
                <w:rFonts w:hint="eastAsia"/>
              </w:rPr>
              <w:t>10</w:t>
            </w:r>
          </w:p>
        </w:tc>
        <w:tc>
          <w:tcPr>
            <w:tcW w:w="2016" w:type="dxa"/>
            <w:tcBorders>
              <w:top w:val="nil"/>
              <w:left w:val="nil"/>
              <w:bottom w:val="single" w:color="000000" w:sz="4" w:space="0"/>
              <w:right w:val="single" w:color="000000" w:sz="4" w:space="0"/>
            </w:tcBorders>
            <w:shd w:val="clear" w:color="000000" w:fill="FFFFFF"/>
            <w:vAlign w:val="center"/>
          </w:tcPr>
          <w:p>
            <w:r>
              <w:rPr>
                <w:rFonts w:hint="eastAsia"/>
              </w:rPr>
              <w:t>智慧校园综合管理平台扩展</w:t>
            </w:r>
            <w:r>
              <w:t>功能</w:t>
            </w:r>
            <w:r>
              <w:rPr>
                <w:rFonts w:hint="eastAsia"/>
              </w:rPr>
              <w:t>定制开发</w:t>
            </w:r>
          </w:p>
        </w:tc>
        <w:tc>
          <w:tcPr>
            <w:tcW w:w="5527" w:type="dxa"/>
            <w:tcBorders>
              <w:top w:val="nil"/>
              <w:left w:val="nil"/>
              <w:bottom w:val="single" w:color="000000" w:sz="4" w:space="0"/>
              <w:right w:val="single" w:color="000000" w:sz="4" w:space="0"/>
            </w:tcBorders>
            <w:shd w:val="clear" w:color="000000" w:fill="FFFFFF"/>
            <w:vAlign w:val="center"/>
          </w:tcPr>
          <w:p>
            <w:r>
              <w:rPr>
                <w:rFonts w:hint="eastAsia"/>
              </w:rPr>
              <w:t>1、</w:t>
            </w:r>
            <w:r>
              <w:t>与</w:t>
            </w:r>
            <w:r>
              <w:rPr>
                <w:rFonts w:hint="eastAsia"/>
              </w:rPr>
              <w:t>新冠</w:t>
            </w:r>
            <w:r>
              <w:t>疫情防控相关平台</w:t>
            </w:r>
            <w:r>
              <w:rPr>
                <w:rFonts w:hint="eastAsia"/>
              </w:rPr>
              <w:t>的</w:t>
            </w:r>
            <w:r>
              <w:t>数据对接，</w:t>
            </w:r>
            <w:r>
              <w:rPr>
                <w:rFonts w:hint="eastAsia"/>
              </w:rPr>
              <w:t>实现访客的三码（广西健康</w:t>
            </w:r>
            <w:r>
              <w:t>码、</w:t>
            </w:r>
            <w:r>
              <w:rPr>
                <w:rFonts w:hint="eastAsia"/>
              </w:rPr>
              <w:t>行程</w:t>
            </w:r>
            <w:r>
              <w:t>码、</w:t>
            </w:r>
            <w:r>
              <w:rPr>
                <w:rFonts w:hint="eastAsia"/>
              </w:rPr>
              <w:t>广西</w:t>
            </w:r>
            <w:r>
              <w:t>疫苗接种</w:t>
            </w:r>
            <w:r>
              <w:rPr>
                <w:rFonts w:hint="eastAsia"/>
              </w:rPr>
              <w:t>记录）联查，</w:t>
            </w:r>
            <w:r>
              <w:t>数据来源</w:t>
            </w:r>
            <w:r>
              <w:rPr>
                <w:rFonts w:hint="eastAsia"/>
              </w:rPr>
              <w:t>必须</w:t>
            </w:r>
            <w:r>
              <w:t>来自权威的国家政务服务平台（</w:t>
            </w:r>
            <w:r>
              <w:rPr>
                <w:rFonts w:hint="eastAsia"/>
              </w:rPr>
              <w:t>广西</w:t>
            </w:r>
            <w:r>
              <w:t>壮族自治区）</w:t>
            </w:r>
            <w:r>
              <w:rPr>
                <w:rFonts w:hint="eastAsia"/>
              </w:rPr>
              <w:t>；</w:t>
            </w:r>
          </w:p>
          <w:p>
            <w:r>
              <w:rPr>
                <w:rFonts w:hint="eastAsia"/>
              </w:rPr>
              <w:t>2、管理员</w:t>
            </w:r>
            <w:r>
              <w:t>可通过</w:t>
            </w:r>
            <w:r>
              <w:rPr>
                <w:rFonts w:hint="eastAsia"/>
              </w:rPr>
              <w:t>APP查看访客</w:t>
            </w:r>
            <w:r>
              <w:t>登记的车辆</w:t>
            </w:r>
            <w:r>
              <w:rPr>
                <w:rFonts w:hint="eastAsia"/>
              </w:rPr>
              <w:t>信息；</w:t>
            </w:r>
          </w:p>
          <w:p>
            <w:r>
              <w:rPr>
                <w:rFonts w:hint="eastAsia"/>
              </w:rPr>
              <w:t>3、功能测试。</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人/天</w:t>
            </w:r>
          </w:p>
        </w:tc>
        <w:tc>
          <w:tcPr>
            <w:tcW w:w="0" w:type="auto"/>
            <w:tcBorders>
              <w:top w:val="nil"/>
              <w:left w:val="nil"/>
              <w:bottom w:val="single" w:color="000000" w:sz="4" w:space="0"/>
              <w:right w:val="single" w:color="000000" w:sz="4" w:space="0"/>
            </w:tcBorders>
            <w:shd w:val="clear" w:color="000000" w:fill="FFFFFF"/>
            <w:vAlign w:val="center"/>
          </w:tcPr>
          <w:p>
            <w:r>
              <w:rPr>
                <w:rFonts w:hint="eastAsia"/>
              </w:rPr>
              <w:t>30</w:t>
            </w:r>
          </w:p>
        </w:tc>
      </w:tr>
    </w:tbl>
    <w:p>
      <w:pPr>
        <w:pStyle w:val="2"/>
      </w:pPr>
    </w:p>
    <w:p>
      <w:pPr>
        <w:spacing w:before="312" w:beforeLines="100" w:line="400" w:lineRule="exact"/>
        <w:rPr>
          <w:rFonts w:ascii="宋体" w:hAnsi="宋体" w:cs="宋体"/>
          <w:b/>
          <w:bCs/>
          <w:color w:val="000000"/>
          <w:sz w:val="28"/>
          <w:szCs w:val="28"/>
        </w:rPr>
      </w:pPr>
      <w:r>
        <w:rPr>
          <w:rFonts w:hint="eastAsia" w:ascii="宋体" w:hAnsi="宋体" w:cs="宋体"/>
          <w:b/>
          <w:bCs/>
          <w:color w:val="000000"/>
          <w:sz w:val="28"/>
          <w:szCs w:val="28"/>
        </w:rPr>
        <w:t>三、商务要求：</w:t>
      </w:r>
    </w:p>
    <w:p>
      <w:pPr>
        <w:spacing w:line="360" w:lineRule="auto"/>
      </w:pPr>
      <w:r>
        <w:rPr>
          <w:rFonts w:hint="eastAsia"/>
        </w:rPr>
        <w:t>1、合同签订期：自中标通知书发出之日起 15日历天内。</w:t>
      </w:r>
    </w:p>
    <w:p>
      <w:pPr>
        <w:spacing w:line="360" w:lineRule="auto"/>
      </w:pPr>
      <w:r>
        <w:rPr>
          <w:rFonts w:hint="eastAsia"/>
        </w:rPr>
        <w:t xml:space="preserve">2、交付使用时间：成交公告结束后，5个日历天内中标供应商须完成合同书签订所需的所有材料（含中标供应商合同书的盖章、签字等）交予客户，签订合同后30个日历天内必须全部供完货物， 否则采购人有权取消合同。 </w:t>
      </w:r>
    </w:p>
    <w:p>
      <w:pPr>
        <w:spacing w:line="360" w:lineRule="auto"/>
      </w:pPr>
      <w:r>
        <w:rPr>
          <w:rFonts w:hint="eastAsia"/>
        </w:rPr>
        <w:t>3、交货地点：采购人指定地点。</w:t>
      </w:r>
    </w:p>
    <w:p>
      <w:pPr>
        <w:spacing w:line="360" w:lineRule="auto"/>
      </w:pPr>
      <w:r>
        <w:rPr>
          <w:rFonts w:hint="eastAsia"/>
        </w:rPr>
        <w:t>4、交货方式：本次采购货物必须是供货商免费送货上门提供安装培训调试，交货地点为客户指定地点，不接受物流快递发货以及电话指导安装，否则采购人有权取消合同。</w:t>
      </w:r>
    </w:p>
    <w:p>
      <w:pPr>
        <w:spacing w:line="360" w:lineRule="auto"/>
      </w:pPr>
      <w:r>
        <w:rPr>
          <w:rFonts w:hint="eastAsia"/>
        </w:rPr>
        <w:t>5、投标供应商必须实质性能够满足参数要求，避免假冒伪劣产品；对不能满足参数要求，或者无法正常交货影响业主使用的，可作为废标处理，并按规定对投标公司予以处罚和进行网上通报处理。</w:t>
      </w:r>
    </w:p>
    <w:p>
      <w:pPr>
        <w:spacing w:line="360" w:lineRule="auto"/>
      </w:pPr>
      <w:r>
        <w:rPr>
          <w:rFonts w:hint="eastAsia"/>
        </w:rPr>
        <w:t>6、付款时间和方式：合同签订3个工作日由成交供应商按合同金额的2%向采购人支付履约保证金，采购人向成交供应商支付合同金额的30%作为预付款，待项目验收履约完成并验收合格后支付合同尾款。中标人必须按照采购人要求提供真实、有效、合法的正式发票。一旦发现中标人提供虚假发票，除须向采购人补开合法发票外，须赔偿采购人发票票面金额一倍的违约金，且采购人有权终止合同，供应商不得提出异议，因终止合同而产生的一切损失均由供应商承担。</w:t>
      </w:r>
    </w:p>
    <w:p>
      <w:pPr>
        <w:spacing w:line="360" w:lineRule="auto"/>
      </w:pPr>
      <w:r>
        <w:rPr>
          <w:rFonts w:hint="eastAsia"/>
        </w:rPr>
        <w:t xml:space="preserve"> 7、质量保证期：自交货并验收合格之日起，提供一年内所有设备免费维护。</w:t>
      </w:r>
    </w:p>
    <w:p>
      <w:pPr>
        <w:spacing w:line="360" w:lineRule="auto"/>
      </w:pPr>
      <w:r>
        <w:rPr>
          <w:rFonts w:hint="eastAsia"/>
        </w:rPr>
        <w:t xml:space="preserve"> 8、验收时，采购方将严格按照采购文件要求进行验收，其中智慧校园综合管理平台必须无缝</w:t>
      </w:r>
      <w:r>
        <w:t>对接</w:t>
      </w:r>
      <w:r>
        <w:rPr>
          <w:rFonts w:hint="eastAsia"/>
        </w:rPr>
        <w:t>广西</w:t>
      </w:r>
      <w:r>
        <w:t>新冠疫情</w:t>
      </w:r>
      <w:r>
        <w:rPr>
          <w:rFonts w:hint="eastAsia"/>
        </w:rPr>
        <w:t>防控</w:t>
      </w:r>
      <w:r>
        <w:t>相关</w:t>
      </w:r>
      <w:r>
        <w:rPr>
          <w:rFonts w:hint="eastAsia"/>
        </w:rPr>
        <w:t>数据的</w:t>
      </w:r>
      <w:r>
        <w:t>权威平台实现访客三码联查功能</w:t>
      </w:r>
      <w:r>
        <w:rPr>
          <w:rFonts w:hint="eastAsia"/>
        </w:rPr>
        <w:t>。验收不合格的，按虚假应标处理，成交供应商需承担被采购人终止合同的一切风险和费用。</w:t>
      </w:r>
    </w:p>
    <w:p>
      <w:pPr>
        <w:spacing w:line="360" w:lineRule="auto"/>
      </w:pPr>
      <w:r>
        <w:rPr>
          <w:rFonts w:hint="eastAsia"/>
        </w:rPr>
        <w:t xml:space="preserve">9、考虑到售后服务方便，要求供应商承诺中标后建立本地化服务团队。当系统出现故障，供应商应在两小时内作出响应，软件平台可通过远程或派维护人到场等方式，及时进行处理，直至故障恢复。硬件问题需要一小时内响应，两小时内到达现场处理。如果有因质量问题而引起的损坏，供应商应对产品予以维修或更换，全部服务费和更换产品或配件的费用由供应商承担。 </w:t>
      </w:r>
    </w:p>
    <w:p>
      <w:pPr>
        <w:spacing w:line="360" w:lineRule="auto"/>
      </w:pPr>
      <w:r>
        <w:rPr>
          <w:rFonts w:hint="eastAsia"/>
        </w:rPr>
        <w:t>10、其他要求：报价必须包含所有设备、随配附件、备品备件、运输、工具、报装、安装、调试、各种附材、附加培训、售后服务、税金及其他所有可能发生的一切费用。采购人不再支付任何费用。</w:t>
      </w:r>
    </w:p>
    <w:p>
      <w:pPr>
        <w:pStyle w:val="2"/>
      </w:pPr>
    </w:p>
    <w:p>
      <w:pPr>
        <w:pStyle w:val="3"/>
        <w:spacing w:line="560" w:lineRule="exact"/>
        <w:jc w:val="center"/>
        <w:rPr>
          <w:rFonts w:ascii="宋体" w:hAnsi="宋体" w:cs="宋体"/>
          <w:bCs/>
          <w:color w:val="000000"/>
          <w:sz w:val="44"/>
        </w:rPr>
      </w:pPr>
    </w:p>
    <w:p>
      <w:pPr>
        <w:pStyle w:val="3"/>
        <w:spacing w:line="560" w:lineRule="exact"/>
        <w:jc w:val="center"/>
        <w:rPr>
          <w:rFonts w:ascii="宋体" w:hAnsi="宋体" w:cs="宋体"/>
          <w:bCs/>
          <w:color w:val="000000"/>
          <w:sz w:val="44"/>
        </w:rPr>
      </w:pPr>
    </w:p>
    <w:p>
      <w:pPr>
        <w:pStyle w:val="3"/>
        <w:spacing w:line="560" w:lineRule="exact"/>
        <w:jc w:val="center"/>
        <w:rPr>
          <w:rFonts w:ascii="宋体" w:hAnsi="宋体" w:cs="宋体"/>
          <w:bCs/>
          <w:color w:val="000000"/>
          <w:sz w:val="44"/>
        </w:rPr>
      </w:pPr>
    </w:p>
    <w:p>
      <w:pPr>
        <w:rPr>
          <w:rFonts w:ascii="宋体" w:hAnsi="宋体" w:cs="宋体"/>
          <w:bCs/>
          <w:color w:val="000000"/>
          <w:sz w:val="44"/>
        </w:rPr>
      </w:pPr>
    </w:p>
    <w:p>
      <w:pPr>
        <w:pStyle w:val="2"/>
      </w:pPr>
    </w:p>
    <w:p>
      <w:pPr>
        <w:pStyle w:val="3"/>
        <w:spacing w:line="560" w:lineRule="exact"/>
        <w:jc w:val="center"/>
        <w:rPr>
          <w:rFonts w:ascii="宋体" w:hAnsi="宋体" w:cs="宋体"/>
          <w:bCs/>
          <w:color w:val="000000"/>
          <w:sz w:val="44"/>
        </w:rPr>
      </w:pPr>
      <w:r>
        <w:rPr>
          <w:rFonts w:hint="eastAsia" w:ascii="宋体" w:hAnsi="宋体" w:cs="宋体"/>
          <w:bCs/>
          <w:color w:val="000000"/>
          <w:sz w:val="44"/>
        </w:rPr>
        <w:t>第四章   政府采购合同书（格式）</w:t>
      </w:r>
    </w:p>
    <w:p>
      <w:pPr>
        <w:pStyle w:val="13"/>
        <w:spacing w:line="400" w:lineRule="exact"/>
        <w:ind w:firstLine="4" w:firstLineChars="2"/>
        <w:rPr>
          <w:rFonts w:hAnsi="宋体" w:cs="宋体"/>
          <w:b/>
          <w:bCs/>
          <w:color w:val="000000"/>
        </w:rPr>
      </w:pPr>
    </w:p>
    <w:p>
      <w:pPr>
        <w:pStyle w:val="13"/>
        <w:spacing w:line="400" w:lineRule="exact"/>
        <w:ind w:firstLine="4" w:firstLineChars="2"/>
        <w:jc w:val="center"/>
        <w:rPr>
          <w:rFonts w:hAnsi="宋体" w:cs="宋体"/>
          <w:b/>
          <w:bCs/>
          <w:color w:val="000000"/>
          <w:szCs w:val="21"/>
        </w:rPr>
      </w:pPr>
      <w:r>
        <w:rPr>
          <w:rFonts w:hint="eastAsia" w:hAnsi="宋体" w:cs="宋体"/>
          <w:b/>
          <w:bCs/>
          <w:color w:val="000000"/>
          <w:szCs w:val="21"/>
        </w:rPr>
        <w:cr/>
      </w:r>
      <w:r>
        <w:rPr>
          <w:rFonts w:hint="eastAsia" w:hAnsi="宋体" w:cs="宋体"/>
          <w:b/>
          <w:bCs/>
          <w:color w:val="000000"/>
          <w:szCs w:val="21"/>
        </w:rPr>
        <w:t>（注：本合同样本仅供参考，具体内容由采购人和成交供应商协商确定，但补充和修改不得造成与本章格式内容有实质性的违背。）</w:t>
      </w:r>
    </w:p>
    <w:p>
      <w:pPr>
        <w:snapToGrid w:val="0"/>
        <w:spacing w:before="120" w:after="120" w:line="360" w:lineRule="auto"/>
        <w:jc w:val="center"/>
        <w:outlineLvl w:val="0"/>
        <w:rPr>
          <w:rFonts w:ascii="宋体" w:hAnsi="宋体" w:cs="宋体"/>
          <w:b/>
          <w:color w:val="000000"/>
          <w:sz w:val="32"/>
        </w:rPr>
      </w:pPr>
    </w:p>
    <w:p>
      <w:pPr>
        <w:snapToGrid w:val="0"/>
        <w:spacing w:before="120" w:after="120" w:line="360" w:lineRule="auto"/>
        <w:jc w:val="center"/>
        <w:outlineLvl w:val="0"/>
        <w:rPr>
          <w:rFonts w:ascii="宋体" w:hAnsi="宋体" w:cs="宋体"/>
          <w:color w:val="000000"/>
          <w:sz w:val="52"/>
          <w:szCs w:val="52"/>
        </w:rPr>
      </w:pPr>
    </w:p>
    <w:p>
      <w:pPr>
        <w:pStyle w:val="2"/>
        <w:rPr>
          <w:rFonts w:hAnsi="宋体"/>
          <w:sz w:val="52"/>
          <w:szCs w:val="52"/>
        </w:rPr>
      </w:pPr>
    </w:p>
    <w:p>
      <w:pPr>
        <w:pStyle w:val="2"/>
        <w:rPr>
          <w:rFonts w:hAnsi="宋体"/>
          <w:sz w:val="52"/>
          <w:szCs w:val="52"/>
        </w:rPr>
      </w:pPr>
    </w:p>
    <w:p>
      <w:pPr>
        <w:pStyle w:val="2"/>
        <w:rPr>
          <w:rFonts w:hAnsi="宋体"/>
          <w:sz w:val="52"/>
          <w:szCs w:val="52"/>
        </w:rPr>
      </w:pPr>
    </w:p>
    <w:p>
      <w:pPr>
        <w:pStyle w:val="2"/>
        <w:rPr>
          <w:rFonts w:hAnsi="宋体"/>
          <w:sz w:val="52"/>
          <w:szCs w:val="52"/>
        </w:rPr>
      </w:pPr>
    </w:p>
    <w:p>
      <w:pPr>
        <w:snapToGrid w:val="0"/>
        <w:spacing w:before="120" w:after="120" w:line="360" w:lineRule="auto"/>
        <w:jc w:val="both"/>
        <w:outlineLvl w:val="0"/>
        <w:rPr>
          <w:rFonts w:ascii="宋体" w:hAnsi="宋体" w:cs="宋体"/>
          <w:color w:val="000000"/>
          <w:sz w:val="52"/>
          <w:szCs w:val="52"/>
        </w:rPr>
      </w:pPr>
    </w:p>
    <w:p>
      <w:pPr>
        <w:snapToGrid w:val="0"/>
        <w:spacing w:before="120" w:after="120" w:line="360" w:lineRule="auto"/>
        <w:jc w:val="center"/>
        <w:outlineLvl w:val="0"/>
        <w:rPr>
          <w:rFonts w:ascii="宋体" w:hAnsi="宋体" w:cs="宋体"/>
          <w:color w:val="000000"/>
          <w:sz w:val="52"/>
          <w:szCs w:val="52"/>
        </w:rPr>
      </w:pPr>
      <w:r>
        <w:rPr>
          <w:rFonts w:hint="eastAsia" w:ascii="宋体" w:hAnsi="宋体" w:cs="宋体"/>
          <w:color w:val="000000"/>
          <w:sz w:val="52"/>
          <w:szCs w:val="52"/>
        </w:rPr>
        <w:t>合同</w:t>
      </w:r>
    </w:p>
    <w:p>
      <w:pPr>
        <w:snapToGrid w:val="0"/>
        <w:spacing w:before="120" w:after="120" w:line="360" w:lineRule="auto"/>
        <w:jc w:val="center"/>
        <w:outlineLvl w:val="0"/>
        <w:rPr>
          <w:rFonts w:ascii="宋体" w:hAnsi="宋体" w:cs="宋体"/>
          <w:color w:val="000000"/>
          <w:sz w:val="32"/>
          <w:szCs w:val="32"/>
        </w:rPr>
      </w:pPr>
    </w:p>
    <w:p>
      <w:pPr>
        <w:snapToGrid w:val="0"/>
        <w:spacing w:before="120" w:after="120" w:line="360" w:lineRule="auto"/>
        <w:jc w:val="left"/>
        <w:outlineLvl w:val="0"/>
        <w:rPr>
          <w:rFonts w:ascii="宋体" w:hAnsi="宋体" w:cs="宋体"/>
          <w:color w:val="000000"/>
          <w:sz w:val="32"/>
          <w:szCs w:val="32"/>
        </w:rPr>
      </w:pPr>
      <w:r>
        <w:rPr>
          <w:rFonts w:hint="eastAsia" w:ascii="宋体" w:hAnsi="宋体" w:cs="宋体"/>
          <w:color w:val="000000"/>
          <w:sz w:val="32"/>
          <w:szCs w:val="32"/>
        </w:rPr>
        <w:t>项目编号：</w:t>
      </w:r>
    </w:p>
    <w:p>
      <w:pPr>
        <w:snapToGrid w:val="0"/>
        <w:spacing w:before="120" w:after="120" w:line="360" w:lineRule="auto"/>
        <w:jc w:val="left"/>
        <w:outlineLvl w:val="0"/>
        <w:rPr>
          <w:rFonts w:ascii="宋体" w:hAnsi="宋体" w:cs="宋体"/>
          <w:color w:val="000000"/>
          <w:sz w:val="32"/>
          <w:szCs w:val="32"/>
        </w:rPr>
      </w:pPr>
      <w:r>
        <w:rPr>
          <w:rFonts w:hint="eastAsia" w:ascii="宋体" w:hAnsi="宋体" w:cs="宋体"/>
          <w:color w:val="000000"/>
          <w:sz w:val="32"/>
          <w:szCs w:val="32"/>
        </w:rPr>
        <w:t>项目名称：</w:t>
      </w:r>
    </w:p>
    <w:p>
      <w:pPr>
        <w:snapToGrid w:val="0"/>
        <w:spacing w:before="120" w:after="120" w:line="360" w:lineRule="auto"/>
        <w:jc w:val="center"/>
        <w:outlineLvl w:val="0"/>
        <w:rPr>
          <w:rFonts w:ascii="宋体" w:hAnsi="宋体" w:cs="宋体"/>
          <w:color w:val="000000"/>
          <w:sz w:val="32"/>
          <w:szCs w:val="32"/>
        </w:rPr>
      </w:pPr>
    </w:p>
    <w:p>
      <w:pPr>
        <w:snapToGrid w:val="0"/>
        <w:spacing w:before="120" w:after="120" w:line="360" w:lineRule="auto"/>
        <w:jc w:val="center"/>
        <w:outlineLvl w:val="0"/>
        <w:rPr>
          <w:rFonts w:ascii="宋体" w:hAnsi="宋体" w:cs="宋体"/>
          <w:color w:val="000000"/>
          <w:sz w:val="32"/>
          <w:szCs w:val="32"/>
        </w:rPr>
      </w:pPr>
    </w:p>
    <w:p>
      <w:pPr>
        <w:snapToGrid w:val="0"/>
        <w:spacing w:before="120" w:after="120" w:line="320" w:lineRule="exact"/>
        <w:jc w:val="center"/>
        <w:outlineLvl w:val="0"/>
        <w:rPr>
          <w:rFonts w:ascii="宋体" w:hAnsi="宋体" w:cs="宋体"/>
          <w:color w:val="000000"/>
          <w:sz w:val="32"/>
          <w:szCs w:val="32"/>
        </w:rPr>
      </w:pPr>
    </w:p>
    <w:p>
      <w:pPr>
        <w:snapToGrid w:val="0"/>
        <w:spacing w:before="120" w:after="120" w:line="320" w:lineRule="exact"/>
        <w:jc w:val="center"/>
        <w:outlineLvl w:val="0"/>
        <w:rPr>
          <w:rFonts w:ascii="宋体" w:hAnsi="宋体" w:cs="宋体"/>
          <w:color w:val="000000"/>
          <w:sz w:val="32"/>
          <w:szCs w:val="32"/>
        </w:rPr>
      </w:pPr>
    </w:p>
    <w:p>
      <w:pPr>
        <w:snapToGrid w:val="0"/>
        <w:spacing w:before="120" w:after="120" w:line="320" w:lineRule="exact"/>
        <w:jc w:val="center"/>
        <w:outlineLvl w:val="0"/>
        <w:rPr>
          <w:rFonts w:ascii="宋体" w:hAnsi="宋体" w:cs="宋体"/>
          <w:color w:val="000000"/>
          <w:sz w:val="32"/>
          <w:szCs w:val="32"/>
        </w:rPr>
      </w:pPr>
    </w:p>
    <w:p>
      <w:pPr>
        <w:snapToGrid w:val="0"/>
        <w:spacing w:before="120" w:after="120" w:line="320" w:lineRule="exact"/>
        <w:jc w:val="center"/>
        <w:outlineLvl w:val="0"/>
        <w:rPr>
          <w:rFonts w:ascii="宋体" w:hAnsi="宋体" w:cs="宋体"/>
          <w:color w:val="000000"/>
          <w:sz w:val="32"/>
          <w:szCs w:val="32"/>
        </w:rPr>
      </w:pPr>
    </w:p>
    <w:p>
      <w:pPr>
        <w:snapToGrid w:val="0"/>
        <w:spacing w:before="120" w:after="120" w:line="320" w:lineRule="exact"/>
        <w:jc w:val="center"/>
        <w:outlineLvl w:val="0"/>
        <w:rPr>
          <w:rFonts w:ascii="宋体" w:hAnsi="宋体" w:cs="宋体"/>
          <w:color w:val="000000"/>
          <w:sz w:val="32"/>
          <w:szCs w:val="32"/>
        </w:rPr>
      </w:pPr>
    </w:p>
    <w:p>
      <w:pPr>
        <w:snapToGrid w:val="0"/>
        <w:spacing w:before="120" w:after="120" w:line="320" w:lineRule="exact"/>
        <w:jc w:val="center"/>
        <w:outlineLvl w:val="0"/>
        <w:rPr>
          <w:rFonts w:ascii="宋体" w:hAnsi="宋体" w:cs="宋体"/>
          <w:color w:val="000000"/>
          <w:sz w:val="32"/>
          <w:szCs w:val="32"/>
        </w:rPr>
      </w:pPr>
    </w:p>
    <w:p>
      <w:pPr>
        <w:snapToGrid w:val="0"/>
        <w:spacing w:before="120" w:after="120" w:line="320" w:lineRule="exact"/>
        <w:jc w:val="center"/>
        <w:outlineLvl w:val="0"/>
        <w:rPr>
          <w:rFonts w:ascii="宋体" w:hAnsi="宋体" w:cs="宋体"/>
          <w:color w:val="000000"/>
          <w:sz w:val="32"/>
          <w:szCs w:val="32"/>
        </w:rPr>
      </w:pPr>
    </w:p>
    <w:p>
      <w:pPr>
        <w:snapToGrid w:val="0"/>
        <w:spacing w:before="120" w:after="120"/>
        <w:outlineLvl w:val="0"/>
        <w:rPr>
          <w:rFonts w:ascii="宋体" w:hAnsi="宋体" w:cs="宋体"/>
          <w:color w:val="000000"/>
          <w:sz w:val="32"/>
          <w:szCs w:val="32"/>
        </w:rPr>
      </w:pPr>
      <w:r>
        <w:rPr>
          <w:rFonts w:hint="eastAsia" w:ascii="宋体" w:hAnsi="宋体" w:cs="宋体"/>
          <w:color w:val="000000"/>
          <w:sz w:val="32"/>
          <w:szCs w:val="32"/>
        </w:rPr>
        <w:br w:type="page"/>
      </w:r>
      <w:r>
        <w:rPr>
          <w:rFonts w:hint="eastAsia" w:ascii="宋体" w:hAnsi="宋体" w:cs="宋体"/>
          <w:color w:val="000000"/>
          <w:sz w:val="32"/>
          <w:szCs w:val="32"/>
        </w:rPr>
        <w:t>合同主要条款格式</w:t>
      </w:r>
    </w:p>
    <w:p>
      <w:pPr>
        <w:pStyle w:val="13"/>
        <w:jc w:val="center"/>
        <w:rPr>
          <w:rFonts w:hAnsi="宋体" w:cs="宋体"/>
          <w:sz w:val="28"/>
          <w:szCs w:val="28"/>
        </w:rPr>
      </w:pPr>
      <w:r>
        <w:rPr>
          <w:rFonts w:hint="eastAsia" w:hAnsi="宋体" w:cs="宋体"/>
          <w:sz w:val="28"/>
          <w:szCs w:val="28"/>
        </w:rPr>
        <w:t>梧州市政府采购合同</w:t>
      </w:r>
    </w:p>
    <w:p>
      <w:pPr>
        <w:pStyle w:val="13"/>
        <w:spacing w:line="560" w:lineRule="exact"/>
        <w:ind w:firstLine="420"/>
        <w:rPr>
          <w:rFonts w:hAnsi="宋体" w:cs="宋体"/>
          <w:sz w:val="28"/>
          <w:szCs w:val="28"/>
        </w:rPr>
      </w:pPr>
      <w:r>
        <w:rPr>
          <w:rFonts w:hint="eastAsia" w:hAnsi="宋体" w:cs="宋体"/>
          <w:sz w:val="28"/>
          <w:szCs w:val="28"/>
        </w:rPr>
        <w:t>合同名称：</w:t>
      </w:r>
      <w:r>
        <w:rPr>
          <w:rFonts w:hint="eastAsia" w:hAnsi="宋体" w:cs="宋体"/>
          <w:sz w:val="28"/>
          <w:szCs w:val="28"/>
          <w:u w:val="single"/>
        </w:rPr>
        <w:t xml:space="preserve">                      </w:t>
      </w:r>
      <w:r>
        <w:rPr>
          <w:rFonts w:hint="eastAsia" w:hAnsi="宋体" w:cs="宋体"/>
          <w:sz w:val="28"/>
          <w:szCs w:val="28"/>
        </w:rPr>
        <w:t xml:space="preserve">   </w:t>
      </w:r>
    </w:p>
    <w:p>
      <w:pPr>
        <w:pStyle w:val="13"/>
        <w:spacing w:line="560" w:lineRule="exact"/>
        <w:ind w:firstLine="420"/>
        <w:rPr>
          <w:rFonts w:hAnsi="宋体" w:cs="宋体"/>
          <w:sz w:val="28"/>
          <w:szCs w:val="28"/>
          <w:u w:val="single"/>
        </w:rPr>
      </w:pPr>
      <w:r>
        <w:rPr>
          <w:rFonts w:hint="eastAsia" w:hAnsi="宋体" w:cs="宋体"/>
          <w:sz w:val="28"/>
          <w:szCs w:val="28"/>
        </w:rPr>
        <w:t>合同编号：</w:t>
      </w:r>
      <w:r>
        <w:rPr>
          <w:rFonts w:hint="eastAsia" w:hAnsi="宋体" w:cs="宋体"/>
          <w:sz w:val="28"/>
          <w:szCs w:val="28"/>
          <w:u w:val="single"/>
        </w:rPr>
        <w:t xml:space="preserve">                      </w:t>
      </w:r>
    </w:p>
    <w:p>
      <w:pPr>
        <w:pStyle w:val="13"/>
        <w:spacing w:line="560" w:lineRule="exact"/>
        <w:ind w:firstLine="420"/>
        <w:rPr>
          <w:rFonts w:hAnsi="宋体" w:cs="宋体"/>
          <w:sz w:val="28"/>
          <w:szCs w:val="28"/>
        </w:rPr>
      </w:pPr>
      <w:r>
        <w:rPr>
          <w:rFonts w:hint="eastAsia" w:hAnsi="宋体" w:cs="宋体"/>
          <w:sz w:val="28"/>
          <w:szCs w:val="28"/>
        </w:rPr>
        <w:t>甲方：</w:t>
      </w:r>
      <w:r>
        <w:rPr>
          <w:rFonts w:hint="eastAsia" w:hAnsi="宋体" w:cs="宋体"/>
          <w:sz w:val="28"/>
          <w:szCs w:val="28"/>
          <w:u w:val="single"/>
        </w:rPr>
        <w:t xml:space="preserve">                        </w:t>
      </w:r>
      <w:r>
        <w:rPr>
          <w:rFonts w:hint="eastAsia" w:hAnsi="宋体" w:cs="宋体"/>
          <w:sz w:val="28"/>
          <w:szCs w:val="28"/>
        </w:rPr>
        <w:t>（采购人）</w:t>
      </w:r>
    </w:p>
    <w:p>
      <w:pPr>
        <w:pStyle w:val="13"/>
        <w:spacing w:line="560" w:lineRule="exact"/>
        <w:ind w:firstLine="420"/>
        <w:rPr>
          <w:rFonts w:hAnsi="宋体" w:cs="宋体"/>
          <w:sz w:val="28"/>
          <w:szCs w:val="28"/>
        </w:rPr>
      </w:pPr>
      <w:r>
        <w:rPr>
          <w:rFonts w:hint="eastAsia" w:hAnsi="宋体" w:cs="宋体"/>
          <w:sz w:val="28"/>
          <w:szCs w:val="28"/>
        </w:rPr>
        <w:t>乙方：</w:t>
      </w:r>
      <w:r>
        <w:rPr>
          <w:rFonts w:hint="eastAsia" w:hAnsi="宋体" w:cs="宋体"/>
          <w:sz w:val="28"/>
          <w:szCs w:val="28"/>
          <w:u w:val="single"/>
        </w:rPr>
        <w:t xml:space="preserve">                         </w:t>
      </w:r>
      <w:r>
        <w:rPr>
          <w:rFonts w:hint="eastAsia" w:hAnsi="宋体" w:cs="宋体"/>
          <w:sz w:val="28"/>
          <w:szCs w:val="28"/>
        </w:rPr>
        <w:t>（成交人）</w:t>
      </w:r>
    </w:p>
    <w:p>
      <w:pPr>
        <w:pStyle w:val="13"/>
        <w:spacing w:line="560" w:lineRule="exact"/>
        <w:ind w:firstLine="420"/>
        <w:rPr>
          <w:rFonts w:hAnsi="宋体" w:cs="宋体"/>
          <w:sz w:val="28"/>
          <w:szCs w:val="28"/>
        </w:rPr>
      </w:pPr>
    </w:p>
    <w:p>
      <w:pPr>
        <w:pStyle w:val="13"/>
        <w:spacing w:line="560" w:lineRule="exact"/>
        <w:ind w:firstLine="420"/>
        <w:rPr>
          <w:rFonts w:hAnsi="宋体" w:cs="宋体"/>
          <w:sz w:val="28"/>
          <w:szCs w:val="28"/>
        </w:rPr>
      </w:pPr>
      <w:r>
        <w:rPr>
          <w:rFonts w:hint="eastAsia" w:hAnsi="宋体" w:cs="宋体"/>
          <w:sz w:val="28"/>
          <w:szCs w:val="28"/>
        </w:rPr>
        <w:t>甲乙双方同意按下述条款和条件签署本合同书（以下简称合同）：</w:t>
      </w:r>
    </w:p>
    <w:p>
      <w:pPr>
        <w:pStyle w:val="13"/>
        <w:spacing w:line="560" w:lineRule="exact"/>
        <w:ind w:firstLine="420"/>
        <w:rPr>
          <w:rFonts w:hAnsi="宋体" w:cs="宋体"/>
          <w:bCs/>
          <w:sz w:val="28"/>
          <w:szCs w:val="28"/>
        </w:rPr>
      </w:pPr>
      <w:r>
        <w:rPr>
          <w:rFonts w:hint="eastAsia" w:hAnsi="宋体" w:cs="宋体"/>
          <w:bCs/>
          <w:sz w:val="28"/>
          <w:szCs w:val="28"/>
        </w:rPr>
        <w:t>1、合同文件</w:t>
      </w:r>
    </w:p>
    <w:p>
      <w:pPr>
        <w:pStyle w:val="13"/>
        <w:spacing w:line="560" w:lineRule="exact"/>
        <w:ind w:firstLine="420"/>
        <w:rPr>
          <w:rFonts w:hAnsi="宋体" w:cs="宋体"/>
          <w:sz w:val="28"/>
          <w:szCs w:val="28"/>
        </w:rPr>
      </w:pPr>
      <w:r>
        <w:rPr>
          <w:rFonts w:hint="eastAsia" w:hAnsi="宋体" w:cs="宋体"/>
          <w:sz w:val="28"/>
          <w:szCs w:val="28"/>
        </w:rPr>
        <w:t>本合同所附下列文件是构成本合同不可分割的部分：</w:t>
      </w:r>
    </w:p>
    <w:p>
      <w:pPr>
        <w:pStyle w:val="13"/>
        <w:spacing w:line="560" w:lineRule="exact"/>
        <w:ind w:firstLine="420"/>
        <w:rPr>
          <w:rFonts w:hAnsi="宋体" w:cs="宋体"/>
          <w:sz w:val="28"/>
          <w:szCs w:val="28"/>
        </w:rPr>
      </w:pPr>
      <w:r>
        <w:rPr>
          <w:rFonts w:hint="eastAsia" w:hAnsi="宋体" w:cs="宋体"/>
          <w:sz w:val="28"/>
          <w:szCs w:val="28"/>
        </w:rPr>
        <w:t>⑴ 合同基本条款</w:t>
      </w:r>
    </w:p>
    <w:p>
      <w:pPr>
        <w:pStyle w:val="13"/>
        <w:spacing w:line="560" w:lineRule="exact"/>
        <w:ind w:firstLine="420"/>
        <w:rPr>
          <w:rFonts w:hAnsi="宋体" w:cs="宋体"/>
          <w:sz w:val="28"/>
          <w:szCs w:val="28"/>
        </w:rPr>
      </w:pPr>
      <w:r>
        <w:rPr>
          <w:rFonts w:hint="eastAsia" w:hAnsi="宋体" w:cs="宋体"/>
          <w:sz w:val="28"/>
          <w:szCs w:val="28"/>
        </w:rPr>
        <w:t>⑵ 报价人提交的报价函、报价表等全部报价文件</w:t>
      </w:r>
    </w:p>
    <w:p>
      <w:pPr>
        <w:pStyle w:val="13"/>
        <w:spacing w:line="560" w:lineRule="exact"/>
        <w:ind w:firstLine="420"/>
        <w:rPr>
          <w:rFonts w:hAnsi="宋体" w:cs="宋体"/>
          <w:sz w:val="28"/>
          <w:szCs w:val="28"/>
        </w:rPr>
      </w:pPr>
      <w:r>
        <w:rPr>
          <w:rFonts w:hint="eastAsia" w:hAnsi="宋体" w:cs="宋体"/>
          <w:sz w:val="28"/>
          <w:szCs w:val="28"/>
        </w:rPr>
        <w:t>⑶ 项目需求</w:t>
      </w:r>
    </w:p>
    <w:p>
      <w:pPr>
        <w:pStyle w:val="13"/>
        <w:spacing w:line="560" w:lineRule="exact"/>
        <w:ind w:firstLine="420"/>
        <w:rPr>
          <w:rFonts w:hAnsi="宋体" w:cs="宋体"/>
          <w:sz w:val="28"/>
          <w:szCs w:val="28"/>
        </w:rPr>
      </w:pPr>
      <w:r>
        <w:rPr>
          <w:rFonts w:hint="eastAsia" w:hAnsi="宋体" w:cs="宋体"/>
          <w:sz w:val="28"/>
          <w:szCs w:val="28"/>
        </w:rPr>
        <w:t>⑷ 成交通知书</w:t>
      </w:r>
    </w:p>
    <w:p>
      <w:pPr>
        <w:pStyle w:val="13"/>
        <w:spacing w:line="560" w:lineRule="exact"/>
        <w:ind w:firstLine="420"/>
        <w:rPr>
          <w:rFonts w:hAnsi="宋体" w:cs="宋体"/>
          <w:sz w:val="28"/>
          <w:szCs w:val="28"/>
        </w:rPr>
      </w:pPr>
      <w:r>
        <w:rPr>
          <w:rFonts w:hint="eastAsia" w:hAnsi="宋体" w:cs="宋体"/>
          <w:sz w:val="28"/>
          <w:szCs w:val="28"/>
        </w:rPr>
        <w:t>⑸ 甲、乙双方商定的补充协议</w:t>
      </w:r>
    </w:p>
    <w:p>
      <w:pPr>
        <w:pStyle w:val="13"/>
        <w:spacing w:line="560" w:lineRule="exact"/>
        <w:ind w:firstLine="420"/>
        <w:rPr>
          <w:rFonts w:hAnsi="宋体" w:cs="宋体"/>
          <w:bCs/>
          <w:sz w:val="28"/>
          <w:szCs w:val="28"/>
        </w:rPr>
      </w:pPr>
      <w:r>
        <w:rPr>
          <w:rFonts w:hint="eastAsia" w:hAnsi="宋体" w:cs="宋体"/>
          <w:bCs/>
          <w:sz w:val="28"/>
          <w:szCs w:val="28"/>
        </w:rPr>
        <w:t>2、合同范围和条件</w:t>
      </w:r>
    </w:p>
    <w:p>
      <w:pPr>
        <w:pStyle w:val="13"/>
        <w:spacing w:line="560" w:lineRule="exact"/>
        <w:ind w:firstLine="420"/>
        <w:rPr>
          <w:rFonts w:hAnsi="宋体" w:cs="宋体"/>
          <w:sz w:val="28"/>
          <w:szCs w:val="28"/>
        </w:rPr>
      </w:pPr>
      <w:r>
        <w:rPr>
          <w:rFonts w:hint="eastAsia" w:hAnsi="宋体" w:cs="宋体"/>
          <w:sz w:val="28"/>
          <w:szCs w:val="28"/>
        </w:rPr>
        <w:t>本合同的范围和条件应与上述合同文件的规定相一致。</w:t>
      </w:r>
    </w:p>
    <w:p>
      <w:pPr>
        <w:pStyle w:val="13"/>
        <w:spacing w:line="560" w:lineRule="exact"/>
        <w:ind w:firstLine="420"/>
        <w:rPr>
          <w:rFonts w:hAnsi="宋体" w:cs="宋体"/>
          <w:bCs/>
          <w:sz w:val="28"/>
          <w:szCs w:val="28"/>
        </w:rPr>
      </w:pPr>
      <w:r>
        <w:rPr>
          <w:rFonts w:hint="eastAsia" w:hAnsi="宋体" w:cs="宋体"/>
          <w:bCs/>
          <w:sz w:val="28"/>
          <w:szCs w:val="28"/>
        </w:rPr>
        <w:t>3、货物采购和服务内容：（详见采购文件第二章）</w:t>
      </w:r>
    </w:p>
    <w:p>
      <w:pPr>
        <w:pStyle w:val="13"/>
        <w:spacing w:line="560" w:lineRule="exact"/>
        <w:ind w:firstLine="420"/>
        <w:rPr>
          <w:rFonts w:hAnsi="宋体" w:cs="宋体"/>
          <w:bCs/>
          <w:sz w:val="28"/>
          <w:szCs w:val="28"/>
        </w:rPr>
      </w:pPr>
      <w:r>
        <w:rPr>
          <w:rFonts w:hint="eastAsia" w:hAnsi="宋体" w:cs="宋体"/>
          <w:bCs/>
          <w:sz w:val="28"/>
          <w:szCs w:val="28"/>
        </w:rPr>
        <w:t>4、合同金额</w:t>
      </w:r>
    </w:p>
    <w:p>
      <w:pPr>
        <w:pStyle w:val="13"/>
        <w:spacing w:line="560" w:lineRule="exact"/>
        <w:ind w:firstLine="420"/>
        <w:rPr>
          <w:rFonts w:hAnsi="宋体" w:cs="宋体"/>
          <w:sz w:val="28"/>
          <w:szCs w:val="28"/>
        </w:rPr>
      </w:pPr>
      <w:r>
        <w:rPr>
          <w:rFonts w:hint="eastAsia" w:hAnsi="宋体" w:cs="宋体"/>
          <w:sz w:val="28"/>
          <w:szCs w:val="28"/>
        </w:rPr>
        <w:t>根据成交通知书的成交内容，合同的总金额为（大写）：人民币</w:t>
      </w:r>
      <w:r>
        <w:rPr>
          <w:rFonts w:hint="eastAsia" w:hAnsi="宋体" w:cs="宋体"/>
          <w:sz w:val="28"/>
          <w:szCs w:val="28"/>
          <w:u w:val="single"/>
        </w:rPr>
        <w:t xml:space="preserve">                    </w:t>
      </w:r>
    </w:p>
    <w:p>
      <w:pPr>
        <w:pStyle w:val="13"/>
        <w:spacing w:line="560" w:lineRule="exact"/>
        <w:ind w:firstLine="420"/>
        <w:rPr>
          <w:rFonts w:hAnsi="宋体" w:cs="宋体"/>
          <w:bCs/>
          <w:sz w:val="28"/>
          <w:szCs w:val="28"/>
        </w:rPr>
      </w:pPr>
      <w:r>
        <w:rPr>
          <w:rFonts w:hint="eastAsia" w:hAnsi="宋体" w:cs="宋体"/>
          <w:bCs/>
          <w:sz w:val="28"/>
          <w:szCs w:val="28"/>
        </w:rPr>
        <w:t>5、付款条件</w:t>
      </w:r>
    </w:p>
    <w:p>
      <w:pPr>
        <w:pStyle w:val="13"/>
        <w:spacing w:line="560" w:lineRule="exact"/>
        <w:ind w:firstLine="560" w:firstLineChars="200"/>
        <w:rPr>
          <w:rFonts w:hAnsi="宋体" w:cs="宋体"/>
          <w:kern w:val="0"/>
          <w:sz w:val="28"/>
          <w:szCs w:val="28"/>
          <w:lang w:bidi="ar"/>
        </w:rPr>
      </w:pPr>
      <w:r>
        <w:rPr>
          <w:rFonts w:hint="eastAsia" w:hAnsi="宋体" w:cs="宋体"/>
          <w:kern w:val="0"/>
          <w:sz w:val="28"/>
          <w:szCs w:val="28"/>
          <w:lang w:bidi="ar"/>
        </w:rPr>
        <w:t>签订合同后5个工作日内，供货商支付2%的履约保证金，采购人支付合同价款的30%作为预付款，待所有货物送达采购人指定地点并安装交付验收合格后。采购人于15日内支付至合同价款的100%。履约保证金按国家、行业有关规定在质保期满一年后无息退还。</w:t>
      </w:r>
    </w:p>
    <w:p>
      <w:pPr>
        <w:pStyle w:val="13"/>
        <w:spacing w:line="560" w:lineRule="exact"/>
        <w:ind w:firstLine="560" w:firstLineChars="200"/>
        <w:rPr>
          <w:rFonts w:hAnsi="宋体" w:cs="宋体"/>
          <w:bCs/>
          <w:sz w:val="28"/>
          <w:szCs w:val="28"/>
        </w:rPr>
      </w:pPr>
      <w:r>
        <w:rPr>
          <w:rFonts w:hint="eastAsia" w:hAnsi="宋体" w:cs="宋体"/>
          <w:bCs/>
          <w:sz w:val="28"/>
          <w:szCs w:val="28"/>
        </w:rPr>
        <w:t>6、交货期</w:t>
      </w:r>
    </w:p>
    <w:p>
      <w:pPr>
        <w:pStyle w:val="13"/>
        <w:spacing w:line="560" w:lineRule="exact"/>
        <w:ind w:firstLine="420"/>
        <w:rPr>
          <w:rFonts w:hAnsi="宋体" w:cs="宋体"/>
          <w:sz w:val="28"/>
          <w:szCs w:val="28"/>
        </w:rPr>
      </w:pPr>
      <w:r>
        <w:rPr>
          <w:rFonts w:hint="eastAsia" w:hAnsi="宋体" w:cs="宋体"/>
          <w:sz w:val="28"/>
          <w:szCs w:val="28"/>
        </w:rPr>
        <w:t>本合同货物的交货时间在合同的基本条款中有明确规定。即</w:t>
      </w:r>
      <w:r>
        <w:rPr>
          <w:rFonts w:hint="eastAsia" w:hAnsi="宋体" w:cs="宋体"/>
          <w:sz w:val="28"/>
          <w:szCs w:val="28"/>
          <w:u w:val="single"/>
        </w:rPr>
        <w:t xml:space="preserve">   </w:t>
      </w:r>
      <w:r>
        <w:rPr>
          <w:rFonts w:hint="eastAsia" w:hAnsi="宋体" w:cs="宋体"/>
          <w:sz w:val="28"/>
          <w:szCs w:val="28"/>
        </w:rPr>
        <w:t xml:space="preserve"> 年 </w:t>
      </w:r>
      <w:r>
        <w:rPr>
          <w:rFonts w:hint="eastAsia" w:hAnsi="宋体" w:cs="宋体"/>
          <w:sz w:val="28"/>
          <w:szCs w:val="28"/>
          <w:u w:val="single"/>
        </w:rPr>
        <w:t xml:space="preserve">  </w:t>
      </w:r>
      <w:r>
        <w:rPr>
          <w:rFonts w:hint="eastAsia" w:hAnsi="宋体" w:cs="宋体"/>
          <w:sz w:val="28"/>
          <w:szCs w:val="28"/>
        </w:rPr>
        <w:t>月</w:t>
      </w:r>
      <w:r>
        <w:rPr>
          <w:rFonts w:hint="eastAsia" w:hAnsi="宋体" w:cs="宋体"/>
          <w:sz w:val="28"/>
          <w:szCs w:val="28"/>
          <w:u w:val="single"/>
        </w:rPr>
        <w:t xml:space="preserve">     </w:t>
      </w:r>
      <w:r>
        <w:rPr>
          <w:rFonts w:hint="eastAsia" w:hAnsi="宋体" w:cs="宋体"/>
          <w:sz w:val="28"/>
          <w:szCs w:val="28"/>
        </w:rPr>
        <w:t>日前交清。</w:t>
      </w:r>
    </w:p>
    <w:p>
      <w:pPr>
        <w:pStyle w:val="13"/>
        <w:spacing w:line="560" w:lineRule="exact"/>
        <w:ind w:firstLine="420"/>
        <w:rPr>
          <w:rFonts w:hAnsi="宋体" w:cs="宋体"/>
          <w:bCs/>
          <w:sz w:val="28"/>
          <w:szCs w:val="28"/>
        </w:rPr>
      </w:pPr>
      <w:r>
        <w:rPr>
          <w:rFonts w:hint="eastAsia" w:hAnsi="宋体" w:cs="宋体"/>
          <w:bCs/>
          <w:sz w:val="28"/>
          <w:szCs w:val="28"/>
        </w:rPr>
        <w:t>7、验收办法及验收时间</w:t>
      </w:r>
    </w:p>
    <w:p>
      <w:pPr>
        <w:pStyle w:val="13"/>
        <w:spacing w:line="560" w:lineRule="exact"/>
        <w:ind w:firstLine="420"/>
        <w:rPr>
          <w:rFonts w:hAnsi="宋体" w:cs="宋体"/>
          <w:sz w:val="28"/>
          <w:szCs w:val="28"/>
        </w:rPr>
      </w:pPr>
      <w:r>
        <w:rPr>
          <w:rFonts w:hint="eastAsia" w:hAnsi="宋体" w:cs="宋体"/>
          <w:sz w:val="28"/>
          <w:szCs w:val="28"/>
        </w:rPr>
        <w:t>本合同验收办法在合同的基本条款中有明确规定。</w:t>
      </w:r>
    </w:p>
    <w:p>
      <w:pPr>
        <w:pStyle w:val="13"/>
        <w:spacing w:line="560" w:lineRule="exact"/>
        <w:ind w:firstLine="420"/>
        <w:rPr>
          <w:rFonts w:hAnsi="宋体" w:cs="宋体"/>
          <w:bCs/>
          <w:sz w:val="28"/>
          <w:szCs w:val="28"/>
        </w:rPr>
      </w:pPr>
      <w:r>
        <w:rPr>
          <w:rFonts w:hint="eastAsia" w:hAnsi="宋体" w:cs="宋体"/>
          <w:bCs/>
          <w:sz w:val="28"/>
          <w:szCs w:val="28"/>
        </w:rPr>
        <w:t>8、交货地点及数量</w:t>
      </w:r>
    </w:p>
    <w:p>
      <w:pPr>
        <w:pStyle w:val="13"/>
        <w:spacing w:line="420" w:lineRule="exact"/>
        <w:ind w:firstLine="420"/>
        <w:rPr>
          <w:rFonts w:hAnsi="宋体" w:cs="宋体"/>
          <w:bCs/>
          <w:sz w:val="28"/>
          <w:szCs w:val="28"/>
        </w:rPr>
      </w:pPr>
      <w:r>
        <w:rPr>
          <w:rFonts w:hint="eastAsia" w:hAnsi="宋体" w:cs="宋体"/>
          <w:sz w:val="28"/>
          <w:szCs w:val="28"/>
        </w:rPr>
        <w:t>在</w:t>
      </w:r>
      <w:r>
        <w:rPr>
          <w:rFonts w:hint="eastAsia" w:hAnsi="宋体" w:cs="宋体"/>
          <w:sz w:val="28"/>
          <w:szCs w:val="28"/>
          <w:u w:val="single"/>
        </w:rPr>
        <w:t xml:space="preserve">             </w:t>
      </w:r>
      <w:r>
        <w:rPr>
          <w:rFonts w:hint="eastAsia" w:hAnsi="宋体" w:cs="宋体"/>
          <w:sz w:val="28"/>
          <w:szCs w:val="28"/>
        </w:rPr>
        <w:t>，分</w:t>
      </w:r>
      <w:r>
        <w:rPr>
          <w:rFonts w:hint="eastAsia" w:hAnsi="宋体" w:cs="宋体"/>
          <w:sz w:val="28"/>
          <w:szCs w:val="28"/>
          <w:u w:val="single"/>
        </w:rPr>
        <w:t xml:space="preserve">     </w:t>
      </w:r>
      <w:r>
        <w:rPr>
          <w:rFonts w:hint="eastAsia" w:hAnsi="宋体" w:cs="宋体"/>
          <w:sz w:val="28"/>
          <w:szCs w:val="28"/>
        </w:rPr>
        <w:t>次，每次</w:t>
      </w:r>
      <w:r>
        <w:rPr>
          <w:rFonts w:hint="eastAsia" w:hAnsi="宋体" w:cs="宋体"/>
          <w:sz w:val="28"/>
          <w:szCs w:val="28"/>
          <w:u w:val="single"/>
        </w:rPr>
        <w:t xml:space="preserve">       </w:t>
      </w:r>
      <w:r>
        <w:rPr>
          <w:rFonts w:hint="eastAsia" w:hAnsi="宋体" w:cs="宋体"/>
          <w:sz w:val="28"/>
          <w:szCs w:val="28"/>
        </w:rPr>
        <w:t>台（套），共</w:t>
      </w:r>
      <w:r>
        <w:rPr>
          <w:rFonts w:hint="eastAsia" w:hAnsi="宋体" w:cs="宋体"/>
          <w:sz w:val="28"/>
          <w:szCs w:val="28"/>
          <w:u w:val="single"/>
        </w:rPr>
        <w:t xml:space="preserve">     </w:t>
      </w:r>
      <w:r>
        <w:rPr>
          <w:rFonts w:hint="eastAsia" w:hAnsi="宋体" w:cs="宋体"/>
          <w:sz w:val="28"/>
          <w:szCs w:val="28"/>
        </w:rPr>
        <w:t>台（套）交清。</w:t>
      </w:r>
    </w:p>
    <w:p>
      <w:pPr>
        <w:pStyle w:val="13"/>
        <w:spacing w:line="560" w:lineRule="exact"/>
        <w:ind w:firstLine="560" w:firstLineChars="200"/>
        <w:rPr>
          <w:rFonts w:hAnsi="宋体" w:cs="宋体"/>
          <w:bCs/>
          <w:sz w:val="28"/>
          <w:szCs w:val="28"/>
        </w:rPr>
      </w:pPr>
      <w:r>
        <w:rPr>
          <w:rFonts w:hint="eastAsia" w:hAnsi="宋体" w:cs="宋体"/>
          <w:bCs/>
          <w:sz w:val="28"/>
          <w:szCs w:val="28"/>
        </w:rPr>
        <w:t>9、合同生效及其它</w:t>
      </w:r>
    </w:p>
    <w:p>
      <w:pPr>
        <w:pStyle w:val="13"/>
        <w:spacing w:line="560" w:lineRule="exact"/>
        <w:ind w:firstLine="420"/>
        <w:rPr>
          <w:rFonts w:hAnsi="宋体" w:cs="宋体"/>
          <w:sz w:val="28"/>
          <w:szCs w:val="28"/>
        </w:rPr>
      </w:pPr>
      <w:r>
        <w:rPr>
          <w:rFonts w:hint="eastAsia" w:hAnsi="宋体" w:cs="宋体"/>
          <w:sz w:val="28"/>
          <w:szCs w:val="28"/>
        </w:rPr>
        <w:t>本合同一式叁份，经甲乙双方法定代表人或委托代理人签字并加盖公章后生效。甲乙双方各执一份，采购代理机构一份。</w:t>
      </w:r>
    </w:p>
    <w:p>
      <w:pPr>
        <w:pStyle w:val="13"/>
        <w:spacing w:line="560" w:lineRule="exact"/>
        <w:ind w:firstLine="420"/>
        <w:rPr>
          <w:rFonts w:hAnsi="宋体" w:cs="宋体"/>
          <w:sz w:val="28"/>
          <w:szCs w:val="28"/>
        </w:rPr>
      </w:pPr>
      <w:r>
        <w:rPr>
          <w:rFonts w:hint="eastAsia" w:hAnsi="宋体" w:cs="宋体"/>
          <w:sz w:val="28"/>
          <w:szCs w:val="28"/>
        </w:rPr>
        <w:t xml:space="preserve">甲方名称及公章：                       乙方名称及公章：      </w:t>
      </w:r>
    </w:p>
    <w:p>
      <w:pPr>
        <w:pStyle w:val="13"/>
        <w:spacing w:line="560" w:lineRule="exact"/>
        <w:ind w:firstLine="420"/>
        <w:rPr>
          <w:rFonts w:hAnsi="宋体" w:cs="宋体"/>
          <w:sz w:val="28"/>
          <w:szCs w:val="28"/>
        </w:rPr>
      </w:pPr>
      <w:r>
        <w:rPr>
          <w:rFonts w:hint="eastAsia" w:hAnsi="宋体" w:cs="宋体"/>
          <w:sz w:val="28"/>
          <w:szCs w:val="28"/>
        </w:rPr>
        <w:t xml:space="preserve">法定代表人                              法定代表人 </w:t>
      </w:r>
    </w:p>
    <w:p>
      <w:pPr>
        <w:pStyle w:val="13"/>
        <w:spacing w:line="560" w:lineRule="exact"/>
        <w:ind w:firstLine="420"/>
        <w:rPr>
          <w:rFonts w:hAnsi="宋体" w:cs="宋体"/>
          <w:sz w:val="28"/>
          <w:szCs w:val="28"/>
        </w:rPr>
      </w:pPr>
      <w:r>
        <w:rPr>
          <w:rFonts w:hint="eastAsia" w:hAnsi="宋体" w:cs="宋体"/>
          <w:sz w:val="28"/>
          <w:szCs w:val="28"/>
        </w:rPr>
        <w:t>或委托代理人：                          或委托代理人：</w:t>
      </w:r>
    </w:p>
    <w:p>
      <w:pPr>
        <w:pStyle w:val="13"/>
        <w:spacing w:line="560" w:lineRule="exact"/>
        <w:ind w:firstLine="420"/>
        <w:rPr>
          <w:rFonts w:hAnsi="宋体" w:cs="宋体"/>
          <w:sz w:val="28"/>
          <w:szCs w:val="28"/>
        </w:rPr>
      </w:pPr>
      <w:r>
        <w:rPr>
          <w:rFonts w:hint="eastAsia" w:hAnsi="宋体" w:cs="宋体"/>
          <w:sz w:val="28"/>
          <w:szCs w:val="28"/>
        </w:rPr>
        <w:t>邮政编码：                              邮政编码：</w:t>
      </w:r>
    </w:p>
    <w:p>
      <w:pPr>
        <w:pStyle w:val="13"/>
        <w:spacing w:line="560" w:lineRule="exact"/>
        <w:ind w:firstLine="420"/>
        <w:rPr>
          <w:rFonts w:hAnsi="宋体" w:cs="宋体"/>
          <w:sz w:val="28"/>
          <w:szCs w:val="28"/>
        </w:rPr>
      </w:pPr>
      <w:r>
        <w:rPr>
          <w:rFonts w:hint="eastAsia" w:hAnsi="宋体" w:cs="宋体"/>
          <w:sz w:val="28"/>
          <w:szCs w:val="28"/>
        </w:rPr>
        <w:t>地    址：                              地    址：</w:t>
      </w:r>
    </w:p>
    <w:p>
      <w:pPr>
        <w:pStyle w:val="13"/>
        <w:spacing w:line="560" w:lineRule="exact"/>
        <w:ind w:firstLine="420"/>
        <w:rPr>
          <w:rFonts w:hAnsi="宋体" w:cs="宋体"/>
          <w:sz w:val="28"/>
          <w:szCs w:val="28"/>
        </w:rPr>
      </w:pPr>
      <w:r>
        <w:rPr>
          <w:rFonts w:hint="eastAsia" w:hAnsi="宋体" w:cs="宋体"/>
          <w:sz w:val="28"/>
          <w:szCs w:val="28"/>
        </w:rPr>
        <w:t>联系电话：                              联系电话：</w:t>
      </w:r>
    </w:p>
    <w:p>
      <w:pPr>
        <w:pStyle w:val="13"/>
        <w:spacing w:line="560" w:lineRule="exact"/>
        <w:ind w:firstLine="1960" w:firstLineChars="700"/>
        <w:rPr>
          <w:rFonts w:hAnsi="宋体" w:cs="宋体"/>
          <w:sz w:val="28"/>
          <w:szCs w:val="28"/>
        </w:rPr>
      </w:pPr>
      <w:r>
        <w:rPr>
          <w:rFonts w:hint="eastAsia" w:hAnsi="宋体" w:cs="宋体"/>
          <w:sz w:val="28"/>
          <w:szCs w:val="28"/>
        </w:rPr>
        <w:t xml:space="preserve">                              开户名称：</w:t>
      </w:r>
    </w:p>
    <w:p>
      <w:pPr>
        <w:pStyle w:val="13"/>
        <w:spacing w:line="560" w:lineRule="exact"/>
        <w:ind w:firstLine="1960" w:firstLineChars="700"/>
        <w:rPr>
          <w:rFonts w:hAnsi="宋体" w:cs="宋体"/>
          <w:sz w:val="28"/>
          <w:szCs w:val="28"/>
        </w:rPr>
      </w:pPr>
      <w:r>
        <w:rPr>
          <w:rFonts w:hint="eastAsia" w:hAnsi="宋体" w:cs="宋体"/>
          <w:sz w:val="28"/>
          <w:szCs w:val="28"/>
        </w:rPr>
        <w:t xml:space="preserve">                              开户银行：</w:t>
      </w:r>
    </w:p>
    <w:p>
      <w:pPr>
        <w:pStyle w:val="13"/>
        <w:spacing w:line="560" w:lineRule="exact"/>
        <w:ind w:firstLine="1960" w:firstLineChars="700"/>
        <w:rPr>
          <w:rFonts w:hAnsi="宋体" w:cs="宋体"/>
          <w:sz w:val="28"/>
          <w:szCs w:val="28"/>
        </w:rPr>
      </w:pPr>
      <w:r>
        <w:rPr>
          <w:rFonts w:hint="eastAsia" w:hAnsi="宋体" w:cs="宋体"/>
          <w:sz w:val="28"/>
          <w:szCs w:val="28"/>
        </w:rPr>
        <w:t xml:space="preserve">                              银行帐号：</w:t>
      </w:r>
    </w:p>
    <w:p>
      <w:pPr>
        <w:pStyle w:val="13"/>
        <w:spacing w:line="560" w:lineRule="exact"/>
        <w:ind w:firstLine="420" w:firstLineChars="150"/>
        <w:rPr>
          <w:rFonts w:hAnsi="宋体" w:cs="宋体"/>
          <w:sz w:val="28"/>
          <w:szCs w:val="28"/>
        </w:rPr>
      </w:pPr>
      <w:r>
        <w:rPr>
          <w:rFonts w:hint="eastAsia" w:hAnsi="宋体" w:cs="宋体"/>
          <w:sz w:val="28"/>
          <w:szCs w:val="28"/>
        </w:rPr>
        <w:t>合同签订时间：                         合同签订地点：</w:t>
      </w:r>
    </w:p>
    <w:p>
      <w:pPr>
        <w:pStyle w:val="13"/>
        <w:spacing w:line="560" w:lineRule="exact"/>
        <w:rPr>
          <w:rFonts w:hAnsi="宋体" w:cs="宋体"/>
          <w:sz w:val="28"/>
          <w:szCs w:val="28"/>
        </w:rPr>
      </w:pPr>
    </w:p>
    <w:p>
      <w:pPr>
        <w:pStyle w:val="13"/>
        <w:spacing w:line="560" w:lineRule="exact"/>
        <w:ind w:firstLine="420" w:firstLineChars="150"/>
        <w:rPr>
          <w:rFonts w:hAnsi="宋体" w:cs="宋体"/>
          <w:sz w:val="28"/>
          <w:szCs w:val="28"/>
        </w:rPr>
      </w:pPr>
    </w:p>
    <w:p>
      <w:pPr>
        <w:pStyle w:val="13"/>
        <w:spacing w:line="560" w:lineRule="exact"/>
        <w:ind w:firstLine="420" w:firstLineChars="150"/>
        <w:rPr>
          <w:rFonts w:hAnsi="宋体" w:cs="宋体"/>
          <w:bCs/>
          <w:sz w:val="28"/>
          <w:szCs w:val="28"/>
        </w:rPr>
        <w:sectPr>
          <w:footerReference r:id="rId12" w:type="first"/>
          <w:footerReference r:id="rId11" w:type="default"/>
          <w:pgSz w:w="11906" w:h="16838"/>
          <w:pgMar w:top="1134" w:right="964" w:bottom="1134" w:left="1134" w:header="720" w:footer="720" w:gutter="0"/>
          <w:cols w:space="720" w:num="1"/>
          <w:titlePg/>
          <w:docGrid w:type="lines" w:linePitch="312" w:charSpace="0"/>
        </w:sectPr>
      </w:pPr>
      <w:r>
        <w:rPr>
          <w:rFonts w:hint="eastAsia" w:hAnsi="宋体" w:cs="宋体"/>
          <w:sz w:val="28"/>
          <w:szCs w:val="28"/>
        </w:rPr>
        <w:t>采购代理机构：</w:t>
      </w:r>
      <w:r>
        <w:rPr>
          <w:rFonts w:hint="eastAsia" w:hAnsi="宋体" w:cs="宋体"/>
          <w:bCs/>
          <w:sz w:val="28"/>
          <w:szCs w:val="28"/>
        </w:rPr>
        <w:t xml:space="preserve"> </w:t>
      </w:r>
    </w:p>
    <w:p>
      <w:pPr>
        <w:widowControl/>
        <w:jc w:val="left"/>
        <w:rPr>
          <w:rFonts w:ascii="宋体" w:hAnsi="宋体" w:cs="宋体"/>
          <w:kern w:val="0"/>
          <w:sz w:val="24"/>
        </w:rPr>
      </w:pPr>
      <w:r>
        <w:rPr>
          <w:rFonts w:hint="eastAsia" w:ascii="仿宋" w:hAnsi="仿宋" w:eastAsia="仿宋" w:cs="宋体"/>
          <w:b/>
          <w:bCs/>
          <w:color w:val="000000"/>
          <w:kern w:val="0"/>
          <w:sz w:val="28"/>
          <w:szCs w:val="28"/>
        </w:rPr>
        <w:t xml:space="preserve">第一条 合同标的 </w:t>
      </w:r>
    </w:p>
    <w:p>
      <w:pPr>
        <w:widowControl/>
        <w:ind w:firstLine="42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1.供货一览表 </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6"/>
        <w:gridCol w:w="1006"/>
        <w:gridCol w:w="1006"/>
        <w:gridCol w:w="1007"/>
        <w:gridCol w:w="1007"/>
        <w:gridCol w:w="1007"/>
        <w:gridCol w:w="1007"/>
        <w:gridCol w:w="1007"/>
        <w:gridCol w:w="1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 w:type="dxa"/>
          </w:tcPr>
          <w:p>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1006" w:type="dxa"/>
          </w:tcPr>
          <w:p>
            <w:pPr>
              <w:widowControl/>
              <w:jc w:val="center"/>
              <w:rPr>
                <w:rFonts w:ascii="仿宋" w:hAnsi="仿宋" w:eastAsia="仿宋" w:cs="宋体"/>
                <w:kern w:val="0"/>
                <w:sz w:val="24"/>
              </w:rPr>
            </w:pPr>
            <w:r>
              <w:rPr>
                <w:rFonts w:hint="eastAsia" w:ascii="仿宋" w:hAnsi="仿宋" w:eastAsia="仿宋" w:cs="宋体"/>
                <w:kern w:val="0"/>
                <w:sz w:val="24"/>
              </w:rPr>
              <w:t>产品</w:t>
            </w:r>
          </w:p>
          <w:p>
            <w:pPr>
              <w:widowControl/>
              <w:jc w:val="center"/>
              <w:rPr>
                <w:rFonts w:ascii="仿宋" w:hAnsi="仿宋" w:eastAsia="仿宋" w:cs="宋体"/>
                <w:kern w:val="0"/>
                <w:sz w:val="24"/>
              </w:rPr>
            </w:pPr>
            <w:r>
              <w:rPr>
                <w:rFonts w:hint="eastAsia" w:ascii="仿宋" w:hAnsi="仿宋" w:eastAsia="仿宋" w:cs="宋体"/>
                <w:kern w:val="0"/>
                <w:sz w:val="24"/>
              </w:rPr>
              <w:t>名称</w:t>
            </w:r>
          </w:p>
        </w:tc>
        <w:tc>
          <w:tcPr>
            <w:tcW w:w="1006" w:type="dxa"/>
          </w:tcPr>
          <w:p>
            <w:pPr>
              <w:widowControl/>
              <w:jc w:val="center"/>
              <w:rPr>
                <w:rFonts w:ascii="仿宋" w:hAnsi="仿宋" w:eastAsia="仿宋" w:cs="宋体"/>
                <w:kern w:val="0"/>
                <w:sz w:val="24"/>
              </w:rPr>
            </w:pPr>
            <w:r>
              <w:rPr>
                <w:rFonts w:hint="eastAsia" w:ascii="仿宋" w:hAnsi="仿宋" w:eastAsia="仿宋" w:cs="宋体"/>
                <w:kern w:val="0"/>
                <w:sz w:val="24"/>
              </w:rPr>
              <w:t>商标</w:t>
            </w:r>
          </w:p>
          <w:p>
            <w:pPr>
              <w:widowControl/>
              <w:jc w:val="center"/>
              <w:rPr>
                <w:rFonts w:ascii="仿宋" w:hAnsi="仿宋" w:eastAsia="仿宋" w:cs="宋体"/>
                <w:kern w:val="0"/>
                <w:sz w:val="24"/>
              </w:rPr>
            </w:pPr>
            <w:r>
              <w:rPr>
                <w:rFonts w:hint="eastAsia" w:ascii="仿宋" w:hAnsi="仿宋" w:eastAsia="仿宋" w:cs="宋体"/>
                <w:kern w:val="0"/>
                <w:sz w:val="24"/>
              </w:rPr>
              <w:t>品牌</w:t>
            </w:r>
          </w:p>
        </w:tc>
        <w:tc>
          <w:tcPr>
            <w:tcW w:w="1007" w:type="dxa"/>
          </w:tcPr>
          <w:p>
            <w:pPr>
              <w:widowControl/>
              <w:jc w:val="center"/>
              <w:rPr>
                <w:rFonts w:ascii="仿宋" w:hAnsi="仿宋" w:eastAsia="仿宋" w:cs="宋体"/>
                <w:kern w:val="0"/>
                <w:sz w:val="24"/>
              </w:rPr>
            </w:pPr>
            <w:r>
              <w:rPr>
                <w:rFonts w:hint="eastAsia" w:ascii="仿宋" w:hAnsi="仿宋" w:eastAsia="仿宋" w:cs="宋体"/>
                <w:kern w:val="0"/>
                <w:sz w:val="24"/>
              </w:rPr>
              <w:t>规格</w:t>
            </w:r>
          </w:p>
          <w:p>
            <w:pPr>
              <w:widowControl/>
              <w:jc w:val="center"/>
              <w:rPr>
                <w:rFonts w:ascii="仿宋" w:hAnsi="仿宋" w:eastAsia="仿宋" w:cs="宋体"/>
                <w:kern w:val="0"/>
                <w:sz w:val="24"/>
              </w:rPr>
            </w:pPr>
            <w:r>
              <w:rPr>
                <w:rFonts w:hint="eastAsia" w:ascii="仿宋" w:hAnsi="仿宋" w:eastAsia="仿宋" w:cs="宋体"/>
                <w:kern w:val="0"/>
                <w:sz w:val="24"/>
              </w:rPr>
              <w:t>型号</w:t>
            </w:r>
          </w:p>
        </w:tc>
        <w:tc>
          <w:tcPr>
            <w:tcW w:w="1007" w:type="dxa"/>
          </w:tcPr>
          <w:p>
            <w:pPr>
              <w:widowControl/>
              <w:jc w:val="center"/>
              <w:rPr>
                <w:rFonts w:ascii="仿宋" w:hAnsi="仿宋" w:eastAsia="仿宋" w:cs="宋体"/>
                <w:kern w:val="0"/>
                <w:sz w:val="24"/>
              </w:rPr>
            </w:pPr>
            <w:r>
              <w:rPr>
                <w:rFonts w:hint="eastAsia" w:ascii="仿宋" w:hAnsi="仿宋" w:eastAsia="仿宋" w:cs="宋体"/>
                <w:kern w:val="0"/>
                <w:sz w:val="24"/>
              </w:rPr>
              <w:t>生产</w:t>
            </w:r>
          </w:p>
          <w:p>
            <w:pPr>
              <w:widowControl/>
              <w:jc w:val="center"/>
              <w:rPr>
                <w:rFonts w:ascii="仿宋" w:hAnsi="仿宋" w:eastAsia="仿宋" w:cs="宋体"/>
                <w:kern w:val="0"/>
                <w:sz w:val="24"/>
              </w:rPr>
            </w:pPr>
            <w:r>
              <w:rPr>
                <w:rFonts w:hint="eastAsia" w:ascii="仿宋" w:hAnsi="仿宋" w:eastAsia="仿宋" w:cs="宋体"/>
                <w:kern w:val="0"/>
                <w:sz w:val="24"/>
              </w:rPr>
              <w:t>厂家</w:t>
            </w:r>
          </w:p>
        </w:tc>
        <w:tc>
          <w:tcPr>
            <w:tcW w:w="1007" w:type="dxa"/>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1007" w:type="dxa"/>
          </w:tcPr>
          <w:p>
            <w:pPr>
              <w:widowControl/>
              <w:jc w:val="center"/>
              <w:rPr>
                <w:rFonts w:ascii="仿宋" w:hAnsi="仿宋" w:eastAsia="仿宋" w:cs="宋体"/>
                <w:kern w:val="0"/>
                <w:sz w:val="24"/>
              </w:rPr>
            </w:pPr>
            <w:r>
              <w:rPr>
                <w:rFonts w:hint="eastAsia" w:ascii="仿宋" w:hAnsi="仿宋" w:eastAsia="仿宋" w:cs="宋体"/>
                <w:kern w:val="0"/>
                <w:sz w:val="24"/>
              </w:rPr>
              <w:t>单位</w:t>
            </w:r>
          </w:p>
        </w:tc>
        <w:tc>
          <w:tcPr>
            <w:tcW w:w="1007" w:type="dxa"/>
          </w:tcPr>
          <w:p>
            <w:pPr>
              <w:widowControl/>
              <w:jc w:val="center"/>
              <w:rPr>
                <w:rFonts w:ascii="宋体" w:hAnsi="宋体" w:cs="宋体"/>
                <w:kern w:val="0"/>
                <w:sz w:val="24"/>
              </w:rPr>
            </w:pPr>
            <w:r>
              <w:rPr>
                <w:rFonts w:hint="eastAsia" w:ascii="宋体" w:hAnsi="宋体" w:cs="宋体"/>
                <w:kern w:val="0"/>
                <w:sz w:val="24"/>
              </w:rPr>
              <w:t>单价（元）</w:t>
            </w:r>
          </w:p>
        </w:tc>
        <w:tc>
          <w:tcPr>
            <w:tcW w:w="1007" w:type="dxa"/>
          </w:tcPr>
          <w:p>
            <w:pPr>
              <w:widowControl/>
              <w:jc w:val="center"/>
              <w:rPr>
                <w:rFonts w:ascii="宋体" w:hAnsi="宋体" w:cs="宋体"/>
                <w:kern w:val="0"/>
                <w:sz w:val="24"/>
              </w:rPr>
            </w:pPr>
            <w:r>
              <w:rPr>
                <w:rFonts w:hint="eastAsia" w:ascii="宋体" w:hAnsi="宋体" w:cs="宋体"/>
                <w:kern w:val="0"/>
                <w:sz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6" w:type="dxa"/>
          </w:tcPr>
          <w:p>
            <w:pPr>
              <w:widowControl/>
              <w:jc w:val="left"/>
              <w:rPr>
                <w:rFonts w:ascii="仿宋" w:hAnsi="仿宋" w:eastAsia="仿宋" w:cs="宋体"/>
                <w:kern w:val="0"/>
                <w:sz w:val="24"/>
              </w:rPr>
            </w:pPr>
          </w:p>
        </w:tc>
        <w:tc>
          <w:tcPr>
            <w:tcW w:w="1006" w:type="dxa"/>
          </w:tcPr>
          <w:p>
            <w:pPr>
              <w:widowControl/>
              <w:jc w:val="left"/>
              <w:rPr>
                <w:rFonts w:ascii="仿宋" w:hAnsi="仿宋" w:eastAsia="仿宋" w:cs="宋体"/>
                <w:kern w:val="0"/>
                <w:sz w:val="24"/>
              </w:rPr>
            </w:pPr>
          </w:p>
        </w:tc>
        <w:tc>
          <w:tcPr>
            <w:tcW w:w="1006" w:type="dxa"/>
          </w:tcPr>
          <w:p>
            <w:pPr>
              <w:widowControl/>
              <w:jc w:val="left"/>
              <w:rPr>
                <w:rFonts w:ascii="仿宋" w:hAnsi="仿宋" w:eastAsia="仿宋" w:cs="宋体"/>
                <w:kern w:val="0"/>
                <w:sz w:val="24"/>
              </w:rPr>
            </w:pPr>
          </w:p>
        </w:tc>
        <w:tc>
          <w:tcPr>
            <w:tcW w:w="1007" w:type="dxa"/>
          </w:tcPr>
          <w:p>
            <w:pPr>
              <w:widowControl/>
              <w:jc w:val="left"/>
              <w:rPr>
                <w:rFonts w:ascii="仿宋" w:hAnsi="仿宋" w:eastAsia="仿宋" w:cs="宋体"/>
                <w:kern w:val="0"/>
                <w:sz w:val="24"/>
              </w:rPr>
            </w:pPr>
          </w:p>
        </w:tc>
        <w:tc>
          <w:tcPr>
            <w:tcW w:w="1007" w:type="dxa"/>
          </w:tcPr>
          <w:p>
            <w:pPr>
              <w:widowControl/>
              <w:jc w:val="left"/>
              <w:rPr>
                <w:rFonts w:ascii="仿宋" w:hAnsi="仿宋" w:eastAsia="仿宋" w:cs="宋体"/>
                <w:kern w:val="0"/>
                <w:sz w:val="24"/>
              </w:rPr>
            </w:pPr>
          </w:p>
        </w:tc>
        <w:tc>
          <w:tcPr>
            <w:tcW w:w="1007" w:type="dxa"/>
          </w:tcPr>
          <w:p>
            <w:pPr>
              <w:widowControl/>
              <w:jc w:val="left"/>
              <w:rPr>
                <w:rFonts w:ascii="仿宋" w:hAnsi="仿宋" w:eastAsia="仿宋" w:cs="宋体"/>
                <w:kern w:val="0"/>
                <w:sz w:val="24"/>
              </w:rPr>
            </w:pPr>
          </w:p>
        </w:tc>
        <w:tc>
          <w:tcPr>
            <w:tcW w:w="1007" w:type="dxa"/>
          </w:tcPr>
          <w:p>
            <w:pPr>
              <w:widowControl/>
              <w:jc w:val="left"/>
              <w:rPr>
                <w:rFonts w:ascii="仿宋" w:hAnsi="仿宋" w:eastAsia="仿宋" w:cs="宋体"/>
                <w:kern w:val="0"/>
                <w:sz w:val="24"/>
              </w:rPr>
            </w:pPr>
          </w:p>
        </w:tc>
        <w:tc>
          <w:tcPr>
            <w:tcW w:w="1007" w:type="dxa"/>
          </w:tcPr>
          <w:p>
            <w:pPr>
              <w:widowControl/>
              <w:jc w:val="left"/>
              <w:rPr>
                <w:rFonts w:ascii="宋体" w:hAnsi="宋体" w:cs="宋体"/>
                <w:kern w:val="0"/>
                <w:sz w:val="24"/>
              </w:rPr>
            </w:pPr>
          </w:p>
        </w:tc>
        <w:tc>
          <w:tcPr>
            <w:tcW w:w="1007"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gridSpan w:val="9"/>
          </w:tcPr>
          <w:p>
            <w:pPr>
              <w:widowControl/>
              <w:jc w:val="left"/>
              <w:rPr>
                <w:rFonts w:ascii="仿宋" w:hAnsi="仿宋" w:eastAsia="仿宋" w:cs="宋体"/>
                <w:kern w:val="0"/>
                <w:sz w:val="24"/>
              </w:rPr>
            </w:pPr>
            <w:r>
              <w:rPr>
                <w:rFonts w:hint="eastAsia" w:ascii="仿宋" w:hAnsi="仿宋" w:eastAsia="仿宋" w:cs="宋体"/>
                <w:kern w:val="0"/>
                <w:sz w:val="24"/>
              </w:rPr>
              <w:t xml:space="preserve">人民币合计金额（大写） </w:t>
            </w:r>
            <w:r>
              <w:rPr>
                <w:rFonts w:ascii="仿宋" w:hAnsi="仿宋" w:eastAsia="仿宋" w:cs="宋体"/>
                <w:kern w:val="0"/>
                <w:sz w:val="24"/>
              </w:rPr>
              <w:t xml:space="preserve">                        </w:t>
            </w:r>
            <w:r>
              <w:rPr>
                <w:rFonts w:hint="eastAsia" w:ascii="仿宋" w:hAnsi="仿宋" w:eastAsia="仿宋" w:cs="宋体"/>
                <w:kern w:val="0"/>
                <w:sz w:val="24"/>
              </w:rPr>
              <w:t>（小写）</w:t>
            </w:r>
          </w:p>
        </w:tc>
      </w:tr>
    </w:tbl>
    <w:p>
      <w:pPr>
        <w:widowControl/>
        <w:jc w:val="left"/>
        <w:rPr>
          <w:rFonts w:ascii="宋体" w:hAnsi="宋体" w:cs="宋体"/>
          <w:kern w:val="0"/>
          <w:sz w:val="24"/>
        </w:rPr>
      </w:pP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2.合同合计金额包括货物价款，备件、专用工具、安装、调试、 </w:t>
      </w:r>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检验、技术培训及技术资料和包装、运输等全部费用。如谈判文件、 响应文件对其另有规定的，从其规定。</w:t>
      </w:r>
    </w:p>
    <w:p>
      <w:pPr>
        <w:widowControl/>
        <w:jc w:val="left"/>
        <w:rPr>
          <w:rFonts w:ascii="宋体" w:hAnsi="宋体" w:cs="宋体"/>
          <w:kern w:val="0"/>
          <w:sz w:val="24"/>
        </w:rPr>
      </w:pPr>
      <w:r>
        <w:rPr>
          <w:rFonts w:hint="eastAsia" w:ascii="仿宋" w:hAnsi="仿宋" w:eastAsia="仿宋" w:cs="宋体"/>
          <w:b/>
          <w:bCs/>
          <w:color w:val="000000"/>
          <w:kern w:val="0"/>
          <w:sz w:val="28"/>
          <w:szCs w:val="28"/>
        </w:rPr>
        <w:t xml:space="preserve">第二条 质量保证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1.乙方所提供的货物型号、技术规格、技术参数等质量必须与采购文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件、响应文件和承诺相一致。乙方提供的节能和环保产品必须是列入政府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采购清单的产品。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2.乙方所提供的货物必须是全新、未经使用的原装产品，且在正常安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装、使用和保养条件下，其使用寿命期内各项指标均达到质量要求。 </w:t>
      </w:r>
    </w:p>
    <w:p>
      <w:pPr>
        <w:widowControl/>
        <w:jc w:val="left"/>
        <w:rPr>
          <w:rFonts w:ascii="宋体" w:hAnsi="宋体" w:cs="宋体"/>
          <w:kern w:val="0"/>
          <w:sz w:val="24"/>
        </w:rPr>
      </w:pPr>
      <w:r>
        <w:rPr>
          <w:rFonts w:hint="eastAsia" w:ascii="仿宋" w:hAnsi="仿宋" w:eastAsia="仿宋" w:cs="宋体"/>
          <w:b/>
          <w:bCs/>
          <w:color w:val="000000"/>
          <w:kern w:val="0"/>
          <w:sz w:val="28"/>
          <w:szCs w:val="28"/>
        </w:rPr>
        <w:t xml:space="preserve">第三条 权力保证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乙方应保证所提供货物在使用时不会侵犯任何第三方的专利权、商标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权、工业设计权或其他权利。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乙方应按采购文件规定的时间或响应文件承诺的时间向甲方提供使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用货物的有关技术资料。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没有甲方事先书面同意，乙方不得将由甲方提供的有关合同或任何合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同条文、规格、计划、图纸、样品或资料提供给与履行本合同无关的任何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其他人。即使向履行本合同有关的人员提供，也应注意保密并限于履行合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同的必需范围。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乙方保证所交付的货物的所有权完全属于乙方且无任何抵押、质押、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查封等产权瑕疵。 </w:t>
      </w:r>
    </w:p>
    <w:p>
      <w:pPr>
        <w:widowControl/>
        <w:jc w:val="left"/>
        <w:rPr>
          <w:rFonts w:ascii="宋体" w:hAnsi="宋体" w:cs="宋体"/>
          <w:kern w:val="0"/>
          <w:sz w:val="24"/>
        </w:rPr>
      </w:pPr>
      <w:r>
        <w:rPr>
          <w:rFonts w:hint="eastAsia" w:ascii="仿宋" w:hAnsi="仿宋" w:eastAsia="仿宋" w:cs="宋体"/>
          <w:b/>
          <w:bCs/>
          <w:color w:val="000000"/>
          <w:kern w:val="0"/>
          <w:sz w:val="28"/>
          <w:szCs w:val="28"/>
        </w:rPr>
        <w:t xml:space="preserve">第四条 包装和运输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1.乙方提供的货物均应按采购文件、响应文件要求的包装材料、包装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标准、包装方式进行包装，每一包装单元内应附详细的装箱单和质量合格 </w:t>
      </w:r>
    </w:p>
    <w:p>
      <w:pPr>
        <w:widowControl/>
        <w:jc w:val="left"/>
        <w:rPr>
          <w:rFonts w:ascii="宋体" w:hAnsi="宋体" w:cs="宋体"/>
          <w:kern w:val="0"/>
          <w:sz w:val="24"/>
        </w:rPr>
      </w:pPr>
      <w:r>
        <w:rPr>
          <w:rFonts w:hint="eastAsia" w:ascii="仿宋" w:hAnsi="仿宋" w:eastAsia="仿宋" w:cs="宋体"/>
          <w:color w:val="000000"/>
          <w:kern w:val="0"/>
          <w:sz w:val="28"/>
          <w:szCs w:val="28"/>
        </w:rPr>
        <w:t>证。</w:t>
      </w:r>
    </w:p>
    <w:p>
      <w:pPr>
        <w:widowControl/>
        <w:ind w:firstLine="420"/>
        <w:jc w:val="left"/>
        <w:rPr>
          <w:rFonts w:ascii="仿宋" w:hAnsi="仿宋" w:eastAsia="仿宋" w:cs="宋体"/>
          <w:color w:val="000000"/>
          <w:kern w:val="0"/>
          <w:sz w:val="28"/>
          <w:szCs w:val="28"/>
          <w:u w:val="single"/>
        </w:rPr>
      </w:pPr>
      <w:r>
        <w:rPr>
          <w:rFonts w:hint="eastAsia" w:ascii="仿宋" w:hAnsi="仿宋" w:eastAsia="仿宋" w:cs="宋体"/>
          <w:color w:val="000000"/>
          <w:kern w:val="0"/>
          <w:sz w:val="28"/>
          <w:szCs w:val="28"/>
        </w:rPr>
        <w:t xml:space="preserve">2.货物的运输方式： </w:t>
      </w:r>
      <w:r>
        <w:rPr>
          <w:rFonts w:hint="eastAsia" w:ascii="仿宋" w:hAnsi="仿宋" w:eastAsia="仿宋" w:cs="宋体"/>
          <w:color w:val="000000"/>
          <w:kern w:val="0"/>
          <w:sz w:val="28"/>
          <w:szCs w:val="28"/>
          <w:u w:val="single"/>
        </w:rPr>
        <w:t>汽运等</w:t>
      </w:r>
    </w:p>
    <w:p>
      <w:pPr>
        <w:widowControl/>
        <w:ind w:firstLine="420"/>
        <w:jc w:val="left"/>
        <w:rPr>
          <w:rFonts w:ascii="仿宋" w:hAnsi="仿宋" w:eastAsia="仿宋" w:cs="宋体"/>
          <w:color w:val="000000"/>
          <w:kern w:val="0"/>
          <w:sz w:val="28"/>
          <w:szCs w:val="28"/>
          <w:u w:val="single"/>
        </w:rPr>
      </w:pPr>
      <w:r>
        <w:rPr>
          <w:rFonts w:hint="eastAsia" w:ascii="仿宋" w:hAnsi="仿宋" w:eastAsia="仿宋"/>
          <w:color w:val="000000"/>
          <w:sz w:val="28"/>
          <w:szCs w:val="28"/>
        </w:rPr>
        <w:t>3. 乙方负责货物运输，货物运输合理损耗及计算方法：</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w:t>
      </w:r>
    </w:p>
    <w:p>
      <w:pPr>
        <w:widowControl/>
        <w:jc w:val="left"/>
        <w:rPr>
          <w:rFonts w:ascii="宋体" w:hAnsi="宋体" w:cs="宋体"/>
          <w:kern w:val="0"/>
          <w:sz w:val="24"/>
        </w:rPr>
      </w:pPr>
      <w:r>
        <w:rPr>
          <w:rFonts w:hint="eastAsia" w:ascii="仿宋" w:hAnsi="仿宋" w:eastAsia="仿宋" w:cs="宋体"/>
          <w:b/>
          <w:bCs/>
          <w:color w:val="000000"/>
          <w:kern w:val="0"/>
          <w:sz w:val="28"/>
          <w:szCs w:val="28"/>
        </w:rPr>
        <w:t xml:space="preserve">第五条 交付和验收条件及标准：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1.交付使用时间：自合同签订之日起 60 日内、地点：广西梧州市采购人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指定地点 。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2.成交人代表必须参与及协助采购人现场拆封、安装、调试，验货时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严格按照本次采购参数进行验货。如供货时出现有设备停产的情况，成交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人必须提供具备与原设备技术参数要求相同或高于原设备技术参数要求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的替代产品。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3.成交人应当保证其所提供的产品（硬件设备及软件的技术参数、配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置和性能指标）和响应文件中提供的证明材料和资质文件真实，符合国家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知识产权法律法规要求的正规正版产品，如有提供虚假材料谋取中标的，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其合同无效，并追究其相应的法律责任。为确保采购人系统的安全性及稳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定性以及供应商所提供产品参数的真实性，成交产品验收时进行现场测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试，满足要求后方能进行验收。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4.乙方提供不符合谈判文件、响应文件和本合同规定的货物，甲方有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权拒绝接受。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5.乙方应将所提供货物的装箱清单、设备操作手册、使用指南、维修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指南、原厂保修卡、服务手册和示意图等交付给甲方，如有缺失应及时补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齐，否则视为逾期交货。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6.严格按照用户指定的位置进行安装，成交人在施工、安装、调试等 </w:t>
      </w:r>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全过程中接受用户的监督。</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7.在成交人承诺的保修期内，设备保修包换所需要的配件均是原厂原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装，不得使用兼容产品。 </w:t>
      </w:r>
    </w:p>
    <w:p>
      <w:pPr>
        <w:widowControl/>
        <w:jc w:val="left"/>
        <w:rPr>
          <w:rFonts w:ascii="宋体" w:hAnsi="宋体" w:cs="宋体"/>
          <w:kern w:val="0"/>
          <w:sz w:val="24"/>
        </w:rPr>
      </w:pPr>
      <w:r>
        <w:rPr>
          <w:rFonts w:hint="eastAsia" w:ascii="仿宋" w:hAnsi="仿宋" w:eastAsia="仿宋" w:cs="宋体"/>
          <w:b/>
          <w:bCs/>
          <w:color w:val="000000"/>
          <w:kern w:val="0"/>
          <w:sz w:val="28"/>
          <w:szCs w:val="28"/>
        </w:rPr>
        <w:t xml:space="preserve">第六条 安装和培训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1.甲方应提供必要安装条件（如场地、电源、水源等）。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2.乙方负责甲方有关人员的培训。培训时间、地点：</w:t>
      </w:r>
      <w:r>
        <w:rPr>
          <w:rFonts w:hint="eastAsia" w:ascii="仿宋" w:hAnsi="仿宋" w:eastAsia="仿宋" w:cs="宋体"/>
          <w:color w:val="000000"/>
          <w:kern w:val="0"/>
          <w:sz w:val="28"/>
          <w:szCs w:val="28"/>
          <w:u w:val="single"/>
        </w:rPr>
        <w:t>甲乙双方协商</w:t>
      </w:r>
      <w:r>
        <w:rPr>
          <w:rFonts w:hint="eastAsia" w:ascii="仿宋" w:hAnsi="仿宋" w:eastAsia="仿宋" w:cs="宋体"/>
          <w:color w:val="000000"/>
          <w:kern w:val="0"/>
          <w:sz w:val="28"/>
          <w:szCs w:val="28"/>
        </w:rPr>
        <w:t xml:space="preserve"> 。 </w:t>
      </w:r>
    </w:p>
    <w:p>
      <w:pPr>
        <w:widowControl/>
        <w:jc w:val="left"/>
        <w:rPr>
          <w:rFonts w:ascii="宋体" w:hAnsi="宋体" w:cs="宋体"/>
          <w:kern w:val="0"/>
          <w:sz w:val="24"/>
        </w:rPr>
      </w:pPr>
      <w:r>
        <w:rPr>
          <w:rFonts w:hint="eastAsia" w:ascii="仿宋" w:hAnsi="仿宋" w:eastAsia="仿宋" w:cs="宋体"/>
          <w:b/>
          <w:bCs/>
          <w:color w:val="000000"/>
          <w:kern w:val="0"/>
          <w:sz w:val="28"/>
          <w:szCs w:val="28"/>
        </w:rPr>
        <w:t xml:space="preserve">第七条 售后服务、保修期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1.乙方应按照国家有关法律法规和“三包”规定以及谈判文件、响应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文件和本合同所附的《服务承诺》，为甲方提供售后服务。 </w:t>
      </w:r>
    </w:p>
    <w:p>
      <w:pPr>
        <w:widowControl/>
        <w:ind w:firstLine="420"/>
        <w:jc w:val="left"/>
        <w:rPr>
          <w:rFonts w:ascii="宋体" w:hAnsi="宋体" w:cs="宋体"/>
          <w:kern w:val="0"/>
          <w:sz w:val="24"/>
          <w:u w:val="single"/>
        </w:rPr>
      </w:pPr>
      <w:r>
        <w:rPr>
          <w:rFonts w:hint="eastAsia" w:ascii="仿宋" w:hAnsi="仿宋" w:eastAsia="仿宋" w:cs="宋体"/>
          <w:color w:val="000000"/>
          <w:kern w:val="0"/>
          <w:sz w:val="28"/>
          <w:szCs w:val="28"/>
        </w:rPr>
        <w:t xml:space="preserve">2.货物保修期； </w:t>
      </w:r>
      <w:r>
        <w:rPr>
          <w:rFonts w:hint="eastAsia" w:ascii="仿宋" w:hAnsi="仿宋" w:eastAsia="仿宋" w:cs="宋体"/>
          <w:color w:val="000000"/>
          <w:kern w:val="0"/>
          <w:sz w:val="28"/>
          <w:szCs w:val="28"/>
          <w:u w:val="single"/>
        </w:rPr>
        <w:t xml:space="preserve">所有产品均需提供一年免费服务与系统升级，从通 </w:t>
      </w:r>
    </w:p>
    <w:p>
      <w:pPr>
        <w:widowControl/>
        <w:jc w:val="left"/>
        <w:rPr>
          <w:rFonts w:ascii="宋体" w:hAnsi="宋体" w:cs="宋体"/>
          <w:kern w:val="0"/>
          <w:sz w:val="24"/>
          <w:u w:val="single"/>
        </w:rPr>
      </w:pPr>
      <w:r>
        <w:rPr>
          <w:rFonts w:hint="eastAsia" w:ascii="仿宋" w:hAnsi="仿宋" w:eastAsia="仿宋" w:cs="宋体"/>
          <w:color w:val="000000"/>
          <w:kern w:val="0"/>
          <w:sz w:val="28"/>
          <w:szCs w:val="28"/>
          <w:u w:val="single"/>
        </w:rPr>
        <w:t xml:space="preserve">过终验之日起计算 。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3.乙方提供的服务承诺和售后服务及保修期责任等其它具体约定事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项。（见合同附件） </w:t>
      </w:r>
    </w:p>
    <w:p>
      <w:pPr>
        <w:widowControl/>
        <w:jc w:val="left"/>
        <w:rPr>
          <w:rFonts w:ascii="宋体" w:hAnsi="宋体" w:cs="宋体"/>
          <w:kern w:val="0"/>
          <w:sz w:val="24"/>
        </w:rPr>
      </w:pPr>
      <w:r>
        <w:rPr>
          <w:rFonts w:hint="eastAsia" w:ascii="仿宋" w:hAnsi="仿宋" w:eastAsia="仿宋" w:cs="宋体"/>
          <w:b/>
          <w:bCs/>
          <w:color w:val="000000"/>
          <w:kern w:val="0"/>
          <w:sz w:val="28"/>
          <w:szCs w:val="28"/>
        </w:rPr>
        <w:t xml:space="preserve">第八条 付款方式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1.当采购数量与实际使用数量不一致时，乙方应根据实际使用量供货，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合同的最终结算金额按实 际使用量乘以成交单价进行计算。 </w:t>
      </w:r>
    </w:p>
    <w:p>
      <w:pPr>
        <w:widowControl/>
        <w:ind w:firstLine="420"/>
        <w:jc w:val="left"/>
        <w:rPr>
          <w:rFonts w:ascii="宋体" w:hAnsi="宋体" w:cs="宋体"/>
          <w:kern w:val="0"/>
          <w:sz w:val="24"/>
          <w:u w:val="single"/>
        </w:rPr>
      </w:pPr>
      <w:r>
        <w:rPr>
          <w:rFonts w:hint="eastAsia" w:ascii="仿宋" w:hAnsi="仿宋" w:eastAsia="仿宋" w:cs="宋体"/>
          <w:color w:val="000000"/>
          <w:kern w:val="0"/>
          <w:sz w:val="28"/>
          <w:szCs w:val="28"/>
        </w:rPr>
        <w:t>2.资金性质：</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 xml:space="preserve">。 </w:t>
      </w:r>
    </w:p>
    <w:p>
      <w:pPr>
        <w:widowControl/>
        <w:jc w:val="left"/>
        <w:rPr>
          <w:rFonts w:ascii="宋体" w:hAnsi="宋体" w:cs="宋体"/>
          <w:kern w:val="0"/>
          <w:sz w:val="24"/>
        </w:rPr>
      </w:pPr>
      <w:r>
        <w:rPr>
          <w:rFonts w:hint="eastAsia" w:ascii="仿宋" w:hAnsi="仿宋" w:eastAsia="仿宋" w:cs="宋体"/>
          <w:color w:val="000000"/>
          <w:kern w:val="0"/>
          <w:sz w:val="28"/>
          <w:szCs w:val="28"/>
        </w:rPr>
        <w:t>3.付款方式：</w:t>
      </w:r>
      <w:r>
        <w:rPr>
          <w:rFonts w:hint="eastAsia" w:ascii="仿宋" w:hAnsi="仿宋" w:eastAsia="仿宋" w:cs="宋体"/>
          <w:color w:val="000000"/>
          <w:kern w:val="0"/>
          <w:sz w:val="28"/>
          <w:szCs w:val="28"/>
          <w:u w:val="single"/>
        </w:rPr>
        <w:t>见采购需求</w:t>
      </w:r>
      <w:r>
        <w:rPr>
          <w:rFonts w:hint="eastAsia" w:ascii="仿宋" w:hAnsi="仿宋" w:eastAsia="仿宋" w:cs="宋体"/>
          <w:color w:val="000000"/>
          <w:kern w:val="0"/>
          <w:sz w:val="28"/>
          <w:szCs w:val="28"/>
        </w:rPr>
        <w:t xml:space="preserve"> </w:t>
      </w:r>
    </w:p>
    <w:p>
      <w:pPr>
        <w:widowControl/>
        <w:jc w:val="left"/>
        <w:rPr>
          <w:rFonts w:ascii="宋体" w:hAnsi="宋体" w:cs="宋体"/>
          <w:kern w:val="0"/>
          <w:sz w:val="24"/>
        </w:rPr>
      </w:pPr>
      <w:r>
        <w:rPr>
          <w:rFonts w:hint="eastAsia" w:ascii="仿宋" w:hAnsi="仿宋" w:eastAsia="仿宋" w:cs="宋体"/>
          <w:b/>
          <w:bCs/>
          <w:color w:val="000000"/>
          <w:kern w:val="0"/>
          <w:sz w:val="28"/>
          <w:szCs w:val="28"/>
        </w:rPr>
        <w:t xml:space="preserve">第九条 质量保证金及履约保证金 </w:t>
      </w:r>
    </w:p>
    <w:p>
      <w:pPr>
        <w:widowControl/>
        <w:ind w:firstLine="560" w:firstLineChars="200"/>
        <w:jc w:val="left"/>
        <w:rPr>
          <w:rFonts w:ascii="宋体" w:hAnsi="宋体" w:cs="宋体"/>
          <w:kern w:val="0"/>
          <w:sz w:val="24"/>
        </w:rPr>
      </w:pPr>
      <w:r>
        <w:rPr>
          <w:rFonts w:hint="eastAsia" w:ascii="仿宋" w:hAnsi="仿宋" w:eastAsia="仿宋" w:cs="宋体"/>
          <w:color w:val="000000"/>
          <w:kern w:val="0"/>
          <w:sz w:val="28"/>
          <w:szCs w:val="28"/>
        </w:rPr>
        <w:t>质量保证金：</w:t>
      </w:r>
      <w:r>
        <w:rPr>
          <w:rFonts w:hint="eastAsia" w:ascii="仿宋" w:hAnsi="仿宋" w:eastAsia="仿宋" w:cs="宋体"/>
          <w:color w:val="000000"/>
          <w:kern w:val="0"/>
          <w:sz w:val="28"/>
          <w:szCs w:val="28"/>
          <w:u w:val="single"/>
        </w:rPr>
        <w:t>无</w:t>
      </w:r>
      <w:r>
        <w:rPr>
          <w:rFonts w:hint="eastAsia" w:ascii="仿宋" w:hAnsi="仿宋" w:eastAsia="仿宋" w:cs="宋体"/>
          <w:color w:val="000000"/>
          <w:kern w:val="0"/>
          <w:sz w:val="28"/>
          <w:szCs w:val="28"/>
        </w:rPr>
        <w:t xml:space="preserve"> </w:t>
      </w:r>
    </w:p>
    <w:p>
      <w:pPr>
        <w:spacing w:line="312" w:lineRule="auto"/>
        <w:ind w:firstLine="560" w:firstLineChars="200"/>
        <w:jc w:val="left"/>
        <w:rPr>
          <w:rFonts w:ascii="仿宋" w:hAnsi="仿宋" w:eastAsia="仿宋" w:cs="宋体"/>
          <w:color w:val="000000"/>
          <w:kern w:val="0"/>
          <w:sz w:val="28"/>
          <w:szCs w:val="28"/>
          <w:u w:val="single"/>
        </w:rPr>
      </w:pPr>
      <w:r>
        <w:rPr>
          <w:rFonts w:hint="eastAsia" w:ascii="仿宋" w:hAnsi="仿宋" w:eastAsia="仿宋" w:cs="宋体"/>
          <w:color w:val="000000"/>
          <w:kern w:val="0"/>
          <w:sz w:val="28"/>
          <w:szCs w:val="28"/>
        </w:rPr>
        <w:t>履约保证金：</w:t>
      </w:r>
      <w:r>
        <w:rPr>
          <w:rFonts w:hint="eastAsia" w:ascii="仿宋" w:hAnsi="仿宋" w:eastAsia="仿宋" w:cs="宋体"/>
          <w:color w:val="000000"/>
          <w:kern w:val="0"/>
          <w:sz w:val="28"/>
          <w:szCs w:val="28"/>
          <w:u w:val="single"/>
        </w:rPr>
        <w:t xml:space="preserve">  成交金额的2%  </w:t>
      </w:r>
    </w:p>
    <w:p>
      <w:pPr>
        <w:spacing w:line="312"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履约保证金的形式：电汇、转账、银行保函或保证保险等形式。</w:t>
      </w:r>
    </w:p>
    <w:p>
      <w:pPr>
        <w:spacing w:line="312"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成交供应商须在采购合同签订并生效后5个工作日内，将履约保证金足额提交至以下账户，否则采购人可以取消其成交资格。履约保证金在全部货物均验收合格后15个工作日内无息退还。</w:t>
      </w:r>
    </w:p>
    <w:p>
      <w:pPr>
        <w:spacing w:line="312"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开户名称：梧州职业学院</w:t>
      </w:r>
    </w:p>
    <w:p>
      <w:pPr>
        <w:spacing w:line="312"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开户银行：</w:t>
      </w:r>
      <w:r>
        <w:rPr>
          <w:rFonts w:hint="eastAsia" w:ascii="仿宋" w:hAnsi="仿宋" w:eastAsia="仿宋" w:cs="仿宋"/>
          <w:color w:val="000000"/>
          <w:sz w:val="28"/>
          <w:szCs w:val="28"/>
        </w:rPr>
        <w:t>农行梧州灏景支行</w:t>
      </w:r>
    </w:p>
    <w:p>
      <w:pPr>
        <w:tabs>
          <w:tab w:val="left" w:pos="6106"/>
        </w:tabs>
        <w:spacing w:line="312"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银行账号：20312801040005880</w:t>
      </w:r>
    </w:p>
    <w:p>
      <w:pPr>
        <w:widowControl/>
        <w:ind w:firstLine="420" w:firstLineChars="150"/>
        <w:jc w:val="left"/>
        <w:rPr>
          <w:rFonts w:ascii="仿宋" w:hAnsi="仿宋" w:eastAsia="仿宋" w:cs="仿宋"/>
          <w:color w:val="000000"/>
          <w:kern w:val="0"/>
          <w:sz w:val="28"/>
          <w:szCs w:val="28"/>
          <w:u w:val="single"/>
        </w:rPr>
      </w:pPr>
      <w:r>
        <w:rPr>
          <w:rFonts w:hint="eastAsia" w:ascii="仿宋" w:hAnsi="仿宋" w:eastAsia="仿宋" w:cs="仿宋"/>
          <w:sz w:val="28"/>
          <w:szCs w:val="28"/>
        </w:rPr>
        <w:t>以上账户信息如若未提供，则由采购人及成交供应商在合同签订前双方自行约定。</w:t>
      </w:r>
    </w:p>
    <w:p>
      <w:pPr>
        <w:widowControl/>
        <w:jc w:val="left"/>
        <w:rPr>
          <w:rFonts w:ascii="宋体" w:hAnsi="宋体" w:cs="宋体"/>
          <w:kern w:val="0"/>
          <w:sz w:val="24"/>
        </w:rPr>
      </w:pPr>
      <w:r>
        <w:rPr>
          <w:rFonts w:hint="eastAsia" w:ascii="仿宋" w:hAnsi="仿宋" w:eastAsia="仿宋" w:cs="宋体"/>
          <w:b/>
          <w:bCs/>
          <w:color w:val="000000"/>
          <w:kern w:val="0"/>
          <w:sz w:val="28"/>
          <w:szCs w:val="28"/>
        </w:rPr>
        <w:t xml:space="preserve">第十条、税费本合同执行中相关的一切税费均由乙方负担。 </w:t>
      </w:r>
    </w:p>
    <w:p>
      <w:pPr>
        <w:widowControl/>
        <w:jc w:val="left"/>
        <w:rPr>
          <w:rFonts w:ascii="宋体" w:hAnsi="宋体" w:cs="宋体"/>
          <w:kern w:val="0"/>
          <w:sz w:val="24"/>
        </w:rPr>
      </w:pPr>
      <w:r>
        <w:rPr>
          <w:rFonts w:hint="eastAsia" w:ascii="仿宋" w:hAnsi="仿宋" w:eastAsia="仿宋" w:cs="宋体"/>
          <w:b/>
          <w:bCs/>
          <w:color w:val="000000"/>
          <w:kern w:val="0"/>
          <w:sz w:val="28"/>
          <w:szCs w:val="28"/>
        </w:rPr>
        <w:t xml:space="preserve">第十一条、质量保证及售后服务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1. 乙方应按谈判文件规定及响应文件承诺的货物性能、技术要求、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质量标准向甲方提供未经使用的全新产品。乙方提供货物的质量保证期按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交货验收合格之日起计（期限见《采购需求》中各分标的要求）。在保证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期内因货物本身的质量问题发生故障，乙方应负责修理和更换零部件。对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达不到技术要求者，根据实际情况，经双方协商，可按以下办法处理： </w:t>
      </w:r>
    </w:p>
    <w:p>
      <w:pPr>
        <w:widowControl/>
        <w:ind w:left="420" w:firstLine="420"/>
        <w:jc w:val="left"/>
        <w:rPr>
          <w:rFonts w:ascii="宋体" w:hAnsi="宋体" w:cs="宋体"/>
          <w:kern w:val="0"/>
          <w:sz w:val="24"/>
        </w:rPr>
      </w:pPr>
      <w:r>
        <w:rPr>
          <w:rFonts w:hint="eastAsia" w:ascii="仿宋" w:hAnsi="仿宋" w:eastAsia="仿宋" w:cs="宋体"/>
          <w:color w:val="000000"/>
          <w:kern w:val="0"/>
          <w:sz w:val="28"/>
          <w:szCs w:val="28"/>
        </w:rPr>
        <w:t xml:space="preserve">⑴更换：由乙方承担所发生的全部费用。 </w:t>
      </w:r>
    </w:p>
    <w:p>
      <w:pPr>
        <w:widowControl/>
        <w:ind w:firstLine="560" w:firstLineChars="200"/>
        <w:jc w:val="left"/>
        <w:rPr>
          <w:rFonts w:ascii="宋体" w:hAnsi="宋体" w:cs="宋体"/>
          <w:kern w:val="0"/>
          <w:sz w:val="24"/>
        </w:rPr>
      </w:pPr>
      <w:r>
        <w:rPr>
          <w:rFonts w:hint="eastAsia" w:ascii="仿宋" w:hAnsi="仿宋" w:eastAsia="仿宋" w:cs="宋体"/>
          <w:color w:val="000000"/>
          <w:kern w:val="0"/>
          <w:sz w:val="28"/>
          <w:szCs w:val="28"/>
        </w:rPr>
        <w:t xml:space="preserve">⑵贬值处理：由甲乙双方合议定价。 </w:t>
      </w:r>
    </w:p>
    <w:p>
      <w:pPr>
        <w:widowControl/>
        <w:ind w:firstLine="560" w:firstLineChars="200"/>
        <w:jc w:val="left"/>
        <w:rPr>
          <w:rFonts w:ascii="宋体" w:hAnsi="宋体" w:cs="宋体"/>
          <w:kern w:val="0"/>
          <w:sz w:val="24"/>
        </w:rPr>
      </w:pPr>
      <w:r>
        <w:rPr>
          <w:rFonts w:hint="eastAsia" w:ascii="仿宋" w:hAnsi="仿宋" w:eastAsia="仿宋" w:cs="宋体"/>
          <w:color w:val="000000"/>
          <w:kern w:val="0"/>
          <w:sz w:val="28"/>
          <w:szCs w:val="28"/>
        </w:rPr>
        <w:t xml:space="preserve">⑶退货处理：乙方应退还甲方支付的合同款，同时应承担该货物的直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接费用（运输、保险、检验、 货款利息及银行手续费等）。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2. 如在使用过程中发生质量问题，乙方在接到甲方通知后在 </w:t>
      </w:r>
      <w:r>
        <w:rPr>
          <w:rFonts w:hint="eastAsia" w:ascii="仿宋" w:hAnsi="仿宋" w:eastAsia="仿宋" w:cs="宋体"/>
          <w:color w:val="000000"/>
          <w:kern w:val="0"/>
          <w:sz w:val="28"/>
          <w:szCs w:val="28"/>
          <w:u w:val="single"/>
        </w:rPr>
        <w:t>24</w:t>
      </w:r>
      <w:r>
        <w:rPr>
          <w:rFonts w:hint="eastAsia" w:ascii="仿宋" w:hAnsi="仿宋" w:eastAsia="仿宋" w:cs="宋体"/>
          <w:color w:val="000000"/>
          <w:kern w:val="0"/>
          <w:sz w:val="28"/>
          <w:szCs w:val="28"/>
        </w:rPr>
        <w:t xml:space="preserve"> 小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时内到达甲方现场。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3. 在质保期内，乙方应对货物出现的质量及安全问题负责处理解决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并承担一切费用。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4.上述的货物保修期为</w:t>
      </w:r>
      <w:r>
        <w:rPr>
          <w:rFonts w:hint="eastAsia" w:ascii="仿宋" w:hAnsi="仿宋" w:eastAsia="仿宋" w:cs="宋体"/>
          <w:color w:val="000000"/>
          <w:kern w:val="0"/>
          <w:sz w:val="28"/>
          <w:szCs w:val="28"/>
          <w:u w:val="single"/>
        </w:rPr>
        <w:t xml:space="preserve"> 1 </w:t>
      </w:r>
      <w:r>
        <w:rPr>
          <w:rFonts w:hint="eastAsia" w:ascii="仿宋" w:hAnsi="仿宋" w:eastAsia="仿宋" w:cs="宋体"/>
          <w:color w:val="000000"/>
          <w:kern w:val="0"/>
          <w:sz w:val="28"/>
          <w:szCs w:val="28"/>
        </w:rPr>
        <w:t xml:space="preserve">年，因人为因素出现的故障不在保修范围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内。超过保修期的机器设备，终生维修，维修时只收部件成本费。 </w:t>
      </w:r>
    </w:p>
    <w:p>
      <w:pPr>
        <w:widowControl/>
        <w:jc w:val="left"/>
        <w:rPr>
          <w:rFonts w:ascii="宋体" w:hAnsi="宋体" w:cs="宋体"/>
          <w:kern w:val="0"/>
          <w:sz w:val="24"/>
        </w:rPr>
      </w:pPr>
      <w:r>
        <w:rPr>
          <w:rFonts w:hint="eastAsia" w:ascii="仿宋" w:hAnsi="仿宋" w:eastAsia="仿宋" w:cs="宋体"/>
          <w:b/>
          <w:bCs/>
          <w:color w:val="000000"/>
          <w:kern w:val="0"/>
          <w:sz w:val="28"/>
          <w:szCs w:val="28"/>
        </w:rPr>
        <w:t xml:space="preserve">第十二条、调试和验收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1. 甲方对乙方提交的货物依据谈判文件上的技术规格要求和国家有 </w:t>
      </w:r>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关质量标准进行现场初步验收，外观、说明书符合谈判文件技术要求的，给予签收，初步验收不合格的不予签收。货到后，甲方应当在到货（安装、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调试完）后七个工作日内进行验收。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2. 乙方交货前应对产品作出全面检查和对验收文件进行整理，并列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出清单，作为甲方收货验收和使用的技术条件依据，检验的结果应随货物 </w:t>
      </w:r>
    </w:p>
    <w:p>
      <w:pPr>
        <w:widowControl/>
        <w:jc w:val="left"/>
        <w:rPr>
          <w:rFonts w:ascii="宋体" w:hAnsi="宋体" w:cs="宋体"/>
          <w:kern w:val="0"/>
          <w:sz w:val="24"/>
        </w:rPr>
      </w:pPr>
      <w:r>
        <w:rPr>
          <w:rFonts w:hint="eastAsia" w:ascii="仿宋" w:hAnsi="仿宋" w:eastAsia="仿宋" w:cs="宋体"/>
          <w:color w:val="000000"/>
          <w:kern w:val="0"/>
          <w:sz w:val="28"/>
          <w:szCs w:val="28"/>
        </w:rPr>
        <w:t>交甲方。</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3. 甲方对乙方提供的货物在使用前进行调试时，乙方需负责安装并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培训甲方的使用操作人员，并协助甲方一起调试，直到符合技术要求，甲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方才做最终验收。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4. 对技术复杂的货物，甲方应请国家认可的专业检测机构参与初步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验收及最终验收，并由其出具质量检测报告。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5. 验收时乙方必须在现场，验收完毕后作出验收结果报告；验收费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用由乙方负责。 </w:t>
      </w:r>
    </w:p>
    <w:p>
      <w:pPr>
        <w:widowControl/>
        <w:jc w:val="left"/>
        <w:rPr>
          <w:rFonts w:ascii="宋体" w:hAnsi="宋体" w:cs="宋体"/>
          <w:kern w:val="0"/>
          <w:sz w:val="24"/>
        </w:rPr>
      </w:pPr>
      <w:r>
        <w:rPr>
          <w:rFonts w:hint="eastAsia" w:ascii="仿宋" w:hAnsi="仿宋" w:eastAsia="仿宋" w:cs="宋体"/>
          <w:b/>
          <w:bCs/>
          <w:color w:val="000000"/>
          <w:kern w:val="0"/>
          <w:sz w:val="28"/>
          <w:szCs w:val="28"/>
        </w:rPr>
        <w:t xml:space="preserve">第十三条、货物包装、发运及运输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1. 乙方应在货物发运前对其进行满足运输距离、防潮、防震、防锈和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防破损装卸等要求包装，以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保证货物安全运达甲方指定地点。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2. 使用说明书、质量检验证明书、随配附件和工具以及清单一并附于 </w:t>
      </w:r>
    </w:p>
    <w:p>
      <w:pPr>
        <w:widowControl/>
        <w:jc w:val="left"/>
        <w:rPr>
          <w:rFonts w:ascii="宋体" w:hAnsi="宋体" w:cs="宋体"/>
          <w:kern w:val="0"/>
          <w:sz w:val="24"/>
        </w:rPr>
      </w:pPr>
      <w:r>
        <w:rPr>
          <w:rFonts w:hint="eastAsia" w:ascii="仿宋" w:hAnsi="仿宋" w:eastAsia="仿宋" w:cs="宋体"/>
          <w:color w:val="000000"/>
          <w:kern w:val="0"/>
          <w:sz w:val="28"/>
          <w:szCs w:val="28"/>
        </w:rPr>
        <w:t xml:space="preserve">货物内。 </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3. 乙方在货物发运手续办理完毕后二十四小时内或货到甲方四十八 </w:t>
      </w:r>
    </w:p>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小时前通知甲方，以准备接货。</w:t>
      </w:r>
    </w:p>
    <w:p>
      <w:pPr>
        <w:widowControl/>
        <w:ind w:firstLine="420"/>
        <w:jc w:val="left"/>
        <w:rPr>
          <w:rFonts w:ascii="仿宋" w:hAnsi="仿宋" w:eastAsia="仿宋" w:cs="宋体"/>
          <w:color w:val="000000"/>
          <w:kern w:val="0"/>
          <w:sz w:val="28"/>
          <w:szCs w:val="28"/>
        </w:rPr>
      </w:pPr>
      <w:r>
        <w:rPr>
          <w:rFonts w:hint="eastAsia" w:ascii="仿宋" w:hAnsi="仿宋" w:eastAsia="仿宋"/>
          <w:color w:val="000000"/>
          <w:sz w:val="28"/>
          <w:szCs w:val="28"/>
        </w:rPr>
        <w:t>4. 货物在交付甲方前发生的风险均由乙方负责。</w:t>
      </w:r>
    </w:p>
    <w:p>
      <w:pPr>
        <w:widowControl/>
        <w:ind w:firstLine="420"/>
        <w:jc w:val="left"/>
        <w:rPr>
          <w:rFonts w:ascii="宋体" w:hAnsi="宋体" w:cs="宋体"/>
          <w:kern w:val="0"/>
          <w:sz w:val="24"/>
        </w:rPr>
      </w:pPr>
      <w:r>
        <w:rPr>
          <w:rFonts w:hint="eastAsia" w:ascii="仿宋" w:hAnsi="仿宋" w:eastAsia="仿宋" w:cs="宋体"/>
          <w:color w:val="000000"/>
          <w:kern w:val="0"/>
          <w:sz w:val="28"/>
          <w:szCs w:val="28"/>
        </w:rPr>
        <w:t xml:space="preserve">5. 货物在规定的交付期限内由乙方送达甲方指定的地点视为交付，乙方同时需通知甲方货物已送达。 </w:t>
      </w:r>
    </w:p>
    <w:p>
      <w:pPr>
        <w:snapToGrid w:val="0"/>
        <w:spacing w:line="360" w:lineRule="auto"/>
        <w:jc w:val="center"/>
        <w:rPr>
          <w:rFonts w:ascii="宋体" w:hAnsi="宋体" w:cs="宋体"/>
          <w:color w:val="000000"/>
          <w:sz w:val="24"/>
        </w:rPr>
      </w:pPr>
    </w:p>
    <w:p>
      <w:pPr>
        <w:snapToGrid w:val="0"/>
        <w:spacing w:line="360" w:lineRule="auto"/>
        <w:jc w:val="center"/>
        <w:rPr>
          <w:rFonts w:ascii="宋体" w:hAnsi="宋体" w:cs="宋体"/>
          <w:b/>
          <w:color w:val="000000"/>
          <w:sz w:val="24"/>
        </w:rPr>
      </w:pPr>
      <w:r>
        <w:rPr>
          <w:rFonts w:hint="eastAsia" w:ascii="宋体" w:hAnsi="宋体" w:cs="宋体"/>
          <w:color w:val="000000"/>
          <w:sz w:val="24"/>
        </w:rPr>
        <w:br w:type="page"/>
      </w:r>
      <w:r>
        <w:rPr>
          <w:rFonts w:hint="eastAsia" w:ascii="宋体" w:hAnsi="宋体" w:cs="宋体"/>
          <w:b/>
          <w:color w:val="000000"/>
          <w:sz w:val="24"/>
        </w:rPr>
        <w:t>合 同 附 件</w:t>
      </w:r>
    </w:p>
    <w:tbl>
      <w:tblPr>
        <w:tblStyle w:val="29"/>
        <w:tblW w:w="0" w:type="auto"/>
        <w:tblInd w:w="0" w:type="dxa"/>
        <w:tblLayout w:type="fixed"/>
        <w:tblCellMar>
          <w:top w:w="0" w:type="dxa"/>
          <w:left w:w="108" w:type="dxa"/>
          <w:bottom w:w="0" w:type="dxa"/>
          <w:right w:w="108" w:type="dxa"/>
        </w:tblCellMar>
      </w:tblPr>
      <w:tblGrid>
        <w:gridCol w:w="4799"/>
        <w:gridCol w:w="4829"/>
      </w:tblGrid>
      <w:tr>
        <w:tblPrEx>
          <w:tblCellMar>
            <w:top w:w="0" w:type="dxa"/>
            <w:left w:w="108" w:type="dxa"/>
            <w:bottom w:w="0" w:type="dxa"/>
            <w:right w:w="108" w:type="dxa"/>
          </w:tblCellMar>
        </w:tblPrEx>
        <w:trPr>
          <w:trHeight w:val="1226" w:hRule="atLeast"/>
        </w:trPr>
        <w:tc>
          <w:tcPr>
            <w:tcW w:w="9628" w:type="dxa"/>
            <w:gridSpan w:val="2"/>
            <w:tcBorders>
              <w:top w:val="single" w:color="auto" w:sz="4" w:space="0"/>
              <w:left w:val="single" w:color="auto" w:sz="4" w:space="0"/>
              <w:right w:val="single" w:color="auto" w:sz="4" w:space="0"/>
            </w:tcBorders>
          </w:tcPr>
          <w:p>
            <w:pPr>
              <w:snapToGrid w:val="0"/>
              <w:spacing w:line="360" w:lineRule="auto"/>
              <w:rPr>
                <w:rFonts w:ascii="宋体" w:hAnsi="宋体" w:cs="宋体"/>
                <w:b/>
                <w:color w:val="000000"/>
                <w:sz w:val="24"/>
              </w:rPr>
            </w:pPr>
            <w:r>
              <w:rPr>
                <w:rFonts w:hint="eastAsia" w:ascii="宋体" w:hAnsi="宋体" w:cs="宋体"/>
                <w:b/>
                <w:color w:val="000000"/>
                <w:sz w:val="24"/>
              </w:rPr>
              <w:t>1.供应商承诺具体事项：</w:t>
            </w:r>
          </w:p>
          <w:p>
            <w:pPr>
              <w:snapToGrid w:val="0"/>
              <w:spacing w:line="360" w:lineRule="auto"/>
              <w:ind w:firstLine="422"/>
              <w:rPr>
                <w:rFonts w:ascii="宋体" w:hAnsi="宋体" w:cs="宋体"/>
                <w:b/>
                <w:color w:val="000000"/>
                <w:sz w:val="24"/>
              </w:rPr>
            </w:pPr>
          </w:p>
          <w:p>
            <w:pPr>
              <w:snapToGrid w:val="0"/>
              <w:spacing w:line="360" w:lineRule="auto"/>
              <w:ind w:firstLine="422"/>
              <w:rPr>
                <w:rFonts w:ascii="宋体" w:hAnsi="宋体" w:cs="宋体"/>
                <w:b/>
                <w:color w:val="000000"/>
                <w:sz w:val="24"/>
              </w:rPr>
            </w:pPr>
          </w:p>
          <w:p>
            <w:pPr>
              <w:snapToGrid w:val="0"/>
              <w:spacing w:line="360" w:lineRule="auto"/>
              <w:ind w:firstLine="422"/>
              <w:rPr>
                <w:rFonts w:ascii="宋体" w:hAnsi="宋体" w:cs="宋体"/>
                <w:b/>
                <w:color w:val="000000"/>
                <w:sz w:val="24"/>
              </w:rPr>
            </w:pPr>
          </w:p>
        </w:tc>
      </w:tr>
      <w:tr>
        <w:tblPrEx>
          <w:tblCellMar>
            <w:top w:w="0" w:type="dxa"/>
            <w:left w:w="108" w:type="dxa"/>
            <w:bottom w:w="0" w:type="dxa"/>
            <w:right w:w="108" w:type="dxa"/>
          </w:tblCellMar>
        </w:tblPrEx>
        <w:trPr>
          <w:trHeight w:val="1360" w:hRule="atLeast"/>
        </w:trPr>
        <w:tc>
          <w:tcPr>
            <w:tcW w:w="9628" w:type="dxa"/>
            <w:gridSpan w:val="2"/>
            <w:tcBorders>
              <w:top w:val="single" w:color="auto" w:sz="4" w:space="0"/>
              <w:left w:val="single" w:color="auto" w:sz="4" w:space="0"/>
              <w:right w:val="single" w:color="auto" w:sz="4" w:space="0"/>
            </w:tcBorders>
          </w:tcPr>
          <w:p>
            <w:pPr>
              <w:snapToGrid w:val="0"/>
              <w:spacing w:line="360" w:lineRule="auto"/>
              <w:rPr>
                <w:rFonts w:ascii="宋体" w:hAnsi="宋体" w:cs="宋体"/>
                <w:b/>
                <w:color w:val="000000"/>
                <w:sz w:val="24"/>
              </w:rPr>
            </w:pPr>
            <w:r>
              <w:rPr>
                <w:rFonts w:hint="eastAsia" w:ascii="宋体" w:hAnsi="宋体" w:cs="宋体"/>
                <w:b/>
                <w:color w:val="000000"/>
                <w:sz w:val="24"/>
              </w:rPr>
              <w:t>2.其他具体事项：</w:t>
            </w:r>
          </w:p>
          <w:p>
            <w:pPr>
              <w:snapToGrid w:val="0"/>
              <w:spacing w:line="360" w:lineRule="auto"/>
              <w:ind w:firstLine="422"/>
              <w:rPr>
                <w:rFonts w:ascii="宋体" w:hAnsi="宋体" w:cs="宋体"/>
                <w:b/>
                <w:color w:val="000000"/>
                <w:sz w:val="24"/>
              </w:rPr>
            </w:pPr>
          </w:p>
          <w:p>
            <w:pPr>
              <w:snapToGrid w:val="0"/>
              <w:spacing w:line="360" w:lineRule="auto"/>
              <w:ind w:firstLine="422"/>
              <w:rPr>
                <w:rFonts w:ascii="宋体" w:hAnsi="宋体" w:cs="宋体"/>
                <w:b/>
                <w:color w:val="000000"/>
                <w:sz w:val="24"/>
              </w:rPr>
            </w:pPr>
          </w:p>
          <w:p>
            <w:pPr>
              <w:snapToGrid w:val="0"/>
              <w:spacing w:line="360" w:lineRule="auto"/>
              <w:ind w:firstLine="422"/>
              <w:rPr>
                <w:rFonts w:ascii="宋体" w:hAnsi="宋体" w:cs="宋体"/>
                <w:b/>
                <w:color w:val="000000"/>
                <w:sz w:val="24"/>
              </w:rPr>
            </w:pPr>
          </w:p>
        </w:tc>
      </w:tr>
      <w:tr>
        <w:tblPrEx>
          <w:tblCellMar>
            <w:top w:w="0" w:type="dxa"/>
            <w:left w:w="108" w:type="dxa"/>
            <w:bottom w:w="0" w:type="dxa"/>
            <w:right w:w="108" w:type="dxa"/>
          </w:tblCellMar>
        </w:tblPrEx>
        <w:trPr>
          <w:trHeight w:val="1703" w:hRule="atLeast"/>
        </w:trPr>
        <w:tc>
          <w:tcPr>
            <w:tcW w:w="47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rPr>
                <w:rFonts w:ascii="宋体" w:hAnsi="宋体" w:cs="宋体"/>
                <w:b/>
                <w:color w:val="000000"/>
                <w:sz w:val="24"/>
              </w:rPr>
            </w:pPr>
          </w:p>
          <w:p>
            <w:pPr>
              <w:snapToGrid w:val="0"/>
              <w:spacing w:line="360" w:lineRule="auto"/>
              <w:ind w:firstLine="422"/>
              <w:rPr>
                <w:rFonts w:ascii="宋体" w:hAnsi="宋体" w:cs="宋体"/>
                <w:b/>
                <w:color w:val="000000"/>
                <w:sz w:val="24"/>
              </w:rPr>
            </w:pPr>
          </w:p>
          <w:p>
            <w:pPr>
              <w:snapToGrid w:val="0"/>
              <w:spacing w:line="360" w:lineRule="auto"/>
              <w:ind w:firstLine="422"/>
              <w:rPr>
                <w:rFonts w:ascii="宋体" w:hAnsi="宋体" w:cs="宋体"/>
                <w:b/>
                <w:color w:val="000000"/>
                <w:sz w:val="24"/>
              </w:rPr>
            </w:pPr>
            <w:r>
              <w:rPr>
                <w:rFonts w:hint="eastAsia" w:ascii="宋体" w:hAnsi="宋体" w:cs="宋体"/>
                <w:b/>
                <w:color w:val="000000"/>
                <w:sz w:val="24"/>
              </w:rPr>
              <w:t>甲方（章）</w:t>
            </w:r>
          </w:p>
          <w:p>
            <w:pPr>
              <w:snapToGrid w:val="0"/>
              <w:spacing w:line="360" w:lineRule="auto"/>
              <w:ind w:firstLine="422"/>
              <w:rPr>
                <w:rFonts w:ascii="宋体" w:hAnsi="宋体" w:cs="宋体"/>
                <w:b/>
                <w:color w:val="000000"/>
                <w:sz w:val="24"/>
              </w:rPr>
            </w:pPr>
          </w:p>
          <w:p>
            <w:pPr>
              <w:snapToGrid w:val="0"/>
              <w:spacing w:line="360" w:lineRule="auto"/>
              <w:ind w:firstLine="422"/>
              <w:rPr>
                <w:rFonts w:ascii="宋体" w:hAnsi="宋体" w:cs="宋体"/>
                <w:b/>
                <w:color w:val="000000"/>
                <w:sz w:val="24"/>
              </w:rPr>
            </w:pPr>
          </w:p>
          <w:p>
            <w:pPr>
              <w:snapToGrid w:val="0"/>
              <w:spacing w:line="360" w:lineRule="auto"/>
              <w:ind w:firstLine="422"/>
              <w:rPr>
                <w:rFonts w:ascii="宋体" w:hAnsi="宋体" w:cs="宋体"/>
                <w:b/>
                <w:color w:val="000000"/>
                <w:sz w:val="24"/>
              </w:rPr>
            </w:pPr>
          </w:p>
          <w:p>
            <w:pPr>
              <w:snapToGrid w:val="0"/>
              <w:spacing w:line="360" w:lineRule="auto"/>
              <w:rPr>
                <w:rFonts w:ascii="宋体" w:hAnsi="宋体" w:cs="宋体"/>
                <w:b/>
                <w:color w:val="000000"/>
                <w:sz w:val="24"/>
              </w:rPr>
            </w:pPr>
          </w:p>
          <w:p>
            <w:pPr>
              <w:snapToGrid w:val="0"/>
              <w:spacing w:line="360" w:lineRule="auto"/>
              <w:ind w:firstLine="422"/>
              <w:rPr>
                <w:rFonts w:ascii="宋体" w:hAnsi="宋体" w:cs="宋体"/>
                <w:b/>
                <w:color w:val="000000"/>
                <w:sz w:val="24"/>
              </w:rPr>
            </w:pPr>
            <w:r>
              <w:rPr>
                <w:rFonts w:hint="eastAsia" w:ascii="宋体" w:hAnsi="宋体" w:cs="宋体"/>
                <w:b/>
                <w:color w:val="000000"/>
                <w:sz w:val="24"/>
              </w:rPr>
              <w:t xml:space="preserve">                 年   月   日 </w:t>
            </w:r>
          </w:p>
        </w:tc>
        <w:tc>
          <w:tcPr>
            <w:tcW w:w="48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rPr>
                <w:rFonts w:ascii="宋体" w:hAnsi="宋体" w:cs="宋体"/>
                <w:b/>
                <w:color w:val="000000"/>
                <w:sz w:val="24"/>
              </w:rPr>
            </w:pPr>
          </w:p>
          <w:p>
            <w:pPr>
              <w:snapToGrid w:val="0"/>
              <w:spacing w:line="360" w:lineRule="auto"/>
              <w:ind w:firstLine="422"/>
              <w:rPr>
                <w:rFonts w:ascii="宋体" w:hAnsi="宋体" w:cs="宋体"/>
                <w:b/>
                <w:color w:val="000000"/>
                <w:sz w:val="24"/>
              </w:rPr>
            </w:pPr>
            <w:r>
              <w:rPr>
                <w:rFonts w:hint="eastAsia" w:ascii="宋体" w:hAnsi="宋体" w:cs="宋体"/>
                <w:b/>
                <w:color w:val="000000"/>
                <w:sz w:val="24"/>
              </w:rPr>
              <w:t>乙方（章）</w:t>
            </w:r>
          </w:p>
          <w:p>
            <w:pPr>
              <w:snapToGrid w:val="0"/>
              <w:spacing w:line="360" w:lineRule="auto"/>
              <w:ind w:firstLine="422"/>
              <w:rPr>
                <w:rFonts w:ascii="宋体" w:hAnsi="宋体" w:cs="宋体"/>
                <w:b/>
                <w:color w:val="000000"/>
                <w:sz w:val="24"/>
              </w:rPr>
            </w:pPr>
          </w:p>
          <w:p>
            <w:pPr>
              <w:snapToGrid w:val="0"/>
              <w:spacing w:line="360" w:lineRule="auto"/>
              <w:ind w:firstLine="422"/>
              <w:rPr>
                <w:rFonts w:ascii="宋体" w:hAnsi="宋体" w:cs="宋体"/>
                <w:b/>
                <w:color w:val="000000"/>
                <w:sz w:val="24"/>
              </w:rPr>
            </w:pPr>
          </w:p>
          <w:p>
            <w:pPr>
              <w:snapToGrid w:val="0"/>
              <w:spacing w:line="360" w:lineRule="auto"/>
              <w:rPr>
                <w:rFonts w:ascii="宋体" w:hAnsi="宋体" w:cs="宋体"/>
                <w:b/>
                <w:color w:val="000000"/>
                <w:sz w:val="24"/>
              </w:rPr>
            </w:pPr>
          </w:p>
          <w:p>
            <w:pPr>
              <w:snapToGrid w:val="0"/>
              <w:spacing w:line="360" w:lineRule="auto"/>
              <w:ind w:firstLine="422"/>
              <w:rPr>
                <w:rFonts w:ascii="宋体" w:hAnsi="宋体" w:cs="宋体"/>
                <w:b/>
                <w:color w:val="000000"/>
                <w:sz w:val="24"/>
              </w:rPr>
            </w:pPr>
            <w:r>
              <w:rPr>
                <w:rFonts w:hint="eastAsia" w:ascii="宋体" w:hAnsi="宋体" w:cs="宋体"/>
                <w:b/>
                <w:color w:val="000000"/>
                <w:sz w:val="24"/>
              </w:rPr>
              <w:t xml:space="preserve">                年   月   日</w:t>
            </w:r>
          </w:p>
        </w:tc>
      </w:tr>
    </w:tbl>
    <w:p>
      <w:pPr>
        <w:snapToGrid w:val="0"/>
        <w:spacing w:line="360" w:lineRule="auto"/>
        <w:jc w:val="left"/>
        <w:rPr>
          <w:rFonts w:ascii="宋体" w:hAnsi="宋体" w:cs="宋体"/>
          <w:color w:val="000000"/>
          <w:sz w:val="24"/>
        </w:rPr>
      </w:pPr>
      <w:r>
        <w:rPr>
          <w:rFonts w:hint="eastAsia" w:ascii="宋体" w:hAnsi="宋体" w:cs="宋体"/>
          <w:color w:val="000000"/>
          <w:sz w:val="24"/>
        </w:rPr>
        <w:t xml:space="preserve">   注：售后服务事项填不下时可另加附页</w:t>
      </w:r>
    </w:p>
    <w:p>
      <w:pPr>
        <w:snapToGrid w:val="0"/>
        <w:spacing w:line="400" w:lineRule="exact"/>
        <w:rPr>
          <w:rFonts w:ascii="宋体" w:hAnsi="宋体" w:cs="宋体"/>
          <w:b/>
          <w:bCs/>
          <w:color w:val="000000"/>
          <w:sz w:val="24"/>
        </w:rPr>
      </w:pPr>
    </w:p>
    <w:p>
      <w:pPr>
        <w:snapToGrid w:val="0"/>
        <w:rPr>
          <w:rFonts w:ascii="宋体" w:hAnsi="宋体" w:cs="宋体"/>
          <w:color w:val="000000"/>
          <w:sz w:val="24"/>
        </w:rPr>
      </w:pPr>
    </w:p>
    <w:p>
      <w:pPr>
        <w:pStyle w:val="25"/>
        <w:ind w:firstLine="482"/>
        <w:rPr>
          <w:rFonts w:ascii="宋体" w:hAnsi="宋体" w:eastAsia="宋体" w:cs="宋体"/>
          <w:color w:val="000000"/>
          <w:szCs w:val="24"/>
          <w:lang w:eastAsia="zh-CN"/>
        </w:rPr>
      </w:pPr>
    </w:p>
    <w:p>
      <w:pPr>
        <w:spacing w:line="400" w:lineRule="exact"/>
        <w:ind w:firstLine="420"/>
        <w:rPr>
          <w:rFonts w:ascii="宋体" w:hAnsi="宋体" w:cs="宋体"/>
          <w:color w:val="000000"/>
          <w:sz w:val="24"/>
        </w:rPr>
      </w:pPr>
    </w:p>
    <w:p>
      <w:pPr>
        <w:snapToGrid w:val="0"/>
        <w:ind w:left="420" w:hanging="420" w:hangingChars="200"/>
        <w:rPr>
          <w:rFonts w:ascii="宋体" w:hAnsi="宋体" w:cs="宋体"/>
          <w:color w:val="000000"/>
          <w:szCs w:val="21"/>
        </w:rPr>
      </w:pPr>
    </w:p>
    <w:p>
      <w:pPr>
        <w:widowControl/>
        <w:jc w:val="center"/>
        <w:rPr>
          <w:rFonts w:ascii="宋体" w:hAnsi="宋体" w:cs="宋体"/>
          <w:b/>
          <w:bCs/>
          <w:color w:val="000000"/>
          <w:kern w:val="0"/>
          <w:sz w:val="36"/>
          <w:szCs w:val="36"/>
        </w:rPr>
      </w:pPr>
      <w:r>
        <w:rPr>
          <w:rFonts w:hint="eastAsia" w:hAnsi="宋体" w:cs="宋体"/>
          <w:b/>
          <w:color w:val="000000"/>
          <w:sz w:val="32"/>
        </w:rPr>
        <w:br w:type="page"/>
      </w:r>
      <w:r>
        <w:rPr>
          <w:rFonts w:hint="eastAsia" w:ascii="宋体" w:hAnsi="宋体" w:cs="宋体"/>
          <w:b/>
          <w:bCs/>
          <w:color w:val="000000"/>
          <w:kern w:val="0"/>
          <w:sz w:val="36"/>
          <w:szCs w:val="36"/>
        </w:rPr>
        <w:t>广西壮族自治区政府采购项目</w:t>
      </w:r>
      <w:r>
        <w:rPr>
          <w:rFonts w:hint="eastAsia" w:ascii="宋体" w:hAnsi="宋体" w:cs="宋体"/>
          <w:b/>
          <w:color w:val="000000"/>
          <w:kern w:val="0"/>
          <w:sz w:val="36"/>
          <w:szCs w:val="36"/>
        </w:rPr>
        <w:t>合同验收报告（格式）</w:t>
      </w:r>
    </w:p>
    <w:p>
      <w:pPr>
        <w:widowControl/>
        <w:adjustRightInd w:val="0"/>
        <w:snapToGrid w:val="0"/>
        <w:spacing w:before="100" w:beforeAutospacing="1" w:after="100" w:afterAutospacing="1" w:line="440" w:lineRule="exact"/>
        <w:ind w:firstLine="658"/>
        <w:jc w:val="left"/>
        <w:rPr>
          <w:rFonts w:ascii="宋体" w:hAnsi="宋体" w:cs="宋体"/>
          <w:color w:val="000000"/>
          <w:kern w:val="0"/>
          <w:szCs w:val="21"/>
        </w:rPr>
      </w:pPr>
      <w:r>
        <w:rPr>
          <w:rFonts w:hint="eastAsia" w:ascii="宋体" w:hAnsi="宋体" w:cs="宋体"/>
          <w:color w:val="000000"/>
          <w:kern w:val="0"/>
          <w:szCs w:val="21"/>
        </w:rPr>
        <w:t>根据政府采购项目（采购合同编号：</w:t>
      </w:r>
      <w:r>
        <w:rPr>
          <w:rFonts w:hint="eastAsia" w:ascii="宋体" w:hAnsi="宋体" w:cs="宋体"/>
          <w:color w:val="000000"/>
          <w:kern w:val="0"/>
          <w:szCs w:val="21"/>
          <w:u w:val="single"/>
        </w:rPr>
        <w:softHyphen/>
      </w:r>
      <w:r>
        <w:rPr>
          <w:rFonts w:hint="eastAsia" w:ascii="宋体" w:hAnsi="宋体" w:cs="宋体"/>
          <w:color w:val="000000"/>
          <w:kern w:val="0"/>
          <w:szCs w:val="21"/>
          <w:u w:val="single"/>
        </w:rPr>
        <w:t xml:space="preserve">    </w:t>
      </w:r>
      <w:r>
        <w:rPr>
          <w:rFonts w:hint="eastAsia" w:ascii="宋体" w:hAnsi="宋体" w:cs="宋体"/>
          <w:color w:val="000000"/>
          <w:kern w:val="0"/>
          <w:szCs w:val="21"/>
        </w:rPr>
        <w:t>）的约定，我单位对</w:t>
      </w:r>
      <w:r>
        <w:rPr>
          <w:rFonts w:hint="eastAsia" w:ascii="宋体" w:hAnsi="宋体" w:cs="宋体"/>
          <w:color w:val="000000"/>
          <w:kern w:val="0"/>
          <w:szCs w:val="21"/>
          <w:u w:val="single"/>
        </w:rPr>
        <w:t>（项目名称）</w:t>
      </w:r>
      <w:r>
        <w:rPr>
          <w:rFonts w:hint="eastAsia" w:ascii="宋体" w:hAnsi="宋体" w:cs="宋体"/>
          <w:color w:val="000000"/>
          <w:kern w:val="0"/>
          <w:szCs w:val="21"/>
        </w:rPr>
        <w:t>政府采购项目中标（或成交）供应商</w:t>
      </w:r>
      <w:r>
        <w:rPr>
          <w:rFonts w:hint="eastAsia" w:ascii="宋体" w:hAnsi="宋体" w:cs="宋体"/>
          <w:color w:val="000000"/>
          <w:kern w:val="0"/>
          <w:szCs w:val="21"/>
          <w:u w:val="single"/>
        </w:rPr>
        <w:t>（公司名称）</w:t>
      </w:r>
      <w:r>
        <w:rPr>
          <w:rFonts w:hint="eastAsia" w:ascii="宋体" w:hAnsi="宋体" w:cs="宋体"/>
          <w:color w:val="000000"/>
          <w:kern w:val="0"/>
          <w:szCs w:val="21"/>
        </w:rPr>
        <w:t>提供的货物（或工程、服务）进行了验收，验收情况如下：</w:t>
      </w:r>
    </w:p>
    <w:tbl>
      <w:tblPr>
        <w:tblStyle w:val="29"/>
        <w:tblW w:w="95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5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7" w:hRule="atLeast"/>
          <w:jc w:val="center"/>
        </w:trPr>
        <w:tc>
          <w:tcPr>
            <w:tcW w:w="3482" w:type="dxa"/>
            <w:gridSpan w:val="2"/>
            <w:vAlign w:val="center"/>
          </w:tcPr>
          <w:p>
            <w:pPr>
              <w:widowControl/>
              <w:snapToGrid w:val="0"/>
              <w:ind w:left="-3"/>
              <w:jc w:val="center"/>
              <w:rPr>
                <w:rFonts w:ascii="宋体" w:hAnsi="宋体" w:cs="宋体"/>
                <w:color w:val="000000"/>
                <w:spacing w:val="-20"/>
                <w:kern w:val="0"/>
                <w:szCs w:val="21"/>
              </w:rPr>
            </w:pPr>
            <w:r>
              <w:rPr>
                <w:rFonts w:hint="eastAsia" w:ascii="宋体" w:hAnsi="宋体" w:cs="宋体"/>
                <w:color w:val="000000"/>
                <w:kern w:val="0"/>
                <w:szCs w:val="21"/>
              </w:rPr>
              <w:t>验收方式：</w:t>
            </w:r>
          </w:p>
        </w:tc>
        <w:tc>
          <w:tcPr>
            <w:tcW w:w="6018" w:type="dxa"/>
            <w:gridSpan w:val="5"/>
            <w:vAlign w:val="center"/>
          </w:tcPr>
          <w:p>
            <w:pPr>
              <w:widowControl/>
              <w:snapToGrid w:val="0"/>
              <w:ind w:left="-3"/>
              <w:jc w:val="center"/>
              <w:rPr>
                <w:rFonts w:ascii="宋体" w:hAnsi="宋体" w:cs="宋体"/>
                <w:color w:val="000000"/>
                <w:spacing w:val="-20"/>
                <w:kern w:val="0"/>
                <w:szCs w:val="21"/>
              </w:rPr>
            </w:pPr>
            <w:r>
              <w:rPr>
                <w:rFonts w:hint="eastAsia" w:ascii="宋体" w:hAnsi="宋体" w:cs="宋体"/>
                <w:color w:val="000000"/>
                <w:kern w:val="0"/>
                <w:szCs w:val="21"/>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hAnsi="宋体" w:cs="宋体"/>
                <w:color w:val="000000"/>
                <w:spacing w:val="-20"/>
                <w:kern w:val="0"/>
                <w:szCs w:val="21"/>
              </w:rPr>
            </w:pPr>
            <w:r>
              <w:rPr>
                <w:rFonts w:hint="eastAsia" w:ascii="宋体" w:hAnsi="宋体" w:cs="宋体"/>
                <w:color w:val="000000"/>
                <w:spacing w:val="-20"/>
                <w:kern w:val="0"/>
                <w:szCs w:val="21"/>
              </w:rPr>
              <w:t>序号</w:t>
            </w:r>
          </w:p>
        </w:tc>
        <w:tc>
          <w:tcPr>
            <w:tcW w:w="1963" w:type="dxa"/>
            <w:vAlign w:val="center"/>
          </w:tcPr>
          <w:p>
            <w:pPr>
              <w:widowControl/>
              <w:snapToGrid w:val="0"/>
              <w:ind w:left="-3"/>
              <w:jc w:val="center"/>
              <w:rPr>
                <w:rFonts w:ascii="宋体" w:hAnsi="宋体" w:cs="宋体"/>
                <w:color w:val="000000"/>
                <w:spacing w:val="-20"/>
                <w:kern w:val="0"/>
                <w:szCs w:val="21"/>
              </w:rPr>
            </w:pPr>
            <w:r>
              <w:rPr>
                <w:rFonts w:hint="eastAsia" w:ascii="宋体" w:hAnsi="宋体" w:cs="宋体"/>
                <w:color w:val="000000"/>
                <w:spacing w:val="-20"/>
                <w:kern w:val="0"/>
                <w:szCs w:val="21"/>
              </w:rPr>
              <w:t>名  称</w:t>
            </w:r>
          </w:p>
        </w:tc>
        <w:tc>
          <w:tcPr>
            <w:tcW w:w="3441" w:type="dxa"/>
            <w:gridSpan w:val="2"/>
            <w:vAlign w:val="center"/>
          </w:tcPr>
          <w:p>
            <w:pPr>
              <w:widowControl/>
              <w:snapToGrid w:val="0"/>
              <w:ind w:left="-3"/>
              <w:jc w:val="center"/>
              <w:rPr>
                <w:rFonts w:ascii="宋体" w:hAnsi="宋体" w:cs="宋体"/>
                <w:color w:val="000000"/>
                <w:kern w:val="0"/>
                <w:szCs w:val="21"/>
              </w:rPr>
            </w:pPr>
            <w:r>
              <w:rPr>
                <w:rFonts w:hint="eastAsia" w:ascii="宋体" w:hAnsi="宋体" w:cs="宋体"/>
                <w:color w:val="000000"/>
                <w:kern w:val="0"/>
                <w:szCs w:val="21"/>
              </w:rPr>
              <w:t>货物型号规格、标准及配置等</w:t>
            </w:r>
          </w:p>
          <w:p>
            <w:pPr>
              <w:widowControl/>
              <w:snapToGrid w:val="0"/>
              <w:jc w:val="center"/>
              <w:rPr>
                <w:rFonts w:ascii="宋体" w:hAnsi="宋体" w:cs="宋体"/>
                <w:color w:val="000000"/>
                <w:spacing w:val="-20"/>
                <w:kern w:val="0"/>
                <w:szCs w:val="21"/>
              </w:rPr>
            </w:pPr>
            <w:r>
              <w:rPr>
                <w:rFonts w:hint="eastAsia" w:ascii="宋体" w:hAnsi="宋体" w:cs="宋体"/>
                <w:color w:val="000000"/>
                <w:kern w:val="0"/>
                <w:szCs w:val="21"/>
              </w:rPr>
              <w:t>（或服务内容、标准）</w:t>
            </w:r>
          </w:p>
        </w:tc>
        <w:tc>
          <w:tcPr>
            <w:tcW w:w="998" w:type="dxa"/>
            <w:gridSpan w:val="2"/>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数量</w:t>
            </w:r>
          </w:p>
        </w:tc>
        <w:tc>
          <w:tcPr>
            <w:tcW w:w="1579" w:type="dxa"/>
            <w:vAlign w:val="center"/>
          </w:tcPr>
          <w:p>
            <w:pPr>
              <w:widowControl/>
              <w:snapToGrid w:val="0"/>
              <w:ind w:left="-3"/>
              <w:jc w:val="center"/>
              <w:rPr>
                <w:rFonts w:ascii="宋体" w:hAnsi="宋体" w:cs="宋体"/>
                <w:color w:val="000000"/>
                <w:kern w:val="0"/>
                <w:szCs w:val="21"/>
              </w:rPr>
            </w:pPr>
            <w:r>
              <w:rPr>
                <w:rFonts w:hint="eastAsia" w:ascii="宋体" w:hAnsi="宋体" w:cs="宋体"/>
                <w:color w:val="000000"/>
                <w:kern w:val="0"/>
                <w:szCs w:val="21"/>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7" w:hRule="atLeast"/>
          <w:jc w:val="center"/>
        </w:trPr>
        <w:tc>
          <w:tcPr>
            <w:tcW w:w="1519" w:type="dxa"/>
            <w:vAlign w:val="center"/>
          </w:tcPr>
          <w:p>
            <w:pPr>
              <w:widowControl/>
              <w:snapToGrid w:val="0"/>
              <w:ind w:left="-3" w:firstLine="576"/>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c>
          <w:tcPr>
            <w:tcW w:w="1963" w:type="dxa"/>
            <w:vAlign w:val="center"/>
          </w:tcPr>
          <w:p>
            <w:pPr>
              <w:widowControl/>
              <w:snapToGrid w:val="0"/>
              <w:ind w:left="-3" w:firstLine="576"/>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c>
          <w:tcPr>
            <w:tcW w:w="3441" w:type="dxa"/>
            <w:gridSpan w:val="2"/>
            <w:vAlign w:val="center"/>
          </w:tcPr>
          <w:p>
            <w:pPr>
              <w:widowControl/>
              <w:snapToGrid w:val="0"/>
              <w:ind w:left="-3" w:firstLine="576"/>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c>
          <w:tcPr>
            <w:tcW w:w="998" w:type="dxa"/>
            <w:gridSpan w:val="2"/>
            <w:vAlign w:val="center"/>
          </w:tcPr>
          <w:p>
            <w:pPr>
              <w:widowControl/>
              <w:snapToGrid w:val="0"/>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c>
          <w:tcPr>
            <w:tcW w:w="1579" w:type="dxa"/>
            <w:vAlign w:val="center"/>
          </w:tcPr>
          <w:p>
            <w:pPr>
              <w:widowControl/>
              <w:snapToGrid w:val="0"/>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7" w:hRule="atLeast"/>
          <w:jc w:val="center"/>
        </w:trPr>
        <w:tc>
          <w:tcPr>
            <w:tcW w:w="1519" w:type="dxa"/>
            <w:vAlign w:val="center"/>
          </w:tcPr>
          <w:p>
            <w:pPr>
              <w:widowControl/>
              <w:snapToGrid w:val="0"/>
              <w:ind w:left="-3" w:firstLine="576"/>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c>
          <w:tcPr>
            <w:tcW w:w="1963" w:type="dxa"/>
            <w:vAlign w:val="center"/>
          </w:tcPr>
          <w:p>
            <w:pPr>
              <w:widowControl/>
              <w:snapToGrid w:val="0"/>
              <w:ind w:left="-3" w:firstLine="576"/>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c>
          <w:tcPr>
            <w:tcW w:w="3441" w:type="dxa"/>
            <w:gridSpan w:val="2"/>
            <w:vAlign w:val="center"/>
          </w:tcPr>
          <w:p>
            <w:pPr>
              <w:widowControl/>
              <w:snapToGrid w:val="0"/>
              <w:ind w:left="-3" w:firstLine="576"/>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c>
          <w:tcPr>
            <w:tcW w:w="998" w:type="dxa"/>
            <w:gridSpan w:val="2"/>
            <w:vAlign w:val="center"/>
          </w:tcPr>
          <w:p>
            <w:pPr>
              <w:widowControl/>
              <w:snapToGrid w:val="0"/>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c>
          <w:tcPr>
            <w:tcW w:w="1579" w:type="dxa"/>
            <w:vAlign w:val="center"/>
          </w:tcPr>
          <w:p>
            <w:pPr>
              <w:widowControl/>
              <w:snapToGrid w:val="0"/>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7" w:hRule="atLeast"/>
          <w:jc w:val="center"/>
        </w:trPr>
        <w:tc>
          <w:tcPr>
            <w:tcW w:w="1519" w:type="dxa"/>
            <w:vAlign w:val="center"/>
          </w:tcPr>
          <w:p>
            <w:pPr>
              <w:widowControl/>
              <w:snapToGrid w:val="0"/>
              <w:ind w:left="-3" w:firstLine="576"/>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c>
          <w:tcPr>
            <w:tcW w:w="1963" w:type="dxa"/>
            <w:vAlign w:val="center"/>
          </w:tcPr>
          <w:p>
            <w:pPr>
              <w:widowControl/>
              <w:snapToGrid w:val="0"/>
              <w:ind w:left="-3" w:firstLine="576"/>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c>
          <w:tcPr>
            <w:tcW w:w="3441" w:type="dxa"/>
            <w:gridSpan w:val="2"/>
            <w:vAlign w:val="center"/>
          </w:tcPr>
          <w:p>
            <w:pPr>
              <w:widowControl/>
              <w:snapToGrid w:val="0"/>
              <w:ind w:left="-3" w:firstLine="576"/>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c>
          <w:tcPr>
            <w:tcW w:w="998" w:type="dxa"/>
            <w:gridSpan w:val="2"/>
            <w:vAlign w:val="center"/>
          </w:tcPr>
          <w:p>
            <w:pPr>
              <w:widowControl/>
              <w:snapToGrid w:val="0"/>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c>
          <w:tcPr>
            <w:tcW w:w="1579" w:type="dxa"/>
            <w:vAlign w:val="center"/>
          </w:tcPr>
          <w:p>
            <w:pPr>
              <w:widowControl/>
              <w:snapToGrid w:val="0"/>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7" w:hRule="atLeast"/>
          <w:jc w:val="center"/>
        </w:trPr>
        <w:tc>
          <w:tcPr>
            <w:tcW w:w="6923" w:type="dxa"/>
            <w:gridSpan w:val="4"/>
            <w:vAlign w:val="center"/>
          </w:tcPr>
          <w:p>
            <w:pPr>
              <w:widowControl/>
              <w:snapToGrid w:val="0"/>
              <w:ind w:left="-3" w:firstLine="576"/>
              <w:jc w:val="left"/>
              <w:rPr>
                <w:rFonts w:ascii="宋体" w:hAnsi="宋体" w:cs="宋体"/>
                <w:color w:val="000000"/>
                <w:spacing w:val="-20"/>
                <w:kern w:val="0"/>
                <w:szCs w:val="21"/>
              </w:rPr>
            </w:pPr>
            <w:r>
              <w:rPr>
                <w:rFonts w:hint="eastAsia" w:ascii="宋体" w:hAnsi="宋体" w:cs="宋体"/>
                <w:color w:val="000000"/>
                <w:spacing w:val="-20"/>
                <w:kern w:val="0"/>
                <w:szCs w:val="21"/>
              </w:rPr>
              <w:t> 合计</w:t>
            </w:r>
          </w:p>
        </w:tc>
        <w:tc>
          <w:tcPr>
            <w:tcW w:w="998" w:type="dxa"/>
            <w:gridSpan w:val="2"/>
            <w:vAlign w:val="center"/>
          </w:tcPr>
          <w:p>
            <w:pPr>
              <w:widowControl/>
              <w:snapToGrid w:val="0"/>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c>
          <w:tcPr>
            <w:tcW w:w="1579" w:type="dxa"/>
            <w:vAlign w:val="center"/>
          </w:tcPr>
          <w:p>
            <w:pPr>
              <w:widowControl/>
              <w:snapToGrid w:val="0"/>
              <w:jc w:val="left"/>
              <w:rPr>
                <w:rFonts w:ascii="宋体" w:hAnsi="宋体" w:cs="宋体"/>
                <w:color w:val="000000"/>
                <w:spacing w:val="-20"/>
                <w:kern w:val="0"/>
                <w:szCs w:val="21"/>
              </w:rPr>
            </w:pPr>
            <w:r>
              <w:rPr>
                <w:rFonts w:hint="eastAsia" w:ascii="宋体" w:hAnsi="宋体" w:cs="宋体"/>
                <w:color w:val="000000"/>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87" w:hRule="atLeast"/>
          <w:jc w:val="center"/>
        </w:trPr>
        <w:tc>
          <w:tcPr>
            <w:tcW w:w="9500" w:type="dxa"/>
            <w:gridSpan w:val="7"/>
            <w:vAlign w:val="center"/>
          </w:tcPr>
          <w:p>
            <w:pPr>
              <w:widowControl/>
              <w:snapToGrid w:val="0"/>
              <w:jc w:val="left"/>
              <w:rPr>
                <w:rFonts w:ascii="宋体" w:hAnsi="宋体" w:cs="宋体"/>
                <w:color w:val="000000"/>
                <w:spacing w:val="-20"/>
                <w:kern w:val="0"/>
                <w:szCs w:val="21"/>
              </w:rPr>
            </w:pPr>
            <w:r>
              <w:rPr>
                <w:rFonts w:hint="eastAsia" w:ascii="宋体" w:hAnsi="宋体" w:cs="宋体"/>
                <w:color w:val="000000"/>
                <w:spacing w:val="-20"/>
                <w:kern w:val="0"/>
                <w:szCs w:val="21"/>
              </w:rPr>
              <w:t>合计大写金 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1" w:hRule="atLeast"/>
          <w:jc w:val="center"/>
        </w:trPr>
        <w:tc>
          <w:tcPr>
            <w:tcW w:w="1519" w:type="dxa"/>
            <w:vAlign w:val="center"/>
          </w:tcPr>
          <w:p>
            <w:pPr>
              <w:widowControl/>
              <w:snapToGrid w:val="0"/>
              <w:jc w:val="center"/>
              <w:rPr>
                <w:rFonts w:ascii="宋体" w:hAnsi="宋体" w:cs="宋体"/>
                <w:color w:val="000000"/>
                <w:spacing w:val="-20"/>
                <w:kern w:val="0"/>
                <w:szCs w:val="21"/>
              </w:rPr>
            </w:pPr>
            <w:r>
              <w:rPr>
                <w:rFonts w:hint="eastAsia" w:ascii="宋体" w:hAnsi="宋体" w:cs="宋体"/>
                <w:color w:val="000000"/>
                <w:kern w:val="0"/>
                <w:szCs w:val="21"/>
              </w:rPr>
              <w:t>实际供货日期</w:t>
            </w:r>
          </w:p>
        </w:tc>
        <w:tc>
          <w:tcPr>
            <w:tcW w:w="3542" w:type="dxa"/>
            <w:gridSpan w:val="2"/>
            <w:vAlign w:val="center"/>
          </w:tcPr>
          <w:p>
            <w:pPr>
              <w:snapToGrid w:val="0"/>
              <w:jc w:val="left"/>
              <w:rPr>
                <w:rFonts w:ascii="宋体" w:hAnsi="宋体" w:cs="宋体"/>
                <w:color w:val="000000"/>
                <w:spacing w:val="-20"/>
                <w:kern w:val="0"/>
                <w:szCs w:val="21"/>
              </w:rPr>
            </w:pPr>
          </w:p>
        </w:tc>
        <w:tc>
          <w:tcPr>
            <w:tcW w:w="2522" w:type="dxa"/>
            <w:gridSpan w:val="2"/>
            <w:vAlign w:val="center"/>
          </w:tcPr>
          <w:p>
            <w:pPr>
              <w:widowControl/>
              <w:snapToGrid w:val="0"/>
              <w:jc w:val="center"/>
              <w:rPr>
                <w:rFonts w:ascii="宋体" w:hAnsi="宋体" w:cs="宋体"/>
                <w:color w:val="000000"/>
                <w:spacing w:val="-20"/>
                <w:kern w:val="0"/>
                <w:szCs w:val="21"/>
              </w:rPr>
            </w:pPr>
            <w:r>
              <w:rPr>
                <w:rFonts w:hint="eastAsia" w:ascii="宋体" w:hAnsi="宋体" w:cs="宋体"/>
                <w:color w:val="000000"/>
                <w:kern w:val="0"/>
                <w:szCs w:val="21"/>
              </w:rPr>
              <w:t>合同交货验收日期</w:t>
            </w:r>
          </w:p>
        </w:tc>
        <w:tc>
          <w:tcPr>
            <w:tcW w:w="1917" w:type="dxa"/>
            <w:gridSpan w:val="2"/>
            <w:vAlign w:val="center"/>
          </w:tcPr>
          <w:p>
            <w:pPr>
              <w:snapToGrid w:val="0"/>
              <w:jc w:val="left"/>
              <w:rPr>
                <w:rFonts w:ascii="宋体" w:hAnsi="宋体" w:cs="宋体"/>
                <w:color w:val="000000"/>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41" w:hRule="atLeast"/>
          <w:jc w:val="center"/>
        </w:trPr>
        <w:tc>
          <w:tcPr>
            <w:tcW w:w="1519" w:type="dxa"/>
            <w:vAlign w:val="center"/>
          </w:tcPr>
          <w:p>
            <w:pPr>
              <w:widowControl/>
              <w:snapToGrid w:val="0"/>
              <w:jc w:val="center"/>
              <w:rPr>
                <w:rFonts w:ascii="宋体" w:hAnsi="宋体" w:cs="宋体"/>
                <w:color w:val="000000"/>
                <w:kern w:val="0"/>
                <w:szCs w:val="21"/>
              </w:rPr>
            </w:pPr>
          </w:p>
        </w:tc>
        <w:tc>
          <w:tcPr>
            <w:tcW w:w="3542" w:type="dxa"/>
            <w:gridSpan w:val="2"/>
            <w:vAlign w:val="center"/>
          </w:tcPr>
          <w:p>
            <w:pPr>
              <w:snapToGrid w:val="0"/>
              <w:jc w:val="left"/>
              <w:rPr>
                <w:rFonts w:ascii="宋体" w:hAnsi="宋体" w:cs="宋体"/>
                <w:color w:val="000000"/>
                <w:spacing w:val="-20"/>
                <w:kern w:val="0"/>
                <w:szCs w:val="21"/>
              </w:rPr>
            </w:pPr>
          </w:p>
        </w:tc>
        <w:tc>
          <w:tcPr>
            <w:tcW w:w="2522" w:type="dxa"/>
            <w:gridSpan w:val="2"/>
            <w:vAlign w:val="center"/>
          </w:tcPr>
          <w:p>
            <w:pPr>
              <w:widowControl/>
              <w:snapToGrid w:val="0"/>
              <w:jc w:val="center"/>
              <w:rPr>
                <w:rFonts w:ascii="宋体" w:hAnsi="宋体" w:cs="宋体"/>
                <w:color w:val="000000"/>
                <w:kern w:val="0"/>
                <w:szCs w:val="21"/>
              </w:rPr>
            </w:pPr>
          </w:p>
        </w:tc>
        <w:tc>
          <w:tcPr>
            <w:tcW w:w="1917" w:type="dxa"/>
            <w:gridSpan w:val="2"/>
            <w:vAlign w:val="center"/>
          </w:tcPr>
          <w:p>
            <w:pPr>
              <w:snapToGrid w:val="0"/>
              <w:jc w:val="left"/>
              <w:rPr>
                <w:rFonts w:ascii="宋体" w:hAnsi="宋体" w:cs="宋体"/>
                <w:color w:val="000000"/>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93" w:hRule="atLeast"/>
          <w:jc w:val="center"/>
        </w:trPr>
        <w:tc>
          <w:tcPr>
            <w:tcW w:w="1519" w:type="dxa"/>
            <w:tcMar>
              <w:top w:w="0" w:type="dxa"/>
              <w:left w:w="108" w:type="dxa"/>
              <w:bottom w:w="0" w:type="dxa"/>
              <w:right w:w="108" w:type="dxa"/>
            </w:tcMar>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验收具体内容</w:t>
            </w:r>
          </w:p>
        </w:tc>
        <w:tc>
          <w:tcPr>
            <w:tcW w:w="7981" w:type="dxa"/>
            <w:gridSpan w:val="6"/>
            <w:tcMar>
              <w:top w:w="0" w:type="dxa"/>
              <w:left w:w="108" w:type="dxa"/>
              <w:bottom w:w="0" w:type="dxa"/>
              <w:right w:w="108" w:type="dxa"/>
            </w:tcMar>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 （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9" w:hRule="atLeast"/>
          <w:jc w:val="center"/>
        </w:trPr>
        <w:tc>
          <w:tcPr>
            <w:tcW w:w="1519" w:type="dxa"/>
            <w:vMerge w:val="restart"/>
            <w:tcMar>
              <w:top w:w="0" w:type="dxa"/>
              <w:left w:w="108" w:type="dxa"/>
              <w:bottom w:w="0" w:type="dxa"/>
              <w:right w:w="108" w:type="dxa"/>
            </w:tcMar>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验收小组意见</w:t>
            </w:r>
          </w:p>
        </w:tc>
        <w:tc>
          <w:tcPr>
            <w:tcW w:w="7981" w:type="dxa"/>
            <w:gridSpan w:val="6"/>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 验收结论性意见：</w:t>
            </w:r>
          </w:p>
          <w:p>
            <w:pPr>
              <w:widowControl/>
              <w:snapToGrid w:val="0"/>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4" w:hRule="atLeast"/>
          <w:jc w:val="center"/>
        </w:trPr>
        <w:tc>
          <w:tcPr>
            <w:tcW w:w="1519" w:type="dxa"/>
            <w:vMerge w:val="continue"/>
            <w:tcMar>
              <w:top w:w="0" w:type="dxa"/>
              <w:left w:w="108" w:type="dxa"/>
              <w:bottom w:w="0" w:type="dxa"/>
              <w:right w:w="108" w:type="dxa"/>
            </w:tcMar>
            <w:vAlign w:val="center"/>
          </w:tcPr>
          <w:p>
            <w:pPr>
              <w:widowControl/>
              <w:snapToGrid w:val="0"/>
              <w:jc w:val="center"/>
              <w:rPr>
                <w:rFonts w:ascii="宋体" w:hAnsi="宋体" w:cs="宋体"/>
                <w:color w:val="000000"/>
                <w:kern w:val="0"/>
                <w:szCs w:val="21"/>
              </w:rPr>
            </w:pPr>
          </w:p>
        </w:tc>
        <w:tc>
          <w:tcPr>
            <w:tcW w:w="7981" w:type="dxa"/>
            <w:gridSpan w:val="6"/>
            <w:vAlign w:val="center"/>
          </w:tcPr>
          <w:p>
            <w:pPr>
              <w:widowControl/>
              <w:snapToGrid w:val="0"/>
              <w:ind w:firstLine="210" w:firstLineChars="100"/>
              <w:jc w:val="left"/>
              <w:rPr>
                <w:rFonts w:ascii="宋体" w:hAnsi="宋体" w:cs="宋体"/>
                <w:color w:val="000000"/>
                <w:kern w:val="0"/>
                <w:szCs w:val="21"/>
              </w:rPr>
            </w:pPr>
            <w:r>
              <w:rPr>
                <w:rFonts w:hint="eastAsia" w:ascii="宋体" w:hAnsi="宋体" w:cs="宋体"/>
                <w:color w:val="000000"/>
                <w:kern w:val="0"/>
                <w:szCs w:val="21"/>
              </w:rPr>
              <w:t>有异议的意见和说明理由：</w:t>
            </w:r>
          </w:p>
          <w:p>
            <w:pPr>
              <w:widowControl/>
              <w:snapToGrid w:val="0"/>
              <w:jc w:val="left"/>
              <w:rPr>
                <w:rFonts w:ascii="宋体" w:hAnsi="宋体" w:cs="宋体"/>
                <w:color w:val="000000"/>
                <w:kern w:val="0"/>
                <w:szCs w:val="21"/>
              </w:rPr>
            </w:pPr>
            <w:r>
              <w:rPr>
                <w:rFonts w:hint="eastAsia" w:ascii="宋体" w:hAnsi="宋体" w:cs="宋体"/>
                <w:color w:val="000000"/>
                <w:kern w:val="0"/>
                <w:szCs w:val="21"/>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500" w:type="dxa"/>
            <w:gridSpan w:val="7"/>
            <w:tcMar>
              <w:top w:w="0" w:type="dxa"/>
              <w:left w:w="108" w:type="dxa"/>
              <w:bottom w:w="0" w:type="dxa"/>
              <w:right w:w="108" w:type="dxa"/>
            </w:tcMar>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6" w:hRule="atLeast"/>
          <w:jc w:val="center"/>
        </w:trPr>
        <w:tc>
          <w:tcPr>
            <w:tcW w:w="9500" w:type="dxa"/>
            <w:gridSpan w:val="7"/>
            <w:tcMar>
              <w:top w:w="0" w:type="dxa"/>
              <w:left w:w="108" w:type="dxa"/>
              <w:bottom w:w="0" w:type="dxa"/>
              <w:right w:w="108" w:type="dxa"/>
            </w:tcMar>
            <w:vAlign w:val="center"/>
          </w:tcPr>
          <w:p>
            <w:pPr>
              <w:widowControl/>
              <w:snapToGrid w:val="0"/>
              <w:jc w:val="left"/>
              <w:rPr>
                <w:rFonts w:ascii="宋体" w:hAnsi="宋体" w:cs="宋体"/>
                <w:color w:val="000000"/>
                <w:spacing w:val="-20"/>
                <w:kern w:val="0"/>
                <w:szCs w:val="21"/>
              </w:rPr>
            </w:pPr>
            <w:r>
              <w:rPr>
                <w:rFonts w:hint="eastAsia" w:ascii="宋体" w:hAnsi="宋体" w:cs="宋体"/>
                <w:color w:val="000000"/>
                <w:spacing w:val="-20"/>
                <w:kern w:val="0"/>
                <w:szCs w:val="21"/>
              </w:rPr>
              <w:t>监督人员或其他相关人员签字：</w:t>
            </w:r>
          </w:p>
          <w:p>
            <w:pPr>
              <w:widowControl/>
              <w:snapToGrid w:val="0"/>
              <w:jc w:val="left"/>
              <w:rPr>
                <w:rFonts w:ascii="宋体" w:hAnsi="宋体" w:cs="宋体"/>
                <w:color w:val="000000"/>
                <w:spacing w:val="-20"/>
                <w:kern w:val="0"/>
                <w:szCs w:val="21"/>
              </w:rPr>
            </w:pPr>
          </w:p>
          <w:p>
            <w:pPr>
              <w:widowControl/>
              <w:snapToGrid w:val="0"/>
              <w:jc w:val="left"/>
              <w:rPr>
                <w:rFonts w:ascii="宋体" w:hAnsi="宋体" w:cs="宋体"/>
                <w:color w:val="000000"/>
                <w:spacing w:val="-20"/>
                <w:kern w:val="0"/>
                <w:szCs w:val="21"/>
              </w:rPr>
            </w:pPr>
            <w:r>
              <w:rPr>
                <w:rFonts w:hint="eastAsia" w:ascii="宋体" w:hAnsi="宋体" w:cs="宋体"/>
                <w:color w:val="000000"/>
                <w:spacing w:val="-20"/>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snapToGrid w:val="0"/>
              <w:jc w:val="left"/>
              <w:rPr>
                <w:rFonts w:ascii="宋体" w:hAnsi="宋体" w:cs="宋体"/>
                <w:color w:val="000000"/>
                <w:kern w:val="0"/>
                <w:szCs w:val="21"/>
              </w:rPr>
            </w:pPr>
            <w:r>
              <w:rPr>
                <w:rFonts w:hint="eastAsia" w:ascii="宋体" w:hAnsi="宋体" w:cs="宋体"/>
                <w:color w:val="000000"/>
                <w:kern w:val="0"/>
                <w:szCs w:val="21"/>
              </w:rPr>
              <w:t>中标或者成交供应商负责人签字或盖章：</w:t>
            </w:r>
          </w:p>
          <w:p>
            <w:pPr>
              <w:widowControl/>
              <w:snapToGrid w:val="0"/>
              <w:jc w:val="left"/>
              <w:rPr>
                <w:rFonts w:ascii="宋体" w:hAnsi="宋体" w:cs="宋体"/>
                <w:color w:val="000000"/>
                <w:kern w:val="0"/>
                <w:szCs w:val="21"/>
              </w:rPr>
            </w:pPr>
            <w:r>
              <w:rPr>
                <w:rFonts w:hint="eastAsia" w:ascii="宋体" w:hAnsi="宋体" w:cs="宋体"/>
                <w:color w:val="000000"/>
                <w:kern w:val="0"/>
                <w:szCs w:val="21"/>
              </w:rPr>
              <w:t>联系电话：         </w:t>
            </w:r>
          </w:p>
          <w:p>
            <w:pPr>
              <w:widowControl/>
              <w:snapToGrid w:val="0"/>
              <w:ind w:firstLine="3150" w:firstLineChars="1500"/>
              <w:jc w:val="right"/>
              <w:rPr>
                <w:rFonts w:ascii="宋体" w:hAnsi="宋体" w:cs="宋体"/>
                <w:color w:val="000000"/>
                <w:spacing w:val="-20"/>
                <w:kern w:val="0"/>
                <w:szCs w:val="21"/>
              </w:rPr>
            </w:pPr>
            <w:r>
              <w:rPr>
                <w:rFonts w:hint="eastAsia" w:ascii="宋体" w:hAnsi="宋体" w:cs="宋体"/>
                <w:color w:val="000000"/>
                <w:kern w:val="0"/>
                <w:szCs w:val="21"/>
              </w:rPr>
              <w:t>年   月   日</w:t>
            </w:r>
          </w:p>
        </w:tc>
        <w:tc>
          <w:tcPr>
            <w:tcW w:w="4439" w:type="dxa"/>
            <w:gridSpan w:val="4"/>
            <w:vAlign w:val="center"/>
          </w:tcPr>
          <w:p>
            <w:pPr>
              <w:widowControl/>
              <w:snapToGrid w:val="0"/>
              <w:jc w:val="left"/>
              <w:rPr>
                <w:rFonts w:ascii="宋体" w:hAnsi="宋体" w:cs="宋体"/>
                <w:color w:val="000000"/>
                <w:spacing w:val="-20"/>
                <w:kern w:val="0"/>
                <w:szCs w:val="21"/>
              </w:rPr>
            </w:pPr>
            <w:r>
              <w:rPr>
                <w:rFonts w:hint="eastAsia" w:ascii="宋体" w:hAnsi="宋体" w:cs="宋体"/>
                <w:color w:val="000000"/>
                <w:spacing w:val="-20"/>
                <w:kern w:val="0"/>
                <w:szCs w:val="21"/>
              </w:rPr>
              <w:t>采购人或受托机构的意见（盖章）：</w:t>
            </w:r>
          </w:p>
          <w:p>
            <w:pPr>
              <w:widowControl/>
              <w:snapToGrid w:val="0"/>
              <w:jc w:val="left"/>
              <w:rPr>
                <w:rFonts w:ascii="宋体" w:hAnsi="宋体" w:cs="宋体"/>
                <w:color w:val="000000"/>
                <w:kern w:val="0"/>
                <w:szCs w:val="21"/>
              </w:rPr>
            </w:pPr>
            <w:r>
              <w:rPr>
                <w:rFonts w:hint="eastAsia" w:ascii="宋体" w:hAnsi="宋体" w:cs="宋体"/>
                <w:color w:val="000000"/>
                <w:spacing w:val="-20"/>
                <w:kern w:val="0"/>
                <w:szCs w:val="21"/>
              </w:rPr>
              <w:t>联系电话：</w:t>
            </w:r>
          </w:p>
          <w:p>
            <w:pPr>
              <w:widowControl/>
              <w:snapToGrid w:val="0"/>
              <w:jc w:val="right"/>
              <w:rPr>
                <w:rFonts w:ascii="宋体" w:hAnsi="宋体" w:cs="宋体"/>
                <w:color w:val="000000"/>
                <w:spacing w:val="-20"/>
                <w:kern w:val="0"/>
                <w:szCs w:val="21"/>
              </w:rPr>
            </w:pPr>
            <w:r>
              <w:rPr>
                <w:rFonts w:hint="eastAsia" w:ascii="宋体" w:hAnsi="宋体" w:cs="宋体"/>
                <w:color w:val="000000"/>
                <w:kern w:val="0"/>
                <w:szCs w:val="21"/>
              </w:rPr>
              <w:t>年  月  日</w:t>
            </w:r>
          </w:p>
        </w:tc>
      </w:tr>
    </w:tbl>
    <w:p>
      <w:pPr>
        <w:spacing w:line="340" w:lineRule="exact"/>
        <w:rPr>
          <w:rFonts w:ascii="宋体" w:hAnsi="宋体" w:cs="宋体"/>
          <w:b/>
          <w:bCs/>
          <w:color w:val="000000"/>
          <w:sz w:val="32"/>
          <w:szCs w:val="32"/>
        </w:rPr>
      </w:pPr>
      <w:r>
        <w:rPr>
          <w:rFonts w:hint="eastAsia" w:ascii="宋体" w:hAnsi="宋体" w:cs="宋体"/>
          <w:color w:val="000000"/>
          <w:sz w:val="18"/>
          <w:szCs w:val="18"/>
        </w:rPr>
        <w:t>备注：本报告单一式4份（采购单位1份、供应商1份、采购监督部门备案1份、采购代理机构1份）。</w:t>
      </w:r>
    </w:p>
    <w:p>
      <w:pPr>
        <w:spacing w:line="340" w:lineRule="exact"/>
        <w:rPr>
          <w:rFonts w:hAnsi="宋体"/>
          <w:b/>
          <w:bCs/>
          <w:color w:val="000000"/>
          <w:sz w:val="32"/>
          <w:szCs w:val="32"/>
        </w:rPr>
      </w:pPr>
    </w:p>
    <w:p>
      <w:pPr>
        <w:jc w:val="center"/>
        <w:rPr>
          <w:rFonts w:ascii="宋体" w:hAnsi="宋体" w:cs="宋体"/>
          <w:color w:val="000000"/>
        </w:rPr>
      </w:pPr>
    </w:p>
    <w:p>
      <w:pPr>
        <w:snapToGrid w:val="0"/>
        <w:spacing w:before="120" w:after="120" w:line="360" w:lineRule="auto"/>
        <w:jc w:val="center"/>
        <w:outlineLvl w:val="0"/>
        <w:rPr>
          <w:rFonts w:hAnsi="宋体" w:cs="宋体"/>
          <w:b/>
          <w:bCs/>
          <w:color w:val="000000"/>
          <w:sz w:val="28"/>
        </w:rPr>
      </w:pPr>
      <w:r>
        <w:rPr>
          <w:rFonts w:hint="eastAsia" w:ascii="宋体" w:hAnsi="宋体" w:cs="宋体"/>
          <w:color w:val="000000"/>
        </w:rPr>
        <w:t xml:space="preserve"> </w:t>
      </w:r>
    </w:p>
    <w:p>
      <w:pPr>
        <w:pStyle w:val="3"/>
        <w:numPr>
          <w:ilvl w:val="0"/>
          <w:numId w:val="4"/>
        </w:numPr>
        <w:spacing w:line="560" w:lineRule="exact"/>
        <w:jc w:val="center"/>
        <w:rPr>
          <w:rFonts w:ascii="宋体" w:hAnsi="宋体" w:cs="宋体"/>
          <w:bCs/>
          <w:color w:val="000000"/>
          <w:sz w:val="44"/>
        </w:rPr>
      </w:pPr>
      <w:r>
        <w:rPr>
          <w:rFonts w:hint="eastAsia" w:ascii="宋体" w:hAnsi="宋体" w:cs="宋体"/>
          <w:bCs/>
          <w:color w:val="000000"/>
          <w:sz w:val="44"/>
        </w:rPr>
        <w:t xml:space="preserve">  评标方法</w:t>
      </w:r>
    </w:p>
    <w:p>
      <w:pPr>
        <w:rPr>
          <w:color w:val="000000"/>
        </w:rPr>
      </w:pPr>
    </w:p>
    <w:p>
      <w:pPr>
        <w:pStyle w:val="13"/>
        <w:spacing w:line="400" w:lineRule="exact"/>
        <w:jc w:val="center"/>
        <w:rPr>
          <w:rFonts w:hAnsi="宋体" w:cs="宋体"/>
          <w:b/>
          <w:bCs/>
          <w:color w:val="000000"/>
          <w:sz w:val="28"/>
        </w:rPr>
      </w:pPr>
      <w:r>
        <w:rPr>
          <w:rFonts w:hint="eastAsia" w:hAnsi="宋体" w:cs="宋体"/>
          <w:b/>
          <w:bCs/>
          <w:color w:val="000000"/>
          <w:sz w:val="28"/>
        </w:rPr>
        <w:t>评标方法和成交标准</w:t>
      </w:r>
    </w:p>
    <w:p>
      <w:pPr>
        <w:spacing w:before="156" w:beforeLines="50" w:line="400" w:lineRule="exact"/>
        <w:rPr>
          <w:rFonts w:ascii="宋体" w:hAnsi="宋体" w:cs="宋体"/>
          <w:b/>
          <w:color w:val="000000"/>
          <w:sz w:val="24"/>
        </w:rPr>
      </w:pPr>
      <w:r>
        <w:rPr>
          <w:rFonts w:hint="eastAsia" w:ascii="宋体" w:hAnsi="宋体" w:cs="宋体"/>
          <w:b/>
          <w:color w:val="000000"/>
          <w:sz w:val="24"/>
        </w:rPr>
        <w:t>一、评标原则</w:t>
      </w:r>
    </w:p>
    <w:p>
      <w:pPr>
        <w:spacing w:line="400" w:lineRule="exact"/>
        <w:ind w:left="720" w:hanging="720" w:hangingChars="300"/>
        <w:rPr>
          <w:rFonts w:ascii="宋体" w:hAnsi="宋体" w:cs="宋体"/>
          <w:color w:val="000000"/>
          <w:sz w:val="24"/>
        </w:rPr>
      </w:pPr>
      <w:r>
        <w:rPr>
          <w:rFonts w:hint="eastAsia" w:ascii="宋体" w:hAnsi="宋体" w:cs="宋体"/>
          <w:color w:val="000000"/>
          <w:sz w:val="24"/>
        </w:rPr>
        <w:t>（一）谈判（评标）小组构成：谈判小组成员由采购人代表和在</w:t>
      </w:r>
      <w:r>
        <w:rPr>
          <w:rFonts w:hint="eastAsia" w:ascii="宋体" w:hAnsi="宋体" w:cs="宋体"/>
          <w:bCs/>
          <w:color w:val="000000"/>
          <w:sz w:val="24"/>
        </w:rPr>
        <w:t>政府采购专家库中随机抽取</w:t>
      </w:r>
      <w:r>
        <w:rPr>
          <w:rFonts w:hint="eastAsia" w:ascii="宋体" w:hAnsi="宋体" w:cs="宋体"/>
          <w:color w:val="000000"/>
          <w:sz w:val="24"/>
        </w:rPr>
        <w:t>的有关技术、经济等方面专家组成，成员人数为三人以上（含三人）单数组成，其中技术、经济等方面专家不少于成员总数的三分之二。</w:t>
      </w:r>
    </w:p>
    <w:p>
      <w:pPr>
        <w:spacing w:line="400" w:lineRule="exact"/>
        <w:ind w:left="720" w:hanging="720" w:hangingChars="300"/>
        <w:rPr>
          <w:rFonts w:ascii="宋体" w:hAnsi="宋体" w:cs="宋体"/>
          <w:color w:val="000000"/>
          <w:sz w:val="24"/>
        </w:rPr>
      </w:pPr>
      <w:r>
        <w:rPr>
          <w:rFonts w:hint="eastAsia" w:ascii="宋体" w:hAnsi="宋体" w:cs="宋体"/>
          <w:color w:val="000000"/>
          <w:sz w:val="24"/>
        </w:rPr>
        <w:t>（二）评标依据：以竞争性谈判文件和响应文件为评审依据。</w:t>
      </w:r>
    </w:p>
    <w:p>
      <w:pPr>
        <w:spacing w:line="400" w:lineRule="exact"/>
        <w:ind w:left="720" w:hanging="720" w:hangingChars="300"/>
        <w:rPr>
          <w:rFonts w:ascii="宋体" w:hAnsi="宋体" w:cs="宋体"/>
          <w:color w:val="000000"/>
          <w:kern w:val="0"/>
          <w:sz w:val="24"/>
        </w:rPr>
      </w:pPr>
      <w:r>
        <w:rPr>
          <w:rFonts w:hint="eastAsia" w:ascii="宋体" w:hAnsi="宋体" w:cs="宋体"/>
          <w:color w:val="000000"/>
          <w:sz w:val="24"/>
        </w:rPr>
        <w:t>（三）评审方法：谈判小组应当从质量和服务均能满足采购文件实质性响应要求的供应商中，按照最后报价由低到高的顺序提出3名成交候选人</w:t>
      </w:r>
      <w:r>
        <w:rPr>
          <w:rFonts w:hint="eastAsia" w:ascii="宋体" w:hAnsi="宋体" w:cs="宋体"/>
          <w:color w:val="000000"/>
          <w:kern w:val="0"/>
          <w:sz w:val="24"/>
        </w:rPr>
        <w:t>。</w:t>
      </w:r>
    </w:p>
    <w:p>
      <w:pPr>
        <w:spacing w:before="156" w:beforeLines="50" w:line="400" w:lineRule="exact"/>
        <w:rPr>
          <w:rFonts w:ascii="宋体" w:hAnsi="宋体" w:cs="宋体"/>
          <w:b/>
          <w:color w:val="000000"/>
          <w:sz w:val="24"/>
        </w:rPr>
      </w:pPr>
      <w:r>
        <w:rPr>
          <w:rFonts w:hint="eastAsia" w:ascii="宋体" w:hAnsi="宋体" w:cs="宋体"/>
          <w:b/>
          <w:color w:val="000000"/>
          <w:sz w:val="24"/>
        </w:rPr>
        <w:t>二、评定方法</w:t>
      </w:r>
    </w:p>
    <w:p>
      <w:pPr>
        <w:pStyle w:val="13"/>
        <w:spacing w:line="400" w:lineRule="exact"/>
        <w:ind w:firstLine="430"/>
        <w:rPr>
          <w:rFonts w:hAnsi="宋体" w:cs="宋体"/>
          <w:bCs/>
          <w:color w:val="000000"/>
          <w:sz w:val="24"/>
          <w:szCs w:val="24"/>
        </w:rPr>
      </w:pPr>
      <w:r>
        <w:rPr>
          <w:rFonts w:hint="eastAsia" w:hAnsi="宋体" w:cs="宋体"/>
          <w:bCs/>
          <w:color w:val="000000"/>
          <w:sz w:val="24"/>
          <w:szCs w:val="24"/>
        </w:rPr>
        <w:t>在通过资格性审查和符合性审查、质量和服务均能满足谈判文件全部实质性响应要求的最终报价基础上，供应商符合以下情形之一的，对其最终报价将给予相应比例的扣除，用扣除后的价格参与评审。未按要求填写和提供有效证明或相关内容表述不清的，不得享受价格扣除。</w:t>
      </w:r>
    </w:p>
    <w:p>
      <w:pPr>
        <w:pStyle w:val="13"/>
        <w:spacing w:line="400" w:lineRule="exact"/>
        <w:ind w:firstLine="430"/>
        <w:rPr>
          <w:rFonts w:hAnsi="宋体" w:cs="宋体"/>
          <w:color w:val="000000"/>
          <w:kern w:val="0"/>
          <w:sz w:val="24"/>
          <w:szCs w:val="24"/>
        </w:rPr>
      </w:pPr>
      <w:r>
        <w:rPr>
          <w:rFonts w:hint="eastAsia" w:hAnsi="宋体" w:cs="宋体"/>
          <w:color w:val="000000"/>
          <w:kern w:val="0"/>
          <w:sz w:val="24"/>
          <w:szCs w:val="24"/>
        </w:rPr>
        <w:t>1、</w:t>
      </w:r>
      <w:r>
        <w:rPr>
          <w:rFonts w:hint="eastAsia" w:hAnsi="宋体" w:cs="宋体"/>
          <w:color w:val="000000"/>
          <w:sz w:val="24"/>
        </w:rPr>
        <w:t>根据《政府采购促进中小企业发展管理办法》的通知，本项目将对符合要求的供应商的价格给予10％的扣除。</w:t>
      </w:r>
      <w:r>
        <w:rPr>
          <w:rFonts w:hint="eastAsia" w:hAnsi="宋体" w:cs="宋体"/>
          <w:bCs/>
          <w:color w:val="000000"/>
          <w:kern w:val="0"/>
          <w:sz w:val="24"/>
        </w:rPr>
        <w:t>（具体要求详见《中小企业声明函》（格式见第六章）），《中小企业声明函》需提供原件</w:t>
      </w:r>
      <w:r>
        <w:rPr>
          <w:rFonts w:hint="eastAsia" w:hAnsi="宋体" w:cs="宋体"/>
          <w:color w:val="000000"/>
          <w:kern w:val="0"/>
          <w:sz w:val="24"/>
        </w:rPr>
        <w:t>。</w:t>
      </w:r>
    </w:p>
    <w:p>
      <w:pPr>
        <w:pStyle w:val="13"/>
        <w:spacing w:line="400" w:lineRule="exact"/>
        <w:ind w:firstLine="430"/>
        <w:rPr>
          <w:rFonts w:hAnsi="宋体" w:cs="宋体"/>
          <w:color w:val="000000"/>
          <w:kern w:val="0"/>
          <w:sz w:val="24"/>
          <w:szCs w:val="24"/>
        </w:rPr>
      </w:pPr>
      <w:r>
        <w:rPr>
          <w:rFonts w:hint="eastAsia" w:hAnsi="宋体" w:cs="宋体"/>
          <w:color w:val="000000"/>
          <w:kern w:val="0"/>
          <w:sz w:val="24"/>
          <w:szCs w:val="24"/>
        </w:rPr>
        <w:t>2、供应商符合《关于促进残疾人就业政府采购政策的通知》（财库〔2017〕141号）规定，提供《残疾人福利性单位声明函》（格式见第六章），享受小型、微型企业政策，评审时竞标价格给予10%的扣除。残疾人福利性单位属于小型、微型企业的，不重复享受政策。</w:t>
      </w:r>
    </w:p>
    <w:p>
      <w:pPr>
        <w:pStyle w:val="13"/>
        <w:spacing w:line="400" w:lineRule="exact"/>
        <w:ind w:firstLine="430"/>
        <w:rPr>
          <w:rFonts w:hAnsi="宋体" w:cs="宋体"/>
          <w:color w:val="000000"/>
          <w:kern w:val="0"/>
          <w:sz w:val="24"/>
          <w:szCs w:val="24"/>
        </w:rPr>
      </w:pPr>
      <w:r>
        <w:rPr>
          <w:rFonts w:hint="eastAsia" w:hAnsi="宋体" w:cs="宋体"/>
          <w:color w:val="000000"/>
          <w:kern w:val="0"/>
          <w:sz w:val="24"/>
          <w:szCs w:val="24"/>
        </w:rPr>
        <w:t>3、根据《财政部、司法部关于印发&lt;政府采购关于支持监狱企业发展有关问题&gt;》的通知（财库〔2014〕68号），监狱企业视同小型、微型企业，享受预留份额、评审中价格扣除等政府采购支持中小企业发展的政府采购政策，评审时竞标价格给予10%的扣除。监狱企业参加政府采购活动时，应当提供由省级以上监狱管理局、戒毒管理局（含新疆生产建设兵团）出具的属于监狱企业的证明文件。</w:t>
      </w:r>
    </w:p>
    <w:p>
      <w:pPr>
        <w:pStyle w:val="13"/>
        <w:spacing w:line="400" w:lineRule="exact"/>
        <w:ind w:firstLine="430"/>
        <w:rPr>
          <w:rFonts w:hAnsi="宋体" w:cs="宋体"/>
          <w:color w:val="000000"/>
          <w:kern w:val="0"/>
          <w:sz w:val="24"/>
          <w:szCs w:val="24"/>
        </w:rPr>
      </w:pPr>
      <w:r>
        <w:rPr>
          <w:rFonts w:hint="eastAsia" w:hAnsi="宋体" w:cs="宋体"/>
          <w:color w:val="000000"/>
          <w:kern w:val="0"/>
          <w:sz w:val="24"/>
          <w:szCs w:val="24"/>
        </w:rPr>
        <w:t>供应商属两种情形以上的，其只能享受竞标价格一次性10%的扣除，不重复享受政策。</w:t>
      </w:r>
    </w:p>
    <w:p>
      <w:pPr>
        <w:pStyle w:val="13"/>
        <w:spacing w:line="400" w:lineRule="exact"/>
        <w:ind w:firstLine="430"/>
        <w:rPr>
          <w:rFonts w:hAnsi="宋体" w:cs="宋体"/>
          <w:color w:val="000000"/>
          <w:kern w:val="0"/>
          <w:sz w:val="24"/>
          <w:szCs w:val="24"/>
        </w:rPr>
      </w:pPr>
      <w:r>
        <w:rPr>
          <w:rFonts w:hint="eastAsia" w:hAnsi="宋体" w:cs="宋体"/>
          <w:color w:val="000000"/>
          <w:kern w:val="0"/>
          <w:sz w:val="24"/>
          <w:szCs w:val="24"/>
        </w:rPr>
        <w:t>除上述情况外，供应商评审价格 = 最终报价。扣除后的最终报价将仅作为评审价排序，最终成交价为供应商的最终报价。</w:t>
      </w:r>
    </w:p>
    <w:p>
      <w:pPr>
        <w:spacing w:before="156" w:beforeLines="50" w:line="400" w:lineRule="exact"/>
        <w:rPr>
          <w:rFonts w:ascii="宋体" w:hAnsi="宋体" w:cs="宋体"/>
          <w:b/>
          <w:color w:val="000000"/>
          <w:sz w:val="24"/>
        </w:rPr>
      </w:pPr>
      <w:r>
        <w:rPr>
          <w:rFonts w:hint="eastAsia" w:ascii="宋体" w:hAnsi="宋体" w:cs="宋体"/>
          <w:b/>
          <w:color w:val="000000"/>
          <w:sz w:val="24"/>
        </w:rPr>
        <w:t>三、推荐成交候选供应商</w:t>
      </w:r>
    </w:p>
    <w:p>
      <w:pPr>
        <w:spacing w:line="400" w:lineRule="exact"/>
        <w:ind w:firstLine="480" w:firstLineChars="200"/>
        <w:rPr>
          <w:rFonts w:ascii="宋体" w:hAnsi="宋体" w:cs="宋体"/>
          <w:color w:val="000000"/>
          <w:sz w:val="24"/>
          <w:lang w:bidi="ar"/>
        </w:rPr>
      </w:pPr>
      <w:r>
        <w:rPr>
          <w:rFonts w:hint="eastAsia" w:ascii="宋体" w:hAnsi="宋体" w:cs="宋体"/>
          <w:color w:val="000000"/>
          <w:kern w:val="0"/>
          <w:sz w:val="24"/>
        </w:rPr>
        <w:t>谈判小组从质量和服务均能满足谈判文件全部实质性响应要求的供应商中，按照评审报价（最后报价及享受政府采购政策的优惠扣除）由低到高的顺序推荐3名成交候选供应商，</w:t>
      </w:r>
      <w:r>
        <w:rPr>
          <w:rFonts w:hint="eastAsia" w:ascii="宋体" w:hAnsi="宋体" w:cs="宋体"/>
          <w:color w:val="000000"/>
          <w:sz w:val="24"/>
        </w:rPr>
        <w:t>评审价格相同的，按最终报价由低到高顺序排序；当</w:t>
      </w:r>
      <w:r>
        <w:rPr>
          <w:rFonts w:hint="eastAsia" w:ascii="宋体" w:hAnsi="宋体" w:cs="宋体"/>
          <w:color w:val="000000"/>
          <w:sz w:val="24"/>
          <w:lang w:bidi="ar"/>
        </w:rPr>
        <w:t>评审价格且</w:t>
      </w:r>
      <w:r>
        <w:rPr>
          <w:rFonts w:hint="eastAsia" w:ascii="宋体" w:hAnsi="宋体" w:cs="宋体"/>
          <w:color w:val="000000"/>
          <w:sz w:val="24"/>
        </w:rPr>
        <w:t>最终报价相同的，则</w:t>
      </w:r>
      <w:r>
        <w:rPr>
          <w:rFonts w:hint="eastAsia" w:ascii="宋体" w:hAnsi="宋体" w:cs="宋体"/>
          <w:color w:val="000000"/>
          <w:sz w:val="24"/>
          <w:lang w:bidi="ar"/>
        </w:rPr>
        <w:t>依次按技术指标高优先、售后服务优先原则排序。</w:t>
      </w:r>
    </w:p>
    <w:p>
      <w:pPr>
        <w:spacing w:line="400" w:lineRule="exact"/>
        <w:rPr>
          <w:rFonts w:ascii="宋体" w:hAnsi="宋体" w:cs="宋体"/>
          <w:color w:val="000000"/>
        </w:rPr>
      </w:pPr>
      <w:r>
        <w:rPr>
          <w:rFonts w:hint="eastAsia" w:ascii="宋体" w:hAnsi="宋体" w:cs="宋体"/>
          <w:color w:val="000000"/>
          <w:sz w:val="24"/>
        </w:rPr>
        <w:br w:type="page"/>
      </w:r>
    </w:p>
    <w:p>
      <w:pPr>
        <w:pStyle w:val="3"/>
        <w:spacing w:line="560" w:lineRule="exact"/>
        <w:rPr>
          <w:rFonts w:ascii="宋体" w:hAnsi="宋体" w:cs="宋体"/>
          <w:bCs/>
          <w:color w:val="000000"/>
          <w:sz w:val="44"/>
        </w:rPr>
      </w:pPr>
      <w:bookmarkStart w:id="252" w:name="_Toc147248437"/>
      <w:bookmarkStart w:id="253" w:name="_Toc517938834"/>
      <w:bookmarkStart w:id="254" w:name="_Toc239839919"/>
      <w:bookmarkStart w:id="255" w:name="_Toc230578119"/>
      <w:bookmarkStart w:id="256" w:name="_Toc156106972"/>
      <w:bookmarkStart w:id="257" w:name="_Toc185702613"/>
      <w:bookmarkStart w:id="258" w:name="_Toc185703035"/>
    </w:p>
    <w:p>
      <w:pPr>
        <w:pStyle w:val="3"/>
        <w:spacing w:line="560" w:lineRule="exact"/>
        <w:jc w:val="center"/>
        <w:rPr>
          <w:rFonts w:ascii="宋体" w:hAnsi="宋体" w:cs="宋体"/>
          <w:bCs/>
          <w:color w:val="000000"/>
          <w:sz w:val="44"/>
        </w:rPr>
      </w:pPr>
      <w:r>
        <w:rPr>
          <w:rFonts w:hint="eastAsia" w:ascii="宋体" w:hAnsi="宋体" w:cs="宋体"/>
          <w:bCs/>
          <w:color w:val="000000"/>
          <w:sz w:val="44"/>
        </w:rPr>
        <w:t>第六章   响应文件（格式）</w:t>
      </w:r>
      <w:bookmarkEnd w:id="252"/>
      <w:bookmarkEnd w:id="253"/>
      <w:bookmarkEnd w:id="254"/>
      <w:bookmarkEnd w:id="255"/>
      <w:bookmarkEnd w:id="256"/>
      <w:bookmarkEnd w:id="257"/>
      <w:bookmarkEnd w:id="258"/>
    </w:p>
    <w:p>
      <w:pPr>
        <w:spacing w:line="400" w:lineRule="exact"/>
        <w:rPr>
          <w:rFonts w:ascii="宋体" w:hAnsi="宋体" w:cs="宋体"/>
          <w:color w:val="000000"/>
        </w:rPr>
      </w:pPr>
    </w:p>
    <w:p>
      <w:pPr>
        <w:spacing w:line="400" w:lineRule="exact"/>
        <w:rPr>
          <w:rFonts w:ascii="宋体" w:hAnsi="宋体" w:cs="宋体"/>
          <w:color w:val="000000"/>
        </w:rPr>
      </w:pPr>
    </w:p>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lang w:val="zh-CN"/>
        </w:rPr>
        <w:t>说明：</w:t>
      </w:r>
    </w:p>
    <w:p>
      <w:pPr>
        <w:pStyle w:val="13"/>
        <w:spacing w:line="400" w:lineRule="exact"/>
        <w:ind w:left="360" w:hanging="360" w:hangingChars="150"/>
        <w:rPr>
          <w:rFonts w:hAnsi="宋体" w:cs="宋体"/>
          <w:color w:val="000000"/>
          <w:sz w:val="24"/>
          <w:szCs w:val="24"/>
        </w:rPr>
      </w:pPr>
      <w:r>
        <w:rPr>
          <w:rFonts w:hint="eastAsia" w:hAnsi="宋体" w:cs="宋体"/>
          <w:color w:val="000000"/>
          <w:sz w:val="24"/>
          <w:szCs w:val="24"/>
          <w:lang w:val="zh-CN"/>
        </w:rPr>
        <w:t>1、</w:t>
      </w:r>
      <w:r>
        <w:rPr>
          <w:rFonts w:hint="eastAsia" w:hAnsi="宋体" w:cs="宋体"/>
          <w:color w:val="000000"/>
          <w:sz w:val="24"/>
          <w:szCs w:val="24"/>
        </w:rPr>
        <w:t>本章所列的响应文件格式</w:t>
      </w:r>
      <w:r>
        <w:rPr>
          <w:rFonts w:hint="eastAsia" w:hAnsi="宋体" w:cs="宋体"/>
          <w:color w:val="000000"/>
          <w:sz w:val="24"/>
          <w:szCs w:val="24"/>
          <w:lang w:val="zh-CN"/>
        </w:rPr>
        <w:t>，供应商可根据自身情况进行补充和修改、扩展，但补充和修改不得造成与本章格式内容有实质性的违背。</w:t>
      </w:r>
    </w:p>
    <w:p>
      <w:pPr>
        <w:pStyle w:val="13"/>
        <w:spacing w:line="400" w:lineRule="exact"/>
        <w:ind w:left="360" w:hanging="360" w:hangingChars="150"/>
        <w:rPr>
          <w:rFonts w:hAnsi="宋体" w:cs="宋体"/>
          <w:color w:val="000000"/>
          <w:sz w:val="24"/>
          <w:szCs w:val="24"/>
          <w:lang w:val="zh-CN"/>
        </w:rPr>
      </w:pPr>
      <w:r>
        <w:rPr>
          <w:rFonts w:hint="eastAsia" w:hAnsi="宋体" w:cs="宋体"/>
          <w:color w:val="000000"/>
          <w:sz w:val="24"/>
          <w:szCs w:val="24"/>
          <w:lang w:val="zh-CN"/>
        </w:rPr>
        <w:t>2、</w:t>
      </w:r>
      <w:r>
        <w:rPr>
          <w:rFonts w:hint="eastAsia" w:hAnsi="宋体" w:cs="宋体"/>
          <w:color w:val="000000"/>
          <w:sz w:val="24"/>
          <w:szCs w:val="24"/>
        </w:rPr>
        <w:t>目录由供应商自拟</w:t>
      </w:r>
      <w:r>
        <w:rPr>
          <w:rFonts w:hint="eastAsia" w:hAnsi="宋体" w:cs="宋体"/>
          <w:color w:val="000000"/>
          <w:sz w:val="24"/>
          <w:szCs w:val="24"/>
          <w:lang w:val="zh-CN"/>
        </w:rPr>
        <w:t>。</w:t>
      </w:r>
    </w:p>
    <w:p>
      <w:pPr>
        <w:pStyle w:val="13"/>
        <w:spacing w:line="400" w:lineRule="exact"/>
        <w:ind w:left="360" w:hanging="360" w:hangingChars="150"/>
        <w:rPr>
          <w:rFonts w:hAnsi="宋体" w:cs="宋体"/>
          <w:color w:val="000000"/>
          <w:sz w:val="24"/>
          <w:szCs w:val="24"/>
          <w:lang w:val="zh-CN"/>
        </w:rPr>
      </w:pPr>
      <w:r>
        <w:rPr>
          <w:rFonts w:hint="eastAsia" w:hAnsi="宋体" w:cs="宋体"/>
          <w:color w:val="000000"/>
          <w:sz w:val="24"/>
          <w:szCs w:val="24"/>
          <w:lang w:val="zh-CN"/>
        </w:rPr>
        <w:t>3、</w:t>
      </w:r>
      <w:r>
        <w:rPr>
          <w:rFonts w:hint="eastAsia" w:hAnsi="宋体" w:cs="宋体"/>
          <w:color w:val="000000"/>
          <w:sz w:val="24"/>
          <w:szCs w:val="24"/>
        </w:rPr>
        <w:t>供应商</w:t>
      </w:r>
      <w:r>
        <w:rPr>
          <w:rFonts w:hint="eastAsia" w:hAnsi="宋体" w:cs="宋体"/>
          <w:color w:val="000000"/>
          <w:sz w:val="24"/>
          <w:szCs w:val="24"/>
          <w:lang w:val="zh-CN"/>
        </w:rPr>
        <w:t>资格证明文件按</w:t>
      </w:r>
      <w:r>
        <w:rPr>
          <w:rFonts w:hint="eastAsia" w:hAnsi="宋体" w:cs="宋体"/>
          <w:color w:val="000000"/>
          <w:sz w:val="24"/>
          <w:szCs w:val="24"/>
        </w:rPr>
        <w:t>供应商</w:t>
      </w:r>
      <w:r>
        <w:rPr>
          <w:rFonts w:hint="eastAsia" w:hAnsi="宋体" w:cs="宋体"/>
          <w:color w:val="000000"/>
          <w:sz w:val="24"/>
          <w:szCs w:val="24"/>
          <w:lang w:val="zh-CN"/>
        </w:rPr>
        <w:t>须知要求提供。</w:t>
      </w:r>
    </w:p>
    <w:p>
      <w:pPr>
        <w:pStyle w:val="13"/>
        <w:spacing w:line="400" w:lineRule="exact"/>
        <w:ind w:left="360" w:hanging="360" w:hangingChars="150"/>
        <w:rPr>
          <w:rFonts w:hAnsi="宋体" w:cs="宋体"/>
          <w:color w:val="000000"/>
          <w:sz w:val="24"/>
          <w:szCs w:val="24"/>
          <w:lang w:val="zh-CN"/>
        </w:rPr>
      </w:pPr>
      <w:r>
        <w:rPr>
          <w:rFonts w:hint="eastAsia" w:hAnsi="宋体" w:cs="宋体"/>
          <w:color w:val="000000"/>
          <w:sz w:val="24"/>
          <w:szCs w:val="24"/>
          <w:lang w:val="zh-CN"/>
        </w:rPr>
        <w:t>4、《法人（负责人）授权委托书》填写说明：</w:t>
      </w:r>
    </w:p>
    <w:p>
      <w:pPr>
        <w:pStyle w:val="13"/>
        <w:spacing w:line="400" w:lineRule="exact"/>
        <w:ind w:left="585" w:leftChars="107" w:hanging="360" w:hangingChars="150"/>
        <w:rPr>
          <w:rFonts w:hAnsi="宋体" w:cs="宋体"/>
          <w:bCs/>
          <w:color w:val="000000"/>
          <w:sz w:val="24"/>
          <w:szCs w:val="24"/>
        </w:rPr>
      </w:pPr>
      <w:r>
        <w:rPr>
          <w:rFonts w:hint="eastAsia" w:hAnsi="宋体" w:cs="宋体"/>
          <w:bCs/>
          <w:color w:val="000000"/>
          <w:sz w:val="24"/>
          <w:szCs w:val="24"/>
        </w:rPr>
        <w:t>1）委托书所签发的代理期限必须涵盖代理人所有签字为有效时间。</w:t>
      </w:r>
    </w:p>
    <w:p>
      <w:pPr>
        <w:pStyle w:val="13"/>
        <w:spacing w:line="400" w:lineRule="exact"/>
        <w:ind w:left="585" w:leftChars="107" w:hanging="360" w:hangingChars="150"/>
        <w:rPr>
          <w:rFonts w:hAnsi="宋体" w:cs="宋体"/>
          <w:bCs/>
          <w:color w:val="000000"/>
          <w:sz w:val="24"/>
          <w:szCs w:val="24"/>
        </w:rPr>
      </w:pPr>
      <w:r>
        <w:rPr>
          <w:rFonts w:hint="eastAsia" w:hAnsi="宋体" w:cs="宋体"/>
          <w:bCs/>
          <w:color w:val="000000"/>
          <w:sz w:val="24"/>
          <w:szCs w:val="24"/>
        </w:rPr>
        <w:t>2）委托书内容填写要明确，文字要工整清楚，涂改无效。</w:t>
      </w:r>
    </w:p>
    <w:p>
      <w:pPr>
        <w:pStyle w:val="13"/>
        <w:spacing w:line="400" w:lineRule="exact"/>
        <w:ind w:left="585" w:leftChars="107" w:hanging="360" w:hangingChars="150"/>
        <w:rPr>
          <w:rFonts w:hAnsi="宋体" w:cs="宋体"/>
          <w:bCs/>
          <w:color w:val="000000"/>
          <w:sz w:val="24"/>
          <w:szCs w:val="24"/>
        </w:rPr>
      </w:pPr>
      <w:r>
        <w:rPr>
          <w:rFonts w:hint="eastAsia" w:hAnsi="宋体" w:cs="宋体"/>
          <w:bCs/>
          <w:color w:val="000000"/>
          <w:sz w:val="24"/>
          <w:szCs w:val="24"/>
        </w:rPr>
        <w:t>3）委托书不得转借、转让，不得买卖。</w:t>
      </w:r>
    </w:p>
    <w:p>
      <w:pPr>
        <w:pStyle w:val="13"/>
        <w:spacing w:line="400" w:lineRule="exact"/>
        <w:ind w:left="585" w:leftChars="107" w:hanging="360" w:hangingChars="150"/>
        <w:rPr>
          <w:rFonts w:hAnsi="宋体" w:cs="宋体"/>
          <w:bCs/>
          <w:color w:val="000000"/>
          <w:sz w:val="24"/>
          <w:szCs w:val="24"/>
        </w:rPr>
      </w:pPr>
      <w:r>
        <w:rPr>
          <w:rFonts w:hint="eastAsia" w:hAnsi="宋体" w:cs="宋体"/>
          <w:bCs/>
          <w:color w:val="000000"/>
          <w:sz w:val="24"/>
          <w:szCs w:val="24"/>
        </w:rPr>
        <w:t>4）代理人根据授权范围，以委托单位的名义签订合同，并将此委托书提交给对方作为合同附件。</w:t>
      </w:r>
    </w:p>
    <w:p>
      <w:pPr>
        <w:pStyle w:val="13"/>
        <w:spacing w:line="400" w:lineRule="exact"/>
        <w:ind w:left="360" w:hanging="360" w:hangingChars="150"/>
        <w:rPr>
          <w:rFonts w:hAnsi="宋体" w:cs="宋体"/>
          <w:color w:val="000000"/>
          <w:sz w:val="24"/>
          <w:szCs w:val="24"/>
          <w:lang w:val="zh-CN"/>
        </w:rPr>
      </w:pPr>
    </w:p>
    <w:p>
      <w:pPr>
        <w:spacing w:line="400" w:lineRule="exact"/>
        <w:rPr>
          <w:rFonts w:ascii="宋体" w:hAnsi="宋体" w:cs="宋体"/>
          <w:color w:val="000000"/>
        </w:rPr>
      </w:pPr>
    </w:p>
    <w:p>
      <w:pPr>
        <w:pStyle w:val="13"/>
        <w:rPr>
          <w:rFonts w:hAnsi="宋体" w:cs="宋体"/>
          <w:color w:val="000000"/>
          <w:sz w:val="36"/>
          <w:szCs w:val="36"/>
        </w:rPr>
      </w:pPr>
      <w:r>
        <w:rPr>
          <w:rFonts w:hint="eastAsia" w:hAnsi="宋体" w:cs="宋体"/>
          <w:color w:val="000000"/>
          <w:szCs w:val="24"/>
        </w:rPr>
        <w:br w:type="page"/>
      </w:r>
      <w:r>
        <w:rPr>
          <w:rFonts w:hint="eastAsia" w:hAnsi="宋体" w:cs="宋体"/>
          <w:color w:val="000000"/>
          <w:sz w:val="36"/>
          <w:szCs w:val="36"/>
        </w:rPr>
        <w:t>（封面格式）</w:t>
      </w:r>
    </w:p>
    <w:p>
      <w:pPr>
        <w:pStyle w:val="13"/>
        <w:jc w:val="right"/>
        <w:rPr>
          <w:rFonts w:hAnsi="宋体" w:cs="宋体"/>
          <w:b/>
          <w:color w:val="000000"/>
          <w:sz w:val="36"/>
          <w:szCs w:val="36"/>
        </w:rPr>
      </w:pPr>
      <w:r>
        <w:rPr>
          <w:rFonts w:hint="eastAsia" w:hAnsi="宋体" w:cs="宋体"/>
          <w:b/>
          <w:color w:val="000000"/>
          <w:sz w:val="36"/>
          <w:szCs w:val="36"/>
        </w:rPr>
        <w:t>正本（副本）</w:t>
      </w:r>
    </w:p>
    <w:p>
      <w:pPr>
        <w:pStyle w:val="13"/>
        <w:spacing w:line="400" w:lineRule="exact"/>
        <w:jc w:val="center"/>
        <w:rPr>
          <w:rFonts w:hAnsi="宋体" w:cs="宋体"/>
          <w:b/>
          <w:color w:val="000000"/>
          <w:sz w:val="36"/>
          <w:szCs w:val="36"/>
        </w:rPr>
      </w:pPr>
    </w:p>
    <w:p>
      <w:pPr>
        <w:pStyle w:val="13"/>
        <w:spacing w:line="1000" w:lineRule="exact"/>
        <w:jc w:val="left"/>
        <w:rPr>
          <w:rFonts w:hAnsi="宋体" w:cs="宋体"/>
          <w:b/>
          <w:color w:val="000000"/>
          <w:sz w:val="36"/>
          <w:szCs w:val="36"/>
        </w:rPr>
      </w:pPr>
      <w:r>
        <w:rPr>
          <w:rFonts w:hint="eastAsia" w:hAnsi="宋体" w:cs="宋体"/>
          <w:b/>
          <w:color w:val="000000"/>
          <w:sz w:val="36"/>
          <w:szCs w:val="36"/>
        </w:rPr>
        <w:t>项目名称：</w:t>
      </w:r>
    </w:p>
    <w:p>
      <w:pPr>
        <w:pStyle w:val="13"/>
        <w:spacing w:line="1000" w:lineRule="exact"/>
        <w:jc w:val="left"/>
        <w:rPr>
          <w:rFonts w:hAnsi="宋体" w:cs="宋体"/>
          <w:b/>
          <w:color w:val="000000"/>
          <w:sz w:val="36"/>
          <w:szCs w:val="36"/>
        </w:rPr>
      </w:pPr>
      <w:r>
        <w:rPr>
          <w:rFonts w:hint="eastAsia" w:hAnsi="宋体" w:cs="宋体"/>
          <w:b/>
          <w:color w:val="000000"/>
          <w:sz w:val="36"/>
          <w:szCs w:val="36"/>
        </w:rPr>
        <w:t>项目编号：</w:t>
      </w:r>
    </w:p>
    <w:p>
      <w:pPr>
        <w:pStyle w:val="13"/>
        <w:jc w:val="center"/>
        <w:rPr>
          <w:rFonts w:hAnsi="宋体" w:cs="宋体"/>
          <w:b/>
          <w:color w:val="000000"/>
          <w:sz w:val="72"/>
          <w:szCs w:val="72"/>
        </w:rPr>
      </w:pPr>
    </w:p>
    <w:p>
      <w:pPr>
        <w:pStyle w:val="13"/>
        <w:jc w:val="center"/>
        <w:rPr>
          <w:rFonts w:hAnsi="宋体" w:cs="宋体"/>
          <w:b/>
          <w:color w:val="000000"/>
          <w:sz w:val="72"/>
          <w:szCs w:val="72"/>
        </w:rPr>
      </w:pPr>
      <w:r>
        <w:rPr>
          <w:rFonts w:hint="eastAsia" w:hAnsi="宋体" w:cs="宋体"/>
          <w:b/>
          <w:color w:val="000000"/>
          <w:sz w:val="72"/>
          <w:szCs w:val="72"/>
        </w:rPr>
        <w:t>响应文件</w:t>
      </w:r>
    </w:p>
    <w:p>
      <w:pPr>
        <w:pStyle w:val="13"/>
        <w:jc w:val="center"/>
        <w:rPr>
          <w:rFonts w:hAnsi="宋体" w:cs="宋体"/>
          <w:b/>
          <w:color w:val="000000"/>
          <w:sz w:val="36"/>
          <w:szCs w:val="36"/>
        </w:rPr>
      </w:pPr>
    </w:p>
    <w:p>
      <w:pPr>
        <w:pStyle w:val="13"/>
        <w:jc w:val="center"/>
        <w:rPr>
          <w:rFonts w:hAnsi="宋体" w:cs="宋体"/>
          <w:b/>
          <w:color w:val="000000"/>
          <w:sz w:val="36"/>
          <w:szCs w:val="36"/>
        </w:rPr>
      </w:pPr>
    </w:p>
    <w:p>
      <w:pPr>
        <w:pStyle w:val="13"/>
        <w:rPr>
          <w:rFonts w:hAnsi="宋体" w:cs="宋体"/>
          <w:b/>
          <w:color w:val="000000"/>
          <w:sz w:val="32"/>
          <w:szCs w:val="32"/>
          <w:u w:val="single"/>
        </w:rPr>
      </w:pPr>
    </w:p>
    <w:p>
      <w:pPr>
        <w:pStyle w:val="13"/>
        <w:spacing w:line="1000" w:lineRule="exact"/>
        <w:ind w:firstLine="540" w:firstLineChars="168"/>
        <w:rPr>
          <w:rFonts w:hAnsi="宋体" w:cs="宋体"/>
          <w:b/>
          <w:color w:val="000000"/>
          <w:sz w:val="32"/>
          <w:szCs w:val="32"/>
          <w:u w:val="single"/>
        </w:rPr>
      </w:pPr>
      <w:r>
        <w:rPr>
          <w:rFonts w:hint="eastAsia" w:hAnsi="宋体" w:cs="宋体"/>
          <w:b/>
          <w:color w:val="000000"/>
          <w:sz w:val="32"/>
          <w:szCs w:val="32"/>
        </w:rPr>
        <w:t>供应商：</w:t>
      </w:r>
      <w:r>
        <w:rPr>
          <w:rFonts w:hint="eastAsia" w:hAnsi="宋体" w:cs="宋体"/>
          <w:b/>
          <w:color w:val="000000"/>
          <w:sz w:val="32"/>
          <w:szCs w:val="32"/>
          <w:u w:val="single"/>
        </w:rPr>
        <w:t xml:space="preserve">                         （名称加盖单位公章）</w:t>
      </w:r>
    </w:p>
    <w:p>
      <w:pPr>
        <w:pStyle w:val="13"/>
        <w:spacing w:line="1000" w:lineRule="exact"/>
        <w:ind w:firstLine="540" w:firstLineChars="168"/>
        <w:rPr>
          <w:rFonts w:hAnsi="宋体" w:cs="宋体"/>
          <w:b/>
          <w:color w:val="000000"/>
          <w:sz w:val="32"/>
          <w:szCs w:val="32"/>
        </w:rPr>
      </w:pPr>
      <w:r>
        <w:rPr>
          <w:rFonts w:hint="eastAsia" w:hAnsi="宋体" w:cs="宋体"/>
          <w:b/>
          <w:color w:val="000000"/>
          <w:sz w:val="32"/>
          <w:szCs w:val="32"/>
        </w:rPr>
        <w:t>法定代表人或其委托代理人：</w:t>
      </w:r>
      <w:r>
        <w:rPr>
          <w:rFonts w:hint="eastAsia" w:hAnsi="宋体" w:cs="宋体"/>
          <w:b/>
          <w:color w:val="000000"/>
          <w:sz w:val="32"/>
          <w:szCs w:val="32"/>
          <w:u w:val="single"/>
        </w:rPr>
        <w:t xml:space="preserve">           （签名）</w:t>
      </w:r>
    </w:p>
    <w:p>
      <w:pPr>
        <w:pStyle w:val="13"/>
        <w:ind w:firstLine="482" w:firstLineChars="150"/>
        <w:rPr>
          <w:rFonts w:hAnsi="宋体" w:cs="宋体"/>
          <w:b/>
          <w:color w:val="000000"/>
          <w:sz w:val="32"/>
          <w:szCs w:val="32"/>
        </w:rPr>
      </w:pPr>
    </w:p>
    <w:p>
      <w:pPr>
        <w:pStyle w:val="13"/>
        <w:jc w:val="center"/>
        <w:rPr>
          <w:rFonts w:hAnsi="宋体" w:cs="宋体"/>
          <w:b/>
          <w:color w:val="000000"/>
          <w:sz w:val="32"/>
          <w:szCs w:val="32"/>
        </w:rPr>
      </w:pPr>
      <w:r>
        <w:rPr>
          <w:rFonts w:hint="eastAsia" w:hAnsi="宋体" w:cs="宋体"/>
          <w:b/>
          <w:color w:val="000000"/>
          <w:sz w:val="32"/>
          <w:szCs w:val="32"/>
        </w:rPr>
        <w:t>竞标日期：</w:t>
      </w:r>
      <w:r>
        <w:rPr>
          <w:rFonts w:hint="eastAsia" w:hAnsi="宋体" w:cs="宋体"/>
          <w:b/>
          <w:color w:val="000000"/>
          <w:sz w:val="32"/>
          <w:szCs w:val="32"/>
          <w:u w:val="single"/>
        </w:rPr>
        <w:t xml:space="preserve">         </w:t>
      </w:r>
      <w:r>
        <w:rPr>
          <w:rFonts w:hint="eastAsia" w:hAnsi="宋体" w:cs="宋体"/>
          <w:b/>
          <w:color w:val="000000"/>
          <w:sz w:val="32"/>
          <w:szCs w:val="32"/>
        </w:rPr>
        <w:t>年</w:t>
      </w:r>
      <w:r>
        <w:rPr>
          <w:rFonts w:hint="eastAsia" w:hAnsi="宋体" w:cs="宋体"/>
          <w:b/>
          <w:color w:val="000000"/>
          <w:sz w:val="32"/>
          <w:szCs w:val="32"/>
          <w:u w:val="single"/>
        </w:rPr>
        <w:t xml:space="preserve">     </w:t>
      </w:r>
      <w:r>
        <w:rPr>
          <w:rFonts w:hint="eastAsia" w:hAnsi="宋体" w:cs="宋体"/>
          <w:b/>
          <w:color w:val="000000"/>
          <w:sz w:val="32"/>
          <w:szCs w:val="32"/>
        </w:rPr>
        <w:t>月</w:t>
      </w:r>
      <w:r>
        <w:rPr>
          <w:rFonts w:hint="eastAsia" w:hAnsi="宋体" w:cs="宋体"/>
          <w:b/>
          <w:color w:val="000000"/>
          <w:sz w:val="32"/>
          <w:szCs w:val="32"/>
          <w:u w:val="single"/>
        </w:rPr>
        <w:t xml:space="preserve">     </w:t>
      </w:r>
      <w:r>
        <w:rPr>
          <w:rFonts w:hint="eastAsia" w:hAnsi="宋体" w:cs="宋体"/>
          <w:b/>
          <w:color w:val="000000"/>
          <w:sz w:val="32"/>
          <w:szCs w:val="32"/>
        </w:rPr>
        <w:t>日</w:t>
      </w:r>
    </w:p>
    <w:p>
      <w:pPr>
        <w:pStyle w:val="13"/>
        <w:spacing w:line="500" w:lineRule="exact"/>
        <w:rPr>
          <w:rFonts w:hAnsi="宋体" w:cs="宋体"/>
          <w:color w:val="000000"/>
        </w:rPr>
      </w:pPr>
      <w:r>
        <w:rPr>
          <w:rFonts w:hint="eastAsia" w:hAnsi="宋体" w:cs="宋体"/>
          <w:color w:val="000000"/>
          <w:sz w:val="32"/>
          <w:szCs w:val="32"/>
        </w:rPr>
        <w:br w:type="page"/>
      </w:r>
    </w:p>
    <w:p>
      <w:pPr>
        <w:pStyle w:val="13"/>
        <w:spacing w:line="460" w:lineRule="exact"/>
        <w:jc w:val="center"/>
        <w:rPr>
          <w:rFonts w:hAnsi="宋体" w:cs="宋体"/>
          <w:b/>
          <w:color w:val="000000"/>
          <w:sz w:val="32"/>
        </w:rPr>
      </w:pPr>
      <w:r>
        <w:rPr>
          <w:rFonts w:hint="eastAsia" w:hAnsi="宋体" w:cs="宋体"/>
          <w:b/>
          <w:color w:val="000000"/>
          <w:sz w:val="32"/>
        </w:rPr>
        <w:t>竞标函（格式）</w:t>
      </w:r>
    </w:p>
    <w:p>
      <w:pPr>
        <w:pStyle w:val="13"/>
        <w:spacing w:line="500" w:lineRule="exact"/>
        <w:ind w:firstLine="630" w:firstLineChars="300"/>
        <w:rPr>
          <w:rFonts w:hAnsi="宋体" w:cs="宋体"/>
          <w:color w:val="000000"/>
        </w:rPr>
      </w:pPr>
    </w:p>
    <w:p>
      <w:pPr>
        <w:pStyle w:val="13"/>
        <w:spacing w:line="440" w:lineRule="exact"/>
        <w:rPr>
          <w:rFonts w:hAnsi="宋体" w:cs="宋体"/>
          <w:color w:val="000000"/>
          <w:sz w:val="24"/>
          <w:szCs w:val="24"/>
        </w:rPr>
      </w:pPr>
      <w:r>
        <w:rPr>
          <w:rFonts w:hint="eastAsia" w:hAnsi="宋体" w:cs="宋体"/>
          <w:color w:val="000000"/>
          <w:sz w:val="24"/>
          <w:szCs w:val="24"/>
        </w:rPr>
        <w:t>致：广西桂宝工程监理咨询有限公司</w:t>
      </w:r>
    </w:p>
    <w:p>
      <w:pPr>
        <w:pStyle w:val="13"/>
        <w:spacing w:line="440" w:lineRule="exact"/>
        <w:ind w:left="210" w:leftChars="100" w:firstLine="480" w:firstLineChars="200"/>
        <w:rPr>
          <w:rFonts w:hAnsi="宋体" w:cs="宋体"/>
          <w:color w:val="000000"/>
          <w:sz w:val="24"/>
          <w:szCs w:val="24"/>
        </w:rPr>
      </w:pPr>
      <w:r>
        <w:rPr>
          <w:rFonts w:hint="eastAsia" w:hAnsi="宋体" w:cs="宋体"/>
          <w:color w:val="000000"/>
          <w:sz w:val="24"/>
          <w:szCs w:val="24"/>
        </w:rPr>
        <w:t>根据贵方</w:t>
      </w:r>
      <w:r>
        <w:rPr>
          <w:rFonts w:hint="eastAsia" w:hAnsi="宋体" w:cs="宋体"/>
          <w:color w:val="000000"/>
          <w:sz w:val="24"/>
          <w:szCs w:val="24"/>
          <w:u w:val="single"/>
        </w:rPr>
        <w:t>（项目名称）</w:t>
      </w:r>
      <w:r>
        <w:rPr>
          <w:rFonts w:hint="eastAsia" w:hAnsi="宋体" w:cs="宋体"/>
          <w:color w:val="000000"/>
          <w:sz w:val="24"/>
          <w:szCs w:val="24"/>
        </w:rPr>
        <w:t>项目竞争性谈判文件，项目编号：</w:t>
      </w:r>
      <w:r>
        <w:rPr>
          <w:rFonts w:hint="eastAsia" w:hAnsi="宋体" w:cs="宋体"/>
          <w:color w:val="000000"/>
          <w:sz w:val="24"/>
          <w:szCs w:val="24"/>
          <w:u w:val="single"/>
        </w:rPr>
        <w:t xml:space="preserve">      </w:t>
      </w:r>
      <w:r>
        <w:rPr>
          <w:rFonts w:hint="eastAsia" w:hAnsi="宋体" w:cs="宋体"/>
          <w:color w:val="000000"/>
          <w:sz w:val="24"/>
          <w:szCs w:val="24"/>
        </w:rPr>
        <w:t>，正式授权下述签字代表</w:t>
      </w:r>
      <w:r>
        <w:rPr>
          <w:rFonts w:hint="eastAsia" w:hAnsi="宋体" w:cs="宋体"/>
          <w:color w:val="000000"/>
          <w:sz w:val="24"/>
          <w:szCs w:val="24"/>
          <w:u w:val="single"/>
        </w:rPr>
        <w:t>（姓名和职务）</w:t>
      </w:r>
      <w:r>
        <w:rPr>
          <w:rFonts w:hint="eastAsia" w:hAnsi="宋体" w:cs="宋体"/>
          <w:color w:val="000000"/>
          <w:sz w:val="24"/>
          <w:szCs w:val="24"/>
        </w:rPr>
        <w:t>代表供应商</w:t>
      </w:r>
      <w:r>
        <w:rPr>
          <w:rFonts w:hint="eastAsia" w:hAnsi="宋体" w:cs="宋体"/>
          <w:color w:val="000000"/>
          <w:sz w:val="24"/>
          <w:szCs w:val="24"/>
          <w:u w:val="single"/>
        </w:rPr>
        <w:t>（竞标单位名称）</w:t>
      </w:r>
      <w:r>
        <w:rPr>
          <w:rFonts w:hint="eastAsia" w:hAnsi="宋体" w:cs="宋体"/>
          <w:color w:val="000000"/>
          <w:sz w:val="24"/>
          <w:szCs w:val="24"/>
        </w:rPr>
        <w:t>，提交响应文件正本一份，副本三份，响应文件电子版一份。</w:t>
      </w:r>
    </w:p>
    <w:p>
      <w:pPr>
        <w:pStyle w:val="13"/>
        <w:spacing w:line="440" w:lineRule="exact"/>
        <w:ind w:left="101" w:leftChars="48" w:firstLine="595" w:firstLineChars="248"/>
        <w:rPr>
          <w:rFonts w:hAnsi="宋体" w:cs="宋体"/>
          <w:color w:val="000000"/>
          <w:sz w:val="24"/>
          <w:szCs w:val="24"/>
        </w:rPr>
      </w:pPr>
      <w:r>
        <w:rPr>
          <w:rFonts w:hint="eastAsia" w:hAnsi="宋体" w:cs="宋体"/>
          <w:color w:val="000000"/>
          <w:sz w:val="24"/>
          <w:szCs w:val="24"/>
        </w:rPr>
        <w:t>据此函，签字代表宣布同意如下：</w:t>
      </w:r>
    </w:p>
    <w:p>
      <w:pPr>
        <w:pStyle w:val="13"/>
        <w:spacing w:line="440" w:lineRule="exact"/>
        <w:ind w:firstLine="480" w:firstLineChars="200"/>
        <w:rPr>
          <w:rFonts w:hAnsi="宋体" w:cs="宋体"/>
          <w:color w:val="000000"/>
          <w:sz w:val="24"/>
          <w:szCs w:val="24"/>
        </w:rPr>
      </w:pPr>
      <w:r>
        <w:rPr>
          <w:rFonts w:hint="eastAsia" w:hAnsi="宋体" w:cs="宋体"/>
          <w:color w:val="000000"/>
          <w:sz w:val="24"/>
          <w:szCs w:val="24"/>
        </w:rPr>
        <w:t>1、我方承诺已经具备《中华人民共和国政府采购法》中规定的参加政府采购活动的供应商应当具备的条件：</w:t>
      </w:r>
    </w:p>
    <w:p>
      <w:pPr>
        <w:pStyle w:val="13"/>
        <w:spacing w:line="440" w:lineRule="exact"/>
        <w:ind w:firstLine="480" w:firstLineChars="200"/>
        <w:rPr>
          <w:rFonts w:hAnsi="宋体" w:cs="宋体"/>
          <w:color w:val="000000"/>
          <w:sz w:val="24"/>
          <w:szCs w:val="24"/>
        </w:rPr>
      </w:pPr>
      <w:r>
        <w:rPr>
          <w:rFonts w:hint="eastAsia" w:hAnsi="宋体" w:cs="宋体"/>
          <w:color w:val="000000"/>
          <w:sz w:val="24"/>
          <w:szCs w:val="24"/>
        </w:rPr>
        <w:t>（1）具有独立承担民事责任的能力；</w:t>
      </w:r>
    </w:p>
    <w:p>
      <w:pPr>
        <w:pStyle w:val="13"/>
        <w:spacing w:line="440" w:lineRule="exact"/>
        <w:ind w:firstLine="480" w:firstLineChars="200"/>
        <w:rPr>
          <w:rFonts w:hAnsi="宋体" w:cs="宋体"/>
          <w:color w:val="000000"/>
          <w:sz w:val="24"/>
          <w:szCs w:val="24"/>
        </w:rPr>
      </w:pPr>
      <w:r>
        <w:rPr>
          <w:rFonts w:hint="eastAsia" w:hAnsi="宋体" w:cs="宋体"/>
          <w:color w:val="000000"/>
          <w:sz w:val="24"/>
          <w:szCs w:val="24"/>
        </w:rPr>
        <w:t>（2）具有良好的商业信誉和健全的财务会计制度；</w:t>
      </w:r>
    </w:p>
    <w:p>
      <w:pPr>
        <w:pStyle w:val="13"/>
        <w:spacing w:line="440" w:lineRule="exact"/>
        <w:ind w:firstLine="480" w:firstLineChars="200"/>
        <w:rPr>
          <w:rFonts w:hAnsi="宋体" w:cs="宋体"/>
          <w:color w:val="000000"/>
          <w:sz w:val="24"/>
          <w:szCs w:val="24"/>
        </w:rPr>
      </w:pPr>
      <w:r>
        <w:rPr>
          <w:rFonts w:hint="eastAsia" w:hAnsi="宋体" w:cs="宋体"/>
          <w:color w:val="000000"/>
          <w:sz w:val="24"/>
          <w:szCs w:val="24"/>
        </w:rPr>
        <w:t>（3）具有履行合同所必需的设备和专业技术能力；</w:t>
      </w:r>
    </w:p>
    <w:p>
      <w:pPr>
        <w:pStyle w:val="13"/>
        <w:spacing w:line="440" w:lineRule="exact"/>
        <w:ind w:firstLine="480" w:firstLineChars="200"/>
        <w:rPr>
          <w:rFonts w:hAnsi="宋体" w:cs="宋体"/>
          <w:color w:val="000000"/>
          <w:sz w:val="24"/>
          <w:szCs w:val="24"/>
        </w:rPr>
      </w:pPr>
      <w:r>
        <w:rPr>
          <w:rFonts w:hint="eastAsia" w:hAnsi="宋体" w:cs="宋体"/>
          <w:color w:val="000000"/>
          <w:sz w:val="24"/>
          <w:szCs w:val="24"/>
        </w:rPr>
        <w:t>（4）有依法缴纳税收和社会保障资金的良好记录；</w:t>
      </w:r>
    </w:p>
    <w:p>
      <w:pPr>
        <w:pStyle w:val="13"/>
        <w:spacing w:line="440" w:lineRule="exact"/>
        <w:ind w:firstLine="480" w:firstLineChars="200"/>
        <w:rPr>
          <w:rFonts w:hAnsi="宋体" w:cs="宋体"/>
          <w:color w:val="000000"/>
          <w:sz w:val="24"/>
          <w:szCs w:val="24"/>
        </w:rPr>
      </w:pPr>
      <w:r>
        <w:rPr>
          <w:rFonts w:hint="eastAsia" w:hAnsi="宋体" w:cs="宋体"/>
          <w:color w:val="000000"/>
          <w:sz w:val="24"/>
          <w:szCs w:val="24"/>
        </w:rPr>
        <w:t>（5）参加此项采购活动前三年内，在经营活动中没有重大违法记录。</w:t>
      </w:r>
    </w:p>
    <w:p>
      <w:pPr>
        <w:pStyle w:val="13"/>
        <w:spacing w:line="400" w:lineRule="exact"/>
        <w:ind w:firstLine="420"/>
        <w:rPr>
          <w:rFonts w:hAnsi="宋体" w:cs="宋体"/>
          <w:color w:val="000000"/>
          <w:sz w:val="24"/>
          <w:szCs w:val="24"/>
        </w:rPr>
      </w:pPr>
      <w:r>
        <w:rPr>
          <w:rFonts w:hint="eastAsia" w:hAnsi="宋体" w:cs="宋体"/>
          <w:color w:val="000000"/>
          <w:sz w:val="24"/>
          <w:szCs w:val="24"/>
        </w:rPr>
        <w:t>2、我方已详细审查全部谈判文件，包括修改文件（如有的话）以及全部参考资料和有关附件，已经了解我方对于谈判文件、采购过程、采购结果有依法进行询问、质疑、投诉的权利及相关渠道和要求。</w:t>
      </w:r>
    </w:p>
    <w:p>
      <w:pPr>
        <w:pStyle w:val="13"/>
        <w:spacing w:line="400" w:lineRule="exact"/>
        <w:ind w:firstLine="420"/>
        <w:rPr>
          <w:rFonts w:hAnsi="宋体" w:cs="宋体"/>
          <w:color w:val="000000"/>
          <w:sz w:val="24"/>
          <w:szCs w:val="24"/>
        </w:rPr>
      </w:pPr>
      <w:r>
        <w:rPr>
          <w:rFonts w:hint="eastAsia" w:hAnsi="宋体" w:cs="宋体"/>
          <w:color w:val="000000"/>
          <w:sz w:val="24"/>
          <w:szCs w:val="24"/>
        </w:rPr>
        <w:t>3、我方在竞标之前已经与贵方进行了充分的沟通，完全理解并接受谈判文件的各项规定和要求，对谈判文件的合理性、合法性不再有异议。</w:t>
      </w:r>
    </w:p>
    <w:p>
      <w:pPr>
        <w:pStyle w:val="13"/>
        <w:spacing w:line="400" w:lineRule="exact"/>
        <w:ind w:firstLine="420"/>
        <w:rPr>
          <w:rFonts w:hAnsi="宋体" w:cs="宋体"/>
          <w:color w:val="000000"/>
          <w:sz w:val="24"/>
          <w:szCs w:val="24"/>
        </w:rPr>
      </w:pPr>
      <w:r>
        <w:rPr>
          <w:rFonts w:hint="eastAsia" w:hAnsi="宋体" w:cs="宋体"/>
          <w:color w:val="000000"/>
          <w:sz w:val="24"/>
          <w:szCs w:val="24"/>
        </w:rPr>
        <w:t>4、本项目竞标有效期为竞标截止日期后60天。</w:t>
      </w:r>
    </w:p>
    <w:p>
      <w:pPr>
        <w:pStyle w:val="13"/>
        <w:spacing w:line="400" w:lineRule="exact"/>
        <w:ind w:firstLine="420"/>
        <w:rPr>
          <w:rFonts w:hAnsi="宋体" w:cs="宋体"/>
          <w:color w:val="000000"/>
          <w:sz w:val="24"/>
          <w:szCs w:val="24"/>
        </w:rPr>
      </w:pPr>
      <w:r>
        <w:rPr>
          <w:rFonts w:hint="eastAsia" w:hAnsi="宋体" w:cs="宋体"/>
          <w:color w:val="000000"/>
          <w:sz w:val="24"/>
          <w:szCs w:val="24"/>
        </w:rPr>
        <w:t>5、如中标，本响应文件至本项目合同履行完毕止均保持有效，我方将按谈判文件及政府采购法律、法规的规定履行合同责任和义务。</w:t>
      </w:r>
    </w:p>
    <w:p>
      <w:pPr>
        <w:pStyle w:val="13"/>
        <w:spacing w:line="440" w:lineRule="exact"/>
        <w:ind w:firstLine="480" w:firstLineChars="200"/>
        <w:rPr>
          <w:rFonts w:hAnsi="宋体" w:cs="宋体"/>
          <w:color w:val="000000"/>
          <w:sz w:val="24"/>
          <w:szCs w:val="24"/>
        </w:rPr>
      </w:pPr>
      <w:r>
        <w:rPr>
          <w:rFonts w:hint="eastAsia" w:hAnsi="宋体" w:cs="宋体"/>
          <w:color w:val="000000"/>
          <w:sz w:val="24"/>
          <w:szCs w:val="24"/>
        </w:rPr>
        <w:t>6、如果在竞标截止时间后的竞标有效期内撤回竞标或者有其他违约行为，贵方可对我方的谈判保证金不予退还。</w:t>
      </w:r>
    </w:p>
    <w:p>
      <w:pPr>
        <w:pStyle w:val="13"/>
        <w:spacing w:line="440" w:lineRule="exact"/>
        <w:ind w:firstLine="480" w:firstLineChars="200"/>
        <w:rPr>
          <w:rFonts w:hAnsi="宋体" w:cs="宋体"/>
          <w:color w:val="000000"/>
          <w:sz w:val="24"/>
          <w:szCs w:val="24"/>
        </w:rPr>
      </w:pPr>
      <w:r>
        <w:rPr>
          <w:rFonts w:hint="eastAsia" w:hAnsi="宋体" w:cs="宋体"/>
          <w:color w:val="000000"/>
          <w:sz w:val="24"/>
          <w:szCs w:val="24"/>
        </w:rPr>
        <w:t>7、同意向贵方提供贵方可能要求的与本竞标有关的任何数据或资料。</w:t>
      </w:r>
    </w:p>
    <w:p>
      <w:pPr>
        <w:pStyle w:val="13"/>
        <w:spacing w:line="440" w:lineRule="exact"/>
        <w:ind w:firstLine="480" w:firstLineChars="200"/>
        <w:rPr>
          <w:rFonts w:hAnsi="宋体" w:cs="宋体"/>
          <w:color w:val="000000"/>
          <w:sz w:val="24"/>
          <w:szCs w:val="24"/>
        </w:rPr>
      </w:pPr>
      <w:r>
        <w:rPr>
          <w:rFonts w:hint="eastAsia" w:hAnsi="宋体" w:cs="宋体"/>
          <w:color w:val="000000"/>
          <w:sz w:val="24"/>
          <w:szCs w:val="24"/>
        </w:rPr>
        <w:t>8、我方完全理解贵方不一定要接受最低报价的供应商为成交供应商。</w:t>
      </w:r>
    </w:p>
    <w:p>
      <w:pPr>
        <w:pStyle w:val="13"/>
        <w:spacing w:line="440" w:lineRule="exact"/>
        <w:ind w:firstLine="480" w:firstLineChars="200"/>
        <w:rPr>
          <w:rFonts w:hAnsi="宋体" w:cs="宋体"/>
          <w:color w:val="000000"/>
          <w:sz w:val="24"/>
          <w:szCs w:val="24"/>
        </w:rPr>
      </w:pPr>
      <w:r>
        <w:rPr>
          <w:rFonts w:hint="eastAsia" w:hAnsi="宋体" w:cs="宋体"/>
          <w:color w:val="000000"/>
          <w:sz w:val="24"/>
          <w:szCs w:val="24"/>
        </w:rPr>
        <w:t>9、若贵方需要，我方愿意提供我方作出的一切承诺的证明材料。</w:t>
      </w:r>
    </w:p>
    <w:p>
      <w:pPr>
        <w:pStyle w:val="13"/>
        <w:spacing w:line="440" w:lineRule="exact"/>
        <w:ind w:firstLine="480" w:firstLineChars="200"/>
        <w:rPr>
          <w:rFonts w:hAnsi="宋体" w:cs="宋体"/>
          <w:color w:val="000000"/>
          <w:sz w:val="24"/>
          <w:szCs w:val="24"/>
        </w:rPr>
      </w:pPr>
      <w:r>
        <w:rPr>
          <w:rFonts w:hint="eastAsia" w:hAnsi="宋体" w:cs="宋体"/>
          <w:color w:val="000000"/>
          <w:sz w:val="24"/>
          <w:szCs w:val="24"/>
        </w:rPr>
        <w:t>10、我方将严格遵守《中华人民共和国政府采购法》第七十七条规定，供应商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pPr>
        <w:pStyle w:val="13"/>
        <w:spacing w:line="500" w:lineRule="exact"/>
        <w:ind w:firstLine="420" w:firstLineChars="175"/>
        <w:rPr>
          <w:rFonts w:hAnsi="宋体" w:cs="宋体"/>
          <w:color w:val="000000"/>
          <w:sz w:val="24"/>
          <w:szCs w:val="24"/>
        </w:rPr>
      </w:pPr>
      <w:r>
        <w:rPr>
          <w:rFonts w:hint="eastAsia" w:hAnsi="宋体" w:cs="宋体"/>
          <w:color w:val="000000"/>
          <w:sz w:val="24"/>
          <w:szCs w:val="24"/>
        </w:rPr>
        <w:t>（一）提供虚假材料谋取中标、成交的；</w:t>
      </w:r>
    </w:p>
    <w:p>
      <w:pPr>
        <w:pStyle w:val="13"/>
        <w:spacing w:line="500" w:lineRule="exact"/>
        <w:ind w:firstLine="420" w:firstLineChars="175"/>
        <w:rPr>
          <w:rFonts w:hAnsi="宋体" w:cs="宋体"/>
          <w:color w:val="000000"/>
          <w:sz w:val="24"/>
          <w:szCs w:val="24"/>
        </w:rPr>
      </w:pPr>
      <w:r>
        <w:rPr>
          <w:rFonts w:hint="eastAsia" w:hAnsi="宋体" w:cs="宋体"/>
          <w:color w:val="000000"/>
          <w:sz w:val="24"/>
          <w:szCs w:val="24"/>
        </w:rPr>
        <w:t>（二）采取不正当手段诋毁、排挤其他供应商的；</w:t>
      </w:r>
    </w:p>
    <w:p>
      <w:pPr>
        <w:pStyle w:val="13"/>
        <w:spacing w:line="500" w:lineRule="exact"/>
        <w:ind w:firstLine="420" w:firstLineChars="175"/>
        <w:rPr>
          <w:rFonts w:hAnsi="宋体" w:cs="宋体"/>
          <w:color w:val="000000"/>
          <w:sz w:val="24"/>
          <w:szCs w:val="24"/>
        </w:rPr>
      </w:pPr>
      <w:r>
        <w:rPr>
          <w:rFonts w:hint="eastAsia" w:hAnsi="宋体" w:cs="宋体"/>
          <w:color w:val="000000"/>
          <w:sz w:val="24"/>
          <w:szCs w:val="24"/>
        </w:rPr>
        <w:t>（三）与采购人、其他供应商或者采购代理机构恶意串通的；</w:t>
      </w:r>
    </w:p>
    <w:p>
      <w:pPr>
        <w:pStyle w:val="13"/>
        <w:spacing w:line="500" w:lineRule="exact"/>
        <w:ind w:firstLine="420" w:firstLineChars="175"/>
        <w:rPr>
          <w:rFonts w:hAnsi="宋体" w:cs="宋体"/>
          <w:color w:val="000000"/>
          <w:sz w:val="24"/>
          <w:szCs w:val="24"/>
        </w:rPr>
      </w:pPr>
      <w:r>
        <w:rPr>
          <w:rFonts w:hint="eastAsia" w:hAnsi="宋体" w:cs="宋体"/>
          <w:color w:val="000000"/>
          <w:sz w:val="24"/>
          <w:szCs w:val="24"/>
        </w:rPr>
        <w:t>（四）向采购人、采购代理机构行贿或者提供其他不正当利益的；</w:t>
      </w:r>
    </w:p>
    <w:p>
      <w:pPr>
        <w:pStyle w:val="13"/>
        <w:spacing w:line="500" w:lineRule="exact"/>
        <w:ind w:firstLine="420" w:firstLineChars="175"/>
        <w:rPr>
          <w:rFonts w:hAnsi="宋体" w:cs="宋体"/>
          <w:color w:val="000000"/>
          <w:sz w:val="24"/>
          <w:szCs w:val="24"/>
        </w:rPr>
      </w:pPr>
      <w:r>
        <w:rPr>
          <w:rFonts w:hint="eastAsia" w:hAnsi="宋体" w:cs="宋体"/>
          <w:color w:val="000000"/>
          <w:sz w:val="24"/>
          <w:szCs w:val="24"/>
        </w:rPr>
        <w:t>（五）在招标采购过程中与采购人进行协商谈判的；</w:t>
      </w:r>
    </w:p>
    <w:p>
      <w:pPr>
        <w:pStyle w:val="13"/>
        <w:spacing w:line="500" w:lineRule="exact"/>
        <w:ind w:firstLine="420" w:firstLineChars="175"/>
        <w:rPr>
          <w:rFonts w:hAnsi="宋体" w:cs="宋体"/>
          <w:color w:val="000000"/>
          <w:sz w:val="24"/>
          <w:szCs w:val="24"/>
        </w:rPr>
      </w:pPr>
      <w:r>
        <w:rPr>
          <w:rFonts w:hint="eastAsia" w:hAnsi="宋体" w:cs="宋体"/>
          <w:color w:val="000000"/>
          <w:sz w:val="24"/>
          <w:szCs w:val="24"/>
        </w:rPr>
        <w:t>（六）拒绝有关部门监督检查或者提供虚假情况的。</w:t>
      </w:r>
    </w:p>
    <w:p>
      <w:pPr>
        <w:pStyle w:val="13"/>
        <w:spacing w:line="500" w:lineRule="exact"/>
        <w:rPr>
          <w:rFonts w:hAnsi="宋体" w:cs="宋体"/>
          <w:color w:val="000000"/>
          <w:sz w:val="24"/>
          <w:szCs w:val="24"/>
        </w:rPr>
      </w:pPr>
    </w:p>
    <w:p>
      <w:pPr>
        <w:pStyle w:val="13"/>
        <w:spacing w:line="500" w:lineRule="exact"/>
        <w:ind w:left="101" w:leftChars="48" w:firstLine="595" w:firstLineChars="248"/>
        <w:rPr>
          <w:rFonts w:hAnsi="宋体" w:cs="宋体"/>
          <w:color w:val="000000"/>
          <w:sz w:val="24"/>
          <w:szCs w:val="24"/>
        </w:rPr>
      </w:pPr>
      <w:r>
        <w:rPr>
          <w:rFonts w:hint="eastAsia" w:hAnsi="宋体" w:cs="宋体"/>
          <w:color w:val="000000"/>
          <w:sz w:val="24"/>
          <w:szCs w:val="24"/>
        </w:rPr>
        <w:t>与本竞标有关的正式通讯地址为：</w:t>
      </w:r>
    </w:p>
    <w:p>
      <w:pPr>
        <w:pStyle w:val="13"/>
        <w:spacing w:line="500" w:lineRule="exact"/>
        <w:ind w:left="101" w:leftChars="48" w:firstLine="595" w:firstLineChars="248"/>
        <w:rPr>
          <w:rFonts w:hAnsi="宋体" w:cs="宋体"/>
          <w:color w:val="000000"/>
          <w:sz w:val="24"/>
          <w:szCs w:val="24"/>
          <w:u w:val="single"/>
        </w:rPr>
      </w:pPr>
      <w:r>
        <w:rPr>
          <w:rFonts w:hint="eastAsia" w:hAnsi="宋体" w:cs="宋体"/>
          <w:color w:val="000000"/>
          <w:sz w:val="24"/>
          <w:szCs w:val="24"/>
        </w:rPr>
        <w:t>地址：</w:t>
      </w:r>
      <w:r>
        <w:rPr>
          <w:rFonts w:hint="eastAsia" w:hAnsi="宋体" w:cs="宋体"/>
          <w:color w:val="000000"/>
          <w:sz w:val="24"/>
          <w:szCs w:val="24"/>
          <w:u w:val="single"/>
        </w:rPr>
        <w:t xml:space="preserve">                               </w:t>
      </w:r>
      <w:r>
        <w:rPr>
          <w:rFonts w:hint="eastAsia" w:hAnsi="宋体" w:cs="宋体"/>
          <w:color w:val="000000"/>
          <w:sz w:val="24"/>
          <w:szCs w:val="24"/>
        </w:rPr>
        <w:t xml:space="preserve">     邮政编码：</w:t>
      </w:r>
      <w:r>
        <w:rPr>
          <w:rFonts w:hint="eastAsia" w:hAnsi="宋体" w:cs="宋体"/>
          <w:color w:val="000000"/>
          <w:sz w:val="24"/>
          <w:szCs w:val="24"/>
          <w:u w:val="single"/>
        </w:rPr>
        <w:t xml:space="preserve">             </w:t>
      </w:r>
    </w:p>
    <w:p>
      <w:pPr>
        <w:pStyle w:val="13"/>
        <w:spacing w:line="500" w:lineRule="exact"/>
        <w:ind w:firstLine="720" w:firstLineChars="300"/>
        <w:rPr>
          <w:rFonts w:hAnsi="宋体" w:cs="宋体"/>
          <w:color w:val="000000"/>
          <w:sz w:val="24"/>
          <w:szCs w:val="24"/>
          <w:u w:val="single"/>
        </w:rPr>
      </w:pPr>
      <w:r>
        <w:rPr>
          <w:rFonts w:hint="eastAsia" w:hAnsi="宋体" w:cs="宋体"/>
          <w:color w:val="000000"/>
          <w:sz w:val="24"/>
          <w:szCs w:val="24"/>
        </w:rPr>
        <w:t>电话、传真或电传：</w:t>
      </w:r>
      <w:r>
        <w:rPr>
          <w:rFonts w:hint="eastAsia" w:hAnsi="宋体" w:cs="宋体"/>
          <w:color w:val="000000"/>
          <w:sz w:val="24"/>
          <w:szCs w:val="24"/>
          <w:u w:val="single"/>
        </w:rPr>
        <w:t xml:space="preserve">                     </w:t>
      </w:r>
    </w:p>
    <w:p>
      <w:pPr>
        <w:pStyle w:val="13"/>
        <w:spacing w:line="500" w:lineRule="exact"/>
        <w:ind w:firstLine="720" w:firstLineChars="300"/>
        <w:rPr>
          <w:rFonts w:hAnsi="宋体" w:cs="宋体"/>
          <w:color w:val="000000"/>
          <w:sz w:val="24"/>
          <w:szCs w:val="24"/>
        </w:rPr>
      </w:pPr>
      <w:r>
        <w:rPr>
          <w:rFonts w:hint="eastAsia" w:hAnsi="宋体" w:cs="宋体"/>
          <w:color w:val="000000"/>
          <w:sz w:val="24"/>
          <w:szCs w:val="24"/>
        </w:rPr>
        <w:t>开户名称：</w:t>
      </w:r>
      <w:r>
        <w:rPr>
          <w:rFonts w:hint="eastAsia" w:hAnsi="宋体" w:cs="宋体"/>
          <w:color w:val="000000"/>
          <w:sz w:val="24"/>
          <w:szCs w:val="24"/>
          <w:u w:val="single"/>
        </w:rPr>
        <w:t xml:space="preserve">                         </w:t>
      </w:r>
    </w:p>
    <w:p>
      <w:pPr>
        <w:pStyle w:val="13"/>
        <w:spacing w:line="500" w:lineRule="exact"/>
        <w:ind w:firstLine="720" w:firstLineChars="300"/>
        <w:rPr>
          <w:rFonts w:hAnsi="宋体" w:cs="宋体"/>
          <w:color w:val="000000"/>
          <w:sz w:val="24"/>
          <w:szCs w:val="24"/>
        </w:rPr>
      </w:pPr>
      <w:r>
        <w:rPr>
          <w:rFonts w:hint="eastAsia" w:hAnsi="宋体" w:cs="宋体"/>
          <w:color w:val="000000"/>
          <w:sz w:val="24"/>
          <w:szCs w:val="24"/>
        </w:rPr>
        <w:t>开户银行：</w:t>
      </w:r>
      <w:r>
        <w:rPr>
          <w:rFonts w:hint="eastAsia" w:hAnsi="宋体" w:cs="宋体"/>
          <w:color w:val="000000"/>
          <w:sz w:val="24"/>
          <w:szCs w:val="24"/>
          <w:u w:val="single"/>
        </w:rPr>
        <w:t xml:space="preserve">                         </w:t>
      </w:r>
    </w:p>
    <w:p>
      <w:pPr>
        <w:pStyle w:val="13"/>
        <w:spacing w:line="500" w:lineRule="exact"/>
        <w:ind w:firstLine="720" w:firstLineChars="300"/>
        <w:rPr>
          <w:rFonts w:hAnsi="宋体" w:cs="宋体"/>
          <w:color w:val="000000"/>
          <w:sz w:val="24"/>
          <w:szCs w:val="24"/>
          <w:u w:val="single"/>
        </w:rPr>
      </w:pPr>
      <w:r>
        <w:rPr>
          <w:rFonts w:hint="eastAsia" w:hAnsi="宋体" w:cs="宋体"/>
          <w:color w:val="000000"/>
          <w:sz w:val="24"/>
          <w:szCs w:val="24"/>
        </w:rPr>
        <w:t>帐    号：</w:t>
      </w:r>
      <w:r>
        <w:rPr>
          <w:rFonts w:hint="eastAsia" w:hAnsi="宋体" w:cs="宋体"/>
          <w:color w:val="000000"/>
          <w:sz w:val="24"/>
          <w:szCs w:val="24"/>
          <w:u w:val="single"/>
        </w:rPr>
        <w:t xml:space="preserve">                         </w:t>
      </w:r>
    </w:p>
    <w:p>
      <w:pPr>
        <w:pStyle w:val="13"/>
        <w:spacing w:line="500" w:lineRule="exact"/>
        <w:ind w:firstLine="720" w:firstLineChars="300"/>
        <w:rPr>
          <w:rFonts w:hAnsi="宋体" w:cs="宋体"/>
          <w:color w:val="000000"/>
          <w:sz w:val="24"/>
          <w:szCs w:val="24"/>
        </w:rPr>
      </w:pPr>
    </w:p>
    <w:p>
      <w:pPr>
        <w:pStyle w:val="13"/>
        <w:spacing w:line="600" w:lineRule="exact"/>
        <w:ind w:firstLine="3060"/>
        <w:rPr>
          <w:rFonts w:hAnsi="宋体" w:cs="宋体"/>
          <w:color w:val="000000"/>
          <w:sz w:val="24"/>
          <w:szCs w:val="24"/>
          <w:u w:val="single"/>
        </w:rPr>
      </w:pPr>
      <w:r>
        <w:rPr>
          <w:rFonts w:hint="eastAsia" w:hAnsi="宋体" w:cs="宋体"/>
          <w:color w:val="000000"/>
          <w:sz w:val="24"/>
          <w:szCs w:val="24"/>
        </w:rPr>
        <w:t>供应商名称（加盖单位公章）：</w:t>
      </w:r>
      <w:r>
        <w:rPr>
          <w:rFonts w:hint="eastAsia" w:hAnsi="宋体" w:cs="宋体"/>
          <w:color w:val="000000"/>
          <w:sz w:val="24"/>
          <w:szCs w:val="24"/>
          <w:u w:val="single"/>
        </w:rPr>
        <w:t xml:space="preserve">                                </w:t>
      </w:r>
    </w:p>
    <w:p>
      <w:pPr>
        <w:pStyle w:val="13"/>
        <w:spacing w:line="600" w:lineRule="exact"/>
        <w:ind w:firstLine="3060"/>
        <w:rPr>
          <w:rFonts w:hAnsi="宋体" w:cs="宋体"/>
          <w:color w:val="000000"/>
          <w:sz w:val="24"/>
          <w:szCs w:val="24"/>
        </w:rPr>
      </w:pPr>
      <w:r>
        <w:rPr>
          <w:rFonts w:hint="eastAsia" w:hAnsi="宋体" w:cs="宋体"/>
          <w:color w:val="000000"/>
          <w:sz w:val="24"/>
          <w:szCs w:val="24"/>
        </w:rPr>
        <w:t>法定代表人或委托代理人签名：</w:t>
      </w:r>
      <w:r>
        <w:rPr>
          <w:rFonts w:hint="eastAsia" w:hAnsi="宋体" w:cs="宋体"/>
          <w:color w:val="000000"/>
          <w:sz w:val="24"/>
          <w:szCs w:val="24"/>
          <w:u w:val="single"/>
        </w:rPr>
        <w:t xml:space="preserve">                               </w:t>
      </w:r>
    </w:p>
    <w:p>
      <w:pPr>
        <w:pStyle w:val="13"/>
        <w:spacing w:line="600" w:lineRule="exact"/>
        <w:ind w:firstLine="3060"/>
        <w:rPr>
          <w:rFonts w:hAnsi="宋体" w:cs="宋体"/>
          <w:color w:val="000000"/>
          <w:sz w:val="24"/>
          <w:szCs w:val="24"/>
          <w:u w:val="single"/>
        </w:rPr>
      </w:pPr>
      <w:r>
        <w:rPr>
          <w:rFonts w:hint="eastAsia" w:hAnsi="宋体" w:cs="宋体"/>
          <w:color w:val="000000"/>
          <w:sz w:val="24"/>
          <w:szCs w:val="24"/>
        </w:rPr>
        <w:t>竞标日期：</w:t>
      </w:r>
      <w:r>
        <w:rPr>
          <w:rFonts w:hint="eastAsia" w:hAnsi="宋体" w:cs="宋体"/>
          <w:color w:val="000000"/>
          <w:sz w:val="24"/>
          <w:szCs w:val="24"/>
          <w:u w:val="single"/>
        </w:rPr>
        <w:t xml:space="preserve">                                                 </w:t>
      </w:r>
    </w:p>
    <w:p>
      <w:pPr>
        <w:pStyle w:val="13"/>
        <w:spacing w:line="500" w:lineRule="exact"/>
        <w:ind w:left="101" w:leftChars="48" w:firstLine="595" w:firstLineChars="248"/>
        <w:rPr>
          <w:rFonts w:hAnsi="宋体" w:cs="宋体"/>
          <w:color w:val="000000"/>
          <w:sz w:val="24"/>
          <w:szCs w:val="24"/>
        </w:rPr>
      </w:pPr>
    </w:p>
    <w:p>
      <w:pPr>
        <w:pStyle w:val="13"/>
        <w:spacing w:line="460" w:lineRule="exact"/>
        <w:ind w:left="101" w:leftChars="48" w:firstLine="595" w:firstLineChars="248"/>
        <w:rPr>
          <w:rFonts w:hAnsi="宋体" w:cs="宋体"/>
          <w:color w:val="000000"/>
          <w:sz w:val="24"/>
          <w:szCs w:val="24"/>
        </w:rPr>
      </w:pPr>
    </w:p>
    <w:p>
      <w:pPr>
        <w:pStyle w:val="13"/>
        <w:spacing w:line="460" w:lineRule="exact"/>
        <w:ind w:left="101" w:leftChars="48" w:firstLine="595" w:firstLineChars="248"/>
        <w:rPr>
          <w:rFonts w:hAnsi="宋体" w:cs="宋体"/>
          <w:color w:val="000000"/>
          <w:sz w:val="24"/>
          <w:szCs w:val="24"/>
        </w:rPr>
      </w:pPr>
    </w:p>
    <w:p>
      <w:pPr>
        <w:spacing w:line="320" w:lineRule="exact"/>
        <w:ind w:left="361" w:hanging="361" w:hangingChars="150"/>
        <w:rPr>
          <w:rFonts w:ascii="宋体" w:hAnsi="宋体" w:cs="宋体"/>
          <w:color w:val="000000"/>
          <w:sz w:val="24"/>
        </w:rPr>
      </w:pPr>
      <w:r>
        <w:rPr>
          <w:rFonts w:hint="eastAsia" w:ascii="宋体" w:hAnsi="宋体" w:cs="宋体"/>
          <w:b/>
          <w:color w:val="000000"/>
          <w:sz w:val="24"/>
        </w:rPr>
        <w:t>说明：</w:t>
      </w:r>
      <w:r>
        <w:rPr>
          <w:rFonts w:hint="eastAsia" w:ascii="宋体" w:hAnsi="宋体" w:cs="宋体"/>
          <w:color w:val="000000"/>
          <w:sz w:val="24"/>
        </w:rPr>
        <w:t>供应商必须按以上格式填写，加盖单位公章并签名，否则，无签名、盖单位公章的，竞标无效。</w:t>
      </w:r>
    </w:p>
    <w:p>
      <w:pPr>
        <w:pStyle w:val="13"/>
        <w:spacing w:line="400" w:lineRule="exact"/>
        <w:rPr>
          <w:rFonts w:hAnsi="宋体" w:cs="宋体"/>
          <w:b/>
          <w:color w:val="000000"/>
          <w:sz w:val="24"/>
          <w:szCs w:val="24"/>
        </w:rPr>
      </w:pPr>
    </w:p>
    <w:p>
      <w:pPr>
        <w:pStyle w:val="13"/>
        <w:spacing w:line="400" w:lineRule="exact"/>
        <w:rPr>
          <w:rFonts w:hAnsi="宋体" w:cs="宋体"/>
          <w:bCs/>
          <w:color w:val="000000"/>
        </w:rPr>
      </w:pPr>
      <w:r>
        <w:rPr>
          <w:rFonts w:hint="eastAsia" w:hAnsi="宋体" w:cs="宋体"/>
          <w:b/>
          <w:color w:val="000000"/>
          <w:sz w:val="24"/>
          <w:szCs w:val="24"/>
        </w:rPr>
        <w:br w:type="page"/>
      </w:r>
    </w:p>
    <w:p>
      <w:pPr>
        <w:pStyle w:val="13"/>
        <w:jc w:val="center"/>
        <w:rPr>
          <w:rFonts w:hAnsi="宋体" w:cs="宋体"/>
          <w:b/>
          <w:color w:val="000000"/>
          <w:sz w:val="32"/>
        </w:rPr>
      </w:pPr>
      <w:r>
        <w:rPr>
          <w:rFonts w:hint="eastAsia" w:hAnsi="宋体" w:cs="宋体"/>
          <w:b/>
          <w:color w:val="000000"/>
          <w:sz w:val="32"/>
        </w:rPr>
        <w:t>竞标报价明细表（格式）</w:t>
      </w:r>
    </w:p>
    <w:p>
      <w:pPr>
        <w:pStyle w:val="13"/>
        <w:spacing w:before="156" w:beforeLines="50" w:after="156" w:afterLines="50"/>
        <w:rPr>
          <w:rFonts w:hAnsi="宋体" w:cs="宋体"/>
          <w:color w:val="000000"/>
          <w:sz w:val="24"/>
          <w:szCs w:val="24"/>
          <w:u w:val="single"/>
        </w:rPr>
      </w:pPr>
      <w:r>
        <w:rPr>
          <w:rFonts w:hint="eastAsia" w:hAnsi="宋体" w:cs="宋体"/>
          <w:color w:val="000000"/>
          <w:sz w:val="24"/>
          <w:szCs w:val="24"/>
        </w:rPr>
        <w:t>项目名称：</w:t>
      </w:r>
      <w:r>
        <w:rPr>
          <w:rFonts w:hint="eastAsia" w:hAnsi="宋体" w:cs="宋体"/>
          <w:color w:val="000000"/>
          <w:sz w:val="24"/>
          <w:szCs w:val="24"/>
          <w:u w:val="single"/>
        </w:rPr>
        <w:t xml:space="preserve">                       </w:t>
      </w:r>
    </w:p>
    <w:p>
      <w:pPr>
        <w:pStyle w:val="13"/>
        <w:spacing w:before="156" w:beforeLines="50" w:after="156" w:afterLines="50"/>
        <w:rPr>
          <w:rFonts w:hAnsi="宋体" w:cs="宋体"/>
          <w:color w:val="000000"/>
          <w:sz w:val="24"/>
          <w:szCs w:val="24"/>
          <w:u w:val="single"/>
        </w:rPr>
      </w:pPr>
      <w:r>
        <w:rPr>
          <w:rFonts w:hint="eastAsia" w:hAnsi="宋体" w:cs="宋体"/>
          <w:color w:val="000000"/>
          <w:sz w:val="24"/>
          <w:szCs w:val="24"/>
        </w:rPr>
        <w:t>项目编号：</w:t>
      </w:r>
      <w:r>
        <w:rPr>
          <w:rFonts w:hint="eastAsia" w:hAnsi="宋体" w:cs="宋体"/>
          <w:color w:val="000000"/>
          <w:sz w:val="24"/>
          <w:szCs w:val="24"/>
          <w:u w:val="single"/>
        </w:rPr>
        <w:t xml:space="preserve">                       </w:t>
      </w:r>
    </w:p>
    <w:p>
      <w:pPr>
        <w:pStyle w:val="13"/>
        <w:spacing w:before="156" w:beforeLines="50" w:after="156" w:afterLines="50"/>
        <w:rPr>
          <w:rFonts w:hAnsi="宋体" w:cs="宋体"/>
          <w:color w:val="000000"/>
          <w:sz w:val="24"/>
          <w:szCs w:val="24"/>
          <w:u w:val="single"/>
        </w:rPr>
      </w:pP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608"/>
        <w:gridCol w:w="670"/>
        <w:gridCol w:w="1858"/>
        <w:gridCol w:w="1899"/>
        <w:gridCol w:w="866"/>
        <w:gridCol w:w="1251"/>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trPr>
        <w:tc>
          <w:tcPr>
            <w:tcW w:w="445" w:type="dxa"/>
            <w:vAlign w:val="center"/>
          </w:tcPr>
          <w:p>
            <w:pPr>
              <w:pStyle w:val="13"/>
              <w:snapToGrid w:val="0"/>
              <w:jc w:val="center"/>
              <w:rPr>
                <w:rFonts w:hAnsi="宋体" w:cs="宋体"/>
                <w:color w:val="000000"/>
                <w:spacing w:val="-20"/>
                <w:sz w:val="24"/>
                <w:szCs w:val="24"/>
              </w:rPr>
            </w:pPr>
            <w:r>
              <w:rPr>
                <w:rFonts w:hint="eastAsia" w:hAnsi="宋体" w:cs="宋体"/>
                <w:color w:val="000000"/>
                <w:spacing w:val="-20"/>
                <w:sz w:val="24"/>
                <w:szCs w:val="24"/>
              </w:rPr>
              <w:t>序号</w:t>
            </w:r>
          </w:p>
        </w:tc>
        <w:tc>
          <w:tcPr>
            <w:tcW w:w="1608"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货物名称</w:t>
            </w:r>
          </w:p>
        </w:tc>
        <w:tc>
          <w:tcPr>
            <w:tcW w:w="670" w:type="dxa"/>
            <w:vAlign w:val="center"/>
          </w:tcPr>
          <w:p>
            <w:pPr>
              <w:pStyle w:val="13"/>
              <w:snapToGrid w:val="0"/>
              <w:jc w:val="center"/>
              <w:rPr>
                <w:rFonts w:hAnsi="宋体" w:cs="宋体"/>
                <w:color w:val="000000"/>
                <w:spacing w:val="-20"/>
                <w:sz w:val="24"/>
                <w:szCs w:val="24"/>
              </w:rPr>
            </w:pPr>
            <w:r>
              <w:rPr>
                <w:rFonts w:hint="eastAsia" w:hAnsi="宋体" w:cs="宋体"/>
                <w:color w:val="000000"/>
                <w:spacing w:val="-20"/>
                <w:sz w:val="24"/>
                <w:szCs w:val="24"/>
              </w:rPr>
              <w:t>数量</w:t>
            </w:r>
          </w:p>
          <w:p>
            <w:pPr>
              <w:pStyle w:val="13"/>
              <w:snapToGrid w:val="0"/>
              <w:jc w:val="center"/>
              <w:rPr>
                <w:rFonts w:hAnsi="宋体" w:cs="宋体"/>
                <w:color w:val="000000"/>
                <w:spacing w:val="-20"/>
                <w:sz w:val="24"/>
                <w:szCs w:val="24"/>
              </w:rPr>
            </w:pPr>
          </w:p>
          <w:p>
            <w:pPr>
              <w:pStyle w:val="13"/>
              <w:snapToGrid w:val="0"/>
              <w:jc w:val="center"/>
              <w:rPr>
                <w:rFonts w:hAnsi="宋体" w:cs="宋体"/>
                <w:color w:val="000000"/>
                <w:spacing w:val="-20"/>
                <w:sz w:val="24"/>
                <w:szCs w:val="24"/>
              </w:rPr>
            </w:pPr>
            <w:r>
              <w:rPr>
                <w:rFonts w:hint="eastAsia" w:hAnsi="宋体" w:cs="宋体"/>
                <w:color w:val="000000"/>
                <w:spacing w:val="-20"/>
                <w:sz w:val="24"/>
                <w:szCs w:val="24"/>
              </w:rPr>
              <w:t>①</w:t>
            </w:r>
          </w:p>
        </w:tc>
        <w:tc>
          <w:tcPr>
            <w:tcW w:w="1858"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品牌</w:t>
            </w:r>
          </w:p>
          <w:p>
            <w:pPr>
              <w:pStyle w:val="13"/>
              <w:snapToGrid w:val="0"/>
              <w:jc w:val="center"/>
              <w:rPr>
                <w:rFonts w:hAnsi="宋体" w:cs="宋体"/>
                <w:color w:val="000000"/>
                <w:sz w:val="24"/>
                <w:szCs w:val="24"/>
              </w:rPr>
            </w:pPr>
            <w:r>
              <w:rPr>
                <w:rFonts w:hint="eastAsia" w:hAnsi="宋体" w:cs="宋体"/>
                <w:color w:val="000000"/>
                <w:sz w:val="24"/>
                <w:szCs w:val="24"/>
              </w:rPr>
              <w:t>生产厂家及国别</w:t>
            </w:r>
          </w:p>
        </w:tc>
        <w:tc>
          <w:tcPr>
            <w:tcW w:w="1899" w:type="dxa"/>
            <w:vAlign w:val="center"/>
          </w:tcPr>
          <w:p>
            <w:pPr>
              <w:pStyle w:val="13"/>
              <w:snapToGrid w:val="0"/>
              <w:ind w:left="-105" w:leftChars="-50" w:right="-105" w:rightChars="-50"/>
              <w:jc w:val="center"/>
              <w:rPr>
                <w:rFonts w:hAnsi="宋体" w:cs="宋体"/>
                <w:color w:val="000000"/>
                <w:sz w:val="24"/>
                <w:szCs w:val="24"/>
              </w:rPr>
            </w:pPr>
            <w:r>
              <w:rPr>
                <w:rFonts w:hint="eastAsia" w:hAnsi="宋体" w:cs="宋体"/>
                <w:color w:val="000000"/>
                <w:sz w:val="24"/>
                <w:szCs w:val="24"/>
              </w:rPr>
              <w:t>型号规格、技术参数、</w:t>
            </w:r>
          </w:p>
          <w:p>
            <w:pPr>
              <w:pStyle w:val="13"/>
              <w:snapToGrid w:val="0"/>
              <w:ind w:left="-105" w:leftChars="-50" w:right="-105" w:rightChars="-50"/>
              <w:jc w:val="center"/>
              <w:rPr>
                <w:rFonts w:hAnsi="宋体" w:cs="宋体"/>
                <w:color w:val="000000"/>
                <w:sz w:val="24"/>
                <w:szCs w:val="24"/>
              </w:rPr>
            </w:pPr>
            <w:r>
              <w:rPr>
                <w:rFonts w:hint="eastAsia" w:hAnsi="宋体" w:cs="宋体"/>
                <w:color w:val="000000"/>
                <w:sz w:val="24"/>
                <w:szCs w:val="24"/>
              </w:rPr>
              <w:t>性能配置</w:t>
            </w:r>
          </w:p>
        </w:tc>
        <w:tc>
          <w:tcPr>
            <w:tcW w:w="866"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单价</w:t>
            </w:r>
          </w:p>
          <w:p>
            <w:pPr>
              <w:pStyle w:val="13"/>
              <w:snapToGrid w:val="0"/>
              <w:jc w:val="center"/>
              <w:rPr>
                <w:rFonts w:hAnsi="宋体" w:cs="宋体"/>
                <w:color w:val="000000"/>
                <w:sz w:val="24"/>
                <w:szCs w:val="24"/>
              </w:rPr>
            </w:pPr>
            <w:r>
              <w:rPr>
                <w:rFonts w:hint="eastAsia" w:hAnsi="宋体" w:cs="宋体"/>
                <w:color w:val="000000"/>
                <w:sz w:val="24"/>
                <w:szCs w:val="24"/>
              </w:rPr>
              <w:t>（元）</w:t>
            </w:r>
          </w:p>
          <w:p>
            <w:pPr>
              <w:pStyle w:val="13"/>
              <w:snapToGrid w:val="0"/>
              <w:jc w:val="center"/>
              <w:rPr>
                <w:rFonts w:hAnsi="宋体" w:cs="宋体"/>
                <w:color w:val="000000"/>
                <w:sz w:val="24"/>
                <w:szCs w:val="24"/>
              </w:rPr>
            </w:pPr>
            <w:r>
              <w:rPr>
                <w:rFonts w:hint="eastAsia" w:hAnsi="宋体" w:cs="宋体"/>
                <w:color w:val="000000"/>
                <w:sz w:val="24"/>
                <w:szCs w:val="24"/>
              </w:rPr>
              <w:t>②</w:t>
            </w:r>
          </w:p>
        </w:tc>
        <w:tc>
          <w:tcPr>
            <w:tcW w:w="1251"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单项合价</w:t>
            </w:r>
          </w:p>
          <w:p>
            <w:pPr>
              <w:pStyle w:val="13"/>
              <w:snapToGrid w:val="0"/>
              <w:jc w:val="center"/>
              <w:rPr>
                <w:rFonts w:hAnsi="宋体" w:cs="宋体"/>
                <w:color w:val="000000"/>
                <w:sz w:val="24"/>
                <w:szCs w:val="24"/>
              </w:rPr>
            </w:pPr>
            <w:r>
              <w:rPr>
                <w:rFonts w:hint="eastAsia" w:hAnsi="宋体" w:cs="宋体"/>
                <w:color w:val="000000"/>
                <w:sz w:val="24"/>
                <w:szCs w:val="24"/>
              </w:rPr>
              <w:t>（元）</w:t>
            </w:r>
          </w:p>
          <w:p>
            <w:pPr>
              <w:pStyle w:val="13"/>
              <w:snapToGrid w:val="0"/>
              <w:jc w:val="center"/>
              <w:rPr>
                <w:rFonts w:hAnsi="宋体" w:cs="宋体"/>
                <w:color w:val="000000"/>
                <w:sz w:val="24"/>
                <w:szCs w:val="24"/>
              </w:rPr>
            </w:pPr>
            <w:r>
              <w:rPr>
                <w:rFonts w:hint="eastAsia" w:hAnsi="宋体" w:cs="宋体"/>
                <w:color w:val="000000"/>
                <w:sz w:val="24"/>
                <w:szCs w:val="24"/>
              </w:rPr>
              <w:t>③=①×②</w:t>
            </w:r>
          </w:p>
        </w:tc>
        <w:tc>
          <w:tcPr>
            <w:tcW w:w="732"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45" w:type="dxa"/>
            <w:vAlign w:val="center"/>
          </w:tcPr>
          <w:p>
            <w:pPr>
              <w:snapToGrid w:val="0"/>
              <w:jc w:val="center"/>
              <w:rPr>
                <w:rFonts w:ascii="宋体" w:hAnsi="宋体" w:cs="宋体"/>
                <w:color w:val="000000"/>
                <w:sz w:val="24"/>
              </w:rPr>
            </w:pPr>
            <w:r>
              <w:rPr>
                <w:rFonts w:hint="eastAsia" w:ascii="宋体" w:hAnsi="宋体" w:cs="宋体"/>
                <w:color w:val="000000"/>
                <w:sz w:val="24"/>
              </w:rPr>
              <w:t>1</w:t>
            </w:r>
          </w:p>
        </w:tc>
        <w:tc>
          <w:tcPr>
            <w:tcW w:w="1608" w:type="dxa"/>
            <w:vAlign w:val="center"/>
          </w:tcPr>
          <w:p>
            <w:pPr>
              <w:pStyle w:val="20"/>
              <w:snapToGrid w:val="0"/>
              <w:spacing w:after="0"/>
              <w:ind w:left="-105" w:leftChars="-50" w:right="-105" w:rightChars="-50"/>
              <w:jc w:val="center"/>
              <w:rPr>
                <w:rFonts w:ascii="宋体" w:hAnsi="宋体" w:cs="宋体"/>
                <w:bCs/>
                <w:color w:val="000000"/>
                <w:sz w:val="24"/>
                <w:szCs w:val="24"/>
              </w:rPr>
            </w:pPr>
          </w:p>
        </w:tc>
        <w:tc>
          <w:tcPr>
            <w:tcW w:w="670" w:type="dxa"/>
            <w:vAlign w:val="center"/>
          </w:tcPr>
          <w:p>
            <w:pPr>
              <w:snapToGrid w:val="0"/>
              <w:jc w:val="center"/>
              <w:rPr>
                <w:rFonts w:ascii="宋体" w:hAnsi="宋体" w:cs="宋体"/>
                <w:color w:val="000000"/>
                <w:sz w:val="24"/>
              </w:rPr>
            </w:pPr>
          </w:p>
        </w:tc>
        <w:tc>
          <w:tcPr>
            <w:tcW w:w="1858" w:type="dxa"/>
            <w:vAlign w:val="center"/>
          </w:tcPr>
          <w:p>
            <w:pPr>
              <w:pStyle w:val="13"/>
              <w:snapToGrid w:val="0"/>
              <w:rPr>
                <w:rFonts w:hAnsi="宋体" w:cs="宋体"/>
                <w:color w:val="000000"/>
                <w:sz w:val="24"/>
                <w:szCs w:val="24"/>
              </w:rPr>
            </w:pPr>
          </w:p>
        </w:tc>
        <w:tc>
          <w:tcPr>
            <w:tcW w:w="1899" w:type="dxa"/>
            <w:vAlign w:val="center"/>
          </w:tcPr>
          <w:p>
            <w:pPr>
              <w:pStyle w:val="13"/>
              <w:snapToGrid w:val="0"/>
              <w:rPr>
                <w:rFonts w:hAnsi="宋体" w:cs="宋体"/>
                <w:color w:val="000000"/>
                <w:sz w:val="24"/>
                <w:szCs w:val="24"/>
              </w:rPr>
            </w:pPr>
          </w:p>
        </w:tc>
        <w:tc>
          <w:tcPr>
            <w:tcW w:w="866" w:type="dxa"/>
            <w:vAlign w:val="center"/>
          </w:tcPr>
          <w:p>
            <w:pPr>
              <w:pStyle w:val="13"/>
              <w:snapToGrid w:val="0"/>
              <w:rPr>
                <w:rFonts w:hAnsi="宋体" w:cs="宋体"/>
                <w:color w:val="000000"/>
                <w:sz w:val="24"/>
                <w:szCs w:val="24"/>
              </w:rPr>
            </w:pPr>
          </w:p>
        </w:tc>
        <w:tc>
          <w:tcPr>
            <w:tcW w:w="1251" w:type="dxa"/>
            <w:vAlign w:val="center"/>
          </w:tcPr>
          <w:p>
            <w:pPr>
              <w:pStyle w:val="13"/>
              <w:snapToGrid w:val="0"/>
              <w:rPr>
                <w:rFonts w:hAnsi="宋体" w:cs="宋体"/>
                <w:color w:val="000000"/>
                <w:sz w:val="24"/>
                <w:szCs w:val="24"/>
              </w:rPr>
            </w:pPr>
          </w:p>
        </w:tc>
        <w:tc>
          <w:tcPr>
            <w:tcW w:w="732" w:type="dxa"/>
            <w:vAlign w:val="center"/>
          </w:tcPr>
          <w:p>
            <w:pPr>
              <w:pStyle w:val="13"/>
              <w:snapToGrid w:val="0"/>
              <w:rPr>
                <w:rFonts w:hAnsi="宋体" w:cs="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45" w:type="dxa"/>
            <w:vAlign w:val="center"/>
          </w:tcPr>
          <w:p>
            <w:pPr>
              <w:snapToGrid w:val="0"/>
              <w:jc w:val="center"/>
              <w:rPr>
                <w:rFonts w:ascii="宋体" w:hAnsi="宋体" w:cs="宋体"/>
                <w:color w:val="000000"/>
                <w:sz w:val="24"/>
              </w:rPr>
            </w:pPr>
            <w:r>
              <w:rPr>
                <w:rFonts w:hint="eastAsia" w:ascii="宋体" w:hAnsi="宋体" w:cs="宋体"/>
                <w:color w:val="000000"/>
                <w:sz w:val="24"/>
              </w:rPr>
              <w:t>2</w:t>
            </w:r>
          </w:p>
        </w:tc>
        <w:tc>
          <w:tcPr>
            <w:tcW w:w="1608" w:type="dxa"/>
            <w:vAlign w:val="center"/>
          </w:tcPr>
          <w:p>
            <w:pPr>
              <w:pStyle w:val="20"/>
              <w:snapToGrid w:val="0"/>
              <w:spacing w:after="0"/>
              <w:ind w:left="-105" w:leftChars="-50" w:right="-105" w:rightChars="-50"/>
              <w:jc w:val="center"/>
              <w:rPr>
                <w:rFonts w:ascii="宋体" w:hAnsi="宋体" w:cs="宋体"/>
                <w:bCs/>
                <w:color w:val="000000"/>
                <w:sz w:val="24"/>
                <w:szCs w:val="24"/>
              </w:rPr>
            </w:pPr>
          </w:p>
        </w:tc>
        <w:tc>
          <w:tcPr>
            <w:tcW w:w="670" w:type="dxa"/>
            <w:vAlign w:val="center"/>
          </w:tcPr>
          <w:p>
            <w:pPr>
              <w:snapToGrid w:val="0"/>
              <w:jc w:val="center"/>
              <w:rPr>
                <w:rFonts w:ascii="宋体" w:hAnsi="宋体" w:cs="宋体"/>
                <w:color w:val="000000"/>
                <w:sz w:val="24"/>
              </w:rPr>
            </w:pPr>
          </w:p>
        </w:tc>
        <w:tc>
          <w:tcPr>
            <w:tcW w:w="1858" w:type="dxa"/>
            <w:vAlign w:val="center"/>
          </w:tcPr>
          <w:p>
            <w:pPr>
              <w:pStyle w:val="13"/>
              <w:snapToGrid w:val="0"/>
              <w:rPr>
                <w:rFonts w:hAnsi="宋体" w:cs="宋体"/>
                <w:color w:val="000000"/>
                <w:sz w:val="24"/>
                <w:szCs w:val="24"/>
              </w:rPr>
            </w:pPr>
          </w:p>
        </w:tc>
        <w:tc>
          <w:tcPr>
            <w:tcW w:w="1899" w:type="dxa"/>
            <w:vAlign w:val="center"/>
          </w:tcPr>
          <w:p>
            <w:pPr>
              <w:pStyle w:val="13"/>
              <w:snapToGrid w:val="0"/>
              <w:rPr>
                <w:rFonts w:hAnsi="宋体" w:cs="宋体"/>
                <w:color w:val="000000"/>
                <w:sz w:val="24"/>
                <w:szCs w:val="24"/>
              </w:rPr>
            </w:pPr>
          </w:p>
        </w:tc>
        <w:tc>
          <w:tcPr>
            <w:tcW w:w="866" w:type="dxa"/>
            <w:vAlign w:val="center"/>
          </w:tcPr>
          <w:p>
            <w:pPr>
              <w:pStyle w:val="13"/>
              <w:snapToGrid w:val="0"/>
              <w:rPr>
                <w:rFonts w:hAnsi="宋体" w:cs="宋体"/>
                <w:color w:val="000000"/>
                <w:sz w:val="24"/>
                <w:szCs w:val="24"/>
              </w:rPr>
            </w:pPr>
          </w:p>
        </w:tc>
        <w:tc>
          <w:tcPr>
            <w:tcW w:w="1251" w:type="dxa"/>
            <w:vAlign w:val="center"/>
          </w:tcPr>
          <w:p>
            <w:pPr>
              <w:pStyle w:val="13"/>
              <w:snapToGrid w:val="0"/>
              <w:rPr>
                <w:rFonts w:hAnsi="宋体" w:cs="宋体"/>
                <w:color w:val="000000"/>
                <w:sz w:val="24"/>
                <w:szCs w:val="24"/>
              </w:rPr>
            </w:pPr>
          </w:p>
        </w:tc>
        <w:tc>
          <w:tcPr>
            <w:tcW w:w="732" w:type="dxa"/>
            <w:vAlign w:val="center"/>
          </w:tcPr>
          <w:p>
            <w:pPr>
              <w:pStyle w:val="13"/>
              <w:snapToGrid w:val="0"/>
              <w:rPr>
                <w:rFonts w:hAnsi="宋体" w:cs="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45" w:type="dxa"/>
            <w:vAlign w:val="center"/>
          </w:tcPr>
          <w:p>
            <w:pPr>
              <w:snapToGrid w:val="0"/>
              <w:jc w:val="center"/>
              <w:rPr>
                <w:rFonts w:ascii="宋体" w:hAnsi="宋体" w:cs="宋体"/>
                <w:color w:val="000000"/>
                <w:sz w:val="24"/>
              </w:rPr>
            </w:pPr>
            <w:r>
              <w:rPr>
                <w:rFonts w:hint="eastAsia" w:ascii="宋体" w:hAnsi="宋体" w:cs="宋体"/>
                <w:color w:val="000000"/>
                <w:sz w:val="24"/>
              </w:rPr>
              <w:t>3</w:t>
            </w:r>
          </w:p>
        </w:tc>
        <w:tc>
          <w:tcPr>
            <w:tcW w:w="1608" w:type="dxa"/>
            <w:vAlign w:val="center"/>
          </w:tcPr>
          <w:p>
            <w:pPr>
              <w:pStyle w:val="20"/>
              <w:snapToGrid w:val="0"/>
              <w:spacing w:after="0"/>
              <w:ind w:left="-105" w:leftChars="-50" w:right="-105" w:rightChars="-50"/>
              <w:jc w:val="center"/>
              <w:rPr>
                <w:rFonts w:ascii="宋体" w:hAnsi="宋体" w:cs="宋体"/>
                <w:bCs/>
                <w:color w:val="000000"/>
                <w:sz w:val="24"/>
                <w:szCs w:val="24"/>
              </w:rPr>
            </w:pPr>
          </w:p>
        </w:tc>
        <w:tc>
          <w:tcPr>
            <w:tcW w:w="670" w:type="dxa"/>
            <w:vAlign w:val="center"/>
          </w:tcPr>
          <w:p>
            <w:pPr>
              <w:snapToGrid w:val="0"/>
              <w:jc w:val="center"/>
              <w:rPr>
                <w:rFonts w:ascii="宋体" w:hAnsi="宋体" w:cs="宋体"/>
                <w:color w:val="000000"/>
                <w:sz w:val="24"/>
              </w:rPr>
            </w:pPr>
          </w:p>
        </w:tc>
        <w:tc>
          <w:tcPr>
            <w:tcW w:w="1858" w:type="dxa"/>
            <w:vAlign w:val="center"/>
          </w:tcPr>
          <w:p>
            <w:pPr>
              <w:pStyle w:val="13"/>
              <w:snapToGrid w:val="0"/>
              <w:rPr>
                <w:rFonts w:hAnsi="宋体" w:cs="宋体"/>
                <w:color w:val="000000"/>
                <w:sz w:val="24"/>
                <w:szCs w:val="24"/>
              </w:rPr>
            </w:pPr>
          </w:p>
        </w:tc>
        <w:tc>
          <w:tcPr>
            <w:tcW w:w="1899" w:type="dxa"/>
            <w:vAlign w:val="center"/>
          </w:tcPr>
          <w:p>
            <w:pPr>
              <w:pStyle w:val="13"/>
              <w:snapToGrid w:val="0"/>
              <w:rPr>
                <w:rFonts w:hAnsi="宋体" w:cs="宋体"/>
                <w:color w:val="000000"/>
                <w:sz w:val="24"/>
                <w:szCs w:val="24"/>
              </w:rPr>
            </w:pPr>
          </w:p>
        </w:tc>
        <w:tc>
          <w:tcPr>
            <w:tcW w:w="866" w:type="dxa"/>
            <w:vAlign w:val="center"/>
          </w:tcPr>
          <w:p>
            <w:pPr>
              <w:pStyle w:val="13"/>
              <w:snapToGrid w:val="0"/>
              <w:rPr>
                <w:rFonts w:hAnsi="宋体" w:cs="宋体"/>
                <w:color w:val="000000"/>
                <w:sz w:val="24"/>
                <w:szCs w:val="24"/>
              </w:rPr>
            </w:pPr>
          </w:p>
        </w:tc>
        <w:tc>
          <w:tcPr>
            <w:tcW w:w="1251" w:type="dxa"/>
            <w:vAlign w:val="center"/>
          </w:tcPr>
          <w:p>
            <w:pPr>
              <w:pStyle w:val="13"/>
              <w:snapToGrid w:val="0"/>
              <w:rPr>
                <w:rFonts w:hAnsi="宋体" w:cs="宋体"/>
                <w:color w:val="000000"/>
                <w:sz w:val="24"/>
                <w:szCs w:val="24"/>
              </w:rPr>
            </w:pPr>
          </w:p>
        </w:tc>
        <w:tc>
          <w:tcPr>
            <w:tcW w:w="732" w:type="dxa"/>
            <w:vAlign w:val="center"/>
          </w:tcPr>
          <w:p>
            <w:pPr>
              <w:pStyle w:val="13"/>
              <w:snapToGrid w:val="0"/>
              <w:rPr>
                <w:rFonts w:hAnsi="宋体" w:cs="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45" w:type="dxa"/>
            <w:vAlign w:val="center"/>
          </w:tcPr>
          <w:p>
            <w:pPr>
              <w:snapToGrid w:val="0"/>
              <w:jc w:val="center"/>
              <w:rPr>
                <w:rFonts w:ascii="宋体" w:hAnsi="宋体" w:cs="宋体"/>
                <w:color w:val="000000"/>
                <w:sz w:val="24"/>
              </w:rPr>
            </w:pPr>
            <w:r>
              <w:rPr>
                <w:rFonts w:hint="eastAsia" w:ascii="宋体" w:hAnsi="宋体" w:cs="宋体"/>
                <w:color w:val="000000"/>
                <w:sz w:val="24"/>
              </w:rPr>
              <w:t>…</w:t>
            </w:r>
          </w:p>
        </w:tc>
        <w:tc>
          <w:tcPr>
            <w:tcW w:w="1608" w:type="dxa"/>
            <w:vAlign w:val="center"/>
          </w:tcPr>
          <w:p>
            <w:pPr>
              <w:pStyle w:val="20"/>
              <w:snapToGrid w:val="0"/>
              <w:spacing w:after="0"/>
              <w:ind w:left="-105" w:leftChars="-50" w:right="-105" w:rightChars="-50"/>
              <w:jc w:val="center"/>
              <w:rPr>
                <w:rFonts w:ascii="宋体" w:hAnsi="宋体" w:cs="宋体"/>
                <w:bCs/>
                <w:color w:val="000000"/>
                <w:sz w:val="24"/>
                <w:szCs w:val="24"/>
              </w:rPr>
            </w:pPr>
          </w:p>
        </w:tc>
        <w:tc>
          <w:tcPr>
            <w:tcW w:w="670" w:type="dxa"/>
            <w:vAlign w:val="center"/>
          </w:tcPr>
          <w:p>
            <w:pPr>
              <w:snapToGrid w:val="0"/>
              <w:jc w:val="center"/>
              <w:rPr>
                <w:rFonts w:ascii="宋体" w:hAnsi="宋体" w:cs="宋体"/>
                <w:color w:val="000000"/>
                <w:sz w:val="24"/>
              </w:rPr>
            </w:pPr>
          </w:p>
        </w:tc>
        <w:tc>
          <w:tcPr>
            <w:tcW w:w="1858" w:type="dxa"/>
            <w:vAlign w:val="center"/>
          </w:tcPr>
          <w:p>
            <w:pPr>
              <w:pStyle w:val="13"/>
              <w:snapToGrid w:val="0"/>
              <w:rPr>
                <w:rFonts w:hAnsi="宋体" w:cs="宋体"/>
                <w:color w:val="000000"/>
                <w:sz w:val="24"/>
                <w:szCs w:val="24"/>
              </w:rPr>
            </w:pPr>
          </w:p>
        </w:tc>
        <w:tc>
          <w:tcPr>
            <w:tcW w:w="1899" w:type="dxa"/>
            <w:vAlign w:val="center"/>
          </w:tcPr>
          <w:p>
            <w:pPr>
              <w:pStyle w:val="13"/>
              <w:snapToGrid w:val="0"/>
              <w:rPr>
                <w:rFonts w:hAnsi="宋体" w:cs="宋体"/>
                <w:color w:val="000000"/>
                <w:sz w:val="24"/>
                <w:szCs w:val="24"/>
              </w:rPr>
            </w:pPr>
          </w:p>
        </w:tc>
        <w:tc>
          <w:tcPr>
            <w:tcW w:w="866" w:type="dxa"/>
            <w:vAlign w:val="center"/>
          </w:tcPr>
          <w:p>
            <w:pPr>
              <w:pStyle w:val="13"/>
              <w:snapToGrid w:val="0"/>
              <w:rPr>
                <w:rFonts w:hAnsi="宋体" w:cs="宋体"/>
                <w:color w:val="000000"/>
                <w:sz w:val="24"/>
                <w:szCs w:val="24"/>
              </w:rPr>
            </w:pPr>
          </w:p>
        </w:tc>
        <w:tc>
          <w:tcPr>
            <w:tcW w:w="1251" w:type="dxa"/>
            <w:vAlign w:val="center"/>
          </w:tcPr>
          <w:p>
            <w:pPr>
              <w:pStyle w:val="13"/>
              <w:snapToGrid w:val="0"/>
              <w:rPr>
                <w:rFonts w:hAnsi="宋体" w:cs="宋体"/>
                <w:color w:val="000000"/>
                <w:sz w:val="24"/>
                <w:szCs w:val="24"/>
              </w:rPr>
            </w:pPr>
          </w:p>
        </w:tc>
        <w:tc>
          <w:tcPr>
            <w:tcW w:w="732" w:type="dxa"/>
            <w:vAlign w:val="center"/>
          </w:tcPr>
          <w:p>
            <w:pPr>
              <w:pStyle w:val="13"/>
              <w:snapToGrid w:val="0"/>
              <w:rPr>
                <w:rFonts w:hAnsi="宋体" w:cs="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329" w:type="dxa"/>
            <w:gridSpan w:val="8"/>
            <w:vAlign w:val="center"/>
          </w:tcPr>
          <w:p>
            <w:pPr>
              <w:pStyle w:val="13"/>
              <w:snapToGrid w:val="0"/>
              <w:jc w:val="left"/>
              <w:rPr>
                <w:rFonts w:hAnsi="宋体" w:cs="宋体"/>
                <w:color w:val="000000"/>
                <w:spacing w:val="-6"/>
                <w:sz w:val="24"/>
                <w:szCs w:val="24"/>
              </w:rPr>
            </w:pPr>
            <w:r>
              <w:rPr>
                <w:rFonts w:hint="eastAsia" w:hAnsi="宋体" w:cs="宋体"/>
                <w:color w:val="000000"/>
                <w:spacing w:val="-6"/>
                <w:sz w:val="24"/>
                <w:szCs w:val="24"/>
              </w:rPr>
              <w:t>竞标报价（人民币大写）：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329" w:type="dxa"/>
            <w:gridSpan w:val="8"/>
            <w:vAlign w:val="center"/>
          </w:tcPr>
          <w:p>
            <w:pPr>
              <w:pStyle w:val="13"/>
              <w:snapToGrid w:val="0"/>
              <w:rPr>
                <w:rFonts w:hAnsi="宋体" w:cs="宋体"/>
                <w:color w:val="000000"/>
                <w:sz w:val="24"/>
                <w:szCs w:val="24"/>
              </w:rPr>
            </w:pPr>
            <w:r>
              <w:rPr>
                <w:rFonts w:hint="eastAsia" w:hAnsi="宋体" w:cs="宋体"/>
                <w:color w:val="000000"/>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329" w:type="dxa"/>
            <w:gridSpan w:val="8"/>
            <w:vAlign w:val="center"/>
          </w:tcPr>
          <w:p>
            <w:pPr>
              <w:pStyle w:val="13"/>
              <w:snapToGrid w:val="0"/>
              <w:rPr>
                <w:rFonts w:hAnsi="宋体" w:cs="宋体"/>
                <w:color w:val="000000"/>
                <w:sz w:val="24"/>
                <w:szCs w:val="24"/>
              </w:rPr>
            </w:pPr>
            <w:r>
              <w:rPr>
                <w:rFonts w:hint="eastAsia" w:hAnsi="宋体" w:cs="宋体"/>
                <w:color w:val="000000"/>
                <w:sz w:val="24"/>
                <w:szCs w:val="24"/>
              </w:rPr>
              <w:t>交付地点：</w:t>
            </w:r>
          </w:p>
        </w:tc>
      </w:tr>
    </w:tbl>
    <w:p>
      <w:pPr>
        <w:pStyle w:val="13"/>
        <w:rPr>
          <w:rFonts w:hAnsi="宋体" w:cs="宋体"/>
          <w:color w:val="000000"/>
        </w:rPr>
      </w:pPr>
    </w:p>
    <w:p>
      <w:pPr>
        <w:pStyle w:val="13"/>
        <w:rPr>
          <w:rFonts w:hAnsi="宋体" w:cs="宋体"/>
          <w:color w:val="000000"/>
        </w:rPr>
      </w:pPr>
    </w:p>
    <w:p>
      <w:pPr>
        <w:pStyle w:val="13"/>
        <w:spacing w:line="600" w:lineRule="exact"/>
        <w:ind w:firstLine="3060"/>
        <w:rPr>
          <w:rFonts w:hAnsi="宋体" w:cs="宋体"/>
          <w:color w:val="000000"/>
          <w:sz w:val="24"/>
          <w:szCs w:val="24"/>
          <w:u w:val="single"/>
        </w:rPr>
      </w:pPr>
      <w:r>
        <w:rPr>
          <w:rFonts w:hint="eastAsia" w:hAnsi="宋体" w:cs="宋体"/>
          <w:color w:val="000000"/>
          <w:sz w:val="24"/>
          <w:szCs w:val="24"/>
        </w:rPr>
        <w:t>供应商名称（加盖单位公章）：</w:t>
      </w:r>
      <w:r>
        <w:rPr>
          <w:rFonts w:hint="eastAsia" w:hAnsi="宋体" w:cs="宋体"/>
          <w:color w:val="000000"/>
          <w:sz w:val="24"/>
          <w:szCs w:val="24"/>
          <w:u w:val="single"/>
        </w:rPr>
        <w:t xml:space="preserve">                                </w:t>
      </w:r>
    </w:p>
    <w:p>
      <w:pPr>
        <w:pStyle w:val="13"/>
        <w:spacing w:line="600" w:lineRule="exact"/>
        <w:ind w:firstLine="3060"/>
        <w:rPr>
          <w:rFonts w:hAnsi="宋体" w:cs="宋体"/>
          <w:color w:val="000000"/>
          <w:sz w:val="24"/>
          <w:szCs w:val="24"/>
        </w:rPr>
      </w:pPr>
      <w:r>
        <w:rPr>
          <w:rFonts w:hint="eastAsia" w:hAnsi="宋体" w:cs="宋体"/>
          <w:color w:val="000000"/>
          <w:sz w:val="24"/>
          <w:szCs w:val="24"/>
        </w:rPr>
        <w:t>法定代表人或委托代理人签名：</w:t>
      </w:r>
      <w:r>
        <w:rPr>
          <w:rFonts w:hint="eastAsia" w:hAnsi="宋体" w:cs="宋体"/>
          <w:color w:val="000000"/>
          <w:sz w:val="24"/>
          <w:szCs w:val="24"/>
          <w:u w:val="single"/>
        </w:rPr>
        <w:t xml:space="preserve">                               </w:t>
      </w:r>
    </w:p>
    <w:p>
      <w:pPr>
        <w:pStyle w:val="13"/>
        <w:spacing w:line="600" w:lineRule="exact"/>
        <w:ind w:firstLine="3060"/>
        <w:rPr>
          <w:rFonts w:hAnsi="宋体" w:cs="宋体"/>
          <w:color w:val="000000"/>
          <w:sz w:val="24"/>
          <w:szCs w:val="24"/>
          <w:u w:val="single"/>
        </w:rPr>
      </w:pPr>
      <w:r>
        <w:rPr>
          <w:rFonts w:hint="eastAsia" w:hAnsi="宋体" w:cs="宋体"/>
          <w:color w:val="000000"/>
          <w:sz w:val="24"/>
          <w:szCs w:val="24"/>
        </w:rPr>
        <w:t>竞标日期：</w:t>
      </w:r>
      <w:r>
        <w:rPr>
          <w:rFonts w:hint="eastAsia" w:hAnsi="宋体" w:cs="宋体"/>
          <w:color w:val="000000"/>
          <w:sz w:val="24"/>
          <w:szCs w:val="24"/>
          <w:u w:val="single"/>
        </w:rPr>
        <w:t xml:space="preserve">                                                 </w:t>
      </w:r>
    </w:p>
    <w:p>
      <w:pPr>
        <w:pStyle w:val="13"/>
        <w:spacing w:line="400" w:lineRule="exact"/>
        <w:rPr>
          <w:rFonts w:hAnsi="宋体" w:cs="宋体"/>
          <w:color w:val="000000"/>
          <w:sz w:val="24"/>
          <w:szCs w:val="24"/>
        </w:rPr>
      </w:pPr>
    </w:p>
    <w:p>
      <w:pPr>
        <w:pStyle w:val="13"/>
        <w:spacing w:line="400" w:lineRule="exact"/>
        <w:rPr>
          <w:rFonts w:hAnsi="宋体" w:cs="宋体"/>
          <w:color w:val="000000"/>
          <w:sz w:val="24"/>
          <w:szCs w:val="24"/>
        </w:rPr>
      </w:pPr>
    </w:p>
    <w:p>
      <w:pPr>
        <w:spacing w:line="320" w:lineRule="exact"/>
        <w:ind w:left="361" w:hanging="361" w:hangingChars="150"/>
        <w:rPr>
          <w:rFonts w:ascii="宋体" w:hAnsi="宋体" w:cs="宋体"/>
          <w:b/>
          <w:color w:val="000000"/>
          <w:sz w:val="24"/>
        </w:rPr>
      </w:pPr>
      <w:r>
        <w:rPr>
          <w:rFonts w:hint="eastAsia" w:ascii="宋体" w:hAnsi="宋体" w:cs="宋体"/>
          <w:b/>
          <w:color w:val="000000"/>
          <w:sz w:val="24"/>
        </w:rPr>
        <w:t>说明：</w:t>
      </w:r>
    </w:p>
    <w:p>
      <w:pPr>
        <w:spacing w:line="320" w:lineRule="exact"/>
        <w:ind w:left="360" w:hanging="360" w:hangingChars="150"/>
        <w:rPr>
          <w:rFonts w:ascii="宋体" w:hAnsi="宋体" w:cs="宋体"/>
          <w:color w:val="000000"/>
          <w:sz w:val="24"/>
        </w:rPr>
      </w:pPr>
      <w:r>
        <w:rPr>
          <w:rFonts w:hint="eastAsia" w:ascii="宋体" w:hAnsi="宋体" w:cs="宋体"/>
          <w:color w:val="000000"/>
          <w:sz w:val="24"/>
        </w:rPr>
        <w:t>1、所有价格均系用人民币表示，单位为元，精确到小数点后两位；</w:t>
      </w:r>
    </w:p>
    <w:p>
      <w:pPr>
        <w:spacing w:line="320" w:lineRule="exact"/>
        <w:ind w:left="360" w:hanging="360" w:hangingChars="150"/>
        <w:rPr>
          <w:rFonts w:ascii="宋体" w:hAnsi="宋体" w:cs="宋体"/>
          <w:color w:val="000000"/>
          <w:sz w:val="24"/>
        </w:rPr>
      </w:pPr>
      <w:r>
        <w:rPr>
          <w:rFonts w:hint="eastAsia" w:ascii="宋体" w:hAnsi="宋体" w:cs="宋体"/>
          <w:color w:val="000000"/>
          <w:sz w:val="24"/>
        </w:rPr>
        <w:t>2、报价一经涂改，应在涂改处加盖单位公章或者由法定代表人或其委托代理人签字或盖章，否则其报价无效；</w:t>
      </w:r>
    </w:p>
    <w:p>
      <w:pPr>
        <w:spacing w:line="320" w:lineRule="exact"/>
        <w:ind w:left="360" w:hanging="360" w:hangingChars="150"/>
        <w:rPr>
          <w:rFonts w:ascii="宋体" w:hAnsi="宋体" w:cs="宋体"/>
          <w:color w:val="000000"/>
          <w:sz w:val="24"/>
        </w:rPr>
      </w:pPr>
      <w:r>
        <w:rPr>
          <w:rFonts w:hint="eastAsia" w:ascii="宋体" w:hAnsi="宋体" w:cs="宋体"/>
          <w:color w:val="000000"/>
          <w:sz w:val="24"/>
        </w:rPr>
        <w:t>3、供应商必须按以上格式填写，加盖单位公章并签名。否则，无签名、盖单位公章的，竞标无效。</w:t>
      </w:r>
    </w:p>
    <w:p>
      <w:pPr>
        <w:pStyle w:val="13"/>
        <w:rPr>
          <w:rFonts w:hAnsi="宋体" w:cs="宋体"/>
          <w:bCs/>
          <w:color w:val="000000"/>
        </w:rPr>
      </w:pPr>
      <w:r>
        <w:rPr>
          <w:rFonts w:hint="eastAsia" w:hAnsi="宋体" w:cs="宋体"/>
          <w:color w:val="000000"/>
          <w:u w:val="single"/>
        </w:rPr>
        <w:br w:type="page"/>
      </w:r>
    </w:p>
    <w:p>
      <w:pPr>
        <w:pStyle w:val="13"/>
        <w:spacing w:before="156" w:beforeLines="50" w:after="156" w:afterLines="50"/>
        <w:jc w:val="center"/>
        <w:rPr>
          <w:rFonts w:hAnsi="宋体" w:cs="宋体"/>
          <w:b/>
          <w:color w:val="000000"/>
          <w:sz w:val="30"/>
          <w:szCs w:val="30"/>
        </w:rPr>
      </w:pPr>
      <w:r>
        <w:rPr>
          <w:rFonts w:hint="eastAsia" w:hAnsi="宋体" w:cs="宋体"/>
          <w:b/>
          <w:color w:val="000000"/>
          <w:sz w:val="30"/>
          <w:szCs w:val="30"/>
        </w:rPr>
        <w:t>商务条款响应表（格式）</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67"/>
        <w:gridCol w:w="2505"/>
        <w:gridCol w:w="2873"/>
        <w:gridCol w:w="125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序号</w:t>
            </w:r>
          </w:p>
        </w:tc>
        <w:tc>
          <w:tcPr>
            <w:tcW w:w="3772" w:type="dxa"/>
            <w:gridSpan w:val="2"/>
            <w:vAlign w:val="center"/>
          </w:tcPr>
          <w:p>
            <w:pPr>
              <w:pStyle w:val="13"/>
              <w:snapToGrid w:val="0"/>
              <w:jc w:val="center"/>
              <w:rPr>
                <w:rFonts w:hAnsi="宋体" w:cs="宋体"/>
                <w:color w:val="000000"/>
                <w:sz w:val="24"/>
                <w:szCs w:val="24"/>
              </w:rPr>
            </w:pPr>
            <w:r>
              <w:rPr>
                <w:rFonts w:hint="eastAsia" w:hAnsi="宋体" w:cs="宋体"/>
                <w:color w:val="000000"/>
                <w:sz w:val="24"/>
                <w:szCs w:val="24"/>
              </w:rPr>
              <w:t>竞争性谈判文件要求</w:t>
            </w:r>
          </w:p>
        </w:tc>
        <w:tc>
          <w:tcPr>
            <w:tcW w:w="2873"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响应文件具体响应</w:t>
            </w:r>
          </w:p>
        </w:tc>
        <w:tc>
          <w:tcPr>
            <w:tcW w:w="1258"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响应/偏离</w:t>
            </w:r>
          </w:p>
        </w:tc>
        <w:tc>
          <w:tcPr>
            <w:tcW w:w="1078"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1</w:t>
            </w:r>
          </w:p>
        </w:tc>
        <w:tc>
          <w:tcPr>
            <w:tcW w:w="1267"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供应商资格</w:t>
            </w:r>
          </w:p>
        </w:tc>
        <w:tc>
          <w:tcPr>
            <w:tcW w:w="2505"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供应商须知第2.1条款</w:t>
            </w:r>
          </w:p>
        </w:tc>
        <w:tc>
          <w:tcPr>
            <w:tcW w:w="2873" w:type="dxa"/>
            <w:vAlign w:val="center"/>
          </w:tcPr>
          <w:p>
            <w:pPr>
              <w:pStyle w:val="13"/>
              <w:snapToGrid w:val="0"/>
              <w:jc w:val="center"/>
              <w:rPr>
                <w:rFonts w:hAnsi="宋体" w:cs="宋体"/>
                <w:color w:val="000000"/>
                <w:sz w:val="24"/>
                <w:szCs w:val="24"/>
              </w:rPr>
            </w:pPr>
          </w:p>
        </w:tc>
        <w:tc>
          <w:tcPr>
            <w:tcW w:w="1258" w:type="dxa"/>
            <w:vAlign w:val="center"/>
          </w:tcPr>
          <w:p>
            <w:pPr>
              <w:pStyle w:val="13"/>
              <w:snapToGrid w:val="0"/>
              <w:jc w:val="center"/>
              <w:rPr>
                <w:rFonts w:hAnsi="宋体" w:cs="宋体"/>
                <w:color w:val="000000"/>
                <w:sz w:val="24"/>
                <w:szCs w:val="24"/>
              </w:rPr>
            </w:pPr>
          </w:p>
        </w:tc>
        <w:tc>
          <w:tcPr>
            <w:tcW w:w="1078" w:type="dxa"/>
            <w:vAlign w:val="center"/>
          </w:tcPr>
          <w:p>
            <w:pPr>
              <w:pStyle w:val="13"/>
              <w:snapToGrid w:val="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2</w:t>
            </w:r>
          </w:p>
        </w:tc>
        <w:tc>
          <w:tcPr>
            <w:tcW w:w="1267"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竞标有效期</w:t>
            </w:r>
          </w:p>
        </w:tc>
        <w:tc>
          <w:tcPr>
            <w:tcW w:w="2505"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竞标截止日期后60天</w:t>
            </w:r>
          </w:p>
        </w:tc>
        <w:tc>
          <w:tcPr>
            <w:tcW w:w="2873" w:type="dxa"/>
            <w:vAlign w:val="center"/>
          </w:tcPr>
          <w:p>
            <w:pPr>
              <w:pStyle w:val="13"/>
              <w:snapToGrid w:val="0"/>
              <w:jc w:val="center"/>
              <w:rPr>
                <w:rFonts w:hAnsi="宋体" w:cs="宋体"/>
                <w:color w:val="000000"/>
                <w:sz w:val="24"/>
                <w:szCs w:val="24"/>
              </w:rPr>
            </w:pPr>
          </w:p>
        </w:tc>
        <w:tc>
          <w:tcPr>
            <w:tcW w:w="1258" w:type="dxa"/>
            <w:vAlign w:val="center"/>
          </w:tcPr>
          <w:p>
            <w:pPr>
              <w:pStyle w:val="13"/>
              <w:snapToGrid w:val="0"/>
              <w:jc w:val="center"/>
              <w:rPr>
                <w:rFonts w:hAnsi="宋体" w:cs="宋体"/>
                <w:color w:val="000000"/>
                <w:sz w:val="24"/>
                <w:szCs w:val="24"/>
              </w:rPr>
            </w:pPr>
          </w:p>
        </w:tc>
        <w:tc>
          <w:tcPr>
            <w:tcW w:w="1078" w:type="dxa"/>
            <w:vAlign w:val="center"/>
          </w:tcPr>
          <w:p>
            <w:pPr>
              <w:pStyle w:val="13"/>
              <w:snapToGrid w:val="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3</w:t>
            </w:r>
          </w:p>
        </w:tc>
        <w:tc>
          <w:tcPr>
            <w:tcW w:w="1267" w:type="dxa"/>
            <w:vAlign w:val="center"/>
          </w:tcPr>
          <w:p>
            <w:pPr>
              <w:pStyle w:val="13"/>
              <w:snapToGrid w:val="0"/>
              <w:ind w:left="-105" w:leftChars="-50" w:right="-105" w:rightChars="-50"/>
              <w:jc w:val="center"/>
              <w:rPr>
                <w:rFonts w:hAnsi="宋体" w:cs="宋体"/>
                <w:color w:val="000000"/>
                <w:sz w:val="24"/>
                <w:szCs w:val="24"/>
              </w:rPr>
            </w:pPr>
            <w:r>
              <w:rPr>
                <w:rFonts w:hint="eastAsia" w:hAnsi="宋体" w:cs="宋体"/>
                <w:color w:val="000000"/>
                <w:sz w:val="24"/>
                <w:szCs w:val="24"/>
              </w:rPr>
              <w:t>谈判保证金</w:t>
            </w:r>
          </w:p>
        </w:tc>
        <w:tc>
          <w:tcPr>
            <w:tcW w:w="2505" w:type="dxa"/>
            <w:vAlign w:val="center"/>
          </w:tcPr>
          <w:p>
            <w:pPr>
              <w:pStyle w:val="13"/>
              <w:snapToGrid w:val="0"/>
              <w:ind w:left="-105" w:leftChars="-50" w:right="-105" w:rightChars="-50"/>
              <w:jc w:val="center"/>
              <w:rPr>
                <w:rFonts w:hAnsi="宋体" w:cs="宋体"/>
                <w:color w:val="000000"/>
                <w:sz w:val="24"/>
                <w:szCs w:val="24"/>
              </w:rPr>
            </w:pPr>
            <w:r>
              <w:rPr>
                <w:rFonts w:hint="eastAsia" w:hAnsi="宋体" w:cs="宋体"/>
                <w:color w:val="000000"/>
                <w:sz w:val="24"/>
                <w:szCs w:val="24"/>
              </w:rPr>
              <w:t>供应商须知前附表第9项</w:t>
            </w:r>
          </w:p>
        </w:tc>
        <w:tc>
          <w:tcPr>
            <w:tcW w:w="2873" w:type="dxa"/>
            <w:vAlign w:val="center"/>
          </w:tcPr>
          <w:p>
            <w:pPr>
              <w:pStyle w:val="13"/>
              <w:snapToGrid w:val="0"/>
              <w:jc w:val="center"/>
              <w:rPr>
                <w:rFonts w:hAnsi="宋体" w:cs="宋体"/>
                <w:color w:val="000000"/>
                <w:sz w:val="24"/>
                <w:szCs w:val="24"/>
              </w:rPr>
            </w:pPr>
          </w:p>
        </w:tc>
        <w:tc>
          <w:tcPr>
            <w:tcW w:w="1258" w:type="dxa"/>
            <w:vAlign w:val="center"/>
          </w:tcPr>
          <w:p>
            <w:pPr>
              <w:pStyle w:val="13"/>
              <w:snapToGrid w:val="0"/>
              <w:jc w:val="center"/>
              <w:rPr>
                <w:rFonts w:hAnsi="宋体" w:cs="宋体"/>
                <w:color w:val="000000"/>
                <w:sz w:val="24"/>
                <w:szCs w:val="24"/>
              </w:rPr>
            </w:pPr>
          </w:p>
        </w:tc>
        <w:tc>
          <w:tcPr>
            <w:tcW w:w="1078" w:type="dxa"/>
            <w:vAlign w:val="center"/>
          </w:tcPr>
          <w:p>
            <w:pPr>
              <w:pStyle w:val="13"/>
              <w:snapToGrid w:val="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4</w:t>
            </w:r>
          </w:p>
        </w:tc>
        <w:tc>
          <w:tcPr>
            <w:tcW w:w="1267"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签订合同时间</w:t>
            </w:r>
          </w:p>
        </w:tc>
        <w:tc>
          <w:tcPr>
            <w:tcW w:w="2505"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采购内容及要求</w:t>
            </w:r>
          </w:p>
        </w:tc>
        <w:tc>
          <w:tcPr>
            <w:tcW w:w="2873" w:type="dxa"/>
            <w:vAlign w:val="center"/>
          </w:tcPr>
          <w:p>
            <w:pPr>
              <w:pStyle w:val="13"/>
              <w:snapToGrid w:val="0"/>
              <w:jc w:val="center"/>
              <w:rPr>
                <w:rFonts w:hAnsi="宋体" w:cs="宋体"/>
                <w:color w:val="000000"/>
                <w:sz w:val="24"/>
                <w:szCs w:val="24"/>
              </w:rPr>
            </w:pPr>
          </w:p>
        </w:tc>
        <w:tc>
          <w:tcPr>
            <w:tcW w:w="1258" w:type="dxa"/>
            <w:vAlign w:val="center"/>
          </w:tcPr>
          <w:p>
            <w:pPr>
              <w:pStyle w:val="13"/>
              <w:snapToGrid w:val="0"/>
              <w:jc w:val="center"/>
              <w:rPr>
                <w:rFonts w:hAnsi="宋体" w:cs="宋体"/>
                <w:color w:val="000000"/>
                <w:sz w:val="24"/>
                <w:szCs w:val="24"/>
              </w:rPr>
            </w:pPr>
          </w:p>
        </w:tc>
        <w:tc>
          <w:tcPr>
            <w:tcW w:w="1078" w:type="dxa"/>
            <w:vAlign w:val="center"/>
          </w:tcPr>
          <w:p>
            <w:pPr>
              <w:pStyle w:val="13"/>
              <w:snapToGrid w:val="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5</w:t>
            </w:r>
          </w:p>
        </w:tc>
        <w:tc>
          <w:tcPr>
            <w:tcW w:w="1267"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交货时间</w:t>
            </w:r>
          </w:p>
        </w:tc>
        <w:tc>
          <w:tcPr>
            <w:tcW w:w="2505"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采购内容及要求</w:t>
            </w:r>
          </w:p>
        </w:tc>
        <w:tc>
          <w:tcPr>
            <w:tcW w:w="2873" w:type="dxa"/>
            <w:vAlign w:val="center"/>
          </w:tcPr>
          <w:p>
            <w:pPr>
              <w:pStyle w:val="13"/>
              <w:snapToGrid w:val="0"/>
              <w:jc w:val="center"/>
              <w:rPr>
                <w:rFonts w:hAnsi="宋体" w:cs="宋体"/>
                <w:color w:val="000000"/>
                <w:sz w:val="24"/>
                <w:szCs w:val="24"/>
              </w:rPr>
            </w:pPr>
          </w:p>
        </w:tc>
        <w:tc>
          <w:tcPr>
            <w:tcW w:w="1258" w:type="dxa"/>
            <w:vAlign w:val="center"/>
          </w:tcPr>
          <w:p>
            <w:pPr>
              <w:pStyle w:val="13"/>
              <w:snapToGrid w:val="0"/>
              <w:jc w:val="center"/>
              <w:rPr>
                <w:rFonts w:hAnsi="宋体" w:cs="宋体"/>
                <w:color w:val="000000"/>
                <w:sz w:val="24"/>
                <w:szCs w:val="24"/>
              </w:rPr>
            </w:pPr>
          </w:p>
        </w:tc>
        <w:tc>
          <w:tcPr>
            <w:tcW w:w="1078" w:type="dxa"/>
            <w:vAlign w:val="center"/>
          </w:tcPr>
          <w:p>
            <w:pPr>
              <w:pStyle w:val="13"/>
              <w:snapToGrid w:val="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6</w:t>
            </w:r>
          </w:p>
        </w:tc>
        <w:tc>
          <w:tcPr>
            <w:tcW w:w="1267"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交付地点</w:t>
            </w:r>
          </w:p>
        </w:tc>
        <w:tc>
          <w:tcPr>
            <w:tcW w:w="2505"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采购内容及要求</w:t>
            </w:r>
          </w:p>
        </w:tc>
        <w:tc>
          <w:tcPr>
            <w:tcW w:w="2873" w:type="dxa"/>
            <w:vAlign w:val="center"/>
          </w:tcPr>
          <w:p>
            <w:pPr>
              <w:pStyle w:val="13"/>
              <w:snapToGrid w:val="0"/>
              <w:jc w:val="center"/>
              <w:rPr>
                <w:rFonts w:hAnsi="宋体" w:cs="宋体"/>
                <w:color w:val="000000"/>
                <w:sz w:val="24"/>
                <w:szCs w:val="24"/>
              </w:rPr>
            </w:pPr>
          </w:p>
        </w:tc>
        <w:tc>
          <w:tcPr>
            <w:tcW w:w="1258" w:type="dxa"/>
            <w:vAlign w:val="center"/>
          </w:tcPr>
          <w:p>
            <w:pPr>
              <w:pStyle w:val="13"/>
              <w:snapToGrid w:val="0"/>
              <w:jc w:val="center"/>
              <w:rPr>
                <w:rFonts w:hAnsi="宋体" w:cs="宋体"/>
                <w:color w:val="000000"/>
                <w:sz w:val="24"/>
                <w:szCs w:val="24"/>
              </w:rPr>
            </w:pPr>
          </w:p>
        </w:tc>
        <w:tc>
          <w:tcPr>
            <w:tcW w:w="1078" w:type="dxa"/>
            <w:vAlign w:val="center"/>
          </w:tcPr>
          <w:p>
            <w:pPr>
              <w:pStyle w:val="13"/>
              <w:snapToGrid w:val="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7</w:t>
            </w:r>
          </w:p>
        </w:tc>
        <w:tc>
          <w:tcPr>
            <w:tcW w:w="1267"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付款方式</w:t>
            </w:r>
          </w:p>
        </w:tc>
        <w:tc>
          <w:tcPr>
            <w:tcW w:w="2505"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采购内容及要求</w:t>
            </w:r>
          </w:p>
        </w:tc>
        <w:tc>
          <w:tcPr>
            <w:tcW w:w="2873" w:type="dxa"/>
            <w:vAlign w:val="center"/>
          </w:tcPr>
          <w:p>
            <w:pPr>
              <w:pStyle w:val="13"/>
              <w:snapToGrid w:val="0"/>
              <w:jc w:val="center"/>
              <w:rPr>
                <w:rFonts w:hAnsi="宋体" w:cs="宋体"/>
                <w:color w:val="000000"/>
                <w:sz w:val="24"/>
                <w:szCs w:val="24"/>
              </w:rPr>
            </w:pPr>
          </w:p>
        </w:tc>
        <w:tc>
          <w:tcPr>
            <w:tcW w:w="1258" w:type="dxa"/>
            <w:vAlign w:val="center"/>
          </w:tcPr>
          <w:p>
            <w:pPr>
              <w:pStyle w:val="13"/>
              <w:snapToGrid w:val="0"/>
              <w:jc w:val="center"/>
              <w:rPr>
                <w:rFonts w:hAnsi="宋体" w:cs="宋体"/>
                <w:color w:val="000000"/>
                <w:sz w:val="24"/>
                <w:szCs w:val="24"/>
              </w:rPr>
            </w:pPr>
          </w:p>
        </w:tc>
        <w:tc>
          <w:tcPr>
            <w:tcW w:w="1078" w:type="dxa"/>
            <w:vAlign w:val="center"/>
          </w:tcPr>
          <w:p>
            <w:pPr>
              <w:pStyle w:val="13"/>
              <w:snapToGrid w:val="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w:t>
            </w:r>
          </w:p>
        </w:tc>
        <w:tc>
          <w:tcPr>
            <w:tcW w:w="1267" w:type="dxa"/>
            <w:vAlign w:val="center"/>
          </w:tcPr>
          <w:p>
            <w:pPr>
              <w:pStyle w:val="13"/>
              <w:snapToGrid w:val="0"/>
              <w:jc w:val="center"/>
              <w:rPr>
                <w:rFonts w:hAnsi="宋体" w:cs="宋体"/>
                <w:color w:val="000000"/>
                <w:sz w:val="24"/>
                <w:szCs w:val="24"/>
              </w:rPr>
            </w:pPr>
          </w:p>
        </w:tc>
        <w:tc>
          <w:tcPr>
            <w:tcW w:w="2505" w:type="dxa"/>
            <w:vAlign w:val="center"/>
          </w:tcPr>
          <w:p>
            <w:pPr>
              <w:pStyle w:val="13"/>
              <w:snapToGrid w:val="0"/>
              <w:jc w:val="center"/>
              <w:rPr>
                <w:rFonts w:hAnsi="宋体" w:cs="宋体"/>
                <w:color w:val="000000"/>
                <w:sz w:val="24"/>
                <w:szCs w:val="24"/>
              </w:rPr>
            </w:pPr>
          </w:p>
        </w:tc>
        <w:tc>
          <w:tcPr>
            <w:tcW w:w="2873" w:type="dxa"/>
            <w:vAlign w:val="center"/>
          </w:tcPr>
          <w:p>
            <w:pPr>
              <w:pStyle w:val="13"/>
              <w:snapToGrid w:val="0"/>
              <w:jc w:val="center"/>
              <w:rPr>
                <w:rFonts w:hAnsi="宋体" w:cs="宋体"/>
                <w:color w:val="000000"/>
                <w:sz w:val="24"/>
                <w:szCs w:val="24"/>
              </w:rPr>
            </w:pPr>
          </w:p>
        </w:tc>
        <w:tc>
          <w:tcPr>
            <w:tcW w:w="1258" w:type="dxa"/>
            <w:vAlign w:val="center"/>
          </w:tcPr>
          <w:p>
            <w:pPr>
              <w:pStyle w:val="13"/>
              <w:snapToGrid w:val="0"/>
              <w:jc w:val="center"/>
              <w:rPr>
                <w:rFonts w:hAnsi="宋体" w:cs="宋体"/>
                <w:color w:val="000000"/>
                <w:sz w:val="24"/>
                <w:szCs w:val="24"/>
              </w:rPr>
            </w:pPr>
          </w:p>
        </w:tc>
        <w:tc>
          <w:tcPr>
            <w:tcW w:w="1078" w:type="dxa"/>
            <w:vAlign w:val="center"/>
          </w:tcPr>
          <w:p>
            <w:pPr>
              <w:pStyle w:val="13"/>
              <w:snapToGrid w:val="0"/>
              <w:jc w:val="center"/>
              <w:rPr>
                <w:rFonts w:hAnsi="宋体" w:cs="宋体"/>
                <w:color w:val="000000"/>
                <w:sz w:val="24"/>
                <w:szCs w:val="24"/>
              </w:rPr>
            </w:pPr>
          </w:p>
        </w:tc>
      </w:tr>
    </w:tbl>
    <w:p>
      <w:pPr>
        <w:pStyle w:val="13"/>
        <w:spacing w:before="156" w:beforeLines="50" w:after="156" w:afterLines="50"/>
        <w:rPr>
          <w:rFonts w:hAnsi="宋体" w:cs="宋体"/>
          <w:b/>
          <w:color w:val="000000"/>
          <w:sz w:val="24"/>
          <w:szCs w:val="24"/>
          <w:u w:val="single"/>
        </w:rPr>
      </w:pPr>
    </w:p>
    <w:p>
      <w:pPr>
        <w:pStyle w:val="13"/>
        <w:spacing w:line="600" w:lineRule="exact"/>
        <w:ind w:firstLine="3060"/>
        <w:rPr>
          <w:rFonts w:hAnsi="宋体" w:cs="宋体"/>
          <w:color w:val="000000"/>
          <w:sz w:val="24"/>
          <w:szCs w:val="24"/>
          <w:u w:val="single"/>
        </w:rPr>
      </w:pPr>
      <w:r>
        <w:rPr>
          <w:rFonts w:hint="eastAsia" w:hAnsi="宋体" w:cs="宋体"/>
          <w:color w:val="000000"/>
          <w:sz w:val="24"/>
          <w:szCs w:val="24"/>
        </w:rPr>
        <w:t>供应商名称（加盖单位公章）：</w:t>
      </w:r>
      <w:r>
        <w:rPr>
          <w:rFonts w:hint="eastAsia" w:hAnsi="宋体" w:cs="宋体"/>
          <w:color w:val="000000"/>
          <w:sz w:val="24"/>
          <w:szCs w:val="24"/>
          <w:u w:val="single"/>
        </w:rPr>
        <w:t xml:space="preserve">                                </w:t>
      </w:r>
    </w:p>
    <w:p>
      <w:pPr>
        <w:pStyle w:val="13"/>
        <w:spacing w:line="600" w:lineRule="exact"/>
        <w:ind w:firstLine="3060"/>
        <w:rPr>
          <w:rFonts w:hAnsi="宋体" w:cs="宋体"/>
          <w:color w:val="000000"/>
          <w:sz w:val="24"/>
          <w:szCs w:val="24"/>
        </w:rPr>
      </w:pPr>
      <w:r>
        <w:rPr>
          <w:rFonts w:hint="eastAsia" w:hAnsi="宋体" w:cs="宋体"/>
          <w:color w:val="000000"/>
          <w:sz w:val="24"/>
          <w:szCs w:val="24"/>
        </w:rPr>
        <w:t>法定代表人或委托代理人签名：</w:t>
      </w:r>
      <w:r>
        <w:rPr>
          <w:rFonts w:hint="eastAsia" w:hAnsi="宋体" w:cs="宋体"/>
          <w:color w:val="000000"/>
          <w:sz w:val="24"/>
          <w:szCs w:val="24"/>
          <w:u w:val="single"/>
        </w:rPr>
        <w:t xml:space="preserve">                               </w:t>
      </w:r>
    </w:p>
    <w:p>
      <w:pPr>
        <w:pStyle w:val="13"/>
        <w:spacing w:line="600" w:lineRule="exact"/>
        <w:ind w:firstLine="3060"/>
        <w:rPr>
          <w:rFonts w:hAnsi="宋体" w:cs="宋体"/>
          <w:color w:val="000000"/>
          <w:sz w:val="24"/>
          <w:szCs w:val="24"/>
          <w:u w:val="single"/>
        </w:rPr>
      </w:pPr>
      <w:r>
        <w:rPr>
          <w:rFonts w:hint="eastAsia" w:hAnsi="宋体" w:cs="宋体"/>
          <w:color w:val="000000"/>
          <w:sz w:val="24"/>
          <w:szCs w:val="24"/>
        </w:rPr>
        <w:t>竞标日期：</w:t>
      </w:r>
      <w:r>
        <w:rPr>
          <w:rFonts w:hint="eastAsia" w:hAnsi="宋体" w:cs="宋体"/>
          <w:color w:val="000000"/>
          <w:sz w:val="24"/>
          <w:szCs w:val="24"/>
          <w:u w:val="single"/>
        </w:rPr>
        <w:t xml:space="preserve">                                                 </w:t>
      </w:r>
    </w:p>
    <w:p>
      <w:pPr>
        <w:spacing w:line="400" w:lineRule="exact"/>
        <w:ind w:firstLine="240" w:firstLineChars="100"/>
        <w:rPr>
          <w:rFonts w:ascii="宋体" w:hAnsi="宋体" w:cs="宋体"/>
          <w:color w:val="000000"/>
          <w:sz w:val="24"/>
          <w:u w:val="single"/>
        </w:rPr>
      </w:pPr>
    </w:p>
    <w:p>
      <w:pPr>
        <w:spacing w:line="400" w:lineRule="exact"/>
        <w:ind w:firstLine="240" w:firstLineChars="100"/>
        <w:rPr>
          <w:rFonts w:ascii="宋体" w:hAnsi="宋体" w:cs="宋体"/>
          <w:color w:val="000000"/>
          <w:sz w:val="24"/>
          <w:u w:val="single"/>
        </w:rPr>
      </w:pPr>
    </w:p>
    <w:p>
      <w:pPr>
        <w:spacing w:line="400" w:lineRule="exact"/>
        <w:ind w:firstLine="240" w:firstLineChars="100"/>
        <w:rPr>
          <w:rFonts w:ascii="宋体" w:hAnsi="宋体" w:cs="宋体"/>
          <w:color w:val="000000"/>
          <w:sz w:val="24"/>
          <w:u w:val="single"/>
        </w:rPr>
      </w:pPr>
    </w:p>
    <w:p>
      <w:pPr>
        <w:pStyle w:val="13"/>
        <w:spacing w:line="400" w:lineRule="exact"/>
        <w:jc w:val="left"/>
        <w:rPr>
          <w:rFonts w:hAnsi="宋体" w:cs="宋体"/>
          <w:color w:val="000000"/>
          <w:sz w:val="24"/>
          <w:szCs w:val="24"/>
        </w:rPr>
      </w:pPr>
      <w:r>
        <w:rPr>
          <w:rFonts w:hint="eastAsia" w:hAnsi="宋体" w:cs="宋体"/>
          <w:b/>
          <w:bCs/>
          <w:color w:val="000000"/>
          <w:sz w:val="24"/>
          <w:szCs w:val="24"/>
        </w:rPr>
        <w:t>说明：</w:t>
      </w:r>
      <w:r>
        <w:rPr>
          <w:rFonts w:hint="eastAsia" w:hAnsi="宋体" w:cs="宋体"/>
          <w:color w:val="000000"/>
          <w:sz w:val="24"/>
          <w:szCs w:val="24"/>
        </w:rPr>
        <w:t>应对照表上内容及竞争性谈判文件第三章，逐条说明已对商务条款作出了实际性的响应，并申明与商务条款的响应和偏离。特别对有具体重要要求的指标，供应商必须说有具体内容。如果仅注明“符合”、“满足”或简单复制竞争性谈判文件要求，该响应文件视为无效。</w:t>
      </w:r>
    </w:p>
    <w:p>
      <w:pPr>
        <w:spacing w:line="400" w:lineRule="exact"/>
        <w:ind w:firstLine="210" w:firstLineChars="100"/>
        <w:rPr>
          <w:rFonts w:ascii="宋体" w:hAnsi="宋体" w:cs="宋体"/>
          <w:color w:val="000000"/>
          <w:u w:val="single"/>
        </w:rPr>
      </w:pPr>
    </w:p>
    <w:p>
      <w:pPr>
        <w:spacing w:line="400" w:lineRule="exact"/>
        <w:rPr>
          <w:rFonts w:ascii="宋体" w:hAnsi="宋体" w:cs="宋体"/>
          <w:color w:val="000000"/>
        </w:rPr>
      </w:pPr>
      <w:r>
        <w:rPr>
          <w:rFonts w:hint="eastAsia" w:ascii="宋体" w:hAnsi="宋体" w:cs="宋体"/>
          <w:color w:val="000000"/>
        </w:rPr>
        <w:br w:type="page"/>
      </w:r>
    </w:p>
    <w:p>
      <w:pPr>
        <w:pStyle w:val="13"/>
        <w:spacing w:line="200" w:lineRule="exact"/>
        <w:rPr>
          <w:rFonts w:hAnsi="宋体" w:cs="宋体"/>
          <w:color w:val="000000"/>
          <w:u w:val="single"/>
        </w:rPr>
      </w:pPr>
    </w:p>
    <w:p>
      <w:pPr>
        <w:pStyle w:val="13"/>
        <w:spacing w:line="200" w:lineRule="exact"/>
        <w:rPr>
          <w:rFonts w:hAnsi="宋体" w:cs="宋体"/>
          <w:color w:val="000000"/>
          <w:u w:val="single"/>
        </w:rPr>
      </w:pPr>
    </w:p>
    <w:p>
      <w:pPr>
        <w:spacing w:line="400" w:lineRule="exact"/>
        <w:jc w:val="center"/>
        <w:rPr>
          <w:rFonts w:ascii="宋体" w:hAnsi="宋体" w:cs="宋体"/>
          <w:b/>
          <w:color w:val="000000"/>
          <w:sz w:val="32"/>
          <w:szCs w:val="32"/>
        </w:rPr>
      </w:pPr>
      <w:r>
        <w:rPr>
          <w:rFonts w:hint="eastAsia" w:ascii="宋体" w:hAnsi="宋体" w:cs="宋体"/>
          <w:b/>
          <w:color w:val="000000"/>
          <w:sz w:val="32"/>
          <w:szCs w:val="32"/>
        </w:rPr>
        <w:t>法定代表人（负责人）身份证明书（格式）</w:t>
      </w:r>
    </w:p>
    <w:p>
      <w:pPr>
        <w:spacing w:line="500" w:lineRule="exact"/>
        <w:ind w:firstLine="560" w:firstLineChars="200"/>
        <w:rPr>
          <w:rFonts w:ascii="宋体" w:hAnsi="宋体" w:cs="宋体"/>
          <w:color w:val="000000"/>
          <w:sz w:val="28"/>
          <w:szCs w:val="28"/>
          <w:u w:val="single"/>
        </w:rPr>
      </w:pPr>
    </w:p>
    <w:p>
      <w:pPr>
        <w:spacing w:line="600" w:lineRule="exact"/>
        <w:ind w:firstLine="470" w:firstLineChars="196"/>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在我</w:t>
      </w:r>
      <w:r>
        <w:rPr>
          <w:rFonts w:hint="eastAsia" w:ascii="宋体" w:hAnsi="宋体" w:cs="宋体"/>
          <w:color w:val="000000"/>
          <w:sz w:val="24"/>
          <w:u w:val="single"/>
        </w:rPr>
        <w:t xml:space="preserve">          （竞标单位）         </w:t>
      </w:r>
      <w:r>
        <w:rPr>
          <w:rFonts w:hint="eastAsia" w:ascii="宋体" w:hAnsi="宋体" w:cs="宋体"/>
          <w:color w:val="000000"/>
          <w:sz w:val="24"/>
        </w:rPr>
        <w:t>任</w:t>
      </w:r>
      <w:r>
        <w:rPr>
          <w:rFonts w:hint="eastAsia" w:ascii="宋体" w:hAnsi="宋体" w:cs="宋体"/>
          <w:color w:val="000000"/>
          <w:sz w:val="24"/>
          <w:u w:val="single"/>
        </w:rPr>
        <w:t xml:space="preserve">         </w:t>
      </w:r>
      <w:r>
        <w:rPr>
          <w:rFonts w:hint="eastAsia" w:ascii="宋体" w:hAnsi="宋体" w:cs="宋体"/>
          <w:color w:val="000000"/>
          <w:sz w:val="24"/>
        </w:rPr>
        <w:t>职务，是我</w:t>
      </w:r>
      <w:r>
        <w:rPr>
          <w:rFonts w:hint="eastAsia" w:ascii="宋体" w:hAnsi="宋体" w:cs="宋体"/>
          <w:color w:val="000000"/>
          <w:sz w:val="24"/>
          <w:u w:val="single"/>
        </w:rPr>
        <w:t xml:space="preserve">          （竞标单位）         </w:t>
      </w:r>
      <w:r>
        <w:rPr>
          <w:rFonts w:hint="eastAsia" w:ascii="宋体" w:hAnsi="宋体" w:cs="宋体"/>
          <w:color w:val="000000"/>
          <w:sz w:val="24"/>
        </w:rPr>
        <w:t>的法定代表人。</w:t>
      </w:r>
    </w:p>
    <w:p>
      <w:pPr>
        <w:spacing w:line="500" w:lineRule="exact"/>
        <w:ind w:firstLine="480" w:firstLineChars="200"/>
        <w:rPr>
          <w:rFonts w:ascii="宋体" w:hAnsi="宋体" w:cs="宋体"/>
          <w:color w:val="000000"/>
          <w:sz w:val="24"/>
        </w:rPr>
      </w:pPr>
      <w:r>
        <w:rPr>
          <w:rFonts w:hint="eastAsia" w:ascii="宋体" w:hAnsi="宋体" w:cs="宋体"/>
          <w:color w:val="000000"/>
          <w:sz w:val="24"/>
        </w:rPr>
        <w:t>特此证明。</w:t>
      </w:r>
    </w:p>
    <w:p>
      <w:pPr>
        <w:tabs>
          <w:tab w:val="left" w:leader="hyphen" w:pos="7088"/>
        </w:tabs>
        <w:snapToGrid w:val="0"/>
        <w:spacing w:line="500" w:lineRule="exact"/>
        <w:ind w:firstLine="504" w:firstLineChars="210"/>
        <w:rPr>
          <w:rFonts w:ascii="宋体" w:hAnsi="宋体" w:cs="宋体"/>
          <w:bCs/>
          <w:color w:val="000000"/>
          <w:sz w:val="24"/>
        </w:rPr>
      </w:pPr>
    </w:p>
    <w:p>
      <w:pPr>
        <w:spacing w:line="500" w:lineRule="exact"/>
        <w:ind w:firstLine="2160" w:firstLineChars="900"/>
        <w:rPr>
          <w:rFonts w:ascii="宋体" w:hAnsi="宋体" w:cs="宋体"/>
          <w:color w:val="000000"/>
          <w:sz w:val="24"/>
          <w:u w:val="single"/>
        </w:rPr>
      </w:pPr>
      <w:r>
        <w:rPr>
          <w:rFonts w:hint="eastAsia" w:ascii="宋体" w:hAnsi="宋体" w:cs="宋体"/>
          <w:color w:val="000000"/>
          <w:sz w:val="24"/>
        </w:rPr>
        <w:t>单位名称：</w:t>
      </w:r>
      <w:r>
        <w:rPr>
          <w:rFonts w:hint="eastAsia" w:ascii="宋体" w:hAnsi="宋体" w:cs="宋体"/>
          <w:color w:val="000000"/>
          <w:sz w:val="24"/>
          <w:u w:val="single"/>
        </w:rPr>
        <w:t xml:space="preserve">                               </w:t>
      </w:r>
    </w:p>
    <w:p>
      <w:pPr>
        <w:spacing w:line="500" w:lineRule="exact"/>
        <w:ind w:firstLine="4320" w:firstLineChars="1800"/>
        <w:rPr>
          <w:rFonts w:ascii="宋体" w:hAnsi="宋体" w:cs="宋体"/>
          <w:color w:val="000000"/>
          <w:sz w:val="24"/>
        </w:rPr>
      </w:pPr>
      <w:r>
        <w:rPr>
          <w:rFonts w:hint="eastAsia" w:ascii="宋体" w:hAnsi="宋体" w:cs="宋体"/>
          <w:color w:val="000000"/>
          <w:sz w:val="24"/>
        </w:rPr>
        <w:t>（单位公章）</w:t>
      </w:r>
    </w:p>
    <w:p>
      <w:pPr>
        <w:spacing w:line="500" w:lineRule="exact"/>
        <w:ind w:firstLine="3700" w:firstLineChars="1542"/>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tabs>
          <w:tab w:val="left" w:leader="hyphen" w:pos="7088"/>
        </w:tabs>
        <w:snapToGrid w:val="0"/>
        <w:spacing w:line="360" w:lineRule="exact"/>
        <w:ind w:firstLine="504" w:firstLineChars="210"/>
        <w:rPr>
          <w:rFonts w:ascii="宋体" w:hAnsi="宋体" w:cs="宋体"/>
          <w:bCs/>
          <w:color w:val="000000"/>
          <w:sz w:val="24"/>
        </w:rPr>
      </w:pPr>
    </w:p>
    <w:p>
      <w:pPr>
        <w:tabs>
          <w:tab w:val="left" w:leader="hyphen" w:pos="7088"/>
        </w:tabs>
        <w:snapToGrid w:val="0"/>
        <w:spacing w:line="360" w:lineRule="exact"/>
        <w:ind w:firstLine="504" w:firstLineChars="210"/>
        <w:rPr>
          <w:rFonts w:ascii="宋体" w:hAnsi="宋体" w:cs="宋体"/>
          <w:bCs/>
          <w:color w:val="000000"/>
          <w:sz w:val="24"/>
        </w:rPr>
      </w:pPr>
    </w:p>
    <w:p>
      <w:pPr>
        <w:spacing w:line="500" w:lineRule="exact"/>
        <w:ind w:firstLine="480" w:firstLineChars="200"/>
        <w:rPr>
          <w:rFonts w:ascii="宋体" w:hAnsi="宋体" w:cs="宋体"/>
          <w:color w:val="000000"/>
          <w:sz w:val="24"/>
        </w:rPr>
      </w:pPr>
      <w:r>
        <w:rPr>
          <w:rFonts w:hint="eastAsia" w:ascii="宋体" w:hAnsi="宋体" w:cs="宋体"/>
          <w:color w:val="000000"/>
          <w:sz w:val="24"/>
        </w:rPr>
        <w:t>法定代表人（负责人）身份证号码：</w:t>
      </w:r>
    </w:p>
    <w:p>
      <w:pPr>
        <w:spacing w:line="500" w:lineRule="exact"/>
        <w:ind w:firstLine="480" w:firstLineChars="200"/>
        <w:rPr>
          <w:rFonts w:ascii="宋体" w:hAnsi="宋体" w:cs="宋体"/>
          <w:color w:val="000000"/>
          <w:sz w:val="24"/>
        </w:rPr>
      </w:pPr>
      <w:r>
        <w:rPr>
          <w:rFonts w:hint="eastAsia" w:ascii="宋体" w:hAnsi="宋体" w:cs="宋体"/>
          <w:color w:val="000000"/>
          <w:sz w:val="24"/>
        </w:rPr>
        <w:t>住    址：</w:t>
      </w:r>
    </w:p>
    <w:p>
      <w:pPr>
        <w:spacing w:line="500" w:lineRule="exact"/>
        <w:ind w:firstLine="480" w:firstLineChars="200"/>
        <w:rPr>
          <w:rFonts w:ascii="宋体" w:hAnsi="宋体" w:cs="宋体"/>
          <w:color w:val="000000"/>
          <w:sz w:val="24"/>
        </w:rPr>
      </w:pPr>
      <w:r>
        <w:rPr>
          <w:rFonts w:hint="eastAsia" w:ascii="宋体" w:hAnsi="宋体" w:cs="宋体"/>
          <w:color w:val="000000"/>
          <w:sz w:val="24"/>
        </w:rPr>
        <w:t>联系电话：</w:t>
      </w:r>
    </w:p>
    <w:p>
      <w:pPr>
        <w:tabs>
          <w:tab w:val="left" w:leader="hyphen" w:pos="7088"/>
        </w:tabs>
        <w:snapToGrid w:val="0"/>
        <w:spacing w:line="360" w:lineRule="exact"/>
        <w:ind w:firstLine="504" w:firstLineChars="210"/>
        <w:rPr>
          <w:rFonts w:ascii="宋体" w:hAnsi="宋体" w:cs="宋体"/>
          <w:bCs/>
          <w:color w:val="000000"/>
          <w:sz w:val="24"/>
        </w:rPr>
      </w:pPr>
    </w:p>
    <w:p>
      <w:pPr>
        <w:spacing w:line="500" w:lineRule="exact"/>
        <w:ind w:firstLine="480" w:firstLineChars="200"/>
        <w:rPr>
          <w:rFonts w:ascii="宋体" w:hAnsi="宋体" w:cs="宋体"/>
          <w:bCs/>
          <w:color w:val="000000"/>
          <w:sz w:val="24"/>
        </w:rPr>
      </w:pPr>
      <w:r>
        <w:rPr>
          <w:rFonts w:hint="eastAsia" w:ascii="宋体" w:hAnsi="宋体" w:cs="宋体"/>
          <w:bCs/>
          <w:color w:val="000000"/>
          <w:sz w:val="24"/>
        </w:rPr>
        <w:t>附法定代表人（负责人）身份证正、背复印件</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2" w:hRule="atLeast"/>
          <w:jc w:val="center"/>
        </w:trPr>
        <w:tc>
          <w:tcPr>
            <w:tcW w:w="8758" w:type="dxa"/>
          </w:tcPr>
          <w:p>
            <w:pPr>
              <w:spacing w:line="500" w:lineRule="exact"/>
              <w:rPr>
                <w:rFonts w:ascii="宋体" w:hAnsi="宋体" w:cs="宋体"/>
                <w:bCs/>
                <w:color w:val="000000"/>
                <w:sz w:val="24"/>
              </w:rPr>
            </w:pPr>
          </w:p>
        </w:tc>
      </w:tr>
    </w:tbl>
    <w:p>
      <w:pPr>
        <w:pStyle w:val="13"/>
        <w:spacing w:line="200" w:lineRule="exact"/>
        <w:rPr>
          <w:rFonts w:hAnsi="宋体" w:cs="宋体"/>
          <w:color w:val="000000"/>
          <w:sz w:val="24"/>
          <w:szCs w:val="24"/>
        </w:rPr>
      </w:pPr>
    </w:p>
    <w:p>
      <w:pPr>
        <w:pStyle w:val="13"/>
        <w:spacing w:line="460" w:lineRule="exact"/>
        <w:rPr>
          <w:rFonts w:hAnsi="宋体" w:cs="宋体"/>
          <w:color w:val="000000"/>
          <w:sz w:val="24"/>
          <w:szCs w:val="24"/>
        </w:rPr>
      </w:pPr>
      <w:r>
        <w:rPr>
          <w:rFonts w:hint="eastAsia" w:hAnsi="宋体" w:cs="宋体"/>
          <w:b/>
          <w:color w:val="000000"/>
          <w:sz w:val="24"/>
          <w:szCs w:val="24"/>
        </w:rPr>
        <w:t>说明：</w:t>
      </w:r>
      <w:r>
        <w:rPr>
          <w:rFonts w:hint="eastAsia" w:hAnsi="宋体" w:cs="宋体"/>
          <w:color w:val="000000"/>
          <w:sz w:val="24"/>
          <w:szCs w:val="24"/>
        </w:rPr>
        <w:t>该身份证明书除在响应文件须附有，如法定代表人（负责人）参加开标会时，供应商应另单独准备一份原件在递交响应文件时现场出示。</w:t>
      </w:r>
    </w:p>
    <w:p>
      <w:pPr>
        <w:pStyle w:val="13"/>
        <w:spacing w:line="200" w:lineRule="exact"/>
        <w:rPr>
          <w:rFonts w:hAnsi="宋体" w:cs="宋体"/>
          <w:color w:val="000000"/>
          <w:u w:val="single"/>
        </w:rPr>
      </w:pPr>
      <w:r>
        <w:rPr>
          <w:rFonts w:hint="eastAsia" w:hAnsi="宋体" w:cs="宋体"/>
          <w:color w:val="000000"/>
          <w:sz w:val="28"/>
          <w:szCs w:val="28"/>
        </w:rPr>
        <w:br w:type="page"/>
      </w:r>
    </w:p>
    <w:p>
      <w:pPr>
        <w:spacing w:line="400" w:lineRule="exact"/>
        <w:jc w:val="center"/>
        <w:rPr>
          <w:rFonts w:ascii="宋体" w:hAnsi="宋体" w:cs="宋体"/>
          <w:b/>
          <w:color w:val="000000"/>
          <w:sz w:val="32"/>
          <w:szCs w:val="32"/>
        </w:rPr>
      </w:pPr>
      <w:r>
        <w:rPr>
          <w:rFonts w:hint="eastAsia" w:ascii="宋体" w:hAnsi="宋体" w:cs="宋体"/>
          <w:b/>
          <w:color w:val="000000"/>
          <w:sz w:val="32"/>
          <w:szCs w:val="32"/>
        </w:rPr>
        <w:t>法人（负责人）授权委托书</w:t>
      </w:r>
      <w:r>
        <w:rPr>
          <w:rFonts w:hint="eastAsia" w:ascii="宋体" w:hAnsi="宋体" w:cs="宋体"/>
          <w:b/>
          <w:color w:val="000000"/>
          <w:sz w:val="32"/>
        </w:rPr>
        <w:t>（格式）</w:t>
      </w:r>
    </w:p>
    <w:p>
      <w:pPr>
        <w:pStyle w:val="13"/>
        <w:spacing w:line="200" w:lineRule="exact"/>
        <w:rPr>
          <w:rFonts w:hAnsi="宋体" w:cs="宋体"/>
          <w:color w:val="000000"/>
        </w:rPr>
      </w:pPr>
    </w:p>
    <w:p>
      <w:pPr>
        <w:pStyle w:val="13"/>
        <w:spacing w:line="400" w:lineRule="exact"/>
        <w:ind w:firstLine="420"/>
        <w:rPr>
          <w:rFonts w:hAnsi="宋体" w:cs="宋体"/>
          <w:color w:val="000000"/>
          <w:sz w:val="24"/>
          <w:szCs w:val="24"/>
        </w:rPr>
      </w:pPr>
      <w:r>
        <w:rPr>
          <w:rFonts w:hint="eastAsia" w:hAnsi="宋体" w:cs="宋体"/>
          <w:color w:val="000000"/>
          <w:sz w:val="24"/>
          <w:szCs w:val="24"/>
        </w:rPr>
        <w:t>本授权委托书声明：我</w:t>
      </w:r>
      <w:r>
        <w:rPr>
          <w:rFonts w:hint="eastAsia" w:hAnsi="宋体" w:cs="宋体"/>
          <w:color w:val="000000"/>
          <w:sz w:val="24"/>
          <w:szCs w:val="24"/>
          <w:u w:val="single"/>
        </w:rPr>
        <w:t xml:space="preserve">         </w:t>
      </w:r>
      <w:r>
        <w:rPr>
          <w:rFonts w:hint="eastAsia" w:hAnsi="宋体" w:cs="宋体"/>
          <w:color w:val="000000"/>
          <w:sz w:val="24"/>
          <w:szCs w:val="24"/>
        </w:rPr>
        <w:t>（姓名）系</w:t>
      </w:r>
      <w:r>
        <w:rPr>
          <w:rFonts w:hint="eastAsia" w:hAnsi="宋体" w:cs="宋体"/>
          <w:color w:val="000000"/>
          <w:sz w:val="24"/>
          <w:szCs w:val="24"/>
          <w:u w:val="single"/>
        </w:rPr>
        <w:t>（竞标单位名称）</w:t>
      </w:r>
      <w:r>
        <w:rPr>
          <w:rFonts w:hint="eastAsia" w:hAnsi="宋体" w:cs="宋体"/>
          <w:color w:val="000000"/>
          <w:sz w:val="24"/>
          <w:szCs w:val="24"/>
        </w:rPr>
        <w:t>的法定代表人</w:t>
      </w:r>
      <w:r>
        <w:rPr>
          <w:rFonts w:hint="eastAsia" w:hAnsi="宋体" w:cs="宋体"/>
          <w:color w:val="000000"/>
          <w:sz w:val="24"/>
        </w:rPr>
        <w:t>（负责人）</w:t>
      </w:r>
      <w:r>
        <w:rPr>
          <w:rFonts w:hint="eastAsia" w:hAnsi="宋体" w:cs="宋体"/>
          <w:color w:val="000000"/>
          <w:sz w:val="24"/>
          <w:szCs w:val="24"/>
        </w:rPr>
        <w:t>，现授权委托</w:t>
      </w:r>
      <w:r>
        <w:rPr>
          <w:rFonts w:hint="eastAsia" w:hAnsi="宋体" w:cs="宋体"/>
          <w:color w:val="000000"/>
          <w:sz w:val="24"/>
          <w:szCs w:val="24"/>
          <w:u w:val="single"/>
        </w:rPr>
        <w:t>（单位名称）</w:t>
      </w:r>
      <w:r>
        <w:rPr>
          <w:rFonts w:hint="eastAsia" w:hAnsi="宋体" w:cs="宋体"/>
          <w:color w:val="000000"/>
          <w:sz w:val="24"/>
          <w:szCs w:val="24"/>
        </w:rPr>
        <w:t>的</w:t>
      </w:r>
      <w:r>
        <w:rPr>
          <w:rFonts w:hint="eastAsia" w:hAnsi="宋体" w:cs="宋体"/>
          <w:color w:val="000000"/>
          <w:sz w:val="24"/>
          <w:szCs w:val="24"/>
          <w:u w:val="single"/>
        </w:rPr>
        <w:t>（姓名）</w:t>
      </w:r>
      <w:r>
        <w:rPr>
          <w:rFonts w:hint="eastAsia" w:hAnsi="宋体" w:cs="宋体"/>
          <w:color w:val="000000"/>
          <w:sz w:val="24"/>
          <w:szCs w:val="24"/>
        </w:rPr>
        <w:t>为我公司被授权人，以本公司的名义参加广西桂宝工程监理咨询有限公司组织实施的</w:t>
      </w:r>
      <w:r>
        <w:rPr>
          <w:rFonts w:hint="eastAsia" w:hAnsi="宋体" w:cs="宋体"/>
          <w:color w:val="000000"/>
          <w:sz w:val="24"/>
          <w:szCs w:val="24"/>
          <w:u w:val="single"/>
        </w:rPr>
        <w:t>（项目名称）（项目编号:  ）</w:t>
      </w:r>
      <w:r>
        <w:rPr>
          <w:rFonts w:hint="eastAsia" w:hAnsi="宋体" w:cs="宋体"/>
          <w:color w:val="000000"/>
          <w:sz w:val="24"/>
          <w:szCs w:val="24"/>
        </w:rPr>
        <w:t>的采购活动。被授权人在开标、评标、合同谈判过程中所签署的一切文件和处理与这有关的一切事务，我均予以承认。</w:t>
      </w:r>
    </w:p>
    <w:p>
      <w:pPr>
        <w:pStyle w:val="13"/>
        <w:spacing w:line="400" w:lineRule="exact"/>
        <w:ind w:firstLine="420"/>
        <w:rPr>
          <w:rFonts w:hAnsi="宋体" w:cs="宋体"/>
          <w:color w:val="000000"/>
          <w:sz w:val="24"/>
          <w:szCs w:val="24"/>
        </w:rPr>
      </w:pPr>
      <w:r>
        <w:rPr>
          <w:rFonts w:hint="eastAsia" w:hAnsi="宋体" w:cs="宋体"/>
          <w:color w:val="000000"/>
          <w:sz w:val="24"/>
          <w:szCs w:val="24"/>
        </w:rPr>
        <w:t>被授权人在授权委托书有效期内签署的所有文件不因授权委托的撤销而失效，除非有撤销授权委托的书面通知，本授权委托书自竞标开始至合同履行完毕止。</w:t>
      </w:r>
    </w:p>
    <w:p>
      <w:pPr>
        <w:pStyle w:val="13"/>
        <w:spacing w:line="400" w:lineRule="exact"/>
        <w:ind w:firstLine="420"/>
        <w:rPr>
          <w:rFonts w:hAnsi="宋体" w:cs="宋体"/>
          <w:color w:val="000000"/>
          <w:sz w:val="24"/>
          <w:szCs w:val="24"/>
        </w:rPr>
      </w:pPr>
      <w:r>
        <w:rPr>
          <w:rFonts w:hint="eastAsia" w:hAnsi="宋体" w:cs="宋体"/>
          <w:color w:val="000000"/>
          <w:sz w:val="24"/>
          <w:szCs w:val="24"/>
        </w:rPr>
        <w:t>被授权人无转委托权。特此委托。</w:t>
      </w:r>
    </w:p>
    <w:p>
      <w:pPr>
        <w:pStyle w:val="13"/>
        <w:spacing w:line="400" w:lineRule="exact"/>
        <w:ind w:firstLine="420"/>
        <w:rPr>
          <w:rFonts w:hAnsi="宋体" w:cs="宋体"/>
          <w:color w:val="000000"/>
          <w:sz w:val="24"/>
          <w:szCs w:val="24"/>
        </w:rPr>
      </w:pPr>
      <w:r>
        <w:rPr>
          <w:rFonts w:hint="eastAsia" w:hAnsi="宋体" w:cs="宋体"/>
          <w:color w:val="000000"/>
          <w:sz w:val="24"/>
          <w:szCs w:val="24"/>
        </w:rPr>
        <w:t>委托单位：</w:t>
      </w:r>
      <w:r>
        <w:rPr>
          <w:rFonts w:hint="eastAsia" w:hAnsi="宋体" w:cs="宋体"/>
          <w:color w:val="000000"/>
          <w:sz w:val="24"/>
          <w:szCs w:val="24"/>
          <w:u w:val="single"/>
        </w:rPr>
        <w:t xml:space="preserve">              （盖单位公章）</w:t>
      </w:r>
      <w:r>
        <w:rPr>
          <w:rFonts w:hint="eastAsia" w:hAnsi="宋体" w:cs="宋体"/>
          <w:color w:val="000000"/>
          <w:sz w:val="24"/>
          <w:szCs w:val="24"/>
        </w:rPr>
        <w:t xml:space="preserve">        </w:t>
      </w:r>
    </w:p>
    <w:p>
      <w:pPr>
        <w:pStyle w:val="13"/>
        <w:spacing w:line="400" w:lineRule="exact"/>
        <w:ind w:firstLine="420"/>
        <w:rPr>
          <w:rFonts w:hAnsi="宋体" w:cs="宋体"/>
          <w:color w:val="000000"/>
          <w:sz w:val="24"/>
          <w:szCs w:val="24"/>
        </w:rPr>
      </w:pPr>
      <w:r>
        <w:rPr>
          <w:rFonts w:hint="eastAsia" w:hAnsi="宋体" w:cs="宋体"/>
          <w:color w:val="000000"/>
          <w:sz w:val="24"/>
          <w:szCs w:val="24"/>
        </w:rPr>
        <w:t>法定代表人</w:t>
      </w:r>
      <w:r>
        <w:rPr>
          <w:rFonts w:hint="eastAsia" w:hAnsi="宋体" w:cs="宋体"/>
          <w:color w:val="000000"/>
          <w:sz w:val="24"/>
        </w:rPr>
        <w:t>（负责人）</w:t>
      </w:r>
      <w:r>
        <w:rPr>
          <w:rFonts w:hint="eastAsia" w:hAnsi="宋体" w:cs="宋体"/>
          <w:color w:val="000000"/>
          <w:sz w:val="24"/>
          <w:szCs w:val="24"/>
        </w:rPr>
        <w:t>：</w:t>
      </w:r>
      <w:r>
        <w:rPr>
          <w:rFonts w:hint="eastAsia" w:hAnsi="宋体" w:cs="宋体"/>
          <w:color w:val="000000"/>
          <w:sz w:val="24"/>
          <w:szCs w:val="24"/>
          <w:u w:val="single"/>
        </w:rPr>
        <w:t xml:space="preserve">             （签字或私章）</w:t>
      </w:r>
    </w:p>
    <w:p>
      <w:pPr>
        <w:pStyle w:val="13"/>
        <w:pBdr>
          <w:bottom w:val="single" w:color="auto" w:sz="6" w:space="1"/>
        </w:pBdr>
        <w:spacing w:line="400" w:lineRule="exact"/>
        <w:ind w:firstLine="420"/>
        <w:rPr>
          <w:rFonts w:hAnsi="宋体" w:cs="宋体"/>
          <w:color w:val="000000"/>
          <w:sz w:val="24"/>
          <w:szCs w:val="24"/>
        </w:rPr>
      </w:pPr>
      <w:r>
        <w:rPr>
          <w:rFonts w:hint="eastAsia" w:hAnsi="宋体" w:cs="宋体"/>
          <w:color w:val="000000"/>
          <w:sz w:val="24"/>
          <w:szCs w:val="24"/>
        </w:rPr>
        <w:t>签发日期：</w:t>
      </w:r>
      <w:r>
        <w:rPr>
          <w:rFonts w:hint="eastAsia" w:hAnsi="宋体" w:cs="宋体"/>
          <w:color w:val="000000"/>
          <w:sz w:val="24"/>
          <w:szCs w:val="24"/>
          <w:u w:val="single"/>
        </w:rPr>
        <w:t xml:space="preserve">        </w:t>
      </w:r>
      <w:r>
        <w:rPr>
          <w:rFonts w:hint="eastAsia" w:hAnsi="宋体" w:cs="宋体"/>
          <w:color w:val="000000"/>
          <w:sz w:val="24"/>
          <w:szCs w:val="24"/>
        </w:rPr>
        <w:t>年</w:t>
      </w:r>
      <w:r>
        <w:rPr>
          <w:rFonts w:hint="eastAsia" w:hAnsi="宋体" w:cs="宋体"/>
          <w:color w:val="000000"/>
          <w:sz w:val="24"/>
          <w:szCs w:val="24"/>
          <w:u w:val="single"/>
        </w:rPr>
        <w:t xml:space="preserve">     </w:t>
      </w:r>
      <w:r>
        <w:rPr>
          <w:rFonts w:hint="eastAsia" w:hAnsi="宋体" w:cs="宋体"/>
          <w:color w:val="000000"/>
          <w:sz w:val="24"/>
          <w:szCs w:val="24"/>
        </w:rPr>
        <w:t>月</w:t>
      </w:r>
      <w:r>
        <w:rPr>
          <w:rFonts w:hint="eastAsia" w:hAnsi="宋体" w:cs="宋体"/>
          <w:color w:val="000000"/>
          <w:sz w:val="24"/>
          <w:szCs w:val="24"/>
          <w:u w:val="single"/>
        </w:rPr>
        <w:t xml:space="preserve">     </w:t>
      </w:r>
      <w:r>
        <w:rPr>
          <w:rFonts w:hint="eastAsia" w:hAnsi="宋体" w:cs="宋体"/>
          <w:color w:val="000000"/>
          <w:sz w:val="24"/>
          <w:szCs w:val="24"/>
        </w:rPr>
        <w:t>日</w:t>
      </w:r>
    </w:p>
    <w:p>
      <w:pPr>
        <w:pStyle w:val="13"/>
        <w:pBdr>
          <w:bottom w:val="single" w:color="auto" w:sz="6" w:space="1"/>
        </w:pBdr>
        <w:spacing w:line="340" w:lineRule="exact"/>
        <w:ind w:firstLine="420"/>
        <w:rPr>
          <w:rFonts w:hAnsi="宋体" w:cs="宋体"/>
          <w:color w:val="000000"/>
          <w:sz w:val="24"/>
          <w:szCs w:val="24"/>
        </w:rPr>
      </w:pPr>
    </w:p>
    <w:p>
      <w:pPr>
        <w:pStyle w:val="13"/>
        <w:spacing w:line="200" w:lineRule="exact"/>
        <w:rPr>
          <w:rFonts w:hAnsi="宋体" w:cs="宋体"/>
          <w:color w:val="000000"/>
          <w:sz w:val="24"/>
          <w:szCs w:val="24"/>
        </w:rPr>
      </w:pPr>
    </w:p>
    <w:p>
      <w:pPr>
        <w:pStyle w:val="13"/>
        <w:tabs>
          <w:tab w:val="left" w:pos="5768"/>
        </w:tabs>
        <w:spacing w:line="340" w:lineRule="exact"/>
        <w:ind w:firstLine="420"/>
        <w:rPr>
          <w:rFonts w:hAnsi="宋体" w:cs="宋体"/>
          <w:color w:val="000000"/>
          <w:sz w:val="24"/>
          <w:szCs w:val="24"/>
        </w:rPr>
      </w:pPr>
      <w:r>
        <w:rPr>
          <w:rFonts w:hint="eastAsia" w:hAnsi="宋体" w:cs="宋体"/>
          <w:color w:val="000000"/>
          <w:sz w:val="24"/>
          <w:szCs w:val="24"/>
        </w:rPr>
        <w:t>附：1、代理人工作单位：</w:t>
      </w:r>
      <w:r>
        <w:rPr>
          <w:rFonts w:hint="eastAsia" w:hAnsi="宋体" w:cs="宋体"/>
          <w:color w:val="000000"/>
          <w:sz w:val="24"/>
          <w:szCs w:val="24"/>
        </w:rPr>
        <w:tab/>
      </w:r>
      <w:r>
        <w:rPr>
          <w:rFonts w:hint="eastAsia" w:hAnsi="宋体" w:cs="宋体"/>
          <w:color w:val="000000"/>
          <w:sz w:val="24"/>
          <w:szCs w:val="24"/>
        </w:rPr>
        <w:t>职务：</w:t>
      </w:r>
    </w:p>
    <w:p>
      <w:pPr>
        <w:pStyle w:val="13"/>
        <w:tabs>
          <w:tab w:val="left" w:pos="5768"/>
        </w:tabs>
        <w:spacing w:line="340" w:lineRule="exact"/>
        <w:ind w:firstLine="1155"/>
        <w:rPr>
          <w:rFonts w:hAnsi="宋体" w:cs="宋体"/>
          <w:color w:val="000000"/>
          <w:sz w:val="24"/>
          <w:szCs w:val="24"/>
        </w:rPr>
      </w:pPr>
      <w:r>
        <w:rPr>
          <w:rFonts w:hint="eastAsia" w:hAnsi="宋体" w:cs="宋体"/>
          <w:color w:val="000000"/>
          <w:sz w:val="24"/>
          <w:szCs w:val="24"/>
        </w:rPr>
        <w:t>身份证号码：</w:t>
      </w:r>
      <w:r>
        <w:rPr>
          <w:rFonts w:hint="eastAsia" w:hAnsi="宋体" w:cs="宋体"/>
          <w:color w:val="000000"/>
          <w:sz w:val="24"/>
          <w:szCs w:val="24"/>
        </w:rPr>
        <w:tab/>
      </w:r>
      <w:r>
        <w:rPr>
          <w:rFonts w:hint="eastAsia" w:hAnsi="宋体" w:cs="宋体"/>
          <w:color w:val="000000"/>
          <w:sz w:val="24"/>
          <w:szCs w:val="24"/>
        </w:rPr>
        <w:t>性别：          年龄：</w:t>
      </w:r>
    </w:p>
    <w:p>
      <w:pPr>
        <w:pStyle w:val="13"/>
        <w:spacing w:line="340" w:lineRule="exact"/>
        <w:ind w:firstLine="840"/>
        <w:rPr>
          <w:rFonts w:hAnsi="宋体" w:cs="宋体"/>
          <w:color w:val="000000"/>
          <w:sz w:val="24"/>
          <w:szCs w:val="24"/>
        </w:rPr>
      </w:pPr>
      <w:r>
        <w:rPr>
          <w:rFonts w:hint="eastAsia" w:hAnsi="宋体" w:cs="宋体"/>
          <w:color w:val="000000"/>
          <w:sz w:val="24"/>
          <w:szCs w:val="24"/>
        </w:rPr>
        <w:t>2、委托人企业法人营业执照号码：</w:t>
      </w:r>
    </w:p>
    <w:p>
      <w:pPr>
        <w:pStyle w:val="13"/>
        <w:tabs>
          <w:tab w:val="left" w:pos="5768"/>
        </w:tabs>
        <w:spacing w:line="340" w:lineRule="exact"/>
        <w:ind w:firstLine="1155"/>
        <w:rPr>
          <w:rFonts w:hAnsi="宋体" w:cs="宋体"/>
          <w:color w:val="000000"/>
          <w:sz w:val="24"/>
          <w:szCs w:val="24"/>
        </w:rPr>
      </w:pPr>
      <w:r>
        <w:rPr>
          <w:rFonts w:hint="eastAsia" w:hAnsi="宋体" w:cs="宋体"/>
          <w:color w:val="000000"/>
          <w:sz w:val="24"/>
          <w:szCs w:val="24"/>
        </w:rPr>
        <w:t>地    址：</w:t>
      </w:r>
      <w:r>
        <w:rPr>
          <w:rFonts w:hint="eastAsia" w:hAnsi="宋体" w:cs="宋体"/>
          <w:color w:val="000000"/>
          <w:sz w:val="24"/>
          <w:szCs w:val="24"/>
        </w:rPr>
        <w:tab/>
      </w:r>
      <w:r>
        <w:rPr>
          <w:rFonts w:hint="eastAsia" w:hAnsi="宋体" w:cs="宋体"/>
          <w:color w:val="000000"/>
          <w:sz w:val="24"/>
          <w:szCs w:val="24"/>
        </w:rPr>
        <w:t>经济性质：</w:t>
      </w:r>
    </w:p>
    <w:p>
      <w:pPr>
        <w:pStyle w:val="13"/>
        <w:tabs>
          <w:tab w:val="left" w:pos="5768"/>
        </w:tabs>
        <w:spacing w:line="340" w:lineRule="exact"/>
        <w:ind w:firstLine="1155"/>
        <w:rPr>
          <w:rFonts w:hAnsi="宋体" w:cs="宋体"/>
          <w:color w:val="000000"/>
          <w:sz w:val="24"/>
          <w:szCs w:val="24"/>
        </w:rPr>
      </w:pPr>
      <w:r>
        <w:rPr>
          <w:rFonts w:hint="eastAsia" w:hAnsi="宋体" w:cs="宋体"/>
          <w:color w:val="000000"/>
          <w:sz w:val="24"/>
          <w:szCs w:val="24"/>
        </w:rPr>
        <w:t>注册资金：</w:t>
      </w:r>
      <w:r>
        <w:rPr>
          <w:rFonts w:hint="eastAsia" w:hAnsi="宋体" w:cs="宋体"/>
          <w:color w:val="000000"/>
          <w:sz w:val="24"/>
          <w:szCs w:val="24"/>
        </w:rPr>
        <w:tab/>
      </w:r>
      <w:r>
        <w:rPr>
          <w:rFonts w:hint="eastAsia" w:hAnsi="宋体" w:cs="宋体"/>
          <w:color w:val="000000"/>
          <w:sz w:val="24"/>
          <w:szCs w:val="24"/>
        </w:rPr>
        <w:t>经营方式：</w:t>
      </w:r>
    </w:p>
    <w:p>
      <w:pPr>
        <w:pStyle w:val="13"/>
        <w:tabs>
          <w:tab w:val="left" w:pos="5768"/>
        </w:tabs>
        <w:spacing w:line="340" w:lineRule="exact"/>
        <w:ind w:firstLine="1155"/>
        <w:rPr>
          <w:rFonts w:hAnsi="宋体" w:cs="宋体"/>
          <w:color w:val="000000"/>
          <w:sz w:val="24"/>
          <w:szCs w:val="24"/>
        </w:rPr>
      </w:pPr>
      <w:r>
        <w:rPr>
          <w:rFonts w:hint="eastAsia" w:hAnsi="宋体" w:cs="宋体"/>
          <w:color w:val="000000"/>
          <w:sz w:val="24"/>
          <w:szCs w:val="24"/>
        </w:rPr>
        <w:t>经营范围：</w:t>
      </w:r>
    </w:p>
    <w:p>
      <w:pPr>
        <w:pStyle w:val="13"/>
        <w:spacing w:line="340" w:lineRule="exact"/>
        <w:ind w:firstLine="840"/>
        <w:rPr>
          <w:rFonts w:hAnsi="宋体" w:cs="宋体"/>
          <w:color w:val="000000"/>
          <w:sz w:val="24"/>
          <w:szCs w:val="24"/>
        </w:rPr>
      </w:pPr>
      <w:r>
        <w:rPr>
          <w:rFonts w:hint="eastAsia" w:hAnsi="宋体" w:cs="宋体"/>
          <w:color w:val="000000"/>
          <w:sz w:val="24"/>
          <w:szCs w:val="24"/>
        </w:rPr>
        <w:t>3、法定代表人</w:t>
      </w:r>
      <w:r>
        <w:rPr>
          <w:rFonts w:hint="eastAsia" w:hAnsi="宋体" w:cs="宋体"/>
          <w:color w:val="000000"/>
          <w:sz w:val="24"/>
        </w:rPr>
        <w:t>（负责人）</w:t>
      </w:r>
      <w:r>
        <w:rPr>
          <w:rFonts w:hint="eastAsia" w:hAnsi="宋体" w:cs="宋体"/>
          <w:color w:val="000000"/>
          <w:sz w:val="24"/>
          <w:szCs w:val="24"/>
        </w:rPr>
        <w:t>身份证、委托代理人身份证复印件</w:t>
      </w:r>
    </w:p>
    <w:p>
      <w:pPr>
        <w:spacing w:line="340" w:lineRule="exact"/>
        <w:rPr>
          <w:rFonts w:ascii="宋体" w:hAnsi="宋体" w:cs="宋体"/>
          <w:color w:val="000000"/>
          <w:sz w:val="24"/>
        </w:rPr>
      </w:pPr>
    </w:p>
    <w:tbl>
      <w:tblPr>
        <w:tblStyle w:val="29"/>
        <w:tblW w:w="0" w:type="auto"/>
        <w:tblInd w:w="0" w:type="dxa"/>
        <w:tblLayout w:type="fixed"/>
        <w:tblCellMar>
          <w:top w:w="0" w:type="dxa"/>
          <w:left w:w="108" w:type="dxa"/>
          <w:bottom w:w="0" w:type="dxa"/>
          <w:right w:w="108" w:type="dxa"/>
        </w:tblCellMar>
      </w:tblPr>
      <w:tblGrid>
        <w:gridCol w:w="4403"/>
        <w:gridCol w:w="397"/>
        <w:gridCol w:w="4399"/>
      </w:tblGrid>
      <w:tr>
        <w:tblPrEx>
          <w:tblCellMar>
            <w:top w:w="0" w:type="dxa"/>
            <w:left w:w="108" w:type="dxa"/>
            <w:bottom w:w="0" w:type="dxa"/>
            <w:right w:w="108" w:type="dxa"/>
          </w:tblCellMar>
        </w:tblPrEx>
        <w:trPr>
          <w:trHeight w:val="4893" w:hRule="atLeast"/>
        </w:trPr>
        <w:tc>
          <w:tcPr>
            <w:tcW w:w="44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粘贴法定代表人</w:t>
            </w:r>
            <w:r>
              <w:rPr>
                <w:rFonts w:hint="eastAsia" w:hAnsi="宋体" w:cs="宋体"/>
                <w:color w:val="000000"/>
                <w:sz w:val="24"/>
              </w:rPr>
              <w:t>（负责人）</w:t>
            </w:r>
            <w:r>
              <w:rPr>
                <w:rFonts w:hint="eastAsia" w:ascii="宋体" w:hAnsi="宋体" w:cs="宋体"/>
                <w:color w:val="000000"/>
                <w:sz w:val="24"/>
              </w:rPr>
              <w:t>身份证(正、背)面复印件</w:t>
            </w:r>
          </w:p>
          <w:p>
            <w:pPr>
              <w:spacing w:line="340" w:lineRule="exact"/>
              <w:jc w:val="center"/>
              <w:rPr>
                <w:rFonts w:ascii="宋体" w:hAnsi="宋体" w:cs="宋体"/>
                <w:color w:val="000000"/>
                <w:sz w:val="24"/>
              </w:rPr>
            </w:pPr>
            <w:r>
              <w:rPr>
                <w:rFonts w:hint="eastAsia" w:ascii="宋体" w:hAnsi="宋体" w:cs="宋体"/>
                <w:color w:val="000000"/>
                <w:sz w:val="24"/>
              </w:rPr>
              <w:t>（加盖单位公章）</w:t>
            </w:r>
          </w:p>
        </w:tc>
        <w:tc>
          <w:tcPr>
            <w:tcW w:w="397" w:type="dxa"/>
            <w:tcBorders>
              <w:left w:val="single" w:color="auto" w:sz="4" w:space="0"/>
              <w:right w:val="single" w:color="auto" w:sz="4" w:space="0"/>
            </w:tcBorders>
          </w:tcPr>
          <w:p>
            <w:pPr>
              <w:spacing w:line="340" w:lineRule="exact"/>
              <w:rPr>
                <w:rFonts w:ascii="宋体" w:hAnsi="宋体" w:cs="宋体"/>
                <w:color w:val="000000"/>
                <w:sz w:val="24"/>
              </w:rPr>
            </w:pPr>
          </w:p>
        </w:tc>
        <w:tc>
          <w:tcPr>
            <w:tcW w:w="4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粘贴委托代理人身份证(正、背)面复印件</w:t>
            </w:r>
          </w:p>
          <w:p>
            <w:pPr>
              <w:spacing w:line="340" w:lineRule="exact"/>
              <w:jc w:val="center"/>
              <w:rPr>
                <w:rFonts w:ascii="宋体" w:hAnsi="宋体" w:cs="宋体"/>
                <w:color w:val="000000"/>
                <w:sz w:val="24"/>
              </w:rPr>
            </w:pPr>
            <w:r>
              <w:rPr>
                <w:rFonts w:hint="eastAsia" w:ascii="宋体" w:hAnsi="宋体" w:cs="宋体"/>
                <w:color w:val="000000"/>
                <w:sz w:val="24"/>
              </w:rPr>
              <w:t>（加盖单位公章）</w:t>
            </w:r>
          </w:p>
        </w:tc>
      </w:tr>
    </w:tbl>
    <w:p>
      <w:pPr>
        <w:pStyle w:val="13"/>
        <w:spacing w:line="460" w:lineRule="exact"/>
        <w:rPr>
          <w:rFonts w:hAnsi="宋体" w:cs="宋体"/>
          <w:color w:val="000000"/>
          <w:sz w:val="18"/>
          <w:szCs w:val="18"/>
        </w:rPr>
      </w:pPr>
      <w:r>
        <w:rPr>
          <w:rFonts w:hint="eastAsia" w:hAnsi="宋体" w:cs="宋体"/>
          <w:b/>
          <w:color w:val="000000"/>
          <w:sz w:val="18"/>
          <w:szCs w:val="18"/>
        </w:rPr>
        <w:t>说明：</w:t>
      </w:r>
      <w:r>
        <w:rPr>
          <w:rFonts w:hint="eastAsia" w:hAnsi="宋体" w:cs="宋体"/>
          <w:color w:val="000000"/>
          <w:sz w:val="18"/>
          <w:szCs w:val="18"/>
        </w:rPr>
        <w:t>该授权委托书除在响应文件须附有，如授权委托人参加开标会时，供应商应另单独准备一份原件在递交响应文件时现场出示。</w:t>
      </w:r>
    </w:p>
    <w:p>
      <w:pPr>
        <w:spacing w:line="400" w:lineRule="exact"/>
        <w:jc w:val="center"/>
        <w:rPr>
          <w:rFonts w:ascii="宋体" w:hAnsi="宋体" w:cs="宋体"/>
          <w:color w:val="000000"/>
          <w:sz w:val="28"/>
          <w:szCs w:val="28"/>
        </w:rPr>
      </w:pPr>
      <w:r>
        <w:rPr>
          <w:rFonts w:hint="eastAsia" w:ascii="宋体" w:hAnsi="宋体" w:cs="宋体"/>
          <w:color w:val="000000"/>
        </w:rPr>
        <w:br w:type="page"/>
      </w:r>
    </w:p>
    <w:p>
      <w:pPr>
        <w:spacing w:line="400" w:lineRule="exact"/>
        <w:jc w:val="center"/>
        <w:rPr>
          <w:rFonts w:ascii="宋体" w:hAnsi="宋体" w:cs="宋体"/>
          <w:b/>
          <w:color w:val="000000"/>
          <w:sz w:val="32"/>
          <w:szCs w:val="32"/>
        </w:rPr>
      </w:pPr>
      <w:r>
        <w:rPr>
          <w:rFonts w:hint="eastAsia" w:ascii="宋体" w:hAnsi="宋体" w:cs="宋体"/>
          <w:b/>
          <w:color w:val="000000"/>
          <w:sz w:val="32"/>
          <w:szCs w:val="32"/>
        </w:rPr>
        <w:t>谈判保证金声明（格式）</w:t>
      </w:r>
    </w:p>
    <w:p>
      <w:pPr>
        <w:pStyle w:val="13"/>
        <w:spacing w:line="460" w:lineRule="exact"/>
        <w:ind w:firstLine="420"/>
        <w:jc w:val="center"/>
        <w:rPr>
          <w:rFonts w:hAnsi="宋体" w:cs="宋体"/>
          <w:b/>
          <w:color w:val="000000"/>
          <w:sz w:val="32"/>
          <w:szCs w:val="32"/>
        </w:rPr>
      </w:pPr>
      <w:r>
        <w:rPr>
          <w:rFonts w:hint="eastAsia" w:hAnsi="宋体" w:cs="宋体"/>
          <w:b/>
          <w:color w:val="000000"/>
          <w:sz w:val="32"/>
          <w:szCs w:val="32"/>
        </w:rPr>
        <w:t>（如以支票、汇票、本票、保函等非现金形式的，不用填此声明，提供以支票、汇票、本票、保函等非现金形式的复印件）</w:t>
      </w:r>
    </w:p>
    <w:p>
      <w:pPr>
        <w:pStyle w:val="13"/>
        <w:spacing w:line="460" w:lineRule="exact"/>
        <w:rPr>
          <w:rFonts w:hAnsi="宋体" w:cs="宋体"/>
          <w:color w:val="000000"/>
          <w:sz w:val="24"/>
          <w:szCs w:val="24"/>
        </w:rPr>
      </w:pPr>
      <w:r>
        <w:rPr>
          <w:rFonts w:hint="eastAsia" w:hAnsi="宋体" w:cs="宋体"/>
          <w:color w:val="000000"/>
          <w:sz w:val="24"/>
          <w:szCs w:val="24"/>
        </w:rPr>
        <w:t>致：广西桂宝工程监理咨询有限公司</w:t>
      </w:r>
    </w:p>
    <w:p>
      <w:pPr>
        <w:pStyle w:val="13"/>
        <w:spacing w:line="460" w:lineRule="exact"/>
        <w:ind w:left="19" w:leftChars="9" w:firstLine="458" w:firstLineChars="191"/>
        <w:rPr>
          <w:rFonts w:hAnsi="宋体" w:cs="宋体"/>
          <w:color w:val="000000"/>
          <w:sz w:val="24"/>
          <w:szCs w:val="24"/>
        </w:rPr>
      </w:pPr>
      <w:r>
        <w:rPr>
          <w:rFonts w:hint="eastAsia" w:hAnsi="宋体" w:cs="宋体"/>
          <w:color w:val="000000"/>
          <w:sz w:val="24"/>
          <w:szCs w:val="24"/>
        </w:rPr>
        <w:t>我方参加</w:t>
      </w:r>
      <w:r>
        <w:rPr>
          <w:rFonts w:hint="eastAsia" w:hAnsi="宋体" w:cs="宋体"/>
          <w:color w:val="000000"/>
          <w:sz w:val="24"/>
          <w:szCs w:val="24"/>
          <w:u w:val="single"/>
        </w:rPr>
        <w:t>（项目名称+项目编号）</w:t>
      </w:r>
      <w:r>
        <w:rPr>
          <w:rFonts w:hint="eastAsia" w:hAnsi="宋体" w:cs="宋体"/>
          <w:color w:val="000000"/>
          <w:sz w:val="24"/>
          <w:szCs w:val="24"/>
        </w:rPr>
        <w:t>的竞标，缴纳谈判保证金人民币（大写）</w:t>
      </w:r>
      <w:r>
        <w:rPr>
          <w:rFonts w:hint="eastAsia" w:hAnsi="宋体" w:cs="宋体"/>
          <w:color w:val="000000"/>
          <w:sz w:val="24"/>
          <w:szCs w:val="24"/>
          <w:u w:val="single"/>
        </w:rPr>
        <w:t xml:space="preserve">     （￥   </w:t>
      </w:r>
      <w:r>
        <w:rPr>
          <w:rFonts w:hint="eastAsia" w:hAnsi="宋体" w:cs="宋体"/>
          <w:color w:val="000000"/>
          <w:sz w:val="24"/>
          <w:szCs w:val="24"/>
        </w:rPr>
        <w:t>元），若我方</w:t>
      </w:r>
      <w:r>
        <w:rPr>
          <w:rStyle w:val="36"/>
          <w:rFonts w:hint="eastAsia" w:ascii="Calibri" w:hAnsi="Calibri"/>
          <w:color w:val="000000"/>
          <w:sz w:val="24"/>
          <w:szCs w:val="24"/>
        </w:rPr>
        <w:t>成为</w:t>
      </w:r>
      <w:r>
        <w:rPr>
          <w:rFonts w:hint="eastAsia" w:hAnsi="宋体" w:cs="宋体"/>
          <w:color w:val="000000"/>
          <w:sz w:val="24"/>
          <w:szCs w:val="24"/>
        </w:rPr>
        <w:t>成交供应商，同意你方将该谈判保证金转为履约保证金，若不成交，请贵方在退付谈判保证金时转入以下账户：</w:t>
      </w:r>
    </w:p>
    <w:p>
      <w:pPr>
        <w:pStyle w:val="13"/>
        <w:spacing w:line="460" w:lineRule="exact"/>
        <w:ind w:firstLine="480" w:firstLineChars="200"/>
        <w:rPr>
          <w:rFonts w:hAnsi="宋体" w:cs="宋体"/>
          <w:color w:val="000000"/>
          <w:sz w:val="24"/>
          <w:szCs w:val="24"/>
        </w:rPr>
      </w:pPr>
    </w:p>
    <w:p>
      <w:pPr>
        <w:pStyle w:val="13"/>
        <w:spacing w:line="460" w:lineRule="exact"/>
        <w:ind w:firstLine="960" w:firstLineChars="400"/>
        <w:rPr>
          <w:rFonts w:hAnsi="宋体" w:cs="宋体"/>
          <w:color w:val="000000"/>
          <w:sz w:val="24"/>
          <w:szCs w:val="24"/>
          <w:u w:val="single"/>
        </w:rPr>
      </w:pPr>
      <w:r>
        <w:rPr>
          <w:rFonts w:hint="eastAsia" w:hAnsi="宋体" w:cs="宋体"/>
          <w:color w:val="000000"/>
          <w:sz w:val="24"/>
          <w:szCs w:val="24"/>
        </w:rPr>
        <w:t>开户名称：</w:t>
      </w:r>
    </w:p>
    <w:p>
      <w:pPr>
        <w:pStyle w:val="13"/>
        <w:spacing w:line="460" w:lineRule="exact"/>
        <w:ind w:firstLine="960" w:firstLineChars="400"/>
        <w:rPr>
          <w:rFonts w:hAnsi="宋体" w:cs="宋体"/>
          <w:color w:val="000000"/>
          <w:sz w:val="24"/>
          <w:szCs w:val="24"/>
          <w:u w:val="single"/>
        </w:rPr>
      </w:pPr>
      <w:r>
        <w:rPr>
          <w:rFonts w:hint="eastAsia" w:hAnsi="宋体" w:cs="宋体"/>
          <w:color w:val="000000"/>
          <w:sz w:val="24"/>
          <w:szCs w:val="24"/>
        </w:rPr>
        <w:t>开户银行：</w:t>
      </w:r>
    </w:p>
    <w:p>
      <w:pPr>
        <w:pStyle w:val="13"/>
        <w:spacing w:line="460" w:lineRule="exact"/>
        <w:ind w:firstLine="960" w:firstLineChars="400"/>
        <w:rPr>
          <w:rFonts w:hAnsi="宋体" w:cs="宋体"/>
          <w:color w:val="000000"/>
          <w:sz w:val="24"/>
          <w:szCs w:val="24"/>
          <w:u w:val="single"/>
        </w:rPr>
      </w:pPr>
      <w:r>
        <w:rPr>
          <w:rFonts w:hint="eastAsia" w:hAnsi="宋体" w:cs="宋体"/>
          <w:color w:val="000000"/>
          <w:sz w:val="24"/>
          <w:szCs w:val="24"/>
        </w:rPr>
        <w:t>银行账号：</w:t>
      </w:r>
    </w:p>
    <w:p>
      <w:pPr>
        <w:pStyle w:val="13"/>
        <w:spacing w:line="460" w:lineRule="exact"/>
        <w:ind w:firstLine="948" w:firstLineChars="395"/>
        <w:rPr>
          <w:rFonts w:hAnsi="宋体" w:cs="宋体"/>
          <w:color w:val="000000"/>
          <w:sz w:val="24"/>
          <w:szCs w:val="24"/>
        </w:rPr>
      </w:pPr>
    </w:p>
    <w:p>
      <w:pPr>
        <w:pStyle w:val="13"/>
        <w:spacing w:line="460" w:lineRule="exact"/>
        <w:ind w:firstLine="948" w:firstLineChars="395"/>
        <w:rPr>
          <w:rFonts w:hAnsi="宋体" w:cs="宋体"/>
          <w:color w:val="000000"/>
          <w:sz w:val="24"/>
          <w:szCs w:val="24"/>
        </w:rPr>
      </w:pPr>
      <w:r>
        <w:rPr>
          <w:rFonts w:hint="eastAsia" w:hAnsi="宋体" w:cs="宋体"/>
          <w:color w:val="000000"/>
          <w:sz w:val="24"/>
          <w:szCs w:val="24"/>
        </w:rPr>
        <w:t>竞标单位：</w:t>
      </w:r>
    </w:p>
    <w:p>
      <w:pPr>
        <w:pStyle w:val="13"/>
        <w:spacing w:line="460" w:lineRule="exact"/>
        <w:ind w:firstLine="948" w:firstLineChars="395"/>
        <w:rPr>
          <w:rFonts w:hAnsi="宋体" w:cs="宋体"/>
          <w:color w:val="000000"/>
          <w:sz w:val="24"/>
          <w:szCs w:val="24"/>
        </w:rPr>
      </w:pPr>
      <w:r>
        <w:rPr>
          <w:rFonts w:hint="eastAsia" w:hAnsi="宋体" w:cs="宋体"/>
          <w:color w:val="000000"/>
          <w:sz w:val="24"/>
          <w:szCs w:val="24"/>
        </w:rPr>
        <w:t>地  址：</w:t>
      </w:r>
    </w:p>
    <w:p>
      <w:pPr>
        <w:pStyle w:val="13"/>
        <w:spacing w:line="460" w:lineRule="exact"/>
        <w:ind w:firstLine="948" w:firstLineChars="395"/>
        <w:rPr>
          <w:rFonts w:hAnsi="宋体" w:cs="宋体"/>
          <w:color w:val="000000"/>
          <w:sz w:val="24"/>
          <w:szCs w:val="24"/>
        </w:rPr>
      </w:pPr>
      <w:r>
        <w:rPr>
          <w:rFonts w:hint="eastAsia" w:hAnsi="宋体" w:cs="宋体"/>
          <w:color w:val="000000"/>
          <w:sz w:val="24"/>
          <w:szCs w:val="24"/>
        </w:rPr>
        <w:t>联系人：</w:t>
      </w:r>
    </w:p>
    <w:p>
      <w:pPr>
        <w:pStyle w:val="13"/>
        <w:spacing w:line="460" w:lineRule="exact"/>
        <w:ind w:firstLine="948" w:firstLineChars="395"/>
        <w:rPr>
          <w:rFonts w:hAnsi="宋体" w:cs="宋体"/>
          <w:color w:val="000000"/>
          <w:sz w:val="24"/>
          <w:szCs w:val="24"/>
        </w:rPr>
      </w:pPr>
      <w:r>
        <w:rPr>
          <w:rFonts w:hint="eastAsia" w:hAnsi="宋体" w:cs="宋体"/>
          <w:color w:val="000000"/>
          <w:sz w:val="24"/>
          <w:szCs w:val="24"/>
        </w:rPr>
        <w:t>联系电话（手机）：</w:t>
      </w:r>
    </w:p>
    <w:p>
      <w:pPr>
        <w:pStyle w:val="13"/>
        <w:spacing w:line="460" w:lineRule="exact"/>
        <w:ind w:firstLine="420"/>
        <w:rPr>
          <w:rFonts w:hAnsi="宋体" w:cs="宋体"/>
          <w:color w:val="000000"/>
          <w:sz w:val="24"/>
          <w:szCs w:val="24"/>
        </w:rPr>
      </w:pPr>
    </w:p>
    <w:p>
      <w:pPr>
        <w:pStyle w:val="13"/>
        <w:spacing w:line="460" w:lineRule="exact"/>
        <w:ind w:firstLine="2400" w:firstLineChars="1000"/>
        <w:rPr>
          <w:rFonts w:hAnsi="宋体" w:cs="宋体"/>
          <w:color w:val="000000"/>
          <w:sz w:val="24"/>
          <w:szCs w:val="24"/>
        </w:rPr>
      </w:pPr>
      <w:r>
        <w:rPr>
          <w:rFonts w:hint="eastAsia" w:hAnsi="宋体" w:cs="宋体"/>
          <w:color w:val="000000"/>
          <w:sz w:val="24"/>
          <w:szCs w:val="24"/>
        </w:rPr>
        <w:t>（粘贴谈判保证金缴纳凭证复印件并加盖单位公章）</w:t>
      </w:r>
    </w:p>
    <w:p>
      <w:pPr>
        <w:pStyle w:val="13"/>
        <w:spacing w:line="460" w:lineRule="exact"/>
        <w:ind w:firstLine="420"/>
        <w:rPr>
          <w:rFonts w:hAnsi="宋体" w:cs="宋体"/>
          <w:color w:val="000000"/>
          <w:sz w:val="24"/>
          <w:szCs w:val="24"/>
          <w:u w:val="single"/>
        </w:rPr>
      </w:pPr>
    </w:p>
    <w:p>
      <w:pPr>
        <w:pStyle w:val="13"/>
        <w:spacing w:line="460" w:lineRule="exact"/>
        <w:ind w:firstLine="420"/>
        <w:rPr>
          <w:rFonts w:hAnsi="宋体" w:cs="宋体"/>
          <w:color w:val="000000"/>
          <w:sz w:val="24"/>
          <w:szCs w:val="24"/>
          <w:u w:val="single"/>
        </w:rPr>
      </w:pPr>
    </w:p>
    <w:p>
      <w:pPr>
        <w:pStyle w:val="13"/>
        <w:spacing w:line="460" w:lineRule="exact"/>
        <w:ind w:firstLine="420"/>
        <w:rPr>
          <w:rFonts w:hAnsi="宋体" w:cs="宋体"/>
          <w:color w:val="000000"/>
          <w:sz w:val="24"/>
          <w:szCs w:val="24"/>
          <w:u w:val="single"/>
        </w:rPr>
      </w:pPr>
    </w:p>
    <w:p>
      <w:pPr>
        <w:pStyle w:val="13"/>
        <w:spacing w:line="460" w:lineRule="exact"/>
        <w:ind w:firstLine="420"/>
        <w:rPr>
          <w:rFonts w:hAnsi="宋体" w:cs="宋体"/>
          <w:color w:val="000000"/>
          <w:sz w:val="24"/>
          <w:szCs w:val="24"/>
          <w:u w:val="single"/>
        </w:rPr>
      </w:pPr>
    </w:p>
    <w:p>
      <w:pPr>
        <w:pStyle w:val="13"/>
        <w:spacing w:line="460" w:lineRule="exact"/>
        <w:ind w:firstLine="420"/>
        <w:rPr>
          <w:rFonts w:hAnsi="宋体" w:cs="宋体"/>
          <w:color w:val="000000"/>
          <w:sz w:val="24"/>
          <w:szCs w:val="24"/>
          <w:u w:val="single"/>
        </w:rPr>
      </w:pPr>
    </w:p>
    <w:p>
      <w:pPr>
        <w:pStyle w:val="13"/>
        <w:spacing w:line="460" w:lineRule="exact"/>
        <w:ind w:firstLine="420"/>
        <w:rPr>
          <w:rFonts w:hAnsi="宋体" w:cs="宋体"/>
          <w:color w:val="000000"/>
          <w:sz w:val="24"/>
          <w:szCs w:val="24"/>
          <w:u w:val="single"/>
        </w:rPr>
      </w:pPr>
    </w:p>
    <w:p>
      <w:pPr>
        <w:pStyle w:val="13"/>
        <w:spacing w:line="460" w:lineRule="exact"/>
        <w:ind w:firstLine="420"/>
        <w:rPr>
          <w:rFonts w:hAnsi="宋体" w:cs="宋体"/>
          <w:color w:val="000000"/>
          <w:sz w:val="24"/>
          <w:szCs w:val="24"/>
          <w:u w:val="single"/>
        </w:rPr>
      </w:pPr>
    </w:p>
    <w:p>
      <w:pPr>
        <w:pStyle w:val="13"/>
        <w:spacing w:line="460" w:lineRule="exact"/>
        <w:rPr>
          <w:rFonts w:hAnsi="宋体" w:cs="宋体"/>
          <w:color w:val="000000"/>
          <w:sz w:val="24"/>
          <w:szCs w:val="24"/>
        </w:rPr>
      </w:pPr>
      <w:r>
        <w:rPr>
          <w:rFonts w:hint="eastAsia" w:hAnsi="宋体" w:cs="宋体"/>
          <w:b/>
          <w:color w:val="000000"/>
          <w:sz w:val="24"/>
          <w:szCs w:val="24"/>
        </w:rPr>
        <w:t>说明：</w:t>
      </w:r>
      <w:r>
        <w:rPr>
          <w:rFonts w:hint="eastAsia" w:hAnsi="宋体" w:cs="宋体"/>
          <w:color w:val="000000"/>
          <w:sz w:val="24"/>
          <w:szCs w:val="24"/>
        </w:rPr>
        <w:t>该声明除在响应文件须附有，供应商应另单独准备一份原件，在递交响应文件时现场出示。</w:t>
      </w:r>
    </w:p>
    <w:p>
      <w:pPr>
        <w:pStyle w:val="13"/>
        <w:spacing w:line="400" w:lineRule="exact"/>
        <w:rPr>
          <w:rFonts w:hAnsi="宋体" w:cs="宋体"/>
          <w:color w:val="000000"/>
          <w:sz w:val="24"/>
          <w:szCs w:val="24"/>
        </w:rPr>
      </w:pPr>
    </w:p>
    <w:p>
      <w:pPr>
        <w:rPr>
          <w:rFonts w:ascii="宋体" w:hAnsi="宋体" w:cs="宋体"/>
          <w:color w:val="000000"/>
        </w:rPr>
      </w:pPr>
      <w:r>
        <w:rPr>
          <w:rFonts w:hint="eastAsia" w:ascii="宋体" w:hAnsi="宋体" w:cs="宋体"/>
          <w:color w:val="000000"/>
        </w:rPr>
        <w:br w:type="page"/>
      </w:r>
    </w:p>
    <w:p>
      <w:pPr>
        <w:jc w:val="center"/>
        <w:rPr>
          <w:rFonts w:ascii="宋体" w:hAnsi="宋体" w:cs="宋体"/>
          <w:b/>
          <w:color w:val="000000"/>
          <w:sz w:val="32"/>
          <w:szCs w:val="32"/>
        </w:rPr>
      </w:pPr>
      <w:r>
        <w:rPr>
          <w:rFonts w:hint="eastAsia" w:ascii="宋体" w:hAnsi="宋体" w:cs="宋体"/>
          <w:b/>
          <w:color w:val="000000"/>
          <w:sz w:val="32"/>
          <w:szCs w:val="32"/>
        </w:rPr>
        <w:t>技术要求响应表（格式）</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695"/>
        <w:gridCol w:w="2918"/>
        <w:gridCol w:w="259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13"/>
              <w:snapToGrid w:val="0"/>
              <w:ind w:left="-105" w:leftChars="-50" w:right="-105" w:rightChars="-50"/>
              <w:jc w:val="center"/>
              <w:rPr>
                <w:rFonts w:hAnsi="宋体" w:cs="宋体"/>
                <w:color w:val="000000"/>
                <w:sz w:val="24"/>
                <w:szCs w:val="24"/>
              </w:rPr>
            </w:pPr>
            <w:r>
              <w:rPr>
                <w:rFonts w:hint="eastAsia" w:hAnsi="宋体" w:cs="宋体"/>
                <w:color w:val="000000"/>
                <w:sz w:val="24"/>
                <w:szCs w:val="24"/>
              </w:rPr>
              <w:t>序号</w:t>
            </w:r>
          </w:p>
        </w:tc>
        <w:tc>
          <w:tcPr>
            <w:tcW w:w="1695"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采购内容</w:t>
            </w:r>
          </w:p>
        </w:tc>
        <w:tc>
          <w:tcPr>
            <w:tcW w:w="2918"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原技术规范主要条款要求</w:t>
            </w:r>
          </w:p>
        </w:tc>
        <w:tc>
          <w:tcPr>
            <w:tcW w:w="2599"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响应文件具体响应</w:t>
            </w:r>
          </w:p>
        </w:tc>
        <w:tc>
          <w:tcPr>
            <w:tcW w:w="1143"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技术偏离情况说明(＋/-/=)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1</w:t>
            </w:r>
          </w:p>
        </w:tc>
        <w:tc>
          <w:tcPr>
            <w:tcW w:w="1695" w:type="dxa"/>
            <w:vAlign w:val="center"/>
          </w:tcPr>
          <w:p>
            <w:pPr>
              <w:pStyle w:val="13"/>
              <w:snapToGrid w:val="0"/>
              <w:jc w:val="center"/>
              <w:rPr>
                <w:rFonts w:hAnsi="宋体" w:cs="宋体"/>
                <w:color w:val="000000"/>
                <w:sz w:val="24"/>
                <w:szCs w:val="24"/>
              </w:rPr>
            </w:pPr>
          </w:p>
        </w:tc>
        <w:tc>
          <w:tcPr>
            <w:tcW w:w="2918" w:type="dxa"/>
            <w:vAlign w:val="center"/>
          </w:tcPr>
          <w:p>
            <w:pPr>
              <w:pStyle w:val="13"/>
              <w:snapToGrid w:val="0"/>
              <w:jc w:val="center"/>
              <w:rPr>
                <w:rFonts w:hAnsi="宋体" w:cs="宋体"/>
                <w:color w:val="000000"/>
                <w:sz w:val="24"/>
                <w:szCs w:val="24"/>
              </w:rPr>
            </w:pPr>
          </w:p>
        </w:tc>
        <w:tc>
          <w:tcPr>
            <w:tcW w:w="2599" w:type="dxa"/>
            <w:vAlign w:val="center"/>
          </w:tcPr>
          <w:p>
            <w:pPr>
              <w:pStyle w:val="13"/>
              <w:snapToGrid w:val="0"/>
              <w:jc w:val="center"/>
              <w:rPr>
                <w:rFonts w:hAnsi="宋体" w:cs="宋体"/>
                <w:color w:val="000000"/>
                <w:sz w:val="24"/>
                <w:szCs w:val="24"/>
              </w:rPr>
            </w:pPr>
          </w:p>
        </w:tc>
        <w:tc>
          <w:tcPr>
            <w:tcW w:w="1143" w:type="dxa"/>
            <w:vAlign w:val="center"/>
          </w:tcPr>
          <w:p>
            <w:pPr>
              <w:pStyle w:val="13"/>
              <w:snapToGrid w:val="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2</w:t>
            </w:r>
          </w:p>
        </w:tc>
        <w:tc>
          <w:tcPr>
            <w:tcW w:w="1695" w:type="dxa"/>
            <w:vAlign w:val="center"/>
          </w:tcPr>
          <w:p>
            <w:pPr>
              <w:pStyle w:val="13"/>
              <w:snapToGrid w:val="0"/>
              <w:jc w:val="center"/>
              <w:rPr>
                <w:rFonts w:hAnsi="宋体" w:cs="宋体"/>
                <w:color w:val="000000"/>
                <w:sz w:val="24"/>
                <w:szCs w:val="24"/>
              </w:rPr>
            </w:pPr>
          </w:p>
        </w:tc>
        <w:tc>
          <w:tcPr>
            <w:tcW w:w="2918" w:type="dxa"/>
            <w:vAlign w:val="center"/>
          </w:tcPr>
          <w:p>
            <w:pPr>
              <w:pStyle w:val="13"/>
              <w:snapToGrid w:val="0"/>
              <w:jc w:val="center"/>
              <w:rPr>
                <w:rFonts w:hAnsi="宋体" w:cs="宋体"/>
                <w:color w:val="000000"/>
                <w:sz w:val="24"/>
                <w:szCs w:val="24"/>
              </w:rPr>
            </w:pPr>
          </w:p>
        </w:tc>
        <w:tc>
          <w:tcPr>
            <w:tcW w:w="2599" w:type="dxa"/>
            <w:vAlign w:val="center"/>
          </w:tcPr>
          <w:p>
            <w:pPr>
              <w:pStyle w:val="13"/>
              <w:snapToGrid w:val="0"/>
              <w:jc w:val="center"/>
              <w:rPr>
                <w:rFonts w:hAnsi="宋体" w:cs="宋体"/>
                <w:color w:val="000000"/>
                <w:sz w:val="24"/>
                <w:szCs w:val="24"/>
              </w:rPr>
            </w:pPr>
          </w:p>
        </w:tc>
        <w:tc>
          <w:tcPr>
            <w:tcW w:w="1143" w:type="dxa"/>
            <w:vAlign w:val="center"/>
          </w:tcPr>
          <w:p>
            <w:pPr>
              <w:pStyle w:val="13"/>
              <w:snapToGrid w:val="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3</w:t>
            </w:r>
          </w:p>
        </w:tc>
        <w:tc>
          <w:tcPr>
            <w:tcW w:w="1695" w:type="dxa"/>
            <w:vAlign w:val="center"/>
          </w:tcPr>
          <w:p>
            <w:pPr>
              <w:pStyle w:val="13"/>
              <w:snapToGrid w:val="0"/>
              <w:jc w:val="center"/>
              <w:rPr>
                <w:rFonts w:hAnsi="宋体" w:cs="宋体"/>
                <w:color w:val="000000"/>
                <w:sz w:val="24"/>
                <w:szCs w:val="24"/>
              </w:rPr>
            </w:pPr>
          </w:p>
        </w:tc>
        <w:tc>
          <w:tcPr>
            <w:tcW w:w="2918" w:type="dxa"/>
            <w:vAlign w:val="center"/>
          </w:tcPr>
          <w:p>
            <w:pPr>
              <w:pStyle w:val="13"/>
              <w:snapToGrid w:val="0"/>
              <w:jc w:val="center"/>
              <w:rPr>
                <w:rFonts w:hAnsi="宋体" w:cs="宋体"/>
                <w:color w:val="000000"/>
                <w:sz w:val="24"/>
                <w:szCs w:val="24"/>
              </w:rPr>
            </w:pPr>
          </w:p>
        </w:tc>
        <w:tc>
          <w:tcPr>
            <w:tcW w:w="2599" w:type="dxa"/>
            <w:vAlign w:val="center"/>
          </w:tcPr>
          <w:p>
            <w:pPr>
              <w:pStyle w:val="13"/>
              <w:snapToGrid w:val="0"/>
              <w:jc w:val="center"/>
              <w:rPr>
                <w:rFonts w:hAnsi="宋体" w:cs="宋体"/>
                <w:color w:val="000000"/>
                <w:sz w:val="24"/>
                <w:szCs w:val="24"/>
              </w:rPr>
            </w:pPr>
          </w:p>
        </w:tc>
        <w:tc>
          <w:tcPr>
            <w:tcW w:w="1143" w:type="dxa"/>
            <w:vAlign w:val="center"/>
          </w:tcPr>
          <w:p>
            <w:pPr>
              <w:pStyle w:val="13"/>
              <w:snapToGrid w:val="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4</w:t>
            </w:r>
          </w:p>
        </w:tc>
        <w:tc>
          <w:tcPr>
            <w:tcW w:w="1695" w:type="dxa"/>
            <w:vAlign w:val="center"/>
          </w:tcPr>
          <w:p>
            <w:pPr>
              <w:pStyle w:val="13"/>
              <w:snapToGrid w:val="0"/>
              <w:jc w:val="center"/>
              <w:rPr>
                <w:rFonts w:hAnsi="宋体" w:cs="宋体"/>
                <w:color w:val="000000"/>
                <w:sz w:val="24"/>
                <w:szCs w:val="24"/>
              </w:rPr>
            </w:pPr>
          </w:p>
        </w:tc>
        <w:tc>
          <w:tcPr>
            <w:tcW w:w="2918" w:type="dxa"/>
            <w:vAlign w:val="center"/>
          </w:tcPr>
          <w:p>
            <w:pPr>
              <w:pStyle w:val="13"/>
              <w:snapToGrid w:val="0"/>
              <w:jc w:val="center"/>
              <w:rPr>
                <w:rFonts w:hAnsi="宋体" w:cs="宋体"/>
                <w:color w:val="000000"/>
                <w:sz w:val="24"/>
                <w:szCs w:val="24"/>
              </w:rPr>
            </w:pPr>
          </w:p>
        </w:tc>
        <w:tc>
          <w:tcPr>
            <w:tcW w:w="2599" w:type="dxa"/>
            <w:vAlign w:val="center"/>
          </w:tcPr>
          <w:p>
            <w:pPr>
              <w:pStyle w:val="13"/>
              <w:snapToGrid w:val="0"/>
              <w:jc w:val="center"/>
              <w:rPr>
                <w:rFonts w:hAnsi="宋体" w:cs="宋体"/>
                <w:color w:val="000000"/>
                <w:sz w:val="24"/>
                <w:szCs w:val="24"/>
              </w:rPr>
            </w:pPr>
          </w:p>
        </w:tc>
        <w:tc>
          <w:tcPr>
            <w:tcW w:w="1143" w:type="dxa"/>
            <w:vAlign w:val="center"/>
          </w:tcPr>
          <w:p>
            <w:pPr>
              <w:pStyle w:val="13"/>
              <w:snapToGrid w:val="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5</w:t>
            </w:r>
          </w:p>
        </w:tc>
        <w:tc>
          <w:tcPr>
            <w:tcW w:w="1695" w:type="dxa"/>
            <w:vAlign w:val="center"/>
          </w:tcPr>
          <w:p>
            <w:pPr>
              <w:pStyle w:val="13"/>
              <w:snapToGrid w:val="0"/>
              <w:jc w:val="center"/>
              <w:rPr>
                <w:rFonts w:hAnsi="宋体" w:cs="宋体"/>
                <w:color w:val="000000"/>
                <w:sz w:val="24"/>
                <w:szCs w:val="24"/>
              </w:rPr>
            </w:pPr>
          </w:p>
        </w:tc>
        <w:tc>
          <w:tcPr>
            <w:tcW w:w="2918" w:type="dxa"/>
            <w:vAlign w:val="center"/>
          </w:tcPr>
          <w:p>
            <w:pPr>
              <w:pStyle w:val="13"/>
              <w:snapToGrid w:val="0"/>
              <w:jc w:val="center"/>
              <w:rPr>
                <w:rFonts w:hAnsi="宋体" w:cs="宋体"/>
                <w:color w:val="000000"/>
                <w:sz w:val="24"/>
                <w:szCs w:val="24"/>
              </w:rPr>
            </w:pPr>
          </w:p>
        </w:tc>
        <w:tc>
          <w:tcPr>
            <w:tcW w:w="2599" w:type="dxa"/>
            <w:vAlign w:val="center"/>
          </w:tcPr>
          <w:p>
            <w:pPr>
              <w:pStyle w:val="13"/>
              <w:snapToGrid w:val="0"/>
              <w:jc w:val="center"/>
              <w:rPr>
                <w:rFonts w:hAnsi="宋体" w:cs="宋体"/>
                <w:color w:val="000000"/>
                <w:sz w:val="24"/>
                <w:szCs w:val="24"/>
              </w:rPr>
            </w:pPr>
          </w:p>
        </w:tc>
        <w:tc>
          <w:tcPr>
            <w:tcW w:w="1143" w:type="dxa"/>
            <w:vAlign w:val="center"/>
          </w:tcPr>
          <w:p>
            <w:pPr>
              <w:pStyle w:val="13"/>
              <w:snapToGrid w:val="0"/>
              <w:jc w:val="center"/>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vAlign w:val="center"/>
          </w:tcPr>
          <w:p>
            <w:pPr>
              <w:pStyle w:val="13"/>
              <w:snapToGrid w:val="0"/>
              <w:jc w:val="center"/>
              <w:rPr>
                <w:rFonts w:hAnsi="宋体" w:cs="宋体"/>
                <w:color w:val="000000"/>
                <w:sz w:val="24"/>
                <w:szCs w:val="24"/>
              </w:rPr>
            </w:pPr>
            <w:r>
              <w:rPr>
                <w:rFonts w:hint="eastAsia" w:hAnsi="宋体" w:cs="宋体"/>
                <w:color w:val="000000"/>
                <w:sz w:val="24"/>
                <w:szCs w:val="24"/>
              </w:rPr>
              <w:t>…</w:t>
            </w:r>
          </w:p>
        </w:tc>
        <w:tc>
          <w:tcPr>
            <w:tcW w:w="1695" w:type="dxa"/>
            <w:vAlign w:val="center"/>
          </w:tcPr>
          <w:p>
            <w:pPr>
              <w:pStyle w:val="13"/>
              <w:snapToGrid w:val="0"/>
              <w:jc w:val="center"/>
              <w:rPr>
                <w:rFonts w:hAnsi="宋体" w:cs="宋体"/>
                <w:color w:val="000000"/>
                <w:sz w:val="24"/>
                <w:szCs w:val="24"/>
              </w:rPr>
            </w:pPr>
          </w:p>
        </w:tc>
        <w:tc>
          <w:tcPr>
            <w:tcW w:w="2918" w:type="dxa"/>
            <w:vAlign w:val="center"/>
          </w:tcPr>
          <w:p>
            <w:pPr>
              <w:pStyle w:val="13"/>
              <w:snapToGrid w:val="0"/>
              <w:jc w:val="center"/>
              <w:rPr>
                <w:rFonts w:hAnsi="宋体" w:cs="宋体"/>
                <w:color w:val="000000"/>
                <w:sz w:val="24"/>
                <w:szCs w:val="24"/>
              </w:rPr>
            </w:pPr>
          </w:p>
        </w:tc>
        <w:tc>
          <w:tcPr>
            <w:tcW w:w="2599" w:type="dxa"/>
            <w:vAlign w:val="center"/>
          </w:tcPr>
          <w:p>
            <w:pPr>
              <w:pStyle w:val="13"/>
              <w:snapToGrid w:val="0"/>
              <w:jc w:val="center"/>
              <w:rPr>
                <w:rFonts w:hAnsi="宋体" w:cs="宋体"/>
                <w:color w:val="000000"/>
                <w:sz w:val="24"/>
                <w:szCs w:val="24"/>
              </w:rPr>
            </w:pPr>
          </w:p>
        </w:tc>
        <w:tc>
          <w:tcPr>
            <w:tcW w:w="1143" w:type="dxa"/>
            <w:vAlign w:val="center"/>
          </w:tcPr>
          <w:p>
            <w:pPr>
              <w:pStyle w:val="13"/>
              <w:snapToGrid w:val="0"/>
              <w:jc w:val="center"/>
              <w:rPr>
                <w:rFonts w:hAnsi="宋体" w:cs="宋体"/>
                <w:color w:val="000000"/>
                <w:sz w:val="24"/>
                <w:szCs w:val="24"/>
              </w:rPr>
            </w:pPr>
          </w:p>
        </w:tc>
      </w:tr>
    </w:tbl>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pStyle w:val="13"/>
        <w:spacing w:line="600" w:lineRule="exact"/>
        <w:ind w:firstLine="3060"/>
        <w:rPr>
          <w:rFonts w:hAnsi="宋体" w:cs="宋体"/>
          <w:color w:val="000000"/>
          <w:sz w:val="24"/>
          <w:szCs w:val="24"/>
          <w:u w:val="single"/>
        </w:rPr>
      </w:pPr>
      <w:r>
        <w:rPr>
          <w:rFonts w:hint="eastAsia" w:hAnsi="宋体" w:cs="宋体"/>
          <w:color w:val="000000"/>
          <w:sz w:val="24"/>
          <w:szCs w:val="24"/>
        </w:rPr>
        <w:t>供应商（加盖单位公章）：</w:t>
      </w:r>
      <w:r>
        <w:rPr>
          <w:rFonts w:hint="eastAsia" w:hAnsi="宋体" w:cs="宋体"/>
          <w:color w:val="000000"/>
          <w:sz w:val="24"/>
          <w:szCs w:val="24"/>
          <w:u w:val="single"/>
        </w:rPr>
        <w:t xml:space="preserve">                                </w:t>
      </w:r>
    </w:p>
    <w:p>
      <w:pPr>
        <w:pStyle w:val="13"/>
        <w:spacing w:line="600" w:lineRule="exact"/>
        <w:ind w:firstLine="3060"/>
        <w:rPr>
          <w:rFonts w:hAnsi="宋体" w:cs="宋体"/>
          <w:color w:val="000000"/>
          <w:sz w:val="24"/>
          <w:szCs w:val="24"/>
        </w:rPr>
      </w:pPr>
      <w:r>
        <w:rPr>
          <w:rFonts w:hint="eastAsia" w:hAnsi="宋体" w:cs="宋体"/>
          <w:color w:val="000000"/>
          <w:sz w:val="24"/>
          <w:szCs w:val="24"/>
        </w:rPr>
        <w:t>法定代表人</w:t>
      </w:r>
      <w:r>
        <w:rPr>
          <w:rFonts w:hint="eastAsia" w:hAnsi="宋体" w:cs="宋体"/>
          <w:color w:val="000000"/>
          <w:sz w:val="24"/>
        </w:rPr>
        <w:t>（负责人）</w:t>
      </w:r>
      <w:r>
        <w:rPr>
          <w:rFonts w:hint="eastAsia" w:hAnsi="宋体" w:cs="宋体"/>
          <w:color w:val="000000"/>
          <w:sz w:val="24"/>
          <w:szCs w:val="24"/>
        </w:rPr>
        <w:t>或委托代理人（签名）：</w:t>
      </w:r>
      <w:r>
        <w:rPr>
          <w:rFonts w:hint="eastAsia" w:hAnsi="宋体" w:cs="宋体"/>
          <w:color w:val="000000"/>
          <w:sz w:val="24"/>
          <w:szCs w:val="24"/>
          <w:u w:val="single"/>
        </w:rPr>
        <w:t xml:space="preserve">                        </w:t>
      </w:r>
    </w:p>
    <w:p>
      <w:pPr>
        <w:pStyle w:val="13"/>
        <w:spacing w:line="600" w:lineRule="exact"/>
        <w:ind w:firstLine="3060"/>
        <w:rPr>
          <w:rFonts w:hAnsi="宋体" w:cs="宋体"/>
          <w:color w:val="000000"/>
          <w:sz w:val="24"/>
          <w:szCs w:val="24"/>
          <w:u w:val="single"/>
        </w:rPr>
      </w:pPr>
      <w:r>
        <w:rPr>
          <w:rFonts w:hint="eastAsia" w:hAnsi="宋体" w:cs="宋体"/>
          <w:color w:val="000000"/>
          <w:sz w:val="24"/>
          <w:szCs w:val="24"/>
        </w:rPr>
        <w:t>竞标日期：</w:t>
      </w:r>
      <w:r>
        <w:rPr>
          <w:rFonts w:hint="eastAsia" w:hAnsi="宋体" w:cs="宋体"/>
          <w:color w:val="000000"/>
          <w:sz w:val="24"/>
          <w:szCs w:val="24"/>
          <w:u w:val="single"/>
        </w:rPr>
        <w:t xml:space="preserve">                                             </w:t>
      </w: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pStyle w:val="13"/>
        <w:spacing w:line="400" w:lineRule="exact"/>
        <w:jc w:val="left"/>
        <w:rPr>
          <w:rFonts w:hAnsi="宋体" w:cs="宋体"/>
          <w:b/>
          <w:bCs/>
          <w:color w:val="000000"/>
          <w:sz w:val="24"/>
          <w:szCs w:val="24"/>
        </w:rPr>
      </w:pPr>
      <w:r>
        <w:rPr>
          <w:rFonts w:hint="eastAsia" w:hAnsi="宋体" w:cs="宋体"/>
          <w:b/>
          <w:bCs/>
          <w:color w:val="000000"/>
          <w:sz w:val="24"/>
          <w:szCs w:val="24"/>
        </w:rPr>
        <w:t>说明：</w:t>
      </w:r>
    </w:p>
    <w:p>
      <w:pPr>
        <w:pStyle w:val="13"/>
        <w:spacing w:line="400" w:lineRule="exact"/>
        <w:ind w:left="360" w:hanging="360" w:hangingChars="150"/>
        <w:jc w:val="left"/>
        <w:rPr>
          <w:rFonts w:hAnsi="宋体" w:cs="宋体"/>
          <w:color w:val="000000"/>
          <w:sz w:val="24"/>
          <w:szCs w:val="24"/>
        </w:rPr>
      </w:pPr>
      <w:r>
        <w:rPr>
          <w:rFonts w:hint="eastAsia" w:hAnsi="宋体" w:cs="宋体"/>
          <w:color w:val="000000"/>
          <w:sz w:val="24"/>
          <w:szCs w:val="24"/>
        </w:rPr>
        <w:t>1、供应商必须仔细阅读谈判文件中所有技术规范条款和相关功能要求，并对所有技术规范和功能偏离的条目列入响应表。供应商必须根据所投产品和服务的实际情况如实填写，谈判小组如发现有虚假描述的，或仅注明“符合”、“满足”或简单复制谈判文件要求，该响应文件视为无效。</w:t>
      </w:r>
    </w:p>
    <w:p>
      <w:pPr>
        <w:pStyle w:val="13"/>
        <w:spacing w:line="400" w:lineRule="exact"/>
        <w:ind w:left="360" w:hanging="360" w:hangingChars="150"/>
        <w:jc w:val="left"/>
        <w:rPr>
          <w:rFonts w:hAnsi="宋体" w:cs="宋体"/>
          <w:color w:val="000000"/>
          <w:sz w:val="24"/>
          <w:szCs w:val="24"/>
        </w:rPr>
      </w:pPr>
      <w:r>
        <w:rPr>
          <w:rFonts w:hint="eastAsia" w:hAnsi="宋体" w:cs="宋体"/>
          <w:color w:val="000000"/>
          <w:sz w:val="24"/>
          <w:szCs w:val="24"/>
        </w:rPr>
        <w:t>2、供应商根据项目要求添加的设备、材料等也请列出。</w:t>
      </w:r>
    </w:p>
    <w:p>
      <w:pPr>
        <w:pStyle w:val="13"/>
        <w:spacing w:line="400" w:lineRule="exact"/>
        <w:ind w:left="360" w:hanging="360" w:hangingChars="150"/>
        <w:jc w:val="left"/>
        <w:rPr>
          <w:rFonts w:hAnsi="宋体" w:cs="宋体"/>
          <w:color w:val="000000"/>
          <w:sz w:val="24"/>
          <w:szCs w:val="24"/>
        </w:rPr>
      </w:pPr>
      <w:r>
        <w:rPr>
          <w:rFonts w:hint="eastAsia" w:hAnsi="宋体" w:cs="宋体"/>
          <w:color w:val="000000"/>
          <w:sz w:val="24"/>
          <w:szCs w:val="24"/>
        </w:rPr>
        <w:t>3、是否偏离用符号“+、=、-”分别表示正偏离、完全响应、负偏离。</w:t>
      </w:r>
    </w:p>
    <w:p>
      <w:pPr>
        <w:spacing w:line="400" w:lineRule="exact"/>
        <w:rPr>
          <w:rFonts w:ascii="宋体" w:hAnsi="宋体" w:cs="宋体"/>
          <w:color w:val="000000"/>
        </w:rPr>
      </w:pPr>
      <w:r>
        <w:rPr>
          <w:rFonts w:hint="eastAsia" w:ascii="宋体" w:hAnsi="宋体" w:cs="宋体"/>
          <w:color w:val="000000"/>
        </w:rPr>
        <w:br w:type="page"/>
      </w:r>
    </w:p>
    <w:p>
      <w:pPr>
        <w:spacing w:line="400" w:lineRule="exact"/>
        <w:jc w:val="center"/>
        <w:rPr>
          <w:rFonts w:ascii="宋体" w:hAnsi="宋体" w:cs="宋体"/>
          <w:b/>
          <w:bCs/>
          <w:color w:val="000000"/>
          <w:sz w:val="32"/>
          <w:szCs w:val="32"/>
        </w:rPr>
      </w:pPr>
      <w:r>
        <w:rPr>
          <w:rFonts w:hint="eastAsia" w:ascii="宋体" w:hAnsi="宋体" w:cs="宋体"/>
          <w:b/>
          <w:bCs/>
          <w:color w:val="000000"/>
          <w:sz w:val="32"/>
          <w:szCs w:val="32"/>
        </w:rPr>
        <w:t>货物质量保证和售后服务承诺书</w:t>
      </w:r>
    </w:p>
    <w:p>
      <w:pPr>
        <w:spacing w:line="400" w:lineRule="exact"/>
        <w:jc w:val="center"/>
        <w:rPr>
          <w:rFonts w:ascii="宋体" w:hAnsi="宋体" w:cs="宋体"/>
          <w:color w:val="000000"/>
        </w:rPr>
      </w:pPr>
      <w:r>
        <w:rPr>
          <w:rFonts w:hint="eastAsia" w:ascii="宋体" w:hAnsi="宋体" w:cs="宋体"/>
          <w:color w:val="000000"/>
        </w:rPr>
        <w:t>（格式自拟，内容包括质量保证、质保期、保修时间、保修承诺、培训、售后服务响应时间等）</w:t>
      </w:r>
      <w:r>
        <w:rPr>
          <w:rFonts w:hint="eastAsia" w:ascii="宋体" w:hAnsi="宋体" w:cs="宋体"/>
          <w:b/>
          <w:bCs/>
          <w:color w:val="000000"/>
          <w:sz w:val="36"/>
          <w:szCs w:val="36"/>
        </w:rPr>
        <w:br w:type="page"/>
      </w:r>
    </w:p>
    <w:p>
      <w:pPr>
        <w:pStyle w:val="23"/>
        <w:shd w:val="clear" w:color="auto" w:fill="FFFFFF"/>
        <w:spacing w:before="0" w:beforeAutospacing="0" w:after="0" w:afterAutospacing="0" w:line="400" w:lineRule="exact"/>
        <w:jc w:val="center"/>
        <w:rPr>
          <w:b/>
          <w:color w:val="000000"/>
          <w:sz w:val="32"/>
          <w:szCs w:val="32"/>
        </w:rPr>
      </w:pPr>
      <w:r>
        <w:rPr>
          <w:rFonts w:hint="eastAsia"/>
          <w:b/>
          <w:color w:val="000000"/>
          <w:sz w:val="32"/>
          <w:szCs w:val="32"/>
        </w:rPr>
        <w:t>《中小企业声明函》格式</w:t>
      </w:r>
    </w:p>
    <w:p>
      <w:pPr>
        <w:pStyle w:val="23"/>
        <w:shd w:val="clear" w:color="auto" w:fill="FFFFFF"/>
        <w:spacing w:before="0" w:beforeAutospacing="0" w:after="0" w:afterAutospacing="0" w:line="400" w:lineRule="exact"/>
        <w:jc w:val="center"/>
        <w:rPr>
          <w:b/>
          <w:color w:val="000000"/>
          <w:sz w:val="28"/>
          <w:szCs w:val="28"/>
        </w:rPr>
      </w:pPr>
      <w:r>
        <w:rPr>
          <w:rFonts w:hint="eastAsia"/>
          <w:b/>
          <w:color w:val="000000"/>
          <w:sz w:val="28"/>
          <w:szCs w:val="28"/>
        </w:rPr>
        <w:t>（不符合《政府采购促进中小企业发展管理办法》的供应商不需填写）</w:t>
      </w:r>
    </w:p>
    <w:p>
      <w:pPr>
        <w:pStyle w:val="23"/>
        <w:shd w:val="clear" w:color="auto" w:fill="FFFFFF"/>
        <w:spacing w:before="0" w:beforeAutospacing="0" w:after="0" w:afterAutospacing="0" w:line="400" w:lineRule="exact"/>
        <w:jc w:val="center"/>
        <w:rPr>
          <w:rStyle w:val="32"/>
          <w:color w:val="000000"/>
          <w:sz w:val="32"/>
          <w:szCs w:val="32"/>
        </w:rPr>
      </w:pPr>
    </w:p>
    <w:p>
      <w:pPr>
        <w:pStyle w:val="23"/>
        <w:shd w:val="clear" w:color="auto" w:fill="FFFFFF"/>
        <w:spacing w:before="0" w:beforeAutospacing="0" w:after="0" w:afterAutospacing="0" w:line="400" w:lineRule="exact"/>
        <w:jc w:val="center"/>
        <w:rPr>
          <w:rStyle w:val="32"/>
          <w:color w:val="000000"/>
          <w:sz w:val="32"/>
          <w:szCs w:val="32"/>
        </w:rPr>
      </w:pPr>
      <w:r>
        <w:rPr>
          <w:rStyle w:val="32"/>
          <w:rFonts w:hint="eastAsia"/>
          <w:color w:val="000000"/>
          <w:sz w:val="32"/>
          <w:szCs w:val="32"/>
        </w:rPr>
        <w:t>中小企业声明函</w:t>
      </w:r>
    </w:p>
    <w:p>
      <w:pPr>
        <w:pStyle w:val="23"/>
        <w:shd w:val="clear" w:color="auto" w:fill="FFFFFF"/>
        <w:spacing w:before="0" w:beforeAutospacing="0" w:after="0" w:afterAutospacing="0" w:line="400" w:lineRule="exact"/>
        <w:jc w:val="center"/>
        <w:rPr>
          <w:color w:val="000000"/>
          <w:sz w:val="32"/>
          <w:szCs w:val="32"/>
        </w:rPr>
      </w:pPr>
    </w:p>
    <w:p>
      <w:pPr>
        <w:spacing w:line="360" w:lineRule="auto"/>
        <w:ind w:firstLine="376" w:firstLineChars="157"/>
        <w:rPr>
          <w:rFonts w:ascii="宋体" w:hAnsi="宋体" w:cs="宋体"/>
          <w:color w:val="000000"/>
          <w:sz w:val="24"/>
        </w:rPr>
      </w:pPr>
      <w:r>
        <w:rPr>
          <w:rFonts w:hint="eastAsia" w:ascii="宋体" w:hAnsi="宋体" w:cs="宋体"/>
          <w:color w:val="000000"/>
          <w:sz w:val="24"/>
        </w:rPr>
        <w:t>本公司（联合体）郑重声明，根据《政府采购促进中小企业发展管理办法》（财库﹝2020﹞46 号）的规定，本公司参加</w:t>
      </w:r>
      <w:r>
        <w:rPr>
          <w:rFonts w:hint="eastAsia" w:ascii="宋体" w:hAnsi="宋体" w:cs="宋体"/>
          <w:color w:val="000000"/>
          <w:sz w:val="24"/>
          <w:u w:val="single"/>
        </w:rPr>
        <w:t>（单位名称）</w:t>
      </w:r>
      <w:r>
        <w:rPr>
          <w:rFonts w:hint="eastAsia" w:ascii="宋体" w:hAnsi="宋体" w:cs="宋体"/>
          <w:color w:val="000000"/>
          <w:sz w:val="24"/>
        </w:rPr>
        <w:t>的</w:t>
      </w:r>
      <w:r>
        <w:rPr>
          <w:rFonts w:hint="eastAsia" w:ascii="宋体" w:hAnsi="宋体" w:cs="宋体"/>
          <w:color w:val="000000"/>
          <w:sz w:val="24"/>
          <w:u w:val="single"/>
        </w:rPr>
        <w:t>（项目名称）</w:t>
      </w:r>
      <w:r>
        <w:rPr>
          <w:rFonts w:hint="eastAsia" w:ascii="宋体" w:hAnsi="宋体" w:cs="宋体"/>
          <w:color w:val="000000"/>
          <w:sz w:val="24"/>
        </w:rPr>
        <w:t>采购活动，提供的货物全部由符合政策要求的中小企业制造。相关企业（含联合体中的中小企业、签订分包意向协议的中小企业）的具体情况如下：</w:t>
      </w:r>
    </w:p>
    <w:p>
      <w:pPr>
        <w:spacing w:line="360" w:lineRule="auto"/>
        <w:ind w:firstLine="376" w:firstLineChars="157"/>
        <w:rPr>
          <w:rFonts w:ascii="宋体" w:hAnsi="宋体" w:cs="宋体"/>
          <w:color w:val="000000"/>
          <w:sz w:val="24"/>
        </w:rPr>
      </w:pPr>
      <w:r>
        <w:rPr>
          <w:rFonts w:hint="eastAsia" w:ascii="宋体" w:hAnsi="宋体" w:cs="宋体"/>
          <w:color w:val="000000"/>
          <w:sz w:val="24"/>
        </w:rPr>
        <w:t xml:space="preserve"> 1.</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工业</w:t>
      </w:r>
      <w:r>
        <w:rPr>
          <w:rFonts w:hint="eastAsia" w:ascii="宋体" w:hAnsi="宋体" w:cs="宋体"/>
          <w:color w:val="000000"/>
          <w:sz w:val="24"/>
        </w:rPr>
        <w:t>行业；制造商为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rPr>
        <w:t>人，营业收入为</w:t>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rPr>
        <w:t>万元，资产总额为</w:t>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r>
        <w:rPr>
          <w:rFonts w:hint="eastAsia" w:ascii="宋体" w:hAnsi="宋体" w:cs="宋体"/>
          <w:color w:val="000000"/>
          <w:sz w:val="24"/>
        </w:rPr>
        <w:t>；</w:t>
      </w:r>
    </w:p>
    <w:p>
      <w:pPr>
        <w:spacing w:line="360" w:lineRule="auto"/>
        <w:ind w:firstLine="376" w:firstLineChars="157"/>
        <w:rPr>
          <w:rFonts w:ascii="宋体" w:hAnsi="宋体" w:cs="宋体"/>
          <w:color w:val="000000"/>
          <w:sz w:val="24"/>
        </w:rPr>
      </w:pPr>
      <w:r>
        <w:rPr>
          <w:rFonts w:hint="eastAsia" w:ascii="宋体" w:hAnsi="宋体" w:cs="宋体"/>
          <w:color w:val="000000"/>
          <w:sz w:val="24"/>
        </w:rPr>
        <w:t xml:space="preserve"> 2.</w:t>
      </w:r>
      <w:r>
        <w:rPr>
          <w:rFonts w:hint="eastAsia" w:ascii="宋体" w:hAnsi="宋体" w:cs="宋体"/>
          <w:color w:val="000000"/>
          <w:sz w:val="24"/>
          <w:u w:val="single"/>
        </w:rPr>
        <w:t>（标的名称）</w:t>
      </w:r>
      <w:r>
        <w:rPr>
          <w:rFonts w:hint="eastAsia" w:ascii="宋体" w:hAnsi="宋体" w:cs="宋体"/>
          <w:color w:val="000000"/>
          <w:sz w:val="24"/>
        </w:rPr>
        <w:t>，属于</w:t>
      </w:r>
      <w:r>
        <w:rPr>
          <w:rFonts w:hint="eastAsia" w:ascii="宋体" w:hAnsi="宋体" w:cs="宋体"/>
          <w:color w:val="000000"/>
          <w:sz w:val="24"/>
          <w:u w:val="single"/>
        </w:rPr>
        <w:t>工业</w:t>
      </w:r>
      <w:r>
        <w:rPr>
          <w:rFonts w:hint="eastAsia" w:ascii="宋体" w:hAnsi="宋体" w:cs="宋体"/>
          <w:color w:val="000000"/>
          <w:sz w:val="24"/>
        </w:rPr>
        <w:t>行业；制造商为</w:t>
      </w:r>
      <w:r>
        <w:rPr>
          <w:rFonts w:hint="eastAsia" w:ascii="宋体" w:hAnsi="宋体" w:cs="宋体"/>
          <w:color w:val="000000"/>
          <w:sz w:val="24"/>
          <w:u w:val="single"/>
        </w:rPr>
        <w:t>（企业名称）</w:t>
      </w:r>
      <w:r>
        <w:rPr>
          <w:rFonts w:hint="eastAsia" w:ascii="宋体" w:hAnsi="宋体" w:cs="宋体"/>
          <w:color w:val="000000"/>
          <w:sz w:val="24"/>
        </w:rPr>
        <w:t>，从业人员</w:t>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rPr>
        <w:t>人，营业收入为</w:t>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rPr>
        <w:t>万元，资产总额为</w:t>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rPr>
        <w:t>万元，属于</w:t>
      </w:r>
      <w:r>
        <w:rPr>
          <w:rFonts w:hint="eastAsia" w:ascii="宋体" w:hAnsi="宋体" w:cs="宋体"/>
          <w:color w:val="000000"/>
          <w:sz w:val="24"/>
          <w:u w:val="single"/>
        </w:rPr>
        <w:t>（中型企业、小型企业、微型企业）</w:t>
      </w:r>
      <w:r>
        <w:rPr>
          <w:rFonts w:hint="eastAsia" w:ascii="宋体" w:hAnsi="宋体" w:cs="宋体"/>
          <w:color w:val="000000"/>
          <w:sz w:val="24"/>
        </w:rPr>
        <w:t>；</w:t>
      </w:r>
    </w:p>
    <w:p>
      <w:pPr>
        <w:spacing w:line="360" w:lineRule="auto"/>
        <w:ind w:firstLine="376" w:firstLineChars="157"/>
        <w:rPr>
          <w:rFonts w:ascii="宋体" w:hAnsi="宋体" w:cs="宋体"/>
          <w:color w:val="000000"/>
          <w:sz w:val="24"/>
        </w:rPr>
      </w:pPr>
      <w:r>
        <w:rPr>
          <w:rFonts w:hint="eastAsia" w:ascii="宋体" w:hAnsi="宋体" w:cs="宋体"/>
          <w:color w:val="000000"/>
          <w:sz w:val="24"/>
        </w:rPr>
        <w:t>……</w:t>
      </w:r>
    </w:p>
    <w:p>
      <w:pPr>
        <w:spacing w:line="360" w:lineRule="auto"/>
        <w:ind w:firstLine="376" w:firstLineChars="157"/>
        <w:rPr>
          <w:rFonts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pPr>
        <w:pStyle w:val="23"/>
        <w:shd w:val="clear" w:color="auto" w:fill="FFFFFF"/>
        <w:spacing w:before="0" w:beforeAutospacing="0" w:after="0" w:afterAutospacing="0" w:line="360" w:lineRule="auto"/>
        <w:ind w:firstLine="539"/>
        <w:rPr>
          <w:color w:val="000000"/>
        </w:rPr>
      </w:pPr>
      <w:r>
        <w:rPr>
          <w:rFonts w:hint="eastAsia"/>
          <w:color w:val="000000"/>
        </w:rPr>
        <w:t>本企业对上述声明内容的真实性负责。如有虚假，将依法承担相应责任。</w:t>
      </w:r>
    </w:p>
    <w:p>
      <w:pPr>
        <w:pStyle w:val="23"/>
        <w:shd w:val="clear" w:color="auto" w:fill="FFFFFF"/>
        <w:spacing w:before="0" w:beforeAutospacing="0" w:after="0" w:afterAutospacing="0" w:line="460" w:lineRule="exact"/>
        <w:ind w:firstLine="4140"/>
        <w:rPr>
          <w:color w:val="000000"/>
        </w:rPr>
      </w:pPr>
    </w:p>
    <w:p>
      <w:pPr>
        <w:pStyle w:val="23"/>
        <w:shd w:val="clear" w:color="auto" w:fill="FFFFFF"/>
        <w:spacing w:before="0" w:beforeAutospacing="0" w:after="0" w:afterAutospacing="0" w:line="460" w:lineRule="exact"/>
        <w:ind w:firstLine="4140"/>
        <w:rPr>
          <w:color w:val="000000"/>
        </w:rPr>
      </w:pPr>
    </w:p>
    <w:p>
      <w:pPr>
        <w:pStyle w:val="23"/>
        <w:shd w:val="clear" w:color="auto" w:fill="FFFFFF"/>
        <w:spacing w:before="0" w:beforeAutospacing="0" w:after="0" w:afterAutospacing="0" w:line="460" w:lineRule="exact"/>
        <w:ind w:firstLine="4140"/>
        <w:rPr>
          <w:color w:val="000000"/>
        </w:rPr>
      </w:pPr>
      <w:r>
        <w:rPr>
          <w:rFonts w:hint="eastAsia"/>
          <w:color w:val="000000"/>
        </w:rPr>
        <w:t>企业名称（盖章）：</w:t>
      </w:r>
    </w:p>
    <w:p>
      <w:pPr>
        <w:pStyle w:val="23"/>
        <w:shd w:val="clear" w:color="auto" w:fill="FFFFFF"/>
        <w:spacing w:before="0" w:beforeAutospacing="0" w:after="0" w:afterAutospacing="0" w:line="460" w:lineRule="exact"/>
        <w:ind w:firstLine="4140"/>
        <w:rPr>
          <w:color w:val="000000"/>
        </w:rPr>
      </w:pPr>
      <w:r>
        <w:rPr>
          <w:rFonts w:hint="eastAsia"/>
          <w:color w:val="000000"/>
        </w:rPr>
        <w:t xml:space="preserve">日    期： </w:t>
      </w:r>
    </w:p>
    <w:p>
      <w:pPr>
        <w:spacing w:line="400" w:lineRule="exact"/>
        <w:ind w:firstLine="210" w:firstLineChars="100"/>
        <w:rPr>
          <w:rFonts w:ascii="宋体" w:hAnsi="宋体" w:cs="宋体"/>
          <w:color w:val="000000"/>
        </w:rPr>
      </w:pPr>
    </w:p>
    <w:p>
      <w:pPr>
        <w:spacing w:line="300" w:lineRule="exact"/>
        <w:ind w:left="315" w:hanging="315" w:hangingChars="150"/>
        <w:rPr>
          <w:rFonts w:ascii="宋体" w:hAnsi="宋体" w:cs="宋体"/>
          <w:color w:val="000000"/>
        </w:rPr>
      </w:pPr>
    </w:p>
    <w:p>
      <w:pPr>
        <w:spacing w:line="300" w:lineRule="exact"/>
        <w:ind w:left="315" w:hanging="315" w:hangingChars="150"/>
        <w:rPr>
          <w:rFonts w:ascii="宋体" w:hAnsi="宋体" w:cs="宋体"/>
          <w:color w:val="000000"/>
        </w:rPr>
      </w:pPr>
    </w:p>
    <w:p>
      <w:pPr>
        <w:spacing w:line="300" w:lineRule="exact"/>
        <w:ind w:left="315" w:hanging="315" w:hangingChars="150"/>
        <w:rPr>
          <w:rFonts w:ascii="宋体" w:hAnsi="宋体" w:cs="宋体"/>
          <w:color w:val="000000"/>
        </w:rPr>
      </w:pPr>
    </w:p>
    <w:p>
      <w:pPr>
        <w:spacing w:line="300" w:lineRule="exact"/>
        <w:rPr>
          <w:rFonts w:ascii="宋体" w:hAnsi="宋体" w:cs="宋体"/>
          <w:color w:val="000000"/>
        </w:rPr>
      </w:pPr>
    </w:p>
    <w:p>
      <w:pPr>
        <w:spacing w:line="300" w:lineRule="exact"/>
        <w:rPr>
          <w:rFonts w:ascii="宋体" w:hAnsi="宋体" w:cs="宋体"/>
          <w:color w:val="000000"/>
        </w:rPr>
      </w:pPr>
    </w:p>
    <w:p>
      <w:pPr>
        <w:spacing w:line="300" w:lineRule="exact"/>
        <w:rPr>
          <w:rFonts w:ascii="宋体" w:hAnsi="宋体" w:cs="宋体"/>
          <w:color w:val="000000"/>
        </w:rPr>
      </w:pPr>
    </w:p>
    <w:p>
      <w:pPr>
        <w:spacing w:line="300" w:lineRule="exact"/>
        <w:rPr>
          <w:rFonts w:ascii="宋体" w:hAnsi="宋体" w:cs="宋体"/>
          <w:color w:val="000000"/>
        </w:rPr>
      </w:pPr>
    </w:p>
    <w:p>
      <w:pPr>
        <w:spacing w:line="400" w:lineRule="exact"/>
        <w:ind w:firstLine="210" w:firstLineChars="100"/>
        <w:rPr>
          <w:rFonts w:ascii="宋体" w:hAnsi="宋体" w:cs="宋体"/>
          <w:color w:val="000000"/>
        </w:rPr>
      </w:pPr>
      <w:r>
        <w:rPr>
          <w:rFonts w:hint="eastAsia" w:ascii="宋体" w:hAnsi="宋体" w:cs="宋体"/>
          <w:color w:val="000000"/>
        </w:rPr>
        <w:t>注：从业人员、营业收入、资产总额填报上一年度数据，无上一年度数据的新成立企业可不填报。</w:t>
      </w:r>
    </w:p>
    <w:p>
      <w:pPr>
        <w:spacing w:line="400" w:lineRule="exact"/>
        <w:ind w:firstLine="210" w:firstLineChars="100"/>
        <w:rPr>
          <w:rFonts w:ascii="宋体" w:hAnsi="宋体" w:cs="宋体"/>
          <w:color w:val="000000"/>
        </w:rPr>
      </w:pPr>
      <w:r>
        <w:rPr>
          <w:rFonts w:hint="eastAsia" w:ascii="宋体" w:hAnsi="宋体" w:cs="宋体"/>
          <w:color w:val="000000"/>
        </w:rPr>
        <w:br w:type="page"/>
      </w:r>
    </w:p>
    <w:p>
      <w:pPr>
        <w:spacing w:line="400" w:lineRule="exact"/>
        <w:ind w:firstLine="210" w:firstLineChars="100"/>
        <w:rPr>
          <w:rFonts w:ascii="宋体" w:hAnsi="宋体" w:cs="宋体"/>
          <w:color w:val="000000"/>
        </w:rPr>
      </w:pPr>
    </w:p>
    <w:p>
      <w:pPr>
        <w:pStyle w:val="23"/>
        <w:shd w:val="clear" w:color="auto" w:fill="FFFFFF"/>
        <w:spacing w:before="0" w:beforeAutospacing="0" w:after="0" w:afterAutospacing="0" w:line="400" w:lineRule="exact"/>
        <w:jc w:val="center"/>
        <w:rPr>
          <w:b/>
          <w:color w:val="000000"/>
          <w:sz w:val="28"/>
          <w:szCs w:val="28"/>
        </w:rPr>
      </w:pPr>
      <w:r>
        <w:rPr>
          <w:rFonts w:hint="eastAsia"/>
          <w:b/>
          <w:color w:val="000000"/>
          <w:sz w:val="28"/>
          <w:szCs w:val="28"/>
        </w:rPr>
        <w:t>《残疾人福利性单位声明函》格式（非残疾人福利性单位无需填写）</w:t>
      </w:r>
    </w:p>
    <w:p>
      <w:pPr>
        <w:spacing w:line="400" w:lineRule="exact"/>
        <w:rPr>
          <w:rFonts w:ascii="宋体" w:hAnsi="宋体" w:cs="宋体"/>
          <w:color w:val="000000"/>
        </w:rPr>
      </w:pPr>
    </w:p>
    <w:p>
      <w:pPr>
        <w:pStyle w:val="64"/>
        <w:shd w:val="clear" w:color="auto" w:fill="FFFFFF"/>
        <w:spacing w:before="0" w:beforeAutospacing="0" w:after="0" w:afterAutospacing="0"/>
        <w:ind w:left="1836" w:hanging="1424"/>
        <w:jc w:val="center"/>
        <w:rPr>
          <w:b/>
          <w:color w:val="000000"/>
          <w:sz w:val="32"/>
          <w:szCs w:val="32"/>
        </w:rPr>
      </w:pPr>
      <w:r>
        <w:rPr>
          <w:rFonts w:hint="eastAsia"/>
          <w:b/>
          <w:color w:val="000000"/>
          <w:sz w:val="32"/>
          <w:szCs w:val="32"/>
        </w:rPr>
        <w:t>残疾人福利性单位声明函</w:t>
      </w:r>
    </w:p>
    <w:p>
      <w:pPr>
        <w:pStyle w:val="23"/>
        <w:shd w:val="clear" w:color="auto" w:fill="FFFFFF"/>
        <w:spacing w:before="0" w:beforeAutospacing="0" w:after="0" w:afterAutospacing="0" w:line="460" w:lineRule="exact"/>
        <w:ind w:firstLine="539"/>
        <w:rPr>
          <w:color w:val="000000"/>
        </w:rPr>
      </w:pPr>
    </w:p>
    <w:p>
      <w:pPr>
        <w:pStyle w:val="23"/>
        <w:shd w:val="clear" w:color="auto" w:fill="FFFFFF"/>
        <w:spacing w:before="0" w:beforeAutospacing="0" w:after="0" w:afterAutospacing="0" w:line="460" w:lineRule="exact"/>
        <w:ind w:firstLine="539"/>
        <w:rPr>
          <w:color w:val="000000"/>
        </w:rPr>
      </w:pPr>
      <w:r>
        <w:rPr>
          <w:rFonts w:hint="eastAsia"/>
          <w:color w:val="000000"/>
        </w:rPr>
        <w:t>本单位郑重声明，根据《财政部 民政部 中国残疾人联合会关于促进残疾人就业政府采购政策的通知》（财库〔2017〕141号）的规定，本单位为符合条件的残疾人福利性单位，且本单位参加</w:t>
      </w:r>
      <w:r>
        <w:rPr>
          <w:rFonts w:hint="eastAsia"/>
          <w:color w:val="000000"/>
          <w:u w:val="single"/>
        </w:rPr>
        <w:t xml:space="preserve">             </w:t>
      </w:r>
      <w:r>
        <w:rPr>
          <w:rFonts w:hint="eastAsia"/>
          <w:color w:val="000000"/>
        </w:rPr>
        <w:t>单位的</w:t>
      </w:r>
      <w:r>
        <w:rPr>
          <w:rFonts w:hint="eastAsia"/>
          <w:color w:val="000000"/>
          <w:u w:val="single"/>
        </w:rPr>
        <w:t xml:space="preserve">            </w:t>
      </w:r>
      <w:r>
        <w:rPr>
          <w:rFonts w:hint="eastAsia"/>
          <w:color w:val="000000"/>
        </w:rPr>
        <w:t>项目采购活动提供本单位制造的货物（由本单位承担工程/提供服务），或者提供其他残疾人福利性单位制造的货物（不包括使用非残疾人福利性单位注册商标的货物）。</w:t>
      </w:r>
    </w:p>
    <w:p>
      <w:pPr>
        <w:pStyle w:val="23"/>
        <w:shd w:val="clear" w:color="auto" w:fill="FFFFFF"/>
        <w:spacing w:before="0" w:beforeAutospacing="0" w:after="0" w:afterAutospacing="0" w:line="460" w:lineRule="exact"/>
        <w:ind w:firstLine="539"/>
        <w:rPr>
          <w:color w:val="000000"/>
        </w:rPr>
      </w:pPr>
      <w:r>
        <w:rPr>
          <w:rFonts w:hint="eastAsia"/>
          <w:color w:val="000000"/>
        </w:rPr>
        <w:t>本单位对上述声明的真实性负责。如有虚假，将依法承担相应责任。</w:t>
      </w:r>
    </w:p>
    <w:p>
      <w:pPr>
        <w:pStyle w:val="23"/>
        <w:shd w:val="clear" w:color="auto" w:fill="FFFFFF"/>
        <w:spacing w:before="0" w:beforeAutospacing="0" w:after="0" w:afterAutospacing="0" w:line="460" w:lineRule="exact"/>
        <w:ind w:firstLine="539"/>
        <w:rPr>
          <w:color w:val="000000"/>
        </w:rPr>
      </w:pPr>
    </w:p>
    <w:p>
      <w:pPr>
        <w:pStyle w:val="23"/>
        <w:shd w:val="clear" w:color="auto" w:fill="FFFFFF"/>
        <w:spacing w:before="0" w:beforeAutospacing="0" w:after="0" w:afterAutospacing="0" w:line="460" w:lineRule="exact"/>
        <w:ind w:firstLine="4377" w:firstLineChars="1824"/>
        <w:rPr>
          <w:color w:val="000000"/>
        </w:rPr>
      </w:pPr>
      <w:r>
        <w:rPr>
          <w:rFonts w:hint="eastAsia"/>
          <w:color w:val="000000"/>
        </w:rPr>
        <w:t>单位名称（盖章）：</w:t>
      </w:r>
    </w:p>
    <w:p>
      <w:pPr>
        <w:pStyle w:val="23"/>
        <w:shd w:val="clear" w:color="auto" w:fill="FFFFFF"/>
        <w:spacing w:before="0" w:beforeAutospacing="0" w:after="0" w:afterAutospacing="0" w:line="460" w:lineRule="exact"/>
        <w:ind w:firstLine="4377" w:firstLineChars="1824"/>
        <w:rPr>
          <w:color w:val="000000"/>
        </w:rPr>
      </w:pPr>
      <w:r>
        <w:rPr>
          <w:rFonts w:hint="eastAsia"/>
          <w:color w:val="000000"/>
        </w:rPr>
        <w:t>日  期：</w:t>
      </w:r>
    </w:p>
    <w:p>
      <w:pPr>
        <w:pStyle w:val="13"/>
        <w:spacing w:line="400" w:lineRule="exact"/>
        <w:rPr>
          <w:rFonts w:hAnsi="宋体" w:cs="宋体"/>
          <w:color w:val="000000"/>
        </w:rPr>
      </w:pPr>
    </w:p>
    <w:p>
      <w:pPr>
        <w:pStyle w:val="13"/>
        <w:spacing w:line="400" w:lineRule="exact"/>
        <w:rPr>
          <w:rFonts w:hAnsi="宋体" w:cs="宋体"/>
          <w:color w:val="000000"/>
        </w:rPr>
      </w:pPr>
    </w:p>
    <w:p>
      <w:pPr>
        <w:pStyle w:val="13"/>
        <w:spacing w:line="400" w:lineRule="exact"/>
        <w:rPr>
          <w:rFonts w:hAnsi="宋体" w:cs="宋体"/>
          <w:color w:val="000000"/>
        </w:rPr>
      </w:pPr>
    </w:p>
    <w:p>
      <w:pPr>
        <w:pStyle w:val="13"/>
        <w:spacing w:line="400" w:lineRule="exact"/>
        <w:rPr>
          <w:rFonts w:hAnsi="宋体" w:cs="宋体"/>
          <w:color w:val="000000"/>
        </w:rPr>
      </w:pPr>
    </w:p>
    <w:p>
      <w:pPr>
        <w:pStyle w:val="13"/>
        <w:spacing w:line="400" w:lineRule="exact"/>
        <w:rPr>
          <w:rFonts w:hAnsi="宋体" w:cs="宋体"/>
          <w:color w:val="000000"/>
        </w:rPr>
      </w:pPr>
    </w:p>
    <w:p>
      <w:pPr>
        <w:pStyle w:val="13"/>
        <w:spacing w:line="400" w:lineRule="exact"/>
        <w:rPr>
          <w:rFonts w:hAnsi="宋体" w:cs="宋体"/>
          <w:color w:val="000000"/>
        </w:rPr>
      </w:pPr>
    </w:p>
    <w:p>
      <w:pPr>
        <w:pStyle w:val="13"/>
        <w:spacing w:line="400" w:lineRule="exact"/>
        <w:rPr>
          <w:rFonts w:hAnsi="宋体" w:cs="宋体"/>
          <w:color w:val="000000"/>
        </w:rPr>
      </w:pPr>
    </w:p>
    <w:p>
      <w:pPr>
        <w:pStyle w:val="3"/>
        <w:spacing w:line="560" w:lineRule="exact"/>
        <w:jc w:val="center"/>
        <w:rPr>
          <w:rFonts w:ascii="宋体" w:hAnsi="宋体" w:cs="宋体"/>
          <w:bCs/>
          <w:color w:val="000000"/>
          <w:sz w:val="44"/>
        </w:rPr>
      </w:pPr>
      <w:bookmarkStart w:id="259" w:name="_Toc206525312"/>
      <w:bookmarkStart w:id="260" w:name="_Toc205094828"/>
      <w:bookmarkStart w:id="261" w:name="_Toc230578120"/>
      <w:bookmarkStart w:id="262" w:name="_Toc210184913"/>
      <w:bookmarkStart w:id="263" w:name="_Toc211355201"/>
      <w:bookmarkStart w:id="264" w:name="_Toc239839920"/>
      <w:bookmarkStart w:id="265" w:name="_Toc517938835"/>
    </w:p>
    <w:p>
      <w:pPr>
        <w:pStyle w:val="3"/>
        <w:spacing w:line="560" w:lineRule="exact"/>
        <w:jc w:val="center"/>
        <w:rPr>
          <w:rFonts w:ascii="宋体" w:hAnsi="宋体" w:cs="宋体"/>
          <w:bCs/>
          <w:color w:val="000000"/>
          <w:sz w:val="44"/>
        </w:rPr>
      </w:pPr>
    </w:p>
    <w:p>
      <w:pPr>
        <w:pStyle w:val="3"/>
        <w:spacing w:line="560" w:lineRule="exact"/>
        <w:jc w:val="center"/>
        <w:rPr>
          <w:rFonts w:ascii="宋体" w:hAnsi="宋体" w:cs="宋体"/>
          <w:bCs/>
          <w:color w:val="000000"/>
          <w:sz w:val="44"/>
        </w:rPr>
      </w:pPr>
    </w:p>
    <w:p>
      <w:pPr>
        <w:pStyle w:val="3"/>
        <w:spacing w:line="560" w:lineRule="exact"/>
        <w:jc w:val="center"/>
        <w:rPr>
          <w:rFonts w:ascii="宋体" w:hAnsi="宋体" w:cs="宋体"/>
          <w:bCs/>
          <w:color w:val="000000"/>
          <w:sz w:val="44"/>
        </w:rPr>
      </w:pPr>
    </w:p>
    <w:p>
      <w:pPr>
        <w:pStyle w:val="3"/>
        <w:spacing w:line="560" w:lineRule="exact"/>
        <w:jc w:val="center"/>
        <w:rPr>
          <w:rFonts w:ascii="宋体" w:hAnsi="宋体" w:cs="宋体"/>
          <w:bCs/>
          <w:color w:val="000000"/>
          <w:sz w:val="44"/>
        </w:rPr>
      </w:pPr>
    </w:p>
    <w:p>
      <w:pPr>
        <w:pStyle w:val="3"/>
        <w:spacing w:line="560" w:lineRule="exact"/>
        <w:jc w:val="center"/>
        <w:rPr>
          <w:rFonts w:ascii="宋体" w:hAnsi="宋体" w:cs="宋体"/>
          <w:bCs/>
          <w:color w:val="000000"/>
          <w:sz w:val="28"/>
          <w:szCs w:val="28"/>
        </w:rPr>
      </w:pPr>
      <w:r>
        <w:rPr>
          <w:rFonts w:hint="eastAsia" w:ascii="宋体" w:hAnsi="宋体" w:cs="宋体"/>
          <w:bCs/>
          <w:color w:val="000000"/>
          <w:sz w:val="44"/>
        </w:rPr>
        <w:br w:type="page"/>
      </w:r>
      <w:bookmarkEnd w:id="259"/>
      <w:bookmarkEnd w:id="260"/>
      <w:bookmarkEnd w:id="261"/>
      <w:bookmarkEnd w:id="262"/>
      <w:bookmarkEnd w:id="263"/>
      <w:bookmarkEnd w:id="264"/>
      <w:bookmarkEnd w:id="265"/>
    </w:p>
    <w:p>
      <w:pPr>
        <w:pStyle w:val="3"/>
        <w:spacing w:line="560" w:lineRule="exact"/>
        <w:jc w:val="center"/>
        <w:rPr>
          <w:rFonts w:hAnsi="宋体" w:cs="宋体"/>
          <w:bCs/>
          <w:color w:val="000000"/>
          <w:sz w:val="28"/>
          <w:szCs w:val="28"/>
        </w:rPr>
      </w:pPr>
      <w:r>
        <w:rPr>
          <w:rFonts w:hint="eastAsia" w:ascii="宋体" w:hAnsi="宋体" w:cs="宋体"/>
          <w:bCs/>
          <w:color w:val="000000"/>
          <w:sz w:val="44"/>
        </w:rPr>
        <w:t>第七章   附件</w:t>
      </w:r>
    </w:p>
    <w:p>
      <w:pPr>
        <w:pStyle w:val="13"/>
        <w:spacing w:line="400" w:lineRule="exact"/>
        <w:rPr>
          <w:rFonts w:hAnsi="宋体" w:cs="宋体"/>
          <w:b/>
          <w:bCs/>
          <w:color w:val="000000"/>
          <w:sz w:val="28"/>
          <w:szCs w:val="28"/>
        </w:rPr>
      </w:pPr>
    </w:p>
    <w:p>
      <w:pPr>
        <w:pStyle w:val="13"/>
        <w:spacing w:line="400" w:lineRule="exact"/>
        <w:rPr>
          <w:rFonts w:hAnsi="宋体" w:cs="宋体"/>
          <w:b/>
          <w:bCs/>
          <w:color w:val="000000"/>
          <w:sz w:val="28"/>
          <w:szCs w:val="28"/>
        </w:rPr>
      </w:pPr>
      <w:r>
        <w:rPr>
          <w:rFonts w:hint="eastAsia" w:hAnsi="宋体" w:cs="宋体"/>
          <w:b/>
          <w:bCs/>
          <w:color w:val="000000"/>
          <w:sz w:val="28"/>
          <w:szCs w:val="28"/>
        </w:rPr>
        <w:t>附件1：政府采目履约保证金退付意见书</w:t>
      </w:r>
    </w:p>
    <w:p>
      <w:pPr>
        <w:pStyle w:val="13"/>
        <w:jc w:val="center"/>
        <w:rPr>
          <w:rFonts w:hAnsi="宋体" w:cs="宋体"/>
          <w:b/>
          <w:bCs/>
          <w:color w:val="000000"/>
          <w:kern w:val="0"/>
          <w:sz w:val="32"/>
          <w:szCs w:val="32"/>
        </w:rPr>
      </w:pPr>
    </w:p>
    <w:p>
      <w:pPr>
        <w:pStyle w:val="13"/>
        <w:jc w:val="center"/>
        <w:rPr>
          <w:rFonts w:hAnsi="宋体" w:cs="宋体"/>
          <w:b/>
          <w:color w:val="000000"/>
          <w:szCs w:val="21"/>
        </w:rPr>
      </w:pPr>
      <w:r>
        <w:rPr>
          <w:rFonts w:hint="eastAsia" w:hAnsi="宋体" w:cs="宋体"/>
          <w:b/>
          <w:bCs/>
          <w:color w:val="000000"/>
          <w:kern w:val="0"/>
          <w:sz w:val="32"/>
          <w:szCs w:val="32"/>
        </w:rPr>
        <w:t>政府采购项目履约保证金退付意见书</w:t>
      </w:r>
    </w:p>
    <w:tbl>
      <w:tblPr>
        <w:tblStyle w:val="29"/>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195"/>
        <w:gridCol w:w="2195"/>
        <w:gridCol w:w="2195"/>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59" w:type="dxa"/>
            <w:vMerge w:val="restart"/>
            <w:vAlign w:val="center"/>
          </w:tcPr>
          <w:p>
            <w:pPr>
              <w:widowControl/>
              <w:snapToGrid w:val="0"/>
              <w:jc w:val="center"/>
              <w:rPr>
                <w:rFonts w:ascii="宋体" w:hAnsi="宋体" w:cs="宋体"/>
                <w:color w:val="000000"/>
                <w:kern w:val="0"/>
                <w:sz w:val="28"/>
                <w:szCs w:val="28"/>
              </w:rPr>
            </w:pPr>
            <w:r>
              <w:rPr>
                <w:rFonts w:hint="eastAsia" w:ascii="宋体" w:hAnsi="宋体" w:cs="宋体"/>
                <w:color w:val="000000"/>
                <w:kern w:val="0"/>
                <w:sz w:val="28"/>
                <w:szCs w:val="28"/>
              </w:rPr>
              <w:t>供应商申请</w:t>
            </w:r>
          </w:p>
        </w:tc>
        <w:tc>
          <w:tcPr>
            <w:tcW w:w="8781" w:type="dxa"/>
            <w:gridSpan w:val="4"/>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采购项目名称：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59" w:type="dxa"/>
            <w:vMerge w:val="continue"/>
            <w:vAlign w:val="center"/>
          </w:tcPr>
          <w:p>
            <w:pPr>
              <w:widowControl/>
              <w:snapToGrid w:val="0"/>
              <w:jc w:val="center"/>
              <w:rPr>
                <w:rFonts w:ascii="宋体" w:hAnsi="宋体" w:cs="宋体"/>
                <w:color w:val="000000"/>
                <w:kern w:val="0"/>
                <w:sz w:val="30"/>
                <w:szCs w:val="30"/>
              </w:rPr>
            </w:pPr>
          </w:p>
        </w:tc>
        <w:tc>
          <w:tcPr>
            <w:tcW w:w="8781" w:type="dxa"/>
            <w:gridSpan w:val="4"/>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采购项目编号：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59" w:type="dxa"/>
            <w:vMerge w:val="continue"/>
            <w:vAlign w:val="center"/>
          </w:tcPr>
          <w:p>
            <w:pPr>
              <w:widowControl/>
              <w:snapToGrid w:val="0"/>
              <w:jc w:val="left"/>
              <w:rPr>
                <w:rFonts w:ascii="宋体" w:hAnsi="宋体" w:cs="宋体"/>
                <w:color w:val="000000"/>
                <w:kern w:val="0"/>
                <w:sz w:val="32"/>
                <w:szCs w:val="32"/>
              </w:rPr>
            </w:pPr>
          </w:p>
        </w:tc>
        <w:tc>
          <w:tcPr>
            <w:tcW w:w="8781" w:type="dxa"/>
            <w:gridSpan w:val="4"/>
            <w:vAlign w:val="center"/>
          </w:tcPr>
          <w:p>
            <w:pPr>
              <w:widowControl/>
              <w:snapToGrid w:val="0"/>
              <w:spacing w:line="400" w:lineRule="exact"/>
              <w:jc w:val="left"/>
              <w:rPr>
                <w:rFonts w:ascii="宋体" w:hAnsi="宋体" w:cs="宋体"/>
                <w:color w:val="000000"/>
                <w:kern w:val="0"/>
                <w:sz w:val="24"/>
              </w:rPr>
            </w:pPr>
            <w:r>
              <w:rPr>
                <w:rFonts w:hint="eastAsia" w:ascii="宋体" w:hAnsi="宋体" w:cs="宋体"/>
                <w:color w:val="000000"/>
                <w:kern w:val="0"/>
                <w:sz w:val="24"/>
              </w:rPr>
              <w:t>履约保证金金额：（大写）</w:t>
            </w:r>
          </w:p>
          <w:p>
            <w:pPr>
              <w:widowControl/>
              <w:snapToGrid w:val="0"/>
              <w:spacing w:line="400" w:lineRule="exact"/>
              <w:ind w:firstLine="1920" w:firstLineChars="800"/>
              <w:jc w:val="left"/>
              <w:rPr>
                <w:rFonts w:ascii="宋体" w:hAnsi="宋体" w:cs="宋体"/>
                <w:color w:val="000000"/>
                <w:kern w:val="0"/>
                <w:sz w:val="24"/>
              </w:rPr>
            </w:pPr>
            <w:r>
              <w:rPr>
                <w:rFonts w:hint="eastAsia" w:ascii="宋体" w:hAnsi="宋体" w:cs="宋体"/>
                <w:color w:val="000000"/>
                <w:kern w:val="0"/>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659" w:type="dxa"/>
            <w:vMerge w:val="continue"/>
            <w:vAlign w:val="center"/>
          </w:tcPr>
          <w:p>
            <w:pPr>
              <w:widowControl/>
              <w:snapToGrid w:val="0"/>
              <w:jc w:val="left"/>
              <w:rPr>
                <w:rFonts w:ascii="宋体" w:hAnsi="宋体" w:cs="宋体"/>
                <w:color w:val="000000"/>
                <w:kern w:val="0"/>
                <w:sz w:val="32"/>
                <w:szCs w:val="32"/>
              </w:rPr>
            </w:pPr>
          </w:p>
        </w:tc>
        <w:tc>
          <w:tcPr>
            <w:tcW w:w="8781" w:type="dxa"/>
            <w:gridSpan w:val="4"/>
            <w:vAlign w:val="center"/>
          </w:tcPr>
          <w:p>
            <w:pPr>
              <w:widowControl/>
              <w:snapToGri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该项目</w:t>
            </w:r>
            <w:r>
              <w:rPr>
                <w:rFonts w:hint="eastAsia" w:ascii="宋体" w:hAnsi="宋体" w:cs="宋体"/>
                <w:color w:val="000000"/>
                <w:sz w:val="24"/>
              </w:rPr>
              <w:t>已于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日验收并交付使用。根据竞争性谈判文件及政府采购合同规定，该项目的履约保证金期限于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日已满，</w:t>
            </w:r>
            <w:r>
              <w:rPr>
                <w:rFonts w:hint="eastAsia" w:ascii="宋体" w:hAnsi="宋体" w:cs="宋体"/>
                <w:color w:val="000000"/>
                <w:kern w:val="0"/>
                <w:sz w:val="24"/>
              </w:rPr>
              <w:t>请将履约金退付到以下帐户。</w:t>
            </w:r>
          </w:p>
          <w:p>
            <w:pPr>
              <w:widowControl/>
              <w:snapToGri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开户名称：</w:t>
            </w:r>
          </w:p>
          <w:p>
            <w:pPr>
              <w:widowControl/>
              <w:snapToGri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帐    号：</w:t>
            </w:r>
          </w:p>
          <w:p>
            <w:pPr>
              <w:widowControl/>
              <w:snapToGri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开 户 行：</w:t>
            </w:r>
          </w:p>
          <w:p>
            <w:pPr>
              <w:widowControl/>
              <w:snapToGrid w:val="0"/>
              <w:spacing w:line="400" w:lineRule="exact"/>
              <w:jc w:val="left"/>
              <w:rPr>
                <w:rFonts w:ascii="宋体" w:hAnsi="宋体" w:cs="宋体"/>
                <w:color w:val="000000"/>
                <w:kern w:val="0"/>
                <w:sz w:val="24"/>
              </w:rPr>
            </w:pPr>
            <w:r>
              <w:rPr>
                <w:rFonts w:hint="eastAsia" w:ascii="宋体" w:hAnsi="宋体" w:cs="宋体"/>
                <w:color w:val="000000"/>
                <w:kern w:val="0"/>
                <w:sz w:val="24"/>
              </w:rPr>
              <w:t>联系人及联系电话：</w:t>
            </w:r>
          </w:p>
          <w:p>
            <w:pPr>
              <w:widowControl/>
              <w:snapToGrid w:val="0"/>
              <w:spacing w:line="400" w:lineRule="exact"/>
              <w:ind w:firstLine="3391" w:firstLineChars="1413"/>
              <w:jc w:val="left"/>
              <w:rPr>
                <w:rFonts w:ascii="宋体" w:hAnsi="宋体" w:cs="宋体"/>
                <w:color w:val="000000"/>
                <w:kern w:val="0"/>
                <w:sz w:val="24"/>
              </w:rPr>
            </w:pPr>
            <w:r>
              <w:rPr>
                <w:rFonts w:hint="eastAsia" w:ascii="宋体" w:hAnsi="宋体" w:cs="宋体"/>
                <w:color w:val="000000"/>
                <w:kern w:val="0"/>
                <w:sz w:val="24"/>
              </w:rPr>
              <w:t>供应商：（盖章）</w:t>
            </w:r>
          </w:p>
          <w:p>
            <w:pPr>
              <w:widowControl/>
              <w:snapToGrid w:val="0"/>
              <w:spacing w:line="400" w:lineRule="exact"/>
              <w:ind w:firstLine="4291" w:firstLineChars="1788"/>
              <w:jc w:val="left"/>
              <w:rPr>
                <w:rFonts w:ascii="宋体" w:hAnsi="宋体" w:cs="宋体"/>
                <w:color w:val="000000"/>
                <w:kern w:val="0"/>
                <w:sz w:val="24"/>
              </w:rPr>
            </w:pPr>
            <w:r>
              <w:rPr>
                <w:rFonts w:hint="eastAsia" w:ascii="宋体" w:hAnsi="宋体" w:cs="宋体"/>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659" w:type="dxa"/>
            <w:vAlign w:val="center"/>
          </w:tcPr>
          <w:p>
            <w:pPr>
              <w:widowControl/>
              <w:snapToGrid w:val="0"/>
              <w:jc w:val="center"/>
              <w:rPr>
                <w:rFonts w:ascii="宋体" w:hAnsi="宋体" w:cs="宋体"/>
                <w:color w:val="000000"/>
                <w:kern w:val="0"/>
                <w:sz w:val="28"/>
                <w:szCs w:val="28"/>
              </w:rPr>
            </w:pPr>
            <w:r>
              <w:rPr>
                <w:rFonts w:hint="eastAsia" w:ascii="宋体" w:hAnsi="宋体" w:cs="宋体"/>
                <w:color w:val="000000"/>
                <w:kern w:val="0"/>
                <w:sz w:val="28"/>
                <w:szCs w:val="28"/>
              </w:rPr>
              <w:t>采购单位意见</w:t>
            </w:r>
          </w:p>
        </w:tc>
        <w:tc>
          <w:tcPr>
            <w:tcW w:w="8781" w:type="dxa"/>
            <w:gridSpan w:val="4"/>
            <w:vAlign w:val="center"/>
          </w:tcPr>
          <w:p>
            <w:pPr>
              <w:widowControl/>
              <w:snapToGri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退付意见：是否同意退付履约保证金及退付金额。</w:t>
            </w:r>
          </w:p>
          <w:p>
            <w:pPr>
              <w:widowControl/>
              <w:snapToGrid w:val="0"/>
              <w:spacing w:line="400" w:lineRule="exact"/>
              <w:ind w:firstLine="480" w:firstLineChars="200"/>
              <w:jc w:val="left"/>
              <w:rPr>
                <w:rFonts w:ascii="宋体" w:hAnsi="宋体" w:cs="宋体"/>
                <w:color w:val="000000"/>
                <w:kern w:val="0"/>
                <w:sz w:val="24"/>
              </w:rPr>
            </w:pPr>
          </w:p>
          <w:p>
            <w:pPr>
              <w:widowControl/>
              <w:snapToGri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联系人及联系电话：</w:t>
            </w:r>
          </w:p>
          <w:p>
            <w:pPr>
              <w:widowControl/>
              <w:snapToGrid w:val="0"/>
              <w:spacing w:line="400" w:lineRule="exact"/>
              <w:ind w:firstLine="3391" w:firstLineChars="1413"/>
              <w:jc w:val="left"/>
              <w:rPr>
                <w:rFonts w:ascii="宋体" w:hAnsi="宋体" w:cs="宋体"/>
                <w:color w:val="000000"/>
                <w:kern w:val="0"/>
                <w:sz w:val="24"/>
              </w:rPr>
            </w:pPr>
            <w:r>
              <w:rPr>
                <w:rFonts w:hint="eastAsia" w:ascii="宋体" w:hAnsi="宋体" w:cs="宋体"/>
                <w:color w:val="000000"/>
                <w:kern w:val="0"/>
                <w:sz w:val="24"/>
              </w:rPr>
              <w:t>采购单位：（盖章）</w:t>
            </w:r>
          </w:p>
          <w:p>
            <w:pPr>
              <w:widowControl/>
              <w:snapToGrid w:val="0"/>
              <w:spacing w:line="400" w:lineRule="exact"/>
              <w:ind w:firstLine="4471" w:firstLineChars="1863"/>
              <w:jc w:val="left"/>
              <w:rPr>
                <w:rFonts w:ascii="宋体" w:hAnsi="宋体" w:cs="宋体"/>
                <w:color w:val="000000"/>
                <w:kern w:val="0"/>
                <w:sz w:val="24"/>
              </w:rPr>
            </w:pPr>
            <w:r>
              <w:rPr>
                <w:rFonts w:hint="eastAsia" w:ascii="宋体" w:hAnsi="宋体" w:cs="宋体"/>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59" w:type="dxa"/>
            <w:vMerge w:val="restart"/>
            <w:vAlign w:val="center"/>
          </w:tcPr>
          <w:p>
            <w:pPr>
              <w:widowControl/>
              <w:snapToGrid w:val="0"/>
              <w:jc w:val="center"/>
              <w:rPr>
                <w:rFonts w:ascii="宋体" w:hAnsi="宋体" w:cs="宋体"/>
                <w:color w:val="000000"/>
                <w:kern w:val="0"/>
                <w:sz w:val="28"/>
                <w:szCs w:val="28"/>
              </w:rPr>
            </w:pPr>
            <w:r>
              <w:rPr>
                <w:rFonts w:hint="eastAsia" w:ascii="宋体" w:hAnsi="宋体" w:cs="宋体"/>
                <w:color w:val="000000"/>
                <w:kern w:val="0"/>
                <w:sz w:val="28"/>
                <w:szCs w:val="28"/>
              </w:rPr>
              <w:t>财务部意见</w:t>
            </w:r>
          </w:p>
        </w:tc>
        <w:tc>
          <w:tcPr>
            <w:tcW w:w="8781" w:type="dxa"/>
            <w:gridSpan w:val="4"/>
            <w:vAlign w:val="center"/>
          </w:tcPr>
          <w:p>
            <w:pPr>
              <w:widowControl/>
              <w:snapToGri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此表于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kern w:val="0"/>
                <w:sz w:val="24"/>
              </w:rPr>
              <w:t>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659" w:type="dxa"/>
            <w:vMerge w:val="continue"/>
            <w:vAlign w:val="center"/>
          </w:tcPr>
          <w:p>
            <w:pPr>
              <w:widowControl/>
              <w:snapToGrid w:val="0"/>
              <w:jc w:val="center"/>
              <w:rPr>
                <w:rFonts w:ascii="宋体" w:hAnsi="宋体" w:cs="宋体"/>
                <w:color w:val="000000"/>
                <w:kern w:val="0"/>
                <w:sz w:val="28"/>
                <w:szCs w:val="28"/>
              </w:rPr>
            </w:pPr>
          </w:p>
        </w:tc>
        <w:tc>
          <w:tcPr>
            <w:tcW w:w="2195" w:type="dxa"/>
          </w:tcPr>
          <w:p>
            <w:pPr>
              <w:widowControl/>
              <w:snapToGrid w:val="0"/>
              <w:spacing w:line="400" w:lineRule="exact"/>
              <w:rPr>
                <w:rFonts w:ascii="宋体" w:hAnsi="宋体" w:cs="宋体"/>
                <w:color w:val="000000"/>
                <w:kern w:val="0"/>
                <w:sz w:val="24"/>
              </w:rPr>
            </w:pPr>
            <w:r>
              <w:rPr>
                <w:rFonts w:hint="eastAsia" w:ascii="宋体" w:hAnsi="宋体" w:cs="宋体"/>
                <w:color w:val="000000"/>
                <w:kern w:val="0"/>
                <w:sz w:val="24"/>
              </w:rPr>
              <w:t>会计审核：</w:t>
            </w:r>
          </w:p>
        </w:tc>
        <w:tc>
          <w:tcPr>
            <w:tcW w:w="2195" w:type="dxa"/>
          </w:tcPr>
          <w:p>
            <w:pPr>
              <w:widowControl/>
              <w:snapToGrid w:val="0"/>
              <w:spacing w:line="400" w:lineRule="exact"/>
              <w:rPr>
                <w:rFonts w:ascii="宋体" w:hAnsi="宋体" w:cs="宋体"/>
                <w:color w:val="000000"/>
                <w:kern w:val="0"/>
                <w:sz w:val="24"/>
              </w:rPr>
            </w:pPr>
            <w:r>
              <w:rPr>
                <w:rFonts w:hint="eastAsia" w:ascii="宋体" w:hAnsi="宋体" w:cs="宋体"/>
                <w:color w:val="000000"/>
                <w:kern w:val="0"/>
                <w:sz w:val="24"/>
              </w:rPr>
              <w:t>财务负责人审核：</w:t>
            </w:r>
          </w:p>
        </w:tc>
        <w:tc>
          <w:tcPr>
            <w:tcW w:w="2195" w:type="dxa"/>
          </w:tcPr>
          <w:p>
            <w:pPr>
              <w:widowControl/>
              <w:snapToGrid w:val="0"/>
              <w:spacing w:line="400" w:lineRule="exact"/>
              <w:rPr>
                <w:rFonts w:ascii="宋体" w:hAnsi="宋体" w:cs="宋体"/>
                <w:color w:val="000000"/>
                <w:kern w:val="0"/>
                <w:sz w:val="24"/>
              </w:rPr>
            </w:pPr>
            <w:r>
              <w:rPr>
                <w:rFonts w:hint="eastAsia" w:ascii="宋体" w:hAnsi="宋体" w:cs="宋体"/>
                <w:color w:val="000000"/>
                <w:kern w:val="0"/>
                <w:sz w:val="24"/>
              </w:rPr>
              <w:t>单位负责人签字：</w:t>
            </w:r>
          </w:p>
        </w:tc>
        <w:tc>
          <w:tcPr>
            <w:tcW w:w="2196" w:type="dxa"/>
          </w:tcPr>
          <w:p>
            <w:pPr>
              <w:widowControl/>
              <w:snapToGrid w:val="0"/>
              <w:spacing w:line="400" w:lineRule="exact"/>
              <w:rPr>
                <w:rFonts w:ascii="宋体" w:hAnsi="宋体" w:cs="宋体"/>
                <w:color w:val="000000"/>
                <w:kern w:val="0"/>
                <w:sz w:val="24"/>
              </w:rPr>
            </w:pPr>
            <w:r>
              <w:rPr>
                <w:rFonts w:hint="eastAsia" w:ascii="宋体" w:hAnsi="宋体" w:cs="宋体"/>
                <w:color w:val="000000"/>
                <w:kern w:val="0"/>
                <w:sz w:val="24"/>
              </w:rPr>
              <w:t>出纳办理转帐</w:t>
            </w:r>
          </w:p>
          <w:p>
            <w:pPr>
              <w:widowControl/>
              <w:snapToGrid w:val="0"/>
              <w:spacing w:line="400" w:lineRule="exact"/>
              <w:rPr>
                <w:rFonts w:ascii="宋体" w:hAnsi="宋体" w:cs="宋体"/>
                <w:color w:val="000000"/>
                <w:kern w:val="0"/>
                <w:sz w:val="24"/>
              </w:rPr>
            </w:pPr>
            <w:r>
              <w:rPr>
                <w:rFonts w:hint="eastAsia" w:ascii="宋体" w:hAnsi="宋体" w:cs="宋体"/>
                <w:color w:val="000000"/>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440" w:type="dxa"/>
            <w:gridSpan w:val="5"/>
            <w:vAlign w:val="center"/>
          </w:tcPr>
          <w:p>
            <w:pPr>
              <w:widowControl/>
              <w:snapToGrid w:val="0"/>
              <w:spacing w:line="360" w:lineRule="exact"/>
              <w:jc w:val="left"/>
              <w:rPr>
                <w:rFonts w:ascii="宋体" w:hAnsi="宋体" w:cs="宋体"/>
                <w:color w:val="000000"/>
                <w:kern w:val="0"/>
                <w:sz w:val="24"/>
              </w:rPr>
            </w:pPr>
            <w:r>
              <w:rPr>
                <w:rFonts w:hint="eastAsia" w:ascii="宋体" w:hAnsi="宋体" w:cs="宋体"/>
                <w:color w:val="000000"/>
                <w:kern w:val="0"/>
                <w:sz w:val="24"/>
              </w:rPr>
              <w:t>备注：</w:t>
            </w:r>
            <w:r>
              <w:rPr>
                <w:rFonts w:hint="eastAsia" w:ascii="宋体" w:hAnsi="宋体" w:cs="宋体"/>
                <w:color w:val="000000"/>
                <w:spacing w:val="-6"/>
                <w:kern w:val="0"/>
                <w:sz w:val="24"/>
              </w:rPr>
              <w:t>附收款收据原件（如有开具时）、银行转帐单复印件加盖公章</w:t>
            </w:r>
            <w:r>
              <w:rPr>
                <w:rFonts w:hint="eastAsia" w:ascii="宋体" w:hAnsi="宋体" w:cs="宋体"/>
                <w:color w:val="000000"/>
                <w:kern w:val="0"/>
                <w:sz w:val="24"/>
              </w:rPr>
              <w:t>。</w:t>
            </w:r>
          </w:p>
        </w:tc>
      </w:tr>
    </w:tbl>
    <w:p>
      <w:pPr>
        <w:pStyle w:val="13"/>
        <w:spacing w:line="200" w:lineRule="exact"/>
        <w:rPr>
          <w:rFonts w:hAnsi="宋体" w:cs="宋体"/>
          <w:b/>
          <w:color w:val="000000"/>
          <w:szCs w:val="21"/>
        </w:rPr>
      </w:pPr>
    </w:p>
    <w:p>
      <w:pPr>
        <w:pStyle w:val="13"/>
        <w:spacing w:line="400" w:lineRule="exact"/>
        <w:rPr>
          <w:rFonts w:hAnsi="宋体" w:cs="宋体"/>
          <w:b/>
          <w:color w:val="000000"/>
          <w:szCs w:val="21"/>
        </w:rPr>
      </w:pPr>
    </w:p>
    <w:p>
      <w:pPr>
        <w:pStyle w:val="13"/>
        <w:spacing w:line="400" w:lineRule="exact"/>
        <w:rPr>
          <w:rFonts w:hAnsi="宋体" w:cs="宋体"/>
          <w:b/>
          <w:bCs/>
          <w:color w:val="000000"/>
          <w:sz w:val="28"/>
          <w:szCs w:val="28"/>
        </w:rPr>
      </w:pPr>
      <w:r>
        <w:rPr>
          <w:rFonts w:hint="eastAsia" w:hAnsi="宋体" w:cs="宋体"/>
          <w:color w:val="000000"/>
        </w:rPr>
        <w:br w:type="page"/>
      </w:r>
      <w:r>
        <w:rPr>
          <w:rFonts w:hint="eastAsia" w:hAnsi="宋体" w:cs="宋体"/>
          <w:b/>
          <w:bCs/>
          <w:color w:val="000000"/>
          <w:sz w:val="28"/>
          <w:szCs w:val="28"/>
        </w:rPr>
        <w:t>附件2：</w:t>
      </w:r>
    </w:p>
    <w:p>
      <w:pPr>
        <w:pStyle w:val="13"/>
        <w:spacing w:line="400" w:lineRule="exact"/>
        <w:rPr>
          <w:rFonts w:hAnsi="宋体" w:cs="宋体"/>
          <w:b/>
          <w:color w:val="000000"/>
          <w:szCs w:val="21"/>
        </w:rPr>
      </w:pPr>
    </w:p>
    <w:p>
      <w:pPr>
        <w:widowControl/>
        <w:jc w:val="center"/>
        <w:rPr>
          <w:rFonts w:ascii="宋体" w:hAnsi="宋体" w:cs="宋体"/>
          <w:bCs/>
          <w:color w:val="000000"/>
          <w:kern w:val="0"/>
          <w:sz w:val="44"/>
          <w:szCs w:val="44"/>
        </w:rPr>
      </w:pPr>
      <w:r>
        <w:rPr>
          <w:rFonts w:hint="eastAsia" w:ascii="宋体" w:hAnsi="宋体" w:cs="宋体"/>
          <w:bCs/>
          <w:color w:val="000000"/>
          <w:kern w:val="0"/>
          <w:sz w:val="44"/>
          <w:szCs w:val="44"/>
        </w:rPr>
        <w:t>供应商承诺书</w:t>
      </w:r>
    </w:p>
    <w:p>
      <w:pPr>
        <w:widowControl/>
        <w:jc w:val="center"/>
        <w:rPr>
          <w:rFonts w:ascii="宋体" w:hAnsi="宋体" w:cs="宋体"/>
          <w:bCs/>
          <w:color w:val="000000"/>
          <w:kern w:val="0"/>
          <w:sz w:val="36"/>
          <w:szCs w:val="36"/>
        </w:rPr>
      </w:pPr>
    </w:p>
    <w:p>
      <w:pPr>
        <w:snapToGrid w:val="0"/>
        <w:spacing w:line="500" w:lineRule="exact"/>
        <w:ind w:firstLine="480" w:firstLineChars="200"/>
        <w:rPr>
          <w:rFonts w:ascii="宋体" w:hAnsi="宋体" w:cs="宋体"/>
          <w:color w:val="000000"/>
          <w:kern w:val="0"/>
          <w:sz w:val="24"/>
        </w:rPr>
      </w:pPr>
      <w:r>
        <w:rPr>
          <w:rFonts w:hint="eastAsia" w:ascii="宋体" w:hAnsi="宋体" w:cs="宋体"/>
          <w:color w:val="000000"/>
          <w:kern w:val="0"/>
          <w:sz w:val="24"/>
        </w:rPr>
        <w:t>本单位____________________承诺严格落实党中央、国务院以及广西壮族自治区政府相关疫情防控工作部署，遵守《中华人民共和国传染病防治法》及其他疫情防控相关要求。本单位于</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日参加_______</w:t>
      </w:r>
      <w:r>
        <w:rPr>
          <w:rFonts w:hint="eastAsia" w:ascii="宋体" w:hAnsi="宋体" w:cs="宋体"/>
          <w:color w:val="000000"/>
          <w:kern w:val="0"/>
          <w:sz w:val="24"/>
          <w:u w:val="single"/>
        </w:rPr>
        <w:t xml:space="preserve">    </w:t>
      </w:r>
      <w:r>
        <w:rPr>
          <w:rFonts w:hint="eastAsia" w:ascii="宋体" w:hAnsi="宋体" w:cs="宋体"/>
          <w:color w:val="000000"/>
          <w:kern w:val="0"/>
          <w:sz w:val="24"/>
        </w:rPr>
        <w:t>__________项目的开标活动。本单位承诺在开标过程中做到以下几点：</w:t>
      </w:r>
    </w:p>
    <w:p>
      <w:pPr>
        <w:snapToGrid w:val="0"/>
        <w:spacing w:line="500" w:lineRule="exact"/>
        <w:ind w:firstLine="480" w:firstLineChars="200"/>
        <w:rPr>
          <w:rFonts w:ascii="宋体" w:hAnsi="宋体" w:cs="宋体"/>
          <w:color w:val="000000"/>
          <w:kern w:val="0"/>
          <w:sz w:val="24"/>
        </w:rPr>
      </w:pPr>
      <w:r>
        <w:rPr>
          <w:rFonts w:hint="eastAsia" w:ascii="宋体" w:hAnsi="宋体" w:cs="宋体"/>
          <w:color w:val="000000"/>
          <w:kern w:val="0"/>
          <w:sz w:val="24"/>
        </w:rPr>
        <w:t>1．参与投标人员积极配合交易场所工作人员进行体温检测和人员信息登记。不符合防控管理要求的人员，不进入交易场所，并于必要时积极配合交易场所工作人员做好现场临时隔离工作。</w:t>
      </w:r>
    </w:p>
    <w:p>
      <w:pPr>
        <w:snapToGrid w:val="0"/>
        <w:spacing w:line="500" w:lineRule="exact"/>
        <w:ind w:firstLine="480" w:firstLineChars="200"/>
        <w:rPr>
          <w:rFonts w:ascii="宋体" w:hAnsi="宋体" w:cs="宋体"/>
          <w:color w:val="000000"/>
          <w:kern w:val="0"/>
          <w:sz w:val="24"/>
        </w:rPr>
      </w:pPr>
      <w:r>
        <w:rPr>
          <w:rFonts w:hint="eastAsia" w:ascii="宋体" w:hAnsi="宋体" w:cs="宋体"/>
          <w:color w:val="000000"/>
          <w:kern w:val="0"/>
          <w:sz w:val="24"/>
        </w:rPr>
        <w:t>2．参加投标人员自觉做好个人防护，全程正确佩戴口罩，听从交易场所工作人员的引导。</w:t>
      </w:r>
    </w:p>
    <w:p>
      <w:pPr>
        <w:snapToGrid w:val="0"/>
        <w:spacing w:line="500" w:lineRule="exact"/>
        <w:ind w:firstLine="480" w:firstLineChars="200"/>
        <w:rPr>
          <w:rFonts w:ascii="宋体" w:hAnsi="宋体" w:cs="宋体"/>
          <w:color w:val="000000"/>
          <w:kern w:val="0"/>
          <w:sz w:val="24"/>
        </w:rPr>
      </w:pPr>
      <w:r>
        <w:rPr>
          <w:rFonts w:hint="eastAsia" w:ascii="宋体" w:hAnsi="宋体" w:cs="宋体"/>
          <w:color w:val="000000"/>
          <w:kern w:val="0"/>
          <w:sz w:val="24"/>
        </w:rPr>
        <w:t>3．本单位派出的投标人员</w:t>
      </w:r>
      <w:r>
        <w:rPr>
          <w:rFonts w:hint="eastAsia" w:ascii="宋体" w:hAnsi="宋体" w:cs="宋体"/>
          <w:color w:val="000000"/>
          <w:kern w:val="0"/>
          <w:sz w:val="24"/>
          <w:u w:val="single"/>
        </w:rPr>
        <w:t xml:space="preserve">       </w:t>
      </w:r>
      <w:r>
        <w:rPr>
          <w:rFonts w:hint="eastAsia" w:ascii="宋体" w:hAnsi="宋体" w:cs="宋体"/>
          <w:color w:val="000000"/>
          <w:kern w:val="0"/>
          <w:sz w:val="24"/>
        </w:rPr>
        <w:t>（姓名），</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（身份证号码）， </w:t>
      </w:r>
      <w:r>
        <w:rPr>
          <w:rFonts w:hint="eastAsia" w:ascii="宋体" w:hAnsi="宋体" w:cs="宋体"/>
          <w:color w:val="000000"/>
          <w:kern w:val="0"/>
          <w:sz w:val="24"/>
          <w:u w:val="single"/>
        </w:rPr>
        <w:t xml:space="preserve">     </w:t>
      </w:r>
      <w:r>
        <w:rPr>
          <w:rFonts w:hint="eastAsia" w:ascii="宋体" w:hAnsi="宋体" w:cs="宋体"/>
          <w:color w:val="000000"/>
          <w:kern w:val="0"/>
          <w:sz w:val="24"/>
        </w:rPr>
        <w:t>（联系电话），在</w:t>
      </w:r>
      <w:r>
        <w:rPr>
          <w:rFonts w:hint="eastAsia" w:ascii="宋体" w:hAnsi="宋体" w:cs="宋体"/>
          <w:color w:val="000000"/>
          <w:kern w:val="0"/>
          <w:sz w:val="24"/>
          <w:u w:val="single"/>
        </w:rPr>
        <w:t xml:space="preserve">       </w:t>
      </w:r>
      <w:r>
        <w:rPr>
          <w:rFonts w:hint="eastAsia" w:ascii="宋体" w:hAnsi="宋体" w:cs="宋体"/>
          <w:color w:val="000000"/>
          <w:kern w:val="0"/>
          <w:sz w:val="24"/>
        </w:rPr>
        <w:t>（省、市）居住，无疫情接触史、身体健康。</w:t>
      </w:r>
    </w:p>
    <w:p>
      <w:pPr>
        <w:snapToGrid w:val="0"/>
        <w:spacing w:line="500" w:lineRule="exact"/>
        <w:ind w:firstLine="480" w:firstLineChars="200"/>
        <w:rPr>
          <w:rFonts w:ascii="宋体" w:hAnsi="宋体" w:cs="宋体"/>
          <w:color w:val="000000"/>
          <w:kern w:val="0"/>
          <w:sz w:val="24"/>
        </w:rPr>
      </w:pPr>
      <w:r>
        <w:rPr>
          <w:rFonts w:hint="eastAsia" w:ascii="宋体" w:hAnsi="宋体" w:cs="宋体"/>
          <w:color w:val="000000"/>
          <w:kern w:val="0"/>
          <w:sz w:val="24"/>
        </w:rPr>
        <w:t>4．本单位保证做好投标期的各项准备工作，并提前到达交易场所的开标区域，避免因工作疏忽导致时间拖延和人员聚集。</w:t>
      </w:r>
    </w:p>
    <w:p>
      <w:pPr>
        <w:snapToGrid w:val="0"/>
        <w:spacing w:line="500" w:lineRule="exact"/>
        <w:ind w:firstLine="480" w:firstLineChars="200"/>
        <w:rPr>
          <w:rFonts w:ascii="宋体" w:hAnsi="宋体" w:cs="宋体"/>
          <w:color w:val="000000"/>
          <w:kern w:val="0"/>
          <w:sz w:val="24"/>
        </w:rPr>
      </w:pPr>
      <w:r>
        <w:rPr>
          <w:rFonts w:hint="eastAsia" w:ascii="宋体" w:hAnsi="宋体" w:cs="宋体"/>
          <w:color w:val="000000"/>
          <w:kern w:val="0"/>
          <w:sz w:val="24"/>
        </w:rPr>
        <w:t>5．开标活动结束后，本单位人员迅速离场，不在交易场所公共区域停留。</w:t>
      </w:r>
    </w:p>
    <w:p>
      <w:pPr>
        <w:snapToGrid w:val="0"/>
        <w:spacing w:line="500" w:lineRule="exact"/>
        <w:ind w:firstLine="480" w:firstLineChars="200"/>
        <w:rPr>
          <w:rFonts w:ascii="宋体" w:hAnsi="宋体" w:cs="宋体"/>
          <w:color w:val="000000"/>
          <w:kern w:val="0"/>
          <w:sz w:val="24"/>
        </w:rPr>
      </w:pPr>
    </w:p>
    <w:p>
      <w:pPr>
        <w:snapToGrid w:val="0"/>
        <w:spacing w:line="500" w:lineRule="exact"/>
        <w:ind w:firstLine="480" w:firstLineChars="200"/>
        <w:rPr>
          <w:rFonts w:ascii="宋体" w:hAnsi="宋体" w:cs="宋体"/>
          <w:color w:val="000000"/>
          <w:kern w:val="0"/>
          <w:sz w:val="24"/>
        </w:rPr>
      </w:pPr>
    </w:p>
    <w:p>
      <w:pPr>
        <w:snapToGrid w:val="0"/>
        <w:spacing w:line="500" w:lineRule="exact"/>
        <w:ind w:firstLine="3535" w:firstLineChars="1473"/>
        <w:jc w:val="left"/>
        <w:rPr>
          <w:rFonts w:ascii="宋体" w:hAnsi="宋体" w:cs="宋体"/>
          <w:color w:val="000000"/>
          <w:kern w:val="0"/>
          <w:sz w:val="24"/>
        </w:rPr>
      </w:pPr>
      <w:r>
        <w:rPr>
          <w:rFonts w:hint="eastAsia" w:ascii="宋体" w:hAnsi="宋体" w:cs="宋体"/>
          <w:color w:val="000000"/>
          <w:kern w:val="0"/>
          <w:sz w:val="24"/>
        </w:rPr>
        <w:t>承诺人（公章）：</w:t>
      </w:r>
    </w:p>
    <w:p>
      <w:pPr>
        <w:snapToGrid w:val="0"/>
        <w:spacing w:line="500" w:lineRule="exact"/>
        <w:ind w:firstLine="4560" w:firstLineChars="1900"/>
        <w:rPr>
          <w:rFonts w:ascii="宋体" w:hAnsi="宋体" w:cs="宋体"/>
          <w:color w:val="000000"/>
          <w:sz w:val="24"/>
        </w:rPr>
      </w:pPr>
      <w:r>
        <w:rPr>
          <w:rFonts w:hint="eastAsia" w:ascii="宋体" w:hAnsi="宋体" w:cs="宋体"/>
          <w:color w:val="000000"/>
          <w:kern w:val="0"/>
          <w:sz w:val="24"/>
        </w:rPr>
        <w:t>年   月   日</w:t>
      </w:r>
    </w:p>
    <w:p>
      <w:pPr>
        <w:rPr>
          <w:rFonts w:ascii="宋体" w:hAnsi="宋体" w:cs="宋体"/>
          <w:color w:val="000000"/>
        </w:rPr>
      </w:pPr>
    </w:p>
    <w:p>
      <w:pPr>
        <w:snapToGrid w:val="0"/>
        <w:spacing w:line="500" w:lineRule="exact"/>
        <w:ind w:firstLine="4560" w:firstLineChars="1900"/>
        <w:rPr>
          <w:rFonts w:ascii="宋体" w:hAnsi="宋体" w:cs="宋体"/>
          <w:color w:val="000000"/>
          <w:sz w:val="24"/>
        </w:rPr>
      </w:pPr>
    </w:p>
    <w:p>
      <w:pPr>
        <w:rPr>
          <w:rFonts w:ascii="宋体" w:hAnsi="宋体" w:cs="宋体"/>
          <w:color w:val="000000"/>
        </w:rPr>
      </w:pPr>
    </w:p>
    <w:p>
      <w:pPr>
        <w:rPr>
          <w:color w:val="000000"/>
        </w:rPr>
      </w:pPr>
    </w:p>
    <w:sectPr>
      <w:footerReference r:id="rId13" w:type="default"/>
      <w:pgSz w:w="11906" w:h="16838"/>
      <w:pgMar w:top="1440" w:right="1077" w:bottom="1440"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3"/>
      </w:rPr>
    </w:pPr>
    <w:r>
      <w:fldChar w:fldCharType="begin"/>
    </w:r>
    <w:r>
      <w:rPr>
        <w:rStyle w:val="33"/>
      </w:rPr>
      <w:instrText xml:space="preserve">PAGE  </w:instrText>
    </w:r>
    <w:r>
      <w:fldChar w:fldCharType="separate"/>
    </w:r>
    <w:r>
      <w:rPr>
        <w:rStyle w:val="33"/>
      </w:rPr>
      <w:t>1</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jc w:val="center"/>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pPr>
                      <w:pStyle w:val="17"/>
                      <w:jc w:val="center"/>
                    </w:pPr>
                    <w:r>
                      <w:rPr>
                        <w:rFonts w:hint="eastAsia"/>
                      </w:rPr>
                      <w:t>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904"/>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jc w:val="center"/>
                          </w:pPr>
                          <w:r>
                            <w:rPr>
                              <w:rFonts w:hint="eastAsia"/>
                            </w:rPr>
                            <w:t>1</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pPr>
                      <w:pStyle w:val="17"/>
                      <w:jc w:val="center"/>
                    </w:pPr>
                    <w:r>
                      <w:rPr>
                        <w:rFonts w:hint="eastAsia"/>
                      </w:rPr>
                      <w:t>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904"/>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pPr>
                      <w:pStyle w:val="17"/>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904"/>
        <w:tab w:val="clear" w:pos="4153"/>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pPr>
                      <w:pStyle w:val="17"/>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rPr>
      <w:t>广西桂宝工程监理咨询有限公司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678180" cy="826135"/>
          <wp:effectExtent l="0" t="0" r="7620" b="0"/>
          <wp:wrapNone/>
          <wp:docPr id="4" name="图片 1" descr="中意LOGO（用于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中意LOGO（用于WOR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a:xfrm>
                    <a:off x="0" y="0"/>
                    <a:ext cx="678180" cy="82613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1980"/>
      <w:jc w:val="right"/>
      <w:rPr>
        <w:rFonts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751D7"/>
    <w:multiLevelType w:val="singleLevel"/>
    <w:tmpl w:val="C2B751D7"/>
    <w:lvl w:ilvl="0" w:tentative="0">
      <w:start w:val="5"/>
      <w:numFmt w:val="chineseCounting"/>
      <w:suff w:val="space"/>
      <w:lvlText w:val="第%1章"/>
      <w:lvlJc w:val="left"/>
      <w:rPr>
        <w:rFonts w:hint="eastAsia"/>
      </w:rPr>
    </w:lvl>
  </w:abstractNum>
  <w:abstractNum w:abstractNumId="1">
    <w:nsid w:val="00000001"/>
    <w:multiLevelType w:val="multilevel"/>
    <w:tmpl w:val="00000001"/>
    <w:lvl w:ilvl="0" w:tentative="0">
      <w:start w:val="1"/>
      <w:numFmt w:val="decimal"/>
      <w:pStyle w:val="75"/>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70F37D07"/>
    <w:multiLevelType w:val="multilevel"/>
    <w:tmpl w:val="70F37D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FB96F2"/>
    <w:multiLevelType w:val="singleLevel"/>
    <w:tmpl w:val="71FB96F2"/>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hZWE2MzQwNmFjOGU3YTFmZmU2M2MyZjQwMzI2M2UifQ=="/>
  </w:docVars>
  <w:rsids>
    <w:rsidRoot w:val="00172A27"/>
    <w:rsid w:val="00000B42"/>
    <w:rsid w:val="00001079"/>
    <w:rsid w:val="00001C5C"/>
    <w:rsid w:val="0000227D"/>
    <w:rsid w:val="00003949"/>
    <w:rsid w:val="00005BF7"/>
    <w:rsid w:val="0000623B"/>
    <w:rsid w:val="00006E02"/>
    <w:rsid w:val="000074D5"/>
    <w:rsid w:val="000076CD"/>
    <w:rsid w:val="000079C1"/>
    <w:rsid w:val="00007A7E"/>
    <w:rsid w:val="000107F7"/>
    <w:rsid w:val="0001105E"/>
    <w:rsid w:val="00011764"/>
    <w:rsid w:val="00011766"/>
    <w:rsid w:val="0001219A"/>
    <w:rsid w:val="0001220F"/>
    <w:rsid w:val="000125C2"/>
    <w:rsid w:val="000128B9"/>
    <w:rsid w:val="000134E6"/>
    <w:rsid w:val="0001398F"/>
    <w:rsid w:val="00013B5F"/>
    <w:rsid w:val="0001444C"/>
    <w:rsid w:val="000158BE"/>
    <w:rsid w:val="00015B2A"/>
    <w:rsid w:val="00016379"/>
    <w:rsid w:val="0001794B"/>
    <w:rsid w:val="00020F84"/>
    <w:rsid w:val="000213F1"/>
    <w:rsid w:val="00021910"/>
    <w:rsid w:val="000227E6"/>
    <w:rsid w:val="000241E3"/>
    <w:rsid w:val="00024F3C"/>
    <w:rsid w:val="00025766"/>
    <w:rsid w:val="000259EF"/>
    <w:rsid w:val="00025DCC"/>
    <w:rsid w:val="000264C1"/>
    <w:rsid w:val="0002699E"/>
    <w:rsid w:val="00026B40"/>
    <w:rsid w:val="00027084"/>
    <w:rsid w:val="00027711"/>
    <w:rsid w:val="000301A0"/>
    <w:rsid w:val="000302A3"/>
    <w:rsid w:val="0003068D"/>
    <w:rsid w:val="000308E0"/>
    <w:rsid w:val="00033909"/>
    <w:rsid w:val="00033AEC"/>
    <w:rsid w:val="00033F96"/>
    <w:rsid w:val="000342D1"/>
    <w:rsid w:val="00034573"/>
    <w:rsid w:val="0003467F"/>
    <w:rsid w:val="00034C7B"/>
    <w:rsid w:val="00035342"/>
    <w:rsid w:val="000358FA"/>
    <w:rsid w:val="00036B70"/>
    <w:rsid w:val="00036FE3"/>
    <w:rsid w:val="00040692"/>
    <w:rsid w:val="00041F57"/>
    <w:rsid w:val="0004255E"/>
    <w:rsid w:val="000427C8"/>
    <w:rsid w:val="000427FE"/>
    <w:rsid w:val="0004304A"/>
    <w:rsid w:val="000430C9"/>
    <w:rsid w:val="00044DE9"/>
    <w:rsid w:val="00045180"/>
    <w:rsid w:val="00045750"/>
    <w:rsid w:val="00045861"/>
    <w:rsid w:val="00046655"/>
    <w:rsid w:val="0004691F"/>
    <w:rsid w:val="000469D1"/>
    <w:rsid w:val="000503BA"/>
    <w:rsid w:val="000503CC"/>
    <w:rsid w:val="00050557"/>
    <w:rsid w:val="000506D2"/>
    <w:rsid w:val="0005188A"/>
    <w:rsid w:val="000519A4"/>
    <w:rsid w:val="00051A9C"/>
    <w:rsid w:val="000520A1"/>
    <w:rsid w:val="0005230D"/>
    <w:rsid w:val="0005366C"/>
    <w:rsid w:val="00053985"/>
    <w:rsid w:val="00053AA2"/>
    <w:rsid w:val="000556AB"/>
    <w:rsid w:val="000564F8"/>
    <w:rsid w:val="00056E66"/>
    <w:rsid w:val="00057204"/>
    <w:rsid w:val="00057260"/>
    <w:rsid w:val="000572BD"/>
    <w:rsid w:val="00057CC5"/>
    <w:rsid w:val="000605B5"/>
    <w:rsid w:val="000606CA"/>
    <w:rsid w:val="00062001"/>
    <w:rsid w:val="00062382"/>
    <w:rsid w:val="00062D52"/>
    <w:rsid w:val="0006309F"/>
    <w:rsid w:val="0006319D"/>
    <w:rsid w:val="000657BA"/>
    <w:rsid w:val="00067CF0"/>
    <w:rsid w:val="00070404"/>
    <w:rsid w:val="00070F77"/>
    <w:rsid w:val="00071272"/>
    <w:rsid w:val="00071745"/>
    <w:rsid w:val="00072E6C"/>
    <w:rsid w:val="00073280"/>
    <w:rsid w:val="0007365D"/>
    <w:rsid w:val="00073C12"/>
    <w:rsid w:val="00076A24"/>
    <w:rsid w:val="000772FC"/>
    <w:rsid w:val="00077943"/>
    <w:rsid w:val="00077D4C"/>
    <w:rsid w:val="000803FE"/>
    <w:rsid w:val="00080B29"/>
    <w:rsid w:val="000821F8"/>
    <w:rsid w:val="00082F86"/>
    <w:rsid w:val="00083070"/>
    <w:rsid w:val="000831F5"/>
    <w:rsid w:val="00084884"/>
    <w:rsid w:val="000859EE"/>
    <w:rsid w:val="00086AD6"/>
    <w:rsid w:val="00086BC8"/>
    <w:rsid w:val="000872CF"/>
    <w:rsid w:val="000874F6"/>
    <w:rsid w:val="000876B6"/>
    <w:rsid w:val="00087DF4"/>
    <w:rsid w:val="00090592"/>
    <w:rsid w:val="000910F3"/>
    <w:rsid w:val="0009115A"/>
    <w:rsid w:val="00092658"/>
    <w:rsid w:val="000926B1"/>
    <w:rsid w:val="00092B83"/>
    <w:rsid w:val="000939A4"/>
    <w:rsid w:val="00093E1D"/>
    <w:rsid w:val="000942C0"/>
    <w:rsid w:val="0009462C"/>
    <w:rsid w:val="000951A2"/>
    <w:rsid w:val="000952A8"/>
    <w:rsid w:val="0009538D"/>
    <w:rsid w:val="00095875"/>
    <w:rsid w:val="00096B9E"/>
    <w:rsid w:val="000A003F"/>
    <w:rsid w:val="000A058C"/>
    <w:rsid w:val="000A0962"/>
    <w:rsid w:val="000A10CF"/>
    <w:rsid w:val="000A15F7"/>
    <w:rsid w:val="000A1C17"/>
    <w:rsid w:val="000A2BD3"/>
    <w:rsid w:val="000A3029"/>
    <w:rsid w:val="000A39F1"/>
    <w:rsid w:val="000A4A2E"/>
    <w:rsid w:val="000A4B57"/>
    <w:rsid w:val="000A4D58"/>
    <w:rsid w:val="000A66CC"/>
    <w:rsid w:val="000A703C"/>
    <w:rsid w:val="000A7066"/>
    <w:rsid w:val="000A7156"/>
    <w:rsid w:val="000A7A56"/>
    <w:rsid w:val="000A7FD5"/>
    <w:rsid w:val="000B071A"/>
    <w:rsid w:val="000B2599"/>
    <w:rsid w:val="000B2C73"/>
    <w:rsid w:val="000B32E2"/>
    <w:rsid w:val="000B3369"/>
    <w:rsid w:val="000B34A1"/>
    <w:rsid w:val="000B547C"/>
    <w:rsid w:val="000B580F"/>
    <w:rsid w:val="000B595F"/>
    <w:rsid w:val="000B63B7"/>
    <w:rsid w:val="000B6663"/>
    <w:rsid w:val="000B6CD3"/>
    <w:rsid w:val="000B70F8"/>
    <w:rsid w:val="000B7A81"/>
    <w:rsid w:val="000B7B23"/>
    <w:rsid w:val="000C0A20"/>
    <w:rsid w:val="000C0A56"/>
    <w:rsid w:val="000C0FE3"/>
    <w:rsid w:val="000C140E"/>
    <w:rsid w:val="000C15B2"/>
    <w:rsid w:val="000C15C9"/>
    <w:rsid w:val="000C180B"/>
    <w:rsid w:val="000C2689"/>
    <w:rsid w:val="000C2F92"/>
    <w:rsid w:val="000C3001"/>
    <w:rsid w:val="000C3177"/>
    <w:rsid w:val="000C3269"/>
    <w:rsid w:val="000C346D"/>
    <w:rsid w:val="000C36BD"/>
    <w:rsid w:val="000C3FD9"/>
    <w:rsid w:val="000C46E4"/>
    <w:rsid w:val="000C529E"/>
    <w:rsid w:val="000C590F"/>
    <w:rsid w:val="000C7815"/>
    <w:rsid w:val="000C7EB7"/>
    <w:rsid w:val="000D0272"/>
    <w:rsid w:val="000D041D"/>
    <w:rsid w:val="000D0A20"/>
    <w:rsid w:val="000D1F35"/>
    <w:rsid w:val="000D3426"/>
    <w:rsid w:val="000D5AD0"/>
    <w:rsid w:val="000D6492"/>
    <w:rsid w:val="000D671A"/>
    <w:rsid w:val="000D6CE0"/>
    <w:rsid w:val="000D72B1"/>
    <w:rsid w:val="000D761F"/>
    <w:rsid w:val="000D777A"/>
    <w:rsid w:val="000E06F8"/>
    <w:rsid w:val="000E0885"/>
    <w:rsid w:val="000E090D"/>
    <w:rsid w:val="000E0E84"/>
    <w:rsid w:val="000E143D"/>
    <w:rsid w:val="000E1673"/>
    <w:rsid w:val="000E2824"/>
    <w:rsid w:val="000E3B10"/>
    <w:rsid w:val="000E714F"/>
    <w:rsid w:val="000E7431"/>
    <w:rsid w:val="000E7770"/>
    <w:rsid w:val="000E7938"/>
    <w:rsid w:val="000E7E3A"/>
    <w:rsid w:val="000F09E4"/>
    <w:rsid w:val="000F0D07"/>
    <w:rsid w:val="000F1252"/>
    <w:rsid w:val="000F21D5"/>
    <w:rsid w:val="000F379E"/>
    <w:rsid w:val="000F4175"/>
    <w:rsid w:val="000F5976"/>
    <w:rsid w:val="000F5C96"/>
    <w:rsid w:val="000F6713"/>
    <w:rsid w:val="000F7311"/>
    <w:rsid w:val="000F761E"/>
    <w:rsid w:val="000F7A31"/>
    <w:rsid w:val="000F7CD9"/>
    <w:rsid w:val="001009D6"/>
    <w:rsid w:val="00100BBB"/>
    <w:rsid w:val="0010126D"/>
    <w:rsid w:val="00101882"/>
    <w:rsid w:val="001018D9"/>
    <w:rsid w:val="001027F8"/>
    <w:rsid w:val="00103108"/>
    <w:rsid w:val="001031D6"/>
    <w:rsid w:val="00104AD2"/>
    <w:rsid w:val="00106513"/>
    <w:rsid w:val="0011048C"/>
    <w:rsid w:val="00110833"/>
    <w:rsid w:val="00110D49"/>
    <w:rsid w:val="00110E32"/>
    <w:rsid w:val="001110B2"/>
    <w:rsid w:val="001113FD"/>
    <w:rsid w:val="00112D7D"/>
    <w:rsid w:val="00112D9A"/>
    <w:rsid w:val="00112EF2"/>
    <w:rsid w:val="00113125"/>
    <w:rsid w:val="00113845"/>
    <w:rsid w:val="00113B30"/>
    <w:rsid w:val="00113DF9"/>
    <w:rsid w:val="00113E16"/>
    <w:rsid w:val="00113FF4"/>
    <w:rsid w:val="001150A1"/>
    <w:rsid w:val="00115B5E"/>
    <w:rsid w:val="00115CEB"/>
    <w:rsid w:val="00115F18"/>
    <w:rsid w:val="00116461"/>
    <w:rsid w:val="00117817"/>
    <w:rsid w:val="00117EDA"/>
    <w:rsid w:val="00117F97"/>
    <w:rsid w:val="00117FFC"/>
    <w:rsid w:val="0012003C"/>
    <w:rsid w:val="00120B56"/>
    <w:rsid w:val="00121E53"/>
    <w:rsid w:val="00122185"/>
    <w:rsid w:val="00122381"/>
    <w:rsid w:val="00123072"/>
    <w:rsid w:val="001236C5"/>
    <w:rsid w:val="00123C2A"/>
    <w:rsid w:val="00123E9C"/>
    <w:rsid w:val="00124B18"/>
    <w:rsid w:val="0012558C"/>
    <w:rsid w:val="0012578B"/>
    <w:rsid w:val="00126901"/>
    <w:rsid w:val="001273A0"/>
    <w:rsid w:val="00127BE3"/>
    <w:rsid w:val="00127C2D"/>
    <w:rsid w:val="001301DC"/>
    <w:rsid w:val="00130469"/>
    <w:rsid w:val="001312AA"/>
    <w:rsid w:val="001315FB"/>
    <w:rsid w:val="0013238B"/>
    <w:rsid w:val="001324DA"/>
    <w:rsid w:val="0013272E"/>
    <w:rsid w:val="001328E0"/>
    <w:rsid w:val="00133213"/>
    <w:rsid w:val="00133FEC"/>
    <w:rsid w:val="00134147"/>
    <w:rsid w:val="001358B2"/>
    <w:rsid w:val="001359F4"/>
    <w:rsid w:val="00136381"/>
    <w:rsid w:val="001364CF"/>
    <w:rsid w:val="001364DB"/>
    <w:rsid w:val="00140B15"/>
    <w:rsid w:val="00141677"/>
    <w:rsid w:val="00142310"/>
    <w:rsid w:val="001424B3"/>
    <w:rsid w:val="00142591"/>
    <w:rsid w:val="00142A0B"/>
    <w:rsid w:val="00143272"/>
    <w:rsid w:val="00143329"/>
    <w:rsid w:val="0014415F"/>
    <w:rsid w:val="001443EC"/>
    <w:rsid w:val="00144B62"/>
    <w:rsid w:val="00144C2F"/>
    <w:rsid w:val="00145B3A"/>
    <w:rsid w:val="0014631C"/>
    <w:rsid w:val="0014725A"/>
    <w:rsid w:val="001473E6"/>
    <w:rsid w:val="001502D5"/>
    <w:rsid w:val="00151796"/>
    <w:rsid w:val="00151DA4"/>
    <w:rsid w:val="0015244A"/>
    <w:rsid w:val="00153B91"/>
    <w:rsid w:val="00153E13"/>
    <w:rsid w:val="00153F90"/>
    <w:rsid w:val="00154A5E"/>
    <w:rsid w:val="00154DA1"/>
    <w:rsid w:val="00155204"/>
    <w:rsid w:val="00155575"/>
    <w:rsid w:val="00155C83"/>
    <w:rsid w:val="00156D2F"/>
    <w:rsid w:val="0015725B"/>
    <w:rsid w:val="0016268D"/>
    <w:rsid w:val="00163506"/>
    <w:rsid w:val="001635FF"/>
    <w:rsid w:val="00163A44"/>
    <w:rsid w:val="00163CE0"/>
    <w:rsid w:val="00163F6C"/>
    <w:rsid w:val="00164780"/>
    <w:rsid w:val="00165096"/>
    <w:rsid w:val="00165158"/>
    <w:rsid w:val="00166307"/>
    <w:rsid w:val="00166C51"/>
    <w:rsid w:val="0016710B"/>
    <w:rsid w:val="001673B9"/>
    <w:rsid w:val="001676CD"/>
    <w:rsid w:val="001677C7"/>
    <w:rsid w:val="00167F3E"/>
    <w:rsid w:val="00167F6D"/>
    <w:rsid w:val="00170779"/>
    <w:rsid w:val="00171AC2"/>
    <w:rsid w:val="00171D12"/>
    <w:rsid w:val="00172033"/>
    <w:rsid w:val="00172388"/>
    <w:rsid w:val="00172A27"/>
    <w:rsid w:val="00172C29"/>
    <w:rsid w:val="00172DDE"/>
    <w:rsid w:val="00174392"/>
    <w:rsid w:val="001747C4"/>
    <w:rsid w:val="001749E8"/>
    <w:rsid w:val="00176FE1"/>
    <w:rsid w:val="001775B1"/>
    <w:rsid w:val="00177BF3"/>
    <w:rsid w:val="00177F6C"/>
    <w:rsid w:val="00180645"/>
    <w:rsid w:val="00180D1F"/>
    <w:rsid w:val="00181171"/>
    <w:rsid w:val="00181D61"/>
    <w:rsid w:val="001826B1"/>
    <w:rsid w:val="00182A7F"/>
    <w:rsid w:val="0018302E"/>
    <w:rsid w:val="00183F7E"/>
    <w:rsid w:val="00184283"/>
    <w:rsid w:val="00185235"/>
    <w:rsid w:val="0018654F"/>
    <w:rsid w:val="001869B7"/>
    <w:rsid w:val="001869CF"/>
    <w:rsid w:val="00187370"/>
    <w:rsid w:val="00187867"/>
    <w:rsid w:val="0019048B"/>
    <w:rsid w:val="00191DE2"/>
    <w:rsid w:val="0019207A"/>
    <w:rsid w:val="0019291D"/>
    <w:rsid w:val="00192A77"/>
    <w:rsid w:val="00193AB2"/>
    <w:rsid w:val="0019406E"/>
    <w:rsid w:val="00194D37"/>
    <w:rsid w:val="0019517E"/>
    <w:rsid w:val="001952E7"/>
    <w:rsid w:val="001958BD"/>
    <w:rsid w:val="00195B50"/>
    <w:rsid w:val="00196216"/>
    <w:rsid w:val="00196EEC"/>
    <w:rsid w:val="00197312"/>
    <w:rsid w:val="00197B93"/>
    <w:rsid w:val="001A02F1"/>
    <w:rsid w:val="001A07C3"/>
    <w:rsid w:val="001A0EA2"/>
    <w:rsid w:val="001A1162"/>
    <w:rsid w:val="001A1A46"/>
    <w:rsid w:val="001A2276"/>
    <w:rsid w:val="001A298E"/>
    <w:rsid w:val="001A2A8A"/>
    <w:rsid w:val="001A300C"/>
    <w:rsid w:val="001A46EA"/>
    <w:rsid w:val="001A5100"/>
    <w:rsid w:val="001A5514"/>
    <w:rsid w:val="001A7CF7"/>
    <w:rsid w:val="001A7FB1"/>
    <w:rsid w:val="001A7FB7"/>
    <w:rsid w:val="001B2D10"/>
    <w:rsid w:val="001B3BF3"/>
    <w:rsid w:val="001B4B67"/>
    <w:rsid w:val="001B4C92"/>
    <w:rsid w:val="001B59EC"/>
    <w:rsid w:val="001B5C4B"/>
    <w:rsid w:val="001B65A9"/>
    <w:rsid w:val="001B77D8"/>
    <w:rsid w:val="001C0883"/>
    <w:rsid w:val="001C0BB6"/>
    <w:rsid w:val="001C1666"/>
    <w:rsid w:val="001C3311"/>
    <w:rsid w:val="001C34BB"/>
    <w:rsid w:val="001C4D07"/>
    <w:rsid w:val="001C4EC0"/>
    <w:rsid w:val="001C54B5"/>
    <w:rsid w:val="001C7753"/>
    <w:rsid w:val="001C7AD6"/>
    <w:rsid w:val="001C7C37"/>
    <w:rsid w:val="001C7E6B"/>
    <w:rsid w:val="001D00DB"/>
    <w:rsid w:val="001D029B"/>
    <w:rsid w:val="001D0428"/>
    <w:rsid w:val="001D14E8"/>
    <w:rsid w:val="001D182B"/>
    <w:rsid w:val="001D1A61"/>
    <w:rsid w:val="001D1B80"/>
    <w:rsid w:val="001D208E"/>
    <w:rsid w:val="001D3B88"/>
    <w:rsid w:val="001D3C03"/>
    <w:rsid w:val="001D436D"/>
    <w:rsid w:val="001D4C95"/>
    <w:rsid w:val="001D4F82"/>
    <w:rsid w:val="001D5D70"/>
    <w:rsid w:val="001D5DEC"/>
    <w:rsid w:val="001D6B9E"/>
    <w:rsid w:val="001D71A2"/>
    <w:rsid w:val="001D7C12"/>
    <w:rsid w:val="001D7C87"/>
    <w:rsid w:val="001E04CD"/>
    <w:rsid w:val="001E0833"/>
    <w:rsid w:val="001E08BD"/>
    <w:rsid w:val="001E08EB"/>
    <w:rsid w:val="001E102D"/>
    <w:rsid w:val="001E149C"/>
    <w:rsid w:val="001E1903"/>
    <w:rsid w:val="001E1C5B"/>
    <w:rsid w:val="001E2100"/>
    <w:rsid w:val="001E2CAB"/>
    <w:rsid w:val="001E2F0B"/>
    <w:rsid w:val="001E364F"/>
    <w:rsid w:val="001E40F5"/>
    <w:rsid w:val="001E415D"/>
    <w:rsid w:val="001E4B84"/>
    <w:rsid w:val="001E4C7C"/>
    <w:rsid w:val="001E5384"/>
    <w:rsid w:val="001E5C9B"/>
    <w:rsid w:val="001E6E6E"/>
    <w:rsid w:val="001E7083"/>
    <w:rsid w:val="001E70F2"/>
    <w:rsid w:val="001E76E1"/>
    <w:rsid w:val="001E7970"/>
    <w:rsid w:val="001E7B89"/>
    <w:rsid w:val="001F0A2C"/>
    <w:rsid w:val="001F1240"/>
    <w:rsid w:val="001F174A"/>
    <w:rsid w:val="001F3E51"/>
    <w:rsid w:val="001F40C6"/>
    <w:rsid w:val="001F59F4"/>
    <w:rsid w:val="001F7B3C"/>
    <w:rsid w:val="00200B9F"/>
    <w:rsid w:val="00200DC2"/>
    <w:rsid w:val="00201AE7"/>
    <w:rsid w:val="002028F2"/>
    <w:rsid w:val="002029AE"/>
    <w:rsid w:val="00204BB4"/>
    <w:rsid w:val="00204EC5"/>
    <w:rsid w:val="00206B9D"/>
    <w:rsid w:val="00206BE5"/>
    <w:rsid w:val="00206E1D"/>
    <w:rsid w:val="002071B1"/>
    <w:rsid w:val="002117E2"/>
    <w:rsid w:val="002124FA"/>
    <w:rsid w:val="0021330A"/>
    <w:rsid w:val="002135E6"/>
    <w:rsid w:val="00213C94"/>
    <w:rsid w:val="00213D88"/>
    <w:rsid w:val="00214F22"/>
    <w:rsid w:val="00215D33"/>
    <w:rsid w:val="002166F8"/>
    <w:rsid w:val="002178B2"/>
    <w:rsid w:val="00217D29"/>
    <w:rsid w:val="00217FC6"/>
    <w:rsid w:val="00220BC1"/>
    <w:rsid w:val="00221651"/>
    <w:rsid w:val="002216B5"/>
    <w:rsid w:val="00221BD7"/>
    <w:rsid w:val="00221CB9"/>
    <w:rsid w:val="00221F7E"/>
    <w:rsid w:val="002220B4"/>
    <w:rsid w:val="00222236"/>
    <w:rsid w:val="0022293A"/>
    <w:rsid w:val="002242F3"/>
    <w:rsid w:val="0022437F"/>
    <w:rsid w:val="00224522"/>
    <w:rsid w:val="002249FD"/>
    <w:rsid w:val="002260F1"/>
    <w:rsid w:val="002261E3"/>
    <w:rsid w:val="002265E8"/>
    <w:rsid w:val="00226B55"/>
    <w:rsid w:val="0023073C"/>
    <w:rsid w:val="002307E7"/>
    <w:rsid w:val="0023093E"/>
    <w:rsid w:val="00232603"/>
    <w:rsid w:val="00233ACB"/>
    <w:rsid w:val="00233DE7"/>
    <w:rsid w:val="00234569"/>
    <w:rsid w:val="00234647"/>
    <w:rsid w:val="002348F4"/>
    <w:rsid w:val="002366FF"/>
    <w:rsid w:val="00236C48"/>
    <w:rsid w:val="00236E9D"/>
    <w:rsid w:val="00237A85"/>
    <w:rsid w:val="00237D04"/>
    <w:rsid w:val="00241A59"/>
    <w:rsid w:val="002423E7"/>
    <w:rsid w:val="00242677"/>
    <w:rsid w:val="00242E13"/>
    <w:rsid w:val="00243FAC"/>
    <w:rsid w:val="00244776"/>
    <w:rsid w:val="00244D8D"/>
    <w:rsid w:val="00245745"/>
    <w:rsid w:val="00246E0A"/>
    <w:rsid w:val="00247C59"/>
    <w:rsid w:val="002524C9"/>
    <w:rsid w:val="00253820"/>
    <w:rsid w:val="00254299"/>
    <w:rsid w:val="00254DAC"/>
    <w:rsid w:val="00255650"/>
    <w:rsid w:val="00255CB0"/>
    <w:rsid w:val="00256965"/>
    <w:rsid w:val="00256B46"/>
    <w:rsid w:val="002570B5"/>
    <w:rsid w:val="0025710E"/>
    <w:rsid w:val="002576B9"/>
    <w:rsid w:val="002607A0"/>
    <w:rsid w:val="002609C7"/>
    <w:rsid w:val="0026159A"/>
    <w:rsid w:val="00261871"/>
    <w:rsid w:val="00261AF2"/>
    <w:rsid w:val="00261B3D"/>
    <w:rsid w:val="002626DC"/>
    <w:rsid w:val="00262CE8"/>
    <w:rsid w:val="00263D5F"/>
    <w:rsid w:val="00264AE5"/>
    <w:rsid w:val="00264AF2"/>
    <w:rsid w:val="00265A9E"/>
    <w:rsid w:val="0027061E"/>
    <w:rsid w:val="002707FA"/>
    <w:rsid w:val="00270C86"/>
    <w:rsid w:val="002710C1"/>
    <w:rsid w:val="0027144B"/>
    <w:rsid w:val="00271638"/>
    <w:rsid w:val="00271C78"/>
    <w:rsid w:val="002728E4"/>
    <w:rsid w:val="00272A60"/>
    <w:rsid w:val="00272CE6"/>
    <w:rsid w:val="00272F5B"/>
    <w:rsid w:val="00274308"/>
    <w:rsid w:val="002743D9"/>
    <w:rsid w:val="00275073"/>
    <w:rsid w:val="00275595"/>
    <w:rsid w:val="00275CB8"/>
    <w:rsid w:val="00275E91"/>
    <w:rsid w:val="00276B36"/>
    <w:rsid w:val="00276E32"/>
    <w:rsid w:val="0028031F"/>
    <w:rsid w:val="002813E5"/>
    <w:rsid w:val="0028275A"/>
    <w:rsid w:val="0028281E"/>
    <w:rsid w:val="00282D0A"/>
    <w:rsid w:val="0028388B"/>
    <w:rsid w:val="0028452D"/>
    <w:rsid w:val="002856F3"/>
    <w:rsid w:val="002858AE"/>
    <w:rsid w:val="00285E84"/>
    <w:rsid w:val="00286095"/>
    <w:rsid w:val="00286D04"/>
    <w:rsid w:val="00286E49"/>
    <w:rsid w:val="00287493"/>
    <w:rsid w:val="00290B6A"/>
    <w:rsid w:val="002916A7"/>
    <w:rsid w:val="00291BD7"/>
    <w:rsid w:val="00292D6E"/>
    <w:rsid w:val="00292F29"/>
    <w:rsid w:val="00293466"/>
    <w:rsid w:val="002944AC"/>
    <w:rsid w:val="0029457B"/>
    <w:rsid w:val="002959EB"/>
    <w:rsid w:val="00296EED"/>
    <w:rsid w:val="00296FC9"/>
    <w:rsid w:val="002970DC"/>
    <w:rsid w:val="00297818"/>
    <w:rsid w:val="00297873"/>
    <w:rsid w:val="00297A75"/>
    <w:rsid w:val="002A0CA4"/>
    <w:rsid w:val="002A1698"/>
    <w:rsid w:val="002A16D5"/>
    <w:rsid w:val="002A282D"/>
    <w:rsid w:val="002A2D33"/>
    <w:rsid w:val="002A418E"/>
    <w:rsid w:val="002A4551"/>
    <w:rsid w:val="002A4BC7"/>
    <w:rsid w:val="002A5A20"/>
    <w:rsid w:val="002A5BA8"/>
    <w:rsid w:val="002A5C26"/>
    <w:rsid w:val="002A5E3F"/>
    <w:rsid w:val="002A6610"/>
    <w:rsid w:val="002A6A0B"/>
    <w:rsid w:val="002A6B6B"/>
    <w:rsid w:val="002A7184"/>
    <w:rsid w:val="002A724C"/>
    <w:rsid w:val="002A7263"/>
    <w:rsid w:val="002B0416"/>
    <w:rsid w:val="002B04CE"/>
    <w:rsid w:val="002B0973"/>
    <w:rsid w:val="002B2AD2"/>
    <w:rsid w:val="002B32C0"/>
    <w:rsid w:val="002B35DD"/>
    <w:rsid w:val="002B37D0"/>
    <w:rsid w:val="002B4408"/>
    <w:rsid w:val="002B46C3"/>
    <w:rsid w:val="002B4A47"/>
    <w:rsid w:val="002B5DC9"/>
    <w:rsid w:val="002B5FF6"/>
    <w:rsid w:val="002B61D2"/>
    <w:rsid w:val="002B69A5"/>
    <w:rsid w:val="002B73F1"/>
    <w:rsid w:val="002B7733"/>
    <w:rsid w:val="002C01CD"/>
    <w:rsid w:val="002C060E"/>
    <w:rsid w:val="002C0760"/>
    <w:rsid w:val="002C0775"/>
    <w:rsid w:val="002C0BD4"/>
    <w:rsid w:val="002C15FB"/>
    <w:rsid w:val="002C205D"/>
    <w:rsid w:val="002C2AB4"/>
    <w:rsid w:val="002C2D50"/>
    <w:rsid w:val="002C2E29"/>
    <w:rsid w:val="002C3796"/>
    <w:rsid w:val="002C3C14"/>
    <w:rsid w:val="002C3E3D"/>
    <w:rsid w:val="002C41C0"/>
    <w:rsid w:val="002C421E"/>
    <w:rsid w:val="002C4792"/>
    <w:rsid w:val="002C4A9A"/>
    <w:rsid w:val="002C526B"/>
    <w:rsid w:val="002C5FCB"/>
    <w:rsid w:val="002C7136"/>
    <w:rsid w:val="002C734D"/>
    <w:rsid w:val="002C73DE"/>
    <w:rsid w:val="002C7406"/>
    <w:rsid w:val="002C796C"/>
    <w:rsid w:val="002C7C29"/>
    <w:rsid w:val="002D1754"/>
    <w:rsid w:val="002D2AFA"/>
    <w:rsid w:val="002D32B8"/>
    <w:rsid w:val="002D335A"/>
    <w:rsid w:val="002D3A70"/>
    <w:rsid w:val="002D3F07"/>
    <w:rsid w:val="002D4B4E"/>
    <w:rsid w:val="002D4EB5"/>
    <w:rsid w:val="002D5925"/>
    <w:rsid w:val="002D5B87"/>
    <w:rsid w:val="002D5D3A"/>
    <w:rsid w:val="002D72A8"/>
    <w:rsid w:val="002D7EAC"/>
    <w:rsid w:val="002E0AC9"/>
    <w:rsid w:val="002E14A0"/>
    <w:rsid w:val="002E18C6"/>
    <w:rsid w:val="002E18EE"/>
    <w:rsid w:val="002E287B"/>
    <w:rsid w:val="002E2FE6"/>
    <w:rsid w:val="002E32DB"/>
    <w:rsid w:val="002E3974"/>
    <w:rsid w:val="002E3FF3"/>
    <w:rsid w:val="002E49C0"/>
    <w:rsid w:val="002E4A56"/>
    <w:rsid w:val="002E5BAA"/>
    <w:rsid w:val="002E5E09"/>
    <w:rsid w:val="002E63B1"/>
    <w:rsid w:val="002E6922"/>
    <w:rsid w:val="002E6B68"/>
    <w:rsid w:val="002E786C"/>
    <w:rsid w:val="002E79F3"/>
    <w:rsid w:val="002F08CE"/>
    <w:rsid w:val="002F10A1"/>
    <w:rsid w:val="002F298E"/>
    <w:rsid w:val="002F2A8C"/>
    <w:rsid w:val="002F2AF7"/>
    <w:rsid w:val="002F30DB"/>
    <w:rsid w:val="002F4A0A"/>
    <w:rsid w:val="002F4AFE"/>
    <w:rsid w:val="002F5655"/>
    <w:rsid w:val="002F5F88"/>
    <w:rsid w:val="002F6673"/>
    <w:rsid w:val="002F6CCB"/>
    <w:rsid w:val="002F6DE8"/>
    <w:rsid w:val="002F7CAB"/>
    <w:rsid w:val="002F7D9E"/>
    <w:rsid w:val="00300196"/>
    <w:rsid w:val="00300804"/>
    <w:rsid w:val="00300BDD"/>
    <w:rsid w:val="00300C42"/>
    <w:rsid w:val="0030268F"/>
    <w:rsid w:val="00302B6B"/>
    <w:rsid w:val="00306272"/>
    <w:rsid w:val="0030676D"/>
    <w:rsid w:val="00306F58"/>
    <w:rsid w:val="00306FBE"/>
    <w:rsid w:val="003078A6"/>
    <w:rsid w:val="00307F67"/>
    <w:rsid w:val="00312A4C"/>
    <w:rsid w:val="00312C08"/>
    <w:rsid w:val="003130CF"/>
    <w:rsid w:val="00313450"/>
    <w:rsid w:val="003137B5"/>
    <w:rsid w:val="00313837"/>
    <w:rsid w:val="003141A0"/>
    <w:rsid w:val="003142FE"/>
    <w:rsid w:val="00314771"/>
    <w:rsid w:val="00314BA2"/>
    <w:rsid w:val="003152F3"/>
    <w:rsid w:val="003156A2"/>
    <w:rsid w:val="00315DAD"/>
    <w:rsid w:val="0031635C"/>
    <w:rsid w:val="003166E4"/>
    <w:rsid w:val="00316889"/>
    <w:rsid w:val="00320442"/>
    <w:rsid w:val="00320D96"/>
    <w:rsid w:val="003215DE"/>
    <w:rsid w:val="003217E6"/>
    <w:rsid w:val="003219F6"/>
    <w:rsid w:val="00321F14"/>
    <w:rsid w:val="00321FFC"/>
    <w:rsid w:val="0032211B"/>
    <w:rsid w:val="003226A2"/>
    <w:rsid w:val="00322798"/>
    <w:rsid w:val="003228F0"/>
    <w:rsid w:val="00323E90"/>
    <w:rsid w:val="00324CEF"/>
    <w:rsid w:val="00324E9F"/>
    <w:rsid w:val="003250CA"/>
    <w:rsid w:val="00325211"/>
    <w:rsid w:val="003258A7"/>
    <w:rsid w:val="00325C63"/>
    <w:rsid w:val="00326234"/>
    <w:rsid w:val="00326D03"/>
    <w:rsid w:val="00327048"/>
    <w:rsid w:val="0032780F"/>
    <w:rsid w:val="003307AE"/>
    <w:rsid w:val="0033143C"/>
    <w:rsid w:val="00331A18"/>
    <w:rsid w:val="00331BE8"/>
    <w:rsid w:val="00331ECF"/>
    <w:rsid w:val="003329BB"/>
    <w:rsid w:val="003334F5"/>
    <w:rsid w:val="00333DAB"/>
    <w:rsid w:val="00333DB4"/>
    <w:rsid w:val="00334971"/>
    <w:rsid w:val="00334BE5"/>
    <w:rsid w:val="0033661E"/>
    <w:rsid w:val="00336AF8"/>
    <w:rsid w:val="0033725B"/>
    <w:rsid w:val="00337DF6"/>
    <w:rsid w:val="003409D7"/>
    <w:rsid w:val="00341653"/>
    <w:rsid w:val="003422A6"/>
    <w:rsid w:val="0034256E"/>
    <w:rsid w:val="00342715"/>
    <w:rsid w:val="00342BD4"/>
    <w:rsid w:val="003433A6"/>
    <w:rsid w:val="0034406D"/>
    <w:rsid w:val="0034457E"/>
    <w:rsid w:val="00344C4C"/>
    <w:rsid w:val="00345F6C"/>
    <w:rsid w:val="0034739B"/>
    <w:rsid w:val="00347C73"/>
    <w:rsid w:val="00350529"/>
    <w:rsid w:val="00350685"/>
    <w:rsid w:val="0035205B"/>
    <w:rsid w:val="00353022"/>
    <w:rsid w:val="00353457"/>
    <w:rsid w:val="0035359A"/>
    <w:rsid w:val="00353695"/>
    <w:rsid w:val="0035385A"/>
    <w:rsid w:val="003538CD"/>
    <w:rsid w:val="003545D7"/>
    <w:rsid w:val="003546CC"/>
    <w:rsid w:val="00354CA7"/>
    <w:rsid w:val="00354D00"/>
    <w:rsid w:val="0035524E"/>
    <w:rsid w:val="00355BA6"/>
    <w:rsid w:val="00356329"/>
    <w:rsid w:val="003564AC"/>
    <w:rsid w:val="00356637"/>
    <w:rsid w:val="00356825"/>
    <w:rsid w:val="00356852"/>
    <w:rsid w:val="00356D4A"/>
    <w:rsid w:val="003605E9"/>
    <w:rsid w:val="003611E8"/>
    <w:rsid w:val="003616F3"/>
    <w:rsid w:val="00361CD6"/>
    <w:rsid w:val="00362597"/>
    <w:rsid w:val="00362749"/>
    <w:rsid w:val="003627E6"/>
    <w:rsid w:val="003628F1"/>
    <w:rsid w:val="0036326A"/>
    <w:rsid w:val="00363B16"/>
    <w:rsid w:val="00363CAA"/>
    <w:rsid w:val="003641B1"/>
    <w:rsid w:val="003657C5"/>
    <w:rsid w:val="00365B69"/>
    <w:rsid w:val="00366E2E"/>
    <w:rsid w:val="00367367"/>
    <w:rsid w:val="00367719"/>
    <w:rsid w:val="003702FB"/>
    <w:rsid w:val="0037039E"/>
    <w:rsid w:val="003706E5"/>
    <w:rsid w:val="00370FDA"/>
    <w:rsid w:val="00370FE3"/>
    <w:rsid w:val="00371426"/>
    <w:rsid w:val="00371C58"/>
    <w:rsid w:val="003724C0"/>
    <w:rsid w:val="0037287A"/>
    <w:rsid w:val="003728A9"/>
    <w:rsid w:val="00372FA8"/>
    <w:rsid w:val="00372FD7"/>
    <w:rsid w:val="003730D0"/>
    <w:rsid w:val="003747C8"/>
    <w:rsid w:val="003756C4"/>
    <w:rsid w:val="0037671D"/>
    <w:rsid w:val="00376B80"/>
    <w:rsid w:val="00376BB7"/>
    <w:rsid w:val="00377D85"/>
    <w:rsid w:val="00377ECB"/>
    <w:rsid w:val="00377F63"/>
    <w:rsid w:val="003808D3"/>
    <w:rsid w:val="003808F7"/>
    <w:rsid w:val="00380E84"/>
    <w:rsid w:val="00382427"/>
    <w:rsid w:val="0038298C"/>
    <w:rsid w:val="00382F85"/>
    <w:rsid w:val="00383095"/>
    <w:rsid w:val="00384BE2"/>
    <w:rsid w:val="00384FD1"/>
    <w:rsid w:val="0038500C"/>
    <w:rsid w:val="00385291"/>
    <w:rsid w:val="00385510"/>
    <w:rsid w:val="00386469"/>
    <w:rsid w:val="00386484"/>
    <w:rsid w:val="00386D89"/>
    <w:rsid w:val="0038771C"/>
    <w:rsid w:val="00387E65"/>
    <w:rsid w:val="003907C6"/>
    <w:rsid w:val="00390813"/>
    <w:rsid w:val="00390E2B"/>
    <w:rsid w:val="003912DC"/>
    <w:rsid w:val="00391579"/>
    <w:rsid w:val="00391A20"/>
    <w:rsid w:val="003923E5"/>
    <w:rsid w:val="00392C4E"/>
    <w:rsid w:val="00392E3A"/>
    <w:rsid w:val="00392F9F"/>
    <w:rsid w:val="00393E17"/>
    <w:rsid w:val="00394392"/>
    <w:rsid w:val="003954B8"/>
    <w:rsid w:val="003957BE"/>
    <w:rsid w:val="00397EDB"/>
    <w:rsid w:val="003A05A2"/>
    <w:rsid w:val="003A140F"/>
    <w:rsid w:val="003A153D"/>
    <w:rsid w:val="003A15F9"/>
    <w:rsid w:val="003A173A"/>
    <w:rsid w:val="003A2601"/>
    <w:rsid w:val="003A2952"/>
    <w:rsid w:val="003A2BA5"/>
    <w:rsid w:val="003A4610"/>
    <w:rsid w:val="003A4929"/>
    <w:rsid w:val="003A4BC9"/>
    <w:rsid w:val="003A563C"/>
    <w:rsid w:val="003A5FEB"/>
    <w:rsid w:val="003B0A9A"/>
    <w:rsid w:val="003B13DC"/>
    <w:rsid w:val="003B46B0"/>
    <w:rsid w:val="003B4968"/>
    <w:rsid w:val="003B513A"/>
    <w:rsid w:val="003B6018"/>
    <w:rsid w:val="003B64BB"/>
    <w:rsid w:val="003B6B94"/>
    <w:rsid w:val="003B6BE4"/>
    <w:rsid w:val="003B7E51"/>
    <w:rsid w:val="003B7ECA"/>
    <w:rsid w:val="003C020C"/>
    <w:rsid w:val="003C05CC"/>
    <w:rsid w:val="003C07DC"/>
    <w:rsid w:val="003C1B26"/>
    <w:rsid w:val="003C3469"/>
    <w:rsid w:val="003C41C9"/>
    <w:rsid w:val="003C5374"/>
    <w:rsid w:val="003C5970"/>
    <w:rsid w:val="003C5E11"/>
    <w:rsid w:val="003C630D"/>
    <w:rsid w:val="003C79B8"/>
    <w:rsid w:val="003C7B3D"/>
    <w:rsid w:val="003D0506"/>
    <w:rsid w:val="003D0AD0"/>
    <w:rsid w:val="003D110F"/>
    <w:rsid w:val="003D1801"/>
    <w:rsid w:val="003D2B7A"/>
    <w:rsid w:val="003D30F9"/>
    <w:rsid w:val="003D3361"/>
    <w:rsid w:val="003D3468"/>
    <w:rsid w:val="003D4228"/>
    <w:rsid w:val="003D438C"/>
    <w:rsid w:val="003D549F"/>
    <w:rsid w:val="003D54FD"/>
    <w:rsid w:val="003E039E"/>
    <w:rsid w:val="003E0EE2"/>
    <w:rsid w:val="003E12A4"/>
    <w:rsid w:val="003E1486"/>
    <w:rsid w:val="003E14A5"/>
    <w:rsid w:val="003E1B89"/>
    <w:rsid w:val="003E23C1"/>
    <w:rsid w:val="003E2B75"/>
    <w:rsid w:val="003E2D1A"/>
    <w:rsid w:val="003E30E7"/>
    <w:rsid w:val="003E407D"/>
    <w:rsid w:val="003E4367"/>
    <w:rsid w:val="003E47C1"/>
    <w:rsid w:val="003E5418"/>
    <w:rsid w:val="003E541F"/>
    <w:rsid w:val="003E5655"/>
    <w:rsid w:val="003E5D12"/>
    <w:rsid w:val="003E5E75"/>
    <w:rsid w:val="003E60C9"/>
    <w:rsid w:val="003E61C7"/>
    <w:rsid w:val="003E62F8"/>
    <w:rsid w:val="003E72B5"/>
    <w:rsid w:val="003E78D5"/>
    <w:rsid w:val="003F03DB"/>
    <w:rsid w:val="003F10DC"/>
    <w:rsid w:val="003F1CEC"/>
    <w:rsid w:val="003F2080"/>
    <w:rsid w:val="003F25A3"/>
    <w:rsid w:val="003F338F"/>
    <w:rsid w:val="003F356A"/>
    <w:rsid w:val="003F3E2E"/>
    <w:rsid w:val="003F52E0"/>
    <w:rsid w:val="003F588A"/>
    <w:rsid w:val="003F5A06"/>
    <w:rsid w:val="003F6CD2"/>
    <w:rsid w:val="003F70D2"/>
    <w:rsid w:val="003F7707"/>
    <w:rsid w:val="004009E6"/>
    <w:rsid w:val="00400DD3"/>
    <w:rsid w:val="00401391"/>
    <w:rsid w:val="00402491"/>
    <w:rsid w:val="00402F3F"/>
    <w:rsid w:val="00402FEB"/>
    <w:rsid w:val="00403329"/>
    <w:rsid w:val="00403A24"/>
    <w:rsid w:val="00403F52"/>
    <w:rsid w:val="00404185"/>
    <w:rsid w:val="004073CA"/>
    <w:rsid w:val="00410365"/>
    <w:rsid w:val="004103F3"/>
    <w:rsid w:val="00410487"/>
    <w:rsid w:val="004106F9"/>
    <w:rsid w:val="00410709"/>
    <w:rsid w:val="00410DDD"/>
    <w:rsid w:val="004115C2"/>
    <w:rsid w:val="0041169A"/>
    <w:rsid w:val="004116CB"/>
    <w:rsid w:val="004127BE"/>
    <w:rsid w:val="004135DD"/>
    <w:rsid w:val="00413EF4"/>
    <w:rsid w:val="0041414D"/>
    <w:rsid w:val="00414DFD"/>
    <w:rsid w:val="004152F4"/>
    <w:rsid w:val="004161A3"/>
    <w:rsid w:val="004161BE"/>
    <w:rsid w:val="0041668E"/>
    <w:rsid w:val="00416923"/>
    <w:rsid w:val="00416CEA"/>
    <w:rsid w:val="00417C7E"/>
    <w:rsid w:val="004206D5"/>
    <w:rsid w:val="00420DEF"/>
    <w:rsid w:val="0042107E"/>
    <w:rsid w:val="00421098"/>
    <w:rsid w:val="00421353"/>
    <w:rsid w:val="004214A2"/>
    <w:rsid w:val="00421906"/>
    <w:rsid w:val="00421E6B"/>
    <w:rsid w:val="0042230A"/>
    <w:rsid w:val="00423301"/>
    <w:rsid w:val="00423DB6"/>
    <w:rsid w:val="00423ED7"/>
    <w:rsid w:val="004244C0"/>
    <w:rsid w:val="00424797"/>
    <w:rsid w:val="00424C08"/>
    <w:rsid w:val="00424C76"/>
    <w:rsid w:val="00425259"/>
    <w:rsid w:val="0042668C"/>
    <w:rsid w:val="00426901"/>
    <w:rsid w:val="00426C38"/>
    <w:rsid w:val="004271E3"/>
    <w:rsid w:val="004273CF"/>
    <w:rsid w:val="00427698"/>
    <w:rsid w:val="00427C81"/>
    <w:rsid w:val="004300E3"/>
    <w:rsid w:val="00430848"/>
    <w:rsid w:val="004308D6"/>
    <w:rsid w:val="00430AC0"/>
    <w:rsid w:val="00430E49"/>
    <w:rsid w:val="004311CD"/>
    <w:rsid w:val="0043148D"/>
    <w:rsid w:val="00431508"/>
    <w:rsid w:val="00431541"/>
    <w:rsid w:val="00432560"/>
    <w:rsid w:val="004332CF"/>
    <w:rsid w:val="004332E6"/>
    <w:rsid w:val="00433812"/>
    <w:rsid w:val="00433BEA"/>
    <w:rsid w:val="00433C6A"/>
    <w:rsid w:val="00433FA1"/>
    <w:rsid w:val="00434356"/>
    <w:rsid w:val="00434744"/>
    <w:rsid w:val="00434883"/>
    <w:rsid w:val="00434B1A"/>
    <w:rsid w:val="00434B5B"/>
    <w:rsid w:val="00434CC0"/>
    <w:rsid w:val="0043503A"/>
    <w:rsid w:val="004355C9"/>
    <w:rsid w:val="00435641"/>
    <w:rsid w:val="00435A9C"/>
    <w:rsid w:val="00436458"/>
    <w:rsid w:val="00437084"/>
    <w:rsid w:val="00437829"/>
    <w:rsid w:val="0044045D"/>
    <w:rsid w:val="0044057A"/>
    <w:rsid w:val="00442DB6"/>
    <w:rsid w:val="00444962"/>
    <w:rsid w:val="00444EF9"/>
    <w:rsid w:val="00445D86"/>
    <w:rsid w:val="00446204"/>
    <w:rsid w:val="004470E1"/>
    <w:rsid w:val="00447EB9"/>
    <w:rsid w:val="004507FE"/>
    <w:rsid w:val="00451272"/>
    <w:rsid w:val="004516C2"/>
    <w:rsid w:val="00452206"/>
    <w:rsid w:val="0045222E"/>
    <w:rsid w:val="004529C7"/>
    <w:rsid w:val="00452AB5"/>
    <w:rsid w:val="00452CCA"/>
    <w:rsid w:val="00453090"/>
    <w:rsid w:val="004533CB"/>
    <w:rsid w:val="0045477A"/>
    <w:rsid w:val="00455505"/>
    <w:rsid w:val="0045564A"/>
    <w:rsid w:val="0045572C"/>
    <w:rsid w:val="0045594F"/>
    <w:rsid w:val="00456205"/>
    <w:rsid w:val="00456679"/>
    <w:rsid w:val="00456850"/>
    <w:rsid w:val="00460288"/>
    <w:rsid w:val="00460358"/>
    <w:rsid w:val="0046089D"/>
    <w:rsid w:val="0046109B"/>
    <w:rsid w:val="0046145C"/>
    <w:rsid w:val="0046234C"/>
    <w:rsid w:val="004627BB"/>
    <w:rsid w:val="00462D5F"/>
    <w:rsid w:val="004644B5"/>
    <w:rsid w:val="0046501A"/>
    <w:rsid w:val="00465642"/>
    <w:rsid w:val="004659CD"/>
    <w:rsid w:val="00465C1A"/>
    <w:rsid w:val="0046604A"/>
    <w:rsid w:val="004669F9"/>
    <w:rsid w:val="00466C5E"/>
    <w:rsid w:val="00466F39"/>
    <w:rsid w:val="0046717C"/>
    <w:rsid w:val="00471262"/>
    <w:rsid w:val="00472010"/>
    <w:rsid w:val="0047390B"/>
    <w:rsid w:val="0047398F"/>
    <w:rsid w:val="00473D7F"/>
    <w:rsid w:val="00473E5C"/>
    <w:rsid w:val="00474924"/>
    <w:rsid w:val="004755EC"/>
    <w:rsid w:val="0047571A"/>
    <w:rsid w:val="0047784F"/>
    <w:rsid w:val="00477901"/>
    <w:rsid w:val="00480018"/>
    <w:rsid w:val="004802A7"/>
    <w:rsid w:val="00481B23"/>
    <w:rsid w:val="00481C7C"/>
    <w:rsid w:val="00481D42"/>
    <w:rsid w:val="00481EF2"/>
    <w:rsid w:val="00482080"/>
    <w:rsid w:val="00482E7D"/>
    <w:rsid w:val="00482FC8"/>
    <w:rsid w:val="00483206"/>
    <w:rsid w:val="004842AD"/>
    <w:rsid w:val="00484F54"/>
    <w:rsid w:val="00485FB6"/>
    <w:rsid w:val="004862FE"/>
    <w:rsid w:val="0048649E"/>
    <w:rsid w:val="00486935"/>
    <w:rsid w:val="0048728D"/>
    <w:rsid w:val="004873CF"/>
    <w:rsid w:val="00487FC3"/>
    <w:rsid w:val="004905F1"/>
    <w:rsid w:val="00490F80"/>
    <w:rsid w:val="00491512"/>
    <w:rsid w:val="0049171E"/>
    <w:rsid w:val="00492CA3"/>
    <w:rsid w:val="00494236"/>
    <w:rsid w:val="00494502"/>
    <w:rsid w:val="0049739F"/>
    <w:rsid w:val="004A0B58"/>
    <w:rsid w:val="004A10CC"/>
    <w:rsid w:val="004A2D43"/>
    <w:rsid w:val="004A3034"/>
    <w:rsid w:val="004A358D"/>
    <w:rsid w:val="004A3A02"/>
    <w:rsid w:val="004A42FB"/>
    <w:rsid w:val="004A5415"/>
    <w:rsid w:val="004A5417"/>
    <w:rsid w:val="004A5953"/>
    <w:rsid w:val="004A5B53"/>
    <w:rsid w:val="004A5EA4"/>
    <w:rsid w:val="004A6395"/>
    <w:rsid w:val="004A7061"/>
    <w:rsid w:val="004A758D"/>
    <w:rsid w:val="004A7D00"/>
    <w:rsid w:val="004B001D"/>
    <w:rsid w:val="004B04F0"/>
    <w:rsid w:val="004B0B57"/>
    <w:rsid w:val="004B107A"/>
    <w:rsid w:val="004B1723"/>
    <w:rsid w:val="004B290F"/>
    <w:rsid w:val="004B4980"/>
    <w:rsid w:val="004B49B9"/>
    <w:rsid w:val="004B50EF"/>
    <w:rsid w:val="004B566B"/>
    <w:rsid w:val="004B6326"/>
    <w:rsid w:val="004B69F3"/>
    <w:rsid w:val="004B7994"/>
    <w:rsid w:val="004C0B2E"/>
    <w:rsid w:val="004C1A1D"/>
    <w:rsid w:val="004C1A90"/>
    <w:rsid w:val="004C1DF9"/>
    <w:rsid w:val="004C3B51"/>
    <w:rsid w:val="004C41EB"/>
    <w:rsid w:val="004C5413"/>
    <w:rsid w:val="004C55B0"/>
    <w:rsid w:val="004C60CF"/>
    <w:rsid w:val="004C6429"/>
    <w:rsid w:val="004C6A88"/>
    <w:rsid w:val="004C7D6C"/>
    <w:rsid w:val="004D004C"/>
    <w:rsid w:val="004D0774"/>
    <w:rsid w:val="004D091C"/>
    <w:rsid w:val="004D0D07"/>
    <w:rsid w:val="004D0E89"/>
    <w:rsid w:val="004D2212"/>
    <w:rsid w:val="004D2B95"/>
    <w:rsid w:val="004D5F64"/>
    <w:rsid w:val="004D6332"/>
    <w:rsid w:val="004D6AEE"/>
    <w:rsid w:val="004D74D8"/>
    <w:rsid w:val="004E057A"/>
    <w:rsid w:val="004E0701"/>
    <w:rsid w:val="004E0C0C"/>
    <w:rsid w:val="004E3737"/>
    <w:rsid w:val="004E43D2"/>
    <w:rsid w:val="004E529C"/>
    <w:rsid w:val="004E614B"/>
    <w:rsid w:val="004E74DC"/>
    <w:rsid w:val="004E7CE8"/>
    <w:rsid w:val="004E7F94"/>
    <w:rsid w:val="004F110D"/>
    <w:rsid w:val="004F193A"/>
    <w:rsid w:val="004F25B4"/>
    <w:rsid w:val="004F25D5"/>
    <w:rsid w:val="004F3B2C"/>
    <w:rsid w:val="004F43D4"/>
    <w:rsid w:val="004F515D"/>
    <w:rsid w:val="004F534A"/>
    <w:rsid w:val="004F5FAB"/>
    <w:rsid w:val="004F6C95"/>
    <w:rsid w:val="004F71EC"/>
    <w:rsid w:val="004F7836"/>
    <w:rsid w:val="004F7DFE"/>
    <w:rsid w:val="00500463"/>
    <w:rsid w:val="005005A9"/>
    <w:rsid w:val="00500A97"/>
    <w:rsid w:val="0050134F"/>
    <w:rsid w:val="00501AE5"/>
    <w:rsid w:val="00501BE5"/>
    <w:rsid w:val="00502109"/>
    <w:rsid w:val="0050276B"/>
    <w:rsid w:val="0050360B"/>
    <w:rsid w:val="005045DD"/>
    <w:rsid w:val="005045F0"/>
    <w:rsid w:val="00504818"/>
    <w:rsid w:val="005052AA"/>
    <w:rsid w:val="0050559E"/>
    <w:rsid w:val="00505744"/>
    <w:rsid w:val="0050679F"/>
    <w:rsid w:val="00506DEC"/>
    <w:rsid w:val="00506F32"/>
    <w:rsid w:val="0050770B"/>
    <w:rsid w:val="005079DB"/>
    <w:rsid w:val="00510D19"/>
    <w:rsid w:val="00510E06"/>
    <w:rsid w:val="005110FA"/>
    <w:rsid w:val="005116D5"/>
    <w:rsid w:val="00511BA4"/>
    <w:rsid w:val="00511EF9"/>
    <w:rsid w:val="005131BA"/>
    <w:rsid w:val="00513CEB"/>
    <w:rsid w:val="00513FA3"/>
    <w:rsid w:val="005140E8"/>
    <w:rsid w:val="005146D8"/>
    <w:rsid w:val="0051542C"/>
    <w:rsid w:val="005157CE"/>
    <w:rsid w:val="00515891"/>
    <w:rsid w:val="00515D49"/>
    <w:rsid w:val="00516529"/>
    <w:rsid w:val="00516985"/>
    <w:rsid w:val="00516AE8"/>
    <w:rsid w:val="00516BAF"/>
    <w:rsid w:val="00517027"/>
    <w:rsid w:val="00517A8E"/>
    <w:rsid w:val="0052048A"/>
    <w:rsid w:val="005209D5"/>
    <w:rsid w:val="00520A15"/>
    <w:rsid w:val="00520E14"/>
    <w:rsid w:val="00521478"/>
    <w:rsid w:val="00521988"/>
    <w:rsid w:val="00521FC3"/>
    <w:rsid w:val="0052221E"/>
    <w:rsid w:val="005222A9"/>
    <w:rsid w:val="00522F50"/>
    <w:rsid w:val="005236B8"/>
    <w:rsid w:val="00523B8B"/>
    <w:rsid w:val="00525594"/>
    <w:rsid w:val="00525612"/>
    <w:rsid w:val="00525C1B"/>
    <w:rsid w:val="00526A04"/>
    <w:rsid w:val="00526A8E"/>
    <w:rsid w:val="00527442"/>
    <w:rsid w:val="00530DD1"/>
    <w:rsid w:val="005322F9"/>
    <w:rsid w:val="0053267A"/>
    <w:rsid w:val="005335EA"/>
    <w:rsid w:val="005337CC"/>
    <w:rsid w:val="0053524E"/>
    <w:rsid w:val="005357D3"/>
    <w:rsid w:val="00535B15"/>
    <w:rsid w:val="00535BBF"/>
    <w:rsid w:val="0053696C"/>
    <w:rsid w:val="00537792"/>
    <w:rsid w:val="005402A3"/>
    <w:rsid w:val="00540545"/>
    <w:rsid w:val="005413D4"/>
    <w:rsid w:val="00541746"/>
    <w:rsid w:val="005419CD"/>
    <w:rsid w:val="00541A6D"/>
    <w:rsid w:val="00541FF1"/>
    <w:rsid w:val="0054237D"/>
    <w:rsid w:val="005432F5"/>
    <w:rsid w:val="005435DC"/>
    <w:rsid w:val="00543BAB"/>
    <w:rsid w:val="00543C8A"/>
    <w:rsid w:val="00543DDC"/>
    <w:rsid w:val="00544D8A"/>
    <w:rsid w:val="00544DE3"/>
    <w:rsid w:val="00545033"/>
    <w:rsid w:val="00545368"/>
    <w:rsid w:val="00545490"/>
    <w:rsid w:val="00545714"/>
    <w:rsid w:val="00546088"/>
    <w:rsid w:val="00546B7D"/>
    <w:rsid w:val="00547312"/>
    <w:rsid w:val="00547FD5"/>
    <w:rsid w:val="00550C29"/>
    <w:rsid w:val="005511BD"/>
    <w:rsid w:val="005513EC"/>
    <w:rsid w:val="005524CD"/>
    <w:rsid w:val="00552676"/>
    <w:rsid w:val="00552798"/>
    <w:rsid w:val="00553AA5"/>
    <w:rsid w:val="005540BE"/>
    <w:rsid w:val="0055506E"/>
    <w:rsid w:val="00555B37"/>
    <w:rsid w:val="0055604B"/>
    <w:rsid w:val="00556A4E"/>
    <w:rsid w:val="0055708F"/>
    <w:rsid w:val="00557F00"/>
    <w:rsid w:val="00557F38"/>
    <w:rsid w:val="005614A1"/>
    <w:rsid w:val="005614D8"/>
    <w:rsid w:val="00562018"/>
    <w:rsid w:val="00562B96"/>
    <w:rsid w:val="00562C33"/>
    <w:rsid w:val="00562D31"/>
    <w:rsid w:val="00563888"/>
    <w:rsid w:val="00564507"/>
    <w:rsid w:val="005645E4"/>
    <w:rsid w:val="00564F57"/>
    <w:rsid w:val="00565370"/>
    <w:rsid w:val="00565C1A"/>
    <w:rsid w:val="00566245"/>
    <w:rsid w:val="00567AF3"/>
    <w:rsid w:val="00567EA4"/>
    <w:rsid w:val="00571D6A"/>
    <w:rsid w:val="00571F81"/>
    <w:rsid w:val="0057256E"/>
    <w:rsid w:val="00572732"/>
    <w:rsid w:val="00572ABC"/>
    <w:rsid w:val="00573406"/>
    <w:rsid w:val="00573D41"/>
    <w:rsid w:val="00574B03"/>
    <w:rsid w:val="005752E4"/>
    <w:rsid w:val="0057586D"/>
    <w:rsid w:val="00575DF7"/>
    <w:rsid w:val="00576255"/>
    <w:rsid w:val="00576655"/>
    <w:rsid w:val="00576761"/>
    <w:rsid w:val="00576FBA"/>
    <w:rsid w:val="005775F5"/>
    <w:rsid w:val="00577769"/>
    <w:rsid w:val="00581350"/>
    <w:rsid w:val="00581844"/>
    <w:rsid w:val="00582C96"/>
    <w:rsid w:val="00582E51"/>
    <w:rsid w:val="005831AF"/>
    <w:rsid w:val="00583219"/>
    <w:rsid w:val="005835AF"/>
    <w:rsid w:val="00583D50"/>
    <w:rsid w:val="00583FE6"/>
    <w:rsid w:val="00584C1E"/>
    <w:rsid w:val="0058563C"/>
    <w:rsid w:val="005868C4"/>
    <w:rsid w:val="00586B5E"/>
    <w:rsid w:val="00586DC4"/>
    <w:rsid w:val="00586E9F"/>
    <w:rsid w:val="00586F1A"/>
    <w:rsid w:val="005870F5"/>
    <w:rsid w:val="00587923"/>
    <w:rsid w:val="0059011B"/>
    <w:rsid w:val="0059012C"/>
    <w:rsid w:val="0059064E"/>
    <w:rsid w:val="00590A4A"/>
    <w:rsid w:val="00591077"/>
    <w:rsid w:val="00591450"/>
    <w:rsid w:val="005915CF"/>
    <w:rsid w:val="005917E0"/>
    <w:rsid w:val="005918BF"/>
    <w:rsid w:val="00591EAE"/>
    <w:rsid w:val="0059224B"/>
    <w:rsid w:val="005924BF"/>
    <w:rsid w:val="00592AB2"/>
    <w:rsid w:val="00592AC3"/>
    <w:rsid w:val="00592B52"/>
    <w:rsid w:val="00593899"/>
    <w:rsid w:val="00594271"/>
    <w:rsid w:val="00594A37"/>
    <w:rsid w:val="005951EE"/>
    <w:rsid w:val="00595A0A"/>
    <w:rsid w:val="005967A4"/>
    <w:rsid w:val="00596ED7"/>
    <w:rsid w:val="00597677"/>
    <w:rsid w:val="00597935"/>
    <w:rsid w:val="005A085B"/>
    <w:rsid w:val="005A1846"/>
    <w:rsid w:val="005A1A79"/>
    <w:rsid w:val="005A1BFF"/>
    <w:rsid w:val="005A25C3"/>
    <w:rsid w:val="005A30A0"/>
    <w:rsid w:val="005A3DB6"/>
    <w:rsid w:val="005A4481"/>
    <w:rsid w:val="005A466C"/>
    <w:rsid w:val="005A493D"/>
    <w:rsid w:val="005A56CE"/>
    <w:rsid w:val="005A65BE"/>
    <w:rsid w:val="005A6F53"/>
    <w:rsid w:val="005B00C7"/>
    <w:rsid w:val="005B019C"/>
    <w:rsid w:val="005B197F"/>
    <w:rsid w:val="005B2738"/>
    <w:rsid w:val="005B3954"/>
    <w:rsid w:val="005B4192"/>
    <w:rsid w:val="005B431B"/>
    <w:rsid w:val="005B594B"/>
    <w:rsid w:val="005B5BDE"/>
    <w:rsid w:val="005C0704"/>
    <w:rsid w:val="005C1428"/>
    <w:rsid w:val="005C19C1"/>
    <w:rsid w:val="005C2F28"/>
    <w:rsid w:val="005C2FE8"/>
    <w:rsid w:val="005C350F"/>
    <w:rsid w:val="005C5FCE"/>
    <w:rsid w:val="005C6969"/>
    <w:rsid w:val="005C7145"/>
    <w:rsid w:val="005C7816"/>
    <w:rsid w:val="005C7AB2"/>
    <w:rsid w:val="005D09BB"/>
    <w:rsid w:val="005D3781"/>
    <w:rsid w:val="005D3A0E"/>
    <w:rsid w:val="005D5454"/>
    <w:rsid w:val="005D5492"/>
    <w:rsid w:val="005D562F"/>
    <w:rsid w:val="005D5B76"/>
    <w:rsid w:val="005D5D52"/>
    <w:rsid w:val="005D5EBC"/>
    <w:rsid w:val="005D657E"/>
    <w:rsid w:val="005D76E5"/>
    <w:rsid w:val="005D7B29"/>
    <w:rsid w:val="005E02C3"/>
    <w:rsid w:val="005E0313"/>
    <w:rsid w:val="005E0324"/>
    <w:rsid w:val="005E0517"/>
    <w:rsid w:val="005E1824"/>
    <w:rsid w:val="005E1BF0"/>
    <w:rsid w:val="005E309C"/>
    <w:rsid w:val="005E340A"/>
    <w:rsid w:val="005E353F"/>
    <w:rsid w:val="005E36AD"/>
    <w:rsid w:val="005E393C"/>
    <w:rsid w:val="005E3E45"/>
    <w:rsid w:val="005E42AA"/>
    <w:rsid w:val="005E43F6"/>
    <w:rsid w:val="005E4EC6"/>
    <w:rsid w:val="005E5A45"/>
    <w:rsid w:val="005E5B62"/>
    <w:rsid w:val="005E6286"/>
    <w:rsid w:val="005E6F4A"/>
    <w:rsid w:val="005F023D"/>
    <w:rsid w:val="005F10DA"/>
    <w:rsid w:val="005F2452"/>
    <w:rsid w:val="005F2A40"/>
    <w:rsid w:val="005F2E55"/>
    <w:rsid w:val="005F41E7"/>
    <w:rsid w:val="005F4C9A"/>
    <w:rsid w:val="005F55A4"/>
    <w:rsid w:val="005F58E8"/>
    <w:rsid w:val="005F5C0D"/>
    <w:rsid w:val="005F6910"/>
    <w:rsid w:val="005F69EB"/>
    <w:rsid w:val="005F6D63"/>
    <w:rsid w:val="005F7144"/>
    <w:rsid w:val="005F721C"/>
    <w:rsid w:val="005F7A1C"/>
    <w:rsid w:val="005F7CDC"/>
    <w:rsid w:val="005F7D74"/>
    <w:rsid w:val="005F7E43"/>
    <w:rsid w:val="006007E4"/>
    <w:rsid w:val="006022BA"/>
    <w:rsid w:val="006028D2"/>
    <w:rsid w:val="006038D2"/>
    <w:rsid w:val="00604977"/>
    <w:rsid w:val="00604A7B"/>
    <w:rsid w:val="00604DEE"/>
    <w:rsid w:val="006054FB"/>
    <w:rsid w:val="00607060"/>
    <w:rsid w:val="00607530"/>
    <w:rsid w:val="00607734"/>
    <w:rsid w:val="006079CC"/>
    <w:rsid w:val="00607FEA"/>
    <w:rsid w:val="0061090A"/>
    <w:rsid w:val="0061090D"/>
    <w:rsid w:val="0061127C"/>
    <w:rsid w:val="006120E2"/>
    <w:rsid w:val="00612459"/>
    <w:rsid w:val="00612A99"/>
    <w:rsid w:val="00612CDB"/>
    <w:rsid w:val="00613321"/>
    <w:rsid w:val="00613622"/>
    <w:rsid w:val="0061366E"/>
    <w:rsid w:val="006145DB"/>
    <w:rsid w:val="006146F6"/>
    <w:rsid w:val="00614F52"/>
    <w:rsid w:val="00615073"/>
    <w:rsid w:val="0061578F"/>
    <w:rsid w:val="00615E26"/>
    <w:rsid w:val="0061697E"/>
    <w:rsid w:val="00616BBA"/>
    <w:rsid w:val="00616DE8"/>
    <w:rsid w:val="00617AD7"/>
    <w:rsid w:val="00617D6D"/>
    <w:rsid w:val="00620133"/>
    <w:rsid w:val="00620447"/>
    <w:rsid w:val="0062062F"/>
    <w:rsid w:val="0062143E"/>
    <w:rsid w:val="006215AB"/>
    <w:rsid w:val="00623DD7"/>
    <w:rsid w:val="00624449"/>
    <w:rsid w:val="00626B0D"/>
    <w:rsid w:val="00627EB7"/>
    <w:rsid w:val="00630679"/>
    <w:rsid w:val="00630BF2"/>
    <w:rsid w:val="00631BA0"/>
    <w:rsid w:val="00632351"/>
    <w:rsid w:val="0063310B"/>
    <w:rsid w:val="00633612"/>
    <w:rsid w:val="006344FC"/>
    <w:rsid w:val="00634DDA"/>
    <w:rsid w:val="0063528A"/>
    <w:rsid w:val="00635B31"/>
    <w:rsid w:val="00635E8C"/>
    <w:rsid w:val="0063666B"/>
    <w:rsid w:val="006375C0"/>
    <w:rsid w:val="00637884"/>
    <w:rsid w:val="00640CBB"/>
    <w:rsid w:val="0064145B"/>
    <w:rsid w:val="00641526"/>
    <w:rsid w:val="00641D81"/>
    <w:rsid w:val="006426C5"/>
    <w:rsid w:val="00642B4D"/>
    <w:rsid w:val="006430F7"/>
    <w:rsid w:val="00644B13"/>
    <w:rsid w:val="00644C7D"/>
    <w:rsid w:val="00645270"/>
    <w:rsid w:val="006457CF"/>
    <w:rsid w:val="00645F24"/>
    <w:rsid w:val="006460EB"/>
    <w:rsid w:val="006501C7"/>
    <w:rsid w:val="00650ADB"/>
    <w:rsid w:val="00651286"/>
    <w:rsid w:val="006518EE"/>
    <w:rsid w:val="00652150"/>
    <w:rsid w:val="00652151"/>
    <w:rsid w:val="00652203"/>
    <w:rsid w:val="00652441"/>
    <w:rsid w:val="0065290C"/>
    <w:rsid w:val="006537DE"/>
    <w:rsid w:val="00653998"/>
    <w:rsid w:val="00654C14"/>
    <w:rsid w:val="00654E73"/>
    <w:rsid w:val="00655656"/>
    <w:rsid w:val="006557EB"/>
    <w:rsid w:val="00655C99"/>
    <w:rsid w:val="006563F2"/>
    <w:rsid w:val="00657367"/>
    <w:rsid w:val="00657A1C"/>
    <w:rsid w:val="00657F37"/>
    <w:rsid w:val="0066054B"/>
    <w:rsid w:val="006608F9"/>
    <w:rsid w:val="00660D03"/>
    <w:rsid w:val="00661E1B"/>
    <w:rsid w:val="0066259D"/>
    <w:rsid w:val="006630E4"/>
    <w:rsid w:val="00663CDD"/>
    <w:rsid w:val="00666049"/>
    <w:rsid w:val="006662F7"/>
    <w:rsid w:val="00667342"/>
    <w:rsid w:val="006675EF"/>
    <w:rsid w:val="0066781D"/>
    <w:rsid w:val="0067034A"/>
    <w:rsid w:val="00672209"/>
    <w:rsid w:val="006736EC"/>
    <w:rsid w:val="00673A29"/>
    <w:rsid w:val="00674565"/>
    <w:rsid w:val="00674A48"/>
    <w:rsid w:val="00674E9F"/>
    <w:rsid w:val="00675761"/>
    <w:rsid w:val="006759FD"/>
    <w:rsid w:val="00675A36"/>
    <w:rsid w:val="00677B00"/>
    <w:rsid w:val="006818DF"/>
    <w:rsid w:val="006824BF"/>
    <w:rsid w:val="00683348"/>
    <w:rsid w:val="00683416"/>
    <w:rsid w:val="00683D7D"/>
    <w:rsid w:val="006845A4"/>
    <w:rsid w:val="006847CD"/>
    <w:rsid w:val="0068594F"/>
    <w:rsid w:val="00686085"/>
    <w:rsid w:val="00686AA0"/>
    <w:rsid w:val="006871D5"/>
    <w:rsid w:val="006876C2"/>
    <w:rsid w:val="00687A4F"/>
    <w:rsid w:val="00687E03"/>
    <w:rsid w:val="00687FAA"/>
    <w:rsid w:val="00687FE7"/>
    <w:rsid w:val="0069045D"/>
    <w:rsid w:val="006917A8"/>
    <w:rsid w:val="0069262B"/>
    <w:rsid w:val="00692C87"/>
    <w:rsid w:val="00692ED6"/>
    <w:rsid w:val="006936A4"/>
    <w:rsid w:val="00693C46"/>
    <w:rsid w:val="00694398"/>
    <w:rsid w:val="00694D20"/>
    <w:rsid w:val="006953B4"/>
    <w:rsid w:val="00695981"/>
    <w:rsid w:val="00695A64"/>
    <w:rsid w:val="00695AC3"/>
    <w:rsid w:val="00695EFD"/>
    <w:rsid w:val="00696514"/>
    <w:rsid w:val="00696C34"/>
    <w:rsid w:val="006A0637"/>
    <w:rsid w:val="006A0F20"/>
    <w:rsid w:val="006A17DE"/>
    <w:rsid w:val="006A268E"/>
    <w:rsid w:val="006A290F"/>
    <w:rsid w:val="006A2DE6"/>
    <w:rsid w:val="006A5459"/>
    <w:rsid w:val="006A5BD6"/>
    <w:rsid w:val="006A5FA3"/>
    <w:rsid w:val="006B040C"/>
    <w:rsid w:val="006B09C3"/>
    <w:rsid w:val="006B0FEC"/>
    <w:rsid w:val="006B1786"/>
    <w:rsid w:val="006B1FAD"/>
    <w:rsid w:val="006B21B7"/>
    <w:rsid w:val="006B27BC"/>
    <w:rsid w:val="006B27D4"/>
    <w:rsid w:val="006B2976"/>
    <w:rsid w:val="006B394E"/>
    <w:rsid w:val="006B45C9"/>
    <w:rsid w:val="006B49FD"/>
    <w:rsid w:val="006B4BD0"/>
    <w:rsid w:val="006B5A2C"/>
    <w:rsid w:val="006B6AA3"/>
    <w:rsid w:val="006B6EF0"/>
    <w:rsid w:val="006B7117"/>
    <w:rsid w:val="006B76E8"/>
    <w:rsid w:val="006B7C73"/>
    <w:rsid w:val="006B7E57"/>
    <w:rsid w:val="006B7F29"/>
    <w:rsid w:val="006C0083"/>
    <w:rsid w:val="006C00D2"/>
    <w:rsid w:val="006C1E2D"/>
    <w:rsid w:val="006C2E6F"/>
    <w:rsid w:val="006C3018"/>
    <w:rsid w:val="006C3483"/>
    <w:rsid w:val="006C4EC1"/>
    <w:rsid w:val="006C656B"/>
    <w:rsid w:val="006C7127"/>
    <w:rsid w:val="006C73BA"/>
    <w:rsid w:val="006C7C97"/>
    <w:rsid w:val="006D14F5"/>
    <w:rsid w:val="006D156D"/>
    <w:rsid w:val="006D1580"/>
    <w:rsid w:val="006D17D5"/>
    <w:rsid w:val="006D1D1A"/>
    <w:rsid w:val="006D2035"/>
    <w:rsid w:val="006D2C6F"/>
    <w:rsid w:val="006D307C"/>
    <w:rsid w:val="006D374A"/>
    <w:rsid w:val="006D3844"/>
    <w:rsid w:val="006D3DBA"/>
    <w:rsid w:val="006D4BE6"/>
    <w:rsid w:val="006D4D15"/>
    <w:rsid w:val="006D5B7E"/>
    <w:rsid w:val="006D5E6F"/>
    <w:rsid w:val="006D6060"/>
    <w:rsid w:val="006D6476"/>
    <w:rsid w:val="006D6806"/>
    <w:rsid w:val="006D74AA"/>
    <w:rsid w:val="006D784E"/>
    <w:rsid w:val="006D7E84"/>
    <w:rsid w:val="006E086F"/>
    <w:rsid w:val="006E1398"/>
    <w:rsid w:val="006E14A4"/>
    <w:rsid w:val="006E1972"/>
    <w:rsid w:val="006E23C0"/>
    <w:rsid w:val="006E251A"/>
    <w:rsid w:val="006E2633"/>
    <w:rsid w:val="006E3192"/>
    <w:rsid w:val="006E330F"/>
    <w:rsid w:val="006E34A4"/>
    <w:rsid w:val="006E3ED7"/>
    <w:rsid w:val="006E463D"/>
    <w:rsid w:val="006E48F9"/>
    <w:rsid w:val="006E659F"/>
    <w:rsid w:val="006E7703"/>
    <w:rsid w:val="006F0EC7"/>
    <w:rsid w:val="006F124A"/>
    <w:rsid w:val="006F161E"/>
    <w:rsid w:val="006F2880"/>
    <w:rsid w:val="006F2C26"/>
    <w:rsid w:val="006F2C6F"/>
    <w:rsid w:val="006F3212"/>
    <w:rsid w:val="006F35E7"/>
    <w:rsid w:val="006F3D5D"/>
    <w:rsid w:val="006F4237"/>
    <w:rsid w:val="006F4A1B"/>
    <w:rsid w:val="006F4EA4"/>
    <w:rsid w:val="006F5428"/>
    <w:rsid w:val="006F5F28"/>
    <w:rsid w:val="006F62E9"/>
    <w:rsid w:val="006F6529"/>
    <w:rsid w:val="006F6681"/>
    <w:rsid w:val="006F6972"/>
    <w:rsid w:val="006F6C78"/>
    <w:rsid w:val="006F764C"/>
    <w:rsid w:val="006F7867"/>
    <w:rsid w:val="006F7B47"/>
    <w:rsid w:val="00701395"/>
    <w:rsid w:val="00701624"/>
    <w:rsid w:val="007019F2"/>
    <w:rsid w:val="00701DA9"/>
    <w:rsid w:val="007037DA"/>
    <w:rsid w:val="00703CF9"/>
    <w:rsid w:val="00704B50"/>
    <w:rsid w:val="00704F2D"/>
    <w:rsid w:val="00705083"/>
    <w:rsid w:val="0070592D"/>
    <w:rsid w:val="007060DB"/>
    <w:rsid w:val="00706412"/>
    <w:rsid w:val="0071032A"/>
    <w:rsid w:val="00710B96"/>
    <w:rsid w:val="00711345"/>
    <w:rsid w:val="00712785"/>
    <w:rsid w:val="00712C82"/>
    <w:rsid w:val="0071317C"/>
    <w:rsid w:val="00714937"/>
    <w:rsid w:val="00715D38"/>
    <w:rsid w:val="00715F09"/>
    <w:rsid w:val="0071637C"/>
    <w:rsid w:val="00716870"/>
    <w:rsid w:val="00716CF0"/>
    <w:rsid w:val="00716EBE"/>
    <w:rsid w:val="00717142"/>
    <w:rsid w:val="00717884"/>
    <w:rsid w:val="00717D03"/>
    <w:rsid w:val="00722396"/>
    <w:rsid w:val="0072294D"/>
    <w:rsid w:val="00722B19"/>
    <w:rsid w:val="0072301C"/>
    <w:rsid w:val="0072393D"/>
    <w:rsid w:val="00724A6A"/>
    <w:rsid w:val="007253D0"/>
    <w:rsid w:val="00725A1C"/>
    <w:rsid w:val="0072604D"/>
    <w:rsid w:val="00726420"/>
    <w:rsid w:val="00726495"/>
    <w:rsid w:val="00726578"/>
    <w:rsid w:val="0072658F"/>
    <w:rsid w:val="00726D3F"/>
    <w:rsid w:val="00727272"/>
    <w:rsid w:val="0073027F"/>
    <w:rsid w:val="00730370"/>
    <w:rsid w:val="00730C7B"/>
    <w:rsid w:val="00731E64"/>
    <w:rsid w:val="007330C7"/>
    <w:rsid w:val="007332EA"/>
    <w:rsid w:val="0073394F"/>
    <w:rsid w:val="00734110"/>
    <w:rsid w:val="00734141"/>
    <w:rsid w:val="00734682"/>
    <w:rsid w:val="00735399"/>
    <w:rsid w:val="007357D6"/>
    <w:rsid w:val="007358EF"/>
    <w:rsid w:val="00735C1E"/>
    <w:rsid w:val="007369AE"/>
    <w:rsid w:val="007370CF"/>
    <w:rsid w:val="007378F7"/>
    <w:rsid w:val="00740E4A"/>
    <w:rsid w:val="0074311B"/>
    <w:rsid w:val="00743127"/>
    <w:rsid w:val="0074361F"/>
    <w:rsid w:val="0074406D"/>
    <w:rsid w:val="00745197"/>
    <w:rsid w:val="00747163"/>
    <w:rsid w:val="007475D4"/>
    <w:rsid w:val="007477E5"/>
    <w:rsid w:val="00747A46"/>
    <w:rsid w:val="00747CF4"/>
    <w:rsid w:val="0075099B"/>
    <w:rsid w:val="00751497"/>
    <w:rsid w:val="00751BAE"/>
    <w:rsid w:val="00752C8B"/>
    <w:rsid w:val="00752EEE"/>
    <w:rsid w:val="00754156"/>
    <w:rsid w:val="0075649F"/>
    <w:rsid w:val="007569D3"/>
    <w:rsid w:val="00756D89"/>
    <w:rsid w:val="00756F70"/>
    <w:rsid w:val="00756FD6"/>
    <w:rsid w:val="0075779E"/>
    <w:rsid w:val="007577AE"/>
    <w:rsid w:val="00760CFA"/>
    <w:rsid w:val="00760DAB"/>
    <w:rsid w:val="007628DE"/>
    <w:rsid w:val="0076413C"/>
    <w:rsid w:val="0076455B"/>
    <w:rsid w:val="00765418"/>
    <w:rsid w:val="00765658"/>
    <w:rsid w:val="00765A4D"/>
    <w:rsid w:val="00765AE1"/>
    <w:rsid w:val="00765C31"/>
    <w:rsid w:val="0076613D"/>
    <w:rsid w:val="00766684"/>
    <w:rsid w:val="00766973"/>
    <w:rsid w:val="00766B17"/>
    <w:rsid w:val="0076789E"/>
    <w:rsid w:val="00767DF7"/>
    <w:rsid w:val="00767F25"/>
    <w:rsid w:val="00770E7B"/>
    <w:rsid w:val="0077141A"/>
    <w:rsid w:val="00771491"/>
    <w:rsid w:val="00771868"/>
    <w:rsid w:val="00771CA5"/>
    <w:rsid w:val="00771E48"/>
    <w:rsid w:val="00772069"/>
    <w:rsid w:val="0077229B"/>
    <w:rsid w:val="007724B3"/>
    <w:rsid w:val="00772EC8"/>
    <w:rsid w:val="007741EA"/>
    <w:rsid w:val="00777B7D"/>
    <w:rsid w:val="00777DEC"/>
    <w:rsid w:val="00780202"/>
    <w:rsid w:val="00780C26"/>
    <w:rsid w:val="00781103"/>
    <w:rsid w:val="00782F43"/>
    <w:rsid w:val="00783454"/>
    <w:rsid w:val="00783B1A"/>
    <w:rsid w:val="00784801"/>
    <w:rsid w:val="00784E59"/>
    <w:rsid w:val="00785076"/>
    <w:rsid w:val="00785A6F"/>
    <w:rsid w:val="007862EF"/>
    <w:rsid w:val="00786502"/>
    <w:rsid w:val="00786AF5"/>
    <w:rsid w:val="007872BE"/>
    <w:rsid w:val="00787E74"/>
    <w:rsid w:val="007902FE"/>
    <w:rsid w:val="00791D2F"/>
    <w:rsid w:val="00791E9D"/>
    <w:rsid w:val="00792B9C"/>
    <w:rsid w:val="007940A0"/>
    <w:rsid w:val="0079420D"/>
    <w:rsid w:val="0079455C"/>
    <w:rsid w:val="00794900"/>
    <w:rsid w:val="00794B0B"/>
    <w:rsid w:val="00794F93"/>
    <w:rsid w:val="007958FB"/>
    <w:rsid w:val="0079620A"/>
    <w:rsid w:val="00796EA8"/>
    <w:rsid w:val="00797196"/>
    <w:rsid w:val="007975F0"/>
    <w:rsid w:val="007A086D"/>
    <w:rsid w:val="007A0877"/>
    <w:rsid w:val="007A0E1E"/>
    <w:rsid w:val="007A12EC"/>
    <w:rsid w:val="007A185D"/>
    <w:rsid w:val="007A1985"/>
    <w:rsid w:val="007A1AB3"/>
    <w:rsid w:val="007A20B9"/>
    <w:rsid w:val="007A25E1"/>
    <w:rsid w:val="007A31C4"/>
    <w:rsid w:val="007A351D"/>
    <w:rsid w:val="007A433B"/>
    <w:rsid w:val="007A4BAC"/>
    <w:rsid w:val="007A4C85"/>
    <w:rsid w:val="007A5203"/>
    <w:rsid w:val="007A523B"/>
    <w:rsid w:val="007A6020"/>
    <w:rsid w:val="007A645B"/>
    <w:rsid w:val="007A66B4"/>
    <w:rsid w:val="007A67CA"/>
    <w:rsid w:val="007A7292"/>
    <w:rsid w:val="007A74DF"/>
    <w:rsid w:val="007A7B1B"/>
    <w:rsid w:val="007B02AD"/>
    <w:rsid w:val="007B071D"/>
    <w:rsid w:val="007B0FF5"/>
    <w:rsid w:val="007B134A"/>
    <w:rsid w:val="007B13F4"/>
    <w:rsid w:val="007B1D23"/>
    <w:rsid w:val="007B2993"/>
    <w:rsid w:val="007B2DF9"/>
    <w:rsid w:val="007B323A"/>
    <w:rsid w:val="007B34A8"/>
    <w:rsid w:val="007B3F56"/>
    <w:rsid w:val="007B55B5"/>
    <w:rsid w:val="007B6153"/>
    <w:rsid w:val="007B6420"/>
    <w:rsid w:val="007B71CD"/>
    <w:rsid w:val="007C0AF7"/>
    <w:rsid w:val="007C0B6B"/>
    <w:rsid w:val="007C1866"/>
    <w:rsid w:val="007C1A96"/>
    <w:rsid w:val="007C1C2B"/>
    <w:rsid w:val="007C2A23"/>
    <w:rsid w:val="007C2C5E"/>
    <w:rsid w:val="007C3AAC"/>
    <w:rsid w:val="007C4183"/>
    <w:rsid w:val="007C4306"/>
    <w:rsid w:val="007C44B2"/>
    <w:rsid w:val="007C4A34"/>
    <w:rsid w:val="007C4B7D"/>
    <w:rsid w:val="007C4EDA"/>
    <w:rsid w:val="007C7A2A"/>
    <w:rsid w:val="007C7D0B"/>
    <w:rsid w:val="007D01D4"/>
    <w:rsid w:val="007D0AAC"/>
    <w:rsid w:val="007D1258"/>
    <w:rsid w:val="007D2B8C"/>
    <w:rsid w:val="007D37C2"/>
    <w:rsid w:val="007D3CA5"/>
    <w:rsid w:val="007D431E"/>
    <w:rsid w:val="007D4E2C"/>
    <w:rsid w:val="007D5056"/>
    <w:rsid w:val="007D65D0"/>
    <w:rsid w:val="007D6DF8"/>
    <w:rsid w:val="007D6F01"/>
    <w:rsid w:val="007D7B2C"/>
    <w:rsid w:val="007E11F3"/>
    <w:rsid w:val="007E1305"/>
    <w:rsid w:val="007E19F3"/>
    <w:rsid w:val="007E2D41"/>
    <w:rsid w:val="007E365B"/>
    <w:rsid w:val="007E3F30"/>
    <w:rsid w:val="007E489E"/>
    <w:rsid w:val="007E4973"/>
    <w:rsid w:val="007E4B98"/>
    <w:rsid w:val="007E4E70"/>
    <w:rsid w:val="007E57AC"/>
    <w:rsid w:val="007E5A2D"/>
    <w:rsid w:val="007E680F"/>
    <w:rsid w:val="007E6AFC"/>
    <w:rsid w:val="007E7987"/>
    <w:rsid w:val="007E7D29"/>
    <w:rsid w:val="007F014F"/>
    <w:rsid w:val="007F08E6"/>
    <w:rsid w:val="007F0C62"/>
    <w:rsid w:val="007F17E2"/>
    <w:rsid w:val="007F1879"/>
    <w:rsid w:val="007F203A"/>
    <w:rsid w:val="007F23EB"/>
    <w:rsid w:val="007F2471"/>
    <w:rsid w:val="007F2B45"/>
    <w:rsid w:val="007F2E08"/>
    <w:rsid w:val="007F345D"/>
    <w:rsid w:val="007F3867"/>
    <w:rsid w:val="007F390C"/>
    <w:rsid w:val="007F3C4E"/>
    <w:rsid w:val="007F4267"/>
    <w:rsid w:val="007F431F"/>
    <w:rsid w:val="007F4C5B"/>
    <w:rsid w:val="007F5125"/>
    <w:rsid w:val="007F5246"/>
    <w:rsid w:val="007F7218"/>
    <w:rsid w:val="007F74A5"/>
    <w:rsid w:val="008004F0"/>
    <w:rsid w:val="00801D5F"/>
    <w:rsid w:val="00801FC5"/>
    <w:rsid w:val="00801FC9"/>
    <w:rsid w:val="008022AD"/>
    <w:rsid w:val="00802386"/>
    <w:rsid w:val="008030A8"/>
    <w:rsid w:val="008034E4"/>
    <w:rsid w:val="00804490"/>
    <w:rsid w:val="00806324"/>
    <w:rsid w:val="00807728"/>
    <w:rsid w:val="00810975"/>
    <w:rsid w:val="00811185"/>
    <w:rsid w:val="0081128D"/>
    <w:rsid w:val="00812234"/>
    <w:rsid w:val="0081426E"/>
    <w:rsid w:val="008149E9"/>
    <w:rsid w:val="00816106"/>
    <w:rsid w:val="00816CFD"/>
    <w:rsid w:val="00817C85"/>
    <w:rsid w:val="00817D73"/>
    <w:rsid w:val="008207A0"/>
    <w:rsid w:val="00820AC4"/>
    <w:rsid w:val="008213C6"/>
    <w:rsid w:val="00821DBC"/>
    <w:rsid w:val="0082216B"/>
    <w:rsid w:val="00822F65"/>
    <w:rsid w:val="00823854"/>
    <w:rsid w:val="00823CAC"/>
    <w:rsid w:val="00823EFC"/>
    <w:rsid w:val="0082443E"/>
    <w:rsid w:val="008245BA"/>
    <w:rsid w:val="00824BEA"/>
    <w:rsid w:val="00827089"/>
    <w:rsid w:val="00827730"/>
    <w:rsid w:val="00827A0B"/>
    <w:rsid w:val="00827A30"/>
    <w:rsid w:val="00831102"/>
    <w:rsid w:val="0083188F"/>
    <w:rsid w:val="00832345"/>
    <w:rsid w:val="008327AB"/>
    <w:rsid w:val="00832E85"/>
    <w:rsid w:val="008331ED"/>
    <w:rsid w:val="0083386F"/>
    <w:rsid w:val="00833A9F"/>
    <w:rsid w:val="0083408D"/>
    <w:rsid w:val="008345BE"/>
    <w:rsid w:val="008351D2"/>
    <w:rsid w:val="00835A5C"/>
    <w:rsid w:val="00836730"/>
    <w:rsid w:val="008367F7"/>
    <w:rsid w:val="00837B8B"/>
    <w:rsid w:val="00840161"/>
    <w:rsid w:val="00840601"/>
    <w:rsid w:val="00840B03"/>
    <w:rsid w:val="00841350"/>
    <w:rsid w:val="00841939"/>
    <w:rsid w:val="00842C2A"/>
    <w:rsid w:val="008433C0"/>
    <w:rsid w:val="00843A27"/>
    <w:rsid w:val="00843B14"/>
    <w:rsid w:val="00844968"/>
    <w:rsid w:val="00844E48"/>
    <w:rsid w:val="00844E56"/>
    <w:rsid w:val="00845140"/>
    <w:rsid w:val="008454E6"/>
    <w:rsid w:val="008468AC"/>
    <w:rsid w:val="008468C0"/>
    <w:rsid w:val="00846A4B"/>
    <w:rsid w:val="00847DAC"/>
    <w:rsid w:val="0085027A"/>
    <w:rsid w:val="008509BA"/>
    <w:rsid w:val="00850ED3"/>
    <w:rsid w:val="0085217A"/>
    <w:rsid w:val="0085249C"/>
    <w:rsid w:val="00852FED"/>
    <w:rsid w:val="00853268"/>
    <w:rsid w:val="00853E79"/>
    <w:rsid w:val="008542C1"/>
    <w:rsid w:val="0085478F"/>
    <w:rsid w:val="008547D8"/>
    <w:rsid w:val="008549CF"/>
    <w:rsid w:val="00854DB1"/>
    <w:rsid w:val="00855EC1"/>
    <w:rsid w:val="008562AA"/>
    <w:rsid w:val="00856AD1"/>
    <w:rsid w:val="008612A3"/>
    <w:rsid w:val="008614B9"/>
    <w:rsid w:val="00861F59"/>
    <w:rsid w:val="00862237"/>
    <w:rsid w:val="008622E8"/>
    <w:rsid w:val="008626B4"/>
    <w:rsid w:val="00862BA0"/>
    <w:rsid w:val="00862D26"/>
    <w:rsid w:val="0086374B"/>
    <w:rsid w:val="0086404E"/>
    <w:rsid w:val="00864C39"/>
    <w:rsid w:val="0086539B"/>
    <w:rsid w:val="00866159"/>
    <w:rsid w:val="00866698"/>
    <w:rsid w:val="00867735"/>
    <w:rsid w:val="008715E3"/>
    <w:rsid w:val="0087176A"/>
    <w:rsid w:val="00871F4A"/>
    <w:rsid w:val="00872CEE"/>
    <w:rsid w:val="008734A3"/>
    <w:rsid w:val="00874E77"/>
    <w:rsid w:val="0087595D"/>
    <w:rsid w:val="00876B82"/>
    <w:rsid w:val="00877CBF"/>
    <w:rsid w:val="0088035E"/>
    <w:rsid w:val="008804E1"/>
    <w:rsid w:val="00880D80"/>
    <w:rsid w:val="00880E79"/>
    <w:rsid w:val="008810D1"/>
    <w:rsid w:val="008816F6"/>
    <w:rsid w:val="0088175E"/>
    <w:rsid w:val="0088323A"/>
    <w:rsid w:val="00883589"/>
    <w:rsid w:val="00883B28"/>
    <w:rsid w:val="00884385"/>
    <w:rsid w:val="00884A14"/>
    <w:rsid w:val="008855AC"/>
    <w:rsid w:val="00885666"/>
    <w:rsid w:val="00885B8D"/>
    <w:rsid w:val="00885D29"/>
    <w:rsid w:val="00886406"/>
    <w:rsid w:val="0088690E"/>
    <w:rsid w:val="00886C84"/>
    <w:rsid w:val="00886F68"/>
    <w:rsid w:val="00887FC5"/>
    <w:rsid w:val="0089054F"/>
    <w:rsid w:val="00890836"/>
    <w:rsid w:val="00891995"/>
    <w:rsid w:val="00891A8E"/>
    <w:rsid w:val="00891B64"/>
    <w:rsid w:val="00891EE3"/>
    <w:rsid w:val="00892D38"/>
    <w:rsid w:val="00893061"/>
    <w:rsid w:val="008930A6"/>
    <w:rsid w:val="00893C0A"/>
    <w:rsid w:val="00893D39"/>
    <w:rsid w:val="00894510"/>
    <w:rsid w:val="00894DFF"/>
    <w:rsid w:val="00894E63"/>
    <w:rsid w:val="0089528D"/>
    <w:rsid w:val="00895999"/>
    <w:rsid w:val="0089628C"/>
    <w:rsid w:val="00896890"/>
    <w:rsid w:val="008974DA"/>
    <w:rsid w:val="00897560"/>
    <w:rsid w:val="008A0AC2"/>
    <w:rsid w:val="008A1016"/>
    <w:rsid w:val="008A200B"/>
    <w:rsid w:val="008A360E"/>
    <w:rsid w:val="008A382F"/>
    <w:rsid w:val="008A4199"/>
    <w:rsid w:val="008A4F48"/>
    <w:rsid w:val="008A5A9C"/>
    <w:rsid w:val="008A7C1B"/>
    <w:rsid w:val="008A7D73"/>
    <w:rsid w:val="008A7E14"/>
    <w:rsid w:val="008B0D11"/>
    <w:rsid w:val="008B1D4B"/>
    <w:rsid w:val="008B1EF0"/>
    <w:rsid w:val="008B26A0"/>
    <w:rsid w:val="008B2F99"/>
    <w:rsid w:val="008B3B2C"/>
    <w:rsid w:val="008B572B"/>
    <w:rsid w:val="008B57EA"/>
    <w:rsid w:val="008B58C8"/>
    <w:rsid w:val="008C0712"/>
    <w:rsid w:val="008C079B"/>
    <w:rsid w:val="008C0DDF"/>
    <w:rsid w:val="008C11E0"/>
    <w:rsid w:val="008C1BBA"/>
    <w:rsid w:val="008C2668"/>
    <w:rsid w:val="008C380A"/>
    <w:rsid w:val="008C3850"/>
    <w:rsid w:val="008C3975"/>
    <w:rsid w:val="008C3F93"/>
    <w:rsid w:val="008C44F7"/>
    <w:rsid w:val="008C49EA"/>
    <w:rsid w:val="008C78B9"/>
    <w:rsid w:val="008C7FB9"/>
    <w:rsid w:val="008C7FD2"/>
    <w:rsid w:val="008D0B2E"/>
    <w:rsid w:val="008D18D6"/>
    <w:rsid w:val="008D1A40"/>
    <w:rsid w:val="008D25BF"/>
    <w:rsid w:val="008D2EAA"/>
    <w:rsid w:val="008D3681"/>
    <w:rsid w:val="008D3C74"/>
    <w:rsid w:val="008D4286"/>
    <w:rsid w:val="008D4455"/>
    <w:rsid w:val="008D4B51"/>
    <w:rsid w:val="008D4ED1"/>
    <w:rsid w:val="008D4F3B"/>
    <w:rsid w:val="008D58BF"/>
    <w:rsid w:val="008D651B"/>
    <w:rsid w:val="008D6540"/>
    <w:rsid w:val="008D74F3"/>
    <w:rsid w:val="008E0B29"/>
    <w:rsid w:val="008E0D62"/>
    <w:rsid w:val="008E2259"/>
    <w:rsid w:val="008E2707"/>
    <w:rsid w:val="008E28E1"/>
    <w:rsid w:val="008E29A3"/>
    <w:rsid w:val="008E2DB8"/>
    <w:rsid w:val="008E42A0"/>
    <w:rsid w:val="008E48F9"/>
    <w:rsid w:val="008E4F3B"/>
    <w:rsid w:val="008E53D4"/>
    <w:rsid w:val="008E551E"/>
    <w:rsid w:val="008E5894"/>
    <w:rsid w:val="008E5998"/>
    <w:rsid w:val="008E6524"/>
    <w:rsid w:val="008E699C"/>
    <w:rsid w:val="008E6C0F"/>
    <w:rsid w:val="008E7636"/>
    <w:rsid w:val="008F056D"/>
    <w:rsid w:val="008F128E"/>
    <w:rsid w:val="008F18F8"/>
    <w:rsid w:val="008F2375"/>
    <w:rsid w:val="008F2D39"/>
    <w:rsid w:val="008F2D7C"/>
    <w:rsid w:val="008F3254"/>
    <w:rsid w:val="008F3D6A"/>
    <w:rsid w:val="008F425B"/>
    <w:rsid w:val="008F451B"/>
    <w:rsid w:val="008F61D0"/>
    <w:rsid w:val="008F7793"/>
    <w:rsid w:val="008F79DB"/>
    <w:rsid w:val="00900A05"/>
    <w:rsid w:val="0090119A"/>
    <w:rsid w:val="009025A8"/>
    <w:rsid w:val="00902CB9"/>
    <w:rsid w:val="0090328B"/>
    <w:rsid w:val="0090410D"/>
    <w:rsid w:val="009045BE"/>
    <w:rsid w:val="00904653"/>
    <w:rsid w:val="00905371"/>
    <w:rsid w:val="0090604B"/>
    <w:rsid w:val="00906955"/>
    <w:rsid w:val="00906A19"/>
    <w:rsid w:val="00906E3A"/>
    <w:rsid w:val="00906F80"/>
    <w:rsid w:val="009072E1"/>
    <w:rsid w:val="00907464"/>
    <w:rsid w:val="00907543"/>
    <w:rsid w:val="00907B13"/>
    <w:rsid w:val="00910AB9"/>
    <w:rsid w:val="00910F83"/>
    <w:rsid w:val="009119E6"/>
    <w:rsid w:val="00911F39"/>
    <w:rsid w:val="009121F9"/>
    <w:rsid w:val="009126F7"/>
    <w:rsid w:val="00912FA7"/>
    <w:rsid w:val="009133D7"/>
    <w:rsid w:val="00914144"/>
    <w:rsid w:val="009142A3"/>
    <w:rsid w:val="00914C70"/>
    <w:rsid w:val="009153FF"/>
    <w:rsid w:val="009157B0"/>
    <w:rsid w:val="00915881"/>
    <w:rsid w:val="00915E87"/>
    <w:rsid w:val="0091750E"/>
    <w:rsid w:val="009176FD"/>
    <w:rsid w:val="009178B3"/>
    <w:rsid w:val="00917DFF"/>
    <w:rsid w:val="00917ECC"/>
    <w:rsid w:val="0092038F"/>
    <w:rsid w:val="00920D31"/>
    <w:rsid w:val="00922C85"/>
    <w:rsid w:val="0092441D"/>
    <w:rsid w:val="0092491B"/>
    <w:rsid w:val="00924E16"/>
    <w:rsid w:val="0092512E"/>
    <w:rsid w:val="009262F3"/>
    <w:rsid w:val="00926620"/>
    <w:rsid w:val="00926BF8"/>
    <w:rsid w:val="00927667"/>
    <w:rsid w:val="00927DBC"/>
    <w:rsid w:val="00931361"/>
    <w:rsid w:val="009317BD"/>
    <w:rsid w:val="00932220"/>
    <w:rsid w:val="00932420"/>
    <w:rsid w:val="00932D79"/>
    <w:rsid w:val="00933E6B"/>
    <w:rsid w:val="00934131"/>
    <w:rsid w:val="00934FD5"/>
    <w:rsid w:val="00935F27"/>
    <w:rsid w:val="00936173"/>
    <w:rsid w:val="00936A79"/>
    <w:rsid w:val="00936F93"/>
    <w:rsid w:val="00937DBE"/>
    <w:rsid w:val="00937EDA"/>
    <w:rsid w:val="0094017F"/>
    <w:rsid w:val="009401BB"/>
    <w:rsid w:val="00941243"/>
    <w:rsid w:val="00941368"/>
    <w:rsid w:val="009427EE"/>
    <w:rsid w:val="00942EAF"/>
    <w:rsid w:val="00942FEA"/>
    <w:rsid w:val="0094324A"/>
    <w:rsid w:val="00943DC8"/>
    <w:rsid w:val="0094407E"/>
    <w:rsid w:val="00944A1C"/>
    <w:rsid w:val="00944A4F"/>
    <w:rsid w:val="00945259"/>
    <w:rsid w:val="00945356"/>
    <w:rsid w:val="009462C8"/>
    <w:rsid w:val="00946677"/>
    <w:rsid w:val="009467B2"/>
    <w:rsid w:val="00946DE4"/>
    <w:rsid w:val="0094765E"/>
    <w:rsid w:val="0094778F"/>
    <w:rsid w:val="0094797C"/>
    <w:rsid w:val="00947B64"/>
    <w:rsid w:val="009500A4"/>
    <w:rsid w:val="00950C61"/>
    <w:rsid w:val="0095282A"/>
    <w:rsid w:val="00954224"/>
    <w:rsid w:val="009546FC"/>
    <w:rsid w:val="009562C3"/>
    <w:rsid w:val="00956E5A"/>
    <w:rsid w:val="009575B8"/>
    <w:rsid w:val="00957771"/>
    <w:rsid w:val="00957EB1"/>
    <w:rsid w:val="0096018A"/>
    <w:rsid w:val="00960987"/>
    <w:rsid w:val="0096159F"/>
    <w:rsid w:val="00961680"/>
    <w:rsid w:val="009623A8"/>
    <w:rsid w:val="00962703"/>
    <w:rsid w:val="0096298D"/>
    <w:rsid w:val="00962E35"/>
    <w:rsid w:val="00963EBA"/>
    <w:rsid w:val="00963F42"/>
    <w:rsid w:val="00964FC8"/>
    <w:rsid w:val="0096559B"/>
    <w:rsid w:val="0096665A"/>
    <w:rsid w:val="0096685C"/>
    <w:rsid w:val="0096763C"/>
    <w:rsid w:val="0097011B"/>
    <w:rsid w:val="009706B4"/>
    <w:rsid w:val="00970926"/>
    <w:rsid w:val="00970A8D"/>
    <w:rsid w:val="00970B7D"/>
    <w:rsid w:val="0097179E"/>
    <w:rsid w:val="00972D90"/>
    <w:rsid w:val="00973A91"/>
    <w:rsid w:val="00973B66"/>
    <w:rsid w:val="0097437F"/>
    <w:rsid w:val="00975151"/>
    <w:rsid w:val="00975542"/>
    <w:rsid w:val="00975DD6"/>
    <w:rsid w:val="00976046"/>
    <w:rsid w:val="0097646D"/>
    <w:rsid w:val="00976CDD"/>
    <w:rsid w:val="009773EA"/>
    <w:rsid w:val="009779DC"/>
    <w:rsid w:val="0098087A"/>
    <w:rsid w:val="00980FFE"/>
    <w:rsid w:val="0098229D"/>
    <w:rsid w:val="009826B1"/>
    <w:rsid w:val="00982C9C"/>
    <w:rsid w:val="0098323D"/>
    <w:rsid w:val="00983749"/>
    <w:rsid w:val="0098398E"/>
    <w:rsid w:val="009840CD"/>
    <w:rsid w:val="009846FE"/>
    <w:rsid w:val="0098486E"/>
    <w:rsid w:val="009848F2"/>
    <w:rsid w:val="00984BA0"/>
    <w:rsid w:val="009852CD"/>
    <w:rsid w:val="00985BD5"/>
    <w:rsid w:val="0098627B"/>
    <w:rsid w:val="00986888"/>
    <w:rsid w:val="00986A4B"/>
    <w:rsid w:val="00986F45"/>
    <w:rsid w:val="0098704C"/>
    <w:rsid w:val="00990137"/>
    <w:rsid w:val="00990378"/>
    <w:rsid w:val="009903F4"/>
    <w:rsid w:val="0099075C"/>
    <w:rsid w:val="00991652"/>
    <w:rsid w:val="00991A48"/>
    <w:rsid w:val="009920F2"/>
    <w:rsid w:val="00993349"/>
    <w:rsid w:val="00993A13"/>
    <w:rsid w:val="00993DA0"/>
    <w:rsid w:val="00995662"/>
    <w:rsid w:val="00995C60"/>
    <w:rsid w:val="00995D19"/>
    <w:rsid w:val="0099639D"/>
    <w:rsid w:val="0099653E"/>
    <w:rsid w:val="0099712E"/>
    <w:rsid w:val="00997311"/>
    <w:rsid w:val="00997675"/>
    <w:rsid w:val="00997BBF"/>
    <w:rsid w:val="00997C87"/>
    <w:rsid w:val="00997E7F"/>
    <w:rsid w:val="009A0C5F"/>
    <w:rsid w:val="009A0F21"/>
    <w:rsid w:val="009A1009"/>
    <w:rsid w:val="009A1E97"/>
    <w:rsid w:val="009A3891"/>
    <w:rsid w:val="009A4368"/>
    <w:rsid w:val="009A517F"/>
    <w:rsid w:val="009A5EB0"/>
    <w:rsid w:val="009A6EA7"/>
    <w:rsid w:val="009A719A"/>
    <w:rsid w:val="009A7DDD"/>
    <w:rsid w:val="009B00B4"/>
    <w:rsid w:val="009B0153"/>
    <w:rsid w:val="009B0773"/>
    <w:rsid w:val="009B0843"/>
    <w:rsid w:val="009B0864"/>
    <w:rsid w:val="009B08FB"/>
    <w:rsid w:val="009B0E08"/>
    <w:rsid w:val="009B1FA1"/>
    <w:rsid w:val="009B2CAB"/>
    <w:rsid w:val="009B2F8C"/>
    <w:rsid w:val="009B3647"/>
    <w:rsid w:val="009B3FE5"/>
    <w:rsid w:val="009B44E5"/>
    <w:rsid w:val="009B487D"/>
    <w:rsid w:val="009B4DED"/>
    <w:rsid w:val="009B5DE1"/>
    <w:rsid w:val="009B5DEB"/>
    <w:rsid w:val="009B66DB"/>
    <w:rsid w:val="009B675C"/>
    <w:rsid w:val="009B737A"/>
    <w:rsid w:val="009B73E6"/>
    <w:rsid w:val="009B7C91"/>
    <w:rsid w:val="009B7D40"/>
    <w:rsid w:val="009C14D3"/>
    <w:rsid w:val="009C1678"/>
    <w:rsid w:val="009C1B26"/>
    <w:rsid w:val="009C2FD8"/>
    <w:rsid w:val="009C391D"/>
    <w:rsid w:val="009C50FD"/>
    <w:rsid w:val="009C51D0"/>
    <w:rsid w:val="009C66D9"/>
    <w:rsid w:val="009C732E"/>
    <w:rsid w:val="009C7ADD"/>
    <w:rsid w:val="009C7FBE"/>
    <w:rsid w:val="009D01F6"/>
    <w:rsid w:val="009D0628"/>
    <w:rsid w:val="009D0E22"/>
    <w:rsid w:val="009D1222"/>
    <w:rsid w:val="009D1585"/>
    <w:rsid w:val="009D1731"/>
    <w:rsid w:val="009D2058"/>
    <w:rsid w:val="009D2082"/>
    <w:rsid w:val="009D3751"/>
    <w:rsid w:val="009D395A"/>
    <w:rsid w:val="009D4133"/>
    <w:rsid w:val="009D41AC"/>
    <w:rsid w:val="009D46D8"/>
    <w:rsid w:val="009D53FD"/>
    <w:rsid w:val="009D5B63"/>
    <w:rsid w:val="009D6016"/>
    <w:rsid w:val="009D6665"/>
    <w:rsid w:val="009D7B20"/>
    <w:rsid w:val="009D7F66"/>
    <w:rsid w:val="009E0151"/>
    <w:rsid w:val="009E03F3"/>
    <w:rsid w:val="009E0609"/>
    <w:rsid w:val="009E0B92"/>
    <w:rsid w:val="009E0C46"/>
    <w:rsid w:val="009E0D13"/>
    <w:rsid w:val="009E0DF7"/>
    <w:rsid w:val="009E24D0"/>
    <w:rsid w:val="009E2614"/>
    <w:rsid w:val="009E309E"/>
    <w:rsid w:val="009E3BA2"/>
    <w:rsid w:val="009E3DE2"/>
    <w:rsid w:val="009E4222"/>
    <w:rsid w:val="009E4329"/>
    <w:rsid w:val="009E4673"/>
    <w:rsid w:val="009E48B7"/>
    <w:rsid w:val="009E4989"/>
    <w:rsid w:val="009E4D75"/>
    <w:rsid w:val="009E5537"/>
    <w:rsid w:val="009E5A50"/>
    <w:rsid w:val="009E6E17"/>
    <w:rsid w:val="009E6E1C"/>
    <w:rsid w:val="009E7216"/>
    <w:rsid w:val="009E7640"/>
    <w:rsid w:val="009E7EC1"/>
    <w:rsid w:val="009F0114"/>
    <w:rsid w:val="009F0E89"/>
    <w:rsid w:val="009F1818"/>
    <w:rsid w:val="009F1955"/>
    <w:rsid w:val="009F19A0"/>
    <w:rsid w:val="009F224E"/>
    <w:rsid w:val="009F2895"/>
    <w:rsid w:val="009F2E96"/>
    <w:rsid w:val="009F3637"/>
    <w:rsid w:val="009F429C"/>
    <w:rsid w:val="009F4623"/>
    <w:rsid w:val="009F6215"/>
    <w:rsid w:val="009F66FB"/>
    <w:rsid w:val="009F6C5A"/>
    <w:rsid w:val="009F7D98"/>
    <w:rsid w:val="00A0075A"/>
    <w:rsid w:val="00A01145"/>
    <w:rsid w:val="00A02049"/>
    <w:rsid w:val="00A02512"/>
    <w:rsid w:val="00A02DCC"/>
    <w:rsid w:val="00A03286"/>
    <w:rsid w:val="00A03725"/>
    <w:rsid w:val="00A03A79"/>
    <w:rsid w:val="00A043A1"/>
    <w:rsid w:val="00A04B3D"/>
    <w:rsid w:val="00A04C4A"/>
    <w:rsid w:val="00A055C7"/>
    <w:rsid w:val="00A05B08"/>
    <w:rsid w:val="00A05C7D"/>
    <w:rsid w:val="00A063AD"/>
    <w:rsid w:val="00A066EA"/>
    <w:rsid w:val="00A06A43"/>
    <w:rsid w:val="00A06B42"/>
    <w:rsid w:val="00A076E0"/>
    <w:rsid w:val="00A07814"/>
    <w:rsid w:val="00A07FF0"/>
    <w:rsid w:val="00A101EA"/>
    <w:rsid w:val="00A10A39"/>
    <w:rsid w:val="00A10E6A"/>
    <w:rsid w:val="00A11D85"/>
    <w:rsid w:val="00A13E06"/>
    <w:rsid w:val="00A14ADD"/>
    <w:rsid w:val="00A14E0B"/>
    <w:rsid w:val="00A14EFF"/>
    <w:rsid w:val="00A15B96"/>
    <w:rsid w:val="00A174C1"/>
    <w:rsid w:val="00A205E3"/>
    <w:rsid w:val="00A21071"/>
    <w:rsid w:val="00A21337"/>
    <w:rsid w:val="00A213DF"/>
    <w:rsid w:val="00A2309A"/>
    <w:rsid w:val="00A23C29"/>
    <w:rsid w:val="00A25289"/>
    <w:rsid w:val="00A252CA"/>
    <w:rsid w:val="00A25817"/>
    <w:rsid w:val="00A2728A"/>
    <w:rsid w:val="00A27854"/>
    <w:rsid w:val="00A27FB1"/>
    <w:rsid w:val="00A300C0"/>
    <w:rsid w:val="00A3077F"/>
    <w:rsid w:val="00A309FC"/>
    <w:rsid w:val="00A30CBC"/>
    <w:rsid w:val="00A31508"/>
    <w:rsid w:val="00A319D0"/>
    <w:rsid w:val="00A31DDC"/>
    <w:rsid w:val="00A32826"/>
    <w:rsid w:val="00A32933"/>
    <w:rsid w:val="00A3323A"/>
    <w:rsid w:val="00A33866"/>
    <w:rsid w:val="00A3395C"/>
    <w:rsid w:val="00A33F3E"/>
    <w:rsid w:val="00A34470"/>
    <w:rsid w:val="00A353C6"/>
    <w:rsid w:val="00A360ED"/>
    <w:rsid w:val="00A364F7"/>
    <w:rsid w:val="00A36765"/>
    <w:rsid w:val="00A36A30"/>
    <w:rsid w:val="00A3764D"/>
    <w:rsid w:val="00A37C53"/>
    <w:rsid w:val="00A4000E"/>
    <w:rsid w:val="00A40C47"/>
    <w:rsid w:val="00A40DE2"/>
    <w:rsid w:val="00A4138A"/>
    <w:rsid w:val="00A413E4"/>
    <w:rsid w:val="00A4188A"/>
    <w:rsid w:val="00A41EEF"/>
    <w:rsid w:val="00A43452"/>
    <w:rsid w:val="00A436E3"/>
    <w:rsid w:val="00A43AC9"/>
    <w:rsid w:val="00A4403C"/>
    <w:rsid w:val="00A46158"/>
    <w:rsid w:val="00A461CD"/>
    <w:rsid w:val="00A464A8"/>
    <w:rsid w:val="00A46639"/>
    <w:rsid w:val="00A508A8"/>
    <w:rsid w:val="00A5169E"/>
    <w:rsid w:val="00A523C4"/>
    <w:rsid w:val="00A523DB"/>
    <w:rsid w:val="00A52DB6"/>
    <w:rsid w:val="00A53643"/>
    <w:rsid w:val="00A53BFD"/>
    <w:rsid w:val="00A54263"/>
    <w:rsid w:val="00A54EE7"/>
    <w:rsid w:val="00A56749"/>
    <w:rsid w:val="00A57443"/>
    <w:rsid w:val="00A57AC4"/>
    <w:rsid w:val="00A57F4D"/>
    <w:rsid w:val="00A57FEB"/>
    <w:rsid w:val="00A60E5C"/>
    <w:rsid w:val="00A61601"/>
    <w:rsid w:val="00A61881"/>
    <w:rsid w:val="00A61BA8"/>
    <w:rsid w:val="00A6236A"/>
    <w:rsid w:val="00A62A60"/>
    <w:rsid w:val="00A62C21"/>
    <w:rsid w:val="00A62CE7"/>
    <w:rsid w:val="00A63140"/>
    <w:rsid w:val="00A64206"/>
    <w:rsid w:val="00A64837"/>
    <w:rsid w:val="00A653D1"/>
    <w:rsid w:val="00A660F7"/>
    <w:rsid w:val="00A66C7A"/>
    <w:rsid w:val="00A66E39"/>
    <w:rsid w:val="00A671C5"/>
    <w:rsid w:val="00A671D7"/>
    <w:rsid w:val="00A67D35"/>
    <w:rsid w:val="00A7079D"/>
    <w:rsid w:val="00A70C52"/>
    <w:rsid w:val="00A70F8A"/>
    <w:rsid w:val="00A71524"/>
    <w:rsid w:val="00A71AE2"/>
    <w:rsid w:val="00A71D29"/>
    <w:rsid w:val="00A71E3A"/>
    <w:rsid w:val="00A7252E"/>
    <w:rsid w:val="00A72968"/>
    <w:rsid w:val="00A72E0D"/>
    <w:rsid w:val="00A73B21"/>
    <w:rsid w:val="00A74365"/>
    <w:rsid w:val="00A750A0"/>
    <w:rsid w:val="00A75D23"/>
    <w:rsid w:val="00A7637D"/>
    <w:rsid w:val="00A7679A"/>
    <w:rsid w:val="00A76DD9"/>
    <w:rsid w:val="00A77824"/>
    <w:rsid w:val="00A7790C"/>
    <w:rsid w:val="00A8023F"/>
    <w:rsid w:val="00A81073"/>
    <w:rsid w:val="00A812AD"/>
    <w:rsid w:val="00A8132D"/>
    <w:rsid w:val="00A81A0C"/>
    <w:rsid w:val="00A81D35"/>
    <w:rsid w:val="00A81F76"/>
    <w:rsid w:val="00A82453"/>
    <w:rsid w:val="00A82457"/>
    <w:rsid w:val="00A83039"/>
    <w:rsid w:val="00A83293"/>
    <w:rsid w:val="00A83AA1"/>
    <w:rsid w:val="00A83E6B"/>
    <w:rsid w:val="00A85895"/>
    <w:rsid w:val="00A862DF"/>
    <w:rsid w:val="00A86383"/>
    <w:rsid w:val="00A8682F"/>
    <w:rsid w:val="00A86B3A"/>
    <w:rsid w:val="00A86E60"/>
    <w:rsid w:val="00A87171"/>
    <w:rsid w:val="00A87173"/>
    <w:rsid w:val="00A8777F"/>
    <w:rsid w:val="00A87AA7"/>
    <w:rsid w:val="00A910F3"/>
    <w:rsid w:val="00A92763"/>
    <w:rsid w:val="00A927D4"/>
    <w:rsid w:val="00A92978"/>
    <w:rsid w:val="00A937D3"/>
    <w:rsid w:val="00A93C5F"/>
    <w:rsid w:val="00A94695"/>
    <w:rsid w:val="00A95AC5"/>
    <w:rsid w:val="00A961DA"/>
    <w:rsid w:val="00A963D7"/>
    <w:rsid w:val="00A9698F"/>
    <w:rsid w:val="00A96D40"/>
    <w:rsid w:val="00A970DB"/>
    <w:rsid w:val="00A971A8"/>
    <w:rsid w:val="00AA0C77"/>
    <w:rsid w:val="00AA22C8"/>
    <w:rsid w:val="00AA2E42"/>
    <w:rsid w:val="00AA36C0"/>
    <w:rsid w:val="00AA3930"/>
    <w:rsid w:val="00AA41FF"/>
    <w:rsid w:val="00AA4F38"/>
    <w:rsid w:val="00AA4FE9"/>
    <w:rsid w:val="00AA6296"/>
    <w:rsid w:val="00AA6B2A"/>
    <w:rsid w:val="00AB1546"/>
    <w:rsid w:val="00AB1A38"/>
    <w:rsid w:val="00AB2965"/>
    <w:rsid w:val="00AB34D0"/>
    <w:rsid w:val="00AB360D"/>
    <w:rsid w:val="00AB37FE"/>
    <w:rsid w:val="00AB3ED5"/>
    <w:rsid w:val="00AB42D5"/>
    <w:rsid w:val="00AB453E"/>
    <w:rsid w:val="00AB47F5"/>
    <w:rsid w:val="00AB5EAD"/>
    <w:rsid w:val="00AB5F49"/>
    <w:rsid w:val="00AB69F5"/>
    <w:rsid w:val="00AB6C76"/>
    <w:rsid w:val="00AC0431"/>
    <w:rsid w:val="00AC099D"/>
    <w:rsid w:val="00AC0F80"/>
    <w:rsid w:val="00AC112B"/>
    <w:rsid w:val="00AC18BA"/>
    <w:rsid w:val="00AC2993"/>
    <w:rsid w:val="00AC3EA1"/>
    <w:rsid w:val="00AC4204"/>
    <w:rsid w:val="00AC4B87"/>
    <w:rsid w:val="00AC5D3B"/>
    <w:rsid w:val="00AC5FDA"/>
    <w:rsid w:val="00AC638D"/>
    <w:rsid w:val="00AC6747"/>
    <w:rsid w:val="00AC6B28"/>
    <w:rsid w:val="00AC6E3A"/>
    <w:rsid w:val="00AC72A6"/>
    <w:rsid w:val="00AC7945"/>
    <w:rsid w:val="00AD095A"/>
    <w:rsid w:val="00AD0F6A"/>
    <w:rsid w:val="00AD151F"/>
    <w:rsid w:val="00AD190E"/>
    <w:rsid w:val="00AD1C8B"/>
    <w:rsid w:val="00AD1D99"/>
    <w:rsid w:val="00AD282C"/>
    <w:rsid w:val="00AD34A1"/>
    <w:rsid w:val="00AD3A58"/>
    <w:rsid w:val="00AD3FF9"/>
    <w:rsid w:val="00AD47D5"/>
    <w:rsid w:val="00AD5117"/>
    <w:rsid w:val="00AD5B3D"/>
    <w:rsid w:val="00AD603B"/>
    <w:rsid w:val="00AD6668"/>
    <w:rsid w:val="00AD675B"/>
    <w:rsid w:val="00AD6A35"/>
    <w:rsid w:val="00AD7393"/>
    <w:rsid w:val="00AE1326"/>
    <w:rsid w:val="00AE1FED"/>
    <w:rsid w:val="00AE202E"/>
    <w:rsid w:val="00AE2077"/>
    <w:rsid w:val="00AE256A"/>
    <w:rsid w:val="00AE3756"/>
    <w:rsid w:val="00AE3DFA"/>
    <w:rsid w:val="00AE4F4F"/>
    <w:rsid w:val="00AE5816"/>
    <w:rsid w:val="00AE673F"/>
    <w:rsid w:val="00AE73E3"/>
    <w:rsid w:val="00AF01B2"/>
    <w:rsid w:val="00AF13B1"/>
    <w:rsid w:val="00AF1626"/>
    <w:rsid w:val="00AF317B"/>
    <w:rsid w:val="00AF3867"/>
    <w:rsid w:val="00AF3CFB"/>
    <w:rsid w:val="00AF4383"/>
    <w:rsid w:val="00AF544E"/>
    <w:rsid w:val="00AF62D6"/>
    <w:rsid w:val="00AF6569"/>
    <w:rsid w:val="00AF65FB"/>
    <w:rsid w:val="00AF7213"/>
    <w:rsid w:val="00B00713"/>
    <w:rsid w:val="00B01074"/>
    <w:rsid w:val="00B03532"/>
    <w:rsid w:val="00B03C1D"/>
    <w:rsid w:val="00B0433F"/>
    <w:rsid w:val="00B04F3E"/>
    <w:rsid w:val="00B05359"/>
    <w:rsid w:val="00B0559E"/>
    <w:rsid w:val="00B06570"/>
    <w:rsid w:val="00B074BF"/>
    <w:rsid w:val="00B10D62"/>
    <w:rsid w:val="00B11085"/>
    <w:rsid w:val="00B11155"/>
    <w:rsid w:val="00B1174A"/>
    <w:rsid w:val="00B11979"/>
    <w:rsid w:val="00B11F65"/>
    <w:rsid w:val="00B1374E"/>
    <w:rsid w:val="00B1456D"/>
    <w:rsid w:val="00B15B0F"/>
    <w:rsid w:val="00B16633"/>
    <w:rsid w:val="00B16913"/>
    <w:rsid w:val="00B16B81"/>
    <w:rsid w:val="00B173E5"/>
    <w:rsid w:val="00B214FC"/>
    <w:rsid w:val="00B217DE"/>
    <w:rsid w:val="00B21BE4"/>
    <w:rsid w:val="00B22A04"/>
    <w:rsid w:val="00B22B2B"/>
    <w:rsid w:val="00B22FC6"/>
    <w:rsid w:val="00B23B66"/>
    <w:rsid w:val="00B23EAE"/>
    <w:rsid w:val="00B23FF1"/>
    <w:rsid w:val="00B246E5"/>
    <w:rsid w:val="00B24CF1"/>
    <w:rsid w:val="00B252A7"/>
    <w:rsid w:val="00B253A1"/>
    <w:rsid w:val="00B2568A"/>
    <w:rsid w:val="00B25DEC"/>
    <w:rsid w:val="00B26E9A"/>
    <w:rsid w:val="00B278F3"/>
    <w:rsid w:val="00B31008"/>
    <w:rsid w:val="00B319CF"/>
    <w:rsid w:val="00B31E1D"/>
    <w:rsid w:val="00B33316"/>
    <w:rsid w:val="00B3378E"/>
    <w:rsid w:val="00B337BA"/>
    <w:rsid w:val="00B339FF"/>
    <w:rsid w:val="00B34452"/>
    <w:rsid w:val="00B345B5"/>
    <w:rsid w:val="00B3559D"/>
    <w:rsid w:val="00B37567"/>
    <w:rsid w:val="00B377C2"/>
    <w:rsid w:val="00B37CC3"/>
    <w:rsid w:val="00B37F07"/>
    <w:rsid w:val="00B40083"/>
    <w:rsid w:val="00B4099E"/>
    <w:rsid w:val="00B40A80"/>
    <w:rsid w:val="00B40D3C"/>
    <w:rsid w:val="00B4108B"/>
    <w:rsid w:val="00B4115A"/>
    <w:rsid w:val="00B41681"/>
    <w:rsid w:val="00B41E64"/>
    <w:rsid w:val="00B42114"/>
    <w:rsid w:val="00B427E6"/>
    <w:rsid w:val="00B4298F"/>
    <w:rsid w:val="00B42A7B"/>
    <w:rsid w:val="00B447E5"/>
    <w:rsid w:val="00B44CB7"/>
    <w:rsid w:val="00B44DE7"/>
    <w:rsid w:val="00B455C2"/>
    <w:rsid w:val="00B4594B"/>
    <w:rsid w:val="00B459BC"/>
    <w:rsid w:val="00B45B92"/>
    <w:rsid w:val="00B46C4D"/>
    <w:rsid w:val="00B47868"/>
    <w:rsid w:val="00B50031"/>
    <w:rsid w:val="00B5066B"/>
    <w:rsid w:val="00B509FD"/>
    <w:rsid w:val="00B51399"/>
    <w:rsid w:val="00B5150E"/>
    <w:rsid w:val="00B52396"/>
    <w:rsid w:val="00B52952"/>
    <w:rsid w:val="00B52CB9"/>
    <w:rsid w:val="00B53DAE"/>
    <w:rsid w:val="00B541AF"/>
    <w:rsid w:val="00B549E1"/>
    <w:rsid w:val="00B56C0B"/>
    <w:rsid w:val="00B57455"/>
    <w:rsid w:val="00B57643"/>
    <w:rsid w:val="00B60660"/>
    <w:rsid w:val="00B612B0"/>
    <w:rsid w:val="00B617E1"/>
    <w:rsid w:val="00B62305"/>
    <w:rsid w:val="00B62C21"/>
    <w:rsid w:val="00B63138"/>
    <w:rsid w:val="00B63178"/>
    <w:rsid w:val="00B64FB4"/>
    <w:rsid w:val="00B6503F"/>
    <w:rsid w:val="00B652D3"/>
    <w:rsid w:val="00B656F4"/>
    <w:rsid w:val="00B6581D"/>
    <w:rsid w:val="00B65A2D"/>
    <w:rsid w:val="00B66782"/>
    <w:rsid w:val="00B67443"/>
    <w:rsid w:val="00B679BC"/>
    <w:rsid w:val="00B67C7C"/>
    <w:rsid w:val="00B70954"/>
    <w:rsid w:val="00B71E9E"/>
    <w:rsid w:val="00B72EB9"/>
    <w:rsid w:val="00B73BBA"/>
    <w:rsid w:val="00B74BDE"/>
    <w:rsid w:val="00B75E23"/>
    <w:rsid w:val="00B76BA6"/>
    <w:rsid w:val="00B77425"/>
    <w:rsid w:val="00B77631"/>
    <w:rsid w:val="00B80EB2"/>
    <w:rsid w:val="00B80EC7"/>
    <w:rsid w:val="00B811D4"/>
    <w:rsid w:val="00B81A05"/>
    <w:rsid w:val="00B82342"/>
    <w:rsid w:val="00B825C2"/>
    <w:rsid w:val="00B82FEF"/>
    <w:rsid w:val="00B833EF"/>
    <w:rsid w:val="00B8386F"/>
    <w:rsid w:val="00B838A2"/>
    <w:rsid w:val="00B83BCC"/>
    <w:rsid w:val="00B83D42"/>
    <w:rsid w:val="00B84464"/>
    <w:rsid w:val="00B84D0E"/>
    <w:rsid w:val="00B84FF4"/>
    <w:rsid w:val="00B85E9A"/>
    <w:rsid w:val="00B85EC1"/>
    <w:rsid w:val="00B85F9C"/>
    <w:rsid w:val="00B87CBB"/>
    <w:rsid w:val="00B90100"/>
    <w:rsid w:val="00B904A7"/>
    <w:rsid w:val="00B914D1"/>
    <w:rsid w:val="00B91D8C"/>
    <w:rsid w:val="00B92221"/>
    <w:rsid w:val="00B92297"/>
    <w:rsid w:val="00B922C7"/>
    <w:rsid w:val="00B924E9"/>
    <w:rsid w:val="00B925F4"/>
    <w:rsid w:val="00B939F4"/>
    <w:rsid w:val="00B94B9F"/>
    <w:rsid w:val="00B95D88"/>
    <w:rsid w:val="00B96001"/>
    <w:rsid w:val="00B964D1"/>
    <w:rsid w:val="00B97019"/>
    <w:rsid w:val="00B976F1"/>
    <w:rsid w:val="00BA003E"/>
    <w:rsid w:val="00BA0B2D"/>
    <w:rsid w:val="00BA0CE7"/>
    <w:rsid w:val="00BA1464"/>
    <w:rsid w:val="00BA1842"/>
    <w:rsid w:val="00BA1CF3"/>
    <w:rsid w:val="00BA1E46"/>
    <w:rsid w:val="00BA1EA8"/>
    <w:rsid w:val="00BA2247"/>
    <w:rsid w:val="00BA28FF"/>
    <w:rsid w:val="00BA2CD5"/>
    <w:rsid w:val="00BA2D47"/>
    <w:rsid w:val="00BA4007"/>
    <w:rsid w:val="00BA4769"/>
    <w:rsid w:val="00BA47D6"/>
    <w:rsid w:val="00BA4A1E"/>
    <w:rsid w:val="00BA4A8D"/>
    <w:rsid w:val="00BA4B84"/>
    <w:rsid w:val="00BA4ED7"/>
    <w:rsid w:val="00BA5B98"/>
    <w:rsid w:val="00BA5CEA"/>
    <w:rsid w:val="00BA6A13"/>
    <w:rsid w:val="00BA6FFB"/>
    <w:rsid w:val="00BA718D"/>
    <w:rsid w:val="00BB0729"/>
    <w:rsid w:val="00BB07BA"/>
    <w:rsid w:val="00BB1D3B"/>
    <w:rsid w:val="00BB2406"/>
    <w:rsid w:val="00BB3AB9"/>
    <w:rsid w:val="00BB691F"/>
    <w:rsid w:val="00BB706D"/>
    <w:rsid w:val="00BB7860"/>
    <w:rsid w:val="00BC020A"/>
    <w:rsid w:val="00BC0D0E"/>
    <w:rsid w:val="00BC0FB9"/>
    <w:rsid w:val="00BC154D"/>
    <w:rsid w:val="00BC15C2"/>
    <w:rsid w:val="00BC1BDD"/>
    <w:rsid w:val="00BC1EE0"/>
    <w:rsid w:val="00BC35EC"/>
    <w:rsid w:val="00BC3836"/>
    <w:rsid w:val="00BC3CD7"/>
    <w:rsid w:val="00BC45A7"/>
    <w:rsid w:val="00BC4F6F"/>
    <w:rsid w:val="00BC665A"/>
    <w:rsid w:val="00BC6BA8"/>
    <w:rsid w:val="00BC710B"/>
    <w:rsid w:val="00BC7CFD"/>
    <w:rsid w:val="00BD1519"/>
    <w:rsid w:val="00BD2771"/>
    <w:rsid w:val="00BD2BC9"/>
    <w:rsid w:val="00BD3A41"/>
    <w:rsid w:val="00BD4056"/>
    <w:rsid w:val="00BD4119"/>
    <w:rsid w:val="00BD58BA"/>
    <w:rsid w:val="00BD5A3F"/>
    <w:rsid w:val="00BD6F8A"/>
    <w:rsid w:val="00BD7C6F"/>
    <w:rsid w:val="00BE034B"/>
    <w:rsid w:val="00BE14A3"/>
    <w:rsid w:val="00BE17A4"/>
    <w:rsid w:val="00BE22B6"/>
    <w:rsid w:val="00BE36C8"/>
    <w:rsid w:val="00BE44B2"/>
    <w:rsid w:val="00BE5000"/>
    <w:rsid w:val="00BE5099"/>
    <w:rsid w:val="00BE6337"/>
    <w:rsid w:val="00BE69C4"/>
    <w:rsid w:val="00BE6A57"/>
    <w:rsid w:val="00BE6E84"/>
    <w:rsid w:val="00BE748A"/>
    <w:rsid w:val="00BE7C11"/>
    <w:rsid w:val="00BE7FF2"/>
    <w:rsid w:val="00BF1A62"/>
    <w:rsid w:val="00BF25B5"/>
    <w:rsid w:val="00BF2C4C"/>
    <w:rsid w:val="00BF36F5"/>
    <w:rsid w:val="00BF39FB"/>
    <w:rsid w:val="00BF3A62"/>
    <w:rsid w:val="00BF3CD8"/>
    <w:rsid w:val="00BF5EDD"/>
    <w:rsid w:val="00BF6330"/>
    <w:rsid w:val="00BF6703"/>
    <w:rsid w:val="00BF6BB2"/>
    <w:rsid w:val="00BF7305"/>
    <w:rsid w:val="00BF7D20"/>
    <w:rsid w:val="00C0096A"/>
    <w:rsid w:val="00C00BBA"/>
    <w:rsid w:val="00C01860"/>
    <w:rsid w:val="00C033CC"/>
    <w:rsid w:val="00C056FB"/>
    <w:rsid w:val="00C05716"/>
    <w:rsid w:val="00C05A60"/>
    <w:rsid w:val="00C06388"/>
    <w:rsid w:val="00C06F82"/>
    <w:rsid w:val="00C07450"/>
    <w:rsid w:val="00C074DD"/>
    <w:rsid w:val="00C07B21"/>
    <w:rsid w:val="00C07F6C"/>
    <w:rsid w:val="00C10367"/>
    <w:rsid w:val="00C10426"/>
    <w:rsid w:val="00C104B9"/>
    <w:rsid w:val="00C104D0"/>
    <w:rsid w:val="00C112B3"/>
    <w:rsid w:val="00C11A80"/>
    <w:rsid w:val="00C11BE2"/>
    <w:rsid w:val="00C11D80"/>
    <w:rsid w:val="00C123E3"/>
    <w:rsid w:val="00C13897"/>
    <w:rsid w:val="00C13AE0"/>
    <w:rsid w:val="00C13E47"/>
    <w:rsid w:val="00C13F7E"/>
    <w:rsid w:val="00C14A17"/>
    <w:rsid w:val="00C14F32"/>
    <w:rsid w:val="00C154F2"/>
    <w:rsid w:val="00C15D98"/>
    <w:rsid w:val="00C15F15"/>
    <w:rsid w:val="00C164F1"/>
    <w:rsid w:val="00C1654F"/>
    <w:rsid w:val="00C16FF1"/>
    <w:rsid w:val="00C17D2A"/>
    <w:rsid w:val="00C20061"/>
    <w:rsid w:val="00C2025C"/>
    <w:rsid w:val="00C20F9C"/>
    <w:rsid w:val="00C21506"/>
    <w:rsid w:val="00C21D2B"/>
    <w:rsid w:val="00C22600"/>
    <w:rsid w:val="00C2339E"/>
    <w:rsid w:val="00C23DDC"/>
    <w:rsid w:val="00C23FD1"/>
    <w:rsid w:val="00C2503F"/>
    <w:rsid w:val="00C2590F"/>
    <w:rsid w:val="00C25CF5"/>
    <w:rsid w:val="00C26380"/>
    <w:rsid w:val="00C265F1"/>
    <w:rsid w:val="00C268A6"/>
    <w:rsid w:val="00C26FFE"/>
    <w:rsid w:val="00C27655"/>
    <w:rsid w:val="00C325F0"/>
    <w:rsid w:val="00C32A39"/>
    <w:rsid w:val="00C33B90"/>
    <w:rsid w:val="00C3408D"/>
    <w:rsid w:val="00C34A58"/>
    <w:rsid w:val="00C3602C"/>
    <w:rsid w:val="00C360AC"/>
    <w:rsid w:val="00C36A4F"/>
    <w:rsid w:val="00C373B8"/>
    <w:rsid w:val="00C37651"/>
    <w:rsid w:val="00C37678"/>
    <w:rsid w:val="00C37CFA"/>
    <w:rsid w:val="00C40773"/>
    <w:rsid w:val="00C410E8"/>
    <w:rsid w:val="00C42505"/>
    <w:rsid w:val="00C429FA"/>
    <w:rsid w:val="00C42A9F"/>
    <w:rsid w:val="00C44BBE"/>
    <w:rsid w:val="00C456C8"/>
    <w:rsid w:val="00C462F4"/>
    <w:rsid w:val="00C46FC3"/>
    <w:rsid w:val="00C474DB"/>
    <w:rsid w:val="00C4759E"/>
    <w:rsid w:val="00C47D10"/>
    <w:rsid w:val="00C47D8C"/>
    <w:rsid w:val="00C50095"/>
    <w:rsid w:val="00C505C9"/>
    <w:rsid w:val="00C50D77"/>
    <w:rsid w:val="00C50D99"/>
    <w:rsid w:val="00C51255"/>
    <w:rsid w:val="00C518E6"/>
    <w:rsid w:val="00C5338D"/>
    <w:rsid w:val="00C5368A"/>
    <w:rsid w:val="00C54295"/>
    <w:rsid w:val="00C544F8"/>
    <w:rsid w:val="00C545AF"/>
    <w:rsid w:val="00C5499F"/>
    <w:rsid w:val="00C54C99"/>
    <w:rsid w:val="00C5640A"/>
    <w:rsid w:val="00C56458"/>
    <w:rsid w:val="00C57C31"/>
    <w:rsid w:val="00C57EA5"/>
    <w:rsid w:val="00C60E58"/>
    <w:rsid w:val="00C6164D"/>
    <w:rsid w:val="00C61A90"/>
    <w:rsid w:val="00C61F66"/>
    <w:rsid w:val="00C624CB"/>
    <w:rsid w:val="00C62C5E"/>
    <w:rsid w:val="00C634C4"/>
    <w:rsid w:val="00C6376A"/>
    <w:rsid w:val="00C63A09"/>
    <w:rsid w:val="00C63D3A"/>
    <w:rsid w:val="00C64154"/>
    <w:rsid w:val="00C643CA"/>
    <w:rsid w:val="00C64581"/>
    <w:rsid w:val="00C6524F"/>
    <w:rsid w:val="00C65B65"/>
    <w:rsid w:val="00C663C1"/>
    <w:rsid w:val="00C667FC"/>
    <w:rsid w:val="00C66A27"/>
    <w:rsid w:val="00C66D34"/>
    <w:rsid w:val="00C70606"/>
    <w:rsid w:val="00C70861"/>
    <w:rsid w:val="00C70FD2"/>
    <w:rsid w:val="00C71160"/>
    <w:rsid w:val="00C7119F"/>
    <w:rsid w:val="00C7187F"/>
    <w:rsid w:val="00C72989"/>
    <w:rsid w:val="00C72FD4"/>
    <w:rsid w:val="00C73805"/>
    <w:rsid w:val="00C73A83"/>
    <w:rsid w:val="00C740A6"/>
    <w:rsid w:val="00C744F8"/>
    <w:rsid w:val="00C7458D"/>
    <w:rsid w:val="00C747D0"/>
    <w:rsid w:val="00C74BFB"/>
    <w:rsid w:val="00C74C09"/>
    <w:rsid w:val="00C74D00"/>
    <w:rsid w:val="00C752CC"/>
    <w:rsid w:val="00C776B4"/>
    <w:rsid w:val="00C77B13"/>
    <w:rsid w:val="00C77B2B"/>
    <w:rsid w:val="00C80297"/>
    <w:rsid w:val="00C802C7"/>
    <w:rsid w:val="00C80AD9"/>
    <w:rsid w:val="00C817B8"/>
    <w:rsid w:val="00C81889"/>
    <w:rsid w:val="00C81932"/>
    <w:rsid w:val="00C82574"/>
    <w:rsid w:val="00C8283F"/>
    <w:rsid w:val="00C82DC1"/>
    <w:rsid w:val="00C83CD5"/>
    <w:rsid w:val="00C84482"/>
    <w:rsid w:val="00C848F5"/>
    <w:rsid w:val="00C84ECE"/>
    <w:rsid w:val="00C854B3"/>
    <w:rsid w:val="00C854DA"/>
    <w:rsid w:val="00C855C1"/>
    <w:rsid w:val="00C85B76"/>
    <w:rsid w:val="00C862DD"/>
    <w:rsid w:val="00C90388"/>
    <w:rsid w:val="00C91488"/>
    <w:rsid w:val="00C923F2"/>
    <w:rsid w:val="00C92BBC"/>
    <w:rsid w:val="00C92BDC"/>
    <w:rsid w:val="00C9308D"/>
    <w:rsid w:val="00C934CF"/>
    <w:rsid w:val="00C9423A"/>
    <w:rsid w:val="00C942EC"/>
    <w:rsid w:val="00C94C83"/>
    <w:rsid w:val="00C94D6B"/>
    <w:rsid w:val="00C966B5"/>
    <w:rsid w:val="00C97643"/>
    <w:rsid w:val="00CA0830"/>
    <w:rsid w:val="00CA08AD"/>
    <w:rsid w:val="00CA097E"/>
    <w:rsid w:val="00CA1571"/>
    <w:rsid w:val="00CA171E"/>
    <w:rsid w:val="00CA2D7A"/>
    <w:rsid w:val="00CA3B9B"/>
    <w:rsid w:val="00CA3D05"/>
    <w:rsid w:val="00CA46EB"/>
    <w:rsid w:val="00CA4B27"/>
    <w:rsid w:val="00CA50F5"/>
    <w:rsid w:val="00CA5A1C"/>
    <w:rsid w:val="00CA7EEE"/>
    <w:rsid w:val="00CB0655"/>
    <w:rsid w:val="00CB1027"/>
    <w:rsid w:val="00CB1B3F"/>
    <w:rsid w:val="00CB200E"/>
    <w:rsid w:val="00CB2CAD"/>
    <w:rsid w:val="00CB2EA9"/>
    <w:rsid w:val="00CB3BC7"/>
    <w:rsid w:val="00CB4EE1"/>
    <w:rsid w:val="00CB5559"/>
    <w:rsid w:val="00CB69E5"/>
    <w:rsid w:val="00CB6BBD"/>
    <w:rsid w:val="00CC0724"/>
    <w:rsid w:val="00CC0CB5"/>
    <w:rsid w:val="00CC15D0"/>
    <w:rsid w:val="00CC23C8"/>
    <w:rsid w:val="00CC2C40"/>
    <w:rsid w:val="00CC30D2"/>
    <w:rsid w:val="00CC3F30"/>
    <w:rsid w:val="00CC428D"/>
    <w:rsid w:val="00CC44B3"/>
    <w:rsid w:val="00CC461E"/>
    <w:rsid w:val="00CC5117"/>
    <w:rsid w:val="00CC60F6"/>
    <w:rsid w:val="00CC6632"/>
    <w:rsid w:val="00CC69D6"/>
    <w:rsid w:val="00CC7CE1"/>
    <w:rsid w:val="00CC7F28"/>
    <w:rsid w:val="00CD0926"/>
    <w:rsid w:val="00CD11D0"/>
    <w:rsid w:val="00CD13BC"/>
    <w:rsid w:val="00CD2175"/>
    <w:rsid w:val="00CD2340"/>
    <w:rsid w:val="00CD2474"/>
    <w:rsid w:val="00CD2A07"/>
    <w:rsid w:val="00CD2B88"/>
    <w:rsid w:val="00CD3497"/>
    <w:rsid w:val="00CD3901"/>
    <w:rsid w:val="00CD3A98"/>
    <w:rsid w:val="00CD3F35"/>
    <w:rsid w:val="00CD4DB2"/>
    <w:rsid w:val="00CD589D"/>
    <w:rsid w:val="00CD7A07"/>
    <w:rsid w:val="00CE00B5"/>
    <w:rsid w:val="00CE03EF"/>
    <w:rsid w:val="00CE04EF"/>
    <w:rsid w:val="00CE137C"/>
    <w:rsid w:val="00CE13CB"/>
    <w:rsid w:val="00CE170F"/>
    <w:rsid w:val="00CE27C4"/>
    <w:rsid w:val="00CE2DAE"/>
    <w:rsid w:val="00CE2FE0"/>
    <w:rsid w:val="00CE4005"/>
    <w:rsid w:val="00CE455C"/>
    <w:rsid w:val="00CE4CF6"/>
    <w:rsid w:val="00CE553C"/>
    <w:rsid w:val="00CE5B06"/>
    <w:rsid w:val="00CE67BC"/>
    <w:rsid w:val="00CE6CF0"/>
    <w:rsid w:val="00CE71F1"/>
    <w:rsid w:val="00CF0617"/>
    <w:rsid w:val="00CF1235"/>
    <w:rsid w:val="00CF1CBE"/>
    <w:rsid w:val="00CF2F20"/>
    <w:rsid w:val="00CF3225"/>
    <w:rsid w:val="00CF38E3"/>
    <w:rsid w:val="00CF634D"/>
    <w:rsid w:val="00CF6C85"/>
    <w:rsid w:val="00CF7A42"/>
    <w:rsid w:val="00CF7D0A"/>
    <w:rsid w:val="00D0035F"/>
    <w:rsid w:val="00D003A0"/>
    <w:rsid w:val="00D00471"/>
    <w:rsid w:val="00D0102F"/>
    <w:rsid w:val="00D016EF"/>
    <w:rsid w:val="00D01B4E"/>
    <w:rsid w:val="00D028CF"/>
    <w:rsid w:val="00D02C4B"/>
    <w:rsid w:val="00D02E94"/>
    <w:rsid w:val="00D036B9"/>
    <w:rsid w:val="00D03BBD"/>
    <w:rsid w:val="00D04DB9"/>
    <w:rsid w:val="00D066E4"/>
    <w:rsid w:val="00D06DF5"/>
    <w:rsid w:val="00D10FFC"/>
    <w:rsid w:val="00D11CD7"/>
    <w:rsid w:val="00D12110"/>
    <w:rsid w:val="00D124CE"/>
    <w:rsid w:val="00D129F9"/>
    <w:rsid w:val="00D12D47"/>
    <w:rsid w:val="00D1301B"/>
    <w:rsid w:val="00D133FC"/>
    <w:rsid w:val="00D13A0A"/>
    <w:rsid w:val="00D13FE3"/>
    <w:rsid w:val="00D14FE7"/>
    <w:rsid w:val="00D1503E"/>
    <w:rsid w:val="00D15D0E"/>
    <w:rsid w:val="00D16762"/>
    <w:rsid w:val="00D175E6"/>
    <w:rsid w:val="00D202E6"/>
    <w:rsid w:val="00D204CD"/>
    <w:rsid w:val="00D20CF8"/>
    <w:rsid w:val="00D2148F"/>
    <w:rsid w:val="00D21567"/>
    <w:rsid w:val="00D21894"/>
    <w:rsid w:val="00D21970"/>
    <w:rsid w:val="00D22790"/>
    <w:rsid w:val="00D2352F"/>
    <w:rsid w:val="00D23D7D"/>
    <w:rsid w:val="00D24F70"/>
    <w:rsid w:val="00D2521F"/>
    <w:rsid w:val="00D254C4"/>
    <w:rsid w:val="00D26067"/>
    <w:rsid w:val="00D30A3E"/>
    <w:rsid w:val="00D30BA2"/>
    <w:rsid w:val="00D30CF8"/>
    <w:rsid w:val="00D312C4"/>
    <w:rsid w:val="00D31E2C"/>
    <w:rsid w:val="00D32151"/>
    <w:rsid w:val="00D32B52"/>
    <w:rsid w:val="00D3303F"/>
    <w:rsid w:val="00D332B7"/>
    <w:rsid w:val="00D34327"/>
    <w:rsid w:val="00D348A5"/>
    <w:rsid w:val="00D34FF2"/>
    <w:rsid w:val="00D35C2A"/>
    <w:rsid w:val="00D35F3B"/>
    <w:rsid w:val="00D366DA"/>
    <w:rsid w:val="00D369F2"/>
    <w:rsid w:val="00D36AFF"/>
    <w:rsid w:val="00D36E12"/>
    <w:rsid w:val="00D36E80"/>
    <w:rsid w:val="00D36FD4"/>
    <w:rsid w:val="00D375AA"/>
    <w:rsid w:val="00D4001D"/>
    <w:rsid w:val="00D4020F"/>
    <w:rsid w:val="00D405A0"/>
    <w:rsid w:val="00D40F91"/>
    <w:rsid w:val="00D411CC"/>
    <w:rsid w:val="00D41B4A"/>
    <w:rsid w:val="00D41D15"/>
    <w:rsid w:val="00D41FE2"/>
    <w:rsid w:val="00D425AB"/>
    <w:rsid w:val="00D42835"/>
    <w:rsid w:val="00D43737"/>
    <w:rsid w:val="00D43EF1"/>
    <w:rsid w:val="00D4420E"/>
    <w:rsid w:val="00D456D3"/>
    <w:rsid w:val="00D4573D"/>
    <w:rsid w:val="00D464CA"/>
    <w:rsid w:val="00D47426"/>
    <w:rsid w:val="00D475FD"/>
    <w:rsid w:val="00D47634"/>
    <w:rsid w:val="00D50115"/>
    <w:rsid w:val="00D50210"/>
    <w:rsid w:val="00D50F71"/>
    <w:rsid w:val="00D53795"/>
    <w:rsid w:val="00D5403C"/>
    <w:rsid w:val="00D555F2"/>
    <w:rsid w:val="00D56778"/>
    <w:rsid w:val="00D57223"/>
    <w:rsid w:val="00D57413"/>
    <w:rsid w:val="00D57DA3"/>
    <w:rsid w:val="00D600A7"/>
    <w:rsid w:val="00D6024E"/>
    <w:rsid w:val="00D61779"/>
    <w:rsid w:val="00D61EB1"/>
    <w:rsid w:val="00D630E8"/>
    <w:rsid w:val="00D63A12"/>
    <w:rsid w:val="00D63AB1"/>
    <w:rsid w:val="00D63FB4"/>
    <w:rsid w:val="00D6404D"/>
    <w:rsid w:val="00D64099"/>
    <w:rsid w:val="00D644A8"/>
    <w:rsid w:val="00D64596"/>
    <w:rsid w:val="00D657AB"/>
    <w:rsid w:val="00D663CA"/>
    <w:rsid w:val="00D6667E"/>
    <w:rsid w:val="00D66A3A"/>
    <w:rsid w:val="00D66EA3"/>
    <w:rsid w:val="00D678B2"/>
    <w:rsid w:val="00D67936"/>
    <w:rsid w:val="00D702C4"/>
    <w:rsid w:val="00D71755"/>
    <w:rsid w:val="00D719EB"/>
    <w:rsid w:val="00D72252"/>
    <w:rsid w:val="00D7289C"/>
    <w:rsid w:val="00D72C08"/>
    <w:rsid w:val="00D7337C"/>
    <w:rsid w:val="00D73B18"/>
    <w:rsid w:val="00D7427D"/>
    <w:rsid w:val="00D742F3"/>
    <w:rsid w:val="00D74A4F"/>
    <w:rsid w:val="00D74AC4"/>
    <w:rsid w:val="00D763E4"/>
    <w:rsid w:val="00D766F7"/>
    <w:rsid w:val="00D76872"/>
    <w:rsid w:val="00D76B2C"/>
    <w:rsid w:val="00D77543"/>
    <w:rsid w:val="00D77E13"/>
    <w:rsid w:val="00D80661"/>
    <w:rsid w:val="00D818DC"/>
    <w:rsid w:val="00D81A05"/>
    <w:rsid w:val="00D83C44"/>
    <w:rsid w:val="00D8461F"/>
    <w:rsid w:val="00D84F64"/>
    <w:rsid w:val="00D8503A"/>
    <w:rsid w:val="00D85AB0"/>
    <w:rsid w:val="00D86939"/>
    <w:rsid w:val="00D870B4"/>
    <w:rsid w:val="00D87422"/>
    <w:rsid w:val="00D90AF2"/>
    <w:rsid w:val="00D91B18"/>
    <w:rsid w:val="00D92415"/>
    <w:rsid w:val="00D93246"/>
    <w:rsid w:val="00D93750"/>
    <w:rsid w:val="00D94119"/>
    <w:rsid w:val="00D9412E"/>
    <w:rsid w:val="00D94191"/>
    <w:rsid w:val="00D94236"/>
    <w:rsid w:val="00D94304"/>
    <w:rsid w:val="00D9661B"/>
    <w:rsid w:val="00D972EF"/>
    <w:rsid w:val="00D97844"/>
    <w:rsid w:val="00DA011D"/>
    <w:rsid w:val="00DA0426"/>
    <w:rsid w:val="00DA19F6"/>
    <w:rsid w:val="00DA1A98"/>
    <w:rsid w:val="00DA210C"/>
    <w:rsid w:val="00DA295F"/>
    <w:rsid w:val="00DA2E8C"/>
    <w:rsid w:val="00DA3248"/>
    <w:rsid w:val="00DA32EC"/>
    <w:rsid w:val="00DA3A98"/>
    <w:rsid w:val="00DA3F24"/>
    <w:rsid w:val="00DA4925"/>
    <w:rsid w:val="00DA4BBF"/>
    <w:rsid w:val="00DA5C09"/>
    <w:rsid w:val="00DA5D8D"/>
    <w:rsid w:val="00DA6647"/>
    <w:rsid w:val="00DA7037"/>
    <w:rsid w:val="00DA7416"/>
    <w:rsid w:val="00DA759F"/>
    <w:rsid w:val="00DA7AD5"/>
    <w:rsid w:val="00DA7B83"/>
    <w:rsid w:val="00DA7FCF"/>
    <w:rsid w:val="00DB01FE"/>
    <w:rsid w:val="00DB0884"/>
    <w:rsid w:val="00DB08D0"/>
    <w:rsid w:val="00DB110D"/>
    <w:rsid w:val="00DB11A1"/>
    <w:rsid w:val="00DB11EE"/>
    <w:rsid w:val="00DB1262"/>
    <w:rsid w:val="00DB13A9"/>
    <w:rsid w:val="00DB15CA"/>
    <w:rsid w:val="00DB18D2"/>
    <w:rsid w:val="00DB205B"/>
    <w:rsid w:val="00DB20D9"/>
    <w:rsid w:val="00DB29FE"/>
    <w:rsid w:val="00DB2BA9"/>
    <w:rsid w:val="00DB2D93"/>
    <w:rsid w:val="00DB2F0F"/>
    <w:rsid w:val="00DB3043"/>
    <w:rsid w:val="00DB33BF"/>
    <w:rsid w:val="00DB3B5E"/>
    <w:rsid w:val="00DB3F2F"/>
    <w:rsid w:val="00DB400C"/>
    <w:rsid w:val="00DB4B48"/>
    <w:rsid w:val="00DB53DC"/>
    <w:rsid w:val="00DB56AC"/>
    <w:rsid w:val="00DB5865"/>
    <w:rsid w:val="00DB5D9C"/>
    <w:rsid w:val="00DB68AB"/>
    <w:rsid w:val="00DB731E"/>
    <w:rsid w:val="00DB778F"/>
    <w:rsid w:val="00DC0131"/>
    <w:rsid w:val="00DC0192"/>
    <w:rsid w:val="00DC0356"/>
    <w:rsid w:val="00DC0903"/>
    <w:rsid w:val="00DC0D60"/>
    <w:rsid w:val="00DC189D"/>
    <w:rsid w:val="00DC18D5"/>
    <w:rsid w:val="00DC1D61"/>
    <w:rsid w:val="00DC20F6"/>
    <w:rsid w:val="00DC216E"/>
    <w:rsid w:val="00DC2D3B"/>
    <w:rsid w:val="00DC3B24"/>
    <w:rsid w:val="00DC3C85"/>
    <w:rsid w:val="00DC46EC"/>
    <w:rsid w:val="00DC4A43"/>
    <w:rsid w:val="00DC54BC"/>
    <w:rsid w:val="00DC556C"/>
    <w:rsid w:val="00DC5C4E"/>
    <w:rsid w:val="00DC5D44"/>
    <w:rsid w:val="00DC6E84"/>
    <w:rsid w:val="00DC7094"/>
    <w:rsid w:val="00DD1BF6"/>
    <w:rsid w:val="00DD2269"/>
    <w:rsid w:val="00DD2751"/>
    <w:rsid w:val="00DD33E9"/>
    <w:rsid w:val="00DD35B1"/>
    <w:rsid w:val="00DD3C62"/>
    <w:rsid w:val="00DD3F77"/>
    <w:rsid w:val="00DD544D"/>
    <w:rsid w:val="00DD55D8"/>
    <w:rsid w:val="00DD5796"/>
    <w:rsid w:val="00DD69CF"/>
    <w:rsid w:val="00DD6CF8"/>
    <w:rsid w:val="00DD7E42"/>
    <w:rsid w:val="00DE038F"/>
    <w:rsid w:val="00DE0C39"/>
    <w:rsid w:val="00DE17AF"/>
    <w:rsid w:val="00DE1BC0"/>
    <w:rsid w:val="00DE2249"/>
    <w:rsid w:val="00DE360C"/>
    <w:rsid w:val="00DE3982"/>
    <w:rsid w:val="00DE41A9"/>
    <w:rsid w:val="00DE43F3"/>
    <w:rsid w:val="00DE45E5"/>
    <w:rsid w:val="00DE4621"/>
    <w:rsid w:val="00DE548A"/>
    <w:rsid w:val="00DE5FC1"/>
    <w:rsid w:val="00DE6A35"/>
    <w:rsid w:val="00DE6A80"/>
    <w:rsid w:val="00DE6E10"/>
    <w:rsid w:val="00DE7029"/>
    <w:rsid w:val="00DE7EBC"/>
    <w:rsid w:val="00DF001C"/>
    <w:rsid w:val="00DF094F"/>
    <w:rsid w:val="00DF0DFC"/>
    <w:rsid w:val="00DF1855"/>
    <w:rsid w:val="00DF1BF0"/>
    <w:rsid w:val="00DF389C"/>
    <w:rsid w:val="00DF3EB3"/>
    <w:rsid w:val="00DF59CB"/>
    <w:rsid w:val="00E0001C"/>
    <w:rsid w:val="00E00C7A"/>
    <w:rsid w:val="00E01D56"/>
    <w:rsid w:val="00E022AA"/>
    <w:rsid w:val="00E027FF"/>
    <w:rsid w:val="00E0287A"/>
    <w:rsid w:val="00E02D5B"/>
    <w:rsid w:val="00E02D69"/>
    <w:rsid w:val="00E03184"/>
    <w:rsid w:val="00E031CF"/>
    <w:rsid w:val="00E03CED"/>
    <w:rsid w:val="00E03D00"/>
    <w:rsid w:val="00E0401F"/>
    <w:rsid w:val="00E04D4E"/>
    <w:rsid w:val="00E04DF9"/>
    <w:rsid w:val="00E0505E"/>
    <w:rsid w:val="00E056C8"/>
    <w:rsid w:val="00E064AD"/>
    <w:rsid w:val="00E079BB"/>
    <w:rsid w:val="00E10328"/>
    <w:rsid w:val="00E112A5"/>
    <w:rsid w:val="00E12588"/>
    <w:rsid w:val="00E1265B"/>
    <w:rsid w:val="00E12664"/>
    <w:rsid w:val="00E128E1"/>
    <w:rsid w:val="00E12D13"/>
    <w:rsid w:val="00E12FD9"/>
    <w:rsid w:val="00E13E12"/>
    <w:rsid w:val="00E13F0F"/>
    <w:rsid w:val="00E14184"/>
    <w:rsid w:val="00E15176"/>
    <w:rsid w:val="00E1578B"/>
    <w:rsid w:val="00E1616B"/>
    <w:rsid w:val="00E16C17"/>
    <w:rsid w:val="00E17011"/>
    <w:rsid w:val="00E170CB"/>
    <w:rsid w:val="00E17179"/>
    <w:rsid w:val="00E21B06"/>
    <w:rsid w:val="00E2360A"/>
    <w:rsid w:val="00E24038"/>
    <w:rsid w:val="00E24C1F"/>
    <w:rsid w:val="00E2565E"/>
    <w:rsid w:val="00E30497"/>
    <w:rsid w:val="00E312A7"/>
    <w:rsid w:val="00E32687"/>
    <w:rsid w:val="00E32B59"/>
    <w:rsid w:val="00E33017"/>
    <w:rsid w:val="00E33089"/>
    <w:rsid w:val="00E347F2"/>
    <w:rsid w:val="00E349BE"/>
    <w:rsid w:val="00E375EA"/>
    <w:rsid w:val="00E37A52"/>
    <w:rsid w:val="00E37BFF"/>
    <w:rsid w:val="00E37CB9"/>
    <w:rsid w:val="00E37EAE"/>
    <w:rsid w:val="00E37FCE"/>
    <w:rsid w:val="00E40936"/>
    <w:rsid w:val="00E41601"/>
    <w:rsid w:val="00E416AF"/>
    <w:rsid w:val="00E42CD2"/>
    <w:rsid w:val="00E435A2"/>
    <w:rsid w:val="00E43D53"/>
    <w:rsid w:val="00E455E9"/>
    <w:rsid w:val="00E45BE2"/>
    <w:rsid w:val="00E45E69"/>
    <w:rsid w:val="00E47DA3"/>
    <w:rsid w:val="00E500CA"/>
    <w:rsid w:val="00E5010A"/>
    <w:rsid w:val="00E51EE5"/>
    <w:rsid w:val="00E527B8"/>
    <w:rsid w:val="00E538F0"/>
    <w:rsid w:val="00E548AA"/>
    <w:rsid w:val="00E54AB2"/>
    <w:rsid w:val="00E5608F"/>
    <w:rsid w:val="00E56A47"/>
    <w:rsid w:val="00E573A7"/>
    <w:rsid w:val="00E57995"/>
    <w:rsid w:val="00E602F6"/>
    <w:rsid w:val="00E60DF9"/>
    <w:rsid w:val="00E62CE1"/>
    <w:rsid w:val="00E636AB"/>
    <w:rsid w:val="00E64209"/>
    <w:rsid w:val="00E64D9F"/>
    <w:rsid w:val="00E656EA"/>
    <w:rsid w:val="00E662EF"/>
    <w:rsid w:val="00E6632E"/>
    <w:rsid w:val="00E66445"/>
    <w:rsid w:val="00E66688"/>
    <w:rsid w:val="00E668F1"/>
    <w:rsid w:val="00E669A3"/>
    <w:rsid w:val="00E67091"/>
    <w:rsid w:val="00E6761D"/>
    <w:rsid w:val="00E67A3D"/>
    <w:rsid w:val="00E67E98"/>
    <w:rsid w:val="00E70C90"/>
    <w:rsid w:val="00E71417"/>
    <w:rsid w:val="00E719C9"/>
    <w:rsid w:val="00E73106"/>
    <w:rsid w:val="00E7329C"/>
    <w:rsid w:val="00E74554"/>
    <w:rsid w:val="00E755D6"/>
    <w:rsid w:val="00E76508"/>
    <w:rsid w:val="00E76C7E"/>
    <w:rsid w:val="00E772E2"/>
    <w:rsid w:val="00E77513"/>
    <w:rsid w:val="00E77D74"/>
    <w:rsid w:val="00E817B8"/>
    <w:rsid w:val="00E817D4"/>
    <w:rsid w:val="00E81E11"/>
    <w:rsid w:val="00E82626"/>
    <w:rsid w:val="00E8289A"/>
    <w:rsid w:val="00E82D97"/>
    <w:rsid w:val="00E83CF8"/>
    <w:rsid w:val="00E843A5"/>
    <w:rsid w:val="00E8498B"/>
    <w:rsid w:val="00E8588C"/>
    <w:rsid w:val="00E86531"/>
    <w:rsid w:val="00E866A7"/>
    <w:rsid w:val="00E878CE"/>
    <w:rsid w:val="00E912FB"/>
    <w:rsid w:val="00E92F8B"/>
    <w:rsid w:val="00E93434"/>
    <w:rsid w:val="00E93529"/>
    <w:rsid w:val="00E943E4"/>
    <w:rsid w:val="00E94B08"/>
    <w:rsid w:val="00E94BDD"/>
    <w:rsid w:val="00E94C0D"/>
    <w:rsid w:val="00E952F0"/>
    <w:rsid w:val="00E957B5"/>
    <w:rsid w:val="00E95D35"/>
    <w:rsid w:val="00E9642C"/>
    <w:rsid w:val="00E96E67"/>
    <w:rsid w:val="00E9777A"/>
    <w:rsid w:val="00E97949"/>
    <w:rsid w:val="00E97B4E"/>
    <w:rsid w:val="00E97FA8"/>
    <w:rsid w:val="00EA1A3F"/>
    <w:rsid w:val="00EA1AF9"/>
    <w:rsid w:val="00EA3142"/>
    <w:rsid w:val="00EA48E5"/>
    <w:rsid w:val="00EA55F8"/>
    <w:rsid w:val="00EA5992"/>
    <w:rsid w:val="00EA748E"/>
    <w:rsid w:val="00EA7A06"/>
    <w:rsid w:val="00EB007D"/>
    <w:rsid w:val="00EB0C3E"/>
    <w:rsid w:val="00EB1149"/>
    <w:rsid w:val="00EB115B"/>
    <w:rsid w:val="00EB1D49"/>
    <w:rsid w:val="00EB1E22"/>
    <w:rsid w:val="00EB219F"/>
    <w:rsid w:val="00EB2B2D"/>
    <w:rsid w:val="00EB2B8B"/>
    <w:rsid w:val="00EB4057"/>
    <w:rsid w:val="00EB4B48"/>
    <w:rsid w:val="00EB7386"/>
    <w:rsid w:val="00EB7CB2"/>
    <w:rsid w:val="00EB7F52"/>
    <w:rsid w:val="00EC0175"/>
    <w:rsid w:val="00EC12E0"/>
    <w:rsid w:val="00EC1F59"/>
    <w:rsid w:val="00EC2911"/>
    <w:rsid w:val="00EC517A"/>
    <w:rsid w:val="00EC6A6F"/>
    <w:rsid w:val="00EC77D5"/>
    <w:rsid w:val="00ED0182"/>
    <w:rsid w:val="00ED01C2"/>
    <w:rsid w:val="00ED0985"/>
    <w:rsid w:val="00ED0B50"/>
    <w:rsid w:val="00ED1AC5"/>
    <w:rsid w:val="00ED1F8F"/>
    <w:rsid w:val="00ED2B88"/>
    <w:rsid w:val="00ED3DDB"/>
    <w:rsid w:val="00ED4C31"/>
    <w:rsid w:val="00ED5F7D"/>
    <w:rsid w:val="00ED62E9"/>
    <w:rsid w:val="00ED6DB9"/>
    <w:rsid w:val="00ED7128"/>
    <w:rsid w:val="00EE1523"/>
    <w:rsid w:val="00EE1690"/>
    <w:rsid w:val="00EE1C45"/>
    <w:rsid w:val="00EE1FD0"/>
    <w:rsid w:val="00EE2443"/>
    <w:rsid w:val="00EE3510"/>
    <w:rsid w:val="00EE3A91"/>
    <w:rsid w:val="00EE3BF0"/>
    <w:rsid w:val="00EE4497"/>
    <w:rsid w:val="00EE53E0"/>
    <w:rsid w:val="00EE54BA"/>
    <w:rsid w:val="00EE5CE9"/>
    <w:rsid w:val="00EE6383"/>
    <w:rsid w:val="00EE696D"/>
    <w:rsid w:val="00EE6D2C"/>
    <w:rsid w:val="00EE7200"/>
    <w:rsid w:val="00EE7A20"/>
    <w:rsid w:val="00EF0149"/>
    <w:rsid w:val="00EF0355"/>
    <w:rsid w:val="00EF048D"/>
    <w:rsid w:val="00EF0E2E"/>
    <w:rsid w:val="00EF115C"/>
    <w:rsid w:val="00EF1E6E"/>
    <w:rsid w:val="00EF25F9"/>
    <w:rsid w:val="00EF2A82"/>
    <w:rsid w:val="00EF3145"/>
    <w:rsid w:val="00EF334C"/>
    <w:rsid w:val="00EF3759"/>
    <w:rsid w:val="00EF49B2"/>
    <w:rsid w:val="00EF511B"/>
    <w:rsid w:val="00EF63B7"/>
    <w:rsid w:val="00EF6478"/>
    <w:rsid w:val="00EF68A8"/>
    <w:rsid w:val="00EF7381"/>
    <w:rsid w:val="00EF7A56"/>
    <w:rsid w:val="00EF7CB3"/>
    <w:rsid w:val="00F02300"/>
    <w:rsid w:val="00F02561"/>
    <w:rsid w:val="00F02956"/>
    <w:rsid w:val="00F03A0E"/>
    <w:rsid w:val="00F045D1"/>
    <w:rsid w:val="00F04D0F"/>
    <w:rsid w:val="00F05253"/>
    <w:rsid w:val="00F05426"/>
    <w:rsid w:val="00F06C8D"/>
    <w:rsid w:val="00F0749F"/>
    <w:rsid w:val="00F106DB"/>
    <w:rsid w:val="00F11155"/>
    <w:rsid w:val="00F117E2"/>
    <w:rsid w:val="00F11D66"/>
    <w:rsid w:val="00F11E78"/>
    <w:rsid w:val="00F1240E"/>
    <w:rsid w:val="00F12B40"/>
    <w:rsid w:val="00F13123"/>
    <w:rsid w:val="00F131AE"/>
    <w:rsid w:val="00F14075"/>
    <w:rsid w:val="00F15A5F"/>
    <w:rsid w:val="00F15CE2"/>
    <w:rsid w:val="00F1619F"/>
    <w:rsid w:val="00F16DDD"/>
    <w:rsid w:val="00F17D3F"/>
    <w:rsid w:val="00F20859"/>
    <w:rsid w:val="00F20E13"/>
    <w:rsid w:val="00F21E16"/>
    <w:rsid w:val="00F23337"/>
    <w:rsid w:val="00F243F7"/>
    <w:rsid w:val="00F24ADE"/>
    <w:rsid w:val="00F24BB5"/>
    <w:rsid w:val="00F250F0"/>
    <w:rsid w:val="00F26A00"/>
    <w:rsid w:val="00F26BC9"/>
    <w:rsid w:val="00F27982"/>
    <w:rsid w:val="00F30899"/>
    <w:rsid w:val="00F309F6"/>
    <w:rsid w:val="00F311F3"/>
    <w:rsid w:val="00F31A0D"/>
    <w:rsid w:val="00F31E41"/>
    <w:rsid w:val="00F32433"/>
    <w:rsid w:val="00F32DF4"/>
    <w:rsid w:val="00F34994"/>
    <w:rsid w:val="00F34F4F"/>
    <w:rsid w:val="00F417ED"/>
    <w:rsid w:val="00F41D0A"/>
    <w:rsid w:val="00F42D4A"/>
    <w:rsid w:val="00F4301A"/>
    <w:rsid w:val="00F43589"/>
    <w:rsid w:val="00F43F5B"/>
    <w:rsid w:val="00F44462"/>
    <w:rsid w:val="00F44DEF"/>
    <w:rsid w:val="00F45068"/>
    <w:rsid w:val="00F453A3"/>
    <w:rsid w:val="00F45556"/>
    <w:rsid w:val="00F46739"/>
    <w:rsid w:val="00F47C05"/>
    <w:rsid w:val="00F47C15"/>
    <w:rsid w:val="00F47EA0"/>
    <w:rsid w:val="00F47EC5"/>
    <w:rsid w:val="00F51611"/>
    <w:rsid w:val="00F516D3"/>
    <w:rsid w:val="00F52A7F"/>
    <w:rsid w:val="00F52AC4"/>
    <w:rsid w:val="00F52DD2"/>
    <w:rsid w:val="00F53274"/>
    <w:rsid w:val="00F538B9"/>
    <w:rsid w:val="00F53961"/>
    <w:rsid w:val="00F53D7F"/>
    <w:rsid w:val="00F53FAD"/>
    <w:rsid w:val="00F54BCF"/>
    <w:rsid w:val="00F55407"/>
    <w:rsid w:val="00F55831"/>
    <w:rsid w:val="00F55B70"/>
    <w:rsid w:val="00F57B14"/>
    <w:rsid w:val="00F57EBE"/>
    <w:rsid w:val="00F57FD8"/>
    <w:rsid w:val="00F608CD"/>
    <w:rsid w:val="00F60AD5"/>
    <w:rsid w:val="00F61839"/>
    <w:rsid w:val="00F62635"/>
    <w:rsid w:val="00F627A1"/>
    <w:rsid w:val="00F63D46"/>
    <w:rsid w:val="00F65CCD"/>
    <w:rsid w:val="00F65E34"/>
    <w:rsid w:val="00F65F1D"/>
    <w:rsid w:val="00F66239"/>
    <w:rsid w:val="00F66798"/>
    <w:rsid w:val="00F669D5"/>
    <w:rsid w:val="00F66AF6"/>
    <w:rsid w:val="00F66CF0"/>
    <w:rsid w:val="00F7003C"/>
    <w:rsid w:val="00F70065"/>
    <w:rsid w:val="00F70384"/>
    <w:rsid w:val="00F70455"/>
    <w:rsid w:val="00F70656"/>
    <w:rsid w:val="00F70CCA"/>
    <w:rsid w:val="00F7298C"/>
    <w:rsid w:val="00F72DF1"/>
    <w:rsid w:val="00F73273"/>
    <w:rsid w:val="00F73CD6"/>
    <w:rsid w:val="00F743ED"/>
    <w:rsid w:val="00F7451C"/>
    <w:rsid w:val="00F749F9"/>
    <w:rsid w:val="00F752AC"/>
    <w:rsid w:val="00F75A62"/>
    <w:rsid w:val="00F75EED"/>
    <w:rsid w:val="00F766A5"/>
    <w:rsid w:val="00F7683B"/>
    <w:rsid w:val="00F8067F"/>
    <w:rsid w:val="00F80B07"/>
    <w:rsid w:val="00F80DDA"/>
    <w:rsid w:val="00F8105D"/>
    <w:rsid w:val="00F818A3"/>
    <w:rsid w:val="00F827D7"/>
    <w:rsid w:val="00F82B34"/>
    <w:rsid w:val="00F83ED4"/>
    <w:rsid w:val="00F84054"/>
    <w:rsid w:val="00F85422"/>
    <w:rsid w:val="00F85A83"/>
    <w:rsid w:val="00F86268"/>
    <w:rsid w:val="00F9006F"/>
    <w:rsid w:val="00F903DD"/>
    <w:rsid w:val="00F904B3"/>
    <w:rsid w:val="00F9050E"/>
    <w:rsid w:val="00F906D7"/>
    <w:rsid w:val="00F90DB6"/>
    <w:rsid w:val="00F91F2F"/>
    <w:rsid w:val="00F91FBF"/>
    <w:rsid w:val="00F9206A"/>
    <w:rsid w:val="00F9305A"/>
    <w:rsid w:val="00F93F33"/>
    <w:rsid w:val="00F94137"/>
    <w:rsid w:val="00F948EA"/>
    <w:rsid w:val="00F94ABA"/>
    <w:rsid w:val="00F95B94"/>
    <w:rsid w:val="00F95D90"/>
    <w:rsid w:val="00F960D8"/>
    <w:rsid w:val="00F961E6"/>
    <w:rsid w:val="00F96268"/>
    <w:rsid w:val="00F963C4"/>
    <w:rsid w:val="00F9695E"/>
    <w:rsid w:val="00F969C8"/>
    <w:rsid w:val="00F971B9"/>
    <w:rsid w:val="00F97EE6"/>
    <w:rsid w:val="00FA1283"/>
    <w:rsid w:val="00FA2A77"/>
    <w:rsid w:val="00FA2F5E"/>
    <w:rsid w:val="00FA317F"/>
    <w:rsid w:val="00FA3728"/>
    <w:rsid w:val="00FA39C7"/>
    <w:rsid w:val="00FA439E"/>
    <w:rsid w:val="00FA5790"/>
    <w:rsid w:val="00FA6D6D"/>
    <w:rsid w:val="00FA7F9E"/>
    <w:rsid w:val="00FB00EA"/>
    <w:rsid w:val="00FB0542"/>
    <w:rsid w:val="00FB1BA5"/>
    <w:rsid w:val="00FB1D74"/>
    <w:rsid w:val="00FB1FEF"/>
    <w:rsid w:val="00FB24C7"/>
    <w:rsid w:val="00FB300E"/>
    <w:rsid w:val="00FB32F4"/>
    <w:rsid w:val="00FB3412"/>
    <w:rsid w:val="00FB3DF2"/>
    <w:rsid w:val="00FB3E11"/>
    <w:rsid w:val="00FB3FD3"/>
    <w:rsid w:val="00FB4440"/>
    <w:rsid w:val="00FB4472"/>
    <w:rsid w:val="00FB473E"/>
    <w:rsid w:val="00FB581F"/>
    <w:rsid w:val="00FB5BDA"/>
    <w:rsid w:val="00FB5D2F"/>
    <w:rsid w:val="00FB618E"/>
    <w:rsid w:val="00FB6DD2"/>
    <w:rsid w:val="00FB6F32"/>
    <w:rsid w:val="00FB735A"/>
    <w:rsid w:val="00FC2253"/>
    <w:rsid w:val="00FC2A62"/>
    <w:rsid w:val="00FC3409"/>
    <w:rsid w:val="00FC3536"/>
    <w:rsid w:val="00FC4FEB"/>
    <w:rsid w:val="00FC5233"/>
    <w:rsid w:val="00FC578D"/>
    <w:rsid w:val="00FC59D5"/>
    <w:rsid w:val="00FC5B29"/>
    <w:rsid w:val="00FC6AF3"/>
    <w:rsid w:val="00FC7B7A"/>
    <w:rsid w:val="00FD03C3"/>
    <w:rsid w:val="00FD0C4D"/>
    <w:rsid w:val="00FD0F82"/>
    <w:rsid w:val="00FD11D5"/>
    <w:rsid w:val="00FD194D"/>
    <w:rsid w:val="00FD35B5"/>
    <w:rsid w:val="00FD371B"/>
    <w:rsid w:val="00FD37B6"/>
    <w:rsid w:val="00FD3D0D"/>
    <w:rsid w:val="00FD48F7"/>
    <w:rsid w:val="00FD59AE"/>
    <w:rsid w:val="00FD60AF"/>
    <w:rsid w:val="00FD6157"/>
    <w:rsid w:val="00FD6DFC"/>
    <w:rsid w:val="00FE08A6"/>
    <w:rsid w:val="00FE0BF9"/>
    <w:rsid w:val="00FE20EC"/>
    <w:rsid w:val="00FE2288"/>
    <w:rsid w:val="00FE2A50"/>
    <w:rsid w:val="00FE2B44"/>
    <w:rsid w:val="00FE2E9E"/>
    <w:rsid w:val="00FE37BD"/>
    <w:rsid w:val="00FE3E08"/>
    <w:rsid w:val="00FE5F7C"/>
    <w:rsid w:val="00FE61D6"/>
    <w:rsid w:val="00FE63DA"/>
    <w:rsid w:val="00FE6443"/>
    <w:rsid w:val="00FE64CC"/>
    <w:rsid w:val="00FE66D0"/>
    <w:rsid w:val="00FE687B"/>
    <w:rsid w:val="00FE6E6E"/>
    <w:rsid w:val="00FF1728"/>
    <w:rsid w:val="00FF19B3"/>
    <w:rsid w:val="00FF1ED1"/>
    <w:rsid w:val="00FF1ED5"/>
    <w:rsid w:val="00FF21BB"/>
    <w:rsid w:val="00FF455E"/>
    <w:rsid w:val="00FF49D5"/>
    <w:rsid w:val="00FF4A7E"/>
    <w:rsid w:val="00FF54FE"/>
    <w:rsid w:val="00FF5687"/>
    <w:rsid w:val="00FF5E72"/>
    <w:rsid w:val="00FF61CE"/>
    <w:rsid w:val="00FF61D3"/>
    <w:rsid w:val="00FF61DB"/>
    <w:rsid w:val="00FF65D4"/>
    <w:rsid w:val="00FF6770"/>
    <w:rsid w:val="00FF67F0"/>
    <w:rsid w:val="00FF6B94"/>
    <w:rsid w:val="00FF7ADB"/>
    <w:rsid w:val="013E7AB2"/>
    <w:rsid w:val="01E3245E"/>
    <w:rsid w:val="02133F59"/>
    <w:rsid w:val="0291294B"/>
    <w:rsid w:val="03022919"/>
    <w:rsid w:val="031A3EA2"/>
    <w:rsid w:val="03376E8F"/>
    <w:rsid w:val="03AF33C7"/>
    <w:rsid w:val="04211F67"/>
    <w:rsid w:val="045633D0"/>
    <w:rsid w:val="047151E9"/>
    <w:rsid w:val="04F22F9B"/>
    <w:rsid w:val="0510406C"/>
    <w:rsid w:val="054C0D1F"/>
    <w:rsid w:val="05CA0ACF"/>
    <w:rsid w:val="05CD2B76"/>
    <w:rsid w:val="06010752"/>
    <w:rsid w:val="06342325"/>
    <w:rsid w:val="064516F1"/>
    <w:rsid w:val="070D3F40"/>
    <w:rsid w:val="072B77CB"/>
    <w:rsid w:val="077E6C62"/>
    <w:rsid w:val="07AC0F4D"/>
    <w:rsid w:val="07C85EBA"/>
    <w:rsid w:val="07FF4013"/>
    <w:rsid w:val="095825AE"/>
    <w:rsid w:val="09B10528"/>
    <w:rsid w:val="09D40278"/>
    <w:rsid w:val="0A5D6EE5"/>
    <w:rsid w:val="0A994E07"/>
    <w:rsid w:val="0B431D24"/>
    <w:rsid w:val="0B796DDF"/>
    <w:rsid w:val="0B8071D3"/>
    <w:rsid w:val="0B9521A4"/>
    <w:rsid w:val="0BA026D0"/>
    <w:rsid w:val="0BEA50FC"/>
    <w:rsid w:val="0C40270A"/>
    <w:rsid w:val="0CB440CE"/>
    <w:rsid w:val="0CD365DC"/>
    <w:rsid w:val="0D4C2621"/>
    <w:rsid w:val="0DA614E0"/>
    <w:rsid w:val="0E2C2C5B"/>
    <w:rsid w:val="0E547C8B"/>
    <w:rsid w:val="0E80275C"/>
    <w:rsid w:val="0E947D89"/>
    <w:rsid w:val="0EBD3804"/>
    <w:rsid w:val="0F136AEB"/>
    <w:rsid w:val="0F15624D"/>
    <w:rsid w:val="0F3035D5"/>
    <w:rsid w:val="0F624E70"/>
    <w:rsid w:val="0FE85528"/>
    <w:rsid w:val="10766B82"/>
    <w:rsid w:val="109759D5"/>
    <w:rsid w:val="10F44F50"/>
    <w:rsid w:val="115F41A5"/>
    <w:rsid w:val="117352CE"/>
    <w:rsid w:val="12D153C7"/>
    <w:rsid w:val="132B7C8B"/>
    <w:rsid w:val="133D789C"/>
    <w:rsid w:val="13F52157"/>
    <w:rsid w:val="14075191"/>
    <w:rsid w:val="142C1941"/>
    <w:rsid w:val="144D1617"/>
    <w:rsid w:val="14AF1D90"/>
    <w:rsid w:val="14BC6CCC"/>
    <w:rsid w:val="152B42D7"/>
    <w:rsid w:val="153B5BB6"/>
    <w:rsid w:val="155079D3"/>
    <w:rsid w:val="157F0CAC"/>
    <w:rsid w:val="15850712"/>
    <w:rsid w:val="1595298E"/>
    <w:rsid w:val="15B91F55"/>
    <w:rsid w:val="15BE40AD"/>
    <w:rsid w:val="16603E4F"/>
    <w:rsid w:val="16702D65"/>
    <w:rsid w:val="169B1119"/>
    <w:rsid w:val="16E76DB1"/>
    <w:rsid w:val="17042CE9"/>
    <w:rsid w:val="1759396C"/>
    <w:rsid w:val="18210889"/>
    <w:rsid w:val="18574301"/>
    <w:rsid w:val="18C751F5"/>
    <w:rsid w:val="18D94C7D"/>
    <w:rsid w:val="18DD54B2"/>
    <w:rsid w:val="18F51F34"/>
    <w:rsid w:val="191709AF"/>
    <w:rsid w:val="19217D75"/>
    <w:rsid w:val="19485289"/>
    <w:rsid w:val="19EF3AA5"/>
    <w:rsid w:val="1A1E4A23"/>
    <w:rsid w:val="1A3D09BC"/>
    <w:rsid w:val="1A896AA2"/>
    <w:rsid w:val="1AA22980"/>
    <w:rsid w:val="1AA81FEC"/>
    <w:rsid w:val="1AB8179B"/>
    <w:rsid w:val="1B4F55A5"/>
    <w:rsid w:val="1B77794C"/>
    <w:rsid w:val="1B7F4518"/>
    <w:rsid w:val="1BAD3271"/>
    <w:rsid w:val="1C16244E"/>
    <w:rsid w:val="1C1C3D0F"/>
    <w:rsid w:val="1C50497A"/>
    <w:rsid w:val="1C516967"/>
    <w:rsid w:val="1C566A65"/>
    <w:rsid w:val="1C8416BD"/>
    <w:rsid w:val="1CB4647C"/>
    <w:rsid w:val="1D634297"/>
    <w:rsid w:val="1D8574A1"/>
    <w:rsid w:val="1DAE655F"/>
    <w:rsid w:val="1DF754B7"/>
    <w:rsid w:val="1E0C03BD"/>
    <w:rsid w:val="1E58492F"/>
    <w:rsid w:val="1E71236D"/>
    <w:rsid w:val="1F5930DA"/>
    <w:rsid w:val="1FFC12EA"/>
    <w:rsid w:val="20061493"/>
    <w:rsid w:val="20572AC5"/>
    <w:rsid w:val="2078365F"/>
    <w:rsid w:val="20953EDA"/>
    <w:rsid w:val="20BD6638"/>
    <w:rsid w:val="20E61D13"/>
    <w:rsid w:val="20FA143D"/>
    <w:rsid w:val="21064EB8"/>
    <w:rsid w:val="212A34B4"/>
    <w:rsid w:val="213166EE"/>
    <w:rsid w:val="21573851"/>
    <w:rsid w:val="21CF234E"/>
    <w:rsid w:val="224D751F"/>
    <w:rsid w:val="227B7F72"/>
    <w:rsid w:val="230C2C36"/>
    <w:rsid w:val="23806CF2"/>
    <w:rsid w:val="23902E64"/>
    <w:rsid w:val="23BA10A1"/>
    <w:rsid w:val="243879CA"/>
    <w:rsid w:val="24CD1E75"/>
    <w:rsid w:val="251F2DFD"/>
    <w:rsid w:val="25290D19"/>
    <w:rsid w:val="25872953"/>
    <w:rsid w:val="25950933"/>
    <w:rsid w:val="25A20B86"/>
    <w:rsid w:val="26483B6E"/>
    <w:rsid w:val="268D5392"/>
    <w:rsid w:val="2734103D"/>
    <w:rsid w:val="27743F5C"/>
    <w:rsid w:val="27AC7909"/>
    <w:rsid w:val="2849353B"/>
    <w:rsid w:val="28681310"/>
    <w:rsid w:val="2A8C61B6"/>
    <w:rsid w:val="2A9016DB"/>
    <w:rsid w:val="2B2432BE"/>
    <w:rsid w:val="2B387D21"/>
    <w:rsid w:val="2B7A1446"/>
    <w:rsid w:val="2BBA4204"/>
    <w:rsid w:val="2C03760F"/>
    <w:rsid w:val="2C142FDF"/>
    <w:rsid w:val="2C336535"/>
    <w:rsid w:val="2C90336A"/>
    <w:rsid w:val="2CC42031"/>
    <w:rsid w:val="2CC86842"/>
    <w:rsid w:val="2D4E401F"/>
    <w:rsid w:val="2DB96338"/>
    <w:rsid w:val="2E0979F4"/>
    <w:rsid w:val="2E25252F"/>
    <w:rsid w:val="2E606DD5"/>
    <w:rsid w:val="2EA33752"/>
    <w:rsid w:val="2ED71EC4"/>
    <w:rsid w:val="2EDC18B9"/>
    <w:rsid w:val="2F305345"/>
    <w:rsid w:val="2F365CD9"/>
    <w:rsid w:val="2FE1380D"/>
    <w:rsid w:val="2FF6667D"/>
    <w:rsid w:val="300D300C"/>
    <w:rsid w:val="30861ECF"/>
    <w:rsid w:val="30880CEF"/>
    <w:rsid w:val="30B03261"/>
    <w:rsid w:val="30E134A1"/>
    <w:rsid w:val="30E24863"/>
    <w:rsid w:val="31427BFF"/>
    <w:rsid w:val="31D11721"/>
    <w:rsid w:val="32607400"/>
    <w:rsid w:val="32A07AB1"/>
    <w:rsid w:val="32FD42A3"/>
    <w:rsid w:val="331F0327"/>
    <w:rsid w:val="33942646"/>
    <w:rsid w:val="33FB1208"/>
    <w:rsid w:val="345C3EC3"/>
    <w:rsid w:val="34C3143B"/>
    <w:rsid w:val="35134502"/>
    <w:rsid w:val="35680D77"/>
    <w:rsid w:val="361D7C24"/>
    <w:rsid w:val="367F18CD"/>
    <w:rsid w:val="371561C7"/>
    <w:rsid w:val="371B41A0"/>
    <w:rsid w:val="37260CCA"/>
    <w:rsid w:val="373203E5"/>
    <w:rsid w:val="378B04FF"/>
    <w:rsid w:val="383F2CCF"/>
    <w:rsid w:val="38856E96"/>
    <w:rsid w:val="38C92903"/>
    <w:rsid w:val="38CB6280"/>
    <w:rsid w:val="38FA1518"/>
    <w:rsid w:val="393E7ECC"/>
    <w:rsid w:val="39550D1B"/>
    <w:rsid w:val="39713A0D"/>
    <w:rsid w:val="39732142"/>
    <w:rsid w:val="398D7473"/>
    <w:rsid w:val="399D5494"/>
    <w:rsid w:val="39E8122B"/>
    <w:rsid w:val="39E93902"/>
    <w:rsid w:val="39EC22F6"/>
    <w:rsid w:val="39F1230F"/>
    <w:rsid w:val="39F601FE"/>
    <w:rsid w:val="3A7359A9"/>
    <w:rsid w:val="3B1B2B15"/>
    <w:rsid w:val="3B36275F"/>
    <w:rsid w:val="3B730EEA"/>
    <w:rsid w:val="3B8A24FB"/>
    <w:rsid w:val="3BC56F49"/>
    <w:rsid w:val="3BD61C12"/>
    <w:rsid w:val="3BDC54DF"/>
    <w:rsid w:val="3C273554"/>
    <w:rsid w:val="3C3F35E2"/>
    <w:rsid w:val="3C524AB8"/>
    <w:rsid w:val="3D2D5504"/>
    <w:rsid w:val="3D491BBB"/>
    <w:rsid w:val="3E580A61"/>
    <w:rsid w:val="3EC074D0"/>
    <w:rsid w:val="3ED31A87"/>
    <w:rsid w:val="3ED860DF"/>
    <w:rsid w:val="3FF078D6"/>
    <w:rsid w:val="40B000D9"/>
    <w:rsid w:val="40BC37D4"/>
    <w:rsid w:val="40E771B8"/>
    <w:rsid w:val="40F76E8E"/>
    <w:rsid w:val="41557A1C"/>
    <w:rsid w:val="416F0A62"/>
    <w:rsid w:val="41DD2DEE"/>
    <w:rsid w:val="423556A4"/>
    <w:rsid w:val="424F6912"/>
    <w:rsid w:val="425730C6"/>
    <w:rsid w:val="427A3338"/>
    <w:rsid w:val="42854336"/>
    <w:rsid w:val="42A20A73"/>
    <w:rsid w:val="42C56A9B"/>
    <w:rsid w:val="42CE476B"/>
    <w:rsid w:val="42FB6330"/>
    <w:rsid w:val="43065E58"/>
    <w:rsid w:val="4376546B"/>
    <w:rsid w:val="439607EC"/>
    <w:rsid w:val="439873F8"/>
    <w:rsid w:val="448C26EE"/>
    <w:rsid w:val="44E12B98"/>
    <w:rsid w:val="44EA20BF"/>
    <w:rsid w:val="44F81457"/>
    <w:rsid w:val="457C3073"/>
    <w:rsid w:val="458138B9"/>
    <w:rsid w:val="45CE5839"/>
    <w:rsid w:val="45D0123A"/>
    <w:rsid w:val="46AE7AB7"/>
    <w:rsid w:val="46DE5C2A"/>
    <w:rsid w:val="470A5802"/>
    <w:rsid w:val="473119CD"/>
    <w:rsid w:val="47380AE5"/>
    <w:rsid w:val="47914FF0"/>
    <w:rsid w:val="47C448E0"/>
    <w:rsid w:val="489C6417"/>
    <w:rsid w:val="48ED46E6"/>
    <w:rsid w:val="48F132C9"/>
    <w:rsid w:val="492B381A"/>
    <w:rsid w:val="498543EF"/>
    <w:rsid w:val="49A81A17"/>
    <w:rsid w:val="49DD2A95"/>
    <w:rsid w:val="4A380CA4"/>
    <w:rsid w:val="4A5A3284"/>
    <w:rsid w:val="4AE178D7"/>
    <w:rsid w:val="4AEE0897"/>
    <w:rsid w:val="4B0D204D"/>
    <w:rsid w:val="4B551117"/>
    <w:rsid w:val="4B6651F5"/>
    <w:rsid w:val="4BA83608"/>
    <w:rsid w:val="4C2031D5"/>
    <w:rsid w:val="4C4D3618"/>
    <w:rsid w:val="4C514D06"/>
    <w:rsid w:val="4C58716B"/>
    <w:rsid w:val="4C7D2EEE"/>
    <w:rsid w:val="4C917B8D"/>
    <w:rsid w:val="4C9B2262"/>
    <w:rsid w:val="4D9E14C3"/>
    <w:rsid w:val="4DAF5A6E"/>
    <w:rsid w:val="4DF516AE"/>
    <w:rsid w:val="4E5054FE"/>
    <w:rsid w:val="4E5360A2"/>
    <w:rsid w:val="4E590E63"/>
    <w:rsid w:val="4E5F3C83"/>
    <w:rsid w:val="4EB536BC"/>
    <w:rsid w:val="4EBA116E"/>
    <w:rsid w:val="4F061833"/>
    <w:rsid w:val="4F107881"/>
    <w:rsid w:val="4F5C16B9"/>
    <w:rsid w:val="4FEC295E"/>
    <w:rsid w:val="50097C55"/>
    <w:rsid w:val="505B3B5C"/>
    <w:rsid w:val="505D2D8D"/>
    <w:rsid w:val="508C4F7C"/>
    <w:rsid w:val="509E045A"/>
    <w:rsid w:val="50DF5A77"/>
    <w:rsid w:val="50E22411"/>
    <w:rsid w:val="50E7376D"/>
    <w:rsid w:val="50EB6258"/>
    <w:rsid w:val="51620A23"/>
    <w:rsid w:val="51AE6039"/>
    <w:rsid w:val="51ED2DED"/>
    <w:rsid w:val="52064EDD"/>
    <w:rsid w:val="520E4D2A"/>
    <w:rsid w:val="52827D8C"/>
    <w:rsid w:val="53590ED8"/>
    <w:rsid w:val="537C1421"/>
    <w:rsid w:val="537E4D95"/>
    <w:rsid w:val="550A15DA"/>
    <w:rsid w:val="550A54B9"/>
    <w:rsid w:val="55303373"/>
    <w:rsid w:val="55573523"/>
    <w:rsid w:val="55BE4B23"/>
    <w:rsid w:val="560F18B5"/>
    <w:rsid w:val="568F03F6"/>
    <w:rsid w:val="56AF2ABE"/>
    <w:rsid w:val="56E6510A"/>
    <w:rsid w:val="571D7EF9"/>
    <w:rsid w:val="5727233A"/>
    <w:rsid w:val="577551F3"/>
    <w:rsid w:val="5782689A"/>
    <w:rsid w:val="57AB2AE8"/>
    <w:rsid w:val="58277D95"/>
    <w:rsid w:val="582B6CE7"/>
    <w:rsid w:val="582C2668"/>
    <w:rsid w:val="583B1421"/>
    <w:rsid w:val="58713F08"/>
    <w:rsid w:val="589E228C"/>
    <w:rsid w:val="589E7401"/>
    <w:rsid w:val="58DF22C7"/>
    <w:rsid w:val="58FB47F2"/>
    <w:rsid w:val="59001CEB"/>
    <w:rsid w:val="59096E33"/>
    <w:rsid w:val="59666B56"/>
    <w:rsid w:val="59B461B6"/>
    <w:rsid w:val="59F131CB"/>
    <w:rsid w:val="5AA81D2F"/>
    <w:rsid w:val="5AB01EB3"/>
    <w:rsid w:val="5AC56C20"/>
    <w:rsid w:val="5AD029DD"/>
    <w:rsid w:val="5B1758F9"/>
    <w:rsid w:val="5B4C2B88"/>
    <w:rsid w:val="5B581295"/>
    <w:rsid w:val="5B7632C2"/>
    <w:rsid w:val="5B924964"/>
    <w:rsid w:val="5BDC07BC"/>
    <w:rsid w:val="5C7C4DA5"/>
    <w:rsid w:val="5CC22AD8"/>
    <w:rsid w:val="5D04383F"/>
    <w:rsid w:val="5D44039A"/>
    <w:rsid w:val="5DBC15EF"/>
    <w:rsid w:val="5E053B47"/>
    <w:rsid w:val="5E0A504A"/>
    <w:rsid w:val="5E116A25"/>
    <w:rsid w:val="5E19242A"/>
    <w:rsid w:val="5E6A00CB"/>
    <w:rsid w:val="5E6E2812"/>
    <w:rsid w:val="5F2F0E89"/>
    <w:rsid w:val="5F8E2130"/>
    <w:rsid w:val="5FB54098"/>
    <w:rsid w:val="5FB66F48"/>
    <w:rsid w:val="6051404B"/>
    <w:rsid w:val="6065761E"/>
    <w:rsid w:val="6075426E"/>
    <w:rsid w:val="607E4BC5"/>
    <w:rsid w:val="60DE2F76"/>
    <w:rsid w:val="60E0639C"/>
    <w:rsid w:val="60F42F6D"/>
    <w:rsid w:val="61883B09"/>
    <w:rsid w:val="61CF20CA"/>
    <w:rsid w:val="61D331F9"/>
    <w:rsid w:val="6243629E"/>
    <w:rsid w:val="626A39A8"/>
    <w:rsid w:val="648003CF"/>
    <w:rsid w:val="64FB4A1F"/>
    <w:rsid w:val="65460400"/>
    <w:rsid w:val="65656656"/>
    <w:rsid w:val="65780285"/>
    <w:rsid w:val="65997A7D"/>
    <w:rsid w:val="659A7CB6"/>
    <w:rsid w:val="65D50689"/>
    <w:rsid w:val="65FC7494"/>
    <w:rsid w:val="66674EF3"/>
    <w:rsid w:val="666F3FA7"/>
    <w:rsid w:val="669577F8"/>
    <w:rsid w:val="66963040"/>
    <w:rsid w:val="670D09F1"/>
    <w:rsid w:val="671A66C7"/>
    <w:rsid w:val="67DB28FB"/>
    <w:rsid w:val="68C15568"/>
    <w:rsid w:val="69163178"/>
    <w:rsid w:val="69814481"/>
    <w:rsid w:val="699E288A"/>
    <w:rsid w:val="69FF134D"/>
    <w:rsid w:val="6A8926AF"/>
    <w:rsid w:val="6AD97090"/>
    <w:rsid w:val="6B39131F"/>
    <w:rsid w:val="6B6271AB"/>
    <w:rsid w:val="6BD62D0B"/>
    <w:rsid w:val="6C323995"/>
    <w:rsid w:val="6C532DF0"/>
    <w:rsid w:val="6D691579"/>
    <w:rsid w:val="6D79135F"/>
    <w:rsid w:val="6DF5052B"/>
    <w:rsid w:val="6E090771"/>
    <w:rsid w:val="6EA4010B"/>
    <w:rsid w:val="6EBB14F1"/>
    <w:rsid w:val="6F0E7CBF"/>
    <w:rsid w:val="6F115FC3"/>
    <w:rsid w:val="6F253285"/>
    <w:rsid w:val="6F6F06BF"/>
    <w:rsid w:val="6FA9184E"/>
    <w:rsid w:val="6FB56C02"/>
    <w:rsid w:val="6FC300AD"/>
    <w:rsid w:val="6FFE3FAA"/>
    <w:rsid w:val="7007236B"/>
    <w:rsid w:val="704E4868"/>
    <w:rsid w:val="707B4320"/>
    <w:rsid w:val="70A21A09"/>
    <w:rsid w:val="70DF5C52"/>
    <w:rsid w:val="70F547FC"/>
    <w:rsid w:val="711F4406"/>
    <w:rsid w:val="71250C49"/>
    <w:rsid w:val="71907E57"/>
    <w:rsid w:val="71DE606F"/>
    <w:rsid w:val="71E37C90"/>
    <w:rsid w:val="71E77F10"/>
    <w:rsid w:val="71E93F08"/>
    <w:rsid w:val="71EE1E6E"/>
    <w:rsid w:val="720615A6"/>
    <w:rsid w:val="725343D6"/>
    <w:rsid w:val="72BC63B0"/>
    <w:rsid w:val="734B0D8E"/>
    <w:rsid w:val="73DE4104"/>
    <w:rsid w:val="742E508B"/>
    <w:rsid w:val="74323E41"/>
    <w:rsid w:val="745A1E47"/>
    <w:rsid w:val="74A92522"/>
    <w:rsid w:val="74CB49D4"/>
    <w:rsid w:val="74FB4D0A"/>
    <w:rsid w:val="759E0319"/>
    <w:rsid w:val="75B75EBE"/>
    <w:rsid w:val="75C0012E"/>
    <w:rsid w:val="766A1E24"/>
    <w:rsid w:val="76A25C96"/>
    <w:rsid w:val="76E6128C"/>
    <w:rsid w:val="77660B51"/>
    <w:rsid w:val="776D290D"/>
    <w:rsid w:val="778A7FB7"/>
    <w:rsid w:val="779570C3"/>
    <w:rsid w:val="779620E9"/>
    <w:rsid w:val="77C07B73"/>
    <w:rsid w:val="77CA57C9"/>
    <w:rsid w:val="78573AD8"/>
    <w:rsid w:val="78627ACA"/>
    <w:rsid w:val="7924353E"/>
    <w:rsid w:val="79525D3C"/>
    <w:rsid w:val="79AB4404"/>
    <w:rsid w:val="79BF5D0A"/>
    <w:rsid w:val="79D54538"/>
    <w:rsid w:val="7A590831"/>
    <w:rsid w:val="7A5B16EB"/>
    <w:rsid w:val="7A601D17"/>
    <w:rsid w:val="7A9674AA"/>
    <w:rsid w:val="7ABC4B9D"/>
    <w:rsid w:val="7AC420A2"/>
    <w:rsid w:val="7AC5323A"/>
    <w:rsid w:val="7ACA2F88"/>
    <w:rsid w:val="7B0822FF"/>
    <w:rsid w:val="7B2E5971"/>
    <w:rsid w:val="7B461488"/>
    <w:rsid w:val="7B4E3C59"/>
    <w:rsid w:val="7B742A62"/>
    <w:rsid w:val="7BA75805"/>
    <w:rsid w:val="7BE604D1"/>
    <w:rsid w:val="7C0D3BA1"/>
    <w:rsid w:val="7C373B65"/>
    <w:rsid w:val="7C513A77"/>
    <w:rsid w:val="7CF62082"/>
    <w:rsid w:val="7CF63C31"/>
    <w:rsid w:val="7D0143D7"/>
    <w:rsid w:val="7D0E407B"/>
    <w:rsid w:val="7D1D3EEF"/>
    <w:rsid w:val="7DBA173E"/>
    <w:rsid w:val="7DBF6F43"/>
    <w:rsid w:val="7DED1B13"/>
    <w:rsid w:val="7E3B598D"/>
    <w:rsid w:val="7E4F7B00"/>
    <w:rsid w:val="7EB650C7"/>
    <w:rsid w:val="7ED73BFF"/>
    <w:rsid w:val="7EDE6AF0"/>
    <w:rsid w:val="7F0D509B"/>
    <w:rsid w:val="7F4E0ACD"/>
    <w:rsid w:val="7F69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b/>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99"/>
    <w:pPr>
      <w:keepNext/>
      <w:keepLines/>
      <w:spacing w:before="280" w:after="290" w:line="376" w:lineRule="auto"/>
      <w:outlineLvl w:val="3"/>
    </w:pPr>
    <w:rPr>
      <w:rFonts w:ascii="宋体" w:hAnsi="Arial" w:eastAsia="黑体"/>
      <w:b/>
      <w:kern w:val="0"/>
      <w:sz w:val="24"/>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link w:val="37"/>
    <w:qFormat/>
    <w:uiPriority w:val="0"/>
    <w:pPr>
      <w:ind w:firstLine="420"/>
    </w:pPr>
    <w:rPr>
      <w:szCs w:val="20"/>
    </w:rPr>
  </w:style>
  <w:style w:type="paragraph" w:styleId="7">
    <w:name w:val="Document Map"/>
    <w:basedOn w:val="1"/>
    <w:qFormat/>
    <w:uiPriority w:val="0"/>
    <w:pPr>
      <w:shd w:val="clear" w:color="auto" w:fill="000080"/>
    </w:pPr>
  </w:style>
  <w:style w:type="paragraph" w:styleId="8">
    <w:name w:val="annotation text"/>
    <w:basedOn w:val="1"/>
    <w:link w:val="38"/>
    <w:qFormat/>
    <w:uiPriority w:val="0"/>
    <w:pPr>
      <w:jc w:val="left"/>
    </w:pPr>
  </w:style>
  <w:style w:type="paragraph" w:styleId="9">
    <w:name w:val="Body Text"/>
    <w:basedOn w:val="1"/>
    <w:next w:val="2"/>
    <w:qFormat/>
    <w:uiPriority w:val="0"/>
    <w:pPr>
      <w:spacing w:after="120"/>
    </w:pPr>
    <w:rPr>
      <w:kern w:val="0"/>
      <w:sz w:val="20"/>
    </w:rPr>
  </w:style>
  <w:style w:type="paragraph" w:styleId="10">
    <w:name w:val="Body Text Indent"/>
    <w:basedOn w:val="1"/>
    <w:next w:val="11"/>
    <w:qFormat/>
    <w:uiPriority w:val="0"/>
    <w:pPr>
      <w:spacing w:line="200" w:lineRule="exact"/>
      <w:ind w:firstLine="301"/>
    </w:pPr>
    <w:rPr>
      <w:rFonts w:ascii="宋体" w:hAnsi="Courier New"/>
      <w:spacing w:val="-4"/>
      <w:sz w:val="18"/>
      <w:szCs w:val="20"/>
    </w:rPr>
  </w:style>
  <w:style w:type="paragraph" w:styleId="11">
    <w:name w:val="Body Text Indent 2"/>
    <w:basedOn w:val="1"/>
    <w:qFormat/>
    <w:uiPriority w:val="0"/>
    <w:pPr>
      <w:spacing w:line="400" w:lineRule="exact"/>
      <w:ind w:firstLine="480"/>
    </w:pPr>
  </w:style>
  <w:style w:type="paragraph" w:styleId="12">
    <w:name w:val="index 4"/>
    <w:basedOn w:val="1"/>
    <w:next w:val="1"/>
    <w:qFormat/>
    <w:uiPriority w:val="0"/>
    <w:pPr>
      <w:ind w:left="600" w:leftChars="600"/>
    </w:pPr>
  </w:style>
  <w:style w:type="paragraph" w:styleId="13">
    <w:name w:val="Plain Text"/>
    <w:basedOn w:val="1"/>
    <w:next w:val="14"/>
    <w:link w:val="39"/>
    <w:qFormat/>
    <w:uiPriority w:val="0"/>
    <w:rPr>
      <w:rFonts w:ascii="宋体" w:hAnsi="Courier New"/>
      <w:szCs w:val="20"/>
    </w:rPr>
  </w:style>
  <w:style w:type="paragraph" w:customStyle="1" w:styleId="14">
    <w:name w:val="一、"/>
    <w:basedOn w:val="3"/>
    <w:next w:val="3"/>
    <w:qFormat/>
    <w:uiPriority w:val="0"/>
    <w:pPr>
      <w:keepNext w:val="0"/>
      <w:spacing w:line="580" w:lineRule="exact"/>
      <w:ind w:firstLine="200" w:firstLineChars="200"/>
    </w:pPr>
    <w:rPr>
      <w:rFonts w:eastAsia="黑体"/>
      <w:b w:val="0"/>
      <w:color w:val="000000"/>
      <w:spacing w:val="-4"/>
      <w:kern w:val="0"/>
      <w:sz w:val="20"/>
      <w:szCs w:val="32"/>
      <w:lang w:val="zh-CN"/>
    </w:rPr>
  </w:style>
  <w:style w:type="paragraph" w:styleId="15">
    <w:name w:val="Date"/>
    <w:basedOn w:val="1"/>
    <w:next w:val="1"/>
    <w:qFormat/>
    <w:uiPriority w:val="0"/>
    <w:pPr>
      <w:ind w:left="100" w:leftChars="2500"/>
    </w:p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rFonts w:ascii="宋体" w:hAnsi="Courier New"/>
      <w:sz w:val="18"/>
      <w:szCs w:val="20"/>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9">
    <w:name w:val="toc 1"/>
    <w:basedOn w:val="1"/>
    <w:next w:val="1"/>
    <w:qFormat/>
    <w:uiPriority w:val="0"/>
    <w:pPr>
      <w:tabs>
        <w:tab w:val="right" w:leader="dot" w:pos="8820"/>
      </w:tabs>
      <w:ind w:left="540"/>
      <w:jc w:val="left"/>
    </w:pPr>
    <w:rPr>
      <w:rFonts w:ascii="宋体" w:hAnsi="宋体"/>
      <w:b/>
      <w:bCs/>
      <w:caps/>
      <w:szCs w:val="21"/>
    </w:rPr>
  </w:style>
  <w:style w:type="paragraph" w:styleId="20">
    <w:name w:val="Body Text Indent 3"/>
    <w:basedOn w:val="1"/>
    <w:link w:val="40"/>
    <w:qFormat/>
    <w:uiPriority w:val="0"/>
    <w:pPr>
      <w:spacing w:after="120"/>
      <w:ind w:left="420" w:leftChars="200"/>
    </w:pPr>
    <w:rPr>
      <w:sz w:val="16"/>
      <w:szCs w:val="16"/>
    </w:rPr>
  </w:style>
  <w:style w:type="paragraph" w:styleId="21">
    <w:name w:val="toc 2"/>
    <w:basedOn w:val="1"/>
    <w:next w:val="1"/>
    <w:qFormat/>
    <w:uiPriority w:val="0"/>
    <w:pPr>
      <w:tabs>
        <w:tab w:val="right" w:leader="dot" w:pos="8280"/>
      </w:tabs>
      <w:spacing w:line="320" w:lineRule="exact"/>
      <w:ind w:left="1080"/>
      <w:jc w:val="left"/>
    </w:pPr>
    <w:rPr>
      <w:rFonts w:ascii="宋体" w:hAnsi="宋体"/>
      <w:smallCaps/>
      <w:szCs w:val="21"/>
    </w:rPr>
  </w:style>
  <w:style w:type="paragraph" w:styleId="22">
    <w:name w:val="HTML Preformatted"/>
    <w:basedOn w:val="1"/>
    <w:link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index 1"/>
    <w:basedOn w:val="1"/>
    <w:next w:val="1"/>
    <w:qFormat/>
    <w:uiPriority w:val="0"/>
    <w:pPr>
      <w:spacing w:line="360" w:lineRule="auto"/>
    </w:pPr>
    <w:rPr>
      <w:rFonts w:ascii="宋体" w:hAnsi="宋体"/>
      <w:bCs/>
      <w:szCs w:val="21"/>
    </w:rPr>
  </w:style>
  <w:style w:type="paragraph" w:styleId="25">
    <w:name w:val="Title"/>
    <w:basedOn w:val="1"/>
    <w:next w:val="1"/>
    <w:qFormat/>
    <w:uiPriority w:val="0"/>
    <w:pPr>
      <w:widowControl/>
      <w:spacing w:before="240" w:after="60" w:line="360" w:lineRule="auto"/>
      <w:ind w:firstLine="200" w:firstLineChars="200"/>
      <w:jc w:val="left"/>
      <w:outlineLvl w:val="4"/>
    </w:pPr>
    <w:rPr>
      <w:rFonts w:ascii="Cambria" w:hAnsi="Cambria" w:eastAsia="华文中宋"/>
      <w:b/>
      <w:bCs/>
      <w:kern w:val="28"/>
      <w:sz w:val="24"/>
      <w:szCs w:val="32"/>
      <w:lang w:eastAsia="en-US"/>
    </w:rPr>
  </w:style>
  <w:style w:type="paragraph" w:styleId="26">
    <w:name w:val="annotation subject"/>
    <w:basedOn w:val="8"/>
    <w:next w:val="8"/>
    <w:qFormat/>
    <w:uiPriority w:val="0"/>
    <w:rPr>
      <w:b/>
      <w:bCs/>
    </w:rPr>
  </w:style>
  <w:style w:type="paragraph" w:styleId="27">
    <w:name w:val="Body Text First Indent 2"/>
    <w:basedOn w:val="10"/>
    <w:next w:val="28"/>
    <w:qFormat/>
    <w:uiPriority w:val="0"/>
    <w:pPr>
      <w:spacing w:after="120"/>
      <w:ind w:left="420" w:leftChars="200" w:firstLine="420" w:firstLineChars="200"/>
    </w:pPr>
    <w:rPr>
      <w:rFonts w:hint="eastAsia" w:hAnsi="Times New Roman"/>
      <w:kern w:val="0"/>
      <w:sz w:val="24"/>
    </w:rPr>
  </w:style>
  <w:style w:type="paragraph" w:customStyle="1" w:styleId="28">
    <w:name w:val="正文1"/>
    <w:basedOn w:val="1"/>
    <w:qFormat/>
    <w:uiPriority w:val="0"/>
    <w:pPr>
      <w:spacing w:line="360" w:lineRule="auto"/>
      <w:ind w:firstLine="480" w:firstLineChars="200"/>
    </w:pPr>
    <w:rPr>
      <w:sz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bCs/>
    </w:rPr>
  </w:style>
  <w:style w:type="character" w:styleId="33">
    <w:name w:val="page number"/>
    <w:basedOn w:val="31"/>
    <w:qFormat/>
    <w:uiPriority w:val="0"/>
    <w:rPr>
      <w:rFonts w:ascii="Times New Roman" w:hAnsi="Times New Roman" w:eastAsia="宋体" w:cs="Times New Roman"/>
    </w:rPr>
  </w:style>
  <w:style w:type="character" w:styleId="34">
    <w:name w:val="FollowedHyperlink"/>
    <w:qFormat/>
    <w:uiPriority w:val="0"/>
    <w:rPr>
      <w:rFonts w:ascii="Times New Roman" w:hAnsi="Times New Roman" w:eastAsia="宋体" w:cs="Times New Roman"/>
      <w:color w:val="575656"/>
      <w:u w:val="none"/>
    </w:rPr>
  </w:style>
  <w:style w:type="character" w:styleId="35">
    <w:name w:val="Hyperlink"/>
    <w:qFormat/>
    <w:uiPriority w:val="0"/>
    <w:rPr>
      <w:rFonts w:ascii="Times New Roman" w:hAnsi="Times New Roman" w:eastAsia="宋体" w:cs="Times New Roman"/>
      <w:color w:val="575656"/>
      <w:u w:val="none"/>
    </w:rPr>
  </w:style>
  <w:style w:type="character" w:styleId="36">
    <w:name w:val="annotation reference"/>
    <w:qFormat/>
    <w:uiPriority w:val="0"/>
    <w:rPr>
      <w:rFonts w:ascii="Times New Roman" w:hAnsi="Times New Roman" w:eastAsia="宋体" w:cs="Times New Roman"/>
      <w:sz w:val="21"/>
      <w:szCs w:val="21"/>
    </w:rPr>
  </w:style>
  <w:style w:type="character" w:customStyle="1" w:styleId="37">
    <w:name w:val="正文缩进 字符"/>
    <w:link w:val="6"/>
    <w:qFormat/>
    <w:uiPriority w:val="0"/>
    <w:rPr>
      <w:rFonts w:ascii="Times New Roman" w:hAnsi="Times New Roman" w:eastAsia="宋体" w:cs="Times New Roman"/>
      <w:szCs w:val="20"/>
    </w:rPr>
  </w:style>
  <w:style w:type="character" w:customStyle="1" w:styleId="38">
    <w:name w:val="批注文字 字符"/>
    <w:link w:val="8"/>
    <w:qFormat/>
    <w:uiPriority w:val="0"/>
    <w:rPr>
      <w:rFonts w:ascii="Times New Roman" w:hAnsi="Times New Roman" w:eastAsia="宋体" w:cs="Times New Roman"/>
    </w:rPr>
  </w:style>
  <w:style w:type="character" w:customStyle="1" w:styleId="39">
    <w:name w:val="纯文本 字符"/>
    <w:link w:val="13"/>
    <w:qFormat/>
    <w:uiPriority w:val="0"/>
    <w:rPr>
      <w:rFonts w:ascii="宋体" w:hAnsi="Courier New" w:eastAsia="宋体" w:cs="Times New Roman"/>
      <w:szCs w:val="20"/>
    </w:rPr>
  </w:style>
  <w:style w:type="character" w:customStyle="1" w:styleId="40">
    <w:name w:val="正文文本缩进 3 字符"/>
    <w:link w:val="20"/>
    <w:qFormat/>
    <w:uiPriority w:val="0"/>
    <w:rPr>
      <w:rFonts w:ascii="Times New Roman" w:hAnsi="Times New Roman" w:eastAsia="宋体" w:cs="Times New Roman"/>
      <w:sz w:val="16"/>
      <w:szCs w:val="16"/>
    </w:rPr>
  </w:style>
  <w:style w:type="character" w:customStyle="1" w:styleId="41">
    <w:name w:val="HTML 预设格式 字符"/>
    <w:link w:val="22"/>
    <w:qFormat/>
    <w:uiPriority w:val="0"/>
    <w:rPr>
      <w:rFonts w:ascii="黑体" w:hAnsi="Courier New" w:eastAsia="黑体" w:cs="Courier New"/>
      <w:kern w:val="0"/>
      <w:sz w:val="20"/>
      <w:szCs w:val="20"/>
    </w:rPr>
  </w:style>
  <w:style w:type="character" w:customStyle="1" w:styleId="42">
    <w:name w:val="apple-style-span"/>
    <w:basedOn w:val="31"/>
    <w:qFormat/>
    <w:uiPriority w:val="0"/>
    <w:rPr>
      <w:rFonts w:ascii="Times New Roman" w:hAnsi="Times New Roman" w:eastAsia="宋体" w:cs="Times New Roman"/>
    </w:rPr>
  </w:style>
  <w:style w:type="character" w:customStyle="1" w:styleId="43">
    <w:name w:val="apple-converted-space"/>
    <w:basedOn w:val="31"/>
    <w:qFormat/>
    <w:uiPriority w:val="0"/>
    <w:rPr>
      <w:rFonts w:ascii="Times New Roman" w:hAnsi="Times New Roman" w:eastAsia="宋体" w:cs="Times New Roman"/>
    </w:rPr>
  </w:style>
  <w:style w:type="character" w:customStyle="1" w:styleId="44">
    <w:name w:val="普通文字 Char Char2"/>
    <w:qFormat/>
    <w:uiPriority w:val="0"/>
    <w:rPr>
      <w:rFonts w:ascii="宋体" w:hAnsi="Courier New" w:eastAsia="宋体" w:cs="Times New Roman"/>
      <w:kern w:val="2"/>
      <w:sz w:val="21"/>
      <w:lang w:val="en-US" w:eastAsia="zh-CN" w:bidi="ar-SA"/>
    </w:rPr>
  </w:style>
  <w:style w:type="character" w:customStyle="1" w:styleId="45">
    <w:name w:val="纯文本 Char1"/>
    <w:qFormat/>
    <w:uiPriority w:val="0"/>
    <w:rPr>
      <w:rFonts w:ascii="宋体" w:hAnsi="Courier New" w:eastAsia="宋体" w:cs="宋体"/>
      <w:sz w:val="21"/>
      <w:szCs w:val="21"/>
    </w:rPr>
  </w:style>
  <w:style w:type="character" w:customStyle="1" w:styleId="46">
    <w:name w:val="htd0"/>
    <w:basedOn w:val="31"/>
    <w:qFormat/>
    <w:uiPriority w:val="0"/>
    <w:rPr>
      <w:rFonts w:ascii="Times New Roman" w:hAnsi="Times New Roman" w:eastAsia="宋体" w:cs="Times New Roman"/>
    </w:rPr>
  </w:style>
  <w:style w:type="character" w:customStyle="1" w:styleId="47">
    <w:name w:val="font21"/>
    <w:qFormat/>
    <w:uiPriority w:val="0"/>
    <w:rPr>
      <w:rFonts w:hint="eastAsia" w:ascii="宋体" w:hAnsi="宋体" w:eastAsia="宋体" w:cs="宋体"/>
      <w:color w:val="000000"/>
      <w:sz w:val="22"/>
      <w:szCs w:val="22"/>
      <w:u w:val="none"/>
    </w:rPr>
  </w:style>
  <w:style w:type="character" w:customStyle="1" w:styleId="48">
    <w:name w:val="font31"/>
    <w:basedOn w:val="31"/>
    <w:qFormat/>
    <w:uiPriority w:val="0"/>
    <w:rPr>
      <w:rFonts w:hint="default" w:ascii="仿宋_GB2312" w:hAnsi="Times New Roman" w:eastAsia="仿宋_GB2312" w:cs="仿宋_GB2312"/>
      <w:color w:val="000000"/>
      <w:sz w:val="28"/>
      <w:szCs w:val="28"/>
      <w:u w:val="none"/>
    </w:rPr>
  </w:style>
  <w:style w:type="character" w:customStyle="1" w:styleId="49">
    <w:name w:val="ca-12"/>
    <w:basedOn w:val="31"/>
    <w:qFormat/>
    <w:uiPriority w:val="0"/>
    <w:rPr>
      <w:rFonts w:ascii="Times New Roman" w:hAnsi="Times New Roman" w:eastAsia="宋体" w:cs="Times New Roman"/>
    </w:rPr>
  </w:style>
  <w:style w:type="character" w:customStyle="1" w:styleId="50">
    <w:name w:val="font41"/>
    <w:basedOn w:val="31"/>
    <w:qFormat/>
    <w:uiPriority w:val="0"/>
    <w:rPr>
      <w:rFonts w:hint="eastAsia" w:ascii="仿宋" w:hAnsi="仿宋" w:eastAsia="仿宋" w:cs="仿宋"/>
      <w:color w:val="000000"/>
      <w:sz w:val="28"/>
      <w:szCs w:val="28"/>
      <w:u w:val="none"/>
    </w:rPr>
  </w:style>
  <w:style w:type="character" w:customStyle="1" w:styleId="51">
    <w:name w:val="font11"/>
    <w:qFormat/>
    <w:uiPriority w:val="0"/>
    <w:rPr>
      <w:rFonts w:hint="eastAsia" w:ascii="宋体" w:hAnsi="宋体" w:eastAsia="宋体" w:cs="宋体"/>
      <w:b/>
      <w:color w:val="000000"/>
      <w:sz w:val="22"/>
      <w:szCs w:val="22"/>
      <w:u w:val="none"/>
    </w:rPr>
  </w:style>
  <w:style w:type="character" w:customStyle="1" w:styleId="52">
    <w:name w:val="Char Char10"/>
    <w:qFormat/>
    <w:uiPriority w:val="0"/>
    <w:rPr>
      <w:rFonts w:ascii="宋体" w:hAnsi="Courier New" w:eastAsia="宋体" w:cs="Courier New"/>
      <w:szCs w:val="21"/>
    </w:rPr>
  </w:style>
  <w:style w:type="character" w:customStyle="1" w:styleId="53">
    <w:name w:val="105v1"/>
    <w:qFormat/>
    <w:uiPriority w:val="0"/>
    <w:rPr>
      <w:rFonts w:hint="default" w:ascii="ˎ̥" w:hAnsi="ˎ̥" w:eastAsia="宋体" w:cs="Times New Roman"/>
      <w:sz w:val="21"/>
      <w:szCs w:val="21"/>
    </w:rPr>
  </w:style>
  <w:style w:type="character" w:customStyle="1" w:styleId="54">
    <w:name w:val="NormalCharacter"/>
    <w:qFormat/>
    <w:uiPriority w:val="0"/>
    <w:rPr>
      <w:rFonts w:ascii="Times New Roman" w:hAnsi="Times New Roman" w:eastAsia="宋体" w:cs="Times New Roman"/>
    </w:rPr>
  </w:style>
  <w:style w:type="character" w:customStyle="1" w:styleId="55">
    <w:name w:val="Char Char2"/>
    <w:qFormat/>
    <w:uiPriority w:val="0"/>
    <w:rPr>
      <w:rFonts w:ascii="宋体" w:hAnsi="Courier New" w:eastAsia="宋体" w:cs="Times New Roman"/>
      <w:kern w:val="2"/>
      <w:sz w:val="21"/>
      <w:lang w:val="en-US" w:eastAsia="zh-CN" w:bidi="ar-SA"/>
    </w:rPr>
  </w:style>
  <w:style w:type="paragraph" w:customStyle="1" w:styleId="56">
    <w:name w:val="_Style 5"/>
    <w:basedOn w:val="1"/>
    <w:qFormat/>
    <w:uiPriority w:val="0"/>
    <w:pPr>
      <w:tabs>
        <w:tab w:val="left" w:pos="360"/>
      </w:tabs>
      <w:spacing w:line="360" w:lineRule="auto"/>
      <w:ind w:left="482" w:firstLine="200" w:firstLineChars="200"/>
    </w:pPr>
  </w:style>
  <w:style w:type="paragraph" w:customStyle="1" w:styleId="57">
    <w:name w:val="2"/>
    <w:basedOn w:val="1"/>
    <w:next w:val="13"/>
    <w:qFormat/>
    <w:uiPriority w:val="0"/>
    <w:rPr>
      <w:rFonts w:ascii="宋体" w:hAnsi="Courier New"/>
      <w:szCs w:val="20"/>
    </w:rPr>
  </w:style>
  <w:style w:type="paragraph" w:customStyle="1" w:styleId="58">
    <w:name w:val="一级条标题"/>
    <w:next w:val="59"/>
    <w:qFormat/>
    <w:uiPriority w:val="0"/>
    <w:pPr>
      <w:ind w:left="766"/>
      <w:outlineLvl w:val="2"/>
    </w:pPr>
    <w:rPr>
      <w:rFonts w:ascii="Times New Roman" w:hAnsi="Times New Roman" w:eastAsia="黑体" w:cs="Times New Roman"/>
      <w:sz w:val="21"/>
      <w:lang w:val="en-US" w:eastAsia="zh-CN" w:bidi="ar-SA"/>
    </w:rPr>
  </w:style>
  <w:style w:type="paragraph" w:customStyle="1" w:styleId="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Char Char"/>
    <w:basedOn w:val="1"/>
    <w:qFormat/>
    <w:uiPriority w:val="0"/>
    <w:rPr>
      <w:rFonts w:ascii="仿宋_GB2312" w:eastAsia="仿宋_GB2312"/>
      <w:b/>
      <w:sz w:val="32"/>
      <w:szCs w:val="32"/>
    </w:rPr>
  </w:style>
  <w:style w:type="paragraph" w:customStyle="1" w:styleId="61">
    <w:name w:val="章标题"/>
    <w:next w:val="59"/>
    <w:qFormat/>
    <w:uiPriority w:val="0"/>
    <w:pPr>
      <w:spacing w:beforeLines="50" w:afterLines="50"/>
      <w:jc w:val="center"/>
      <w:outlineLvl w:val="1"/>
    </w:pPr>
    <w:rPr>
      <w:rFonts w:ascii="Arial" w:hAnsi="Arial" w:eastAsia="黑体" w:cs="Arial"/>
      <w:sz w:val="32"/>
      <w:szCs w:val="32"/>
      <w:lang w:val="en-US" w:eastAsia="zh-CN" w:bidi="ar-SA"/>
    </w:rPr>
  </w:style>
  <w:style w:type="paragraph" w:customStyle="1" w:styleId="62">
    <w:name w:val="p0"/>
    <w:basedOn w:val="1"/>
    <w:qFormat/>
    <w:uiPriority w:val="0"/>
    <w:pPr>
      <w:widowControl/>
    </w:pPr>
    <w:rPr>
      <w:kern w:val="0"/>
      <w:szCs w:val="21"/>
    </w:rPr>
  </w:style>
  <w:style w:type="paragraph" w:customStyle="1" w:styleId="63">
    <w:name w:val="列出段落1"/>
    <w:basedOn w:val="1"/>
    <w:qFormat/>
    <w:uiPriority w:val="0"/>
    <w:pPr>
      <w:ind w:firstLine="420" w:firstLineChars="200"/>
    </w:pPr>
  </w:style>
  <w:style w:type="paragraph" w:customStyle="1" w:styleId="64">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66">
    <w:name w:val="_Style 76"/>
    <w:basedOn w:val="1"/>
    <w:qFormat/>
    <w:uiPriority w:val="0"/>
    <w:pPr>
      <w:tabs>
        <w:tab w:val="left" w:pos="360"/>
      </w:tabs>
      <w:spacing w:line="360" w:lineRule="auto"/>
      <w:ind w:left="482" w:firstLine="200" w:firstLineChars="200"/>
    </w:pPr>
    <w:rPr>
      <w:rFonts w:ascii="宋体"/>
      <w:sz w:val="24"/>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0">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Char Char Char Char"/>
    <w:basedOn w:val="1"/>
    <w:qFormat/>
    <w:uiPriority w:val="0"/>
    <w:rPr>
      <w:rFonts w:ascii="Tahoma" w:hAnsi="Tahoma"/>
      <w:sz w:val="24"/>
      <w:szCs w:val="20"/>
    </w:rPr>
  </w:style>
  <w:style w:type="paragraph" w:customStyle="1" w:styleId="72">
    <w:name w:val="Char2 Char Char Char"/>
    <w:basedOn w:val="1"/>
    <w:qFormat/>
    <w:uiPriority w:val="0"/>
    <w:rPr>
      <w:rFonts w:ascii="Tahoma" w:hAnsi="Tahoma"/>
      <w:sz w:val="24"/>
      <w:szCs w:val="20"/>
    </w:rPr>
  </w:style>
  <w:style w:type="paragraph" w:customStyle="1" w:styleId="73">
    <w:name w:val="列出段落2"/>
    <w:basedOn w:val="1"/>
    <w:qFormat/>
    <w:uiPriority w:val="0"/>
    <w:pPr>
      <w:spacing w:line="360" w:lineRule="auto"/>
      <w:ind w:firstLine="420" w:firstLineChars="200"/>
    </w:pPr>
    <w:rPr>
      <w:rFonts w:ascii="宋体" w:hAnsi="宋体" w:cs="宋体"/>
      <w:sz w:val="24"/>
    </w:rPr>
  </w:style>
  <w:style w:type="paragraph" w:customStyle="1" w:styleId="74">
    <w:name w:val="Char Char Char Char1"/>
    <w:basedOn w:val="1"/>
    <w:qFormat/>
    <w:uiPriority w:val="0"/>
    <w:rPr>
      <w:rFonts w:ascii="Tahoma" w:hAnsi="Tahoma"/>
      <w:sz w:val="24"/>
      <w:szCs w:val="20"/>
    </w:rPr>
  </w:style>
  <w:style w:type="paragraph" w:customStyle="1" w:styleId="75">
    <w:name w:val="样式1"/>
    <w:basedOn w:val="1"/>
    <w:qFormat/>
    <w:uiPriority w:val="0"/>
    <w:pPr>
      <w:numPr>
        <w:ilvl w:val="0"/>
        <w:numId w:val="1"/>
      </w:numPr>
      <w:adjustRightInd w:val="0"/>
    </w:pPr>
    <w:rPr>
      <w:rFonts w:ascii="宋体" w:hAnsi="宋体"/>
      <w:kern w:val="0"/>
      <w:szCs w:val="21"/>
    </w:rPr>
  </w:style>
  <w:style w:type="paragraph" w:customStyle="1" w:styleId="76">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7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0"/>
    </w:rPr>
  </w:style>
  <w:style w:type="paragraph" w:customStyle="1" w:styleId="79">
    <w:name w:val="C54C23360C8D4284A76B3C64CA76F3E8"/>
    <w:qFormat/>
    <w:uiPriority w:val="0"/>
    <w:pPr>
      <w:spacing w:after="200" w:line="276" w:lineRule="auto"/>
    </w:pPr>
    <w:rPr>
      <w:rFonts w:ascii="Times New Roman" w:hAnsi="Times New Roman" w:eastAsia="宋体" w:cs="Times New Roman"/>
      <w:sz w:val="22"/>
      <w:szCs w:val="22"/>
      <w:lang w:val="en-US" w:eastAsia="en-US" w:bidi="ar-SA"/>
    </w:rPr>
  </w:style>
  <w:style w:type="paragraph" w:customStyle="1" w:styleId="80">
    <w:name w:val="页脚，偶数页"/>
    <w:basedOn w:val="3"/>
    <w:qFormat/>
    <w:uiPriority w:val="0"/>
    <w:pPr>
      <w:spacing w:before="360" w:after="480"/>
      <w:ind w:firstLine="280" w:firstLineChars="100"/>
    </w:pPr>
    <w:rPr>
      <w:rFonts w:eastAsia="Times New Roman"/>
      <w:szCs w:val="28"/>
    </w:rPr>
  </w:style>
  <w:style w:type="paragraph" w:customStyle="1" w:styleId="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82">
    <w:name w:val="font61"/>
    <w:qFormat/>
    <w:uiPriority w:val="0"/>
    <w:rPr>
      <w:rFonts w:hint="eastAsia" w:ascii="宋体" w:hAnsi="宋体" w:eastAsia="宋体" w:cs="宋体"/>
      <w:color w:val="000000"/>
      <w:sz w:val="18"/>
      <w:szCs w:val="18"/>
      <w:u w:val="none"/>
    </w:rPr>
  </w:style>
  <w:style w:type="character" w:customStyle="1" w:styleId="83">
    <w:name w:val="font81"/>
    <w:qFormat/>
    <w:uiPriority w:val="0"/>
    <w:rPr>
      <w:rFonts w:hint="default" w:ascii="Tahoma" w:hAnsi="Tahoma" w:eastAsia="Tahoma" w:cs="Tahoma"/>
      <w:color w:val="000000"/>
      <w:sz w:val="22"/>
      <w:szCs w:val="22"/>
      <w:u w:val="none"/>
    </w:rPr>
  </w:style>
  <w:style w:type="character" w:customStyle="1" w:styleId="84">
    <w:name w:val="font91"/>
    <w:qFormat/>
    <w:uiPriority w:val="0"/>
    <w:rPr>
      <w:rFonts w:hint="default" w:ascii="Tahoma" w:hAnsi="Tahoma" w:eastAsia="Tahoma" w:cs="Tahoma"/>
      <w:color w:val="000000"/>
      <w:sz w:val="24"/>
      <w:szCs w:val="24"/>
      <w:u w:val="none"/>
    </w:rPr>
  </w:style>
  <w:style w:type="character" w:customStyle="1" w:styleId="85">
    <w:name w:val="font51"/>
    <w:qFormat/>
    <w:uiPriority w:val="0"/>
    <w:rPr>
      <w:rFonts w:hint="default" w:ascii="Times New Roman" w:hAnsi="Times New Roman" w:cs="Times New Roman"/>
      <w:color w:val="000000"/>
      <w:sz w:val="22"/>
      <w:szCs w:val="22"/>
      <w:u w:val="none"/>
    </w:rPr>
  </w:style>
  <w:style w:type="paragraph" w:styleId="8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6C6C6C"/>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35431</Words>
  <Characters>38626</Characters>
  <Lines>306</Lines>
  <Paragraphs>86</Paragraphs>
  <TotalTime>59</TotalTime>
  <ScaleCrop>false</ScaleCrop>
  <LinksUpToDate>false</LinksUpToDate>
  <CharactersWithSpaces>41104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2022-10-25T05:12:00Z</dcterms:created>
  <dc:creator>WPS_1510061705</dc:creator>
  <cp:lastModifiedBy>小妖</cp:lastModifiedBy>
  <dcterms:modified xsi:type="dcterms:W3CDTF">2022-11-01T08:35:44Z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4A306F5553794189AD2524DB34FA1D70</vt:lpwstr>
  </property>
</Properties>
</file>