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hint="eastAsia" w:ascii="宋体" w:hAnsi="宋体" w:eastAsia="宋体" w:cs="宋体"/>
          <w:color w:val="auto"/>
          <w:kern w:val="0"/>
          <w:sz w:val="56"/>
          <w:szCs w:val="24"/>
          <w:highlight w:val="none"/>
        </w:rPr>
      </w:pPr>
      <w:bookmarkStart w:id="232" w:name="_GoBack"/>
      <w:bookmarkEnd w:id="232"/>
    </w:p>
    <w:p>
      <w:pPr>
        <w:pStyle w:val="23"/>
        <w:rPr>
          <w:rFonts w:hint="eastAsia" w:ascii="宋体" w:hAnsi="宋体" w:eastAsia="宋体" w:cs="宋体"/>
          <w:color w:val="auto"/>
          <w:kern w:val="0"/>
          <w:sz w:val="56"/>
          <w:szCs w:val="24"/>
          <w:highlight w:val="none"/>
        </w:rPr>
      </w:pPr>
    </w:p>
    <w:p>
      <w:pPr>
        <w:pStyle w:val="23"/>
        <w:rPr>
          <w:rFonts w:hint="eastAsia" w:ascii="宋体" w:hAnsi="宋体" w:eastAsia="宋体" w:cs="宋体"/>
          <w:color w:val="auto"/>
          <w:highlight w:val="none"/>
        </w:rPr>
      </w:pPr>
    </w:p>
    <w:p>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eastAsia="zh-CN"/>
        </w:rPr>
        <w:t>竞争性磋商</w:t>
      </w:r>
      <w:r>
        <w:rPr>
          <w:rFonts w:hint="eastAsia" w:ascii="宋体" w:hAnsi="宋体" w:eastAsia="宋体" w:cs="宋体"/>
          <w:b/>
          <w:color w:val="auto"/>
          <w:kern w:val="0"/>
          <w:sz w:val="72"/>
          <w:szCs w:val="72"/>
          <w:highlight w:val="none"/>
        </w:rPr>
        <w:t>采购文件</w:t>
      </w:r>
    </w:p>
    <w:p>
      <w:pPr>
        <w:pStyle w:val="23"/>
        <w:rPr>
          <w:rFonts w:hint="eastAsia"/>
          <w:color w:val="auto"/>
        </w:rPr>
      </w:pPr>
    </w:p>
    <w:p>
      <w:pPr>
        <w:pStyle w:val="23"/>
        <w:rPr>
          <w:rFonts w:hint="eastAsia"/>
          <w:color w:val="auto"/>
        </w:rPr>
      </w:pPr>
    </w:p>
    <w:p>
      <w:pPr>
        <w:autoSpaceDE w:val="0"/>
        <w:autoSpaceDN w:val="0"/>
        <w:adjustRightInd w:val="0"/>
        <w:spacing w:line="360" w:lineRule="auto"/>
        <w:ind w:firstLine="1120" w:firstLineChars="400"/>
        <w:jc w:val="both"/>
        <w:rPr>
          <w:rFonts w:hint="eastAsia" w:ascii="宋体" w:hAnsi="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合山市公安局里兰派出所业务技术用房工程</w:t>
      </w:r>
    </w:p>
    <w:p>
      <w:pPr>
        <w:autoSpaceDE w:val="0"/>
        <w:autoSpaceDN w:val="0"/>
        <w:adjustRightInd w:val="0"/>
        <w:spacing w:line="360" w:lineRule="auto"/>
        <w:ind w:firstLine="1120" w:firstLineChars="400"/>
        <w:jc w:val="both"/>
        <w:rPr>
          <w:rFonts w:hint="eastAsia" w:ascii="宋体" w:hAnsi="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LBHSZC2022-C2-57001-GTZB</w:t>
      </w:r>
    </w:p>
    <w:p>
      <w:pPr>
        <w:spacing w:line="360" w:lineRule="auto"/>
        <w:rPr>
          <w:rFonts w:hint="eastAsia" w:ascii="宋体" w:hAnsi="宋体" w:eastAsia="宋体" w:cs="宋体"/>
          <w:b w:val="0"/>
          <w:bCs w:val="0"/>
          <w:color w:val="auto"/>
          <w:sz w:val="18"/>
          <w:szCs w:val="20"/>
          <w:highlight w:val="none"/>
        </w:rPr>
      </w:pPr>
    </w:p>
    <w:p>
      <w:pPr>
        <w:pStyle w:val="23"/>
        <w:rPr>
          <w:rFonts w:hint="eastAsia" w:ascii="宋体" w:hAnsi="宋体" w:eastAsia="宋体" w:cs="宋体"/>
          <w:b w:val="0"/>
          <w:bCs w:val="0"/>
          <w:color w:val="auto"/>
          <w:sz w:val="18"/>
          <w:szCs w:val="20"/>
          <w:highlight w:val="none"/>
        </w:rPr>
      </w:pPr>
    </w:p>
    <w:p>
      <w:pPr>
        <w:pStyle w:val="23"/>
        <w:rPr>
          <w:rFonts w:hint="eastAsia" w:ascii="宋体" w:hAnsi="宋体" w:eastAsia="宋体" w:cs="宋体"/>
          <w:b w:val="0"/>
          <w:bCs w:val="0"/>
          <w:color w:val="auto"/>
          <w:sz w:val="18"/>
          <w:szCs w:val="20"/>
          <w:highlight w:val="none"/>
        </w:rPr>
      </w:pPr>
    </w:p>
    <w:p>
      <w:pPr>
        <w:pStyle w:val="23"/>
        <w:rPr>
          <w:rFonts w:hint="eastAsia" w:ascii="宋体" w:hAnsi="宋体" w:eastAsia="宋体" w:cs="宋体"/>
          <w:b w:val="0"/>
          <w:bCs w:val="0"/>
          <w:color w:val="auto"/>
          <w:sz w:val="18"/>
          <w:szCs w:val="20"/>
          <w:highlight w:val="none"/>
        </w:rPr>
      </w:pPr>
    </w:p>
    <w:p>
      <w:pPr>
        <w:pStyle w:val="23"/>
        <w:rPr>
          <w:rFonts w:hint="eastAsia" w:ascii="宋体" w:hAnsi="宋体" w:eastAsia="宋体" w:cs="宋体"/>
          <w:b w:val="0"/>
          <w:bCs w:val="0"/>
          <w:color w:val="auto"/>
          <w:sz w:val="18"/>
          <w:szCs w:val="20"/>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kern w:val="0"/>
          <w:sz w:val="36"/>
          <w:szCs w:val="24"/>
          <w:highlight w:val="none"/>
        </w:rPr>
      </w:pPr>
    </w:p>
    <w:p>
      <w:pPr>
        <w:spacing w:line="600" w:lineRule="auto"/>
        <w:ind w:firstLine="1446" w:firstLineChars="500"/>
        <w:jc w:val="left"/>
        <w:rPr>
          <w:rFonts w:hint="eastAsia" w:ascii="宋体" w:hAnsi="宋体" w:eastAsia="宋体" w:cs="宋体"/>
          <w:b/>
          <w:color w:val="auto"/>
          <w:kern w:val="0"/>
          <w:sz w:val="30"/>
          <w:szCs w:val="30"/>
          <w:highlight w:val="none"/>
          <w:u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合山市公安局</w:t>
      </w:r>
    </w:p>
    <w:p>
      <w:pPr>
        <w:autoSpaceDE w:val="0"/>
        <w:autoSpaceDN w:val="0"/>
        <w:adjustRightInd w:val="0"/>
        <w:spacing w:line="600" w:lineRule="auto"/>
        <w:ind w:firstLine="1506" w:firstLineChars="500"/>
        <w:jc w:val="both"/>
        <w:outlineLvl w:val="0"/>
        <w:rPr>
          <w:rFonts w:hint="default"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广西国腾招标代理有限公司</w:t>
      </w:r>
    </w:p>
    <w:p>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pgSz w:w="11906" w:h="16838"/>
          <w:pgMar w:top="1134" w:right="1028" w:bottom="1134" w:left="998" w:header="1237" w:footer="680" w:gutter="0"/>
          <w:paperSrc w:first="7" w:other="7"/>
          <w:pgNumType w:fmt="chineseCounting" w:start="0"/>
          <w:cols w:space="720" w:num="1"/>
          <w:titlePg/>
          <w:docGrid w:type="lines" w:linePitch="312" w:charSpace="0"/>
        </w:sectPr>
      </w:pPr>
      <w:r>
        <w:rPr>
          <w:rFonts w:hint="eastAsia" w:ascii="宋体" w:hAnsi="宋体" w:eastAsia="宋体" w:cs="宋体"/>
          <w:b/>
          <w:color w:val="auto"/>
          <w:kern w:val="0"/>
          <w:sz w:val="30"/>
          <w:szCs w:val="30"/>
          <w:highlight w:val="none"/>
        </w:rPr>
        <w:t>20</w:t>
      </w:r>
      <w:r>
        <w:rPr>
          <w:rFonts w:hint="eastAsia" w:ascii="宋体" w:hAnsi="宋体" w:eastAsia="宋体" w:cs="宋体"/>
          <w:b/>
          <w:color w:val="auto"/>
          <w:kern w:val="0"/>
          <w:sz w:val="30"/>
          <w:szCs w:val="30"/>
          <w:highlight w:val="none"/>
          <w:lang w:val="en-US" w:eastAsia="zh-CN"/>
        </w:rPr>
        <w:t>22</w:t>
      </w:r>
      <w:r>
        <w:rPr>
          <w:rFonts w:hint="eastAsia" w:ascii="宋体" w:hAnsi="宋体" w:eastAsia="宋体" w:cs="宋体"/>
          <w:b/>
          <w:color w:val="auto"/>
          <w:kern w:val="0"/>
          <w:sz w:val="30"/>
          <w:szCs w:val="30"/>
          <w:highlight w:val="none"/>
        </w:rPr>
        <w:t>年</w:t>
      </w:r>
      <w:r>
        <w:rPr>
          <w:rFonts w:hint="eastAsia" w:ascii="宋体" w:hAnsi="宋体" w:cs="宋体"/>
          <w:b/>
          <w:color w:val="auto"/>
          <w:kern w:val="0"/>
          <w:sz w:val="30"/>
          <w:szCs w:val="30"/>
          <w:highlight w:val="none"/>
          <w:lang w:eastAsia="zh-CN"/>
        </w:rPr>
        <w:t>10</w:t>
      </w:r>
      <w:r>
        <w:rPr>
          <w:rFonts w:hint="eastAsia" w:ascii="宋体" w:hAnsi="宋体" w:eastAsia="宋体" w:cs="宋体"/>
          <w:b/>
          <w:color w:val="auto"/>
          <w:kern w:val="0"/>
          <w:sz w:val="30"/>
          <w:szCs w:val="30"/>
          <w:highlight w:val="none"/>
        </w:rPr>
        <w:t>月</w:t>
      </w:r>
    </w:p>
    <w:p>
      <w:pPr>
        <w:pStyle w:val="24"/>
        <w:spacing w:line="360" w:lineRule="auto"/>
        <w:jc w:val="center"/>
        <w:rPr>
          <w:rFonts w:ascii="宋体" w:hAnsi="宋体"/>
          <w:color w:val="auto"/>
          <w:highlight w:val="none"/>
        </w:rPr>
      </w:pPr>
    </w:p>
    <w:p>
      <w:pPr>
        <w:pStyle w:val="24"/>
        <w:spacing w:line="360" w:lineRule="auto"/>
        <w:jc w:val="center"/>
        <w:rPr>
          <w:rFonts w:ascii="宋体" w:hAnsi="宋体"/>
          <w:b/>
          <w:color w:val="auto"/>
          <w:sz w:val="48"/>
          <w:szCs w:val="48"/>
          <w:highlight w:val="none"/>
        </w:rPr>
      </w:pPr>
    </w:p>
    <w:p>
      <w:pPr>
        <w:pStyle w:val="24"/>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pPr>
        <w:pStyle w:val="2"/>
        <w:tabs>
          <w:tab w:val="right" w:leader="dot" w:pos="9355"/>
        </w:tabs>
        <w:spacing w:line="360" w:lineRule="auto"/>
        <w:rPr>
          <w:color w:val="auto"/>
          <w:sz w:val="28"/>
          <w:szCs w:val="28"/>
          <w:highlight w:val="none"/>
        </w:rPr>
      </w:pPr>
      <w:r>
        <w:rPr>
          <w:color w:val="auto"/>
        </w:rPr>
        <w:fldChar w:fldCharType="begin"/>
      </w:r>
      <w:r>
        <w:rPr>
          <w:color w:val="auto"/>
        </w:rPr>
        <w:instrText xml:space="preserve">TOC \z \o "1-3" \u \h</w:instrText>
      </w:r>
      <w:r>
        <w:rPr>
          <w:color w:val="auto"/>
          <w:sz w:val="28"/>
          <w:szCs w:val="28"/>
          <w:highlight w:val="none"/>
        </w:rPr>
        <w:fldChar w:fldCharType="separate"/>
      </w:r>
      <w:r>
        <w:rPr>
          <w:color w:val="auto"/>
        </w:rPr>
        <w:fldChar w:fldCharType="begin"/>
      </w:r>
      <w:r>
        <w:rPr>
          <w:color w:val="auto"/>
        </w:rPr>
        <w:instrText xml:space="preserve"> HYPERLINK \l "_Toc12455" </w:instrText>
      </w:r>
      <w:r>
        <w:rPr>
          <w:color w:val="auto"/>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
        <w:tabs>
          <w:tab w:val="right" w:leader="dot" w:pos="9355"/>
        </w:tabs>
        <w:spacing w:line="360" w:lineRule="auto"/>
        <w:rPr>
          <w:color w:val="auto"/>
          <w:sz w:val="28"/>
          <w:szCs w:val="28"/>
          <w:highlight w:val="none"/>
        </w:rPr>
      </w:pPr>
      <w:r>
        <w:rPr>
          <w:color w:val="auto"/>
        </w:rPr>
        <w:fldChar w:fldCharType="begin"/>
      </w:r>
      <w:r>
        <w:rPr>
          <w:color w:val="auto"/>
        </w:rPr>
        <w:instrText xml:space="preserve"> HYPERLINK \l "_Toc7350" </w:instrText>
      </w:r>
      <w:r>
        <w:rPr>
          <w:color w:val="auto"/>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2"/>
        <w:tabs>
          <w:tab w:val="right" w:leader="dot" w:pos="9355"/>
        </w:tabs>
        <w:spacing w:line="360" w:lineRule="auto"/>
        <w:rPr>
          <w:color w:val="auto"/>
          <w:sz w:val="28"/>
          <w:szCs w:val="28"/>
          <w:highlight w:val="none"/>
        </w:rPr>
      </w:pPr>
      <w:r>
        <w:rPr>
          <w:color w:val="auto"/>
        </w:rPr>
        <w:fldChar w:fldCharType="begin"/>
      </w:r>
      <w:r>
        <w:rPr>
          <w:color w:val="auto"/>
        </w:rPr>
        <w:instrText xml:space="preserve"> HYPERLINK \l "_Toc17060" </w:instrText>
      </w:r>
      <w:r>
        <w:rPr>
          <w:color w:val="auto"/>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2"/>
        <w:tabs>
          <w:tab w:val="right" w:leader="dot" w:pos="9355"/>
        </w:tabs>
        <w:spacing w:line="360" w:lineRule="auto"/>
        <w:rPr>
          <w:color w:val="auto"/>
          <w:sz w:val="28"/>
          <w:szCs w:val="28"/>
          <w:highlight w:val="none"/>
        </w:rPr>
      </w:pPr>
      <w:r>
        <w:rPr>
          <w:color w:val="auto"/>
        </w:rPr>
        <w:fldChar w:fldCharType="begin"/>
      </w:r>
      <w:r>
        <w:rPr>
          <w:color w:val="auto"/>
        </w:rPr>
        <w:instrText xml:space="preserve"> HYPERLINK \l "_Toc26040" </w:instrText>
      </w:r>
      <w:r>
        <w:rPr>
          <w:color w:val="auto"/>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2"/>
        <w:tabs>
          <w:tab w:val="right" w:leader="dot" w:pos="9355"/>
        </w:tabs>
        <w:spacing w:line="360" w:lineRule="auto"/>
        <w:rPr>
          <w:color w:val="auto"/>
          <w:sz w:val="28"/>
          <w:szCs w:val="28"/>
          <w:highlight w:val="none"/>
        </w:rPr>
      </w:pPr>
      <w:r>
        <w:rPr>
          <w:color w:val="auto"/>
        </w:rPr>
        <w:fldChar w:fldCharType="begin"/>
      </w:r>
      <w:r>
        <w:rPr>
          <w:color w:val="auto"/>
        </w:rPr>
        <w:instrText xml:space="preserve"> HYPERLINK \l "_Toc26801" </w:instrText>
      </w:r>
      <w:r>
        <w:rPr>
          <w:color w:val="auto"/>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47</w:t>
      </w:r>
      <w:r>
        <w:rPr>
          <w:color w:val="auto"/>
          <w:sz w:val="28"/>
          <w:szCs w:val="28"/>
          <w:highlight w:val="none"/>
        </w:rPr>
        <w:fldChar w:fldCharType="end"/>
      </w:r>
      <w:r>
        <w:rPr>
          <w:color w:val="auto"/>
          <w:sz w:val="28"/>
          <w:szCs w:val="28"/>
          <w:highlight w:val="none"/>
        </w:rPr>
        <w:fldChar w:fldCharType="end"/>
      </w:r>
    </w:p>
    <w:p>
      <w:pPr>
        <w:pStyle w:val="2"/>
        <w:tabs>
          <w:tab w:val="right" w:leader="dot" w:pos="9355"/>
        </w:tabs>
        <w:spacing w:line="360" w:lineRule="auto"/>
        <w:rPr>
          <w:color w:val="auto"/>
          <w:sz w:val="28"/>
          <w:szCs w:val="28"/>
          <w:highlight w:val="none"/>
        </w:rPr>
      </w:pPr>
      <w:r>
        <w:rPr>
          <w:color w:val="auto"/>
        </w:rPr>
        <w:fldChar w:fldCharType="begin"/>
      </w:r>
      <w:r>
        <w:rPr>
          <w:color w:val="auto"/>
        </w:rPr>
        <w:instrText xml:space="preserve"> HYPERLINK \l "_Toc14935" </w:instrText>
      </w:r>
      <w:r>
        <w:rPr>
          <w:color w:val="auto"/>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65</w:t>
      </w:r>
      <w:r>
        <w:rPr>
          <w:color w:val="auto"/>
          <w:sz w:val="28"/>
          <w:szCs w:val="28"/>
          <w:highlight w:val="none"/>
        </w:rPr>
        <w:fldChar w:fldCharType="end"/>
      </w:r>
      <w:r>
        <w:rPr>
          <w:color w:val="auto"/>
          <w:sz w:val="28"/>
          <w:szCs w:val="28"/>
          <w:highlight w:val="none"/>
        </w:rPr>
        <w:fldChar w:fldCharType="end"/>
      </w:r>
    </w:p>
    <w:p>
      <w:pPr>
        <w:pStyle w:val="2"/>
        <w:tabs>
          <w:tab w:val="right" w:leader="dot" w:pos="9355"/>
        </w:tabs>
        <w:spacing w:line="360" w:lineRule="auto"/>
        <w:rPr>
          <w:color w:val="auto"/>
          <w:sz w:val="28"/>
          <w:szCs w:val="28"/>
          <w:highlight w:val="none"/>
        </w:rPr>
      </w:pPr>
      <w:r>
        <w:rPr>
          <w:color w:val="auto"/>
        </w:rPr>
        <w:fldChar w:fldCharType="begin"/>
      </w:r>
      <w:r>
        <w:rPr>
          <w:color w:val="auto"/>
        </w:rPr>
        <w:instrText xml:space="preserve"> HYPERLINK \l "_Toc5706" </w:instrText>
      </w:r>
      <w:r>
        <w:rPr>
          <w:color w:val="auto"/>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70</w:t>
      </w:r>
      <w:r>
        <w:rPr>
          <w:color w:val="auto"/>
          <w:sz w:val="28"/>
          <w:szCs w:val="28"/>
          <w:highlight w:val="none"/>
        </w:rPr>
        <w:fldChar w:fldCharType="end"/>
      </w:r>
      <w:r>
        <w:rPr>
          <w:color w:val="auto"/>
          <w:sz w:val="28"/>
          <w:szCs w:val="28"/>
          <w:highlight w:val="none"/>
        </w:rPr>
        <w:fldChar w:fldCharType="end"/>
      </w:r>
    </w:p>
    <w:p>
      <w:pPr>
        <w:pStyle w:val="26"/>
        <w:spacing w:line="360" w:lineRule="auto"/>
        <w:rPr>
          <w:color w:val="auto"/>
          <w:highlight w:val="none"/>
        </w:rPr>
      </w:pPr>
      <w:r>
        <w:rPr>
          <w:color w:val="auto"/>
          <w:sz w:val="28"/>
          <w:szCs w:val="28"/>
          <w:highlight w:val="none"/>
        </w:rPr>
        <w:fldChar w:fldCharType="end"/>
      </w:r>
    </w:p>
    <w:p>
      <w:pPr>
        <w:pStyle w:val="24"/>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docGrid w:linePitch="312" w:charSpace="43007"/>
        </w:sectPr>
      </w:pPr>
    </w:p>
    <w:p>
      <w:pPr>
        <w:pStyle w:val="25"/>
        <w:rPr>
          <w:color w:val="auto"/>
          <w:highlight w:val="none"/>
        </w:rPr>
      </w:pPr>
    </w:p>
    <w:p>
      <w:pPr>
        <w:pStyle w:val="24"/>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pPr>
        <w:pStyle w:val="3"/>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广西国腾招标代理有限公司关于</w:t>
      </w:r>
      <w:bookmarkStart w:id="2" w:name="_Toc24127"/>
      <w:r>
        <w:rPr>
          <w:rFonts w:hint="eastAsia" w:ascii="宋体" w:hAnsi="宋体" w:cs="宋体"/>
          <w:color w:val="auto"/>
          <w:sz w:val="28"/>
          <w:szCs w:val="20"/>
          <w:highlight w:val="none"/>
          <w:lang w:eastAsia="zh-CN"/>
        </w:rPr>
        <w:t>合山市公安局里兰派出所业务技术用房工程</w:t>
      </w:r>
    </w:p>
    <w:p>
      <w:pPr>
        <w:pStyle w:val="3"/>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（LBHSZC2022-C2-57001-GTZB）</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合山市公安局里兰派出所业务技术用房工程</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default" w:eastAsia="宋体"/>
          <w:color w:val="auto"/>
          <w:sz w:val="21"/>
          <w:szCs w:val="21"/>
          <w:highlight w:val="none"/>
          <w:u w:val="single"/>
          <w:lang w:val="en-US" w:eastAsia="zh-CN"/>
        </w:rPr>
        <w:t>政采云平台（https://www.zcygov.cn/）</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2022年11月8日9时00分</w:t>
      </w:r>
      <w:r>
        <w:rPr>
          <w:rFonts w:hint="eastAsia" w:ascii="宋体" w:hAnsi="宋体" w:cs="宋体"/>
          <w:bCs/>
          <w:color w:val="auto"/>
          <w:sz w:val="21"/>
          <w:szCs w:val="21"/>
          <w:highlight w:val="none"/>
        </w:rPr>
        <w:t>（北京时间）前提交响应文件</w:t>
      </w:r>
      <w:r>
        <w:rPr>
          <w:rFonts w:hint="eastAsia" w:ascii="宋体" w:hAnsi="宋体" w:cs="宋体"/>
          <w:color w:val="auto"/>
          <w:sz w:val="21"/>
          <w:szCs w:val="21"/>
          <w:highlight w:val="none"/>
        </w:rPr>
        <w:t>。</w:t>
      </w:r>
    </w:p>
    <w:p>
      <w:pPr>
        <w:spacing w:line="360" w:lineRule="auto"/>
        <w:rPr>
          <w:b/>
          <w:bCs/>
          <w:color w:val="auto"/>
          <w:sz w:val="21"/>
          <w:szCs w:val="21"/>
          <w:highlight w:val="none"/>
        </w:rPr>
      </w:pPr>
      <w:bookmarkStart w:id="4" w:name="_Toc35393629"/>
      <w:bookmarkStart w:id="5" w:name="_Toc35393798"/>
      <w:bookmarkStart w:id="6" w:name="_Toc28359089"/>
      <w:bookmarkStart w:id="7" w:name="_Toc28359012"/>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LBHSZC2022-C2-57001-GTZB</w:t>
      </w:r>
    </w:p>
    <w:p>
      <w:pPr>
        <w:spacing w:line="360" w:lineRule="auto"/>
        <w:ind w:firstLine="420" w:firstLineChars="200"/>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合山市公安局里兰派出所业务技术用房工程</w:t>
      </w:r>
    </w:p>
    <w:p>
      <w:pPr>
        <w:spacing w:line="360" w:lineRule="auto"/>
        <w:ind w:firstLine="420" w:firstLineChars="200"/>
        <w:rPr>
          <w:color w:val="auto"/>
          <w:sz w:val="21"/>
          <w:szCs w:val="21"/>
          <w:highlight w:val="none"/>
        </w:rPr>
      </w:pPr>
      <w:r>
        <w:rPr>
          <w:rFonts w:hint="eastAsia"/>
          <w:color w:val="auto"/>
          <w:sz w:val="21"/>
          <w:szCs w:val="21"/>
          <w:highlight w:val="none"/>
        </w:rPr>
        <w:t>采购方式：竞争性磋商</w:t>
      </w:r>
    </w:p>
    <w:p>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采购预算金额</w:t>
      </w:r>
      <w:r>
        <w:rPr>
          <w:rFonts w:hint="eastAsia"/>
          <w:color w:val="auto"/>
          <w:sz w:val="21"/>
          <w:szCs w:val="21"/>
          <w:highlight w:val="none"/>
        </w:rPr>
        <w:t>：</w:t>
      </w:r>
      <w:r>
        <w:rPr>
          <w:rFonts w:hint="eastAsia"/>
          <w:color w:val="auto"/>
          <w:sz w:val="21"/>
          <w:szCs w:val="21"/>
          <w:highlight w:val="none"/>
          <w:lang w:eastAsia="zh-CN"/>
        </w:rPr>
        <w:t>人民币</w:t>
      </w:r>
      <w:r>
        <w:rPr>
          <w:rFonts w:hint="eastAsia"/>
          <w:color w:val="auto"/>
          <w:sz w:val="21"/>
          <w:szCs w:val="21"/>
          <w:highlight w:val="none"/>
          <w:lang w:val="en-US" w:eastAsia="zh-CN"/>
        </w:rPr>
        <w:t>叁佰伍拾贰万柒仟零玖拾壹元玖角陆分</w:t>
      </w:r>
      <w:r>
        <w:rPr>
          <w:rFonts w:hint="eastAsia"/>
          <w:color w:val="auto"/>
          <w:sz w:val="21"/>
          <w:szCs w:val="21"/>
          <w:highlight w:val="none"/>
          <w:lang w:eastAsia="zh-CN"/>
        </w:rPr>
        <w:t>（¥</w:t>
      </w:r>
      <w:r>
        <w:rPr>
          <w:rFonts w:hint="eastAsia"/>
          <w:color w:val="auto"/>
          <w:sz w:val="21"/>
          <w:szCs w:val="21"/>
          <w:highlight w:val="none"/>
          <w:lang w:val="en-US" w:eastAsia="zh-CN"/>
        </w:rPr>
        <w:t>3,527,091.96</w:t>
      </w:r>
      <w:r>
        <w:rPr>
          <w:rFonts w:hint="eastAsia"/>
          <w:color w:val="auto"/>
          <w:sz w:val="21"/>
          <w:szCs w:val="21"/>
          <w:highlight w:val="none"/>
          <w:lang w:eastAsia="zh-CN"/>
        </w:rPr>
        <w:t>）</w:t>
      </w:r>
    </w:p>
    <w:p>
      <w:pPr>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最高限价：</w:t>
      </w:r>
      <w:r>
        <w:rPr>
          <w:rFonts w:hint="eastAsia"/>
          <w:color w:val="auto"/>
          <w:sz w:val="21"/>
          <w:szCs w:val="21"/>
          <w:highlight w:val="none"/>
          <w:lang w:val="en-US" w:eastAsia="zh-CN"/>
        </w:rPr>
        <w:t>同采购</w:t>
      </w:r>
      <w:r>
        <w:rPr>
          <w:rFonts w:hint="eastAsia" w:ascii="宋体" w:hAnsi="宋体" w:cs="宋体"/>
          <w:color w:val="auto"/>
          <w:sz w:val="21"/>
          <w:szCs w:val="21"/>
          <w:highlight w:val="none"/>
          <w:lang w:val="en-US" w:eastAsia="zh-CN"/>
        </w:rPr>
        <w:t>预算金额</w:t>
      </w:r>
    </w:p>
    <w:p>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rPr>
        <w:t>采购需求：本项目为合山市公安局里兰派出所业务用房及附属用房工程，项目位于合山市，总建筑面积1321.98㎡，结构形式为框架结构，建筑层数：地上4层，建设层高：业务技术用房13.65m，门卫室：3.15m。主要施工工程包括业务技术用房建筑、安装、门卫室的建筑、安装、绿化、围墙、道路硬化等工程</w:t>
      </w:r>
      <w:r>
        <w:rPr>
          <w:rFonts w:hint="eastAsia"/>
          <w:color w:val="auto"/>
          <w:sz w:val="21"/>
          <w:szCs w:val="21"/>
          <w:highlight w:val="none"/>
          <w:lang w:eastAsia="zh-CN"/>
        </w:rPr>
        <w:t>，具体</w:t>
      </w:r>
      <w:r>
        <w:rPr>
          <w:rFonts w:hint="eastAsia"/>
          <w:color w:val="auto"/>
          <w:sz w:val="21"/>
          <w:szCs w:val="21"/>
          <w:highlight w:val="none"/>
          <w:lang w:val="en-US" w:eastAsia="zh-CN"/>
        </w:rPr>
        <w:t>以工程量清单和图纸包含的内容为准。</w:t>
      </w:r>
    </w:p>
    <w:p>
      <w:pPr>
        <w:spacing w:line="360" w:lineRule="auto"/>
        <w:ind w:firstLine="420" w:firstLineChars="200"/>
        <w:rPr>
          <w:color w:val="auto"/>
          <w:sz w:val="21"/>
          <w:szCs w:val="21"/>
          <w:highlight w:val="none"/>
        </w:rPr>
      </w:pPr>
      <w:r>
        <w:rPr>
          <w:rFonts w:hint="eastAsia"/>
          <w:color w:val="auto"/>
          <w:sz w:val="21"/>
          <w:szCs w:val="21"/>
          <w:highlight w:val="none"/>
        </w:rPr>
        <w:t>合同履行期限：</w:t>
      </w:r>
      <w:r>
        <w:rPr>
          <w:rFonts w:hint="eastAsia"/>
          <w:color w:val="auto"/>
          <w:sz w:val="21"/>
          <w:szCs w:val="21"/>
          <w:highlight w:val="none"/>
          <w:lang w:val="en-US" w:eastAsia="zh-CN"/>
        </w:rPr>
        <w:t>60日历天</w:t>
      </w:r>
      <w:r>
        <w:rPr>
          <w:rFonts w:hint="eastAsia"/>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rPr>
        <w:t>本项目不接受联合体。</w:t>
      </w:r>
    </w:p>
    <w:p>
      <w:pPr>
        <w:spacing w:line="360" w:lineRule="auto"/>
        <w:rPr>
          <w:b/>
          <w:bCs/>
          <w:color w:val="auto"/>
          <w:sz w:val="21"/>
          <w:szCs w:val="21"/>
          <w:highlight w:val="none"/>
        </w:rPr>
      </w:pPr>
      <w:bookmarkStart w:id="8" w:name="_Toc28359090"/>
      <w:bookmarkStart w:id="9" w:name="_Toc28359013"/>
      <w:bookmarkStart w:id="10" w:name="_Toc35393630"/>
      <w:bookmarkStart w:id="11" w:name="_Toc35393799"/>
      <w:r>
        <w:rPr>
          <w:rFonts w:hint="eastAsia"/>
          <w:b/>
          <w:bCs/>
          <w:color w:val="auto"/>
          <w:sz w:val="21"/>
          <w:szCs w:val="21"/>
          <w:highlight w:val="none"/>
        </w:rPr>
        <w:t>二、申请人的资格要求：</w:t>
      </w:r>
      <w:bookmarkEnd w:id="8"/>
      <w:bookmarkEnd w:id="9"/>
      <w:bookmarkEnd w:id="10"/>
      <w:bookmarkEnd w:id="11"/>
    </w:p>
    <w:p>
      <w:pPr>
        <w:spacing w:line="360" w:lineRule="auto"/>
        <w:ind w:firstLine="420" w:firstLineChars="200"/>
        <w:rPr>
          <w:rFonts w:hint="eastAsia"/>
          <w:color w:val="auto"/>
          <w:sz w:val="21"/>
          <w:szCs w:val="21"/>
          <w:highlight w:val="none"/>
        </w:rPr>
      </w:pPr>
      <w:bookmarkStart w:id="12" w:name="_Toc28359091"/>
      <w:bookmarkStart w:id="13" w:name="_Toc28359014"/>
      <w:r>
        <w:rPr>
          <w:rFonts w:hint="eastAsia"/>
          <w:color w:val="auto"/>
          <w:sz w:val="21"/>
          <w:szCs w:val="21"/>
          <w:highlight w:val="none"/>
        </w:rPr>
        <w:t>1.满足《中华人民共和国政府采购法》第二十二条规定；</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ascii="宋体" w:hAnsi="宋体" w:cs="宋体"/>
          <w:color w:val="auto"/>
          <w:sz w:val="21"/>
          <w:szCs w:val="21"/>
          <w:highlight w:val="none"/>
          <w:lang w:eastAsia="zh-CN"/>
        </w:rPr>
        <w:t>本项目属于专门面向中小企业采购的项目，根据财库</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【2020】46号《政府采购促进中小企业发展管理办法》要求，供应商必须为中小企业</w:t>
      </w:r>
      <w:r>
        <w:rPr>
          <w:rFonts w:hint="eastAsia"/>
          <w:color w:val="auto"/>
          <w:sz w:val="21"/>
          <w:szCs w:val="21"/>
          <w:highlight w:val="none"/>
        </w:rPr>
        <w:t>。</w:t>
      </w:r>
    </w:p>
    <w:p>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4" w:name="_Toc35393800"/>
      <w:bookmarkStart w:id="15" w:name="_Toc35393631"/>
      <w:r>
        <w:rPr>
          <w:rFonts w:hint="eastAsia" w:ascii="宋体" w:hAnsi="宋体" w:cs="宋体"/>
          <w:color w:val="auto"/>
          <w:sz w:val="21"/>
          <w:szCs w:val="21"/>
          <w:highlight w:val="none"/>
          <w:lang w:eastAsia="zh-CN"/>
        </w:rPr>
        <w:t>具备</w:t>
      </w:r>
      <w:r>
        <w:rPr>
          <w:rFonts w:hint="eastAsia" w:ascii="宋体" w:hAnsi="宋体" w:cs="宋体"/>
          <w:color w:val="auto"/>
          <w:sz w:val="21"/>
          <w:szCs w:val="21"/>
          <w:highlight w:val="none"/>
          <w:lang w:val="en-US" w:eastAsia="zh-CN"/>
        </w:rPr>
        <w:t>建筑工程</w:t>
      </w:r>
      <w:r>
        <w:rPr>
          <w:rFonts w:hint="eastAsia" w:ascii="宋体" w:hAnsi="宋体" w:cs="宋体"/>
          <w:color w:val="auto"/>
          <w:sz w:val="21"/>
          <w:szCs w:val="21"/>
          <w:highlight w:val="none"/>
          <w:lang w:eastAsia="zh-CN"/>
        </w:rPr>
        <w:t>施工总承包叁级及以上资质，并在人员、设备、资金等方面具有相应的施工能力</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拟派驻的项目经理须具备</w:t>
      </w:r>
      <w:r>
        <w:rPr>
          <w:rFonts w:hint="eastAsia" w:ascii="宋体" w:hAnsi="宋体" w:cs="宋体"/>
          <w:color w:val="auto"/>
          <w:sz w:val="21"/>
          <w:szCs w:val="21"/>
          <w:highlight w:val="none"/>
          <w:lang w:val="en-US" w:eastAsia="zh-CN"/>
        </w:rPr>
        <w:t>建筑</w:t>
      </w:r>
      <w:r>
        <w:rPr>
          <w:rFonts w:hint="eastAsia" w:ascii="宋体" w:hAnsi="宋体" w:cs="宋体"/>
          <w:color w:val="auto"/>
          <w:sz w:val="21"/>
          <w:szCs w:val="21"/>
          <w:highlight w:val="none"/>
          <w:lang w:eastAsia="zh-CN"/>
        </w:rPr>
        <w:t>工程专业贰级以上（含贰级）注册建造师执业资格，具备有效的安全生产考核合格证书（B类），且为本单位在职员工</w:t>
      </w:r>
      <w:r>
        <w:rPr>
          <w:rFonts w:hint="eastAsia"/>
          <w:color w:val="auto"/>
          <w:sz w:val="21"/>
          <w:szCs w:val="21"/>
          <w:highlight w:val="none"/>
          <w:lang w:eastAsia="zh-CN"/>
        </w:rPr>
        <w:t>。</w:t>
      </w:r>
    </w:p>
    <w:p>
      <w:pPr>
        <w:spacing w:line="360" w:lineRule="auto"/>
        <w:rPr>
          <w:b/>
          <w:bCs/>
          <w:color w:val="auto"/>
          <w:sz w:val="21"/>
          <w:szCs w:val="21"/>
          <w:highlight w:val="none"/>
        </w:rPr>
      </w:pPr>
      <w:r>
        <w:rPr>
          <w:rFonts w:hint="eastAsia"/>
          <w:b/>
          <w:bCs/>
          <w:color w:val="auto"/>
          <w:sz w:val="21"/>
          <w:szCs w:val="21"/>
          <w:highlight w:val="none"/>
        </w:rPr>
        <w:t>三、获取采购文件</w:t>
      </w:r>
      <w:bookmarkEnd w:id="12"/>
      <w:bookmarkEnd w:id="13"/>
      <w:bookmarkEnd w:id="14"/>
      <w:bookmarkEnd w:id="15"/>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日下午</w:t>
      </w:r>
      <w:r>
        <w:rPr>
          <w:rFonts w:hint="eastAsia" w:ascii="宋体" w:hAnsi="宋体" w:cs="宋体"/>
          <w:color w:val="auto"/>
          <w:sz w:val="21"/>
          <w:szCs w:val="21"/>
          <w:highlight w:val="none"/>
          <w:lang w:val="en-US" w:eastAsia="zh-CN"/>
        </w:rPr>
        <w:t>18时</w:t>
      </w:r>
    </w:p>
    <w:p>
      <w:pPr>
        <w:spacing w:line="360" w:lineRule="auto"/>
        <w:ind w:firstLine="420" w:firstLineChars="200"/>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地点：政采云平台（https://www.zcygov.cn/）</w:t>
      </w:r>
    </w:p>
    <w:p>
      <w:pPr>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default" w:eastAsia="宋体"/>
          <w:color w:val="auto"/>
          <w:sz w:val="21"/>
          <w:szCs w:val="21"/>
          <w:highlight w:val="none"/>
          <w:lang w:val="en-US" w:eastAsia="zh-CN"/>
        </w:rPr>
        <w:t>方式：</w:t>
      </w:r>
      <w:bookmarkStart w:id="16" w:name="_Toc35393632"/>
      <w:bookmarkStart w:id="17" w:name="_Toc35393801"/>
      <w:bookmarkStart w:id="18" w:name="_Toc28359015"/>
      <w:bookmarkStart w:id="19" w:name="_Toc28359092"/>
      <w:r>
        <w:rPr>
          <w:rFonts w:hint="default" w:eastAsia="宋体"/>
          <w:color w:val="auto"/>
          <w:sz w:val="21"/>
          <w:szCs w:val="21"/>
          <w:highlight w:val="none"/>
          <w:lang w:val="en-US" w:eastAsia="zh-CN"/>
        </w:rPr>
        <w:t>供应商登录政采云平台https://www.zcygov.cn/在线申请获取采购文件</w:t>
      </w:r>
    </w:p>
    <w:p>
      <w:pPr>
        <w:pageBreakBefore w:val="0"/>
        <w:widowControl w:val="0"/>
        <w:kinsoku/>
        <w:wordWrap/>
        <w:overflowPunct/>
        <w:topLinePunct w:val="0"/>
        <w:autoSpaceDE/>
        <w:autoSpaceDN/>
        <w:bidi w:val="0"/>
        <w:snapToGrid/>
        <w:spacing w:line="360" w:lineRule="auto"/>
        <w:rPr>
          <w:rFonts w:hint="eastAsia"/>
          <w:b/>
          <w:bCs/>
          <w:color w:val="auto"/>
          <w:sz w:val="21"/>
          <w:szCs w:val="21"/>
          <w:highlight w:val="none"/>
        </w:rPr>
      </w:pPr>
      <w:r>
        <w:rPr>
          <w:rFonts w:hint="eastAsia"/>
          <w:b/>
          <w:bCs/>
          <w:color w:val="auto"/>
          <w:sz w:val="21"/>
          <w:szCs w:val="21"/>
          <w:highlight w:val="none"/>
        </w:rPr>
        <w:t>四、响应文件提交</w:t>
      </w:r>
      <w:bookmarkEnd w:id="16"/>
      <w:bookmarkEnd w:id="17"/>
      <w:bookmarkEnd w:id="18"/>
      <w:bookmarkEnd w:id="19"/>
      <w:r>
        <w:rPr>
          <w:rFonts w:hint="eastAsia"/>
          <w:b/>
          <w:bCs/>
          <w:color w:val="auto"/>
          <w:sz w:val="21"/>
          <w:szCs w:val="21"/>
          <w:highlight w:val="none"/>
        </w:rPr>
        <w:t>：</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2022年11月8日9时00分</w:t>
      </w:r>
      <w:r>
        <w:rPr>
          <w:rFonts w:hint="eastAsia"/>
          <w:color w:val="auto"/>
          <w:sz w:val="21"/>
          <w:szCs w:val="21"/>
          <w:highlight w:val="none"/>
        </w:rPr>
        <w:t>（北京时间）</w:t>
      </w:r>
    </w:p>
    <w:p>
      <w:pPr>
        <w:spacing w:line="360" w:lineRule="auto"/>
        <w:ind w:firstLine="420" w:firstLineChars="200"/>
        <w:rPr>
          <w:color w:val="auto"/>
          <w:sz w:val="21"/>
          <w:szCs w:val="21"/>
          <w:highlight w:val="none"/>
        </w:rPr>
      </w:pPr>
      <w:r>
        <w:rPr>
          <w:rFonts w:hint="eastAsia"/>
          <w:color w:val="auto"/>
          <w:sz w:val="21"/>
          <w:szCs w:val="21"/>
          <w:highlight w:val="none"/>
          <w:lang w:eastAsia="zh-CN"/>
        </w:rPr>
        <w:t>地址（网址）：通过</w:t>
      </w:r>
      <w:r>
        <w:rPr>
          <w:rFonts w:hint="eastAsia" w:ascii="宋体" w:hAnsi="宋体" w:cs="宋体"/>
          <w:color w:val="auto"/>
          <w:sz w:val="21"/>
          <w:szCs w:val="21"/>
          <w:highlight w:val="none"/>
        </w:rPr>
        <w:t>政采云平台（https：//www.zcygov.cn/）实行在线投标</w:t>
      </w:r>
      <w:r>
        <w:rPr>
          <w:rFonts w:hint="eastAsia"/>
          <w:color w:val="auto"/>
          <w:sz w:val="21"/>
          <w:szCs w:val="21"/>
          <w:highlight w:val="none"/>
        </w:rPr>
        <w:t xml:space="preserve"> </w:t>
      </w:r>
    </w:p>
    <w:p>
      <w:pPr>
        <w:numPr>
          <w:ilvl w:val="0"/>
          <w:numId w:val="2"/>
        </w:numPr>
        <w:spacing w:line="360" w:lineRule="auto"/>
        <w:rPr>
          <w:rFonts w:hint="eastAsia"/>
          <w:color w:val="auto"/>
          <w:sz w:val="21"/>
          <w:szCs w:val="21"/>
          <w:highlight w:val="none"/>
          <w:lang w:eastAsia="zh-CN"/>
        </w:rPr>
      </w:pPr>
      <w:bookmarkStart w:id="20" w:name="_Toc35393802"/>
      <w:bookmarkStart w:id="21" w:name="_Toc28359093"/>
      <w:bookmarkStart w:id="22" w:name="_Toc35393633"/>
      <w:bookmarkStart w:id="23" w:name="_Toc28359016"/>
      <w:r>
        <w:rPr>
          <w:rFonts w:hint="eastAsia"/>
          <w:b/>
          <w:bCs/>
          <w:color w:val="auto"/>
          <w:sz w:val="21"/>
          <w:szCs w:val="21"/>
          <w:highlight w:val="none"/>
        </w:rPr>
        <w:t>开启</w:t>
      </w:r>
      <w:bookmarkEnd w:id="20"/>
      <w:bookmarkEnd w:id="21"/>
      <w:bookmarkEnd w:id="22"/>
      <w:bookmarkEnd w:id="23"/>
      <w:r>
        <w:rPr>
          <w:rFonts w:hint="eastAsia"/>
          <w:b/>
          <w:bCs/>
          <w:color w:val="auto"/>
          <w:sz w:val="21"/>
          <w:szCs w:val="21"/>
          <w:highlight w:val="none"/>
        </w:rPr>
        <w:t>：</w:t>
      </w:r>
    </w:p>
    <w:p>
      <w:pPr>
        <w:numPr>
          <w:ilvl w:val="0"/>
          <w:numId w:val="0"/>
        </w:num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rPr>
        <w:t>时间：</w:t>
      </w:r>
      <w:r>
        <w:rPr>
          <w:rFonts w:hint="eastAsia" w:ascii="宋体" w:hAnsi="宋体" w:cs="宋体"/>
          <w:color w:val="auto"/>
          <w:sz w:val="21"/>
          <w:szCs w:val="21"/>
          <w:highlight w:val="none"/>
          <w:lang w:val="en-US" w:eastAsia="zh-CN"/>
        </w:rPr>
        <w:t>2022年11月8日9时00分</w:t>
      </w:r>
      <w:r>
        <w:rPr>
          <w:rFonts w:hint="eastAsia"/>
          <w:color w:val="auto"/>
          <w:sz w:val="21"/>
          <w:szCs w:val="21"/>
          <w:highlight w:val="none"/>
        </w:rPr>
        <w:t>（北京时间）</w:t>
      </w:r>
    </w:p>
    <w:p>
      <w:pPr>
        <w:numPr>
          <w:ilvl w:val="0"/>
          <w:numId w:val="0"/>
        </w:numPr>
        <w:spacing w:line="360" w:lineRule="auto"/>
        <w:ind w:left="1046" w:leftChars="208" w:hanging="630" w:hangingChars="300"/>
        <w:rPr>
          <w:rFonts w:hint="eastAsia" w:cs="Times New Roman"/>
          <w:color w:val="auto"/>
          <w:sz w:val="21"/>
          <w:szCs w:val="21"/>
          <w:highlight w:val="none"/>
        </w:rPr>
      </w:pPr>
      <w:r>
        <w:rPr>
          <w:rFonts w:hint="eastAsia"/>
          <w:color w:val="auto"/>
          <w:sz w:val="21"/>
          <w:szCs w:val="21"/>
          <w:highlight w:val="none"/>
          <w:lang w:eastAsia="zh-CN"/>
        </w:rPr>
        <w:t>地址</w:t>
      </w:r>
      <w:r>
        <w:rPr>
          <w:rFonts w:hint="eastAsia" w:cs="Times New Roman"/>
          <w:color w:val="auto"/>
          <w:sz w:val="21"/>
          <w:szCs w:val="21"/>
          <w:highlight w:val="none"/>
          <w:lang w:eastAsia="zh-CN"/>
        </w:rPr>
        <w:t>：</w:t>
      </w:r>
      <w:r>
        <w:rPr>
          <w:rFonts w:hint="eastAsia" w:ascii="宋体" w:hAnsi="宋体" w:eastAsia="宋体" w:cs="宋体"/>
          <w:color w:val="auto"/>
          <w:sz w:val="21"/>
          <w:szCs w:val="21"/>
          <w:lang w:eastAsia="zh-CN"/>
        </w:rPr>
        <w:t>在</w:t>
      </w:r>
      <w:r>
        <w:rPr>
          <w:rFonts w:hint="eastAsia" w:ascii="宋体" w:hAnsi="宋体" w:cs="宋体"/>
          <w:color w:val="auto"/>
          <w:sz w:val="21"/>
          <w:szCs w:val="21"/>
          <w:lang w:eastAsia="zh-CN"/>
        </w:rPr>
        <w:t>广西国腾招标代理有限公司</w:t>
      </w:r>
      <w:r>
        <w:rPr>
          <w:rFonts w:hint="eastAsia" w:ascii="宋体" w:hAnsi="宋体" w:cs="宋体"/>
          <w:color w:val="auto"/>
          <w:sz w:val="21"/>
          <w:szCs w:val="21"/>
          <w:lang w:val="en-US" w:eastAsia="zh-CN"/>
        </w:rPr>
        <w:t>评标室</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来宾市西山路719号</w:t>
      </w:r>
      <w:r>
        <w:rPr>
          <w:rFonts w:hint="eastAsia" w:ascii="宋体" w:hAnsi="宋体" w:cs="宋体"/>
          <w:color w:val="auto"/>
          <w:sz w:val="21"/>
          <w:szCs w:val="21"/>
          <w:lang w:eastAsia="zh-CN"/>
        </w:rPr>
        <w:t>）</w:t>
      </w:r>
      <w:r>
        <w:rPr>
          <w:rFonts w:hint="eastAsia" w:eastAsia="宋体"/>
          <w:bCs/>
          <w:color w:val="auto"/>
          <w:sz w:val="21"/>
          <w:szCs w:val="21"/>
        </w:rPr>
        <w:t>通过政采云平台实行在线解密开启</w:t>
      </w:r>
      <w:r>
        <w:rPr>
          <w:rFonts w:hint="eastAsia" w:cs="宋体"/>
          <w:color w:val="auto"/>
          <w:kern w:val="2"/>
          <w:sz w:val="21"/>
          <w:szCs w:val="21"/>
          <w:highlight w:val="none"/>
        </w:rPr>
        <w:t>。 </w:t>
      </w:r>
    </w:p>
    <w:p>
      <w:pPr>
        <w:spacing w:line="360" w:lineRule="auto"/>
        <w:rPr>
          <w:color w:val="auto"/>
          <w:sz w:val="21"/>
          <w:szCs w:val="21"/>
          <w:highlight w:val="none"/>
        </w:rPr>
      </w:pPr>
      <w:bookmarkStart w:id="24" w:name="_Toc28359094"/>
      <w:bookmarkStart w:id="25" w:name="_Toc28359017"/>
      <w:bookmarkStart w:id="26" w:name="_Toc35393634"/>
      <w:bookmarkStart w:id="27" w:name="_Toc35393803"/>
      <w:r>
        <w:rPr>
          <w:rFonts w:hint="eastAsia"/>
          <w:b/>
          <w:bCs/>
          <w:color w:val="auto"/>
          <w:sz w:val="21"/>
          <w:szCs w:val="21"/>
          <w:highlight w:val="none"/>
        </w:rPr>
        <w:t>六、公告期限</w:t>
      </w:r>
      <w:bookmarkEnd w:id="24"/>
      <w:bookmarkEnd w:id="25"/>
      <w:bookmarkEnd w:id="26"/>
      <w:bookmarkEnd w:id="27"/>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3</w:t>
      </w:r>
      <w:r>
        <w:rPr>
          <w:rFonts w:hint="eastAsia"/>
          <w:color w:val="auto"/>
          <w:sz w:val="21"/>
          <w:szCs w:val="21"/>
          <w:highlight w:val="none"/>
        </w:rPr>
        <w:t>个工作日</w:t>
      </w:r>
    </w:p>
    <w:p>
      <w:pPr>
        <w:spacing w:line="360" w:lineRule="auto"/>
        <w:rPr>
          <w:rFonts w:hint="eastAsia"/>
          <w:b/>
          <w:bCs/>
          <w:color w:val="auto"/>
          <w:sz w:val="21"/>
          <w:szCs w:val="21"/>
          <w:highlight w:val="none"/>
        </w:rPr>
      </w:pPr>
      <w:bookmarkStart w:id="28" w:name="_Toc35393804"/>
      <w:bookmarkStart w:id="29" w:name="_Toc35393635"/>
      <w:r>
        <w:rPr>
          <w:rFonts w:hint="eastAsia"/>
          <w:b/>
          <w:bCs/>
          <w:color w:val="auto"/>
          <w:sz w:val="21"/>
          <w:szCs w:val="21"/>
          <w:highlight w:val="none"/>
        </w:rPr>
        <w:t>七、其他补充事宜</w:t>
      </w:r>
      <w:bookmarkEnd w:id="28"/>
      <w:bookmarkEnd w:id="29"/>
      <w:r>
        <w:rPr>
          <w:rFonts w:hint="eastAsia"/>
          <w:b/>
          <w:bCs/>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pPr>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本次公告同时在</w:t>
      </w:r>
      <w:r>
        <w:rPr>
          <w:rFonts w:hint="eastAsia" w:ascii="宋体" w:hAnsi="宋体" w:cs="宋体"/>
          <w:color w:val="auto"/>
          <w:sz w:val="21"/>
          <w:szCs w:val="21"/>
          <w:highlight w:val="none"/>
          <w:lang w:val="en-US" w:eastAsia="zh-CN"/>
        </w:rPr>
        <w:t>中国政府采购网（www.ccgp.gov.cn）、广西政府采购网（zfcg.gxzf.gov.cn）、广西国腾招标代理有限公司网（www.gxgtzb.com）</w:t>
      </w:r>
      <w:r>
        <w:rPr>
          <w:rFonts w:hint="eastAsia" w:ascii="宋体" w:hAnsi="宋体" w:cs="宋体"/>
          <w:color w:val="auto"/>
          <w:sz w:val="21"/>
          <w:szCs w:val="21"/>
          <w:highlight w:val="none"/>
        </w:rPr>
        <w:t xml:space="preserve">上发布（公告发布媒体包含但不限于上述媒体）。 </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5.本项目实行</w:t>
      </w:r>
      <w:r>
        <w:rPr>
          <w:rFonts w:hint="eastAsia" w:ascii="宋体" w:hAnsi="宋体" w:cs="宋体"/>
          <w:color w:val="auto"/>
          <w:sz w:val="21"/>
          <w:szCs w:val="21"/>
          <w:highlight w:val="none"/>
        </w:rPr>
        <w:t>在线</w:t>
      </w:r>
      <w:r>
        <w:rPr>
          <w:rFonts w:hint="eastAsia" w:ascii="宋体" w:hAnsi="宋体" w:cs="宋体"/>
          <w:color w:val="auto"/>
          <w:sz w:val="21"/>
          <w:szCs w:val="21"/>
          <w:highlight w:val="none"/>
          <w:lang w:eastAsia="zh-CN"/>
        </w:rPr>
        <w:t>投</w:t>
      </w:r>
      <w:r>
        <w:rPr>
          <w:rFonts w:hint="eastAsia" w:ascii="宋体" w:hAnsi="宋体" w:cs="宋体"/>
          <w:color w:val="auto"/>
          <w:sz w:val="21"/>
          <w:szCs w:val="21"/>
          <w:highlight w:val="none"/>
        </w:rPr>
        <w:t>标响应（电子</w:t>
      </w:r>
      <w:r>
        <w:rPr>
          <w:rFonts w:hint="eastAsia" w:ascii="宋体" w:hAnsi="宋体" w:cs="宋体"/>
          <w:color w:val="auto"/>
          <w:sz w:val="21"/>
          <w:szCs w:val="21"/>
          <w:highlight w:val="none"/>
          <w:lang w:eastAsia="zh-CN"/>
        </w:rPr>
        <w:t>投</w:t>
      </w:r>
      <w:r>
        <w:rPr>
          <w:rFonts w:hint="eastAsia" w:ascii="宋体" w:hAnsi="宋体" w:cs="宋体"/>
          <w:color w:val="auto"/>
          <w:sz w:val="21"/>
          <w:szCs w:val="21"/>
          <w:highlight w:val="none"/>
        </w:rPr>
        <w:t>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本项目通过政采云平台实行在线</w:t>
      </w:r>
      <w:r>
        <w:rPr>
          <w:rFonts w:hint="eastAsia" w:ascii="宋体" w:hAnsi="宋体" w:cs="宋体"/>
          <w:color w:val="auto"/>
          <w:sz w:val="21"/>
          <w:szCs w:val="21"/>
          <w:highlight w:val="none"/>
          <w:lang w:eastAsia="zh-CN"/>
        </w:rPr>
        <w:t>投</w:t>
      </w:r>
      <w:r>
        <w:rPr>
          <w:rFonts w:hint="eastAsia" w:ascii="宋体" w:hAnsi="宋体" w:cs="宋体"/>
          <w:color w:val="auto"/>
          <w:sz w:val="21"/>
          <w:szCs w:val="21"/>
          <w:highlight w:val="none"/>
        </w:rPr>
        <w:t>标响应（电子</w:t>
      </w:r>
      <w:r>
        <w:rPr>
          <w:rFonts w:hint="eastAsia" w:ascii="宋体" w:hAnsi="宋体" w:cs="宋体"/>
          <w:color w:val="auto"/>
          <w:sz w:val="21"/>
          <w:szCs w:val="21"/>
          <w:highlight w:val="none"/>
          <w:lang w:eastAsia="zh-CN"/>
        </w:rPr>
        <w:t>投</w:t>
      </w:r>
      <w:r>
        <w:rPr>
          <w:rFonts w:hint="eastAsia" w:ascii="宋体" w:hAnsi="宋体" w:cs="宋体"/>
          <w:color w:val="auto"/>
          <w:sz w:val="21"/>
          <w:szCs w:val="21"/>
          <w:highlight w:val="none"/>
        </w:rPr>
        <w:t>标），供应商未按规定编制并加密的</w:t>
      </w:r>
      <w:r>
        <w:rPr>
          <w:rFonts w:hint="eastAsia" w:ascii="宋体" w:hAnsi="宋体" w:cs="宋体"/>
          <w:color w:val="auto"/>
          <w:sz w:val="21"/>
          <w:szCs w:val="21"/>
          <w:highlight w:val="none"/>
          <w:lang w:eastAsia="zh-CN"/>
        </w:rPr>
        <w:t>投标</w:t>
      </w:r>
      <w:r>
        <w:rPr>
          <w:rFonts w:hint="eastAsia" w:ascii="宋体" w:hAnsi="宋体" w:cs="宋体"/>
          <w:color w:val="auto"/>
          <w:sz w:val="21"/>
          <w:szCs w:val="21"/>
          <w:highlight w:val="none"/>
        </w:rPr>
        <w:t>文件，政采云平台将予以拒收。</w:t>
      </w:r>
    </w:p>
    <w:p>
      <w:pPr>
        <w:spacing w:line="360" w:lineRule="auto"/>
        <w:rPr>
          <w:b/>
          <w:bCs/>
          <w:color w:val="auto"/>
          <w:sz w:val="21"/>
          <w:szCs w:val="21"/>
          <w:highlight w:val="none"/>
        </w:rPr>
      </w:pPr>
      <w:bookmarkStart w:id="30" w:name="_Toc35393805"/>
      <w:bookmarkStart w:id="31" w:name="_Toc35393636"/>
      <w:bookmarkStart w:id="32" w:name="_Toc28359095"/>
      <w:bookmarkStart w:id="33" w:name="_Toc28359018"/>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1.采购人信息</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名称：</w:t>
      </w:r>
      <w:r>
        <w:rPr>
          <w:rFonts w:hint="eastAsia" w:ascii="宋体" w:hAnsi="宋体" w:eastAsia="宋体" w:cs="宋体"/>
          <w:color w:val="auto"/>
          <w:sz w:val="21"/>
          <w:szCs w:val="21"/>
          <w:lang w:eastAsia="zh-CN"/>
        </w:rPr>
        <w:t xml:space="preserve">合山市公安局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地址：广西来宾市合山市人民中路8号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w:t>
      </w:r>
      <w:r>
        <w:rPr>
          <w:rFonts w:hint="eastAsia" w:ascii="宋体" w:hAnsi="宋体" w:eastAsia="宋体" w:cs="宋体"/>
          <w:color w:val="auto"/>
          <w:sz w:val="21"/>
          <w:szCs w:val="21"/>
          <w:highlight w:val="none"/>
          <w:lang w:eastAsia="zh-CN"/>
        </w:rPr>
        <w:t>方式</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蒙卫军</w:t>
      </w:r>
      <w:r>
        <w:rPr>
          <w:rFonts w:hint="eastAsia" w:ascii="宋体" w:hAnsi="宋体" w:eastAsia="宋体" w:cs="宋体"/>
          <w:color w:val="auto"/>
          <w:sz w:val="21"/>
          <w:szCs w:val="21"/>
          <w:highlight w:val="none"/>
          <w:lang w:val="en-US" w:eastAsia="zh-CN"/>
        </w:rPr>
        <w:t>，0772-8914999</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2.采购代理机构信息</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名称：</w:t>
      </w:r>
      <w:r>
        <w:rPr>
          <w:rFonts w:hint="eastAsia" w:ascii="宋体" w:hAnsi="宋体" w:eastAsia="宋体" w:cs="宋体"/>
          <w:color w:val="auto"/>
          <w:sz w:val="21"/>
          <w:szCs w:val="21"/>
          <w:lang w:eastAsia="zh-CN"/>
        </w:rPr>
        <w:t>广西国腾招标代理有限公司</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cs="宋体"/>
          <w:color w:val="auto"/>
          <w:sz w:val="21"/>
          <w:szCs w:val="21"/>
          <w:lang w:val="en-US" w:eastAsia="zh-CN"/>
        </w:rPr>
        <w:t>广西</w:t>
      </w:r>
      <w:r>
        <w:rPr>
          <w:rFonts w:hint="eastAsia" w:ascii="宋体" w:hAnsi="宋体" w:eastAsia="宋体" w:cs="宋体"/>
          <w:color w:val="auto"/>
          <w:sz w:val="21"/>
          <w:szCs w:val="21"/>
          <w:lang w:eastAsia="zh-CN"/>
        </w:rPr>
        <w:t>来宾市西山路719号</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w:t>
      </w:r>
      <w:r>
        <w:rPr>
          <w:rFonts w:hint="eastAsia" w:ascii="宋体" w:hAnsi="宋体" w:eastAsia="宋体" w:cs="宋体"/>
          <w:color w:val="auto"/>
          <w:sz w:val="21"/>
          <w:szCs w:val="21"/>
          <w:lang w:eastAsia="zh-CN"/>
        </w:rPr>
        <w:t>电话</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0772-4285666</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3.项目联系方式</w:t>
      </w:r>
    </w:p>
    <w:p>
      <w:pPr>
        <w:pStyle w:val="11"/>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lang w:eastAsia="zh-CN"/>
        </w:rPr>
        <w:t>李龙星</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0772-4285666</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4.监督部门信息</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监督部门：合山市财政局</w:t>
      </w:r>
      <w:r>
        <w:rPr>
          <w:rFonts w:hint="eastAsia" w:ascii="宋体" w:hAnsi="宋体" w:eastAsia="宋体" w:cs="宋体"/>
          <w:color w:val="auto"/>
          <w:sz w:val="21"/>
          <w:szCs w:val="21"/>
          <w:highlight w:val="none"/>
          <w:lang w:eastAsia="zh-CN"/>
        </w:rPr>
        <w:t>政府采购监督管理股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0772-</w:t>
      </w:r>
      <w:r>
        <w:rPr>
          <w:rFonts w:hint="eastAsia" w:ascii="宋体" w:hAnsi="宋体" w:eastAsia="宋体" w:cs="宋体"/>
          <w:color w:val="auto"/>
          <w:sz w:val="21"/>
          <w:szCs w:val="21"/>
          <w:highlight w:val="none"/>
          <w:lang w:val="en-US" w:eastAsia="zh-CN"/>
        </w:rPr>
        <w:t>8917166</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890" w:firstLineChars="900"/>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940" w:firstLineChars="1400"/>
        <w:textAlignment w:val="auto"/>
        <w:rPr>
          <w:rFonts w:hint="eastAsia" w:ascii="宋体" w:hAnsi="宋体" w:eastAsia="宋体" w:cs="宋体"/>
          <w:color w:val="auto"/>
          <w:sz w:val="21"/>
          <w:szCs w:val="21"/>
          <w:highlight w:val="none"/>
          <w:lang w:eastAsia="zh-CN"/>
        </w:rPr>
      </w:pPr>
    </w:p>
    <w:p>
      <w:pPr>
        <w:pStyle w:val="24"/>
        <w:snapToGrid w:val="0"/>
        <w:spacing w:line="360" w:lineRule="auto"/>
        <w:ind w:left="4603" w:right="840"/>
        <w:rPr>
          <w:rFonts w:ascii="宋体" w:hAnsi="宋体"/>
          <w:color w:val="auto"/>
          <w:szCs w:val="21"/>
          <w:highlight w:val="none"/>
        </w:rPr>
      </w:pPr>
    </w:p>
    <w:p>
      <w:pPr>
        <w:pStyle w:val="24"/>
        <w:rPr>
          <w:color w:val="auto"/>
        </w:rPr>
      </w:pPr>
    </w:p>
    <w:p>
      <w:pPr>
        <w:pStyle w:val="24"/>
        <w:spacing w:line="360" w:lineRule="auto"/>
        <w:jc w:val="center"/>
        <w:outlineLvl w:val="0"/>
        <w:rPr>
          <w:color w:val="auto"/>
          <w:highlight w:val="none"/>
        </w:rPr>
      </w:pPr>
      <w:bookmarkStart w:id="34" w:name="_Toc7350"/>
      <w:r>
        <w:rPr>
          <w:rFonts w:ascii="宋体" w:hAnsi="宋体"/>
          <w:b/>
          <w:color w:val="auto"/>
          <w:sz w:val="32"/>
          <w:szCs w:val="32"/>
          <w:highlight w:val="none"/>
        </w:rPr>
        <w:t>第二章  供应商须知</w:t>
      </w:r>
      <w:bookmarkEnd w:id="34"/>
    </w:p>
    <w:p>
      <w:pPr>
        <w:pStyle w:val="24"/>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pPr>
        <w:pStyle w:val="24"/>
        <w:rPr>
          <w:color w:val="auto"/>
          <w:highlight w:val="none"/>
        </w:rPr>
      </w:pPr>
    </w:p>
    <w:tbl>
      <w:tblPr>
        <w:tblStyle w:val="18"/>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33"/>
        <w:gridCol w:w="630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vAlign w:val="center"/>
          </w:tcPr>
          <w:p>
            <w:pPr>
              <w:keepNext w:val="0"/>
              <w:keepLines w:val="0"/>
              <w:pageBreakBefore w:val="0"/>
              <w:kinsoku/>
              <w:wordWrap/>
              <w:overflowPunct/>
              <w:topLinePunct w:val="0"/>
              <w:autoSpaceDE w:val="0"/>
              <w:autoSpaceDN w:val="0"/>
              <w:bidi w:val="0"/>
              <w:spacing w:line="360" w:lineRule="auto"/>
              <w:ind w:left="1054" w:hanging="1054" w:hangingChars="500"/>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w:t>
            </w:r>
          </w:p>
          <w:p>
            <w:pPr>
              <w:keepNext w:val="0"/>
              <w:keepLines w:val="0"/>
              <w:pageBreakBefore w:val="0"/>
              <w:kinsoku/>
              <w:wordWrap/>
              <w:overflowPunct/>
              <w:topLinePunct w:val="0"/>
              <w:autoSpaceDE w:val="0"/>
              <w:autoSpaceDN w:val="0"/>
              <w:bidi w:val="0"/>
              <w:spacing w:line="360" w:lineRule="auto"/>
              <w:ind w:left="1054" w:hanging="1054" w:hangingChars="500"/>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采购编号</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合山市公安局里兰派出所业务技术用房工程</w:t>
            </w: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项目编号：</w:t>
            </w:r>
            <w:r>
              <w:rPr>
                <w:rFonts w:hint="eastAsia" w:ascii="宋体" w:cs="宋体"/>
                <w:bCs/>
                <w:color w:val="auto"/>
                <w:sz w:val="21"/>
                <w:szCs w:val="21"/>
                <w:highlight w:val="none"/>
                <w:lang w:eastAsia="zh-CN"/>
              </w:rPr>
              <w:t>LBHSZC2022-C2-57001-GTZB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合山市公安局里兰派出所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color w:val="auto"/>
                <w:kern w:val="0"/>
                <w:sz w:val="21"/>
                <w:szCs w:val="21"/>
                <w:highlight w:val="none"/>
              </w:rPr>
              <w:t>招标控制价</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left"/>
              <w:rPr>
                <w:rFonts w:ascii="宋体" w:cs="宋体"/>
                <w:bCs/>
                <w:color w:val="auto"/>
                <w:sz w:val="21"/>
                <w:szCs w:val="21"/>
                <w:highlight w:val="none"/>
              </w:rPr>
            </w:pPr>
            <w:r>
              <w:rPr>
                <w:rFonts w:hint="eastAsia"/>
                <w:color w:val="auto"/>
                <w:sz w:val="21"/>
                <w:szCs w:val="21"/>
                <w:highlight w:val="none"/>
                <w:lang w:eastAsia="zh-CN"/>
              </w:rPr>
              <w:t>人民币</w:t>
            </w:r>
            <w:r>
              <w:rPr>
                <w:rFonts w:hint="eastAsia"/>
                <w:color w:val="auto"/>
                <w:sz w:val="21"/>
                <w:szCs w:val="21"/>
                <w:highlight w:val="none"/>
                <w:lang w:val="en-US" w:eastAsia="zh-CN"/>
              </w:rPr>
              <w:t>叁佰伍拾贰万柒仟零玖拾壹元玖角陆分</w:t>
            </w:r>
            <w:r>
              <w:rPr>
                <w:rFonts w:hint="eastAsia"/>
                <w:color w:val="auto"/>
                <w:sz w:val="21"/>
                <w:szCs w:val="21"/>
                <w:highlight w:val="none"/>
                <w:lang w:eastAsia="zh-CN"/>
              </w:rPr>
              <w:t>（¥</w:t>
            </w:r>
            <w:r>
              <w:rPr>
                <w:rFonts w:hint="eastAsia"/>
                <w:color w:val="auto"/>
                <w:sz w:val="21"/>
                <w:szCs w:val="21"/>
                <w:highlight w:val="none"/>
                <w:lang w:val="en-US" w:eastAsia="zh-CN"/>
              </w:rPr>
              <w:t>3,527,091.96</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2"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pPr>
              <w:spacing w:line="360" w:lineRule="auto"/>
              <w:rPr>
                <w:rFonts w:ascii="宋体" w:hAnsi="宋体" w:cs="宋体"/>
                <w:bCs/>
                <w:color w:val="auto"/>
                <w:sz w:val="21"/>
                <w:szCs w:val="21"/>
                <w:highlight w:val="none"/>
              </w:rPr>
            </w:pPr>
            <w:r>
              <w:rPr>
                <w:rFonts w:hint="eastAsia"/>
                <w:color w:val="auto"/>
                <w:sz w:val="21"/>
                <w:szCs w:val="21"/>
                <w:highlight w:val="none"/>
              </w:rPr>
              <w:t>本项目为合山市公安局里兰派出所业务用房及附属用房工程，项目位于合山市，总建筑面积1321.98㎡，结构形式为框架结构，建筑层数：地上4层，建设层高：业务技术用房13.65m，门卫室：3.15m。主要施工工程包括业务技术用房建筑、安装、门卫室的建筑、安装、绿化、围墙、道路硬化等工程</w:t>
            </w:r>
            <w:r>
              <w:rPr>
                <w:rFonts w:hint="eastAsia"/>
                <w:color w:val="auto"/>
                <w:sz w:val="21"/>
                <w:szCs w:val="21"/>
                <w:highlight w:val="none"/>
                <w:lang w:eastAsia="zh-CN"/>
              </w:rPr>
              <w:t>，具体</w:t>
            </w:r>
            <w:r>
              <w:rPr>
                <w:rFonts w:hint="eastAsia"/>
                <w:color w:val="auto"/>
                <w:sz w:val="21"/>
                <w:szCs w:val="21"/>
                <w:highlight w:val="none"/>
                <w:lang w:val="en-US" w:eastAsia="zh-CN"/>
              </w:rPr>
              <w:t>以工程量清单和图纸包含的内容为准。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vAlign w:val="center"/>
          </w:tcPr>
          <w:p>
            <w:pPr>
              <w:keepNext w:val="0"/>
              <w:keepLines w:val="0"/>
              <w:pageBreakBefore w:val="0"/>
              <w:kinsoku/>
              <w:wordWrap/>
              <w:overflowPunct/>
              <w:topLinePunct w:val="0"/>
              <w:bidi w:val="0"/>
              <w:spacing w:line="360" w:lineRule="auto"/>
              <w:ind w:firstLine="413" w:firstLineChars="196"/>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pPr>
              <w:keepNext w:val="0"/>
              <w:keepLines w:val="0"/>
              <w:pageBreakBefore w:val="0"/>
              <w:kinsoku/>
              <w:wordWrap/>
              <w:overflowPunct/>
              <w:topLinePunct w:val="0"/>
              <w:bidi w:val="0"/>
              <w:spacing w:line="360" w:lineRule="auto"/>
              <w:rPr>
                <w:rFonts w:hint="eastAsia"/>
                <w:color w:val="auto"/>
                <w:sz w:val="21"/>
                <w:szCs w:val="21"/>
                <w:highlight w:val="none"/>
                <w:lang w:val="en-US" w:eastAsia="zh-CN"/>
              </w:rPr>
            </w:pPr>
            <w:r>
              <w:rPr>
                <w:rFonts w:hint="eastAsia"/>
                <w:color w:val="auto"/>
                <w:sz w:val="21"/>
                <w:szCs w:val="21"/>
                <w:highlight w:val="none"/>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vAlign w:val="center"/>
          </w:tcPr>
          <w:p>
            <w:pPr>
              <w:keepNext w:val="0"/>
              <w:keepLines w:val="0"/>
              <w:pageBreakBefore w:val="0"/>
              <w:kinsoku/>
              <w:wordWrap/>
              <w:overflowPunct/>
              <w:topLinePunct w:val="0"/>
              <w:bidi w:val="0"/>
              <w:spacing w:line="360" w:lineRule="auto"/>
              <w:ind w:firstLine="413" w:firstLineChars="196"/>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pPr>
              <w:keepNext w:val="0"/>
              <w:keepLines w:val="0"/>
              <w:pageBreakBefore w:val="0"/>
              <w:kinsoku/>
              <w:wordWrap/>
              <w:overflowPunct/>
              <w:topLinePunct w:val="0"/>
              <w:bidi w:val="0"/>
              <w:spacing w:line="360" w:lineRule="auto"/>
              <w:rPr>
                <w:rFonts w:hint="default"/>
                <w:color w:val="auto"/>
                <w:sz w:val="21"/>
                <w:szCs w:val="21"/>
                <w:highlight w:val="none"/>
                <w:lang w:val="en-US" w:eastAsia="zh-CN"/>
              </w:rPr>
            </w:pPr>
            <w:r>
              <w:rPr>
                <w:rFonts w:hint="eastAsia"/>
                <w:color w:val="auto"/>
                <w:sz w:val="21"/>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vAlign w:val="center"/>
          </w:tcPr>
          <w:p>
            <w:pPr>
              <w:keepNext w:val="0"/>
              <w:keepLines w:val="0"/>
              <w:pageBreakBefore w:val="0"/>
              <w:widowControl/>
              <w:kinsoku/>
              <w:wordWrap/>
              <w:overflowPunct/>
              <w:topLinePunct w:val="0"/>
              <w:bidi w:val="0"/>
              <w:spacing w:line="312"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磋商单位资质</w:t>
            </w:r>
          </w:p>
          <w:p>
            <w:pPr>
              <w:keepNext w:val="0"/>
              <w:keepLines w:val="0"/>
              <w:pageBreakBefore w:val="0"/>
              <w:widowControl/>
              <w:kinsoku/>
              <w:wordWrap/>
              <w:overflowPunct/>
              <w:topLinePunct w:val="0"/>
              <w:bidi w:val="0"/>
              <w:spacing w:line="312" w:lineRule="auto"/>
              <w:jc w:val="center"/>
              <w:rPr>
                <w:rFonts w:ascii="宋体" w:cs="宋体"/>
                <w:color w:val="auto"/>
                <w:kern w:val="0"/>
                <w:sz w:val="21"/>
                <w:szCs w:val="21"/>
                <w:highlight w:val="none"/>
              </w:rPr>
            </w:pPr>
            <w:r>
              <w:rPr>
                <w:rFonts w:hint="eastAsia" w:ascii="宋体" w:hAnsi="宋体" w:eastAsia="宋体" w:cs="宋体"/>
                <w:b/>
                <w:bCs/>
                <w:color w:val="auto"/>
                <w:kern w:val="0"/>
                <w:szCs w:val="21"/>
                <w:highlight w:val="none"/>
              </w:rPr>
              <w:t>等级要求</w:t>
            </w:r>
          </w:p>
        </w:tc>
        <w:tc>
          <w:tcPr>
            <w:tcW w:w="6320" w:type="dxa"/>
            <w:gridSpan w:val="2"/>
            <w:vAlign w:val="center"/>
          </w:tcPr>
          <w:p>
            <w:pPr>
              <w:keepNext w:val="0"/>
              <w:keepLines w:val="0"/>
              <w:pageBreakBefore w:val="0"/>
              <w:kinsoku/>
              <w:wordWrap/>
              <w:overflowPunct/>
              <w:topLinePunct w:val="0"/>
              <w:bidi w:val="0"/>
              <w:spacing w:line="312" w:lineRule="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1.满足《中华人民共和国政府采购法》第二十二条规定；</w:t>
            </w:r>
          </w:p>
          <w:p>
            <w:pPr>
              <w:keepNext w:val="0"/>
              <w:keepLines w:val="0"/>
              <w:pageBreakBefore w:val="0"/>
              <w:kinsoku/>
              <w:wordWrap/>
              <w:overflowPunct/>
              <w:topLinePunct w:val="0"/>
              <w:bidi w:val="0"/>
              <w:spacing w:line="312" w:lineRule="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2.落实政府采购政策需满足的资格要求：</w:t>
            </w:r>
            <w:r>
              <w:rPr>
                <w:rFonts w:hint="eastAsia" w:ascii="宋体" w:hAnsi="宋体" w:cs="宋体"/>
                <w:color w:val="auto"/>
                <w:sz w:val="21"/>
                <w:szCs w:val="21"/>
                <w:highlight w:val="none"/>
                <w:lang w:eastAsia="zh-CN"/>
              </w:rPr>
              <w:t>本项目属于专门面向中小企业采购的项目，根据财库【2020】46号《政府采购促进中小企业发展管理办法》要求，供应商必须为中小企业</w:t>
            </w:r>
            <w:r>
              <w:rPr>
                <w:rFonts w:hint="eastAsia" w:ascii="Times New Roman" w:hAnsi="Times New Roman" w:cs="Times New Roman"/>
                <w:color w:val="auto"/>
                <w:sz w:val="21"/>
                <w:szCs w:val="21"/>
                <w:highlight w:val="none"/>
              </w:rPr>
              <w:t>。</w:t>
            </w:r>
          </w:p>
          <w:p>
            <w:pPr>
              <w:keepNext w:val="0"/>
              <w:keepLines w:val="0"/>
              <w:pageBreakBefore w:val="0"/>
              <w:kinsoku/>
              <w:wordWrap/>
              <w:overflowPunct/>
              <w:topLinePunct w:val="0"/>
              <w:bidi w:val="0"/>
              <w:spacing w:line="312" w:lineRule="auto"/>
              <w:rPr>
                <w:rFonts w:ascii="宋体" w:cs="宋体"/>
                <w:bCs/>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rPr>
              <w:t>.本项目的特定资格要求：</w:t>
            </w:r>
            <w:r>
              <w:rPr>
                <w:rFonts w:hint="eastAsia" w:ascii="宋体" w:hAnsi="宋体" w:cs="宋体"/>
                <w:color w:val="auto"/>
                <w:sz w:val="21"/>
                <w:szCs w:val="21"/>
                <w:highlight w:val="none"/>
                <w:lang w:eastAsia="zh-CN"/>
              </w:rPr>
              <w:t>具备</w:t>
            </w:r>
            <w:r>
              <w:rPr>
                <w:rFonts w:hint="eastAsia" w:ascii="宋体" w:hAnsi="宋体" w:cs="宋体"/>
                <w:color w:val="auto"/>
                <w:sz w:val="21"/>
                <w:szCs w:val="21"/>
                <w:highlight w:val="none"/>
                <w:lang w:val="en-US" w:eastAsia="zh-CN"/>
              </w:rPr>
              <w:t>建筑</w:t>
            </w:r>
            <w:r>
              <w:rPr>
                <w:rFonts w:hint="eastAsia" w:ascii="宋体" w:hAnsi="宋体" w:cs="宋体"/>
                <w:color w:val="auto"/>
                <w:sz w:val="21"/>
                <w:szCs w:val="21"/>
                <w:highlight w:val="none"/>
                <w:lang w:eastAsia="zh-CN"/>
              </w:rPr>
              <w:t>工程施工总承包叁级及以上资质，并在人员、设备、资金等方面具有相应的施工能力</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拟派驻的项目经理须具备</w:t>
            </w:r>
            <w:r>
              <w:rPr>
                <w:rFonts w:hint="eastAsia" w:ascii="宋体" w:hAnsi="宋体" w:cs="宋体"/>
                <w:color w:val="auto"/>
                <w:sz w:val="21"/>
                <w:szCs w:val="21"/>
                <w:highlight w:val="none"/>
                <w:lang w:val="en-US" w:eastAsia="zh-CN"/>
              </w:rPr>
              <w:t>建筑</w:t>
            </w:r>
            <w:r>
              <w:rPr>
                <w:rFonts w:hint="eastAsia" w:ascii="宋体" w:hAnsi="宋体" w:cs="宋体"/>
                <w:color w:val="auto"/>
                <w:sz w:val="21"/>
                <w:szCs w:val="21"/>
                <w:highlight w:val="none"/>
                <w:lang w:eastAsia="zh-CN"/>
              </w:rPr>
              <w:t>工程专业贰级以上（含贰级）注册建造师执业资格，具备有效的安全生产考核合格证书（B类），且为本单位在职员工</w:t>
            </w:r>
            <w:r>
              <w:rPr>
                <w:rFonts w:hint="eastAsia"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vAlign w:val="center"/>
          </w:tcPr>
          <w:p>
            <w:pPr>
              <w:keepNext w:val="0"/>
              <w:keepLines w:val="0"/>
              <w:pageBreakBefore w:val="0"/>
              <w:widowControl/>
              <w:kinsoku/>
              <w:wordWrap/>
              <w:overflowPunct/>
              <w:topLinePunct w:val="0"/>
              <w:bidi w:val="0"/>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pPr>
              <w:keepNext w:val="0"/>
              <w:keepLines w:val="0"/>
              <w:pageBreakBefore w:val="0"/>
              <w:kinsoku/>
              <w:wordWrap/>
              <w:overflowPunct/>
              <w:topLinePunct w:val="0"/>
              <w:bidi w:val="0"/>
              <w:spacing w:line="312" w:lineRule="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vAlign w:val="center"/>
          </w:tcPr>
          <w:p>
            <w:pPr>
              <w:keepNext w:val="0"/>
              <w:keepLines w:val="0"/>
              <w:pageBreakBefore w:val="0"/>
              <w:widowControl/>
              <w:kinsoku/>
              <w:wordWrap/>
              <w:overflowPunct/>
              <w:topLinePunct w:val="0"/>
              <w:bidi w:val="0"/>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pPr>
              <w:keepNext w:val="0"/>
              <w:keepLines w:val="0"/>
              <w:pageBreakBefore w:val="0"/>
              <w:kinsoku/>
              <w:wordWrap/>
              <w:overflowPunct/>
              <w:topLinePunct w:val="0"/>
              <w:bidi w:val="0"/>
              <w:spacing w:line="312" w:lineRule="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pPr>
              <w:keepNext w:val="0"/>
              <w:keepLines w:val="0"/>
              <w:pageBreakBefore w:val="0"/>
              <w:widowControl/>
              <w:kinsoku/>
              <w:wordWrap/>
              <w:overflowPunct/>
              <w:topLinePunct w:val="0"/>
              <w:bidi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09" w:type="dxa"/>
          </w:tcPr>
          <w:p>
            <w:pPr>
              <w:spacing w:line="360" w:lineRule="auto"/>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磋商保证金为：人民币柒万元整（￥70，000.00）（须足额交纳）</w:t>
            </w:r>
          </w:p>
          <w:p>
            <w:pPr>
              <w:spacing w:line="360" w:lineRule="auto"/>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供应商应于截标前将磋商保证金以电汇、转账等非现金形式交至以下账户。</w:t>
            </w:r>
          </w:p>
          <w:p>
            <w:pPr>
              <w:spacing w:line="360" w:lineRule="auto"/>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开户名称：广西国腾招标代理有限公司</w:t>
            </w:r>
          </w:p>
          <w:p>
            <w:pPr>
              <w:spacing w:line="360" w:lineRule="auto"/>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开户银行：广西来宾农村商业银行股份有限公司兴宾支行</w:t>
            </w:r>
          </w:p>
          <w:p>
            <w:pPr>
              <w:spacing w:line="360" w:lineRule="auto"/>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银行账号：2238 1201 0103 5070 75</w:t>
            </w:r>
          </w:p>
          <w:p>
            <w:pPr>
              <w:spacing w:line="360" w:lineRule="auto"/>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磋商保证金应在竞标有效期内保持有效。</w:t>
            </w:r>
          </w:p>
          <w:p>
            <w:pPr>
              <w:spacing w:line="360" w:lineRule="auto"/>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注：磋商保证金必须从供应商基本账户转出到指定银行账户，请在银行进账单的用途或备注栏上注明项目名称或编号、分标号（如有），供应商应按上述要求交纳保证金,并自行考虑到账时间，妥善安排保证金交纳工作，确保按时到账。凡未在规定时间内足额交纳或以其它方式交纳的保证金均视为无效，其响应文件一律作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09" w:type="dxa"/>
            <w:vAlign w:val="center"/>
          </w:tcPr>
          <w:p>
            <w:pPr>
              <w:keepNext w:val="0"/>
              <w:keepLines w:val="0"/>
              <w:pageBreakBefore w:val="0"/>
              <w:kinsoku/>
              <w:wordWrap/>
              <w:overflowPunct/>
              <w:topLinePunct w:val="0"/>
              <w:bidi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09" w:type="dxa"/>
            <w:vAlign w:val="center"/>
          </w:tcPr>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rPr>
              <w:t xml:space="preserve">1.电子响应文件，电子响应文件按政采云平台要求及本竞争性磋商文件要求制作、加密并递交。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rPr>
              <w:t xml:space="preserve">2.以介质存储的数据电文形式的电子备份响应文件，按政采云平台项目采购-电子招投标操作指南中上传的电子响应文件格式，以 DVD 光盘或者 U 盘等形式提供。数量为1 份。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rPr>
              <w:t xml:space="preserve">▲未传输递交电子响应文件的，竞标无效。 </w:t>
            </w:r>
          </w:p>
          <w:p>
            <w:pPr>
              <w:keepNext w:val="0"/>
              <w:keepLines w:val="0"/>
              <w:widowControl/>
              <w:suppressLineNumbers w:val="0"/>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▲未按规定提供相应的备份响应文件，造成项目开评标活动无法进行下去的，竞标无效。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09" w:type="dxa"/>
            <w:vAlign w:val="center"/>
          </w:tcPr>
          <w:p>
            <w:pPr>
              <w:keepNext w:val="0"/>
              <w:keepLines w:val="0"/>
              <w:widowControl/>
              <w:suppressLineNumbers w:val="0"/>
              <w:spacing w:line="360" w:lineRule="auto"/>
              <w:jc w:val="left"/>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w:t>
            </w:r>
            <w:r>
              <w:rPr>
                <w:rFonts w:hint="eastAsia" w:ascii="宋体" w:hAnsi="宋体" w:cs="宋体"/>
                <w:color w:val="auto"/>
                <w:sz w:val="21"/>
                <w:szCs w:val="21"/>
                <w:highlight w:val="none"/>
              </w:rPr>
              <w:t>政采云平台（https：//www.zcygov.cn/）实行在线投标</w:t>
            </w:r>
          </w:p>
          <w:p>
            <w:pPr>
              <w:keepNext w:val="0"/>
              <w:keepLines w:val="0"/>
              <w:pageBreakBefore w:val="0"/>
              <w:widowControl/>
              <w:kinsoku/>
              <w:wordWrap/>
              <w:overflowPunct/>
              <w:topLinePunct w:val="0"/>
              <w:bidi w:val="0"/>
              <w:spacing w:line="360" w:lineRule="auto"/>
              <w:jc w:val="left"/>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val="en-US" w:eastAsia="zh-CN"/>
              </w:rPr>
              <w:t>2022年11月8日9时00分</w:t>
            </w:r>
            <w:r>
              <w:rPr>
                <w:rFonts w:hint="eastAsia" w:ascii="宋体" w:hAnsi="宋体" w:cs="宋体"/>
                <w:color w:val="auto"/>
                <w:sz w:val="21"/>
                <w:szCs w:val="21"/>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09" w:type="dxa"/>
            <w:vAlign w:val="center"/>
          </w:tcPr>
          <w:p>
            <w:pPr>
              <w:keepNext w:val="0"/>
              <w:keepLines w:val="0"/>
              <w:widowControl/>
              <w:suppressLineNumbers w:val="0"/>
              <w:spacing w:line="360" w:lineRule="auto"/>
              <w:jc w:val="left"/>
              <w:rPr>
                <w:rFonts w:hint="eastAsia" w:ascii="Times New Roman" w:hAnsi="Times New Roman" w:cs="Times New Roman"/>
                <w:color w:val="auto"/>
                <w:sz w:val="21"/>
                <w:szCs w:val="21"/>
                <w:highlight w:val="none"/>
                <w:lang w:val="en-US" w:eastAsia="zh-CN"/>
              </w:rPr>
            </w:pPr>
            <w:r>
              <w:rPr>
                <w:rFonts w:hint="eastAsia"/>
                <w:color w:val="auto"/>
                <w:sz w:val="21"/>
                <w:szCs w:val="21"/>
                <w:highlight w:val="none"/>
              </w:rPr>
              <w:t>地</w:t>
            </w:r>
            <w:r>
              <w:rPr>
                <w:rFonts w:hint="eastAsia" w:ascii="Times New Roman" w:hAnsi="Times New Roman" w:cs="Times New Roman"/>
                <w:color w:val="auto"/>
                <w:sz w:val="21"/>
                <w:szCs w:val="21"/>
                <w:highlight w:val="none"/>
                <w:lang w:val="en-US" w:eastAsia="zh-CN"/>
              </w:rPr>
              <w:t>点：</w:t>
            </w:r>
            <w:r>
              <w:rPr>
                <w:rFonts w:hint="eastAsia" w:ascii="宋体" w:hAnsi="宋体" w:eastAsia="宋体" w:cs="宋体"/>
                <w:color w:val="auto"/>
                <w:sz w:val="21"/>
                <w:szCs w:val="21"/>
                <w:lang w:eastAsia="zh-CN"/>
              </w:rPr>
              <w:t>在</w:t>
            </w:r>
            <w:r>
              <w:rPr>
                <w:rFonts w:hint="eastAsia" w:ascii="宋体" w:hAnsi="宋体" w:cs="宋体"/>
                <w:color w:val="auto"/>
                <w:sz w:val="21"/>
                <w:szCs w:val="21"/>
                <w:lang w:eastAsia="zh-CN"/>
              </w:rPr>
              <w:t>广西国腾招标代理有限公司</w:t>
            </w:r>
            <w:r>
              <w:rPr>
                <w:rFonts w:hint="eastAsia" w:ascii="宋体" w:hAnsi="宋体" w:cs="宋体"/>
                <w:color w:val="auto"/>
                <w:sz w:val="21"/>
                <w:szCs w:val="21"/>
                <w:lang w:val="en-US" w:eastAsia="zh-CN"/>
              </w:rPr>
              <w:t>评标室</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来宾市西山路719号</w:t>
            </w:r>
            <w:r>
              <w:rPr>
                <w:rFonts w:hint="eastAsia" w:ascii="宋体" w:hAnsi="宋体" w:cs="宋体"/>
                <w:color w:val="auto"/>
                <w:sz w:val="21"/>
                <w:szCs w:val="21"/>
                <w:lang w:eastAsia="zh-CN"/>
              </w:rPr>
              <w:t>）</w:t>
            </w:r>
            <w:r>
              <w:rPr>
                <w:rFonts w:hint="eastAsia" w:eastAsia="宋体"/>
                <w:bCs/>
                <w:color w:val="auto"/>
                <w:sz w:val="21"/>
                <w:szCs w:val="21"/>
              </w:rPr>
              <w:t>通过政采云平台实行在线解密开启</w:t>
            </w:r>
          </w:p>
          <w:p>
            <w:pPr>
              <w:keepNext w:val="0"/>
              <w:keepLines w:val="0"/>
              <w:pageBreakBefore w:val="0"/>
              <w:widowControl/>
              <w:kinsoku/>
              <w:wordWrap/>
              <w:overflowPunct/>
              <w:topLinePunct w:val="0"/>
              <w:bidi w:val="0"/>
              <w:spacing w:line="360" w:lineRule="auto"/>
              <w:jc w:val="left"/>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ascii="宋体" w:hAnsi="宋体" w:cs="宋体"/>
                <w:color w:val="auto"/>
                <w:sz w:val="21"/>
                <w:szCs w:val="21"/>
                <w:highlight w:val="none"/>
                <w:lang w:val="en-US" w:eastAsia="zh-CN"/>
              </w:rPr>
              <w:t>2022年 11月8日9时00分</w:t>
            </w:r>
          </w:p>
          <w:p>
            <w:pPr>
              <w:keepNext w:val="0"/>
              <w:keepLines w:val="0"/>
              <w:widowControl/>
              <w:suppressLineNumbers w:val="0"/>
              <w:spacing w:line="360" w:lineRule="auto"/>
              <w:jc w:val="left"/>
              <w:rPr>
                <w:color w:val="auto"/>
                <w:sz w:val="21"/>
                <w:szCs w:val="21"/>
                <w:highlight w:val="none"/>
              </w:rPr>
            </w:pPr>
            <w:r>
              <w:rPr>
                <w:rFonts w:hint="eastAsia"/>
                <w:color w:val="auto"/>
                <w:sz w:val="21"/>
                <w:szCs w:val="21"/>
                <w:highlight w:val="none"/>
                <w:lang w:val="en-US" w:eastAsia="zh-CN"/>
              </w:rPr>
              <w:t xml:space="preserve">电子响应文件解密时间：首次响应文件提交截止时间后 30 分钟内，供应商必须在此时间段内登录政采云平台，用“项目采购-开标评标”功能完成电子响应文件的解密。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5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09" w:type="dxa"/>
            <w:vAlign w:val="center"/>
          </w:tcPr>
          <w:p>
            <w:pPr>
              <w:keepNext w:val="0"/>
              <w:keepLines w:val="0"/>
              <w:pageBreakBefore w:val="0"/>
              <w:kinsoku/>
              <w:wordWrap/>
              <w:overflowPunct/>
              <w:topLinePunct w:val="0"/>
              <w:autoSpaceDE w:val="0"/>
              <w:autoSpaceDN w:val="0"/>
              <w:bidi w:val="0"/>
              <w:spacing w:line="360" w:lineRule="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09" w:type="dxa"/>
            <w:vAlign w:val="center"/>
          </w:tcPr>
          <w:p>
            <w:pPr>
              <w:keepNext w:val="0"/>
              <w:keepLines w:val="0"/>
              <w:pageBreakBefore w:val="0"/>
              <w:kinsoku/>
              <w:wordWrap/>
              <w:overflowPunct/>
              <w:topLinePunct w:val="0"/>
              <w:autoSpaceDE w:val="0"/>
              <w:autoSpaceDN w:val="0"/>
              <w:bidi w:val="0"/>
              <w:spacing w:line="360" w:lineRule="auto"/>
              <w:rPr>
                <w:rFonts w:hint="default"/>
                <w:color w:val="auto"/>
                <w:sz w:val="21"/>
                <w:szCs w:val="21"/>
                <w:highlight w:val="none"/>
                <w:lang w:val="en-US" w:eastAsia="zh-CN"/>
              </w:rPr>
            </w:pPr>
            <w:r>
              <w:rPr>
                <w:rFonts w:hint="eastAsia"/>
                <w:color w:val="auto"/>
                <w:sz w:val="21"/>
                <w:szCs w:val="21"/>
                <w:highlight w:val="none"/>
                <w:lang w:eastAsia="zh-CN"/>
              </w:rPr>
              <w:t>缴纳</w:t>
            </w:r>
            <w:r>
              <w:rPr>
                <w:color w:val="auto"/>
                <w:sz w:val="21"/>
                <w:szCs w:val="21"/>
                <w:highlight w:val="none"/>
              </w:rPr>
              <w:t>形式：</w:t>
            </w:r>
            <w:r>
              <w:rPr>
                <w:rFonts w:hint="eastAsia"/>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09" w:type="dxa"/>
            <w:vAlign w:val="center"/>
          </w:tcPr>
          <w:p>
            <w:pPr>
              <w:keepNext w:val="0"/>
              <w:keepLines w:val="0"/>
              <w:pageBreakBefore w:val="0"/>
              <w:kinsoku/>
              <w:wordWrap/>
              <w:overflowPunct/>
              <w:topLinePunct w:val="0"/>
              <w:autoSpaceDE w:val="0"/>
              <w:autoSpaceDN w:val="0"/>
              <w:bidi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09" w:type="dxa"/>
            <w:vAlign w:val="center"/>
          </w:tcPr>
          <w:p>
            <w:pPr>
              <w:spacing w:after="0" w:line="360" w:lineRule="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0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09" w:type="dxa"/>
            <w:vAlign w:val="center"/>
          </w:tcPr>
          <w:p>
            <w:pPr>
              <w:keepNext w:val="0"/>
              <w:keepLines w:val="0"/>
              <w:pageBreakBefore w:val="0"/>
              <w:kinsoku/>
              <w:wordWrap/>
              <w:overflowPunct/>
              <w:topLinePunct w:val="0"/>
              <w:autoSpaceDE w:val="0"/>
              <w:autoSpaceDN w:val="0"/>
              <w:bidi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采购代理服务费</w:t>
            </w:r>
            <w:r>
              <w:rPr>
                <w:rFonts w:hint="eastAsia" w:ascii="宋体" w:hAnsi="宋体" w:cs="宋体"/>
                <w:color w:val="auto"/>
                <w:sz w:val="21"/>
                <w:szCs w:val="21"/>
                <w:highlight w:val="none"/>
                <w:lang w:val="en-US" w:eastAsia="zh-CN"/>
              </w:rPr>
              <w:t>按《广西壮族自治区物价局转发国家发展改革委关于降低部分建设项目收费标准规范收费行为等有关问题的通知（桂价费〔2011〕55号）》的规定计算所得向成交供应商收取。</w:t>
            </w:r>
          </w:p>
          <w:p>
            <w:pPr>
              <w:keepNext w:val="0"/>
              <w:keepLines w:val="0"/>
              <w:pageBreakBefore w:val="0"/>
              <w:kinsoku/>
              <w:wordWrap/>
              <w:overflowPunct/>
              <w:topLinePunct w:val="0"/>
              <w:autoSpaceDE w:val="0"/>
              <w:autoSpaceDN w:val="0"/>
              <w:bidi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代理服务费收取银行账户</w:t>
            </w:r>
          </w:p>
          <w:p>
            <w:pPr>
              <w:keepNext w:val="0"/>
              <w:keepLines w:val="0"/>
              <w:pageBreakBefore w:val="0"/>
              <w:kinsoku/>
              <w:wordWrap/>
              <w:overflowPunct/>
              <w:topLinePunct w:val="0"/>
              <w:autoSpaceDE w:val="0"/>
              <w:autoSpaceDN w:val="0"/>
              <w:bidi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单位名称：广西国腾招标代理有限公司  </w:t>
            </w:r>
          </w:p>
          <w:p>
            <w:pPr>
              <w:keepNext w:val="0"/>
              <w:keepLines w:val="0"/>
              <w:pageBreakBefore w:val="0"/>
              <w:kinsoku/>
              <w:wordWrap/>
              <w:overflowPunct/>
              <w:topLinePunct w:val="0"/>
              <w:autoSpaceDE w:val="0"/>
              <w:autoSpaceDN w:val="0"/>
              <w:bidi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开户银行：广西来宾农村商业银行股份有限公司兴宾支行</w:t>
            </w:r>
          </w:p>
          <w:p>
            <w:pPr>
              <w:keepNext w:val="0"/>
              <w:keepLines w:val="0"/>
              <w:pageBreakBefore w:val="0"/>
              <w:kinsoku/>
              <w:wordWrap/>
              <w:overflowPunct/>
              <w:topLinePunct w:val="0"/>
              <w:autoSpaceDE w:val="0"/>
              <w:autoSpaceDN w:val="0"/>
              <w:bidi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银行账号：2238 1201 0103 5070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09" w:type="dxa"/>
            <w:vAlign w:val="center"/>
          </w:tcPr>
          <w:p>
            <w:pPr>
              <w:snapToGrid w:val="0"/>
              <w:spacing w:line="360" w:lineRule="auto"/>
              <w:jc w:val="left"/>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pPr>
              <w:pStyle w:val="11"/>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1"/>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pPr>
              <w:pStyle w:val="11"/>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pPr>
              <w:keepNext w:val="0"/>
              <w:keepLines w:val="0"/>
              <w:widowControl/>
              <w:suppressLineNumbers w:val="0"/>
              <w:spacing w:line="360" w:lineRule="auto"/>
              <w:jc w:val="left"/>
              <w:rPr>
                <w:rFonts w:hint="default"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r>
              <w:rPr>
                <w:rFonts w:hint="eastAsia" w:ascii="宋体" w:hAnsi="宋体" w:eastAsia="宋体" w:cs="宋体"/>
                <w:color w:val="auto"/>
                <w:kern w:val="0"/>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09" w:type="dxa"/>
            <w:vAlign w:val="center"/>
          </w:tcPr>
          <w:p>
            <w:pPr>
              <w:pStyle w:val="24"/>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pPr>
              <w:pStyle w:val="24"/>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（1）响应文件提交方式：本项目</w:t>
            </w:r>
            <w:r>
              <w:rPr>
                <w:rFonts w:hint="eastAsia" w:ascii="宋体" w:hAnsi="宋体"/>
                <w:color w:val="auto"/>
                <w:sz w:val="21"/>
                <w:szCs w:val="21"/>
                <w:highlight w:val="none"/>
                <w:lang w:val="en-US" w:eastAsia="zh-CN"/>
              </w:rPr>
              <w:t>为</w:t>
            </w:r>
            <w:r>
              <w:rPr>
                <w:rFonts w:hint="eastAsia" w:ascii="宋体" w:hAnsi="宋体"/>
                <w:color w:val="auto"/>
                <w:sz w:val="21"/>
                <w:szCs w:val="21"/>
                <w:highlight w:val="none"/>
              </w:rPr>
              <w:t>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操作流程详见《政府采购项目电子交易管理操作指南-供应商》</w:t>
            </w:r>
          </w:p>
          <w:p>
            <w:pPr>
              <w:pStyle w:val="24"/>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pPr>
              <w:pStyle w:val="24"/>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pStyle w:val="24"/>
              <w:spacing w:line="360" w:lineRule="auto"/>
              <w:ind w:firstLine="211" w:firstLineChars="100"/>
              <w:rPr>
                <w:rFonts w:hint="eastAsia" w:ascii="宋体" w:hAnsi="宋体"/>
                <w:b/>
                <w:bCs/>
                <w:color w:val="auto"/>
                <w:sz w:val="21"/>
                <w:szCs w:val="21"/>
                <w:highlight w:val="none"/>
              </w:rPr>
            </w:pPr>
            <w:r>
              <w:rPr>
                <w:rFonts w:hint="eastAsia" w:ascii="宋体" w:hAnsi="宋体"/>
                <w:b/>
                <w:bCs/>
                <w:color w:val="auto"/>
                <w:sz w:val="2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pStyle w:val="24"/>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2、CA证书在线解密：首次响应文件开启时，须要供应商携带制作响应文件时用来加密的有效数字证书（CA认证）登录“政采云”平台电子开标大厅现场按规定时间对加密的响应文件进行解密，否则后果自负。</w:t>
            </w:r>
          </w:p>
          <w:p>
            <w:pPr>
              <w:pStyle w:val="24"/>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3、供应商需要在具备有摄像头及语音功能且互联网网络状况良好的电脑登录“政采云”平台远程开标大厅参与本次磋商，否则后果自负。</w:t>
            </w:r>
          </w:p>
          <w:p>
            <w:pPr>
              <w:wordWrap w:val="0"/>
              <w:spacing w:line="360" w:lineRule="auto"/>
              <w:rPr>
                <w:rFonts w:hint="eastAsia" w:hAnsi="宋体" w:cs="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、若对项目采购电子交易系统操作有疑问，可登陆“政采云”平台（http：//www.zcygov.cn），点击右侧咨询小采，获取采小蜜智能服务管家帮助，或拨打政采云服务热线400-881-7190获取热线服务帮助。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09" w:type="dxa"/>
            <w:vAlign w:val="center"/>
          </w:tcPr>
          <w:p>
            <w:pPr>
              <w:pStyle w:val="24"/>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1、供应商制作电子响应文件前，应登陆“政采云”平台进行“申请获取采购文件”操作，否则，有可能导致无法在线编制响应文件并参与竞标，其不利后果由供应商自行承担。</w:t>
            </w:r>
          </w:p>
          <w:p>
            <w:pPr>
              <w:pStyle w:val="24"/>
              <w:spacing w:line="360" w:lineRule="auto"/>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供应商下载或获取竞争性磋商文件后，登录“政采云电子投标客户端”，按照本磋商文件规定的响应文件格式、顺序以及“政采云”平台的要求，通过“政采云电子投标客户端”编制电子响应文件。</w:t>
            </w:r>
          </w:p>
          <w:p>
            <w:pPr>
              <w:pStyle w:val="24"/>
              <w:widowControl w:val="0"/>
              <w:numPr>
                <w:ilvl w:val="0"/>
                <w:numId w:val="0"/>
              </w:numPr>
              <w:spacing w:line="360" w:lineRule="auto"/>
              <w:jc w:val="both"/>
              <w:rPr>
                <w:rFonts w:hint="eastAsia" w:ascii="宋体" w:hAnsi="宋体"/>
                <w:color w:val="auto"/>
                <w:sz w:val="21"/>
                <w:szCs w:val="21"/>
                <w:highlight w:val="none"/>
              </w:rPr>
            </w:pPr>
            <w:r>
              <w:rPr>
                <w:rFonts w:hint="eastAsia" w:ascii="宋体" w:hAnsi="宋体" w:cs="宋体"/>
                <w:color w:val="auto"/>
                <w:kern w:val="0"/>
                <w:sz w:val="21"/>
                <w:szCs w:val="21"/>
                <w:highlight w:val="none"/>
                <w:lang w:val="en-US" w:eastAsia="zh-CN"/>
              </w:rPr>
              <w:t>2、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r>
              <w:rPr>
                <w:rFonts w:hint="eastAsia" w:ascii="宋体" w:hAnsi="宋体" w:eastAsia="宋体" w:cs="宋体"/>
                <w:color w:val="auto"/>
                <w:kern w:val="0"/>
                <w:sz w:val="21"/>
                <w:szCs w:val="21"/>
                <w:highlight w:val="none"/>
                <w:lang w:val="en-US" w:eastAsia="zh-CN"/>
              </w:rPr>
              <w:t xml:space="preserve"> </w:t>
            </w:r>
          </w:p>
          <w:p>
            <w:pPr>
              <w:pStyle w:val="24"/>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pPr>
              <w:wordWrap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4、供应商编制、生成电子响应文件后应当加密响应文件。供应商未按规定编制并加密的响应文件，“政采云”平台将予以拒收。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71"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09" w:type="dxa"/>
            <w:vAlign w:val="center"/>
          </w:tcPr>
          <w:p>
            <w:pPr>
              <w:wordWrap w:val="0"/>
              <w:spacing w:line="36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本项目专门面向中小企业采购，预留份额</w:t>
            </w:r>
            <w:r>
              <w:rPr>
                <w:rFonts w:hint="eastAsia" w:ascii="宋体" w:hAnsi="宋体"/>
                <w:color w:val="auto"/>
                <w:sz w:val="21"/>
                <w:szCs w:val="21"/>
                <w:highlight w:val="none"/>
                <w:lang w:val="en-US" w:eastAsia="zh-CN"/>
              </w:rPr>
              <w:t>100%，本项目属于</w:t>
            </w:r>
            <w:r>
              <w:rPr>
                <w:rFonts w:hint="eastAsia" w:ascii="宋体" w:hAnsi="宋体"/>
                <w:color w:val="auto"/>
                <w:sz w:val="21"/>
                <w:szCs w:val="21"/>
                <w:highlight w:val="none"/>
                <w:u w:val="single"/>
                <w:lang w:val="en-US" w:eastAsia="zh-CN"/>
              </w:rPr>
              <w:t>建筑业</w:t>
            </w:r>
            <w:r>
              <w:rPr>
                <w:rFonts w:hint="eastAsia" w:ascii="宋体" w:hAnsi="宋体"/>
                <w:color w:val="auto"/>
                <w:sz w:val="21"/>
                <w:szCs w:val="21"/>
                <w:highlight w:val="none"/>
                <w:lang w:val="en-US" w:eastAsia="zh-CN"/>
              </w:rPr>
              <w:t>。</w:t>
            </w:r>
          </w:p>
        </w:tc>
      </w:tr>
    </w:tbl>
    <w:p>
      <w:pPr>
        <w:pStyle w:val="24"/>
        <w:spacing w:line="360" w:lineRule="auto"/>
        <w:jc w:val="center"/>
        <w:rPr>
          <w:rFonts w:ascii="宋体" w:hAnsi="宋体"/>
          <w:color w:val="auto"/>
          <w:highlight w:val="none"/>
        </w:rPr>
      </w:pPr>
    </w:p>
    <w:p>
      <w:pPr>
        <w:pStyle w:val="24"/>
        <w:spacing w:line="360" w:lineRule="auto"/>
        <w:jc w:val="center"/>
        <w:rPr>
          <w:rFonts w:ascii="宋体" w:hAnsi="宋体"/>
          <w:b/>
          <w:color w:val="auto"/>
          <w:sz w:val="28"/>
          <w:szCs w:val="28"/>
          <w:highlight w:val="none"/>
        </w:rPr>
        <w:sectPr>
          <w:footerReference r:id="rId9" w:type="default"/>
          <w:pgSz w:w="11906" w:h="16838"/>
          <w:pgMar w:top="1134" w:right="1069" w:bottom="737" w:left="1417" w:header="851" w:footer="851" w:gutter="0"/>
          <w:pgNumType w:start="1"/>
          <w:cols w:space="720" w:num="1"/>
          <w:docGrid w:linePitch="312" w:charSpace="43007"/>
        </w:sectPr>
      </w:pPr>
    </w:p>
    <w:p>
      <w:pPr>
        <w:pStyle w:val="24"/>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pPr>
        <w:pStyle w:val="24"/>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合山市公安局</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广西国腾招标代理有限公司</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 响应供应商的基本条件</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详见“竞争性磋商公告”。</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广西国腾招标代理有限公司</w:t>
      </w:r>
      <w:r>
        <w:rPr>
          <w:rFonts w:ascii="宋体" w:hAnsi="宋体"/>
          <w:color w:val="auto"/>
          <w:szCs w:val="21"/>
          <w:highlight w:val="none"/>
        </w:rPr>
        <w:t>在任何情况下无义务和责任承担此类费用。</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pPr>
        <w:pStyle w:val="27"/>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pPr>
        <w:pStyle w:val="27"/>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pPr>
        <w:pStyle w:val="27"/>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pPr>
        <w:pStyle w:val="27"/>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pPr>
        <w:pStyle w:val="27"/>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pPr>
        <w:pStyle w:val="24"/>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lang w:val="en-US" w:eastAsia="zh-CN"/>
        </w:rPr>
        <w:t>4</w:t>
      </w:r>
      <w:r>
        <w:rPr>
          <w:rFonts w:ascii="宋体" w:hAnsi="宋体"/>
          <w:color w:val="auto"/>
          <w:szCs w:val="21"/>
          <w:highlight w:val="none"/>
        </w:rPr>
        <w:t xml:space="preserve"> 如因响应供应商只填写和提供了本文件要求的部分内容和附件，而给评审造成困难，其可能导致的结果和责任由响应供应商自行承担。</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lang w:val="en-US" w:eastAsia="zh-CN"/>
        </w:rPr>
        <w:t>5</w:t>
      </w:r>
      <w:r>
        <w:rPr>
          <w:rFonts w:ascii="宋体" w:hAnsi="宋体"/>
          <w:color w:val="auto"/>
          <w:szCs w:val="21"/>
          <w:highlight w:val="none"/>
        </w:rPr>
        <w:t>供应商编写的且在响应文件递交截止时间前递交的响应文件</w:t>
      </w:r>
      <w:r>
        <w:rPr>
          <w:rFonts w:hint="eastAsia" w:ascii="宋体" w:hAnsi="宋体"/>
          <w:color w:val="auto"/>
          <w:szCs w:val="21"/>
          <w:highlight w:val="none"/>
          <w:lang w:eastAsia="zh-CN"/>
        </w:rPr>
        <w:t>由资格文件、商务报价文件和技术文件组成，必须包括下列内容</w:t>
      </w:r>
      <w:r>
        <w:rPr>
          <w:rFonts w:ascii="宋体" w:hAnsi="宋体"/>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bCs/>
          <w:color w:val="auto"/>
          <w:szCs w:val="21"/>
          <w:highlight w:val="none"/>
        </w:rPr>
      </w:pPr>
      <w:r>
        <w:rPr>
          <w:rFonts w:ascii="宋体" w:hAnsi="宋体"/>
          <w:b/>
          <w:bCs/>
          <w:color w:val="auto"/>
          <w:szCs w:val="21"/>
          <w:highlight w:val="none"/>
        </w:rPr>
        <w:t>7.6.1响应文件的</w:t>
      </w:r>
      <w:r>
        <w:rPr>
          <w:rFonts w:hint="eastAsia" w:ascii="宋体" w:hAnsi="宋体"/>
          <w:b/>
          <w:bCs/>
          <w:color w:val="auto"/>
          <w:szCs w:val="21"/>
          <w:highlight w:val="none"/>
          <w:lang w:eastAsia="zh-CN"/>
        </w:rPr>
        <w:t>资格文件</w:t>
      </w:r>
      <w:r>
        <w:rPr>
          <w:rFonts w:ascii="宋体" w:hAnsi="宋体"/>
          <w:b/>
          <w:bCs/>
          <w:color w:val="auto"/>
          <w:szCs w:val="21"/>
          <w:highlight w:val="none"/>
        </w:rPr>
        <w:t>主要包括下列内容：</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有效的营业执照副本复印件</w:t>
      </w:r>
      <w:r>
        <w:rPr>
          <w:rFonts w:ascii="宋体" w:hAnsi="宋体"/>
          <w:color w:val="auto"/>
          <w:szCs w:val="21"/>
          <w:highlight w:val="none"/>
        </w:rPr>
        <w:t>；</w:t>
      </w:r>
      <w:r>
        <w:rPr>
          <w:rFonts w:hint="eastAsia" w:asciiTheme="majorEastAsia" w:hAnsiTheme="majorEastAsia" w:eastAsiaTheme="majorEastAsia" w:cstheme="majorEastAsia"/>
          <w:b/>
          <w:bCs/>
          <w:color w:val="auto"/>
          <w:sz w:val="21"/>
          <w:szCs w:val="21"/>
          <w:highlight w:val="none"/>
        </w:rPr>
        <w:t>（必须提供，否则响应文件按无效响应处理）</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有效的资质证书副本复印件</w:t>
      </w:r>
      <w:r>
        <w:rPr>
          <w:rFonts w:hint="eastAsia" w:ascii="宋体" w:hAnsi="宋体"/>
          <w:color w:val="auto"/>
          <w:szCs w:val="21"/>
          <w:highlight w:val="none"/>
        </w:rPr>
        <w:t>及有效的安全生产许可证</w:t>
      </w:r>
      <w:r>
        <w:rPr>
          <w:rFonts w:hint="eastAsia" w:ascii="宋体" w:hAnsi="宋体"/>
          <w:color w:val="auto"/>
          <w:szCs w:val="21"/>
          <w:highlight w:val="none"/>
          <w:lang w:eastAsia="zh-CN"/>
        </w:rPr>
        <w:t>副本</w:t>
      </w:r>
      <w:r>
        <w:rPr>
          <w:rFonts w:hint="eastAsia" w:ascii="宋体" w:hAnsi="宋体"/>
          <w:color w:val="auto"/>
          <w:szCs w:val="21"/>
          <w:highlight w:val="none"/>
        </w:rPr>
        <w:t>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拟派项目经理的身份证复印件、</w:t>
      </w:r>
      <w:r>
        <w:rPr>
          <w:rFonts w:hint="eastAsia" w:ascii="宋体" w:hAnsi="宋体"/>
          <w:color w:val="auto"/>
          <w:szCs w:val="21"/>
          <w:highlight w:val="none"/>
          <w:lang w:eastAsia="zh-CN"/>
        </w:rPr>
        <w:t>注册建造师证和安全生产考核合格证书（B类）等证明材料复印件；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（6）参加</w:t>
      </w:r>
      <w:r>
        <w:rPr>
          <w:rFonts w:hint="eastAsia" w:ascii="宋体" w:hAnsi="宋体"/>
          <w:color w:val="auto"/>
          <w:szCs w:val="21"/>
          <w:highlight w:val="none"/>
        </w:rPr>
        <w:t>政府</w:t>
      </w:r>
      <w:r>
        <w:rPr>
          <w:rFonts w:ascii="宋体" w:hAnsi="宋体"/>
          <w:color w:val="auto"/>
          <w:szCs w:val="21"/>
          <w:highlight w:val="none"/>
        </w:rPr>
        <w:t>采购活动前3年内在经营活动中没有重大违法记录的</w:t>
      </w:r>
      <w:r>
        <w:rPr>
          <w:rFonts w:hint="eastAsia" w:ascii="宋体" w:hAnsi="宋体"/>
          <w:color w:val="auto"/>
          <w:szCs w:val="21"/>
          <w:highlight w:val="none"/>
          <w:lang w:eastAsia="zh-CN"/>
        </w:rPr>
        <w:t>书面声明函原件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ascii="宋体" w:hAnsi="宋体" w:cs="宋体"/>
          <w:color w:val="auto"/>
          <w:highlight w:val="none"/>
        </w:rPr>
        <w:t>（格式见第四章）</w:t>
      </w:r>
      <w:r>
        <w:rPr>
          <w:rFonts w:ascii="宋体" w:hAnsi="宋体"/>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供应商依法缴纳税收的相关材料（竞标截止前半年内任意3个月的依法缴纳税收或无欠税证明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b/>
          <w:bCs/>
          <w:color w:val="auto"/>
          <w:szCs w:val="21"/>
          <w:highlight w:val="none"/>
          <w:lang w:eastAsia="zh-CN"/>
        </w:rPr>
        <w:t>（必须提供，否则竞标无效）</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eastAsia="zh-CN"/>
        </w:rPr>
        <w:t>供应商依法缴纳社会保障资金的相关材料（竞标截止半年内任意3个月的依法缴纳社会保障资金的证明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b/>
          <w:bCs/>
          <w:color w:val="auto"/>
          <w:szCs w:val="21"/>
          <w:highlight w:val="none"/>
          <w:lang w:eastAsia="zh-CN"/>
        </w:rPr>
        <w:t>（必须提供，否则响应文件按无效响应处理）</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）投标人直接控股、管理关系信息表</w:t>
      </w:r>
      <w:r>
        <w:rPr>
          <w:rFonts w:hint="eastAsia" w:ascii="宋体" w:hAnsi="宋体"/>
          <w:color w:val="auto"/>
          <w:szCs w:val="21"/>
          <w:highlight w:val="none"/>
          <w:lang w:eastAsia="zh-CN"/>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color w:val="auto"/>
          <w:sz w:val="21"/>
          <w:szCs w:val="21"/>
          <w:highlight w:val="none"/>
          <w:lang w:eastAsia="zh-CN"/>
        </w:rPr>
        <w:t>本项目属于专门面向中小企业采购的项目，根据财库【2020】46号《政府采购促进中小企业发展管理办法》要求，供应商必须为中小企业；</w:t>
      </w:r>
      <w:r>
        <w:rPr>
          <w:rFonts w:ascii="宋体" w:hAnsi="宋体"/>
          <w:b/>
          <w:bCs/>
          <w:color w:val="auto"/>
          <w:szCs w:val="21"/>
          <w:highlight w:val="none"/>
        </w:rPr>
        <w:t>（</w:t>
      </w:r>
      <w:r>
        <w:rPr>
          <w:rFonts w:hint="eastAsia" w:ascii="宋体" w:hAnsi="宋体"/>
          <w:b/>
          <w:bCs/>
          <w:color w:val="auto"/>
          <w:szCs w:val="21"/>
          <w:highlight w:val="none"/>
          <w:lang w:eastAsia="zh-CN"/>
        </w:rPr>
        <w:t>必须提供中小企业声明函</w:t>
      </w:r>
      <w:r>
        <w:rPr>
          <w:rFonts w:hint="eastAsia" w:ascii="宋体" w:hAnsi="宋体"/>
          <w:b/>
          <w:bCs/>
          <w:color w:val="auto"/>
          <w:szCs w:val="21"/>
          <w:highlight w:val="none"/>
          <w:lang w:val="en-US" w:eastAsia="zh-CN"/>
        </w:rPr>
        <w:t>,</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12</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项目管理机构配备情况表</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项目经理（注册建造师）简历表</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项目技术负责人简历表</w:t>
      </w:r>
      <w:r>
        <w:rPr>
          <w:rFonts w:hint="eastAsia" w:ascii="宋体" w:hAnsi="宋体" w:cs="Times New Roman"/>
          <w:color w:val="auto"/>
          <w:kern w:val="2"/>
          <w:sz w:val="21"/>
          <w:szCs w:val="21"/>
          <w:highlight w:val="none"/>
          <w:lang w:val="en-US" w:eastAsia="zh-CN" w:bidi="ar-SA"/>
        </w:rPr>
        <w:t>等）</w:t>
      </w:r>
    </w:p>
    <w:p>
      <w:pPr>
        <w:pStyle w:val="28"/>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val="0"/>
          <w:color w:val="auto"/>
          <w:spacing w:val="0"/>
          <w:kern w:val="2"/>
          <w:sz w:val="21"/>
          <w:szCs w:val="21"/>
          <w:highlight w:val="none"/>
          <w:lang w:val="en-US" w:eastAsia="zh-CN" w:bidi="ar-SA"/>
        </w:rPr>
      </w:pPr>
      <w:r>
        <w:rPr>
          <w:rFonts w:hint="eastAsia" w:ascii="宋体" w:hAnsi="宋体" w:eastAsia="宋体" w:cs="Times New Roman"/>
          <w:b w:val="0"/>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pPr>
        <w:pStyle w:val="24"/>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w:t>
      </w:r>
      <w:r>
        <w:rPr>
          <w:rFonts w:hint="eastAsia" w:ascii="宋体" w:hAnsi="宋体"/>
          <w:color w:val="auto"/>
          <w:szCs w:val="21"/>
          <w:highlight w:val="none"/>
          <w:lang w:val="en-US" w:eastAsia="zh-CN"/>
        </w:rPr>
        <w:t>材料信息价按</w:t>
      </w:r>
      <w:r>
        <w:rPr>
          <w:rFonts w:hint="eastAsia" w:ascii="宋体" w:hAnsi="宋体"/>
          <w:b/>
          <w:bCs/>
          <w:color w:val="auto"/>
          <w:szCs w:val="21"/>
          <w:highlight w:val="none"/>
          <w:u w:val="single"/>
          <w:lang w:val="en-US" w:eastAsia="zh-CN"/>
        </w:rPr>
        <w:t>2022年《来宾市建设工程造价信息》第7期除税信息价</w:t>
      </w:r>
      <w:r>
        <w:rPr>
          <w:rFonts w:hint="eastAsia" w:ascii="宋体" w:hAnsi="宋体"/>
          <w:color w:val="auto"/>
          <w:szCs w:val="21"/>
          <w:highlight w:val="none"/>
          <w:lang w:val="en-US" w:eastAsia="zh-CN"/>
        </w:rPr>
        <w:t>，对于工程信息没有发布价格信息的材料，其价格参照南宁/柳州及市场价</w:t>
      </w:r>
      <w:r>
        <w:rPr>
          <w:rFonts w:ascii="宋体" w:hAnsi="宋体"/>
          <w:color w:val="auto"/>
          <w:szCs w:val="21"/>
          <w:highlight w:val="none"/>
        </w:rPr>
        <w:t>；新增项目单价必须经发包人审定。</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pPr>
        <w:pStyle w:val="24"/>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b w:val="0"/>
          <w:bCs w:val="0"/>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w:t>
      </w:r>
      <w:r>
        <w:rPr>
          <w:rFonts w:ascii="宋体" w:hAnsi="宋体"/>
          <w:b w:val="0"/>
          <w:bCs w:val="0"/>
          <w:color w:val="auto"/>
          <w:szCs w:val="21"/>
          <w:highlight w:val="none"/>
        </w:rPr>
        <w:t>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b w:val="0"/>
          <w:bCs w:val="0"/>
          <w:color w:val="auto"/>
          <w:highlight w:val="none"/>
        </w:rPr>
        <w:t>9.2.5</w:t>
      </w:r>
      <w:r>
        <w:rPr>
          <w:rFonts w:ascii="宋体" w:hAnsi="宋体"/>
          <w:b w:val="0"/>
          <w:bCs w:val="0"/>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r>
        <w:rPr>
          <w:rFonts w:ascii="宋体" w:hAnsi="宋体"/>
          <w:b/>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val="0"/>
          <w:bCs w:val="0"/>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w:t>
      </w:r>
      <w:r>
        <w:rPr>
          <w:rFonts w:ascii="宋体" w:hAnsi="宋体"/>
          <w:b w:val="0"/>
          <w:bCs w:val="0"/>
          <w:color w:val="auto"/>
          <w:szCs w:val="21"/>
          <w:highlight w:val="none"/>
        </w:rPr>
        <w:t>涉及调整的单价一览表，并同时提供调整说明。供应商不得以机械设备闲置为由压低机械台班单价。利润及风险由供应商自行考虑，利润不得为负数。</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val="0"/>
          <w:bCs w:val="0"/>
          <w:color w:val="auto"/>
          <w:szCs w:val="21"/>
          <w:highlight w:val="none"/>
        </w:rPr>
      </w:pPr>
      <w:r>
        <w:rPr>
          <w:rFonts w:ascii="宋体" w:hAnsi="宋体"/>
          <w:b w:val="0"/>
          <w:bCs w:val="0"/>
          <w:color w:val="auto"/>
          <w:highlight w:val="none"/>
        </w:rPr>
        <w:t xml:space="preserve">9.2.12 </w:t>
      </w:r>
      <w:r>
        <w:rPr>
          <w:rFonts w:ascii="宋体" w:hAnsi="宋体"/>
          <w:b w:val="0"/>
          <w:bCs w:val="0"/>
          <w:color w:val="auto"/>
          <w:szCs w:val="21"/>
          <w:highlight w:val="none"/>
        </w:rPr>
        <w:t>本项目采用多次报价方式，</w:t>
      </w:r>
      <w:r>
        <w:rPr>
          <w:rFonts w:hint="eastAsia" w:ascii="宋体" w:hAnsi="宋体"/>
          <w:b w:val="0"/>
          <w:bCs w:val="0"/>
          <w:color w:val="auto"/>
          <w:szCs w:val="21"/>
          <w:highlight w:val="none"/>
        </w:rPr>
        <w:t>未书面退出磋商的供应商必须在规定时间内登录“政采云”平台在线提交最后报价，其最后报价不得超出采购预算；磋商过程中磋商文件未作实质性变动的，最后报价不得超过首次报价。</w:t>
      </w:r>
      <w:r>
        <w:rPr>
          <w:rFonts w:ascii="宋体" w:hAnsi="宋体"/>
          <w:b w:val="0"/>
          <w:bCs w:val="0"/>
          <w:color w:val="auto"/>
          <w:szCs w:val="21"/>
          <w:highlight w:val="none"/>
        </w:rPr>
        <w:t>供应商的最终报价如有变动，则必须以工程量清单报价表（</w:t>
      </w:r>
      <w:r>
        <w:rPr>
          <w:rFonts w:hint="eastAsia" w:ascii="宋体" w:hAnsi="宋体"/>
          <w:b w:val="0"/>
          <w:bCs w:val="0"/>
          <w:color w:val="auto"/>
          <w:szCs w:val="21"/>
          <w:highlight w:val="none"/>
        </w:rPr>
        <w:t>已标价工程量清单</w:t>
      </w:r>
      <w:r>
        <w:rPr>
          <w:rFonts w:ascii="宋体" w:hAnsi="宋体"/>
          <w:b w:val="0"/>
          <w:bCs w:val="0"/>
          <w:color w:val="auto"/>
          <w:szCs w:val="21"/>
          <w:highlight w:val="none"/>
        </w:rPr>
        <w:t>）的格式编制提交，供应商须提前做好相关准备并按时</w:t>
      </w:r>
      <w:r>
        <w:rPr>
          <w:rFonts w:hint="eastAsia" w:ascii="宋体" w:hAnsi="宋体"/>
          <w:b w:val="0"/>
          <w:bCs w:val="0"/>
          <w:color w:val="auto"/>
          <w:szCs w:val="21"/>
          <w:highlight w:val="none"/>
        </w:rPr>
        <w:t>上传</w:t>
      </w:r>
      <w:r>
        <w:rPr>
          <w:rFonts w:ascii="宋体" w:hAnsi="宋体"/>
          <w:b w:val="0"/>
          <w:bCs w:val="0"/>
          <w:color w:val="auto"/>
          <w:szCs w:val="21"/>
          <w:highlight w:val="none"/>
        </w:rPr>
        <w:t>最终报价文件，否则磋商</w:t>
      </w:r>
      <w:r>
        <w:rPr>
          <w:rFonts w:hint="eastAsia" w:ascii="宋体" w:hAnsi="宋体" w:eastAsia="宋体" w:cs="Times New Roman"/>
          <w:b w:val="0"/>
          <w:bCs w:val="0"/>
          <w:color w:val="auto"/>
          <w:szCs w:val="21"/>
          <w:highlight w:val="none"/>
        </w:rPr>
        <w:t>无效。</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pPr>
        <w:pStyle w:val="11"/>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pPr>
        <w:pStyle w:val="11"/>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pPr>
        <w:pStyle w:val="24"/>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10.1.1供应商制作电子响应文件前，应登陆“政采云”平台进行“申请获取采购文件”操作，否则，有可能导致无法在线编制响应文件并参与竞标，其不利后果由供应商自行承担。</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10.1.2供应商下载或获取竞争性磋商文件后，登录“政采云电子投标客户端”，按照本磋商文件规定的响应文件格式、顺序以及“政采云”平台的要求，通过“政采云电子投标客户端”编制电子响应文件。</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10.1.5供应商编制、生成电子响应文件后应当加密响应文件。供应商未按规定编制并加密的响应文件，“政采云”平台将予以拒收。</w:t>
      </w:r>
    </w:p>
    <w:p>
      <w:pPr>
        <w:pStyle w:val="24"/>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pPr>
        <w:pStyle w:val="24"/>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11.1.2地点：通过“政采云”平台在线提交。</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政采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政采云”平台的，视为未提交响应文件。</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pPr>
        <w:pStyle w:val="24"/>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采购代理及够</w:t>
      </w:r>
      <w:r>
        <w:rPr>
          <w:rFonts w:ascii="宋体" w:hAnsi="宋体"/>
          <w:color w:val="auto"/>
          <w:szCs w:val="21"/>
          <w:highlight w:val="none"/>
        </w:rPr>
        <w:t>将拒绝或原封退回在其规定的递交竞争性磋商响应文件截止时间之后收到的任何竞争性磋商响应文件。</w:t>
      </w:r>
    </w:p>
    <w:p>
      <w:pPr>
        <w:pStyle w:val="24"/>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磋商及评审组织工作由采购代理机构负责，具体磋商、评审工作由依法组建的磋商小组负责，本项目的</w:t>
      </w:r>
      <w:r>
        <w:rPr>
          <w:rFonts w:hint="eastAsia" w:ascii="宋体" w:hAnsi="宋体" w:cs="宋体"/>
          <w:color w:val="auto"/>
          <w:spacing w:val="-4"/>
          <w:sz w:val="21"/>
          <w:szCs w:val="21"/>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cs="宋体"/>
          <w:color w:val="auto"/>
          <w:sz w:val="21"/>
          <w:szCs w:val="21"/>
          <w:highlight w:val="none"/>
        </w:rPr>
        <w:t>。</w:t>
      </w:r>
    </w:p>
    <w:p>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rPr>
        <w:t>“政采云”平台，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等候在线磋商。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在线解密开启。</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pPr>
        <w:pStyle w:val="11"/>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pPr>
        <w:pStyle w:val="11"/>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pPr>
        <w:pStyle w:val="11"/>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315" w:firstLineChars="15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采用在线书面形式，并加盖公章（CA证书签章），或者由法定代表人（负责人）或其授权委托代理人个人CA证书签章（没有办理政采云个人CA证书签章的可在响应文件中涉及到签字的位置手写签字后扫描或者拍照做成 PDF 的格式上传），供应商为自然人的，应当由本人个人CA证书签章（没有办理政采云个人CA证书签章的可在响应文件中涉及到签字的位置手写签字后扫描或者拍照做成 PDF 的格式上传）并附身份证明。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对磋商文件作出的实质性变动是磋商文件的有效组成部分，磋商小组应当及时通过“政采云”平台以书面形式同时通知所有参加磋商的供应商。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签章（没有办理政采云个人CA证书签章的可在响应文件中涉及到签字的位置手写签字后扫描或者拍照做成 PDF 的格式上传）或者加盖供应商公章（CA证书签章）。逾时不交的，视同放弃磋商。</w:t>
      </w:r>
    </w:p>
    <w:p>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政采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政采云”平台在线提交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政采云”平台在线提交最后报价；采购过程中符合要求的供应商（社会资本）只有1家的，采购人或者采购代理机构应当终止竞争性磋商采购活动，发布项目终止公告并说明原因，重新开展采购活动。</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pPr>
        <w:widowControl/>
        <w:tabs>
          <w:tab w:val="left" w:pos="540"/>
        </w:tabs>
        <w:spacing w:line="380" w:lineRule="exact"/>
        <w:ind w:firstLine="420" w:firstLineChars="200"/>
        <w:jc w:val="left"/>
        <w:rPr>
          <w:rFonts w:hint="eastAsia" w:ascii="宋体" w:hAnsi="宋体" w:cs="宋体"/>
          <w:b w:val="0"/>
          <w:bCs w:val="0"/>
          <w:color w:val="auto"/>
          <w:sz w:val="21"/>
          <w:szCs w:val="21"/>
          <w:highlight w:val="none"/>
        </w:rPr>
      </w:pPr>
      <w:r>
        <w:rPr>
          <w:rFonts w:hint="eastAsia" w:ascii="宋体" w:hAnsi="宋体" w:cs="宋体"/>
          <w:color w:val="auto"/>
          <w:sz w:val="21"/>
          <w:szCs w:val="21"/>
          <w:highlight w:val="none"/>
        </w:rPr>
        <w:t>未书面退出磋商的供应商必须在规定时间内通过“政采云”平台在线提交最后报价；磋商过程中磋商文件未作实质性变动的</w:t>
      </w:r>
      <w:r>
        <w:rPr>
          <w:rFonts w:hint="eastAsia" w:ascii="宋体" w:hAnsi="宋体" w:cs="宋体"/>
          <w:b w:val="0"/>
          <w:bCs w:val="0"/>
          <w:color w:val="auto"/>
          <w:sz w:val="21"/>
          <w:szCs w:val="21"/>
          <w:highlight w:val="none"/>
        </w:rPr>
        <w:t>，</w:t>
      </w:r>
      <w:r>
        <w:rPr>
          <w:rFonts w:hint="eastAsia" w:ascii="宋体" w:hAnsi="宋体"/>
          <w:b w:val="0"/>
          <w:bCs w:val="0"/>
          <w:color w:val="auto"/>
          <w:sz w:val="21"/>
          <w:szCs w:val="21"/>
          <w:highlight w:val="none"/>
        </w:rPr>
        <w:t>最后报价不得大于首次报价</w:t>
      </w:r>
      <w:r>
        <w:rPr>
          <w:rFonts w:hint="eastAsia" w:ascii="宋体" w:hAnsi="宋体" w:cs="宋体"/>
          <w:b w:val="0"/>
          <w:bCs w:val="0"/>
          <w:color w:val="auto"/>
          <w:sz w:val="21"/>
          <w:szCs w:val="21"/>
          <w:highlight w:val="none"/>
        </w:rPr>
        <w:t>。</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15.11采购代理机构发现磋商小组有明显的违规倾向或歧视现象，或不按评审办法进行，或其他不正常行为的，应当及时制止。如制止无效，应及时向</w:t>
      </w:r>
      <w:r>
        <w:rPr>
          <w:rFonts w:hint="eastAsia" w:ascii="宋体" w:hAnsi="宋体" w:cs="宋体"/>
          <w:color w:val="auto"/>
          <w:sz w:val="21"/>
          <w:szCs w:val="21"/>
          <w:highlight w:val="none"/>
          <w:lang w:eastAsia="zh-CN"/>
        </w:rPr>
        <w:t>政府采购监督管理</w:t>
      </w:r>
      <w:r>
        <w:rPr>
          <w:rFonts w:hint="eastAsia" w:ascii="宋体" w:hAnsi="宋体" w:cs="宋体"/>
          <w:color w:val="auto"/>
          <w:sz w:val="21"/>
          <w:szCs w:val="21"/>
          <w:highlight w:val="none"/>
        </w:rPr>
        <w:t>机构报告。</w:t>
      </w:r>
    </w:p>
    <w:p>
      <w:pPr>
        <w:pStyle w:val="11"/>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pPr>
        <w:pStyle w:val="11"/>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pPr>
        <w:pStyle w:val="11"/>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11"/>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22.1 采购代理机构于评审结束之日起2个工作日内将评审报告送交采购人。采购人应当自收到评审报告之日起5个工作日内在评审报告推荐的成交候选人中按顺序确定成交供应商。采购代理机构在成交供应商确定之日起2个工作日内发出成交通知书，并在指定媒体上公告成交信息。</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22.2中小企业在政府采购活动过程中，请根据自己的真实情况出具《中小企业声明函》。采购人或采购代理机构在公告成交结果时，同时公告其《中小企业声明函》，接受社会监督。</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pPr>
        <w:pStyle w:val="24"/>
        <w:spacing w:line="360" w:lineRule="auto"/>
        <w:rPr>
          <w:rFonts w:ascii="宋体" w:hAnsi="宋体"/>
          <w:b/>
          <w:color w:val="auto"/>
          <w:szCs w:val="21"/>
          <w:highlight w:val="none"/>
        </w:rPr>
      </w:pPr>
      <w:r>
        <w:rPr>
          <w:rFonts w:ascii="宋体" w:hAnsi="宋体"/>
          <w:b/>
          <w:color w:val="auto"/>
          <w:szCs w:val="21"/>
          <w:highlight w:val="none"/>
        </w:rPr>
        <w:t>八、采购代理服务费</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pPr>
        <w:pStyle w:val="24"/>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pPr>
        <w:pStyle w:val="24"/>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rPr>
        <w:t>25</w:t>
      </w:r>
      <w:r>
        <w:rPr>
          <w:rFonts w:ascii="宋体" w:hAnsi="宋体" w:cs="宋体"/>
          <w:color w:val="auto"/>
          <w:highlight w:val="none"/>
        </w:rPr>
        <w:t>.7递交质疑函的联系事项：</w:t>
      </w:r>
      <w:r>
        <w:rPr>
          <w:rFonts w:hint="eastAsia" w:ascii="宋体" w:hAnsi="宋体" w:cs="宋体"/>
          <w:color w:val="auto"/>
          <w:highlight w:val="none"/>
          <w:lang w:eastAsia="zh-CN"/>
        </w:rPr>
        <w:t>（详见公告）</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pPr>
        <w:pStyle w:val="24"/>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26</w:t>
      </w:r>
      <w:r>
        <w:rPr>
          <w:rFonts w:ascii="宋体" w:hAnsi="宋体" w:cs="宋体"/>
          <w:color w:val="auto"/>
          <w:highlight w:val="none"/>
        </w:rPr>
        <w:t>.1 成交供应商在收到成交通知书后，按规定缴纳履约保证金后（如有），须在</w:t>
      </w:r>
      <w:r>
        <w:rPr>
          <w:rFonts w:hint="eastAsia" w:ascii="宋体" w:hAnsi="宋体" w:cs="宋体"/>
          <w:color w:val="auto"/>
          <w:highlight w:val="none"/>
        </w:rPr>
        <w:t>1</w:t>
      </w:r>
      <w:r>
        <w:rPr>
          <w:rFonts w:ascii="宋体" w:hAnsi="宋体" w:cs="宋体"/>
          <w:color w:val="auto"/>
          <w:highlight w:val="none"/>
        </w:rPr>
        <w:t>5日历日内持成交通知书等材料与采购人签订施工合同，否则采购人将取消其成交资格。</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26</w:t>
      </w:r>
      <w:r>
        <w:rPr>
          <w:rFonts w:ascii="宋体" w:hAnsi="宋体" w:cs="宋体"/>
          <w:color w:val="auto"/>
          <w:highlight w:val="none"/>
        </w:rPr>
        <w:t>.2  发出成交通知书后，成交供应商有提供虚假材料或虚假承诺或未按相关规定与采购人签订合同等事宜的的，成交无效；给采购人造成的损失的，成交供应商还应当予以赔偿。</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26</w:t>
      </w:r>
      <w:r>
        <w:rPr>
          <w:rFonts w:ascii="宋体" w:hAnsi="宋体" w:cs="宋体"/>
          <w:color w:val="auto"/>
          <w:highlight w:val="none"/>
        </w:rPr>
        <w:t>.3  发出成交通知书后，采购人无正当理由拒签合同的并给成交供应商造成损失的，应当赔偿损失。</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26</w:t>
      </w:r>
      <w:r>
        <w:rPr>
          <w:rFonts w:ascii="宋体" w:hAnsi="宋体" w:cs="宋体"/>
          <w:color w:val="auto"/>
          <w:highlight w:val="none"/>
        </w:rPr>
        <w:t>.4  成交供应商因不可抗力或者自身原因不能履行采购合同的，采购人可以与排位在成交供应商之后第一位的成交候选供应商签订采购合同（或重新招标），以此类推。</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lang w:val="en-US" w:eastAsia="zh-CN"/>
        </w:rPr>
        <w:t>26</w:t>
      </w:r>
      <w:r>
        <w:rPr>
          <w:rFonts w:ascii="宋体" w:hAnsi="宋体" w:cs="宋体"/>
          <w:color w:val="auto"/>
          <w:highlight w:val="none"/>
        </w:rPr>
        <w:t>.5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26</w:t>
      </w:r>
      <w:r>
        <w:rPr>
          <w:rFonts w:ascii="宋体" w:hAnsi="宋体" w:cs="宋体"/>
          <w:color w:val="auto"/>
          <w:highlight w:val="none"/>
        </w:rPr>
        <w:t xml:space="preserve">.6 采购人或成交供应商在合同履行过程中存在违反采购合同行为的，权益受损当事人应当将有关违约的情况以及拟采取的措施，及时书面报告采购代理机构。 </w:t>
      </w:r>
    </w:p>
    <w:p>
      <w:pPr>
        <w:pStyle w:val="24"/>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sectPr>
          <w:pgSz w:w="11906" w:h="16838"/>
          <w:pgMar w:top="1134" w:right="1134" w:bottom="1134" w:left="1417" w:header="851" w:footer="851" w:gutter="0"/>
          <w:cols w:space="720" w:num="1"/>
          <w:docGrid w:linePitch="312" w:charSpace="43007"/>
        </w:sectPr>
      </w:pPr>
      <w:r>
        <w:rPr>
          <w:rFonts w:hint="eastAsia" w:ascii="宋体" w:hAnsi="宋体" w:cs="宋体"/>
          <w:color w:val="auto"/>
          <w:highlight w:val="none"/>
        </w:rPr>
        <w:t>26</w:t>
      </w:r>
      <w:r>
        <w:rPr>
          <w:rFonts w:ascii="宋体" w:hAnsi="宋体" w:cs="宋体"/>
          <w:color w:val="auto"/>
          <w:highlight w:val="none"/>
        </w:rPr>
        <w:t>.7 采购人在签订合同之前有权要求成交供应商提供本项目必需的相关资料原件进行核查，成交供应商不得拒绝。如成交供应商拒绝提供，则自行承担由此产生的后果。成交供应商拒绝签订采购合同的，并给采购人造成其损失的，还应当赔偿损失，并作为不良行为记录在案。同时，已缴纳的成交服务费不予退还。</w:t>
      </w:r>
    </w:p>
    <w:p>
      <w:pPr>
        <w:pStyle w:val="25"/>
        <w:rPr>
          <w:color w:val="auto"/>
          <w:highlight w:val="none"/>
        </w:rPr>
      </w:pPr>
    </w:p>
    <w:p>
      <w:pPr>
        <w:pStyle w:val="24"/>
        <w:spacing w:line="360" w:lineRule="auto"/>
        <w:rPr>
          <w:rFonts w:ascii="宋体" w:hAnsi="宋体"/>
          <w:color w:val="auto"/>
          <w:szCs w:val="21"/>
          <w:highlight w:val="none"/>
        </w:rPr>
      </w:pPr>
    </w:p>
    <w:p>
      <w:pPr>
        <w:pStyle w:val="24"/>
        <w:spacing w:line="360" w:lineRule="auto"/>
        <w:rPr>
          <w:rFonts w:ascii="宋体" w:hAnsi="宋体"/>
          <w:b/>
          <w:color w:val="auto"/>
          <w:sz w:val="32"/>
          <w:szCs w:val="32"/>
          <w:highlight w:val="none"/>
        </w:rPr>
      </w:pPr>
    </w:p>
    <w:p>
      <w:pPr>
        <w:pStyle w:val="24"/>
        <w:spacing w:line="360" w:lineRule="auto"/>
        <w:jc w:val="center"/>
        <w:outlineLvl w:val="0"/>
        <w:rPr>
          <w:rFonts w:ascii="宋体" w:hAnsi="宋体"/>
          <w:b/>
          <w:color w:val="auto"/>
          <w:sz w:val="32"/>
          <w:szCs w:val="32"/>
          <w:highlight w:val="none"/>
        </w:rPr>
      </w:pPr>
      <w:bookmarkStart w:id="35" w:name="_Toc17060"/>
      <w:r>
        <w:rPr>
          <w:rFonts w:ascii="宋体" w:hAnsi="宋体"/>
          <w:b/>
          <w:color w:val="auto"/>
          <w:sz w:val="32"/>
          <w:szCs w:val="32"/>
          <w:highlight w:val="none"/>
        </w:rPr>
        <w:t>第三章   技术规范</w:t>
      </w:r>
      <w:bookmarkEnd w:id="35"/>
    </w:p>
    <w:p>
      <w:pPr>
        <w:pStyle w:val="24"/>
        <w:spacing w:line="360" w:lineRule="auto"/>
        <w:jc w:val="center"/>
        <w:rPr>
          <w:rFonts w:ascii="宋体" w:hAnsi="宋体"/>
          <w:b/>
          <w:color w:val="auto"/>
          <w:sz w:val="32"/>
          <w:szCs w:val="32"/>
          <w:highlight w:val="none"/>
        </w:rPr>
      </w:pPr>
    </w:p>
    <w:p>
      <w:pPr>
        <w:pStyle w:val="11"/>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rPr>
          <w:b/>
          <w:color w:val="auto"/>
          <w:sz w:val="32"/>
          <w:szCs w:val="32"/>
          <w:highlight w:val="none"/>
        </w:rPr>
      </w:pPr>
    </w:p>
    <w:p>
      <w:pPr>
        <w:pStyle w:val="24"/>
        <w:rPr>
          <w:b/>
          <w:color w:val="auto"/>
          <w:sz w:val="32"/>
          <w:szCs w:val="32"/>
          <w:highlight w:val="none"/>
        </w:rPr>
      </w:pPr>
    </w:p>
    <w:p>
      <w:pPr>
        <w:pStyle w:val="25"/>
        <w:rPr>
          <w:color w:val="auto"/>
          <w:sz w:val="32"/>
          <w:szCs w:val="32"/>
          <w:highlight w:val="none"/>
        </w:rPr>
      </w:pPr>
    </w:p>
    <w:p>
      <w:pPr>
        <w:pStyle w:val="24"/>
        <w:rPr>
          <w:b/>
          <w:color w:val="auto"/>
          <w:sz w:val="32"/>
          <w:szCs w:val="32"/>
          <w:highlight w:val="none"/>
        </w:rPr>
      </w:pPr>
    </w:p>
    <w:p>
      <w:pPr>
        <w:pStyle w:val="24"/>
        <w:rPr>
          <w:b/>
          <w:color w:val="auto"/>
          <w:sz w:val="32"/>
          <w:szCs w:val="32"/>
          <w:highlight w:val="none"/>
        </w:rPr>
      </w:pPr>
    </w:p>
    <w:p>
      <w:pPr>
        <w:pStyle w:val="25"/>
        <w:rPr>
          <w:color w:val="auto"/>
          <w:highlight w:val="none"/>
        </w:rPr>
      </w:pPr>
    </w:p>
    <w:p>
      <w:pPr>
        <w:pStyle w:val="24"/>
        <w:rPr>
          <w:color w:val="auto"/>
          <w:highlight w:val="none"/>
        </w:rPr>
      </w:pPr>
    </w:p>
    <w:p>
      <w:pPr>
        <w:pStyle w:val="11"/>
        <w:spacing w:line="360" w:lineRule="auto"/>
        <w:jc w:val="center"/>
        <w:rPr>
          <w:b/>
          <w:color w:val="auto"/>
          <w:sz w:val="32"/>
          <w:szCs w:val="32"/>
          <w:highlight w:val="none"/>
        </w:rPr>
      </w:pPr>
    </w:p>
    <w:p>
      <w:pPr>
        <w:pStyle w:val="11"/>
        <w:spacing w:line="360" w:lineRule="auto"/>
        <w:jc w:val="center"/>
        <w:outlineLvl w:val="0"/>
        <w:rPr>
          <w:b/>
          <w:color w:val="auto"/>
          <w:sz w:val="32"/>
          <w:szCs w:val="32"/>
          <w:highlight w:val="none"/>
        </w:rPr>
      </w:pPr>
      <w:bookmarkStart w:id="36" w:name="_Toc26040"/>
      <w:r>
        <w:rPr>
          <w:b/>
          <w:color w:val="auto"/>
          <w:sz w:val="32"/>
          <w:szCs w:val="32"/>
          <w:highlight w:val="none"/>
        </w:rPr>
        <w:t>第四章  响应文件格式</w:t>
      </w:r>
      <w:bookmarkEnd w:id="36"/>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24"/>
        <w:rPr>
          <w:b/>
          <w:color w:val="auto"/>
          <w:sz w:val="32"/>
          <w:szCs w:val="32"/>
          <w:highlight w:val="none"/>
        </w:rPr>
      </w:pPr>
    </w:p>
    <w:p>
      <w:pPr>
        <w:pStyle w:val="25"/>
        <w:rPr>
          <w:color w:val="auto"/>
          <w:highlight w:val="none"/>
        </w:rPr>
      </w:pPr>
    </w:p>
    <w:p>
      <w:pPr>
        <w:pStyle w:val="24"/>
        <w:spacing w:line="360" w:lineRule="auto"/>
        <w:ind w:left="481"/>
        <w:jc w:val="center"/>
        <w:rPr>
          <w:rFonts w:ascii="宋体" w:hAnsi="宋体"/>
          <w:b/>
          <w:color w:val="auto"/>
          <w:sz w:val="48"/>
          <w:szCs w:val="48"/>
          <w:highlight w:val="none"/>
        </w:rPr>
      </w:pPr>
      <w:r>
        <w:rPr>
          <w:rFonts w:ascii="宋体" w:hAnsi="宋体"/>
          <w:b/>
          <w:color w:val="auto"/>
          <w:sz w:val="48"/>
          <w:szCs w:val="48"/>
          <w:highlight w:val="none"/>
        </w:rPr>
        <w:t>竞争性磋商响应文件</w:t>
      </w:r>
    </w:p>
    <w:p>
      <w:pPr>
        <w:pStyle w:val="24"/>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pPr>
        <w:pStyle w:val="24"/>
        <w:spacing w:line="360" w:lineRule="auto"/>
        <w:ind w:left="413"/>
        <w:jc w:val="left"/>
        <w:rPr>
          <w:rFonts w:ascii="宋体" w:hAnsi="宋体"/>
          <w:color w:val="auto"/>
          <w:szCs w:val="21"/>
          <w:highlight w:val="none"/>
        </w:rPr>
      </w:pPr>
    </w:p>
    <w:p>
      <w:pPr>
        <w:pStyle w:val="11"/>
        <w:spacing w:line="360" w:lineRule="auto"/>
        <w:jc w:val="center"/>
        <w:rPr>
          <w:rFonts w:ascii="方正隶书简体" w:hAnsi="方正隶书简体" w:eastAsia="方正隶书简体"/>
          <w:b/>
          <w:color w:val="auto"/>
          <w:sz w:val="30"/>
          <w:szCs w:val="30"/>
          <w:highlight w:val="none"/>
        </w:rPr>
      </w:pPr>
    </w:p>
    <w:p>
      <w:pPr>
        <w:pStyle w:val="11"/>
        <w:spacing w:line="360" w:lineRule="auto"/>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项目名称：</w:t>
      </w:r>
    </w:p>
    <w:p>
      <w:pPr>
        <w:pStyle w:val="11"/>
        <w:spacing w:line="360" w:lineRule="auto"/>
        <w:rPr>
          <w:rFonts w:hint="eastAsia" w:asciiTheme="majorEastAsia" w:hAnsiTheme="majorEastAsia" w:eastAsiaTheme="majorEastAsia" w:cstheme="majorEastAsia"/>
          <w:b/>
          <w:color w:val="auto"/>
          <w:sz w:val="30"/>
          <w:szCs w:val="30"/>
          <w:highlight w:val="none"/>
        </w:rPr>
      </w:pPr>
    </w:p>
    <w:p>
      <w:pPr>
        <w:pStyle w:val="11"/>
        <w:spacing w:line="360" w:lineRule="auto"/>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项目编号：</w:t>
      </w:r>
    </w:p>
    <w:p>
      <w:pPr>
        <w:pStyle w:val="11"/>
        <w:spacing w:line="360" w:lineRule="auto"/>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供应商名称：</w:t>
      </w:r>
    </w:p>
    <w:p>
      <w:pPr>
        <w:pStyle w:val="11"/>
        <w:spacing w:line="360" w:lineRule="auto"/>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法定代表人或授权委托代理人：</w:t>
      </w:r>
    </w:p>
    <w:p>
      <w:pPr>
        <w:pStyle w:val="11"/>
        <w:spacing w:line="360" w:lineRule="auto"/>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供应商地址：</w:t>
      </w:r>
    </w:p>
    <w:p>
      <w:pPr>
        <w:pStyle w:val="11"/>
        <w:spacing w:line="360" w:lineRule="auto"/>
        <w:jc w:val="left"/>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开标时间以前不得开封</w:t>
      </w: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24"/>
        <w:spacing w:line="360" w:lineRule="auto"/>
        <w:ind w:left="481"/>
        <w:jc w:val="center"/>
        <w:rPr>
          <w:rFonts w:ascii="宋体" w:hAnsi="宋体"/>
          <w:b/>
          <w:color w:val="auto"/>
          <w:sz w:val="48"/>
          <w:szCs w:val="48"/>
          <w:highlight w:val="none"/>
        </w:rPr>
      </w:pPr>
    </w:p>
    <w:p>
      <w:pPr>
        <w:pStyle w:val="24"/>
        <w:spacing w:line="360" w:lineRule="auto"/>
        <w:rPr>
          <w:rFonts w:ascii="宋体" w:hAnsi="宋体"/>
          <w:b/>
          <w:color w:val="auto"/>
          <w:sz w:val="48"/>
          <w:szCs w:val="48"/>
          <w:highlight w:val="none"/>
        </w:rPr>
      </w:pPr>
    </w:p>
    <w:p>
      <w:pPr>
        <w:pStyle w:val="3"/>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pPr>
        <w:pStyle w:val="4"/>
        <w:spacing w:line="360" w:lineRule="auto"/>
        <w:jc w:val="center"/>
        <w:rPr>
          <w:rFonts w:ascii="宋体" w:hAnsi="宋体" w:eastAsia="宋体" w:cs="宋体"/>
          <w:color w:val="auto"/>
          <w:kern w:val="0"/>
          <w:highlight w:val="none"/>
        </w:rPr>
      </w:pPr>
      <w:bookmarkStart w:id="37" w:name="_Toc243584342"/>
      <w:bookmarkStart w:id="38" w:name="_Toc29414"/>
      <w:bookmarkStart w:id="39" w:name="_Toc247301829"/>
      <w:bookmarkStart w:id="40" w:name="_Toc247292436"/>
      <w:bookmarkStart w:id="41" w:name="_Toc255977433"/>
      <w:bookmarkStart w:id="42" w:name="_Toc24704"/>
      <w:bookmarkStart w:id="43" w:name="_Toc193089296"/>
      <w:bookmarkStart w:id="44" w:name="_Toc28199"/>
      <w:bookmarkStart w:id="45" w:name="_Toc18079"/>
      <w:bookmarkStart w:id="46" w:name="_Toc243630952"/>
      <w:r>
        <w:rPr>
          <w:rFonts w:hint="eastAsia" w:ascii="宋体" w:hAnsi="宋体" w:eastAsia="宋体" w:cs="宋体"/>
          <w:color w:val="auto"/>
          <w:kern w:val="0"/>
          <w:highlight w:val="none"/>
        </w:rPr>
        <w:t>封面格式</w:t>
      </w:r>
      <w:bookmarkEnd w:id="37"/>
      <w:bookmarkEnd w:id="38"/>
      <w:bookmarkEnd w:id="39"/>
      <w:bookmarkEnd w:id="40"/>
      <w:bookmarkEnd w:id="41"/>
      <w:bookmarkEnd w:id="42"/>
      <w:bookmarkEnd w:id="43"/>
      <w:bookmarkEnd w:id="44"/>
      <w:bookmarkEnd w:id="45"/>
      <w:bookmarkEnd w:id="46"/>
    </w:p>
    <w:tbl>
      <w:tblPr>
        <w:tblStyle w:val="18"/>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pPr>
              <w:autoSpaceDE w:val="0"/>
              <w:autoSpaceDN w:val="0"/>
              <w:adjustRightInd w:val="0"/>
              <w:spacing w:line="360" w:lineRule="auto"/>
              <w:jc w:val="center"/>
              <w:outlineLvl w:val="0"/>
              <w:rPr>
                <w:rFonts w:ascii="宋体" w:cs="宋体"/>
                <w:b/>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pStyle w:val="23"/>
              <w:rPr>
                <w:color w:val="auto"/>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47" w:name="_Toc243584345"/>
            <w:r>
              <w:rPr>
                <w:rFonts w:hint="eastAsia" w:ascii="宋体" w:hAnsi="宋体" w:cs="宋体"/>
                <w:b/>
                <w:color w:val="auto"/>
                <w:kern w:val="0"/>
                <w:sz w:val="56"/>
                <w:szCs w:val="21"/>
                <w:highlight w:val="none"/>
              </w:rPr>
              <w:t>响应文件</w:t>
            </w:r>
            <w:bookmarkEnd w:id="47"/>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32"/>
                <w:szCs w:val="32"/>
                <w:highlight w:val="none"/>
              </w:rPr>
              <w:t>（正本</w:t>
            </w:r>
            <w:r>
              <w:rPr>
                <w:rFonts w:ascii="宋体" w:hAnsi="宋体" w:cs="宋体"/>
                <w:b/>
                <w:color w:val="auto"/>
                <w:kern w:val="0"/>
                <w:sz w:val="32"/>
                <w:szCs w:val="32"/>
                <w:highlight w:val="none"/>
              </w:rPr>
              <w:t>/</w:t>
            </w:r>
            <w:r>
              <w:rPr>
                <w:rFonts w:hint="eastAsia" w:ascii="宋体" w:hAnsi="宋体" w:cs="宋体"/>
                <w:b/>
                <w:color w:val="auto"/>
                <w:kern w:val="0"/>
                <w:sz w:val="32"/>
                <w:szCs w:val="32"/>
                <w:highlight w:val="none"/>
              </w:rPr>
              <w:t>副本）</w:t>
            </w: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rPr>
                <w:rFonts w:ascii="宋体" w:cs="宋体"/>
                <w:color w:val="auto"/>
                <w:kern w:val="0"/>
                <w:sz w:val="22"/>
                <w:szCs w:val="21"/>
                <w:highlight w:val="none"/>
              </w:rPr>
            </w:pPr>
          </w:p>
          <w:p>
            <w:pPr>
              <w:autoSpaceDE w:val="0"/>
              <w:autoSpaceDN w:val="0"/>
              <w:adjustRightInd w:val="0"/>
              <w:spacing w:line="360" w:lineRule="auto"/>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48" w:name="_Toc243584346"/>
            <w:r>
              <w:rPr>
                <w:rFonts w:hint="eastAsia" w:ascii="宋体" w:hAnsi="宋体" w:cs="宋体"/>
                <w:color w:val="auto"/>
                <w:kern w:val="0"/>
                <w:sz w:val="24"/>
                <w:szCs w:val="21"/>
                <w:highlight w:val="none"/>
              </w:rPr>
              <w:t>项目名称：</w:t>
            </w:r>
            <w:bookmarkEnd w:id="48"/>
          </w:p>
          <w:p>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49"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49"/>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pPr>
        <w:pStyle w:val="24"/>
        <w:spacing w:line="360" w:lineRule="auto"/>
        <w:jc w:val="center"/>
        <w:rPr>
          <w:rFonts w:ascii="宋体" w:hAnsi="宋体"/>
          <w:b/>
          <w:color w:val="auto"/>
          <w:sz w:val="28"/>
          <w:szCs w:val="28"/>
          <w:highlight w:val="none"/>
        </w:rPr>
      </w:pPr>
    </w:p>
    <w:p>
      <w:pPr>
        <w:pStyle w:val="24"/>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4"/>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有效的营业执照副本复印件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有效的资质证书副本复印件</w:t>
      </w:r>
      <w:r>
        <w:rPr>
          <w:rFonts w:hint="eastAsia" w:ascii="宋体" w:hAnsi="宋体"/>
          <w:color w:val="auto"/>
          <w:szCs w:val="21"/>
          <w:highlight w:val="none"/>
        </w:rPr>
        <w:t>及有效的安全生产许可证</w:t>
      </w:r>
      <w:r>
        <w:rPr>
          <w:rFonts w:hint="eastAsia" w:ascii="宋体" w:hAnsi="宋体"/>
          <w:color w:val="auto"/>
          <w:szCs w:val="21"/>
          <w:highlight w:val="none"/>
          <w:lang w:eastAsia="zh-CN"/>
        </w:rPr>
        <w:t>副本</w:t>
      </w:r>
      <w:r>
        <w:rPr>
          <w:rFonts w:hint="eastAsia" w:ascii="宋体" w:hAnsi="宋体"/>
          <w:color w:val="auto"/>
          <w:szCs w:val="21"/>
          <w:highlight w:val="none"/>
        </w:rPr>
        <w:t>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拟派项目经理的身份证复印件、</w:t>
      </w:r>
      <w:r>
        <w:rPr>
          <w:rFonts w:hint="eastAsia" w:ascii="宋体" w:hAnsi="宋体"/>
          <w:color w:val="auto"/>
          <w:szCs w:val="21"/>
          <w:highlight w:val="none"/>
          <w:lang w:eastAsia="zh-CN"/>
        </w:rPr>
        <w:t>注册建造师证和安全生产考核合格证书（B类）等证明材料复印件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（6）参加</w:t>
      </w:r>
      <w:r>
        <w:rPr>
          <w:rFonts w:hint="eastAsia" w:ascii="宋体" w:hAnsi="宋体"/>
          <w:color w:val="auto"/>
          <w:szCs w:val="21"/>
          <w:highlight w:val="none"/>
        </w:rPr>
        <w:t>政府</w:t>
      </w:r>
      <w:r>
        <w:rPr>
          <w:rFonts w:ascii="宋体" w:hAnsi="宋体"/>
          <w:color w:val="auto"/>
          <w:szCs w:val="21"/>
          <w:highlight w:val="none"/>
        </w:rPr>
        <w:t>采购活动前3年内在经营活动中没有重大违法记录的</w:t>
      </w:r>
      <w:r>
        <w:rPr>
          <w:rFonts w:hint="eastAsia" w:ascii="宋体" w:hAnsi="宋体"/>
          <w:color w:val="auto"/>
          <w:szCs w:val="21"/>
          <w:highlight w:val="none"/>
          <w:lang w:eastAsia="zh-CN"/>
        </w:rPr>
        <w:t>书面声明函</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ascii="宋体" w:hAnsi="宋体" w:cs="宋体"/>
          <w:color w:val="auto"/>
          <w:highlight w:val="none"/>
        </w:rPr>
        <w:t>（格式见第四章）</w:t>
      </w:r>
      <w:r>
        <w:rPr>
          <w:rFonts w:ascii="宋体" w:hAnsi="宋体"/>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供应商依法缴纳税收的相关材料（竞标截止前半年内任意3个月的依法缴纳税收或无欠税证明复印件；依法免税的供应商，必须提供相应文件证明其依法免税。从取得营业执照时间起到首次响应文件提交截止时间为止不足要求月数的，只需提供从取得营业执照起的依法缴纳税收相应证明文件）（必须提供，否则竞标无效）</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eastAsia="zh-CN"/>
        </w:rPr>
        <w:t>供应商依法缴纳社会保障资金的相关材料（竞标截止半年内任意3个月的依法缴纳社会保障资金的证明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必须提供，否则响应文件按无效响应处理）</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color w:val="auto"/>
          <w:sz w:val="21"/>
          <w:szCs w:val="21"/>
          <w:highlight w:val="none"/>
          <w:lang w:eastAsia="zh-CN"/>
        </w:rPr>
        <w:t>本项目属于专门面向中小企业采购的项目，根据财库【2020】46号《政府采购促进中小企业发展管理办法》要求，供应商必须为中小企业</w:t>
      </w:r>
      <w:r>
        <w:rPr>
          <w:rFonts w:ascii="宋体" w:hAnsi="宋体"/>
          <w:b/>
          <w:bCs/>
          <w:color w:val="auto"/>
          <w:szCs w:val="21"/>
          <w:highlight w:val="none"/>
        </w:rPr>
        <w:t>（</w:t>
      </w:r>
      <w:r>
        <w:rPr>
          <w:rFonts w:hint="eastAsia" w:ascii="宋体" w:hAnsi="宋体"/>
          <w:b/>
          <w:bCs/>
          <w:color w:val="auto"/>
          <w:szCs w:val="21"/>
          <w:highlight w:val="none"/>
          <w:lang w:eastAsia="zh-CN"/>
        </w:rPr>
        <w:t>必须提供中小企业声明函或</w:t>
      </w:r>
      <w:r>
        <w:rPr>
          <w:rFonts w:hint="eastAsia" w:ascii="宋体" w:hAnsi="宋体"/>
          <w:b/>
          <w:bCs/>
          <w:color w:val="auto"/>
          <w:szCs w:val="21"/>
          <w:highlight w:val="none"/>
          <w:lang w:val="en-US" w:eastAsia="zh-CN"/>
        </w:rPr>
        <w:t>46号文要求提供的证明文件</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b/>
          <w:bCs/>
          <w:color w:val="auto"/>
          <w:szCs w:val="21"/>
          <w:highlight w:val="none"/>
          <w:lang w:eastAsia="zh-CN"/>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 w:val="28"/>
          <w:szCs w:val="28"/>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12</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24"/>
        <w:spacing w:line="360" w:lineRule="auto"/>
        <w:rPr>
          <w:rFonts w:ascii="宋体" w:hAnsi="宋体"/>
          <w:b/>
          <w:color w:val="auto"/>
          <w:sz w:val="28"/>
          <w:szCs w:val="28"/>
          <w:highlight w:val="none"/>
        </w:rPr>
      </w:pPr>
    </w:p>
    <w:p>
      <w:pPr>
        <w:pStyle w:val="24"/>
        <w:spacing w:line="360" w:lineRule="auto"/>
        <w:rPr>
          <w:rFonts w:ascii="宋体" w:hAnsi="宋体"/>
          <w:b/>
          <w:color w:val="auto"/>
          <w:sz w:val="24"/>
          <w:highlight w:val="none"/>
        </w:rPr>
        <w:sectPr>
          <w:pgSz w:w="11906" w:h="16838"/>
          <w:pgMar w:top="1134" w:right="1134" w:bottom="1134" w:left="1417" w:header="851" w:footer="851" w:gutter="0"/>
          <w:cols w:space="720" w:num="1"/>
          <w:docGrid w:linePitch="312" w:charSpace="43007"/>
        </w:sectPr>
      </w:pPr>
    </w:p>
    <w:p>
      <w:pPr>
        <w:pStyle w:val="24"/>
        <w:spacing w:line="360" w:lineRule="auto"/>
        <w:rPr>
          <w:rFonts w:ascii="宋体" w:hAnsi="宋体"/>
          <w:b/>
          <w:color w:val="auto"/>
          <w:sz w:val="24"/>
          <w:highlight w:val="none"/>
        </w:rPr>
      </w:pPr>
      <w:r>
        <w:rPr>
          <w:rFonts w:ascii="宋体" w:hAnsi="宋体"/>
          <w:b/>
          <w:color w:val="auto"/>
          <w:sz w:val="24"/>
          <w:highlight w:val="none"/>
        </w:rPr>
        <w:t>1、法定代表人身份证明书，须附上法定代表人身份证复印件</w:t>
      </w:r>
    </w:p>
    <w:p>
      <w:pPr>
        <w:pStyle w:val="24"/>
        <w:snapToGrid w:val="0"/>
        <w:spacing w:line="360" w:lineRule="auto"/>
        <w:jc w:val="center"/>
        <w:rPr>
          <w:rFonts w:ascii="宋体" w:hAnsi="宋体"/>
          <w:b/>
          <w:color w:val="auto"/>
          <w:sz w:val="24"/>
          <w:highlight w:val="none"/>
        </w:rPr>
      </w:pPr>
    </w:p>
    <w:p>
      <w:pPr>
        <w:pStyle w:val="24"/>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pPr>
        <w:autoSpaceDE w:val="0"/>
        <w:autoSpaceDN w:val="0"/>
        <w:adjustRightInd w:val="0"/>
        <w:spacing w:line="480" w:lineRule="auto"/>
        <w:rPr>
          <w:rFonts w:ascii="宋体" w:cs="宋体"/>
          <w:color w:val="auto"/>
          <w:kern w:val="0"/>
          <w:sz w:val="21"/>
          <w:szCs w:val="21"/>
          <w:highlight w:val="none"/>
        </w:rPr>
      </w:pPr>
    </w:p>
    <w:p>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outlineLvl w:val="0"/>
        <w:rPr>
          <w:rFonts w:ascii="宋体" w:cs="宋体"/>
          <w:color w:val="auto"/>
          <w:kern w:val="0"/>
          <w:sz w:val="21"/>
          <w:szCs w:val="21"/>
          <w:highlight w:val="none"/>
          <w:u w:val="single"/>
        </w:rPr>
      </w:pPr>
      <w:bookmarkStart w:id="50" w:name="_Toc243584353"/>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bookmarkEnd w:id="50"/>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u w:val="single"/>
        </w:rPr>
        <w:t>附：法定代表人身份证正反面复印件及营业执照复印复印件</w:t>
      </w:r>
    </w:p>
    <w:p>
      <w:pPr>
        <w:pStyle w:val="24"/>
        <w:spacing w:line="360" w:lineRule="auto"/>
        <w:ind w:right="97"/>
        <w:rPr>
          <w:rFonts w:ascii="宋体" w:hAnsi="宋体" w:cs="宋体"/>
          <w:color w:val="auto"/>
          <w:sz w:val="21"/>
          <w:szCs w:val="21"/>
          <w:highlight w:val="none"/>
        </w:rPr>
      </w:pPr>
    </w:p>
    <w:p>
      <w:pPr>
        <w:pStyle w:val="24"/>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pPr>
        <w:pStyle w:val="24"/>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pPr>
        <w:pStyle w:val="24"/>
        <w:spacing w:line="360" w:lineRule="auto"/>
        <w:rPr>
          <w:rFonts w:ascii="宋体" w:hAnsi="宋体"/>
          <w:b/>
          <w:color w:val="auto"/>
          <w:sz w:val="28"/>
          <w:szCs w:val="28"/>
          <w:highlight w:val="none"/>
        </w:rPr>
      </w:pPr>
    </w:p>
    <w:p>
      <w:pPr>
        <w:pStyle w:val="24"/>
        <w:spacing w:line="360" w:lineRule="auto"/>
        <w:rPr>
          <w:rFonts w:ascii="宋体" w:hAnsi="宋体"/>
          <w:b/>
          <w:color w:val="auto"/>
          <w:sz w:val="28"/>
          <w:szCs w:val="28"/>
          <w:highlight w:val="none"/>
        </w:rPr>
      </w:pPr>
    </w:p>
    <w:p>
      <w:pPr>
        <w:pStyle w:val="24"/>
        <w:spacing w:line="360" w:lineRule="auto"/>
        <w:rPr>
          <w:rFonts w:ascii="宋体" w:hAnsi="宋体"/>
          <w:b/>
          <w:color w:val="auto"/>
          <w:sz w:val="28"/>
          <w:szCs w:val="28"/>
          <w:highlight w:val="none"/>
        </w:rPr>
      </w:pPr>
    </w:p>
    <w:p>
      <w:pPr>
        <w:pStyle w:val="24"/>
        <w:spacing w:line="360" w:lineRule="auto"/>
        <w:rPr>
          <w:rFonts w:ascii="宋体" w:hAnsi="宋体"/>
          <w:b/>
          <w:color w:val="auto"/>
          <w:sz w:val="28"/>
          <w:szCs w:val="28"/>
          <w:highlight w:val="none"/>
        </w:rPr>
      </w:pPr>
    </w:p>
    <w:p>
      <w:pPr>
        <w:pStyle w:val="25"/>
        <w:rPr>
          <w:color w:val="auto"/>
          <w:highlight w:val="none"/>
        </w:rPr>
      </w:pPr>
    </w:p>
    <w:p>
      <w:pPr>
        <w:pStyle w:val="24"/>
        <w:spacing w:line="360" w:lineRule="auto"/>
        <w:rPr>
          <w:rFonts w:ascii="宋体" w:hAnsi="宋体"/>
          <w:b/>
          <w:color w:val="auto"/>
          <w:sz w:val="28"/>
          <w:szCs w:val="28"/>
          <w:highlight w:val="none"/>
        </w:rPr>
      </w:pPr>
    </w:p>
    <w:p>
      <w:pPr>
        <w:pStyle w:val="24"/>
        <w:spacing w:line="360" w:lineRule="auto"/>
        <w:rPr>
          <w:rFonts w:ascii="宋体" w:hAnsi="宋体"/>
          <w:b/>
          <w:color w:val="auto"/>
          <w:sz w:val="24"/>
          <w:highlight w:val="none"/>
        </w:rPr>
      </w:pPr>
      <w:r>
        <w:rPr>
          <w:rFonts w:ascii="宋体" w:hAnsi="宋体"/>
          <w:b/>
          <w:color w:val="auto"/>
          <w:sz w:val="24"/>
          <w:highlight w:val="none"/>
        </w:rPr>
        <w:t>2、授权委托书及代理人身份证复印件</w:t>
      </w:r>
    </w:p>
    <w:p>
      <w:pPr>
        <w:pStyle w:val="24"/>
        <w:snapToGrid w:val="0"/>
        <w:spacing w:line="360" w:lineRule="auto"/>
        <w:jc w:val="center"/>
        <w:rPr>
          <w:rFonts w:ascii="宋体" w:hAnsi="宋体"/>
          <w:b/>
          <w:color w:val="auto"/>
          <w:sz w:val="24"/>
          <w:highlight w:val="none"/>
        </w:rPr>
      </w:pPr>
    </w:p>
    <w:p>
      <w:pPr>
        <w:pStyle w:val="24"/>
        <w:snapToGrid w:val="0"/>
        <w:spacing w:line="360" w:lineRule="auto"/>
        <w:jc w:val="center"/>
        <w:rPr>
          <w:rFonts w:ascii="宋体" w:hAnsi="宋体"/>
          <w:b/>
          <w:color w:val="auto"/>
          <w:sz w:val="24"/>
          <w:highlight w:val="none"/>
        </w:rPr>
      </w:pPr>
      <w:r>
        <w:rPr>
          <w:rFonts w:ascii="宋体" w:hAnsi="宋体"/>
          <w:b/>
          <w:color w:val="auto"/>
          <w:sz w:val="24"/>
          <w:highlight w:val="none"/>
        </w:rPr>
        <w:t>授权委托书</w:t>
      </w:r>
    </w:p>
    <w:p>
      <w:pPr>
        <w:pStyle w:val="24"/>
        <w:snapToGrid w:val="0"/>
        <w:spacing w:line="360" w:lineRule="auto"/>
        <w:rPr>
          <w:rFonts w:ascii="宋体" w:hAnsi="宋体"/>
          <w:color w:val="auto"/>
          <w:sz w:val="28"/>
          <w:szCs w:val="28"/>
          <w:highlight w:val="none"/>
        </w:rPr>
      </w:pPr>
    </w:p>
    <w:p>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pPr>
        <w:autoSpaceDE w:val="0"/>
        <w:autoSpaceDN w:val="0"/>
        <w:adjustRightInd w:val="0"/>
        <w:spacing w:line="600" w:lineRule="auto"/>
        <w:jc w:val="left"/>
        <w:rPr>
          <w:rFonts w:ascii="宋体" w:cs="宋体"/>
          <w:color w:val="auto"/>
          <w:kern w:val="0"/>
          <w:sz w:val="21"/>
          <w:szCs w:val="22"/>
          <w:highlight w:val="none"/>
          <w:u w:val="single"/>
        </w:rPr>
      </w:pPr>
      <w:bookmarkStart w:id="51" w:name="_Toc243584355"/>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w:t>
      </w:r>
      <w:r>
        <w:rPr>
          <w:rFonts w:hint="eastAsia" w:ascii="宋体" w:hAnsi="宋体" w:cs="宋体"/>
          <w:color w:val="auto"/>
          <w:kern w:val="0"/>
          <w:sz w:val="21"/>
          <w:szCs w:val="22"/>
          <w:highlight w:val="none"/>
          <w:lang w:eastAsia="zh-CN"/>
        </w:rPr>
        <w:t>，</w:t>
      </w:r>
      <w:r>
        <w:rPr>
          <w:rFonts w:hint="eastAsia" w:ascii="宋体" w:hAnsi="宋体" w:cs="宋体"/>
          <w:color w:val="auto"/>
          <w:kern w:val="0"/>
          <w:sz w:val="21"/>
          <w:szCs w:val="22"/>
          <w:highlight w:val="none"/>
        </w:rPr>
        <w:t>特此授权。</w:t>
      </w:r>
      <w:bookmarkEnd w:id="51"/>
    </w:p>
    <w:p>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52" w:name="_Toc243584356"/>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bookmarkEnd w:id="52"/>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53" w:name="_Toc243584357"/>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bookmarkEnd w:id="53"/>
    </w:p>
    <w:p>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24"/>
        <w:autoSpaceDE w:val="0"/>
        <w:autoSpaceDN w:val="0"/>
        <w:spacing w:line="360" w:lineRule="auto"/>
        <w:ind w:left="480" w:hanging="480"/>
        <w:rPr>
          <w:rFonts w:ascii="宋体" w:hAnsi="宋体"/>
          <w:color w:val="auto"/>
          <w:szCs w:val="21"/>
          <w:highlight w:val="none"/>
        </w:rPr>
      </w:pPr>
    </w:p>
    <w:p>
      <w:pPr>
        <w:pStyle w:val="24"/>
        <w:spacing w:line="360" w:lineRule="auto"/>
        <w:rPr>
          <w:rFonts w:ascii="宋体" w:hAnsi="宋体"/>
          <w:b/>
          <w:color w:val="auto"/>
          <w:sz w:val="24"/>
          <w:highlight w:val="none"/>
        </w:rPr>
      </w:pPr>
      <w:r>
        <w:rPr>
          <w:rFonts w:ascii="宋体" w:hAnsi="宋体"/>
          <w:b/>
          <w:color w:val="auto"/>
          <w:sz w:val="24"/>
          <w:highlight w:val="none"/>
        </w:rPr>
        <w:t>附：代理人身份证复印件</w:t>
      </w:r>
    </w:p>
    <w:p>
      <w:pPr>
        <w:pStyle w:val="24"/>
        <w:spacing w:line="360" w:lineRule="auto"/>
        <w:rPr>
          <w:rFonts w:ascii="宋体" w:hAnsi="宋体"/>
          <w:color w:val="auto"/>
          <w:sz w:val="24"/>
          <w:highlight w:val="none"/>
        </w:rPr>
      </w:pPr>
    </w:p>
    <w:p>
      <w:pPr>
        <w:pStyle w:val="24"/>
        <w:widowControl/>
        <w:spacing w:line="360" w:lineRule="auto"/>
        <w:jc w:val="left"/>
        <w:rPr>
          <w:rFonts w:ascii="宋体" w:hAnsi="宋体"/>
          <w:color w:val="auto"/>
          <w:sz w:val="24"/>
          <w:highlight w:val="none"/>
        </w:rPr>
      </w:pPr>
    </w:p>
    <w:p>
      <w:pPr>
        <w:pStyle w:val="25"/>
        <w:rPr>
          <w:rFonts w:ascii="宋体" w:hAnsi="宋体"/>
          <w:color w:val="auto"/>
          <w:sz w:val="24"/>
          <w:highlight w:val="none"/>
        </w:rPr>
      </w:pPr>
    </w:p>
    <w:p>
      <w:pPr>
        <w:pStyle w:val="24"/>
        <w:rPr>
          <w:rFonts w:ascii="宋体" w:hAnsi="宋体"/>
          <w:color w:val="auto"/>
          <w:sz w:val="24"/>
          <w:highlight w:val="none"/>
        </w:rPr>
      </w:pPr>
    </w:p>
    <w:p>
      <w:pPr>
        <w:pStyle w:val="25"/>
        <w:rPr>
          <w:rFonts w:ascii="宋体" w:hAnsi="宋体"/>
          <w:color w:val="auto"/>
          <w:sz w:val="24"/>
          <w:highlight w:val="none"/>
        </w:rPr>
      </w:pPr>
    </w:p>
    <w:p>
      <w:pPr>
        <w:pStyle w:val="24"/>
        <w:rPr>
          <w:rFonts w:ascii="宋体" w:hAnsi="宋体"/>
          <w:color w:val="auto"/>
          <w:sz w:val="24"/>
          <w:highlight w:val="none"/>
        </w:rPr>
      </w:pPr>
    </w:p>
    <w:p>
      <w:pPr>
        <w:pStyle w:val="25"/>
        <w:rPr>
          <w:rFonts w:ascii="宋体" w:hAnsi="宋体"/>
          <w:color w:val="auto"/>
          <w:sz w:val="24"/>
          <w:highlight w:val="none"/>
        </w:rPr>
      </w:pPr>
    </w:p>
    <w:p>
      <w:pPr>
        <w:pStyle w:val="24"/>
        <w:rPr>
          <w:rFonts w:ascii="宋体" w:hAnsi="宋体"/>
          <w:color w:val="auto"/>
          <w:sz w:val="24"/>
          <w:highlight w:val="none"/>
        </w:rPr>
      </w:pPr>
    </w:p>
    <w:p>
      <w:pPr>
        <w:pStyle w:val="25"/>
        <w:rPr>
          <w:rFonts w:ascii="宋体" w:hAnsi="宋体"/>
          <w:color w:val="auto"/>
          <w:sz w:val="24"/>
          <w:highlight w:val="none"/>
        </w:rPr>
      </w:pPr>
    </w:p>
    <w:p>
      <w:pPr>
        <w:pStyle w:val="24"/>
        <w:rPr>
          <w:rFonts w:ascii="宋体" w:hAnsi="宋体"/>
          <w:color w:val="auto"/>
          <w:sz w:val="24"/>
          <w:highlight w:val="none"/>
        </w:rPr>
      </w:pPr>
    </w:p>
    <w:p>
      <w:pPr>
        <w:pStyle w:val="25"/>
        <w:rPr>
          <w:rFonts w:ascii="宋体" w:hAnsi="宋体"/>
          <w:color w:val="auto"/>
          <w:sz w:val="24"/>
          <w:highlight w:val="none"/>
        </w:rPr>
      </w:pPr>
    </w:p>
    <w:p>
      <w:pPr>
        <w:pStyle w:val="24"/>
        <w:rPr>
          <w:rFonts w:ascii="宋体" w:hAnsi="宋体"/>
          <w:color w:val="auto"/>
          <w:sz w:val="24"/>
          <w:highlight w:val="none"/>
        </w:rPr>
      </w:pPr>
    </w:p>
    <w:p>
      <w:pPr>
        <w:pStyle w:val="25"/>
        <w:rPr>
          <w:color w:val="auto"/>
          <w:highlight w:val="none"/>
        </w:rPr>
      </w:pPr>
    </w:p>
    <w:p>
      <w:pPr>
        <w:pStyle w:val="25"/>
        <w:rPr>
          <w:color w:val="auto"/>
          <w:highlight w:val="none"/>
        </w:rPr>
      </w:pPr>
    </w:p>
    <w:p>
      <w:pPr>
        <w:pStyle w:val="24"/>
        <w:spacing w:line="360" w:lineRule="auto"/>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lang w:eastAsia="zh-CN"/>
        </w:rPr>
        <w:t>有效的营业执照副本复印件</w:t>
      </w:r>
      <w:r>
        <w:rPr>
          <w:rFonts w:ascii="宋体" w:hAnsi="宋体"/>
          <w:b/>
          <w:color w:val="auto"/>
          <w:sz w:val="24"/>
          <w:highlight w:val="none"/>
        </w:rPr>
        <w:t>；</w:t>
      </w:r>
    </w:p>
    <w:p>
      <w:pPr>
        <w:pStyle w:val="24"/>
        <w:spacing w:line="360" w:lineRule="auto"/>
        <w:rPr>
          <w:rFonts w:ascii="宋体" w:hAnsi="宋体"/>
          <w:b/>
          <w:color w:val="auto"/>
          <w:sz w:val="28"/>
          <w:szCs w:val="28"/>
          <w:highlight w:val="none"/>
        </w:rPr>
      </w:pPr>
    </w:p>
    <w:p>
      <w:pPr>
        <w:pStyle w:val="24"/>
        <w:spacing w:line="360" w:lineRule="auto"/>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lang w:eastAsia="zh-CN"/>
        </w:rPr>
        <w:t>有效的资质证书副本复印件</w:t>
      </w:r>
      <w:r>
        <w:rPr>
          <w:rFonts w:hint="eastAsia" w:ascii="宋体" w:hAnsi="宋体"/>
          <w:b/>
          <w:color w:val="auto"/>
          <w:sz w:val="24"/>
          <w:highlight w:val="none"/>
        </w:rPr>
        <w:t>及</w:t>
      </w:r>
      <w:r>
        <w:rPr>
          <w:rFonts w:hint="eastAsia" w:ascii="宋体" w:hAnsi="宋体"/>
          <w:b/>
          <w:color w:val="auto"/>
          <w:sz w:val="24"/>
          <w:highlight w:val="none"/>
          <w:lang w:eastAsia="zh-CN"/>
        </w:rPr>
        <w:t>有效的安全生产许可证副本复印件</w:t>
      </w:r>
      <w:r>
        <w:rPr>
          <w:rFonts w:hint="eastAsia" w:ascii="宋体" w:hAnsi="宋体"/>
          <w:b/>
          <w:color w:val="auto"/>
          <w:sz w:val="24"/>
          <w:highlight w:val="none"/>
        </w:rPr>
        <w:t>；</w:t>
      </w:r>
    </w:p>
    <w:p>
      <w:pPr>
        <w:pStyle w:val="25"/>
        <w:rPr>
          <w:color w:val="auto"/>
          <w:highlight w:val="none"/>
        </w:rPr>
      </w:pPr>
    </w:p>
    <w:p>
      <w:pPr>
        <w:pStyle w:val="24"/>
        <w:numPr>
          <w:ilvl w:val="0"/>
          <w:numId w:val="3"/>
        </w:numPr>
        <w:spacing w:line="360" w:lineRule="auto"/>
        <w:jc w:val="left"/>
        <w:rPr>
          <w:rFonts w:hint="eastAsia" w:ascii="宋体" w:hAnsi="宋体"/>
          <w:b/>
          <w:color w:val="auto"/>
          <w:sz w:val="24"/>
          <w:highlight w:val="none"/>
        </w:rPr>
      </w:pPr>
      <w:r>
        <w:rPr>
          <w:rFonts w:hint="eastAsia" w:ascii="宋体" w:hAnsi="宋体"/>
          <w:b/>
          <w:color w:val="auto"/>
          <w:sz w:val="24"/>
          <w:highlight w:val="none"/>
        </w:rPr>
        <w:t>拟派项目经理的身份证复印件、</w:t>
      </w:r>
      <w:r>
        <w:rPr>
          <w:rFonts w:hint="eastAsia" w:ascii="宋体" w:hAnsi="宋体"/>
          <w:b/>
          <w:color w:val="auto"/>
          <w:sz w:val="24"/>
          <w:highlight w:val="none"/>
          <w:lang w:eastAsia="zh-CN"/>
        </w:rPr>
        <w:t>注册建造师证和安全生产考核合格证书（B类）等证明材料复印件</w:t>
      </w:r>
    </w:p>
    <w:p>
      <w:pPr>
        <w:pStyle w:val="25"/>
        <w:rPr>
          <w:b/>
          <w:color w:val="auto"/>
          <w:sz w:val="32"/>
          <w:szCs w:val="32"/>
          <w:highlight w:val="none"/>
        </w:rPr>
      </w:pPr>
    </w:p>
    <w:p>
      <w:pPr>
        <w:pStyle w:val="24"/>
        <w:numPr>
          <w:ilvl w:val="0"/>
          <w:numId w:val="3"/>
        </w:numPr>
        <w:spacing w:line="360" w:lineRule="auto"/>
        <w:jc w:val="left"/>
        <w:rPr>
          <w:rFonts w:hint="eastAsia" w:ascii="宋体" w:hAnsi="宋体"/>
          <w:b/>
          <w:color w:val="auto"/>
          <w:sz w:val="24"/>
          <w:highlight w:val="none"/>
        </w:rPr>
      </w:pPr>
      <w:r>
        <w:rPr>
          <w:rFonts w:hint="eastAsia" w:ascii="宋体" w:hAnsi="宋体"/>
          <w:b/>
          <w:color w:val="auto"/>
          <w:sz w:val="24"/>
          <w:highlight w:val="none"/>
        </w:rPr>
        <w:t>参加政府采购活动前3年内在经营活动中没有重大违法记录的</w:t>
      </w:r>
      <w:r>
        <w:rPr>
          <w:rFonts w:hint="eastAsia" w:ascii="宋体" w:hAnsi="宋体"/>
          <w:b/>
          <w:color w:val="auto"/>
          <w:sz w:val="24"/>
          <w:highlight w:val="none"/>
          <w:lang w:eastAsia="zh-CN"/>
        </w:rPr>
        <w:t>书面声明函</w:t>
      </w:r>
      <w:r>
        <w:rPr>
          <w:rFonts w:hint="eastAsia" w:ascii="宋体" w:hAnsi="宋体"/>
          <w:b/>
          <w:color w:val="auto"/>
          <w:sz w:val="24"/>
          <w:highlight w:val="none"/>
        </w:rPr>
        <w:t xml:space="preserve"> </w:t>
      </w:r>
    </w:p>
    <w:p>
      <w:pPr>
        <w:pStyle w:val="24"/>
        <w:spacing w:line="360" w:lineRule="auto"/>
        <w:rPr>
          <w:rFonts w:ascii="宋体" w:hAnsi="宋体"/>
          <w:color w:val="auto"/>
          <w:sz w:val="21"/>
          <w:szCs w:val="21"/>
          <w:highlight w:val="none"/>
          <w:u w:val="single"/>
        </w:rPr>
      </w:pPr>
      <w:r>
        <w:rPr>
          <w:rFonts w:ascii="宋体" w:hAnsi="宋体"/>
          <w:color w:val="auto"/>
          <w:sz w:val="21"/>
          <w:szCs w:val="21"/>
          <w:highlight w:val="none"/>
          <w:u w:val="single"/>
        </w:rPr>
        <w:t>（代理公司</w:t>
      </w:r>
      <w:r>
        <w:rPr>
          <w:rFonts w:hint="eastAsia" w:ascii="宋体" w:hAnsi="宋体"/>
          <w:color w:val="auto"/>
          <w:sz w:val="21"/>
          <w:szCs w:val="21"/>
          <w:highlight w:val="none"/>
          <w:u w:val="single"/>
          <w:lang w:val="en-US" w:eastAsia="zh-CN"/>
        </w:rPr>
        <w:t>/采购人</w:t>
      </w:r>
      <w:r>
        <w:rPr>
          <w:rFonts w:ascii="宋体" w:hAnsi="宋体"/>
          <w:color w:val="auto"/>
          <w:sz w:val="21"/>
          <w:szCs w:val="21"/>
          <w:highlight w:val="none"/>
          <w:u w:val="single"/>
        </w:rPr>
        <w:t xml:space="preserve">）： </w:t>
      </w:r>
    </w:p>
    <w:p>
      <w:pPr>
        <w:pStyle w:val="24"/>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我公司参加贵公司组织项目的</w:t>
      </w:r>
      <w:r>
        <w:rPr>
          <w:rFonts w:hint="eastAsia" w:ascii="宋体" w:hAnsi="宋体"/>
          <w:color w:val="auto"/>
          <w:sz w:val="21"/>
          <w:szCs w:val="21"/>
          <w:highlight w:val="none"/>
        </w:rPr>
        <w:t>政府</w:t>
      </w:r>
      <w:r>
        <w:rPr>
          <w:rFonts w:ascii="宋体" w:hAnsi="宋体"/>
          <w:color w:val="auto"/>
          <w:sz w:val="21"/>
          <w:szCs w:val="21"/>
          <w:highlight w:val="none"/>
        </w:rPr>
        <w:t>采购活动。我公司在此郑重声明，我公司参加本项目的</w:t>
      </w:r>
      <w:r>
        <w:rPr>
          <w:rFonts w:hint="eastAsia" w:ascii="宋体" w:hAnsi="宋体"/>
          <w:color w:val="auto"/>
          <w:sz w:val="21"/>
          <w:szCs w:val="21"/>
          <w:highlight w:val="none"/>
        </w:rPr>
        <w:t>政府</w:t>
      </w:r>
      <w:r>
        <w:rPr>
          <w:rFonts w:ascii="宋体" w:hAnsi="宋体"/>
          <w:color w:val="auto"/>
          <w:sz w:val="21"/>
          <w:szCs w:val="21"/>
          <w:highlight w:val="none"/>
        </w:rPr>
        <w:t>采购活动前三年内在经营活动中没有重大违法记录，符合《中华人民共和国政府采购法》及《中华人民共和国政府采购实施条例》规定的供应商条件，我公司对此声明负全部法律责任。</w:t>
      </w:r>
    </w:p>
    <w:p>
      <w:pPr>
        <w:pStyle w:val="24"/>
        <w:spacing w:line="360" w:lineRule="auto"/>
        <w:rPr>
          <w:rFonts w:ascii="宋体" w:hAnsi="宋体"/>
          <w:color w:val="auto"/>
          <w:sz w:val="21"/>
          <w:szCs w:val="21"/>
          <w:highlight w:val="none"/>
        </w:rPr>
      </w:pPr>
      <w:r>
        <w:rPr>
          <w:rFonts w:ascii="宋体" w:hAnsi="宋体"/>
          <w:color w:val="auto"/>
          <w:sz w:val="21"/>
          <w:szCs w:val="21"/>
          <w:highlight w:val="none"/>
        </w:rPr>
        <w:t>特此承诺。</w:t>
      </w:r>
    </w:p>
    <w:p>
      <w:pPr>
        <w:pStyle w:val="24"/>
        <w:spacing w:line="360" w:lineRule="auto"/>
        <w:rPr>
          <w:rFonts w:ascii="宋体" w:hAnsi="宋体"/>
          <w:color w:val="auto"/>
          <w:sz w:val="21"/>
          <w:szCs w:val="21"/>
          <w:highlight w:val="none"/>
        </w:rPr>
      </w:pPr>
    </w:p>
    <w:p>
      <w:pPr>
        <w:pStyle w:val="24"/>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盖章</w:t>
      </w:r>
      <w:r>
        <w:rPr>
          <w:rFonts w:hint="eastAsia" w:ascii="宋体" w:hAnsi="宋体"/>
          <w:color w:val="auto"/>
          <w:sz w:val="21"/>
          <w:szCs w:val="21"/>
          <w:highlight w:val="none"/>
        </w:rPr>
        <w:t>）</w:t>
      </w:r>
      <w:r>
        <w:rPr>
          <w:rFonts w:ascii="宋体" w:hAnsi="宋体"/>
          <w:color w:val="auto"/>
          <w:sz w:val="21"/>
          <w:szCs w:val="21"/>
          <w:highlight w:val="none"/>
        </w:rPr>
        <w:t xml:space="preserve">：  </w:t>
      </w:r>
    </w:p>
    <w:p>
      <w:pPr>
        <w:pStyle w:val="24"/>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4"/>
        <w:spacing w:line="360" w:lineRule="auto"/>
        <w:rPr>
          <w:rFonts w:ascii="宋体" w:hAnsi="宋体"/>
          <w:color w:val="auto"/>
          <w:sz w:val="21"/>
          <w:szCs w:val="21"/>
          <w:highlight w:val="none"/>
        </w:rPr>
      </w:pPr>
      <w:r>
        <w:rPr>
          <w:rFonts w:ascii="宋体" w:hAnsi="宋体"/>
          <w:color w:val="auto"/>
          <w:sz w:val="21"/>
          <w:szCs w:val="21"/>
          <w:highlight w:val="none"/>
        </w:rPr>
        <w:t>日期：     年     月     日</w:t>
      </w:r>
    </w:p>
    <w:p>
      <w:pPr>
        <w:pStyle w:val="25"/>
        <w:rPr>
          <w:color w:val="auto"/>
          <w:highlight w:val="none"/>
        </w:rPr>
      </w:pPr>
    </w:p>
    <w:p>
      <w:pPr>
        <w:pStyle w:val="24"/>
        <w:numPr>
          <w:ilvl w:val="0"/>
          <w:numId w:val="3"/>
        </w:numPr>
        <w:spacing w:line="360" w:lineRule="auto"/>
        <w:jc w:val="left"/>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供应商依法缴纳税收的相关材料;</w:t>
      </w:r>
    </w:p>
    <w:p>
      <w:pPr>
        <w:pStyle w:val="24"/>
        <w:numPr>
          <w:ilvl w:val="0"/>
          <w:numId w:val="3"/>
        </w:numPr>
        <w:spacing w:line="360" w:lineRule="auto"/>
        <w:jc w:val="left"/>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供应商依法缴纳社会保障资金的相关材料；</w:t>
      </w:r>
    </w:p>
    <w:p>
      <w:pPr>
        <w:pStyle w:val="24"/>
        <w:numPr>
          <w:ilvl w:val="0"/>
          <w:numId w:val="0"/>
        </w:numPr>
        <w:spacing w:line="360" w:lineRule="auto"/>
        <w:jc w:val="left"/>
        <w:rPr>
          <w:rFonts w:hint="eastAsia" w:ascii="宋体" w:hAnsi="宋体" w:eastAsia="宋体"/>
          <w:b/>
          <w:color w:val="auto"/>
          <w:sz w:val="24"/>
          <w:highlight w:val="none"/>
          <w:lang w:eastAsia="zh-CN"/>
        </w:rPr>
      </w:pPr>
    </w:p>
    <w:p>
      <w:pPr>
        <w:pStyle w:val="24"/>
        <w:rPr>
          <w:rFonts w:hint="eastAsia" w:ascii="宋体" w:hAnsi="宋体"/>
          <w:b/>
          <w:color w:val="auto"/>
          <w:sz w:val="24"/>
          <w:highlight w:val="none"/>
          <w:lang w:eastAsia="zh-CN"/>
        </w:rPr>
      </w:pPr>
    </w:p>
    <w:p>
      <w:pPr>
        <w:pStyle w:val="25"/>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5"/>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5"/>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5"/>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5"/>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5"/>
        <w:rPr>
          <w:rFonts w:hint="default"/>
          <w:color w:val="auto"/>
          <w:highlight w:val="none"/>
          <w:lang w:val="en-US" w:eastAsia="zh-CN"/>
        </w:rPr>
      </w:pPr>
    </w:p>
    <w:p>
      <w:pPr>
        <w:pStyle w:val="24"/>
        <w:numPr>
          <w:ilvl w:val="0"/>
          <w:numId w:val="3"/>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eastAsia="zh-CN"/>
        </w:rPr>
        <w:t>投标人直接控股、管理关系信息表</w:t>
      </w:r>
    </w:p>
    <w:p>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1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bl>
    <w:p>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pStyle w:val="24"/>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4"/>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snapToGrid w:val="0"/>
        <w:jc w:val="center"/>
        <w:rPr>
          <w:rFonts w:ascii="宋体" w:hAnsi="宋体"/>
          <w:b/>
          <w:color w:val="auto"/>
          <w:sz w:val="28"/>
          <w:szCs w:val="28"/>
          <w:highlight w:val="none"/>
        </w:rPr>
      </w:pPr>
      <w:r>
        <w:rPr>
          <w:color w:val="auto"/>
        </w:rPr>
        <w:br w:type="page"/>
      </w:r>
    </w:p>
    <w:p>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18"/>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bl>
    <w:p>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rFonts w:ascii="宋体" w:hAnsi="宋体"/>
          <w:color w:val="auto"/>
          <w:szCs w:val="21"/>
          <w:highlight w:val="none"/>
        </w:rPr>
      </w:pPr>
    </w:p>
    <w:p>
      <w:pPr>
        <w:pStyle w:val="24"/>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4"/>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pStyle w:val="11"/>
        <w:spacing w:line="460" w:lineRule="exact"/>
        <w:ind w:firstLine="420"/>
        <w:rPr>
          <w:rFonts w:hint="eastAsia"/>
          <w:color w:val="auto"/>
          <w:szCs w:val="21"/>
          <w:highlight w:val="none"/>
          <w:u w:val="single"/>
        </w:rPr>
      </w:pPr>
    </w:p>
    <w:p>
      <w:pPr>
        <w:pStyle w:val="25"/>
        <w:rPr>
          <w:rFonts w:hint="eastAsia"/>
          <w:color w:val="auto"/>
          <w:highlight w:val="none"/>
        </w:rPr>
      </w:pPr>
    </w:p>
    <w:p>
      <w:pPr>
        <w:pStyle w:val="24"/>
        <w:rPr>
          <w:rFonts w:hint="eastAsia"/>
          <w:color w:val="auto"/>
          <w:highlight w:val="none"/>
        </w:rPr>
      </w:pPr>
    </w:p>
    <w:p>
      <w:pPr>
        <w:pStyle w:val="25"/>
        <w:rPr>
          <w:rFonts w:hint="eastAsia"/>
          <w:color w:val="auto"/>
          <w:highlight w:val="none"/>
        </w:rPr>
      </w:pPr>
    </w:p>
    <w:p>
      <w:pPr>
        <w:pStyle w:val="24"/>
        <w:rPr>
          <w:rFonts w:hint="eastAsia"/>
          <w:color w:val="auto"/>
          <w:highlight w:val="none"/>
        </w:rPr>
      </w:pPr>
    </w:p>
    <w:p>
      <w:pPr>
        <w:pStyle w:val="25"/>
        <w:rPr>
          <w:rFonts w:hint="eastAsia"/>
          <w:color w:val="auto"/>
          <w:highlight w:val="none"/>
        </w:rPr>
      </w:pPr>
    </w:p>
    <w:p>
      <w:pPr>
        <w:pStyle w:val="24"/>
        <w:rPr>
          <w:rFonts w:hint="eastAsia"/>
          <w:color w:val="auto"/>
          <w:highlight w:val="none"/>
        </w:rPr>
      </w:pPr>
    </w:p>
    <w:p>
      <w:pPr>
        <w:pStyle w:val="25"/>
        <w:rPr>
          <w:rFonts w:hint="eastAsia"/>
          <w:color w:val="auto"/>
          <w:highlight w:val="none"/>
        </w:rPr>
      </w:pPr>
    </w:p>
    <w:p>
      <w:pPr>
        <w:pStyle w:val="24"/>
        <w:rPr>
          <w:rFonts w:hint="eastAsia"/>
          <w:color w:val="auto"/>
          <w:highlight w:val="none"/>
        </w:rPr>
      </w:pPr>
    </w:p>
    <w:p>
      <w:pPr>
        <w:pStyle w:val="25"/>
        <w:rPr>
          <w:rFonts w:hint="eastAsia"/>
          <w:color w:val="auto"/>
          <w:highlight w:val="none"/>
        </w:rPr>
      </w:pPr>
    </w:p>
    <w:p>
      <w:pPr>
        <w:pStyle w:val="24"/>
        <w:rPr>
          <w:rFonts w:hint="eastAsia"/>
          <w:color w:val="auto"/>
          <w:highlight w:val="none"/>
        </w:rPr>
      </w:pPr>
    </w:p>
    <w:p>
      <w:pPr>
        <w:pStyle w:val="25"/>
        <w:rPr>
          <w:rFonts w:hint="eastAsia"/>
          <w:color w:val="auto"/>
          <w:highlight w:val="none"/>
        </w:rPr>
      </w:pPr>
    </w:p>
    <w:p>
      <w:pPr>
        <w:pStyle w:val="24"/>
        <w:rPr>
          <w:rFonts w:hint="eastAsia"/>
          <w:color w:val="auto"/>
          <w:highlight w:val="none"/>
        </w:rPr>
      </w:pPr>
    </w:p>
    <w:p>
      <w:pPr>
        <w:pStyle w:val="25"/>
        <w:rPr>
          <w:rFonts w:hint="eastAsia"/>
          <w:color w:val="auto"/>
          <w:highlight w:val="none"/>
        </w:rPr>
      </w:pPr>
    </w:p>
    <w:p>
      <w:pPr>
        <w:pStyle w:val="24"/>
        <w:rPr>
          <w:rFonts w:hint="eastAsia"/>
          <w:color w:val="auto"/>
          <w:highlight w:val="none"/>
        </w:rPr>
      </w:pPr>
    </w:p>
    <w:p>
      <w:pPr>
        <w:pStyle w:val="25"/>
        <w:rPr>
          <w:rFonts w:hint="eastAsia"/>
          <w:color w:val="auto"/>
          <w:highlight w:val="none"/>
        </w:rPr>
      </w:pPr>
    </w:p>
    <w:p>
      <w:pPr>
        <w:pStyle w:val="24"/>
        <w:rPr>
          <w:rFonts w:hint="eastAsia"/>
          <w:color w:val="auto"/>
          <w:highlight w:val="none"/>
        </w:rPr>
      </w:pPr>
    </w:p>
    <w:p>
      <w:pPr>
        <w:pStyle w:val="24"/>
        <w:numPr>
          <w:ilvl w:val="0"/>
          <w:numId w:val="3"/>
        </w:numPr>
        <w:spacing w:line="360" w:lineRule="auto"/>
        <w:ind w:left="0" w:leftChars="0" w:firstLine="0" w:firstLine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无虚假应标、串通竞标行为的承诺函;（必须提供）</w:t>
      </w:r>
    </w:p>
    <w:p>
      <w:pPr>
        <w:pStyle w:val="25"/>
        <w:numPr>
          <w:ilvl w:val="0"/>
          <w:numId w:val="0"/>
        </w:numPr>
        <w:ind w:leftChars="0"/>
        <w:rPr>
          <w:rFonts w:hint="eastAsia"/>
          <w:color w:val="auto"/>
          <w:highlight w:val="none"/>
          <w:lang w:val="en-US" w:eastAsia="zh-CN"/>
        </w:rPr>
      </w:pPr>
    </w:p>
    <w:p>
      <w:pPr>
        <w:pStyle w:val="24"/>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pPr>
        <w:pStyle w:val="24"/>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pPr>
        <w:pStyle w:val="24"/>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pPr>
        <w:pStyle w:val="24"/>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pPr>
        <w:pStyle w:val="24"/>
        <w:spacing w:line="360" w:lineRule="auto"/>
        <w:rPr>
          <w:rFonts w:ascii="宋体" w:hAnsi="宋体" w:cs="仿宋_GB2312"/>
          <w:color w:val="auto"/>
          <w:sz w:val="21"/>
          <w:szCs w:val="21"/>
          <w:highlight w:val="none"/>
        </w:rPr>
      </w:pPr>
    </w:p>
    <w:p>
      <w:pPr>
        <w:pStyle w:val="24"/>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pPr>
        <w:pStyle w:val="24"/>
        <w:spacing w:line="360" w:lineRule="auto"/>
        <w:rPr>
          <w:rFonts w:ascii="宋体" w:hAnsi="宋体" w:cs="仿宋_GB2312"/>
          <w:color w:val="auto"/>
          <w:sz w:val="21"/>
          <w:szCs w:val="21"/>
          <w:highlight w:val="none"/>
        </w:rPr>
      </w:pPr>
    </w:p>
    <w:p>
      <w:pPr>
        <w:pStyle w:val="24"/>
        <w:spacing w:line="360" w:lineRule="auto"/>
        <w:rPr>
          <w:rFonts w:ascii="宋体" w:hAnsi="宋体" w:cs="仿宋_GB2312"/>
          <w:color w:val="auto"/>
          <w:sz w:val="21"/>
          <w:szCs w:val="21"/>
          <w:highlight w:val="none"/>
        </w:rPr>
      </w:pPr>
    </w:p>
    <w:p>
      <w:pPr>
        <w:pStyle w:val="24"/>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pPr>
        <w:pStyle w:val="24"/>
        <w:spacing w:line="360" w:lineRule="auto"/>
        <w:jc w:val="both"/>
        <w:rPr>
          <w:rFonts w:ascii="宋体" w:hAnsi="宋体" w:cs="仿宋_GB2312"/>
          <w:color w:val="auto"/>
          <w:sz w:val="21"/>
          <w:szCs w:val="21"/>
          <w:highlight w:val="none"/>
        </w:rPr>
      </w:pPr>
      <w:r>
        <w:rPr>
          <w:rFonts w:hint="eastAsia" w:ascii="宋体" w:hAnsi="宋体" w:cs="仿宋_GB2312"/>
          <w:color w:val="auto"/>
          <w:sz w:val="21"/>
          <w:szCs w:val="21"/>
          <w:highlight w:val="none"/>
          <w:lang w:val="en-US" w:eastAsia="zh-CN"/>
        </w:rPr>
        <w:t xml:space="preserve">日期：  </w:t>
      </w:r>
      <w:r>
        <w:rPr>
          <w:rFonts w:ascii="宋体" w:hAnsi="宋体" w:cs="仿宋_GB2312"/>
          <w:color w:val="auto"/>
          <w:sz w:val="21"/>
          <w:szCs w:val="21"/>
          <w:highlight w:val="none"/>
        </w:rPr>
        <w:t xml:space="preserve">年   </w:t>
      </w:r>
      <w:r>
        <w:rPr>
          <w:rFonts w:hint="eastAsia" w:ascii="宋体" w:hAnsi="宋体" w:cs="仿宋_GB2312"/>
          <w:color w:val="auto"/>
          <w:sz w:val="21"/>
          <w:szCs w:val="21"/>
          <w:highlight w:val="none"/>
          <w:lang w:val="en-US" w:eastAsia="zh-CN"/>
        </w:rPr>
        <w:t xml:space="preserve"> </w:t>
      </w:r>
      <w:r>
        <w:rPr>
          <w:rFonts w:ascii="宋体" w:hAnsi="宋体" w:cs="仿宋_GB2312"/>
          <w:color w:val="auto"/>
          <w:sz w:val="21"/>
          <w:szCs w:val="21"/>
          <w:highlight w:val="none"/>
        </w:rPr>
        <w:t xml:space="preserve">月  </w:t>
      </w:r>
      <w:r>
        <w:rPr>
          <w:rFonts w:hint="eastAsia" w:ascii="宋体" w:hAnsi="宋体" w:cs="仿宋_GB2312"/>
          <w:color w:val="auto"/>
          <w:sz w:val="21"/>
          <w:szCs w:val="21"/>
          <w:highlight w:val="none"/>
          <w:lang w:val="en-US" w:eastAsia="zh-CN"/>
        </w:rPr>
        <w:t xml:space="preserve"> </w:t>
      </w:r>
      <w:r>
        <w:rPr>
          <w:rFonts w:ascii="宋体" w:hAnsi="宋体" w:cs="仿宋_GB2312"/>
          <w:color w:val="auto"/>
          <w:sz w:val="21"/>
          <w:szCs w:val="21"/>
          <w:highlight w:val="none"/>
        </w:rPr>
        <w:t xml:space="preserve"> 日</w:t>
      </w:r>
    </w:p>
    <w:p>
      <w:pPr>
        <w:pStyle w:val="25"/>
        <w:rPr>
          <w:rFonts w:ascii="宋体" w:hAnsi="宋体" w:cs="仿宋_GB2312"/>
          <w:color w:val="auto"/>
          <w:sz w:val="21"/>
          <w:szCs w:val="21"/>
          <w:highlight w:val="none"/>
        </w:rPr>
      </w:pPr>
    </w:p>
    <w:p>
      <w:pPr>
        <w:pStyle w:val="24"/>
        <w:rPr>
          <w:rFonts w:ascii="宋体" w:hAnsi="宋体" w:cs="仿宋_GB2312"/>
          <w:color w:val="auto"/>
          <w:sz w:val="21"/>
          <w:szCs w:val="21"/>
          <w:highlight w:val="none"/>
        </w:rPr>
      </w:pPr>
    </w:p>
    <w:p>
      <w:pPr>
        <w:pStyle w:val="25"/>
        <w:rPr>
          <w:rFonts w:ascii="宋体" w:hAnsi="宋体" w:cs="仿宋_GB2312"/>
          <w:color w:val="auto"/>
          <w:sz w:val="21"/>
          <w:szCs w:val="21"/>
          <w:highlight w:val="none"/>
        </w:rPr>
      </w:pPr>
    </w:p>
    <w:p>
      <w:pPr>
        <w:pStyle w:val="24"/>
        <w:rPr>
          <w:rFonts w:ascii="宋体" w:hAnsi="宋体" w:cs="仿宋_GB2312"/>
          <w:color w:val="auto"/>
          <w:sz w:val="21"/>
          <w:szCs w:val="21"/>
          <w:highlight w:val="none"/>
        </w:rPr>
      </w:pPr>
    </w:p>
    <w:p>
      <w:pPr>
        <w:pStyle w:val="25"/>
        <w:rPr>
          <w:rFonts w:ascii="宋体" w:hAnsi="宋体" w:cs="仿宋_GB2312"/>
          <w:color w:val="auto"/>
          <w:sz w:val="21"/>
          <w:szCs w:val="21"/>
          <w:highlight w:val="none"/>
        </w:rPr>
      </w:pPr>
    </w:p>
    <w:p>
      <w:pPr>
        <w:pStyle w:val="24"/>
        <w:rPr>
          <w:rFonts w:ascii="宋体" w:hAnsi="宋体" w:cs="仿宋_GB2312"/>
          <w:color w:val="auto"/>
          <w:sz w:val="21"/>
          <w:szCs w:val="21"/>
          <w:highlight w:val="none"/>
        </w:rPr>
      </w:pPr>
    </w:p>
    <w:p>
      <w:pPr>
        <w:pStyle w:val="25"/>
        <w:rPr>
          <w:rFonts w:ascii="宋体" w:hAnsi="宋体" w:cs="仿宋_GB2312"/>
          <w:color w:val="auto"/>
          <w:sz w:val="21"/>
          <w:szCs w:val="21"/>
          <w:highlight w:val="none"/>
        </w:rPr>
      </w:pPr>
    </w:p>
    <w:p>
      <w:pPr>
        <w:pStyle w:val="24"/>
        <w:rPr>
          <w:rFonts w:ascii="宋体" w:hAnsi="宋体" w:cs="仿宋_GB2312"/>
          <w:color w:val="auto"/>
          <w:sz w:val="21"/>
          <w:szCs w:val="21"/>
          <w:highlight w:val="none"/>
        </w:rPr>
      </w:pPr>
    </w:p>
    <w:p>
      <w:pPr>
        <w:pStyle w:val="25"/>
        <w:rPr>
          <w:rFonts w:ascii="宋体" w:hAnsi="宋体" w:cs="仿宋_GB2312"/>
          <w:color w:val="auto"/>
          <w:sz w:val="21"/>
          <w:szCs w:val="21"/>
          <w:highlight w:val="none"/>
        </w:rPr>
      </w:pPr>
    </w:p>
    <w:p>
      <w:pPr>
        <w:pStyle w:val="24"/>
        <w:rPr>
          <w:rFonts w:ascii="宋体" w:hAnsi="宋体" w:cs="仿宋_GB2312"/>
          <w:color w:val="auto"/>
          <w:sz w:val="21"/>
          <w:szCs w:val="21"/>
          <w:highlight w:val="none"/>
        </w:rPr>
      </w:pPr>
    </w:p>
    <w:p>
      <w:pPr>
        <w:pStyle w:val="25"/>
        <w:rPr>
          <w:rFonts w:hint="eastAsia"/>
          <w:color w:val="auto"/>
        </w:rPr>
      </w:pPr>
    </w:p>
    <w:p>
      <w:pPr>
        <w:pStyle w:val="25"/>
        <w:rPr>
          <w:rFonts w:hint="eastAsia"/>
          <w:color w:val="auto"/>
          <w:highlight w:val="none"/>
        </w:rPr>
      </w:pPr>
    </w:p>
    <w:p>
      <w:pPr>
        <w:pStyle w:val="24"/>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olor w:val="auto"/>
          <w:szCs w:val="21"/>
          <w:highlight w:val="none"/>
          <w:lang w:eastAsia="zh-CN"/>
        </w:rPr>
      </w:pPr>
      <w:r>
        <w:rPr>
          <w:rFonts w:hint="eastAsia" w:ascii="宋体" w:hAnsi="宋体"/>
          <w:b/>
          <w:color w:val="auto"/>
          <w:sz w:val="24"/>
          <w:highlight w:val="none"/>
          <w:lang w:val="en-US" w:eastAsia="zh-CN"/>
        </w:rPr>
        <w:t>11、</w:t>
      </w:r>
      <w:r>
        <w:rPr>
          <w:rFonts w:hint="eastAsia" w:ascii="宋体" w:hAnsi="宋体" w:cs="宋体"/>
          <w:color w:val="auto"/>
          <w:sz w:val="21"/>
          <w:szCs w:val="21"/>
          <w:highlight w:val="none"/>
          <w:lang w:eastAsia="zh-CN"/>
        </w:rPr>
        <w:t>本项目属于专门面向中小企业采购的项目，根据财库【2020】46号《政府采购促进中小企业发展管理办法》要求，供应商必须为中小企业</w:t>
      </w:r>
      <w:r>
        <w:rPr>
          <w:rFonts w:ascii="宋体" w:hAnsi="宋体"/>
          <w:b/>
          <w:bCs/>
          <w:color w:val="auto"/>
          <w:szCs w:val="21"/>
          <w:highlight w:val="none"/>
        </w:rPr>
        <w:t>（</w:t>
      </w:r>
      <w:r>
        <w:rPr>
          <w:rFonts w:hint="eastAsia" w:ascii="宋体" w:hAnsi="宋体"/>
          <w:b/>
          <w:bCs/>
          <w:color w:val="auto"/>
          <w:szCs w:val="21"/>
          <w:highlight w:val="none"/>
          <w:lang w:eastAsia="zh-CN"/>
        </w:rPr>
        <w:t>必须提供中小企业声明函，否则竞标无效</w:t>
      </w:r>
      <w:r>
        <w:rPr>
          <w:rFonts w:ascii="宋体" w:hAnsi="宋体"/>
          <w:b/>
          <w:bCs/>
          <w:color w:val="auto"/>
          <w:szCs w:val="21"/>
          <w:highlight w:val="none"/>
        </w:rPr>
        <w:t>）</w:t>
      </w:r>
    </w:p>
    <w:p>
      <w:pPr>
        <w:pStyle w:val="25"/>
        <w:widowControl w:val="0"/>
        <w:numPr>
          <w:ilvl w:val="0"/>
          <w:numId w:val="0"/>
        </w:numPr>
        <w:jc w:val="both"/>
        <w:rPr>
          <w:color w:val="auto"/>
          <w:highlight w:val="none"/>
        </w:rPr>
      </w:pPr>
    </w:p>
    <w:p>
      <w:pPr>
        <w:jc w:val="center"/>
        <w:rPr>
          <w:rFonts w:hint="eastAsia"/>
          <w:color w:val="auto"/>
          <w:highlight w:val="none"/>
        </w:rPr>
      </w:pPr>
    </w:p>
    <w:p>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pPr>
        <w:pStyle w:val="15"/>
        <w:shd w:val="clear" w:color="auto" w:fill="FFFFFF"/>
        <w:spacing w:before="0" w:beforeAutospacing="0" w:after="0" w:afterAutospacing="0" w:line="460" w:lineRule="exact"/>
        <w:ind w:firstLine="420" w:firstLineChars="200"/>
        <w:rPr>
          <w:rFonts w:hint="eastAsia"/>
          <w:color w:val="auto"/>
          <w:sz w:val="21"/>
          <w:szCs w:val="21"/>
          <w:highlight w:val="none"/>
        </w:rPr>
      </w:pPr>
    </w:p>
    <w:p>
      <w:pPr>
        <w:pStyle w:val="15"/>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pStyle w:val="15"/>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5"/>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pPr>
        <w:pStyle w:val="15"/>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pPr>
        <w:pStyle w:val="15"/>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5"/>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5"/>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pPr>
        <w:pStyle w:val="15"/>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pPr>
        <w:pStyle w:val="15"/>
        <w:shd w:val="clear" w:color="auto" w:fill="FFFFFF"/>
        <w:spacing w:before="0" w:beforeAutospacing="0" w:after="0" w:afterAutospacing="0" w:line="460" w:lineRule="exact"/>
        <w:ind w:firstLine="539"/>
        <w:rPr>
          <w:rFonts w:hint="eastAsia" w:eastAsia="宋体"/>
          <w:color w:val="auto"/>
          <w:sz w:val="21"/>
          <w:szCs w:val="21"/>
          <w:highlight w:val="none"/>
          <w:lang w:eastAsia="zh-CN"/>
        </w:rPr>
      </w:pPr>
      <w:r>
        <w:rPr>
          <w:rFonts w:hint="eastAsia"/>
          <w:color w:val="auto"/>
          <w:sz w:val="21"/>
          <w:szCs w:val="21"/>
          <w:highlight w:val="none"/>
          <w:lang w:val="en-US" w:eastAsia="zh-CN"/>
        </w:rPr>
        <w:t>注：</w:t>
      </w: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_x0000_s1027"/>
                <wp:cNvGraphicFramePr/>
                <a:graphic xmlns:a="http://schemas.openxmlformats.org/drawingml/2006/main">
                  <a:graphicData uri="http://schemas.microsoft.com/office/word/2010/wordprocessingShape">
                    <wps:wsp>
                      <wps:cNvCnPr/>
                      <wps:spPr>
                        <a:xfrm>
                          <a:off x="0" y="0"/>
                          <a:ext cx="2174240" cy="635"/>
                        </a:xfrm>
                        <a:prstGeom prst="line">
                          <a:avLst/>
                        </a:prstGeom>
                        <a:noFill/>
                        <a:ln w="9525" cap="flat" cmpd="sng">
                          <a:solidFill>
                            <a:srgbClr val="000000"/>
                          </a:solidFill>
                          <a:prstDash val="solid"/>
                          <a:round/>
                          <a:headEnd type="none" w="med" len="med"/>
                          <a:tailEnd type="none" w="med" len="med"/>
                        </a:ln>
                      </wps:spPr>
                      <wps:bodyPr rot="0" spcFirstLastPara="0" vertOverflow="overflow" horzOverflow="overflow" vert="horz" wrap="square" lIns="91440" tIns="45720" rIns="91440" bIns="45720" anchor="t" upright="1">
                        <a:noAutofit/>
                      </wps:bodyPr>
                    </wps:wsp>
                  </a:graphicData>
                </a:graphic>
              </wp:anchor>
            </w:drawing>
          </mc:Choice>
          <mc:Fallback>
            <w:pict>
              <v:line id="_x0000_s1027"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25DYtMAAAAGAQAADwAAAAAAAAABACAAAAAi&#10;AAAAZHJzL2Rvd25yZXYueG1sUEsBAhQAFAAAAAgAh07iQACnPw5IAgAAtgQAAA4AAAAAAAAAAQAg&#10;AAAAIgEAAGRycy9lMm9Eb2MueG1sUEsFBgAAAAAGAAYAWQEAANwFA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r>
        <w:rPr>
          <w:rFonts w:hint="eastAsia"/>
          <w:color w:val="auto"/>
          <w:sz w:val="21"/>
          <w:szCs w:val="21"/>
          <w:highlight w:val="none"/>
          <w:lang w:eastAsia="zh-CN"/>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ajorEastAsia" w:hAnsiTheme="majorEastAsia" w:eastAsiaTheme="majorEastAsia" w:cstheme="majorEastAsia"/>
          <w:color w:val="auto"/>
          <w:sz w:val="21"/>
          <w:szCs w:val="21"/>
          <w:highlight w:val="yellow"/>
          <w:lang w:eastAsia="zh-CN"/>
        </w:rPr>
      </w:pPr>
      <w:r>
        <w:rPr>
          <w:rFonts w:hint="eastAsia" w:ascii="宋体" w:hAnsi="宋体"/>
          <w:color w:val="auto"/>
          <w:szCs w:val="21"/>
          <w:highlight w:val="none"/>
          <w:lang w:eastAsia="zh-CN"/>
        </w:rPr>
        <w:t>注：</w:t>
      </w:r>
      <w:r>
        <w:rPr>
          <w:rFonts w:hint="eastAsia" w:asciiTheme="majorEastAsia" w:hAnsiTheme="majorEastAsia" w:eastAsiaTheme="majorEastAsia" w:cstheme="majorEastAsia"/>
          <w:color w:val="auto"/>
          <w:sz w:val="21"/>
          <w:szCs w:val="21"/>
          <w:highlight w:val="none"/>
        </w:rPr>
        <w:t>按照《财政部、司法部关于政府采购支持监狱企业发展有关问题的通知》（财库〔2014〕68号）之规定，监狱企业视同小型、微型企业</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监狱企业参加政府采购活动时，应当提供由省级以上监狱管理局、戒毒管理局(含新疆生产建设兵团)出具的属于监狱企业的证明文件</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按照《关于促进残疾人就业政府采购政策的通知》（财库〔2017〕141号）的规定，残疾人福利性单位视同小型、微型企业</w:t>
      </w:r>
      <w:r>
        <w:rPr>
          <w:rFonts w:hint="eastAsia" w:asciiTheme="majorEastAsia" w:hAnsiTheme="majorEastAsia" w:eastAsiaTheme="majorEastAsia" w:cstheme="majorEastAsia"/>
          <w:color w:val="auto"/>
          <w:sz w:val="21"/>
          <w:szCs w:val="21"/>
          <w:highlight w:val="none"/>
          <w:lang w:eastAsia="zh-CN"/>
        </w:rPr>
        <w:t>。</w:t>
      </w:r>
    </w:p>
    <w:p>
      <w:pPr>
        <w:pStyle w:val="15"/>
        <w:shd w:val="clear" w:color="auto" w:fill="FFFFFF"/>
        <w:spacing w:before="0" w:beforeAutospacing="0" w:after="0" w:afterAutospacing="0" w:line="460" w:lineRule="exact"/>
        <w:ind w:firstLine="539"/>
        <w:rPr>
          <w:rFonts w:hint="eastAsia" w:ascii="宋体" w:hAnsi="宋体" w:eastAsia="宋体" w:cs="宋体"/>
          <w:b/>
          <w:bCs/>
          <w:color w:val="auto"/>
          <w:sz w:val="21"/>
          <w:szCs w:val="21"/>
          <w:highlight w:val="none"/>
          <w:lang w:eastAsia="zh-CN"/>
        </w:rPr>
      </w:pPr>
    </w:p>
    <w:p>
      <w:pPr>
        <w:pStyle w:val="15"/>
        <w:shd w:val="clear" w:color="auto" w:fill="FFFFFF"/>
        <w:spacing w:before="0" w:beforeAutospacing="0" w:after="0" w:afterAutospacing="0" w:line="460" w:lineRule="exact"/>
        <w:ind w:firstLine="539"/>
        <w:rPr>
          <w:rFonts w:hint="eastAsia" w:ascii="宋体" w:hAnsi="宋体" w:eastAsia="宋体" w:cs="宋体"/>
          <w:b/>
          <w:bCs/>
          <w:color w:val="auto"/>
          <w:sz w:val="21"/>
          <w:szCs w:val="21"/>
          <w:highlight w:val="none"/>
          <w:lang w:eastAsia="zh-CN"/>
        </w:rPr>
        <w:sectPr>
          <w:pgSz w:w="11906" w:h="16838"/>
          <w:pgMar w:top="1134" w:right="1134" w:bottom="1134" w:left="1417" w:header="851" w:footer="851" w:gutter="0"/>
          <w:cols w:space="720" w:num="1"/>
          <w:docGrid w:linePitch="312" w:charSpace="43007"/>
        </w:sectPr>
      </w:pPr>
    </w:p>
    <w:p>
      <w:pPr>
        <w:spacing w:line="400" w:lineRule="exact"/>
        <w:rPr>
          <w:rFonts w:hint="eastAsia"/>
          <w:color w:val="auto"/>
          <w:highlight w:val="none"/>
        </w:rPr>
      </w:pPr>
    </w:p>
    <w:p>
      <w:pPr>
        <w:rPr>
          <w:rFonts w:hint="eastAsia"/>
          <w:color w:val="auto"/>
          <w:highlight w:val="none"/>
        </w:rPr>
      </w:pPr>
    </w:p>
    <w:p>
      <w:pPr>
        <w:pStyle w:val="29"/>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pPr>
        <w:pStyle w:val="15"/>
        <w:shd w:val="clear" w:color="auto" w:fill="FFFFFF"/>
        <w:spacing w:before="0" w:beforeAutospacing="0" w:after="0" w:afterAutospacing="0" w:line="460" w:lineRule="exact"/>
        <w:ind w:firstLine="539"/>
        <w:rPr>
          <w:rFonts w:hint="eastAsia"/>
          <w:color w:val="auto"/>
          <w:highlight w:val="none"/>
        </w:rPr>
      </w:pPr>
    </w:p>
    <w:p>
      <w:pPr>
        <w:pStyle w:val="15"/>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pStyle w:val="15"/>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pPr>
        <w:pStyle w:val="15"/>
        <w:shd w:val="clear" w:color="auto" w:fill="FFFFFF"/>
        <w:spacing w:before="0" w:beforeAutospacing="0" w:after="0" w:afterAutospacing="0" w:line="460" w:lineRule="exact"/>
        <w:ind w:firstLine="539"/>
        <w:rPr>
          <w:rFonts w:hint="eastAsia"/>
          <w:color w:val="auto"/>
          <w:sz w:val="21"/>
          <w:szCs w:val="21"/>
          <w:highlight w:val="none"/>
        </w:rPr>
      </w:pPr>
    </w:p>
    <w:p>
      <w:pPr>
        <w:pStyle w:val="15"/>
        <w:shd w:val="clear" w:color="auto" w:fill="FFFFFF"/>
        <w:spacing w:before="0" w:beforeAutospacing="0" w:after="0" w:afterAutospacing="0" w:line="460" w:lineRule="exact"/>
        <w:ind w:firstLine="539"/>
        <w:rPr>
          <w:rFonts w:hint="eastAsia"/>
          <w:color w:val="auto"/>
          <w:sz w:val="21"/>
          <w:szCs w:val="21"/>
          <w:highlight w:val="none"/>
        </w:rPr>
      </w:pPr>
    </w:p>
    <w:p>
      <w:pPr>
        <w:pStyle w:val="15"/>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pPr>
        <w:pStyle w:val="15"/>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pPr>
        <w:pStyle w:val="24"/>
        <w:spacing w:line="360" w:lineRule="auto"/>
        <w:rPr>
          <w:rFonts w:ascii="宋体" w:hAnsi="宋体"/>
          <w:b/>
          <w:color w:val="auto"/>
          <w:sz w:val="48"/>
          <w:szCs w:val="48"/>
          <w:highlight w:val="none"/>
        </w:rPr>
      </w:pPr>
    </w:p>
    <w:p>
      <w:pPr>
        <w:pStyle w:val="25"/>
        <w:rPr>
          <w:rFonts w:ascii="宋体" w:hAnsi="宋体"/>
          <w:b/>
          <w:color w:val="auto"/>
          <w:sz w:val="48"/>
          <w:szCs w:val="48"/>
          <w:highlight w:val="none"/>
        </w:rPr>
      </w:pPr>
    </w:p>
    <w:p>
      <w:pPr>
        <w:pStyle w:val="25"/>
        <w:rPr>
          <w:rFonts w:hint="eastAsia" w:asciiTheme="majorEastAsia" w:hAnsiTheme="majorEastAsia" w:eastAsiaTheme="majorEastAsia" w:cstheme="majorEastAsia"/>
          <w:color w:val="auto"/>
          <w:sz w:val="21"/>
          <w:szCs w:val="21"/>
        </w:rPr>
      </w:pPr>
    </w:p>
    <w:p>
      <w:pPr>
        <w:pStyle w:val="24"/>
        <w:rPr>
          <w:rFonts w:hint="eastAsia" w:asciiTheme="majorEastAsia" w:hAnsiTheme="majorEastAsia" w:eastAsiaTheme="majorEastAsia" w:cstheme="majorEastAsia"/>
          <w:color w:val="auto"/>
          <w:sz w:val="21"/>
          <w:szCs w:val="21"/>
        </w:rPr>
      </w:pPr>
    </w:p>
    <w:p>
      <w:pPr>
        <w:pStyle w:val="25"/>
        <w:rPr>
          <w:rFonts w:hint="eastAsia" w:asciiTheme="majorEastAsia" w:hAnsiTheme="majorEastAsia" w:eastAsiaTheme="majorEastAsia" w:cstheme="majorEastAsia"/>
          <w:color w:val="auto"/>
          <w:sz w:val="21"/>
          <w:szCs w:val="21"/>
        </w:rPr>
      </w:pPr>
    </w:p>
    <w:p>
      <w:pPr>
        <w:pStyle w:val="24"/>
        <w:rPr>
          <w:rFonts w:hint="eastAsia" w:asciiTheme="majorEastAsia" w:hAnsiTheme="majorEastAsia" w:eastAsiaTheme="majorEastAsia" w:cstheme="majorEastAsia"/>
          <w:color w:val="auto"/>
          <w:sz w:val="21"/>
          <w:szCs w:val="21"/>
        </w:rPr>
      </w:pPr>
    </w:p>
    <w:p>
      <w:pPr>
        <w:pStyle w:val="25"/>
        <w:rPr>
          <w:rFonts w:hint="eastAsia"/>
          <w:color w:val="auto"/>
        </w:rPr>
      </w:pPr>
    </w:p>
    <w:p>
      <w:pPr>
        <w:pStyle w:val="25"/>
        <w:rPr>
          <w:rFonts w:ascii="宋体" w:hAnsi="宋体"/>
          <w:b/>
          <w:color w:val="auto"/>
          <w:sz w:val="48"/>
          <w:szCs w:val="48"/>
          <w:highlight w:val="none"/>
        </w:rPr>
      </w:pPr>
    </w:p>
    <w:p>
      <w:pPr>
        <w:pStyle w:val="24"/>
        <w:numPr>
          <w:ilvl w:val="0"/>
          <w:numId w:val="0"/>
        </w:numPr>
        <w:spacing w:line="360" w:lineRule="auto"/>
        <w:ind w:leftChars="0"/>
        <w:rPr>
          <w:rFonts w:hint="eastAsia" w:ascii="宋体" w:hAnsi="宋体"/>
          <w:b/>
          <w:color w:val="auto"/>
          <w:sz w:val="24"/>
          <w:highlight w:val="none"/>
        </w:rPr>
      </w:pPr>
      <w:r>
        <w:rPr>
          <w:rFonts w:hint="eastAsia" w:ascii="宋体" w:hAnsi="宋体"/>
          <w:b/>
          <w:color w:val="auto"/>
          <w:sz w:val="24"/>
          <w:highlight w:val="none"/>
          <w:lang w:val="en-US" w:eastAsia="zh-CN"/>
        </w:rPr>
        <w:t>12、</w:t>
      </w:r>
      <w:r>
        <w:rPr>
          <w:rFonts w:hint="eastAsia" w:ascii="宋体" w:hAnsi="宋体"/>
          <w:b/>
          <w:color w:val="auto"/>
          <w:sz w:val="24"/>
          <w:highlight w:val="none"/>
          <w:lang w:eastAsia="zh-CN"/>
        </w:rPr>
        <w:t>供应商认为有必要提供的声明及其他证明材料</w:t>
      </w:r>
      <w:r>
        <w:rPr>
          <w:rFonts w:hint="eastAsia" w:ascii="宋体" w:hAnsi="宋体"/>
          <w:b/>
          <w:color w:val="auto"/>
          <w:sz w:val="24"/>
          <w:highlight w:val="none"/>
        </w:rPr>
        <w:t>。</w:t>
      </w:r>
    </w:p>
    <w:p>
      <w:pPr>
        <w:pStyle w:val="24"/>
        <w:rPr>
          <w:rFonts w:ascii="宋体" w:hAnsi="宋体"/>
          <w:b/>
          <w:color w:val="auto"/>
          <w:sz w:val="48"/>
          <w:szCs w:val="48"/>
          <w:highlight w:val="none"/>
        </w:rPr>
      </w:pPr>
    </w:p>
    <w:p>
      <w:pPr>
        <w:pStyle w:val="25"/>
        <w:rPr>
          <w:rFonts w:ascii="宋体" w:hAnsi="宋体"/>
          <w:b/>
          <w:color w:val="auto"/>
          <w:sz w:val="48"/>
          <w:szCs w:val="48"/>
          <w:highlight w:val="none"/>
        </w:rPr>
      </w:pPr>
    </w:p>
    <w:p>
      <w:pPr>
        <w:pStyle w:val="24"/>
        <w:rPr>
          <w:rFonts w:ascii="宋体" w:hAnsi="宋体"/>
          <w:b/>
          <w:color w:val="auto"/>
          <w:sz w:val="48"/>
          <w:szCs w:val="48"/>
          <w:highlight w:val="none"/>
        </w:rPr>
      </w:pPr>
    </w:p>
    <w:p>
      <w:pPr>
        <w:pStyle w:val="25"/>
        <w:rPr>
          <w:rFonts w:ascii="宋体" w:hAnsi="宋体"/>
          <w:b/>
          <w:color w:val="auto"/>
          <w:sz w:val="48"/>
          <w:szCs w:val="48"/>
          <w:highlight w:val="none"/>
        </w:rPr>
      </w:pPr>
    </w:p>
    <w:p>
      <w:pPr>
        <w:pStyle w:val="24"/>
        <w:rPr>
          <w:rFonts w:ascii="宋体" w:hAnsi="宋体"/>
          <w:b/>
          <w:color w:val="auto"/>
          <w:sz w:val="48"/>
          <w:szCs w:val="48"/>
          <w:highlight w:val="none"/>
        </w:rPr>
      </w:pPr>
    </w:p>
    <w:p>
      <w:pPr>
        <w:pStyle w:val="25"/>
        <w:rPr>
          <w:rFonts w:ascii="宋体" w:hAnsi="宋体"/>
          <w:b/>
          <w:color w:val="auto"/>
          <w:sz w:val="48"/>
          <w:szCs w:val="48"/>
          <w:highlight w:val="none"/>
        </w:rPr>
      </w:pPr>
    </w:p>
    <w:p>
      <w:pPr>
        <w:pStyle w:val="24"/>
        <w:rPr>
          <w:color w:val="auto"/>
        </w:rPr>
      </w:pPr>
    </w:p>
    <w:p>
      <w:pPr>
        <w:pStyle w:val="25"/>
        <w:rPr>
          <w:color w:val="auto"/>
        </w:rPr>
      </w:pPr>
    </w:p>
    <w:p>
      <w:pPr>
        <w:pStyle w:val="24"/>
        <w:rPr>
          <w:rFonts w:ascii="宋体" w:hAnsi="宋体"/>
          <w:b/>
          <w:color w:val="auto"/>
          <w:sz w:val="48"/>
          <w:szCs w:val="48"/>
          <w:highlight w:val="none"/>
        </w:rPr>
      </w:pPr>
    </w:p>
    <w:p>
      <w:pPr>
        <w:pStyle w:val="25"/>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pPr>
        <w:pStyle w:val="24"/>
        <w:jc w:val="center"/>
        <w:rPr>
          <w:rFonts w:hint="eastAsia"/>
          <w:b/>
          <w:bCs/>
          <w:color w:val="auto"/>
          <w:sz w:val="24"/>
          <w:szCs w:val="32"/>
          <w:lang w:eastAsia="zh-CN"/>
        </w:rPr>
      </w:pPr>
      <w:r>
        <w:rPr>
          <w:rFonts w:hint="eastAsia"/>
          <w:b/>
          <w:bCs/>
          <w:color w:val="auto"/>
          <w:sz w:val="24"/>
          <w:szCs w:val="32"/>
          <w:lang w:eastAsia="zh-CN"/>
        </w:rPr>
        <w:t>关于印发中小企业划型标准规定的通知(工信部联企业〔2011〕300号)</w:t>
      </w:r>
    </w:p>
    <w:p>
      <w:pPr>
        <w:pStyle w:val="25"/>
        <w:rPr>
          <w:rFonts w:hint="eastAsia"/>
          <w:color w:val="auto"/>
          <w:lang w:eastAsia="zh-CN"/>
        </w:rPr>
      </w:pPr>
    </w:p>
    <w:p>
      <w:pPr>
        <w:pStyle w:val="24"/>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关于印发中小企业划型标准规定的通知</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工信部联企业〔2011〕300号各省、自治区、直辖市人民政府，国务院各部委、各直属机构及有关单位：</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工业和信息化部　国家统计局</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国家发展和改革委员会　财政部</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二○一一年六月十八日中小企业划型标准规定　　一、根据《中华人民共和国中小企业促进法》和《国务院关于进一步促进中小企业发展的若干意见》(国发〔2009〕36号)，制定本规定。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二、中小企业划分为中型、小型、微型三种类型，具体标准根据企业从业人员、营业收入、资产总额等指标，结合行业特点制定。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四、各行业划型标准为：</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（一）农、林、牧、渔业。营业收入20000万元以下的为中小微型企业。其中，营业收入500万元及以上的为中型企业，营业收入50万元及以上的为小型企业，营业收入50万元以下的为微型企业。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（十六）其他未列明行业。从业人员300人以下的为中小微型企业。其中，从业人员100人及以上的为中型企业；从业人员10人及以上的为小型企业；从业人员10人以下的为微型企业。</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五、企业类型的划分以统计部门的统计数据为依据。</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六、本规定适用于在中华人民共和国境内依法设立的各类所有制和各种组织形式的企业。个体工商户和本规定以外的行业，参照本规定进行划型。</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八、本规定由工业和信息化部、国家统计局会同有关部门根据《国民经济行业分类》修订情况和企业发展变化情况适时修订。</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九、本规定由工业和信息化部、国家统计局会同有关部门负责解释。</w:t>
      </w:r>
    </w:p>
    <w:p>
      <w:pPr>
        <w:pStyle w:val="24"/>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十、本规定自发布之日起执行，原国家经贸委、原国家计委、财政部和国家统计局2003年颁布的《中小企业标准暂行规定》同时废止。</w:t>
      </w:r>
    </w:p>
    <w:p>
      <w:pPr>
        <w:pStyle w:val="24"/>
        <w:spacing w:line="360" w:lineRule="auto"/>
        <w:rPr>
          <w:rFonts w:hint="eastAsia" w:ascii="宋体" w:hAnsi="宋体" w:eastAsia="宋体" w:cs="宋体"/>
          <w:color w:val="auto"/>
          <w:sz w:val="21"/>
          <w:szCs w:val="21"/>
          <w:lang w:eastAsia="zh-CN"/>
        </w:rPr>
      </w:pPr>
    </w:p>
    <w:p>
      <w:pPr>
        <w:pStyle w:val="24"/>
        <w:spacing w:line="360" w:lineRule="auto"/>
        <w:rPr>
          <w:rFonts w:hint="eastAsia" w:ascii="宋体" w:hAnsi="宋体" w:eastAsia="宋体" w:cs="宋体"/>
          <w:color w:val="auto"/>
          <w:sz w:val="21"/>
          <w:szCs w:val="21"/>
          <w:lang w:eastAsia="zh-CN"/>
        </w:rPr>
      </w:pPr>
    </w:p>
    <w:p>
      <w:pPr>
        <w:pStyle w:val="25"/>
        <w:spacing w:line="360" w:lineRule="auto"/>
        <w:rPr>
          <w:rFonts w:hint="eastAsia" w:ascii="宋体" w:hAnsi="宋体" w:eastAsia="宋体" w:cs="宋体"/>
          <w:b/>
          <w:color w:val="auto"/>
          <w:sz w:val="21"/>
          <w:szCs w:val="21"/>
          <w:highlight w:val="none"/>
        </w:rPr>
      </w:pPr>
    </w:p>
    <w:p>
      <w:pPr>
        <w:pStyle w:val="24"/>
        <w:rPr>
          <w:rFonts w:ascii="宋体" w:hAnsi="宋体"/>
          <w:b/>
          <w:color w:val="auto"/>
          <w:sz w:val="48"/>
          <w:szCs w:val="48"/>
          <w:highlight w:val="none"/>
        </w:rPr>
      </w:pPr>
    </w:p>
    <w:p>
      <w:pPr>
        <w:pStyle w:val="25"/>
        <w:rPr>
          <w:rFonts w:ascii="宋体" w:hAnsi="宋体"/>
          <w:b/>
          <w:color w:val="auto"/>
          <w:sz w:val="48"/>
          <w:szCs w:val="48"/>
          <w:highlight w:val="none"/>
        </w:rPr>
      </w:pPr>
    </w:p>
    <w:p>
      <w:pPr>
        <w:pStyle w:val="24"/>
        <w:rPr>
          <w:rFonts w:ascii="宋体" w:hAnsi="宋体"/>
          <w:b/>
          <w:color w:val="auto"/>
          <w:sz w:val="48"/>
          <w:szCs w:val="48"/>
          <w:highlight w:val="none"/>
        </w:rPr>
      </w:pPr>
    </w:p>
    <w:p>
      <w:pPr>
        <w:pStyle w:val="25"/>
        <w:rPr>
          <w:rFonts w:ascii="宋体" w:hAnsi="宋体"/>
          <w:b/>
          <w:color w:val="auto"/>
          <w:sz w:val="48"/>
          <w:szCs w:val="48"/>
          <w:highlight w:val="none"/>
        </w:rPr>
      </w:pPr>
    </w:p>
    <w:p>
      <w:pPr>
        <w:pStyle w:val="24"/>
        <w:rPr>
          <w:rFonts w:ascii="宋体" w:hAnsi="宋体"/>
          <w:b/>
          <w:color w:val="auto"/>
          <w:sz w:val="48"/>
          <w:szCs w:val="48"/>
          <w:highlight w:val="none"/>
        </w:rPr>
      </w:pPr>
    </w:p>
    <w:p>
      <w:pPr>
        <w:pStyle w:val="25"/>
        <w:rPr>
          <w:rFonts w:ascii="宋体" w:hAnsi="宋体"/>
          <w:b/>
          <w:color w:val="auto"/>
          <w:sz w:val="48"/>
          <w:szCs w:val="48"/>
          <w:highlight w:val="none"/>
        </w:rPr>
      </w:pPr>
    </w:p>
    <w:p>
      <w:pPr>
        <w:pStyle w:val="24"/>
        <w:rPr>
          <w:rFonts w:ascii="宋体" w:hAnsi="宋体"/>
          <w:b/>
          <w:color w:val="auto"/>
          <w:sz w:val="48"/>
          <w:szCs w:val="48"/>
          <w:highlight w:val="none"/>
        </w:rPr>
      </w:pPr>
    </w:p>
    <w:p>
      <w:pPr>
        <w:pStyle w:val="25"/>
        <w:rPr>
          <w:rFonts w:ascii="宋体" w:hAnsi="宋体"/>
          <w:b/>
          <w:color w:val="auto"/>
          <w:sz w:val="48"/>
          <w:szCs w:val="48"/>
          <w:highlight w:val="none"/>
        </w:rPr>
      </w:pPr>
    </w:p>
    <w:p>
      <w:pPr>
        <w:pStyle w:val="24"/>
        <w:rPr>
          <w:rFonts w:ascii="宋体" w:hAnsi="宋体"/>
          <w:b/>
          <w:color w:val="auto"/>
          <w:sz w:val="48"/>
          <w:szCs w:val="48"/>
          <w:highlight w:val="none"/>
        </w:rPr>
      </w:pPr>
    </w:p>
    <w:p>
      <w:pPr>
        <w:pStyle w:val="25"/>
        <w:rPr>
          <w:rFonts w:ascii="宋体" w:hAnsi="宋体"/>
          <w:b/>
          <w:color w:val="auto"/>
          <w:sz w:val="48"/>
          <w:szCs w:val="48"/>
          <w:highlight w:val="none"/>
        </w:rPr>
      </w:pPr>
    </w:p>
    <w:p>
      <w:pPr>
        <w:pStyle w:val="24"/>
        <w:rPr>
          <w:rFonts w:ascii="宋体" w:hAnsi="宋体"/>
          <w:b/>
          <w:color w:val="auto"/>
          <w:sz w:val="48"/>
          <w:szCs w:val="48"/>
          <w:highlight w:val="none"/>
        </w:rPr>
      </w:pPr>
    </w:p>
    <w:p>
      <w:pPr>
        <w:pStyle w:val="25"/>
        <w:rPr>
          <w:rFonts w:ascii="宋体" w:hAnsi="宋体"/>
          <w:b/>
          <w:color w:val="auto"/>
          <w:sz w:val="48"/>
          <w:szCs w:val="48"/>
          <w:highlight w:val="none"/>
        </w:rPr>
      </w:pPr>
    </w:p>
    <w:p>
      <w:pPr>
        <w:pStyle w:val="24"/>
        <w:rPr>
          <w:color w:val="auto"/>
        </w:rPr>
      </w:pPr>
    </w:p>
    <w:p>
      <w:pPr>
        <w:pStyle w:val="24"/>
        <w:rPr>
          <w:color w:val="auto"/>
          <w:highlight w:val="none"/>
        </w:rPr>
      </w:pPr>
    </w:p>
    <w:p>
      <w:pPr>
        <w:pStyle w:val="25"/>
        <w:rPr>
          <w:rFonts w:ascii="宋体" w:hAnsi="宋体"/>
          <w:color w:val="auto"/>
          <w:sz w:val="48"/>
          <w:szCs w:val="48"/>
          <w:highlight w:val="none"/>
        </w:rPr>
      </w:pPr>
    </w:p>
    <w:p>
      <w:pPr>
        <w:pStyle w:val="24"/>
        <w:rPr>
          <w:rFonts w:ascii="宋体" w:hAnsi="宋体"/>
          <w:b/>
          <w:color w:val="auto"/>
          <w:sz w:val="48"/>
          <w:szCs w:val="48"/>
          <w:highlight w:val="none"/>
        </w:rPr>
      </w:pPr>
    </w:p>
    <w:p>
      <w:pPr>
        <w:pStyle w:val="25"/>
        <w:rPr>
          <w:rFonts w:ascii="宋体" w:hAnsi="宋体"/>
          <w:color w:val="auto"/>
          <w:sz w:val="48"/>
          <w:szCs w:val="48"/>
          <w:highlight w:val="none"/>
        </w:rPr>
      </w:pPr>
    </w:p>
    <w:p>
      <w:pPr>
        <w:pStyle w:val="24"/>
        <w:rPr>
          <w:color w:val="auto"/>
          <w:highlight w:val="none"/>
        </w:rPr>
      </w:pPr>
    </w:p>
    <w:p>
      <w:pPr>
        <w:pStyle w:val="3"/>
        <w:spacing w:line="360" w:lineRule="auto"/>
        <w:jc w:val="center"/>
        <w:rPr>
          <w:rFonts w:ascii="宋体" w:cs="宋体"/>
          <w:color w:val="auto"/>
          <w:sz w:val="36"/>
          <w:highlight w:val="none"/>
        </w:rPr>
      </w:pPr>
      <w:bookmarkStart w:id="54" w:name="_Toc24872"/>
      <w:bookmarkStart w:id="55" w:name="_Toc247292448"/>
      <w:bookmarkStart w:id="56" w:name="_Toc243584363"/>
      <w:bookmarkStart w:id="57" w:name="_Toc247301841"/>
      <w:bookmarkStart w:id="58" w:name="_Toc255977446"/>
      <w:bookmarkStart w:id="59" w:name="_Toc243630963"/>
      <w:bookmarkStart w:id="60" w:name="_Toc24800"/>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4"/>
      <w:bookmarkEnd w:id="55"/>
      <w:bookmarkEnd w:id="56"/>
      <w:bookmarkEnd w:id="57"/>
      <w:bookmarkEnd w:id="58"/>
      <w:bookmarkEnd w:id="59"/>
      <w:bookmarkEnd w:id="60"/>
    </w:p>
    <w:p>
      <w:pPr>
        <w:pStyle w:val="4"/>
        <w:spacing w:line="360" w:lineRule="auto"/>
        <w:jc w:val="center"/>
        <w:rPr>
          <w:rFonts w:ascii="宋体" w:hAnsi="宋体" w:eastAsia="宋体" w:cs="宋体"/>
          <w:color w:val="auto"/>
          <w:kern w:val="0"/>
          <w:highlight w:val="none"/>
        </w:rPr>
      </w:pPr>
      <w:bookmarkStart w:id="61" w:name="_Toc255977447"/>
      <w:bookmarkStart w:id="62" w:name="_Toc11962"/>
      <w:bookmarkStart w:id="63" w:name="_Toc32493"/>
      <w:bookmarkStart w:id="64" w:name="_Toc247301842"/>
      <w:bookmarkStart w:id="65" w:name="_Toc27322"/>
      <w:bookmarkStart w:id="66" w:name="_Toc2585"/>
      <w:bookmarkStart w:id="67" w:name="_Toc247292449"/>
      <w:r>
        <w:rPr>
          <w:rFonts w:hint="eastAsia" w:ascii="宋体" w:hAnsi="宋体" w:eastAsia="宋体" w:cs="宋体"/>
          <w:color w:val="auto"/>
          <w:kern w:val="0"/>
          <w:highlight w:val="none"/>
        </w:rPr>
        <w:t>封面格式</w:t>
      </w:r>
      <w:bookmarkEnd w:id="61"/>
      <w:bookmarkEnd w:id="62"/>
      <w:bookmarkEnd w:id="63"/>
      <w:bookmarkEnd w:id="64"/>
      <w:bookmarkEnd w:id="65"/>
      <w:bookmarkEnd w:id="66"/>
      <w:bookmarkEnd w:id="67"/>
    </w:p>
    <w:tbl>
      <w:tblPr>
        <w:tblStyle w:val="1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22"/>
                <w:szCs w:val="21"/>
                <w:highlight w:val="none"/>
              </w:rPr>
            </w:pPr>
            <w:r>
              <w:rPr>
                <w:rFonts w:hint="eastAsia" w:ascii="宋体" w:hAnsi="宋体" w:cs="宋体"/>
                <w:b/>
                <w:color w:val="auto"/>
                <w:kern w:val="0"/>
                <w:sz w:val="32"/>
                <w:szCs w:val="21"/>
                <w:highlight w:val="none"/>
                <w:lang w:val="en-US" w:eastAsia="zh-CN"/>
              </w:rPr>
              <w:t>（项目名称）</w:t>
            </w: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56"/>
                <w:szCs w:val="21"/>
                <w:highlight w:val="none"/>
              </w:rPr>
              <w:t>响应文件</w:t>
            </w: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32"/>
                <w:szCs w:val="32"/>
                <w:highlight w:val="none"/>
              </w:rPr>
              <w:t>（正本</w:t>
            </w:r>
            <w:r>
              <w:rPr>
                <w:rFonts w:ascii="宋体" w:hAnsi="宋体" w:cs="宋体"/>
                <w:b/>
                <w:color w:val="auto"/>
                <w:kern w:val="0"/>
                <w:sz w:val="32"/>
                <w:szCs w:val="32"/>
                <w:highlight w:val="none"/>
              </w:rPr>
              <w:t>/</w:t>
            </w:r>
            <w:r>
              <w:rPr>
                <w:rFonts w:hint="eastAsia" w:ascii="宋体" w:hAnsi="宋体" w:cs="宋体"/>
                <w:b/>
                <w:color w:val="auto"/>
                <w:kern w:val="0"/>
                <w:sz w:val="32"/>
                <w:szCs w:val="32"/>
                <w:highlight w:val="none"/>
              </w:rPr>
              <w:t>副本）</w:t>
            </w: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68" w:name="_Toc243584368"/>
            <w:r>
              <w:rPr>
                <w:rFonts w:hint="eastAsia" w:ascii="宋体" w:hAnsi="宋体" w:cs="宋体"/>
                <w:color w:val="auto"/>
                <w:kern w:val="0"/>
                <w:sz w:val="24"/>
                <w:szCs w:val="21"/>
                <w:highlight w:val="none"/>
              </w:rPr>
              <w:t>项目名称：</w:t>
            </w:r>
            <w:bookmarkEnd w:id="68"/>
          </w:p>
          <w:p>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商务报价文件部分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69" w:name="_Toc243584369"/>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69"/>
          </w:p>
          <w:p>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70" w:name="_Toc243584370"/>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70"/>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pPr>
        <w:pStyle w:val="24"/>
        <w:spacing w:line="360" w:lineRule="auto"/>
        <w:rPr>
          <w:rFonts w:ascii="宋体" w:hAnsi="宋体"/>
          <w:b/>
          <w:color w:val="auto"/>
          <w:sz w:val="28"/>
          <w:szCs w:val="28"/>
          <w:highlight w:val="none"/>
        </w:rPr>
      </w:pPr>
    </w:p>
    <w:p>
      <w:pPr>
        <w:pStyle w:val="24"/>
        <w:spacing w:line="360" w:lineRule="auto"/>
        <w:rPr>
          <w:rFonts w:ascii="宋体" w:hAnsi="宋体"/>
          <w:b/>
          <w:color w:val="auto"/>
          <w:sz w:val="28"/>
          <w:szCs w:val="28"/>
          <w:highlight w:val="none"/>
        </w:rPr>
      </w:pPr>
    </w:p>
    <w:p>
      <w:pPr>
        <w:pStyle w:val="24"/>
        <w:spacing w:line="360" w:lineRule="auto"/>
        <w:rPr>
          <w:rFonts w:ascii="宋体" w:hAnsi="宋体"/>
          <w:b/>
          <w:color w:val="auto"/>
          <w:sz w:val="28"/>
          <w:szCs w:val="28"/>
          <w:highlight w:val="none"/>
        </w:rPr>
      </w:pPr>
    </w:p>
    <w:p>
      <w:pPr>
        <w:pStyle w:val="24"/>
        <w:spacing w:line="360" w:lineRule="auto"/>
        <w:rPr>
          <w:rFonts w:ascii="宋体" w:hAnsi="宋体"/>
          <w:b/>
          <w:color w:val="auto"/>
          <w:sz w:val="28"/>
          <w:szCs w:val="28"/>
          <w:highlight w:val="none"/>
        </w:rPr>
      </w:pPr>
    </w:p>
    <w:p>
      <w:pPr>
        <w:pStyle w:val="24"/>
        <w:spacing w:line="360" w:lineRule="auto"/>
        <w:rPr>
          <w:rFonts w:ascii="宋体" w:hAnsi="宋体"/>
          <w:b/>
          <w:color w:val="auto"/>
          <w:sz w:val="28"/>
          <w:szCs w:val="28"/>
          <w:highlight w:val="none"/>
        </w:rPr>
      </w:pPr>
    </w:p>
    <w:p>
      <w:pPr>
        <w:pStyle w:val="24"/>
        <w:spacing w:line="360" w:lineRule="auto"/>
        <w:jc w:val="center"/>
        <w:rPr>
          <w:rFonts w:ascii="宋体" w:hAnsi="宋体"/>
          <w:b/>
          <w:color w:val="auto"/>
          <w:sz w:val="28"/>
          <w:szCs w:val="28"/>
          <w:highlight w:val="none"/>
        </w:rPr>
      </w:pPr>
    </w:p>
    <w:p>
      <w:pPr>
        <w:pStyle w:val="24"/>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4"/>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24"/>
        <w:spacing w:line="360" w:lineRule="auto"/>
        <w:rPr>
          <w:rFonts w:hint="eastAsia" w:ascii="宋体" w:hAnsi="宋体"/>
          <w:color w:val="auto"/>
          <w:szCs w:val="21"/>
          <w:highlight w:val="none"/>
        </w:rPr>
      </w:pPr>
    </w:p>
    <w:p>
      <w:pPr>
        <w:pStyle w:val="25"/>
        <w:rPr>
          <w:color w:val="auto"/>
          <w:highlight w:val="none"/>
        </w:rPr>
      </w:pPr>
    </w:p>
    <w:p>
      <w:pPr>
        <w:pStyle w:val="24"/>
        <w:spacing w:line="360" w:lineRule="auto"/>
        <w:rPr>
          <w:rFonts w:ascii="宋体" w:hAnsi="宋体"/>
          <w:b/>
          <w:color w:val="auto"/>
          <w:sz w:val="28"/>
          <w:szCs w:val="28"/>
          <w:highlight w:val="none"/>
        </w:rPr>
      </w:pPr>
    </w:p>
    <w:p>
      <w:pPr>
        <w:pStyle w:val="24"/>
        <w:spacing w:line="360" w:lineRule="auto"/>
        <w:jc w:val="left"/>
        <w:rPr>
          <w:rFonts w:ascii="宋体" w:hAnsi="宋体"/>
          <w:b/>
          <w:color w:val="auto"/>
          <w:sz w:val="28"/>
          <w:szCs w:val="28"/>
          <w:highlight w:val="none"/>
        </w:rPr>
        <w:sectPr>
          <w:pgSz w:w="11906" w:h="16838"/>
          <w:pgMar w:top="1134" w:right="1134" w:bottom="1134" w:left="1417" w:header="851" w:footer="851" w:gutter="0"/>
          <w:cols w:space="720" w:num="1"/>
          <w:docGrid w:linePitch="312" w:charSpace="43007"/>
        </w:sectPr>
      </w:pPr>
    </w:p>
    <w:p>
      <w:pPr>
        <w:pStyle w:val="24"/>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1、</w:t>
      </w:r>
      <w:r>
        <w:rPr>
          <w:rFonts w:ascii="宋体" w:hAnsi="宋体"/>
          <w:b/>
          <w:color w:val="auto"/>
          <w:sz w:val="28"/>
          <w:szCs w:val="28"/>
          <w:highlight w:val="none"/>
        </w:rPr>
        <w:t>磋商函</w:t>
      </w:r>
    </w:p>
    <w:p>
      <w:pPr>
        <w:pStyle w:val="24"/>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pPr>
        <w:pStyle w:val="24"/>
        <w:spacing w:line="360" w:lineRule="auto"/>
        <w:ind w:left="141"/>
        <w:rPr>
          <w:rFonts w:ascii="宋体" w:hAnsi="宋体"/>
          <w:color w:val="auto"/>
          <w:szCs w:val="21"/>
          <w:highlight w:val="none"/>
          <w:u w:val="single"/>
        </w:rPr>
      </w:pPr>
    </w:p>
    <w:p>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pPr>
        <w:autoSpaceDE w:val="0"/>
        <w:autoSpaceDN w:val="0"/>
        <w:adjustRightInd w:val="0"/>
        <w:spacing w:line="360" w:lineRule="auto"/>
        <w:ind w:firstLine="420" w:firstLineChars="200"/>
        <w:rPr>
          <w:rFonts w:ascii="宋体" w:cs="宋体"/>
          <w:color w:val="auto"/>
          <w:kern w:val="0"/>
          <w:sz w:val="21"/>
          <w:szCs w:val="22"/>
          <w:highlight w:val="none"/>
          <w:u w:val="singl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none"/>
          <w:lang w:val="en-US" w:eastAsia="zh-CN"/>
        </w:rPr>
        <w:t xml:space="preserve"> </w:t>
      </w:r>
      <w:r>
        <w:rPr>
          <w:rFonts w:hint="eastAsia" w:ascii="宋体" w:hAnsi="宋体" w:cs="宋体"/>
          <w:color w:val="auto"/>
          <w:kern w:val="0"/>
          <w:sz w:val="21"/>
          <w:szCs w:val="22"/>
          <w:highlight w:val="none"/>
          <w:u w:val="non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lang w:eastAsia="zh-CN"/>
        </w:rPr>
        <w:t>达到</w:t>
      </w:r>
      <w:r>
        <w:rPr>
          <w:rFonts w:hint="eastAsia" w:ascii="宋体" w:hAnsi="宋体" w:cs="宋体"/>
          <w:color w:val="auto"/>
          <w:kern w:val="0"/>
          <w:sz w:val="21"/>
          <w:szCs w:val="22"/>
          <w:highlight w:val="none"/>
          <w:u w:val="single"/>
          <w:lang w:eastAsia="zh-CN"/>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pPr>
        <w:autoSpaceDE w:val="0"/>
        <w:autoSpaceDN w:val="0"/>
        <w:adjustRightInd w:val="0"/>
        <w:spacing w:line="360" w:lineRule="auto"/>
        <w:ind w:firstLine="555"/>
        <w:rPr>
          <w:rFonts w:ascii="宋体" w:cs="宋体"/>
          <w:color w:val="auto"/>
          <w:kern w:val="0"/>
          <w:sz w:val="21"/>
          <w:szCs w:val="22"/>
          <w:highlight w:val="none"/>
        </w:rPr>
      </w:pPr>
    </w:p>
    <w:p>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24"/>
        <w:spacing w:line="360" w:lineRule="auto"/>
        <w:ind w:right="97"/>
        <w:rPr>
          <w:rFonts w:ascii="宋体" w:hAnsi="宋体" w:cs="宋体"/>
          <w:color w:val="auto"/>
          <w:szCs w:val="21"/>
          <w:highlight w:val="none"/>
        </w:rPr>
      </w:pPr>
    </w:p>
    <w:p>
      <w:pPr>
        <w:pStyle w:val="24"/>
        <w:spacing w:line="360" w:lineRule="auto"/>
        <w:rPr>
          <w:rFonts w:ascii="宋体" w:hAnsi="宋体"/>
          <w:b/>
          <w:color w:val="auto"/>
          <w:sz w:val="28"/>
          <w:szCs w:val="28"/>
          <w:highlight w:val="none"/>
        </w:rPr>
      </w:pPr>
    </w:p>
    <w:p>
      <w:pPr>
        <w:pStyle w:val="25"/>
        <w:rPr>
          <w:color w:val="auto"/>
          <w:highlight w:val="none"/>
        </w:rPr>
      </w:pPr>
    </w:p>
    <w:p>
      <w:pPr>
        <w:pStyle w:val="24"/>
        <w:spacing w:line="360" w:lineRule="auto"/>
        <w:rPr>
          <w:rFonts w:ascii="宋体" w:hAnsi="宋体"/>
          <w:b/>
          <w:color w:val="auto"/>
          <w:sz w:val="28"/>
          <w:szCs w:val="28"/>
          <w:highlight w:val="none"/>
        </w:rPr>
        <w:sectPr>
          <w:pgSz w:w="11906" w:h="16838"/>
          <w:pgMar w:top="1134" w:right="1134" w:bottom="1134" w:left="1417" w:header="851" w:footer="851" w:gutter="0"/>
          <w:cols w:space="720" w:num="1"/>
          <w:docGrid w:linePitch="312" w:charSpace="43007"/>
        </w:sectPr>
      </w:pPr>
    </w:p>
    <w:p>
      <w:pPr>
        <w:pStyle w:val="24"/>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2、</w:t>
      </w:r>
      <w:r>
        <w:rPr>
          <w:rFonts w:ascii="宋体" w:hAnsi="宋体"/>
          <w:b/>
          <w:color w:val="auto"/>
          <w:sz w:val="28"/>
          <w:szCs w:val="28"/>
          <w:highlight w:val="none"/>
        </w:rPr>
        <w:t xml:space="preserve">磋商函附录       </w:t>
      </w:r>
    </w:p>
    <w:p>
      <w:pPr>
        <w:pStyle w:val="30"/>
        <w:spacing w:line="360" w:lineRule="auto"/>
        <w:jc w:val="center"/>
        <w:rPr>
          <w:color w:val="auto"/>
          <w:sz w:val="32"/>
          <w:szCs w:val="32"/>
          <w:highlight w:val="none"/>
        </w:rPr>
      </w:pPr>
      <w:bookmarkStart w:id="71" w:name="_Toc514607588"/>
      <w:bookmarkStart w:id="72" w:name="_Toc514605589"/>
      <w:bookmarkStart w:id="73" w:name="_Toc514605322"/>
      <w:bookmarkStart w:id="74" w:name="_Toc514606977"/>
      <w:bookmarkStart w:id="75" w:name="_Toc1106"/>
      <w:r>
        <w:rPr>
          <w:color w:val="auto"/>
          <w:sz w:val="30"/>
          <w:szCs w:val="30"/>
          <w:highlight w:val="none"/>
        </w:rPr>
        <w:t>磋商函附录</w:t>
      </w:r>
      <w:bookmarkEnd w:id="71"/>
      <w:bookmarkEnd w:id="72"/>
      <w:bookmarkEnd w:id="73"/>
      <w:bookmarkEnd w:id="74"/>
      <w:bookmarkEnd w:id="75"/>
    </w:p>
    <w:tbl>
      <w:tblPr>
        <w:tblStyle w:val="18"/>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合同条款号</w:t>
            </w: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约定内容</w:t>
            </w: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r>
    </w:tbl>
    <w:p>
      <w:pPr>
        <w:pStyle w:val="24"/>
        <w:snapToGrid w:val="0"/>
        <w:spacing w:line="360" w:lineRule="auto"/>
        <w:rPr>
          <w:rFonts w:hint="eastAsia" w:ascii="宋体" w:hAnsi="宋体" w:eastAsia="宋体"/>
          <w:color w:val="auto"/>
          <w:sz w:val="22"/>
          <w:szCs w:val="22"/>
          <w:highlight w:val="none"/>
          <w:lang w:eastAsia="zh-CN"/>
        </w:rPr>
      </w:pPr>
    </w:p>
    <w:p>
      <w:pPr>
        <w:pStyle w:val="11"/>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pPr>
        <w:pStyle w:val="11"/>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pPr>
        <w:pStyle w:val="11"/>
        <w:spacing w:line="360" w:lineRule="auto"/>
        <w:rPr>
          <w:color w:val="auto"/>
          <w:sz w:val="21"/>
          <w:szCs w:val="22"/>
          <w:highlight w:val="none"/>
        </w:rPr>
      </w:pPr>
      <w:r>
        <w:rPr>
          <w:color w:val="auto"/>
          <w:sz w:val="21"/>
          <w:szCs w:val="22"/>
          <w:highlight w:val="none"/>
        </w:rPr>
        <w:t xml:space="preserve">时间：   年  月  日 </w:t>
      </w:r>
    </w:p>
    <w:p>
      <w:pPr>
        <w:pStyle w:val="11"/>
        <w:spacing w:line="360" w:lineRule="auto"/>
        <w:rPr>
          <w:b/>
          <w:color w:val="auto"/>
          <w:sz w:val="32"/>
          <w:szCs w:val="32"/>
          <w:highlight w:val="none"/>
        </w:rPr>
      </w:pPr>
    </w:p>
    <w:p>
      <w:pPr>
        <w:pStyle w:val="24"/>
        <w:rPr>
          <w:b/>
          <w:color w:val="auto"/>
          <w:sz w:val="28"/>
          <w:szCs w:val="28"/>
          <w:highlight w:val="none"/>
        </w:rPr>
      </w:pPr>
    </w:p>
    <w:p>
      <w:pPr>
        <w:pStyle w:val="11"/>
        <w:spacing w:line="360" w:lineRule="auto"/>
        <w:rPr>
          <w:b/>
          <w:color w:val="auto"/>
          <w:sz w:val="28"/>
          <w:szCs w:val="28"/>
          <w:highlight w:val="none"/>
        </w:rPr>
        <w:sectPr>
          <w:pgSz w:w="11906" w:h="16838"/>
          <w:pgMar w:top="1134" w:right="1134" w:bottom="1134" w:left="1417" w:header="851" w:footer="851" w:gutter="0"/>
          <w:cols w:space="720" w:num="1"/>
          <w:docGrid w:linePitch="312" w:charSpace="43007"/>
        </w:sectPr>
      </w:pPr>
    </w:p>
    <w:p>
      <w:pPr>
        <w:pStyle w:val="11"/>
        <w:spacing w:line="360" w:lineRule="auto"/>
        <w:rPr>
          <w:b/>
          <w:color w:val="auto"/>
          <w:sz w:val="28"/>
          <w:szCs w:val="28"/>
          <w:highlight w:val="none"/>
        </w:rPr>
      </w:pPr>
      <w:r>
        <w:rPr>
          <w:rFonts w:hint="eastAsia"/>
          <w:b/>
          <w:color w:val="auto"/>
          <w:sz w:val="28"/>
          <w:szCs w:val="28"/>
          <w:highlight w:val="none"/>
          <w:lang w:val="en-US" w:eastAsia="zh-CN"/>
        </w:rPr>
        <w:t>3、</w:t>
      </w:r>
      <w:r>
        <w:rPr>
          <w:b/>
          <w:color w:val="auto"/>
          <w:sz w:val="28"/>
          <w:szCs w:val="28"/>
          <w:highlight w:val="none"/>
        </w:rPr>
        <w:t>磋商报价表</w:t>
      </w:r>
    </w:p>
    <w:p>
      <w:pPr>
        <w:pStyle w:val="30"/>
        <w:spacing w:line="360" w:lineRule="auto"/>
        <w:jc w:val="center"/>
        <w:rPr>
          <w:rFonts w:ascii="宋体" w:hAnsi="宋体"/>
          <w:color w:val="auto"/>
          <w:sz w:val="36"/>
          <w:szCs w:val="22"/>
          <w:highlight w:val="none"/>
        </w:rPr>
      </w:pPr>
      <w:bookmarkStart w:id="76" w:name="_Toc32185"/>
      <w:bookmarkStart w:id="77" w:name="_Toc514605590"/>
      <w:bookmarkStart w:id="78" w:name="_Toc514607589"/>
      <w:bookmarkStart w:id="79" w:name="_Toc514606978"/>
      <w:bookmarkStart w:id="80" w:name="_Toc514605323"/>
      <w:r>
        <w:rPr>
          <w:rFonts w:ascii="宋体" w:hAnsi="宋体"/>
          <w:color w:val="auto"/>
          <w:szCs w:val="21"/>
          <w:highlight w:val="none"/>
        </w:rPr>
        <w:t>磋商报价表</w:t>
      </w:r>
      <w:bookmarkEnd w:id="76"/>
      <w:bookmarkEnd w:id="77"/>
      <w:bookmarkEnd w:id="78"/>
      <w:bookmarkEnd w:id="79"/>
      <w:bookmarkEnd w:id="80"/>
    </w:p>
    <w:p>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18"/>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pPr>
              <w:spacing w:line="360" w:lineRule="auto"/>
              <w:ind w:right="700"/>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pPr>
              <w:spacing w:line="360" w:lineRule="auto"/>
              <w:ind w:right="700"/>
              <w:jc w:val="center"/>
              <w:rPr>
                <w:rFonts w:ascii="宋体" w:cs="宋体"/>
                <w:color w:val="auto"/>
                <w:sz w:val="21"/>
                <w:szCs w:val="22"/>
                <w:highlight w:val="none"/>
              </w:rPr>
            </w:pPr>
          </w:p>
        </w:tc>
      </w:tr>
    </w:tbl>
    <w:p>
      <w:pPr>
        <w:spacing w:line="360" w:lineRule="auto"/>
        <w:ind w:right="700" w:firstLine="315" w:firstLineChars="15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pPr>
        <w:pStyle w:val="16"/>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pPr>
        <w:rPr>
          <w:rFonts w:hint="eastAsia" w:ascii="宋体" w:hAnsi="宋体" w:cs="宋体"/>
          <w:color w:val="auto"/>
          <w:szCs w:val="21"/>
          <w:highlight w:val="none"/>
        </w:rPr>
      </w:pPr>
    </w:p>
    <w:p>
      <w:pPr>
        <w:pStyle w:val="23"/>
        <w:rPr>
          <w:rFonts w:hint="eastAsia" w:ascii="宋体" w:hAnsi="宋体" w:cs="宋体"/>
          <w:color w:val="auto"/>
          <w:szCs w:val="21"/>
          <w:highlight w:val="none"/>
        </w:rPr>
      </w:pPr>
    </w:p>
    <w:p>
      <w:pPr>
        <w:numPr>
          <w:ilvl w:val="0"/>
          <w:numId w:val="4"/>
        </w:numPr>
        <w:spacing w:line="360" w:lineRule="auto"/>
        <w:rPr>
          <w:rFonts w:hint="eastAsia"/>
          <w:b/>
          <w:color w:val="auto"/>
          <w:sz w:val="28"/>
          <w:szCs w:val="28"/>
          <w:highlight w:val="none"/>
          <w:lang w:eastAsia="zh-CN"/>
        </w:rPr>
      </w:pPr>
      <w:bookmarkStart w:id="81" w:name="_Toc458689680"/>
      <w:bookmarkEnd w:id="81"/>
      <w:bookmarkStart w:id="82" w:name="_Toc392941016"/>
      <w:bookmarkEnd w:id="82"/>
      <w:bookmarkStart w:id="83" w:name="_Toc502737803"/>
      <w:bookmarkEnd w:id="83"/>
      <w:r>
        <w:rPr>
          <w:rFonts w:hint="eastAsia"/>
          <w:b/>
          <w:color w:val="auto"/>
          <w:sz w:val="28"/>
          <w:szCs w:val="28"/>
          <w:highlight w:val="none"/>
          <w:lang w:eastAsia="zh-CN"/>
        </w:rPr>
        <w:t>已标价工程量清单</w:t>
      </w:r>
    </w:p>
    <w:p>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pPr>
        <w:pStyle w:val="23"/>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lang w:eastAsia="zh-CN"/>
        </w:rPr>
      </w:pPr>
    </w:p>
    <w:p>
      <w:pPr>
        <w:pStyle w:val="24"/>
        <w:spacing w:line="360" w:lineRule="auto"/>
        <w:rPr>
          <w:rFonts w:hint="eastAsia"/>
          <w:b/>
          <w:color w:val="auto"/>
          <w:sz w:val="28"/>
          <w:szCs w:val="28"/>
          <w:highlight w:val="none"/>
          <w:lang w:eastAsia="zh-CN"/>
        </w:rPr>
      </w:pPr>
      <w:r>
        <w:rPr>
          <w:rFonts w:hint="eastAsia"/>
          <w:b/>
          <w:color w:val="auto"/>
          <w:sz w:val="28"/>
          <w:szCs w:val="28"/>
          <w:highlight w:val="none"/>
          <w:lang w:val="en-US" w:eastAsia="zh-CN"/>
        </w:rPr>
        <w:t>5、</w:t>
      </w:r>
      <w:r>
        <w:rPr>
          <w:rFonts w:hint="eastAsia"/>
          <w:b/>
          <w:color w:val="auto"/>
          <w:sz w:val="28"/>
          <w:szCs w:val="28"/>
          <w:highlight w:val="none"/>
          <w:lang w:eastAsia="zh-CN"/>
        </w:rPr>
        <w:t>供应商认为有必要提供的声明及其他证明材料；</w:t>
      </w:r>
    </w:p>
    <w:p>
      <w:pPr>
        <w:pStyle w:val="24"/>
        <w:spacing w:line="360" w:lineRule="auto"/>
        <w:rPr>
          <w:rFonts w:ascii="宋体" w:hAnsi="宋体"/>
          <w:b/>
          <w:bCs/>
          <w:color w:val="auto"/>
          <w:sz w:val="24"/>
          <w:highlight w:val="none"/>
        </w:rPr>
      </w:pPr>
    </w:p>
    <w:p>
      <w:pPr>
        <w:pStyle w:val="3"/>
        <w:spacing w:line="360" w:lineRule="auto"/>
        <w:jc w:val="center"/>
        <w:rPr>
          <w:rFonts w:ascii="宋体" w:cs="宋体"/>
          <w:color w:val="auto"/>
          <w:sz w:val="36"/>
          <w:highlight w:val="none"/>
        </w:rPr>
      </w:pPr>
      <w:bookmarkStart w:id="84" w:name="_Toc16105"/>
      <w:bookmarkStart w:id="85" w:name="_Toc23492"/>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商务技术文件</w:t>
      </w:r>
      <w:r>
        <w:rPr>
          <w:rFonts w:hint="eastAsia" w:ascii="宋体" w:hAnsi="宋体" w:cs="宋体"/>
          <w:color w:val="auto"/>
          <w:sz w:val="36"/>
          <w:highlight w:val="none"/>
        </w:rPr>
        <w:t>部分</w:t>
      </w:r>
      <w:bookmarkEnd w:id="84"/>
      <w:bookmarkEnd w:id="85"/>
    </w:p>
    <w:p>
      <w:pPr>
        <w:pStyle w:val="4"/>
        <w:spacing w:line="360" w:lineRule="auto"/>
        <w:jc w:val="center"/>
        <w:rPr>
          <w:rFonts w:ascii="宋体" w:hAnsi="宋体" w:eastAsia="宋体" w:cs="宋体"/>
          <w:color w:val="auto"/>
          <w:kern w:val="0"/>
          <w:highlight w:val="none"/>
        </w:rPr>
      </w:pPr>
      <w:bookmarkStart w:id="86" w:name="_Toc13855"/>
      <w:bookmarkStart w:id="87" w:name="_Toc9157"/>
      <w:r>
        <w:rPr>
          <w:rFonts w:hint="eastAsia" w:ascii="宋体" w:hAnsi="宋体" w:eastAsia="宋体" w:cs="宋体"/>
          <w:color w:val="auto"/>
          <w:kern w:val="0"/>
          <w:highlight w:val="none"/>
        </w:rPr>
        <w:t>封面格式</w:t>
      </w:r>
      <w:bookmarkEnd w:id="86"/>
      <w:bookmarkEnd w:id="87"/>
    </w:p>
    <w:p>
      <w:pPr>
        <w:pStyle w:val="24"/>
        <w:spacing w:line="360" w:lineRule="auto"/>
        <w:rPr>
          <w:rFonts w:ascii="宋体" w:hAnsi="宋体"/>
          <w:b/>
          <w:bCs/>
          <w:color w:val="auto"/>
          <w:sz w:val="24"/>
          <w:highlight w:val="none"/>
        </w:rPr>
      </w:pPr>
    </w:p>
    <w:p>
      <w:pPr>
        <w:pStyle w:val="24"/>
        <w:rPr>
          <w:color w:val="auto"/>
          <w:highlight w:val="none"/>
        </w:rPr>
      </w:pPr>
    </w:p>
    <w:tbl>
      <w:tblPr>
        <w:tblStyle w:val="1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r>
              <w:rPr>
                <w:rFonts w:hint="eastAsia" w:ascii="宋体" w:hAnsi="宋体" w:cs="宋体"/>
                <w:b/>
                <w:color w:val="auto"/>
                <w:kern w:val="0"/>
                <w:sz w:val="32"/>
                <w:szCs w:val="21"/>
                <w:highlight w:val="none"/>
                <w:lang w:eastAsia="zh-CN"/>
              </w:rPr>
              <w:t>（项目名称）</w:t>
            </w:r>
          </w:p>
          <w:p>
            <w:pPr>
              <w:autoSpaceDE w:val="0"/>
              <w:autoSpaceDN w:val="0"/>
              <w:adjustRightInd w:val="0"/>
              <w:spacing w:line="360" w:lineRule="auto"/>
              <w:jc w:val="center"/>
              <w:outlineLvl w:val="0"/>
              <w:rPr>
                <w:rFonts w:ascii="宋体" w:cs="宋体"/>
                <w:color w:val="auto"/>
                <w:kern w:val="0"/>
                <w:sz w:val="22"/>
                <w:szCs w:val="21"/>
                <w:highlight w:val="none"/>
              </w:rPr>
            </w:pPr>
          </w:p>
          <w:p>
            <w:pPr>
              <w:pStyle w:val="23"/>
              <w:rPr>
                <w:rFonts w:ascii="宋体" w:cs="宋体"/>
                <w:color w:val="auto"/>
                <w:kern w:val="0"/>
                <w:sz w:val="22"/>
                <w:szCs w:val="21"/>
                <w:highlight w:val="none"/>
              </w:rPr>
            </w:pPr>
          </w:p>
          <w:p>
            <w:pPr>
              <w:pStyle w:val="23"/>
              <w:rPr>
                <w:rFonts w:ascii="宋体" w:cs="宋体"/>
                <w:color w:val="auto"/>
                <w:kern w:val="0"/>
                <w:sz w:val="22"/>
                <w:szCs w:val="21"/>
                <w:highlight w:val="none"/>
              </w:rPr>
            </w:pPr>
          </w:p>
          <w:p>
            <w:pPr>
              <w:pStyle w:val="23"/>
              <w:rPr>
                <w:rFonts w:ascii="宋体" w:cs="宋体"/>
                <w:color w:val="auto"/>
                <w:kern w:val="0"/>
                <w:sz w:val="22"/>
                <w:szCs w:val="21"/>
                <w:highlight w:val="none"/>
              </w:rPr>
            </w:pPr>
          </w:p>
          <w:p>
            <w:pPr>
              <w:pStyle w:val="23"/>
              <w:rPr>
                <w:rFonts w:ascii="宋体" w:cs="宋体"/>
                <w:color w:val="auto"/>
                <w:kern w:val="0"/>
                <w:sz w:val="22"/>
                <w:szCs w:val="21"/>
                <w:highlight w:val="none"/>
              </w:rPr>
            </w:pPr>
          </w:p>
          <w:p>
            <w:pPr>
              <w:pStyle w:val="23"/>
              <w:rPr>
                <w:rFonts w:ascii="宋体" w:cs="宋体"/>
                <w:color w:val="auto"/>
                <w:kern w:val="0"/>
                <w:sz w:val="22"/>
                <w:szCs w:val="21"/>
                <w:highlight w:val="none"/>
              </w:rPr>
            </w:pPr>
          </w:p>
          <w:p>
            <w:pPr>
              <w:pStyle w:val="23"/>
              <w:rPr>
                <w:rFonts w:ascii="宋体" w:cs="宋体"/>
                <w:color w:val="auto"/>
                <w:kern w:val="0"/>
                <w:sz w:val="22"/>
                <w:szCs w:val="21"/>
                <w:highlight w:val="none"/>
              </w:rPr>
            </w:pPr>
          </w:p>
          <w:p>
            <w:pPr>
              <w:pStyle w:val="23"/>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56"/>
                <w:szCs w:val="21"/>
                <w:highlight w:val="none"/>
              </w:rPr>
              <w:t>响应文件</w:t>
            </w: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32"/>
                <w:szCs w:val="32"/>
                <w:highlight w:val="none"/>
              </w:rPr>
              <w:t>（正本</w:t>
            </w:r>
            <w:r>
              <w:rPr>
                <w:rFonts w:ascii="宋体" w:hAnsi="宋体" w:cs="宋体"/>
                <w:b/>
                <w:color w:val="auto"/>
                <w:kern w:val="0"/>
                <w:sz w:val="32"/>
                <w:szCs w:val="32"/>
                <w:highlight w:val="none"/>
              </w:rPr>
              <w:t>/</w:t>
            </w:r>
            <w:r>
              <w:rPr>
                <w:rFonts w:hint="eastAsia" w:ascii="宋体" w:hAnsi="宋体" w:cs="宋体"/>
                <w:b/>
                <w:color w:val="auto"/>
                <w:kern w:val="0"/>
                <w:sz w:val="32"/>
                <w:szCs w:val="32"/>
                <w:highlight w:val="none"/>
              </w:rPr>
              <w:t>副本）</w:t>
            </w: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pStyle w:val="23"/>
              <w:rPr>
                <w:color w:val="auto"/>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项目名称：</w:t>
            </w:r>
          </w:p>
          <w:p>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商务技术文件</w:t>
            </w:r>
            <w:r>
              <w:rPr>
                <w:rFonts w:hint="eastAsia" w:ascii="宋体" w:hAnsi="宋体" w:cs="宋体"/>
                <w:color w:val="auto"/>
                <w:kern w:val="0"/>
                <w:sz w:val="24"/>
                <w:szCs w:val="21"/>
                <w:highlight w:val="none"/>
                <w:u w:val="single"/>
              </w:rPr>
              <w:t>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pPr>
        <w:pStyle w:val="24"/>
        <w:spacing w:line="360" w:lineRule="auto"/>
        <w:rPr>
          <w:rFonts w:ascii="宋体" w:hAnsi="宋体" w:cs="宋体"/>
          <w:color w:val="auto"/>
          <w:sz w:val="24"/>
          <w:highlight w:val="none"/>
        </w:rPr>
      </w:pPr>
    </w:p>
    <w:p>
      <w:pPr>
        <w:pStyle w:val="24"/>
        <w:spacing w:line="360" w:lineRule="auto"/>
        <w:rPr>
          <w:rFonts w:ascii="宋体" w:hAnsi="宋体" w:cs="宋体"/>
          <w:color w:val="auto"/>
          <w:sz w:val="24"/>
          <w:highlight w:val="none"/>
        </w:rPr>
      </w:pPr>
    </w:p>
    <w:p>
      <w:pPr>
        <w:pStyle w:val="24"/>
        <w:spacing w:line="360" w:lineRule="auto"/>
        <w:rPr>
          <w:rFonts w:ascii="宋体" w:hAnsi="宋体" w:cs="宋体"/>
          <w:color w:val="auto"/>
          <w:sz w:val="24"/>
          <w:highlight w:val="none"/>
        </w:rPr>
      </w:pPr>
    </w:p>
    <w:p>
      <w:pPr>
        <w:pStyle w:val="25"/>
        <w:rPr>
          <w:rFonts w:ascii="宋体" w:hAnsi="宋体" w:cs="宋体"/>
          <w:color w:val="auto"/>
          <w:sz w:val="24"/>
          <w:highlight w:val="none"/>
        </w:rPr>
      </w:pPr>
    </w:p>
    <w:p>
      <w:pPr>
        <w:pStyle w:val="24"/>
        <w:rPr>
          <w:rFonts w:ascii="宋体" w:hAnsi="宋体" w:cs="宋体"/>
          <w:color w:val="auto"/>
          <w:sz w:val="24"/>
          <w:highlight w:val="none"/>
        </w:rPr>
      </w:pPr>
    </w:p>
    <w:p>
      <w:pPr>
        <w:pStyle w:val="25"/>
        <w:rPr>
          <w:color w:val="auto"/>
          <w:highlight w:val="none"/>
        </w:rPr>
      </w:pPr>
    </w:p>
    <w:p>
      <w:pPr>
        <w:pStyle w:val="24"/>
        <w:spacing w:line="360" w:lineRule="auto"/>
        <w:jc w:val="center"/>
        <w:rPr>
          <w:rFonts w:ascii="宋体" w:hAnsi="宋体" w:cs="宋体"/>
          <w:color w:val="auto"/>
          <w:sz w:val="24"/>
          <w:highlight w:val="none"/>
        </w:rPr>
      </w:pPr>
    </w:p>
    <w:p>
      <w:pPr>
        <w:pStyle w:val="24"/>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4"/>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4"/>
        <w:spacing w:line="360" w:lineRule="auto"/>
        <w:jc w:val="center"/>
        <w:rPr>
          <w:rFonts w:ascii="宋体" w:hAnsi="宋体"/>
          <w:b/>
          <w:color w:val="auto"/>
          <w:sz w:val="28"/>
          <w:szCs w:val="28"/>
          <w:highlight w:val="none"/>
        </w:rPr>
      </w:pPr>
    </w:p>
    <w:p>
      <w:pPr>
        <w:spacing w:line="360" w:lineRule="auto"/>
        <w:rPr>
          <w:b/>
          <w:bCs/>
          <w:color w:val="auto"/>
          <w:sz w:val="24"/>
          <w:szCs w:val="28"/>
          <w:highlight w:val="none"/>
        </w:rPr>
      </w:pPr>
      <w:r>
        <w:rPr>
          <w:rFonts w:hint="eastAsia"/>
          <w:b/>
          <w:bCs/>
          <w:color w:val="auto"/>
          <w:sz w:val="24"/>
          <w:szCs w:val="28"/>
          <w:highlight w:val="none"/>
        </w:rPr>
        <w:t>1、</w:t>
      </w:r>
      <w:r>
        <w:rPr>
          <w:b/>
          <w:bCs/>
          <w:color w:val="auto"/>
          <w:sz w:val="24"/>
          <w:szCs w:val="28"/>
          <w:highlight w:val="none"/>
        </w:rPr>
        <w:t>施工组织设计；</w:t>
      </w:r>
    </w:p>
    <w:p>
      <w:pPr>
        <w:spacing w:line="360" w:lineRule="auto"/>
        <w:rPr>
          <w:b/>
          <w:bCs/>
          <w:color w:val="auto"/>
          <w:sz w:val="24"/>
          <w:szCs w:val="28"/>
          <w:highlight w:val="none"/>
        </w:rPr>
      </w:pPr>
      <w:r>
        <w:rPr>
          <w:rFonts w:hint="eastAsia"/>
          <w:b/>
          <w:bCs/>
          <w:color w:val="auto"/>
          <w:sz w:val="24"/>
          <w:szCs w:val="28"/>
          <w:highlight w:val="none"/>
        </w:rPr>
        <w:t>2、</w:t>
      </w:r>
      <w:r>
        <w:rPr>
          <w:b/>
          <w:bCs/>
          <w:color w:val="auto"/>
          <w:sz w:val="24"/>
          <w:szCs w:val="28"/>
          <w:highlight w:val="none"/>
        </w:rPr>
        <w:t>项目管理机构</w:t>
      </w:r>
      <w:r>
        <w:rPr>
          <w:rFonts w:hint="eastAsia"/>
          <w:b/>
          <w:bCs/>
          <w:color w:val="auto"/>
          <w:sz w:val="24"/>
          <w:szCs w:val="28"/>
          <w:highlight w:val="none"/>
        </w:rPr>
        <w:t>：</w:t>
      </w:r>
    </w:p>
    <w:p>
      <w:pPr>
        <w:pStyle w:val="28"/>
        <w:spacing w:line="460" w:lineRule="exact"/>
        <w:rPr>
          <w:color w:val="auto"/>
          <w:highlight w:val="none"/>
        </w:rPr>
      </w:pPr>
      <w:r>
        <w:rPr>
          <w:rFonts w:hint="eastAsia"/>
          <w:color w:val="auto"/>
          <w:highlight w:val="none"/>
        </w:rPr>
        <w:t>（1）</w:t>
      </w:r>
      <w:r>
        <w:rPr>
          <w:color w:val="auto"/>
          <w:highlight w:val="none"/>
        </w:rPr>
        <w:t>项目管理机构配备情况表；</w:t>
      </w:r>
    </w:p>
    <w:p>
      <w:pPr>
        <w:pStyle w:val="28"/>
        <w:spacing w:line="460" w:lineRule="exact"/>
        <w:rPr>
          <w:color w:val="auto"/>
          <w:highlight w:val="none"/>
        </w:rPr>
      </w:pPr>
      <w:r>
        <w:rPr>
          <w:rFonts w:hint="eastAsia"/>
          <w:color w:val="auto"/>
          <w:highlight w:val="none"/>
        </w:rPr>
        <w:t>（2）</w:t>
      </w:r>
      <w:r>
        <w:rPr>
          <w:color w:val="auto"/>
          <w:highlight w:val="none"/>
        </w:rPr>
        <w:t>项目经理（注册建造师）简历表；</w:t>
      </w:r>
    </w:p>
    <w:p>
      <w:pPr>
        <w:pStyle w:val="28"/>
        <w:spacing w:line="460" w:lineRule="exact"/>
        <w:rPr>
          <w:color w:val="auto"/>
          <w:highlight w:val="none"/>
        </w:rPr>
      </w:pPr>
      <w:r>
        <w:rPr>
          <w:rFonts w:hint="eastAsia"/>
          <w:color w:val="auto"/>
          <w:highlight w:val="none"/>
        </w:rPr>
        <w:t>（3）</w:t>
      </w:r>
      <w:r>
        <w:rPr>
          <w:color w:val="auto"/>
          <w:highlight w:val="none"/>
        </w:rPr>
        <w:t>项目技术负责人简历表。</w:t>
      </w:r>
    </w:p>
    <w:p>
      <w:pPr>
        <w:pStyle w:val="28"/>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eastAsia="宋体" w:cs="Times New Roman"/>
          <w:b/>
          <w:bCs/>
          <w:color w:val="auto"/>
          <w:kern w:val="2"/>
          <w:sz w:val="24"/>
          <w:szCs w:val="28"/>
          <w:highlight w:val="none"/>
          <w:lang w:val="en-US" w:eastAsia="zh-CN" w:bidi="ar-SA"/>
        </w:rPr>
        <w:t>3、供应商认为有必要提供的声明及其他证明材料（如有，请提供）</w:t>
      </w:r>
    </w:p>
    <w:p>
      <w:pPr>
        <w:spacing w:line="460" w:lineRule="exact"/>
        <w:ind w:firstLine="400" w:firstLineChars="200"/>
        <w:rPr>
          <w:color w:val="auto"/>
          <w:szCs w:val="28"/>
          <w:highlight w:val="none"/>
        </w:rPr>
      </w:pPr>
    </w:p>
    <w:p>
      <w:pPr>
        <w:pStyle w:val="23"/>
        <w:rPr>
          <w:color w:val="auto"/>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rPr>
          <w:rFonts w:ascii="宋体" w:hAnsi="宋体" w:cs="宋体"/>
          <w:color w:val="auto"/>
          <w:sz w:val="36"/>
          <w:highlight w:val="none"/>
        </w:rPr>
      </w:pPr>
    </w:p>
    <w:p>
      <w:pPr>
        <w:pStyle w:val="23"/>
        <w:rPr>
          <w:rFonts w:ascii="宋体" w:hAnsi="宋体" w:cs="宋体"/>
          <w:color w:val="auto"/>
          <w:sz w:val="36"/>
          <w:highlight w:val="none"/>
        </w:rPr>
      </w:pPr>
    </w:p>
    <w:p>
      <w:pPr>
        <w:pStyle w:val="23"/>
        <w:rPr>
          <w:rFonts w:ascii="宋体" w:hAnsi="宋体" w:cs="宋体"/>
          <w:color w:val="auto"/>
          <w:sz w:val="36"/>
          <w:highlight w:val="none"/>
        </w:rPr>
      </w:pPr>
    </w:p>
    <w:p>
      <w:pPr>
        <w:pStyle w:val="23"/>
        <w:rPr>
          <w:rFonts w:ascii="宋体" w:hAnsi="宋体" w:cs="宋体"/>
          <w:color w:val="auto"/>
          <w:sz w:val="36"/>
          <w:highlight w:val="none"/>
        </w:rPr>
      </w:pPr>
    </w:p>
    <w:p>
      <w:pPr>
        <w:pStyle w:val="23"/>
        <w:rPr>
          <w:rFonts w:ascii="宋体" w:hAnsi="宋体" w:cs="宋体"/>
          <w:color w:val="auto"/>
          <w:sz w:val="36"/>
          <w:highlight w:val="none"/>
        </w:rPr>
      </w:pPr>
    </w:p>
    <w:p>
      <w:pPr>
        <w:pStyle w:val="23"/>
        <w:rPr>
          <w:rFonts w:ascii="宋体" w:hAnsi="宋体" w:cs="宋体"/>
          <w:color w:val="auto"/>
          <w:sz w:val="36"/>
          <w:highlight w:val="none"/>
        </w:rPr>
      </w:pPr>
    </w:p>
    <w:p>
      <w:pPr>
        <w:pStyle w:val="23"/>
        <w:rPr>
          <w:rFonts w:ascii="宋体" w:hAnsi="宋体" w:cs="宋体"/>
          <w:color w:val="auto"/>
          <w:sz w:val="36"/>
          <w:highlight w:val="none"/>
        </w:rPr>
      </w:pPr>
    </w:p>
    <w:p>
      <w:pPr>
        <w:pStyle w:val="23"/>
        <w:rPr>
          <w:rFonts w:ascii="宋体" w:hAnsi="宋体" w:cs="宋体"/>
          <w:color w:val="auto"/>
          <w:sz w:val="36"/>
          <w:highlight w:val="none"/>
        </w:rPr>
      </w:pPr>
    </w:p>
    <w:p>
      <w:pPr>
        <w:pStyle w:val="23"/>
        <w:rPr>
          <w:rFonts w:ascii="宋体" w:hAnsi="宋体" w:cs="宋体"/>
          <w:color w:val="auto"/>
          <w:sz w:val="36"/>
          <w:highlight w:val="none"/>
        </w:rPr>
      </w:pPr>
    </w:p>
    <w:p>
      <w:pPr>
        <w:pStyle w:val="23"/>
        <w:rPr>
          <w:rFonts w:ascii="宋体" w:hAnsi="宋体" w:cs="宋体"/>
          <w:color w:val="auto"/>
          <w:sz w:val="36"/>
          <w:highlight w:val="none"/>
        </w:rPr>
      </w:pPr>
    </w:p>
    <w:p>
      <w:pPr>
        <w:pStyle w:val="23"/>
        <w:rPr>
          <w:rFonts w:ascii="宋体" w:hAnsi="宋体" w:cs="宋体"/>
          <w:color w:val="auto"/>
          <w:sz w:val="36"/>
          <w:highlight w:val="none"/>
        </w:rPr>
      </w:pPr>
    </w:p>
    <w:p>
      <w:pPr>
        <w:pStyle w:val="23"/>
        <w:rPr>
          <w:rFonts w:ascii="宋体" w:hAnsi="宋体" w:cs="宋体"/>
          <w:color w:val="auto"/>
          <w:sz w:val="36"/>
          <w:highlight w:val="none"/>
        </w:rPr>
      </w:pPr>
    </w:p>
    <w:p>
      <w:pPr>
        <w:pStyle w:val="23"/>
        <w:jc w:val="center"/>
        <w:rPr>
          <w:rFonts w:ascii="宋体" w:hAnsi="宋体" w:cs="宋体"/>
          <w:b/>
          <w:bCs w:val="0"/>
          <w:color w:val="auto"/>
          <w:sz w:val="28"/>
          <w:szCs w:val="20"/>
          <w:highlight w:val="none"/>
        </w:rPr>
      </w:pPr>
      <w:r>
        <w:rPr>
          <w:rFonts w:hint="eastAsia" w:ascii="宋体" w:hAnsi="宋体" w:cs="宋体"/>
          <w:b/>
          <w:bCs w:val="0"/>
          <w:color w:val="auto"/>
          <w:sz w:val="28"/>
          <w:szCs w:val="20"/>
          <w:highlight w:val="none"/>
        </w:rPr>
        <w:t>一、施工组织设计</w:t>
      </w:r>
    </w:p>
    <w:p>
      <w:pPr>
        <w:spacing w:line="460" w:lineRule="exact"/>
        <w:ind w:firstLine="420" w:firstLineChars="200"/>
        <w:rPr>
          <w:color w:val="auto"/>
          <w:sz w:val="21"/>
          <w:szCs w:val="22"/>
          <w:highlight w:val="none"/>
        </w:rPr>
      </w:pP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w:t>
      </w:r>
      <w:r>
        <w:rPr>
          <w:rFonts w:hint="eastAsia"/>
          <w:color w:val="auto"/>
          <w:sz w:val="21"/>
          <w:szCs w:val="22"/>
          <w:highlight w:val="none"/>
          <w:lang w:eastAsia="zh-CN"/>
        </w:rPr>
        <w:t>（可包含但不限于）</w:t>
      </w:r>
      <w:r>
        <w:rPr>
          <w:color w:val="auto"/>
          <w:sz w:val="21"/>
          <w:szCs w:val="22"/>
          <w:highlight w:val="none"/>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color w:val="auto"/>
          <w:sz w:val="21"/>
          <w:szCs w:val="22"/>
          <w:highlight w:val="none"/>
        </w:rPr>
      </w:pPr>
      <w:r>
        <w:rPr>
          <w:color w:val="auto"/>
          <w:sz w:val="21"/>
          <w:szCs w:val="22"/>
          <w:highlight w:val="none"/>
        </w:rPr>
        <w:t>2．施工组织设计除采用文字表述外可附下列图表，图表及格式要求附后。</w:t>
      </w:r>
    </w:p>
    <w:p>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pPr>
        <w:spacing w:line="460" w:lineRule="exact"/>
        <w:ind w:firstLine="420" w:firstLineChars="200"/>
        <w:rPr>
          <w:color w:val="auto"/>
          <w:sz w:val="21"/>
          <w:szCs w:val="22"/>
          <w:highlight w:val="none"/>
        </w:rPr>
      </w:pPr>
      <w:r>
        <w:rPr>
          <w:color w:val="auto"/>
          <w:sz w:val="21"/>
          <w:szCs w:val="22"/>
          <w:highlight w:val="none"/>
        </w:rPr>
        <w:t>附表三  劳动力计划表</w:t>
      </w:r>
    </w:p>
    <w:p>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pPr>
        <w:spacing w:line="460" w:lineRule="exact"/>
        <w:ind w:firstLine="420" w:firstLineChars="200"/>
        <w:rPr>
          <w:color w:val="auto"/>
          <w:sz w:val="21"/>
          <w:szCs w:val="22"/>
          <w:highlight w:val="none"/>
        </w:rPr>
      </w:pPr>
      <w:r>
        <w:rPr>
          <w:color w:val="auto"/>
          <w:sz w:val="21"/>
          <w:szCs w:val="22"/>
          <w:highlight w:val="none"/>
        </w:rPr>
        <w:t>附表五  施工总平面图</w:t>
      </w:r>
    </w:p>
    <w:p>
      <w:pPr>
        <w:spacing w:line="460" w:lineRule="exact"/>
        <w:ind w:firstLine="420" w:firstLineChars="200"/>
        <w:rPr>
          <w:color w:val="auto"/>
          <w:sz w:val="21"/>
          <w:szCs w:val="22"/>
          <w:highlight w:val="none"/>
        </w:rPr>
      </w:pPr>
      <w:r>
        <w:rPr>
          <w:color w:val="auto"/>
          <w:sz w:val="21"/>
          <w:szCs w:val="22"/>
          <w:highlight w:val="none"/>
        </w:rPr>
        <w:t>附表六  临时用地表</w:t>
      </w:r>
    </w:p>
    <w:p>
      <w:pPr>
        <w:spacing w:line="460" w:lineRule="exact"/>
        <w:ind w:firstLine="420" w:firstLineChars="200"/>
        <w:rPr>
          <w:color w:val="auto"/>
          <w:sz w:val="21"/>
          <w:szCs w:val="22"/>
          <w:highlight w:val="none"/>
        </w:rPr>
      </w:pPr>
    </w:p>
    <w:p>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1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851" w:type="dxa"/>
            <w:vAlign w:val="center"/>
          </w:tcPr>
          <w:p>
            <w:pPr>
              <w:jc w:val="center"/>
              <w:rPr>
                <w:color w:val="auto"/>
                <w:sz w:val="21"/>
                <w:szCs w:val="22"/>
                <w:highlight w:val="none"/>
              </w:rPr>
            </w:pPr>
            <w:r>
              <w:rPr>
                <w:color w:val="auto"/>
                <w:sz w:val="21"/>
                <w:szCs w:val="22"/>
                <w:highlight w:val="none"/>
              </w:rPr>
              <w:t>制造</w:t>
            </w:r>
          </w:p>
          <w:p>
            <w:pPr>
              <w:jc w:val="center"/>
              <w:rPr>
                <w:color w:val="auto"/>
                <w:sz w:val="21"/>
                <w:szCs w:val="22"/>
                <w:highlight w:val="none"/>
              </w:rPr>
            </w:pPr>
            <w:r>
              <w:rPr>
                <w:color w:val="auto"/>
                <w:sz w:val="21"/>
                <w:szCs w:val="22"/>
                <w:highlight w:val="none"/>
              </w:rPr>
              <w:t>年份</w:t>
            </w:r>
          </w:p>
        </w:tc>
        <w:tc>
          <w:tcPr>
            <w:tcW w:w="1134" w:type="dxa"/>
            <w:vAlign w:val="center"/>
          </w:tcPr>
          <w:p>
            <w:pPr>
              <w:jc w:val="center"/>
              <w:rPr>
                <w:color w:val="auto"/>
                <w:sz w:val="21"/>
                <w:szCs w:val="22"/>
                <w:highlight w:val="none"/>
              </w:rPr>
            </w:pPr>
            <w:r>
              <w:rPr>
                <w:color w:val="auto"/>
                <w:sz w:val="21"/>
                <w:szCs w:val="22"/>
                <w:highlight w:val="none"/>
              </w:rPr>
              <w:t>额定功率</w:t>
            </w:r>
          </w:p>
          <w:p>
            <w:pPr>
              <w:jc w:val="center"/>
              <w:rPr>
                <w:color w:val="auto"/>
                <w:sz w:val="21"/>
                <w:szCs w:val="22"/>
                <w:highlight w:val="none"/>
              </w:rPr>
            </w:pPr>
            <w:r>
              <w:rPr>
                <w:color w:val="auto"/>
                <w:sz w:val="21"/>
                <w:szCs w:val="22"/>
                <w:highlight w:val="none"/>
              </w:rPr>
              <w:t>（KW）</w:t>
            </w:r>
          </w:p>
        </w:tc>
        <w:tc>
          <w:tcPr>
            <w:tcW w:w="992" w:type="dxa"/>
            <w:vAlign w:val="center"/>
          </w:tcPr>
          <w:p>
            <w:pPr>
              <w:jc w:val="center"/>
              <w:rPr>
                <w:color w:val="auto"/>
                <w:sz w:val="21"/>
                <w:szCs w:val="22"/>
                <w:highlight w:val="none"/>
              </w:rPr>
            </w:pPr>
            <w:r>
              <w:rPr>
                <w:color w:val="auto"/>
                <w:sz w:val="21"/>
                <w:szCs w:val="22"/>
                <w:highlight w:val="none"/>
              </w:rPr>
              <w:t>生产</w:t>
            </w:r>
          </w:p>
          <w:p>
            <w:pPr>
              <w:jc w:val="center"/>
              <w:rPr>
                <w:color w:val="auto"/>
                <w:sz w:val="21"/>
                <w:szCs w:val="22"/>
                <w:highlight w:val="none"/>
              </w:rPr>
            </w:pPr>
            <w:r>
              <w:rPr>
                <w:color w:val="auto"/>
                <w:sz w:val="21"/>
                <w:szCs w:val="22"/>
                <w:highlight w:val="none"/>
              </w:rPr>
              <w:t>能力</w:t>
            </w:r>
          </w:p>
        </w:tc>
        <w:tc>
          <w:tcPr>
            <w:tcW w:w="1134" w:type="dxa"/>
            <w:vAlign w:val="center"/>
          </w:tcPr>
          <w:p>
            <w:pPr>
              <w:jc w:val="center"/>
              <w:rPr>
                <w:color w:val="auto"/>
                <w:sz w:val="21"/>
                <w:szCs w:val="22"/>
                <w:highlight w:val="none"/>
              </w:rPr>
            </w:pPr>
            <w:r>
              <w:rPr>
                <w:color w:val="auto"/>
                <w:sz w:val="21"/>
                <w:szCs w:val="22"/>
                <w:highlight w:val="none"/>
              </w:rPr>
              <w:t>用于施</w:t>
            </w:r>
          </w:p>
          <w:p>
            <w:pPr>
              <w:jc w:val="center"/>
              <w:rPr>
                <w:color w:val="auto"/>
                <w:sz w:val="21"/>
                <w:szCs w:val="22"/>
                <w:highlight w:val="none"/>
              </w:rPr>
            </w:pPr>
            <w:r>
              <w:rPr>
                <w:color w:val="auto"/>
                <w:sz w:val="21"/>
                <w:szCs w:val="22"/>
                <w:highlight w:val="none"/>
              </w:rPr>
              <w:t>工部位</w:t>
            </w:r>
          </w:p>
        </w:tc>
        <w:tc>
          <w:tcPr>
            <w:tcW w:w="992"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ind w:firstLine="420" w:firstLineChars="200"/>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pPr>
        <w:rPr>
          <w:color w:val="auto"/>
          <w:sz w:val="21"/>
          <w:szCs w:val="21"/>
          <w:highlight w:val="none"/>
        </w:rPr>
      </w:pPr>
    </w:p>
    <w:tbl>
      <w:tblPr>
        <w:tblStyle w:val="1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仪器设备名称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1134" w:type="dxa"/>
            <w:vAlign w:val="center"/>
          </w:tcPr>
          <w:p>
            <w:pPr>
              <w:jc w:val="center"/>
              <w:rPr>
                <w:color w:val="auto"/>
                <w:sz w:val="21"/>
                <w:szCs w:val="22"/>
                <w:highlight w:val="none"/>
              </w:rPr>
            </w:pPr>
            <w:r>
              <w:rPr>
                <w:color w:val="auto"/>
                <w:sz w:val="21"/>
                <w:szCs w:val="22"/>
                <w:highlight w:val="none"/>
              </w:rPr>
              <w:t>制造年份</w:t>
            </w:r>
          </w:p>
        </w:tc>
        <w:tc>
          <w:tcPr>
            <w:tcW w:w="1276" w:type="dxa"/>
            <w:vAlign w:val="center"/>
          </w:tcPr>
          <w:p>
            <w:pPr>
              <w:jc w:val="center"/>
              <w:rPr>
                <w:color w:val="auto"/>
                <w:sz w:val="21"/>
                <w:szCs w:val="22"/>
                <w:highlight w:val="none"/>
              </w:rPr>
            </w:pPr>
            <w:r>
              <w:rPr>
                <w:color w:val="auto"/>
                <w:sz w:val="21"/>
                <w:szCs w:val="22"/>
                <w:highlight w:val="none"/>
              </w:rPr>
              <w:t>已使用</w:t>
            </w:r>
          </w:p>
          <w:p>
            <w:pPr>
              <w:jc w:val="center"/>
              <w:rPr>
                <w:color w:val="auto"/>
                <w:sz w:val="21"/>
                <w:szCs w:val="22"/>
                <w:highlight w:val="none"/>
              </w:rPr>
            </w:pPr>
            <w:r>
              <w:rPr>
                <w:color w:val="auto"/>
                <w:sz w:val="21"/>
                <w:szCs w:val="22"/>
                <w:highlight w:val="none"/>
              </w:rPr>
              <w:t>台时数</w:t>
            </w:r>
          </w:p>
        </w:tc>
        <w:tc>
          <w:tcPr>
            <w:tcW w:w="1134" w:type="dxa"/>
            <w:vAlign w:val="center"/>
          </w:tcPr>
          <w:p>
            <w:pPr>
              <w:jc w:val="center"/>
              <w:rPr>
                <w:color w:val="auto"/>
                <w:sz w:val="21"/>
                <w:szCs w:val="22"/>
                <w:highlight w:val="none"/>
              </w:rPr>
            </w:pPr>
            <w:r>
              <w:rPr>
                <w:color w:val="auto"/>
                <w:sz w:val="21"/>
                <w:szCs w:val="22"/>
                <w:highlight w:val="none"/>
              </w:rPr>
              <w:t>用途</w:t>
            </w:r>
          </w:p>
        </w:tc>
        <w:tc>
          <w:tcPr>
            <w:tcW w:w="1559"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pStyle w:val="23"/>
        <w:rPr>
          <w:color w:val="auto"/>
          <w:sz w:val="21"/>
          <w:szCs w:val="21"/>
          <w:highlight w:val="none"/>
        </w:rPr>
      </w:pPr>
    </w:p>
    <w:p>
      <w:pPr>
        <w:pStyle w:val="23"/>
        <w:rPr>
          <w:color w:val="auto"/>
          <w:sz w:val="21"/>
          <w:szCs w:val="21"/>
          <w:highlight w:val="none"/>
        </w:rPr>
      </w:pPr>
    </w:p>
    <w:p>
      <w:pPr>
        <w:pStyle w:val="23"/>
        <w:rPr>
          <w:color w:val="auto"/>
          <w:sz w:val="28"/>
          <w:szCs w:val="21"/>
          <w:highlight w:val="none"/>
        </w:rPr>
      </w:pPr>
    </w:p>
    <w:p>
      <w:pPr>
        <w:pStyle w:val="23"/>
        <w:rPr>
          <w:color w:val="auto"/>
          <w:sz w:val="28"/>
          <w:szCs w:val="21"/>
          <w:highlight w:val="none"/>
        </w:rPr>
      </w:pPr>
    </w:p>
    <w:p>
      <w:pPr>
        <w:rPr>
          <w:color w:val="auto"/>
          <w:sz w:val="21"/>
          <w:szCs w:val="21"/>
          <w:highlight w:val="none"/>
        </w:rPr>
      </w:pPr>
      <w:r>
        <w:rPr>
          <w:color w:val="auto"/>
          <w:sz w:val="21"/>
          <w:szCs w:val="21"/>
          <w:highlight w:val="none"/>
        </w:rPr>
        <w:t>附表三：劳动力计划表</w:t>
      </w:r>
    </w:p>
    <w:p>
      <w:pPr>
        <w:ind w:firstLine="7245" w:firstLineChars="3450"/>
        <w:rPr>
          <w:color w:val="auto"/>
          <w:sz w:val="21"/>
          <w:szCs w:val="22"/>
          <w:highlight w:val="none"/>
        </w:rPr>
      </w:pPr>
      <w:r>
        <w:rPr>
          <w:color w:val="auto"/>
          <w:sz w:val="21"/>
          <w:szCs w:val="22"/>
          <w:highlight w:val="none"/>
        </w:rPr>
        <w:t xml:space="preserve">    单位：人</w:t>
      </w:r>
    </w:p>
    <w:tbl>
      <w:tblPr>
        <w:tblStyle w:val="1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pPr>
              <w:spacing w:line="360" w:lineRule="auto"/>
              <w:jc w:val="center"/>
              <w:rPr>
                <w:color w:val="auto"/>
                <w:sz w:val="21"/>
                <w:szCs w:val="22"/>
                <w:highlight w:val="none"/>
              </w:rPr>
            </w:pPr>
            <w:r>
              <w:rPr>
                <w:color w:val="auto"/>
                <w:sz w:val="21"/>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bl>
    <w:p>
      <w:pPr>
        <w:rPr>
          <w:color w:val="auto"/>
          <w:sz w:val="21"/>
          <w:szCs w:val="21"/>
          <w:highlight w:val="none"/>
        </w:rPr>
      </w:pPr>
    </w:p>
    <w:p>
      <w:pPr>
        <w:rPr>
          <w:b/>
          <w:color w:val="auto"/>
          <w:sz w:val="21"/>
          <w:szCs w:val="21"/>
          <w:highlight w:val="none"/>
        </w:rPr>
      </w:pPr>
    </w:p>
    <w:p>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pPr>
        <w:spacing w:line="460" w:lineRule="exact"/>
        <w:ind w:left="-6" w:firstLine="420"/>
        <w:rPr>
          <w:color w:val="auto"/>
          <w:sz w:val="21"/>
          <w:szCs w:val="21"/>
          <w:highlight w:val="none"/>
        </w:rPr>
      </w:pPr>
      <w:r>
        <w:rPr>
          <w:color w:val="auto"/>
          <w:sz w:val="21"/>
          <w:szCs w:val="21"/>
          <w:highlight w:val="none"/>
        </w:rPr>
        <w:t>1.</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pPr>
        <w:spacing w:line="460" w:lineRule="exact"/>
        <w:ind w:left="-6" w:firstLine="420"/>
        <w:rPr>
          <w:color w:val="auto"/>
          <w:sz w:val="21"/>
          <w:szCs w:val="21"/>
          <w:highlight w:val="none"/>
        </w:rPr>
      </w:pPr>
      <w:r>
        <w:rPr>
          <w:color w:val="auto"/>
          <w:sz w:val="21"/>
          <w:szCs w:val="21"/>
          <w:highlight w:val="none"/>
        </w:rPr>
        <w:t>2.施工进度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pPr>
        <w:spacing w:line="460" w:lineRule="exact"/>
        <w:ind w:left="-6" w:firstLine="420"/>
        <w:rPr>
          <w:color w:val="auto"/>
          <w:sz w:val="21"/>
          <w:szCs w:val="21"/>
          <w:highlight w:val="none"/>
        </w:rPr>
      </w:pPr>
      <w:r>
        <w:rPr>
          <w:color w:val="auto"/>
          <w:sz w:val="21"/>
          <w:szCs w:val="21"/>
          <w:highlight w:val="none"/>
        </w:rPr>
        <w:t>3.施工进度计划应与施工组织设计相适应。</w:t>
      </w:r>
    </w:p>
    <w:p>
      <w:pPr>
        <w:rPr>
          <w:color w:val="auto"/>
          <w:sz w:val="21"/>
          <w:szCs w:val="21"/>
          <w:highlight w:val="none"/>
        </w:rPr>
      </w:pPr>
    </w:p>
    <w:p>
      <w:pPr>
        <w:rPr>
          <w:color w:val="auto"/>
          <w:sz w:val="21"/>
          <w:szCs w:val="21"/>
          <w:highlight w:val="none"/>
        </w:rPr>
      </w:pPr>
      <w:r>
        <w:rPr>
          <w:color w:val="auto"/>
          <w:sz w:val="21"/>
          <w:szCs w:val="21"/>
          <w:highlight w:val="none"/>
        </w:rPr>
        <w:t>附表五：施工总平面图</w:t>
      </w:r>
    </w:p>
    <w:p>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pPr>
        <w:rPr>
          <w:color w:val="auto"/>
          <w:sz w:val="21"/>
          <w:szCs w:val="21"/>
          <w:highlight w:val="none"/>
        </w:rPr>
      </w:pPr>
    </w:p>
    <w:p>
      <w:pPr>
        <w:rPr>
          <w:color w:val="auto"/>
          <w:sz w:val="21"/>
          <w:szCs w:val="21"/>
          <w:highlight w:val="none"/>
        </w:rPr>
      </w:pPr>
    </w:p>
    <w:p>
      <w:pPr>
        <w:rPr>
          <w:color w:val="auto"/>
          <w:sz w:val="21"/>
          <w:szCs w:val="21"/>
          <w:highlight w:val="none"/>
        </w:rPr>
      </w:pPr>
      <w:r>
        <w:rPr>
          <w:color w:val="auto"/>
          <w:sz w:val="21"/>
          <w:szCs w:val="21"/>
          <w:highlight w:val="none"/>
        </w:rPr>
        <w:t>附表六：临时用地表</w:t>
      </w:r>
    </w:p>
    <w:tbl>
      <w:tblPr>
        <w:tblStyle w:val="18"/>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sz w:val="21"/>
                <w:szCs w:val="21"/>
                <w:highlight w:val="none"/>
              </w:rPr>
            </w:pPr>
            <w:r>
              <w:rPr>
                <w:color w:val="auto"/>
                <w:sz w:val="21"/>
                <w:szCs w:val="22"/>
                <w:highlight w:val="none"/>
              </w:rPr>
              <w:t>用途</w:t>
            </w:r>
          </w:p>
        </w:tc>
        <w:tc>
          <w:tcPr>
            <w:tcW w:w="2357" w:type="dxa"/>
            <w:vAlign w:val="center"/>
          </w:tcPr>
          <w:p>
            <w:pPr>
              <w:jc w:val="center"/>
              <w:rPr>
                <w:color w:val="auto"/>
                <w:sz w:val="21"/>
                <w:szCs w:val="21"/>
                <w:highlight w:val="none"/>
              </w:rPr>
            </w:pPr>
            <w:r>
              <w:rPr>
                <w:color w:val="auto"/>
                <w:sz w:val="21"/>
                <w:szCs w:val="22"/>
                <w:highlight w:val="none"/>
              </w:rPr>
              <w:t>面积（平方米）</w:t>
            </w:r>
          </w:p>
        </w:tc>
        <w:tc>
          <w:tcPr>
            <w:tcW w:w="2356" w:type="dxa"/>
            <w:vAlign w:val="center"/>
          </w:tcPr>
          <w:p>
            <w:pPr>
              <w:jc w:val="center"/>
              <w:rPr>
                <w:color w:val="auto"/>
                <w:sz w:val="21"/>
                <w:szCs w:val="21"/>
                <w:highlight w:val="none"/>
              </w:rPr>
            </w:pPr>
            <w:r>
              <w:rPr>
                <w:color w:val="auto"/>
                <w:sz w:val="21"/>
                <w:szCs w:val="22"/>
                <w:highlight w:val="none"/>
              </w:rPr>
              <w:t>位置</w:t>
            </w:r>
          </w:p>
        </w:tc>
        <w:tc>
          <w:tcPr>
            <w:tcW w:w="2357" w:type="dxa"/>
            <w:vAlign w:val="center"/>
          </w:tcPr>
          <w:p>
            <w:pPr>
              <w:jc w:val="center"/>
              <w:rPr>
                <w:color w:val="auto"/>
                <w:sz w:val="21"/>
                <w:szCs w:val="21"/>
                <w:highlight w:val="none"/>
              </w:rPr>
            </w:pPr>
            <w:r>
              <w:rPr>
                <w:color w:val="auto"/>
                <w:sz w:val="21"/>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bl>
    <w:p>
      <w:pPr>
        <w:rPr>
          <w:color w:val="auto"/>
          <w:sz w:val="21"/>
          <w:szCs w:val="21"/>
          <w:highlight w:val="none"/>
        </w:rPr>
      </w:pPr>
    </w:p>
    <w:p>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docGrid w:linePitch="312" w:charSpace="0"/>
        </w:sectPr>
      </w:pPr>
    </w:p>
    <w:p>
      <w:pPr>
        <w:pStyle w:val="28"/>
        <w:jc w:val="center"/>
        <w:rPr>
          <w:b/>
          <w:bCs/>
          <w:color w:val="auto"/>
          <w:sz w:val="36"/>
          <w:szCs w:val="22"/>
          <w:highlight w:val="none"/>
        </w:rPr>
      </w:pPr>
      <w:r>
        <w:rPr>
          <w:b/>
          <w:bCs/>
          <w:color w:val="auto"/>
          <w:sz w:val="36"/>
          <w:szCs w:val="22"/>
          <w:highlight w:val="none"/>
        </w:rPr>
        <w:t>项目管理机构</w:t>
      </w:r>
    </w:p>
    <w:p>
      <w:pPr>
        <w:pStyle w:val="28"/>
        <w:jc w:val="center"/>
        <w:rPr>
          <w:b/>
          <w:color w:val="auto"/>
          <w:sz w:val="32"/>
          <w:szCs w:val="32"/>
          <w:highlight w:val="none"/>
        </w:rPr>
      </w:pPr>
      <w:bookmarkStart w:id="88" w:name="_Toc251052184"/>
      <w:bookmarkStart w:id="89" w:name="_Toc172364025"/>
      <w:bookmarkStart w:id="90" w:name="_Toc153274947"/>
      <w:bookmarkStart w:id="91" w:name="_Toc173579005"/>
      <w:r>
        <w:rPr>
          <w:b/>
          <w:bCs/>
          <w:color w:val="auto"/>
          <w:sz w:val="28"/>
          <w:szCs w:val="22"/>
          <w:highlight w:val="none"/>
        </w:rPr>
        <w:t>1</w:t>
      </w:r>
      <w:r>
        <w:rPr>
          <w:b/>
          <w:color w:val="auto"/>
          <w:sz w:val="28"/>
          <w:szCs w:val="22"/>
          <w:highlight w:val="none"/>
        </w:rPr>
        <w:t>、项目管理机构配备情况表</w:t>
      </w:r>
      <w:bookmarkEnd w:id="88"/>
      <w:bookmarkEnd w:id="89"/>
      <w:bookmarkEnd w:id="90"/>
      <w:bookmarkEnd w:id="91"/>
    </w:p>
    <w:p>
      <w:pPr>
        <w:pStyle w:val="28"/>
        <w:rPr>
          <w:color w:val="auto"/>
          <w:sz w:val="22"/>
          <w:szCs w:val="22"/>
          <w:highlight w:val="none"/>
          <w:u w:val="single"/>
        </w:rPr>
      </w:pPr>
    </w:p>
    <w:p>
      <w:pPr>
        <w:pStyle w:val="28"/>
        <w:rPr>
          <w:color w:val="auto"/>
          <w:sz w:val="22"/>
          <w:szCs w:val="22"/>
          <w:highlight w:val="none"/>
        </w:rPr>
      </w:pPr>
      <w:bookmarkStart w:id="92"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92"/>
    </w:p>
    <w:tbl>
      <w:tblPr>
        <w:tblStyle w:val="1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sz w:val="21"/>
                <w:szCs w:val="21"/>
                <w:highlight w:val="none"/>
              </w:rPr>
            </w:pPr>
            <w:r>
              <w:rPr>
                <w:color w:val="auto"/>
                <w:sz w:val="21"/>
                <w:szCs w:val="21"/>
                <w:highlight w:val="none"/>
              </w:rPr>
              <w:t>岗位</w:t>
            </w:r>
          </w:p>
        </w:tc>
        <w:tc>
          <w:tcPr>
            <w:tcW w:w="829" w:type="dxa"/>
            <w:vMerge w:val="restart"/>
            <w:vAlign w:val="center"/>
          </w:tcPr>
          <w:p>
            <w:pPr>
              <w:ind w:left="223" w:hanging="222" w:hangingChars="106"/>
              <w:jc w:val="center"/>
              <w:rPr>
                <w:color w:val="auto"/>
                <w:sz w:val="21"/>
                <w:szCs w:val="21"/>
                <w:highlight w:val="none"/>
              </w:rPr>
            </w:pPr>
            <w:bookmarkStart w:id="93" w:name="_Toc251052187"/>
            <w:r>
              <w:rPr>
                <w:color w:val="auto"/>
                <w:sz w:val="21"/>
                <w:szCs w:val="21"/>
                <w:highlight w:val="none"/>
              </w:rPr>
              <w:t>姓名</w:t>
            </w:r>
            <w:bookmarkEnd w:id="93"/>
          </w:p>
        </w:tc>
        <w:tc>
          <w:tcPr>
            <w:tcW w:w="816" w:type="dxa"/>
            <w:vMerge w:val="restart"/>
            <w:vAlign w:val="center"/>
          </w:tcPr>
          <w:p>
            <w:pPr>
              <w:ind w:left="223" w:hanging="222" w:hangingChars="106"/>
              <w:jc w:val="center"/>
              <w:rPr>
                <w:color w:val="auto"/>
                <w:sz w:val="21"/>
                <w:szCs w:val="21"/>
                <w:highlight w:val="none"/>
              </w:rPr>
            </w:pPr>
            <w:bookmarkStart w:id="94" w:name="_Toc251052188"/>
            <w:r>
              <w:rPr>
                <w:color w:val="auto"/>
                <w:sz w:val="21"/>
                <w:szCs w:val="21"/>
                <w:highlight w:val="none"/>
              </w:rPr>
              <w:t>职称</w:t>
            </w:r>
            <w:bookmarkEnd w:id="94"/>
          </w:p>
        </w:tc>
        <w:tc>
          <w:tcPr>
            <w:tcW w:w="4592" w:type="dxa"/>
            <w:gridSpan w:val="4"/>
            <w:vAlign w:val="center"/>
          </w:tcPr>
          <w:p>
            <w:pPr>
              <w:ind w:left="223" w:hanging="222" w:hangingChars="106"/>
              <w:jc w:val="center"/>
              <w:rPr>
                <w:color w:val="auto"/>
                <w:sz w:val="21"/>
                <w:szCs w:val="21"/>
                <w:highlight w:val="none"/>
              </w:rPr>
            </w:pPr>
            <w:bookmarkStart w:id="95" w:name="_Toc251052189"/>
            <w:r>
              <w:rPr>
                <w:color w:val="auto"/>
                <w:sz w:val="21"/>
                <w:szCs w:val="21"/>
                <w:highlight w:val="none"/>
              </w:rPr>
              <w:t>执业或职业资格证明</w:t>
            </w:r>
            <w:bookmarkEnd w:id="95"/>
          </w:p>
        </w:tc>
        <w:tc>
          <w:tcPr>
            <w:tcW w:w="2126" w:type="dxa"/>
            <w:gridSpan w:val="2"/>
            <w:vAlign w:val="center"/>
          </w:tcPr>
          <w:p>
            <w:pPr>
              <w:ind w:left="223" w:hanging="222" w:hangingChars="106"/>
              <w:jc w:val="center"/>
              <w:rPr>
                <w:color w:val="auto"/>
                <w:sz w:val="21"/>
                <w:szCs w:val="21"/>
                <w:highlight w:val="none"/>
              </w:rPr>
            </w:pPr>
            <w:bookmarkStart w:id="96" w:name="_Toc251052190"/>
            <w:r>
              <w:rPr>
                <w:color w:val="auto"/>
                <w:sz w:val="21"/>
                <w:szCs w:val="21"/>
                <w:highlight w:val="none"/>
              </w:rPr>
              <w:t>承担完工</w:t>
            </w:r>
            <w:bookmarkEnd w:id="96"/>
            <w:bookmarkStart w:id="97" w:name="_Toc251052191"/>
            <w:r>
              <w:rPr>
                <w:color w:val="auto"/>
                <w:sz w:val="21"/>
                <w:szCs w:val="21"/>
                <w:highlight w:val="none"/>
              </w:rPr>
              <w:t>工程情况</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sz w:val="21"/>
                <w:szCs w:val="21"/>
                <w:highlight w:val="none"/>
              </w:rPr>
            </w:pPr>
          </w:p>
        </w:tc>
        <w:tc>
          <w:tcPr>
            <w:tcW w:w="829" w:type="dxa"/>
            <w:vMerge w:val="continue"/>
            <w:vAlign w:val="center"/>
          </w:tcPr>
          <w:p>
            <w:pPr>
              <w:ind w:left="223" w:hanging="222" w:hangingChars="106"/>
              <w:jc w:val="center"/>
              <w:rPr>
                <w:color w:val="auto"/>
                <w:sz w:val="21"/>
                <w:szCs w:val="21"/>
                <w:highlight w:val="none"/>
              </w:rPr>
            </w:pPr>
          </w:p>
        </w:tc>
        <w:tc>
          <w:tcPr>
            <w:tcW w:w="816" w:type="dxa"/>
            <w:vMerge w:val="continue"/>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bookmarkStart w:id="98" w:name="_Toc251052192"/>
            <w:r>
              <w:rPr>
                <w:color w:val="auto"/>
                <w:sz w:val="21"/>
                <w:szCs w:val="21"/>
                <w:highlight w:val="none"/>
              </w:rPr>
              <w:t>证书名称</w:t>
            </w:r>
            <w:bookmarkEnd w:id="98"/>
          </w:p>
        </w:tc>
        <w:tc>
          <w:tcPr>
            <w:tcW w:w="1148" w:type="dxa"/>
            <w:vAlign w:val="center"/>
          </w:tcPr>
          <w:p>
            <w:pPr>
              <w:ind w:left="223" w:hanging="222" w:hangingChars="106"/>
              <w:jc w:val="center"/>
              <w:rPr>
                <w:color w:val="auto"/>
                <w:sz w:val="21"/>
                <w:szCs w:val="21"/>
                <w:highlight w:val="none"/>
              </w:rPr>
            </w:pPr>
            <w:bookmarkStart w:id="99" w:name="_Toc251052193"/>
            <w:r>
              <w:rPr>
                <w:color w:val="auto"/>
                <w:sz w:val="21"/>
                <w:szCs w:val="21"/>
                <w:highlight w:val="none"/>
              </w:rPr>
              <w:t>级别</w:t>
            </w:r>
            <w:bookmarkEnd w:id="99"/>
          </w:p>
        </w:tc>
        <w:tc>
          <w:tcPr>
            <w:tcW w:w="1148" w:type="dxa"/>
            <w:vAlign w:val="center"/>
          </w:tcPr>
          <w:p>
            <w:pPr>
              <w:ind w:left="223" w:hanging="222" w:hangingChars="106"/>
              <w:jc w:val="center"/>
              <w:rPr>
                <w:color w:val="auto"/>
                <w:sz w:val="21"/>
                <w:szCs w:val="21"/>
                <w:highlight w:val="none"/>
              </w:rPr>
            </w:pPr>
            <w:bookmarkStart w:id="100" w:name="_Toc251052194"/>
            <w:r>
              <w:rPr>
                <w:color w:val="auto"/>
                <w:sz w:val="21"/>
                <w:szCs w:val="21"/>
                <w:highlight w:val="none"/>
              </w:rPr>
              <w:t>证号</w:t>
            </w:r>
            <w:bookmarkEnd w:id="100"/>
          </w:p>
        </w:tc>
        <w:tc>
          <w:tcPr>
            <w:tcW w:w="1148" w:type="dxa"/>
            <w:vAlign w:val="center"/>
          </w:tcPr>
          <w:p>
            <w:pPr>
              <w:ind w:left="223" w:hanging="222" w:hangingChars="106"/>
              <w:jc w:val="center"/>
              <w:rPr>
                <w:color w:val="auto"/>
                <w:sz w:val="21"/>
                <w:szCs w:val="21"/>
                <w:highlight w:val="none"/>
              </w:rPr>
            </w:pPr>
            <w:bookmarkStart w:id="101" w:name="_Toc251052195"/>
            <w:r>
              <w:rPr>
                <w:color w:val="auto"/>
                <w:sz w:val="21"/>
                <w:szCs w:val="21"/>
                <w:highlight w:val="none"/>
              </w:rPr>
              <w:t>专业</w:t>
            </w:r>
            <w:bookmarkEnd w:id="101"/>
          </w:p>
        </w:tc>
        <w:tc>
          <w:tcPr>
            <w:tcW w:w="850" w:type="dxa"/>
            <w:vAlign w:val="center"/>
          </w:tcPr>
          <w:p>
            <w:pPr>
              <w:ind w:left="223" w:hanging="222" w:hangingChars="106"/>
              <w:jc w:val="center"/>
              <w:rPr>
                <w:color w:val="auto"/>
                <w:sz w:val="21"/>
                <w:szCs w:val="21"/>
                <w:highlight w:val="none"/>
              </w:rPr>
            </w:pPr>
            <w:bookmarkStart w:id="102" w:name="_Toc251052197"/>
            <w:r>
              <w:rPr>
                <w:color w:val="auto"/>
                <w:sz w:val="21"/>
                <w:szCs w:val="21"/>
                <w:highlight w:val="none"/>
              </w:rPr>
              <w:t>项目数</w:t>
            </w:r>
            <w:bookmarkEnd w:id="102"/>
          </w:p>
        </w:tc>
        <w:tc>
          <w:tcPr>
            <w:tcW w:w="1276" w:type="dxa"/>
            <w:vAlign w:val="center"/>
          </w:tcPr>
          <w:p>
            <w:pPr>
              <w:ind w:left="223" w:hanging="222" w:hangingChars="106"/>
              <w:jc w:val="center"/>
              <w:rPr>
                <w:color w:val="auto"/>
                <w:sz w:val="21"/>
                <w:szCs w:val="21"/>
                <w:highlight w:val="none"/>
              </w:rPr>
            </w:pPr>
            <w:bookmarkStart w:id="103" w:name="_Toc251052198"/>
            <w:r>
              <w:rPr>
                <w:color w:val="auto"/>
                <w:sz w:val="21"/>
                <w:szCs w:val="21"/>
                <w:highlight w:val="none"/>
              </w:rPr>
              <w:t>主要项目</w:t>
            </w:r>
          </w:p>
          <w:p>
            <w:pPr>
              <w:ind w:left="223" w:hanging="222" w:hangingChars="106"/>
              <w:jc w:val="center"/>
              <w:rPr>
                <w:color w:val="auto"/>
                <w:sz w:val="21"/>
                <w:szCs w:val="21"/>
                <w:highlight w:val="none"/>
              </w:rPr>
            </w:pPr>
            <w:r>
              <w:rPr>
                <w:color w:val="auto"/>
                <w:sz w:val="21"/>
                <w:szCs w:val="21"/>
                <w:highlight w:val="none"/>
              </w:rPr>
              <w:t>名称</w:t>
            </w:r>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施工员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质检员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center"/>
              <w:rPr>
                <w:color w:val="auto"/>
                <w:sz w:val="21"/>
                <w:szCs w:val="22"/>
                <w:highlight w:val="none"/>
              </w:rPr>
            </w:pPr>
            <w:r>
              <w:rPr>
                <w:color w:val="auto"/>
                <w:sz w:val="21"/>
                <w:szCs w:val="22"/>
                <w:highlight w:val="none"/>
              </w:rPr>
              <w:t>安全员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材料员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color w:val="auto"/>
                <w:sz w:val="21"/>
                <w:szCs w:val="22"/>
                <w:highlight w:val="none"/>
              </w:rPr>
            </w:pPr>
            <w:bookmarkStart w:id="104"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04"/>
          </w:p>
        </w:tc>
      </w:tr>
    </w:tbl>
    <w:p>
      <w:pPr>
        <w:tabs>
          <w:tab w:val="left" w:pos="0"/>
        </w:tabs>
        <w:spacing w:line="360" w:lineRule="auto"/>
        <w:ind w:right="-21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w:t>
      </w:r>
      <w:r>
        <w:rPr>
          <w:rFonts w:hint="eastAsia" w:ascii="宋体" w:hAnsi="宋体" w:eastAsia="宋体" w:cs="宋体"/>
          <w:color w:val="auto"/>
          <w:sz w:val="21"/>
          <w:szCs w:val="21"/>
          <w:highlight w:val="none"/>
        </w:rPr>
        <w:t>备注：附以上各岗位人员资格证件等相关证明材料的复印件，以及磋商单位认为需要增加的其他证明材料复印件，以上复印件均须加盖磋商单位单位公章。】</w:t>
      </w:r>
    </w:p>
    <w:p>
      <w:pPr>
        <w:spacing w:line="360" w:lineRule="auto"/>
        <w:rPr>
          <w:rFonts w:eastAsia="楷体_GB2312"/>
          <w:color w:val="auto"/>
          <w:sz w:val="21"/>
          <w:szCs w:val="21"/>
          <w:highlight w:val="none"/>
        </w:rPr>
      </w:pPr>
    </w:p>
    <w:p>
      <w:pPr>
        <w:tabs>
          <w:tab w:val="left" w:pos="0"/>
        </w:tabs>
        <w:spacing w:line="360" w:lineRule="auto"/>
        <w:ind w:right="-210"/>
        <w:rPr>
          <w:color w:val="auto"/>
          <w:sz w:val="21"/>
          <w:szCs w:val="21"/>
          <w:highlight w:val="none"/>
        </w:rPr>
      </w:pPr>
    </w:p>
    <w:p>
      <w:pPr>
        <w:tabs>
          <w:tab w:val="left" w:pos="0"/>
        </w:tabs>
        <w:spacing w:line="360" w:lineRule="auto"/>
        <w:ind w:right="-210"/>
        <w:rPr>
          <w:color w:val="auto"/>
          <w:sz w:val="21"/>
          <w:szCs w:val="21"/>
          <w:highlight w:val="none"/>
        </w:rPr>
      </w:pPr>
    </w:p>
    <w:p>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docGrid w:linePitch="312" w:charSpace="0"/>
        </w:sectPr>
      </w:pPr>
    </w:p>
    <w:p>
      <w:pPr>
        <w:pStyle w:val="28"/>
        <w:jc w:val="center"/>
        <w:outlineLvl w:val="0"/>
        <w:rPr>
          <w:color w:val="auto"/>
          <w:highlight w:val="none"/>
          <w:u w:val="single"/>
        </w:rPr>
      </w:pPr>
      <w:bookmarkStart w:id="105" w:name="_Toc153274948"/>
      <w:bookmarkStart w:id="106" w:name="_Toc389065364"/>
      <w:bookmarkStart w:id="107" w:name="_Toc173579006"/>
      <w:bookmarkStart w:id="108" w:name="_Toc251052200"/>
      <w:bookmarkStart w:id="109" w:name="_Toc172364026"/>
      <w:r>
        <w:rPr>
          <w:b/>
          <w:color w:val="auto"/>
          <w:sz w:val="24"/>
          <w:highlight w:val="none"/>
        </w:rPr>
        <w:t>2、项目经理（注册建造师）简历表</w:t>
      </w:r>
      <w:bookmarkEnd w:id="105"/>
      <w:bookmarkEnd w:id="106"/>
      <w:bookmarkEnd w:id="107"/>
      <w:bookmarkEnd w:id="108"/>
      <w:bookmarkEnd w:id="109"/>
    </w:p>
    <w:p>
      <w:pPr>
        <w:pStyle w:val="28"/>
        <w:rPr>
          <w:color w:val="auto"/>
          <w:sz w:val="22"/>
          <w:szCs w:val="22"/>
          <w:highlight w:val="none"/>
          <w:u w:val="single"/>
        </w:rPr>
      </w:pPr>
    </w:p>
    <w:p>
      <w:pPr>
        <w:pStyle w:val="28"/>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1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担任项目经理年限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1、附项目经理资格证书和已完工程中标通知书（如有）、工程合同协议书的复印件，以及磋商单位认为需要增加的其他证明材料复印件，以上复印件均须加盖磋商单位单位公章。</w:t>
      </w:r>
    </w:p>
    <w:p>
      <w:pPr>
        <w:spacing w:beforeLines="50"/>
        <w:ind w:firstLine="420" w:firstLineChars="200"/>
        <w:rPr>
          <w:rFonts w:eastAsia="楷体_GB2312"/>
          <w:color w:val="auto"/>
          <w:sz w:val="21"/>
          <w:szCs w:val="21"/>
          <w:highlight w:val="none"/>
        </w:rPr>
      </w:pPr>
    </w:p>
    <w:p>
      <w:pPr>
        <w:spacing w:line="360" w:lineRule="auto"/>
        <w:ind w:firstLine="525" w:firstLineChars="250"/>
        <w:rPr>
          <w:color w:val="auto"/>
          <w:sz w:val="21"/>
          <w:szCs w:val="21"/>
          <w:highlight w:val="none"/>
        </w:rPr>
      </w:pPr>
    </w:p>
    <w:p>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docGrid w:linePitch="312" w:charSpace="0"/>
        </w:sectPr>
      </w:pPr>
    </w:p>
    <w:p>
      <w:pPr>
        <w:spacing w:line="360" w:lineRule="auto"/>
        <w:ind w:firstLine="500" w:firstLineChars="250"/>
        <w:rPr>
          <w:color w:val="auto"/>
          <w:highlight w:val="none"/>
        </w:rPr>
      </w:pPr>
    </w:p>
    <w:p>
      <w:pPr>
        <w:pStyle w:val="28"/>
        <w:jc w:val="center"/>
        <w:outlineLvl w:val="0"/>
        <w:rPr>
          <w:b/>
          <w:color w:val="auto"/>
          <w:sz w:val="24"/>
          <w:highlight w:val="none"/>
        </w:rPr>
      </w:pPr>
      <w:bookmarkStart w:id="110" w:name="_Toc389065365"/>
      <w:bookmarkStart w:id="111" w:name="_Toc172364027"/>
      <w:bookmarkStart w:id="112" w:name="_Toc173579007"/>
      <w:bookmarkStart w:id="113" w:name="_Toc153274949"/>
      <w:bookmarkStart w:id="114" w:name="_Toc251052219"/>
      <w:r>
        <w:rPr>
          <w:b/>
          <w:color w:val="auto"/>
          <w:sz w:val="24"/>
          <w:highlight w:val="none"/>
        </w:rPr>
        <w:t>3、项目技术负责人简历表</w:t>
      </w:r>
      <w:bookmarkEnd w:id="110"/>
      <w:bookmarkEnd w:id="111"/>
      <w:bookmarkEnd w:id="112"/>
      <w:bookmarkEnd w:id="113"/>
      <w:bookmarkEnd w:id="114"/>
    </w:p>
    <w:p>
      <w:pPr>
        <w:pStyle w:val="28"/>
        <w:rPr>
          <w:color w:val="auto"/>
          <w:highlight w:val="none"/>
          <w:u w:val="single"/>
        </w:rPr>
      </w:pPr>
    </w:p>
    <w:p>
      <w:pPr>
        <w:pStyle w:val="28"/>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1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1、附技术负责人资格证和已完工程中标通知书（如有）、工程合同协议书的复印件，以及磋商单位认为需要增加的其他证明材料复印件，以上复印件均须加盖磋商单位单位公章。</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2、在建工程和该项目经理在磋商单位以外的其他单位完成的工程项目，其相关证明材料不需提供复印件。</w:t>
      </w:r>
    </w:p>
    <w:p>
      <w:pPr>
        <w:rPr>
          <w:color w:val="auto"/>
          <w:sz w:val="21"/>
          <w:szCs w:val="21"/>
          <w:highlight w:val="none"/>
        </w:rPr>
      </w:pPr>
    </w:p>
    <w:p>
      <w:pPr>
        <w:rPr>
          <w:color w:val="auto"/>
          <w:sz w:val="21"/>
          <w:szCs w:val="21"/>
          <w:highlight w:val="none"/>
        </w:rPr>
      </w:pPr>
    </w:p>
    <w:p>
      <w:pPr>
        <w:pStyle w:val="24"/>
        <w:spacing w:line="360" w:lineRule="auto"/>
        <w:rPr>
          <w:rFonts w:ascii="宋体" w:hAnsi="宋体"/>
          <w:b/>
          <w:color w:val="auto"/>
          <w:sz w:val="32"/>
          <w:szCs w:val="32"/>
          <w:highlight w:val="none"/>
        </w:rPr>
      </w:pPr>
    </w:p>
    <w:p>
      <w:pPr>
        <w:pStyle w:val="24"/>
        <w:spacing w:line="360" w:lineRule="auto"/>
        <w:jc w:val="center"/>
        <w:rPr>
          <w:rFonts w:ascii="宋体" w:hAnsi="宋体"/>
          <w:b/>
          <w:color w:val="auto"/>
          <w:sz w:val="32"/>
          <w:szCs w:val="32"/>
          <w:highlight w:val="none"/>
        </w:rPr>
      </w:pPr>
    </w:p>
    <w:p>
      <w:pPr>
        <w:pStyle w:val="25"/>
        <w:rPr>
          <w:rFonts w:ascii="宋体" w:hAnsi="宋体"/>
          <w:b/>
          <w:color w:val="auto"/>
          <w:sz w:val="32"/>
          <w:szCs w:val="32"/>
          <w:highlight w:val="none"/>
        </w:rPr>
      </w:pPr>
    </w:p>
    <w:p>
      <w:pPr>
        <w:pStyle w:val="24"/>
        <w:rPr>
          <w:rFonts w:ascii="宋体" w:hAnsi="宋体"/>
          <w:b/>
          <w:color w:val="auto"/>
          <w:sz w:val="28"/>
          <w:szCs w:val="28"/>
          <w:highlight w:val="none"/>
        </w:rPr>
      </w:pPr>
    </w:p>
    <w:p>
      <w:pPr>
        <w:pStyle w:val="25"/>
        <w:rPr>
          <w:rFonts w:ascii="宋体" w:hAnsi="宋体"/>
          <w:b/>
          <w:color w:val="auto"/>
          <w:sz w:val="28"/>
          <w:szCs w:val="28"/>
          <w:highlight w:val="none"/>
        </w:rPr>
      </w:pPr>
    </w:p>
    <w:p>
      <w:pPr>
        <w:pStyle w:val="24"/>
        <w:rPr>
          <w:rFonts w:ascii="宋体" w:hAnsi="宋体"/>
          <w:b/>
          <w:color w:val="auto"/>
          <w:sz w:val="28"/>
          <w:szCs w:val="28"/>
          <w:highlight w:val="none"/>
        </w:rPr>
      </w:pPr>
    </w:p>
    <w:p>
      <w:pPr>
        <w:pStyle w:val="25"/>
        <w:rPr>
          <w:color w:val="auto"/>
          <w:highlight w:val="none"/>
        </w:rPr>
      </w:pPr>
    </w:p>
    <w:p>
      <w:pPr>
        <w:pStyle w:val="9"/>
        <w:rPr>
          <w:color w:val="auto"/>
          <w:highlight w:val="none"/>
        </w:rPr>
      </w:pPr>
    </w:p>
    <w:p>
      <w:pPr>
        <w:spacing w:line="360" w:lineRule="auto"/>
        <w:jc w:val="center"/>
        <w:outlineLvl w:val="0"/>
        <w:rPr>
          <w:rFonts w:ascii="宋体" w:hAnsi="宋体"/>
          <w:b/>
          <w:color w:val="auto"/>
          <w:sz w:val="36"/>
          <w:highlight w:val="none"/>
        </w:rPr>
      </w:pPr>
      <w:bookmarkStart w:id="115"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15"/>
    </w:p>
    <w:p>
      <w:pPr>
        <w:spacing w:line="360" w:lineRule="auto"/>
        <w:jc w:val="center"/>
        <w:rPr>
          <w:rFonts w:ascii="宋体" w:hAnsi="宋体"/>
          <w:color w:val="auto"/>
          <w:highlight w:val="none"/>
        </w:rPr>
      </w:pP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pPr>
        <w:spacing w:line="400" w:lineRule="exact"/>
        <w:jc w:val="center"/>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highlight w:val="none"/>
        </w:rPr>
      </w:pPr>
      <w:bookmarkStart w:id="116" w:name="_Toc517163148"/>
      <w:bookmarkStart w:id="117" w:name="_Toc514759061"/>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23"/>
        <w:rPr>
          <w:rFonts w:hint="eastAsia" w:ascii="宋体" w:hAnsi="宋体" w:cs="宋体"/>
          <w:color w:val="auto"/>
          <w:highlight w:val="none"/>
        </w:rPr>
      </w:pPr>
    </w:p>
    <w:p>
      <w:pPr>
        <w:pStyle w:val="23"/>
        <w:rPr>
          <w:rFonts w:hint="eastAsia" w:ascii="宋体" w:hAnsi="宋体" w:cs="宋体"/>
          <w:color w:val="auto"/>
          <w:highlight w:val="none"/>
        </w:rPr>
      </w:pPr>
    </w:p>
    <w:p>
      <w:pPr>
        <w:pStyle w:val="23"/>
        <w:rPr>
          <w:rFonts w:hint="eastAsia" w:ascii="宋体" w:hAnsi="宋体" w:cs="宋体"/>
          <w:color w:val="auto"/>
          <w:highlight w:val="none"/>
        </w:rPr>
      </w:pPr>
    </w:p>
    <w:p>
      <w:pPr>
        <w:pStyle w:val="23"/>
        <w:rPr>
          <w:rFonts w:hint="eastAsia" w:ascii="宋体" w:hAnsi="宋体" w:cs="宋体"/>
          <w:color w:val="auto"/>
          <w:highlight w:val="none"/>
        </w:rPr>
      </w:pPr>
    </w:p>
    <w:p>
      <w:pPr>
        <w:pStyle w:val="13"/>
        <w:rPr>
          <w:rFonts w:hint="eastAsia"/>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（GF-</w:t>
      </w:r>
      <w:r>
        <w:rPr>
          <w:rFonts w:hint="eastAsia" w:ascii="宋体" w:hAnsi="宋体" w:cs="宋体"/>
          <w:color w:val="auto"/>
          <w:sz w:val="28"/>
          <w:szCs w:val="28"/>
          <w:highlight w:val="none"/>
          <w:lang w:val="en-US" w:eastAsia="zh-CN"/>
        </w:rPr>
        <w:t>2017</w:t>
      </w:r>
      <w:r>
        <w:rPr>
          <w:rFonts w:hint="eastAsia" w:ascii="宋体" w:hAnsi="宋体" w:cs="宋体"/>
          <w:color w:val="auto"/>
          <w:sz w:val="28"/>
          <w:szCs w:val="28"/>
          <w:highlight w:val="none"/>
        </w:rPr>
        <w:t>-0201）</w:t>
      </w: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pStyle w:val="23"/>
        <w:rPr>
          <w:rFonts w:hint="eastAsia" w:ascii="宋体" w:hAnsi="宋体" w:cs="宋体"/>
          <w:color w:val="auto"/>
          <w:szCs w:val="21"/>
          <w:highlight w:val="none"/>
        </w:rPr>
      </w:pPr>
    </w:p>
    <w:p>
      <w:pPr>
        <w:pStyle w:val="23"/>
        <w:rPr>
          <w:rFonts w:hint="eastAsia" w:ascii="宋体" w:hAnsi="宋体" w:cs="宋体"/>
          <w:color w:val="auto"/>
          <w:szCs w:val="21"/>
          <w:highlight w:val="none"/>
        </w:rPr>
      </w:pPr>
    </w:p>
    <w:p>
      <w:pPr>
        <w:pStyle w:val="23"/>
        <w:rPr>
          <w:rFonts w:hint="eastAsia" w:ascii="宋体" w:hAnsi="宋体" w:cs="宋体"/>
          <w:color w:val="auto"/>
          <w:szCs w:val="21"/>
          <w:highlight w:val="none"/>
        </w:rPr>
      </w:pPr>
    </w:p>
    <w:p>
      <w:pPr>
        <w:pStyle w:val="23"/>
        <w:rPr>
          <w:rFonts w:hint="eastAsia" w:ascii="宋体" w:hAnsi="宋体" w:cs="宋体"/>
          <w:color w:val="auto"/>
          <w:szCs w:val="21"/>
          <w:highlight w:val="none"/>
        </w:rPr>
      </w:pPr>
    </w:p>
    <w:p>
      <w:pPr>
        <w:pStyle w:val="23"/>
        <w:rPr>
          <w:rFonts w:hint="eastAsia" w:ascii="宋体" w:hAnsi="宋体" w:cs="宋体"/>
          <w:color w:val="auto"/>
          <w:szCs w:val="21"/>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建设工程施工合同</w:t>
      </w: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pStyle w:val="23"/>
        <w:rPr>
          <w:rFonts w:hint="eastAsia"/>
          <w:color w:val="auto"/>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b/>
          <w:color w:val="auto"/>
          <w:sz w:val="32"/>
          <w:szCs w:val="32"/>
          <w:highlight w:val="none"/>
        </w:rPr>
      </w:pPr>
    </w:p>
    <w:p>
      <w:pPr>
        <w:spacing w:line="400" w:lineRule="exact"/>
        <w:rPr>
          <w:rFonts w:hint="eastAsia" w:ascii="宋体" w:hAnsi="宋体" w:cs="宋体"/>
          <w:b/>
          <w:color w:val="auto"/>
          <w:sz w:val="36"/>
          <w:szCs w:val="36"/>
          <w:highlight w:val="none"/>
        </w:rPr>
      </w:pPr>
      <w:r>
        <w:rPr>
          <w:rFonts w:hint="eastAsia" w:ascii="宋体" w:hAnsi="宋体" w:cs="宋体"/>
          <w:b/>
          <w:color w:val="auto"/>
          <w:sz w:val="32"/>
          <w:szCs w:val="32"/>
          <w:highlight w:val="none"/>
        </w:rPr>
        <w:t xml:space="preserve"> </w:t>
      </w:r>
    </w:p>
    <w:p>
      <w:pPr>
        <w:ind w:firstLine="2811" w:firstLineChars="1000"/>
        <w:rPr>
          <w:rFonts w:hint="eastAsia" w:ascii="宋体" w:hAnsi="宋体" w:cs="宋体"/>
          <w:b/>
          <w:color w:val="auto"/>
          <w:sz w:val="28"/>
          <w:szCs w:val="28"/>
          <w:highlight w:val="none"/>
        </w:rPr>
      </w:pPr>
      <w:r>
        <w:rPr>
          <w:rFonts w:hint="eastAsia" w:ascii="宋体" w:hAnsi="宋体" w:cs="宋体"/>
          <w:b/>
          <w:color w:val="auto"/>
          <w:sz w:val="28"/>
          <w:szCs w:val="28"/>
          <w:highlight w:val="none"/>
        </w:rPr>
        <w:t>中华人民共和国住房和城乡建设部</w:t>
      </w:r>
    </w:p>
    <w:p>
      <w:pPr>
        <w:ind w:firstLine="2249" w:firstLineChars="8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制定</w:t>
      </w:r>
    </w:p>
    <w:p>
      <w:pPr>
        <w:spacing w:line="480" w:lineRule="exact"/>
        <w:ind w:right="66" w:rightChars="33" w:firstLine="562" w:firstLineChars="2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                中华人民共和国国家工商行政管理局 </w:t>
      </w:r>
    </w:p>
    <w:p>
      <w:pPr>
        <w:pStyle w:val="9"/>
        <w:rPr>
          <w:rFonts w:hint="eastAsia"/>
          <w:color w:val="auto"/>
          <w:highlight w:val="none"/>
          <w:lang w:eastAsia="zh-CN"/>
        </w:rPr>
        <w:sectPr>
          <w:footerReference r:id="rId10" w:type="default"/>
          <w:pgSz w:w="11906" w:h="16838"/>
          <w:pgMar w:top="1134" w:right="1418" w:bottom="1134" w:left="1418" w:header="567" w:footer="680" w:gutter="0"/>
          <w:pgNumType w:fmt="decimal"/>
          <w:cols w:space="720" w:num="1"/>
          <w:docGrid w:type="lines" w:linePitch="312" w:charSpace="0"/>
        </w:sectPr>
      </w:pPr>
    </w:p>
    <w:bookmarkEnd w:id="116"/>
    <w:bookmarkEnd w:id="117"/>
    <w:p>
      <w:pPr>
        <w:jc w:val="center"/>
        <w:rPr>
          <w:rFonts w:hint="eastAsia" w:cs="Times New Roman"/>
          <w:b/>
          <w:bCs/>
          <w:color w:val="auto"/>
          <w:sz w:val="44"/>
          <w:szCs w:val="10"/>
          <w:highlight w:val="none"/>
          <w:lang w:eastAsia="zh-CN"/>
        </w:rPr>
      </w:pPr>
    </w:p>
    <w:p>
      <w:pPr>
        <w:jc w:val="center"/>
        <w:rPr>
          <w:rFonts w:hint="eastAsia" w:eastAsia="宋体"/>
          <w:b/>
          <w:bCs/>
          <w:color w:val="auto"/>
          <w:sz w:val="56"/>
          <w:szCs w:val="15"/>
          <w:highlight w:val="none"/>
        </w:rPr>
      </w:pPr>
      <w:r>
        <w:rPr>
          <w:rFonts w:hint="eastAsia"/>
          <w:b/>
          <w:bCs/>
          <w:color w:val="auto"/>
          <w:sz w:val="56"/>
          <w:szCs w:val="15"/>
          <w:highlight w:val="none"/>
          <w:lang w:val="en-US" w:eastAsia="zh-CN"/>
        </w:rPr>
        <w:t>合山市公安局里兰派出所业务技术用房工程</w:t>
      </w:r>
      <w:r>
        <w:rPr>
          <w:rFonts w:hint="eastAsia" w:eastAsia="宋体"/>
          <w:b/>
          <w:bCs/>
          <w:color w:val="auto"/>
          <w:sz w:val="56"/>
          <w:szCs w:val="15"/>
          <w:highlight w:val="none"/>
        </w:rPr>
        <w:t>施工合同</w:t>
      </w:r>
    </w:p>
    <w:p>
      <w:pPr>
        <w:rPr>
          <w:rFonts w:hAnsi="宋体"/>
          <w:color w:val="auto"/>
          <w:sz w:val="24"/>
          <w:szCs w:val="16"/>
          <w:highlight w:val="none"/>
        </w:rPr>
      </w:pPr>
    </w:p>
    <w:p>
      <w:pPr>
        <w:pStyle w:val="23"/>
        <w:rPr>
          <w:color w:val="auto"/>
          <w:sz w:val="21"/>
          <w:szCs w:val="16"/>
          <w:highlight w:val="none"/>
        </w:rPr>
      </w:pPr>
    </w:p>
    <w:p>
      <w:pPr>
        <w:jc w:val="center"/>
        <w:rPr>
          <w:rFonts w:ascii="宋体" w:hAnsi="宋体"/>
          <w:color w:val="auto"/>
          <w:sz w:val="24"/>
          <w:szCs w:val="16"/>
          <w:highlight w:val="none"/>
        </w:rPr>
      </w:pPr>
      <w:r>
        <w:rPr>
          <w:rFonts w:hint="eastAsia" w:ascii="宋体" w:hAnsi="宋体"/>
          <w:color w:val="auto"/>
          <w:sz w:val="24"/>
          <w:szCs w:val="16"/>
          <w:highlight w:val="none"/>
        </w:rPr>
        <w:t>项目编号：</w:t>
      </w:r>
    </w:p>
    <w:p>
      <w:pPr>
        <w:rPr>
          <w:rFonts w:hAnsi="宋体"/>
          <w:color w:val="auto"/>
          <w:sz w:val="24"/>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pStyle w:val="23"/>
        <w:rPr>
          <w:rFonts w:hAnsi="宋体"/>
          <w:color w:val="auto"/>
          <w:szCs w:val="16"/>
          <w:highlight w:val="none"/>
        </w:rPr>
      </w:pPr>
    </w:p>
    <w:p>
      <w:pPr>
        <w:spacing w:line="540" w:lineRule="exact"/>
        <w:ind w:firstLine="1251" w:firstLineChars="445"/>
        <w:rPr>
          <w:rFonts w:ascii="宋体" w:hAnsi="宋体"/>
          <w:b/>
          <w:color w:val="auto"/>
          <w:sz w:val="28"/>
          <w:szCs w:val="28"/>
          <w:highlight w:val="none"/>
        </w:rPr>
      </w:pPr>
      <w:r>
        <w:rPr>
          <w:rFonts w:hint="eastAsia" w:ascii="宋体" w:hAnsi="宋体"/>
          <w:b/>
          <w:color w:val="auto"/>
          <w:sz w:val="28"/>
          <w:szCs w:val="28"/>
          <w:highlight w:val="none"/>
        </w:rPr>
        <w:t>发包人：</w:t>
      </w:r>
      <w:r>
        <w:rPr>
          <w:rFonts w:hint="eastAsia" w:ascii="宋体" w:hAnsi="宋体"/>
          <w:b/>
          <w:color w:val="auto"/>
          <w:sz w:val="28"/>
          <w:szCs w:val="28"/>
          <w:highlight w:val="none"/>
          <w:u w:val="single"/>
          <w:lang w:eastAsia="zh-CN"/>
        </w:rPr>
        <w:t>合山市公安局</w:t>
      </w:r>
    </w:p>
    <w:p>
      <w:pPr>
        <w:spacing w:line="540" w:lineRule="exact"/>
        <w:jc w:val="center"/>
        <w:rPr>
          <w:rFonts w:ascii="宋体" w:hAnsi="宋体"/>
          <w:b/>
          <w:color w:val="auto"/>
          <w:sz w:val="28"/>
          <w:szCs w:val="28"/>
          <w:highlight w:val="none"/>
        </w:rPr>
      </w:pPr>
    </w:p>
    <w:p>
      <w:pPr>
        <w:pStyle w:val="23"/>
        <w:ind w:firstLine="1204" w:firstLineChars="400"/>
        <w:rPr>
          <w:rFonts w:hint="eastAsia" w:ascii="宋体" w:hAnsi="宋体" w:eastAsia="宋体"/>
          <w:b/>
          <w:color w:val="auto"/>
          <w:sz w:val="28"/>
          <w:szCs w:val="28"/>
          <w:highlight w:val="none"/>
          <w:u w:val="single"/>
          <w:lang w:val="en-US" w:eastAsia="zh-CN"/>
        </w:rPr>
      </w:pPr>
      <w:r>
        <w:rPr>
          <w:rFonts w:hint="eastAsia" w:ascii="宋体" w:hAnsi="宋体"/>
          <w:b/>
          <w:color w:val="auto"/>
          <w:sz w:val="28"/>
          <w:szCs w:val="28"/>
          <w:highlight w:val="none"/>
        </w:rPr>
        <w:t>承包人：</w:t>
      </w:r>
    </w:p>
    <w:p>
      <w:pPr>
        <w:pStyle w:val="23"/>
        <w:rPr>
          <w:color w:val="auto"/>
          <w:sz w:val="22"/>
          <w:szCs w:val="18"/>
          <w:highlight w:val="none"/>
        </w:rPr>
      </w:pPr>
    </w:p>
    <w:p>
      <w:pPr>
        <w:pStyle w:val="23"/>
        <w:rPr>
          <w:color w:val="auto"/>
          <w:sz w:val="22"/>
          <w:szCs w:val="18"/>
          <w:highlight w:val="none"/>
        </w:rPr>
      </w:pPr>
    </w:p>
    <w:p>
      <w:pPr>
        <w:pStyle w:val="23"/>
        <w:rPr>
          <w:color w:val="auto"/>
          <w:sz w:val="22"/>
          <w:szCs w:val="18"/>
          <w:highlight w:val="none"/>
        </w:rPr>
      </w:pPr>
      <w:r>
        <w:rPr>
          <w:rFonts w:hint="eastAsia" w:ascii="宋体" w:hAnsi="宋体"/>
          <w:b/>
          <w:color w:val="auto"/>
          <w:sz w:val="28"/>
          <w:szCs w:val="28"/>
          <w:highlight w:val="none"/>
        </w:rPr>
        <w:t xml:space="preserve">       </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日期：</w:t>
      </w:r>
    </w:p>
    <w:p>
      <w:pPr>
        <w:pStyle w:val="23"/>
        <w:rPr>
          <w:color w:val="auto"/>
          <w:sz w:val="22"/>
          <w:szCs w:val="18"/>
          <w:highlight w:val="none"/>
        </w:rPr>
      </w:pPr>
    </w:p>
    <w:p>
      <w:pPr>
        <w:pStyle w:val="23"/>
        <w:rPr>
          <w:color w:val="auto"/>
          <w:highlight w:val="none"/>
        </w:rPr>
      </w:pPr>
    </w:p>
    <w:p>
      <w:pPr>
        <w:pStyle w:val="23"/>
        <w:rPr>
          <w:color w:val="auto"/>
          <w:highlight w:val="none"/>
        </w:rPr>
      </w:pPr>
    </w:p>
    <w:p>
      <w:pPr>
        <w:pStyle w:val="5"/>
        <w:ind w:firstLine="3534" w:firstLineChars="1100"/>
        <w:rPr>
          <w:color w:val="auto"/>
          <w:szCs w:val="28"/>
          <w:highlight w:val="none"/>
        </w:rPr>
      </w:pPr>
      <w:bookmarkStart w:id="118" w:name="_Toc20666"/>
      <w:bookmarkStart w:id="119" w:name="_Toc31613"/>
      <w:r>
        <w:rPr>
          <w:color w:val="auto"/>
          <w:szCs w:val="28"/>
          <w:highlight w:val="none"/>
        </w:rPr>
        <w:t>第一部分 协议书</w:t>
      </w:r>
      <w:bookmarkEnd w:id="118"/>
      <w:bookmarkEnd w:id="119"/>
    </w:p>
    <w:p>
      <w:pPr>
        <w:spacing w:line="360" w:lineRule="auto"/>
        <w:ind w:firstLine="475"/>
        <w:rPr>
          <w:color w:val="auto"/>
          <w:szCs w:val="21"/>
          <w:highlight w:val="none"/>
        </w:rPr>
      </w:pPr>
    </w:p>
    <w:p>
      <w:pPr>
        <w:spacing w:line="360" w:lineRule="auto"/>
        <w:ind w:firstLine="475"/>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lang w:eastAsia="zh-CN"/>
        </w:rPr>
        <w:t>合山市公安局</w:t>
      </w:r>
    </w:p>
    <w:p>
      <w:pPr>
        <w:spacing w:line="360" w:lineRule="auto"/>
        <w:ind w:firstLine="4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承包人（全称）：</w:t>
      </w:r>
    </w:p>
    <w:p>
      <w:pPr>
        <w:spacing w:line="360" w:lineRule="auto"/>
        <w:ind w:firstLine="4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》、《中华人民共和国建筑法》及其他有关法律、行政法规，遵循平等、自愿、公平和诚实信用的原则，双方就</w:t>
      </w:r>
      <w:r>
        <w:rPr>
          <w:rFonts w:hint="eastAsia" w:ascii="宋体" w:hAnsi="宋体" w:eastAsia="宋体" w:cs="宋体"/>
          <w:color w:val="auto"/>
          <w:sz w:val="21"/>
          <w:szCs w:val="21"/>
          <w:highlight w:val="none"/>
          <w:u w:val="single"/>
          <w:lang w:eastAsia="zh-CN"/>
        </w:rPr>
        <w:t>合山市公安局里兰派出所业务技术用房工程</w:t>
      </w:r>
      <w:r>
        <w:rPr>
          <w:rFonts w:hint="eastAsia" w:ascii="宋体" w:hAnsi="宋体" w:eastAsia="宋体" w:cs="宋体"/>
          <w:color w:val="auto"/>
          <w:sz w:val="21"/>
          <w:szCs w:val="21"/>
          <w:highlight w:val="none"/>
        </w:rPr>
        <w:t>施工事项协商一致，订立本合同。</w:t>
      </w:r>
    </w:p>
    <w:p>
      <w:pPr>
        <w:spacing w:line="360" w:lineRule="auto"/>
        <w:ind w:firstLine="510"/>
        <w:outlineLvl w:val="0"/>
        <w:rPr>
          <w:rFonts w:hint="eastAsia" w:ascii="宋体" w:hAnsi="宋体" w:eastAsia="宋体" w:cs="宋体"/>
          <w:b/>
          <w:color w:val="auto"/>
          <w:sz w:val="21"/>
          <w:szCs w:val="21"/>
          <w:highlight w:val="none"/>
        </w:rPr>
      </w:pPr>
      <w:bookmarkStart w:id="120" w:name="_Toc459738620"/>
      <w:r>
        <w:rPr>
          <w:rFonts w:hint="eastAsia" w:ascii="宋体" w:hAnsi="宋体" w:eastAsia="宋体" w:cs="宋体"/>
          <w:b/>
          <w:color w:val="auto"/>
          <w:sz w:val="21"/>
          <w:szCs w:val="21"/>
          <w:highlight w:val="none"/>
        </w:rPr>
        <w:t>一、工程概况</w:t>
      </w:r>
      <w:bookmarkEnd w:id="120"/>
    </w:p>
    <w:p>
      <w:pPr>
        <w:spacing w:line="360" w:lineRule="auto"/>
        <w:ind w:firstLine="5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lang w:eastAsia="zh-CN"/>
        </w:rPr>
        <w:t>合山市公安局里兰派出所业务技术用房工程</w:t>
      </w:r>
    </w:p>
    <w:p>
      <w:pPr>
        <w:spacing w:line="360" w:lineRule="auto"/>
        <w:ind w:firstLine="51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工程地点：</w:t>
      </w:r>
      <w:r>
        <w:rPr>
          <w:rFonts w:hint="eastAsia" w:ascii="宋体" w:hAnsi="宋体" w:eastAsia="宋体" w:cs="宋体"/>
          <w:color w:val="auto"/>
          <w:sz w:val="21"/>
          <w:szCs w:val="21"/>
          <w:highlight w:val="none"/>
          <w:u w:val="single"/>
          <w:lang w:val="en-US" w:eastAsia="zh-CN"/>
        </w:rPr>
        <w:t>合山市公安局里兰派出所</w:t>
      </w:r>
    </w:p>
    <w:p>
      <w:pPr>
        <w:spacing w:line="360" w:lineRule="auto"/>
        <w:ind w:firstLine="411" w:firstLineChars="196"/>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工程内容：</w:t>
      </w:r>
      <w:r>
        <w:rPr>
          <w:rFonts w:hint="eastAsia" w:ascii="宋体" w:hAnsi="宋体" w:eastAsia="宋体" w:cs="宋体"/>
          <w:color w:val="auto"/>
          <w:sz w:val="21"/>
          <w:szCs w:val="21"/>
          <w:highlight w:val="none"/>
          <w:u w:val="single"/>
        </w:rPr>
        <w:t>本项目为合山市公安局里兰派出所业务用房及附属用房工程，项目位于合山市，总建筑面积1321.98㎡，结构形式为框架结构，建筑层数：地上4层，建设层高：业务技术用房13.65m，门卫室：3.15m。主要施工工程包括业务技术用房建筑、安装、门卫室的建筑、安装、绿化、围墙、道路硬化等工程</w:t>
      </w:r>
      <w:r>
        <w:rPr>
          <w:rFonts w:hint="eastAsia" w:ascii="宋体" w:hAnsi="宋体" w:eastAsia="宋体" w:cs="宋体"/>
          <w:color w:val="auto"/>
          <w:sz w:val="21"/>
          <w:szCs w:val="21"/>
          <w:highlight w:val="none"/>
          <w:u w:val="single"/>
          <w:lang w:eastAsia="zh-CN"/>
        </w:rPr>
        <w:t>，具体</w:t>
      </w:r>
      <w:r>
        <w:rPr>
          <w:rFonts w:hint="eastAsia" w:ascii="宋体" w:hAnsi="宋体" w:eastAsia="宋体" w:cs="宋体"/>
          <w:color w:val="auto"/>
          <w:sz w:val="21"/>
          <w:szCs w:val="21"/>
          <w:highlight w:val="none"/>
          <w:u w:val="single"/>
          <w:lang w:val="en-US" w:eastAsia="zh-CN"/>
        </w:rPr>
        <w:t>以工程量清单和图纸包含的内容为准。</w:t>
      </w:r>
    </w:p>
    <w:p>
      <w:pPr>
        <w:spacing w:line="360" w:lineRule="auto"/>
        <w:ind w:firstLine="51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工程立项批准文号：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p>
    <w:p>
      <w:pPr>
        <w:spacing w:line="360" w:lineRule="auto"/>
        <w:ind w:firstLine="411" w:firstLineChars="196"/>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highlight w:val="none"/>
        </w:rPr>
        <w:t>资金来源</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财政资金</w:t>
      </w:r>
    </w:p>
    <w:p>
      <w:pPr>
        <w:spacing w:line="360" w:lineRule="auto"/>
        <w:ind w:firstLine="506" w:firstLineChars="240"/>
        <w:outlineLvl w:val="0"/>
        <w:rPr>
          <w:rFonts w:hint="eastAsia" w:ascii="宋体" w:hAnsi="宋体" w:eastAsia="宋体" w:cs="宋体"/>
          <w:b/>
          <w:color w:val="auto"/>
          <w:sz w:val="21"/>
          <w:szCs w:val="21"/>
          <w:highlight w:val="none"/>
        </w:rPr>
      </w:pPr>
      <w:bookmarkStart w:id="121" w:name="_Toc459738621"/>
      <w:r>
        <w:rPr>
          <w:rFonts w:hint="eastAsia" w:ascii="宋体" w:hAnsi="宋体" w:eastAsia="宋体" w:cs="宋体"/>
          <w:b/>
          <w:color w:val="auto"/>
          <w:sz w:val="21"/>
          <w:szCs w:val="21"/>
          <w:highlight w:val="none"/>
        </w:rPr>
        <w:t>二、工程承包范围</w:t>
      </w:r>
      <w:bookmarkEnd w:id="121"/>
    </w:p>
    <w:p>
      <w:pPr>
        <w:spacing w:line="360" w:lineRule="auto"/>
        <w:ind w:firstLine="411" w:firstLineChars="196"/>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承包范围：</w:t>
      </w:r>
      <w:r>
        <w:rPr>
          <w:rFonts w:hint="eastAsia" w:ascii="宋体" w:hAnsi="宋体" w:cs="宋体"/>
          <w:color w:val="auto"/>
          <w:sz w:val="21"/>
          <w:szCs w:val="21"/>
          <w:highlight w:val="none"/>
          <w:u w:val="single"/>
          <w:lang w:val="en-US" w:eastAsia="zh-CN"/>
        </w:rPr>
        <w:t>本项目</w:t>
      </w:r>
      <w:r>
        <w:rPr>
          <w:rFonts w:hint="eastAsia" w:ascii="宋体" w:hAnsi="宋体" w:eastAsia="宋体" w:cs="宋体"/>
          <w:color w:val="auto"/>
          <w:sz w:val="21"/>
          <w:szCs w:val="21"/>
          <w:highlight w:val="none"/>
          <w:u w:val="single"/>
        </w:rPr>
        <w:t>总建筑面积1321.98㎡，结构形式为框架结构，建筑层数：地上4层，建设层高：业务技术用房13.65m，门卫室：3.15m。主要施工工程包括业务技术用房建筑、安装、门卫室的建筑、安装、绿化、围墙、道路硬化等工程</w:t>
      </w:r>
      <w:r>
        <w:rPr>
          <w:rFonts w:hint="eastAsia" w:ascii="宋体" w:hAnsi="宋体" w:eastAsia="宋体" w:cs="宋体"/>
          <w:color w:val="auto"/>
          <w:sz w:val="21"/>
          <w:szCs w:val="21"/>
          <w:highlight w:val="none"/>
          <w:u w:val="single"/>
          <w:lang w:eastAsia="zh-CN"/>
        </w:rPr>
        <w:t>，具体</w:t>
      </w:r>
      <w:r>
        <w:rPr>
          <w:rFonts w:hint="eastAsia" w:ascii="宋体" w:hAnsi="宋体" w:eastAsia="宋体" w:cs="宋体"/>
          <w:color w:val="auto"/>
          <w:sz w:val="21"/>
          <w:szCs w:val="21"/>
          <w:highlight w:val="none"/>
          <w:u w:val="single"/>
          <w:lang w:val="en-US" w:eastAsia="zh-CN"/>
        </w:rPr>
        <w:t>以工程量清单和图纸包含的内容为准。</w:t>
      </w:r>
    </w:p>
    <w:p>
      <w:pPr>
        <w:spacing w:line="360" w:lineRule="auto"/>
        <w:ind w:firstLine="411" w:firstLineChars="196"/>
        <w:rPr>
          <w:rFonts w:hint="eastAsia" w:ascii="宋体" w:hAnsi="宋体" w:eastAsia="宋体" w:cs="宋体"/>
          <w:color w:val="auto"/>
          <w:sz w:val="21"/>
          <w:szCs w:val="21"/>
          <w:highlight w:val="none"/>
          <w:u w:val="single"/>
          <w:lang w:eastAsia="zh-CN"/>
        </w:rPr>
      </w:pPr>
    </w:p>
    <w:p>
      <w:pPr>
        <w:spacing w:line="360" w:lineRule="auto"/>
        <w:ind w:firstLine="510"/>
        <w:outlineLvl w:val="0"/>
        <w:rPr>
          <w:rFonts w:hint="eastAsia" w:ascii="宋体" w:hAnsi="宋体" w:eastAsia="宋体" w:cs="宋体"/>
          <w:b/>
          <w:color w:val="auto"/>
          <w:sz w:val="21"/>
          <w:szCs w:val="21"/>
          <w:highlight w:val="none"/>
        </w:rPr>
      </w:pPr>
      <w:bookmarkStart w:id="122" w:name="_Toc459738622"/>
      <w:r>
        <w:rPr>
          <w:rFonts w:hint="eastAsia" w:ascii="宋体" w:hAnsi="宋体" w:eastAsia="宋体" w:cs="宋体"/>
          <w:b/>
          <w:color w:val="auto"/>
          <w:sz w:val="21"/>
          <w:szCs w:val="21"/>
          <w:highlight w:val="none"/>
        </w:rPr>
        <w:t>三、合同工期</w:t>
      </w:r>
      <w:bookmarkEnd w:id="122"/>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竣工日期：20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合同工期总日历天数</w:t>
      </w:r>
      <w:r>
        <w:rPr>
          <w:rFonts w:hint="eastAsia" w:ascii="宋体" w:hAnsi="宋体" w:eastAsia="宋体" w:cs="宋体"/>
          <w:color w:val="auto"/>
          <w:sz w:val="21"/>
          <w:szCs w:val="21"/>
          <w:highlight w:val="none"/>
          <w:lang w:val="en-US" w:eastAsia="zh-CN"/>
        </w:rPr>
        <w:t>60日历天</w:t>
      </w:r>
      <w:r>
        <w:rPr>
          <w:rFonts w:hint="eastAsia" w:ascii="宋体" w:hAnsi="宋体" w:eastAsia="宋体" w:cs="宋体"/>
          <w:color w:val="auto"/>
          <w:sz w:val="21"/>
          <w:szCs w:val="21"/>
          <w:highlight w:val="none"/>
        </w:rPr>
        <w:t>。</w:t>
      </w:r>
    </w:p>
    <w:p>
      <w:pPr>
        <w:pStyle w:val="23"/>
        <w:ind w:firstLine="46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实际开工日期以甲方签发的开工令为准。</w:t>
      </w:r>
    </w:p>
    <w:p>
      <w:pPr>
        <w:spacing w:line="360" w:lineRule="auto"/>
        <w:ind w:firstLine="520"/>
        <w:outlineLvl w:val="0"/>
        <w:rPr>
          <w:rFonts w:hint="eastAsia" w:ascii="宋体" w:hAnsi="宋体" w:eastAsia="宋体" w:cs="宋体"/>
          <w:b/>
          <w:color w:val="auto"/>
          <w:sz w:val="21"/>
          <w:szCs w:val="21"/>
          <w:highlight w:val="none"/>
        </w:rPr>
      </w:pPr>
      <w:bookmarkStart w:id="123" w:name="_Toc459738623"/>
      <w:r>
        <w:rPr>
          <w:rFonts w:hint="eastAsia" w:ascii="宋体" w:hAnsi="宋体" w:eastAsia="宋体" w:cs="宋体"/>
          <w:b/>
          <w:color w:val="auto"/>
          <w:sz w:val="21"/>
          <w:szCs w:val="21"/>
          <w:highlight w:val="none"/>
        </w:rPr>
        <w:t>四、质量标准</w:t>
      </w:r>
      <w:bookmarkEnd w:id="123"/>
    </w:p>
    <w:p>
      <w:pPr>
        <w:spacing w:line="360" w:lineRule="auto"/>
        <w:ind w:firstLine="5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工程质量标准</w:t>
      </w:r>
      <w:r>
        <w:rPr>
          <w:rFonts w:hint="eastAsia" w:ascii="宋体" w:hAnsi="宋体" w:eastAsia="宋体" w:cs="宋体"/>
          <w:color w:val="auto"/>
          <w:sz w:val="21"/>
          <w:szCs w:val="21"/>
          <w:highlight w:val="none"/>
          <w:u w:val="single"/>
        </w:rPr>
        <w:t>：</w:t>
      </w:r>
      <w:r>
        <w:rPr>
          <w:rFonts w:hint="eastAsia" w:ascii="宋体" w:hAnsi="宋体" w:eastAsia="宋体" w:cs="宋体"/>
          <w:bCs/>
          <w:color w:val="auto"/>
          <w:sz w:val="21"/>
          <w:szCs w:val="21"/>
          <w:highlight w:val="none"/>
          <w:u w:val="single"/>
        </w:rPr>
        <w:t>达到国家竣工验收规范合格标准</w:t>
      </w:r>
      <w:r>
        <w:rPr>
          <w:rFonts w:hint="eastAsia" w:ascii="宋体" w:hAnsi="宋体" w:eastAsia="宋体" w:cs="宋体"/>
          <w:color w:val="auto"/>
          <w:sz w:val="21"/>
          <w:szCs w:val="21"/>
          <w:highlight w:val="none"/>
          <w:u w:val="single"/>
        </w:rPr>
        <w:t>。</w:t>
      </w:r>
    </w:p>
    <w:p>
      <w:pPr>
        <w:pStyle w:val="2"/>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rPr>
      </w:pPr>
    </w:p>
    <w:p>
      <w:pPr>
        <w:pStyle w:val="2"/>
        <w:rPr>
          <w:rFonts w:hint="eastAsia"/>
          <w:color w:val="auto"/>
        </w:rPr>
      </w:pPr>
    </w:p>
    <w:p>
      <w:pPr>
        <w:spacing w:line="360" w:lineRule="auto"/>
        <w:ind w:firstLine="510"/>
        <w:outlineLvl w:val="0"/>
        <w:rPr>
          <w:rFonts w:hint="eastAsia" w:ascii="宋体" w:hAnsi="宋体" w:eastAsia="宋体" w:cs="宋体"/>
          <w:b/>
          <w:color w:val="auto"/>
          <w:sz w:val="21"/>
          <w:szCs w:val="21"/>
          <w:highlight w:val="none"/>
        </w:rPr>
      </w:pPr>
      <w:bookmarkStart w:id="124" w:name="_Toc459738624"/>
      <w:r>
        <w:rPr>
          <w:rFonts w:hint="eastAsia" w:ascii="宋体" w:hAnsi="宋体" w:eastAsia="宋体" w:cs="宋体"/>
          <w:b/>
          <w:color w:val="auto"/>
          <w:sz w:val="21"/>
          <w:szCs w:val="21"/>
          <w:highlight w:val="none"/>
        </w:rPr>
        <w:t>五、合同价款</w:t>
      </w:r>
      <w:bookmarkEnd w:id="124"/>
    </w:p>
    <w:p>
      <w:pPr>
        <w:spacing w:line="360" w:lineRule="auto"/>
        <w:ind w:firstLine="5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u w:val="single"/>
        </w:rPr>
        <w:t>：（人民币） ¥                    元</w:t>
      </w:r>
    </w:p>
    <w:p>
      <w:pPr>
        <w:spacing w:line="400" w:lineRule="exact"/>
        <w:ind w:left="40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其中：（1）安全文明施工费：</w:t>
      </w:r>
    </w:p>
    <w:p>
      <w:pPr>
        <w:spacing w:line="400" w:lineRule="exact"/>
        <w:ind w:left="40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spacing w:line="400" w:lineRule="exact"/>
        <w:ind w:left="40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（2）建安劳保费：</w:t>
      </w:r>
    </w:p>
    <w:p>
      <w:pPr>
        <w:spacing w:line="400" w:lineRule="exact"/>
        <w:ind w:left="40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spacing w:line="400" w:lineRule="exact"/>
        <w:ind w:left="40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（3）增值税额：</w:t>
      </w:r>
    </w:p>
    <w:p>
      <w:pPr>
        <w:spacing w:line="400" w:lineRule="exact"/>
        <w:ind w:left="40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spacing w:line="400" w:lineRule="exact"/>
        <w:ind w:left="40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增值税率：</w:t>
      </w:r>
      <w:r>
        <w:rPr>
          <w:rFonts w:hint="eastAsia" w:ascii="宋体" w:hAnsi="宋体" w:eastAsia="宋体" w:cs="宋体"/>
          <w:color w:val="auto"/>
          <w:sz w:val="21"/>
          <w:szCs w:val="21"/>
          <w:highlight w:val="none"/>
          <w:u w:val="single"/>
        </w:rPr>
        <w:t xml:space="preserve">      </w:t>
      </w:r>
    </w:p>
    <w:p>
      <w:pPr>
        <w:pStyle w:val="23"/>
        <w:rPr>
          <w:rFonts w:hint="eastAsia" w:ascii="宋体" w:hAnsi="宋体" w:eastAsia="宋体" w:cs="宋体"/>
          <w:color w:val="auto"/>
          <w:sz w:val="21"/>
          <w:szCs w:val="21"/>
          <w:highlight w:val="none"/>
        </w:rPr>
      </w:pPr>
    </w:p>
    <w:p>
      <w:pPr>
        <w:spacing w:line="360" w:lineRule="auto"/>
        <w:ind w:firstLine="510"/>
        <w:outlineLvl w:val="0"/>
        <w:rPr>
          <w:rFonts w:hint="eastAsia" w:ascii="宋体" w:hAnsi="宋体" w:eastAsia="宋体" w:cs="宋体"/>
          <w:b/>
          <w:bCs/>
          <w:color w:val="auto"/>
          <w:sz w:val="21"/>
          <w:szCs w:val="21"/>
          <w:highlight w:val="none"/>
        </w:rPr>
      </w:pPr>
      <w:bookmarkStart w:id="125" w:name="_Toc459738625"/>
      <w:r>
        <w:rPr>
          <w:rFonts w:hint="eastAsia" w:ascii="宋体" w:hAnsi="宋体" w:eastAsia="宋体" w:cs="宋体"/>
          <w:b/>
          <w:bCs/>
          <w:color w:val="auto"/>
          <w:sz w:val="21"/>
          <w:szCs w:val="21"/>
          <w:highlight w:val="none"/>
        </w:rPr>
        <w:t>六、组成合同的文件</w:t>
      </w:r>
      <w:bookmarkEnd w:id="125"/>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组成本合同的文件包括：</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1、本合同协议书</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2、成交通知书</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3、响应文件及其附件</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4、本合同专用条款</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5、本合同通用条款</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6、标准、规范及有关技术文件</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7、工程量清单</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双方有关工程听洽商、变更等书面协议或文件视为本合同的组成部分。</w:t>
      </w:r>
    </w:p>
    <w:p>
      <w:pPr>
        <w:spacing w:line="360" w:lineRule="auto"/>
        <w:ind w:firstLine="520"/>
        <w:outlineLvl w:val="0"/>
        <w:rPr>
          <w:rFonts w:hint="eastAsia" w:ascii="宋体" w:hAnsi="宋体" w:eastAsia="宋体" w:cs="宋体"/>
          <w:b/>
          <w:color w:val="auto"/>
          <w:sz w:val="21"/>
          <w:szCs w:val="21"/>
          <w:highlight w:val="none"/>
        </w:rPr>
      </w:pPr>
      <w:bookmarkStart w:id="126" w:name="_Toc459738626"/>
      <w:r>
        <w:rPr>
          <w:rFonts w:hint="eastAsia" w:ascii="宋体" w:hAnsi="宋体" w:eastAsia="宋体" w:cs="宋体"/>
          <w:b/>
          <w:color w:val="auto"/>
          <w:sz w:val="21"/>
          <w:szCs w:val="21"/>
          <w:highlight w:val="none"/>
        </w:rPr>
        <w:t>七、本协议书中有关词语定义与本合同第二部分《通用条款》中分别赋予它们的定义相同。</w:t>
      </w:r>
      <w:bookmarkEnd w:id="126"/>
    </w:p>
    <w:p>
      <w:pPr>
        <w:spacing w:line="360" w:lineRule="auto"/>
        <w:ind w:firstLine="520"/>
        <w:outlineLvl w:val="0"/>
        <w:rPr>
          <w:rFonts w:hint="eastAsia" w:ascii="宋体" w:hAnsi="宋体" w:eastAsia="宋体" w:cs="宋体"/>
          <w:b/>
          <w:color w:val="auto"/>
          <w:sz w:val="21"/>
          <w:szCs w:val="21"/>
          <w:highlight w:val="none"/>
        </w:rPr>
      </w:pPr>
      <w:bookmarkStart w:id="127" w:name="_Toc459738627"/>
      <w:r>
        <w:rPr>
          <w:rFonts w:hint="eastAsia" w:ascii="宋体" w:hAnsi="宋体" w:eastAsia="宋体" w:cs="宋体"/>
          <w:b/>
          <w:color w:val="auto"/>
          <w:sz w:val="21"/>
          <w:szCs w:val="21"/>
          <w:highlight w:val="none"/>
        </w:rPr>
        <w:t>八、承包人向发包人承诺按照合同约定进行施工、竣工并在质量保修期内承担工程质量保修责任。</w:t>
      </w:r>
      <w:bookmarkEnd w:id="127"/>
    </w:p>
    <w:p>
      <w:pPr>
        <w:spacing w:line="360" w:lineRule="auto"/>
        <w:ind w:firstLine="510"/>
        <w:outlineLvl w:val="0"/>
        <w:rPr>
          <w:rFonts w:hint="eastAsia" w:ascii="宋体" w:hAnsi="宋体" w:eastAsia="宋体" w:cs="宋体"/>
          <w:b/>
          <w:color w:val="auto"/>
          <w:sz w:val="21"/>
          <w:szCs w:val="21"/>
          <w:highlight w:val="none"/>
        </w:rPr>
      </w:pPr>
      <w:bookmarkStart w:id="128" w:name="_Toc459738628"/>
      <w:r>
        <w:rPr>
          <w:rFonts w:hint="eastAsia" w:ascii="宋体" w:hAnsi="宋体" w:eastAsia="宋体" w:cs="宋体"/>
          <w:b/>
          <w:color w:val="auto"/>
          <w:sz w:val="21"/>
          <w:szCs w:val="21"/>
          <w:highlight w:val="none"/>
        </w:rPr>
        <w:t>九、发包人向承包人承诺按照合同约定的期限和方式支付合同价款及其他应当支付的款项。</w:t>
      </w:r>
      <w:bookmarkEnd w:id="128"/>
    </w:p>
    <w:p>
      <w:pPr>
        <w:spacing w:line="360" w:lineRule="auto"/>
        <w:ind w:firstLine="510"/>
        <w:outlineLvl w:val="0"/>
        <w:rPr>
          <w:rFonts w:hint="eastAsia" w:ascii="宋体" w:hAnsi="宋体" w:eastAsia="宋体" w:cs="宋体"/>
          <w:b/>
          <w:color w:val="auto"/>
          <w:sz w:val="21"/>
          <w:szCs w:val="21"/>
          <w:highlight w:val="none"/>
        </w:rPr>
      </w:pPr>
      <w:bookmarkStart w:id="129" w:name="_Toc459738629"/>
      <w:r>
        <w:rPr>
          <w:rFonts w:hint="eastAsia" w:ascii="宋体" w:hAnsi="宋体" w:eastAsia="宋体" w:cs="宋体"/>
          <w:b/>
          <w:color w:val="auto"/>
          <w:sz w:val="21"/>
          <w:szCs w:val="21"/>
          <w:highlight w:val="none"/>
        </w:rPr>
        <w:t>十、合同生效</w:t>
      </w:r>
      <w:bookmarkEnd w:id="129"/>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合同订立时间：________年________月________日</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p>
    <w:p>
      <w:pPr>
        <w:spacing w:line="360" w:lineRule="auto"/>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本合同双方约定</w:t>
      </w:r>
      <w:r>
        <w:rPr>
          <w:rFonts w:hint="eastAsia" w:ascii="宋体" w:hAnsi="宋体" w:eastAsia="宋体" w:cs="宋体"/>
          <w:color w:val="auto"/>
          <w:sz w:val="21"/>
          <w:szCs w:val="21"/>
          <w:highlight w:val="none"/>
          <w:u w:val="single"/>
        </w:rPr>
        <w:t>双方法定代表人或其授权代理人签字或盖章并加盖单位公章</w:t>
      </w:r>
      <w:r>
        <w:rPr>
          <w:rFonts w:hint="eastAsia" w:ascii="宋体" w:hAnsi="宋体" w:eastAsia="宋体" w:cs="宋体"/>
          <w:color w:val="auto"/>
          <w:sz w:val="21"/>
          <w:szCs w:val="21"/>
          <w:highlight w:val="none"/>
        </w:rPr>
        <w:t>__后生效。</w:t>
      </w:r>
    </w:p>
    <w:p>
      <w:pPr>
        <w:pStyle w:val="6"/>
        <w:spacing w:before="120" w:after="120" w:line="400" w:lineRule="exact"/>
        <w:ind w:left="400" w:left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十一、</w:t>
      </w:r>
      <w:r>
        <w:rPr>
          <w:rFonts w:hint="eastAsia" w:ascii="宋体" w:hAnsi="宋体" w:eastAsia="宋体" w:cs="宋体"/>
          <w:b/>
          <w:bCs w:val="0"/>
          <w:color w:val="auto"/>
          <w:sz w:val="21"/>
          <w:szCs w:val="21"/>
          <w:highlight w:val="none"/>
        </w:rPr>
        <w:t>合同份数</w:t>
      </w:r>
    </w:p>
    <w:p>
      <w:pPr>
        <w:keepNext w:val="0"/>
        <w:keepLines w:val="0"/>
        <w:pageBreakBefore w:val="0"/>
        <w:widowControl w:val="0"/>
        <w:kinsoku/>
        <w:wordWrap/>
        <w:overflowPunct/>
        <w:topLinePunct w:val="0"/>
        <w:autoSpaceDE/>
        <w:autoSpaceDN/>
        <w:bidi w:val="0"/>
        <w:adjustRightInd/>
        <w:snapToGrid/>
        <w:spacing w:line="400" w:lineRule="exact"/>
        <w:ind w:left="626" w:leftChars="208" w:hanging="210" w:hangingChars="1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招标代理机构</w:t>
      </w:r>
      <w:r>
        <w:rPr>
          <w:rFonts w:hint="eastAsia" w:ascii="宋体" w:hAnsi="宋体" w:cs="宋体"/>
          <w:color w:val="auto"/>
          <w:sz w:val="21"/>
          <w:szCs w:val="21"/>
          <w:highlight w:val="none"/>
          <w:u w:val="single"/>
          <w:lang w:val="en-US" w:eastAsia="zh-CN"/>
        </w:rPr>
        <w:t>壹</w:t>
      </w:r>
      <w:r>
        <w:rPr>
          <w:rFonts w:hint="eastAsia" w:ascii="宋体" w:hAnsi="宋体" w:cs="宋体"/>
          <w:color w:val="auto"/>
          <w:sz w:val="21"/>
          <w:szCs w:val="21"/>
          <w:highlight w:val="none"/>
          <w:lang w:val="en-US" w:eastAsia="zh-CN"/>
        </w:rPr>
        <w:t>份</w:t>
      </w:r>
    </w:p>
    <w:p>
      <w:pPr>
        <w:spacing w:line="360" w:lineRule="auto"/>
        <w:ind w:firstLine="5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  包  人：（公章）               承  包  人：（公章）</w:t>
      </w:r>
    </w:p>
    <w:p>
      <w:pPr>
        <w:spacing w:line="360" w:lineRule="auto"/>
        <w:ind w:firstLine="5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地址</w:t>
      </w:r>
      <w:bookmarkStart w:id="130" w:name="OLE_LINK13"/>
      <w:r>
        <w:rPr>
          <w:rFonts w:hint="eastAsia" w:ascii="宋体" w:hAnsi="宋体" w:eastAsia="宋体" w:cs="宋体"/>
          <w:color w:val="auto"/>
          <w:sz w:val="21"/>
          <w:szCs w:val="21"/>
          <w:highlight w:val="none"/>
        </w:rPr>
        <w:t>：</w:t>
      </w:r>
      <w:bookmarkEnd w:id="130"/>
    </w:p>
    <w:p>
      <w:pPr>
        <w:spacing w:line="360" w:lineRule="auto"/>
        <w:ind w:firstLine="5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spacing w:line="360" w:lineRule="auto"/>
        <w:ind w:firstLine="5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 xml:space="preserve">委托代理人：                     </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委托代理人：</w:t>
      </w:r>
    </w:p>
    <w:p>
      <w:pPr>
        <w:spacing w:line="360" w:lineRule="auto"/>
        <w:ind w:firstLine="5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p>
    <w:p>
      <w:pPr>
        <w:spacing w:line="360" w:lineRule="auto"/>
        <w:ind w:firstLine="5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传      真：</w:t>
      </w:r>
    </w:p>
    <w:p>
      <w:pPr>
        <w:spacing w:line="360" w:lineRule="auto"/>
        <w:ind w:firstLine="520"/>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开 户 银 行：                              开 户 银 行：</w:t>
      </w:r>
    </w:p>
    <w:p>
      <w:pPr>
        <w:spacing w:line="360" w:lineRule="auto"/>
        <w:ind w:firstLine="520"/>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账       号：                               账        号：</w:t>
      </w:r>
    </w:p>
    <w:p>
      <w:pPr>
        <w:spacing w:line="360" w:lineRule="auto"/>
        <w:ind w:firstLine="520"/>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邮 政 编 号：</w:t>
      </w:r>
      <w:r>
        <w:rPr>
          <w:rFonts w:hint="eastAsia" w:ascii="宋体" w:hAnsi="宋体" w:eastAsia="宋体" w:cs="宋体"/>
          <w:color w:val="auto"/>
          <w:spacing w:val="-12"/>
          <w:sz w:val="21"/>
          <w:szCs w:val="21"/>
          <w:highlight w:val="none"/>
          <w:lang w:val="en-US" w:eastAsia="zh-CN"/>
        </w:rPr>
        <w:t xml:space="preserve">                              </w:t>
      </w:r>
      <w:r>
        <w:rPr>
          <w:rFonts w:hint="eastAsia" w:ascii="宋体" w:hAnsi="宋体" w:eastAsia="宋体" w:cs="宋体"/>
          <w:color w:val="auto"/>
          <w:spacing w:val="-12"/>
          <w:sz w:val="21"/>
          <w:szCs w:val="21"/>
          <w:highlight w:val="none"/>
        </w:rPr>
        <w:t>邮 政 编 号：</w:t>
      </w:r>
    </w:p>
    <w:p>
      <w:pPr>
        <w:pStyle w:val="5"/>
        <w:rPr>
          <w:rFonts w:hint="eastAsia" w:ascii="宋体" w:hAnsi="宋体" w:eastAsia="宋体" w:cs="宋体"/>
          <w:b w:val="0"/>
          <w:color w:val="auto"/>
          <w:sz w:val="21"/>
          <w:szCs w:val="21"/>
          <w:highlight w:val="none"/>
        </w:rPr>
      </w:pPr>
      <w:bookmarkStart w:id="131" w:name="_Toc134096509"/>
      <w:bookmarkStart w:id="132" w:name="_Toc459738630"/>
      <w:bookmarkStart w:id="133" w:name="_Toc26396"/>
      <w:bookmarkStart w:id="134" w:name="_Toc198464830"/>
      <w:bookmarkStart w:id="135" w:name="_Toc21163"/>
      <w:r>
        <w:rPr>
          <w:rFonts w:hint="eastAsia" w:ascii="宋体" w:hAnsi="宋体" w:eastAsia="宋体" w:cs="宋体"/>
          <w:color w:val="auto"/>
          <w:sz w:val="21"/>
          <w:szCs w:val="21"/>
          <w:highlight w:val="none"/>
        </w:rPr>
        <w:t>第二部分：合同通用条款</w:t>
      </w:r>
      <w:bookmarkEnd w:id="131"/>
      <w:bookmarkEnd w:id="132"/>
      <w:bookmarkEnd w:id="133"/>
      <w:bookmarkEnd w:id="134"/>
      <w:bookmarkEnd w:id="135"/>
    </w:p>
    <w:p>
      <w:pPr>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《竞争性磋商文件》的“合同通用条款”，采用国家工商行政管理局和建设部颁发的《建设工程施工合同（示范文本）》（GF-2017-0201）的“合同通用条款”。</w:t>
      </w:r>
    </w:p>
    <w:p>
      <w:pPr>
        <w:pStyle w:val="5"/>
        <w:rPr>
          <w:rFonts w:hint="eastAsia" w:ascii="宋体" w:hAnsi="宋体" w:eastAsia="宋体" w:cs="宋体"/>
          <w:color w:val="auto"/>
          <w:sz w:val="21"/>
          <w:szCs w:val="21"/>
          <w:highlight w:val="none"/>
        </w:rPr>
      </w:pPr>
      <w:bookmarkStart w:id="136" w:name="_Toc459738631"/>
      <w:bookmarkStart w:id="137" w:name="_Toc23726"/>
      <w:bookmarkStart w:id="138" w:name="_Toc4042"/>
      <w:bookmarkStart w:id="139" w:name="_Toc198464831"/>
      <w:bookmarkStart w:id="140" w:name="_Toc134096510"/>
      <w:r>
        <w:rPr>
          <w:rFonts w:hint="eastAsia" w:ascii="宋体" w:hAnsi="宋体" w:eastAsia="宋体" w:cs="宋体"/>
          <w:color w:val="auto"/>
          <w:sz w:val="21"/>
          <w:szCs w:val="21"/>
          <w:highlight w:val="none"/>
        </w:rPr>
        <w:t>第三部分：合同专用条款</w:t>
      </w:r>
      <w:bookmarkEnd w:id="136"/>
      <w:bookmarkEnd w:id="137"/>
      <w:bookmarkEnd w:id="138"/>
      <w:bookmarkEnd w:id="139"/>
      <w:bookmarkEnd w:id="140"/>
    </w:p>
    <w:p>
      <w:pPr>
        <w:pStyle w:val="11"/>
        <w:spacing w:line="440" w:lineRule="exact"/>
        <w:ind w:firstLine="443" w:firstLineChars="210"/>
        <w:rPr>
          <w:rFonts w:hint="eastAsia" w:ascii="宋体" w:hAnsi="宋体" w:eastAsia="宋体" w:cs="宋体"/>
          <w:b/>
          <w:color w:val="auto"/>
          <w:sz w:val="21"/>
          <w:szCs w:val="21"/>
          <w:highlight w:val="none"/>
        </w:rPr>
      </w:pPr>
      <w:bookmarkStart w:id="141" w:name="_Toc118023777"/>
      <w:bookmarkStart w:id="142" w:name="_Toc43044940"/>
      <w:r>
        <w:rPr>
          <w:rFonts w:hint="eastAsia" w:ascii="宋体" w:hAnsi="宋体" w:eastAsia="宋体" w:cs="宋体"/>
          <w:b/>
          <w:color w:val="auto"/>
          <w:sz w:val="21"/>
          <w:szCs w:val="21"/>
          <w:highlight w:val="none"/>
        </w:rPr>
        <w:t>一、词语定义及合同文件</w:t>
      </w:r>
      <w:bookmarkEnd w:id="141"/>
      <w:bookmarkEnd w:id="142"/>
    </w:p>
    <w:p>
      <w:pPr>
        <w:pStyle w:val="11"/>
        <w:spacing w:line="440" w:lineRule="exact"/>
        <w:ind w:firstLine="443" w:firstLineChars="210"/>
        <w:rPr>
          <w:rFonts w:hint="eastAsia" w:ascii="宋体" w:hAnsi="宋体" w:eastAsia="宋体" w:cs="宋体"/>
          <w:b/>
          <w:color w:val="auto"/>
          <w:sz w:val="21"/>
          <w:szCs w:val="21"/>
          <w:highlight w:val="none"/>
        </w:rPr>
      </w:pPr>
      <w:bookmarkStart w:id="143" w:name="_Toc43044942"/>
      <w:bookmarkStart w:id="144" w:name="_Toc118023778"/>
      <w:r>
        <w:rPr>
          <w:rFonts w:hint="eastAsia" w:ascii="宋体" w:hAnsi="宋体" w:eastAsia="宋体" w:cs="宋体"/>
          <w:b/>
          <w:color w:val="auto"/>
          <w:sz w:val="21"/>
          <w:szCs w:val="21"/>
          <w:highlight w:val="none"/>
        </w:rPr>
        <w:t>1、语言文字和适用法律、标准及规范</w:t>
      </w:r>
      <w:bookmarkEnd w:id="143"/>
      <w:bookmarkEnd w:id="144"/>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本合同除使用汉语外，无其它语言文字。</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适用法律和法规</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需要明示的法律、行政法规：</w:t>
      </w:r>
      <w:r>
        <w:rPr>
          <w:rFonts w:hint="eastAsia" w:ascii="宋体" w:hAnsi="宋体" w:eastAsia="宋体" w:cs="宋体"/>
          <w:color w:val="auto"/>
          <w:sz w:val="21"/>
          <w:szCs w:val="21"/>
          <w:highlight w:val="none"/>
          <w:u w:val="single"/>
        </w:rPr>
        <w:t>现行的国家法律和行政法规，工程所在地政府的有关法规和规章。</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适用标准、规范</w:t>
      </w:r>
    </w:p>
    <w:p>
      <w:pPr>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适用标准、规范的名称：</w:t>
      </w:r>
      <w:r>
        <w:rPr>
          <w:rFonts w:hint="eastAsia" w:ascii="宋体" w:hAnsi="宋体" w:eastAsia="宋体" w:cs="宋体"/>
          <w:color w:val="auto"/>
          <w:sz w:val="21"/>
          <w:szCs w:val="21"/>
          <w:highlight w:val="none"/>
          <w:u w:val="single"/>
        </w:rPr>
        <w:t>现行的国家标准、规范、行业标准、规范等。</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发包人提供标准、规范的时间：</w:t>
      </w:r>
      <w:r>
        <w:rPr>
          <w:rFonts w:hint="eastAsia" w:ascii="宋体" w:hAnsi="宋体" w:eastAsia="宋体" w:cs="宋体"/>
          <w:color w:val="auto"/>
          <w:sz w:val="21"/>
          <w:szCs w:val="21"/>
          <w:highlight w:val="none"/>
          <w:u w:val="single"/>
        </w:rPr>
        <w:t xml:space="preserve">  无。</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国内没有相应标准、规范时的约定：</w:t>
      </w:r>
      <w:r>
        <w:rPr>
          <w:rFonts w:hint="eastAsia" w:ascii="宋体" w:hAnsi="宋体" w:eastAsia="宋体" w:cs="宋体"/>
          <w:color w:val="auto"/>
          <w:sz w:val="21"/>
          <w:szCs w:val="21"/>
          <w:highlight w:val="none"/>
          <w:u w:val="single"/>
        </w:rPr>
        <w:t xml:space="preserve">  无。 </w:t>
      </w:r>
    </w:p>
    <w:p>
      <w:pPr>
        <w:pStyle w:val="11"/>
        <w:spacing w:line="440" w:lineRule="exact"/>
        <w:ind w:firstLine="443" w:firstLineChars="210"/>
        <w:rPr>
          <w:rFonts w:hint="eastAsia" w:ascii="宋体" w:hAnsi="宋体" w:eastAsia="宋体" w:cs="宋体"/>
          <w:b/>
          <w:color w:val="auto"/>
          <w:sz w:val="21"/>
          <w:szCs w:val="21"/>
          <w:highlight w:val="none"/>
        </w:rPr>
      </w:pPr>
      <w:bookmarkStart w:id="145" w:name="_Toc118023779"/>
      <w:bookmarkStart w:id="146" w:name="_Toc43044943"/>
      <w:r>
        <w:rPr>
          <w:rFonts w:hint="eastAsia" w:ascii="宋体" w:hAnsi="宋体" w:eastAsia="宋体" w:cs="宋体"/>
          <w:b/>
          <w:color w:val="auto"/>
          <w:sz w:val="21"/>
          <w:szCs w:val="21"/>
          <w:highlight w:val="none"/>
        </w:rPr>
        <w:t>2、图纸</w:t>
      </w:r>
      <w:bookmarkEnd w:id="145"/>
      <w:bookmarkEnd w:id="146"/>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发包人向承包人提供图纸日期和套数：合同签定</w:t>
      </w:r>
      <w:r>
        <w:rPr>
          <w:rFonts w:hint="eastAsia" w:ascii="宋体" w:hAnsi="宋体" w:eastAsia="宋体" w:cs="宋体"/>
          <w:color w:val="auto"/>
          <w:sz w:val="21"/>
          <w:szCs w:val="21"/>
          <w:highlight w:val="none"/>
          <w:u w:val="single"/>
          <w:shd w:val="pct10" w:color="auto" w:fill="FFFFFF"/>
        </w:rPr>
        <w:t>5</w:t>
      </w:r>
      <w:r>
        <w:rPr>
          <w:rFonts w:hint="eastAsia" w:ascii="宋体" w:hAnsi="宋体" w:eastAsia="宋体" w:cs="宋体"/>
          <w:color w:val="auto"/>
          <w:sz w:val="21"/>
          <w:szCs w:val="21"/>
          <w:highlight w:val="none"/>
        </w:rPr>
        <w:t>天后提供一式</w:t>
      </w:r>
      <w:r>
        <w:rPr>
          <w:rFonts w:hint="eastAsia" w:ascii="宋体" w:hAnsi="宋体" w:eastAsia="宋体" w:cs="宋体"/>
          <w:color w:val="auto"/>
          <w:sz w:val="21"/>
          <w:szCs w:val="21"/>
          <w:highlight w:val="none"/>
          <w:u w:val="single"/>
          <w:shd w:val="pct10" w:color="auto" w:fill="FFFFFF"/>
        </w:rPr>
        <w:t>二</w:t>
      </w:r>
      <w:r>
        <w:rPr>
          <w:rFonts w:hint="eastAsia" w:ascii="宋体" w:hAnsi="宋体" w:eastAsia="宋体" w:cs="宋体"/>
          <w:color w:val="auto"/>
          <w:sz w:val="21"/>
          <w:szCs w:val="21"/>
          <w:highlight w:val="none"/>
        </w:rPr>
        <w:t>份图纸。</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发包人对图纸的保密要求：</w:t>
      </w:r>
      <w:r>
        <w:rPr>
          <w:rFonts w:hint="eastAsia" w:ascii="宋体" w:hAnsi="宋体" w:eastAsia="宋体" w:cs="宋体"/>
          <w:color w:val="auto"/>
          <w:sz w:val="21"/>
          <w:szCs w:val="21"/>
          <w:highlight w:val="none"/>
          <w:u w:val="single"/>
        </w:rPr>
        <w:t xml:space="preserve">  无。</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使用国外图纸的要求及费用承担：</w:t>
      </w:r>
      <w:r>
        <w:rPr>
          <w:rFonts w:hint="eastAsia" w:ascii="宋体" w:hAnsi="宋体" w:eastAsia="宋体" w:cs="宋体"/>
          <w:color w:val="auto"/>
          <w:sz w:val="21"/>
          <w:szCs w:val="21"/>
          <w:highlight w:val="none"/>
          <w:u w:val="single"/>
        </w:rPr>
        <w:t xml:space="preserve">  无。</w:t>
      </w:r>
    </w:p>
    <w:p>
      <w:pPr>
        <w:pStyle w:val="11"/>
        <w:spacing w:line="440" w:lineRule="exact"/>
        <w:ind w:firstLine="443" w:firstLineChars="210"/>
        <w:rPr>
          <w:rFonts w:hint="eastAsia" w:ascii="宋体" w:hAnsi="宋体" w:eastAsia="宋体" w:cs="宋体"/>
          <w:b/>
          <w:color w:val="auto"/>
          <w:sz w:val="21"/>
          <w:szCs w:val="21"/>
          <w:highlight w:val="none"/>
        </w:rPr>
      </w:pPr>
      <w:bookmarkStart w:id="147" w:name="_Toc43044944"/>
      <w:bookmarkStart w:id="148" w:name="_Toc118023780"/>
      <w:r>
        <w:rPr>
          <w:rFonts w:hint="eastAsia" w:ascii="宋体" w:hAnsi="宋体" w:eastAsia="宋体" w:cs="宋体"/>
          <w:b/>
          <w:color w:val="auto"/>
          <w:sz w:val="21"/>
          <w:szCs w:val="21"/>
          <w:highlight w:val="none"/>
        </w:rPr>
        <w:t>二、双方一般权利和义务</w:t>
      </w:r>
      <w:bookmarkEnd w:id="147"/>
      <w:bookmarkEnd w:id="148"/>
    </w:p>
    <w:p>
      <w:pPr>
        <w:pStyle w:val="11"/>
        <w:spacing w:line="440" w:lineRule="exact"/>
        <w:ind w:firstLine="443" w:firstLineChars="210"/>
        <w:rPr>
          <w:rFonts w:hint="eastAsia" w:ascii="宋体" w:hAnsi="宋体" w:eastAsia="宋体" w:cs="宋体"/>
          <w:b/>
          <w:color w:val="auto"/>
          <w:sz w:val="21"/>
          <w:szCs w:val="21"/>
          <w:highlight w:val="none"/>
        </w:rPr>
      </w:pPr>
      <w:bookmarkStart w:id="149" w:name="_Toc43044945"/>
      <w:bookmarkStart w:id="150" w:name="_Toc118023781"/>
      <w:r>
        <w:rPr>
          <w:rFonts w:hint="eastAsia" w:ascii="宋体" w:hAnsi="宋体" w:eastAsia="宋体" w:cs="宋体"/>
          <w:b/>
          <w:color w:val="auto"/>
          <w:sz w:val="21"/>
          <w:szCs w:val="21"/>
          <w:highlight w:val="none"/>
        </w:rPr>
        <w:t>1、工程师</w:t>
      </w:r>
      <w:bookmarkEnd w:id="149"/>
      <w:bookmarkEnd w:id="150"/>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监理单位委派的工程师</w:t>
      </w:r>
    </w:p>
    <w:p>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姓    名：                                ；</w:t>
      </w:r>
    </w:p>
    <w:p>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职    务：                                ；</w:t>
      </w:r>
    </w:p>
    <w:p>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监理工程师执业资格证书号：                ；</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联系电话：                                ；</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发包人委托的职权</w:t>
      </w:r>
      <w:r>
        <w:rPr>
          <w:rFonts w:hint="eastAsia" w:ascii="宋体" w:hAnsi="宋体" w:eastAsia="宋体" w:cs="宋体"/>
          <w:color w:val="auto"/>
          <w:sz w:val="21"/>
          <w:szCs w:val="21"/>
          <w:highlight w:val="none"/>
          <w:u w:val="single"/>
        </w:rPr>
        <w:t>：   按本工程的监理合同中的有关条款。</w:t>
      </w:r>
    </w:p>
    <w:p>
      <w:pPr>
        <w:pStyle w:val="11"/>
        <w:spacing w:line="440" w:lineRule="exact"/>
        <w:ind w:firstLine="441" w:firstLineChars="21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需要取得发包人批准才能行使的职权：</w:t>
      </w:r>
      <w:r>
        <w:rPr>
          <w:rFonts w:hint="eastAsia" w:ascii="宋体" w:hAnsi="宋体" w:eastAsia="宋体" w:cs="宋体"/>
          <w:color w:val="auto"/>
          <w:sz w:val="21"/>
          <w:szCs w:val="21"/>
          <w:highlight w:val="none"/>
          <w:u w:val="single"/>
        </w:rPr>
        <w:t xml:space="preserve">  按本工程的监理合同中的有关条款</w:t>
      </w:r>
      <w:r>
        <w:rPr>
          <w:rFonts w:hint="eastAsia" w:ascii="宋体" w:hAnsi="宋体" w:eastAsia="宋体" w:cs="宋体"/>
          <w:b/>
          <w:bCs/>
          <w:color w:val="auto"/>
          <w:sz w:val="21"/>
          <w:szCs w:val="21"/>
          <w:highlight w:val="none"/>
          <w:u w:val="single"/>
        </w:rPr>
        <w:t>。</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发包人派驻的工程师</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姓名：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职权： 发包人委派的职权范围 。</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1.3 不实行监理的，工程师的职权：</w:t>
      </w:r>
      <w:r>
        <w:rPr>
          <w:rFonts w:hint="eastAsia" w:ascii="宋体" w:hAnsi="宋体" w:eastAsia="宋体" w:cs="宋体"/>
          <w:color w:val="auto"/>
          <w:sz w:val="21"/>
          <w:szCs w:val="21"/>
          <w:highlight w:val="none"/>
          <w:u w:val="single"/>
        </w:rPr>
        <w:t xml:space="preserve">  无。  </w:t>
      </w:r>
    </w:p>
    <w:p>
      <w:pPr>
        <w:pStyle w:val="11"/>
        <w:spacing w:line="440" w:lineRule="exact"/>
        <w:ind w:firstLine="443" w:firstLineChars="210"/>
        <w:rPr>
          <w:rFonts w:hint="eastAsia" w:ascii="宋体" w:hAnsi="宋体" w:eastAsia="宋体" w:cs="宋体"/>
          <w:b/>
          <w:color w:val="auto"/>
          <w:sz w:val="21"/>
          <w:szCs w:val="21"/>
          <w:highlight w:val="none"/>
        </w:rPr>
      </w:pPr>
      <w:bookmarkStart w:id="151" w:name="_Toc118023782"/>
      <w:bookmarkStart w:id="152" w:name="_Toc43044946"/>
      <w:r>
        <w:rPr>
          <w:rFonts w:hint="eastAsia" w:ascii="宋体" w:hAnsi="宋体" w:eastAsia="宋体" w:cs="宋体"/>
          <w:b/>
          <w:color w:val="auto"/>
          <w:sz w:val="21"/>
          <w:szCs w:val="21"/>
          <w:highlight w:val="none"/>
        </w:rPr>
        <w:t>2、项目经理</w:t>
      </w:r>
      <w:bookmarkEnd w:id="151"/>
      <w:bookmarkEnd w:id="152"/>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安全生产考核合格证书号：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zh-CN"/>
        </w:rPr>
        <w:t>要求承包人必须按照响应文件承诺拟派驻本工程项目的项目经理、施工员、安全员、质检员、预算员到现场监督、组织施工。如有变更，须向监理单位和发包人提出书面申请，并提交相关完备材料，经监理单位和发包人同意方可变更，否则，监理单位和发包人有权中止承包人的施工合同，由此带来的后果由承包人人独自承担。</w:t>
      </w:r>
    </w:p>
    <w:p>
      <w:pPr>
        <w:pStyle w:val="11"/>
        <w:spacing w:line="440" w:lineRule="exact"/>
        <w:ind w:firstLine="443" w:firstLineChars="210"/>
        <w:rPr>
          <w:rFonts w:hint="eastAsia" w:ascii="宋体" w:hAnsi="宋体" w:eastAsia="宋体" w:cs="宋体"/>
          <w:b/>
          <w:color w:val="auto"/>
          <w:sz w:val="21"/>
          <w:szCs w:val="21"/>
          <w:highlight w:val="none"/>
        </w:rPr>
      </w:pPr>
      <w:bookmarkStart w:id="153" w:name="_Toc118023783"/>
      <w:bookmarkStart w:id="154" w:name="_Toc43044947"/>
      <w:r>
        <w:rPr>
          <w:rFonts w:hint="eastAsia" w:ascii="宋体" w:hAnsi="宋体" w:eastAsia="宋体" w:cs="宋体"/>
          <w:b/>
          <w:color w:val="auto"/>
          <w:sz w:val="21"/>
          <w:szCs w:val="21"/>
          <w:highlight w:val="none"/>
        </w:rPr>
        <w:t>3、发包人工作</w:t>
      </w:r>
      <w:bookmarkEnd w:id="153"/>
      <w:bookmarkEnd w:id="154"/>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发包人应按约定的时间和要求完成以下工作：</w:t>
      </w:r>
    </w:p>
    <w:p>
      <w:pPr>
        <w:pStyle w:val="11"/>
        <w:spacing w:line="440" w:lineRule="exact"/>
        <w:ind w:firstLine="651" w:firstLineChars="3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(l)施工场地具备施工条件的要求及完成的时间</w:t>
      </w:r>
      <w:r>
        <w:rPr>
          <w:rFonts w:hint="eastAsia" w:ascii="宋体" w:hAnsi="宋体" w:eastAsia="宋体" w:cs="宋体"/>
          <w:color w:val="auto"/>
          <w:sz w:val="21"/>
          <w:szCs w:val="21"/>
          <w:highlight w:val="none"/>
          <w:u w:val="single"/>
        </w:rPr>
        <w:t>：于开工前7天。</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(2)将施工所需的水、电、电讯线路接至施工场地的时间、地点和供应要求：由承包人在竞标报价中自行考虑。</w:t>
      </w:r>
      <w:r>
        <w:rPr>
          <w:rFonts w:hint="eastAsia" w:ascii="宋体" w:hAnsi="宋体" w:eastAsia="宋体" w:cs="宋体"/>
          <w:color w:val="auto"/>
          <w:sz w:val="21"/>
          <w:szCs w:val="21"/>
          <w:highlight w:val="none"/>
          <w:u w:val="single"/>
        </w:rPr>
        <w:t>若供电部门的原因造成停电，承包人必须自行解决施工用电，费用自理。</w:t>
      </w:r>
    </w:p>
    <w:p>
      <w:pPr>
        <w:pStyle w:val="11"/>
        <w:spacing w:line="440" w:lineRule="exact"/>
        <w:ind w:firstLine="577" w:firstLineChars="2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(3)施工场地与公共道路的通道开通时间和要求：</w:t>
      </w:r>
      <w:r>
        <w:rPr>
          <w:rFonts w:hint="eastAsia" w:ascii="宋体" w:hAnsi="宋体" w:eastAsia="宋体" w:cs="宋体"/>
          <w:color w:val="auto"/>
          <w:sz w:val="21"/>
          <w:szCs w:val="21"/>
          <w:highlight w:val="none"/>
          <w:u w:val="single"/>
        </w:rPr>
        <w:t xml:space="preserve"> 已开通。</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(4)工程地质和地下管线资料的提供时间：</w:t>
      </w:r>
      <w:r>
        <w:rPr>
          <w:rFonts w:hint="eastAsia" w:ascii="宋体" w:hAnsi="宋体" w:eastAsia="宋体" w:cs="宋体"/>
          <w:color w:val="auto"/>
          <w:sz w:val="21"/>
          <w:szCs w:val="21"/>
          <w:highlight w:val="none"/>
          <w:u w:val="single"/>
        </w:rPr>
        <w:t>于开工前7天。</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(5)由发包人办理的施工所需证件、批件的名称和完成时间：</w:t>
      </w:r>
      <w:r>
        <w:rPr>
          <w:rFonts w:hint="eastAsia" w:ascii="宋体" w:hAnsi="宋体" w:eastAsia="宋体" w:cs="宋体"/>
          <w:color w:val="auto"/>
          <w:sz w:val="21"/>
          <w:szCs w:val="21"/>
          <w:highlight w:val="none"/>
          <w:u w:val="single"/>
        </w:rPr>
        <w:t xml:space="preserve">  由承包人负责办理。</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(6)水准点与座标控制点交验要求：</w:t>
      </w:r>
      <w:r>
        <w:rPr>
          <w:rFonts w:hint="eastAsia" w:ascii="宋体" w:hAnsi="宋体" w:eastAsia="宋体" w:cs="宋体"/>
          <w:color w:val="auto"/>
          <w:sz w:val="21"/>
          <w:szCs w:val="21"/>
          <w:highlight w:val="none"/>
          <w:u w:val="single"/>
        </w:rPr>
        <w:t xml:space="preserve"> 于开工前3日内现场交验，双方做好签认工作。</w:t>
      </w:r>
    </w:p>
    <w:p>
      <w:pPr>
        <w:pStyle w:val="11"/>
        <w:spacing w:line="440" w:lineRule="exact"/>
        <w:ind w:firstLine="546" w:firstLineChars="2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(7)图纸会审和设计交底时间：</w:t>
      </w:r>
      <w:r>
        <w:rPr>
          <w:rFonts w:hint="eastAsia" w:ascii="宋体" w:hAnsi="宋体" w:eastAsia="宋体" w:cs="宋体"/>
          <w:color w:val="auto"/>
          <w:sz w:val="21"/>
          <w:szCs w:val="21"/>
          <w:highlight w:val="none"/>
          <w:u w:val="single"/>
        </w:rPr>
        <w:t xml:space="preserve"> 于开工前7天。</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(8)协调处理施工场地周围地下管线和邻近建筑物、构筑物(含文物保护建筑)、古树名木的保护工作：</w:t>
      </w:r>
      <w:r>
        <w:rPr>
          <w:rFonts w:hint="eastAsia" w:ascii="宋体" w:hAnsi="宋体" w:eastAsia="宋体" w:cs="宋体"/>
          <w:color w:val="auto"/>
          <w:sz w:val="21"/>
          <w:szCs w:val="21"/>
          <w:highlight w:val="none"/>
          <w:u w:val="single"/>
        </w:rPr>
        <w:t xml:space="preserve"> 由发包人协调，相应费用由承包人承担。</w:t>
      </w:r>
    </w:p>
    <w:p>
      <w:pPr>
        <w:pStyle w:val="11"/>
        <w:spacing w:line="440" w:lineRule="exact"/>
        <w:ind w:firstLine="546" w:firstLineChars="2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(9)双方约定发包人应做的其他工作：</w:t>
      </w:r>
      <w:r>
        <w:rPr>
          <w:rFonts w:hint="eastAsia" w:ascii="宋体" w:hAnsi="宋体" w:eastAsia="宋体" w:cs="宋体"/>
          <w:color w:val="auto"/>
          <w:sz w:val="21"/>
          <w:szCs w:val="21"/>
          <w:highlight w:val="none"/>
          <w:u w:val="single"/>
        </w:rPr>
        <w:t xml:space="preserve">  无 。 </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 发包人委托承包人办理的工作： </w:t>
      </w:r>
    </w:p>
    <w:p>
      <w:pPr>
        <w:pStyle w:val="11"/>
        <w:spacing w:line="440" w:lineRule="exact"/>
        <w:ind w:firstLine="443" w:firstLineChars="210"/>
        <w:rPr>
          <w:rFonts w:hint="eastAsia" w:ascii="宋体" w:hAnsi="宋体" w:eastAsia="宋体" w:cs="宋体"/>
          <w:b/>
          <w:color w:val="auto"/>
          <w:sz w:val="21"/>
          <w:szCs w:val="21"/>
          <w:highlight w:val="none"/>
        </w:rPr>
      </w:pPr>
      <w:bookmarkStart w:id="155" w:name="_Toc43044948"/>
      <w:bookmarkStart w:id="156" w:name="_Toc118023784"/>
      <w:r>
        <w:rPr>
          <w:rFonts w:hint="eastAsia" w:ascii="宋体" w:hAnsi="宋体" w:eastAsia="宋体" w:cs="宋体"/>
          <w:b/>
          <w:color w:val="auto"/>
          <w:sz w:val="21"/>
          <w:szCs w:val="21"/>
          <w:highlight w:val="none"/>
        </w:rPr>
        <w:t>4、承包人工作</w:t>
      </w:r>
      <w:bookmarkEnd w:id="155"/>
      <w:bookmarkEnd w:id="156"/>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承包人应按约定时间和要求，完成以下工作：</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(1)需由设计资质等级和业务范围允许的承包人完成的设计文件提交时间：</w:t>
      </w:r>
      <w:r>
        <w:rPr>
          <w:rFonts w:hint="eastAsia" w:ascii="宋体" w:hAnsi="宋体" w:eastAsia="宋体" w:cs="宋体"/>
          <w:color w:val="auto"/>
          <w:sz w:val="21"/>
          <w:szCs w:val="21"/>
          <w:highlight w:val="none"/>
          <w:u w:val="single"/>
        </w:rPr>
        <w:t xml:space="preserve">  待定。  </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(2)应提供计划、报表的名称及完成时问：</w:t>
      </w:r>
      <w:r>
        <w:rPr>
          <w:rFonts w:hint="eastAsia" w:ascii="宋体" w:hAnsi="宋体" w:eastAsia="宋体" w:cs="宋体"/>
          <w:color w:val="auto"/>
          <w:sz w:val="21"/>
          <w:szCs w:val="21"/>
          <w:highlight w:val="none"/>
          <w:u w:val="single"/>
        </w:rPr>
        <w:t xml:space="preserve"> 每月25日向监理、发包人提供当月工程进度报表以及下月进度计划各一式</w:t>
      </w:r>
      <w:r>
        <w:rPr>
          <w:rFonts w:hint="eastAsia" w:ascii="宋体" w:hAnsi="宋体" w:eastAsia="宋体" w:cs="宋体"/>
          <w:color w:val="auto"/>
          <w:sz w:val="21"/>
          <w:szCs w:val="21"/>
          <w:highlight w:val="none"/>
          <w:u w:val="single"/>
          <w:lang w:eastAsia="zh-CN"/>
        </w:rPr>
        <w:t>四</w:t>
      </w:r>
      <w:r>
        <w:rPr>
          <w:rFonts w:hint="eastAsia" w:ascii="宋体" w:hAnsi="宋体" w:eastAsia="宋体" w:cs="宋体"/>
          <w:color w:val="auto"/>
          <w:sz w:val="21"/>
          <w:szCs w:val="21"/>
          <w:highlight w:val="none"/>
          <w:u w:val="single"/>
        </w:rPr>
        <w:t>份。</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(3)承担施工安全保卫工作及非夜间施工照明的责任和要求：</w:t>
      </w:r>
      <w:r>
        <w:rPr>
          <w:rFonts w:hint="eastAsia" w:ascii="宋体" w:hAnsi="宋体" w:eastAsia="宋体" w:cs="宋体"/>
          <w:color w:val="auto"/>
          <w:sz w:val="21"/>
          <w:szCs w:val="21"/>
          <w:highlight w:val="none"/>
          <w:u w:val="single"/>
        </w:rPr>
        <w:t xml:space="preserve">  承包人应采取一切合理的预防措施，防止人员伤亡、财产损失事故，费用由承包人承担。  </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(4)向发包人提供的办公和生活房屋及设施的要求：</w:t>
      </w:r>
      <w:r>
        <w:rPr>
          <w:rFonts w:hint="eastAsia" w:ascii="宋体" w:hAnsi="宋体" w:eastAsia="宋体" w:cs="宋体"/>
          <w:color w:val="auto"/>
          <w:sz w:val="21"/>
          <w:szCs w:val="21"/>
          <w:highlight w:val="none"/>
          <w:u w:val="single"/>
        </w:rPr>
        <w:t xml:space="preserve"> 无。</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(5)需承包人办理的有关施工场地交通、环卫和施工噪音管理等手续：</w:t>
      </w:r>
      <w:r>
        <w:rPr>
          <w:rFonts w:hint="eastAsia" w:ascii="宋体" w:hAnsi="宋体" w:eastAsia="宋体" w:cs="宋体"/>
          <w:color w:val="auto"/>
          <w:sz w:val="21"/>
          <w:szCs w:val="21"/>
          <w:highlight w:val="none"/>
          <w:u w:val="single"/>
        </w:rPr>
        <w:t>因施工需要，经发包人批准，由承包人办理和负责费用。</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(6)已完工程成品保护的特殊要求及费用承担： </w:t>
      </w:r>
      <w:r>
        <w:rPr>
          <w:rFonts w:hint="eastAsia" w:ascii="宋体" w:hAnsi="宋体" w:eastAsia="宋体" w:cs="宋体"/>
          <w:color w:val="auto"/>
          <w:sz w:val="21"/>
          <w:szCs w:val="21"/>
          <w:highlight w:val="none"/>
          <w:u w:val="single"/>
        </w:rPr>
        <w:t xml:space="preserve"> 按通用条款第9.1（6）条执行。 </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(7)施工场地周围地下管线和邻近建筑物、构筑物(含文物保护建筑)、古树名木的保护要求及费用承担：</w:t>
      </w:r>
      <w:r>
        <w:rPr>
          <w:rFonts w:hint="eastAsia" w:ascii="宋体" w:hAnsi="宋体" w:eastAsia="宋体" w:cs="宋体"/>
          <w:color w:val="auto"/>
          <w:sz w:val="21"/>
          <w:szCs w:val="21"/>
          <w:highlight w:val="none"/>
          <w:u w:val="single"/>
        </w:rPr>
        <w:t>承包人施工时应探明并负责保护且承担费用，施工时如损坏地下管线、邻近建筑物、构筑物，所发生费用由承包人承担。</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(8)施工场地清洁卫生的要求：</w:t>
      </w:r>
      <w:r>
        <w:rPr>
          <w:rFonts w:hint="eastAsia" w:ascii="宋体" w:hAnsi="宋体" w:eastAsia="宋体" w:cs="宋体"/>
          <w:color w:val="auto"/>
          <w:sz w:val="21"/>
          <w:szCs w:val="21"/>
          <w:highlight w:val="none"/>
          <w:u w:val="single"/>
        </w:rPr>
        <w:t>由于施工造成的环境污染，其责任和费用均由承包人承担。</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(9)双方约定承包人应做的其他工作：</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1)配合发包人做好安全文明宣传、领导检查宣传等工作，相关费用由承包人承担。</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2)承包人生活设施及施工场地，应自费配备消防设备，防止火灾发生。</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3)承包人的临时用地（含项目部驻地等）租用费（含拆迁补偿）、临时用地的环保、恢复、临时用地的青苗补偿及地面附着物拆除等费用均由承包人负责，以上费用在竞标报价中综合考虑。</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4)取土场及弃土场由承包人自行解决，但不得违反相关管理规定，并承担相关费用。</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5）经过城市道路的施工车辆，必须按交警、城管、运输等部门相关规定执行。由于施工车辆造成的道路、环境等污染，其责任和费用均由承包人承担。</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6）承包人负责合同实施期间其合同段内临时交通道路（含场内外连接公共交通道路）和交通设施的修建、维修、养护和交通管理工作，并承担一切费用。</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11"/>
        <w:spacing w:line="440" w:lineRule="exact"/>
        <w:ind w:firstLine="443" w:firstLineChars="210"/>
        <w:rPr>
          <w:rFonts w:hint="eastAsia" w:ascii="宋体" w:hAnsi="宋体" w:eastAsia="宋体" w:cs="宋体"/>
          <w:b/>
          <w:color w:val="auto"/>
          <w:sz w:val="21"/>
          <w:szCs w:val="21"/>
          <w:highlight w:val="none"/>
        </w:rPr>
      </w:pPr>
      <w:bookmarkStart w:id="157" w:name="_Toc43044949"/>
      <w:bookmarkStart w:id="158" w:name="_Toc118023785"/>
      <w:r>
        <w:rPr>
          <w:rFonts w:hint="eastAsia" w:ascii="宋体" w:hAnsi="宋体" w:eastAsia="宋体" w:cs="宋体"/>
          <w:b/>
          <w:color w:val="auto"/>
          <w:sz w:val="21"/>
          <w:szCs w:val="21"/>
          <w:highlight w:val="none"/>
        </w:rPr>
        <w:t>三、施工组织设计和工期</w:t>
      </w:r>
      <w:bookmarkEnd w:id="157"/>
      <w:bookmarkEnd w:id="158"/>
    </w:p>
    <w:p>
      <w:pPr>
        <w:pStyle w:val="11"/>
        <w:spacing w:line="440" w:lineRule="exact"/>
        <w:ind w:firstLine="443" w:firstLineChars="210"/>
        <w:rPr>
          <w:rFonts w:hint="eastAsia" w:ascii="宋体" w:hAnsi="宋体" w:eastAsia="宋体" w:cs="宋体"/>
          <w:b/>
          <w:color w:val="auto"/>
          <w:sz w:val="21"/>
          <w:szCs w:val="21"/>
          <w:highlight w:val="none"/>
        </w:rPr>
      </w:pPr>
      <w:bookmarkStart w:id="159" w:name="_Toc118023786"/>
      <w:bookmarkStart w:id="160" w:name="_Toc43044950"/>
      <w:r>
        <w:rPr>
          <w:rFonts w:hint="eastAsia" w:ascii="宋体" w:hAnsi="宋体" w:eastAsia="宋体" w:cs="宋体"/>
          <w:b/>
          <w:color w:val="auto"/>
          <w:sz w:val="21"/>
          <w:szCs w:val="21"/>
          <w:highlight w:val="none"/>
        </w:rPr>
        <w:t>1、进度计划</w:t>
      </w:r>
      <w:bookmarkEnd w:id="159"/>
      <w:bookmarkEnd w:id="160"/>
    </w:p>
    <w:p>
      <w:pPr>
        <w:pStyle w:val="11"/>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 承包人提供施工组织设计(施工方案)和进度计划的时间：</w:t>
      </w:r>
      <w:r>
        <w:rPr>
          <w:rFonts w:hint="eastAsia" w:ascii="宋体" w:hAnsi="宋体" w:eastAsia="宋体" w:cs="宋体"/>
          <w:bCs/>
          <w:color w:val="auto"/>
          <w:sz w:val="21"/>
          <w:szCs w:val="21"/>
          <w:highlight w:val="none"/>
          <w:u w:val="single"/>
        </w:rPr>
        <w:t xml:space="preserve"> 于开工前7日内</w:t>
      </w:r>
      <w:r>
        <w:rPr>
          <w:rFonts w:hint="eastAsia" w:ascii="宋体" w:hAnsi="宋体" w:eastAsia="宋体" w:cs="宋体"/>
          <w:bCs/>
          <w:color w:val="auto"/>
          <w:sz w:val="21"/>
          <w:szCs w:val="21"/>
          <w:highlight w:val="none"/>
        </w:rPr>
        <w:t>。</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工程师确认的时间：</w:t>
      </w:r>
      <w:r>
        <w:rPr>
          <w:rFonts w:hint="eastAsia" w:ascii="宋体" w:hAnsi="宋体" w:eastAsia="宋体" w:cs="宋体"/>
          <w:bCs/>
          <w:color w:val="auto"/>
          <w:sz w:val="21"/>
          <w:szCs w:val="21"/>
          <w:highlight w:val="none"/>
          <w:u w:val="single"/>
        </w:rPr>
        <w:t xml:space="preserve"> 收到后5日内予以批复</w:t>
      </w:r>
      <w:r>
        <w:rPr>
          <w:rFonts w:hint="eastAsia" w:ascii="宋体" w:hAnsi="宋体" w:eastAsia="宋体" w:cs="宋体"/>
          <w:bCs/>
          <w:color w:val="auto"/>
          <w:sz w:val="21"/>
          <w:szCs w:val="21"/>
          <w:highlight w:val="none"/>
        </w:rPr>
        <w:t>。</w:t>
      </w:r>
    </w:p>
    <w:p>
      <w:pPr>
        <w:pStyle w:val="11"/>
        <w:spacing w:line="440" w:lineRule="exact"/>
        <w:ind w:firstLine="441" w:firstLineChars="210"/>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1.2 群体工程中有关进度计划的要求：</w:t>
      </w:r>
    </w:p>
    <w:p>
      <w:pPr>
        <w:pStyle w:val="11"/>
        <w:spacing w:line="440" w:lineRule="exact"/>
        <w:ind w:firstLine="443" w:firstLineChars="21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2、工期延误</w:t>
      </w:r>
    </w:p>
    <w:p>
      <w:pPr>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 对以下原因造成工期延误；经工程师确认，工期相应顺延：</w:t>
      </w:r>
      <w:r>
        <w:rPr>
          <w:rFonts w:hint="eastAsia" w:ascii="宋体" w:hAnsi="宋体" w:eastAsia="宋体" w:cs="宋体"/>
          <w:color w:val="auto"/>
          <w:sz w:val="21"/>
          <w:szCs w:val="21"/>
          <w:highlight w:val="none"/>
          <w:u w:val="single"/>
        </w:rPr>
        <w:t>按通用条款第13条执行。</w:t>
      </w:r>
    </w:p>
    <w:p>
      <w:pPr>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 双方约定工期顺延的其他情况：</w:t>
      </w:r>
      <w:r>
        <w:rPr>
          <w:rFonts w:hint="eastAsia" w:ascii="宋体" w:hAnsi="宋体" w:eastAsia="宋体" w:cs="宋体"/>
          <w:color w:val="auto"/>
          <w:sz w:val="21"/>
          <w:szCs w:val="21"/>
          <w:highlight w:val="none"/>
          <w:u w:val="single"/>
        </w:rPr>
        <w:t xml:space="preserve">  不可抗力的原因。   </w:t>
      </w:r>
    </w:p>
    <w:p>
      <w:pPr>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非上述原因，承包人不能按合同约定的时间竣工，承包人应承担违约责任。应向发包人支付误期赔偿费（每天赔偿金额为合同价款的万分之</w:t>
      </w:r>
      <w:r>
        <w:rPr>
          <w:rFonts w:hint="eastAsia" w:ascii="宋体" w:hAnsi="宋体" w:eastAsia="宋体" w:cs="宋体"/>
          <w:color w:val="auto"/>
          <w:sz w:val="21"/>
          <w:szCs w:val="21"/>
          <w:highlight w:val="none"/>
          <w:u w:val="single"/>
        </w:rPr>
        <w:t xml:space="preserve"> 四 </w:t>
      </w:r>
      <w:r>
        <w:rPr>
          <w:rFonts w:hint="eastAsia" w:ascii="宋体" w:hAnsi="宋体" w:eastAsia="宋体" w:cs="宋体"/>
          <w:color w:val="auto"/>
          <w:sz w:val="21"/>
          <w:szCs w:val="21"/>
          <w:highlight w:val="none"/>
        </w:rPr>
        <w:t>），误期时间从规定竣工日期起直到全部工程或相应部分工程竣工验收各方签章日期之间的天数（扣除发包人批准顺延的工期），其极限为合同价的</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。发包人可从应向承包人支付的任何金额中扣除此项赔款费或其他方式收回此款，此赔偿款的支付并不能解除承包人应完成工程的责任或合同规定的其他责任。</w:t>
      </w:r>
    </w:p>
    <w:p>
      <w:pPr>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因工程量变化和设计变更的工期予以顺延，即工期相应变化，质量要求不变。</w:t>
      </w:r>
    </w:p>
    <w:p>
      <w:pPr>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承包人必须按照合同工期或发包人同意顺延的工期竣工。</w:t>
      </w:r>
    </w:p>
    <w:p>
      <w:pPr>
        <w:pStyle w:val="11"/>
        <w:spacing w:line="440" w:lineRule="exact"/>
        <w:ind w:firstLine="348" w:firstLineChars="165"/>
        <w:rPr>
          <w:rFonts w:hint="eastAsia" w:ascii="宋体" w:hAnsi="宋体" w:eastAsia="宋体" w:cs="宋体"/>
          <w:b/>
          <w:color w:val="auto"/>
          <w:sz w:val="21"/>
          <w:szCs w:val="21"/>
          <w:highlight w:val="none"/>
        </w:rPr>
      </w:pPr>
      <w:bookmarkStart w:id="161" w:name="_Toc118023788"/>
      <w:bookmarkStart w:id="162" w:name="_Toc43044952"/>
      <w:r>
        <w:rPr>
          <w:rFonts w:hint="eastAsia" w:ascii="宋体" w:hAnsi="宋体" w:eastAsia="宋体" w:cs="宋体"/>
          <w:b/>
          <w:color w:val="auto"/>
          <w:sz w:val="21"/>
          <w:szCs w:val="21"/>
          <w:highlight w:val="none"/>
        </w:rPr>
        <w:t>四、质量与验收</w:t>
      </w:r>
      <w:bookmarkEnd w:id="161"/>
      <w:bookmarkEnd w:id="162"/>
    </w:p>
    <w:p>
      <w:pPr>
        <w:pStyle w:val="11"/>
        <w:spacing w:line="440" w:lineRule="exact"/>
        <w:ind w:firstLine="348" w:firstLineChars="16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工程质量</w:t>
      </w:r>
    </w:p>
    <w:p>
      <w:pPr>
        <w:spacing w:line="440" w:lineRule="exact"/>
        <w:ind w:firstLine="346" w:firstLineChars="1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发包人对工程质量的要求：</w:t>
      </w:r>
      <w:r>
        <w:rPr>
          <w:rFonts w:hint="eastAsia" w:ascii="宋体" w:hAnsi="宋体" w:eastAsia="宋体" w:cs="宋体"/>
          <w:b/>
          <w:bCs/>
          <w:color w:val="auto"/>
          <w:sz w:val="21"/>
          <w:szCs w:val="21"/>
          <w:highlight w:val="none"/>
          <w:u w:val="single"/>
        </w:rPr>
        <w:t>达到国家竣工验收规范合格标准</w:t>
      </w:r>
      <w:r>
        <w:rPr>
          <w:rFonts w:hint="eastAsia" w:ascii="宋体" w:hAnsi="宋体" w:eastAsia="宋体" w:cs="宋体"/>
          <w:color w:val="auto"/>
          <w:sz w:val="21"/>
          <w:szCs w:val="21"/>
          <w:highlight w:val="none"/>
          <w:u w:val="single"/>
        </w:rPr>
        <w:t>。</w:t>
      </w:r>
    </w:p>
    <w:p>
      <w:pPr>
        <w:spacing w:line="440" w:lineRule="exact"/>
        <w:ind w:firstLine="346" w:firstLineChars="1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双方对工程质量有争议时，请</w:t>
      </w:r>
      <w:r>
        <w:rPr>
          <w:rFonts w:hint="eastAsia" w:ascii="宋体" w:hAnsi="宋体" w:eastAsia="宋体" w:cs="宋体"/>
          <w:color w:val="auto"/>
          <w:sz w:val="21"/>
          <w:szCs w:val="21"/>
          <w:highlight w:val="none"/>
          <w:u w:val="single"/>
        </w:rPr>
        <w:t>项目所</w:t>
      </w:r>
      <w:r>
        <w:rPr>
          <w:rFonts w:hint="eastAsia" w:ascii="宋体" w:hAnsi="宋体" w:eastAsia="宋体" w:cs="宋体"/>
          <w:color w:val="auto"/>
          <w:sz w:val="21"/>
          <w:szCs w:val="21"/>
          <w:highlight w:val="none"/>
          <w:u w:val="single"/>
          <w:lang w:eastAsia="zh-CN"/>
        </w:rPr>
        <w:t>属</w:t>
      </w:r>
      <w:r>
        <w:rPr>
          <w:rFonts w:hint="eastAsia" w:ascii="宋体" w:hAnsi="宋体" w:eastAsia="宋体" w:cs="宋体"/>
          <w:color w:val="auto"/>
          <w:sz w:val="21"/>
          <w:szCs w:val="21"/>
          <w:highlight w:val="none"/>
          <w:u w:val="single"/>
        </w:rPr>
        <w:t>地</w:t>
      </w:r>
      <w:r>
        <w:rPr>
          <w:rFonts w:hint="eastAsia" w:ascii="宋体" w:hAnsi="宋体" w:eastAsia="宋体" w:cs="宋体"/>
          <w:color w:val="auto"/>
          <w:sz w:val="21"/>
          <w:szCs w:val="21"/>
          <w:highlight w:val="none"/>
        </w:rPr>
        <w:t xml:space="preserve">仲裁。 </w:t>
      </w:r>
    </w:p>
    <w:p>
      <w:pPr>
        <w:pStyle w:val="11"/>
        <w:spacing w:line="440" w:lineRule="exact"/>
        <w:ind w:firstLine="443" w:firstLineChars="21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2、隐蔽工程和中间验收</w:t>
      </w:r>
    </w:p>
    <w:p>
      <w:pPr>
        <w:pStyle w:val="11"/>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 双方约定中间验收部位：</w:t>
      </w:r>
      <w:r>
        <w:rPr>
          <w:rFonts w:hint="eastAsia" w:ascii="宋体" w:hAnsi="宋体" w:eastAsia="宋体" w:cs="宋体"/>
          <w:bCs/>
          <w:color w:val="auto"/>
          <w:sz w:val="21"/>
          <w:szCs w:val="21"/>
          <w:highlight w:val="none"/>
          <w:u w:val="single"/>
        </w:rPr>
        <w:t xml:space="preserve">  待定。</w:t>
      </w:r>
    </w:p>
    <w:p>
      <w:pPr>
        <w:pStyle w:val="11"/>
        <w:spacing w:line="440" w:lineRule="exact"/>
        <w:ind w:firstLine="438" w:firstLineChars="20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 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11"/>
        <w:spacing w:line="360" w:lineRule="auto"/>
        <w:ind w:firstLine="438" w:firstLineChars="20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 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pPr>
        <w:pStyle w:val="37"/>
        <w:keepNext/>
        <w:keepLines/>
        <w:spacing w:line="360" w:lineRule="auto"/>
        <w:ind w:firstLine="211" w:firstLineChars="1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.检验费用</w:t>
      </w:r>
    </w:p>
    <w:p>
      <w:pPr>
        <w:pStyle w:val="6"/>
        <w:spacing w:before="0" w:after="0"/>
        <w:ind w:firstLine="408"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3"/>
          <w:sz w:val="21"/>
          <w:szCs w:val="21"/>
          <w:highlight w:val="none"/>
        </w:rPr>
        <w:t>工程质量检测业务由发包人委托有相应资质</w:t>
      </w:r>
      <w:r>
        <w:rPr>
          <w:rFonts w:hint="eastAsia" w:ascii="宋体" w:hAnsi="宋体" w:eastAsia="宋体" w:cs="宋体"/>
          <w:b w:val="0"/>
          <w:bCs w:val="0"/>
          <w:color w:val="auto"/>
          <w:spacing w:val="-68"/>
          <w:sz w:val="21"/>
          <w:szCs w:val="21"/>
          <w:highlight w:val="none"/>
        </w:rPr>
        <w:t xml:space="preserve"> </w:t>
      </w:r>
      <w:r>
        <w:rPr>
          <w:rFonts w:hint="eastAsia" w:ascii="宋体" w:hAnsi="宋体" w:eastAsia="宋体" w:cs="宋体"/>
          <w:b w:val="0"/>
          <w:bCs w:val="0"/>
          <w:color w:val="auto"/>
          <w:sz w:val="21"/>
          <w:szCs w:val="21"/>
          <w:highlight w:val="none"/>
        </w:rPr>
        <w:t>的检测机构检测。费用由发包人支出支付给检测机构。</w:t>
      </w:r>
    </w:p>
    <w:p>
      <w:pPr>
        <w:pStyle w:val="11"/>
        <w:spacing w:line="360" w:lineRule="auto"/>
        <w:ind w:firstLine="443" w:firstLineChars="210"/>
        <w:rPr>
          <w:rFonts w:hint="eastAsia" w:ascii="宋体" w:hAnsi="宋体" w:eastAsia="宋体" w:cs="宋体"/>
          <w:b/>
          <w:color w:val="auto"/>
          <w:sz w:val="21"/>
          <w:szCs w:val="21"/>
          <w:highlight w:val="none"/>
        </w:rPr>
      </w:pPr>
      <w:bookmarkStart w:id="163" w:name="_Toc43044956"/>
      <w:bookmarkStart w:id="164" w:name="_Toc118023792"/>
      <w:r>
        <w:rPr>
          <w:rFonts w:hint="eastAsia" w:ascii="宋体" w:hAnsi="宋体" w:eastAsia="宋体" w:cs="宋体"/>
          <w:b/>
          <w:color w:val="auto"/>
          <w:sz w:val="21"/>
          <w:szCs w:val="21"/>
          <w:highlight w:val="none"/>
        </w:rPr>
        <w:t>五、合同价款与支付</w:t>
      </w:r>
      <w:bookmarkEnd w:id="163"/>
      <w:bookmarkEnd w:id="164"/>
    </w:p>
    <w:p>
      <w:pPr>
        <w:pStyle w:val="11"/>
        <w:spacing w:line="360" w:lineRule="auto"/>
        <w:ind w:firstLine="443" w:firstLineChars="21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1、合同价款与调整</w:t>
      </w:r>
    </w:p>
    <w:p>
      <w:pPr>
        <w:pStyle w:val="11"/>
        <w:spacing w:line="360" w:lineRule="auto"/>
        <w:ind w:firstLine="363" w:firstLineChars="173"/>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1.1 本合同价款采用</w:t>
      </w:r>
      <w:r>
        <w:rPr>
          <w:rFonts w:hint="eastAsia" w:ascii="宋体" w:hAnsi="宋体" w:eastAsia="宋体" w:cs="宋体"/>
          <w:bCs/>
          <w:color w:val="auto"/>
          <w:sz w:val="21"/>
          <w:szCs w:val="21"/>
          <w:highlight w:val="none"/>
          <w:u w:val="single"/>
        </w:rPr>
        <w:t xml:space="preserve">固定综合单价合同  </w:t>
      </w:r>
      <w:r>
        <w:rPr>
          <w:rFonts w:hint="eastAsia" w:ascii="宋体" w:hAnsi="宋体" w:eastAsia="宋体" w:cs="宋体"/>
          <w:bCs/>
          <w:color w:val="auto"/>
          <w:sz w:val="21"/>
          <w:szCs w:val="21"/>
          <w:highlight w:val="none"/>
        </w:rPr>
        <w:t>方式确定</w:t>
      </w:r>
      <w:r>
        <w:rPr>
          <w:rFonts w:hint="eastAsia" w:ascii="宋体" w:hAnsi="宋体" w:eastAsia="宋体" w:cs="宋体"/>
          <w:color w:val="auto"/>
          <w:sz w:val="21"/>
          <w:szCs w:val="21"/>
          <w:highlight w:val="none"/>
        </w:rPr>
        <w:t>。</w:t>
      </w:r>
    </w:p>
    <w:p>
      <w:pPr>
        <w:pStyle w:val="11"/>
        <w:spacing w:line="360" w:lineRule="auto"/>
        <w:ind w:firstLine="363" w:firstLineChars="17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总价包含的风险范围：</w:t>
      </w:r>
      <w:r>
        <w:rPr>
          <w:rFonts w:hint="eastAsia" w:ascii="宋体" w:hAnsi="宋体" w:eastAsia="宋体" w:cs="宋体"/>
          <w:bCs/>
          <w:color w:val="auto"/>
          <w:sz w:val="21"/>
          <w:szCs w:val="21"/>
          <w:highlight w:val="none"/>
          <w:u w:val="single"/>
        </w:rPr>
        <w:t xml:space="preserve"> 包含除工程变更、政策性调整、本工程《承包人提供主要材料和设备一览表》中约定的主要材料和设备价格变动风险以外的其他风险。除工程变更外，结算时不再对招标施工图对应的工程量重新计量。 </w:t>
      </w:r>
    </w:p>
    <w:p>
      <w:pPr>
        <w:pStyle w:val="11"/>
        <w:spacing w:line="360" w:lineRule="auto"/>
        <w:ind w:firstLine="365" w:firstLineChars="173"/>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风险范围以外合同价款调整方法： </w:t>
      </w:r>
    </w:p>
    <w:p>
      <w:pPr>
        <w:pStyle w:val="11"/>
        <w:spacing w:line="360" w:lineRule="auto"/>
        <w:ind w:firstLine="363" w:firstLineChars="173"/>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一）因设计变更引起工程项目、工程量任何变化的，变更合同价款按下列方法进行：（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工程招标控制价）计算，其中材料价格有信息价的按施工期间的信息价进行计算，无信息的按市场价；无定额可套的，根据市场价格协商；新增项目的单价必须经财政部门审定。</w:t>
      </w:r>
    </w:p>
    <w:p>
      <w:pPr>
        <w:pStyle w:val="11"/>
        <w:spacing w:line="360" w:lineRule="auto"/>
        <w:ind w:firstLine="363" w:firstLineChars="173"/>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（二）国家和自治区政策性调整有关费用标准的，按文件规定执行。</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市场价格波动引起的调整</w:t>
      </w:r>
      <w:r>
        <w:rPr>
          <w:rFonts w:hint="eastAsia" w:ascii="宋体" w:hAnsi="宋体" w:eastAsia="宋体" w:cs="宋体"/>
          <w:b/>
          <w:bCs/>
          <w:color w:val="auto"/>
          <w:sz w:val="21"/>
          <w:szCs w:val="21"/>
          <w:highlight w:val="none"/>
          <w:lang w:eastAsia="zh-CN"/>
        </w:rPr>
        <w:t>方法：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市场价格波动是否调整合同价格的约定</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是</w:t>
      </w:r>
      <w:r>
        <w:rPr>
          <w:rFonts w:hint="eastAsia" w:ascii="宋体" w:hAnsi="宋体" w:eastAsia="宋体" w:cs="宋体"/>
          <w:color w:val="auto"/>
          <w:sz w:val="21"/>
          <w:szCs w:val="21"/>
          <w:highlight w:val="none"/>
          <w:u w:val="single"/>
        </w:rPr>
        <w:t>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种方式对合同价格进行调整：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（1）允许调整的主要材料和设备、基期价格、风险系数、投标报价详见《承包人提供主要材料和设备一览表》,价差调整部分仅计算税金，除此表列明的材料、设备外，其余材料设备价差原则上不予调整。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（2）主要材料和设备确认价：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按2022年《来宾市建设工程造价信息》第7期除税信息价，对于工程信息没有发布价格信息的材料，其价格参照南宁/柳州及市场价。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（3）价差计算方法：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），价格下跌价差=确认价-投标报价（1+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），价格下跌价差=确认价-基准价（1+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pPr>
        <w:pStyle w:val="11"/>
        <w:spacing w:line="440" w:lineRule="exact"/>
        <w:ind w:firstLine="441" w:firstLineChars="209"/>
        <w:rPr>
          <w:rFonts w:hint="eastAsia" w:ascii="宋体" w:hAnsi="宋体" w:eastAsia="宋体" w:cs="宋体"/>
          <w:b/>
          <w:color w:val="auto"/>
          <w:sz w:val="21"/>
          <w:szCs w:val="21"/>
          <w:highlight w:val="none"/>
        </w:rPr>
      </w:pPr>
      <w:bookmarkStart w:id="165" w:name="_Toc118023795"/>
      <w:bookmarkStart w:id="166" w:name="_Toc43044959"/>
      <w:r>
        <w:rPr>
          <w:rFonts w:hint="eastAsia" w:ascii="宋体" w:hAnsi="宋体" w:eastAsia="宋体" w:cs="宋体"/>
          <w:b/>
          <w:color w:val="auto"/>
          <w:sz w:val="21"/>
          <w:szCs w:val="21"/>
          <w:highlight w:val="none"/>
        </w:rPr>
        <w:t>2、工程量确认</w:t>
      </w:r>
      <w:bookmarkEnd w:id="165"/>
      <w:bookmarkEnd w:id="166"/>
    </w:p>
    <w:p>
      <w:pPr>
        <w:pStyle w:val="11"/>
        <w:spacing w:line="480" w:lineRule="exact"/>
        <w:ind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承包人向工程师提交已完工程量报告的时间：</w:t>
      </w:r>
      <w:r>
        <w:rPr>
          <w:rFonts w:hint="eastAsia" w:ascii="宋体" w:hAnsi="宋体" w:eastAsia="宋体" w:cs="宋体"/>
          <w:color w:val="auto"/>
          <w:sz w:val="21"/>
          <w:szCs w:val="21"/>
          <w:highlight w:val="none"/>
          <w:u w:val="single"/>
        </w:rPr>
        <w:t xml:space="preserve"> 每月25日前。 </w:t>
      </w:r>
    </w:p>
    <w:p>
      <w:pPr>
        <w:spacing w:line="480" w:lineRule="exact"/>
        <w:ind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工程量清单所列的工程量，不能作为承包人按合同履行其责任依据，实际施工中发生的工程量增加或减少并不影响承包人履行合同的责任，工程结算以完成的实际工程量为准。</w:t>
      </w:r>
    </w:p>
    <w:p>
      <w:pPr>
        <w:spacing w:line="480" w:lineRule="exact"/>
        <w:ind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除另有规定外，工程师应按照合同通过计量来核实确定已完成的工程量和价值，承包人应得到该价值扣除保留金后的价款。当工程师要对已完工的工程量进行计量时，应适时地通知承包人参加。</w:t>
      </w:r>
    </w:p>
    <w:p>
      <w:pPr>
        <w:spacing w:line="480" w:lineRule="exact"/>
        <w:ind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计量方法</w:t>
      </w:r>
    </w:p>
    <w:p>
      <w:pPr>
        <w:spacing w:line="480" w:lineRule="exact"/>
        <w:ind w:firstLine="438" w:firstLineChars="209"/>
        <w:rPr>
          <w:rFonts w:hint="eastAsia" w:ascii="宋体" w:hAnsi="宋体" w:eastAsia="宋体" w:cs="宋体"/>
          <w:i/>
          <w:iCs/>
          <w:color w:val="auto"/>
          <w:sz w:val="21"/>
          <w:szCs w:val="21"/>
          <w:highlight w:val="none"/>
          <w:u w:val="single"/>
        </w:rPr>
      </w:pPr>
      <w:r>
        <w:rPr>
          <w:rFonts w:hint="eastAsia" w:ascii="宋体" w:hAnsi="宋体" w:eastAsia="宋体" w:cs="宋体"/>
          <w:color w:val="auto"/>
          <w:sz w:val="21"/>
          <w:szCs w:val="21"/>
          <w:highlight w:val="none"/>
        </w:rPr>
        <w:t>工程的计量均以国家标准《建设工程工程量清单计价规范》（GB50500－2013）和《建设工程工程量清单计价规范（GB50500-2013）广西壮族自治区实施细则》计算的净值为准，如有不明之处，应以监理工程师或造价管理部门指定的计量方法为准。</w:t>
      </w:r>
    </w:p>
    <w:p>
      <w:pPr>
        <w:spacing w:line="360" w:lineRule="auto"/>
        <w:ind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 计量单位  </w:t>
      </w:r>
    </w:p>
    <w:p>
      <w:pPr>
        <w:pStyle w:val="10"/>
        <w:spacing w:line="360" w:lineRule="auto"/>
        <w:ind w:firstLine="424" w:firstLineChars="21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除了合同另有规定外，所有计量单位均应符合本工程的工程量清单。</w:t>
      </w:r>
    </w:p>
    <w:p>
      <w:pPr>
        <w:pStyle w:val="11"/>
        <w:spacing w:line="360" w:lineRule="auto"/>
        <w:ind w:firstLine="443" w:firstLineChars="210"/>
        <w:rPr>
          <w:rFonts w:hint="eastAsia" w:ascii="宋体" w:hAnsi="宋体" w:eastAsia="宋体" w:cs="宋体"/>
          <w:b/>
          <w:bCs/>
          <w:color w:val="auto"/>
          <w:sz w:val="21"/>
          <w:szCs w:val="21"/>
          <w:highlight w:val="none"/>
        </w:rPr>
      </w:pPr>
      <w:bookmarkStart w:id="167" w:name="_Toc118023797"/>
      <w:bookmarkStart w:id="168" w:name="_Toc43044961"/>
      <w:r>
        <w:rPr>
          <w:rFonts w:hint="eastAsia" w:ascii="宋体" w:hAnsi="宋体" w:eastAsia="宋体" w:cs="宋体"/>
          <w:b/>
          <w:bCs/>
          <w:color w:val="auto"/>
          <w:sz w:val="21"/>
          <w:szCs w:val="21"/>
          <w:highlight w:val="none"/>
        </w:rPr>
        <w:t>3、工程款支付</w:t>
      </w:r>
    </w:p>
    <w:p>
      <w:pPr>
        <w:pStyle w:val="11"/>
        <w:spacing w:line="440" w:lineRule="exact"/>
        <w:ind w:firstLine="441" w:firstLineChars="21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3.1预付款</w:t>
      </w:r>
      <w:r>
        <w:rPr>
          <w:rFonts w:hint="eastAsia" w:ascii="宋体" w:hAnsi="宋体" w:eastAsia="宋体" w:cs="宋体"/>
          <w:color w:val="auto"/>
          <w:sz w:val="21"/>
          <w:szCs w:val="21"/>
          <w:highlight w:val="none"/>
          <w:u w:val="single"/>
          <w:lang w:val="en-US" w:eastAsia="zh-CN"/>
        </w:rPr>
        <w:t>：</w:t>
      </w:r>
      <w:r>
        <w:rPr>
          <w:rFonts w:hint="eastAsia"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lang w:val="en-US" w:eastAsia="zh-CN"/>
        </w:rPr>
        <w:t>。</w:t>
      </w:r>
    </w:p>
    <w:p>
      <w:pPr>
        <w:pStyle w:val="11"/>
        <w:spacing w:line="440" w:lineRule="exact"/>
        <w:ind w:firstLine="441" w:firstLineChars="21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3.1预付款支付比例或金额：</w:t>
      </w:r>
      <w:r>
        <w:rPr>
          <w:rFonts w:hint="eastAsia" w:cs="宋体"/>
          <w:color w:val="auto"/>
          <w:sz w:val="21"/>
          <w:szCs w:val="21"/>
          <w:highlight w:val="none"/>
          <w:u w:val="single"/>
          <w:lang w:val="en-US" w:eastAsia="zh-CN"/>
        </w:rPr>
        <w:t>/</w:t>
      </w:r>
      <w:r>
        <w:rPr>
          <w:rFonts w:hint="eastAsia" w:ascii="宋体" w:hAnsi="宋体" w:eastAsia="宋体" w:cs="宋体"/>
          <w:color w:val="auto"/>
          <w:sz w:val="21"/>
          <w:szCs w:val="21"/>
          <w:highlight w:val="none"/>
          <w:lang w:val="en-US" w:eastAsia="zh-CN"/>
        </w:rPr>
        <w:t>。</w:t>
      </w:r>
    </w:p>
    <w:p>
      <w:pPr>
        <w:pStyle w:val="11"/>
        <w:spacing w:line="440" w:lineRule="exact"/>
        <w:ind w:firstLine="858" w:firstLineChars="40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预付款支付期限：</w:t>
      </w:r>
      <w:r>
        <w:rPr>
          <w:rFonts w:hint="eastAsia"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w:t>
      </w:r>
    </w:p>
    <w:p>
      <w:pPr>
        <w:pStyle w:val="11"/>
        <w:spacing w:line="440" w:lineRule="exact"/>
        <w:ind w:firstLine="858" w:firstLineChars="40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预付款扣回的方式：</w:t>
      </w:r>
      <w:r>
        <w:rPr>
          <w:rFonts w:hint="eastAsia" w:cs="宋体"/>
          <w:color w:val="auto"/>
          <w:sz w:val="21"/>
          <w:szCs w:val="21"/>
          <w:highlight w:val="none"/>
          <w:u w:val="single"/>
          <w:lang w:val="en-US" w:eastAsia="zh-CN"/>
        </w:rPr>
        <w:t>/</w:t>
      </w:r>
      <w:r>
        <w:rPr>
          <w:rFonts w:hint="eastAsia" w:ascii="宋体" w:hAnsi="宋体" w:eastAsia="宋体" w:cs="宋体"/>
          <w:color w:val="auto"/>
          <w:sz w:val="21"/>
          <w:szCs w:val="21"/>
          <w:highlight w:val="none"/>
          <w:lang w:val="en-US" w:eastAsia="zh-CN"/>
        </w:rPr>
        <w:t>。</w:t>
      </w:r>
    </w:p>
    <w:p>
      <w:pPr>
        <w:pStyle w:val="11"/>
        <w:spacing w:line="440" w:lineRule="exact"/>
        <w:ind w:firstLine="648" w:firstLineChars="30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3.2 工程款的支付：</w:t>
      </w:r>
      <w:r>
        <w:rPr>
          <w:rFonts w:hint="eastAsia" w:ascii="宋体" w:hAnsi="宋体" w:eastAsia="宋体" w:cs="宋体"/>
          <w:bCs/>
          <w:color w:val="auto"/>
          <w:sz w:val="21"/>
          <w:szCs w:val="21"/>
          <w:highlight w:val="none"/>
          <w:u w:val="single"/>
          <w:lang w:val="en-US" w:eastAsia="zh-CN"/>
        </w:rPr>
        <w:t>工程进度款基础验收第一次付款40%，主体验收付到50%；项目</w:t>
      </w:r>
      <w:r>
        <w:rPr>
          <w:rFonts w:hint="eastAsia" w:cs="宋体"/>
          <w:bCs/>
          <w:color w:val="auto"/>
          <w:sz w:val="21"/>
          <w:szCs w:val="21"/>
          <w:highlight w:val="none"/>
          <w:u w:val="single"/>
          <w:lang w:val="en-US" w:eastAsia="zh-CN"/>
        </w:rPr>
        <w:t>竣工</w:t>
      </w:r>
      <w:r>
        <w:rPr>
          <w:rFonts w:hint="eastAsia" w:ascii="宋体" w:hAnsi="宋体" w:eastAsia="宋体" w:cs="宋体"/>
          <w:bCs/>
          <w:color w:val="auto"/>
          <w:sz w:val="21"/>
          <w:szCs w:val="21"/>
          <w:highlight w:val="none"/>
          <w:u w:val="single"/>
          <w:lang w:val="en-US" w:eastAsia="zh-CN"/>
        </w:rPr>
        <w:t>验收合格后，发包人向承包人支付80%，经审计单位审计后，发包人向承包人支付拨付至审定结算价的97%，工程审定结算价款的3%预留工程质量保修金，待工程缺陷责任期满后返还（无息）</w:t>
      </w:r>
      <w:r>
        <w:rPr>
          <w:rFonts w:hint="eastAsia" w:ascii="宋体" w:hAnsi="宋体" w:eastAsia="宋体" w:cs="宋体"/>
          <w:color w:val="auto"/>
          <w:sz w:val="21"/>
          <w:szCs w:val="21"/>
          <w:highlight w:val="none"/>
          <w:u w:val="none"/>
          <w:lang w:val="en-US" w:eastAsia="zh-CN"/>
        </w:rPr>
        <w:t>。</w:t>
      </w:r>
    </w:p>
    <w:p>
      <w:pPr>
        <w:pStyle w:val="11"/>
        <w:spacing w:line="440" w:lineRule="exact"/>
        <w:ind w:firstLine="443" w:firstLineChars="21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六、材料设备供应</w:t>
      </w:r>
      <w:bookmarkEnd w:id="167"/>
      <w:bookmarkEnd w:id="168"/>
    </w:p>
    <w:p>
      <w:pPr>
        <w:pStyle w:val="11"/>
        <w:spacing w:line="440" w:lineRule="exact"/>
        <w:ind w:firstLine="443" w:firstLineChars="210"/>
        <w:rPr>
          <w:rFonts w:hint="eastAsia" w:ascii="宋体" w:hAnsi="宋体" w:eastAsia="宋体" w:cs="宋体"/>
          <w:b/>
          <w:color w:val="auto"/>
          <w:sz w:val="21"/>
          <w:szCs w:val="21"/>
          <w:highlight w:val="none"/>
        </w:rPr>
      </w:pPr>
      <w:bookmarkStart w:id="169" w:name="_Toc43044963"/>
      <w:bookmarkStart w:id="170" w:name="_Toc118023799"/>
      <w:r>
        <w:rPr>
          <w:rFonts w:hint="eastAsia" w:ascii="宋体" w:hAnsi="宋体" w:eastAsia="宋体" w:cs="宋体"/>
          <w:b/>
          <w:color w:val="auto"/>
          <w:sz w:val="21"/>
          <w:szCs w:val="21"/>
          <w:highlight w:val="none"/>
        </w:rPr>
        <w:t>1、承包人采购材料设备</w:t>
      </w:r>
      <w:bookmarkEnd w:id="169"/>
      <w:bookmarkEnd w:id="170"/>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pPr>
        <w:pStyle w:val="11"/>
        <w:spacing w:line="440" w:lineRule="exact"/>
        <w:ind w:firstLine="443" w:firstLineChars="210"/>
        <w:rPr>
          <w:rFonts w:hint="eastAsia" w:ascii="宋体" w:hAnsi="宋体" w:eastAsia="宋体" w:cs="宋体"/>
          <w:b/>
          <w:color w:val="auto"/>
          <w:sz w:val="21"/>
          <w:szCs w:val="21"/>
          <w:highlight w:val="none"/>
        </w:rPr>
      </w:pPr>
      <w:bookmarkStart w:id="171" w:name="_Toc118023800"/>
      <w:bookmarkStart w:id="172" w:name="_Toc43044964"/>
      <w:r>
        <w:rPr>
          <w:rFonts w:hint="eastAsia" w:ascii="宋体" w:hAnsi="宋体" w:eastAsia="宋体" w:cs="宋体"/>
          <w:b/>
          <w:color w:val="auto"/>
          <w:sz w:val="21"/>
          <w:szCs w:val="21"/>
          <w:highlight w:val="none"/>
        </w:rPr>
        <w:t>七、工程变更</w:t>
      </w:r>
      <w:bookmarkEnd w:id="171"/>
      <w:bookmarkEnd w:id="172"/>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1.工程设计变更</w:t>
      </w:r>
    </w:p>
    <w:p>
      <w:pPr>
        <w:pStyle w:val="11"/>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1.1.1设计变更和工程签证，按政策规定办理。属不可抗力（自然灾害、突发事件等）造成变更的，按特事特办原则予以办理。</w:t>
      </w:r>
    </w:p>
    <w:p>
      <w:pPr>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 工程设计变更和签证工程发生后10个工作日内，由建设单位将有关变更文件、签证单审批件、工程联系单、预算书等工程资料送财政部门备案，并作为进度款支付、事后抽查和工程结算的主要依据。</w:t>
      </w:r>
    </w:p>
    <w:p>
      <w:pPr>
        <w:pStyle w:val="11"/>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1.1.3 建设单位在实施项目过程中，若发生单价变动，由建设单位、监理单位或财政部门投资评审中心与施工单位共同商定并签字确认。</w:t>
      </w:r>
    </w:p>
    <w:p>
      <w:pPr>
        <w:pStyle w:val="11"/>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1.1.4建设单位在工程设计变更和工程签证过程中必须认真负责、实事求是，不得弄虚作假，凡因上述问题所造成的损失，相应等额扣除建设单位项目管理费或其他银行贷款。</w:t>
      </w:r>
    </w:p>
    <w:p>
      <w:pPr>
        <w:pStyle w:val="11"/>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1.1.5 承包人应当在合同规定的调整情况发生后14天内，将调整原因，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pPr>
        <w:pStyle w:val="11"/>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1.1.6 当合同规定的调整合同价款的调整情况发生后，承包人未在规定时间内通知发包人，或者未在规定时间内提出调整报告，发包人可以根据有关资料，决定是否调整和调整的金额，并书面通知承包人。</w:t>
      </w:r>
    </w:p>
    <w:p>
      <w:pPr>
        <w:pStyle w:val="11"/>
        <w:spacing w:line="440" w:lineRule="exact"/>
        <w:ind w:firstLine="443" w:firstLineChars="210"/>
        <w:rPr>
          <w:rFonts w:hint="eastAsia" w:ascii="宋体" w:hAnsi="宋体" w:eastAsia="宋体" w:cs="宋体"/>
          <w:b/>
          <w:bCs/>
          <w:color w:val="auto"/>
          <w:sz w:val="21"/>
          <w:szCs w:val="21"/>
          <w:highlight w:val="none"/>
        </w:rPr>
      </w:pPr>
      <w:bookmarkStart w:id="173" w:name="_Toc43044965"/>
      <w:bookmarkStart w:id="174" w:name="_Toc118023801"/>
      <w:r>
        <w:rPr>
          <w:rFonts w:hint="eastAsia" w:ascii="宋体" w:hAnsi="宋体" w:eastAsia="宋体" w:cs="宋体"/>
          <w:b/>
          <w:bCs/>
          <w:color w:val="auto"/>
          <w:sz w:val="21"/>
          <w:szCs w:val="21"/>
          <w:highlight w:val="none"/>
        </w:rPr>
        <w:t>八、竣工验收与结算</w:t>
      </w:r>
      <w:bookmarkEnd w:id="173"/>
      <w:bookmarkEnd w:id="174"/>
    </w:p>
    <w:p>
      <w:pPr>
        <w:pStyle w:val="11"/>
        <w:spacing w:line="440" w:lineRule="exact"/>
        <w:ind w:firstLine="441" w:firstLineChars="210"/>
        <w:rPr>
          <w:rFonts w:hint="eastAsia" w:ascii="宋体" w:hAnsi="宋体" w:eastAsia="宋体" w:cs="宋体"/>
          <w:color w:val="auto"/>
          <w:sz w:val="21"/>
          <w:szCs w:val="21"/>
          <w:highlight w:val="none"/>
        </w:rPr>
      </w:pPr>
      <w:bookmarkStart w:id="175" w:name="_Toc43044966"/>
      <w:bookmarkStart w:id="176" w:name="_Toc118023802"/>
      <w:r>
        <w:rPr>
          <w:rFonts w:hint="eastAsia" w:ascii="宋体" w:hAnsi="宋体" w:eastAsia="宋体" w:cs="宋体"/>
          <w:color w:val="auto"/>
          <w:sz w:val="21"/>
          <w:szCs w:val="21"/>
          <w:highlight w:val="none"/>
        </w:rPr>
        <w:t>1、竣工验收</w:t>
      </w:r>
      <w:bookmarkEnd w:id="175"/>
      <w:bookmarkEnd w:id="176"/>
    </w:p>
    <w:p>
      <w:pPr>
        <w:pStyle w:val="11"/>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 承包人提供竣工图的约定：竣工验收正式通过后5天（工程造价在500万元以下含500万元）、10天（工程造价在500万元至1000元之间含1000万元）、15天（工程造价在1000万元以上），提供竣工图的数量分别为2套、4套、6套。</w:t>
      </w:r>
    </w:p>
    <w:p>
      <w:pPr>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1.2 中间交工工程的范围和竣工时间：</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2.竣工结算</w:t>
      </w:r>
    </w:p>
    <w:p>
      <w:pPr>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为降低结算造价编制的差错率，确保送审工程结算造价的真实性和完整性，避免出现不负责任的高估虚报行为，工程开工前与施工单位约定，并在施工合同中明确</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w:t>
      </w:r>
    </w:p>
    <w:p>
      <w:pPr>
        <w:pStyle w:val="11"/>
        <w:spacing w:line="440" w:lineRule="exact"/>
        <w:ind w:firstLine="443" w:firstLineChars="210"/>
        <w:rPr>
          <w:rFonts w:hint="eastAsia" w:ascii="宋体" w:hAnsi="宋体" w:eastAsia="宋体" w:cs="宋体"/>
          <w:b/>
          <w:bCs/>
          <w:color w:val="auto"/>
          <w:sz w:val="21"/>
          <w:szCs w:val="21"/>
          <w:highlight w:val="none"/>
        </w:rPr>
      </w:pPr>
      <w:bookmarkStart w:id="177" w:name="_Toc118023804"/>
      <w:bookmarkStart w:id="178" w:name="_Toc43044967"/>
      <w:r>
        <w:rPr>
          <w:rFonts w:hint="eastAsia" w:ascii="宋体" w:hAnsi="宋体" w:eastAsia="宋体" w:cs="宋体"/>
          <w:b/>
          <w:bCs/>
          <w:color w:val="auto"/>
          <w:sz w:val="21"/>
          <w:szCs w:val="21"/>
          <w:highlight w:val="none"/>
        </w:rPr>
        <w:t>九、违约、索赔和争议</w:t>
      </w:r>
      <w:bookmarkEnd w:id="177"/>
      <w:bookmarkEnd w:id="178"/>
    </w:p>
    <w:p>
      <w:pPr>
        <w:pStyle w:val="11"/>
        <w:spacing w:line="440" w:lineRule="exact"/>
        <w:ind w:firstLine="443" w:firstLineChars="210"/>
        <w:rPr>
          <w:rFonts w:hint="eastAsia" w:ascii="宋体" w:hAnsi="宋体" w:eastAsia="宋体" w:cs="宋体"/>
          <w:b/>
          <w:bCs/>
          <w:color w:val="auto"/>
          <w:sz w:val="21"/>
          <w:szCs w:val="21"/>
          <w:highlight w:val="none"/>
        </w:rPr>
      </w:pPr>
      <w:bookmarkStart w:id="179" w:name="_Toc43044968"/>
      <w:bookmarkStart w:id="180" w:name="_Toc118023805"/>
      <w:r>
        <w:rPr>
          <w:rFonts w:hint="eastAsia" w:ascii="宋体" w:hAnsi="宋体" w:eastAsia="宋体" w:cs="宋体"/>
          <w:b/>
          <w:bCs/>
          <w:color w:val="auto"/>
          <w:sz w:val="21"/>
          <w:szCs w:val="21"/>
          <w:highlight w:val="none"/>
        </w:rPr>
        <w:t>1、违约</w:t>
      </w:r>
      <w:bookmarkEnd w:id="179"/>
      <w:bookmarkEnd w:id="180"/>
    </w:p>
    <w:p>
      <w:pPr>
        <w:pStyle w:val="11"/>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 本合同中关于发包人违约的具体责任如下：</w:t>
      </w:r>
    </w:p>
    <w:p>
      <w:pPr>
        <w:pStyle w:val="11"/>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本合同通用条款第24条约定发包人违约应承担的违约责任：</w:t>
      </w:r>
      <w:r>
        <w:rPr>
          <w:rFonts w:hint="eastAsia" w:ascii="宋体" w:hAnsi="宋体" w:eastAsia="宋体" w:cs="宋体"/>
          <w:bCs/>
          <w:color w:val="auto"/>
          <w:sz w:val="21"/>
          <w:szCs w:val="21"/>
          <w:highlight w:val="none"/>
          <w:u w:val="single"/>
        </w:rPr>
        <w:t xml:space="preserve"> 按通用条款24条规定 </w:t>
      </w:r>
    </w:p>
    <w:p>
      <w:pPr>
        <w:pStyle w:val="11"/>
        <w:spacing w:line="440" w:lineRule="exact"/>
        <w:ind w:firstLine="441" w:firstLineChars="21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本合同通用条款第26.4款约定发包人违约应承担的违约责任：</w:t>
      </w:r>
      <w:r>
        <w:rPr>
          <w:rFonts w:hint="eastAsia" w:ascii="宋体" w:hAnsi="宋体" w:eastAsia="宋体" w:cs="宋体"/>
          <w:bCs/>
          <w:color w:val="auto"/>
          <w:sz w:val="21"/>
          <w:szCs w:val="21"/>
          <w:highlight w:val="none"/>
          <w:u w:val="single"/>
        </w:rPr>
        <w:t xml:space="preserve">  承包人与发包人签订延期付款协议，延期付款协议须经财政部门认可。</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双方约定的发包人其他违约责任：</w:t>
      </w:r>
    </w:p>
    <w:p>
      <w:pPr>
        <w:pStyle w:val="11"/>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1.2 本合同中关于承包人违约的具体责任如下：  </w:t>
      </w:r>
    </w:p>
    <w:p>
      <w:pPr>
        <w:snapToGrid w:val="0"/>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1.2.1 本合同通用条款第14.2款约定承包人违约应承担的违约责任：承包人向发包人支付每延误一天，按合同价款万分之四的违约赔偿费，其限额为中标价的5％。延误天数按本专用条款第13.3条计算。</w:t>
      </w:r>
    </w:p>
    <w:p>
      <w:pPr>
        <w:snapToGrid w:val="0"/>
        <w:spacing w:line="48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1.2.2 承包人未按本合同通用条款第15.1条内容完成：承包人无条件返工处理，修复至工程质量要求并承担相关费用，并在发包人规定的时间内完成返工，否则，发包人有权扣罚该分项工程10％的工程款作为处罚。</w:t>
      </w:r>
    </w:p>
    <w:p>
      <w:pPr>
        <w:snapToGrid w:val="0"/>
        <w:spacing w:line="48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双方约定的承包人其他违约责任：</w:t>
      </w:r>
    </w:p>
    <w:p>
      <w:pPr>
        <w:snapToGrid w:val="0"/>
        <w:spacing w:line="48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1.2.3 承包人如违反了以下情况之一者，发包人有权解除合同，并没收其全部履约保证金。</w:t>
      </w:r>
    </w:p>
    <w:p>
      <w:pPr>
        <w:numPr>
          <w:ilvl w:val="0"/>
          <w:numId w:val="5"/>
        </w:numPr>
        <w:tabs>
          <w:tab w:val="left" w:pos="246"/>
          <w:tab w:val="clear" w:pos="1350"/>
        </w:tabs>
        <w:adjustRightInd w:val="0"/>
        <w:snapToGrid w:val="0"/>
        <w:spacing w:line="480" w:lineRule="exact"/>
        <w:ind w:left="0" w:firstLine="441" w:firstLineChars="21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承包人无正当理由不按开工通知的要求及时进点组织施工和不按签订协议书时商订的进度计划有效地开展施工准备，造成工期延误。</w:t>
      </w:r>
    </w:p>
    <w:p>
      <w:pPr>
        <w:numPr>
          <w:ilvl w:val="0"/>
          <w:numId w:val="5"/>
        </w:numPr>
        <w:tabs>
          <w:tab w:val="left" w:pos="246"/>
          <w:tab w:val="clear" w:pos="1350"/>
        </w:tabs>
        <w:adjustRightInd w:val="0"/>
        <w:snapToGrid w:val="0"/>
        <w:spacing w:line="480" w:lineRule="exact"/>
        <w:ind w:left="0" w:firstLine="441" w:firstLineChars="21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承包人违反第38.1条规定私自将合同或合同的任何部分或任何权利转让给其他人，或私自将工程或工程的一部分分包出去。</w:t>
      </w:r>
    </w:p>
    <w:p>
      <w:pPr>
        <w:numPr>
          <w:ilvl w:val="0"/>
          <w:numId w:val="5"/>
        </w:numPr>
        <w:tabs>
          <w:tab w:val="left" w:pos="246"/>
          <w:tab w:val="clear" w:pos="1350"/>
        </w:tabs>
        <w:adjustRightInd w:val="0"/>
        <w:snapToGrid w:val="0"/>
        <w:spacing w:line="480" w:lineRule="exact"/>
        <w:ind w:left="0" w:firstLine="441" w:firstLineChars="21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未经监理人批准，承包人私自将已按响应文件承诺进入工地的工程设备、施工设备、临时工程或材料撤离工地。</w:t>
      </w:r>
    </w:p>
    <w:p>
      <w:pPr>
        <w:numPr>
          <w:ilvl w:val="0"/>
          <w:numId w:val="5"/>
        </w:numPr>
        <w:tabs>
          <w:tab w:val="left" w:pos="246"/>
          <w:tab w:val="clear" w:pos="1350"/>
        </w:tabs>
        <w:adjustRightInd w:val="0"/>
        <w:snapToGrid w:val="0"/>
        <w:spacing w:line="480" w:lineRule="exact"/>
        <w:ind w:left="0" w:firstLine="441" w:firstLineChars="21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由于承包人原因拒绝按合同进度计划及时完成合同规定的工程，而又未采取有效措施赶上进度，造成工期延误。</w:t>
      </w:r>
    </w:p>
    <w:p>
      <w:pPr>
        <w:numPr>
          <w:ilvl w:val="0"/>
          <w:numId w:val="5"/>
        </w:numPr>
        <w:tabs>
          <w:tab w:val="left" w:pos="246"/>
          <w:tab w:val="clear" w:pos="1350"/>
        </w:tabs>
        <w:adjustRightInd w:val="0"/>
        <w:snapToGrid w:val="0"/>
        <w:spacing w:line="480" w:lineRule="exact"/>
        <w:ind w:left="0" w:firstLine="441" w:firstLineChars="21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承包人否认合同有效或拒绝履行合同规定的承包人义务，或由于法律、财务等原因导致承包人无法继续履行或实质上已停止履行合同的义务。</w:t>
      </w:r>
    </w:p>
    <w:p>
      <w:pPr>
        <w:tabs>
          <w:tab w:val="left" w:pos="246"/>
        </w:tabs>
        <w:snapToGrid w:val="0"/>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1.2.4 承包人在保修期内拒绝按通用条款第34.1条的规定进行修复，或经监理人检验认为修复质量不合格而承包人拒绝再进行修补的，发包人将扣除承包人全部质量保修金。</w:t>
      </w:r>
    </w:p>
    <w:p>
      <w:pPr>
        <w:tabs>
          <w:tab w:val="left" w:pos="246"/>
        </w:tabs>
        <w:snapToGrid w:val="0"/>
        <w:spacing w:line="440" w:lineRule="exact"/>
        <w:ind w:firstLine="441" w:firstLineChars="21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1.2.5 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人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pPr>
        <w:numPr>
          <w:ilvl w:val="0"/>
          <w:numId w:val="6"/>
        </w:numPr>
        <w:tabs>
          <w:tab w:val="left" w:pos="246"/>
          <w:tab w:val="clear" w:pos="1350"/>
        </w:tabs>
        <w:adjustRightInd w:val="0"/>
        <w:snapToGrid w:val="0"/>
        <w:spacing w:line="440" w:lineRule="exact"/>
        <w:ind w:left="0" w:firstLine="441" w:firstLineChars="21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必须按照响应文件的承诺派出符合和满足工程建设要求的项目管理人员。承包人未经发包人批准擅自调换工程管理人员或因管理人员不称职，发包人要求调换而未及时调换的，视为承包人违约，必须向发包人交纳处罚金，处罚标准为：项目经理1.5万元/人·次（人民币）；总工程师1万元/人·次；专业工程师则0.5万元/人·次。</w:t>
      </w:r>
    </w:p>
    <w:p>
      <w:pPr>
        <w:numPr>
          <w:ilvl w:val="0"/>
          <w:numId w:val="6"/>
        </w:numPr>
        <w:tabs>
          <w:tab w:val="left" w:pos="246"/>
          <w:tab w:val="clear" w:pos="1350"/>
        </w:tabs>
        <w:adjustRightInd w:val="0"/>
        <w:snapToGrid w:val="0"/>
        <w:spacing w:line="440" w:lineRule="exact"/>
        <w:ind w:left="0" w:firstLine="441" w:firstLineChars="21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包人有权检查承包人的人员到岗情况，如发现未经发包人同意或正当理由，项目经理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pPr>
        <w:numPr>
          <w:ilvl w:val="0"/>
          <w:numId w:val="6"/>
        </w:numPr>
        <w:tabs>
          <w:tab w:val="left" w:pos="246"/>
          <w:tab w:val="clear" w:pos="1350"/>
        </w:tabs>
        <w:adjustRightInd w:val="0"/>
        <w:snapToGrid w:val="0"/>
        <w:spacing w:line="440" w:lineRule="exact"/>
        <w:ind w:left="0" w:firstLine="441" w:firstLineChars="21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未经监理工程师审查批准，施工期内自行调走主要施工机械，经发现不及时调回的，视为承包人违约，发包人有权处违约金为履约保证金金额的10-50％（视情节严重而定）。</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由于承包人不平衡报价，拒绝完成工程量清单中部分施工内容的并造成发包人损失的，发包人有权安排其他施工单位进行施工，所发生的全部费用从承包人履约保证金中扣除，如履约保证金不足以扣付时，从承包人的工程款中扣出，承包人不得有任何异议。</w:t>
      </w:r>
    </w:p>
    <w:p>
      <w:pPr>
        <w:pStyle w:val="11"/>
        <w:tabs>
          <w:tab w:val="left" w:pos="246"/>
        </w:tabs>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1.2.6 承包人有违反其他规定的，按规定给予处罚。</w:t>
      </w:r>
    </w:p>
    <w:p>
      <w:pPr>
        <w:pStyle w:val="11"/>
        <w:spacing w:line="440" w:lineRule="exact"/>
        <w:ind w:firstLine="443" w:firstLineChars="210"/>
        <w:rPr>
          <w:rFonts w:hint="eastAsia" w:ascii="宋体" w:hAnsi="宋体" w:eastAsia="宋体" w:cs="宋体"/>
          <w:b/>
          <w:color w:val="auto"/>
          <w:sz w:val="21"/>
          <w:szCs w:val="21"/>
          <w:highlight w:val="none"/>
        </w:rPr>
      </w:pPr>
      <w:bookmarkStart w:id="181" w:name="_Toc118023806"/>
      <w:bookmarkStart w:id="182" w:name="_Toc43044969"/>
      <w:r>
        <w:rPr>
          <w:rFonts w:hint="eastAsia" w:ascii="宋体" w:hAnsi="宋体" w:eastAsia="宋体" w:cs="宋体"/>
          <w:b/>
          <w:color w:val="auto"/>
          <w:sz w:val="21"/>
          <w:szCs w:val="21"/>
          <w:highlight w:val="none"/>
        </w:rPr>
        <w:t>2、争议</w:t>
      </w:r>
      <w:bookmarkEnd w:id="181"/>
      <w:bookmarkEnd w:id="182"/>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 双方约定，在履行合同过程中产生争议时：</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(1)请项目管辖</w:t>
      </w:r>
      <w:r>
        <w:rPr>
          <w:rFonts w:hint="eastAsia" w:ascii="宋体" w:hAnsi="宋体" w:eastAsia="宋体" w:cs="宋体"/>
          <w:color w:val="auto"/>
          <w:sz w:val="21"/>
          <w:szCs w:val="21"/>
          <w:highlight w:val="none"/>
          <w:u w:val="single"/>
        </w:rPr>
        <w:t xml:space="preserve">建设行政主管有关部门 </w:t>
      </w:r>
      <w:r>
        <w:rPr>
          <w:rFonts w:hint="eastAsia" w:ascii="宋体" w:hAnsi="宋体" w:eastAsia="宋体" w:cs="宋体"/>
          <w:color w:val="auto"/>
          <w:sz w:val="21"/>
          <w:szCs w:val="21"/>
          <w:highlight w:val="none"/>
        </w:rPr>
        <w:t>调解。</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项目所在地</w:t>
      </w:r>
      <w:r>
        <w:rPr>
          <w:rFonts w:hint="eastAsia" w:ascii="宋体" w:hAnsi="宋体" w:eastAsia="宋体" w:cs="宋体"/>
          <w:color w:val="auto"/>
          <w:sz w:val="21"/>
          <w:szCs w:val="21"/>
          <w:highlight w:val="none"/>
          <w:u w:val="single"/>
        </w:rPr>
        <w:t xml:space="preserve">仲裁委员会 </w:t>
      </w:r>
      <w:r>
        <w:rPr>
          <w:rFonts w:hint="eastAsia" w:ascii="宋体" w:hAnsi="宋体" w:eastAsia="宋体" w:cs="宋体"/>
          <w:color w:val="auto"/>
          <w:sz w:val="21"/>
          <w:szCs w:val="21"/>
          <w:highlight w:val="none"/>
        </w:rPr>
        <w:t>仲裁。</w:t>
      </w:r>
    </w:p>
    <w:p>
      <w:pPr>
        <w:pStyle w:val="11"/>
        <w:spacing w:line="440" w:lineRule="exact"/>
        <w:ind w:firstLine="443" w:firstLineChars="210"/>
        <w:rPr>
          <w:rFonts w:hint="eastAsia" w:ascii="宋体" w:hAnsi="宋体" w:eastAsia="宋体" w:cs="宋体"/>
          <w:b/>
          <w:color w:val="auto"/>
          <w:sz w:val="21"/>
          <w:szCs w:val="21"/>
          <w:highlight w:val="none"/>
        </w:rPr>
      </w:pPr>
      <w:bookmarkStart w:id="183" w:name="_Toc43044970"/>
      <w:bookmarkStart w:id="184" w:name="_Toc118023807"/>
      <w:r>
        <w:rPr>
          <w:rFonts w:hint="eastAsia" w:ascii="宋体" w:hAnsi="宋体" w:eastAsia="宋体" w:cs="宋体"/>
          <w:b/>
          <w:color w:val="auto"/>
          <w:sz w:val="21"/>
          <w:szCs w:val="21"/>
          <w:highlight w:val="none"/>
        </w:rPr>
        <w:t>十、其他</w:t>
      </w:r>
      <w:bookmarkEnd w:id="183"/>
      <w:bookmarkEnd w:id="184"/>
    </w:p>
    <w:p>
      <w:pPr>
        <w:pStyle w:val="11"/>
        <w:spacing w:line="440" w:lineRule="exact"/>
        <w:ind w:firstLine="443" w:firstLineChars="210"/>
        <w:rPr>
          <w:rFonts w:hint="eastAsia" w:ascii="宋体" w:hAnsi="宋体" w:eastAsia="宋体" w:cs="宋体"/>
          <w:b/>
          <w:color w:val="auto"/>
          <w:sz w:val="21"/>
          <w:szCs w:val="21"/>
          <w:highlight w:val="none"/>
        </w:rPr>
      </w:pPr>
      <w:bookmarkStart w:id="185" w:name="_Toc43044971"/>
      <w:bookmarkStart w:id="186" w:name="_Toc118023808"/>
      <w:r>
        <w:rPr>
          <w:rFonts w:hint="eastAsia" w:ascii="宋体" w:hAnsi="宋体" w:eastAsia="宋体" w:cs="宋体"/>
          <w:b/>
          <w:color w:val="auto"/>
          <w:sz w:val="21"/>
          <w:szCs w:val="21"/>
          <w:highlight w:val="none"/>
        </w:rPr>
        <w:t>1、工程分包</w:t>
      </w:r>
      <w:bookmarkEnd w:id="185"/>
      <w:bookmarkEnd w:id="186"/>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38.1本工程的各分标不允许分包。</w:t>
      </w:r>
    </w:p>
    <w:p>
      <w:pPr>
        <w:pStyle w:val="11"/>
        <w:spacing w:line="440" w:lineRule="exact"/>
        <w:ind w:firstLine="443" w:firstLineChars="210"/>
        <w:rPr>
          <w:rFonts w:hint="eastAsia" w:ascii="宋体" w:hAnsi="宋体" w:eastAsia="宋体" w:cs="宋体"/>
          <w:b/>
          <w:color w:val="auto"/>
          <w:sz w:val="21"/>
          <w:szCs w:val="21"/>
          <w:highlight w:val="none"/>
        </w:rPr>
      </w:pPr>
      <w:bookmarkStart w:id="187" w:name="_Toc118023809"/>
      <w:bookmarkStart w:id="188" w:name="_Toc43044972"/>
      <w:r>
        <w:rPr>
          <w:rFonts w:hint="eastAsia" w:ascii="宋体" w:hAnsi="宋体" w:eastAsia="宋体" w:cs="宋体"/>
          <w:b/>
          <w:color w:val="auto"/>
          <w:sz w:val="21"/>
          <w:szCs w:val="21"/>
          <w:highlight w:val="none"/>
        </w:rPr>
        <w:t>2、不可抗力</w:t>
      </w:r>
      <w:bookmarkEnd w:id="187"/>
      <w:bookmarkEnd w:id="188"/>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 双方关于不可抗力的约定:以有关部门发布的文告或文件为准。</w:t>
      </w:r>
    </w:p>
    <w:p>
      <w:pPr>
        <w:pStyle w:val="11"/>
        <w:spacing w:line="440" w:lineRule="exact"/>
        <w:ind w:firstLine="443" w:firstLineChars="210"/>
        <w:rPr>
          <w:rFonts w:hint="eastAsia" w:ascii="宋体" w:hAnsi="宋体" w:eastAsia="宋体" w:cs="宋体"/>
          <w:b/>
          <w:color w:val="auto"/>
          <w:sz w:val="21"/>
          <w:szCs w:val="21"/>
          <w:highlight w:val="none"/>
        </w:rPr>
      </w:pPr>
      <w:bookmarkStart w:id="189" w:name="_Toc43044973"/>
      <w:bookmarkStart w:id="190" w:name="_Toc118023810"/>
      <w:r>
        <w:rPr>
          <w:rFonts w:hint="eastAsia" w:ascii="宋体" w:hAnsi="宋体" w:eastAsia="宋体" w:cs="宋体"/>
          <w:b/>
          <w:color w:val="auto"/>
          <w:sz w:val="21"/>
          <w:szCs w:val="21"/>
          <w:highlight w:val="none"/>
        </w:rPr>
        <w:t>3、保险</w:t>
      </w:r>
      <w:bookmarkEnd w:id="189"/>
      <w:bookmarkEnd w:id="190"/>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 本工程双方约定投保内容如下：</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(1)发包人投保内容:自行负责办理。</w:t>
      </w:r>
    </w:p>
    <w:p>
      <w:pPr>
        <w:pStyle w:val="11"/>
        <w:spacing w:line="440" w:lineRule="exact"/>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发包人委托承包人办理的保险事项：</w:t>
      </w:r>
      <w:r>
        <w:rPr>
          <w:rFonts w:hint="eastAsia" w:ascii="宋体" w:hAnsi="宋体" w:eastAsia="宋体" w:cs="宋体"/>
          <w:color w:val="auto"/>
          <w:sz w:val="21"/>
          <w:szCs w:val="21"/>
          <w:highlight w:val="none"/>
          <w:u w:val="single"/>
        </w:rPr>
        <w:t xml:space="preserve"> 无。</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(2)承包人投保内容：</w:t>
      </w:r>
    </w:p>
    <w:p>
      <w:pPr>
        <w:pStyle w:val="11"/>
        <w:spacing w:line="440" w:lineRule="exact"/>
        <w:ind w:firstLine="443" w:firstLineChars="21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承包人必须为施工现场从事施工的所有作业人员和管理人员办理意外伤害保险，并支付保险费。</w:t>
      </w:r>
    </w:p>
    <w:p>
      <w:pPr>
        <w:pStyle w:val="11"/>
        <w:spacing w:line="440" w:lineRule="exact"/>
        <w:ind w:firstLine="443" w:firstLineChars="210"/>
        <w:rPr>
          <w:rFonts w:hint="eastAsia" w:ascii="宋体" w:hAnsi="宋体" w:eastAsia="宋体" w:cs="宋体"/>
          <w:b/>
          <w:color w:val="auto"/>
          <w:sz w:val="21"/>
          <w:szCs w:val="21"/>
          <w:highlight w:val="none"/>
        </w:rPr>
      </w:pPr>
      <w:bookmarkStart w:id="191" w:name="_Toc43044974"/>
      <w:bookmarkStart w:id="192" w:name="_Toc118023811"/>
      <w:r>
        <w:rPr>
          <w:rFonts w:hint="eastAsia" w:ascii="宋体" w:hAnsi="宋体" w:eastAsia="宋体" w:cs="宋体"/>
          <w:b/>
          <w:color w:val="auto"/>
          <w:sz w:val="21"/>
          <w:szCs w:val="21"/>
          <w:highlight w:val="none"/>
        </w:rPr>
        <w:t>4、担保</w:t>
      </w:r>
      <w:bookmarkEnd w:id="191"/>
      <w:bookmarkEnd w:id="192"/>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本工程双方约定担保事项如下：</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双方约定的其他担保事项：</w:t>
      </w:r>
    </w:p>
    <w:p>
      <w:pPr>
        <w:pStyle w:val="11"/>
        <w:tabs>
          <w:tab w:val="left" w:pos="-16"/>
          <w:tab w:val="left" w:pos="750"/>
          <w:tab w:val="left" w:pos="780"/>
          <w:tab w:val="left" w:pos="826"/>
          <w:tab w:val="left" w:pos="870"/>
          <w:tab w:val="left" w:pos="976"/>
        </w:tabs>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的其他担保事项：农民工工资保证金的退还：承包人在中标后，按照凭祥市住房城乡建设行政主管部门规定将农民工工资保障金存入帐户。工程竣工验收结算经审定后，按照规定程序，将农民工工资保障金没有使用或金额退还给承包人。</w:t>
      </w:r>
    </w:p>
    <w:p>
      <w:pPr>
        <w:pStyle w:val="11"/>
        <w:spacing w:line="440" w:lineRule="exact"/>
        <w:ind w:firstLine="443" w:firstLineChars="210"/>
        <w:rPr>
          <w:rFonts w:hint="eastAsia" w:ascii="宋体" w:hAnsi="宋体" w:eastAsia="宋体" w:cs="宋体"/>
          <w:b/>
          <w:color w:val="auto"/>
          <w:sz w:val="21"/>
          <w:szCs w:val="21"/>
          <w:highlight w:val="none"/>
        </w:rPr>
      </w:pPr>
      <w:bookmarkStart w:id="193" w:name="_Toc118023812"/>
      <w:bookmarkStart w:id="194" w:name="_Toc43044975"/>
      <w:r>
        <w:rPr>
          <w:rFonts w:hint="eastAsia" w:ascii="宋体" w:hAnsi="宋体" w:eastAsia="宋体" w:cs="宋体"/>
          <w:b/>
          <w:color w:val="auto"/>
          <w:sz w:val="21"/>
          <w:szCs w:val="21"/>
          <w:highlight w:val="none"/>
        </w:rPr>
        <w:t>5、合同份数</w:t>
      </w:r>
      <w:bookmarkEnd w:id="193"/>
      <w:bookmarkEnd w:id="194"/>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双方约定合同副本份数：</w:t>
      </w:r>
      <w:r>
        <w:rPr>
          <w:rFonts w:hint="eastAsia" w:cs="宋体"/>
          <w:b/>
          <w:bCs/>
          <w:color w:val="auto"/>
          <w:sz w:val="21"/>
          <w:szCs w:val="21"/>
          <w:highlight w:val="none"/>
          <w:u w:val="single"/>
          <w:lang w:val="en-US" w:eastAsia="zh-CN"/>
        </w:rPr>
        <w:t>贰</w:t>
      </w:r>
      <w:r>
        <w:rPr>
          <w:rFonts w:hint="eastAsia" w:ascii="宋体" w:hAnsi="宋体" w:eastAsia="宋体" w:cs="宋体"/>
          <w:b/>
          <w:bCs/>
          <w:color w:val="auto"/>
          <w:sz w:val="21"/>
          <w:szCs w:val="21"/>
          <w:highlight w:val="none"/>
          <w:u w:val="single"/>
        </w:rPr>
        <w:t>份正本、</w:t>
      </w:r>
      <w:r>
        <w:rPr>
          <w:rFonts w:hint="eastAsia" w:cs="宋体"/>
          <w:b/>
          <w:bCs/>
          <w:color w:val="auto"/>
          <w:sz w:val="21"/>
          <w:szCs w:val="21"/>
          <w:highlight w:val="none"/>
          <w:u w:val="single"/>
          <w:lang w:val="en-US" w:eastAsia="zh-CN"/>
        </w:rPr>
        <w:t>柒</w:t>
      </w:r>
      <w:r>
        <w:rPr>
          <w:rFonts w:hint="eastAsia" w:ascii="宋体" w:hAnsi="宋体" w:eastAsia="宋体" w:cs="宋体"/>
          <w:b/>
          <w:bCs/>
          <w:color w:val="auto"/>
          <w:sz w:val="21"/>
          <w:szCs w:val="21"/>
          <w:highlight w:val="none"/>
          <w:u w:val="single"/>
        </w:rPr>
        <w:t>份副本</w:t>
      </w:r>
      <w:r>
        <w:rPr>
          <w:rFonts w:hint="eastAsia" w:ascii="宋体" w:hAnsi="宋体" w:eastAsia="宋体" w:cs="宋体"/>
          <w:color w:val="auto"/>
          <w:sz w:val="21"/>
          <w:szCs w:val="21"/>
          <w:highlight w:val="none"/>
          <w:u w:val="single"/>
        </w:rPr>
        <w:t>。</w:t>
      </w:r>
    </w:p>
    <w:p>
      <w:pPr>
        <w:pStyle w:val="11"/>
        <w:spacing w:line="440" w:lineRule="exact"/>
        <w:ind w:firstLine="443" w:firstLineChars="210"/>
        <w:rPr>
          <w:rFonts w:hint="eastAsia" w:ascii="宋体" w:hAnsi="宋体" w:eastAsia="宋体" w:cs="宋体"/>
          <w:b/>
          <w:color w:val="auto"/>
          <w:sz w:val="21"/>
          <w:szCs w:val="21"/>
          <w:highlight w:val="none"/>
        </w:rPr>
      </w:pPr>
      <w:bookmarkStart w:id="195" w:name="_Toc68547804"/>
      <w:bookmarkStart w:id="196" w:name="_Toc69654573"/>
      <w:bookmarkStart w:id="197" w:name="_Toc68452840"/>
      <w:r>
        <w:rPr>
          <w:rFonts w:hint="eastAsia" w:ascii="宋体" w:hAnsi="宋体" w:eastAsia="宋体" w:cs="宋体"/>
          <w:b/>
          <w:color w:val="auto"/>
          <w:sz w:val="21"/>
          <w:szCs w:val="21"/>
          <w:highlight w:val="none"/>
        </w:rPr>
        <w:t>6. 补充条款</w:t>
      </w:r>
      <w:bookmarkEnd w:id="195"/>
      <w:bookmarkEnd w:id="196"/>
      <w:bookmarkEnd w:id="197"/>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承包人有以下情况之一者，将视为违约，发包人有权采取以下措施处理，并视情节轻重处予违约处罚金。</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1.1.1合同签订之日起15日内，承包人无法按合同规定及响应文件的承诺进场经监理工程师认可的全部人员和机械时，视为违约，发包人有权解除合同，没收其全部履约保证金，发包人有权另行发包工程。</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1.1.2主要机械的数量、型号，应与合同相符，若监理工程师认为合同规定的进场机械不能满足施工进度要求，有权指令承包人增加机械投入，承包人不得拒绝。</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所有以上违约处罚金金额均在承包人的履约保证金（包括银行利息）及计量支付款内扣除，监理工程师预先下发统一格式含有违约处罚意向的指令，如承包人不及时采取措施纠正，则在指令下达后十五天下发违约处罚通知书（不再陈述违约处罚理由）。承包人履约保证金被扣罚后，发包人从承包人最近一次计量支付时扣相应金额补足履约保证金。</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承包人在合同期内，完成合同规定的全部工程，且质量合格，竣工验收后十五天内可申请返还全部或部分违约处罚金（不包括利息）。</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工程款的使用</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本工程资金属</w:t>
      </w:r>
      <w:r>
        <w:rPr>
          <w:rFonts w:hint="eastAsia" w:ascii="宋体" w:hAnsi="宋体" w:eastAsia="宋体" w:cs="宋体"/>
          <w:color w:val="auto"/>
          <w:sz w:val="21"/>
          <w:szCs w:val="21"/>
          <w:highlight w:val="none"/>
          <w:lang w:eastAsia="zh-CN"/>
        </w:rPr>
        <w:t>上级资金</w:t>
      </w:r>
      <w:r>
        <w:rPr>
          <w:rFonts w:hint="eastAsia" w:ascii="宋体" w:hAnsi="宋体" w:eastAsia="宋体" w:cs="宋体"/>
          <w:color w:val="auto"/>
          <w:sz w:val="21"/>
          <w:szCs w:val="21"/>
          <w:highlight w:val="none"/>
        </w:rPr>
        <w:t>，承包人在施工期间必须保证资金的专项使用，不得挪作他用，并自觉接受业主和银行的监督，否则将视为承包人违约。</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承包人（项目部）帐户必须在业主指定的银行开户，否则业主将不支付任</w:t>
      </w:r>
      <w:r>
        <w:rPr>
          <w:rFonts w:hint="eastAsia" w:ascii="宋体" w:hAnsi="宋体" w:eastAsia="宋体" w:cs="宋体"/>
          <w:color w:val="auto"/>
          <w:sz w:val="21"/>
          <w:szCs w:val="21"/>
          <w:highlight w:val="none"/>
          <w:lang w:eastAsia="zh-CN"/>
        </w:rPr>
        <w:t>黄工</w:t>
      </w:r>
      <w:r>
        <w:rPr>
          <w:rFonts w:hint="eastAsia" w:ascii="宋体" w:hAnsi="宋体" w:eastAsia="宋体" w:cs="宋体"/>
          <w:color w:val="auto"/>
          <w:sz w:val="21"/>
          <w:szCs w:val="21"/>
          <w:highlight w:val="none"/>
        </w:rPr>
        <w:t>程款。</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1.2.3承包人对外支付其他工程款，必须按以下规定报批，违者将视情节轻重，给予罚（等额）款、没收履约保证金、终止合同等。</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1.2.4承包人购买用于本工程的各种材料，施工机械设备、配件等，凡是每次支付的货款金额在贰万元以上，拾元以下者，须凭购货发票或购（订）货合同、协议。</w:t>
      </w:r>
    </w:p>
    <w:p>
      <w:pPr>
        <w:pStyle w:val="11"/>
        <w:spacing w:line="44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1.2.5对外支付额≥10万元人民币的，必须报经业主批准，承包人的开户银行才给予受理。</w:t>
      </w:r>
    </w:p>
    <w:p>
      <w:pPr>
        <w:spacing w:line="440" w:lineRule="exact"/>
        <w:ind w:firstLine="441" w:firstLineChars="21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1.3凡进入本工程工作的妇女应持有计生证，否则不准安排工作，禁止使用童工。</w:t>
      </w:r>
    </w:p>
    <w:p>
      <w:pPr>
        <w:spacing w:line="440" w:lineRule="exact"/>
        <w:ind w:firstLine="420" w:firstLineChars="200"/>
        <w:jc w:val="left"/>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1.4 本</w:t>
      </w:r>
      <w:r>
        <w:rPr>
          <w:rFonts w:hint="eastAsia" w:ascii="宋体" w:hAnsi="宋体" w:eastAsia="宋体" w:cs="宋体"/>
          <w:color w:val="auto"/>
          <w:spacing w:val="-4"/>
          <w:sz w:val="21"/>
          <w:szCs w:val="21"/>
          <w:highlight w:val="none"/>
        </w:rPr>
        <w:t>工程合同价款已包含安全防护、文明施工措施费元。使用要求：专款专用，具体按桂建质安[2</w:t>
      </w:r>
      <w:r>
        <w:rPr>
          <w:rFonts w:hint="eastAsia" w:ascii="宋体" w:hAnsi="宋体" w:eastAsia="宋体" w:cs="宋体"/>
          <w:color w:val="auto"/>
          <w:spacing w:val="-4"/>
          <w:sz w:val="21"/>
          <w:szCs w:val="21"/>
          <w:highlight w:val="none"/>
          <w:lang w:eastAsia="zh-CN"/>
        </w:rPr>
        <w:t>012</w:t>
      </w:r>
      <w:r>
        <w:rPr>
          <w:rFonts w:hint="eastAsia" w:ascii="宋体" w:hAnsi="宋体" w:eastAsia="宋体" w:cs="宋体"/>
          <w:color w:val="auto"/>
          <w:spacing w:val="-4"/>
          <w:sz w:val="21"/>
          <w:szCs w:val="21"/>
          <w:highlight w:val="none"/>
        </w:rPr>
        <w:t>]22号文《广西壮族自治区建筑工程安全防护、文明施工措施费及使用管理细则》要求执行。</w:t>
      </w:r>
    </w:p>
    <w:p>
      <w:pPr>
        <w:autoSpaceDE w:val="0"/>
        <w:autoSpaceDN w:val="0"/>
        <w:adjustRightInd w:val="0"/>
        <w:spacing w:line="42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.农民工工资支付</w:t>
      </w:r>
    </w:p>
    <w:p>
      <w:pPr>
        <w:spacing w:line="440" w:lineRule="exact"/>
        <w:ind w:firstLine="404" w:firstLineChars="200"/>
        <w:jc w:val="left"/>
        <w:rPr>
          <w:rFonts w:hint="eastAsia" w:ascii="宋体" w:hAnsi="宋体" w:eastAsia="宋体" w:cs="宋体"/>
          <w:color w:val="auto"/>
          <w:spacing w:val="-4"/>
          <w:sz w:val="21"/>
          <w:szCs w:val="21"/>
          <w:highlight w:val="none"/>
          <w:lang w:val="zh-CN"/>
        </w:rPr>
      </w:pPr>
      <w:r>
        <w:rPr>
          <w:rFonts w:hint="eastAsia" w:ascii="宋体" w:hAnsi="宋体" w:eastAsia="宋体" w:cs="宋体"/>
          <w:color w:val="auto"/>
          <w:spacing w:val="-4"/>
          <w:sz w:val="21"/>
          <w:szCs w:val="21"/>
          <w:highlight w:val="none"/>
          <w:lang w:val="zh-CN"/>
        </w:rPr>
        <w:t>承包人须遵守《关于转发有关工资管理政策的通知（桂国资分配字〔2017〕1号）》、《自治区全面治理拖欠农民工资问题的实施意见》（桂政办发【2016】113号）、《关于印发广西壮族自治区工程建设领域工人工资支付专用账户管理办法的通知》（桂薪联发〔2016〕1号）中规定，承包人须在商业银行设立工人工资支付专用账户支付农民工工资，工人工资专用账户内资金除发放工资外，不得用于其他用途。</w:t>
      </w:r>
    </w:p>
    <w:p>
      <w:pPr>
        <w:autoSpaceDE w:val="0"/>
        <w:autoSpaceDN w:val="0"/>
        <w:adjustRightInd w:val="0"/>
        <w:spacing w:line="42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.1发包人有权监督农民工工资支付情况，如果承包人未能及时支付农民工工资的，发包人有权用进度款优先支付农民工工资。</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发包人按本合同的约定按时足额支付工程款，承包人未能按照合同支付材料款或农民工工资造成材料商或农民工到招标单位催讨款项的，经核实，承包人每次向发包人赔偿壹万元。赔偿金直接从工程款中扣除。</w:t>
      </w:r>
    </w:p>
    <w:p>
      <w:pPr>
        <w:pStyle w:val="23"/>
        <w:rPr>
          <w:rFonts w:hint="eastAsia" w:ascii="宋体" w:hAnsi="宋体" w:eastAsia="宋体" w:cs="宋体"/>
          <w:color w:val="auto"/>
          <w:sz w:val="21"/>
          <w:szCs w:val="21"/>
          <w:highlight w:val="none"/>
          <w:lang w:val="zh-CN"/>
        </w:rPr>
      </w:pPr>
    </w:p>
    <w:p>
      <w:pPr>
        <w:spacing w:line="360" w:lineRule="auto"/>
        <w:jc w:val="left"/>
        <w:rPr>
          <w:rFonts w:hint="eastAsia" w:ascii="宋体" w:hAnsi="宋体" w:eastAsia="宋体" w:cs="宋体"/>
          <w:b/>
          <w:color w:val="auto"/>
          <w:sz w:val="21"/>
          <w:szCs w:val="21"/>
          <w:highlight w:val="none"/>
        </w:rPr>
      </w:pPr>
      <w:bookmarkStart w:id="198" w:name="_Toc351203652"/>
      <w:r>
        <w:rPr>
          <w:rFonts w:hint="eastAsia" w:ascii="宋体" w:hAnsi="宋体" w:eastAsia="宋体" w:cs="宋体"/>
          <w:b/>
          <w:color w:val="auto"/>
          <w:sz w:val="21"/>
          <w:szCs w:val="21"/>
          <w:highlight w:val="none"/>
        </w:rPr>
        <w:t>附件</w:t>
      </w:r>
      <w:bookmarkEnd w:id="198"/>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附件2：承包人供应材料设备一览表</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pPr>
        <w:pStyle w:val="17"/>
        <w:rPr>
          <w:rFonts w:hint="eastAsia" w:ascii="宋体" w:hAnsi="宋体" w:eastAsia="宋体" w:cs="宋体"/>
          <w:color w:val="auto"/>
          <w:sz w:val="21"/>
          <w:szCs w:val="21"/>
          <w:highlight w:val="none"/>
        </w:rPr>
      </w:pPr>
    </w:p>
    <w:p>
      <w:pPr>
        <w:pStyle w:val="5"/>
        <w:spacing w:line="360" w:lineRule="auto"/>
        <w:rPr>
          <w:rFonts w:hint="eastAsia" w:ascii="宋体" w:hAnsi="宋体" w:eastAsia="宋体" w:cs="宋体"/>
          <w:color w:val="auto"/>
          <w:kern w:val="0"/>
          <w:sz w:val="21"/>
          <w:szCs w:val="21"/>
          <w:highlight w:val="none"/>
        </w:rPr>
      </w:pPr>
      <w:bookmarkStart w:id="199" w:name="_Toc10382"/>
      <w:bookmarkStart w:id="200" w:name="_Toc334524342"/>
      <w:bookmarkStart w:id="201" w:name="_Toc117398020"/>
      <w:bookmarkStart w:id="202" w:name="_Toc333304867"/>
      <w:bookmarkStart w:id="203" w:name="_Toc12815"/>
      <w:bookmarkStart w:id="204" w:name="_Toc243584330"/>
      <w:bookmarkStart w:id="205" w:name="_Toc3496"/>
      <w:bookmarkStart w:id="206" w:name="_Toc333304746"/>
      <w:r>
        <w:rPr>
          <w:rFonts w:hint="eastAsia" w:ascii="宋体" w:hAnsi="宋体" w:eastAsia="宋体" w:cs="宋体"/>
          <w:color w:val="auto"/>
          <w:kern w:val="0"/>
          <w:sz w:val="21"/>
          <w:szCs w:val="21"/>
          <w:highlight w:val="none"/>
        </w:rPr>
        <w:t>附表1：承包人承揽工程项目一览表</w:t>
      </w:r>
      <w:bookmarkEnd w:id="199"/>
      <w:bookmarkEnd w:id="200"/>
      <w:bookmarkEnd w:id="201"/>
      <w:bookmarkEnd w:id="202"/>
      <w:bookmarkEnd w:id="203"/>
      <w:bookmarkEnd w:id="204"/>
      <w:bookmarkEnd w:id="205"/>
      <w:bookmarkEnd w:id="206"/>
    </w:p>
    <w:tbl>
      <w:tblPr>
        <w:tblStyle w:val="18"/>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56"/>
        <w:gridCol w:w="1249"/>
        <w:gridCol w:w="540"/>
        <w:gridCol w:w="540"/>
        <w:gridCol w:w="900"/>
        <w:gridCol w:w="900"/>
        <w:gridCol w:w="1248"/>
        <w:gridCol w:w="810"/>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单位工</w:t>
            </w:r>
          </w:p>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程名称</w:t>
            </w:r>
          </w:p>
        </w:tc>
        <w:tc>
          <w:tcPr>
            <w:tcW w:w="956" w:type="dxa"/>
            <w:vAlign w:val="center"/>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建设</w:t>
            </w:r>
          </w:p>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规模</w:t>
            </w:r>
          </w:p>
        </w:tc>
        <w:tc>
          <w:tcPr>
            <w:tcW w:w="1249" w:type="dxa"/>
            <w:vAlign w:val="center"/>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建筑面积</w:t>
            </w:r>
          </w:p>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（m</w:t>
            </w:r>
            <w:r>
              <w:rPr>
                <w:rFonts w:hint="eastAsia" w:ascii="宋体" w:hAnsi="宋体" w:eastAsia="宋体" w:cs="宋体"/>
                <w:b/>
                <w:bCs/>
                <w:color w:val="auto"/>
                <w:kern w:val="0"/>
                <w:sz w:val="21"/>
                <w:szCs w:val="21"/>
                <w:highlight w:val="none"/>
                <w:vertAlign w:val="superscript"/>
              </w:rPr>
              <w:t>2</w:t>
            </w:r>
            <w:r>
              <w:rPr>
                <w:rFonts w:hint="eastAsia" w:ascii="宋体" w:hAnsi="宋体" w:eastAsia="宋体" w:cs="宋体"/>
                <w:b/>
                <w:bCs/>
                <w:color w:val="auto"/>
                <w:kern w:val="0"/>
                <w:sz w:val="21"/>
                <w:szCs w:val="21"/>
                <w:highlight w:val="none"/>
              </w:rPr>
              <w:t>）</w:t>
            </w:r>
          </w:p>
        </w:tc>
        <w:tc>
          <w:tcPr>
            <w:tcW w:w="540" w:type="dxa"/>
            <w:vAlign w:val="center"/>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结</w:t>
            </w:r>
          </w:p>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构</w:t>
            </w:r>
          </w:p>
        </w:tc>
        <w:tc>
          <w:tcPr>
            <w:tcW w:w="540" w:type="dxa"/>
            <w:vAlign w:val="center"/>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层</w:t>
            </w:r>
          </w:p>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w:t>
            </w:r>
          </w:p>
        </w:tc>
        <w:tc>
          <w:tcPr>
            <w:tcW w:w="900" w:type="dxa"/>
            <w:vAlign w:val="center"/>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跨度</w:t>
            </w:r>
          </w:p>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(m)</w:t>
            </w:r>
          </w:p>
        </w:tc>
        <w:tc>
          <w:tcPr>
            <w:tcW w:w="900" w:type="dxa"/>
            <w:vAlign w:val="center"/>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设备安装内容</w:t>
            </w:r>
          </w:p>
        </w:tc>
        <w:tc>
          <w:tcPr>
            <w:tcW w:w="1248" w:type="dxa"/>
            <w:vAlign w:val="center"/>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工程造价(元)</w:t>
            </w:r>
          </w:p>
        </w:tc>
        <w:tc>
          <w:tcPr>
            <w:tcW w:w="810" w:type="dxa"/>
            <w:vAlign w:val="center"/>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开工</w:t>
            </w:r>
          </w:p>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日期</w:t>
            </w:r>
          </w:p>
        </w:tc>
        <w:tc>
          <w:tcPr>
            <w:tcW w:w="802" w:type="dxa"/>
            <w:vAlign w:val="center"/>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竣工</w:t>
            </w:r>
          </w:p>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56"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9"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8"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1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02"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56"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9"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8"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1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02"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56"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9"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8"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1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02"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56"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9"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8"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1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02"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56"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9"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8"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1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02"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56"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9"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54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90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1248"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10"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c>
          <w:tcPr>
            <w:tcW w:w="802" w:type="dxa"/>
          </w:tcPr>
          <w:p>
            <w:pPr>
              <w:autoSpaceDE w:val="0"/>
              <w:autoSpaceDN w:val="0"/>
              <w:adjustRightInd w:val="0"/>
              <w:spacing w:line="360" w:lineRule="auto"/>
              <w:rPr>
                <w:rFonts w:hint="eastAsia" w:ascii="宋体" w:hAnsi="宋体" w:eastAsia="宋体" w:cs="宋体"/>
                <w:bCs/>
                <w:color w:val="auto"/>
                <w:kern w:val="0"/>
                <w:sz w:val="21"/>
                <w:szCs w:val="21"/>
                <w:highlight w:val="none"/>
              </w:rPr>
            </w:pPr>
          </w:p>
        </w:tc>
      </w:tr>
    </w:tbl>
    <w:p>
      <w:pPr>
        <w:pStyle w:val="5"/>
        <w:spacing w:line="360" w:lineRule="auto"/>
        <w:rPr>
          <w:rFonts w:hint="eastAsia" w:ascii="宋体" w:hAnsi="宋体" w:eastAsia="宋体" w:cs="宋体"/>
          <w:color w:val="auto"/>
          <w:kern w:val="0"/>
          <w:sz w:val="21"/>
          <w:szCs w:val="21"/>
          <w:highlight w:val="none"/>
        </w:rPr>
      </w:pPr>
      <w:bookmarkStart w:id="207" w:name="_Toc117398021"/>
      <w:bookmarkStart w:id="208" w:name="_Toc243584331"/>
      <w:bookmarkStart w:id="209" w:name="_Toc334524343"/>
      <w:bookmarkStart w:id="210" w:name="_Toc333304868"/>
      <w:bookmarkStart w:id="211" w:name="_Toc333304747"/>
      <w:bookmarkStart w:id="212" w:name="_Toc10059"/>
    </w:p>
    <w:p>
      <w:pPr>
        <w:pStyle w:val="23"/>
        <w:rPr>
          <w:rFonts w:hint="eastAsia" w:ascii="宋体" w:hAnsi="宋体" w:eastAsia="宋体" w:cs="宋体"/>
          <w:color w:val="auto"/>
          <w:kern w:val="0"/>
          <w:sz w:val="21"/>
          <w:szCs w:val="21"/>
          <w:highlight w:val="none"/>
        </w:rPr>
      </w:pPr>
    </w:p>
    <w:p>
      <w:pPr>
        <w:pStyle w:val="23"/>
        <w:rPr>
          <w:rFonts w:hint="eastAsia" w:ascii="宋体" w:hAnsi="宋体" w:eastAsia="宋体" w:cs="宋体"/>
          <w:color w:val="auto"/>
          <w:kern w:val="0"/>
          <w:sz w:val="21"/>
          <w:szCs w:val="21"/>
          <w:highlight w:val="none"/>
        </w:rPr>
      </w:pPr>
    </w:p>
    <w:p>
      <w:pPr>
        <w:pStyle w:val="23"/>
        <w:rPr>
          <w:rFonts w:hint="eastAsia" w:ascii="宋体" w:hAnsi="宋体" w:eastAsia="宋体" w:cs="宋体"/>
          <w:color w:val="auto"/>
          <w:kern w:val="0"/>
          <w:sz w:val="21"/>
          <w:szCs w:val="21"/>
          <w:highlight w:val="none"/>
        </w:rPr>
      </w:pPr>
    </w:p>
    <w:p>
      <w:pPr>
        <w:pStyle w:val="23"/>
        <w:rPr>
          <w:rFonts w:hint="eastAsia" w:ascii="宋体" w:hAnsi="宋体" w:eastAsia="宋体" w:cs="宋体"/>
          <w:color w:val="auto"/>
          <w:kern w:val="0"/>
          <w:sz w:val="21"/>
          <w:szCs w:val="21"/>
          <w:highlight w:val="none"/>
        </w:rPr>
      </w:pPr>
    </w:p>
    <w:p>
      <w:pPr>
        <w:pStyle w:val="23"/>
        <w:rPr>
          <w:rFonts w:hint="eastAsia" w:ascii="宋体" w:hAnsi="宋体" w:eastAsia="宋体" w:cs="宋体"/>
          <w:color w:val="auto"/>
          <w:kern w:val="0"/>
          <w:sz w:val="21"/>
          <w:szCs w:val="21"/>
          <w:highlight w:val="none"/>
        </w:rPr>
      </w:pPr>
    </w:p>
    <w:p>
      <w:pPr>
        <w:pStyle w:val="5"/>
        <w:spacing w:line="360" w:lineRule="auto"/>
        <w:rPr>
          <w:rFonts w:hint="eastAsia" w:ascii="宋体" w:hAnsi="宋体" w:eastAsia="宋体" w:cs="宋体"/>
          <w:color w:val="auto"/>
          <w:sz w:val="21"/>
          <w:szCs w:val="21"/>
          <w:highlight w:val="none"/>
        </w:rPr>
      </w:pPr>
      <w:bookmarkStart w:id="213" w:name="_Toc6530"/>
      <w:bookmarkStart w:id="214" w:name="_Toc31460"/>
      <w:r>
        <w:rPr>
          <w:rFonts w:hint="eastAsia" w:ascii="宋体" w:hAnsi="宋体" w:eastAsia="宋体" w:cs="宋体"/>
          <w:color w:val="auto"/>
          <w:kern w:val="0"/>
          <w:sz w:val="21"/>
          <w:szCs w:val="21"/>
          <w:highlight w:val="none"/>
        </w:rPr>
        <w:t>附表2：发包人供应材料设备一览表</w:t>
      </w:r>
      <w:bookmarkEnd w:id="207"/>
      <w:bookmarkEnd w:id="208"/>
      <w:bookmarkEnd w:id="209"/>
      <w:bookmarkEnd w:id="210"/>
      <w:bookmarkEnd w:id="211"/>
      <w:bookmarkEnd w:id="212"/>
      <w:bookmarkEnd w:id="213"/>
      <w:bookmarkEnd w:id="214"/>
    </w:p>
    <w:tbl>
      <w:tblPr>
        <w:tblStyle w:val="18"/>
        <w:tblW w:w="91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485"/>
        <w:gridCol w:w="1080"/>
        <w:gridCol w:w="634"/>
        <w:gridCol w:w="928"/>
        <w:gridCol w:w="928"/>
        <w:gridCol w:w="928"/>
        <w:gridCol w:w="928"/>
        <w:gridCol w:w="9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w:t>
            </w:r>
          </w:p>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号</w:t>
            </w:r>
          </w:p>
        </w:tc>
        <w:tc>
          <w:tcPr>
            <w:tcW w:w="1485" w:type="dxa"/>
          </w:tcPr>
          <w:p>
            <w:pPr>
              <w:pStyle w:val="12"/>
              <w:autoSpaceDE w:val="0"/>
              <w:autoSpaceDN w:val="0"/>
              <w:adjustRightIn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材料设备</w:t>
            </w:r>
          </w:p>
          <w:p>
            <w:pPr>
              <w:pStyle w:val="12"/>
              <w:autoSpaceDE w:val="0"/>
              <w:autoSpaceDN w:val="0"/>
              <w:adjustRightIn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品种</w:t>
            </w:r>
          </w:p>
        </w:tc>
        <w:tc>
          <w:tcPr>
            <w:tcW w:w="1080" w:type="dxa"/>
          </w:tcPr>
          <w:p>
            <w:pPr>
              <w:pStyle w:val="12"/>
              <w:autoSpaceDE w:val="0"/>
              <w:autoSpaceDN w:val="0"/>
              <w:adjustRightIn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型号</w:t>
            </w:r>
          </w:p>
        </w:tc>
        <w:tc>
          <w:tcPr>
            <w:tcW w:w="634" w:type="dxa"/>
          </w:tcPr>
          <w:p>
            <w:pPr>
              <w:pStyle w:val="12"/>
              <w:autoSpaceDE w:val="0"/>
              <w:autoSpaceDN w:val="0"/>
              <w:adjustRightIn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w:t>
            </w:r>
          </w:p>
          <w:p>
            <w:pPr>
              <w:pStyle w:val="12"/>
              <w:autoSpaceDE w:val="0"/>
              <w:autoSpaceDN w:val="0"/>
              <w:adjustRightIn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位</w:t>
            </w:r>
          </w:p>
        </w:tc>
        <w:tc>
          <w:tcPr>
            <w:tcW w:w="928" w:type="dxa"/>
            <w:vAlign w:val="center"/>
          </w:tcPr>
          <w:p>
            <w:pPr>
              <w:pStyle w:val="12"/>
              <w:autoSpaceDE w:val="0"/>
              <w:autoSpaceDN w:val="0"/>
              <w:adjustRightIn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28" w:type="dxa"/>
            <w:vAlign w:val="center"/>
          </w:tcPr>
          <w:p>
            <w:pPr>
              <w:pStyle w:val="12"/>
              <w:autoSpaceDE w:val="0"/>
              <w:autoSpaceDN w:val="0"/>
              <w:adjustRightIn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928" w:type="dxa"/>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质量等级</w:t>
            </w:r>
          </w:p>
        </w:tc>
        <w:tc>
          <w:tcPr>
            <w:tcW w:w="928" w:type="dxa"/>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供应时间</w:t>
            </w:r>
          </w:p>
        </w:tc>
        <w:tc>
          <w:tcPr>
            <w:tcW w:w="928" w:type="dxa"/>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送达地点</w:t>
            </w:r>
          </w:p>
        </w:tc>
        <w:tc>
          <w:tcPr>
            <w:tcW w:w="928" w:type="dxa"/>
            <w:vAlign w:val="center"/>
          </w:tcPr>
          <w:p>
            <w:pPr>
              <w:autoSpaceDE w:val="0"/>
              <w:autoSpaceDN w:val="0"/>
              <w:adjustRightIn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48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080"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634"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48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080"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634"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48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080"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634"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48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080"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634"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48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080"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634"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48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080"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634"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48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080"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634"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48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080"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634"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485"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1080"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634"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c>
          <w:tcPr>
            <w:tcW w:w="928" w:type="dxa"/>
          </w:tcPr>
          <w:p>
            <w:pPr>
              <w:autoSpaceDE w:val="0"/>
              <w:autoSpaceDN w:val="0"/>
              <w:adjustRightInd w:val="0"/>
              <w:spacing w:line="360" w:lineRule="auto"/>
              <w:rPr>
                <w:rFonts w:hint="eastAsia" w:ascii="宋体" w:hAnsi="宋体" w:eastAsia="宋体" w:cs="宋体"/>
                <w:b/>
                <w:bCs/>
                <w:color w:val="auto"/>
                <w:kern w:val="0"/>
                <w:sz w:val="21"/>
                <w:szCs w:val="21"/>
                <w:highlight w:val="none"/>
              </w:rPr>
            </w:pPr>
          </w:p>
        </w:tc>
      </w:tr>
    </w:tbl>
    <w:p>
      <w:pPr>
        <w:spacing w:line="360" w:lineRule="auto"/>
        <w:ind w:right="66" w:rightChars="33"/>
        <w:jc w:val="left"/>
        <w:rPr>
          <w:rFonts w:hint="eastAsia" w:ascii="宋体" w:hAnsi="宋体" w:eastAsia="宋体" w:cs="宋体"/>
          <w:color w:val="auto"/>
          <w:sz w:val="21"/>
          <w:szCs w:val="21"/>
          <w:highlight w:val="none"/>
        </w:rPr>
        <w:sectPr>
          <w:pgSz w:w="11906" w:h="16838"/>
          <w:pgMar w:top="1134" w:right="1134" w:bottom="1134" w:left="1134" w:header="567" w:footer="680" w:gutter="0"/>
          <w:pgNumType w:fmt="decimal"/>
          <w:cols w:space="720" w:num="1"/>
          <w:docGrid w:type="lines" w:linePitch="312" w:charSpace="0"/>
        </w:sectPr>
      </w:pPr>
    </w:p>
    <w:p>
      <w:pPr>
        <w:spacing w:line="440" w:lineRule="exact"/>
        <w:rPr>
          <w:rFonts w:eastAsia="黑体"/>
          <w:color w:val="auto"/>
          <w:szCs w:val="21"/>
          <w:highlight w:val="none"/>
        </w:rPr>
      </w:pPr>
      <w:r>
        <w:rPr>
          <w:rFonts w:hint="eastAsia" w:ascii="宋体" w:hAnsi="宋体" w:cs="宋体"/>
          <w:color w:val="auto"/>
          <w:szCs w:val="21"/>
          <w:highlight w:val="none"/>
        </w:rPr>
        <w:t>附件3：</w:t>
      </w:r>
    </w:p>
    <w:p>
      <w:pPr>
        <w:pStyle w:val="31"/>
        <w:spacing w:beforeLines="50" w:afterLines="50" w:line="440" w:lineRule="exact"/>
        <w:jc w:val="center"/>
        <w:rPr>
          <w:rFonts w:ascii="宋体"/>
          <w:b/>
          <w:bCs/>
          <w:color w:val="auto"/>
          <w:sz w:val="24"/>
          <w:szCs w:val="24"/>
          <w:highlight w:val="none"/>
        </w:rPr>
      </w:pPr>
      <w:r>
        <w:rPr>
          <w:rFonts w:hint="eastAsia" w:ascii="宋体" w:hAnsi="宋体"/>
          <w:b/>
          <w:bCs/>
          <w:color w:val="auto"/>
          <w:sz w:val="24"/>
          <w:szCs w:val="24"/>
          <w:highlight w:val="none"/>
        </w:rPr>
        <w:t>工程质量保修书</w:t>
      </w:r>
    </w:p>
    <w:p>
      <w:pPr>
        <w:pStyle w:val="31"/>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发包人（全称）：</w:t>
      </w:r>
      <w:r>
        <w:rPr>
          <w:rFonts w:hint="eastAsia" w:ascii="宋体" w:hAnsi="宋体"/>
          <w:bCs/>
          <w:color w:val="auto"/>
          <w:szCs w:val="21"/>
          <w:highlight w:val="none"/>
          <w:u w:val="single"/>
          <w:lang w:eastAsia="zh-CN"/>
        </w:rPr>
        <w:t>合山市公安局</w:t>
      </w:r>
    </w:p>
    <w:p>
      <w:pPr>
        <w:pStyle w:val="31"/>
        <w:spacing w:line="440" w:lineRule="exact"/>
        <w:ind w:firstLine="405"/>
        <w:rPr>
          <w:rFonts w:hint="default" w:ascii="宋体" w:hAnsi="宋体" w:eastAsia="宋体"/>
          <w:bCs/>
          <w:color w:val="auto"/>
          <w:szCs w:val="21"/>
          <w:highlight w:val="none"/>
          <w:u w:val="single"/>
          <w:lang w:val="en-US" w:eastAsia="zh-CN"/>
        </w:rPr>
      </w:pPr>
      <w:r>
        <w:rPr>
          <w:rFonts w:hint="eastAsia" w:ascii="宋体" w:hAnsi="宋体"/>
          <w:bCs/>
          <w:color w:val="auto"/>
          <w:szCs w:val="21"/>
          <w:highlight w:val="none"/>
        </w:rPr>
        <w:t>承包人（全称）：</w:t>
      </w:r>
      <w:r>
        <w:rPr>
          <w:rFonts w:hint="eastAsia" w:ascii="宋体" w:hAnsi="宋体"/>
          <w:bCs/>
          <w:color w:val="auto"/>
          <w:szCs w:val="21"/>
          <w:highlight w:val="none"/>
          <w:u w:val="single"/>
          <w:lang w:val="en-US" w:eastAsia="zh-CN"/>
        </w:rPr>
        <w:t xml:space="preserve">                    </w:t>
      </w:r>
    </w:p>
    <w:p>
      <w:pPr>
        <w:pStyle w:val="31"/>
        <w:spacing w:line="360" w:lineRule="auto"/>
        <w:ind w:firstLine="420"/>
        <w:rPr>
          <w:rFonts w:ascii="宋体"/>
          <w:color w:val="auto"/>
          <w:szCs w:val="21"/>
          <w:highlight w:val="none"/>
          <w:u w:val="single"/>
        </w:rPr>
      </w:pPr>
      <w:r>
        <w:rPr>
          <w:rFonts w:hint="eastAsia" w:ascii="宋体" w:hAnsi="宋体"/>
          <w:color w:val="auto"/>
          <w:szCs w:val="21"/>
          <w:highlight w:val="none"/>
        </w:rPr>
        <w:t>发包人和承包人根据《中华人民共和国建筑法》和《建设工程质量管理条例》，经协商一致就</w:t>
      </w:r>
      <w:r>
        <w:rPr>
          <w:rFonts w:hint="eastAsia"/>
          <w:color w:val="auto"/>
          <w:szCs w:val="21"/>
          <w:highlight w:val="none"/>
          <w:u w:val="single"/>
          <w:lang w:eastAsia="zh-CN"/>
        </w:rPr>
        <w:t>合山市公安局里兰派出所业务技术用房工程</w:t>
      </w:r>
      <w:r>
        <w:rPr>
          <w:rFonts w:hint="eastAsia"/>
          <w:color w:val="auto"/>
          <w:szCs w:val="21"/>
          <w:highlight w:val="none"/>
          <w:u w:val="single"/>
        </w:rPr>
        <w:t xml:space="preserve"> </w:t>
      </w:r>
      <w:r>
        <w:rPr>
          <w:rFonts w:hint="eastAsia" w:ascii="宋体" w:hAnsi="宋体"/>
          <w:color w:val="auto"/>
          <w:szCs w:val="21"/>
          <w:highlight w:val="none"/>
        </w:rPr>
        <w:t>签订工程质量保修书。</w:t>
      </w:r>
    </w:p>
    <w:p>
      <w:pPr>
        <w:pStyle w:val="31"/>
        <w:spacing w:line="360" w:lineRule="auto"/>
        <w:ind w:left="405"/>
        <w:rPr>
          <w:rFonts w:ascii="宋体"/>
          <w:color w:val="auto"/>
          <w:szCs w:val="21"/>
          <w:highlight w:val="none"/>
        </w:rPr>
      </w:pPr>
      <w:r>
        <w:rPr>
          <w:rFonts w:hint="eastAsia" w:ascii="宋体" w:hAnsi="宋体"/>
          <w:color w:val="auto"/>
          <w:szCs w:val="21"/>
          <w:highlight w:val="none"/>
        </w:rPr>
        <w:t>一、工程质量保修范围和内容</w:t>
      </w:r>
    </w:p>
    <w:p>
      <w:pPr>
        <w:pStyle w:val="31"/>
        <w:spacing w:line="360" w:lineRule="auto"/>
        <w:ind w:firstLine="405"/>
        <w:rPr>
          <w:rFonts w:asci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pPr>
        <w:pStyle w:val="31"/>
        <w:spacing w:line="360" w:lineRule="auto"/>
        <w:rPr>
          <w:rFonts w:hint="eastAsia" w:ascii="宋体" w:hAnsi="宋体"/>
          <w:color w:val="auto"/>
          <w:szCs w:val="21"/>
          <w:highlight w:val="none"/>
        </w:rPr>
      </w:pPr>
      <w:r>
        <w:rPr>
          <w:rFonts w:hint="eastAsia" w:ascii="宋体" w:hAnsi="宋体"/>
          <w:color w:val="auto"/>
          <w:szCs w:val="21"/>
          <w:highlight w:val="none"/>
        </w:rPr>
        <w:t>质量保修范围包括，以及双方约定的其他项目。具体保修的内容，双方约定如下：</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pStyle w:val="31"/>
        <w:spacing w:line="360" w:lineRule="auto"/>
        <w:rPr>
          <w:rFonts w:hint="eastAsia" w:ascii="宋体" w:hAnsi="宋体"/>
          <w:color w:val="auto"/>
          <w:szCs w:val="21"/>
          <w:highlight w:val="none"/>
        </w:rPr>
      </w:pPr>
      <w:r>
        <w:rPr>
          <w:rFonts w:hint="eastAsia" w:ascii="宋体" w:hAnsi="宋体"/>
          <w:color w:val="auto"/>
          <w:szCs w:val="21"/>
          <w:highlight w:val="none"/>
        </w:rPr>
        <w:t>根据《建设工程质量管理条例》及有关规定，工程的质量保修期如下：</w:t>
      </w:r>
    </w:p>
    <w:p>
      <w:pPr>
        <w:pStyle w:val="31"/>
        <w:spacing w:line="360" w:lineRule="auto"/>
        <w:rPr>
          <w:rFonts w:hint="eastAsia" w:ascii="宋体" w:hAnsi="宋体"/>
          <w:color w:val="auto"/>
          <w:szCs w:val="21"/>
          <w:highlight w:val="none"/>
        </w:rPr>
      </w:pPr>
      <w:r>
        <w:rPr>
          <w:rFonts w:hint="eastAsia" w:ascii="宋体" w:hAnsi="宋体"/>
          <w:color w:val="auto"/>
          <w:szCs w:val="21"/>
          <w:highlight w:val="none"/>
        </w:rPr>
        <w:t>1．地基基础工程和主体结构工程为设计文件规定的工程合理使用年限；</w:t>
      </w:r>
    </w:p>
    <w:p>
      <w:pPr>
        <w:pStyle w:val="31"/>
        <w:spacing w:line="360" w:lineRule="auto"/>
        <w:rPr>
          <w:rFonts w:hint="eastAsia" w:ascii="宋体" w:hAnsi="宋体"/>
          <w:color w:val="auto"/>
          <w:szCs w:val="21"/>
          <w:highlight w:val="none"/>
        </w:rPr>
      </w:pPr>
      <w:r>
        <w:rPr>
          <w:rFonts w:hint="eastAsia" w:ascii="宋体" w:hAnsi="宋体"/>
          <w:color w:val="auto"/>
          <w:szCs w:val="21"/>
          <w:highlight w:val="none"/>
        </w:rPr>
        <w:t>2．屋面防水工程、有防水要求的卫生间、房间和外墙面的防渗 5年；</w:t>
      </w:r>
    </w:p>
    <w:p>
      <w:pPr>
        <w:pStyle w:val="31"/>
        <w:spacing w:line="360" w:lineRule="auto"/>
        <w:rPr>
          <w:rFonts w:hint="eastAsia" w:ascii="宋体" w:hAnsi="宋体"/>
          <w:color w:val="auto"/>
          <w:szCs w:val="21"/>
          <w:highlight w:val="none"/>
        </w:rPr>
      </w:pPr>
      <w:r>
        <w:rPr>
          <w:rFonts w:hint="eastAsia" w:ascii="宋体" w:hAnsi="宋体"/>
          <w:color w:val="auto"/>
          <w:szCs w:val="21"/>
          <w:highlight w:val="none"/>
        </w:rPr>
        <w:t>3．装修工程为2年；</w:t>
      </w:r>
    </w:p>
    <w:p>
      <w:pPr>
        <w:pStyle w:val="31"/>
        <w:spacing w:line="360" w:lineRule="auto"/>
        <w:rPr>
          <w:rFonts w:hint="eastAsia" w:ascii="宋体" w:hAnsi="宋体"/>
          <w:color w:val="auto"/>
          <w:szCs w:val="21"/>
          <w:highlight w:val="none"/>
        </w:rPr>
      </w:pPr>
      <w:r>
        <w:rPr>
          <w:rFonts w:hint="eastAsia" w:ascii="宋体" w:hAnsi="宋体"/>
          <w:color w:val="auto"/>
          <w:szCs w:val="21"/>
          <w:highlight w:val="none"/>
        </w:rPr>
        <w:t>4．电气管线、给排水管道、设备安装工程为2年；</w:t>
      </w:r>
    </w:p>
    <w:p>
      <w:pPr>
        <w:pStyle w:val="31"/>
        <w:spacing w:line="360" w:lineRule="auto"/>
        <w:rPr>
          <w:rFonts w:hint="eastAsia" w:ascii="宋体" w:hAnsi="宋体"/>
          <w:color w:val="auto"/>
          <w:szCs w:val="21"/>
          <w:highlight w:val="none"/>
        </w:rPr>
      </w:pPr>
      <w:r>
        <w:rPr>
          <w:rFonts w:hint="eastAsia" w:ascii="宋体" w:hAnsi="宋体"/>
          <w:color w:val="auto"/>
          <w:szCs w:val="21"/>
          <w:highlight w:val="none"/>
        </w:rPr>
        <w:t>5．供热与供冷系统为2个采暖期、供冷期；</w:t>
      </w:r>
    </w:p>
    <w:p>
      <w:pPr>
        <w:pStyle w:val="31"/>
        <w:spacing w:line="360" w:lineRule="auto"/>
        <w:rPr>
          <w:rFonts w:hint="eastAsia" w:ascii="宋体" w:hAnsi="宋体"/>
          <w:color w:val="auto"/>
          <w:szCs w:val="21"/>
          <w:highlight w:val="none"/>
        </w:rPr>
      </w:pPr>
      <w:r>
        <w:rPr>
          <w:rFonts w:hint="eastAsia" w:ascii="宋体" w:hAnsi="宋体"/>
          <w:color w:val="auto"/>
          <w:szCs w:val="21"/>
          <w:highlight w:val="none"/>
        </w:rPr>
        <w:t>6．住宅小区内的给排水设施、道路等配套工程为2年；</w:t>
      </w:r>
    </w:p>
    <w:p>
      <w:pPr>
        <w:pStyle w:val="31"/>
        <w:spacing w:line="360" w:lineRule="auto"/>
        <w:rPr>
          <w:rFonts w:hint="eastAsia" w:ascii="宋体" w:hAnsi="宋体"/>
          <w:color w:val="auto"/>
          <w:szCs w:val="21"/>
          <w:highlight w:val="none"/>
        </w:rPr>
      </w:pPr>
      <w:r>
        <w:rPr>
          <w:rFonts w:hint="eastAsia" w:ascii="宋体" w:hAnsi="宋体"/>
          <w:color w:val="auto"/>
          <w:szCs w:val="21"/>
          <w:highlight w:val="none"/>
        </w:rPr>
        <w:t>7．其他项目保修期限约定如下：质量保修期自工程竣工验收合格之日起计算。</w:t>
      </w:r>
    </w:p>
    <w:p>
      <w:pPr>
        <w:pStyle w:val="31"/>
        <w:spacing w:line="360" w:lineRule="auto"/>
        <w:ind w:left="405"/>
        <w:rPr>
          <w:rFonts w:ascii="宋体" w:hAnsi="宋体"/>
          <w:color w:val="auto"/>
          <w:szCs w:val="21"/>
          <w:highlight w:val="none"/>
        </w:rPr>
      </w:pPr>
      <w:bookmarkStart w:id="215" w:name="_Toc455679495"/>
      <w:bookmarkStart w:id="216" w:name="_Toc465940340"/>
      <w:bookmarkStart w:id="217" w:name="_Toc468097268"/>
      <w:r>
        <w:rPr>
          <w:rFonts w:hint="eastAsia" w:ascii="宋体" w:hAnsi="宋体"/>
          <w:color w:val="auto"/>
          <w:szCs w:val="21"/>
          <w:highlight w:val="none"/>
        </w:rPr>
        <w:t>二、质量保修期</w:t>
      </w:r>
      <w:bookmarkEnd w:id="215"/>
      <w:bookmarkEnd w:id="216"/>
      <w:bookmarkEnd w:id="217"/>
    </w:p>
    <w:p>
      <w:pPr>
        <w:pStyle w:val="31"/>
        <w:spacing w:line="360" w:lineRule="auto"/>
        <w:ind w:firstLine="420" w:firstLineChars="200"/>
        <w:rPr>
          <w:rFonts w:ascii="宋体"/>
          <w:color w:val="auto"/>
          <w:szCs w:val="21"/>
          <w:highlight w:val="none"/>
        </w:rPr>
      </w:pPr>
      <w:r>
        <w:rPr>
          <w:rFonts w:hint="eastAsia" w:ascii="宋体" w:hAnsi="宋体"/>
          <w:color w:val="auto"/>
          <w:szCs w:val="21"/>
          <w:highlight w:val="none"/>
        </w:rPr>
        <w:t>工程的质量保修期为</w:t>
      </w:r>
      <w:r>
        <w:rPr>
          <w:rFonts w:hint="eastAsia" w:ascii="宋体" w:hAnsi="宋体"/>
          <w:color w:val="auto"/>
          <w:szCs w:val="21"/>
          <w:highlight w:val="none"/>
          <w:u w:val="single"/>
          <w:lang w:val="en-US" w:eastAsia="zh-CN"/>
        </w:rPr>
        <w:t>12</w:t>
      </w:r>
      <w:r>
        <w:rPr>
          <w:rFonts w:hint="eastAsia" w:ascii="宋体" w:hAnsi="宋体"/>
          <w:color w:val="auto"/>
          <w:szCs w:val="21"/>
          <w:highlight w:val="none"/>
        </w:rPr>
        <w:t>个月，质量保修期自工程竣工验收合格之日起计算。</w:t>
      </w:r>
    </w:p>
    <w:p>
      <w:pPr>
        <w:pStyle w:val="31"/>
        <w:spacing w:line="360" w:lineRule="auto"/>
        <w:ind w:left="405"/>
        <w:rPr>
          <w:rFonts w:ascii="宋体" w:hAnsi="宋体"/>
          <w:color w:val="auto"/>
          <w:szCs w:val="21"/>
          <w:highlight w:val="none"/>
        </w:rPr>
      </w:pPr>
      <w:bookmarkStart w:id="218" w:name="_Toc468097269"/>
      <w:bookmarkStart w:id="219" w:name="_Toc455679496"/>
      <w:bookmarkStart w:id="220" w:name="_Toc465940341"/>
      <w:r>
        <w:rPr>
          <w:rFonts w:hint="eastAsia" w:ascii="宋体" w:hAnsi="宋体"/>
          <w:color w:val="auto"/>
          <w:szCs w:val="21"/>
          <w:highlight w:val="none"/>
        </w:rPr>
        <w:t>三、缺陷责任期</w:t>
      </w:r>
      <w:bookmarkEnd w:id="218"/>
      <w:bookmarkEnd w:id="219"/>
      <w:bookmarkEnd w:id="220"/>
    </w:p>
    <w:p>
      <w:pPr>
        <w:pStyle w:val="31"/>
        <w:spacing w:line="360" w:lineRule="auto"/>
        <w:ind w:firstLine="420" w:firstLineChars="200"/>
        <w:rPr>
          <w:rFonts w:ascii="宋体"/>
          <w:color w:val="auto"/>
          <w:szCs w:val="21"/>
          <w:highlight w:val="none"/>
        </w:rPr>
      </w:pPr>
      <w:r>
        <w:rPr>
          <w:rFonts w:hint="eastAsia" w:ascii="宋体" w:hAnsi="宋体"/>
          <w:color w:val="auto"/>
          <w:szCs w:val="21"/>
          <w:highlight w:val="none"/>
        </w:rPr>
        <w:t>工程缺陷责任期为</w:t>
      </w:r>
      <w:r>
        <w:rPr>
          <w:rFonts w:hint="eastAsia" w:ascii="宋体" w:hAnsi="宋体"/>
          <w:color w:val="auto"/>
          <w:szCs w:val="21"/>
          <w:highlight w:val="none"/>
          <w:u w:val="single"/>
          <w:lang w:val="en-US" w:eastAsia="zh-CN"/>
        </w:rPr>
        <w:t>12</w:t>
      </w:r>
      <w:r>
        <w:rPr>
          <w:rFonts w:hint="eastAsia" w:ascii="宋体" w:hAnsi="宋体"/>
          <w:color w:val="auto"/>
          <w:szCs w:val="21"/>
          <w:highlight w:val="none"/>
        </w:rPr>
        <w:t>个月，缺陷责任期自工程竣工验收合格之日起计算。单位工程先于全部工程进行验收，单位工程缺陷责任期自单位工程验收合格之日起算。</w:t>
      </w:r>
    </w:p>
    <w:p>
      <w:pPr>
        <w:pStyle w:val="31"/>
        <w:spacing w:line="360" w:lineRule="auto"/>
        <w:ind w:firstLine="420" w:firstLineChars="200"/>
        <w:rPr>
          <w:rFonts w:ascii="宋体"/>
          <w:color w:val="auto"/>
          <w:szCs w:val="21"/>
          <w:highlight w:val="none"/>
        </w:rPr>
      </w:pPr>
      <w:r>
        <w:rPr>
          <w:rFonts w:hint="eastAsia" w:ascii="宋体" w:hAnsi="宋体"/>
          <w:color w:val="auto"/>
          <w:szCs w:val="21"/>
          <w:highlight w:val="none"/>
        </w:rPr>
        <w:t>缺陷责任期终止后，发包人应退还剩余的质量保证金</w:t>
      </w:r>
      <w:r>
        <w:rPr>
          <w:rFonts w:hint="eastAsia" w:ascii="宋体" w:hAnsi="宋体"/>
          <w:b/>
          <w:bCs/>
          <w:color w:val="auto"/>
          <w:szCs w:val="21"/>
          <w:highlight w:val="none"/>
          <w:u w:val="single"/>
        </w:rPr>
        <w:t>（如工程缺陷责任期满时，仍有部分项目保修期未满时，则将按造价比例扣留该工程质量保修期未满项目的质量保修金）</w:t>
      </w:r>
      <w:r>
        <w:rPr>
          <w:rFonts w:hint="eastAsia" w:ascii="宋体" w:hAnsi="宋体"/>
          <w:color w:val="auto"/>
          <w:szCs w:val="21"/>
          <w:highlight w:val="none"/>
        </w:rPr>
        <w:t>。</w:t>
      </w:r>
    </w:p>
    <w:p>
      <w:pPr>
        <w:pStyle w:val="31"/>
        <w:spacing w:line="360" w:lineRule="auto"/>
        <w:ind w:left="405"/>
        <w:rPr>
          <w:rFonts w:ascii="宋体" w:hAnsi="宋体"/>
          <w:color w:val="auto"/>
          <w:szCs w:val="21"/>
          <w:highlight w:val="none"/>
        </w:rPr>
      </w:pPr>
      <w:bookmarkStart w:id="221" w:name="_Toc468097270"/>
      <w:bookmarkStart w:id="222" w:name="_Toc455679497"/>
      <w:bookmarkStart w:id="223" w:name="_Toc465940342"/>
      <w:r>
        <w:rPr>
          <w:rFonts w:hint="eastAsia" w:ascii="宋体" w:hAnsi="宋体"/>
          <w:color w:val="auto"/>
          <w:szCs w:val="21"/>
          <w:highlight w:val="none"/>
        </w:rPr>
        <w:t>四、质量保修责任</w:t>
      </w:r>
      <w:bookmarkEnd w:id="221"/>
      <w:bookmarkEnd w:id="222"/>
      <w:bookmarkEnd w:id="223"/>
    </w:p>
    <w:p>
      <w:pPr>
        <w:pStyle w:val="31"/>
        <w:spacing w:line="360" w:lineRule="auto"/>
        <w:ind w:left="100" w:leftChars="50" w:firstLine="430" w:firstLineChars="205"/>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．属于保修范围、内容的项目，承包人应当在接到保修通知之日起</w:t>
      </w:r>
      <w:r>
        <w:rPr>
          <w:rFonts w:ascii="宋体" w:hAnsi="宋体"/>
          <w:color w:val="auto"/>
          <w:szCs w:val="21"/>
          <w:highlight w:val="none"/>
        </w:rPr>
        <w:t>7</w:t>
      </w:r>
      <w:r>
        <w:rPr>
          <w:rFonts w:hint="eastAsia" w:ascii="宋体" w:hAnsi="宋体"/>
          <w:color w:val="auto"/>
          <w:szCs w:val="21"/>
          <w:highlight w:val="none"/>
        </w:rPr>
        <w:t>天内派人保修。承包人不在约定期限内派人保修的，发包人可以委托他人修理。</w:t>
      </w:r>
    </w:p>
    <w:p>
      <w:pPr>
        <w:pStyle w:val="31"/>
        <w:spacing w:line="360" w:lineRule="auto"/>
        <w:ind w:left="100" w:leftChars="50" w:firstLine="430" w:firstLineChars="205"/>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．发生紧急事故需抢修的，承包人在接到事故通知后，应当立即到达事故现场抢修。</w:t>
      </w:r>
    </w:p>
    <w:p>
      <w:pPr>
        <w:pStyle w:val="31"/>
        <w:spacing w:line="360" w:lineRule="auto"/>
        <w:ind w:left="100" w:leftChars="50" w:firstLine="430" w:firstLineChars="205"/>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31"/>
        <w:spacing w:line="360" w:lineRule="auto"/>
        <w:ind w:left="400" w:leftChars="200" w:firstLine="105" w:firstLineChars="5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．质量保修完成后，由发包人组织验收。</w:t>
      </w:r>
    </w:p>
    <w:p>
      <w:pPr>
        <w:pStyle w:val="31"/>
        <w:spacing w:line="360" w:lineRule="auto"/>
        <w:ind w:left="405"/>
        <w:rPr>
          <w:rFonts w:ascii="宋体" w:hAnsi="宋体"/>
          <w:color w:val="auto"/>
          <w:szCs w:val="21"/>
          <w:highlight w:val="none"/>
        </w:rPr>
      </w:pPr>
      <w:bookmarkStart w:id="224" w:name="_Toc455679498"/>
      <w:bookmarkStart w:id="225" w:name="_Toc465940343"/>
      <w:bookmarkStart w:id="226" w:name="_Toc468097271"/>
      <w:r>
        <w:rPr>
          <w:rFonts w:hint="eastAsia" w:ascii="宋体" w:hAnsi="宋体"/>
          <w:color w:val="auto"/>
          <w:szCs w:val="21"/>
          <w:highlight w:val="none"/>
        </w:rPr>
        <w:t>五、保修费用</w:t>
      </w:r>
      <w:bookmarkEnd w:id="224"/>
      <w:bookmarkEnd w:id="225"/>
      <w:bookmarkEnd w:id="226"/>
    </w:p>
    <w:p>
      <w:pPr>
        <w:pStyle w:val="31"/>
        <w:spacing w:line="360" w:lineRule="auto"/>
        <w:ind w:firstLine="405"/>
        <w:rPr>
          <w:rFonts w:ascii="宋体"/>
          <w:color w:val="auto"/>
          <w:szCs w:val="21"/>
          <w:highlight w:val="none"/>
        </w:rPr>
      </w:pPr>
      <w:r>
        <w:rPr>
          <w:rFonts w:hint="eastAsia" w:ascii="宋体" w:hAnsi="宋体"/>
          <w:color w:val="auto"/>
          <w:szCs w:val="21"/>
          <w:highlight w:val="none"/>
        </w:rPr>
        <w:t>保修费用由造成质量缺陷的责任方承担。</w:t>
      </w:r>
    </w:p>
    <w:p>
      <w:pPr>
        <w:pStyle w:val="3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六、双方约定的其他工程质量保修事项：本工程约定的工程质量保修金为工程价款结算总额的  </w:t>
      </w:r>
      <w:r>
        <w:rPr>
          <w:rFonts w:hint="eastAsia" w:ascii="宋体" w:hAnsi="宋体"/>
          <w:color w:val="auto"/>
          <w:szCs w:val="21"/>
          <w:highlight w:val="none"/>
          <w:lang w:val="en-US" w:eastAsia="zh-CN"/>
        </w:rPr>
        <w:t>5</w:t>
      </w:r>
      <w:r>
        <w:rPr>
          <w:rFonts w:hint="eastAsia" w:ascii="宋体" w:hAnsi="宋体"/>
          <w:color w:val="auto"/>
          <w:szCs w:val="21"/>
          <w:highlight w:val="none"/>
        </w:rPr>
        <w:t>%。质量保修金不计利息（如工程缺陷责任期满时，仍有部分项目保修期未满时，则将按造价比例扣留该工程质量保修期未满项目的质量保修金）：①发包人在工程竣工验收合格之日起满二年后14天内将保修期满部分的保修金的返还承包人；本工程在保修期有质量问题的，且保修期仍未解决的，承包人应负责维修，保修期自维修完成之日起顺延六个月；顺延六个月内仍出现质量问题的，保修期再顺延六个月，如再出现质量问题的，保修金不予退还。保修金不足以支付保修费用的，承包人在保修金不足的时候开始7天内补足所需的保修费用。</w:t>
      </w:r>
    </w:p>
    <w:p>
      <w:pPr>
        <w:pStyle w:val="31"/>
        <w:spacing w:line="360" w:lineRule="auto"/>
        <w:ind w:firstLine="399" w:firstLineChars="190"/>
        <w:rPr>
          <w:rFonts w:ascii="宋体"/>
          <w:color w:val="auto"/>
          <w:szCs w:val="21"/>
          <w:highlight w:val="none"/>
        </w:rPr>
      </w:pPr>
      <w:r>
        <w:rPr>
          <w:rFonts w:hint="eastAsia" w:ascii="宋体" w:hAnsi="宋体"/>
          <w:color w:val="auto"/>
          <w:szCs w:val="21"/>
          <w:highlight w:val="none"/>
        </w:rPr>
        <w:t>工程质量保修书由发包人、承包人在工程竣工验收前共同签署，作为施工合同附件，其有效期限至保修期满。</w:t>
      </w:r>
    </w:p>
    <w:p>
      <w:pPr>
        <w:pStyle w:val="31"/>
        <w:spacing w:line="360" w:lineRule="auto"/>
        <w:ind w:firstLine="420"/>
        <w:rPr>
          <w:rFonts w:ascii="宋体"/>
          <w:color w:val="auto"/>
          <w:szCs w:val="21"/>
          <w:highlight w:val="none"/>
        </w:rPr>
      </w:pPr>
    </w:p>
    <w:p>
      <w:pPr>
        <w:pStyle w:val="31"/>
        <w:spacing w:line="360" w:lineRule="auto"/>
        <w:rPr>
          <w:rFonts w:ascii="宋体"/>
          <w:color w:val="auto"/>
          <w:szCs w:val="21"/>
          <w:highlight w:val="none"/>
        </w:rPr>
      </w:pPr>
      <w:r>
        <w:rPr>
          <w:rFonts w:hint="eastAsia" w:ascii="宋体" w:hAnsi="宋体"/>
          <w:color w:val="auto"/>
          <w:szCs w:val="21"/>
          <w:highlight w:val="none"/>
        </w:rPr>
        <w:t>发包人</w:t>
      </w:r>
      <w:r>
        <w:rPr>
          <w:rFonts w:ascii="宋体" w:hAnsi="宋体"/>
          <w:color w:val="auto"/>
          <w:szCs w:val="21"/>
          <w:highlight w:val="none"/>
        </w:rPr>
        <w:t>(</w:t>
      </w:r>
      <w:r>
        <w:rPr>
          <w:rFonts w:hint="eastAsia" w:ascii="宋体" w:hAnsi="宋体"/>
          <w:color w:val="auto"/>
          <w:szCs w:val="21"/>
          <w:highlight w:val="none"/>
        </w:rPr>
        <w:t>公章</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承包人</w:t>
      </w:r>
      <w:r>
        <w:rPr>
          <w:rFonts w:ascii="宋体" w:hAnsi="宋体"/>
          <w:color w:val="auto"/>
          <w:szCs w:val="21"/>
          <w:highlight w:val="none"/>
        </w:rPr>
        <w:t>(</w:t>
      </w:r>
      <w:r>
        <w:rPr>
          <w:rFonts w:hint="eastAsia" w:ascii="宋体" w:hAnsi="宋体"/>
          <w:color w:val="auto"/>
          <w:szCs w:val="21"/>
          <w:highlight w:val="none"/>
        </w:rPr>
        <w:t>公章</w:t>
      </w:r>
      <w:r>
        <w:rPr>
          <w:rFonts w:ascii="宋体" w:hAnsi="宋体"/>
          <w:color w:val="auto"/>
          <w:szCs w:val="21"/>
          <w:highlight w:val="none"/>
        </w:rPr>
        <w:t>)</w:t>
      </w:r>
      <w:r>
        <w:rPr>
          <w:rFonts w:hint="eastAsia" w:ascii="宋体" w:hAnsi="宋体"/>
          <w:color w:val="auto"/>
          <w:szCs w:val="21"/>
          <w:highlight w:val="none"/>
        </w:rPr>
        <w:t>：</w:t>
      </w:r>
    </w:p>
    <w:p>
      <w:pPr>
        <w:pStyle w:val="31"/>
        <w:spacing w:line="360" w:lineRule="auto"/>
        <w:rPr>
          <w:rFonts w:ascii="宋体" w:hAnsi="宋体"/>
          <w:color w:val="auto"/>
          <w:szCs w:val="21"/>
          <w:highlight w:val="none"/>
        </w:rPr>
      </w:pPr>
      <w:r>
        <w:rPr>
          <w:rFonts w:hint="eastAsia" w:ascii="宋体" w:hAnsi="宋体"/>
          <w:color w:val="auto"/>
          <w:szCs w:val="21"/>
          <w:highlight w:val="none"/>
        </w:rPr>
        <w:t xml:space="preserve">地址：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地址：</w:t>
      </w:r>
    </w:p>
    <w:p>
      <w:pPr>
        <w:pStyle w:val="31"/>
        <w:spacing w:line="360" w:lineRule="auto"/>
        <w:rPr>
          <w:rFonts w:ascii="宋体"/>
          <w:color w:val="auto"/>
          <w:szCs w:val="21"/>
          <w:highlight w:val="none"/>
        </w:rPr>
      </w:pPr>
      <w:r>
        <w:rPr>
          <w:rFonts w:hint="eastAsia" w:ascii="宋体" w:hAnsi="宋体"/>
          <w:color w:val="auto"/>
          <w:szCs w:val="21"/>
          <w:highlight w:val="none"/>
        </w:rPr>
        <w:t xml:space="preserve">法定代表人：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法定代表人：</w:t>
      </w:r>
    </w:p>
    <w:p>
      <w:pPr>
        <w:pStyle w:val="31"/>
        <w:spacing w:line="360" w:lineRule="auto"/>
        <w:rPr>
          <w:rFonts w:ascii="宋体"/>
          <w:color w:val="auto"/>
          <w:szCs w:val="21"/>
          <w:highlight w:val="none"/>
        </w:rPr>
      </w:pPr>
      <w:r>
        <w:rPr>
          <w:rFonts w:hint="eastAsia" w:ascii="宋体" w:hAnsi="宋体"/>
          <w:color w:val="auto"/>
          <w:szCs w:val="21"/>
          <w:highlight w:val="none"/>
          <w:lang w:eastAsia="zh-CN"/>
        </w:rPr>
        <w:t>或</w:t>
      </w:r>
      <w:r>
        <w:rPr>
          <w:rFonts w:hint="eastAsia" w:ascii="宋体" w:hAnsi="宋体"/>
          <w:color w:val="auto"/>
          <w:szCs w:val="21"/>
          <w:highlight w:val="none"/>
        </w:rPr>
        <w:t>委托代理人</w:t>
      </w:r>
      <w:r>
        <w:rPr>
          <w:rFonts w:ascii="宋体" w:hAnsi="宋体"/>
          <w:color w:val="auto"/>
          <w:szCs w:val="21"/>
          <w:highlight w:val="none"/>
        </w:rPr>
        <w:t>(</w:t>
      </w:r>
      <w:r>
        <w:rPr>
          <w:rFonts w:hint="eastAsia" w:ascii="宋体" w:hAnsi="宋体"/>
          <w:color w:val="auto"/>
          <w:szCs w:val="21"/>
          <w:highlight w:val="none"/>
        </w:rPr>
        <w:t>签字</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或</w:t>
      </w:r>
      <w:r>
        <w:rPr>
          <w:rFonts w:hint="eastAsia" w:ascii="宋体" w:hAnsi="宋体"/>
          <w:color w:val="auto"/>
          <w:szCs w:val="21"/>
          <w:highlight w:val="none"/>
        </w:rPr>
        <w:t>委托代理人</w:t>
      </w:r>
      <w:r>
        <w:rPr>
          <w:rFonts w:ascii="宋体" w:hAnsi="宋体"/>
          <w:color w:val="auto"/>
          <w:szCs w:val="21"/>
          <w:highlight w:val="none"/>
        </w:rPr>
        <w:t>(</w:t>
      </w:r>
      <w:r>
        <w:rPr>
          <w:rFonts w:hint="eastAsia" w:ascii="宋体" w:hAnsi="宋体"/>
          <w:color w:val="auto"/>
          <w:szCs w:val="21"/>
          <w:highlight w:val="none"/>
        </w:rPr>
        <w:t>签字</w:t>
      </w:r>
      <w:r>
        <w:rPr>
          <w:rFonts w:ascii="宋体" w:hAnsi="宋体"/>
          <w:color w:val="auto"/>
          <w:szCs w:val="21"/>
          <w:highlight w:val="none"/>
        </w:rPr>
        <w:t>)</w:t>
      </w:r>
      <w:r>
        <w:rPr>
          <w:rFonts w:hint="eastAsia" w:ascii="宋体" w:hAnsi="宋体"/>
          <w:color w:val="auto"/>
          <w:szCs w:val="21"/>
          <w:highlight w:val="none"/>
        </w:rPr>
        <w:t>：</w:t>
      </w:r>
    </w:p>
    <w:p>
      <w:pPr>
        <w:rPr>
          <w:rFonts w:ascii="宋体" w:cs="宋体"/>
          <w:color w:val="auto"/>
          <w:szCs w:val="21"/>
          <w:highlight w:val="none"/>
        </w:rPr>
      </w:pPr>
    </w:p>
    <w:p>
      <w:pPr>
        <w:rPr>
          <w:rFonts w:ascii="宋体" w:cs="宋体"/>
          <w:color w:val="auto"/>
          <w:szCs w:val="21"/>
          <w:highlight w:val="none"/>
        </w:rPr>
      </w:pPr>
    </w:p>
    <w:p>
      <w:pPr>
        <w:rPr>
          <w:color w:val="auto"/>
        </w:rPr>
      </w:pPr>
    </w:p>
    <w:p>
      <w:pPr>
        <w:rPr>
          <w:color w:val="auto"/>
        </w:rPr>
      </w:pPr>
    </w:p>
    <w:p>
      <w:pPr>
        <w:pStyle w:val="7"/>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9"/>
        <w:rPr>
          <w:rFonts w:ascii="宋体" w:hAnsi="宋体"/>
          <w:color w:val="auto"/>
          <w:highlight w:val="none"/>
        </w:rPr>
      </w:pPr>
    </w:p>
    <w:p>
      <w:pPr>
        <w:rPr>
          <w:rFonts w:ascii="宋体" w:hAnsi="宋体"/>
          <w:color w:val="auto"/>
          <w:highlight w:val="none"/>
        </w:rPr>
      </w:pPr>
    </w:p>
    <w:p>
      <w:pPr>
        <w:pStyle w:val="24"/>
        <w:spacing w:line="360" w:lineRule="auto"/>
        <w:jc w:val="center"/>
        <w:outlineLvl w:val="0"/>
        <w:rPr>
          <w:rFonts w:hint="eastAsia" w:eastAsia="宋体"/>
          <w:color w:val="auto"/>
          <w:szCs w:val="21"/>
          <w:highlight w:val="none"/>
          <w:lang w:eastAsia="zh-CN"/>
        </w:rPr>
      </w:pPr>
      <w:bookmarkStart w:id="227" w:name="_Toc14935"/>
      <w:r>
        <w:rPr>
          <w:rFonts w:ascii="宋体" w:hAnsi="宋体"/>
          <w:b/>
          <w:color w:val="auto"/>
          <w:sz w:val="32"/>
          <w:szCs w:val="32"/>
          <w:highlight w:val="none"/>
        </w:rPr>
        <w:t xml:space="preserve">第六章   </w:t>
      </w:r>
      <w:bookmarkEnd w:id="227"/>
      <w:r>
        <w:rPr>
          <w:rFonts w:hint="eastAsia" w:ascii="宋体" w:hAnsi="宋体"/>
          <w:b/>
          <w:color w:val="auto"/>
          <w:sz w:val="32"/>
          <w:szCs w:val="32"/>
          <w:highlight w:val="none"/>
          <w:lang w:eastAsia="zh-CN"/>
        </w:rPr>
        <w:t>评分办法和标准</w:t>
      </w:r>
    </w:p>
    <w:p>
      <w:pPr>
        <w:pStyle w:val="24"/>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pPr>
        <w:pStyle w:val="11"/>
        <w:spacing w:line="520" w:lineRule="exact"/>
        <w:rPr>
          <w:rFonts w:hint="eastAsia" w:ascii="宋体" w:hAnsi="宋体" w:cs="宋体"/>
          <w:color w:val="auto"/>
          <w:spacing w:val="-4"/>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11"/>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pPr>
        <w:pStyle w:val="11"/>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pPr>
        <w:pStyle w:val="11"/>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pP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pStyle w:val="11"/>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pPr>
        <w:pStyle w:val="24"/>
        <w:spacing w:line="520" w:lineRule="exact"/>
        <w:jc w:val="left"/>
        <w:rPr>
          <w:rFonts w:hint="eastAsia" w:ascii="宋体" w:hAnsi="宋体" w:cs="宋体"/>
          <w:b/>
          <w:color w:val="auto"/>
          <w:sz w:val="21"/>
          <w:szCs w:val="21"/>
          <w:highlight w:val="none"/>
        </w:rPr>
      </w:pPr>
      <w:bookmarkStart w:id="228" w:name="_Toc419886414"/>
      <w:r>
        <w:rPr>
          <w:rFonts w:hint="eastAsia" w:ascii="宋体" w:hAnsi="宋体" w:cs="宋体"/>
          <w:b/>
          <w:color w:val="auto"/>
          <w:sz w:val="21"/>
          <w:szCs w:val="21"/>
          <w:highlight w:val="none"/>
        </w:rPr>
        <w:t>三、评定方法</w:t>
      </w:r>
      <w:bookmarkEnd w:id="228"/>
      <w:r>
        <w:rPr>
          <w:rFonts w:hint="eastAsia" w:ascii="宋体" w:hAnsi="宋体" w:cs="宋体"/>
          <w:b/>
          <w:color w:val="auto"/>
          <w:sz w:val="21"/>
          <w:szCs w:val="21"/>
          <w:highlight w:val="none"/>
        </w:rPr>
        <w:t>（总分=1+2）</w:t>
      </w:r>
    </w:p>
    <w:tbl>
      <w:tblPr>
        <w:tblStyle w:val="18"/>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 w:val="21"/>
                <w:szCs w:val="21"/>
                <w:highlight w:val="none"/>
              </w:rPr>
            </w:pPr>
            <w:r>
              <w:rPr>
                <w:b/>
                <w:bCs/>
                <w:color w:val="auto"/>
                <w:sz w:val="21"/>
                <w:szCs w:val="21"/>
                <w:highlight w:val="none"/>
              </w:rPr>
              <w:t>分值构成</w:t>
            </w:r>
          </w:p>
        </w:tc>
        <w:tc>
          <w:tcPr>
            <w:tcW w:w="1773" w:type="dxa"/>
            <w:vAlign w:val="center"/>
          </w:tcPr>
          <w:p>
            <w:pPr>
              <w:keepNext w:val="0"/>
              <w:keepLines w:val="0"/>
              <w:pageBreakBefore w:val="0"/>
              <w:kinsoku/>
              <w:wordWrap/>
              <w:overflowPunct/>
              <w:topLinePunct w:val="0"/>
              <w:autoSpaceDE/>
              <w:autoSpaceDN/>
              <w:bidi w:val="0"/>
              <w:snapToGrid/>
              <w:spacing w:line="312" w:lineRule="auto"/>
              <w:rPr>
                <w:color w:val="auto"/>
                <w:sz w:val="21"/>
                <w:szCs w:val="21"/>
                <w:highlight w:val="none"/>
              </w:rPr>
            </w:pPr>
            <w:r>
              <w:rPr>
                <w:color w:val="auto"/>
                <w:sz w:val="21"/>
                <w:szCs w:val="21"/>
                <w:highlight w:val="none"/>
              </w:rPr>
              <w:t>分值构成（总分100分）</w:t>
            </w:r>
          </w:p>
        </w:tc>
        <w:tc>
          <w:tcPr>
            <w:tcW w:w="5640" w:type="dxa"/>
          </w:tcPr>
          <w:p>
            <w:pPr>
              <w:keepNext w:val="0"/>
              <w:keepLines w:val="0"/>
              <w:pageBreakBefore w:val="0"/>
              <w:kinsoku/>
              <w:wordWrap/>
              <w:overflowPunct/>
              <w:topLinePunct w:val="0"/>
              <w:autoSpaceDE/>
              <w:autoSpaceDN/>
              <w:bidi w:val="0"/>
              <w:snapToGrid/>
              <w:spacing w:line="312" w:lineRule="auto"/>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color w:val="auto"/>
                <w:sz w:val="21"/>
                <w:szCs w:val="21"/>
                <w:highlight w:val="none"/>
              </w:rPr>
              <w:t>：</w:t>
            </w:r>
            <w:r>
              <w:rPr>
                <w:rFonts w:hint="eastAsia"/>
                <w:color w:val="auto"/>
                <w:sz w:val="21"/>
                <w:szCs w:val="21"/>
                <w:highlight w:val="none"/>
                <w:lang w:val="en-US" w:eastAsia="zh-CN"/>
              </w:rPr>
              <w:t>70分</w:t>
            </w:r>
            <w:r>
              <w:rPr>
                <w:rFonts w:hint="eastAsia"/>
                <w:color w:val="auto"/>
                <w:sz w:val="21"/>
                <w:szCs w:val="21"/>
                <w:highlight w:val="none"/>
              </w:rPr>
              <w:t>；</w:t>
            </w:r>
            <w:r>
              <w:rPr>
                <w:rFonts w:hint="eastAsia"/>
                <w:color w:val="auto"/>
                <w:sz w:val="21"/>
                <w:szCs w:val="21"/>
                <w:highlight w:val="none"/>
                <w:lang w:eastAsia="zh-CN"/>
              </w:rPr>
              <w:t>报价得分</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spacing w:line="360" w:lineRule="auto"/>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pPr>
              <w:spacing w:line="360" w:lineRule="auto"/>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spacing w:line="360" w:lineRule="auto"/>
              <w:rPr>
                <w:color w:val="auto"/>
                <w:sz w:val="21"/>
                <w:szCs w:val="21"/>
                <w:highlight w:val="none"/>
              </w:rPr>
            </w:pPr>
            <w:r>
              <w:rPr>
                <w:rFonts w:hint="eastAsia"/>
                <w:b/>
                <w:bCs/>
                <w:color w:val="auto"/>
                <w:sz w:val="21"/>
                <w:szCs w:val="21"/>
                <w:highlight w:val="none"/>
                <w:lang w:val="en-US" w:eastAsia="zh-CN"/>
              </w:rPr>
              <w:t>优</w:t>
            </w:r>
            <w:r>
              <w:rPr>
                <w:b/>
                <w:bCs/>
                <w:color w:val="auto"/>
                <w:sz w:val="21"/>
                <w:szCs w:val="21"/>
                <w:highlight w:val="none"/>
              </w:rPr>
              <w:t>：</w:t>
            </w:r>
            <w:r>
              <w:rPr>
                <w:color w:val="auto"/>
                <w:sz w:val="21"/>
                <w:szCs w:val="21"/>
                <w:highlight w:val="none"/>
              </w:rPr>
              <w:t>各主要分部施工方法针对性强，施工技术方案详尽周密，工艺先进、方法科学、可行，能很好的指导具体施工合确保安全</w:t>
            </w:r>
            <w:r>
              <w:rPr>
                <w:rFonts w:hint="eastAsia"/>
                <w:color w:val="auto"/>
                <w:sz w:val="21"/>
                <w:szCs w:val="21"/>
                <w:highlight w:val="none"/>
                <w:lang w:eastAsia="zh-CN"/>
              </w:rPr>
              <w:t>的得</w:t>
            </w:r>
            <w:r>
              <w:rPr>
                <w:rFonts w:hint="eastAsia"/>
                <w:color w:val="auto"/>
                <w:sz w:val="21"/>
                <w:szCs w:val="21"/>
                <w:highlight w:val="none"/>
                <w:lang w:val="en-US" w:eastAsia="zh-CN"/>
              </w:rPr>
              <w:t>8分</w:t>
            </w:r>
            <w:r>
              <w:rPr>
                <w:color w:val="auto"/>
                <w:sz w:val="21"/>
                <w:szCs w:val="21"/>
                <w:highlight w:val="none"/>
              </w:rPr>
              <w:t>。</w:t>
            </w:r>
          </w:p>
          <w:p>
            <w:pPr>
              <w:spacing w:line="360" w:lineRule="auto"/>
              <w:rPr>
                <w:color w:val="auto"/>
                <w:sz w:val="21"/>
                <w:szCs w:val="21"/>
                <w:highlight w:val="none"/>
              </w:rPr>
            </w:pPr>
            <w:r>
              <w:rPr>
                <w:rFonts w:hint="eastAsia"/>
                <w:b/>
                <w:bCs/>
                <w:color w:val="auto"/>
                <w:sz w:val="21"/>
                <w:szCs w:val="21"/>
                <w:highlight w:val="none"/>
                <w:lang w:val="en-US" w:eastAsia="zh-CN"/>
              </w:rPr>
              <w:t>良</w:t>
            </w:r>
            <w:r>
              <w:rPr>
                <w:b/>
                <w:bCs/>
                <w:color w:val="auto"/>
                <w:sz w:val="21"/>
                <w:szCs w:val="21"/>
                <w:highlight w:val="none"/>
              </w:rPr>
              <w:t>：</w:t>
            </w:r>
            <w:r>
              <w:rPr>
                <w:color w:val="auto"/>
                <w:sz w:val="21"/>
                <w:szCs w:val="21"/>
                <w:highlight w:val="none"/>
              </w:rPr>
              <w:t>各主要分部施工方法符合项目实际，施工技术方案齐全，工艺成熟、方法合理、可行，能指导具体施工并确保安全</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w:t>
            </w:r>
          </w:p>
          <w:p>
            <w:pPr>
              <w:spacing w:line="360" w:lineRule="auto"/>
              <w:rPr>
                <w:color w:val="auto"/>
                <w:sz w:val="21"/>
                <w:szCs w:val="21"/>
                <w:highlight w:val="none"/>
              </w:rPr>
            </w:pPr>
            <w:r>
              <w:rPr>
                <w:rFonts w:hint="eastAsia"/>
                <w:b/>
                <w:bCs/>
                <w:color w:val="auto"/>
                <w:sz w:val="21"/>
                <w:szCs w:val="21"/>
                <w:highlight w:val="none"/>
                <w:lang w:val="en-US" w:eastAsia="zh-CN"/>
              </w:rPr>
              <w:t>中</w:t>
            </w:r>
            <w:r>
              <w:rPr>
                <w:b/>
                <w:bCs/>
                <w:color w:val="auto"/>
                <w:sz w:val="21"/>
                <w:szCs w:val="21"/>
                <w:highlight w:val="none"/>
              </w:rPr>
              <w:t>：</w:t>
            </w:r>
            <w:r>
              <w:rPr>
                <w:color w:val="auto"/>
                <w:sz w:val="21"/>
                <w:szCs w:val="21"/>
                <w:highlight w:val="none"/>
              </w:rPr>
              <w:t>各主要分部施工方法基本符合项目实际，施工技术方案基本齐全，方法基本合理、基本可行，基本能指导具体施 工并确保安全</w:t>
            </w:r>
            <w:r>
              <w:rPr>
                <w:rFonts w:hint="eastAsia"/>
                <w:color w:val="auto"/>
                <w:sz w:val="21"/>
                <w:szCs w:val="21"/>
                <w:highlight w:val="none"/>
                <w:lang w:eastAsia="zh-CN"/>
              </w:rPr>
              <w:t>的得</w:t>
            </w:r>
            <w:r>
              <w:rPr>
                <w:rFonts w:hint="eastAsia"/>
                <w:color w:val="auto"/>
                <w:sz w:val="21"/>
                <w:szCs w:val="21"/>
                <w:highlight w:val="none"/>
                <w:lang w:val="en-US" w:eastAsia="zh-CN"/>
              </w:rPr>
              <w:t>5分</w:t>
            </w:r>
            <w:r>
              <w:rPr>
                <w:color w:val="auto"/>
                <w:sz w:val="21"/>
                <w:szCs w:val="21"/>
                <w:highlight w:val="none"/>
              </w:rPr>
              <w:t xml:space="preserve">。 </w:t>
            </w:r>
          </w:p>
          <w:p>
            <w:pPr>
              <w:spacing w:line="360" w:lineRule="auto"/>
              <w:rPr>
                <w:color w:val="auto"/>
                <w:sz w:val="21"/>
                <w:szCs w:val="21"/>
                <w:highlight w:val="none"/>
              </w:rPr>
            </w:pPr>
            <w:r>
              <w:rPr>
                <w:rFonts w:hint="eastAsia"/>
                <w:b/>
                <w:bCs/>
                <w:color w:val="auto"/>
                <w:sz w:val="21"/>
                <w:szCs w:val="21"/>
                <w:highlight w:val="none"/>
                <w:lang w:val="en-US" w:eastAsia="zh-CN"/>
              </w:rPr>
              <w:t>差</w:t>
            </w:r>
            <w:r>
              <w:rPr>
                <w:b/>
                <w:bCs/>
                <w:color w:val="auto"/>
                <w:sz w:val="21"/>
                <w:szCs w:val="21"/>
                <w:highlight w:val="none"/>
              </w:rPr>
              <w:t>：</w:t>
            </w:r>
            <w:r>
              <w:rPr>
                <w:color w:val="auto"/>
                <w:sz w:val="21"/>
                <w:szCs w:val="21"/>
                <w:highlight w:val="none"/>
              </w:rPr>
              <w:t>各主要分部施工方法针对性差，施工技术方案差， 工艺落后、方法不合理， 不能指导具体施工和确保安全</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2"/>
              <w:spacing w:before="100" w:line="360" w:lineRule="auto"/>
              <w:ind w:left="107"/>
              <w:rPr>
                <w:color w:val="auto"/>
                <w:sz w:val="21"/>
                <w:szCs w:val="21"/>
                <w:highlight w:val="none"/>
              </w:rPr>
            </w:pPr>
            <w:r>
              <w:rPr>
                <w:rFonts w:hint="eastAsia"/>
                <w:b/>
                <w:bCs/>
                <w:color w:val="auto"/>
                <w:sz w:val="21"/>
                <w:szCs w:val="21"/>
                <w:highlight w:val="none"/>
                <w:lang w:val="en-US" w:eastAsia="zh-CN"/>
              </w:rPr>
              <w:t>优</w:t>
            </w:r>
            <w:r>
              <w:rPr>
                <w:b/>
                <w:bCs/>
                <w:color w:val="auto"/>
                <w:sz w:val="21"/>
                <w:szCs w:val="21"/>
                <w:highlight w:val="none"/>
              </w:rPr>
              <w:t>：</w:t>
            </w:r>
            <w:r>
              <w:rPr>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、完整的得</w:t>
            </w:r>
            <w:r>
              <w:rPr>
                <w:rFonts w:hint="eastAsia"/>
                <w:color w:val="auto"/>
                <w:sz w:val="21"/>
                <w:szCs w:val="21"/>
                <w:highlight w:val="none"/>
                <w:lang w:val="en-US" w:eastAsia="zh-CN"/>
              </w:rPr>
              <w:t>8分</w:t>
            </w:r>
            <w:r>
              <w:rPr>
                <w:color w:val="auto"/>
                <w:sz w:val="21"/>
                <w:szCs w:val="21"/>
                <w:highlight w:val="none"/>
              </w:rPr>
              <w:t>。</w:t>
            </w:r>
          </w:p>
          <w:p>
            <w:pPr>
              <w:pStyle w:val="32"/>
              <w:spacing w:line="360" w:lineRule="auto"/>
              <w:ind w:left="107"/>
              <w:rPr>
                <w:color w:val="auto"/>
                <w:sz w:val="21"/>
                <w:szCs w:val="21"/>
                <w:highlight w:val="none"/>
              </w:rPr>
            </w:pPr>
            <w:r>
              <w:rPr>
                <w:rFonts w:hint="eastAsia"/>
                <w:b/>
                <w:bCs/>
                <w:color w:val="auto"/>
                <w:sz w:val="21"/>
                <w:szCs w:val="21"/>
                <w:highlight w:val="none"/>
                <w:lang w:val="en-US" w:eastAsia="zh-CN"/>
              </w:rPr>
              <w:t>良</w:t>
            </w:r>
            <w:r>
              <w:rPr>
                <w:b/>
                <w:bCs/>
                <w:color w:val="auto"/>
                <w:sz w:val="21"/>
                <w:szCs w:val="21"/>
                <w:highlight w:val="none"/>
              </w:rPr>
              <w:t>：</w:t>
            </w:r>
            <w:r>
              <w:rPr>
                <w:color w:val="auto"/>
                <w:sz w:val="21"/>
                <w:szCs w:val="21"/>
                <w:highlight w:val="none"/>
              </w:rPr>
              <w:t>投入的施工材料有详细的组织计划，投入计划与进度计划呼应，</w:t>
            </w:r>
            <w:r>
              <w:rPr>
                <w:rFonts w:hint="eastAsia"/>
                <w:color w:val="auto"/>
                <w:sz w:val="21"/>
                <w:szCs w:val="21"/>
                <w:highlight w:val="none"/>
                <w:lang w:eastAsia="zh-CN"/>
              </w:rPr>
              <w:t>可以</w:t>
            </w:r>
            <w:r>
              <w:rPr>
                <w:color w:val="auto"/>
                <w:sz w:val="21"/>
                <w:szCs w:val="21"/>
                <w:highlight w:val="none"/>
              </w:rPr>
              <w:t>满足施工需要，调配投入计划基本合理、准确</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 xml:space="preserve">。 </w:t>
            </w:r>
          </w:p>
          <w:p>
            <w:pPr>
              <w:pStyle w:val="32"/>
              <w:spacing w:line="360" w:lineRule="auto"/>
              <w:ind w:left="107" w:leftChars="0"/>
              <w:rPr>
                <w:color w:val="auto"/>
                <w:sz w:val="21"/>
                <w:szCs w:val="21"/>
                <w:highlight w:val="none"/>
              </w:rPr>
            </w:pPr>
            <w:r>
              <w:rPr>
                <w:rFonts w:hint="eastAsia"/>
                <w:b/>
                <w:bCs/>
                <w:color w:val="auto"/>
                <w:sz w:val="21"/>
                <w:szCs w:val="21"/>
                <w:highlight w:val="none"/>
                <w:lang w:val="en-US" w:eastAsia="zh-CN"/>
              </w:rPr>
              <w:t>中</w:t>
            </w:r>
            <w:r>
              <w:rPr>
                <w:b/>
                <w:bCs/>
                <w:color w:val="auto"/>
                <w:sz w:val="21"/>
                <w:szCs w:val="21"/>
                <w:highlight w:val="none"/>
              </w:rPr>
              <w:t>：</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的组织计划，投入计划与进度计划呼</w:t>
            </w:r>
            <w:r>
              <w:rPr>
                <w:color w:val="auto"/>
                <w:spacing w:val="-10"/>
                <w:sz w:val="21"/>
                <w:szCs w:val="21"/>
                <w:highlight w:val="none"/>
              </w:rPr>
              <w:t>应，基本满足施工需要，</w:t>
            </w:r>
            <w:r>
              <w:rPr>
                <w:color w:val="auto"/>
                <w:sz w:val="21"/>
                <w:szCs w:val="21"/>
                <w:highlight w:val="none"/>
              </w:rPr>
              <w:t>调配投入计划基本合理</w:t>
            </w:r>
            <w:r>
              <w:rPr>
                <w:rFonts w:hint="eastAsia"/>
                <w:color w:val="auto"/>
                <w:sz w:val="21"/>
                <w:szCs w:val="21"/>
                <w:highlight w:val="none"/>
                <w:lang w:eastAsia="zh-CN"/>
              </w:rPr>
              <w:t>的得</w:t>
            </w:r>
            <w:r>
              <w:rPr>
                <w:rFonts w:hint="eastAsia"/>
                <w:color w:val="auto"/>
                <w:sz w:val="21"/>
                <w:szCs w:val="21"/>
                <w:highlight w:val="none"/>
                <w:lang w:val="en-US" w:eastAsia="zh-CN"/>
              </w:rPr>
              <w:t>5分</w:t>
            </w:r>
            <w:r>
              <w:rPr>
                <w:color w:val="auto"/>
                <w:sz w:val="21"/>
                <w:szCs w:val="21"/>
                <w:highlight w:val="none"/>
              </w:rPr>
              <w:t xml:space="preserve">。 </w:t>
            </w:r>
          </w:p>
          <w:p>
            <w:pPr>
              <w:pStyle w:val="32"/>
              <w:spacing w:line="360" w:lineRule="auto"/>
              <w:ind w:left="107" w:leftChars="0"/>
              <w:rPr>
                <w:color w:val="auto"/>
                <w:sz w:val="21"/>
                <w:szCs w:val="21"/>
                <w:highlight w:val="none"/>
              </w:rPr>
            </w:pPr>
            <w:r>
              <w:rPr>
                <w:rFonts w:hint="eastAsia"/>
                <w:b/>
                <w:bCs/>
                <w:color w:val="auto"/>
                <w:sz w:val="21"/>
                <w:szCs w:val="21"/>
                <w:highlight w:val="none"/>
                <w:lang w:val="en-US" w:eastAsia="zh-CN"/>
              </w:rPr>
              <w:t>差</w:t>
            </w:r>
            <w:r>
              <w:rPr>
                <w:b/>
                <w:bCs/>
                <w:color w:val="auto"/>
                <w:sz w:val="21"/>
                <w:szCs w:val="21"/>
                <w:highlight w:val="none"/>
              </w:rPr>
              <w:t>：</w:t>
            </w:r>
            <w:r>
              <w:rPr>
                <w:color w:val="auto"/>
                <w:sz w:val="21"/>
                <w:szCs w:val="21"/>
                <w:highlight w:val="none"/>
              </w:rPr>
              <w:t>投入的施工材料的组织计划差，投入计划与进度计划不呼应，</w:t>
            </w:r>
            <w:r>
              <w:rPr>
                <w:rFonts w:hint="eastAsia"/>
                <w:color w:val="auto"/>
                <w:sz w:val="21"/>
                <w:szCs w:val="21"/>
                <w:highlight w:val="none"/>
                <w:lang w:eastAsia="zh-CN"/>
              </w:rPr>
              <w:t>勉强</w:t>
            </w:r>
            <w:r>
              <w:rPr>
                <w:color w:val="auto"/>
                <w:sz w:val="21"/>
                <w:szCs w:val="21"/>
                <w:highlight w:val="none"/>
              </w:rPr>
              <w:t>满足施工需要</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2"/>
              <w:spacing w:before="100" w:line="360" w:lineRule="auto"/>
              <w:ind w:left="107"/>
              <w:rPr>
                <w:color w:val="auto"/>
                <w:sz w:val="21"/>
                <w:szCs w:val="21"/>
                <w:highlight w:val="none"/>
              </w:rPr>
            </w:pPr>
            <w:r>
              <w:rPr>
                <w:rFonts w:hint="eastAsia"/>
                <w:b/>
                <w:bCs/>
                <w:color w:val="auto"/>
                <w:sz w:val="21"/>
                <w:szCs w:val="21"/>
                <w:highlight w:val="none"/>
                <w:lang w:val="en-US" w:eastAsia="zh-CN"/>
              </w:rPr>
              <w:t>优</w:t>
            </w:r>
            <w:r>
              <w:rPr>
                <w:b/>
                <w:bCs/>
                <w:color w:val="auto"/>
                <w:sz w:val="21"/>
                <w:szCs w:val="21"/>
                <w:highlight w:val="none"/>
              </w:rPr>
              <w:t>：</w:t>
            </w:r>
            <w:r>
              <w:rPr>
                <w:color w:val="auto"/>
                <w:sz w:val="21"/>
                <w:szCs w:val="21"/>
                <w:highlight w:val="none"/>
              </w:rPr>
              <w:t>投入的施工机械、设备、机具有详细的组织计划且计划周密，设备数量、选型配置、进场时间安排合理，</w:t>
            </w:r>
            <w:r>
              <w:rPr>
                <w:rFonts w:hint="eastAsia"/>
                <w:color w:val="auto"/>
                <w:sz w:val="21"/>
                <w:szCs w:val="21"/>
                <w:highlight w:val="none"/>
                <w:lang w:eastAsia="zh-CN"/>
              </w:rPr>
              <w:t>完全</w:t>
            </w:r>
            <w:r>
              <w:rPr>
                <w:color w:val="auto"/>
                <w:sz w:val="21"/>
                <w:szCs w:val="21"/>
                <w:highlight w:val="none"/>
              </w:rPr>
              <w:t>满足施工需要</w:t>
            </w:r>
            <w:r>
              <w:rPr>
                <w:rFonts w:hint="eastAsia"/>
                <w:color w:val="auto"/>
                <w:sz w:val="21"/>
                <w:szCs w:val="21"/>
                <w:highlight w:val="none"/>
                <w:lang w:eastAsia="zh-CN"/>
              </w:rPr>
              <w:t>的得</w:t>
            </w:r>
            <w:r>
              <w:rPr>
                <w:rFonts w:hint="eastAsia"/>
                <w:color w:val="auto"/>
                <w:sz w:val="21"/>
                <w:szCs w:val="21"/>
                <w:highlight w:val="none"/>
                <w:lang w:val="en-US" w:eastAsia="zh-CN"/>
              </w:rPr>
              <w:t>8分</w:t>
            </w:r>
            <w:r>
              <w:rPr>
                <w:color w:val="auto"/>
                <w:sz w:val="21"/>
                <w:szCs w:val="21"/>
                <w:highlight w:val="none"/>
              </w:rPr>
              <w:t xml:space="preserve">。 </w:t>
            </w:r>
          </w:p>
          <w:p>
            <w:pPr>
              <w:pStyle w:val="32"/>
              <w:spacing w:line="360" w:lineRule="auto"/>
              <w:ind w:left="107"/>
              <w:rPr>
                <w:color w:val="auto"/>
                <w:spacing w:val="-13"/>
                <w:sz w:val="21"/>
                <w:szCs w:val="21"/>
                <w:highlight w:val="none"/>
              </w:rPr>
            </w:pPr>
            <w:r>
              <w:rPr>
                <w:rFonts w:hint="eastAsia"/>
                <w:b/>
                <w:bCs/>
                <w:color w:val="auto"/>
                <w:sz w:val="21"/>
                <w:szCs w:val="21"/>
                <w:highlight w:val="none"/>
                <w:lang w:val="en-US" w:eastAsia="zh-CN"/>
              </w:rPr>
              <w:t>良</w:t>
            </w:r>
            <w:r>
              <w:rPr>
                <w:b/>
                <w:bCs/>
                <w:color w:val="auto"/>
                <w:sz w:val="21"/>
                <w:szCs w:val="21"/>
                <w:highlight w:val="none"/>
              </w:rPr>
              <w:t>：</w:t>
            </w:r>
            <w:r>
              <w:rPr>
                <w:color w:val="auto"/>
                <w:sz w:val="21"/>
                <w:szCs w:val="21"/>
                <w:highlight w:val="none"/>
              </w:rPr>
              <w:t>投入的施工</w:t>
            </w:r>
            <w:r>
              <w:rPr>
                <w:color w:val="auto"/>
                <w:spacing w:val="-10"/>
                <w:sz w:val="21"/>
                <w:szCs w:val="21"/>
                <w:highlight w:val="none"/>
              </w:rPr>
              <w:t>机械、设备、 机具有详细的组织计划，设备数量、选型配置、进场投入计划与进度计划呼</w:t>
            </w:r>
            <w:r>
              <w:rPr>
                <w:color w:val="auto"/>
                <w:spacing w:val="-13"/>
                <w:sz w:val="21"/>
                <w:szCs w:val="21"/>
                <w:highlight w:val="none"/>
              </w:rPr>
              <w:t>应，满足施工需要</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pacing w:val="-13"/>
                <w:sz w:val="21"/>
                <w:szCs w:val="21"/>
                <w:highlight w:val="none"/>
              </w:rPr>
              <w:t xml:space="preserve">。 </w:t>
            </w:r>
          </w:p>
          <w:p>
            <w:pPr>
              <w:pStyle w:val="32"/>
              <w:spacing w:line="360" w:lineRule="auto"/>
              <w:ind w:left="107" w:right="101"/>
              <w:rPr>
                <w:rFonts w:ascii="宋体" w:hAnsi="宋体" w:eastAsia="宋体" w:cs="宋体"/>
                <w:color w:val="auto"/>
                <w:spacing w:val="-3"/>
                <w:sz w:val="21"/>
                <w:szCs w:val="21"/>
                <w:highlight w:val="none"/>
              </w:rPr>
            </w:pPr>
            <w:r>
              <w:rPr>
                <w:rFonts w:hint="eastAsia"/>
                <w:b/>
                <w:bCs/>
                <w:color w:val="auto"/>
                <w:sz w:val="21"/>
                <w:szCs w:val="21"/>
                <w:highlight w:val="none"/>
                <w:lang w:val="en-US" w:eastAsia="zh-CN"/>
              </w:rPr>
              <w:t>中</w:t>
            </w:r>
            <w:r>
              <w:rPr>
                <w:b/>
                <w:bCs/>
                <w:color w:val="auto"/>
                <w:spacing w:val="-3"/>
                <w:sz w:val="21"/>
                <w:szCs w:val="21"/>
                <w:highlight w:val="none"/>
              </w:rPr>
              <w:t>：</w:t>
            </w:r>
            <w:r>
              <w:rPr>
                <w:color w:val="auto"/>
                <w:spacing w:val="-3"/>
                <w:sz w:val="21"/>
                <w:szCs w:val="21"/>
                <w:highlight w:val="none"/>
              </w:rPr>
              <w:t>投入</w:t>
            </w:r>
            <w:r>
              <w:rPr>
                <w:rFonts w:ascii="宋体" w:hAnsi="宋体" w:eastAsia="宋体" w:cs="宋体"/>
                <w:color w:val="auto"/>
                <w:spacing w:val="-3"/>
                <w:sz w:val="21"/>
                <w:szCs w:val="21"/>
                <w:highlight w:val="none"/>
              </w:rPr>
              <w:t>的施工机械、设备、机具有组织计划，设备数量、选型配置、进场投入计划与进度计划呼应，基本满足施工需要</w:t>
            </w:r>
            <w:r>
              <w:rPr>
                <w:rFonts w:hint="eastAsia"/>
                <w:color w:val="auto"/>
                <w:sz w:val="21"/>
                <w:szCs w:val="21"/>
                <w:highlight w:val="none"/>
                <w:lang w:eastAsia="zh-CN"/>
              </w:rPr>
              <w:t>的得</w:t>
            </w:r>
            <w:r>
              <w:rPr>
                <w:rFonts w:hint="eastAsia"/>
                <w:color w:val="auto"/>
                <w:sz w:val="21"/>
                <w:szCs w:val="21"/>
                <w:highlight w:val="none"/>
                <w:lang w:val="en-US" w:eastAsia="zh-CN"/>
              </w:rPr>
              <w:t>5分</w:t>
            </w:r>
            <w:r>
              <w:rPr>
                <w:rFonts w:ascii="宋体" w:hAnsi="宋体" w:eastAsia="宋体" w:cs="宋体"/>
                <w:color w:val="auto"/>
                <w:spacing w:val="-3"/>
                <w:sz w:val="21"/>
                <w:szCs w:val="21"/>
                <w:highlight w:val="none"/>
              </w:rPr>
              <w:t xml:space="preserve">。 </w:t>
            </w:r>
          </w:p>
          <w:p>
            <w:pPr>
              <w:pStyle w:val="32"/>
              <w:spacing w:line="360" w:lineRule="auto"/>
              <w:ind w:left="107" w:leftChars="0"/>
              <w:rPr>
                <w:color w:val="auto"/>
                <w:sz w:val="21"/>
                <w:szCs w:val="21"/>
                <w:highlight w:val="none"/>
              </w:rPr>
            </w:pPr>
            <w:r>
              <w:rPr>
                <w:rFonts w:hint="eastAsia"/>
                <w:b/>
                <w:bCs/>
                <w:color w:val="auto"/>
                <w:sz w:val="21"/>
                <w:szCs w:val="21"/>
                <w:highlight w:val="none"/>
                <w:lang w:val="en-US" w:eastAsia="zh-CN"/>
              </w:rPr>
              <w:t>差</w:t>
            </w:r>
            <w:r>
              <w:rPr>
                <w:b/>
                <w:bCs/>
                <w:color w:val="auto"/>
                <w:spacing w:val="-7"/>
                <w:sz w:val="21"/>
                <w:szCs w:val="21"/>
                <w:highlight w:val="none"/>
              </w:rPr>
              <w:t>：</w:t>
            </w:r>
            <w:r>
              <w:rPr>
                <w:color w:val="auto"/>
                <w:spacing w:val="-7"/>
                <w:sz w:val="21"/>
                <w:szCs w:val="21"/>
                <w:highlight w:val="none"/>
              </w:rPr>
              <w:t>投入的施工机械、</w:t>
            </w:r>
            <w:r>
              <w:rPr>
                <w:color w:val="auto"/>
                <w:spacing w:val="-10"/>
                <w:sz w:val="21"/>
                <w:szCs w:val="21"/>
                <w:highlight w:val="none"/>
              </w:rPr>
              <w:t>设备、机具组织计划差，</w:t>
            </w:r>
            <w:r>
              <w:rPr>
                <w:color w:val="auto"/>
                <w:sz w:val="21"/>
                <w:szCs w:val="21"/>
                <w:highlight w:val="none"/>
              </w:rPr>
              <w:t>投入计划与进度计划不呼应，</w:t>
            </w:r>
            <w:r>
              <w:rPr>
                <w:rFonts w:hint="eastAsia"/>
                <w:color w:val="auto"/>
                <w:sz w:val="21"/>
                <w:szCs w:val="21"/>
                <w:highlight w:val="none"/>
                <w:lang w:eastAsia="zh-CN"/>
              </w:rPr>
              <w:t>勉强</w:t>
            </w:r>
            <w:r>
              <w:rPr>
                <w:color w:val="auto"/>
                <w:sz w:val="21"/>
                <w:szCs w:val="21"/>
                <w:highlight w:val="none"/>
              </w:rPr>
              <w:t>满足施工需要</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kern w:val="0"/>
                <w:sz w:val="21"/>
                <w:szCs w:val="21"/>
                <w:highlight w:val="none"/>
              </w:rPr>
            </w:pPr>
            <w:r>
              <w:rPr>
                <w:rFonts w:hint="eastAsia" w:cs="宋体"/>
                <w:color w:val="auto"/>
                <w:kern w:val="0"/>
                <w:sz w:val="21"/>
                <w:szCs w:val="21"/>
                <w:highlight w:val="none"/>
              </w:rPr>
              <w:t>确保工程质量的技术组织措施</w:t>
            </w:r>
          </w:p>
          <w:p>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2"/>
              <w:spacing w:before="99" w:line="360" w:lineRule="auto"/>
              <w:ind w:left="107"/>
              <w:rPr>
                <w:color w:val="auto"/>
                <w:sz w:val="21"/>
                <w:szCs w:val="21"/>
                <w:highlight w:val="none"/>
              </w:rPr>
            </w:pPr>
            <w:r>
              <w:rPr>
                <w:rFonts w:hint="eastAsia"/>
                <w:b/>
                <w:bCs/>
                <w:color w:val="auto"/>
                <w:sz w:val="21"/>
                <w:szCs w:val="21"/>
                <w:highlight w:val="none"/>
                <w:lang w:val="en-US" w:eastAsia="zh-CN"/>
              </w:rPr>
              <w:t>优</w:t>
            </w:r>
            <w:r>
              <w:rPr>
                <w:b/>
                <w:bCs/>
                <w:color w:val="auto"/>
                <w:sz w:val="21"/>
                <w:szCs w:val="21"/>
                <w:highlight w:val="none"/>
              </w:rPr>
              <w:t>：</w:t>
            </w:r>
            <w:r>
              <w:rPr>
                <w:color w:val="auto"/>
                <w:sz w:val="21"/>
                <w:szCs w:val="21"/>
                <w:highlight w:val="none"/>
              </w:rPr>
              <w:t>有专门的质量技术管理班子和制度，且人员配备合理，制度健全。主要工序有质量技术保证措施和手段，且先进、可行、具体，高于招标文件的质量要求及施工验收规范要求，达到承诺的质量标准</w:t>
            </w:r>
            <w:r>
              <w:rPr>
                <w:rFonts w:hint="eastAsia"/>
                <w:color w:val="auto"/>
                <w:sz w:val="21"/>
                <w:szCs w:val="21"/>
                <w:highlight w:val="none"/>
                <w:lang w:eastAsia="zh-CN"/>
              </w:rPr>
              <w:t>的得</w:t>
            </w:r>
            <w:r>
              <w:rPr>
                <w:rFonts w:hint="eastAsia"/>
                <w:color w:val="auto"/>
                <w:sz w:val="21"/>
                <w:szCs w:val="21"/>
                <w:highlight w:val="none"/>
                <w:lang w:val="en-US" w:eastAsia="zh-CN"/>
              </w:rPr>
              <w:t>8分</w:t>
            </w:r>
            <w:r>
              <w:rPr>
                <w:color w:val="auto"/>
                <w:sz w:val="21"/>
                <w:szCs w:val="21"/>
                <w:highlight w:val="none"/>
              </w:rPr>
              <w:t>。</w:t>
            </w:r>
          </w:p>
          <w:p>
            <w:pPr>
              <w:pStyle w:val="32"/>
              <w:spacing w:line="360" w:lineRule="auto"/>
              <w:ind w:left="107"/>
              <w:rPr>
                <w:color w:val="auto"/>
                <w:sz w:val="21"/>
                <w:szCs w:val="21"/>
                <w:highlight w:val="none"/>
              </w:rPr>
            </w:pPr>
            <w:r>
              <w:rPr>
                <w:rFonts w:hint="eastAsia"/>
                <w:b/>
                <w:bCs/>
                <w:color w:val="auto"/>
                <w:sz w:val="21"/>
                <w:szCs w:val="21"/>
                <w:highlight w:val="none"/>
                <w:lang w:val="en-US" w:eastAsia="zh-CN"/>
              </w:rPr>
              <w:t>良</w:t>
            </w:r>
            <w:r>
              <w:rPr>
                <w:b/>
                <w:bCs/>
                <w:color w:val="auto"/>
                <w:sz w:val="21"/>
                <w:szCs w:val="21"/>
                <w:highlight w:val="none"/>
              </w:rPr>
              <w:t>：</w:t>
            </w:r>
            <w:r>
              <w:rPr>
                <w:color w:val="auto"/>
                <w:sz w:val="21"/>
                <w:szCs w:val="21"/>
                <w:highlight w:val="none"/>
              </w:rPr>
              <w:t>有专门的质量技术管理班子和制度，且人员配备合理，制度健全。主要工序有质量技术保证措施和手段，自控体系完整，能有效保证技术质量，</w:t>
            </w:r>
            <w:r>
              <w:rPr>
                <w:rFonts w:hint="eastAsia"/>
                <w:color w:val="auto"/>
                <w:sz w:val="21"/>
                <w:szCs w:val="21"/>
                <w:highlight w:val="none"/>
                <w:lang w:eastAsia="zh-CN"/>
              </w:rPr>
              <w:t>可以</w:t>
            </w:r>
            <w:r>
              <w:rPr>
                <w:color w:val="auto"/>
                <w:sz w:val="21"/>
                <w:szCs w:val="21"/>
                <w:highlight w:val="none"/>
              </w:rPr>
              <w:t>达到承诺的质量标准</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w:t>
            </w:r>
          </w:p>
          <w:p>
            <w:pPr>
              <w:pStyle w:val="32"/>
              <w:spacing w:line="360" w:lineRule="auto"/>
              <w:ind w:left="107"/>
              <w:rPr>
                <w:color w:val="auto"/>
                <w:sz w:val="21"/>
                <w:szCs w:val="21"/>
                <w:highlight w:val="none"/>
              </w:rPr>
            </w:pPr>
            <w:r>
              <w:rPr>
                <w:b/>
                <w:bCs/>
                <w:color w:val="auto"/>
                <w:sz w:val="21"/>
                <w:szCs w:val="21"/>
                <w:highlight w:val="none"/>
              </w:rPr>
              <w:t xml:space="preserve"> </w:t>
            </w:r>
            <w:r>
              <w:rPr>
                <w:rFonts w:hint="eastAsia"/>
                <w:b/>
                <w:bCs/>
                <w:color w:val="auto"/>
                <w:sz w:val="21"/>
                <w:szCs w:val="21"/>
                <w:highlight w:val="none"/>
                <w:lang w:val="en-US" w:eastAsia="zh-CN"/>
              </w:rPr>
              <w:t>中</w:t>
            </w:r>
            <w:r>
              <w:rPr>
                <w:b/>
                <w:bCs/>
                <w:color w:val="auto"/>
                <w:sz w:val="21"/>
                <w:szCs w:val="21"/>
                <w:highlight w:val="none"/>
              </w:rPr>
              <w:t>：</w:t>
            </w:r>
            <w:r>
              <w:rPr>
                <w:color w:val="auto"/>
                <w:sz w:val="21"/>
                <w:szCs w:val="21"/>
                <w:highlight w:val="none"/>
              </w:rPr>
              <w:t>质量技术管理班子人员配备基本合理，制度基本健全。主要工序有质量技术保证措施和手段，能有效保证技术质量，满足招标文件的质量要求</w:t>
            </w:r>
            <w:r>
              <w:rPr>
                <w:rFonts w:hint="eastAsia"/>
                <w:color w:val="auto"/>
                <w:sz w:val="21"/>
                <w:szCs w:val="21"/>
                <w:highlight w:val="none"/>
                <w:lang w:eastAsia="zh-CN"/>
              </w:rPr>
              <w:t>的得</w:t>
            </w:r>
            <w:r>
              <w:rPr>
                <w:rFonts w:hint="eastAsia"/>
                <w:color w:val="auto"/>
                <w:sz w:val="21"/>
                <w:szCs w:val="21"/>
                <w:highlight w:val="none"/>
                <w:lang w:val="en-US" w:eastAsia="zh-CN"/>
              </w:rPr>
              <w:t>5分</w:t>
            </w:r>
            <w:r>
              <w:rPr>
                <w:color w:val="auto"/>
                <w:sz w:val="21"/>
                <w:szCs w:val="21"/>
                <w:highlight w:val="none"/>
              </w:rPr>
              <w:t xml:space="preserve">。 </w:t>
            </w:r>
          </w:p>
          <w:p>
            <w:pPr>
              <w:pStyle w:val="32"/>
              <w:spacing w:line="360" w:lineRule="auto"/>
              <w:ind w:left="107" w:leftChars="0"/>
              <w:rPr>
                <w:color w:val="auto"/>
                <w:sz w:val="21"/>
                <w:szCs w:val="21"/>
                <w:highlight w:val="none"/>
              </w:rPr>
            </w:pPr>
            <w:r>
              <w:rPr>
                <w:rFonts w:hint="eastAsia"/>
                <w:b/>
                <w:bCs/>
                <w:color w:val="auto"/>
                <w:sz w:val="21"/>
                <w:szCs w:val="21"/>
                <w:highlight w:val="none"/>
                <w:lang w:val="en-US" w:eastAsia="zh-CN"/>
              </w:rPr>
              <w:t>一般</w:t>
            </w:r>
            <w:r>
              <w:rPr>
                <w:b/>
                <w:bCs/>
                <w:color w:val="auto"/>
                <w:sz w:val="21"/>
                <w:szCs w:val="21"/>
                <w:highlight w:val="none"/>
              </w:rPr>
              <w:t>：</w:t>
            </w:r>
            <w:r>
              <w:rPr>
                <w:color w:val="auto"/>
                <w:sz w:val="21"/>
                <w:szCs w:val="21"/>
                <w:highlight w:val="none"/>
              </w:rPr>
              <w:t>质量技术管理班子人员配备不合理，制度不健全。质量技术保证措施和手段</w:t>
            </w:r>
            <w:r>
              <w:rPr>
                <w:rFonts w:hint="eastAsia"/>
                <w:color w:val="auto"/>
                <w:sz w:val="21"/>
                <w:szCs w:val="21"/>
                <w:highlight w:val="none"/>
                <w:lang w:eastAsia="zh-CN"/>
              </w:rPr>
              <w:t>勉强</w:t>
            </w:r>
            <w:r>
              <w:rPr>
                <w:color w:val="auto"/>
                <w:sz w:val="21"/>
                <w:szCs w:val="21"/>
                <w:highlight w:val="none"/>
              </w:rPr>
              <w:t>可行</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kern w:val="0"/>
                <w:sz w:val="21"/>
                <w:szCs w:val="21"/>
                <w:highlight w:val="none"/>
              </w:rPr>
            </w:pPr>
            <w:r>
              <w:rPr>
                <w:rFonts w:hint="eastAsia" w:cs="宋体"/>
                <w:color w:val="auto"/>
                <w:kern w:val="0"/>
                <w:sz w:val="21"/>
                <w:szCs w:val="21"/>
                <w:highlight w:val="none"/>
              </w:rPr>
              <w:t>确保安全生产的技术组织措施</w:t>
            </w:r>
          </w:p>
          <w:p>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2"/>
              <w:spacing w:before="100" w:line="360" w:lineRule="auto"/>
              <w:ind w:left="107"/>
              <w:rPr>
                <w:rFonts w:ascii="宋体" w:hAnsi="宋体" w:eastAsia="宋体" w:cs="宋体"/>
                <w:color w:val="auto"/>
                <w:sz w:val="21"/>
                <w:szCs w:val="21"/>
                <w:highlight w:val="none"/>
              </w:rPr>
            </w:pPr>
            <w:r>
              <w:rPr>
                <w:rFonts w:hint="eastAsia"/>
                <w:b/>
                <w:bCs/>
                <w:color w:val="auto"/>
                <w:sz w:val="21"/>
                <w:szCs w:val="21"/>
                <w:highlight w:val="none"/>
                <w:lang w:val="en-US" w:eastAsia="zh-CN"/>
              </w:rPr>
              <w:t>优</w:t>
            </w:r>
            <w:r>
              <w:rPr>
                <w:b/>
                <w:bCs/>
                <w:color w:val="auto"/>
                <w:sz w:val="21"/>
                <w:szCs w:val="21"/>
                <w:highlight w:val="none"/>
              </w:rPr>
              <w:t>：</w:t>
            </w:r>
            <w:r>
              <w:rPr>
                <w:color w:val="auto"/>
                <w:sz w:val="21"/>
                <w:szCs w:val="21"/>
                <w:highlight w:val="none"/>
              </w:rPr>
              <w:t>有配</w:t>
            </w:r>
            <w:r>
              <w:rPr>
                <w:rFonts w:ascii="宋体" w:hAnsi="宋体" w:eastAsia="宋体" w:cs="宋体"/>
                <w:color w:val="auto"/>
                <w:sz w:val="21"/>
                <w:szCs w:val="21"/>
                <w:highlight w:val="none"/>
              </w:rPr>
              <w:t>备满足项目要求的专职安全员，人员配备合理。有健全的安全管理制度， 各道工序安全技术措施针对性强，符合实际且高于国家有关安全技术标准要求。现场防火、应急救援、社会治安安全措施得力</w:t>
            </w:r>
            <w:r>
              <w:rPr>
                <w:rFonts w:hint="eastAsia"/>
                <w:color w:val="auto"/>
                <w:sz w:val="21"/>
                <w:szCs w:val="21"/>
                <w:highlight w:val="none"/>
                <w:lang w:eastAsia="zh-CN"/>
              </w:rPr>
              <w:t>的得</w:t>
            </w:r>
            <w:r>
              <w:rPr>
                <w:rFonts w:hint="eastAsia"/>
                <w:color w:val="auto"/>
                <w:sz w:val="21"/>
                <w:szCs w:val="21"/>
                <w:highlight w:val="none"/>
                <w:lang w:val="en-US" w:eastAsia="zh-CN"/>
              </w:rPr>
              <w:t>8分</w:t>
            </w:r>
            <w:r>
              <w:rPr>
                <w:rFonts w:ascii="宋体" w:hAnsi="宋体" w:eastAsia="宋体" w:cs="宋体"/>
                <w:color w:val="auto"/>
                <w:sz w:val="21"/>
                <w:szCs w:val="21"/>
                <w:highlight w:val="none"/>
              </w:rPr>
              <w:t>。</w:t>
            </w:r>
          </w:p>
          <w:p>
            <w:pPr>
              <w:pStyle w:val="32"/>
              <w:spacing w:before="100" w:line="360" w:lineRule="auto"/>
              <w:ind w:left="107"/>
              <w:rPr>
                <w:color w:val="auto"/>
                <w:sz w:val="21"/>
                <w:szCs w:val="21"/>
                <w:highlight w:val="none"/>
              </w:rPr>
            </w:pPr>
            <w:r>
              <w:rPr>
                <w:rFonts w:hint="eastAsia" w:cs="宋体"/>
                <w:b/>
                <w:bCs/>
                <w:color w:val="auto"/>
                <w:sz w:val="21"/>
                <w:szCs w:val="21"/>
                <w:highlight w:val="none"/>
                <w:lang w:val="en-US" w:eastAsia="zh-CN"/>
              </w:rPr>
              <w:t>良</w:t>
            </w:r>
            <w:r>
              <w:rPr>
                <w:rFonts w:ascii="宋体" w:hAnsi="宋体" w:eastAsia="宋体" w:cs="宋体"/>
                <w:b/>
                <w:bCs/>
                <w:color w:val="auto"/>
                <w:sz w:val="21"/>
                <w:szCs w:val="21"/>
                <w:highlight w:val="none"/>
              </w:rPr>
              <w:t>：</w:t>
            </w:r>
            <w:r>
              <w:rPr>
                <w:rFonts w:ascii="宋体" w:hAnsi="宋体" w:eastAsia="宋体" w:cs="宋体"/>
                <w:color w:val="auto"/>
                <w:sz w:val="21"/>
                <w:szCs w:val="21"/>
                <w:highlight w:val="none"/>
              </w:rPr>
              <w:t>有配备满足项目</w:t>
            </w:r>
            <w:r>
              <w:rPr>
                <w:color w:val="auto"/>
                <w:sz w:val="21"/>
                <w:szCs w:val="21"/>
                <w:highlight w:val="none"/>
              </w:rPr>
              <w:t>要求的专职安全员，人员配备合理，有健全的安全管理制度，各道工序安全技术措施符合实际且满足有关安全技术标准要求。现场防火、应急救援、社会治安安全措施合理</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w:t>
            </w:r>
          </w:p>
          <w:p>
            <w:pPr>
              <w:pStyle w:val="32"/>
              <w:spacing w:before="100" w:line="360" w:lineRule="auto"/>
              <w:ind w:left="107"/>
              <w:rPr>
                <w:color w:val="auto"/>
                <w:sz w:val="21"/>
                <w:szCs w:val="21"/>
                <w:highlight w:val="none"/>
              </w:rPr>
            </w:pPr>
            <w:r>
              <w:rPr>
                <w:color w:val="auto"/>
                <w:sz w:val="21"/>
                <w:szCs w:val="21"/>
                <w:highlight w:val="none"/>
              </w:rPr>
              <w:t xml:space="preserve"> </w:t>
            </w:r>
            <w:r>
              <w:rPr>
                <w:rFonts w:hint="eastAsia"/>
                <w:b/>
                <w:bCs/>
                <w:color w:val="auto"/>
                <w:sz w:val="21"/>
                <w:szCs w:val="21"/>
                <w:highlight w:val="none"/>
                <w:lang w:val="en-US" w:eastAsia="zh-CN"/>
              </w:rPr>
              <w:t>中</w:t>
            </w:r>
            <w:r>
              <w:rPr>
                <w:b/>
                <w:bCs/>
                <w:color w:val="auto"/>
                <w:sz w:val="21"/>
                <w:szCs w:val="21"/>
                <w:highlight w:val="none"/>
              </w:rPr>
              <w:t>：</w:t>
            </w:r>
            <w:r>
              <w:rPr>
                <w:color w:val="auto"/>
                <w:sz w:val="21"/>
                <w:szCs w:val="21"/>
                <w:highlight w:val="none"/>
              </w:rPr>
              <w:t>有配备满足项目要求的专职安全员，人员配备基本合理，安全管理制度基本健全，各道工序安全技术措施基本符合实际，基本满足有关安全技术标准要求。现场防火、应急救援、社会治安安全措施基本合理</w:t>
            </w:r>
            <w:r>
              <w:rPr>
                <w:rFonts w:hint="eastAsia"/>
                <w:color w:val="auto"/>
                <w:sz w:val="21"/>
                <w:szCs w:val="21"/>
                <w:highlight w:val="none"/>
                <w:lang w:eastAsia="zh-CN"/>
              </w:rPr>
              <w:t>的得</w:t>
            </w:r>
            <w:r>
              <w:rPr>
                <w:rFonts w:hint="eastAsia"/>
                <w:color w:val="auto"/>
                <w:sz w:val="21"/>
                <w:szCs w:val="21"/>
                <w:highlight w:val="none"/>
                <w:lang w:val="en-US" w:eastAsia="zh-CN"/>
              </w:rPr>
              <w:t>5分</w:t>
            </w:r>
            <w:r>
              <w:rPr>
                <w:color w:val="auto"/>
                <w:sz w:val="21"/>
                <w:szCs w:val="21"/>
                <w:highlight w:val="none"/>
              </w:rPr>
              <w:t>。</w:t>
            </w:r>
          </w:p>
          <w:p>
            <w:pPr>
              <w:pStyle w:val="32"/>
              <w:spacing w:before="100" w:line="360" w:lineRule="auto"/>
              <w:ind w:left="107" w:leftChars="0"/>
              <w:rPr>
                <w:color w:val="auto"/>
                <w:sz w:val="21"/>
                <w:szCs w:val="21"/>
                <w:highlight w:val="none"/>
              </w:rPr>
            </w:pPr>
            <w:r>
              <w:rPr>
                <w:rFonts w:hint="eastAsia"/>
                <w:b/>
                <w:bCs/>
                <w:color w:val="auto"/>
                <w:sz w:val="21"/>
                <w:szCs w:val="21"/>
                <w:highlight w:val="none"/>
                <w:lang w:val="en-US" w:eastAsia="zh-CN"/>
              </w:rPr>
              <w:t>一般</w:t>
            </w:r>
            <w:r>
              <w:rPr>
                <w:b/>
                <w:bCs/>
                <w:color w:val="auto"/>
                <w:sz w:val="21"/>
                <w:szCs w:val="21"/>
                <w:highlight w:val="none"/>
              </w:rPr>
              <w:t>：</w:t>
            </w:r>
            <w:r>
              <w:rPr>
                <w:color w:val="auto"/>
                <w:sz w:val="21"/>
                <w:szCs w:val="21"/>
                <w:highlight w:val="none"/>
              </w:rPr>
              <w:t>有配备满足项目要求的专职安全员，人员配备不合理，安全管理制度不健全，各道工序安全技术措施基本符合实际，不能满足有关安全技术标准要求。现场防火、应急 救援、社会治安安全措施不合理</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2"/>
              <w:spacing w:line="360" w:lineRule="auto"/>
              <w:ind w:left="107"/>
              <w:rPr>
                <w:rFonts w:ascii="宋体" w:hAnsi="宋体" w:eastAsia="宋体" w:cs="宋体"/>
                <w:color w:val="auto"/>
                <w:sz w:val="21"/>
                <w:szCs w:val="21"/>
                <w:highlight w:val="none"/>
              </w:rPr>
            </w:pPr>
            <w:r>
              <w:rPr>
                <w:rFonts w:hint="eastAsia"/>
                <w:b/>
                <w:bCs/>
                <w:color w:val="auto"/>
                <w:sz w:val="21"/>
                <w:szCs w:val="21"/>
                <w:highlight w:val="none"/>
                <w:lang w:val="en-US" w:eastAsia="zh-CN"/>
              </w:rPr>
              <w:t>优</w:t>
            </w:r>
            <w:r>
              <w:rPr>
                <w:b/>
                <w:bCs/>
                <w:color w:val="auto"/>
                <w:sz w:val="21"/>
                <w:szCs w:val="21"/>
                <w:highlight w:val="none"/>
              </w:rPr>
              <w:t>：</w:t>
            </w:r>
            <w:r>
              <w:rPr>
                <w:color w:val="auto"/>
                <w:sz w:val="21"/>
                <w:szCs w:val="21"/>
                <w:highlight w:val="none"/>
              </w:rPr>
              <w:t>各主要施工工序有详细周密的劳动力安排计划，各工种劳动力安排计划齐全，劳动力投入与进度计划呼应合理，</w:t>
            </w:r>
            <w:r>
              <w:rPr>
                <w:rFonts w:hint="eastAsia"/>
                <w:color w:val="auto"/>
                <w:sz w:val="21"/>
                <w:szCs w:val="21"/>
                <w:highlight w:val="none"/>
                <w:lang w:eastAsia="zh-CN"/>
              </w:rPr>
              <w:t>完全</w:t>
            </w:r>
            <w:r>
              <w:rPr>
                <w:color w:val="auto"/>
                <w:sz w:val="21"/>
                <w:szCs w:val="21"/>
                <w:highlight w:val="none"/>
              </w:rPr>
              <w:t>满</w:t>
            </w:r>
            <w:r>
              <w:rPr>
                <w:rFonts w:ascii="宋体" w:hAnsi="宋体" w:eastAsia="宋体" w:cs="宋体"/>
                <w:color w:val="auto"/>
                <w:sz w:val="21"/>
                <w:szCs w:val="21"/>
                <w:highlight w:val="none"/>
              </w:rPr>
              <w:t>足施工需要</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rFonts w:ascii="宋体" w:hAnsi="宋体" w:eastAsia="宋体" w:cs="宋体"/>
                <w:color w:val="auto"/>
                <w:sz w:val="21"/>
                <w:szCs w:val="21"/>
                <w:highlight w:val="none"/>
              </w:rPr>
              <w:t xml:space="preserve">。 </w:t>
            </w:r>
          </w:p>
          <w:p>
            <w:pPr>
              <w:pStyle w:val="32"/>
              <w:spacing w:line="360" w:lineRule="auto"/>
              <w:ind w:firstLine="211" w:firstLineChars="100"/>
              <w:rPr>
                <w:rFonts w:ascii="宋体" w:hAnsi="宋体" w:eastAsia="宋体" w:cs="宋体"/>
                <w:color w:val="auto"/>
                <w:sz w:val="21"/>
                <w:szCs w:val="21"/>
                <w:highlight w:val="none"/>
              </w:rPr>
            </w:pPr>
            <w:r>
              <w:rPr>
                <w:rFonts w:hint="eastAsia" w:cs="宋体"/>
                <w:b/>
                <w:bCs/>
                <w:color w:val="auto"/>
                <w:sz w:val="21"/>
                <w:szCs w:val="21"/>
                <w:highlight w:val="none"/>
                <w:lang w:val="en-US" w:eastAsia="zh-CN"/>
              </w:rPr>
              <w:t>良</w:t>
            </w:r>
            <w:r>
              <w:rPr>
                <w:rFonts w:ascii="宋体" w:hAnsi="宋体" w:eastAsia="宋体" w:cs="宋体"/>
                <w:b/>
                <w:bCs/>
                <w:color w:val="auto"/>
                <w:sz w:val="21"/>
                <w:szCs w:val="21"/>
                <w:highlight w:val="none"/>
              </w:rPr>
              <w:t>：</w:t>
            </w:r>
            <w:r>
              <w:rPr>
                <w:rFonts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ascii="宋体" w:hAnsi="宋体" w:eastAsia="宋体" w:cs="宋体"/>
                <w:color w:val="auto"/>
                <w:sz w:val="21"/>
                <w:szCs w:val="21"/>
                <w:highlight w:val="none"/>
              </w:rPr>
              <w:t>满足施工需要</w:t>
            </w:r>
            <w:r>
              <w:rPr>
                <w:rFonts w:hint="eastAsia"/>
                <w:color w:val="auto"/>
                <w:sz w:val="21"/>
                <w:szCs w:val="21"/>
                <w:highlight w:val="none"/>
                <w:lang w:eastAsia="zh-CN"/>
              </w:rPr>
              <w:t>的得</w:t>
            </w:r>
            <w:r>
              <w:rPr>
                <w:rFonts w:hint="eastAsia"/>
                <w:color w:val="auto"/>
                <w:sz w:val="21"/>
                <w:szCs w:val="21"/>
                <w:highlight w:val="none"/>
                <w:lang w:val="en-US" w:eastAsia="zh-CN"/>
              </w:rPr>
              <w:t>4分</w:t>
            </w:r>
            <w:r>
              <w:rPr>
                <w:rFonts w:ascii="宋体" w:hAnsi="宋体" w:eastAsia="宋体" w:cs="宋体"/>
                <w:color w:val="auto"/>
                <w:sz w:val="21"/>
                <w:szCs w:val="21"/>
                <w:highlight w:val="none"/>
              </w:rPr>
              <w:t xml:space="preserve">。 </w:t>
            </w:r>
          </w:p>
          <w:p>
            <w:pPr>
              <w:pStyle w:val="32"/>
              <w:spacing w:line="360" w:lineRule="auto"/>
              <w:ind w:firstLine="211" w:firstLineChars="100"/>
              <w:rPr>
                <w:rFonts w:ascii="宋体" w:hAnsi="宋体" w:eastAsia="宋体" w:cs="宋体"/>
                <w:color w:val="auto"/>
                <w:sz w:val="21"/>
                <w:szCs w:val="21"/>
                <w:highlight w:val="none"/>
              </w:rPr>
            </w:pPr>
            <w:r>
              <w:rPr>
                <w:rFonts w:hint="eastAsia" w:cs="宋体"/>
                <w:b/>
                <w:bCs/>
                <w:color w:val="auto"/>
                <w:sz w:val="21"/>
                <w:szCs w:val="21"/>
                <w:highlight w:val="none"/>
                <w:lang w:val="en-US" w:eastAsia="zh-CN"/>
              </w:rPr>
              <w:t>中</w:t>
            </w:r>
            <w:r>
              <w:rPr>
                <w:rFonts w:ascii="宋体" w:hAnsi="宋体" w:eastAsia="宋体" w:cs="宋体"/>
                <w:b/>
                <w:bCs/>
                <w:color w:val="auto"/>
                <w:sz w:val="21"/>
                <w:szCs w:val="21"/>
                <w:highlight w:val="none"/>
              </w:rPr>
              <w:t>：</w:t>
            </w:r>
            <w:r>
              <w:rPr>
                <w:rFonts w:ascii="宋体" w:hAnsi="宋体" w:eastAsia="宋体" w:cs="宋体"/>
                <w:color w:val="auto"/>
                <w:sz w:val="21"/>
                <w:szCs w:val="21"/>
                <w:highlight w:val="none"/>
              </w:rPr>
              <w:t xml:space="preserve"> 各主要施工工序应有劳动力安排计划，有各工种劳动力安排计划，劳动力投入基本合理，基本满足施工需要</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rFonts w:ascii="宋体" w:hAnsi="宋体" w:eastAsia="宋体" w:cs="宋体"/>
                <w:color w:val="auto"/>
                <w:sz w:val="21"/>
                <w:szCs w:val="21"/>
                <w:highlight w:val="none"/>
              </w:rPr>
              <w:t>。</w:t>
            </w:r>
          </w:p>
          <w:p>
            <w:pPr>
              <w:pStyle w:val="32"/>
              <w:spacing w:line="360" w:lineRule="auto"/>
              <w:ind w:firstLine="211" w:firstLineChars="100"/>
              <w:rPr>
                <w:color w:val="auto"/>
                <w:sz w:val="21"/>
                <w:szCs w:val="21"/>
                <w:highlight w:val="none"/>
              </w:rPr>
            </w:pPr>
            <w:r>
              <w:rPr>
                <w:rFonts w:hint="eastAsia" w:cs="宋体"/>
                <w:b/>
                <w:bCs/>
                <w:color w:val="auto"/>
                <w:sz w:val="21"/>
                <w:szCs w:val="21"/>
                <w:highlight w:val="none"/>
                <w:lang w:val="en-US" w:eastAsia="zh-CN"/>
              </w:rPr>
              <w:t>差</w:t>
            </w:r>
            <w:r>
              <w:rPr>
                <w:rFonts w:ascii="宋体" w:hAnsi="宋体" w:eastAsia="宋体" w:cs="宋体"/>
                <w:color w:val="auto"/>
                <w:sz w:val="21"/>
                <w:szCs w:val="21"/>
                <w:highlight w:val="none"/>
              </w:rPr>
              <w:t>：各主要施工工序劳动力安排计划不全，无各工种劳动力安排计划或计划不全，</w:t>
            </w:r>
            <w:r>
              <w:rPr>
                <w:color w:val="auto"/>
                <w:sz w:val="21"/>
                <w:szCs w:val="21"/>
                <w:highlight w:val="none"/>
              </w:rPr>
              <w:t>劳动力投入不合理，不能满足</w:t>
            </w:r>
            <w:r>
              <w:rPr>
                <w:rFonts w:hint="eastAsia"/>
                <w:color w:val="auto"/>
                <w:sz w:val="21"/>
                <w:szCs w:val="21"/>
                <w:highlight w:val="none"/>
                <w:lang w:eastAsia="zh-CN"/>
              </w:rPr>
              <w:t>施工需求的得</w:t>
            </w:r>
            <w:r>
              <w:rPr>
                <w:rFonts w:hint="eastAsia"/>
                <w:color w:val="auto"/>
                <w:sz w:val="21"/>
                <w:szCs w:val="21"/>
                <w:highlight w:val="none"/>
                <w:lang w:val="en-US" w:eastAsia="zh-CN"/>
              </w:rPr>
              <w:t>1分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2"/>
              <w:spacing w:before="100" w:line="360" w:lineRule="auto"/>
              <w:ind w:left="107"/>
              <w:rPr>
                <w:color w:val="auto"/>
                <w:sz w:val="21"/>
                <w:szCs w:val="21"/>
                <w:highlight w:val="none"/>
              </w:rPr>
            </w:pPr>
            <w:r>
              <w:rPr>
                <w:rFonts w:hint="eastAsia"/>
                <w:b/>
                <w:bCs/>
                <w:color w:val="auto"/>
                <w:sz w:val="21"/>
                <w:szCs w:val="21"/>
                <w:highlight w:val="none"/>
                <w:lang w:val="en-US" w:eastAsia="zh-CN"/>
              </w:rPr>
              <w:t>优</w:t>
            </w:r>
            <w:r>
              <w:rPr>
                <w:b/>
                <w:bCs/>
                <w:color w:val="auto"/>
                <w:sz w:val="21"/>
                <w:szCs w:val="21"/>
                <w:highlight w:val="none"/>
              </w:rPr>
              <w:t>：</w:t>
            </w:r>
            <w:r>
              <w:rPr>
                <w:color w:val="auto"/>
                <w:sz w:val="21"/>
                <w:szCs w:val="21"/>
                <w:highlight w:val="none"/>
              </w:rPr>
              <w:t>有保证工期的具体措施且措施得力。各项计划图表编制详尽周密，安排科学合理，符合本项目施工实际要求</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 xml:space="preserve">。 </w:t>
            </w:r>
          </w:p>
          <w:p>
            <w:pPr>
              <w:pStyle w:val="32"/>
              <w:spacing w:before="100" w:line="360" w:lineRule="auto"/>
              <w:ind w:left="107"/>
              <w:rPr>
                <w:color w:val="auto"/>
                <w:spacing w:val="-12"/>
                <w:sz w:val="21"/>
                <w:szCs w:val="21"/>
                <w:highlight w:val="none"/>
              </w:rPr>
            </w:pPr>
            <w:r>
              <w:rPr>
                <w:rFonts w:hint="eastAsia"/>
                <w:b/>
                <w:bCs/>
                <w:color w:val="auto"/>
                <w:sz w:val="21"/>
                <w:szCs w:val="21"/>
                <w:highlight w:val="none"/>
                <w:lang w:val="en-US" w:eastAsia="zh-CN"/>
              </w:rPr>
              <w:t>良</w:t>
            </w:r>
            <w:r>
              <w:rPr>
                <w:b/>
                <w:bCs/>
                <w:color w:val="auto"/>
                <w:sz w:val="21"/>
                <w:szCs w:val="21"/>
                <w:highlight w:val="none"/>
              </w:rPr>
              <w:t>：</w:t>
            </w:r>
            <w:r>
              <w:rPr>
                <w:color w:val="auto"/>
                <w:sz w:val="21"/>
                <w:szCs w:val="21"/>
                <w:highlight w:val="none"/>
              </w:rPr>
              <w:t>有保证工期的具体措施且措施得当。各项计划图表编制完善，安排较合理，符合本项目施工</w:t>
            </w:r>
            <w:r>
              <w:rPr>
                <w:color w:val="auto"/>
                <w:spacing w:val="-12"/>
                <w:sz w:val="21"/>
                <w:szCs w:val="21"/>
                <w:highlight w:val="none"/>
              </w:rPr>
              <w:t>实际要求</w:t>
            </w:r>
            <w:r>
              <w:rPr>
                <w:rFonts w:hint="eastAsia"/>
                <w:color w:val="auto"/>
                <w:sz w:val="21"/>
                <w:szCs w:val="21"/>
                <w:highlight w:val="none"/>
                <w:lang w:eastAsia="zh-CN"/>
              </w:rPr>
              <w:t>的得</w:t>
            </w:r>
            <w:r>
              <w:rPr>
                <w:rFonts w:hint="eastAsia"/>
                <w:color w:val="auto"/>
                <w:sz w:val="21"/>
                <w:szCs w:val="21"/>
                <w:highlight w:val="none"/>
                <w:lang w:val="en-US" w:eastAsia="zh-CN"/>
              </w:rPr>
              <w:t>4分</w:t>
            </w:r>
            <w:r>
              <w:rPr>
                <w:color w:val="auto"/>
                <w:spacing w:val="-12"/>
                <w:sz w:val="21"/>
                <w:szCs w:val="21"/>
                <w:highlight w:val="none"/>
              </w:rPr>
              <w:t>。</w:t>
            </w:r>
          </w:p>
          <w:p>
            <w:pPr>
              <w:pStyle w:val="32"/>
              <w:spacing w:line="360" w:lineRule="auto"/>
              <w:ind w:left="107"/>
              <w:rPr>
                <w:color w:val="auto"/>
                <w:sz w:val="21"/>
                <w:szCs w:val="21"/>
                <w:highlight w:val="none"/>
              </w:rPr>
            </w:pPr>
            <w:r>
              <w:rPr>
                <w:rFonts w:hint="eastAsia"/>
                <w:b/>
                <w:bCs/>
                <w:color w:val="auto"/>
                <w:sz w:val="21"/>
                <w:szCs w:val="21"/>
                <w:highlight w:val="none"/>
                <w:lang w:val="en-US" w:eastAsia="zh-CN"/>
              </w:rPr>
              <w:t>中</w:t>
            </w:r>
            <w:r>
              <w:rPr>
                <w:b/>
                <w:bCs/>
                <w:color w:val="auto"/>
                <w:spacing w:val="-35"/>
                <w:sz w:val="21"/>
                <w:szCs w:val="21"/>
                <w:highlight w:val="none"/>
              </w:rPr>
              <w:t>：</w:t>
            </w:r>
            <w:r>
              <w:rPr>
                <w:color w:val="auto"/>
                <w:sz w:val="21"/>
                <w:szCs w:val="21"/>
                <w:highlight w:val="none"/>
              </w:rPr>
              <w:t>有保证工期的具体措施，措施基本得当。各项计划图表编制基本齐全，安排基本合理，基本符合本项目施工实际要求</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 xml:space="preserve">。 </w:t>
            </w:r>
          </w:p>
          <w:p>
            <w:pPr>
              <w:pStyle w:val="32"/>
              <w:spacing w:line="360" w:lineRule="auto"/>
              <w:ind w:left="107" w:leftChars="0"/>
              <w:rPr>
                <w:color w:val="auto"/>
                <w:sz w:val="21"/>
                <w:szCs w:val="21"/>
                <w:highlight w:val="none"/>
              </w:rPr>
            </w:pPr>
            <w:r>
              <w:rPr>
                <w:rFonts w:hint="eastAsia"/>
                <w:b/>
                <w:bCs/>
                <w:color w:val="auto"/>
                <w:sz w:val="21"/>
                <w:szCs w:val="21"/>
                <w:highlight w:val="none"/>
                <w:lang w:val="en-US" w:eastAsia="zh-CN"/>
              </w:rPr>
              <w:t>差</w:t>
            </w:r>
            <w:r>
              <w:rPr>
                <w:b/>
                <w:bCs/>
                <w:color w:val="auto"/>
                <w:sz w:val="21"/>
                <w:szCs w:val="21"/>
                <w:highlight w:val="none"/>
              </w:rPr>
              <w:t>：</w:t>
            </w:r>
            <w:r>
              <w:rPr>
                <w:color w:val="auto"/>
                <w:sz w:val="21"/>
                <w:szCs w:val="21"/>
                <w:highlight w:val="none"/>
              </w:rPr>
              <w:t>有保证工期的具体措施。各项计划图表编制不完善，安排不合理，不能满足本项目施工实际要求</w:t>
            </w:r>
            <w:r>
              <w:rPr>
                <w:rFonts w:hint="eastAsia"/>
                <w:color w:val="auto"/>
                <w:sz w:val="21"/>
                <w:szCs w:val="21"/>
                <w:highlight w:val="none"/>
                <w:lang w:eastAsia="zh-CN"/>
              </w:rPr>
              <w:t>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2"/>
              <w:spacing w:before="101" w:line="360" w:lineRule="auto"/>
              <w:ind w:left="107"/>
              <w:rPr>
                <w:color w:val="auto"/>
                <w:sz w:val="21"/>
                <w:szCs w:val="21"/>
                <w:highlight w:val="none"/>
              </w:rPr>
            </w:pPr>
            <w:r>
              <w:rPr>
                <w:rFonts w:hint="eastAsia"/>
                <w:b/>
                <w:bCs/>
                <w:color w:val="auto"/>
                <w:sz w:val="21"/>
                <w:szCs w:val="21"/>
                <w:highlight w:val="none"/>
                <w:lang w:val="en-US" w:eastAsia="zh-CN"/>
              </w:rPr>
              <w:t>优</w:t>
            </w:r>
            <w:r>
              <w:rPr>
                <w:b/>
                <w:bCs/>
                <w:color w:val="auto"/>
                <w:sz w:val="21"/>
                <w:szCs w:val="21"/>
                <w:highlight w:val="none"/>
              </w:rPr>
              <w:t>：</w:t>
            </w:r>
            <w:r>
              <w:rPr>
                <w:color w:val="auto"/>
                <w:sz w:val="21"/>
                <w:szCs w:val="21"/>
                <w:highlight w:val="none"/>
              </w:rPr>
              <w:t>现场文明施工、环境保护措施和内容达到</w:t>
            </w:r>
            <w:r>
              <w:rPr>
                <w:rFonts w:hint="eastAsia"/>
                <w:color w:val="auto"/>
                <w:sz w:val="21"/>
                <w:szCs w:val="21"/>
                <w:highlight w:val="none"/>
                <w:lang w:eastAsia="zh-CN"/>
              </w:rPr>
              <w:t>相关施工安全生产标准或文明施工等</w:t>
            </w:r>
            <w:r>
              <w:rPr>
                <w:color w:val="auto"/>
                <w:sz w:val="21"/>
                <w:szCs w:val="21"/>
                <w:highlight w:val="none"/>
              </w:rPr>
              <w:t>要求；承诺创建自治区级及以上文明工地和标准化工</w:t>
            </w:r>
            <w:r>
              <w:rPr>
                <w:color w:val="auto"/>
                <w:spacing w:val="-10"/>
                <w:sz w:val="21"/>
                <w:szCs w:val="21"/>
                <w:highlight w:val="none"/>
              </w:rPr>
              <w:t>地，而且各项措施周全、</w:t>
            </w:r>
            <w:r>
              <w:rPr>
                <w:color w:val="auto"/>
                <w:sz w:val="21"/>
                <w:szCs w:val="21"/>
                <w:highlight w:val="none"/>
              </w:rPr>
              <w:t>具体、有效的</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 xml:space="preserve">。 </w:t>
            </w:r>
          </w:p>
          <w:p>
            <w:pPr>
              <w:pStyle w:val="32"/>
              <w:spacing w:before="101" w:line="360" w:lineRule="auto"/>
              <w:ind w:left="107"/>
              <w:rPr>
                <w:color w:val="auto"/>
                <w:sz w:val="21"/>
                <w:szCs w:val="21"/>
                <w:highlight w:val="none"/>
              </w:rPr>
            </w:pPr>
            <w:r>
              <w:rPr>
                <w:rFonts w:hint="eastAsia"/>
                <w:b/>
                <w:bCs/>
                <w:color w:val="auto"/>
                <w:sz w:val="21"/>
                <w:szCs w:val="21"/>
                <w:highlight w:val="none"/>
                <w:lang w:val="en-US" w:eastAsia="zh-CN"/>
              </w:rPr>
              <w:t>良</w:t>
            </w:r>
            <w:r>
              <w:rPr>
                <w:b/>
                <w:bCs/>
                <w:color w:val="auto"/>
                <w:sz w:val="21"/>
                <w:szCs w:val="21"/>
                <w:highlight w:val="none"/>
              </w:rPr>
              <w:t>：</w:t>
            </w:r>
            <w:r>
              <w:rPr>
                <w:color w:val="auto"/>
                <w:sz w:val="21"/>
                <w:szCs w:val="21"/>
                <w:highlight w:val="none"/>
              </w:rPr>
              <w:t>现场文明施工、环境保护措施和内容达到</w:t>
            </w:r>
            <w:r>
              <w:rPr>
                <w:rFonts w:hint="eastAsia"/>
                <w:color w:val="auto"/>
                <w:sz w:val="21"/>
                <w:szCs w:val="21"/>
                <w:highlight w:val="none"/>
                <w:lang w:eastAsia="zh-CN"/>
              </w:rPr>
              <w:t>相关施工安全生产标准或文明施工要求的</w:t>
            </w:r>
            <w:r>
              <w:rPr>
                <w:color w:val="auto"/>
                <w:sz w:val="21"/>
                <w:szCs w:val="21"/>
                <w:highlight w:val="none"/>
              </w:rPr>
              <w:t>；承诺创建市级文明工地和标准化工地，而且各项措施周全、具体、有效的</w:t>
            </w:r>
            <w:r>
              <w:rPr>
                <w:rFonts w:hint="eastAsia"/>
                <w:color w:val="auto"/>
                <w:sz w:val="21"/>
                <w:szCs w:val="21"/>
                <w:highlight w:val="none"/>
                <w:lang w:eastAsia="zh-CN"/>
              </w:rPr>
              <w:t>的得</w:t>
            </w:r>
            <w:r>
              <w:rPr>
                <w:rFonts w:hint="eastAsia"/>
                <w:color w:val="auto"/>
                <w:sz w:val="21"/>
                <w:szCs w:val="21"/>
                <w:highlight w:val="none"/>
                <w:lang w:val="en-US" w:eastAsia="zh-CN"/>
              </w:rPr>
              <w:t>4分</w:t>
            </w:r>
            <w:r>
              <w:rPr>
                <w:color w:val="auto"/>
                <w:sz w:val="21"/>
                <w:szCs w:val="21"/>
                <w:highlight w:val="none"/>
              </w:rPr>
              <w:t xml:space="preserve">。 </w:t>
            </w:r>
          </w:p>
          <w:p>
            <w:pPr>
              <w:pStyle w:val="32"/>
              <w:spacing w:line="360" w:lineRule="auto"/>
              <w:ind w:left="107"/>
              <w:rPr>
                <w:color w:val="auto"/>
                <w:sz w:val="21"/>
                <w:szCs w:val="21"/>
                <w:highlight w:val="none"/>
              </w:rPr>
            </w:pPr>
            <w:r>
              <w:rPr>
                <w:rFonts w:hint="eastAsia"/>
                <w:b/>
                <w:bCs/>
                <w:color w:val="auto"/>
                <w:sz w:val="21"/>
                <w:szCs w:val="21"/>
                <w:highlight w:val="none"/>
                <w:lang w:val="en-US" w:eastAsia="zh-CN"/>
              </w:rPr>
              <w:t>中</w:t>
            </w:r>
            <w:r>
              <w:rPr>
                <w:b/>
                <w:bCs/>
                <w:color w:val="auto"/>
                <w:sz w:val="21"/>
                <w:szCs w:val="21"/>
                <w:highlight w:val="none"/>
              </w:rPr>
              <w:t>：</w:t>
            </w:r>
            <w:r>
              <w:rPr>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color w:val="auto"/>
                <w:sz w:val="21"/>
                <w:szCs w:val="21"/>
                <w:highlight w:val="none"/>
              </w:rPr>
              <w:t>；有具体实现现场文明施工目标的承诺，而且各项措施基本周全、具体、有效的</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w:t>
            </w:r>
          </w:p>
          <w:p>
            <w:pPr>
              <w:pStyle w:val="32"/>
              <w:spacing w:line="360" w:lineRule="auto"/>
              <w:ind w:left="107" w:leftChars="0"/>
              <w:rPr>
                <w:color w:val="auto"/>
                <w:sz w:val="21"/>
                <w:szCs w:val="21"/>
                <w:highlight w:val="none"/>
              </w:rPr>
            </w:pPr>
            <w:r>
              <w:rPr>
                <w:rFonts w:hint="eastAsia"/>
                <w:b/>
                <w:bCs/>
                <w:color w:val="auto"/>
                <w:sz w:val="21"/>
                <w:szCs w:val="21"/>
                <w:highlight w:val="none"/>
                <w:lang w:val="en-US" w:eastAsia="zh-CN"/>
              </w:rPr>
              <w:t>差</w:t>
            </w:r>
            <w:r>
              <w:rPr>
                <w:b/>
                <w:bCs/>
                <w:color w:val="auto"/>
                <w:sz w:val="21"/>
                <w:szCs w:val="21"/>
                <w:highlight w:val="none"/>
              </w:rPr>
              <w:t xml:space="preserve"> </w:t>
            </w:r>
            <w:r>
              <w:rPr>
                <w:rFonts w:hint="eastAsia"/>
                <w:b/>
                <w:bCs/>
                <w:color w:val="auto"/>
                <w:sz w:val="21"/>
                <w:szCs w:val="21"/>
                <w:highlight w:val="none"/>
                <w:lang w:eastAsia="zh-CN"/>
              </w:rPr>
              <w:t>：</w:t>
            </w:r>
            <w:r>
              <w:rPr>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color w:val="auto"/>
                <w:sz w:val="21"/>
                <w:szCs w:val="21"/>
                <w:highlight w:val="none"/>
              </w:rPr>
              <w:t>的要求偏差大，</w:t>
            </w:r>
            <w:r>
              <w:rPr>
                <w:rFonts w:hint="eastAsia"/>
                <w:color w:val="auto"/>
                <w:sz w:val="21"/>
                <w:szCs w:val="21"/>
                <w:highlight w:val="none"/>
                <w:lang w:eastAsia="zh-CN"/>
              </w:rPr>
              <w:t>有监督的</w:t>
            </w:r>
            <w:r>
              <w:rPr>
                <w:color w:val="auto"/>
                <w:sz w:val="21"/>
                <w:szCs w:val="21"/>
                <w:highlight w:val="none"/>
              </w:rPr>
              <w:t>现场文明施工目标的承诺</w:t>
            </w:r>
            <w:r>
              <w:rPr>
                <w:rFonts w:hint="eastAsia"/>
                <w:color w:val="auto"/>
                <w:sz w:val="21"/>
                <w:szCs w:val="21"/>
                <w:highlight w:val="none"/>
                <w:lang w:eastAsia="zh-CN"/>
              </w:rPr>
              <w:t>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2"/>
              <w:spacing w:before="101" w:line="360" w:lineRule="auto"/>
              <w:ind w:left="107" w:right="101"/>
              <w:rPr>
                <w:rFonts w:hint="eastAsia" w:ascii="宋体" w:hAnsi="宋体" w:eastAsia="宋体" w:cs="宋体"/>
                <w:color w:val="auto"/>
                <w:sz w:val="21"/>
                <w:szCs w:val="21"/>
                <w:highlight w:val="none"/>
                <w:lang w:eastAsia="zh-CN"/>
              </w:rPr>
            </w:pPr>
            <w:r>
              <w:rPr>
                <w:rFonts w:hint="eastAsia"/>
                <w:b/>
                <w:bCs/>
                <w:color w:val="auto"/>
                <w:sz w:val="21"/>
                <w:szCs w:val="21"/>
                <w:highlight w:val="none"/>
                <w:lang w:val="en-US" w:eastAsia="zh-CN"/>
              </w:rPr>
              <w:t>优</w:t>
            </w:r>
            <w:r>
              <w:rPr>
                <w:b/>
                <w:bCs/>
                <w:color w:val="auto"/>
                <w:sz w:val="21"/>
                <w:szCs w:val="21"/>
                <w:highlight w:val="none"/>
              </w:rPr>
              <w:t>：</w:t>
            </w:r>
            <w:r>
              <w:rPr>
                <w:color w:val="auto"/>
                <w:sz w:val="21"/>
                <w:szCs w:val="21"/>
                <w:highlight w:val="none"/>
              </w:rPr>
              <w:t>针对该项目的难点、重点详细分析，重点考虑各部分施工如何相互</w:t>
            </w:r>
            <w:r>
              <w:rPr>
                <w:rFonts w:hint="eastAsia" w:ascii="宋体" w:hAnsi="宋体" w:eastAsia="宋体" w:cs="宋体"/>
                <w:color w:val="auto"/>
                <w:sz w:val="21"/>
                <w:szCs w:val="21"/>
                <w:highlight w:val="none"/>
                <w:lang w:eastAsia="zh-CN"/>
              </w:rPr>
              <w:t>交叉和衔接，以保证施工质量效果和设计效果的完美统一</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rFonts w:hint="eastAsia" w:ascii="宋体" w:hAnsi="宋体" w:eastAsia="宋体" w:cs="宋体"/>
                <w:color w:val="auto"/>
                <w:sz w:val="21"/>
                <w:szCs w:val="21"/>
                <w:highlight w:val="none"/>
                <w:lang w:eastAsia="zh-CN"/>
              </w:rPr>
              <w:t xml:space="preserve">。 </w:t>
            </w:r>
          </w:p>
          <w:p>
            <w:pPr>
              <w:pStyle w:val="32"/>
              <w:spacing w:before="101" w:line="360" w:lineRule="auto"/>
              <w:ind w:left="107" w:right="101"/>
              <w:rPr>
                <w:rFonts w:hint="eastAsia" w:ascii="宋体" w:hAnsi="宋体" w:eastAsia="宋体" w:cs="宋体"/>
                <w:color w:val="auto"/>
                <w:sz w:val="21"/>
                <w:szCs w:val="21"/>
                <w:highlight w:val="none"/>
                <w:lang w:eastAsia="zh-CN"/>
              </w:rPr>
            </w:pPr>
            <w:r>
              <w:rPr>
                <w:rFonts w:hint="eastAsia" w:cs="宋体"/>
                <w:b/>
                <w:bCs/>
                <w:color w:val="auto"/>
                <w:sz w:val="21"/>
                <w:szCs w:val="21"/>
                <w:highlight w:val="none"/>
                <w:lang w:val="en-US" w:eastAsia="zh-CN"/>
              </w:rPr>
              <w:t>良</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针对该项目的难点、重点分析到位，未重点考虑各部分施工如何相互交叉和衔接，施工质量效果基本达到设计效果</w:t>
            </w:r>
            <w:r>
              <w:rPr>
                <w:rFonts w:hint="eastAsia"/>
                <w:color w:val="auto"/>
                <w:sz w:val="21"/>
                <w:szCs w:val="21"/>
                <w:highlight w:val="none"/>
                <w:lang w:eastAsia="zh-CN"/>
              </w:rPr>
              <w:t>的得</w:t>
            </w:r>
            <w:r>
              <w:rPr>
                <w:rFonts w:hint="eastAsia"/>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p>
            <w:pPr>
              <w:pStyle w:val="32"/>
              <w:spacing w:before="101" w:line="360" w:lineRule="auto"/>
              <w:ind w:left="107" w:right="101"/>
              <w:rPr>
                <w:rFonts w:hint="eastAsia" w:ascii="宋体" w:hAnsi="宋体" w:eastAsia="宋体" w:cs="宋体"/>
                <w:color w:val="auto"/>
                <w:sz w:val="21"/>
                <w:szCs w:val="21"/>
                <w:highlight w:val="none"/>
                <w:lang w:eastAsia="zh-CN"/>
              </w:rPr>
            </w:pPr>
            <w:r>
              <w:rPr>
                <w:rFonts w:hint="eastAsia" w:cs="宋体"/>
                <w:b/>
                <w:bCs/>
                <w:color w:val="auto"/>
                <w:sz w:val="21"/>
                <w:szCs w:val="21"/>
                <w:highlight w:val="none"/>
                <w:lang w:val="en-US" w:eastAsia="zh-CN"/>
              </w:rPr>
              <w:t>中</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针对该项目的难点、重点分析不具体，各部分施工如何相互交叉和衔接不合理， 施工质量效果和设计效果有较大差距</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rFonts w:hint="eastAsia" w:ascii="宋体" w:hAnsi="宋体" w:eastAsia="宋体" w:cs="宋体"/>
                <w:color w:val="auto"/>
                <w:sz w:val="21"/>
                <w:szCs w:val="21"/>
                <w:highlight w:val="none"/>
                <w:lang w:eastAsia="zh-CN"/>
              </w:rPr>
              <w:t xml:space="preserve">。 </w:t>
            </w:r>
          </w:p>
          <w:p>
            <w:pPr>
              <w:pStyle w:val="32"/>
              <w:spacing w:before="101" w:line="360" w:lineRule="auto"/>
              <w:ind w:left="107" w:leftChars="0" w:right="101" w:rightChars="0"/>
              <w:rPr>
                <w:color w:val="auto"/>
                <w:sz w:val="21"/>
                <w:szCs w:val="21"/>
                <w:highlight w:val="none"/>
              </w:rPr>
            </w:pPr>
            <w:r>
              <w:rPr>
                <w:rFonts w:hint="eastAsia" w:cs="宋体"/>
                <w:b/>
                <w:bCs/>
                <w:color w:val="auto"/>
                <w:sz w:val="21"/>
                <w:szCs w:val="21"/>
                <w:highlight w:val="none"/>
                <w:lang w:val="en-US" w:eastAsia="zh-CN"/>
              </w:rPr>
              <w:t>差</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未针对该项目的难点、重点进行分</w:t>
            </w:r>
            <w:r>
              <w:rPr>
                <w:color w:val="auto"/>
                <w:sz w:val="21"/>
                <w:szCs w:val="21"/>
                <w:highlight w:val="none"/>
              </w:rPr>
              <w:t>析，未考虑各部分施工如何相互交叉和衔接，施工质量效果和设计效果的无法统一</w:t>
            </w:r>
            <w:r>
              <w:rPr>
                <w:rFonts w:hint="eastAsia"/>
                <w:color w:val="auto"/>
                <w:sz w:val="21"/>
                <w:szCs w:val="21"/>
                <w:highlight w:val="none"/>
                <w:lang w:eastAsia="zh-CN"/>
              </w:rPr>
              <w:t>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2"/>
              <w:spacing w:before="101" w:line="360" w:lineRule="auto"/>
              <w:rPr>
                <w:color w:val="auto"/>
                <w:sz w:val="21"/>
                <w:szCs w:val="21"/>
                <w:highlight w:val="none"/>
              </w:rPr>
            </w:pPr>
            <w:r>
              <w:rPr>
                <w:rFonts w:hint="eastAsia"/>
                <w:b/>
                <w:bCs/>
                <w:color w:val="auto"/>
                <w:sz w:val="21"/>
                <w:szCs w:val="21"/>
                <w:highlight w:val="none"/>
                <w:lang w:val="en-US" w:eastAsia="zh-CN"/>
              </w:rPr>
              <w:t>优</w:t>
            </w:r>
            <w:r>
              <w:rPr>
                <w:b/>
                <w:bCs/>
                <w:color w:val="auto"/>
                <w:sz w:val="21"/>
                <w:szCs w:val="21"/>
                <w:highlight w:val="none"/>
              </w:rPr>
              <w:t>：</w:t>
            </w:r>
            <w:r>
              <w:rPr>
                <w:color w:val="auto"/>
                <w:sz w:val="21"/>
                <w:szCs w:val="21"/>
                <w:highlight w:val="none"/>
              </w:rPr>
              <w:t>总体布置有针对性、合理，</w:t>
            </w:r>
            <w:r>
              <w:rPr>
                <w:rFonts w:hint="eastAsia"/>
                <w:color w:val="auto"/>
                <w:sz w:val="21"/>
                <w:szCs w:val="21"/>
                <w:highlight w:val="none"/>
                <w:lang w:eastAsia="zh-CN"/>
              </w:rPr>
              <w:t>完全</w:t>
            </w:r>
            <w:r>
              <w:rPr>
                <w:color w:val="auto"/>
                <w:sz w:val="21"/>
                <w:szCs w:val="21"/>
                <w:highlight w:val="none"/>
              </w:rPr>
              <w:t>满足施工需要，符合安全、文明生产要求</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 xml:space="preserve">。 </w:t>
            </w:r>
          </w:p>
          <w:p>
            <w:pPr>
              <w:pStyle w:val="32"/>
              <w:spacing w:before="101" w:line="360" w:lineRule="auto"/>
              <w:rPr>
                <w:color w:val="auto"/>
                <w:sz w:val="21"/>
                <w:szCs w:val="21"/>
                <w:highlight w:val="none"/>
              </w:rPr>
            </w:pPr>
            <w:r>
              <w:rPr>
                <w:rFonts w:hint="eastAsia"/>
                <w:b/>
                <w:bCs/>
                <w:color w:val="auto"/>
                <w:sz w:val="21"/>
                <w:szCs w:val="21"/>
                <w:highlight w:val="none"/>
                <w:lang w:val="en-US" w:eastAsia="zh-CN"/>
              </w:rPr>
              <w:t>良</w:t>
            </w:r>
            <w:r>
              <w:rPr>
                <w:b/>
                <w:bCs/>
                <w:color w:val="auto"/>
                <w:sz w:val="21"/>
                <w:szCs w:val="21"/>
                <w:highlight w:val="none"/>
              </w:rPr>
              <w:t>：</w:t>
            </w:r>
            <w:r>
              <w:rPr>
                <w:color w:val="auto"/>
                <w:sz w:val="21"/>
                <w:szCs w:val="21"/>
                <w:highlight w:val="none"/>
              </w:rPr>
              <w:t xml:space="preserve">总体布置合理，能满足施工需要， </w:t>
            </w:r>
            <w:r>
              <w:rPr>
                <w:rFonts w:hint="eastAsia"/>
                <w:color w:val="auto"/>
                <w:sz w:val="21"/>
                <w:szCs w:val="21"/>
                <w:highlight w:val="none"/>
                <w:lang w:eastAsia="zh-CN"/>
              </w:rPr>
              <w:t>可以</w:t>
            </w:r>
            <w:r>
              <w:rPr>
                <w:color w:val="auto"/>
                <w:sz w:val="21"/>
                <w:szCs w:val="21"/>
                <w:highlight w:val="none"/>
              </w:rPr>
              <w:t>符合安全、文明生产要求</w:t>
            </w:r>
            <w:r>
              <w:rPr>
                <w:rFonts w:hint="eastAsia"/>
                <w:color w:val="auto"/>
                <w:sz w:val="21"/>
                <w:szCs w:val="21"/>
                <w:highlight w:val="none"/>
                <w:lang w:eastAsia="zh-CN"/>
              </w:rPr>
              <w:t>的得</w:t>
            </w:r>
            <w:r>
              <w:rPr>
                <w:rFonts w:hint="eastAsia"/>
                <w:color w:val="auto"/>
                <w:sz w:val="21"/>
                <w:szCs w:val="21"/>
                <w:highlight w:val="none"/>
                <w:lang w:val="en-US" w:eastAsia="zh-CN"/>
              </w:rPr>
              <w:t>4分</w:t>
            </w:r>
            <w:r>
              <w:rPr>
                <w:color w:val="auto"/>
                <w:sz w:val="21"/>
                <w:szCs w:val="21"/>
                <w:highlight w:val="none"/>
              </w:rPr>
              <w:t>。</w:t>
            </w:r>
          </w:p>
          <w:p>
            <w:pPr>
              <w:pStyle w:val="32"/>
              <w:spacing w:before="101" w:line="360" w:lineRule="auto"/>
              <w:rPr>
                <w:color w:val="auto"/>
                <w:sz w:val="21"/>
                <w:szCs w:val="21"/>
                <w:highlight w:val="none"/>
              </w:rPr>
            </w:pPr>
            <w:r>
              <w:rPr>
                <w:rFonts w:hint="eastAsia"/>
                <w:b/>
                <w:bCs/>
                <w:color w:val="auto"/>
                <w:sz w:val="21"/>
                <w:szCs w:val="21"/>
                <w:highlight w:val="none"/>
                <w:lang w:val="en-US" w:eastAsia="zh-CN"/>
              </w:rPr>
              <w:t>中</w:t>
            </w:r>
            <w:r>
              <w:rPr>
                <w:b/>
                <w:bCs/>
                <w:color w:val="auto"/>
                <w:sz w:val="21"/>
                <w:szCs w:val="21"/>
                <w:highlight w:val="none"/>
              </w:rPr>
              <w:t>：</w:t>
            </w:r>
            <w:r>
              <w:rPr>
                <w:color w:val="auto"/>
                <w:sz w:val="21"/>
                <w:szCs w:val="21"/>
                <w:highlight w:val="none"/>
              </w:rPr>
              <w:t>总体布置基本合理，基本满足施工需要</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w:t>
            </w:r>
          </w:p>
          <w:p>
            <w:pPr>
              <w:pStyle w:val="32"/>
              <w:spacing w:before="101" w:line="360" w:lineRule="auto"/>
              <w:rPr>
                <w:color w:val="auto"/>
                <w:sz w:val="21"/>
                <w:szCs w:val="21"/>
                <w:highlight w:val="none"/>
              </w:rPr>
            </w:pPr>
            <w:r>
              <w:rPr>
                <w:rFonts w:hint="eastAsia"/>
                <w:b/>
                <w:bCs/>
                <w:color w:val="auto"/>
                <w:sz w:val="21"/>
                <w:szCs w:val="21"/>
                <w:highlight w:val="none"/>
                <w:lang w:val="en-US" w:eastAsia="zh-CN"/>
              </w:rPr>
              <w:t>差</w:t>
            </w:r>
            <w:r>
              <w:rPr>
                <w:b/>
                <w:bCs/>
                <w:color w:val="auto"/>
                <w:sz w:val="21"/>
                <w:szCs w:val="21"/>
                <w:highlight w:val="none"/>
              </w:rPr>
              <w:t>：</w:t>
            </w:r>
            <w:r>
              <w:rPr>
                <w:color w:val="auto"/>
                <w:sz w:val="21"/>
                <w:szCs w:val="21"/>
                <w:highlight w:val="none"/>
              </w:rPr>
              <w:t>总体布置不合理，不符合安全、文明生产要求</w:t>
            </w:r>
            <w:r>
              <w:rPr>
                <w:rFonts w:hint="eastAsia"/>
                <w:color w:val="auto"/>
                <w:sz w:val="21"/>
                <w:szCs w:val="21"/>
                <w:highlight w:val="none"/>
                <w:lang w:eastAsia="zh-CN"/>
              </w:rPr>
              <w:t>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pageBreakBefore w:val="0"/>
              <w:kinsoku/>
              <w:wordWrap/>
              <w:overflowPunct/>
              <w:topLinePunct w:val="0"/>
              <w:autoSpaceDE/>
              <w:autoSpaceDN/>
              <w:bidi w:val="0"/>
              <w:snapToGrid/>
              <w:spacing w:line="360" w:lineRule="auto"/>
              <w:jc w:val="both"/>
              <w:rPr>
                <w:b/>
                <w:bCs/>
                <w:color w:val="auto"/>
                <w:sz w:val="21"/>
                <w:szCs w:val="21"/>
                <w:highlight w:val="none"/>
              </w:rPr>
            </w:pPr>
            <w:r>
              <w:rPr>
                <w:rFonts w:hint="eastAsia"/>
                <w:b/>
                <w:bCs/>
                <w:color w:val="auto"/>
                <w:sz w:val="21"/>
                <w:szCs w:val="21"/>
                <w:highlight w:val="none"/>
                <w:lang w:val="en-US" w:eastAsia="zh-CN"/>
              </w:rPr>
              <w:t>2、报价文件</w:t>
            </w: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413" w:type="dxa"/>
            <w:gridSpan w:val="2"/>
          </w:tcPr>
          <w:p>
            <w:pPr>
              <w:keepNext w:val="0"/>
              <w:keepLines w:val="0"/>
              <w:pageBreakBefore w:val="0"/>
              <w:kinsoku/>
              <w:wordWrap/>
              <w:overflowPunct/>
              <w:topLinePunct w:val="0"/>
              <w:autoSpaceDE/>
              <w:autoSpaceDN/>
              <w:bidi w:val="0"/>
              <w:snapToGrid/>
              <w:spacing w:line="360" w:lineRule="auto"/>
              <w:ind w:firstLine="420" w:firstLineChars="200"/>
              <w:rPr>
                <w:rFonts w:hint="eastAsia"/>
                <w:color w:val="auto"/>
                <w:sz w:val="21"/>
                <w:szCs w:val="21"/>
                <w:highlight w:val="none"/>
              </w:rPr>
            </w:pPr>
            <w:r>
              <w:rPr>
                <w:rFonts w:hint="eastAsia"/>
                <w:color w:val="auto"/>
                <w:sz w:val="21"/>
                <w:szCs w:val="21"/>
                <w:highlight w:val="none"/>
              </w:rPr>
              <w:t>评标基准价</w:t>
            </w:r>
            <w:r>
              <w:rPr>
                <w:color w:val="auto"/>
                <w:sz w:val="21"/>
                <w:szCs w:val="21"/>
                <w:highlight w:val="none"/>
              </w:rPr>
              <w:t>的确定方法</w:t>
            </w:r>
            <w:r>
              <w:rPr>
                <w:rFonts w:hint="eastAsia"/>
                <w:color w:val="auto"/>
                <w:sz w:val="21"/>
                <w:szCs w:val="21"/>
                <w:highlight w:val="none"/>
                <w:lang w:eastAsia="zh-CN"/>
              </w:rPr>
              <w:t>：</w:t>
            </w:r>
            <w:r>
              <w:rPr>
                <w:rFonts w:hint="default"/>
                <w:color w:val="auto"/>
                <w:sz w:val="21"/>
                <w:szCs w:val="21"/>
                <w:highlight w:val="none"/>
              </w:rPr>
              <w:t>采用低价优先法计算，即满足磋商文件要求且最后报价最低的供应商的价格为磋商基准价，其价格分为满分</w:t>
            </w:r>
            <w:r>
              <w:rPr>
                <w:rFonts w:hint="eastAsia"/>
                <w:color w:val="auto"/>
                <w:sz w:val="21"/>
                <w:szCs w:val="21"/>
                <w:highlight w:val="none"/>
              </w:rPr>
              <w:t>。</w:t>
            </w:r>
          </w:p>
          <w:p>
            <w:pPr>
              <w:keepNext w:val="0"/>
              <w:keepLines w:val="0"/>
              <w:pageBreakBefore w:val="0"/>
              <w:kinsoku/>
              <w:wordWrap/>
              <w:overflowPunct/>
              <w:topLinePunct w:val="0"/>
              <w:autoSpaceDE/>
              <w:autoSpaceDN/>
              <w:bidi w:val="0"/>
              <w:snapToGrid/>
              <w:spacing w:line="360" w:lineRule="auto"/>
              <w:ind w:firstLine="420" w:firstLineChars="200"/>
              <w:rPr>
                <w:color w:val="auto"/>
                <w:sz w:val="21"/>
                <w:szCs w:val="21"/>
                <w:highlight w:val="none"/>
              </w:rPr>
            </w:pPr>
            <w:r>
              <w:rPr>
                <w:rFonts w:hint="eastAsia"/>
                <w:color w:val="auto"/>
                <w:sz w:val="21"/>
                <w:szCs w:val="21"/>
                <w:highlight w:val="none"/>
              </w:rPr>
              <w:t>其他供应商的价格分统一按照下列公式计算：磋商报价得分=（评审基准价/磋商报价）×价格分满分分值。</w:t>
            </w:r>
          </w:p>
        </w:tc>
      </w:tr>
    </w:tbl>
    <w:p>
      <w:pPr>
        <w:numPr>
          <w:ilvl w:val="0"/>
          <w:numId w:val="7"/>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pPr>
        <w:spacing w:line="360" w:lineRule="auto"/>
        <w:ind w:firstLine="420" w:firstLineChars="200"/>
        <w:rPr>
          <w:rFonts w:hint="eastAsia" w:ascii="宋体" w:hAnsi="宋体" w:cs="宋体"/>
          <w:color w:val="auto"/>
          <w:sz w:val="21"/>
          <w:szCs w:val="21"/>
          <w:highlight w:val="none"/>
        </w:rPr>
      </w:pPr>
      <w:r>
        <w:rPr>
          <w:rFonts w:hint="eastAsia" w:ascii="宋体" w:hAnsi="宋体"/>
          <w:bCs/>
          <w:color w:val="auto"/>
          <w:sz w:val="21"/>
          <w:szCs w:val="21"/>
          <w:highlight w:val="none"/>
        </w:rPr>
        <w:t>由磋商小组根据综合评分情况，按照评审得分由高到低顺序推荐3名以上成交候选供应商</w:t>
      </w:r>
      <w:r>
        <w:rPr>
          <w:rFonts w:hint="eastAsia" w:ascii="宋体" w:hAnsi="宋体" w:cs="宋体"/>
          <w:color w:val="auto"/>
          <w:sz w:val="21"/>
          <w:szCs w:val="21"/>
          <w:highlight w:val="none"/>
        </w:rPr>
        <w:t>,并在线编写电子评审报告</w:t>
      </w:r>
      <w:r>
        <w:rPr>
          <w:rFonts w:hint="eastAsia" w:ascii="宋体" w:hAnsi="宋体"/>
          <w:bCs/>
          <w:color w:val="auto"/>
          <w:sz w:val="21"/>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pPr>
        <w:pStyle w:val="36"/>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4"/>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229" w:name="_Toc80205936"/>
      <w:bookmarkStart w:id="230" w:name="_Toc80886940"/>
      <w:r>
        <w:rPr>
          <w:rFonts w:hint="eastAsia" w:ascii="宋体" w:hAnsi="宋体" w:eastAsia="宋体" w:cs="宋体"/>
          <w:b/>
          <w:bCs/>
          <w:color w:val="auto"/>
          <w:sz w:val="24"/>
          <w:highlight w:val="none"/>
          <w:lang w:val="en-US" w:eastAsia="zh-CN" w:bidi="hi-IN"/>
        </w:rPr>
        <w:t>五、 评审过程的保密与录像</w:t>
      </w:r>
      <w:bookmarkEnd w:id="229"/>
      <w:bookmarkEnd w:id="230"/>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pPr>
        <w:widowControl/>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采购代理机构对评审工作现场及操作屏幕进行全过程录音录像，录音录像资料作为采购项目文件随其他文件一并存档。</w:t>
      </w:r>
    </w:p>
    <w:p>
      <w:pPr>
        <w:pStyle w:val="25"/>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5"/>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5"/>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5"/>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pP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pP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pP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pPr>
        <w:pStyle w:val="24"/>
        <w:rPr>
          <w:rFonts w:hint="eastAsia"/>
          <w:color w:val="auto"/>
          <w:sz w:val="21"/>
          <w:szCs w:val="21"/>
          <w:highlight w:val="none"/>
        </w:rPr>
        <w:sectPr>
          <w:headerReference r:id="rId11" w:type="default"/>
          <w:footerReference r:id="rId12" w:type="default"/>
          <w:pgSz w:w="11906" w:h="16838"/>
          <w:pgMar w:top="1134" w:right="1134" w:bottom="1134" w:left="1417" w:header="851" w:footer="851" w:gutter="0"/>
          <w:cols w:space="720" w:num="1"/>
          <w:docGrid w:linePitch="312" w:charSpace="43007"/>
        </w:sectPr>
      </w:pPr>
    </w:p>
    <w:p>
      <w:pPr>
        <w:pStyle w:val="24"/>
        <w:spacing w:line="360" w:lineRule="auto"/>
        <w:jc w:val="center"/>
        <w:rPr>
          <w:rFonts w:hint="eastAsia" w:ascii="宋体" w:hAnsi="宋体"/>
          <w:b/>
          <w:color w:val="auto"/>
          <w:sz w:val="32"/>
          <w:szCs w:val="32"/>
          <w:highlight w:val="none"/>
        </w:rPr>
      </w:pPr>
    </w:p>
    <w:p>
      <w:pPr>
        <w:pStyle w:val="25"/>
        <w:rPr>
          <w:rFonts w:hint="eastAsia" w:ascii="宋体" w:hAnsi="宋体" w:eastAsia="宋体"/>
          <w:color w:val="auto"/>
          <w:sz w:val="32"/>
          <w:szCs w:val="32"/>
          <w:highlight w:val="none"/>
        </w:rPr>
      </w:pPr>
    </w:p>
    <w:p>
      <w:pPr>
        <w:pStyle w:val="24"/>
        <w:rPr>
          <w:rFonts w:hint="eastAsia" w:ascii="宋体" w:hAnsi="宋体"/>
          <w:b/>
          <w:color w:val="auto"/>
          <w:sz w:val="32"/>
          <w:szCs w:val="32"/>
          <w:highlight w:val="none"/>
        </w:rPr>
      </w:pPr>
    </w:p>
    <w:p>
      <w:pPr>
        <w:pStyle w:val="25"/>
        <w:rPr>
          <w:rFonts w:hint="eastAsia"/>
          <w:color w:val="auto"/>
          <w:highlight w:val="none"/>
        </w:rPr>
      </w:pPr>
    </w:p>
    <w:p>
      <w:pPr>
        <w:pStyle w:val="25"/>
        <w:rPr>
          <w:rFonts w:hint="eastAsia" w:ascii="宋体" w:hAnsi="宋体" w:eastAsia="宋体"/>
          <w:color w:val="auto"/>
          <w:sz w:val="32"/>
          <w:szCs w:val="32"/>
          <w:highlight w:val="none"/>
        </w:rPr>
      </w:pPr>
    </w:p>
    <w:p>
      <w:pPr>
        <w:pStyle w:val="24"/>
        <w:rPr>
          <w:rFonts w:hint="eastAsia" w:ascii="宋体" w:hAnsi="宋体"/>
          <w:b/>
          <w:color w:val="auto"/>
          <w:sz w:val="32"/>
          <w:szCs w:val="32"/>
          <w:highlight w:val="none"/>
        </w:rPr>
      </w:pPr>
    </w:p>
    <w:p>
      <w:pPr>
        <w:pStyle w:val="25"/>
        <w:rPr>
          <w:rFonts w:hint="eastAsia"/>
          <w:color w:val="auto"/>
          <w:highlight w:val="none"/>
        </w:rPr>
      </w:pPr>
    </w:p>
    <w:p>
      <w:pPr>
        <w:pStyle w:val="24"/>
        <w:spacing w:line="360" w:lineRule="auto"/>
        <w:jc w:val="center"/>
        <w:outlineLvl w:val="0"/>
        <w:rPr>
          <w:rFonts w:hint="eastAsia" w:ascii="宋体" w:hAnsi="宋体"/>
          <w:b/>
          <w:color w:val="auto"/>
          <w:sz w:val="32"/>
          <w:szCs w:val="32"/>
          <w:highlight w:val="none"/>
        </w:rPr>
      </w:pPr>
      <w:bookmarkStart w:id="231" w:name="_Toc5706"/>
      <w:r>
        <w:rPr>
          <w:rFonts w:hint="eastAsia" w:ascii="宋体" w:hAnsi="宋体"/>
          <w:b/>
          <w:color w:val="auto"/>
          <w:sz w:val="32"/>
          <w:szCs w:val="32"/>
          <w:highlight w:val="none"/>
        </w:rPr>
        <w:t>第七章   施工图纸及工程量清单</w:t>
      </w:r>
      <w:bookmarkEnd w:id="231"/>
    </w:p>
    <w:p>
      <w:pPr>
        <w:pStyle w:val="25"/>
        <w:jc w:val="center"/>
        <w:rPr>
          <w:color w:val="auto"/>
          <w:highlight w:val="none"/>
        </w:rPr>
      </w:pPr>
      <w:r>
        <w:rPr>
          <w:rFonts w:hint="eastAsia"/>
          <w:color w:val="auto"/>
          <w:highlight w:val="none"/>
        </w:rPr>
        <w:t>另册</w:t>
      </w:r>
    </w:p>
    <w:p>
      <w:pPr>
        <w:rPr>
          <w:color w:val="auto"/>
          <w:highlight w:val="none"/>
        </w:rPr>
      </w:pPr>
    </w:p>
    <w:p>
      <w:pPr>
        <w:rPr>
          <w:color w:val="auto"/>
          <w:highlight w:val="none"/>
        </w:rPr>
      </w:pPr>
    </w:p>
    <w:sectPr>
      <w:pgSz w:w="11906" w:h="16838"/>
      <w:pgMar w:top="1134" w:right="1134" w:bottom="1134" w:left="1417" w:header="851" w:footer="851" w:gutter="0"/>
      <w:cols w:space="720" w:num="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DejaVu Math TeX Gyre"/>
    <w:panose1 w:val="02040503050203030202"/>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金山简黑体">
    <w:altName w:val="黑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简体">
    <w:altName w:val="宋体"/>
    <w:panose1 w:val="00000000000000000000"/>
    <w:charset w:val="86"/>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instrText xml:space="preserve">PAGE  </w:instrText>
    </w:r>
    <w:r>
      <w:rPr>
        <w:rStyle w:val="21"/>
      </w:rPr>
      <w:fldChar w:fldCharType="separate"/>
    </w:r>
    <w:r>
      <w:rPr>
        <w:rStyle w:val="21"/>
        <w:rFonts w:hint="eastAsia"/>
      </w:rPr>
      <w:t>６</w:t>
    </w:r>
    <w:r>
      <w:rPr>
        <w:rStyle w:val="21"/>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Pp5U9HoAQAA&#10;9AMAAA4AAAAAAAAAAQAgAAAAHwEAAGRycy9lMm9Eb2MueG1sUEsFBgAAAAAGAAYAWQEAAHkFAAAA&#10;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10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102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uXWezoAQAA9A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eVHKYLy3PCnoeTfEy3L1Tr700equOwxHnDe&#10;EYdZ7NCiz/8sQwyjp9dnT82QhObkcr1ar0u2W/PZbcM4xcvnESl9MeBFDmqJ3LTRS3W5pzSV3kry&#10;bQH21jnOq8qFPxKMmTNFZjxxzFEajsNM/AjNleUiTHNAUe8t33mvKB0UcuOZJz+N9MBL66CvJcyR&#10;FB3gz3/lcz33g0+l6HmQahn43UjhvgbuU565W4C34HgLVND8YS2TFOeI9tSNvLImip/PiYWO+rOK&#10;ifosjodhdHAe3Dxtv+/HqpfHuv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FuXWezoAQAA&#10;9AMAAA4AAAAAAAAAAQAgAAAAHwEAAGRycy9lMm9Eb2MueG1sUEsFBgAAAAAGAAYAWQEAAHkFAAAA&#10;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89</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10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1029"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DlXLQPoAQAA&#10;9AMAAA4AAAAAAAAAAQAgAAAAHwEAAGRycy9lMm9Eb2MueG1sUEsFBgAAAAAGAAYAWQEAAHkFAAAA&#10;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pPr>
      <w:pStyle w:val="14"/>
      <w:pBdr>
        <w:bottom w:val="none" w:color="auto" w:sz="0" w:space="0"/>
      </w:pBdr>
      <w:rPr>
        <w:b/>
        <w:bCs w:val="0"/>
      </w:rPr>
    </w:pPr>
    <w:r>
      <w:rPr>
        <w:rFonts w:hint="eastAsia" w:ascii="宋体" w:hAnsi="宋体" w:eastAsia="宋体" w:cs="宋体"/>
        <w:b/>
        <w:bCs w:val="0"/>
        <w:color w:val="auto"/>
        <w:sz w:val="72"/>
        <w:szCs w:val="72"/>
        <w:u w:val="single"/>
        <w:lang w:eastAsia="zh-CN"/>
      </w:rPr>
      <w:t>广西国腾招标代理有限公司</w:t>
    </w:r>
  </w:p>
  <w:p>
    <w:pPr>
      <w:autoSpaceDE w:val="0"/>
      <w:autoSpaceDN w:val="0"/>
      <w:spacing w:line="312" w:lineRule="auto"/>
      <w:jc w:val="center"/>
      <w:rPr>
        <w:rFonts w:ascii="宋体" w:hAnsi="宋体" w:cs="宋体"/>
        <w:sz w:val="56"/>
      </w:rPr>
    </w:pPr>
  </w:p>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rPr>
        <w:rFonts w:ascii="宋体" w:hAnsi="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5"/>
      <w:numFmt w:val="decimal"/>
      <w:suff w:val="nothing"/>
      <w:lvlText w:val="%1、"/>
      <w:lvlJc w:val="left"/>
    </w:lvl>
  </w:abstractNum>
  <w:abstractNum w:abstractNumId="1">
    <w:nsid w:val="CF092B84"/>
    <w:multiLevelType w:val="singleLevel"/>
    <w:tmpl w:val="CF092B84"/>
    <w:lvl w:ilvl="0" w:tentative="0">
      <w:start w:val="5"/>
      <w:numFmt w:val="chineseCounting"/>
      <w:suff w:val="nothing"/>
      <w:lvlText w:val="%1、"/>
      <w:lvlJc w:val="left"/>
      <w:rPr>
        <w:rFonts w:hint="eastAsia"/>
      </w:rPr>
    </w:lvl>
  </w:abstractNum>
  <w:abstractNum w:abstractNumId="2">
    <w:nsid w:val="0053208E"/>
    <w:multiLevelType w:val="singleLevel"/>
    <w:tmpl w:val="0053208E"/>
    <w:lvl w:ilvl="0" w:tentative="0">
      <w:start w:val="1"/>
      <w:numFmt w:val="chineseCounting"/>
      <w:suff w:val="space"/>
      <w:lvlText w:val="第%1章"/>
      <w:lvlJc w:val="left"/>
      <w:rPr>
        <w:rFonts w:hint="eastAsia"/>
      </w:rPr>
    </w:lvl>
  </w:abstractNum>
  <w:abstractNum w:abstractNumId="3">
    <w:nsid w:val="0248C179"/>
    <w:multiLevelType w:val="singleLevel"/>
    <w:tmpl w:val="0248C179"/>
    <w:lvl w:ilvl="0" w:tentative="0">
      <w:start w:val="4"/>
      <w:numFmt w:val="chineseCounting"/>
      <w:suff w:val="nothing"/>
      <w:lvlText w:val="%1、"/>
      <w:lvlJc w:val="left"/>
      <w:pPr>
        <w:ind w:left="-73"/>
      </w:pPr>
      <w:rPr>
        <w:rFonts w:hint="eastAsia"/>
      </w:rPr>
    </w:lvl>
  </w:abstractNum>
  <w:abstractNum w:abstractNumId="4">
    <w:nsid w:val="03D62ECE"/>
    <w:multiLevelType w:val="singleLevel"/>
    <w:tmpl w:val="03D62ECE"/>
    <w:lvl w:ilvl="0" w:tentative="0">
      <w:start w:val="4"/>
      <w:numFmt w:val="decimal"/>
      <w:suff w:val="nothing"/>
      <w:lvlText w:val="%1、"/>
      <w:lvlJc w:val="left"/>
    </w:lvl>
  </w:abstractNum>
  <w:abstractNum w:abstractNumId="5">
    <w:nsid w:val="25B654F3"/>
    <w:multiLevelType w:val="multilevel"/>
    <w:tmpl w:val="25B654F3"/>
    <w:lvl w:ilvl="0" w:tentative="0">
      <w:start w:val="1"/>
      <w:numFmt w:val="decimal"/>
      <w:lvlText w:val="%1)"/>
      <w:lvlJc w:val="left"/>
      <w:pPr>
        <w:tabs>
          <w:tab w:val="left" w:pos="1350"/>
        </w:tabs>
        <w:ind w:left="1350" w:hanging="78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6">
    <w:nsid w:val="72183CF9"/>
    <w:multiLevelType w:val="multilevel"/>
    <w:tmpl w:val="72183CF9"/>
    <w:lvl w:ilvl="0" w:tentative="0">
      <w:start w:val="1"/>
      <w:numFmt w:val="decimal"/>
      <w:lvlText w:val="%1)"/>
      <w:lvlJc w:val="left"/>
      <w:pPr>
        <w:tabs>
          <w:tab w:val="left" w:pos="1350"/>
        </w:tabs>
        <w:ind w:left="1350" w:hanging="78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dit="forms" w:enforcement="1" w:cryptProviderType="rsaFull" w:cryptAlgorithmClass="hash" w:cryptAlgorithmType="typeAny" w:cryptAlgorithmSid="4" w:cryptSpinCount="0" w:hash="eydOgq+Ow9rWhGORj5TUp24ye6s=" w:salt="PShMGjNDfEsB8wtC96PL1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ZTgwZWEyZmE5MDc4MDhhNzU4N2Q5MWE1ZmMwMWUifQ=="/>
  </w:docVars>
  <w:rsids>
    <w:rsidRoot w:val="00000000"/>
    <w:rsid w:val="0035039F"/>
    <w:rsid w:val="00523CFB"/>
    <w:rsid w:val="00721ED8"/>
    <w:rsid w:val="0232256A"/>
    <w:rsid w:val="05151950"/>
    <w:rsid w:val="074D33CE"/>
    <w:rsid w:val="08F85A94"/>
    <w:rsid w:val="09193097"/>
    <w:rsid w:val="095506FC"/>
    <w:rsid w:val="0A7B04A7"/>
    <w:rsid w:val="0BBA516F"/>
    <w:rsid w:val="0D216325"/>
    <w:rsid w:val="0D5C1B29"/>
    <w:rsid w:val="0E576B09"/>
    <w:rsid w:val="0F135152"/>
    <w:rsid w:val="0F4277E5"/>
    <w:rsid w:val="14F46C8F"/>
    <w:rsid w:val="15B41540"/>
    <w:rsid w:val="17132FC3"/>
    <w:rsid w:val="173F538A"/>
    <w:rsid w:val="176601B7"/>
    <w:rsid w:val="18C973EE"/>
    <w:rsid w:val="19A462DA"/>
    <w:rsid w:val="1CAA1A23"/>
    <w:rsid w:val="20A548A0"/>
    <w:rsid w:val="2256291C"/>
    <w:rsid w:val="22D97BFE"/>
    <w:rsid w:val="235E0432"/>
    <w:rsid w:val="249969BA"/>
    <w:rsid w:val="256E4A38"/>
    <w:rsid w:val="25CE284D"/>
    <w:rsid w:val="261A0EFB"/>
    <w:rsid w:val="27846795"/>
    <w:rsid w:val="27F21CAC"/>
    <w:rsid w:val="297840D8"/>
    <w:rsid w:val="2CF950D6"/>
    <w:rsid w:val="2D236D10"/>
    <w:rsid w:val="37D60A28"/>
    <w:rsid w:val="390B1C59"/>
    <w:rsid w:val="3A4A796F"/>
    <w:rsid w:val="3B9C1EA7"/>
    <w:rsid w:val="3C0B080B"/>
    <w:rsid w:val="3CFD2A0A"/>
    <w:rsid w:val="3D6A3AAD"/>
    <w:rsid w:val="3EB540CC"/>
    <w:rsid w:val="3F995CD9"/>
    <w:rsid w:val="42D83032"/>
    <w:rsid w:val="43046D21"/>
    <w:rsid w:val="432E664D"/>
    <w:rsid w:val="44111ADE"/>
    <w:rsid w:val="456B4699"/>
    <w:rsid w:val="486701DC"/>
    <w:rsid w:val="494D5A3B"/>
    <w:rsid w:val="4993373C"/>
    <w:rsid w:val="49D354E8"/>
    <w:rsid w:val="4C4179C2"/>
    <w:rsid w:val="4CC1570B"/>
    <w:rsid w:val="4E5B7754"/>
    <w:rsid w:val="4E81665A"/>
    <w:rsid w:val="4E9E14F2"/>
    <w:rsid w:val="51597A9B"/>
    <w:rsid w:val="52C00EF1"/>
    <w:rsid w:val="52D92440"/>
    <w:rsid w:val="53496683"/>
    <w:rsid w:val="541B65D8"/>
    <w:rsid w:val="54CB0CB0"/>
    <w:rsid w:val="55221E50"/>
    <w:rsid w:val="58271E62"/>
    <w:rsid w:val="59EC5A68"/>
    <w:rsid w:val="5D0A5224"/>
    <w:rsid w:val="5D4A3D94"/>
    <w:rsid w:val="5EFD263A"/>
    <w:rsid w:val="600D072A"/>
    <w:rsid w:val="60313C48"/>
    <w:rsid w:val="60DF73CF"/>
    <w:rsid w:val="615C1EE4"/>
    <w:rsid w:val="62AE5A56"/>
    <w:rsid w:val="63566985"/>
    <w:rsid w:val="63FE2F41"/>
    <w:rsid w:val="66354152"/>
    <w:rsid w:val="66805D9E"/>
    <w:rsid w:val="669748D6"/>
    <w:rsid w:val="67B03E52"/>
    <w:rsid w:val="6800519C"/>
    <w:rsid w:val="684727D9"/>
    <w:rsid w:val="689E42BA"/>
    <w:rsid w:val="693115D2"/>
    <w:rsid w:val="6A4D68DC"/>
    <w:rsid w:val="6C1D081F"/>
    <w:rsid w:val="6C97799E"/>
    <w:rsid w:val="6EF8049C"/>
    <w:rsid w:val="6F120474"/>
    <w:rsid w:val="70A97067"/>
    <w:rsid w:val="723373D9"/>
    <w:rsid w:val="741503C2"/>
    <w:rsid w:val="74904960"/>
    <w:rsid w:val="749C730D"/>
    <w:rsid w:val="7555341C"/>
    <w:rsid w:val="785B1F26"/>
    <w:rsid w:val="795002C3"/>
    <w:rsid w:val="79674B9C"/>
    <w:rsid w:val="79E90E59"/>
    <w:rsid w:val="7B011855"/>
    <w:rsid w:val="7D7F6C17"/>
    <w:rsid w:val="7E52327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paragraph" w:styleId="3">
    <w:name w:val="heading 1"/>
    <w:basedOn w:val="1"/>
    <w:next w:val="1"/>
    <w:qFormat/>
    <w:uiPriority w:val="99"/>
    <w:pPr>
      <w:keepNext/>
      <w:keepLines/>
      <w:spacing w:line="400" w:lineRule="exact"/>
      <w:outlineLvl w:val="0"/>
    </w:pPr>
    <w:rPr>
      <w:b/>
      <w:kern w:val="0"/>
      <w:sz w:val="44"/>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paragraph" w:styleId="6">
    <w:name w:val="heading 4"/>
    <w:basedOn w:val="1"/>
    <w:next w:val="1"/>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toa heading"/>
    <w:basedOn w:val="1"/>
    <w:next w:val="1"/>
    <w:qFormat/>
    <w:uiPriority w:val="0"/>
    <w:rPr>
      <w:rFonts w:ascii="Arial" w:hAnsi="Arial" w:eastAsia="宋体" w:cs="Times New Roman"/>
      <w:sz w:val="24"/>
    </w:rPr>
  </w:style>
  <w:style w:type="paragraph" w:styleId="8">
    <w:name w:val="annotation text"/>
    <w:basedOn w:val="1"/>
    <w:uiPriority w:val="0"/>
    <w:pPr>
      <w:jc w:val="left"/>
    </w:pPr>
  </w:style>
  <w:style w:type="paragraph" w:styleId="9">
    <w:name w:val="Body Text"/>
    <w:basedOn w:val="1"/>
    <w:next w:val="1"/>
    <w:semiHidden/>
    <w:qFormat/>
    <w:uiPriority w:val="0"/>
    <w:pPr>
      <w:spacing w:after="120"/>
    </w:pPr>
  </w:style>
  <w:style w:type="paragraph" w:styleId="10">
    <w:name w:val="Body Text Indent"/>
    <w:basedOn w:val="1"/>
    <w:qFormat/>
    <w:uiPriority w:val="0"/>
    <w:pPr>
      <w:spacing w:line="200" w:lineRule="exact"/>
      <w:ind w:firstLine="301"/>
    </w:pPr>
    <w:rPr>
      <w:rFonts w:ascii="宋体" w:hAnsi="Courier New"/>
      <w:spacing w:val="-4"/>
      <w:sz w:val="18"/>
    </w:rPr>
  </w:style>
  <w:style w:type="paragraph" w:styleId="11">
    <w:name w:val="Plain Text"/>
    <w:basedOn w:val="1"/>
    <w:next w:val="1"/>
    <w:qFormat/>
    <w:uiPriority w:val="99"/>
    <w:rPr>
      <w:rFonts w:ascii="宋体" w:hAnsi="宋体"/>
    </w:rPr>
  </w:style>
  <w:style w:type="paragraph" w:styleId="12">
    <w:name w:val="Date"/>
    <w:basedOn w:val="1"/>
    <w:next w:val="1"/>
    <w:qFormat/>
    <w:uiPriority w:val="0"/>
    <w:rPr>
      <w:rFonts w:ascii="宋体"/>
      <w:color w:val="000000"/>
      <w:kern w:val="0"/>
      <w:sz w:val="30"/>
    </w:rPr>
  </w:style>
  <w:style w:type="paragraph" w:styleId="13">
    <w:name w:val="footer"/>
    <w:basedOn w:val="1"/>
    <w:next w:val="1"/>
    <w:qFormat/>
    <w:uiPriority w:val="99"/>
    <w:pPr>
      <w:tabs>
        <w:tab w:val="center" w:pos="4153"/>
        <w:tab w:val="right" w:pos="8306"/>
      </w:tabs>
      <w:snapToGrid w:val="0"/>
      <w:jc w:val="left"/>
    </w:pPr>
    <w:rPr>
      <w:rFonts w:cs="Mangal"/>
      <w:sz w:val="18"/>
      <w:szCs w:val="16"/>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index 1"/>
    <w:basedOn w:val="1"/>
    <w:next w:val="1"/>
    <w:qFormat/>
    <w:uiPriority w:val="99"/>
  </w:style>
  <w:style w:type="paragraph" w:styleId="17">
    <w:name w:val="Body Text First Indent 2"/>
    <w:basedOn w:val="1"/>
    <w:unhideWhenUsed/>
    <w:qFormat/>
    <w:uiPriority w:val="99"/>
    <w:pPr>
      <w:ind w:firstLine="420" w:firstLineChars="200"/>
    </w:p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99"/>
    <w:rPr>
      <w:rFonts w:cs="Times New Roman"/>
    </w:rPr>
  </w:style>
  <w:style w:type="paragraph" w:customStyle="1" w:styleId="2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3">
    <w:name w:val="表格文字"/>
    <w:basedOn w:val="1"/>
    <w:qFormat/>
    <w:uiPriority w:val="0"/>
    <w:pPr>
      <w:jc w:val="left"/>
    </w:pPr>
    <w:rPr>
      <w:bCs/>
      <w:spacing w:val="10"/>
      <w:sz w:val="24"/>
    </w:rPr>
  </w:style>
  <w:style w:type="paragraph" w:customStyle="1" w:styleId="24">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文本1"/>
    <w:basedOn w:val="24"/>
    <w:qFormat/>
    <w:uiPriority w:val="0"/>
    <w:rPr>
      <w:rFonts w:ascii="金山简黑体" w:hAnsi="金山简黑体" w:eastAsia="金山简黑体"/>
      <w:b/>
      <w:spacing w:val="-8"/>
      <w:sz w:val="44"/>
      <w:szCs w:val="20"/>
    </w:rPr>
  </w:style>
  <w:style w:type="paragraph" w:customStyle="1" w:styleId="26">
    <w:name w:val="目录 11"/>
    <w:basedOn w:val="24"/>
    <w:qFormat/>
    <w:uiPriority w:val="39"/>
    <w:pPr>
      <w:tabs>
        <w:tab w:val="right" w:leader="dot" w:pos="9628"/>
      </w:tabs>
    </w:pPr>
    <w:rPr>
      <w:rFonts w:ascii="宋体" w:hAnsi="宋体"/>
      <w:b/>
      <w:color w:val="000000"/>
      <w:sz w:val="32"/>
      <w:szCs w:val="32"/>
    </w:rPr>
  </w:style>
  <w:style w:type="paragraph" w:customStyle="1" w:styleId="27">
    <w:name w:val="正文缩进1"/>
    <w:basedOn w:val="24"/>
    <w:qFormat/>
    <w:uiPriority w:val="0"/>
    <w:pPr>
      <w:spacing w:line="200" w:lineRule="exact"/>
      <w:ind w:firstLine="301"/>
    </w:pPr>
    <w:rPr>
      <w:rFonts w:ascii="宋体" w:hAnsi="宋体"/>
      <w:spacing w:val="-4"/>
      <w:sz w:val="18"/>
      <w:szCs w:val="20"/>
    </w:rPr>
  </w:style>
  <w:style w:type="paragraph" w:customStyle="1" w:styleId="2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标题 31"/>
    <w:basedOn w:val="24"/>
    <w:qFormat/>
    <w:uiPriority w:val="0"/>
    <w:pPr>
      <w:keepNext/>
      <w:keepLines/>
      <w:spacing w:before="260" w:after="260" w:line="415" w:lineRule="auto"/>
      <w:outlineLvl w:val="2"/>
    </w:pPr>
    <w:rPr>
      <w:b/>
      <w:bCs/>
      <w:sz w:val="32"/>
      <w:szCs w:val="32"/>
    </w:rPr>
  </w:style>
  <w:style w:type="paragraph" w:customStyle="1" w:styleId="3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页眉1"/>
    <w:basedOn w:val="24"/>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34">
    <w:name w:val="页脚1"/>
    <w:basedOn w:val="24"/>
    <w:qFormat/>
    <w:uiPriority w:val="99"/>
    <w:pPr>
      <w:tabs>
        <w:tab w:val="center" w:pos="4153"/>
        <w:tab w:val="right" w:pos="8306"/>
      </w:tabs>
      <w:snapToGrid w:val="0"/>
      <w:jc w:val="left"/>
    </w:pPr>
    <w:rPr>
      <w:rFonts w:ascii="宋体" w:hAnsi="宋体"/>
      <w:sz w:val="18"/>
      <w:szCs w:val="20"/>
    </w:rPr>
  </w:style>
  <w:style w:type="paragraph" w:customStyle="1" w:styleId="35">
    <w:name w:val="段落2"/>
    <w:basedOn w:val="1"/>
    <w:qFormat/>
    <w:uiPriority w:val="0"/>
    <w:pPr>
      <w:spacing w:line="360" w:lineRule="auto"/>
      <w:ind w:firstLine="480" w:firstLineChars="200"/>
    </w:pPr>
    <w:rPr>
      <w:rFonts w:ascii="Calibri" w:hAnsi="Calibri" w:cs="Courier New"/>
      <w:sz w:val="24"/>
      <w:szCs w:val="21"/>
    </w:rPr>
  </w:style>
  <w:style w:type="paragraph" w:customStyle="1" w:styleId="36">
    <w:name w:val="正文2"/>
    <w:basedOn w:val="1"/>
    <w:qFormat/>
    <w:uiPriority w:val="0"/>
    <w:pPr>
      <w:adjustRightInd w:val="0"/>
      <w:spacing w:before="156" w:line="360" w:lineRule="auto"/>
      <w:ind w:firstLine="510" w:firstLineChars="200"/>
    </w:pPr>
    <w:rPr>
      <w:kern w:val="0"/>
      <w:sz w:val="24"/>
      <w:szCs w:val="20"/>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2E3B918119704B27A067C91CF6B47C76</vt:lpwstr>
  </property>
  <property fmtid="{D5CDD505-2E9C-101B-9397-08002B2CF9AE}" pid="4" name="commondata">
    <vt:lpwstr>eyJoZGlkIjoiMDMxMGZjOWUzMGUxMmI4NzRjODAzZDBkNzM1YzcyY2UifQ==</vt:lpwstr>
  </property>
</Properties>
</file>

<file path=customXml/item3.xml><?xml version="1.0" encoding="utf-8"?>
<Properties xmlns="http://schemas.openxmlformats.org/officeDocument/2006/extended-properties" xmlns:vt="http://schemas.openxmlformats.org/officeDocument/2006/docPropsVTypes">
  <Template>Normal.dotm</Template>
  <Pages>73</Pages>
  <Words>43606</Words>
  <Characters>45593</Characters>
  <Lines>0</Lines>
  <Paragraphs>0</Paragraphs>
  <TotalTime>11</TotalTime>
  <ScaleCrop>false</ScaleCrop>
  <LinksUpToDate>false</LinksUpToDate>
  <CharactersWithSpaces>47937</CharactersWithSpaces>
  <Application>WPS Office_11.1.0.12358_F1E327BC-269C-435d-A152-05C5408002CA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2022-03-23T11:21:00Z</dcterms:created>
  <dc:creator>吴先森</dc:creator>
  <cp:lastModifiedBy>何艳</cp:lastModifiedBy>
  <cp:lastPrinted>2022-06-29T07:37:00Z</cp:lastPrinted>
  <dcterms:modified xsi:type="dcterms:W3CDTF">2022-10-13T08:07:39Z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d92f7-c122-43b7-ba6e-5d1991c25a88}">
  <ds:schemaRefs/>
</ds:datastoreItem>
</file>

<file path=customXml/itemProps3.xml><?xml version="1.0" encoding="utf-8"?>
<ds:datastoreItem xmlns:ds="http://schemas.openxmlformats.org/officeDocument/2006/customXml" ds:itemID="{ebc1c466-c565-4f91-a272-5ef322222744}">
  <ds:schemaRefs/>
</ds:datastoreItem>
</file>

<file path=customXml/itemProps4.xml><?xml version="1.0" encoding="utf-8"?>
<ds:datastoreItem xmlns:ds="http://schemas.openxmlformats.org/officeDocument/2006/customXml" ds:itemID="{da75aba2-e0cc-4031-8a22-19996958070c}">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42992</Words>
  <Characters>45031</Characters>
  <Lines>0</Lines>
  <Paragraphs>0</Paragraphs>
  <TotalTime>66</TotalTime>
  <ScaleCrop>false</ScaleCrop>
  <LinksUpToDate>false</LinksUpToDate>
  <CharactersWithSpaces>47350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2022-03-23T11:21:00Z</dcterms:created>
  <dc:creator>吴先森</dc:creator>
  <cp:lastModifiedBy>Administrator</cp:lastModifiedBy>
  <cp:lastPrinted>2022-06-29T07:37:00Z</cp:lastPrinted>
  <dcterms:modified xsi:type="dcterms:W3CDTF">2022-10-28T08:31:01Z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EF08D4D4A78F46299F0CAF0AE3C03A50</vt:lpwstr>
  </property>
</Properties>
</file>