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ind w:left="1079" w:leftChars="257" w:hanging="540"/>
        <w:rPr>
          <w:rFonts w:ascii="仿宋" w:hAnsi="仿宋" w:eastAsia="仿宋" w:cs="仿宋"/>
          <w:b/>
          <w:color w:val="auto"/>
          <w:sz w:val="30"/>
          <w:szCs w:val="30"/>
          <w:highlight w:val="none"/>
        </w:rPr>
      </w:pPr>
    </w:p>
    <w:p>
      <w:pPr>
        <w:spacing w:line="240" w:lineRule="atLeast"/>
        <w:rPr>
          <w:rFonts w:ascii="仿宋" w:hAnsi="仿宋" w:eastAsia="仿宋" w:cs="仿宋"/>
          <w:b/>
          <w:color w:val="auto"/>
          <w:sz w:val="52"/>
          <w:szCs w:val="52"/>
          <w:highlight w:val="none"/>
        </w:rPr>
      </w:pPr>
    </w:p>
    <w:p>
      <w:pPr>
        <w:spacing w:line="240" w:lineRule="atLeast"/>
        <w:ind w:left="1079" w:leftChars="257" w:hanging="540"/>
        <w:rPr>
          <w:rFonts w:ascii="仿宋" w:hAnsi="仿宋" w:eastAsia="仿宋" w:cs="仿宋"/>
          <w:b/>
          <w:color w:val="auto"/>
          <w:sz w:val="52"/>
          <w:szCs w:val="52"/>
          <w:highlight w:val="none"/>
        </w:rPr>
      </w:pPr>
    </w:p>
    <w:p>
      <w:pPr>
        <w:spacing w:line="240" w:lineRule="atLeast"/>
        <w:ind w:left="1079" w:leftChars="257" w:hanging="540"/>
        <w:jc w:val="center"/>
        <w:rPr>
          <w:rFonts w:ascii="仿宋" w:hAnsi="仿宋" w:eastAsia="仿宋" w:cs="仿宋"/>
          <w:b/>
          <w:color w:val="auto"/>
          <w:sz w:val="36"/>
          <w:szCs w:val="36"/>
          <w:highlight w:val="none"/>
        </w:rPr>
      </w:pPr>
    </w:p>
    <w:p>
      <w:pPr>
        <w:spacing w:line="240" w:lineRule="atLeast"/>
        <w:ind w:left="1079" w:leftChars="257" w:hanging="540"/>
        <w:jc w:val="center"/>
        <w:rPr>
          <w:rFonts w:ascii="仿宋" w:hAnsi="仿宋" w:eastAsia="仿宋" w:cs="仿宋"/>
          <w:b/>
          <w:color w:val="auto"/>
          <w:sz w:val="52"/>
          <w:szCs w:val="52"/>
          <w:highlight w:val="none"/>
        </w:rPr>
      </w:pPr>
      <w:r>
        <w:rPr>
          <w:rFonts w:hint="eastAsia" w:ascii="仿宋" w:hAnsi="仿宋" w:eastAsia="仿宋" w:cs="仿宋"/>
          <w:b/>
          <w:color w:val="auto"/>
          <w:sz w:val="52"/>
          <w:szCs w:val="52"/>
          <w:highlight w:val="none"/>
        </w:rPr>
        <w:t>南京理工大学政府采购</w:t>
      </w:r>
    </w:p>
    <w:p>
      <w:pPr>
        <w:spacing w:line="240" w:lineRule="atLeast"/>
        <w:ind w:left="1079" w:leftChars="257" w:hanging="540"/>
        <w:jc w:val="center"/>
        <w:rPr>
          <w:rFonts w:ascii="仿宋" w:hAnsi="仿宋" w:eastAsia="仿宋" w:cs="仿宋"/>
          <w:b/>
          <w:color w:val="auto"/>
          <w:sz w:val="52"/>
          <w:szCs w:val="52"/>
          <w:highlight w:val="none"/>
        </w:rPr>
      </w:pPr>
      <w:r>
        <w:rPr>
          <w:rFonts w:hint="eastAsia" w:ascii="仿宋" w:hAnsi="仿宋" w:eastAsia="仿宋" w:cs="仿宋"/>
          <w:b/>
          <w:color w:val="auto"/>
          <w:sz w:val="52"/>
          <w:szCs w:val="52"/>
          <w:highlight w:val="none"/>
        </w:rPr>
        <w:t>货物公开招标文件</w:t>
      </w:r>
    </w:p>
    <w:p>
      <w:pPr>
        <w:spacing w:line="240" w:lineRule="atLeast"/>
        <w:jc w:val="center"/>
        <w:rPr>
          <w:rFonts w:ascii="仿宋" w:hAnsi="仿宋" w:eastAsia="仿宋" w:cs="仿宋"/>
          <w:b/>
          <w:color w:val="auto"/>
          <w:sz w:val="32"/>
          <w:szCs w:val="32"/>
          <w:highlight w:val="none"/>
        </w:rPr>
      </w:pPr>
    </w:p>
    <w:p>
      <w:pPr>
        <w:spacing w:line="240" w:lineRule="atLeast"/>
        <w:jc w:val="center"/>
        <w:rPr>
          <w:rFonts w:ascii="仿宋" w:hAnsi="仿宋" w:eastAsia="仿宋" w:cs="仿宋"/>
          <w:b/>
          <w:color w:val="auto"/>
          <w:sz w:val="32"/>
          <w:szCs w:val="32"/>
          <w:highlight w:val="none"/>
        </w:rPr>
      </w:pPr>
    </w:p>
    <w:p>
      <w:pPr>
        <w:spacing w:line="240" w:lineRule="atLeast"/>
        <w:jc w:val="center"/>
        <w:rPr>
          <w:rFonts w:ascii="仿宋" w:hAnsi="仿宋" w:eastAsia="仿宋" w:cs="仿宋"/>
          <w:b/>
          <w:color w:val="auto"/>
          <w:sz w:val="32"/>
          <w:szCs w:val="32"/>
          <w:highlight w:val="none"/>
        </w:rPr>
      </w:pPr>
    </w:p>
    <w:p>
      <w:pPr>
        <w:spacing w:line="360" w:lineRule="auto"/>
        <w:ind w:firstLine="960" w:firstLineChars="300"/>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项目名称：</w:t>
      </w:r>
      <w:r>
        <w:rPr>
          <w:rFonts w:hint="eastAsia" w:ascii="仿宋" w:hAnsi="仿宋" w:eastAsia="仿宋" w:cs="仿宋"/>
          <w:color w:val="auto"/>
          <w:sz w:val="32"/>
          <w:szCs w:val="32"/>
          <w:highlight w:val="none"/>
          <w:lang w:eastAsia="zh-CN"/>
        </w:rPr>
        <w:t>网安实验终端采购</w:t>
      </w:r>
      <w:r>
        <w:rPr>
          <w:rFonts w:hint="eastAsia" w:ascii="仿宋" w:hAnsi="仿宋" w:eastAsia="仿宋" w:cs="仿宋"/>
          <w:color w:val="auto"/>
          <w:sz w:val="32"/>
          <w:szCs w:val="32"/>
          <w:highlight w:val="none"/>
        </w:rPr>
        <w:t xml:space="preserve">   </w:t>
      </w:r>
    </w:p>
    <w:p>
      <w:pPr>
        <w:spacing w:line="360" w:lineRule="auto"/>
        <w:ind w:firstLine="960" w:firstLineChars="300"/>
        <w:jc w:val="lef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招标编号：</w:t>
      </w:r>
      <w:r>
        <w:rPr>
          <w:rFonts w:hint="eastAsia" w:ascii="仿宋" w:hAnsi="仿宋" w:eastAsia="仿宋" w:cs="仿宋"/>
          <w:color w:val="auto"/>
          <w:sz w:val="32"/>
          <w:szCs w:val="32"/>
          <w:highlight w:val="none"/>
          <w:lang w:eastAsia="zh-CN"/>
        </w:rPr>
        <w:t>A22HZ0020</w:t>
      </w:r>
      <w:r>
        <w:rPr>
          <w:rFonts w:hint="eastAsia" w:ascii="仿宋" w:hAnsi="仿宋" w:eastAsia="仿宋" w:cs="仿宋"/>
          <w:color w:val="auto"/>
          <w:sz w:val="32"/>
          <w:szCs w:val="32"/>
          <w:highlight w:val="none"/>
        </w:rPr>
        <w:t xml:space="preserve">  </w:t>
      </w:r>
    </w:p>
    <w:p>
      <w:pPr>
        <w:spacing w:line="240" w:lineRule="atLeast"/>
        <w:jc w:val="center"/>
        <w:rPr>
          <w:rFonts w:ascii="仿宋" w:hAnsi="仿宋" w:eastAsia="仿宋" w:cs="仿宋"/>
          <w:b/>
          <w:color w:val="auto"/>
          <w:sz w:val="52"/>
          <w:highlight w:val="none"/>
        </w:rPr>
      </w:pPr>
    </w:p>
    <w:p>
      <w:pPr>
        <w:spacing w:line="240" w:lineRule="atLeast"/>
        <w:jc w:val="center"/>
        <w:rPr>
          <w:rFonts w:ascii="仿宋" w:hAnsi="仿宋" w:eastAsia="仿宋" w:cs="仿宋"/>
          <w:b/>
          <w:color w:val="auto"/>
          <w:sz w:val="52"/>
          <w:highlight w:val="none"/>
        </w:rPr>
      </w:pPr>
    </w:p>
    <w:p>
      <w:pPr>
        <w:spacing w:line="240" w:lineRule="atLeast"/>
        <w:jc w:val="center"/>
        <w:rPr>
          <w:rFonts w:ascii="仿宋" w:hAnsi="仿宋" w:eastAsia="仿宋" w:cs="仿宋"/>
          <w:b/>
          <w:color w:val="auto"/>
          <w:sz w:val="52"/>
          <w:highlight w:val="none"/>
        </w:rPr>
      </w:pPr>
    </w:p>
    <w:p>
      <w:pPr>
        <w:spacing w:line="360" w:lineRule="auto"/>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江苏伟业项目管理有限公司</w:t>
      </w:r>
    </w:p>
    <w:p>
      <w:pPr>
        <w:spacing w:line="360" w:lineRule="auto"/>
        <w:jc w:val="center"/>
        <w:rPr>
          <w:rFonts w:ascii="仿宋" w:hAnsi="仿宋" w:eastAsia="仿宋" w:cs="仿宋"/>
          <w:b/>
          <w:color w:val="auto"/>
          <w:sz w:val="32"/>
          <w:highlight w:val="none"/>
        </w:rPr>
      </w:pPr>
      <w:r>
        <w:rPr>
          <w:rFonts w:hint="eastAsia" w:ascii="仿宋" w:hAnsi="仿宋" w:eastAsia="仿宋" w:cs="仿宋"/>
          <w:color w:val="auto"/>
          <w:sz w:val="32"/>
          <w:szCs w:val="32"/>
          <w:highlight w:val="none"/>
          <w:lang w:eastAsia="zh-CN"/>
        </w:rPr>
        <w:t>2022</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11</w:t>
      </w:r>
      <w:r>
        <w:rPr>
          <w:rFonts w:hint="eastAsia" w:ascii="仿宋" w:hAnsi="仿宋" w:eastAsia="仿宋" w:cs="仿宋"/>
          <w:color w:val="auto"/>
          <w:sz w:val="32"/>
          <w:szCs w:val="32"/>
          <w:highlight w:val="none"/>
        </w:rPr>
        <w:t>月</w:t>
      </w:r>
      <w:r>
        <w:rPr>
          <w:rFonts w:hint="eastAsia" w:ascii="仿宋" w:hAnsi="仿宋" w:eastAsia="仿宋" w:cs="仿宋"/>
          <w:b/>
          <w:color w:val="auto"/>
          <w:sz w:val="52"/>
          <w:highlight w:val="none"/>
        </w:rPr>
        <w:br w:type="page"/>
      </w:r>
      <w:r>
        <w:rPr>
          <w:rFonts w:hint="eastAsia" w:ascii="仿宋" w:hAnsi="仿宋" w:eastAsia="仿宋" w:cs="仿宋"/>
          <w:b/>
          <w:color w:val="auto"/>
          <w:sz w:val="32"/>
          <w:highlight w:val="none"/>
        </w:rPr>
        <w:t>目  录</w:t>
      </w:r>
    </w:p>
    <w:p>
      <w:pPr>
        <w:pStyle w:val="15"/>
        <w:tabs>
          <w:tab w:val="right" w:leader="dot" w:pos="8312"/>
        </w:tabs>
      </w:pPr>
      <w:r>
        <w:rPr>
          <w:rFonts w:hint="eastAsia" w:ascii="仿宋" w:hAnsi="仿宋" w:eastAsia="仿宋" w:cs="仿宋"/>
          <w:b/>
          <w:color w:val="auto"/>
          <w:sz w:val="32"/>
          <w:highlight w:val="none"/>
        </w:rPr>
        <w:fldChar w:fldCharType="begin"/>
      </w:r>
      <w:r>
        <w:rPr>
          <w:rFonts w:hint="eastAsia" w:ascii="仿宋" w:hAnsi="仿宋" w:eastAsia="仿宋" w:cs="仿宋"/>
          <w:b/>
          <w:color w:val="auto"/>
          <w:sz w:val="32"/>
          <w:highlight w:val="none"/>
        </w:rPr>
        <w:instrText xml:space="preserve">TOC \o "1-2" \h \u </w:instrText>
      </w:r>
      <w:r>
        <w:rPr>
          <w:rFonts w:hint="eastAsia" w:ascii="仿宋" w:hAnsi="仿宋" w:eastAsia="仿宋" w:cs="仿宋"/>
          <w:b/>
          <w:color w:val="auto"/>
          <w:sz w:val="32"/>
          <w:highlight w:val="none"/>
        </w:rPr>
        <w:fldChar w:fldCharType="separate"/>
      </w: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_Toc138 </w:instrText>
      </w:r>
      <w:r>
        <w:rPr>
          <w:rFonts w:hint="eastAsia" w:ascii="仿宋" w:hAnsi="仿宋" w:eastAsia="仿宋" w:cs="仿宋"/>
          <w:highlight w:val="none"/>
        </w:rPr>
        <w:fldChar w:fldCharType="separate"/>
      </w:r>
      <w:r>
        <w:rPr>
          <w:rFonts w:hint="eastAsia" w:ascii="仿宋" w:hAnsi="仿宋" w:eastAsia="仿宋" w:cs="仿宋"/>
          <w:szCs w:val="32"/>
          <w:highlight w:val="none"/>
        </w:rPr>
        <w:t>第一章  投标人须知</w:t>
      </w:r>
      <w:r>
        <w:tab/>
      </w:r>
      <w:r>
        <w:fldChar w:fldCharType="begin"/>
      </w:r>
      <w:r>
        <w:instrText xml:space="preserve"> PAGEREF _Toc138 \h </w:instrText>
      </w:r>
      <w:r>
        <w:fldChar w:fldCharType="separate"/>
      </w:r>
      <w:r>
        <w:t>1</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_Toc30363 </w:instrText>
      </w:r>
      <w:r>
        <w:rPr>
          <w:rFonts w:hint="eastAsia" w:ascii="仿宋" w:hAnsi="仿宋" w:eastAsia="仿宋" w:cs="仿宋"/>
          <w:highlight w:val="none"/>
        </w:rPr>
        <w:fldChar w:fldCharType="separate"/>
      </w:r>
      <w:r>
        <w:rPr>
          <w:rFonts w:hint="eastAsia" w:ascii="仿宋" w:hAnsi="仿宋" w:eastAsia="仿宋" w:cs="仿宋"/>
          <w:highlight w:val="none"/>
        </w:rPr>
        <w:t>一   说  明</w:t>
      </w:r>
      <w:r>
        <w:tab/>
      </w:r>
      <w:r>
        <w:fldChar w:fldCharType="begin"/>
      </w:r>
      <w:r>
        <w:instrText xml:space="preserve"> PAGEREF _Toc30363 \h </w:instrText>
      </w:r>
      <w:r>
        <w:fldChar w:fldCharType="separate"/>
      </w:r>
      <w:r>
        <w:t>1</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_Toc17561 </w:instrText>
      </w:r>
      <w:r>
        <w:rPr>
          <w:rFonts w:hint="eastAsia" w:ascii="仿宋" w:hAnsi="仿宋" w:eastAsia="仿宋" w:cs="仿宋"/>
          <w:highlight w:val="none"/>
        </w:rPr>
        <w:fldChar w:fldCharType="separate"/>
      </w:r>
      <w:r>
        <w:rPr>
          <w:rFonts w:hint="eastAsia" w:ascii="仿宋" w:hAnsi="仿宋" w:eastAsia="仿宋" w:cs="仿宋"/>
          <w:highlight w:val="none"/>
        </w:rPr>
        <w:t>二   招标文件</w:t>
      </w:r>
      <w:r>
        <w:tab/>
      </w:r>
      <w:r>
        <w:fldChar w:fldCharType="begin"/>
      </w:r>
      <w:r>
        <w:instrText xml:space="preserve"> PAGEREF _Toc17561 \h </w:instrText>
      </w:r>
      <w:r>
        <w:fldChar w:fldCharType="separate"/>
      </w:r>
      <w:r>
        <w:t>2</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_Toc11263 </w:instrText>
      </w:r>
      <w:r>
        <w:rPr>
          <w:rFonts w:hint="eastAsia" w:ascii="仿宋" w:hAnsi="仿宋" w:eastAsia="仿宋" w:cs="仿宋"/>
          <w:highlight w:val="none"/>
        </w:rPr>
        <w:fldChar w:fldCharType="separate"/>
      </w:r>
      <w:r>
        <w:rPr>
          <w:rFonts w:hint="eastAsia" w:ascii="仿宋" w:hAnsi="仿宋" w:eastAsia="仿宋" w:cs="仿宋"/>
          <w:highlight w:val="none"/>
        </w:rPr>
        <w:t>三   投标文件的编制</w:t>
      </w:r>
      <w:r>
        <w:tab/>
      </w:r>
      <w:r>
        <w:fldChar w:fldCharType="begin"/>
      </w:r>
      <w:r>
        <w:instrText xml:space="preserve"> PAGEREF _Toc11263 \h </w:instrText>
      </w:r>
      <w:r>
        <w:fldChar w:fldCharType="separate"/>
      </w:r>
      <w:r>
        <w:t>3</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_Toc7132 </w:instrText>
      </w:r>
      <w:r>
        <w:rPr>
          <w:rFonts w:hint="eastAsia" w:ascii="仿宋" w:hAnsi="仿宋" w:eastAsia="仿宋" w:cs="仿宋"/>
          <w:highlight w:val="none"/>
        </w:rPr>
        <w:fldChar w:fldCharType="separate"/>
      </w:r>
      <w:r>
        <w:rPr>
          <w:rFonts w:hint="eastAsia" w:ascii="仿宋" w:hAnsi="仿宋" w:eastAsia="仿宋" w:cs="仿宋"/>
          <w:highlight w:val="none"/>
        </w:rPr>
        <w:t>四   投标文件的递交</w:t>
      </w:r>
      <w:r>
        <w:tab/>
      </w:r>
      <w:r>
        <w:fldChar w:fldCharType="begin"/>
      </w:r>
      <w:r>
        <w:instrText xml:space="preserve"> PAGEREF _Toc7132 \h </w:instrText>
      </w:r>
      <w:r>
        <w:fldChar w:fldCharType="separate"/>
      </w:r>
      <w:r>
        <w:t>6</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_Toc19340 </w:instrText>
      </w:r>
      <w:r>
        <w:rPr>
          <w:rFonts w:hint="eastAsia" w:ascii="仿宋" w:hAnsi="仿宋" w:eastAsia="仿宋" w:cs="仿宋"/>
          <w:highlight w:val="none"/>
        </w:rPr>
        <w:fldChar w:fldCharType="separate"/>
      </w:r>
      <w:r>
        <w:rPr>
          <w:rFonts w:hint="eastAsia" w:ascii="仿宋" w:hAnsi="仿宋" w:eastAsia="仿宋" w:cs="仿宋"/>
          <w:highlight w:val="none"/>
        </w:rPr>
        <w:t>五   开标及评标</w:t>
      </w:r>
      <w:r>
        <w:tab/>
      </w:r>
      <w:r>
        <w:fldChar w:fldCharType="begin"/>
      </w:r>
      <w:r>
        <w:instrText xml:space="preserve"> PAGEREF _Toc19340 \h </w:instrText>
      </w:r>
      <w:r>
        <w:fldChar w:fldCharType="separate"/>
      </w:r>
      <w:r>
        <w:t>6</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_Toc10837 </w:instrText>
      </w:r>
      <w:r>
        <w:rPr>
          <w:rFonts w:hint="eastAsia" w:ascii="仿宋" w:hAnsi="仿宋" w:eastAsia="仿宋" w:cs="仿宋"/>
          <w:highlight w:val="none"/>
        </w:rPr>
        <w:fldChar w:fldCharType="separate"/>
      </w:r>
      <w:r>
        <w:rPr>
          <w:rFonts w:hint="eastAsia" w:ascii="仿宋" w:hAnsi="仿宋" w:eastAsia="仿宋" w:cs="仿宋"/>
          <w:highlight w:val="none"/>
        </w:rPr>
        <w:t>六   确定中标</w:t>
      </w:r>
      <w:r>
        <w:tab/>
      </w:r>
      <w:r>
        <w:fldChar w:fldCharType="begin"/>
      </w:r>
      <w:r>
        <w:instrText xml:space="preserve"> PAGEREF _Toc10837 \h </w:instrText>
      </w:r>
      <w:r>
        <w:fldChar w:fldCharType="separate"/>
      </w:r>
      <w:r>
        <w:t>9</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_Toc16730 </w:instrText>
      </w:r>
      <w:r>
        <w:rPr>
          <w:rFonts w:hint="eastAsia" w:ascii="仿宋" w:hAnsi="仿宋" w:eastAsia="仿宋" w:cs="仿宋"/>
          <w:highlight w:val="none"/>
        </w:rPr>
        <w:fldChar w:fldCharType="separate"/>
      </w:r>
      <w:r>
        <w:rPr>
          <w:rFonts w:hint="eastAsia" w:ascii="仿宋" w:hAnsi="仿宋" w:eastAsia="仿宋" w:cs="仿宋"/>
          <w:szCs w:val="22"/>
          <w:highlight w:val="none"/>
        </w:rPr>
        <w:t>附件1：履约保证金保函（格式）</w:t>
      </w:r>
      <w:r>
        <w:tab/>
      </w:r>
      <w:r>
        <w:fldChar w:fldCharType="begin"/>
      </w:r>
      <w:r>
        <w:instrText xml:space="preserve"> PAGEREF _Toc16730 \h </w:instrText>
      </w:r>
      <w:r>
        <w:fldChar w:fldCharType="separate"/>
      </w:r>
      <w:r>
        <w:t>11</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_Toc11099 </w:instrText>
      </w:r>
      <w:r>
        <w:rPr>
          <w:rFonts w:hint="eastAsia" w:ascii="仿宋" w:hAnsi="仿宋" w:eastAsia="仿宋" w:cs="仿宋"/>
          <w:highlight w:val="none"/>
        </w:rPr>
        <w:fldChar w:fldCharType="separate"/>
      </w:r>
      <w:r>
        <w:rPr>
          <w:rFonts w:hint="eastAsia" w:ascii="仿宋" w:hAnsi="仿宋" w:eastAsia="仿宋" w:cs="仿宋"/>
          <w:szCs w:val="28"/>
          <w:highlight w:val="none"/>
        </w:rPr>
        <w:t>附件2：履约担保函格式</w:t>
      </w:r>
      <w:r>
        <w:tab/>
      </w:r>
      <w:r>
        <w:fldChar w:fldCharType="begin"/>
      </w:r>
      <w:r>
        <w:instrText xml:space="preserve"> PAGEREF _Toc11099 \h </w:instrText>
      </w:r>
      <w:r>
        <w:fldChar w:fldCharType="separate"/>
      </w:r>
      <w:r>
        <w:t>12</w:t>
      </w:r>
      <w:r>
        <w:fldChar w:fldCharType="end"/>
      </w:r>
      <w:r>
        <w:rPr>
          <w:rFonts w:hint="eastAsia" w:ascii="仿宋" w:hAnsi="仿宋" w:eastAsia="仿宋" w:cs="仿宋"/>
          <w:color w:val="auto"/>
          <w:highlight w:val="none"/>
        </w:rPr>
        <w:fldChar w:fldCharType="end"/>
      </w:r>
    </w:p>
    <w:p>
      <w:pPr>
        <w:pStyle w:val="15"/>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_Toc17564 </w:instrText>
      </w:r>
      <w:r>
        <w:rPr>
          <w:rFonts w:hint="eastAsia" w:ascii="仿宋" w:hAnsi="仿宋" w:eastAsia="仿宋" w:cs="仿宋"/>
          <w:highlight w:val="none"/>
        </w:rPr>
        <w:fldChar w:fldCharType="separate"/>
      </w:r>
      <w:r>
        <w:rPr>
          <w:rFonts w:hint="eastAsia" w:ascii="仿宋" w:hAnsi="仿宋" w:eastAsia="仿宋" w:cs="仿宋"/>
          <w:szCs w:val="32"/>
          <w:highlight w:val="none"/>
        </w:rPr>
        <w:t>第二章  合同通用条款</w:t>
      </w:r>
      <w:r>
        <w:tab/>
      </w:r>
      <w:r>
        <w:fldChar w:fldCharType="begin"/>
      </w:r>
      <w:r>
        <w:instrText xml:space="preserve"> PAGEREF _Toc17564 \h </w:instrText>
      </w:r>
      <w:r>
        <w:fldChar w:fldCharType="separate"/>
      </w:r>
      <w:r>
        <w:t>14</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_Toc1467 </w:instrText>
      </w:r>
      <w:r>
        <w:rPr>
          <w:rFonts w:hint="eastAsia" w:ascii="仿宋" w:hAnsi="仿宋" w:eastAsia="仿宋" w:cs="仿宋"/>
          <w:highlight w:val="none"/>
        </w:rPr>
        <w:fldChar w:fldCharType="separate"/>
      </w:r>
      <w:r>
        <w:rPr>
          <w:rFonts w:hint="eastAsia" w:ascii="仿宋" w:hAnsi="仿宋" w:eastAsia="仿宋" w:cs="仿宋"/>
          <w:szCs w:val="21"/>
          <w:highlight w:val="none"/>
        </w:rPr>
        <w:t>1． 定义</w:t>
      </w:r>
      <w:r>
        <w:tab/>
      </w:r>
      <w:r>
        <w:fldChar w:fldCharType="begin"/>
      </w:r>
      <w:r>
        <w:instrText xml:space="preserve"> PAGEREF _Toc1467 \h </w:instrText>
      </w:r>
      <w:r>
        <w:fldChar w:fldCharType="separate"/>
      </w:r>
      <w:r>
        <w:t>14</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_Toc9132 </w:instrText>
      </w:r>
      <w:r>
        <w:rPr>
          <w:rFonts w:hint="eastAsia" w:ascii="仿宋" w:hAnsi="仿宋" w:eastAsia="仿宋" w:cs="仿宋"/>
          <w:highlight w:val="none"/>
        </w:rPr>
        <w:fldChar w:fldCharType="separate"/>
      </w:r>
      <w:r>
        <w:rPr>
          <w:rFonts w:hint="eastAsia" w:ascii="仿宋" w:hAnsi="仿宋" w:eastAsia="仿宋" w:cs="仿宋"/>
          <w:szCs w:val="21"/>
          <w:highlight w:val="none"/>
        </w:rPr>
        <w:t>2． 技术规范</w:t>
      </w:r>
      <w:r>
        <w:tab/>
      </w:r>
      <w:r>
        <w:fldChar w:fldCharType="begin"/>
      </w:r>
      <w:r>
        <w:instrText xml:space="preserve"> PAGEREF _Toc9132 \h </w:instrText>
      </w:r>
      <w:r>
        <w:fldChar w:fldCharType="separate"/>
      </w:r>
      <w:r>
        <w:t>14</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_Toc20004 </w:instrText>
      </w:r>
      <w:r>
        <w:rPr>
          <w:rFonts w:hint="eastAsia" w:ascii="仿宋" w:hAnsi="仿宋" w:eastAsia="仿宋" w:cs="仿宋"/>
          <w:highlight w:val="none"/>
        </w:rPr>
        <w:fldChar w:fldCharType="separate"/>
      </w:r>
      <w:r>
        <w:rPr>
          <w:rFonts w:hint="eastAsia" w:ascii="仿宋" w:hAnsi="仿宋" w:eastAsia="仿宋" w:cs="仿宋"/>
          <w:szCs w:val="21"/>
          <w:highlight w:val="none"/>
        </w:rPr>
        <w:t>3． 知识产权</w:t>
      </w:r>
      <w:r>
        <w:tab/>
      </w:r>
      <w:r>
        <w:fldChar w:fldCharType="begin"/>
      </w:r>
      <w:r>
        <w:instrText xml:space="preserve"> PAGEREF _Toc20004 \h </w:instrText>
      </w:r>
      <w:r>
        <w:fldChar w:fldCharType="separate"/>
      </w:r>
      <w:r>
        <w:t>14</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_Toc2378 </w:instrText>
      </w:r>
      <w:r>
        <w:rPr>
          <w:rFonts w:hint="eastAsia" w:ascii="仿宋" w:hAnsi="仿宋" w:eastAsia="仿宋" w:cs="仿宋"/>
          <w:highlight w:val="none"/>
        </w:rPr>
        <w:fldChar w:fldCharType="separate"/>
      </w:r>
      <w:r>
        <w:rPr>
          <w:rFonts w:hint="eastAsia" w:ascii="仿宋" w:hAnsi="仿宋" w:eastAsia="仿宋" w:cs="仿宋"/>
          <w:szCs w:val="21"/>
          <w:highlight w:val="none"/>
        </w:rPr>
        <w:t>4． 包装要求</w:t>
      </w:r>
      <w:r>
        <w:tab/>
      </w:r>
      <w:r>
        <w:fldChar w:fldCharType="begin"/>
      </w:r>
      <w:r>
        <w:instrText xml:space="preserve"> PAGEREF _Toc2378 \h </w:instrText>
      </w:r>
      <w:r>
        <w:fldChar w:fldCharType="separate"/>
      </w:r>
      <w:r>
        <w:t>14</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_Toc4571 </w:instrText>
      </w:r>
      <w:r>
        <w:rPr>
          <w:rFonts w:hint="eastAsia" w:ascii="仿宋" w:hAnsi="仿宋" w:eastAsia="仿宋" w:cs="仿宋"/>
          <w:highlight w:val="none"/>
        </w:rPr>
        <w:fldChar w:fldCharType="separate"/>
      </w:r>
      <w:r>
        <w:rPr>
          <w:rFonts w:hint="eastAsia" w:ascii="仿宋" w:hAnsi="仿宋" w:eastAsia="仿宋" w:cs="仿宋"/>
          <w:szCs w:val="21"/>
          <w:highlight w:val="none"/>
        </w:rPr>
        <w:t>5． 装运标志</w:t>
      </w:r>
      <w:r>
        <w:tab/>
      </w:r>
      <w:r>
        <w:fldChar w:fldCharType="begin"/>
      </w:r>
      <w:r>
        <w:instrText xml:space="preserve"> PAGEREF _Toc4571 \h </w:instrText>
      </w:r>
      <w:r>
        <w:fldChar w:fldCharType="separate"/>
      </w:r>
      <w:r>
        <w:t>14</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_Toc19724 </w:instrText>
      </w:r>
      <w:r>
        <w:rPr>
          <w:rFonts w:hint="eastAsia" w:ascii="仿宋" w:hAnsi="仿宋" w:eastAsia="仿宋" w:cs="仿宋"/>
          <w:highlight w:val="none"/>
        </w:rPr>
        <w:fldChar w:fldCharType="separate"/>
      </w:r>
      <w:r>
        <w:rPr>
          <w:rFonts w:hint="eastAsia" w:ascii="仿宋" w:hAnsi="仿宋" w:eastAsia="仿宋" w:cs="仿宋"/>
          <w:szCs w:val="21"/>
          <w:highlight w:val="none"/>
        </w:rPr>
        <w:t>6． 交货方式</w:t>
      </w:r>
      <w:r>
        <w:tab/>
      </w:r>
      <w:r>
        <w:fldChar w:fldCharType="begin"/>
      </w:r>
      <w:r>
        <w:instrText xml:space="preserve"> PAGEREF _Toc19724 \h </w:instrText>
      </w:r>
      <w:r>
        <w:fldChar w:fldCharType="separate"/>
      </w:r>
      <w:r>
        <w:t>15</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_Toc21500 </w:instrText>
      </w:r>
      <w:r>
        <w:rPr>
          <w:rFonts w:hint="eastAsia" w:ascii="仿宋" w:hAnsi="仿宋" w:eastAsia="仿宋" w:cs="仿宋"/>
          <w:highlight w:val="none"/>
        </w:rPr>
        <w:fldChar w:fldCharType="separate"/>
      </w:r>
      <w:r>
        <w:rPr>
          <w:rFonts w:hint="eastAsia" w:ascii="仿宋" w:hAnsi="仿宋" w:eastAsia="仿宋" w:cs="仿宋"/>
          <w:szCs w:val="21"/>
          <w:highlight w:val="none"/>
        </w:rPr>
        <w:t>7． 装运通知</w:t>
      </w:r>
      <w:r>
        <w:tab/>
      </w:r>
      <w:r>
        <w:fldChar w:fldCharType="begin"/>
      </w:r>
      <w:r>
        <w:instrText xml:space="preserve"> PAGEREF _Toc21500 \h </w:instrText>
      </w:r>
      <w:r>
        <w:fldChar w:fldCharType="separate"/>
      </w:r>
      <w:r>
        <w:t>15</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_Toc12304 </w:instrText>
      </w:r>
      <w:r>
        <w:rPr>
          <w:rFonts w:hint="eastAsia" w:ascii="仿宋" w:hAnsi="仿宋" w:eastAsia="仿宋" w:cs="仿宋"/>
          <w:highlight w:val="none"/>
        </w:rPr>
        <w:fldChar w:fldCharType="separate"/>
      </w:r>
      <w:r>
        <w:rPr>
          <w:rFonts w:hint="eastAsia" w:ascii="仿宋" w:hAnsi="仿宋" w:eastAsia="仿宋" w:cs="仿宋"/>
          <w:szCs w:val="21"/>
          <w:highlight w:val="none"/>
        </w:rPr>
        <w:t>8． 付款条件</w:t>
      </w:r>
      <w:r>
        <w:tab/>
      </w:r>
      <w:r>
        <w:fldChar w:fldCharType="begin"/>
      </w:r>
      <w:r>
        <w:instrText xml:space="preserve"> PAGEREF _Toc12304 \h </w:instrText>
      </w:r>
      <w:r>
        <w:fldChar w:fldCharType="separate"/>
      </w:r>
      <w:r>
        <w:t>15</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_Toc14807 </w:instrText>
      </w:r>
      <w:r>
        <w:rPr>
          <w:rFonts w:hint="eastAsia" w:ascii="仿宋" w:hAnsi="仿宋" w:eastAsia="仿宋" w:cs="仿宋"/>
          <w:highlight w:val="none"/>
        </w:rPr>
        <w:fldChar w:fldCharType="separate"/>
      </w:r>
      <w:r>
        <w:rPr>
          <w:rFonts w:hint="eastAsia" w:ascii="仿宋" w:hAnsi="仿宋" w:eastAsia="仿宋" w:cs="仿宋"/>
          <w:szCs w:val="21"/>
          <w:highlight w:val="none"/>
        </w:rPr>
        <w:t>9． 技术资料</w:t>
      </w:r>
      <w:r>
        <w:tab/>
      </w:r>
      <w:r>
        <w:fldChar w:fldCharType="begin"/>
      </w:r>
      <w:r>
        <w:instrText xml:space="preserve"> PAGEREF _Toc14807 \h </w:instrText>
      </w:r>
      <w:r>
        <w:fldChar w:fldCharType="separate"/>
      </w:r>
      <w:r>
        <w:t>15</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_Toc12393 </w:instrText>
      </w:r>
      <w:r>
        <w:rPr>
          <w:rFonts w:hint="eastAsia" w:ascii="仿宋" w:hAnsi="仿宋" w:eastAsia="仿宋" w:cs="仿宋"/>
          <w:highlight w:val="none"/>
        </w:rPr>
        <w:fldChar w:fldCharType="separate"/>
      </w:r>
      <w:r>
        <w:rPr>
          <w:rFonts w:hint="eastAsia" w:ascii="仿宋" w:hAnsi="仿宋" w:eastAsia="仿宋" w:cs="仿宋"/>
          <w:szCs w:val="21"/>
          <w:highlight w:val="none"/>
        </w:rPr>
        <w:t>10． 质量保证</w:t>
      </w:r>
      <w:r>
        <w:tab/>
      </w:r>
      <w:r>
        <w:fldChar w:fldCharType="begin"/>
      </w:r>
      <w:r>
        <w:instrText xml:space="preserve"> PAGEREF _Toc12393 \h </w:instrText>
      </w:r>
      <w:r>
        <w:fldChar w:fldCharType="separate"/>
      </w:r>
      <w:r>
        <w:t>15</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_Toc1837 </w:instrText>
      </w:r>
      <w:r>
        <w:rPr>
          <w:rFonts w:hint="eastAsia" w:ascii="仿宋" w:hAnsi="仿宋" w:eastAsia="仿宋" w:cs="仿宋"/>
          <w:highlight w:val="none"/>
        </w:rPr>
        <w:fldChar w:fldCharType="separate"/>
      </w:r>
      <w:r>
        <w:rPr>
          <w:rFonts w:hint="eastAsia" w:ascii="仿宋" w:hAnsi="仿宋" w:eastAsia="仿宋" w:cs="仿宋"/>
          <w:szCs w:val="21"/>
          <w:highlight w:val="none"/>
        </w:rPr>
        <w:t>11． 检验和验收</w:t>
      </w:r>
      <w:r>
        <w:tab/>
      </w:r>
      <w:r>
        <w:fldChar w:fldCharType="begin"/>
      </w:r>
      <w:r>
        <w:instrText xml:space="preserve"> PAGEREF _Toc1837 \h </w:instrText>
      </w:r>
      <w:r>
        <w:fldChar w:fldCharType="separate"/>
      </w:r>
      <w:r>
        <w:t>16</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_Toc12520 </w:instrText>
      </w:r>
      <w:r>
        <w:rPr>
          <w:rFonts w:hint="eastAsia" w:ascii="仿宋" w:hAnsi="仿宋" w:eastAsia="仿宋" w:cs="仿宋"/>
          <w:highlight w:val="none"/>
        </w:rPr>
        <w:fldChar w:fldCharType="separate"/>
      </w:r>
      <w:r>
        <w:rPr>
          <w:rFonts w:hint="eastAsia" w:ascii="仿宋" w:hAnsi="仿宋" w:eastAsia="仿宋" w:cs="仿宋"/>
          <w:szCs w:val="21"/>
          <w:highlight w:val="none"/>
        </w:rPr>
        <w:t>12． 索赔</w:t>
      </w:r>
      <w:r>
        <w:tab/>
      </w:r>
      <w:r>
        <w:fldChar w:fldCharType="begin"/>
      </w:r>
      <w:r>
        <w:instrText xml:space="preserve"> PAGEREF _Toc12520 \h </w:instrText>
      </w:r>
      <w:r>
        <w:fldChar w:fldCharType="separate"/>
      </w:r>
      <w:r>
        <w:t>16</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_Toc20819 </w:instrText>
      </w:r>
      <w:r>
        <w:rPr>
          <w:rFonts w:hint="eastAsia" w:ascii="仿宋" w:hAnsi="仿宋" w:eastAsia="仿宋" w:cs="仿宋"/>
          <w:highlight w:val="none"/>
        </w:rPr>
        <w:fldChar w:fldCharType="separate"/>
      </w:r>
      <w:r>
        <w:rPr>
          <w:rFonts w:hint="eastAsia" w:ascii="仿宋" w:hAnsi="仿宋" w:eastAsia="仿宋" w:cs="仿宋"/>
          <w:szCs w:val="21"/>
          <w:highlight w:val="none"/>
        </w:rPr>
        <w:t>13． 延迟交货</w:t>
      </w:r>
      <w:r>
        <w:tab/>
      </w:r>
      <w:r>
        <w:fldChar w:fldCharType="begin"/>
      </w:r>
      <w:r>
        <w:instrText xml:space="preserve"> PAGEREF _Toc20819 \h </w:instrText>
      </w:r>
      <w:r>
        <w:fldChar w:fldCharType="separate"/>
      </w:r>
      <w:r>
        <w:t>16</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_Toc24617 </w:instrText>
      </w:r>
      <w:r>
        <w:rPr>
          <w:rFonts w:hint="eastAsia" w:ascii="仿宋" w:hAnsi="仿宋" w:eastAsia="仿宋" w:cs="仿宋"/>
          <w:highlight w:val="none"/>
        </w:rPr>
        <w:fldChar w:fldCharType="separate"/>
      </w:r>
      <w:r>
        <w:rPr>
          <w:rFonts w:hint="eastAsia" w:ascii="仿宋" w:hAnsi="仿宋" w:eastAsia="仿宋" w:cs="仿宋"/>
          <w:szCs w:val="21"/>
          <w:highlight w:val="none"/>
        </w:rPr>
        <w:t>14． 违约赔偿</w:t>
      </w:r>
      <w:r>
        <w:tab/>
      </w:r>
      <w:r>
        <w:fldChar w:fldCharType="begin"/>
      </w:r>
      <w:r>
        <w:instrText xml:space="preserve"> PAGEREF _Toc24617 \h </w:instrText>
      </w:r>
      <w:r>
        <w:fldChar w:fldCharType="separate"/>
      </w:r>
      <w:r>
        <w:t>16</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_Toc18577 </w:instrText>
      </w:r>
      <w:r>
        <w:rPr>
          <w:rFonts w:hint="eastAsia" w:ascii="仿宋" w:hAnsi="仿宋" w:eastAsia="仿宋" w:cs="仿宋"/>
          <w:highlight w:val="none"/>
        </w:rPr>
        <w:fldChar w:fldCharType="separate"/>
      </w:r>
      <w:r>
        <w:rPr>
          <w:rFonts w:hint="eastAsia" w:ascii="仿宋" w:hAnsi="仿宋" w:eastAsia="仿宋" w:cs="仿宋"/>
          <w:szCs w:val="21"/>
          <w:highlight w:val="none"/>
        </w:rPr>
        <w:t>15． 不可抗力</w:t>
      </w:r>
      <w:r>
        <w:tab/>
      </w:r>
      <w:r>
        <w:fldChar w:fldCharType="begin"/>
      </w:r>
      <w:r>
        <w:instrText xml:space="preserve"> PAGEREF _Toc18577 \h </w:instrText>
      </w:r>
      <w:r>
        <w:fldChar w:fldCharType="separate"/>
      </w:r>
      <w:r>
        <w:t>16</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_Toc24847 </w:instrText>
      </w:r>
      <w:r>
        <w:rPr>
          <w:rFonts w:hint="eastAsia" w:ascii="仿宋" w:hAnsi="仿宋" w:eastAsia="仿宋" w:cs="仿宋"/>
          <w:highlight w:val="none"/>
        </w:rPr>
        <w:fldChar w:fldCharType="separate"/>
      </w:r>
      <w:r>
        <w:rPr>
          <w:rFonts w:hint="eastAsia" w:ascii="仿宋" w:hAnsi="仿宋" w:eastAsia="仿宋" w:cs="仿宋"/>
          <w:szCs w:val="21"/>
          <w:highlight w:val="none"/>
        </w:rPr>
        <w:t>16． 税费</w:t>
      </w:r>
      <w:r>
        <w:tab/>
      </w:r>
      <w:r>
        <w:fldChar w:fldCharType="begin"/>
      </w:r>
      <w:r>
        <w:instrText xml:space="preserve"> PAGEREF _Toc24847 \h </w:instrText>
      </w:r>
      <w:r>
        <w:fldChar w:fldCharType="separate"/>
      </w:r>
      <w:r>
        <w:t>17</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_Toc12584 </w:instrText>
      </w:r>
      <w:r>
        <w:rPr>
          <w:rFonts w:hint="eastAsia" w:ascii="仿宋" w:hAnsi="仿宋" w:eastAsia="仿宋" w:cs="仿宋"/>
          <w:highlight w:val="none"/>
        </w:rPr>
        <w:fldChar w:fldCharType="separate"/>
      </w:r>
      <w:r>
        <w:rPr>
          <w:rFonts w:hint="eastAsia" w:ascii="仿宋" w:hAnsi="仿宋" w:eastAsia="仿宋" w:cs="仿宋"/>
          <w:szCs w:val="21"/>
          <w:highlight w:val="none"/>
        </w:rPr>
        <w:t>17． 合同争议的解决</w:t>
      </w:r>
      <w:r>
        <w:tab/>
      </w:r>
      <w:r>
        <w:fldChar w:fldCharType="begin"/>
      </w:r>
      <w:r>
        <w:instrText xml:space="preserve"> PAGEREF _Toc12584 \h </w:instrText>
      </w:r>
      <w:r>
        <w:fldChar w:fldCharType="separate"/>
      </w:r>
      <w:r>
        <w:t>17</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_Toc2065 </w:instrText>
      </w:r>
      <w:r>
        <w:rPr>
          <w:rFonts w:hint="eastAsia" w:ascii="仿宋" w:hAnsi="仿宋" w:eastAsia="仿宋" w:cs="仿宋"/>
          <w:highlight w:val="none"/>
        </w:rPr>
        <w:fldChar w:fldCharType="separate"/>
      </w:r>
      <w:r>
        <w:rPr>
          <w:rFonts w:hint="eastAsia" w:ascii="仿宋" w:hAnsi="仿宋" w:eastAsia="仿宋" w:cs="仿宋"/>
          <w:szCs w:val="21"/>
          <w:highlight w:val="none"/>
        </w:rPr>
        <w:t>18． 违约解除合同</w:t>
      </w:r>
      <w:r>
        <w:tab/>
      </w:r>
      <w:r>
        <w:fldChar w:fldCharType="begin"/>
      </w:r>
      <w:r>
        <w:instrText xml:space="preserve"> PAGEREF _Toc2065 \h </w:instrText>
      </w:r>
      <w:r>
        <w:fldChar w:fldCharType="separate"/>
      </w:r>
      <w:r>
        <w:t>17</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_Toc12780 </w:instrText>
      </w:r>
      <w:r>
        <w:rPr>
          <w:rFonts w:hint="eastAsia" w:ascii="仿宋" w:hAnsi="仿宋" w:eastAsia="仿宋" w:cs="仿宋"/>
          <w:highlight w:val="none"/>
        </w:rPr>
        <w:fldChar w:fldCharType="separate"/>
      </w:r>
      <w:r>
        <w:rPr>
          <w:rFonts w:hint="eastAsia" w:ascii="仿宋" w:hAnsi="仿宋" w:eastAsia="仿宋" w:cs="仿宋"/>
          <w:szCs w:val="21"/>
          <w:highlight w:val="none"/>
        </w:rPr>
        <w:t>19． 破产终止合同</w:t>
      </w:r>
      <w:r>
        <w:tab/>
      </w:r>
      <w:r>
        <w:fldChar w:fldCharType="begin"/>
      </w:r>
      <w:r>
        <w:instrText xml:space="preserve"> PAGEREF _Toc12780 \h </w:instrText>
      </w:r>
      <w:r>
        <w:fldChar w:fldCharType="separate"/>
      </w:r>
      <w:r>
        <w:t>17</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_Toc23561 </w:instrText>
      </w:r>
      <w:r>
        <w:rPr>
          <w:rFonts w:hint="eastAsia" w:ascii="仿宋" w:hAnsi="仿宋" w:eastAsia="仿宋" w:cs="仿宋"/>
          <w:highlight w:val="none"/>
        </w:rPr>
        <w:fldChar w:fldCharType="separate"/>
      </w:r>
      <w:r>
        <w:rPr>
          <w:rFonts w:hint="eastAsia" w:ascii="仿宋" w:hAnsi="仿宋" w:eastAsia="仿宋" w:cs="仿宋"/>
          <w:szCs w:val="21"/>
          <w:highlight w:val="none"/>
        </w:rPr>
        <w:t>20． 转让和分包</w:t>
      </w:r>
      <w:r>
        <w:tab/>
      </w:r>
      <w:r>
        <w:fldChar w:fldCharType="begin"/>
      </w:r>
      <w:r>
        <w:instrText xml:space="preserve"> PAGEREF _Toc23561 \h </w:instrText>
      </w:r>
      <w:r>
        <w:fldChar w:fldCharType="separate"/>
      </w:r>
      <w:r>
        <w:t>17</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_Toc3160 </w:instrText>
      </w:r>
      <w:r>
        <w:rPr>
          <w:rFonts w:hint="eastAsia" w:ascii="仿宋" w:hAnsi="仿宋" w:eastAsia="仿宋" w:cs="仿宋"/>
          <w:highlight w:val="none"/>
        </w:rPr>
        <w:fldChar w:fldCharType="separate"/>
      </w:r>
      <w:r>
        <w:rPr>
          <w:rFonts w:hint="eastAsia" w:ascii="仿宋" w:hAnsi="仿宋" w:eastAsia="仿宋" w:cs="仿宋"/>
          <w:szCs w:val="21"/>
          <w:highlight w:val="none"/>
        </w:rPr>
        <w:t>21． 合同修改</w:t>
      </w:r>
      <w:r>
        <w:tab/>
      </w:r>
      <w:r>
        <w:fldChar w:fldCharType="begin"/>
      </w:r>
      <w:r>
        <w:instrText xml:space="preserve"> PAGEREF _Toc3160 \h </w:instrText>
      </w:r>
      <w:r>
        <w:fldChar w:fldCharType="separate"/>
      </w:r>
      <w:r>
        <w:t>17</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_Toc15973 </w:instrText>
      </w:r>
      <w:r>
        <w:rPr>
          <w:rFonts w:hint="eastAsia" w:ascii="仿宋" w:hAnsi="仿宋" w:eastAsia="仿宋" w:cs="仿宋"/>
          <w:highlight w:val="none"/>
        </w:rPr>
        <w:fldChar w:fldCharType="separate"/>
      </w:r>
      <w:r>
        <w:rPr>
          <w:rFonts w:hint="eastAsia" w:ascii="仿宋" w:hAnsi="仿宋" w:eastAsia="仿宋" w:cs="仿宋"/>
          <w:szCs w:val="21"/>
          <w:highlight w:val="none"/>
        </w:rPr>
        <w:t>22． 通知</w:t>
      </w:r>
      <w:r>
        <w:tab/>
      </w:r>
      <w:r>
        <w:fldChar w:fldCharType="begin"/>
      </w:r>
      <w:r>
        <w:instrText xml:space="preserve"> PAGEREF _Toc15973 \h </w:instrText>
      </w:r>
      <w:r>
        <w:fldChar w:fldCharType="separate"/>
      </w:r>
      <w:r>
        <w:t>18</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_Toc12926 </w:instrText>
      </w:r>
      <w:r>
        <w:rPr>
          <w:rFonts w:hint="eastAsia" w:ascii="仿宋" w:hAnsi="仿宋" w:eastAsia="仿宋" w:cs="仿宋"/>
          <w:highlight w:val="none"/>
        </w:rPr>
        <w:fldChar w:fldCharType="separate"/>
      </w:r>
      <w:r>
        <w:rPr>
          <w:rFonts w:hint="eastAsia" w:ascii="仿宋" w:hAnsi="仿宋" w:eastAsia="仿宋" w:cs="仿宋"/>
          <w:szCs w:val="21"/>
          <w:highlight w:val="none"/>
        </w:rPr>
        <w:t>23． 计量单位</w:t>
      </w:r>
      <w:r>
        <w:tab/>
      </w:r>
      <w:r>
        <w:fldChar w:fldCharType="begin"/>
      </w:r>
      <w:r>
        <w:instrText xml:space="preserve"> PAGEREF _Toc12926 \h </w:instrText>
      </w:r>
      <w:r>
        <w:fldChar w:fldCharType="separate"/>
      </w:r>
      <w:r>
        <w:t>18</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_Toc32229 </w:instrText>
      </w:r>
      <w:r>
        <w:rPr>
          <w:rFonts w:hint="eastAsia" w:ascii="仿宋" w:hAnsi="仿宋" w:eastAsia="仿宋" w:cs="仿宋"/>
          <w:highlight w:val="none"/>
        </w:rPr>
        <w:fldChar w:fldCharType="separate"/>
      </w:r>
      <w:r>
        <w:rPr>
          <w:rFonts w:hint="eastAsia" w:ascii="仿宋" w:hAnsi="仿宋" w:eastAsia="仿宋" w:cs="仿宋"/>
          <w:szCs w:val="21"/>
          <w:highlight w:val="none"/>
        </w:rPr>
        <w:t>24． 适用法律</w:t>
      </w:r>
      <w:r>
        <w:tab/>
      </w:r>
      <w:r>
        <w:fldChar w:fldCharType="begin"/>
      </w:r>
      <w:r>
        <w:instrText xml:space="preserve"> PAGEREF _Toc32229 \h </w:instrText>
      </w:r>
      <w:r>
        <w:fldChar w:fldCharType="separate"/>
      </w:r>
      <w:r>
        <w:t>18</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_Toc4423 </w:instrText>
      </w:r>
      <w:r>
        <w:rPr>
          <w:rFonts w:hint="eastAsia" w:ascii="仿宋" w:hAnsi="仿宋" w:eastAsia="仿宋" w:cs="仿宋"/>
          <w:highlight w:val="none"/>
        </w:rPr>
        <w:fldChar w:fldCharType="separate"/>
      </w:r>
      <w:r>
        <w:rPr>
          <w:rFonts w:hint="eastAsia" w:ascii="仿宋" w:hAnsi="仿宋" w:eastAsia="仿宋" w:cs="仿宋"/>
          <w:szCs w:val="21"/>
          <w:highlight w:val="none"/>
        </w:rPr>
        <w:t>25． 履约保证金</w:t>
      </w:r>
      <w:r>
        <w:tab/>
      </w:r>
      <w:r>
        <w:fldChar w:fldCharType="begin"/>
      </w:r>
      <w:r>
        <w:instrText xml:space="preserve"> PAGEREF _Toc4423 \h </w:instrText>
      </w:r>
      <w:r>
        <w:fldChar w:fldCharType="separate"/>
      </w:r>
      <w:r>
        <w:t>18</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_Toc28752 </w:instrText>
      </w:r>
      <w:r>
        <w:rPr>
          <w:rFonts w:hint="eastAsia" w:ascii="仿宋" w:hAnsi="仿宋" w:eastAsia="仿宋" w:cs="仿宋"/>
          <w:highlight w:val="none"/>
        </w:rPr>
        <w:fldChar w:fldCharType="separate"/>
      </w:r>
      <w:r>
        <w:rPr>
          <w:rFonts w:hint="eastAsia" w:ascii="仿宋" w:hAnsi="仿宋" w:eastAsia="仿宋" w:cs="仿宋"/>
          <w:szCs w:val="21"/>
          <w:highlight w:val="none"/>
        </w:rPr>
        <w:t>26． 合同生效和其它</w:t>
      </w:r>
      <w:r>
        <w:tab/>
      </w:r>
      <w:r>
        <w:fldChar w:fldCharType="begin"/>
      </w:r>
      <w:r>
        <w:instrText xml:space="preserve"> PAGEREF _Toc28752 \h </w:instrText>
      </w:r>
      <w:r>
        <w:fldChar w:fldCharType="separate"/>
      </w:r>
      <w:r>
        <w:t>18</w:t>
      </w:r>
      <w:r>
        <w:fldChar w:fldCharType="end"/>
      </w:r>
      <w:r>
        <w:rPr>
          <w:rFonts w:hint="eastAsia" w:ascii="仿宋" w:hAnsi="仿宋" w:eastAsia="仿宋" w:cs="仿宋"/>
          <w:color w:val="auto"/>
          <w:highlight w:val="none"/>
        </w:rPr>
        <w:fldChar w:fldCharType="end"/>
      </w:r>
    </w:p>
    <w:p>
      <w:pPr>
        <w:pStyle w:val="15"/>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_Toc23001 </w:instrText>
      </w:r>
      <w:r>
        <w:rPr>
          <w:rFonts w:hint="eastAsia" w:ascii="仿宋" w:hAnsi="仿宋" w:eastAsia="仿宋" w:cs="仿宋"/>
          <w:highlight w:val="none"/>
        </w:rPr>
        <w:fldChar w:fldCharType="separate"/>
      </w:r>
      <w:r>
        <w:rPr>
          <w:rFonts w:hint="eastAsia" w:ascii="仿宋" w:hAnsi="仿宋" w:eastAsia="仿宋" w:cs="仿宋"/>
          <w:szCs w:val="32"/>
          <w:highlight w:val="none"/>
        </w:rPr>
        <w:t>第三章  投标文件格式</w:t>
      </w:r>
      <w:r>
        <w:tab/>
      </w:r>
      <w:r>
        <w:fldChar w:fldCharType="begin"/>
      </w:r>
      <w:r>
        <w:instrText xml:space="preserve"> PAGEREF _Toc23001 \h </w:instrText>
      </w:r>
      <w:r>
        <w:fldChar w:fldCharType="separate"/>
      </w:r>
      <w:r>
        <w:t>19</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_Toc21186 </w:instrText>
      </w:r>
      <w:r>
        <w:rPr>
          <w:rFonts w:hint="eastAsia" w:ascii="仿宋" w:hAnsi="仿宋" w:eastAsia="仿宋" w:cs="仿宋"/>
          <w:highlight w:val="none"/>
        </w:rPr>
        <w:fldChar w:fldCharType="separate"/>
      </w:r>
      <w:r>
        <w:rPr>
          <w:rFonts w:hint="eastAsia" w:ascii="仿宋" w:hAnsi="仿宋" w:eastAsia="仿宋" w:cs="仿宋"/>
          <w:highlight w:val="none"/>
        </w:rPr>
        <w:t>第一部分 开标一览表及资格证明文件</w:t>
      </w:r>
      <w:r>
        <w:tab/>
      </w:r>
      <w:r>
        <w:fldChar w:fldCharType="begin"/>
      </w:r>
      <w:r>
        <w:instrText xml:space="preserve"> PAGEREF _Toc21186 \h </w:instrText>
      </w:r>
      <w:r>
        <w:fldChar w:fldCharType="separate"/>
      </w:r>
      <w:r>
        <w:t>19</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_Toc11048 </w:instrText>
      </w:r>
      <w:r>
        <w:rPr>
          <w:rFonts w:hint="eastAsia" w:ascii="仿宋" w:hAnsi="仿宋" w:eastAsia="仿宋" w:cs="仿宋"/>
          <w:highlight w:val="none"/>
        </w:rPr>
        <w:fldChar w:fldCharType="separate"/>
      </w:r>
      <w:r>
        <w:rPr>
          <w:rFonts w:hint="eastAsia" w:ascii="仿宋" w:hAnsi="仿宋" w:eastAsia="仿宋" w:cs="仿宋"/>
          <w:highlight w:val="none"/>
        </w:rPr>
        <w:t>第二部分  商务及技术文件</w:t>
      </w:r>
      <w:r>
        <w:tab/>
      </w:r>
      <w:r>
        <w:fldChar w:fldCharType="begin"/>
      </w:r>
      <w:r>
        <w:instrText xml:space="preserve"> PAGEREF _Toc11048 \h </w:instrText>
      </w:r>
      <w:r>
        <w:fldChar w:fldCharType="separate"/>
      </w:r>
      <w:r>
        <w:t>27</w:t>
      </w:r>
      <w:r>
        <w:fldChar w:fldCharType="end"/>
      </w:r>
      <w:r>
        <w:rPr>
          <w:rFonts w:hint="eastAsia" w:ascii="仿宋" w:hAnsi="仿宋" w:eastAsia="仿宋" w:cs="仿宋"/>
          <w:color w:val="auto"/>
          <w:highlight w:val="none"/>
        </w:rPr>
        <w:fldChar w:fldCharType="end"/>
      </w:r>
    </w:p>
    <w:p>
      <w:pPr>
        <w:pStyle w:val="15"/>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_Toc28037 </w:instrText>
      </w:r>
      <w:r>
        <w:rPr>
          <w:rFonts w:hint="eastAsia" w:ascii="仿宋" w:hAnsi="仿宋" w:eastAsia="仿宋" w:cs="仿宋"/>
          <w:highlight w:val="none"/>
        </w:rPr>
        <w:fldChar w:fldCharType="separate"/>
      </w:r>
      <w:r>
        <w:rPr>
          <w:rFonts w:hint="eastAsia" w:ascii="仿宋" w:hAnsi="仿宋" w:eastAsia="仿宋" w:cs="仿宋"/>
          <w:highlight w:val="none"/>
        </w:rPr>
        <w:t>第四章  投标邀请</w:t>
      </w:r>
      <w:r>
        <w:tab/>
      </w:r>
      <w:r>
        <w:fldChar w:fldCharType="begin"/>
      </w:r>
      <w:r>
        <w:instrText xml:space="preserve"> PAGEREF _Toc28037 \h </w:instrText>
      </w:r>
      <w:r>
        <w:fldChar w:fldCharType="separate"/>
      </w:r>
      <w:r>
        <w:t>40</w:t>
      </w:r>
      <w:r>
        <w:fldChar w:fldCharType="end"/>
      </w:r>
      <w:r>
        <w:rPr>
          <w:rFonts w:hint="eastAsia" w:ascii="仿宋" w:hAnsi="仿宋" w:eastAsia="仿宋" w:cs="仿宋"/>
          <w:color w:val="auto"/>
          <w:highlight w:val="none"/>
        </w:rPr>
        <w:fldChar w:fldCharType="end"/>
      </w:r>
    </w:p>
    <w:p>
      <w:pPr>
        <w:pStyle w:val="15"/>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_Toc17649 </w:instrText>
      </w:r>
      <w:r>
        <w:rPr>
          <w:rFonts w:hint="eastAsia" w:ascii="仿宋" w:hAnsi="仿宋" w:eastAsia="仿宋" w:cs="仿宋"/>
          <w:highlight w:val="none"/>
        </w:rPr>
        <w:fldChar w:fldCharType="separate"/>
      </w:r>
      <w:r>
        <w:rPr>
          <w:rFonts w:hint="eastAsia" w:ascii="仿宋" w:hAnsi="仿宋" w:eastAsia="仿宋" w:cs="仿宋"/>
          <w:highlight w:val="none"/>
        </w:rPr>
        <w:t>第五章  投标人须知前附表</w:t>
      </w:r>
      <w:r>
        <w:tab/>
      </w:r>
      <w:r>
        <w:fldChar w:fldCharType="begin"/>
      </w:r>
      <w:r>
        <w:instrText xml:space="preserve"> PAGEREF _Toc17649 \h </w:instrText>
      </w:r>
      <w:r>
        <w:fldChar w:fldCharType="separate"/>
      </w:r>
      <w:r>
        <w:t>43</w:t>
      </w:r>
      <w:r>
        <w:fldChar w:fldCharType="end"/>
      </w:r>
      <w:r>
        <w:rPr>
          <w:rFonts w:hint="eastAsia" w:ascii="仿宋" w:hAnsi="仿宋" w:eastAsia="仿宋" w:cs="仿宋"/>
          <w:color w:val="auto"/>
          <w:highlight w:val="none"/>
        </w:rPr>
        <w:fldChar w:fldCharType="end"/>
      </w:r>
    </w:p>
    <w:p>
      <w:pPr>
        <w:pStyle w:val="15"/>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_Toc8082 </w:instrText>
      </w:r>
      <w:r>
        <w:rPr>
          <w:rFonts w:hint="eastAsia" w:ascii="仿宋" w:hAnsi="仿宋" w:eastAsia="仿宋" w:cs="仿宋"/>
          <w:highlight w:val="none"/>
        </w:rPr>
        <w:fldChar w:fldCharType="separate"/>
      </w:r>
      <w:r>
        <w:rPr>
          <w:rFonts w:hint="eastAsia" w:ascii="仿宋" w:hAnsi="仿宋" w:eastAsia="仿宋" w:cs="仿宋"/>
          <w:szCs w:val="32"/>
          <w:highlight w:val="none"/>
        </w:rPr>
        <w:t>第六章  政府采购合同格式</w:t>
      </w:r>
      <w:r>
        <w:tab/>
      </w:r>
      <w:r>
        <w:fldChar w:fldCharType="begin"/>
      </w:r>
      <w:r>
        <w:instrText xml:space="preserve"> PAGEREF _Toc8082 \h </w:instrText>
      </w:r>
      <w:r>
        <w:fldChar w:fldCharType="separate"/>
      </w:r>
      <w:r>
        <w:t>47</w:t>
      </w:r>
      <w:r>
        <w:fldChar w:fldCharType="end"/>
      </w:r>
      <w:r>
        <w:rPr>
          <w:rFonts w:hint="eastAsia" w:ascii="仿宋" w:hAnsi="仿宋" w:eastAsia="仿宋" w:cs="仿宋"/>
          <w:color w:val="auto"/>
          <w:highlight w:val="none"/>
        </w:rPr>
        <w:fldChar w:fldCharType="end"/>
      </w:r>
    </w:p>
    <w:p>
      <w:pPr>
        <w:pStyle w:val="15"/>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_Toc30645 </w:instrText>
      </w:r>
      <w:r>
        <w:rPr>
          <w:rFonts w:hint="eastAsia" w:ascii="仿宋" w:hAnsi="仿宋" w:eastAsia="仿宋" w:cs="仿宋"/>
          <w:highlight w:val="none"/>
        </w:rPr>
        <w:fldChar w:fldCharType="separate"/>
      </w:r>
      <w:r>
        <w:rPr>
          <w:rFonts w:hint="eastAsia" w:ascii="仿宋" w:hAnsi="仿宋" w:eastAsia="仿宋" w:cs="仿宋"/>
          <w:szCs w:val="32"/>
          <w:highlight w:val="none"/>
        </w:rPr>
        <w:t>第七章  合同专用条款</w:t>
      </w:r>
      <w:r>
        <w:tab/>
      </w:r>
      <w:r>
        <w:fldChar w:fldCharType="begin"/>
      </w:r>
      <w:r>
        <w:instrText xml:space="preserve"> PAGEREF _Toc30645 \h </w:instrText>
      </w:r>
      <w:r>
        <w:fldChar w:fldCharType="separate"/>
      </w:r>
      <w:r>
        <w:t>50</w:t>
      </w:r>
      <w:r>
        <w:fldChar w:fldCharType="end"/>
      </w:r>
      <w:r>
        <w:rPr>
          <w:rFonts w:hint="eastAsia" w:ascii="仿宋" w:hAnsi="仿宋" w:eastAsia="仿宋" w:cs="仿宋"/>
          <w:color w:val="auto"/>
          <w:highlight w:val="none"/>
        </w:rPr>
        <w:fldChar w:fldCharType="end"/>
      </w:r>
    </w:p>
    <w:p>
      <w:pPr>
        <w:pStyle w:val="15"/>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_Toc22311 </w:instrText>
      </w:r>
      <w:r>
        <w:rPr>
          <w:rFonts w:hint="eastAsia" w:ascii="仿宋" w:hAnsi="仿宋" w:eastAsia="仿宋" w:cs="仿宋"/>
          <w:highlight w:val="none"/>
        </w:rPr>
        <w:fldChar w:fldCharType="separate"/>
      </w:r>
      <w:r>
        <w:rPr>
          <w:rFonts w:hint="eastAsia" w:ascii="仿宋" w:hAnsi="仿宋" w:eastAsia="仿宋" w:cs="仿宋"/>
          <w:szCs w:val="32"/>
          <w:highlight w:val="none"/>
        </w:rPr>
        <w:t>第八章  采购需求</w:t>
      </w:r>
      <w:r>
        <w:tab/>
      </w:r>
      <w:r>
        <w:fldChar w:fldCharType="begin"/>
      </w:r>
      <w:r>
        <w:instrText xml:space="preserve"> PAGEREF _Toc22311 \h </w:instrText>
      </w:r>
      <w:r>
        <w:fldChar w:fldCharType="separate"/>
      </w:r>
      <w:r>
        <w:t>52</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_Toc24946 </w:instrText>
      </w:r>
      <w:r>
        <w:rPr>
          <w:rFonts w:hint="eastAsia" w:ascii="仿宋" w:hAnsi="仿宋" w:eastAsia="仿宋" w:cs="仿宋"/>
          <w:highlight w:val="none"/>
        </w:rPr>
        <w:fldChar w:fldCharType="separate"/>
      </w:r>
      <w:r>
        <w:rPr>
          <w:rFonts w:hint="eastAsia" w:ascii="仿宋" w:hAnsi="仿宋" w:eastAsia="仿宋" w:cs="仿宋"/>
          <w:szCs w:val="21"/>
        </w:rPr>
        <w:t>一、标的物清单</w:t>
      </w:r>
      <w:r>
        <w:tab/>
      </w:r>
      <w:r>
        <w:fldChar w:fldCharType="begin"/>
      </w:r>
      <w:r>
        <w:instrText xml:space="preserve"> PAGEREF _Toc24946 \h </w:instrText>
      </w:r>
      <w:r>
        <w:fldChar w:fldCharType="separate"/>
      </w:r>
      <w:r>
        <w:t>52</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_Toc26654 </w:instrText>
      </w:r>
      <w:r>
        <w:rPr>
          <w:rFonts w:hint="eastAsia" w:ascii="仿宋" w:hAnsi="仿宋" w:eastAsia="仿宋" w:cs="仿宋"/>
          <w:highlight w:val="none"/>
        </w:rPr>
        <w:fldChar w:fldCharType="separate"/>
      </w:r>
      <w:r>
        <w:rPr>
          <w:rFonts w:hint="eastAsia" w:ascii="仿宋" w:hAnsi="仿宋" w:eastAsia="仿宋" w:cs="仿宋"/>
          <w:szCs w:val="21"/>
        </w:rPr>
        <w:t>二、详细技术参数及规格要求</w:t>
      </w:r>
      <w:r>
        <w:tab/>
      </w:r>
      <w:r>
        <w:fldChar w:fldCharType="begin"/>
      </w:r>
      <w:r>
        <w:instrText xml:space="preserve"> PAGEREF _Toc26654 \h </w:instrText>
      </w:r>
      <w:r>
        <w:fldChar w:fldCharType="separate"/>
      </w:r>
      <w:r>
        <w:t>52</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_Toc17699 </w:instrText>
      </w:r>
      <w:r>
        <w:rPr>
          <w:rFonts w:hint="eastAsia" w:ascii="仿宋" w:hAnsi="仿宋" w:eastAsia="仿宋" w:cs="仿宋"/>
          <w:highlight w:val="none"/>
        </w:rPr>
        <w:fldChar w:fldCharType="separate"/>
      </w:r>
      <w:r>
        <w:rPr>
          <w:rFonts w:hint="eastAsia" w:ascii="Calibri" w:hAnsi="Calibri" w:eastAsia="仿宋"/>
          <w:bCs/>
          <w:kern w:val="2"/>
          <w:szCs w:val="24"/>
          <w:highlight w:val="none"/>
        </w:rPr>
        <w:t>三、商务需求</w:t>
      </w:r>
      <w:r>
        <w:tab/>
      </w:r>
      <w:r>
        <w:fldChar w:fldCharType="begin"/>
      </w:r>
      <w:r>
        <w:instrText xml:space="preserve"> PAGEREF _Toc17699 \h </w:instrText>
      </w:r>
      <w:r>
        <w:fldChar w:fldCharType="separate"/>
      </w:r>
      <w:r>
        <w:t>53</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_Toc30183 </w:instrText>
      </w:r>
      <w:r>
        <w:rPr>
          <w:rFonts w:hint="eastAsia" w:ascii="仿宋" w:hAnsi="仿宋" w:eastAsia="仿宋" w:cs="仿宋"/>
          <w:highlight w:val="none"/>
        </w:rPr>
        <w:fldChar w:fldCharType="separate"/>
      </w:r>
      <w:r>
        <w:rPr>
          <w:rFonts w:hint="eastAsia" w:ascii="仿宋" w:hAnsi="仿宋" w:eastAsia="仿宋" w:cs="仿宋"/>
          <w:szCs w:val="21"/>
          <w:lang w:val="en-US" w:eastAsia="zh-CN"/>
        </w:rPr>
        <w:t>四、报价要求</w:t>
      </w:r>
      <w:r>
        <w:tab/>
      </w:r>
      <w:r>
        <w:fldChar w:fldCharType="begin"/>
      </w:r>
      <w:r>
        <w:instrText xml:space="preserve"> PAGEREF _Toc30183 \h </w:instrText>
      </w:r>
      <w:r>
        <w:fldChar w:fldCharType="separate"/>
      </w:r>
      <w:r>
        <w:t>53</w:t>
      </w:r>
      <w:r>
        <w:fldChar w:fldCharType="end"/>
      </w:r>
      <w:r>
        <w:rPr>
          <w:rFonts w:hint="eastAsia" w:ascii="仿宋" w:hAnsi="仿宋" w:eastAsia="仿宋" w:cs="仿宋"/>
          <w:color w:val="auto"/>
          <w:highlight w:val="none"/>
        </w:rPr>
        <w:fldChar w:fldCharType="end"/>
      </w:r>
    </w:p>
    <w:p>
      <w:pPr>
        <w:pStyle w:val="15"/>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_Toc31574 </w:instrText>
      </w:r>
      <w:r>
        <w:rPr>
          <w:rFonts w:hint="eastAsia" w:ascii="仿宋" w:hAnsi="仿宋" w:eastAsia="仿宋" w:cs="仿宋"/>
          <w:highlight w:val="none"/>
        </w:rPr>
        <w:fldChar w:fldCharType="separate"/>
      </w:r>
      <w:r>
        <w:rPr>
          <w:rFonts w:hint="eastAsia" w:ascii="仿宋" w:hAnsi="仿宋" w:eastAsia="仿宋" w:cs="仿宋"/>
          <w:szCs w:val="32"/>
          <w:highlight w:val="none"/>
        </w:rPr>
        <w:t>第九章  评标方法和标准</w:t>
      </w:r>
      <w:r>
        <w:tab/>
      </w:r>
      <w:r>
        <w:fldChar w:fldCharType="begin"/>
      </w:r>
      <w:r>
        <w:instrText xml:space="preserve"> PAGEREF _Toc31574 \h </w:instrText>
      </w:r>
      <w:r>
        <w:fldChar w:fldCharType="separate"/>
      </w:r>
      <w:r>
        <w:t>54</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_Toc5707 </w:instrText>
      </w:r>
      <w:r>
        <w:rPr>
          <w:rFonts w:hint="eastAsia" w:ascii="仿宋" w:hAnsi="仿宋" w:eastAsia="仿宋" w:cs="仿宋"/>
          <w:highlight w:val="none"/>
        </w:rPr>
        <w:fldChar w:fldCharType="separate"/>
      </w:r>
      <w:r>
        <w:rPr>
          <w:rFonts w:hint="eastAsia" w:ascii="仿宋" w:hAnsi="仿宋" w:eastAsia="仿宋" w:cs="仿宋"/>
          <w:bCs/>
          <w:szCs w:val="21"/>
          <w:highlight w:val="none"/>
        </w:rPr>
        <w:t>一、资格审查</w:t>
      </w:r>
      <w:r>
        <w:tab/>
      </w:r>
      <w:r>
        <w:fldChar w:fldCharType="begin"/>
      </w:r>
      <w:r>
        <w:instrText xml:space="preserve"> PAGEREF _Toc5707 \h </w:instrText>
      </w:r>
      <w:r>
        <w:fldChar w:fldCharType="separate"/>
      </w:r>
      <w:r>
        <w:t>54</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_Toc11349 </w:instrText>
      </w:r>
      <w:r>
        <w:rPr>
          <w:rFonts w:hint="eastAsia" w:ascii="仿宋" w:hAnsi="仿宋" w:eastAsia="仿宋" w:cs="仿宋"/>
          <w:highlight w:val="none"/>
        </w:rPr>
        <w:fldChar w:fldCharType="separate"/>
      </w:r>
      <w:r>
        <w:rPr>
          <w:rFonts w:hint="eastAsia" w:ascii="仿宋" w:hAnsi="仿宋" w:eastAsia="仿宋" w:cs="仿宋"/>
          <w:bCs/>
          <w:szCs w:val="21"/>
          <w:highlight w:val="none"/>
        </w:rPr>
        <w:t>二、评标委员会的组成</w:t>
      </w:r>
      <w:r>
        <w:tab/>
      </w:r>
      <w:r>
        <w:fldChar w:fldCharType="begin"/>
      </w:r>
      <w:r>
        <w:instrText xml:space="preserve"> PAGEREF _Toc11349 \h </w:instrText>
      </w:r>
      <w:r>
        <w:fldChar w:fldCharType="separate"/>
      </w:r>
      <w:r>
        <w:t>55</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_Toc15212 </w:instrText>
      </w:r>
      <w:r>
        <w:rPr>
          <w:rFonts w:hint="eastAsia" w:ascii="仿宋" w:hAnsi="仿宋" w:eastAsia="仿宋" w:cs="仿宋"/>
          <w:highlight w:val="none"/>
        </w:rPr>
        <w:fldChar w:fldCharType="separate"/>
      </w:r>
      <w:r>
        <w:rPr>
          <w:rFonts w:hint="eastAsia" w:ascii="仿宋" w:hAnsi="仿宋" w:eastAsia="仿宋" w:cs="仿宋"/>
          <w:bCs/>
          <w:szCs w:val="21"/>
          <w:highlight w:val="none"/>
        </w:rPr>
        <w:t>三、评标程序</w:t>
      </w:r>
      <w:r>
        <w:tab/>
      </w:r>
      <w:r>
        <w:fldChar w:fldCharType="begin"/>
      </w:r>
      <w:r>
        <w:instrText xml:space="preserve"> PAGEREF _Toc15212 \h </w:instrText>
      </w:r>
      <w:r>
        <w:fldChar w:fldCharType="separate"/>
      </w:r>
      <w:r>
        <w:t>55</w:t>
      </w:r>
      <w:r>
        <w:fldChar w:fldCharType="end"/>
      </w:r>
      <w:r>
        <w:rPr>
          <w:rFonts w:hint="eastAsia" w:ascii="仿宋" w:hAnsi="仿宋" w:eastAsia="仿宋" w:cs="仿宋"/>
          <w:color w:val="auto"/>
          <w:highlight w:val="none"/>
        </w:rPr>
        <w:fldChar w:fldCharType="end"/>
      </w:r>
    </w:p>
    <w:p>
      <w:pPr>
        <w:pStyle w:val="16"/>
        <w:tabs>
          <w:tab w:val="right" w:leader="dot" w:pos="8312"/>
        </w:tabs>
      </w:pPr>
      <w:r>
        <w:rPr>
          <w:rFonts w:hint="eastAsia" w:ascii="仿宋" w:hAnsi="仿宋" w:eastAsia="仿宋" w:cs="仿宋"/>
          <w:color w:val="auto"/>
          <w:highlight w:val="none"/>
        </w:rPr>
        <w:fldChar w:fldCharType="begin"/>
      </w:r>
      <w:r>
        <w:rPr>
          <w:rFonts w:hint="eastAsia" w:ascii="仿宋" w:hAnsi="仿宋" w:eastAsia="仿宋" w:cs="仿宋"/>
          <w:highlight w:val="none"/>
        </w:rPr>
        <w:instrText xml:space="preserve"> HYPERLINK \l _Toc18614 </w:instrText>
      </w:r>
      <w:r>
        <w:rPr>
          <w:rFonts w:hint="eastAsia" w:ascii="仿宋" w:hAnsi="仿宋" w:eastAsia="仿宋" w:cs="仿宋"/>
          <w:highlight w:val="none"/>
        </w:rPr>
        <w:fldChar w:fldCharType="separate"/>
      </w:r>
      <w:r>
        <w:rPr>
          <w:rFonts w:hint="eastAsia" w:ascii="仿宋" w:hAnsi="仿宋" w:eastAsia="仿宋" w:cs="仿宋"/>
          <w:bCs/>
          <w:szCs w:val="21"/>
          <w:highlight w:val="none"/>
        </w:rPr>
        <w:t>四、评审注意事项</w:t>
      </w:r>
      <w:r>
        <w:tab/>
      </w:r>
      <w:r>
        <w:fldChar w:fldCharType="begin"/>
      </w:r>
      <w:r>
        <w:instrText xml:space="preserve"> PAGEREF _Toc18614 \h </w:instrText>
      </w:r>
      <w:r>
        <w:fldChar w:fldCharType="separate"/>
      </w:r>
      <w:r>
        <w:t>58</w:t>
      </w:r>
      <w:r>
        <w:fldChar w:fldCharType="end"/>
      </w:r>
      <w:r>
        <w:rPr>
          <w:rFonts w:hint="eastAsia" w:ascii="仿宋" w:hAnsi="仿宋" w:eastAsia="仿宋" w:cs="仿宋"/>
          <w:color w:val="auto"/>
          <w:highlight w:val="none"/>
        </w:rPr>
        <w:fldChar w:fldCharType="end"/>
      </w:r>
    </w:p>
    <w:p>
      <w:pPr>
        <w:spacing w:line="240" w:lineRule="atLeast"/>
        <w:ind w:left="1079" w:leftChars="257" w:hanging="540"/>
        <w:jc w:val="center"/>
        <w:rPr>
          <w:rFonts w:ascii="仿宋" w:hAnsi="仿宋" w:eastAsia="仿宋" w:cs="仿宋"/>
          <w:b/>
          <w:color w:val="auto"/>
          <w:sz w:val="32"/>
          <w:highlight w:val="none"/>
        </w:rPr>
      </w:pPr>
      <w:r>
        <w:rPr>
          <w:rFonts w:hint="eastAsia" w:ascii="仿宋" w:hAnsi="仿宋" w:eastAsia="仿宋" w:cs="仿宋"/>
          <w:color w:val="auto"/>
          <w:highlight w:val="none"/>
        </w:rPr>
        <w:fldChar w:fldCharType="end"/>
      </w:r>
    </w:p>
    <w:p>
      <w:pPr>
        <w:pStyle w:val="3"/>
        <w:spacing w:before="0" w:after="0" w:line="240" w:lineRule="atLeast"/>
        <w:ind w:firstLine="640" w:firstLineChars="200"/>
        <w:rPr>
          <w:rFonts w:ascii="仿宋" w:hAnsi="仿宋" w:eastAsia="仿宋" w:cs="仿宋"/>
          <w:color w:val="auto"/>
          <w:szCs w:val="32"/>
          <w:highlight w:val="none"/>
        </w:rPr>
        <w:sectPr>
          <w:headerReference r:id="rId3" w:type="default"/>
          <w:footerReference r:id="rId4" w:type="default"/>
          <w:pgSz w:w="11906" w:h="16838"/>
          <w:pgMar w:top="1440" w:right="1797" w:bottom="1440" w:left="1797" w:header="851" w:footer="992" w:gutter="0"/>
          <w:cols w:space="720" w:num="1"/>
          <w:docGrid w:type="linesAndChars" w:linePitch="312" w:charSpace="0"/>
        </w:sectPr>
      </w:pPr>
      <w:bookmarkStart w:id="0" w:name="_Toc216582804"/>
      <w:bookmarkStart w:id="1" w:name="_Toc60830233"/>
    </w:p>
    <w:p>
      <w:pPr>
        <w:pStyle w:val="3"/>
        <w:spacing w:before="0" w:after="0" w:line="240" w:lineRule="atLeast"/>
        <w:ind w:firstLine="640" w:firstLineChars="200"/>
        <w:rPr>
          <w:rFonts w:ascii="仿宋" w:hAnsi="仿宋" w:eastAsia="仿宋" w:cs="仿宋"/>
          <w:color w:val="auto"/>
          <w:szCs w:val="32"/>
          <w:highlight w:val="none"/>
        </w:rPr>
      </w:pPr>
      <w:bookmarkStart w:id="2" w:name="_Toc138"/>
      <w:r>
        <w:rPr>
          <w:rFonts w:hint="eastAsia" w:ascii="仿宋" w:hAnsi="仿宋" w:eastAsia="仿宋" w:cs="仿宋"/>
          <w:color w:val="auto"/>
          <w:szCs w:val="32"/>
          <w:highlight w:val="none"/>
        </w:rPr>
        <w:t>第一章  投标人须知</w:t>
      </w:r>
      <w:bookmarkEnd w:id="0"/>
      <w:bookmarkEnd w:id="1"/>
      <w:bookmarkEnd w:id="2"/>
    </w:p>
    <w:p>
      <w:pPr>
        <w:pStyle w:val="4"/>
        <w:spacing w:before="156" w:beforeLines="50" w:after="156" w:afterLines="50" w:line="360" w:lineRule="auto"/>
        <w:rPr>
          <w:rFonts w:ascii="仿宋" w:hAnsi="仿宋" w:eastAsia="仿宋" w:cs="仿宋"/>
          <w:color w:val="auto"/>
          <w:sz w:val="28"/>
          <w:highlight w:val="none"/>
        </w:rPr>
      </w:pPr>
      <w:bookmarkStart w:id="3" w:name="_Toc30363"/>
      <w:bookmarkStart w:id="4" w:name="_Toc520356143"/>
      <w:bookmarkStart w:id="5" w:name="_Toc60830234"/>
      <w:bookmarkStart w:id="6" w:name="_Toc216582805"/>
      <w:r>
        <w:rPr>
          <w:rFonts w:hint="eastAsia" w:ascii="仿宋" w:hAnsi="仿宋" w:eastAsia="仿宋" w:cs="仿宋"/>
          <w:color w:val="auto"/>
          <w:sz w:val="28"/>
          <w:highlight w:val="none"/>
        </w:rPr>
        <w:t>一   说  明</w:t>
      </w:r>
      <w:bookmarkEnd w:id="3"/>
      <w:bookmarkEnd w:id="4"/>
      <w:bookmarkEnd w:id="5"/>
      <w:bookmarkEnd w:id="6"/>
    </w:p>
    <w:p>
      <w:pPr>
        <w:pStyle w:val="6"/>
        <w:spacing w:before="0" w:after="0" w:line="240" w:lineRule="atLeast"/>
        <w:rPr>
          <w:rFonts w:ascii="仿宋" w:hAnsi="仿宋" w:eastAsia="仿宋" w:cs="仿宋"/>
          <w:color w:val="auto"/>
          <w:sz w:val="21"/>
          <w:szCs w:val="16"/>
          <w:highlight w:val="none"/>
          <w:u w:val="none"/>
        </w:rPr>
      </w:pPr>
      <w:bookmarkStart w:id="7" w:name="_Toc520356144"/>
      <w:bookmarkStart w:id="8" w:name="_Toc60830235"/>
      <w:r>
        <w:rPr>
          <w:rFonts w:hint="eastAsia" w:ascii="仿宋" w:hAnsi="仿宋" w:eastAsia="仿宋" w:cs="仿宋"/>
          <w:color w:val="auto"/>
          <w:sz w:val="21"/>
          <w:szCs w:val="16"/>
          <w:highlight w:val="none"/>
          <w:u w:val="none"/>
        </w:rPr>
        <w:t>1.  采购人、采购代理机构及</w:t>
      </w:r>
      <w:bookmarkEnd w:id="7"/>
      <w:r>
        <w:rPr>
          <w:rFonts w:hint="eastAsia" w:ascii="仿宋" w:hAnsi="仿宋" w:eastAsia="仿宋" w:cs="仿宋"/>
          <w:color w:val="auto"/>
          <w:sz w:val="21"/>
          <w:szCs w:val="16"/>
          <w:highlight w:val="none"/>
          <w:u w:val="none"/>
        </w:rPr>
        <w:t>投标人</w:t>
      </w:r>
      <w:bookmarkEnd w:id="8"/>
    </w:p>
    <w:p>
      <w:pPr>
        <w:spacing w:line="240" w:lineRule="atLeast"/>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1.1    采购人：是指依法进行政府采购的国家机构、事业单位、团体组织。</w:t>
      </w:r>
    </w:p>
    <w:p>
      <w:pPr>
        <w:spacing w:line="240" w:lineRule="atLeast"/>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1.2    采购代理机构：本次招标的采购代理机构为江苏伟业项目管理有限公司。</w:t>
      </w:r>
    </w:p>
    <w:p>
      <w:pPr>
        <w:spacing w:line="240" w:lineRule="atLeast"/>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1.3    投标人：是指响应招标、参加投标竞争的法人、非法人组织或者自然人。潜在投标人：以招标文件规定的方式获取本项目招标文件的法人、非法人组织或者自然人。</w:t>
      </w:r>
    </w:p>
    <w:p>
      <w:pPr>
        <w:spacing w:line="240" w:lineRule="atLeast"/>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投标人须满足以下条件：</w:t>
      </w:r>
    </w:p>
    <w:p>
      <w:pPr>
        <w:spacing w:line="240" w:lineRule="atLeast"/>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1.3.1  在中华人民共和国境内注册，能够独立承担民事责任，有生产或供应能力的本国供应商，包括法人、非法人组织或者自然人。</w:t>
      </w:r>
    </w:p>
    <w:p>
      <w:pPr>
        <w:spacing w:line="240" w:lineRule="atLeast"/>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1.3.2  具备《中华人民共和国政府采购法》第二十二条关于供应商条件的规定，遵守国家、本项目采购人本级和上级财政部门政府采购的有关规定。</w:t>
      </w:r>
    </w:p>
    <w:p>
      <w:pPr>
        <w:spacing w:line="240" w:lineRule="atLeast"/>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1.3.3  以招标文件规定的方式获得了本项目的招标文件。</w:t>
      </w:r>
    </w:p>
    <w:p>
      <w:pPr>
        <w:spacing w:line="240" w:lineRule="atLeast"/>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1.3.4  符合</w:t>
      </w:r>
      <w:r>
        <w:rPr>
          <w:rFonts w:hint="eastAsia" w:ascii="仿宋" w:hAnsi="仿宋" w:eastAsia="仿宋" w:cs="仿宋"/>
          <w:color w:val="auto"/>
          <w:szCs w:val="21"/>
          <w:highlight w:val="none"/>
          <w:u w:val="single"/>
        </w:rPr>
        <w:t>投标须知前附表</w:t>
      </w:r>
      <w:r>
        <w:rPr>
          <w:rFonts w:hint="eastAsia" w:ascii="仿宋" w:hAnsi="仿宋" w:eastAsia="仿宋" w:cs="仿宋"/>
          <w:color w:val="auto"/>
          <w:szCs w:val="21"/>
          <w:highlight w:val="none"/>
        </w:rPr>
        <w:t>中规定的其他要求。</w:t>
      </w:r>
    </w:p>
    <w:p>
      <w:pPr>
        <w:spacing w:line="240" w:lineRule="atLeast"/>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1.4    如经财政主管部门批准可以采购进口产品，将在</w:t>
      </w:r>
      <w:r>
        <w:rPr>
          <w:rFonts w:hint="eastAsia" w:ascii="仿宋" w:hAnsi="仿宋" w:eastAsia="仿宋" w:cs="仿宋"/>
          <w:color w:val="auto"/>
          <w:szCs w:val="21"/>
          <w:highlight w:val="none"/>
          <w:u w:val="single"/>
        </w:rPr>
        <w:t>投标须知前附表</w:t>
      </w:r>
      <w:r>
        <w:rPr>
          <w:rFonts w:hint="eastAsia" w:ascii="仿宋" w:hAnsi="仿宋" w:eastAsia="仿宋" w:cs="仿宋"/>
          <w:color w:val="auto"/>
          <w:szCs w:val="21"/>
          <w:highlight w:val="none"/>
        </w:rPr>
        <w:t>中写明。但投标人应保证所投产品可履行合法报通关手续进入中国关境内。</w:t>
      </w:r>
    </w:p>
    <w:p>
      <w:pPr>
        <w:spacing w:line="240" w:lineRule="atLeast"/>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若</w:t>
      </w:r>
      <w:r>
        <w:rPr>
          <w:rFonts w:hint="eastAsia" w:ascii="仿宋" w:hAnsi="仿宋" w:eastAsia="仿宋" w:cs="仿宋"/>
          <w:color w:val="auto"/>
          <w:szCs w:val="21"/>
          <w:highlight w:val="none"/>
          <w:u w:val="single"/>
        </w:rPr>
        <w:t>投标须知前附表</w:t>
      </w:r>
      <w:r>
        <w:rPr>
          <w:rFonts w:hint="eastAsia" w:ascii="仿宋" w:hAnsi="仿宋" w:eastAsia="仿宋" w:cs="仿宋"/>
          <w:color w:val="auto"/>
          <w:szCs w:val="21"/>
          <w:highlight w:val="none"/>
        </w:rPr>
        <w:t>中未写明允许采购进口产品，如投标人所投产品为进口产品，其投标将被认定为</w:t>
      </w:r>
      <w:r>
        <w:rPr>
          <w:rFonts w:hint="eastAsia" w:ascii="仿宋" w:hAnsi="仿宋" w:eastAsia="仿宋" w:cs="仿宋"/>
          <w:b/>
          <w:bCs/>
          <w:color w:val="auto"/>
          <w:szCs w:val="21"/>
          <w:highlight w:val="none"/>
        </w:rPr>
        <w:t>投标无效</w:t>
      </w:r>
      <w:r>
        <w:rPr>
          <w:rFonts w:hint="eastAsia" w:ascii="仿宋" w:hAnsi="仿宋" w:eastAsia="仿宋" w:cs="仿宋"/>
          <w:color w:val="auto"/>
          <w:szCs w:val="21"/>
          <w:highlight w:val="none"/>
        </w:rPr>
        <w:t>。</w:t>
      </w:r>
    </w:p>
    <w:p>
      <w:pPr>
        <w:spacing w:line="240" w:lineRule="atLeast"/>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1.5    投标人提供的货物由中小企业制造，即货物由中小企业生产且使用该中小企业商号或者注册商标，享受中小企业扶持政策。投标人</w:t>
      </w:r>
      <w:r>
        <w:rPr>
          <w:rFonts w:hint="eastAsia" w:ascii="仿宋" w:hAnsi="仿宋" w:eastAsia="仿宋" w:cs="仿宋"/>
          <w:color w:val="auto"/>
          <w:kern w:val="0"/>
          <w:szCs w:val="21"/>
          <w:highlight w:val="none"/>
        </w:rPr>
        <w:t>根据《工业和信息化部、国家统计局、国家发展和改革委员会、财政部关于印发中小企业划型标准规定的通知》（工信部联企业[2011]300号）确定企业类型；也可在工业和信息化部网站（https://www.miit.gov.cn/）的“中小企业规模类型自测小程序”自助查询到企业类型。</w:t>
      </w:r>
    </w:p>
    <w:p>
      <w:pPr>
        <w:spacing w:line="240" w:lineRule="atLeast"/>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1.5.1  若</w:t>
      </w:r>
      <w:r>
        <w:rPr>
          <w:rFonts w:hint="eastAsia" w:ascii="仿宋" w:hAnsi="仿宋" w:eastAsia="仿宋" w:cs="仿宋"/>
          <w:color w:val="auto"/>
          <w:szCs w:val="21"/>
          <w:highlight w:val="none"/>
          <w:u w:val="single"/>
        </w:rPr>
        <w:t>投标须知前附表中</w:t>
      </w:r>
      <w:r>
        <w:rPr>
          <w:rFonts w:hint="eastAsia" w:ascii="仿宋" w:hAnsi="仿宋" w:eastAsia="仿宋" w:cs="仿宋"/>
          <w:color w:val="auto"/>
          <w:szCs w:val="21"/>
          <w:highlight w:val="none"/>
        </w:rPr>
        <w:t>写明专门面向中小企业采购的，如投标人所投产品为非中小企业产品，其投标将被认定为</w:t>
      </w:r>
      <w:r>
        <w:rPr>
          <w:rFonts w:hint="eastAsia" w:ascii="仿宋" w:hAnsi="仿宋" w:eastAsia="仿宋" w:cs="仿宋"/>
          <w:b/>
          <w:color w:val="auto"/>
          <w:szCs w:val="21"/>
          <w:highlight w:val="none"/>
        </w:rPr>
        <w:t>投标无效</w:t>
      </w:r>
      <w:r>
        <w:rPr>
          <w:rFonts w:hint="eastAsia" w:ascii="仿宋" w:hAnsi="仿宋" w:eastAsia="仿宋" w:cs="仿宋"/>
          <w:color w:val="auto"/>
          <w:szCs w:val="21"/>
          <w:highlight w:val="none"/>
        </w:rPr>
        <w:t>。</w:t>
      </w:r>
    </w:p>
    <w:p>
      <w:pPr>
        <w:spacing w:line="240" w:lineRule="atLeast"/>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1.5.2  本项目是否面向中小企业采购预留份额、措施及比例见</w:t>
      </w:r>
      <w:r>
        <w:rPr>
          <w:rFonts w:hint="eastAsia" w:ascii="仿宋" w:hAnsi="仿宋" w:eastAsia="仿宋" w:cs="仿宋"/>
          <w:color w:val="auto"/>
          <w:szCs w:val="21"/>
          <w:highlight w:val="none"/>
          <w:u w:val="single"/>
        </w:rPr>
        <w:t>投标人须知前附表，</w:t>
      </w:r>
      <w:r>
        <w:rPr>
          <w:rFonts w:hint="eastAsia" w:ascii="仿宋" w:hAnsi="仿宋" w:eastAsia="仿宋" w:cs="仿宋"/>
          <w:color w:val="auto"/>
          <w:szCs w:val="21"/>
          <w:highlight w:val="none"/>
        </w:rPr>
        <w:t>未达到上述比例的投标将被认定为</w:t>
      </w:r>
      <w:r>
        <w:rPr>
          <w:rFonts w:hint="eastAsia" w:ascii="仿宋" w:hAnsi="仿宋" w:eastAsia="仿宋" w:cs="仿宋"/>
          <w:b/>
          <w:color w:val="auto"/>
          <w:szCs w:val="21"/>
          <w:highlight w:val="none"/>
        </w:rPr>
        <w:t>投标无效</w:t>
      </w:r>
      <w:r>
        <w:rPr>
          <w:rFonts w:hint="eastAsia" w:ascii="仿宋" w:hAnsi="仿宋" w:eastAsia="仿宋" w:cs="仿宋"/>
          <w:color w:val="auto"/>
          <w:szCs w:val="21"/>
          <w:highlight w:val="none"/>
        </w:rPr>
        <w:t>。</w:t>
      </w:r>
    </w:p>
    <w:p>
      <w:pPr>
        <w:autoSpaceDE w:val="0"/>
        <w:autoSpaceDN w:val="0"/>
        <w:adjustRightInd w:val="0"/>
        <w:ind w:left="735" w:hanging="735" w:hangingChars="350"/>
        <w:jc w:val="left"/>
        <w:rPr>
          <w:rFonts w:ascii="仿宋" w:hAnsi="仿宋" w:eastAsia="仿宋" w:cs="仿宋"/>
          <w:color w:val="auto"/>
          <w:szCs w:val="21"/>
          <w:highlight w:val="none"/>
        </w:rPr>
      </w:pPr>
      <w:r>
        <w:rPr>
          <w:rFonts w:hint="eastAsia" w:ascii="仿宋" w:hAnsi="仿宋" w:eastAsia="仿宋" w:cs="仿宋"/>
          <w:color w:val="auto"/>
          <w:szCs w:val="21"/>
          <w:highlight w:val="none"/>
        </w:rPr>
        <w:t>1.5.3  享受中小企业扶持政策获得政府采购合同的，小微企业不得将合同分包给大中型企业，中型企业不得将合同分包给大型企业。</w:t>
      </w:r>
    </w:p>
    <w:p>
      <w:pPr>
        <w:spacing w:line="240" w:lineRule="atLeast"/>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1.6    如</w:t>
      </w:r>
      <w:r>
        <w:rPr>
          <w:rFonts w:hint="eastAsia" w:ascii="仿宋" w:hAnsi="仿宋" w:eastAsia="仿宋" w:cs="仿宋"/>
          <w:color w:val="auto"/>
          <w:szCs w:val="21"/>
          <w:highlight w:val="none"/>
          <w:u w:val="single"/>
        </w:rPr>
        <w:t>投标须知前附表</w:t>
      </w:r>
      <w:r>
        <w:rPr>
          <w:rFonts w:hint="eastAsia" w:ascii="仿宋" w:hAnsi="仿宋" w:eastAsia="仿宋" w:cs="仿宋"/>
          <w:color w:val="auto"/>
          <w:szCs w:val="21"/>
          <w:highlight w:val="none"/>
        </w:rPr>
        <w:t>中允许联合体投标，对联合体规定如下：</w:t>
      </w:r>
    </w:p>
    <w:p>
      <w:pPr>
        <w:spacing w:line="240" w:lineRule="atLeast"/>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1.6.1  两个以上供应商可以组成一个投标联合体，以一个投标人的身份投标。</w:t>
      </w:r>
    </w:p>
    <w:p>
      <w:pPr>
        <w:spacing w:line="240" w:lineRule="atLeast"/>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1.6.2  联合体各方均应符合《中华人民共和国政府采购法》第二十二条规定的条件。</w:t>
      </w:r>
    </w:p>
    <w:p>
      <w:pPr>
        <w:spacing w:line="240" w:lineRule="atLeast"/>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1.6.3  采购人根据采购项目对投标人的特殊要求，联合体中至少应当有一方符合相关规定。</w:t>
      </w:r>
    </w:p>
    <w:p>
      <w:pPr>
        <w:spacing w:line="240" w:lineRule="atLeast"/>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1.6.4  联合体各方应签订共同投标协议，明确约定联合体各方承担的工作和相应的责任，并将共同投标协议连同投标文件一并提交招标采购单位。</w:t>
      </w:r>
    </w:p>
    <w:p>
      <w:pPr>
        <w:autoSpaceDE w:val="0"/>
        <w:autoSpaceDN w:val="0"/>
        <w:adjustRightInd w:val="0"/>
        <w:ind w:left="735" w:hanging="735" w:hangingChars="350"/>
        <w:jc w:val="left"/>
        <w:rPr>
          <w:rFonts w:ascii="仿宋" w:hAnsi="仿宋" w:eastAsia="仿宋" w:cs="仿宋"/>
          <w:color w:val="auto"/>
          <w:szCs w:val="21"/>
          <w:highlight w:val="none"/>
        </w:rPr>
      </w:pPr>
      <w:r>
        <w:rPr>
          <w:rFonts w:hint="eastAsia" w:ascii="仿宋" w:hAnsi="仿宋" w:eastAsia="仿宋" w:cs="仿宋"/>
          <w:color w:val="auto"/>
          <w:szCs w:val="21"/>
          <w:highlight w:val="none"/>
        </w:rPr>
        <w:t>1.6.5  大中型企业、其他自然人、法人或者非法人组织与小型、微型企业组成联合体共同参加投标，共同投标协议中应写明小型、微型企业的协议合同金额占到共同投标协议投标总金额的比例。联合体各方均为中小企业的，联合体视同中小企业。其中，联合体各方均为小微企业的，联合体视同小微企业。</w:t>
      </w:r>
    </w:p>
    <w:p>
      <w:pPr>
        <w:spacing w:line="240" w:lineRule="atLeast"/>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1.6.6  联合体中有同类资质的供应商按照联合体分工承担相同工作的，按照资质等级较低的供应商确定资质等级。</w:t>
      </w:r>
    </w:p>
    <w:p>
      <w:pPr>
        <w:spacing w:line="240" w:lineRule="atLeast"/>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1.6.7  以联合体形式参加政府采购活动的，联合体各方不得再单独参加或者与其他供应商另外组成联合体参加本项目投标，否则相关投标将被认定为</w:t>
      </w:r>
      <w:r>
        <w:rPr>
          <w:rFonts w:hint="eastAsia" w:ascii="仿宋" w:hAnsi="仿宋" w:eastAsia="仿宋" w:cs="仿宋"/>
          <w:b/>
          <w:bCs/>
          <w:color w:val="auto"/>
          <w:szCs w:val="21"/>
          <w:highlight w:val="none"/>
        </w:rPr>
        <w:t>投标无效</w:t>
      </w:r>
      <w:r>
        <w:rPr>
          <w:rFonts w:hint="eastAsia" w:ascii="仿宋" w:hAnsi="仿宋" w:eastAsia="仿宋" w:cs="仿宋"/>
          <w:color w:val="auto"/>
          <w:szCs w:val="21"/>
          <w:highlight w:val="none"/>
        </w:rPr>
        <w:t>。</w:t>
      </w:r>
    </w:p>
    <w:p>
      <w:pPr>
        <w:spacing w:line="240" w:lineRule="atLeast"/>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1.6.8  对联合体投标的其他资格要求见</w:t>
      </w:r>
      <w:r>
        <w:rPr>
          <w:rFonts w:hint="eastAsia" w:ascii="仿宋" w:hAnsi="仿宋" w:eastAsia="仿宋" w:cs="仿宋"/>
          <w:color w:val="auto"/>
          <w:szCs w:val="21"/>
          <w:highlight w:val="none"/>
          <w:u w:val="single"/>
        </w:rPr>
        <w:t>投标须知前附表</w:t>
      </w:r>
      <w:r>
        <w:rPr>
          <w:rFonts w:hint="eastAsia" w:ascii="仿宋" w:hAnsi="仿宋" w:eastAsia="仿宋" w:cs="仿宋"/>
          <w:color w:val="auto"/>
          <w:szCs w:val="21"/>
          <w:highlight w:val="none"/>
        </w:rPr>
        <w:t>。</w:t>
      </w:r>
    </w:p>
    <w:p>
      <w:pPr>
        <w:spacing w:line="240" w:lineRule="atLeast"/>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1.7    单位负责人为同一人或者存在直接控股、管理关系的不同供应商，其投标将被认定为</w:t>
      </w:r>
      <w:r>
        <w:rPr>
          <w:rFonts w:hint="eastAsia" w:ascii="仿宋" w:hAnsi="仿宋" w:eastAsia="仿宋" w:cs="仿宋"/>
          <w:b/>
          <w:bCs/>
          <w:color w:val="auto"/>
          <w:szCs w:val="21"/>
          <w:highlight w:val="none"/>
        </w:rPr>
        <w:t>投标无效</w:t>
      </w:r>
      <w:r>
        <w:rPr>
          <w:rFonts w:hint="eastAsia" w:ascii="仿宋" w:hAnsi="仿宋" w:eastAsia="仿宋" w:cs="仿宋"/>
          <w:color w:val="auto"/>
          <w:szCs w:val="21"/>
          <w:highlight w:val="none"/>
        </w:rPr>
        <w:t>。</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1.8    为本项目提供整体设计、规范编制或者项目管理、监理、检测等服务的供应商，其投标将被认定为</w:t>
      </w:r>
      <w:r>
        <w:rPr>
          <w:rFonts w:hint="eastAsia" w:ascii="仿宋" w:hAnsi="仿宋" w:eastAsia="仿宋" w:cs="仿宋"/>
          <w:b/>
          <w:bCs/>
          <w:color w:val="auto"/>
          <w:szCs w:val="21"/>
          <w:highlight w:val="none"/>
        </w:rPr>
        <w:t>投标无效</w:t>
      </w:r>
      <w:r>
        <w:rPr>
          <w:rFonts w:hint="eastAsia" w:ascii="仿宋" w:hAnsi="仿宋" w:eastAsia="仿宋" w:cs="仿宋"/>
          <w:color w:val="auto"/>
          <w:szCs w:val="21"/>
          <w:highlight w:val="none"/>
        </w:rPr>
        <w:t>。</w:t>
      </w:r>
    </w:p>
    <w:p>
      <w:pPr>
        <w:pStyle w:val="6"/>
        <w:spacing w:before="0" w:after="0" w:line="240" w:lineRule="atLeast"/>
        <w:rPr>
          <w:rFonts w:ascii="仿宋" w:hAnsi="仿宋" w:eastAsia="仿宋" w:cs="仿宋"/>
          <w:color w:val="auto"/>
          <w:sz w:val="21"/>
          <w:szCs w:val="16"/>
          <w:highlight w:val="none"/>
          <w:u w:val="none"/>
        </w:rPr>
      </w:pPr>
      <w:bookmarkStart w:id="9" w:name="_Toc60830236"/>
      <w:r>
        <w:rPr>
          <w:rFonts w:hint="eastAsia" w:ascii="仿宋" w:hAnsi="仿宋" w:eastAsia="仿宋" w:cs="仿宋"/>
          <w:color w:val="auto"/>
          <w:sz w:val="21"/>
          <w:szCs w:val="16"/>
          <w:highlight w:val="none"/>
          <w:u w:val="none"/>
        </w:rPr>
        <w:t>2.  资金来源</w:t>
      </w:r>
      <w:bookmarkEnd w:id="9"/>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2.1    本项目的采购人已获得足以支付本次招标后所签订的合同项下的资金（包括财政性资金和本项目采购中无法与财政性资金分割的非财政性资金）。</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2.2    项目预算金额和最高限价（如有）见</w:t>
      </w:r>
      <w:r>
        <w:rPr>
          <w:rFonts w:hint="eastAsia" w:ascii="仿宋" w:hAnsi="仿宋" w:eastAsia="仿宋" w:cs="仿宋"/>
          <w:color w:val="auto"/>
          <w:szCs w:val="21"/>
          <w:highlight w:val="none"/>
          <w:u w:val="single"/>
        </w:rPr>
        <w:t>投标须知前附表</w:t>
      </w:r>
      <w:r>
        <w:rPr>
          <w:rFonts w:hint="eastAsia" w:ascii="仿宋" w:hAnsi="仿宋" w:eastAsia="仿宋" w:cs="仿宋"/>
          <w:color w:val="auto"/>
          <w:szCs w:val="21"/>
          <w:highlight w:val="none"/>
        </w:rPr>
        <w:t>。</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2.3    投标人报价超过招标文件规定的预算金额或者最高限价的，其投标将被认定为</w:t>
      </w:r>
      <w:r>
        <w:rPr>
          <w:rFonts w:hint="eastAsia" w:ascii="仿宋" w:hAnsi="仿宋" w:eastAsia="仿宋" w:cs="仿宋"/>
          <w:b/>
          <w:bCs/>
          <w:color w:val="auto"/>
          <w:szCs w:val="21"/>
          <w:highlight w:val="none"/>
        </w:rPr>
        <w:t>投标无效</w:t>
      </w:r>
      <w:r>
        <w:rPr>
          <w:rFonts w:hint="eastAsia" w:ascii="仿宋" w:hAnsi="仿宋" w:eastAsia="仿宋" w:cs="仿宋"/>
          <w:color w:val="auto"/>
          <w:szCs w:val="21"/>
          <w:highlight w:val="none"/>
        </w:rPr>
        <w:t>。</w:t>
      </w:r>
    </w:p>
    <w:p>
      <w:pPr>
        <w:pStyle w:val="6"/>
        <w:spacing w:before="0" w:after="0"/>
        <w:rPr>
          <w:rFonts w:ascii="仿宋" w:hAnsi="仿宋" w:eastAsia="仿宋" w:cs="仿宋"/>
          <w:color w:val="auto"/>
          <w:sz w:val="21"/>
          <w:szCs w:val="21"/>
          <w:highlight w:val="none"/>
          <w:u w:val="none"/>
        </w:rPr>
      </w:pPr>
      <w:bookmarkStart w:id="10" w:name="_Toc520356145"/>
      <w:bookmarkStart w:id="11" w:name="_Toc60830237"/>
      <w:r>
        <w:rPr>
          <w:rFonts w:hint="eastAsia" w:ascii="仿宋" w:hAnsi="仿宋" w:eastAsia="仿宋" w:cs="仿宋"/>
          <w:color w:val="auto"/>
          <w:sz w:val="21"/>
          <w:szCs w:val="21"/>
          <w:highlight w:val="none"/>
          <w:u w:val="none"/>
        </w:rPr>
        <w:t>3.  投标费用</w:t>
      </w:r>
      <w:bookmarkEnd w:id="10"/>
      <w:bookmarkEnd w:id="11"/>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不论投标的结果如何，投标人应承担所有与投标有关的费用。</w:t>
      </w:r>
    </w:p>
    <w:p>
      <w:pPr>
        <w:pStyle w:val="6"/>
        <w:spacing w:before="0" w:after="0"/>
        <w:rPr>
          <w:rFonts w:ascii="仿宋" w:hAnsi="仿宋" w:eastAsia="仿宋" w:cs="仿宋"/>
          <w:color w:val="auto"/>
          <w:sz w:val="21"/>
          <w:szCs w:val="21"/>
          <w:highlight w:val="none"/>
          <w:u w:val="none"/>
        </w:rPr>
      </w:pPr>
      <w:bookmarkStart w:id="12" w:name="_Toc60830238"/>
      <w:r>
        <w:rPr>
          <w:rFonts w:hint="eastAsia" w:ascii="仿宋" w:hAnsi="仿宋" w:eastAsia="仿宋" w:cs="仿宋"/>
          <w:color w:val="auto"/>
          <w:sz w:val="21"/>
          <w:szCs w:val="21"/>
          <w:highlight w:val="none"/>
          <w:u w:val="none"/>
        </w:rPr>
        <w:t>4.  适用法律</w:t>
      </w:r>
      <w:bookmarkEnd w:id="12"/>
    </w:p>
    <w:p>
      <w:pPr>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本项目采购人、采购代理机构、投标人、评标委员会的相关行为均受《中华人民共和国政府采购法》、《中华人民共和国政府采购法实施条例》及本项目本级和上级财政部门政府采购有关规定的约束和保护。</w:t>
      </w:r>
    </w:p>
    <w:p>
      <w:pPr>
        <w:pStyle w:val="4"/>
        <w:spacing w:before="156" w:beforeLines="50" w:after="156" w:afterLines="50" w:line="360" w:lineRule="auto"/>
        <w:rPr>
          <w:rFonts w:ascii="仿宋" w:hAnsi="仿宋" w:eastAsia="仿宋" w:cs="仿宋"/>
          <w:color w:val="auto"/>
          <w:sz w:val="28"/>
          <w:highlight w:val="none"/>
        </w:rPr>
      </w:pPr>
      <w:bookmarkStart w:id="13" w:name="_Toc17561"/>
      <w:bookmarkStart w:id="14" w:name="_Toc520356146"/>
      <w:bookmarkStart w:id="15" w:name="_Toc216582806"/>
      <w:bookmarkStart w:id="16" w:name="_Toc60830239"/>
      <w:r>
        <w:rPr>
          <w:rFonts w:hint="eastAsia" w:ascii="仿宋" w:hAnsi="仿宋" w:eastAsia="仿宋" w:cs="仿宋"/>
          <w:color w:val="auto"/>
          <w:sz w:val="28"/>
          <w:highlight w:val="none"/>
        </w:rPr>
        <w:t>二   招标文件</w:t>
      </w:r>
      <w:bookmarkEnd w:id="13"/>
      <w:bookmarkEnd w:id="14"/>
      <w:bookmarkEnd w:id="15"/>
      <w:bookmarkEnd w:id="16"/>
    </w:p>
    <w:p>
      <w:pPr>
        <w:pStyle w:val="6"/>
        <w:spacing w:before="0" w:after="0"/>
        <w:rPr>
          <w:rFonts w:ascii="仿宋" w:hAnsi="仿宋" w:eastAsia="仿宋" w:cs="仿宋"/>
          <w:color w:val="auto"/>
          <w:sz w:val="21"/>
          <w:szCs w:val="21"/>
          <w:highlight w:val="none"/>
          <w:u w:val="none"/>
        </w:rPr>
      </w:pPr>
      <w:bookmarkStart w:id="17" w:name="_Toc60830240"/>
      <w:bookmarkStart w:id="18" w:name="_Toc520356147"/>
      <w:r>
        <w:rPr>
          <w:rFonts w:hint="eastAsia" w:ascii="仿宋" w:hAnsi="仿宋" w:eastAsia="仿宋" w:cs="仿宋"/>
          <w:color w:val="auto"/>
          <w:sz w:val="21"/>
          <w:szCs w:val="21"/>
          <w:highlight w:val="none"/>
          <w:u w:val="none"/>
        </w:rPr>
        <w:t>5.  招标文件构成</w:t>
      </w:r>
      <w:bookmarkEnd w:id="17"/>
      <w:bookmarkEnd w:id="18"/>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5.1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要求提供货物的内容及详细技术需求、投标须知和合同条件等在招标文件中均有说明。</w:t>
      </w:r>
    </w:p>
    <w:p>
      <w:pPr>
        <w:ind w:left="1470" w:leftChars="350"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招标文件共九章，内容如下：</w:t>
      </w:r>
    </w:p>
    <w:p>
      <w:pPr>
        <w:ind w:left="1470" w:leftChars="350"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第一章  投标人须知</w:t>
      </w:r>
    </w:p>
    <w:p>
      <w:pPr>
        <w:ind w:left="1470" w:leftChars="350"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第二章  合同通用条款</w:t>
      </w:r>
    </w:p>
    <w:p>
      <w:pPr>
        <w:ind w:left="1470" w:leftChars="350"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第三章  投标文件格式</w:t>
      </w:r>
    </w:p>
    <w:p>
      <w:pPr>
        <w:ind w:left="1470" w:leftChars="350"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第四章  投标邀请书</w:t>
      </w:r>
    </w:p>
    <w:p>
      <w:pPr>
        <w:ind w:left="1470" w:leftChars="350"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第五章  投标须知前附表</w:t>
      </w:r>
    </w:p>
    <w:p>
      <w:pPr>
        <w:ind w:left="1470" w:leftChars="350"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第六章  政府采购合同格式</w:t>
      </w:r>
    </w:p>
    <w:p>
      <w:pPr>
        <w:ind w:left="1470" w:leftChars="350"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第七章　合同专用条款</w:t>
      </w:r>
    </w:p>
    <w:p>
      <w:pPr>
        <w:ind w:left="1470" w:leftChars="350"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第八章　采购需求</w:t>
      </w:r>
    </w:p>
    <w:p>
      <w:pPr>
        <w:ind w:left="1470" w:leftChars="350"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第九章  评标方法和标准</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5.2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招标文件中有不一致的，有澄清的部分以最终的澄清更正内容为准；未澄清的，以投标须知前附表为准；投标须知前附表不涉及的内容，以编排在后的最后描述为准。</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5.3    投标人应认真阅读招标文件所有的事项、格式、条款和技术规范等。如投标文件没有对招标文件的实质性要求做出响应，其投标将被认定为</w:t>
      </w:r>
      <w:r>
        <w:rPr>
          <w:rFonts w:hint="eastAsia" w:ascii="仿宋" w:hAnsi="仿宋" w:eastAsia="仿宋" w:cs="仿宋"/>
          <w:b/>
          <w:bCs/>
          <w:color w:val="auto"/>
          <w:szCs w:val="21"/>
          <w:highlight w:val="none"/>
        </w:rPr>
        <w:t>投标无效</w:t>
      </w:r>
      <w:r>
        <w:rPr>
          <w:rFonts w:hint="eastAsia" w:ascii="仿宋" w:hAnsi="仿宋" w:eastAsia="仿宋" w:cs="仿宋"/>
          <w:color w:val="auto"/>
          <w:szCs w:val="21"/>
          <w:highlight w:val="none"/>
        </w:rPr>
        <w:t>。</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5.4    现场考察或者答疑会及相关事项见</w:t>
      </w:r>
      <w:r>
        <w:rPr>
          <w:rFonts w:hint="eastAsia" w:ascii="仿宋" w:hAnsi="仿宋" w:eastAsia="仿宋" w:cs="仿宋"/>
          <w:color w:val="auto"/>
          <w:szCs w:val="21"/>
          <w:highlight w:val="none"/>
          <w:u w:val="single"/>
        </w:rPr>
        <w:t>投标须知前附表</w:t>
      </w:r>
      <w:r>
        <w:rPr>
          <w:rFonts w:hint="eastAsia" w:ascii="仿宋" w:hAnsi="仿宋" w:eastAsia="仿宋" w:cs="仿宋"/>
          <w:color w:val="auto"/>
          <w:szCs w:val="21"/>
          <w:highlight w:val="none"/>
        </w:rPr>
        <w:t>。</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5.5    原则上采购人、采购代理机构不要求投标人提供样品。除仅凭书面方式不能准确描述采购需求，或者需要对样品进行主观判断以确认是否满足采购需求等特殊情况除外。</w:t>
      </w:r>
    </w:p>
    <w:p>
      <w:pPr>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如需提供样品，对样品相关要求见</w:t>
      </w:r>
      <w:r>
        <w:rPr>
          <w:rFonts w:hint="eastAsia" w:ascii="仿宋" w:hAnsi="仿宋" w:eastAsia="仿宋" w:cs="仿宋"/>
          <w:color w:val="auto"/>
          <w:szCs w:val="21"/>
          <w:highlight w:val="none"/>
          <w:u w:val="single"/>
        </w:rPr>
        <w:t>投标须知前附表</w:t>
      </w:r>
      <w:r>
        <w:rPr>
          <w:rFonts w:hint="eastAsia" w:ascii="仿宋" w:hAnsi="仿宋" w:eastAsia="仿宋" w:cs="仿宋"/>
          <w:color w:val="auto"/>
          <w:szCs w:val="21"/>
          <w:highlight w:val="none"/>
        </w:rPr>
        <w:t>，对样品的评审方法及评审标准见招标文件第九章。</w:t>
      </w:r>
    </w:p>
    <w:p>
      <w:pPr>
        <w:pStyle w:val="6"/>
        <w:spacing w:before="0" w:after="0"/>
        <w:rPr>
          <w:rFonts w:ascii="仿宋" w:hAnsi="仿宋" w:eastAsia="仿宋" w:cs="仿宋"/>
          <w:color w:val="auto"/>
          <w:sz w:val="21"/>
          <w:szCs w:val="21"/>
          <w:highlight w:val="none"/>
          <w:u w:val="none"/>
        </w:rPr>
      </w:pPr>
      <w:bookmarkStart w:id="19" w:name="_Toc515904805"/>
      <w:bookmarkStart w:id="20" w:name="_Toc2582270"/>
      <w:bookmarkStart w:id="21" w:name="_Toc9232"/>
      <w:bookmarkStart w:id="22" w:name="_Toc60830241"/>
      <w:bookmarkStart w:id="23" w:name="_Toc26044"/>
      <w:bookmarkStart w:id="24" w:name="_Toc532473456"/>
      <w:bookmarkStart w:id="25" w:name="_Toc520356148"/>
      <w:r>
        <w:rPr>
          <w:rFonts w:hint="eastAsia" w:ascii="仿宋" w:hAnsi="仿宋" w:eastAsia="仿宋" w:cs="仿宋"/>
          <w:color w:val="auto"/>
          <w:sz w:val="21"/>
          <w:szCs w:val="21"/>
          <w:highlight w:val="none"/>
          <w:u w:val="none"/>
        </w:rPr>
        <w:t>6.  招标文件的澄清</w:t>
      </w:r>
      <w:bookmarkEnd w:id="19"/>
      <w:r>
        <w:rPr>
          <w:rFonts w:hint="eastAsia" w:ascii="仿宋" w:hAnsi="仿宋" w:eastAsia="仿宋" w:cs="仿宋"/>
          <w:color w:val="auto"/>
          <w:sz w:val="21"/>
          <w:szCs w:val="21"/>
          <w:highlight w:val="none"/>
          <w:u w:val="none"/>
        </w:rPr>
        <w:t>与修改</w:t>
      </w:r>
      <w:bookmarkEnd w:id="20"/>
      <w:bookmarkEnd w:id="21"/>
      <w:bookmarkEnd w:id="22"/>
      <w:bookmarkEnd w:id="23"/>
      <w:bookmarkEnd w:id="24"/>
    </w:p>
    <w:p>
      <w:pPr>
        <w:pStyle w:val="5"/>
        <w:ind w:left="735" w:hanging="735" w:hangingChars="350"/>
        <w:rPr>
          <w:rFonts w:ascii="仿宋" w:hAnsi="仿宋" w:eastAsia="仿宋" w:cs="仿宋"/>
          <w:color w:val="auto"/>
          <w:sz w:val="21"/>
          <w:szCs w:val="21"/>
          <w:highlight w:val="none"/>
        </w:rPr>
      </w:pPr>
      <w:bookmarkStart w:id="26" w:name="_Toc515904806"/>
      <w:r>
        <w:rPr>
          <w:rFonts w:hint="eastAsia" w:ascii="仿宋" w:hAnsi="仿宋" w:eastAsia="仿宋" w:cs="仿宋"/>
          <w:color w:val="auto"/>
          <w:sz w:val="21"/>
          <w:szCs w:val="21"/>
          <w:highlight w:val="none"/>
        </w:rPr>
        <w:t>6.1</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采购人可主动地或在解答投标人提出的澄清问题时对招标文件进行澄清或修改。采购代理机构将以发布澄清（更正）公告的方式，澄清或修改招标文件，澄清或修改内容作为招标文件的组成部分。</w:t>
      </w:r>
    </w:p>
    <w:p>
      <w:pPr>
        <w:pStyle w:val="5"/>
        <w:ind w:left="735" w:hanging="735" w:hangingChars="35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6.2</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澄清或者修改的内容可能影响投标文件编制的，采购代理机构将以书面形式通知所有获取招标文件的潜在投标人，并对其具有约束力。投标人在收到上述通知后，应及时向采购代理机构确认。投标人未回复的，视同已知晓澄清或者修改的内容。</w:t>
      </w:r>
    </w:p>
    <w:p>
      <w:pPr>
        <w:pStyle w:val="5"/>
        <w:ind w:left="735" w:hanging="735" w:hangingChars="35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       因潜在投标人原因或通讯线路故障导致通知逾期送达或无法送达，采购代理机构不因此承担任何责任，有关的招标采购活动可以继续有效进行。</w:t>
      </w:r>
    </w:p>
    <w:p>
      <w:pPr>
        <w:pStyle w:val="6"/>
        <w:spacing w:before="0" w:after="0"/>
        <w:rPr>
          <w:rFonts w:ascii="仿宋" w:hAnsi="仿宋" w:eastAsia="仿宋" w:cs="仿宋"/>
          <w:color w:val="auto"/>
          <w:sz w:val="21"/>
          <w:szCs w:val="21"/>
          <w:highlight w:val="none"/>
          <w:u w:val="none"/>
        </w:rPr>
      </w:pPr>
      <w:bookmarkStart w:id="27" w:name="_Toc60830260"/>
      <w:bookmarkStart w:id="28" w:name="_Toc2582271"/>
      <w:bookmarkStart w:id="29" w:name="_Toc14569"/>
      <w:bookmarkStart w:id="30" w:name="_Toc532473457"/>
      <w:bookmarkStart w:id="31" w:name="_Toc25635"/>
      <w:bookmarkStart w:id="32" w:name="_Toc60830242"/>
      <w:r>
        <w:rPr>
          <w:rFonts w:hint="eastAsia" w:ascii="仿宋" w:hAnsi="仿宋" w:eastAsia="仿宋" w:cs="仿宋"/>
          <w:color w:val="auto"/>
          <w:sz w:val="21"/>
          <w:szCs w:val="21"/>
          <w:highlight w:val="none"/>
          <w:u w:val="none"/>
        </w:rPr>
        <w:t>21. 投标偏离</w:t>
      </w:r>
      <w:bookmarkEnd w:id="27"/>
    </w:p>
    <w:p>
      <w:pPr>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对于投标文件中不构成实质性偏差的不正规、不一致或不规则，评标委员会可以接受，但这种接受不能损坏或影响任何投标人的相对排序。</w:t>
      </w:r>
    </w:p>
    <w:p>
      <w:pPr>
        <w:pStyle w:val="6"/>
        <w:tabs>
          <w:tab w:val="left" w:pos="900"/>
        </w:tabs>
        <w:spacing w:before="0" w:after="0"/>
        <w:rPr>
          <w:rFonts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7</w:t>
      </w:r>
      <w:bookmarkEnd w:id="26"/>
      <w:r>
        <w:rPr>
          <w:rFonts w:hint="eastAsia" w:ascii="仿宋" w:hAnsi="仿宋" w:eastAsia="仿宋" w:cs="仿宋"/>
          <w:color w:val="auto"/>
          <w:sz w:val="21"/>
          <w:szCs w:val="21"/>
          <w:highlight w:val="none"/>
          <w:u w:val="none"/>
        </w:rPr>
        <w:t>.  投标截止时间的顺延</w:t>
      </w:r>
      <w:bookmarkEnd w:id="28"/>
      <w:bookmarkEnd w:id="29"/>
      <w:bookmarkEnd w:id="30"/>
      <w:bookmarkEnd w:id="31"/>
      <w:bookmarkEnd w:id="32"/>
    </w:p>
    <w:p>
      <w:pPr>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为使投标人有足够的时间对招标文件的澄清或者修改部分进行研究而准备投标或因其他原因，采购人将依法决定是否顺延投标截止时间。</w:t>
      </w:r>
      <w:bookmarkEnd w:id="25"/>
    </w:p>
    <w:p>
      <w:pPr>
        <w:pStyle w:val="4"/>
        <w:spacing w:before="156" w:beforeLines="50" w:after="156" w:afterLines="50" w:line="360" w:lineRule="auto"/>
        <w:rPr>
          <w:rFonts w:ascii="仿宋" w:hAnsi="仿宋" w:eastAsia="仿宋" w:cs="仿宋"/>
          <w:color w:val="auto"/>
          <w:sz w:val="28"/>
          <w:highlight w:val="none"/>
        </w:rPr>
      </w:pPr>
      <w:bookmarkStart w:id="33" w:name="_Toc516367020"/>
      <w:bookmarkStart w:id="34" w:name="_Toc60830243"/>
      <w:bookmarkStart w:id="35" w:name="_Toc11263"/>
      <w:bookmarkStart w:id="36" w:name="_Toc216582807"/>
      <w:bookmarkStart w:id="37" w:name="_Toc520356150"/>
      <w:r>
        <w:rPr>
          <w:rFonts w:hint="eastAsia" w:ascii="仿宋" w:hAnsi="仿宋" w:eastAsia="仿宋" w:cs="仿宋"/>
          <w:color w:val="auto"/>
          <w:sz w:val="28"/>
          <w:highlight w:val="none"/>
        </w:rPr>
        <w:t>三   投标文件</w:t>
      </w:r>
      <w:bookmarkEnd w:id="33"/>
      <w:r>
        <w:rPr>
          <w:rFonts w:hint="eastAsia" w:ascii="仿宋" w:hAnsi="仿宋" w:eastAsia="仿宋" w:cs="仿宋"/>
          <w:color w:val="auto"/>
          <w:sz w:val="28"/>
          <w:highlight w:val="none"/>
        </w:rPr>
        <w:t>的编制</w:t>
      </w:r>
      <w:bookmarkEnd w:id="34"/>
      <w:bookmarkEnd w:id="35"/>
      <w:bookmarkEnd w:id="36"/>
      <w:bookmarkEnd w:id="37"/>
    </w:p>
    <w:p>
      <w:pPr>
        <w:pStyle w:val="6"/>
        <w:tabs>
          <w:tab w:val="left" w:pos="900"/>
        </w:tabs>
        <w:spacing w:before="0" w:after="0"/>
        <w:ind w:left="738" w:hanging="735" w:hangingChars="350"/>
        <w:rPr>
          <w:rFonts w:ascii="仿宋" w:hAnsi="仿宋" w:eastAsia="仿宋" w:cs="仿宋"/>
          <w:color w:val="auto"/>
          <w:sz w:val="21"/>
          <w:szCs w:val="21"/>
          <w:highlight w:val="none"/>
          <w:u w:val="none"/>
        </w:rPr>
      </w:pPr>
      <w:bookmarkStart w:id="38" w:name="_Toc3553"/>
      <w:bookmarkStart w:id="39" w:name="_Toc7786"/>
      <w:bookmarkStart w:id="40" w:name="_Toc2582273"/>
      <w:bookmarkStart w:id="41" w:name="_Toc532473459"/>
      <w:bookmarkStart w:id="42" w:name="_Toc60830244"/>
      <w:bookmarkStart w:id="43" w:name="_Toc515647767"/>
      <w:bookmarkStart w:id="44" w:name="_Toc516367021"/>
      <w:bookmarkStart w:id="45" w:name="_Toc520356151"/>
      <w:r>
        <w:rPr>
          <w:rFonts w:hint="eastAsia" w:ascii="仿宋" w:hAnsi="仿宋" w:eastAsia="仿宋" w:cs="仿宋"/>
          <w:color w:val="auto"/>
          <w:sz w:val="21"/>
          <w:szCs w:val="21"/>
          <w:highlight w:val="none"/>
          <w:u w:val="none"/>
        </w:rPr>
        <w:t>8.  投标范围及投标文件中标准和计量单位的使用</w:t>
      </w:r>
      <w:bookmarkEnd w:id="38"/>
      <w:bookmarkEnd w:id="39"/>
      <w:bookmarkEnd w:id="40"/>
      <w:bookmarkEnd w:id="41"/>
      <w:bookmarkEnd w:id="42"/>
      <w:bookmarkEnd w:id="43"/>
    </w:p>
    <w:p>
      <w:pPr>
        <w:pStyle w:val="5"/>
        <w:ind w:left="735" w:hanging="735" w:hangingChars="35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8.1</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投标人可对招标文件中一个或几个分包货物进行投标，除非在</w:t>
      </w:r>
      <w:r>
        <w:rPr>
          <w:rFonts w:hint="eastAsia" w:ascii="仿宋" w:hAnsi="仿宋" w:eastAsia="仿宋" w:cs="仿宋"/>
          <w:color w:val="auto"/>
          <w:sz w:val="21"/>
          <w:szCs w:val="21"/>
          <w:highlight w:val="none"/>
          <w:u w:val="single"/>
        </w:rPr>
        <w:t>投标须知前附表</w:t>
      </w:r>
      <w:r>
        <w:rPr>
          <w:rFonts w:hint="eastAsia" w:ascii="仿宋" w:hAnsi="仿宋" w:eastAsia="仿宋" w:cs="仿宋"/>
          <w:color w:val="auto"/>
          <w:sz w:val="21"/>
          <w:szCs w:val="21"/>
          <w:highlight w:val="none"/>
        </w:rPr>
        <w:t>中另有规定。</w:t>
      </w:r>
    </w:p>
    <w:p>
      <w:pPr>
        <w:pStyle w:val="5"/>
        <w:ind w:left="735" w:hanging="735" w:hangingChars="35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8.2    投标人应当对所投分包招标文件中“采购需求”所列的所有内容进行投标，如仅响应分包中的部分内容，其该包投标将被认定为</w:t>
      </w:r>
      <w:r>
        <w:rPr>
          <w:rFonts w:hint="eastAsia" w:ascii="仿宋" w:hAnsi="仿宋" w:eastAsia="仿宋" w:cs="仿宋"/>
          <w:b/>
          <w:bCs/>
          <w:color w:val="auto"/>
          <w:sz w:val="21"/>
          <w:szCs w:val="21"/>
          <w:highlight w:val="none"/>
        </w:rPr>
        <w:t>投标无效</w:t>
      </w:r>
      <w:r>
        <w:rPr>
          <w:rFonts w:hint="eastAsia" w:ascii="仿宋" w:hAnsi="仿宋" w:eastAsia="仿宋" w:cs="仿宋"/>
          <w:color w:val="auto"/>
          <w:sz w:val="21"/>
          <w:szCs w:val="21"/>
          <w:highlight w:val="none"/>
        </w:rPr>
        <w:t>。</w:t>
      </w:r>
    </w:p>
    <w:p>
      <w:pPr>
        <w:pStyle w:val="5"/>
        <w:ind w:left="735" w:hanging="735" w:hangingChars="35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8.3    无论招标文件中是否要求，投标人所投货物及伴随的服务和工程均应符合国家强制性标准。</w:t>
      </w:r>
    </w:p>
    <w:p>
      <w:pPr>
        <w:pStyle w:val="5"/>
        <w:ind w:left="735" w:hanging="735" w:hangingChars="35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8.4    除招标文件中有特殊要求外，投标文件中所使用的计量单位，应采用中华人民共和国法定计量单位。</w:t>
      </w:r>
    </w:p>
    <w:bookmarkEnd w:id="44"/>
    <w:bookmarkEnd w:id="45"/>
    <w:p>
      <w:pPr>
        <w:pStyle w:val="6"/>
        <w:tabs>
          <w:tab w:val="left" w:pos="900"/>
        </w:tabs>
        <w:spacing w:before="0" w:after="0"/>
        <w:ind w:left="738" w:hanging="735" w:hangingChars="350"/>
        <w:rPr>
          <w:rFonts w:ascii="仿宋" w:hAnsi="仿宋" w:eastAsia="仿宋" w:cs="仿宋"/>
          <w:color w:val="auto"/>
          <w:sz w:val="21"/>
          <w:szCs w:val="21"/>
          <w:highlight w:val="none"/>
          <w:u w:val="none"/>
        </w:rPr>
      </w:pPr>
      <w:bookmarkStart w:id="46" w:name="_Toc532473460"/>
      <w:bookmarkStart w:id="47" w:name="_Toc10364"/>
      <w:bookmarkStart w:id="48" w:name="_Toc60830245"/>
      <w:bookmarkStart w:id="49" w:name="_Toc2582274"/>
      <w:bookmarkStart w:id="50" w:name="_Toc515647768"/>
      <w:bookmarkStart w:id="51" w:name="_Toc28307"/>
      <w:bookmarkStart w:id="52" w:name="_Ref467306676"/>
      <w:bookmarkStart w:id="53" w:name="_Toc516367022"/>
      <w:bookmarkStart w:id="54" w:name="_Ref467306195"/>
      <w:bookmarkStart w:id="55" w:name="_Toc520356152"/>
      <w:r>
        <w:rPr>
          <w:rFonts w:hint="eastAsia" w:ascii="仿宋" w:hAnsi="仿宋" w:eastAsia="仿宋" w:cs="仿宋"/>
          <w:color w:val="auto"/>
          <w:sz w:val="21"/>
          <w:szCs w:val="21"/>
          <w:highlight w:val="none"/>
          <w:u w:val="none"/>
        </w:rPr>
        <w:t>9.  投标文件组成</w:t>
      </w:r>
      <w:bookmarkEnd w:id="46"/>
      <w:bookmarkEnd w:id="47"/>
      <w:bookmarkEnd w:id="48"/>
      <w:bookmarkEnd w:id="49"/>
      <w:bookmarkEnd w:id="50"/>
      <w:bookmarkEnd w:id="51"/>
    </w:p>
    <w:p>
      <w:pPr>
        <w:pStyle w:val="5"/>
        <w:ind w:left="735" w:hanging="735" w:hangingChars="35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9.1    投标文件由“第一部分开标一览表及资格证明文件”和“第二部分商务及技术文件”组成。投标人应完整地按照招标文件提供的投标文件格式及要求编写投标文件。投标文件中资格审查和符合性审查涉及的事项不满足招标文件要求的，其投标将被认定为</w:t>
      </w:r>
      <w:r>
        <w:rPr>
          <w:rFonts w:hint="eastAsia" w:ascii="仿宋" w:hAnsi="仿宋" w:eastAsia="仿宋" w:cs="仿宋"/>
          <w:b/>
          <w:bCs/>
          <w:color w:val="auto"/>
          <w:sz w:val="21"/>
          <w:szCs w:val="21"/>
          <w:highlight w:val="none"/>
        </w:rPr>
        <w:t>投标无效</w:t>
      </w:r>
      <w:r>
        <w:rPr>
          <w:rFonts w:hint="eastAsia" w:ascii="仿宋" w:hAnsi="仿宋" w:eastAsia="仿宋" w:cs="仿宋"/>
          <w:color w:val="auto"/>
          <w:sz w:val="21"/>
          <w:szCs w:val="21"/>
          <w:highlight w:val="none"/>
        </w:rPr>
        <w:t>。</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9.2    上述文件应按照招标文件的规定签署</w:t>
      </w:r>
      <w:bookmarkStart w:id="56" w:name="_Hlk1734277"/>
      <w:r>
        <w:rPr>
          <w:rFonts w:hint="eastAsia" w:ascii="仿宋" w:hAnsi="仿宋" w:eastAsia="仿宋" w:cs="仿宋"/>
          <w:color w:val="auto"/>
          <w:szCs w:val="21"/>
          <w:highlight w:val="none"/>
        </w:rPr>
        <w:t>和盖公章或经公章授权的其他单位章（以下统称公章）</w:t>
      </w:r>
      <w:bookmarkEnd w:id="56"/>
      <w:r>
        <w:rPr>
          <w:rFonts w:hint="eastAsia" w:ascii="仿宋" w:hAnsi="仿宋" w:eastAsia="仿宋" w:cs="仿宋"/>
          <w:color w:val="auto"/>
          <w:szCs w:val="21"/>
          <w:highlight w:val="none"/>
        </w:rPr>
        <w:t>。采用公章授权方式的，应当在投标文件第一部分附公章授权书（格式自定）。</w:t>
      </w:r>
    </w:p>
    <w:bookmarkEnd w:id="52"/>
    <w:bookmarkEnd w:id="53"/>
    <w:bookmarkEnd w:id="54"/>
    <w:bookmarkEnd w:id="55"/>
    <w:p>
      <w:pPr>
        <w:pStyle w:val="6"/>
        <w:tabs>
          <w:tab w:val="left" w:pos="900"/>
        </w:tabs>
        <w:spacing w:before="0" w:after="0"/>
        <w:ind w:left="738" w:hanging="735" w:hangingChars="350"/>
        <w:rPr>
          <w:rFonts w:ascii="仿宋" w:hAnsi="仿宋" w:eastAsia="仿宋" w:cs="仿宋"/>
          <w:color w:val="auto"/>
          <w:sz w:val="21"/>
          <w:szCs w:val="21"/>
          <w:highlight w:val="none"/>
          <w:u w:val="none"/>
        </w:rPr>
      </w:pPr>
      <w:bookmarkStart w:id="57" w:name="_Toc2582275"/>
      <w:bookmarkStart w:id="58" w:name="_Toc60830246"/>
      <w:bookmarkStart w:id="59" w:name="_Toc515647769"/>
      <w:bookmarkStart w:id="60" w:name="_Toc10379"/>
      <w:bookmarkStart w:id="61" w:name="_Toc4601"/>
      <w:bookmarkStart w:id="62" w:name="_Toc532473461"/>
      <w:bookmarkStart w:id="63" w:name="_Toc520356153"/>
      <w:bookmarkStart w:id="64" w:name="_Toc516367023"/>
      <w:r>
        <w:rPr>
          <w:rFonts w:hint="eastAsia" w:ascii="仿宋" w:hAnsi="仿宋" w:eastAsia="仿宋" w:cs="仿宋"/>
          <w:color w:val="auto"/>
          <w:sz w:val="21"/>
          <w:szCs w:val="21"/>
          <w:highlight w:val="none"/>
          <w:u w:val="none"/>
        </w:rPr>
        <w:t>10. 证明投标标的的合格性和符合招标文件规定的技术文件</w:t>
      </w:r>
      <w:bookmarkEnd w:id="57"/>
      <w:bookmarkEnd w:id="58"/>
      <w:bookmarkEnd w:id="59"/>
      <w:bookmarkEnd w:id="60"/>
      <w:bookmarkEnd w:id="61"/>
      <w:bookmarkEnd w:id="62"/>
    </w:p>
    <w:p>
      <w:pPr>
        <w:pStyle w:val="5"/>
        <w:ind w:left="735" w:hanging="735" w:hangingChars="35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10.1</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投标人应提交证明文件，证明其投标标的符合招标文件规定。该证明文件是投标文件的技术文件。</w:t>
      </w:r>
    </w:p>
    <w:p>
      <w:pPr>
        <w:pStyle w:val="5"/>
        <w:ind w:left="735" w:hanging="735" w:hangingChars="35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10.2</w:t>
      </w:r>
      <w:r>
        <w:rPr>
          <w:rFonts w:hint="eastAsia" w:ascii="仿宋" w:hAnsi="仿宋" w:eastAsia="仿宋" w:cs="仿宋"/>
          <w:color w:val="auto"/>
          <w:sz w:val="21"/>
          <w:szCs w:val="21"/>
          <w:highlight w:val="none"/>
        </w:rPr>
        <w:tab/>
      </w:r>
      <w:r>
        <w:rPr>
          <w:rFonts w:hint="eastAsia" w:ascii="仿宋" w:hAnsi="仿宋" w:eastAsia="仿宋" w:cs="仿宋"/>
          <w:color w:val="auto"/>
          <w:sz w:val="21"/>
          <w:szCs w:val="21"/>
          <w:highlight w:val="none"/>
        </w:rPr>
        <w:t>上款所述的证明文件，可以是文字资料、图纸和数据，包括：</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10.2.1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货物主要技术指标和性能的详细说明及实现的功能或者目标；</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10.2.2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货物从买方开始使用至招标文件规定的保质期内正常、连续地使用所必须的备件和专用工具清单，包括备件和专用工具的货源及现行价格；</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10.2.3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对照招标文件技术规格，逐条说明所提供货物及伴随的工程和服务已对招标文件的技术规格做出了实质性的响应，或申明与技术规格条文的偏差和例外。</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10.3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投标人应注意采购人在技术规格中指出的工艺、材料和设备的参照品牌型号仅起说明作用，并没有任何倾向性或限制性。采购人、采购代理机构承诺不以上述参照品牌型号作为评标时判定其投标是否有效的标准。</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10.4   本条所指证明文件不包括对招标文件相关部分的文字、图标的复制。</w:t>
      </w:r>
    </w:p>
    <w:bookmarkEnd w:id="63"/>
    <w:bookmarkEnd w:id="64"/>
    <w:p>
      <w:pPr>
        <w:pStyle w:val="6"/>
        <w:spacing w:before="0" w:after="0"/>
        <w:ind w:left="738" w:hanging="735" w:hangingChars="350"/>
        <w:rPr>
          <w:rFonts w:ascii="仿宋" w:hAnsi="仿宋" w:eastAsia="仿宋" w:cs="仿宋"/>
          <w:color w:val="auto"/>
          <w:sz w:val="21"/>
          <w:szCs w:val="21"/>
          <w:highlight w:val="none"/>
          <w:u w:val="none"/>
        </w:rPr>
      </w:pPr>
      <w:bookmarkStart w:id="65" w:name="_Toc520356155"/>
      <w:bookmarkStart w:id="66" w:name="_Toc60830247"/>
      <w:r>
        <w:rPr>
          <w:rFonts w:hint="eastAsia" w:ascii="仿宋" w:hAnsi="仿宋" w:eastAsia="仿宋" w:cs="仿宋"/>
          <w:color w:val="auto"/>
          <w:sz w:val="21"/>
          <w:szCs w:val="21"/>
          <w:highlight w:val="none"/>
          <w:u w:val="none"/>
        </w:rPr>
        <w:t>11. 投标报价</w:t>
      </w:r>
      <w:bookmarkEnd w:id="65"/>
      <w:bookmarkEnd w:id="66"/>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11.1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所有投标均以人民币报价。投标人的投标报价应遵守《中华人民共和国价格法》。同时，根据《中华人民共和国政府采购法》第二条的规定，为保证公平竞争，如有货物主体部分的赠与行为，其投标将被认定为投标无效。</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11.2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投标人应在投标分项报价表上标明投标货物及相关服务的单价（如适用）和总价，并由法定代表人或其授权代表签署。</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11.3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投标分项报价表上的价格应包括：投标货物（包括备品备件、专用工具等）的价格（包括已在中国国内的进口货物完税后的仓库交货价、展室交货价或货架交货价），投标货物运输（含保险）、安装（如有）、调试、检验、技术服务、培训和招标文件要求提供的所有伴随服务、工程等费用。</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11.4</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投标人所报的各分项投标单价在合同履行过程中是固定不变的，不得以任何理由予以变更。任何包含价格调整要求的投标，其投标将被认定为投标无效。</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11.5</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每种货物只能有一个投标报价。采购人不接受具有附加条件的报价。</w:t>
      </w:r>
    </w:p>
    <w:p>
      <w:pPr>
        <w:pStyle w:val="6"/>
        <w:spacing w:before="0" w:after="0"/>
        <w:ind w:left="738" w:hanging="735" w:hangingChars="350"/>
        <w:rPr>
          <w:rFonts w:ascii="仿宋" w:hAnsi="仿宋" w:eastAsia="仿宋" w:cs="仿宋"/>
          <w:color w:val="auto"/>
          <w:sz w:val="21"/>
          <w:szCs w:val="21"/>
          <w:highlight w:val="none"/>
          <w:u w:val="none"/>
        </w:rPr>
      </w:pPr>
      <w:bookmarkStart w:id="67" w:name="_Toc60830248"/>
      <w:bookmarkStart w:id="68" w:name="_Ref467306513"/>
      <w:bookmarkStart w:id="69" w:name="_Toc520356156"/>
      <w:r>
        <w:rPr>
          <w:rFonts w:hint="eastAsia" w:ascii="仿宋" w:hAnsi="仿宋" w:eastAsia="仿宋" w:cs="仿宋"/>
          <w:color w:val="auto"/>
          <w:sz w:val="21"/>
          <w:szCs w:val="21"/>
          <w:highlight w:val="none"/>
          <w:u w:val="none"/>
        </w:rPr>
        <w:t>12. 投标保证金</w:t>
      </w:r>
      <w:bookmarkEnd w:id="67"/>
      <w:bookmarkEnd w:id="68"/>
      <w:bookmarkEnd w:id="69"/>
    </w:p>
    <w:p>
      <w:pPr>
        <w:ind w:left="735" w:hanging="735" w:hangingChars="350"/>
        <w:rPr>
          <w:rFonts w:ascii="仿宋" w:hAnsi="仿宋" w:eastAsia="仿宋" w:cs="仿宋"/>
          <w:color w:val="auto"/>
          <w:szCs w:val="21"/>
          <w:highlight w:val="none"/>
        </w:rPr>
      </w:pPr>
      <w:bookmarkStart w:id="70" w:name="_Ref467306302"/>
      <w:r>
        <w:rPr>
          <w:rFonts w:hint="eastAsia" w:ascii="仿宋" w:hAnsi="仿宋" w:eastAsia="仿宋" w:cs="仿宋"/>
          <w:color w:val="auto"/>
          <w:szCs w:val="21"/>
          <w:highlight w:val="none"/>
        </w:rPr>
        <w:t>12.1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投标人应提交</w:t>
      </w:r>
      <w:r>
        <w:rPr>
          <w:rFonts w:hint="eastAsia" w:ascii="仿宋" w:hAnsi="仿宋" w:eastAsia="仿宋" w:cs="仿宋"/>
          <w:color w:val="auto"/>
          <w:szCs w:val="21"/>
          <w:highlight w:val="none"/>
          <w:u w:val="single"/>
        </w:rPr>
        <w:t>投标须知前附表</w:t>
      </w:r>
      <w:r>
        <w:rPr>
          <w:rFonts w:hint="eastAsia" w:ascii="仿宋" w:hAnsi="仿宋" w:eastAsia="仿宋" w:cs="仿宋"/>
          <w:color w:val="auto"/>
          <w:szCs w:val="21"/>
          <w:highlight w:val="none"/>
        </w:rPr>
        <w:t>中规定的投标保证金</w:t>
      </w:r>
      <w:bookmarkEnd w:id="70"/>
      <w:r>
        <w:rPr>
          <w:rFonts w:hint="eastAsia" w:ascii="仿宋" w:hAnsi="仿宋" w:eastAsia="仿宋" w:cs="仿宋"/>
          <w:color w:val="auto"/>
          <w:szCs w:val="21"/>
          <w:highlight w:val="none"/>
        </w:rPr>
        <w:t>，并作为其投标的一部分。</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12.2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投标保证金是为了保护采购人和采购代理机构免遭因投标人的行为蒙受损失而要求的。</w:t>
      </w:r>
    </w:p>
    <w:p>
      <w:pPr>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下列任何情况发生，投标保证金不予退还：</w:t>
      </w:r>
    </w:p>
    <w:p>
      <w:pPr>
        <w:pStyle w:val="11"/>
        <w:tabs>
          <w:tab w:val="left" w:pos="2240"/>
        </w:tabs>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（1）在投标有效期内，投标人撤回投标的；</w:t>
      </w:r>
    </w:p>
    <w:p>
      <w:pPr>
        <w:pStyle w:val="11"/>
        <w:tabs>
          <w:tab w:val="left" w:pos="2240"/>
        </w:tabs>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（2）中标人不按本须知第30条的规定与采购人签订合同的；</w:t>
      </w:r>
    </w:p>
    <w:p>
      <w:pPr>
        <w:pStyle w:val="11"/>
        <w:tabs>
          <w:tab w:val="left" w:pos="2240"/>
        </w:tabs>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（3）中标人不按本须知第31条的规定提交履约保证金的；</w:t>
      </w:r>
    </w:p>
    <w:p>
      <w:pPr>
        <w:pStyle w:val="11"/>
        <w:tabs>
          <w:tab w:val="left" w:pos="2240"/>
        </w:tabs>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（4）中标人不按本须知第32条的规定缴纳中标服务费；</w:t>
      </w:r>
    </w:p>
    <w:p>
      <w:pPr>
        <w:pStyle w:val="11"/>
        <w:tabs>
          <w:tab w:val="left" w:pos="2240"/>
        </w:tabs>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（5）存在的串通投标情形的；</w:t>
      </w:r>
    </w:p>
    <w:p>
      <w:pPr>
        <w:pStyle w:val="11"/>
        <w:tabs>
          <w:tab w:val="left" w:pos="2240"/>
        </w:tabs>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（6）存在向采购人、代理机构或评标专家行贿事实的。</w:t>
      </w:r>
    </w:p>
    <w:p>
      <w:pPr>
        <w:ind w:left="735" w:hanging="735" w:hangingChars="350"/>
        <w:rPr>
          <w:rFonts w:ascii="仿宋" w:hAnsi="仿宋" w:eastAsia="仿宋" w:cs="仿宋"/>
          <w:color w:val="auto"/>
          <w:szCs w:val="21"/>
          <w:highlight w:val="none"/>
        </w:rPr>
      </w:pPr>
      <w:bookmarkStart w:id="71" w:name="_Ref467306336"/>
      <w:r>
        <w:rPr>
          <w:rFonts w:hint="eastAsia" w:ascii="仿宋" w:hAnsi="仿宋" w:eastAsia="仿宋" w:cs="仿宋"/>
          <w:color w:val="auto"/>
          <w:szCs w:val="21"/>
          <w:highlight w:val="none"/>
        </w:rPr>
        <w:t>12.3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投标保证金可采用下列形式之一：</w:t>
      </w:r>
      <w:bookmarkEnd w:id="71"/>
    </w:p>
    <w:p>
      <w:pPr>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投标须知前附表中可明确可接受的所有形式；</w:t>
      </w:r>
    </w:p>
    <w:p>
      <w:pPr>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接受符合财政部门规定的投标担保函正本。</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12.4</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投标人没有根据本须知12.1和第12.3条规定提交投标保证金的，其投标将被认定为投标无效。</w:t>
      </w:r>
    </w:p>
    <w:p>
      <w:pPr>
        <w:pStyle w:val="11"/>
        <w:tabs>
          <w:tab w:val="left" w:pos="2240"/>
        </w:tabs>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采用电汇形式提交投标保证金的，一般可以实时入账。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12.5   联合体投标的，可以由联合体中的一方或者共同提交投标保证金，以一方名义提交投标保证金的，对联合体各方均具有约束力。</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12.6</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中标人应在与采购人签订合同之日起5个工作日内及时联系采购代理机构办理投标保证金无息退还手续。</w:t>
      </w:r>
    </w:p>
    <w:p>
      <w:pPr>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未中标投标人的投标保证金将在中标通知书发出之日暨中标结果公告公布之日起5个工作日内，及时联系采购人或采购代理机构办理无息退还投标保证金手续因投标人自身原因导致无法及时退还的，采购人或采购代理机构将不承担资金占用费。</w:t>
      </w:r>
    </w:p>
    <w:p>
      <w:pPr>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政府采购投标信用担保函正本不予退回。</w:t>
      </w:r>
    </w:p>
    <w:p>
      <w:pPr>
        <w:pStyle w:val="6"/>
        <w:spacing w:before="0" w:after="0"/>
        <w:ind w:left="738" w:hanging="735" w:hangingChars="350"/>
        <w:rPr>
          <w:rFonts w:ascii="仿宋" w:hAnsi="仿宋" w:eastAsia="仿宋" w:cs="仿宋"/>
          <w:color w:val="auto"/>
          <w:sz w:val="21"/>
          <w:szCs w:val="21"/>
          <w:highlight w:val="none"/>
          <w:u w:val="none"/>
        </w:rPr>
      </w:pPr>
      <w:bookmarkStart w:id="72" w:name="_Toc60830249"/>
      <w:bookmarkStart w:id="73" w:name="_Toc520356157"/>
      <w:r>
        <w:rPr>
          <w:rFonts w:hint="eastAsia" w:ascii="仿宋" w:hAnsi="仿宋" w:eastAsia="仿宋" w:cs="仿宋"/>
          <w:color w:val="auto"/>
          <w:sz w:val="21"/>
          <w:szCs w:val="21"/>
          <w:highlight w:val="none"/>
          <w:u w:val="none"/>
        </w:rPr>
        <w:t>13. 投标有效期</w:t>
      </w:r>
      <w:bookmarkEnd w:id="72"/>
      <w:bookmarkEnd w:id="73"/>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13.1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投标应在规定的提交投标文件截止之日起，按照</w:t>
      </w:r>
      <w:r>
        <w:rPr>
          <w:rFonts w:hint="eastAsia" w:ascii="仿宋" w:hAnsi="仿宋" w:eastAsia="仿宋" w:cs="仿宋"/>
          <w:color w:val="auto"/>
          <w:szCs w:val="21"/>
          <w:highlight w:val="none"/>
          <w:u w:val="single"/>
        </w:rPr>
        <w:t>投标须知前附表</w:t>
      </w:r>
      <w:r>
        <w:rPr>
          <w:rFonts w:hint="eastAsia" w:ascii="仿宋" w:hAnsi="仿宋" w:eastAsia="仿宋" w:cs="仿宋"/>
          <w:color w:val="auto"/>
          <w:szCs w:val="21"/>
          <w:highlight w:val="none"/>
        </w:rPr>
        <w:t>中规定时间内保持有效。投标有效期不满足要求的投标，其投标将被认定为</w:t>
      </w:r>
      <w:r>
        <w:rPr>
          <w:rFonts w:hint="eastAsia" w:ascii="仿宋" w:hAnsi="仿宋" w:eastAsia="仿宋" w:cs="仿宋"/>
          <w:b/>
          <w:color w:val="auto"/>
          <w:szCs w:val="21"/>
          <w:highlight w:val="none"/>
        </w:rPr>
        <w:t>投标无效</w:t>
      </w:r>
      <w:r>
        <w:rPr>
          <w:rFonts w:hint="eastAsia" w:ascii="仿宋" w:hAnsi="仿宋" w:eastAsia="仿宋" w:cs="仿宋"/>
          <w:color w:val="auto"/>
          <w:szCs w:val="21"/>
          <w:highlight w:val="none"/>
        </w:rPr>
        <w:t>。</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13.2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也可以拒绝延长投标有效期的要求，其投标保证金将不会被没收。上述要求和答复都应以书面形式提交。</w:t>
      </w:r>
    </w:p>
    <w:p>
      <w:pPr>
        <w:pStyle w:val="6"/>
        <w:spacing w:before="0" w:after="0"/>
        <w:ind w:left="738" w:hanging="735" w:hangingChars="350"/>
        <w:rPr>
          <w:rFonts w:ascii="仿宋" w:hAnsi="仿宋" w:eastAsia="仿宋" w:cs="仿宋"/>
          <w:color w:val="auto"/>
          <w:sz w:val="21"/>
          <w:szCs w:val="21"/>
          <w:highlight w:val="none"/>
          <w:u w:val="none"/>
        </w:rPr>
      </w:pPr>
      <w:bookmarkStart w:id="74" w:name="_Toc60830262"/>
      <w:bookmarkStart w:id="75" w:name="_Toc493"/>
      <w:bookmarkStart w:id="76" w:name="_Toc532473465"/>
      <w:bookmarkStart w:id="77" w:name="_Toc515647773"/>
      <w:bookmarkStart w:id="78" w:name="_Toc17074"/>
      <w:bookmarkStart w:id="79" w:name="_Toc60830250"/>
      <w:bookmarkStart w:id="80" w:name="_Toc2582279"/>
      <w:bookmarkStart w:id="81" w:name="_Toc520356158"/>
      <w:r>
        <w:rPr>
          <w:rFonts w:hint="eastAsia" w:ascii="仿宋" w:hAnsi="仿宋" w:eastAsia="仿宋" w:cs="仿宋"/>
          <w:color w:val="auto"/>
          <w:sz w:val="21"/>
          <w:szCs w:val="21"/>
          <w:highlight w:val="none"/>
          <w:u w:val="none"/>
        </w:rPr>
        <w:t>23. 比较与评价</w:t>
      </w:r>
      <w:bookmarkEnd w:id="74"/>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23.1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经符合性审查合格的投标文件，评标委员会将根据招标文件确定的评标方法和标准，对其技术部分和商务部分作进一步的比较和评价。</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23.2  </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评标严格按照招标文件的要求和条件进行。根据实际情况，在</w:t>
      </w:r>
      <w:r>
        <w:rPr>
          <w:rFonts w:hint="eastAsia" w:ascii="仿宋" w:hAnsi="仿宋" w:eastAsia="仿宋" w:cs="仿宋"/>
          <w:color w:val="auto"/>
          <w:szCs w:val="21"/>
          <w:highlight w:val="none"/>
          <w:u w:val="single"/>
        </w:rPr>
        <w:t>投标须知前附表</w:t>
      </w:r>
      <w:r>
        <w:rPr>
          <w:rFonts w:hint="eastAsia" w:ascii="仿宋" w:hAnsi="仿宋" w:eastAsia="仿宋" w:cs="仿宋"/>
          <w:color w:val="auto"/>
          <w:szCs w:val="21"/>
          <w:highlight w:val="none"/>
        </w:rPr>
        <w:t>中规定采用下列一种评标方法，详细评标标准见招标文件第九章：</w:t>
      </w:r>
    </w:p>
    <w:p>
      <w:pPr>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（1） 最低评标价法，是指投标文件满足招标文件全部实质性要求，且投标报价最低的投标人为中标候选人的评标方法。</w:t>
      </w:r>
    </w:p>
    <w:p>
      <w:pPr>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（2） 综合评分法，是指投标文件满足招标文件全部实质性要求，且按照评审因素的量化指标评审得分最高的投标人为中标候选人的评标方法。</w:t>
      </w:r>
    </w:p>
    <w:p>
      <w:pPr>
        <w:pStyle w:val="11"/>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23.3   根据《政府采购促进中小企业发展管理办法》（财库[2020]46号）、《财政部 司法部关于政府采购支持监狱企业发展有关问题的通知》（财库〔2014〕68号）和《三部门联合发布关于促进残疾人就业政府采购政策的通知》（</w:t>
      </w:r>
      <w:bookmarkStart w:id="82" w:name="sendNo"/>
      <w:r>
        <w:rPr>
          <w:rFonts w:hint="eastAsia" w:ascii="仿宋" w:hAnsi="仿宋" w:eastAsia="仿宋" w:cs="仿宋"/>
          <w:bCs/>
          <w:color w:val="auto"/>
          <w:szCs w:val="21"/>
          <w:highlight w:val="none"/>
        </w:rPr>
        <w:t>财库〔</w:t>
      </w:r>
      <w:bookmarkEnd w:id="82"/>
      <w:r>
        <w:rPr>
          <w:rFonts w:hint="eastAsia" w:ascii="仿宋" w:hAnsi="仿宋" w:eastAsia="仿宋" w:cs="仿宋"/>
          <w:bCs/>
          <w:color w:val="auto"/>
          <w:szCs w:val="21"/>
          <w:highlight w:val="none"/>
        </w:rPr>
        <w:t>2017〕141号</w:t>
      </w:r>
      <w:r>
        <w:rPr>
          <w:rFonts w:hint="eastAsia" w:ascii="仿宋" w:hAnsi="仿宋" w:eastAsia="仿宋" w:cs="仿宋"/>
          <w:color w:val="auto"/>
          <w:szCs w:val="21"/>
          <w:highlight w:val="none"/>
        </w:rPr>
        <w:t>）的规定，对满足价格扣除条件且在投标文件中提交了《中小企业声明函》或省级以上监狱管理局、戒毒管理局（含新疆生产建设兵团）出具的属于监狱企业的证明文件的投标人，其投标报价扣除6-10%后参与评审。具体办法详见招标文件第九章。</w:t>
      </w:r>
    </w:p>
    <w:p>
      <w:pPr>
        <w:pStyle w:val="6"/>
        <w:spacing w:before="0" w:after="0"/>
        <w:ind w:left="738" w:hanging="735" w:hangingChars="350"/>
        <w:rPr>
          <w:rFonts w:ascii="仿宋" w:hAnsi="仿宋" w:eastAsia="仿宋" w:cs="仿宋"/>
          <w:color w:val="auto"/>
          <w:sz w:val="21"/>
          <w:szCs w:val="21"/>
          <w:highlight w:val="none"/>
          <w:u w:val="none"/>
        </w:rPr>
      </w:pPr>
      <w:r>
        <w:rPr>
          <w:rFonts w:hint="eastAsia" w:ascii="仿宋" w:hAnsi="仿宋" w:eastAsia="仿宋" w:cs="仿宋"/>
          <w:color w:val="auto"/>
          <w:sz w:val="21"/>
          <w:szCs w:val="21"/>
          <w:highlight w:val="none"/>
          <w:u w:val="none"/>
        </w:rPr>
        <w:t>14. 投标文件的</w:t>
      </w:r>
      <w:bookmarkEnd w:id="75"/>
      <w:bookmarkEnd w:id="76"/>
      <w:bookmarkEnd w:id="77"/>
      <w:bookmarkEnd w:id="78"/>
      <w:r>
        <w:rPr>
          <w:rFonts w:hint="eastAsia" w:ascii="仿宋" w:hAnsi="仿宋" w:eastAsia="仿宋" w:cs="仿宋"/>
          <w:color w:val="auto"/>
          <w:sz w:val="21"/>
          <w:szCs w:val="21"/>
          <w:highlight w:val="none"/>
          <w:u w:val="none"/>
        </w:rPr>
        <w:t>制作</w:t>
      </w:r>
      <w:bookmarkEnd w:id="79"/>
      <w:bookmarkEnd w:id="80"/>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14.1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投标人应按</w:t>
      </w:r>
      <w:r>
        <w:rPr>
          <w:rFonts w:hint="eastAsia" w:ascii="仿宋" w:hAnsi="仿宋" w:eastAsia="仿宋" w:cs="仿宋"/>
          <w:color w:val="auto"/>
          <w:szCs w:val="21"/>
          <w:highlight w:val="none"/>
          <w:u w:val="single"/>
        </w:rPr>
        <w:t>投标须知前附表</w:t>
      </w:r>
      <w:r>
        <w:rPr>
          <w:rFonts w:hint="eastAsia" w:ascii="仿宋" w:hAnsi="仿宋" w:eastAsia="仿宋" w:cs="仿宋"/>
          <w:color w:val="auto"/>
          <w:szCs w:val="21"/>
          <w:highlight w:val="none"/>
        </w:rPr>
        <w:t>中的规定，准备和递交投标文件正本、副本和电子文档，每份投标文件封皮须清楚地标明“正本”或“副本”。投标文件的副本可采用正本的复印件，若正本和副本不一致，以正本为准。</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14.2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投标文件的正本需打印或用不褪色墨水书写，并由投标人的法定代表人或经其正式委托代理人按招标文件规定在投标文件上签字并加盖公章。委托代理人须持有书面的“法定代表人授权委托书”，并将其附在投标文件中。如对投标文件进行了修改，则应由投标人的法定代表人或委托代理人在每一修改处签字。</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未按招标文件要求签署和盖章的投标文件，其投标将被认定为</w:t>
      </w:r>
      <w:r>
        <w:rPr>
          <w:rFonts w:hint="eastAsia" w:ascii="仿宋" w:hAnsi="仿宋" w:eastAsia="仿宋" w:cs="仿宋"/>
          <w:b/>
          <w:color w:val="auto"/>
          <w:szCs w:val="21"/>
          <w:highlight w:val="none"/>
        </w:rPr>
        <w:t>投标无效</w:t>
      </w:r>
      <w:r>
        <w:rPr>
          <w:rFonts w:hint="eastAsia" w:ascii="仿宋" w:hAnsi="仿宋" w:eastAsia="仿宋" w:cs="仿宋"/>
          <w:color w:val="auto"/>
          <w:szCs w:val="21"/>
          <w:highlight w:val="none"/>
        </w:rPr>
        <w:t>。</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14.3   投标文件应按照“第一部分开标一览表及资格证明文件”和“第二部分商务及技术文件”分成两部分，并用不可拆装的方式分别装订成册，否则其投标将被认定为</w:t>
      </w:r>
      <w:r>
        <w:rPr>
          <w:rFonts w:hint="eastAsia" w:ascii="仿宋" w:hAnsi="仿宋" w:eastAsia="仿宋" w:cs="仿宋"/>
          <w:b/>
          <w:bCs/>
          <w:color w:val="auto"/>
          <w:szCs w:val="21"/>
          <w:highlight w:val="none"/>
        </w:rPr>
        <w:t>投标无效</w:t>
      </w:r>
      <w:r>
        <w:rPr>
          <w:rFonts w:hint="eastAsia" w:ascii="仿宋" w:hAnsi="仿宋" w:eastAsia="仿宋" w:cs="仿宋"/>
          <w:color w:val="auto"/>
          <w:szCs w:val="21"/>
          <w:highlight w:val="none"/>
        </w:rPr>
        <w:t>。</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14.4</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投标文件因字迹潦草、表达不清或装订不当所引起的后果由投标人负责。</w:t>
      </w:r>
    </w:p>
    <w:bookmarkEnd w:id="81"/>
    <w:p>
      <w:pPr>
        <w:pStyle w:val="4"/>
        <w:spacing w:before="156" w:beforeLines="50" w:after="156" w:afterLines="50" w:line="360" w:lineRule="auto"/>
        <w:rPr>
          <w:rFonts w:ascii="仿宋" w:hAnsi="仿宋" w:eastAsia="仿宋" w:cs="仿宋"/>
          <w:color w:val="auto"/>
          <w:sz w:val="28"/>
          <w:highlight w:val="none"/>
        </w:rPr>
      </w:pPr>
      <w:bookmarkStart w:id="83" w:name="_Toc520356159"/>
      <w:bookmarkStart w:id="84" w:name="_Toc60830251"/>
      <w:bookmarkStart w:id="85" w:name="_Toc216582808"/>
      <w:bookmarkStart w:id="86" w:name="_Toc7132"/>
      <w:r>
        <w:rPr>
          <w:rFonts w:hint="eastAsia" w:ascii="仿宋" w:hAnsi="仿宋" w:eastAsia="仿宋" w:cs="仿宋"/>
          <w:color w:val="auto"/>
          <w:sz w:val="28"/>
          <w:highlight w:val="none"/>
        </w:rPr>
        <w:t>四   投标文件的递交</w:t>
      </w:r>
      <w:bookmarkEnd w:id="83"/>
      <w:bookmarkEnd w:id="84"/>
      <w:bookmarkEnd w:id="85"/>
      <w:bookmarkEnd w:id="86"/>
    </w:p>
    <w:p>
      <w:pPr>
        <w:pStyle w:val="6"/>
        <w:spacing w:before="0" w:after="0"/>
        <w:ind w:left="738" w:hanging="735" w:hangingChars="350"/>
        <w:rPr>
          <w:rFonts w:ascii="仿宋" w:hAnsi="仿宋" w:eastAsia="仿宋" w:cs="仿宋"/>
          <w:color w:val="auto"/>
          <w:sz w:val="21"/>
          <w:szCs w:val="21"/>
          <w:highlight w:val="none"/>
          <w:u w:val="none"/>
        </w:rPr>
      </w:pPr>
      <w:bookmarkStart w:id="87" w:name="_Toc2582281"/>
      <w:bookmarkStart w:id="88" w:name="_Toc532473467"/>
      <w:bookmarkStart w:id="89" w:name="_Toc515647775"/>
      <w:bookmarkStart w:id="90" w:name="_Toc32337"/>
      <w:bookmarkStart w:id="91" w:name="_Toc21645"/>
      <w:bookmarkStart w:id="92" w:name="_Toc60830252"/>
      <w:bookmarkStart w:id="93" w:name="_Toc520356160"/>
      <w:r>
        <w:rPr>
          <w:rFonts w:hint="eastAsia" w:ascii="仿宋" w:hAnsi="仿宋" w:eastAsia="仿宋" w:cs="仿宋"/>
          <w:color w:val="auto"/>
          <w:sz w:val="21"/>
          <w:szCs w:val="21"/>
          <w:highlight w:val="none"/>
          <w:u w:val="none"/>
        </w:rPr>
        <w:t>15. 投标文件的密封和标记</w:t>
      </w:r>
      <w:bookmarkEnd w:id="87"/>
      <w:bookmarkEnd w:id="88"/>
      <w:bookmarkEnd w:id="89"/>
      <w:bookmarkEnd w:id="90"/>
      <w:bookmarkEnd w:id="91"/>
      <w:bookmarkEnd w:id="92"/>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15.1   投标文件应当用不能被他人知悉或更换投标文件内容的方式密封。投标人应将投标文件的两个部分分开单独密封，并在封皮正面标明“第一部分开标一览表及资格证明文件”或“第二部分商务及技术文件”字样。投标人应承担封装失误产生的任何后果</w:t>
      </w:r>
      <w:bookmarkStart w:id="94" w:name="_Hlk790626"/>
      <w:r>
        <w:rPr>
          <w:rFonts w:hint="eastAsia" w:ascii="仿宋" w:hAnsi="仿宋" w:eastAsia="仿宋" w:cs="仿宋"/>
          <w:color w:val="auto"/>
          <w:szCs w:val="21"/>
          <w:highlight w:val="none"/>
        </w:rPr>
        <w:t>。</w:t>
      </w:r>
      <w:bookmarkEnd w:id="94"/>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15.2   所有包装封皮和信封上均应：</w:t>
      </w:r>
    </w:p>
    <w:p>
      <w:pPr>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（1）注明招标公告中指明的项目名称、项目编号、分包名称及包号（如有）、投标人名称和“在（开标时间）之前不得启封”的字样。</w:t>
      </w:r>
    </w:p>
    <w:p>
      <w:pPr>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（2）在封口处加盖投标人公章，或由法定代表人或委托代理人签字。</w:t>
      </w:r>
    </w:p>
    <w:p>
      <w:pPr>
        <w:pStyle w:val="6"/>
        <w:spacing w:before="0" w:after="0"/>
        <w:ind w:left="738" w:hanging="735" w:hangingChars="350"/>
        <w:rPr>
          <w:rFonts w:ascii="仿宋" w:hAnsi="仿宋" w:eastAsia="仿宋" w:cs="仿宋"/>
          <w:color w:val="auto"/>
          <w:sz w:val="21"/>
          <w:szCs w:val="21"/>
          <w:highlight w:val="none"/>
          <w:u w:val="none"/>
        </w:rPr>
      </w:pPr>
      <w:bookmarkStart w:id="95" w:name="_Toc60830253"/>
      <w:r>
        <w:rPr>
          <w:rFonts w:hint="eastAsia" w:ascii="仿宋" w:hAnsi="仿宋" w:eastAsia="仿宋" w:cs="仿宋"/>
          <w:color w:val="auto"/>
          <w:sz w:val="21"/>
          <w:szCs w:val="21"/>
          <w:highlight w:val="none"/>
        </w:rPr>
        <w:t>15.3   如果投标文件未密封的，将被拒绝接收。</w:t>
      </w:r>
      <w:bookmarkEnd w:id="93"/>
      <w:bookmarkEnd w:id="95"/>
      <w:bookmarkStart w:id="96" w:name="_Toc520356161"/>
    </w:p>
    <w:p>
      <w:pPr>
        <w:pStyle w:val="6"/>
        <w:spacing w:before="0" w:after="0"/>
        <w:ind w:left="738" w:hanging="735" w:hangingChars="350"/>
        <w:rPr>
          <w:rFonts w:ascii="仿宋" w:hAnsi="仿宋" w:eastAsia="仿宋" w:cs="仿宋"/>
          <w:color w:val="auto"/>
          <w:sz w:val="21"/>
          <w:szCs w:val="21"/>
          <w:highlight w:val="none"/>
          <w:u w:val="none"/>
        </w:rPr>
      </w:pPr>
      <w:bookmarkStart w:id="97" w:name="_Toc12751"/>
      <w:bookmarkStart w:id="98" w:name="_Toc2582282"/>
      <w:bookmarkStart w:id="99" w:name="_Toc60830254"/>
      <w:bookmarkStart w:id="100" w:name="_Toc9840"/>
      <w:bookmarkStart w:id="101" w:name="_Toc532473468"/>
      <w:bookmarkStart w:id="102" w:name="_Toc515647776"/>
      <w:r>
        <w:rPr>
          <w:rFonts w:hint="eastAsia" w:ascii="仿宋" w:hAnsi="仿宋" w:eastAsia="仿宋" w:cs="仿宋"/>
          <w:color w:val="auto"/>
          <w:sz w:val="21"/>
          <w:szCs w:val="21"/>
          <w:highlight w:val="none"/>
          <w:u w:val="none"/>
        </w:rPr>
        <w:t>16. 投标截止</w:t>
      </w:r>
      <w:bookmarkEnd w:id="97"/>
      <w:bookmarkEnd w:id="98"/>
      <w:bookmarkEnd w:id="99"/>
      <w:bookmarkEnd w:id="100"/>
      <w:bookmarkEnd w:id="101"/>
      <w:bookmarkEnd w:id="102"/>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16.1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投标人应在</w:t>
      </w:r>
      <w:r>
        <w:rPr>
          <w:rFonts w:hint="eastAsia" w:ascii="仿宋" w:hAnsi="仿宋" w:eastAsia="仿宋" w:cs="仿宋"/>
          <w:color w:val="auto"/>
          <w:szCs w:val="21"/>
          <w:highlight w:val="none"/>
          <w:u w:val="single"/>
        </w:rPr>
        <w:t>投标须知前附表中</w:t>
      </w:r>
      <w:r>
        <w:rPr>
          <w:rFonts w:hint="eastAsia" w:ascii="仿宋" w:hAnsi="仿宋" w:eastAsia="仿宋" w:cs="仿宋"/>
          <w:color w:val="auto"/>
          <w:szCs w:val="21"/>
          <w:highlight w:val="none"/>
        </w:rPr>
        <w:t>规定的截止时间前，将投标文件递交到招标公告中规定的地点。</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16.2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采购人和采购代理机构将拒绝接收在投标截止时间后送达投标文件。</w:t>
      </w:r>
    </w:p>
    <w:bookmarkEnd w:id="96"/>
    <w:p>
      <w:pPr>
        <w:pStyle w:val="6"/>
        <w:spacing w:before="0" w:after="0"/>
        <w:ind w:left="738" w:hanging="735" w:hangingChars="350"/>
        <w:rPr>
          <w:rFonts w:ascii="仿宋" w:hAnsi="仿宋" w:eastAsia="仿宋" w:cs="仿宋"/>
          <w:color w:val="auto"/>
          <w:sz w:val="21"/>
          <w:szCs w:val="21"/>
          <w:highlight w:val="none"/>
          <w:u w:val="none"/>
        </w:rPr>
      </w:pPr>
      <w:bookmarkStart w:id="103" w:name="_Toc60830255"/>
      <w:bookmarkStart w:id="104" w:name="_Toc520356162"/>
      <w:r>
        <w:rPr>
          <w:rFonts w:hint="eastAsia" w:ascii="仿宋" w:hAnsi="仿宋" w:eastAsia="仿宋" w:cs="仿宋"/>
          <w:color w:val="auto"/>
          <w:sz w:val="21"/>
          <w:szCs w:val="21"/>
          <w:highlight w:val="none"/>
          <w:u w:val="none"/>
        </w:rPr>
        <w:t>17. 投标文件的接收、修改与撤回</w:t>
      </w:r>
      <w:bookmarkEnd w:id="103"/>
      <w:bookmarkEnd w:id="104"/>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17.1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采购人和采购代理机构将按招标文件规定的时间和地点接收投标文件。</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17.2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采购人或者采购代理机构收到投标文件后，应当如实记载投标文件的送达时间和密封情况。</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17.3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递交投标文件以后，如果投标人要进行修改，须提出书面通知并在投标截止时间前送达开标地点，投标人对投标文件的修改通知应按本须知规定编制、签署、密封、标记。采购人和采购代理机构将予以接收，并视为投标文件的组成部分。</w:t>
      </w:r>
    </w:p>
    <w:p>
      <w:pPr>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递交投标文件以后，如果投标人要进行撤回的，须提出书面通知并在投标截止时间前送达开标地点，采购人和采购代理机构将予以接受。</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17.4</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在投标截止时间之后，投标人不得对其投标文件做任何修改。</w:t>
      </w:r>
    </w:p>
    <w:p>
      <w:pPr>
        <w:ind w:left="735" w:hanging="735" w:hangingChars="350"/>
        <w:rPr>
          <w:rFonts w:ascii="仿宋" w:hAnsi="仿宋" w:eastAsia="仿宋" w:cs="仿宋"/>
          <w:color w:val="auto"/>
          <w:szCs w:val="21"/>
          <w:highlight w:val="none"/>
          <w:shd w:val="pct10" w:color="auto" w:fill="FFFFFF"/>
        </w:rPr>
      </w:pPr>
      <w:r>
        <w:rPr>
          <w:rFonts w:hint="eastAsia" w:ascii="仿宋" w:hAnsi="仿宋" w:eastAsia="仿宋" w:cs="仿宋"/>
          <w:color w:val="auto"/>
          <w:szCs w:val="21"/>
          <w:highlight w:val="none"/>
        </w:rPr>
        <w:t>17.5</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除投标人不足3家未开标外，采购人和采购代理机构对所接收投标文件概不退回。</w:t>
      </w:r>
    </w:p>
    <w:p>
      <w:pPr>
        <w:pStyle w:val="4"/>
        <w:spacing w:before="156" w:beforeLines="50" w:after="156" w:afterLines="50" w:line="360" w:lineRule="auto"/>
        <w:rPr>
          <w:rFonts w:ascii="仿宋" w:hAnsi="仿宋" w:eastAsia="仿宋" w:cs="仿宋"/>
          <w:color w:val="auto"/>
          <w:sz w:val="28"/>
          <w:highlight w:val="none"/>
        </w:rPr>
      </w:pPr>
      <w:bookmarkStart w:id="105" w:name="_Toc520356163"/>
      <w:bookmarkStart w:id="106" w:name="_Toc19340"/>
      <w:bookmarkStart w:id="107" w:name="_Toc60830256"/>
      <w:bookmarkStart w:id="108" w:name="_Toc216582809"/>
      <w:r>
        <w:rPr>
          <w:rFonts w:hint="eastAsia" w:ascii="仿宋" w:hAnsi="仿宋" w:eastAsia="仿宋" w:cs="仿宋"/>
          <w:color w:val="auto"/>
          <w:sz w:val="28"/>
          <w:highlight w:val="none"/>
        </w:rPr>
        <w:t>五   开标及评标</w:t>
      </w:r>
      <w:bookmarkEnd w:id="105"/>
      <w:bookmarkEnd w:id="106"/>
      <w:bookmarkEnd w:id="107"/>
      <w:bookmarkEnd w:id="108"/>
    </w:p>
    <w:p>
      <w:pPr>
        <w:pStyle w:val="6"/>
        <w:spacing w:before="0" w:after="0"/>
        <w:rPr>
          <w:rFonts w:ascii="仿宋" w:hAnsi="仿宋" w:eastAsia="仿宋" w:cs="仿宋"/>
          <w:color w:val="auto"/>
          <w:sz w:val="21"/>
          <w:szCs w:val="21"/>
          <w:highlight w:val="none"/>
          <w:u w:val="none"/>
        </w:rPr>
      </w:pPr>
      <w:bookmarkStart w:id="109" w:name="_Toc520356164"/>
      <w:bookmarkStart w:id="110" w:name="_Toc60830257"/>
      <w:r>
        <w:rPr>
          <w:rFonts w:hint="eastAsia" w:ascii="仿宋" w:hAnsi="仿宋" w:eastAsia="仿宋" w:cs="仿宋"/>
          <w:color w:val="auto"/>
          <w:sz w:val="21"/>
          <w:szCs w:val="21"/>
          <w:highlight w:val="none"/>
          <w:u w:val="none"/>
        </w:rPr>
        <w:t>18. 开标</w:t>
      </w:r>
      <w:bookmarkEnd w:id="109"/>
      <w:bookmarkEnd w:id="110"/>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18.1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采购人和采购代理机构将按</w:t>
      </w:r>
      <w:r>
        <w:rPr>
          <w:rFonts w:hint="eastAsia" w:ascii="仿宋" w:hAnsi="仿宋" w:eastAsia="仿宋" w:cs="仿宋"/>
          <w:color w:val="auto"/>
          <w:szCs w:val="21"/>
          <w:highlight w:val="none"/>
          <w:u w:val="single"/>
        </w:rPr>
        <w:t>投标须知前附表</w:t>
      </w:r>
      <w:r>
        <w:rPr>
          <w:rFonts w:hint="eastAsia" w:ascii="仿宋" w:hAnsi="仿宋" w:eastAsia="仿宋" w:cs="仿宋"/>
          <w:color w:val="auto"/>
          <w:szCs w:val="21"/>
          <w:highlight w:val="none"/>
        </w:rPr>
        <w:t>中规定的开标时间和地点组织公开开标并邀请所有投标人代表参加。</w:t>
      </w:r>
    </w:p>
    <w:p>
      <w:pPr>
        <w:ind w:left="1470" w:leftChars="350"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投标人不足3家的，不予开标。</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18.2   开标时，由投标人或其推选的代表检查自己或所代表的投标文件的密封情况，经记录后，由采购人或采购代理机构当众拆封投标文件第一部分，宣读投标人在开标一览表中所填写的全部内容。对于投标人在投标截止时间前递交的投标声明，在开标时当众宣读，评标时有效。</w:t>
      </w:r>
    </w:p>
    <w:p>
      <w:pPr>
        <w:ind w:left="1470" w:leftChars="350"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未宣读的投标价格、价格折扣等实质内容，评标时不予承认。</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18.3   采购人或采购代理机构将对开标过程进行记录，由参加开标的各投标人代表和相关工作人员签字确认，并存档备查。</w:t>
      </w:r>
    </w:p>
    <w:p>
      <w:pPr>
        <w:ind w:left="1470" w:leftChars="350"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投标人未派代表参加开标的，视同投标人认可开标结果。</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18.4   投标人代表对开标过程和开标记录有疑义，以及认为开标现场采购人、采购代理机构相关工作人员有需要回避的情形的，应当场提出询问或者回避申请。</w:t>
      </w:r>
    </w:p>
    <w:p>
      <w:pPr>
        <w:pStyle w:val="6"/>
        <w:spacing w:before="0" w:after="0"/>
        <w:rPr>
          <w:rFonts w:ascii="仿宋" w:hAnsi="仿宋" w:eastAsia="仿宋" w:cs="仿宋"/>
          <w:color w:val="auto"/>
          <w:sz w:val="21"/>
          <w:szCs w:val="21"/>
          <w:highlight w:val="none"/>
          <w:u w:val="none"/>
        </w:rPr>
      </w:pPr>
      <w:bookmarkStart w:id="111" w:name="_Toc60830258"/>
      <w:bookmarkStart w:id="112" w:name="_Toc19296"/>
      <w:bookmarkStart w:id="113" w:name="_Toc2582286"/>
      <w:bookmarkStart w:id="114" w:name="_Toc532473472"/>
      <w:bookmarkStart w:id="115" w:name="_Toc21372"/>
      <w:bookmarkStart w:id="116" w:name="_Toc515647780"/>
      <w:bookmarkStart w:id="117" w:name="_Toc520356165"/>
      <w:r>
        <w:rPr>
          <w:rFonts w:hint="eastAsia" w:ascii="仿宋" w:hAnsi="仿宋" w:eastAsia="仿宋" w:cs="仿宋"/>
          <w:color w:val="auto"/>
          <w:sz w:val="21"/>
          <w:szCs w:val="21"/>
          <w:highlight w:val="none"/>
          <w:u w:val="none"/>
        </w:rPr>
        <w:t>19. 资格审查及组建评标委员会</w:t>
      </w:r>
      <w:bookmarkEnd w:id="111"/>
      <w:bookmarkEnd w:id="112"/>
      <w:bookmarkEnd w:id="113"/>
      <w:bookmarkEnd w:id="114"/>
      <w:bookmarkEnd w:id="115"/>
      <w:bookmarkEnd w:id="116"/>
    </w:p>
    <w:p>
      <w:pPr>
        <w:ind w:left="743" w:hanging="743" w:hangingChars="354"/>
        <w:rPr>
          <w:rFonts w:ascii="仿宋" w:hAnsi="仿宋" w:eastAsia="仿宋" w:cs="仿宋"/>
          <w:color w:val="auto"/>
          <w:szCs w:val="21"/>
          <w:highlight w:val="none"/>
        </w:rPr>
      </w:pPr>
      <w:r>
        <w:rPr>
          <w:rFonts w:hint="eastAsia" w:ascii="仿宋" w:hAnsi="仿宋" w:eastAsia="仿宋" w:cs="仿宋"/>
          <w:color w:val="auto"/>
          <w:szCs w:val="21"/>
          <w:highlight w:val="none"/>
        </w:rPr>
        <w:t>19.1   采购人或采购代理机构依据法律法规和招标文件中规定的内容，对投标人及其投标货物的资格进行审查，未通过资格审查的投标人不进入评标；资格证明文件未装在“开标一览表及资格证明文件”中的，将被认定为未通过资格审查。</w:t>
      </w:r>
    </w:p>
    <w:p>
      <w:pPr>
        <w:ind w:left="840" w:leftChars="400"/>
        <w:rPr>
          <w:rFonts w:ascii="仿宋" w:hAnsi="仿宋" w:eastAsia="仿宋" w:cs="仿宋"/>
          <w:color w:val="auto"/>
          <w:szCs w:val="21"/>
          <w:highlight w:val="none"/>
        </w:rPr>
      </w:pPr>
      <w:r>
        <w:rPr>
          <w:rFonts w:hint="eastAsia" w:ascii="仿宋" w:hAnsi="仿宋" w:eastAsia="仿宋" w:cs="仿宋"/>
          <w:color w:val="auto"/>
          <w:szCs w:val="21"/>
          <w:highlight w:val="none"/>
        </w:rPr>
        <w:t>通过资格审查的投标人不足三家的，不得评标。</w:t>
      </w:r>
    </w:p>
    <w:p>
      <w:pPr>
        <w:ind w:left="857" w:leftChars="2" w:hanging="853"/>
        <w:rPr>
          <w:rFonts w:ascii="仿宋" w:hAnsi="仿宋" w:eastAsia="仿宋" w:cs="仿宋"/>
          <w:color w:val="auto"/>
          <w:szCs w:val="21"/>
          <w:highlight w:val="none"/>
        </w:rPr>
      </w:pPr>
      <w:r>
        <w:rPr>
          <w:rFonts w:hint="eastAsia" w:ascii="仿宋" w:hAnsi="仿宋" w:eastAsia="仿宋" w:cs="仿宋"/>
          <w:color w:val="auto"/>
          <w:szCs w:val="21"/>
          <w:highlight w:val="none"/>
        </w:rPr>
        <w:t>19.2   采购人或采购代理机构将按</w:t>
      </w:r>
      <w:r>
        <w:rPr>
          <w:rFonts w:hint="eastAsia" w:ascii="仿宋" w:hAnsi="仿宋" w:eastAsia="仿宋" w:cs="仿宋"/>
          <w:color w:val="auto"/>
          <w:szCs w:val="21"/>
          <w:highlight w:val="none"/>
          <w:u w:val="single"/>
        </w:rPr>
        <w:t>投标须知前附表</w:t>
      </w:r>
      <w:r>
        <w:rPr>
          <w:rFonts w:hint="eastAsia" w:ascii="仿宋" w:hAnsi="仿宋" w:eastAsia="仿宋" w:cs="仿宋"/>
          <w:color w:val="auto"/>
          <w:szCs w:val="21"/>
          <w:highlight w:val="none"/>
        </w:rPr>
        <w:t>中规定的时间查询投标人的信用记录。</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19.2.1 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投标将被认定为</w:t>
      </w:r>
      <w:r>
        <w:rPr>
          <w:rFonts w:hint="eastAsia" w:ascii="仿宋" w:hAnsi="仿宋" w:eastAsia="仿宋" w:cs="仿宋"/>
          <w:b/>
          <w:color w:val="auto"/>
          <w:szCs w:val="21"/>
          <w:highlight w:val="none"/>
        </w:rPr>
        <w:t>投标无效</w:t>
      </w:r>
      <w:r>
        <w:rPr>
          <w:rFonts w:hint="eastAsia" w:ascii="仿宋" w:hAnsi="仿宋" w:eastAsia="仿宋" w:cs="仿宋"/>
          <w:color w:val="auto"/>
          <w:szCs w:val="21"/>
          <w:highlight w:val="none"/>
        </w:rPr>
        <w:t>。</w:t>
      </w:r>
    </w:p>
    <w:p>
      <w:pPr>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以联合体形式参加投标的，联合体任何成员存在以上不良信用记录的，联合体投标将被认定为</w:t>
      </w:r>
      <w:r>
        <w:rPr>
          <w:rFonts w:hint="eastAsia" w:ascii="仿宋" w:hAnsi="仿宋" w:eastAsia="仿宋" w:cs="仿宋"/>
          <w:b/>
          <w:bCs/>
          <w:color w:val="auto"/>
          <w:szCs w:val="21"/>
          <w:highlight w:val="none"/>
        </w:rPr>
        <w:t>投标无效</w:t>
      </w:r>
      <w:r>
        <w:rPr>
          <w:rFonts w:hint="eastAsia" w:ascii="仿宋" w:hAnsi="仿宋" w:eastAsia="仿宋" w:cs="仿宋"/>
          <w:color w:val="auto"/>
          <w:szCs w:val="21"/>
          <w:highlight w:val="none"/>
        </w:rPr>
        <w:t>。</w:t>
      </w:r>
    </w:p>
    <w:p>
      <w:pPr>
        <w:pStyle w:val="5"/>
        <w:ind w:left="743" w:hanging="743" w:hangingChars="354"/>
        <w:jc w:val="both"/>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19.2.2 采购人或采购代理机构经办人将查询网页打印、签字并存档备查。投标人不良信用记录以采购人或采购代理机构查询结果为准。投标人自行提供的与网站信息不一致的其他证明材料亦不作为资格审查依据。</w:t>
      </w:r>
    </w:p>
    <w:p>
      <w:pPr>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在本招标文件规定的查询时间之外，网站信息发生的任何变更均不作为资格审查依据。</w:t>
      </w:r>
    </w:p>
    <w:p>
      <w:pPr>
        <w:ind w:left="743" w:hanging="743" w:hangingChars="354"/>
        <w:rPr>
          <w:rFonts w:ascii="仿宋" w:hAnsi="仿宋" w:eastAsia="仿宋" w:cs="仿宋"/>
          <w:color w:val="auto"/>
          <w:szCs w:val="21"/>
          <w:highlight w:val="none"/>
        </w:rPr>
      </w:pPr>
      <w:r>
        <w:rPr>
          <w:rFonts w:hint="eastAsia" w:ascii="仿宋" w:hAnsi="仿宋" w:eastAsia="仿宋" w:cs="仿宋"/>
          <w:color w:val="auto"/>
          <w:szCs w:val="21"/>
          <w:highlight w:val="none"/>
        </w:rPr>
        <w:t>19.3   按照《中华人民共和国政府采购法》、《中华人民共和国政府采购法实施条例》及本项目本级和上级财政部门的有关规定依法组建的评标委员会，负责评标工作。</w:t>
      </w:r>
    </w:p>
    <w:bookmarkEnd w:id="117"/>
    <w:p>
      <w:pPr>
        <w:pStyle w:val="6"/>
        <w:spacing w:before="0" w:after="0"/>
        <w:rPr>
          <w:rFonts w:ascii="仿宋" w:hAnsi="仿宋" w:eastAsia="仿宋" w:cs="仿宋"/>
          <w:b w:val="0"/>
          <w:bCs/>
          <w:color w:val="auto"/>
          <w:sz w:val="21"/>
          <w:szCs w:val="21"/>
          <w:highlight w:val="none"/>
          <w:bdr w:val="single" w:color="auto" w:sz="4" w:space="0"/>
        </w:rPr>
      </w:pPr>
      <w:bookmarkStart w:id="118" w:name="_Toc520356166"/>
      <w:bookmarkStart w:id="119" w:name="_Toc60830259"/>
      <w:r>
        <w:rPr>
          <w:rFonts w:hint="eastAsia" w:ascii="仿宋" w:hAnsi="仿宋" w:eastAsia="仿宋" w:cs="仿宋"/>
          <w:color w:val="auto"/>
          <w:sz w:val="21"/>
          <w:szCs w:val="21"/>
          <w:highlight w:val="none"/>
          <w:u w:val="none"/>
        </w:rPr>
        <w:t>20. 投标文件的</w:t>
      </w:r>
      <w:bookmarkEnd w:id="118"/>
      <w:r>
        <w:rPr>
          <w:rFonts w:hint="eastAsia" w:ascii="仿宋" w:hAnsi="仿宋" w:eastAsia="仿宋" w:cs="仿宋"/>
          <w:color w:val="auto"/>
          <w:sz w:val="21"/>
          <w:szCs w:val="21"/>
          <w:highlight w:val="none"/>
          <w:u w:val="none"/>
        </w:rPr>
        <w:t>符合性审查与澄清</w:t>
      </w:r>
      <w:bookmarkEnd w:id="119"/>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20.1   符合性审查是指依据招标文件的规定，从商务和技术角度对投标文件的有效性和完整性进行审查，以确定是否对招标文件的实质性要求做出响应。</w:t>
      </w:r>
      <w:bookmarkStart w:id="120" w:name="_Hlt522424701"/>
      <w:bookmarkEnd w:id="120"/>
      <w:bookmarkStart w:id="121" w:name="_Toc520356167"/>
    </w:p>
    <w:p>
      <w:pPr>
        <w:ind w:left="788" w:hanging="787" w:hangingChars="375"/>
        <w:rPr>
          <w:rFonts w:ascii="仿宋" w:hAnsi="仿宋" w:eastAsia="仿宋" w:cs="仿宋"/>
          <w:color w:val="auto"/>
          <w:szCs w:val="21"/>
          <w:highlight w:val="none"/>
        </w:rPr>
      </w:pPr>
      <w:r>
        <w:rPr>
          <w:rFonts w:hint="eastAsia" w:ascii="仿宋" w:hAnsi="仿宋" w:eastAsia="仿宋" w:cs="仿宋"/>
          <w:color w:val="auto"/>
          <w:szCs w:val="21"/>
          <w:highlight w:val="none"/>
        </w:rPr>
        <w:t>20.2   投标文件的澄清</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20.2.1 在评标期间，评标委员会将以书面方式要求投标人对其投标文件中含义不明确、对同类问题表述不一致或者有明显文字和计算错误的内容，以及评标委员会认为投标人的报价明显低于其他通过符合性审查投标人的报价，有可能影响履约的情况作必要的澄清、说明或补正。投标人的澄清、说明或补正应在评标委员会规定的时间内以书面方式进行，并不得超出投标文件范围或者改变投标文件的实质性内容。</w:t>
      </w:r>
    </w:p>
    <w:p>
      <w:pPr>
        <w:ind w:left="788" w:hanging="787" w:hangingChars="375"/>
        <w:rPr>
          <w:rFonts w:ascii="仿宋" w:hAnsi="仿宋" w:eastAsia="仿宋" w:cs="仿宋"/>
          <w:color w:val="auto"/>
          <w:szCs w:val="21"/>
          <w:highlight w:val="none"/>
        </w:rPr>
      </w:pPr>
      <w:r>
        <w:rPr>
          <w:rFonts w:hint="eastAsia" w:ascii="仿宋" w:hAnsi="仿宋" w:eastAsia="仿宋" w:cs="仿宋"/>
          <w:color w:val="auto"/>
          <w:szCs w:val="21"/>
          <w:highlight w:val="none"/>
        </w:rPr>
        <w:t>20.2.2 投标人的澄清、说明或补正将作为投标文件的一部分。</w:t>
      </w:r>
    </w:p>
    <w:p>
      <w:pPr>
        <w:ind w:left="788" w:hanging="787" w:hangingChars="375"/>
        <w:rPr>
          <w:rFonts w:ascii="仿宋" w:hAnsi="仿宋" w:eastAsia="仿宋" w:cs="仿宋"/>
          <w:color w:val="auto"/>
          <w:szCs w:val="21"/>
          <w:highlight w:val="none"/>
        </w:rPr>
      </w:pPr>
      <w:r>
        <w:rPr>
          <w:rFonts w:hint="eastAsia" w:ascii="仿宋" w:hAnsi="仿宋" w:eastAsia="仿宋" w:cs="仿宋"/>
          <w:color w:val="auto"/>
          <w:szCs w:val="21"/>
          <w:highlight w:val="none"/>
        </w:rPr>
        <w:t>20.2.3 投标文件报价出现前后不一致的，按照下列规定修正：</w:t>
      </w:r>
    </w:p>
    <w:p>
      <w:pPr>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（一）投标文件中开标一览表（报价表）内容与投标文件中相应内容不一致的，以开标一览表（报价表）为准；</w:t>
      </w:r>
    </w:p>
    <w:p>
      <w:pPr>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（二）大写金额和小写金额不一致的，以大写金额为准；</w:t>
      </w:r>
    </w:p>
    <w:p>
      <w:pPr>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（三）单价金额小数点或者百分比有明显错位的，以开标一览表的总价为准，并修改单价；</w:t>
      </w:r>
    </w:p>
    <w:p>
      <w:pPr>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（四）总价金额与按单价汇总金额不一致的，以单价金额计算结果为准。</w:t>
      </w:r>
    </w:p>
    <w:p>
      <w:pPr>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同时出现两种以上不一致的，按照前款规定的顺序修正。修正后的报价按照第20.2条的规定经投标人确认后产生约束力，投标人不确认的，其投标将被认定为</w:t>
      </w:r>
      <w:r>
        <w:rPr>
          <w:rFonts w:hint="eastAsia" w:ascii="仿宋" w:hAnsi="仿宋" w:eastAsia="仿宋" w:cs="仿宋"/>
          <w:b/>
          <w:bCs/>
          <w:color w:val="auto"/>
          <w:szCs w:val="21"/>
          <w:highlight w:val="none"/>
        </w:rPr>
        <w:t>投标无效</w:t>
      </w:r>
      <w:r>
        <w:rPr>
          <w:rFonts w:hint="eastAsia" w:ascii="仿宋" w:hAnsi="仿宋" w:eastAsia="仿宋" w:cs="仿宋"/>
          <w:color w:val="auto"/>
          <w:szCs w:val="21"/>
          <w:highlight w:val="none"/>
        </w:rPr>
        <w:t>。</w:t>
      </w:r>
    </w:p>
    <w:p>
      <w:pPr>
        <w:ind w:left="788" w:hanging="787" w:hangingChars="375"/>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对不同文字文本投标文件的解释发生异议的，以中文文本为准。</w:t>
      </w:r>
    </w:p>
    <w:p>
      <w:pPr>
        <w:ind w:left="788" w:hanging="787" w:hangingChars="375"/>
        <w:rPr>
          <w:rFonts w:ascii="仿宋" w:hAnsi="仿宋" w:eastAsia="仿宋" w:cs="仿宋"/>
          <w:color w:val="auto"/>
          <w:szCs w:val="21"/>
          <w:highlight w:val="none"/>
        </w:rPr>
      </w:pPr>
      <w:r>
        <w:rPr>
          <w:rFonts w:hint="eastAsia" w:ascii="仿宋" w:hAnsi="仿宋" w:eastAsia="仿宋" w:cs="仿宋"/>
          <w:color w:val="auto"/>
          <w:szCs w:val="21"/>
          <w:highlight w:val="none"/>
        </w:rPr>
        <w:t>20.3   如一个分包内只有一种产品，不同投标人所投产品为同一品牌的，按如下方式处理：</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20.3.1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w:t>
      </w:r>
      <w:r>
        <w:rPr>
          <w:rFonts w:hint="eastAsia" w:ascii="仿宋" w:hAnsi="仿宋" w:eastAsia="仿宋" w:cs="仿宋"/>
          <w:b/>
          <w:color w:val="auto"/>
          <w:szCs w:val="21"/>
          <w:highlight w:val="none"/>
        </w:rPr>
        <w:t>投标无效</w:t>
      </w:r>
      <w:r>
        <w:rPr>
          <w:rFonts w:hint="eastAsia" w:ascii="仿宋" w:hAnsi="仿宋" w:eastAsia="仿宋" w:cs="仿宋"/>
          <w:color w:val="auto"/>
          <w:szCs w:val="21"/>
          <w:highlight w:val="none"/>
        </w:rPr>
        <w:t>。</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20.3.2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20.4   如一个分包内包含多种产品的，采购人或采购代理机构将在</w:t>
      </w:r>
      <w:r>
        <w:rPr>
          <w:rFonts w:hint="eastAsia" w:ascii="仿宋" w:hAnsi="仿宋" w:eastAsia="仿宋" w:cs="仿宋"/>
          <w:color w:val="auto"/>
          <w:szCs w:val="21"/>
          <w:highlight w:val="none"/>
          <w:u w:val="single"/>
        </w:rPr>
        <w:t>投标须知前附表</w:t>
      </w:r>
      <w:r>
        <w:rPr>
          <w:rFonts w:hint="eastAsia" w:ascii="仿宋" w:hAnsi="仿宋" w:eastAsia="仿宋" w:cs="仿宋"/>
          <w:color w:val="auto"/>
          <w:szCs w:val="21"/>
          <w:highlight w:val="none"/>
        </w:rPr>
        <w:t>中载明核心产品，投标人提供的核心产品中只要有1个核心产品的品牌相同，相关投标人将被认定为属于提供相同品牌产品，按第20.4条规定处理。</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20.5   投标人所投产品如被列入财政部与国家主管部门颁发的节能产品或环境标志产品品目清单或无线局域网产品清单，应提供处于有效期之内认证证书等相关证明，在评标时予以优先采购，具体优先采购办法见第六章评标方法和标准。</w:t>
      </w:r>
    </w:p>
    <w:p>
      <w:pPr>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如采购人所采购产品为政府强制采购的产品，投标人所投产品应属于品目清单的强制采购部分。投标人应提供有效期内的认证证书，否则其投标将被认定为</w:t>
      </w:r>
      <w:r>
        <w:rPr>
          <w:rFonts w:hint="eastAsia" w:ascii="仿宋" w:hAnsi="仿宋" w:eastAsia="仿宋" w:cs="仿宋"/>
          <w:b/>
          <w:color w:val="auto"/>
          <w:szCs w:val="21"/>
          <w:highlight w:val="none"/>
        </w:rPr>
        <w:t>投标无效</w:t>
      </w:r>
      <w:r>
        <w:rPr>
          <w:rFonts w:hint="eastAsia" w:ascii="仿宋" w:hAnsi="仿宋" w:eastAsia="仿宋" w:cs="仿宋"/>
          <w:color w:val="auto"/>
          <w:szCs w:val="21"/>
          <w:highlight w:val="none"/>
        </w:rPr>
        <w:t>。</w:t>
      </w:r>
    </w:p>
    <w:p>
      <w:pPr>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如采购人所采购产品属于信息安全产品的，投标人所投产品应为经国家认证的信息安全产品，并提供由中国信息安全认证中心按国家标准认证颁发的有效认证证书，否则其投标将被认定为</w:t>
      </w:r>
      <w:r>
        <w:rPr>
          <w:rFonts w:hint="eastAsia" w:ascii="仿宋" w:hAnsi="仿宋" w:eastAsia="仿宋" w:cs="仿宋"/>
          <w:b/>
          <w:bCs/>
          <w:color w:val="auto"/>
          <w:szCs w:val="21"/>
          <w:highlight w:val="none"/>
        </w:rPr>
        <w:t>投标无效</w:t>
      </w:r>
      <w:r>
        <w:rPr>
          <w:rFonts w:hint="eastAsia" w:ascii="仿宋" w:hAnsi="仿宋" w:eastAsia="仿宋" w:cs="仿宋"/>
          <w:color w:val="auto"/>
          <w:szCs w:val="21"/>
          <w:highlight w:val="none"/>
        </w:rPr>
        <w:t>。</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20.6   政府采购货物、工程和服务项目中涉及商品包装和快递包装的，供应商提供产品及相关快递服务的具体包装要求请详见《商品包装政府采购需求标准（试行）》、《快递包装政府采购需求标准（试行）》。</w:t>
      </w:r>
    </w:p>
    <w:p>
      <w:pPr>
        <w:pStyle w:val="6"/>
        <w:spacing w:before="0" w:after="0"/>
        <w:ind w:left="738" w:hanging="735" w:hangingChars="350"/>
        <w:rPr>
          <w:rFonts w:ascii="仿宋" w:hAnsi="仿宋" w:eastAsia="仿宋" w:cs="仿宋"/>
          <w:color w:val="auto"/>
          <w:sz w:val="21"/>
          <w:szCs w:val="21"/>
          <w:highlight w:val="none"/>
          <w:u w:val="none"/>
        </w:rPr>
      </w:pPr>
      <w:bookmarkStart w:id="122" w:name="_Toc60830261"/>
      <w:r>
        <w:rPr>
          <w:rFonts w:hint="eastAsia" w:ascii="仿宋" w:hAnsi="仿宋" w:eastAsia="仿宋" w:cs="仿宋"/>
          <w:color w:val="auto"/>
          <w:sz w:val="21"/>
          <w:szCs w:val="21"/>
          <w:highlight w:val="none"/>
          <w:u w:val="none"/>
        </w:rPr>
        <w:t>22. 无效投标</w:t>
      </w:r>
      <w:bookmarkEnd w:id="122"/>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22.1   在比较与评价之前，根据招标文件的规定，评标委员会要审查每份投标文件是否实质上响应了招标文件的要求。实质上响应的投标应该是与招标文件要求的全部条款、条件和规格相符，没有重大偏离的投标。对关键条款的偏离、保留和反对，将被认为是实质上的偏离，其投标将被认定为</w:t>
      </w:r>
      <w:r>
        <w:rPr>
          <w:rFonts w:hint="eastAsia" w:ascii="仿宋" w:hAnsi="仿宋" w:eastAsia="仿宋" w:cs="仿宋"/>
          <w:b/>
          <w:color w:val="auto"/>
          <w:szCs w:val="21"/>
          <w:highlight w:val="none"/>
        </w:rPr>
        <w:t>投标无效</w:t>
      </w:r>
      <w:r>
        <w:rPr>
          <w:rFonts w:hint="eastAsia" w:ascii="仿宋" w:hAnsi="仿宋" w:eastAsia="仿宋" w:cs="仿宋"/>
          <w:color w:val="auto"/>
          <w:szCs w:val="21"/>
          <w:highlight w:val="none"/>
        </w:rPr>
        <w:t>。评标委员会决定投标的响应性只根据招标文件要求、投标文件内容及财政主管部门指定相关信息发布媒体。</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22.2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实质上没有响应招标文件要求的投标将被认定为</w:t>
      </w:r>
      <w:r>
        <w:rPr>
          <w:rFonts w:hint="eastAsia" w:ascii="仿宋" w:hAnsi="仿宋" w:eastAsia="仿宋" w:cs="仿宋"/>
          <w:b/>
          <w:color w:val="auto"/>
          <w:szCs w:val="21"/>
          <w:highlight w:val="none"/>
        </w:rPr>
        <w:t>投标无效</w:t>
      </w:r>
      <w:r>
        <w:rPr>
          <w:rFonts w:hint="eastAsia" w:ascii="仿宋" w:hAnsi="仿宋" w:eastAsia="仿宋" w:cs="仿宋"/>
          <w:color w:val="auto"/>
          <w:szCs w:val="21"/>
          <w:highlight w:val="none"/>
        </w:rPr>
        <w:t>。投标人不得通过修正或撤销不符合要求的偏离或保留从而使其投标成为实质上响应的投标。如发现下列情况之一的，其投标将被认定为</w:t>
      </w:r>
      <w:r>
        <w:rPr>
          <w:rFonts w:hint="eastAsia" w:ascii="仿宋" w:hAnsi="仿宋" w:eastAsia="仿宋" w:cs="仿宋"/>
          <w:b/>
          <w:color w:val="auto"/>
          <w:szCs w:val="21"/>
          <w:highlight w:val="none"/>
        </w:rPr>
        <w:t>投标无效</w:t>
      </w:r>
      <w:r>
        <w:rPr>
          <w:rFonts w:hint="eastAsia" w:ascii="仿宋" w:hAnsi="仿宋" w:eastAsia="仿宋" w:cs="仿宋"/>
          <w:color w:val="auto"/>
          <w:szCs w:val="21"/>
          <w:highlight w:val="none"/>
        </w:rPr>
        <w:t>：</w:t>
      </w:r>
    </w:p>
    <w:p>
      <w:pPr>
        <w:ind w:left="1470" w:leftChars="350"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（1）未按招标文件规定的形式和金额交纳投标保证金的；</w:t>
      </w:r>
    </w:p>
    <w:p>
      <w:pPr>
        <w:ind w:left="1470" w:leftChars="350"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（2）未按照招标文件规定要求签署、盖章的；</w:t>
      </w:r>
    </w:p>
    <w:p>
      <w:pPr>
        <w:ind w:left="1470" w:leftChars="350"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（3）未满足招标文件中技术条款的实质性要求；</w:t>
      </w:r>
    </w:p>
    <w:p>
      <w:pPr>
        <w:ind w:left="1470" w:leftChars="350"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（4）属于串通投标，或者依法被视为串通投标；</w:t>
      </w:r>
    </w:p>
    <w:p>
      <w:pPr>
        <w:ind w:left="1470" w:leftChars="350"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（5）投标文件含有采购人不能接受的附加条件的；</w:t>
      </w:r>
    </w:p>
    <w:p>
      <w:pPr>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（6）评标委员会认为投标人的报价明显低于其他通过符合性检查投标人的报价，有可能影响履约的，且投标人未按照规定证明其报价合理性的；</w:t>
      </w:r>
    </w:p>
    <w:p>
      <w:pPr>
        <w:ind w:left="1470" w:leftChars="350"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（7）属于招标文件规定的其他无效投标情形；</w:t>
      </w:r>
    </w:p>
    <w:p>
      <w:pPr>
        <w:tabs>
          <w:tab w:val="left" w:pos="0"/>
        </w:tabs>
        <w:ind w:left="1470" w:leftChars="350"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（8）不符合法规和招标文件中规定的其他实质性要求的。</w:t>
      </w:r>
    </w:p>
    <w:bookmarkEnd w:id="121"/>
    <w:p>
      <w:pPr>
        <w:pStyle w:val="6"/>
        <w:spacing w:before="0" w:after="0"/>
        <w:rPr>
          <w:rFonts w:ascii="仿宋" w:hAnsi="仿宋" w:eastAsia="仿宋" w:cs="仿宋"/>
          <w:color w:val="auto"/>
          <w:sz w:val="21"/>
          <w:szCs w:val="21"/>
          <w:highlight w:val="none"/>
          <w:u w:val="none"/>
        </w:rPr>
      </w:pPr>
      <w:bookmarkStart w:id="123" w:name="_Toc520356168"/>
      <w:bookmarkStart w:id="124" w:name="_Toc60830263"/>
      <w:r>
        <w:rPr>
          <w:rFonts w:hint="eastAsia" w:ascii="仿宋" w:hAnsi="仿宋" w:eastAsia="仿宋" w:cs="仿宋"/>
          <w:color w:val="auto"/>
          <w:sz w:val="21"/>
          <w:szCs w:val="21"/>
          <w:highlight w:val="none"/>
          <w:u w:val="none"/>
        </w:rPr>
        <w:t>24</w:t>
      </w:r>
      <w:bookmarkEnd w:id="123"/>
      <w:r>
        <w:rPr>
          <w:rFonts w:hint="eastAsia" w:ascii="仿宋" w:hAnsi="仿宋" w:eastAsia="仿宋" w:cs="仿宋"/>
          <w:color w:val="auto"/>
          <w:sz w:val="21"/>
          <w:szCs w:val="21"/>
          <w:highlight w:val="none"/>
          <w:u w:val="none"/>
        </w:rPr>
        <w:t>. 废标</w:t>
      </w:r>
      <w:bookmarkEnd w:id="124"/>
    </w:p>
    <w:p>
      <w:pPr>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出现下列情形之一，将导致项目废标即本项目的所有</w:t>
      </w:r>
      <w:r>
        <w:rPr>
          <w:rFonts w:hint="eastAsia" w:ascii="仿宋" w:hAnsi="仿宋" w:eastAsia="仿宋" w:cs="仿宋"/>
          <w:b/>
          <w:color w:val="auto"/>
          <w:szCs w:val="21"/>
          <w:highlight w:val="none"/>
        </w:rPr>
        <w:t>投标被拒绝</w:t>
      </w:r>
      <w:r>
        <w:rPr>
          <w:rFonts w:hint="eastAsia" w:ascii="仿宋" w:hAnsi="仿宋" w:eastAsia="仿宋" w:cs="仿宋"/>
          <w:color w:val="auto"/>
          <w:szCs w:val="21"/>
          <w:highlight w:val="none"/>
        </w:rPr>
        <w:t xml:space="preserve">： </w:t>
      </w:r>
    </w:p>
    <w:p>
      <w:pPr>
        <w:pStyle w:val="11"/>
        <w:ind w:left="898" w:leftChars="342" w:hanging="180"/>
        <w:rPr>
          <w:rFonts w:ascii="仿宋" w:hAnsi="仿宋" w:eastAsia="仿宋" w:cs="仿宋"/>
          <w:color w:val="auto"/>
          <w:szCs w:val="21"/>
          <w:highlight w:val="none"/>
        </w:rPr>
      </w:pPr>
      <w:r>
        <w:rPr>
          <w:rFonts w:hint="eastAsia" w:ascii="仿宋" w:hAnsi="仿宋" w:eastAsia="仿宋" w:cs="仿宋"/>
          <w:color w:val="auto"/>
          <w:szCs w:val="21"/>
          <w:highlight w:val="none"/>
        </w:rPr>
        <w:t>（1）符合专业条件的供应商或者对招标文件做实质性响应的供应商不足三家；</w:t>
      </w:r>
    </w:p>
    <w:p>
      <w:pPr>
        <w:pStyle w:val="11"/>
        <w:ind w:left="898" w:leftChars="342" w:hanging="180"/>
        <w:rPr>
          <w:rFonts w:ascii="仿宋" w:hAnsi="仿宋" w:eastAsia="仿宋" w:cs="仿宋"/>
          <w:color w:val="auto"/>
          <w:szCs w:val="21"/>
          <w:highlight w:val="none"/>
        </w:rPr>
      </w:pPr>
      <w:r>
        <w:rPr>
          <w:rFonts w:hint="eastAsia" w:ascii="仿宋" w:hAnsi="仿宋" w:eastAsia="仿宋" w:cs="仿宋"/>
          <w:color w:val="auto"/>
          <w:szCs w:val="21"/>
          <w:highlight w:val="none"/>
        </w:rPr>
        <w:t>（2）出现影响采购公正的违法、违规行为的；</w:t>
      </w:r>
    </w:p>
    <w:p>
      <w:pPr>
        <w:pStyle w:val="11"/>
        <w:ind w:left="898" w:leftChars="342" w:hanging="180"/>
        <w:rPr>
          <w:rFonts w:ascii="仿宋" w:hAnsi="仿宋" w:eastAsia="仿宋" w:cs="仿宋"/>
          <w:color w:val="auto"/>
          <w:szCs w:val="21"/>
          <w:highlight w:val="none"/>
        </w:rPr>
      </w:pPr>
      <w:r>
        <w:rPr>
          <w:rFonts w:hint="eastAsia" w:ascii="仿宋" w:hAnsi="仿宋" w:eastAsia="仿宋" w:cs="仿宋"/>
          <w:color w:val="auto"/>
          <w:szCs w:val="21"/>
          <w:highlight w:val="none"/>
        </w:rPr>
        <w:t>（3）投标人的报价均超过了采购预算，采购人不能支付的；</w:t>
      </w:r>
    </w:p>
    <w:p>
      <w:pPr>
        <w:pStyle w:val="11"/>
        <w:ind w:left="898" w:leftChars="342" w:hanging="18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（4）因重大变故，采购任务取消的。   </w:t>
      </w:r>
    </w:p>
    <w:p>
      <w:pPr>
        <w:pStyle w:val="6"/>
        <w:spacing w:before="0" w:after="0"/>
        <w:rPr>
          <w:rFonts w:ascii="仿宋" w:hAnsi="仿宋" w:eastAsia="仿宋" w:cs="仿宋"/>
          <w:color w:val="auto"/>
          <w:sz w:val="21"/>
          <w:szCs w:val="21"/>
          <w:highlight w:val="none"/>
          <w:u w:val="none"/>
        </w:rPr>
      </w:pPr>
      <w:bookmarkStart w:id="125" w:name="_Toc60830264"/>
      <w:bookmarkStart w:id="126" w:name="_Toc520356169"/>
      <w:r>
        <w:rPr>
          <w:rFonts w:hint="eastAsia" w:ascii="仿宋" w:hAnsi="仿宋" w:eastAsia="仿宋" w:cs="仿宋"/>
          <w:color w:val="auto"/>
          <w:sz w:val="21"/>
          <w:szCs w:val="21"/>
          <w:highlight w:val="none"/>
          <w:u w:val="none"/>
        </w:rPr>
        <w:t>25. 保密原则</w:t>
      </w:r>
      <w:bookmarkEnd w:id="125"/>
    </w:p>
    <w:p>
      <w:pPr>
        <w:pStyle w:val="11"/>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25.1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评标将在严格保密的情况下进行。</w:t>
      </w:r>
    </w:p>
    <w:p>
      <w:pPr>
        <w:pStyle w:val="11"/>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25.2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政府采购评审专家应当遵守评审工作纪律，不得泄露评审文件、评审情况和评审中获悉的商业秘密。</w:t>
      </w:r>
    </w:p>
    <w:p>
      <w:pPr>
        <w:pStyle w:val="4"/>
        <w:spacing w:before="156" w:beforeLines="50" w:after="156" w:afterLines="50" w:line="360" w:lineRule="auto"/>
        <w:rPr>
          <w:rFonts w:ascii="仿宋" w:hAnsi="仿宋" w:eastAsia="仿宋" w:cs="仿宋"/>
          <w:color w:val="auto"/>
          <w:sz w:val="28"/>
          <w:highlight w:val="none"/>
        </w:rPr>
      </w:pPr>
      <w:bookmarkStart w:id="127" w:name="_Toc216582810"/>
      <w:bookmarkStart w:id="128" w:name="_Toc10837"/>
      <w:bookmarkStart w:id="129" w:name="_Toc60830265"/>
      <w:r>
        <w:rPr>
          <w:rFonts w:hint="eastAsia" w:ascii="仿宋" w:hAnsi="仿宋" w:eastAsia="仿宋" w:cs="仿宋"/>
          <w:color w:val="auto"/>
          <w:sz w:val="28"/>
          <w:highlight w:val="none"/>
        </w:rPr>
        <w:t xml:space="preserve">六   </w:t>
      </w:r>
      <w:bookmarkEnd w:id="126"/>
      <w:r>
        <w:rPr>
          <w:rFonts w:hint="eastAsia" w:ascii="仿宋" w:hAnsi="仿宋" w:eastAsia="仿宋" w:cs="仿宋"/>
          <w:color w:val="auto"/>
          <w:sz w:val="28"/>
          <w:highlight w:val="none"/>
        </w:rPr>
        <w:t>确定中标</w:t>
      </w:r>
      <w:bookmarkEnd w:id="127"/>
      <w:bookmarkEnd w:id="128"/>
      <w:bookmarkEnd w:id="129"/>
    </w:p>
    <w:p>
      <w:pPr>
        <w:pStyle w:val="5"/>
        <w:rPr>
          <w:rFonts w:ascii="仿宋" w:hAnsi="仿宋" w:eastAsia="仿宋" w:cs="仿宋"/>
          <w:color w:val="auto"/>
          <w:highlight w:val="none"/>
        </w:rPr>
      </w:pPr>
    </w:p>
    <w:p>
      <w:pPr>
        <w:pStyle w:val="6"/>
        <w:spacing w:before="0" w:after="0"/>
        <w:ind w:left="738" w:hanging="735" w:hangingChars="350"/>
        <w:rPr>
          <w:rFonts w:ascii="仿宋" w:hAnsi="仿宋" w:eastAsia="仿宋" w:cs="仿宋"/>
          <w:color w:val="auto"/>
          <w:sz w:val="21"/>
          <w:szCs w:val="21"/>
          <w:highlight w:val="none"/>
          <w:u w:val="none"/>
        </w:rPr>
      </w:pPr>
      <w:bookmarkStart w:id="130" w:name="_Toc520356170"/>
      <w:bookmarkStart w:id="131" w:name="_Ref467307010"/>
      <w:bookmarkStart w:id="132" w:name="_Toc60830266"/>
      <w:r>
        <w:rPr>
          <w:rFonts w:hint="eastAsia" w:ascii="仿宋" w:hAnsi="仿宋" w:eastAsia="仿宋" w:cs="仿宋"/>
          <w:color w:val="auto"/>
          <w:sz w:val="21"/>
          <w:szCs w:val="21"/>
          <w:highlight w:val="none"/>
          <w:u w:val="none"/>
        </w:rPr>
        <w:t>26. 中标候选人的确定原则及标准</w:t>
      </w:r>
      <w:bookmarkEnd w:id="130"/>
      <w:bookmarkEnd w:id="131"/>
      <w:bookmarkEnd w:id="132"/>
    </w:p>
    <w:p>
      <w:pPr>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除评标委员会受采购人委托直接确定中标人的情形外，对实质上响应招标文件的投标人按下列方法进行排序，确定中标候选人：</w:t>
      </w:r>
    </w:p>
    <w:p>
      <w:pPr>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（1）采用最低评标价法的，除了算数修正和落实政府采购政策需进行的价格扣除外，不对投标人的投标价格进行任何调整。评标结果按投标报价由低到高顺序排列。报价相同的并列（详见第九章）。</w:t>
      </w:r>
    </w:p>
    <w:p>
      <w:pPr>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（2）采用综合评分法的，评标结果按评审后得分由高到低顺序排列。得分相同的，按投标报价由低到高顺序排列。得分与投标报价均相同的并列（详见第九章）。</w:t>
      </w:r>
    </w:p>
    <w:p>
      <w:pPr>
        <w:pStyle w:val="6"/>
        <w:spacing w:before="0" w:after="0"/>
        <w:ind w:left="738" w:hanging="735" w:hangingChars="350"/>
        <w:rPr>
          <w:rFonts w:ascii="仿宋" w:hAnsi="仿宋" w:eastAsia="仿宋" w:cs="仿宋"/>
          <w:color w:val="auto"/>
          <w:sz w:val="21"/>
          <w:szCs w:val="21"/>
          <w:highlight w:val="none"/>
          <w:u w:val="none"/>
        </w:rPr>
      </w:pPr>
      <w:bookmarkStart w:id="133" w:name="_Toc520356171"/>
      <w:bookmarkStart w:id="134" w:name="_Toc60830267"/>
      <w:r>
        <w:rPr>
          <w:rFonts w:hint="eastAsia" w:ascii="仿宋" w:hAnsi="仿宋" w:eastAsia="仿宋" w:cs="仿宋"/>
          <w:color w:val="auto"/>
          <w:sz w:val="21"/>
          <w:szCs w:val="21"/>
          <w:highlight w:val="none"/>
          <w:u w:val="none"/>
        </w:rPr>
        <w:t>27</w:t>
      </w:r>
      <w:bookmarkEnd w:id="133"/>
      <w:r>
        <w:rPr>
          <w:rFonts w:hint="eastAsia" w:ascii="仿宋" w:hAnsi="仿宋" w:eastAsia="仿宋" w:cs="仿宋"/>
          <w:color w:val="auto"/>
          <w:sz w:val="21"/>
          <w:szCs w:val="21"/>
          <w:highlight w:val="none"/>
          <w:u w:val="none"/>
        </w:rPr>
        <w:t>. 确定中标候选人和中标人</w:t>
      </w:r>
      <w:bookmarkEnd w:id="134"/>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27.1   评标委员会将根据评标标准，按</w:t>
      </w:r>
      <w:r>
        <w:rPr>
          <w:rFonts w:hint="eastAsia" w:ascii="仿宋" w:hAnsi="仿宋" w:eastAsia="仿宋" w:cs="仿宋"/>
          <w:color w:val="auto"/>
          <w:szCs w:val="21"/>
          <w:highlight w:val="none"/>
          <w:u w:val="single"/>
        </w:rPr>
        <w:t>投标须知前附表</w:t>
      </w:r>
      <w:r>
        <w:rPr>
          <w:rFonts w:hint="eastAsia" w:ascii="仿宋" w:hAnsi="仿宋" w:eastAsia="仿宋" w:cs="仿宋"/>
          <w:color w:val="auto"/>
          <w:szCs w:val="21"/>
          <w:highlight w:val="none"/>
        </w:rPr>
        <w:t>中规定数量推荐中标候选人。</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27.2   按</w:t>
      </w:r>
      <w:r>
        <w:rPr>
          <w:rFonts w:hint="eastAsia" w:ascii="仿宋" w:hAnsi="仿宋" w:eastAsia="仿宋" w:cs="仿宋"/>
          <w:color w:val="auto"/>
          <w:szCs w:val="21"/>
          <w:highlight w:val="none"/>
          <w:u w:val="single"/>
        </w:rPr>
        <w:t>投标须知前附表</w:t>
      </w:r>
      <w:r>
        <w:rPr>
          <w:rFonts w:hint="eastAsia" w:ascii="仿宋" w:hAnsi="仿宋" w:eastAsia="仿宋" w:cs="仿宋"/>
          <w:color w:val="auto"/>
          <w:szCs w:val="21"/>
          <w:highlight w:val="none"/>
        </w:rPr>
        <w:t>中规定，由评标委员会直接确定中标人。</w:t>
      </w:r>
      <w:bookmarkStart w:id="135" w:name="_Toc520356174"/>
    </w:p>
    <w:p>
      <w:pPr>
        <w:pStyle w:val="6"/>
        <w:tabs>
          <w:tab w:val="left" w:pos="900"/>
        </w:tabs>
        <w:spacing w:before="0" w:after="0"/>
        <w:ind w:left="738" w:hanging="735" w:hangingChars="350"/>
        <w:rPr>
          <w:rFonts w:ascii="仿宋" w:hAnsi="仿宋" w:eastAsia="仿宋" w:cs="仿宋"/>
          <w:color w:val="auto"/>
          <w:sz w:val="21"/>
          <w:szCs w:val="21"/>
          <w:highlight w:val="none"/>
          <w:u w:val="none"/>
        </w:rPr>
      </w:pPr>
      <w:bookmarkStart w:id="136" w:name="_Toc60830268"/>
      <w:bookmarkStart w:id="137" w:name="_Toc2582296"/>
      <w:bookmarkStart w:id="138" w:name="_Toc30170"/>
      <w:bookmarkStart w:id="139" w:name="_Toc515647791"/>
      <w:bookmarkStart w:id="140" w:name="_Toc532473483"/>
      <w:bookmarkStart w:id="141" w:name="_Toc31099"/>
      <w:r>
        <w:rPr>
          <w:rFonts w:hint="eastAsia" w:ascii="仿宋" w:hAnsi="仿宋" w:eastAsia="仿宋" w:cs="仿宋"/>
          <w:color w:val="auto"/>
          <w:sz w:val="21"/>
          <w:szCs w:val="21"/>
          <w:highlight w:val="none"/>
          <w:u w:val="none"/>
        </w:rPr>
        <w:t>28. 发出中标通知书</w:t>
      </w:r>
      <w:bookmarkEnd w:id="136"/>
      <w:bookmarkEnd w:id="137"/>
    </w:p>
    <w:p>
      <w:pPr>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在投标有效期内，中标人确定后，采购人或者采购代理机构发布中标公告。在公告中标结果的同时，向中标人发出中标通知书，中标通知书是合同的组成部分。</w:t>
      </w:r>
    </w:p>
    <w:p>
      <w:pPr>
        <w:pStyle w:val="6"/>
        <w:spacing w:before="0" w:after="0"/>
        <w:ind w:left="738" w:hanging="735" w:hangingChars="350"/>
        <w:rPr>
          <w:rFonts w:ascii="仿宋" w:hAnsi="仿宋" w:eastAsia="仿宋" w:cs="仿宋"/>
          <w:color w:val="auto"/>
          <w:sz w:val="21"/>
          <w:szCs w:val="21"/>
          <w:highlight w:val="none"/>
        </w:rPr>
      </w:pPr>
      <w:bookmarkStart w:id="142" w:name="_Toc2582297"/>
      <w:bookmarkStart w:id="143" w:name="_Toc60830269"/>
      <w:r>
        <w:rPr>
          <w:rFonts w:hint="eastAsia" w:ascii="仿宋" w:hAnsi="仿宋" w:eastAsia="仿宋" w:cs="仿宋"/>
          <w:color w:val="auto"/>
          <w:sz w:val="21"/>
          <w:szCs w:val="21"/>
          <w:highlight w:val="none"/>
          <w:u w:val="none"/>
        </w:rPr>
        <w:t>29. 告知招标结果</w:t>
      </w:r>
      <w:bookmarkEnd w:id="142"/>
      <w:bookmarkEnd w:id="143"/>
    </w:p>
    <w:p>
      <w:pPr>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在公告中标结果的同时，告知未通过资格审查投标人未通过的原因；采用综合评分法评审的，还将告知未中标人本人的评审得分和排序。</w:t>
      </w:r>
      <w:bookmarkEnd w:id="138"/>
      <w:bookmarkEnd w:id="139"/>
      <w:bookmarkEnd w:id="140"/>
      <w:bookmarkEnd w:id="141"/>
    </w:p>
    <w:bookmarkEnd w:id="135"/>
    <w:p>
      <w:pPr>
        <w:pStyle w:val="6"/>
        <w:spacing w:before="0" w:after="0"/>
        <w:ind w:left="738" w:hanging="735" w:hangingChars="350"/>
        <w:rPr>
          <w:rFonts w:ascii="仿宋" w:hAnsi="仿宋" w:eastAsia="仿宋" w:cs="仿宋"/>
          <w:color w:val="auto"/>
          <w:sz w:val="21"/>
          <w:szCs w:val="21"/>
          <w:highlight w:val="none"/>
          <w:u w:val="none"/>
        </w:rPr>
      </w:pPr>
      <w:bookmarkStart w:id="144" w:name="_Ref467307204"/>
      <w:bookmarkStart w:id="145" w:name="_Toc520356175"/>
      <w:bookmarkStart w:id="146" w:name="_Ref467306377"/>
      <w:bookmarkStart w:id="147" w:name="_Ref467307062"/>
      <w:bookmarkStart w:id="148" w:name="_Ref467306978"/>
      <w:bookmarkStart w:id="149" w:name="_Toc60830270"/>
      <w:r>
        <w:rPr>
          <w:rFonts w:hint="eastAsia" w:ascii="仿宋" w:hAnsi="仿宋" w:eastAsia="仿宋" w:cs="仿宋"/>
          <w:color w:val="auto"/>
          <w:sz w:val="21"/>
          <w:szCs w:val="21"/>
          <w:highlight w:val="none"/>
          <w:u w:val="none"/>
        </w:rPr>
        <w:t>30. 签订合同</w:t>
      </w:r>
      <w:bookmarkEnd w:id="144"/>
      <w:bookmarkEnd w:id="145"/>
      <w:bookmarkEnd w:id="146"/>
      <w:bookmarkEnd w:id="147"/>
      <w:bookmarkEnd w:id="148"/>
      <w:bookmarkEnd w:id="149"/>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30.1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中标人应当自发出中标通知书之日起30日内，与采购人签订合同。</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30.2</w:t>
      </w:r>
      <w:r>
        <w:rPr>
          <w:rFonts w:hint="eastAsia" w:ascii="仿宋" w:hAnsi="仿宋" w:eastAsia="仿宋" w:cs="仿宋"/>
          <w:color w:val="auto"/>
          <w:szCs w:val="21"/>
          <w:highlight w:val="none"/>
        </w:rPr>
        <w:tab/>
      </w:r>
      <w:bookmarkStart w:id="150" w:name="_Ref467307090"/>
      <w:bookmarkStart w:id="151" w:name="_Ref467306425"/>
      <w:bookmarkStart w:id="152" w:name="_Toc520356176"/>
      <w:r>
        <w:rPr>
          <w:rFonts w:hint="eastAsia" w:ascii="仿宋" w:hAnsi="仿宋" w:eastAsia="仿宋" w:cs="仿宋"/>
          <w:color w:val="auto"/>
          <w:szCs w:val="21"/>
          <w:highlight w:val="none"/>
        </w:rPr>
        <w:t>招标文件、中标人的投标文件及其澄清文件等，均为签订合同的依据。</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30.3   中标人拒绝与采购人签订合同的，采购人可以按照评审报告推荐的中标候选人名单排序，确定下一候选人为中标人，也可以重新开展政府采购活动。</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30.4   当出现法规规定的中标无效或中标结果无效情形时，采购人可与排名下一位的中标候选人另行签订合同，或依法重新开展采购活动。</w:t>
      </w:r>
    </w:p>
    <w:p>
      <w:pPr>
        <w:pStyle w:val="6"/>
        <w:spacing w:before="0" w:after="0"/>
        <w:ind w:left="738" w:hanging="735" w:hangingChars="350"/>
        <w:rPr>
          <w:rFonts w:ascii="仿宋" w:hAnsi="仿宋" w:eastAsia="仿宋" w:cs="仿宋"/>
          <w:color w:val="auto"/>
          <w:sz w:val="21"/>
          <w:szCs w:val="21"/>
          <w:highlight w:val="none"/>
          <w:u w:val="none"/>
        </w:rPr>
      </w:pPr>
      <w:bookmarkStart w:id="153" w:name="_Toc60830271"/>
      <w:r>
        <w:rPr>
          <w:rFonts w:hint="eastAsia" w:ascii="仿宋" w:hAnsi="仿宋" w:eastAsia="仿宋" w:cs="仿宋"/>
          <w:color w:val="auto"/>
          <w:sz w:val="21"/>
          <w:szCs w:val="21"/>
          <w:highlight w:val="none"/>
          <w:u w:val="none"/>
        </w:rPr>
        <w:t>31. 履约保证金</w:t>
      </w:r>
      <w:bookmarkEnd w:id="150"/>
      <w:bookmarkEnd w:id="151"/>
      <w:bookmarkEnd w:id="152"/>
      <w:bookmarkEnd w:id="153"/>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31.1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中标人应按照</w:t>
      </w:r>
      <w:r>
        <w:rPr>
          <w:rFonts w:hint="eastAsia" w:ascii="仿宋" w:hAnsi="仿宋" w:eastAsia="仿宋" w:cs="仿宋"/>
          <w:color w:val="auto"/>
          <w:szCs w:val="21"/>
          <w:highlight w:val="none"/>
          <w:u w:val="single"/>
        </w:rPr>
        <w:t>投标须知前附表</w:t>
      </w:r>
      <w:r>
        <w:rPr>
          <w:rFonts w:hint="eastAsia" w:ascii="仿宋" w:hAnsi="仿宋" w:eastAsia="仿宋" w:cs="仿宋"/>
          <w:color w:val="auto"/>
          <w:szCs w:val="21"/>
          <w:highlight w:val="none"/>
        </w:rPr>
        <w:t>规定的金额、形式和时间向采购人缴纳履约保证金（如采用保函形式，格式见本章附件1）。经采购人同意，中标人也可以自愿采用其他履约保证金的提供方式。</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31.2</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中标人除31.1规定的情形外，也可以按照财政部门的规定，向采购人提供合格的履约担保函（格式见本章附件2）。</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31.3   如果中标人没有按照上述第30条或31.1条的规定执行，将视为放弃中标资格，中标人的投标保证金将被没收。在此情况下，采购人可确定下一候选人为中标人，也可以重新开展政府采购活动。</w:t>
      </w:r>
    </w:p>
    <w:p>
      <w:pPr>
        <w:pStyle w:val="6"/>
        <w:spacing w:before="0" w:after="0"/>
        <w:ind w:left="738" w:hanging="735" w:hangingChars="350"/>
        <w:rPr>
          <w:rFonts w:ascii="仿宋" w:hAnsi="仿宋" w:eastAsia="仿宋" w:cs="仿宋"/>
          <w:color w:val="auto"/>
          <w:sz w:val="21"/>
          <w:szCs w:val="21"/>
          <w:highlight w:val="none"/>
          <w:u w:val="none"/>
        </w:rPr>
      </w:pPr>
      <w:bookmarkStart w:id="154" w:name="_Toc518923098"/>
      <w:bookmarkStart w:id="155" w:name="_Toc60830272"/>
      <w:r>
        <w:rPr>
          <w:rFonts w:hint="eastAsia" w:ascii="仿宋" w:hAnsi="仿宋" w:eastAsia="仿宋" w:cs="仿宋"/>
          <w:color w:val="auto"/>
          <w:sz w:val="21"/>
          <w:szCs w:val="21"/>
          <w:highlight w:val="none"/>
          <w:u w:val="none"/>
        </w:rPr>
        <w:t>32</w:t>
      </w:r>
      <w:bookmarkEnd w:id="154"/>
      <w:r>
        <w:rPr>
          <w:rFonts w:hint="eastAsia" w:ascii="仿宋" w:hAnsi="仿宋" w:eastAsia="仿宋" w:cs="仿宋"/>
          <w:color w:val="auto"/>
          <w:sz w:val="21"/>
          <w:szCs w:val="21"/>
          <w:highlight w:val="none"/>
          <w:u w:val="none"/>
        </w:rPr>
        <w:t>. 预付款</w:t>
      </w:r>
      <w:bookmarkEnd w:id="155"/>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32.1   政府采购合同签订后，采购人向中标人预先支付部分合同款项，预付款金额为政府采购合同标的总金额的比例见</w:t>
      </w:r>
      <w:r>
        <w:rPr>
          <w:rFonts w:hint="eastAsia" w:ascii="仿宋" w:hAnsi="仿宋" w:eastAsia="仿宋" w:cs="仿宋"/>
          <w:color w:val="auto"/>
          <w:szCs w:val="21"/>
          <w:highlight w:val="none"/>
          <w:u w:val="single"/>
        </w:rPr>
        <w:t>投标须知资料表</w:t>
      </w:r>
      <w:r>
        <w:rPr>
          <w:rFonts w:hint="eastAsia" w:ascii="仿宋" w:hAnsi="仿宋" w:eastAsia="仿宋" w:cs="仿宋"/>
          <w:color w:val="auto"/>
          <w:szCs w:val="21"/>
          <w:highlight w:val="none"/>
        </w:rPr>
        <w:t>。如需提高预付款比例或者中标人为中小企业，预付款提高比例按照</w:t>
      </w:r>
      <w:r>
        <w:rPr>
          <w:rFonts w:hint="eastAsia" w:ascii="仿宋" w:hAnsi="仿宋" w:eastAsia="仿宋" w:cs="仿宋"/>
          <w:color w:val="auto"/>
          <w:szCs w:val="21"/>
          <w:highlight w:val="none"/>
          <w:u w:val="single"/>
        </w:rPr>
        <w:t>投标须知资料表</w:t>
      </w:r>
      <w:r>
        <w:rPr>
          <w:rFonts w:hint="eastAsia" w:ascii="仿宋" w:hAnsi="仿宋" w:eastAsia="仿宋" w:cs="仿宋"/>
          <w:color w:val="auto"/>
          <w:szCs w:val="21"/>
          <w:highlight w:val="none"/>
        </w:rPr>
        <w:t>规定执行。</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32.2   中标人在收到预付款前，需向采购人提供预付款保函。预付款保函是指中标人向银行或者有资质的专业的担保机构申请，由其向采购人出具的确保预付款直接或者间接用于政府采购合同履约或者保障政府采购履约质量的银行保函或者担保保函等。</w:t>
      </w:r>
    </w:p>
    <w:p>
      <w:pPr>
        <w:ind w:left="735" w:hanging="735" w:hangingChars="350"/>
        <w:rPr>
          <w:rFonts w:ascii="仿宋" w:hAnsi="仿宋" w:eastAsia="仿宋" w:cs="仿宋"/>
          <w:color w:val="auto"/>
          <w:szCs w:val="21"/>
          <w:highlight w:val="none"/>
          <w:u w:val="single"/>
        </w:rPr>
      </w:pPr>
      <w:r>
        <w:rPr>
          <w:rFonts w:hint="eastAsia" w:ascii="仿宋" w:hAnsi="仿宋" w:eastAsia="仿宋" w:cs="仿宋"/>
          <w:color w:val="auto"/>
          <w:szCs w:val="21"/>
          <w:highlight w:val="none"/>
        </w:rPr>
        <w:t>32.3   本项目采购人不需要支付预付款的情形，见</w:t>
      </w:r>
      <w:r>
        <w:rPr>
          <w:rFonts w:hint="eastAsia" w:ascii="仿宋" w:hAnsi="仿宋" w:eastAsia="仿宋" w:cs="仿宋"/>
          <w:color w:val="auto"/>
          <w:szCs w:val="21"/>
          <w:highlight w:val="none"/>
          <w:u w:val="single"/>
        </w:rPr>
        <w:t>投标须知资料表。</w:t>
      </w:r>
    </w:p>
    <w:p>
      <w:pPr>
        <w:pStyle w:val="6"/>
        <w:spacing w:before="0" w:after="0"/>
        <w:ind w:left="738" w:hanging="735" w:hangingChars="350"/>
        <w:rPr>
          <w:rFonts w:ascii="仿宋" w:hAnsi="仿宋" w:eastAsia="仿宋" w:cs="仿宋"/>
          <w:color w:val="auto"/>
          <w:sz w:val="21"/>
          <w:szCs w:val="21"/>
          <w:highlight w:val="none"/>
          <w:u w:val="none"/>
        </w:rPr>
      </w:pPr>
      <w:bookmarkStart w:id="156" w:name="_Toc60830273"/>
      <w:r>
        <w:rPr>
          <w:rFonts w:hint="eastAsia" w:ascii="仿宋" w:hAnsi="仿宋" w:eastAsia="仿宋" w:cs="仿宋"/>
          <w:color w:val="auto"/>
          <w:sz w:val="21"/>
          <w:szCs w:val="21"/>
          <w:highlight w:val="none"/>
          <w:u w:val="none"/>
        </w:rPr>
        <w:t>33. 招标代理费</w:t>
      </w:r>
      <w:bookmarkEnd w:id="156"/>
    </w:p>
    <w:p>
      <w:pPr>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本项目是否由中标人向采购代理机构支付招标代理费，按照</w:t>
      </w:r>
      <w:r>
        <w:rPr>
          <w:rFonts w:hint="eastAsia" w:ascii="仿宋" w:hAnsi="仿宋" w:eastAsia="仿宋" w:cs="仿宋"/>
          <w:color w:val="auto"/>
          <w:szCs w:val="21"/>
          <w:highlight w:val="none"/>
          <w:u w:val="single"/>
        </w:rPr>
        <w:t>投标须知资料表</w:t>
      </w:r>
      <w:r>
        <w:rPr>
          <w:rFonts w:hint="eastAsia" w:ascii="仿宋" w:hAnsi="仿宋" w:eastAsia="仿宋" w:cs="仿宋"/>
          <w:color w:val="auto"/>
          <w:szCs w:val="21"/>
          <w:highlight w:val="none"/>
        </w:rPr>
        <w:t>规定执行。</w:t>
      </w:r>
    </w:p>
    <w:p>
      <w:pPr>
        <w:pStyle w:val="6"/>
        <w:spacing w:before="0" w:after="0"/>
        <w:ind w:left="738" w:hanging="735" w:hangingChars="350"/>
        <w:rPr>
          <w:rFonts w:ascii="仿宋" w:hAnsi="仿宋" w:eastAsia="仿宋" w:cs="仿宋"/>
          <w:color w:val="auto"/>
          <w:sz w:val="21"/>
          <w:szCs w:val="21"/>
          <w:highlight w:val="none"/>
          <w:u w:val="none"/>
        </w:rPr>
      </w:pPr>
      <w:bookmarkStart w:id="157" w:name="_Toc60830274"/>
      <w:r>
        <w:rPr>
          <w:rFonts w:hint="eastAsia" w:ascii="仿宋" w:hAnsi="仿宋" w:eastAsia="仿宋" w:cs="仿宋"/>
          <w:color w:val="auto"/>
          <w:sz w:val="21"/>
          <w:szCs w:val="21"/>
          <w:highlight w:val="none"/>
          <w:u w:val="none"/>
        </w:rPr>
        <w:t>34. 政府采购信用担保</w:t>
      </w:r>
      <w:bookmarkEnd w:id="157"/>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34.1   中小型企业投标人可以自由按照财政部门的规定，采用投标担保、履约担保和融资担保。</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34.2   投标人递交的投标担保函和履约担保函应符合本招标文件的规定。</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34.3   投标人可以采取融资担保的形式为政府采购项目履约进行融资。</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34.4   合格的政府采购专业信用担保公司名单见第五章投标须知前附表。</w:t>
      </w:r>
    </w:p>
    <w:p>
      <w:pPr>
        <w:pStyle w:val="6"/>
        <w:spacing w:before="0" w:after="0"/>
        <w:ind w:left="738" w:hanging="735" w:hangingChars="350"/>
        <w:rPr>
          <w:rFonts w:ascii="仿宋" w:hAnsi="仿宋" w:eastAsia="仿宋" w:cs="仿宋"/>
          <w:color w:val="auto"/>
          <w:sz w:val="21"/>
          <w:szCs w:val="21"/>
          <w:highlight w:val="none"/>
          <w:u w:val="none"/>
        </w:rPr>
      </w:pPr>
      <w:bookmarkStart w:id="158" w:name="_Toc60830275"/>
      <w:bookmarkStart w:id="159" w:name="_Toc518923100"/>
      <w:bookmarkStart w:id="160" w:name="_Toc2583661"/>
      <w:r>
        <w:rPr>
          <w:rFonts w:hint="eastAsia" w:ascii="仿宋" w:hAnsi="仿宋" w:eastAsia="仿宋" w:cs="仿宋"/>
          <w:color w:val="auto"/>
          <w:sz w:val="21"/>
          <w:szCs w:val="21"/>
          <w:highlight w:val="none"/>
          <w:u w:val="none"/>
        </w:rPr>
        <w:t>35. 廉洁自律规定</w:t>
      </w:r>
      <w:bookmarkEnd w:id="158"/>
      <w:bookmarkEnd w:id="159"/>
      <w:bookmarkEnd w:id="160"/>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35.1   采购代理机构工作人员不得以不正当手段获取政府采购代理业务，不得与采购人、供应商恶意串通。</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35.2   采购代理机构工作人员不得接受采购人或者供应商组织的宴请、旅游、娱乐，不得收受礼品、现金、有价证券等，不得向采购人或者供应商报销应当由个人承担的费用。</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35.3   为强化内部监督机制，供应商可按</w:t>
      </w:r>
      <w:r>
        <w:rPr>
          <w:rFonts w:hint="eastAsia" w:ascii="仿宋" w:hAnsi="仿宋" w:eastAsia="仿宋" w:cs="仿宋"/>
          <w:color w:val="auto"/>
          <w:szCs w:val="21"/>
          <w:highlight w:val="none"/>
          <w:u w:val="single"/>
        </w:rPr>
        <w:t>投标须知前附表</w:t>
      </w:r>
      <w:r>
        <w:rPr>
          <w:rFonts w:hint="eastAsia" w:ascii="仿宋" w:hAnsi="仿宋" w:eastAsia="仿宋" w:cs="仿宋"/>
          <w:color w:val="auto"/>
          <w:szCs w:val="21"/>
          <w:highlight w:val="none"/>
        </w:rPr>
        <w:t>中代理机构的反腐倡廉监督电话/邮箱，反映采购代理机构的廉洁自律等问题。</w:t>
      </w:r>
    </w:p>
    <w:p>
      <w:pPr>
        <w:pStyle w:val="6"/>
        <w:spacing w:before="0" w:after="0"/>
        <w:ind w:left="738" w:hanging="735" w:hangingChars="350"/>
        <w:rPr>
          <w:rFonts w:ascii="仿宋" w:hAnsi="仿宋" w:eastAsia="仿宋" w:cs="仿宋"/>
          <w:color w:val="auto"/>
          <w:sz w:val="21"/>
          <w:szCs w:val="21"/>
          <w:highlight w:val="none"/>
          <w:u w:val="none"/>
        </w:rPr>
      </w:pPr>
      <w:bookmarkStart w:id="161" w:name="_Toc60830276"/>
      <w:bookmarkStart w:id="162" w:name="_Toc2583662"/>
      <w:bookmarkStart w:id="163" w:name="_Toc518923101"/>
      <w:r>
        <w:rPr>
          <w:rFonts w:hint="eastAsia" w:ascii="仿宋" w:hAnsi="仿宋" w:eastAsia="仿宋" w:cs="仿宋"/>
          <w:color w:val="auto"/>
          <w:sz w:val="21"/>
          <w:szCs w:val="21"/>
          <w:highlight w:val="none"/>
          <w:u w:val="none"/>
        </w:rPr>
        <w:t>36. 人员回避</w:t>
      </w:r>
      <w:bookmarkEnd w:id="161"/>
      <w:bookmarkEnd w:id="162"/>
      <w:bookmarkEnd w:id="163"/>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潜在投标人认为招标文件使自己的权益受到损害的，投标人认为采购人员及其相关人员有法律法规所列与其他供应商有利害关系的，均可以向采购人或采购代理机构书面提出回避申请，并说明理由。</w:t>
      </w:r>
    </w:p>
    <w:p>
      <w:pPr>
        <w:pStyle w:val="6"/>
        <w:spacing w:before="0" w:after="0"/>
        <w:ind w:left="738" w:hanging="735" w:hangingChars="350"/>
        <w:rPr>
          <w:rFonts w:ascii="仿宋" w:hAnsi="仿宋" w:eastAsia="仿宋" w:cs="仿宋"/>
          <w:color w:val="auto"/>
          <w:sz w:val="21"/>
          <w:szCs w:val="21"/>
          <w:highlight w:val="none"/>
          <w:u w:val="none"/>
        </w:rPr>
      </w:pPr>
      <w:bookmarkStart w:id="164" w:name="_Toc60830277"/>
      <w:bookmarkStart w:id="165" w:name="_Toc2583663"/>
      <w:bookmarkStart w:id="166" w:name="_Toc518923102"/>
      <w:r>
        <w:rPr>
          <w:rFonts w:hint="eastAsia" w:ascii="仿宋" w:hAnsi="仿宋" w:eastAsia="仿宋" w:cs="仿宋"/>
          <w:color w:val="auto"/>
          <w:sz w:val="21"/>
          <w:szCs w:val="21"/>
          <w:highlight w:val="none"/>
          <w:u w:val="none"/>
        </w:rPr>
        <w:t>37. 质疑的提出与接收</w:t>
      </w:r>
      <w:bookmarkEnd w:id="164"/>
      <w:bookmarkEnd w:id="165"/>
      <w:bookmarkEnd w:id="166"/>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37.1   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37.2   质疑供应商应按照财政部制定的《政府采购质疑函范本》格式（可从财政部官方网站下载）和《政府采购质疑和投诉办法》的要求，在法定质疑期内以书面形式提出质疑，针对同一采购程序环节的质疑次数应符合</w:t>
      </w:r>
      <w:r>
        <w:rPr>
          <w:rFonts w:hint="eastAsia" w:ascii="仿宋" w:hAnsi="仿宋" w:eastAsia="仿宋" w:cs="仿宋"/>
          <w:color w:val="auto"/>
          <w:szCs w:val="21"/>
          <w:highlight w:val="none"/>
          <w:u w:val="single"/>
        </w:rPr>
        <w:t>投标须知前附表</w:t>
      </w:r>
      <w:r>
        <w:rPr>
          <w:rFonts w:hint="eastAsia" w:ascii="仿宋" w:hAnsi="仿宋" w:eastAsia="仿宋" w:cs="仿宋"/>
          <w:color w:val="auto"/>
          <w:szCs w:val="21"/>
          <w:highlight w:val="none"/>
        </w:rPr>
        <w:t>的规定。</w:t>
      </w:r>
    </w:p>
    <w:p>
      <w:pPr>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超出法定质疑期提交的质疑将被拒绝。</w:t>
      </w:r>
    </w:p>
    <w:p>
      <w:pPr>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重复或分次提出的、内容或形式不符合《政府采购质疑和投诉办法》的，质疑供应商将依法承担不利后果。</w:t>
      </w:r>
    </w:p>
    <w:p>
      <w:pPr>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37.3   采购代理机构质疑函接收部门、联系电话和通讯地址</w:t>
      </w:r>
    </w:p>
    <w:p>
      <w:pPr>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联系部门：江苏伟业项目管理有限公司南京分公司</w:t>
      </w:r>
    </w:p>
    <w:p>
      <w:pPr>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ascii="仿宋" w:hAnsi="仿宋" w:eastAsia="仿宋" w:cs="仿宋"/>
          <w:color w:val="auto"/>
          <w:szCs w:val="21"/>
          <w:highlight w:val="none"/>
        </w:rPr>
        <w:t>52428348</w:t>
      </w:r>
    </w:p>
    <w:p>
      <w:pPr>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通讯地址：南京市玄武区中山门大街297号钟鼎名悦广场5-207室</w:t>
      </w:r>
    </w:p>
    <w:p>
      <w:pPr>
        <w:spacing w:line="240" w:lineRule="atLeast"/>
        <w:ind w:left="900" w:hanging="900" w:hangingChars="375"/>
        <w:rPr>
          <w:rFonts w:ascii="仿宋" w:hAnsi="仿宋" w:eastAsia="仿宋" w:cs="仿宋"/>
          <w:color w:val="auto"/>
          <w:sz w:val="24"/>
          <w:highlight w:val="none"/>
        </w:rPr>
      </w:pPr>
    </w:p>
    <w:p>
      <w:pPr>
        <w:pStyle w:val="4"/>
        <w:spacing w:before="0" w:line="240" w:lineRule="atLeast"/>
        <w:rPr>
          <w:rFonts w:ascii="仿宋" w:hAnsi="仿宋" w:eastAsia="仿宋" w:cs="仿宋"/>
          <w:color w:val="auto"/>
          <w:sz w:val="28"/>
          <w:szCs w:val="22"/>
          <w:highlight w:val="none"/>
        </w:rPr>
      </w:pPr>
      <w:r>
        <w:rPr>
          <w:rFonts w:hint="eastAsia" w:ascii="仿宋" w:hAnsi="仿宋" w:eastAsia="仿宋" w:cs="仿宋"/>
          <w:color w:val="auto"/>
          <w:highlight w:val="none"/>
        </w:rPr>
        <w:br w:type="page"/>
      </w:r>
      <w:bookmarkStart w:id="167" w:name="_Toc16730"/>
      <w:bookmarkStart w:id="168" w:name="_Toc60830278"/>
      <w:r>
        <w:rPr>
          <w:rFonts w:hint="eastAsia" w:ascii="仿宋" w:hAnsi="仿宋" w:eastAsia="仿宋" w:cs="仿宋"/>
          <w:color w:val="auto"/>
          <w:sz w:val="28"/>
          <w:szCs w:val="22"/>
          <w:highlight w:val="none"/>
        </w:rPr>
        <w:t>附件1：履约保证金保函（格式）</w:t>
      </w:r>
      <w:bookmarkEnd w:id="167"/>
      <w:bookmarkEnd w:id="168"/>
    </w:p>
    <w:p>
      <w:pPr>
        <w:pStyle w:val="11"/>
        <w:spacing w:line="240" w:lineRule="atLeas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（中标后开具）</w:t>
      </w:r>
    </w:p>
    <w:p>
      <w:pPr>
        <w:pStyle w:val="11"/>
        <w:spacing w:line="240" w:lineRule="atLeast"/>
        <w:ind w:left="1079" w:leftChars="257" w:hanging="540"/>
        <w:rPr>
          <w:rFonts w:ascii="仿宋" w:hAnsi="仿宋" w:eastAsia="仿宋" w:cs="仿宋"/>
          <w:b/>
          <w:color w:val="auto"/>
          <w:sz w:val="24"/>
          <w:highlight w:val="none"/>
        </w:rPr>
      </w:pPr>
    </w:p>
    <w:p>
      <w:pPr>
        <w:pStyle w:val="11"/>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致: (</w:t>
      </w:r>
      <w:r>
        <w:rPr>
          <w:rFonts w:hint="eastAsia" w:ascii="仿宋" w:hAnsi="仿宋" w:eastAsia="仿宋" w:cs="仿宋"/>
          <w:i/>
          <w:color w:val="auto"/>
          <w:szCs w:val="21"/>
          <w:highlight w:val="none"/>
          <w:u w:val="single"/>
        </w:rPr>
        <w:t>买方名称</w:t>
      </w:r>
      <w:r>
        <w:rPr>
          <w:rFonts w:hint="eastAsia" w:ascii="仿宋" w:hAnsi="仿宋" w:eastAsia="仿宋" w:cs="仿宋"/>
          <w:color w:val="auto"/>
          <w:szCs w:val="21"/>
          <w:highlight w:val="none"/>
        </w:rPr>
        <w:t>)</w:t>
      </w:r>
    </w:p>
    <w:p>
      <w:pPr>
        <w:pStyle w:val="11"/>
        <w:spacing w:line="240" w:lineRule="atLeast"/>
        <w:ind w:left="1079" w:leftChars="257" w:hanging="540"/>
        <w:jc w:val="center"/>
        <w:rPr>
          <w:rFonts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号合同履约保函</w:t>
      </w:r>
    </w:p>
    <w:p>
      <w:pPr>
        <w:pStyle w:val="11"/>
        <w:spacing w:line="240" w:lineRule="atLeast"/>
        <w:ind w:left="1079" w:leftChars="257" w:hanging="540"/>
        <w:jc w:val="center"/>
        <w:rPr>
          <w:rFonts w:ascii="仿宋" w:hAnsi="仿宋" w:eastAsia="仿宋" w:cs="仿宋"/>
          <w:color w:val="auto"/>
          <w:szCs w:val="21"/>
          <w:highlight w:val="none"/>
        </w:rPr>
      </w:pPr>
    </w:p>
    <w:p>
      <w:pPr>
        <w:pStyle w:val="11"/>
        <w:spacing w:line="240" w:lineRule="atLeast"/>
        <w:ind w:firstLine="525" w:firstLineChars="250"/>
        <w:rPr>
          <w:rFonts w:ascii="仿宋" w:hAnsi="仿宋" w:eastAsia="仿宋" w:cs="仿宋"/>
          <w:color w:val="auto"/>
          <w:szCs w:val="21"/>
          <w:highlight w:val="none"/>
        </w:rPr>
      </w:pPr>
      <w:r>
        <w:rPr>
          <w:rFonts w:hint="eastAsia" w:ascii="仿宋" w:hAnsi="仿宋" w:eastAsia="仿宋" w:cs="仿宋"/>
          <w:color w:val="auto"/>
          <w:szCs w:val="21"/>
          <w:highlight w:val="none"/>
        </w:rPr>
        <w:t>本保函作为贵方与(</w:t>
      </w:r>
      <w:r>
        <w:rPr>
          <w:rFonts w:hint="eastAsia" w:ascii="仿宋" w:hAnsi="仿宋" w:eastAsia="仿宋" w:cs="仿宋"/>
          <w:i/>
          <w:color w:val="auto"/>
          <w:szCs w:val="21"/>
          <w:highlight w:val="none"/>
          <w:u w:val="single"/>
        </w:rPr>
        <w:t>卖方名称</w:t>
      </w:r>
      <w:r>
        <w:rPr>
          <w:rFonts w:hint="eastAsia" w:ascii="仿宋" w:hAnsi="仿宋" w:eastAsia="仿宋" w:cs="仿宋"/>
          <w:color w:val="auto"/>
          <w:szCs w:val="21"/>
          <w:highlight w:val="none"/>
        </w:rPr>
        <w:t>)(以下简称卖方)于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日就</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项目(以下简称项目)项下提供(</w:t>
      </w:r>
      <w:r>
        <w:rPr>
          <w:rFonts w:hint="eastAsia" w:ascii="仿宋" w:hAnsi="仿宋" w:eastAsia="仿宋" w:cs="仿宋"/>
          <w:i/>
          <w:color w:val="auto"/>
          <w:szCs w:val="21"/>
          <w:highlight w:val="none"/>
          <w:u w:val="single"/>
        </w:rPr>
        <w:t>货物名称</w:t>
      </w:r>
      <w:r>
        <w:rPr>
          <w:rFonts w:hint="eastAsia" w:ascii="仿宋" w:hAnsi="仿宋" w:eastAsia="仿宋" w:cs="仿宋"/>
          <w:color w:val="auto"/>
          <w:szCs w:val="21"/>
          <w:highlight w:val="none"/>
        </w:rPr>
        <w:t>)(以下简称货物)签订的(</w:t>
      </w:r>
      <w:r>
        <w:rPr>
          <w:rFonts w:hint="eastAsia" w:ascii="仿宋" w:hAnsi="仿宋" w:eastAsia="仿宋" w:cs="仿宋"/>
          <w:i/>
          <w:color w:val="auto"/>
          <w:szCs w:val="21"/>
          <w:highlight w:val="none"/>
          <w:u w:val="single"/>
        </w:rPr>
        <w:t>合同号</w:t>
      </w:r>
      <w:r>
        <w:rPr>
          <w:rFonts w:hint="eastAsia" w:ascii="仿宋" w:hAnsi="仿宋" w:eastAsia="仿宋" w:cs="仿宋"/>
          <w:color w:val="auto"/>
          <w:szCs w:val="21"/>
          <w:highlight w:val="none"/>
        </w:rPr>
        <w:t>)号合同的履约保函。</w:t>
      </w:r>
    </w:p>
    <w:p>
      <w:pPr>
        <w:pStyle w:val="11"/>
        <w:spacing w:line="240" w:lineRule="atLeast"/>
        <w:ind w:firstLine="472" w:firstLineChars="225"/>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i/>
          <w:color w:val="auto"/>
          <w:szCs w:val="21"/>
          <w:highlight w:val="none"/>
          <w:u w:val="single"/>
        </w:rPr>
        <w:t>出具保函的银行名称</w:t>
      </w:r>
      <w:r>
        <w:rPr>
          <w:rFonts w:hint="eastAsia" w:ascii="仿宋" w:hAnsi="仿宋" w:eastAsia="仿宋" w:cs="仿宋"/>
          <w:color w:val="auto"/>
          <w:szCs w:val="21"/>
          <w:highlight w:val="none"/>
        </w:rPr>
        <w:t>)(以下简称银行)无条件地、不可撤销地具结保证本行、其继承人和受让人无追索地向贵方以(</w:t>
      </w:r>
      <w:r>
        <w:rPr>
          <w:rFonts w:hint="eastAsia" w:ascii="仿宋" w:hAnsi="仿宋" w:eastAsia="仿宋" w:cs="仿宋"/>
          <w:i/>
          <w:color w:val="auto"/>
          <w:szCs w:val="21"/>
          <w:highlight w:val="none"/>
          <w:u w:val="single"/>
        </w:rPr>
        <w:t>货币名称</w:t>
      </w:r>
      <w:r>
        <w:rPr>
          <w:rFonts w:hint="eastAsia" w:ascii="仿宋" w:hAnsi="仿宋" w:eastAsia="仿宋" w:cs="仿宋"/>
          <w:color w:val="auto"/>
          <w:szCs w:val="21"/>
          <w:highlight w:val="none"/>
        </w:rPr>
        <w:t>)支付总额不超过(</w:t>
      </w:r>
      <w:r>
        <w:rPr>
          <w:rFonts w:hint="eastAsia" w:ascii="仿宋" w:hAnsi="仿宋" w:eastAsia="仿宋" w:cs="仿宋"/>
          <w:i/>
          <w:color w:val="auto"/>
          <w:szCs w:val="21"/>
          <w:highlight w:val="none"/>
          <w:u w:val="single"/>
        </w:rPr>
        <w:t>货币数量</w:t>
      </w:r>
      <w:r>
        <w:rPr>
          <w:rFonts w:hint="eastAsia" w:ascii="仿宋" w:hAnsi="仿宋" w:eastAsia="仿宋" w:cs="仿宋"/>
          <w:color w:val="auto"/>
          <w:szCs w:val="21"/>
          <w:highlight w:val="none"/>
        </w:rPr>
        <w:t>),即相当于合同价格的</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%,并以此约定如下:</w:t>
      </w:r>
    </w:p>
    <w:p>
      <w:pPr>
        <w:pStyle w:val="11"/>
        <w:spacing w:line="240" w:lineRule="atLeast"/>
        <w:ind w:left="539" w:leftChars="257"/>
        <w:rPr>
          <w:rFonts w:ascii="仿宋" w:hAnsi="仿宋" w:eastAsia="仿宋" w:cs="仿宋"/>
          <w:color w:val="auto"/>
          <w:szCs w:val="21"/>
          <w:highlight w:val="none"/>
        </w:rPr>
      </w:pPr>
      <w:r>
        <w:rPr>
          <w:rFonts w:hint="eastAsia" w:ascii="仿宋" w:hAnsi="仿宋" w:eastAsia="仿宋" w:cs="仿宋"/>
          <w:color w:val="auto"/>
          <w:szCs w:val="21"/>
          <w:highlight w:val="none"/>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pPr>
        <w:pStyle w:val="11"/>
        <w:spacing w:line="240" w:lineRule="atLeast"/>
        <w:ind w:left="540"/>
        <w:rPr>
          <w:rFonts w:ascii="仿宋" w:hAnsi="仿宋" w:eastAsia="仿宋" w:cs="仿宋"/>
          <w:color w:val="auto"/>
          <w:szCs w:val="21"/>
          <w:highlight w:val="none"/>
        </w:rPr>
      </w:pPr>
      <w:r>
        <w:rPr>
          <w:rFonts w:hint="eastAsia" w:ascii="仿宋" w:hAnsi="仿宋" w:eastAsia="仿宋" w:cs="仿宋"/>
          <w:color w:val="auto"/>
          <w:szCs w:val="21"/>
          <w:highlight w:val="none"/>
        </w:rPr>
        <w:t>2.本保函项下的任何支付应为免税和净值。对于现有或将来的税收、关税、收费、费用扣减或预提税款，不论这些款项是何种性质和由谁征收，都不应从本保函项下的支付中扣除。</w:t>
      </w:r>
    </w:p>
    <w:p>
      <w:pPr>
        <w:pStyle w:val="11"/>
        <w:spacing w:line="240" w:lineRule="atLeast"/>
        <w:ind w:left="540"/>
        <w:rPr>
          <w:rFonts w:ascii="仿宋" w:hAnsi="仿宋" w:eastAsia="仿宋" w:cs="仿宋"/>
          <w:color w:val="auto"/>
          <w:szCs w:val="21"/>
          <w:highlight w:val="none"/>
        </w:rPr>
      </w:pPr>
      <w:r>
        <w:rPr>
          <w:rFonts w:hint="eastAsia" w:ascii="仿宋" w:hAnsi="仿宋" w:eastAsia="仿宋" w:cs="仿宋"/>
          <w:color w:val="auto"/>
          <w:szCs w:val="21"/>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pPr>
        <w:pStyle w:val="11"/>
        <w:spacing w:line="240" w:lineRule="atLeast"/>
        <w:ind w:left="1079"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4.本保函在本合同规定的保证期期满前完全有效。</w:t>
      </w:r>
    </w:p>
    <w:p>
      <w:pPr>
        <w:pStyle w:val="11"/>
        <w:spacing w:line="240" w:lineRule="atLeast"/>
        <w:ind w:left="1079" w:leftChars="257" w:hanging="540"/>
        <w:rPr>
          <w:rFonts w:ascii="仿宋" w:hAnsi="仿宋" w:eastAsia="仿宋" w:cs="仿宋"/>
          <w:color w:val="auto"/>
          <w:szCs w:val="21"/>
          <w:highlight w:val="none"/>
        </w:rPr>
      </w:pPr>
    </w:p>
    <w:p>
      <w:pPr>
        <w:pStyle w:val="11"/>
        <w:spacing w:line="240" w:lineRule="atLeast"/>
        <w:ind w:left="1079"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谨启</w:t>
      </w:r>
    </w:p>
    <w:p>
      <w:pPr>
        <w:pStyle w:val="11"/>
        <w:spacing w:line="240" w:lineRule="atLeast"/>
        <w:ind w:left="1079"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出具保函银行名称：</w:t>
      </w:r>
      <w:r>
        <w:rPr>
          <w:rFonts w:hint="eastAsia" w:ascii="仿宋" w:hAnsi="仿宋" w:eastAsia="仿宋" w:cs="仿宋"/>
          <w:color w:val="auto"/>
          <w:szCs w:val="21"/>
          <w:highlight w:val="none"/>
          <w:u w:val="single"/>
        </w:rPr>
        <w:t xml:space="preserve">                             </w:t>
      </w:r>
    </w:p>
    <w:p>
      <w:pPr>
        <w:pStyle w:val="11"/>
        <w:spacing w:line="240" w:lineRule="atLeast"/>
        <w:ind w:left="1079" w:leftChars="257" w:hanging="540"/>
        <w:rPr>
          <w:rFonts w:ascii="仿宋" w:hAnsi="仿宋" w:eastAsia="仿宋" w:cs="仿宋"/>
          <w:color w:val="auto"/>
          <w:szCs w:val="21"/>
          <w:highlight w:val="none"/>
          <w:u w:val="single"/>
        </w:rPr>
      </w:pPr>
      <w:r>
        <w:rPr>
          <w:rFonts w:hint="eastAsia" w:ascii="仿宋" w:hAnsi="仿宋" w:eastAsia="仿宋" w:cs="仿宋"/>
          <w:color w:val="auto"/>
          <w:szCs w:val="21"/>
          <w:highlight w:val="none"/>
        </w:rPr>
        <w:t>签字人姓名和职务：</w:t>
      </w:r>
      <w:r>
        <w:rPr>
          <w:rFonts w:hint="eastAsia" w:ascii="仿宋" w:hAnsi="仿宋" w:eastAsia="仿宋" w:cs="仿宋"/>
          <w:color w:val="auto"/>
          <w:szCs w:val="21"/>
          <w:highlight w:val="none"/>
          <w:u w:val="single"/>
        </w:rPr>
        <w:t xml:space="preserve">                             </w:t>
      </w:r>
    </w:p>
    <w:p>
      <w:pPr>
        <w:pStyle w:val="11"/>
        <w:spacing w:line="240" w:lineRule="atLeast"/>
        <w:ind w:left="1079"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签字人签名：</w:t>
      </w:r>
      <w:r>
        <w:rPr>
          <w:rFonts w:hint="eastAsia" w:ascii="仿宋" w:hAnsi="仿宋" w:eastAsia="仿宋" w:cs="仿宋"/>
          <w:color w:val="auto"/>
          <w:szCs w:val="21"/>
          <w:highlight w:val="none"/>
          <w:u w:val="single"/>
        </w:rPr>
        <w:t xml:space="preserve">                                   </w:t>
      </w:r>
    </w:p>
    <w:p>
      <w:pPr>
        <w:pStyle w:val="11"/>
        <w:spacing w:line="240" w:lineRule="atLeast"/>
        <w:ind w:left="1079" w:leftChars="257" w:hanging="540"/>
        <w:rPr>
          <w:rFonts w:ascii="仿宋" w:hAnsi="仿宋" w:eastAsia="仿宋" w:cs="仿宋"/>
          <w:color w:val="auto"/>
          <w:szCs w:val="21"/>
          <w:highlight w:val="none"/>
          <w:u w:val="single"/>
        </w:rPr>
      </w:pPr>
      <w:r>
        <w:rPr>
          <w:rFonts w:hint="eastAsia" w:ascii="仿宋" w:hAnsi="仿宋" w:eastAsia="仿宋" w:cs="仿宋"/>
          <w:color w:val="auto"/>
          <w:szCs w:val="21"/>
          <w:highlight w:val="none"/>
        </w:rPr>
        <w:t>公章：</w:t>
      </w:r>
      <w:r>
        <w:rPr>
          <w:rFonts w:hint="eastAsia" w:ascii="仿宋" w:hAnsi="仿宋" w:eastAsia="仿宋" w:cs="仿宋"/>
          <w:color w:val="auto"/>
          <w:szCs w:val="21"/>
          <w:highlight w:val="none"/>
          <w:u w:val="single"/>
        </w:rPr>
        <w:t xml:space="preserve">                                         </w:t>
      </w:r>
    </w:p>
    <w:p>
      <w:pPr>
        <w:pStyle w:val="4"/>
        <w:spacing w:before="0" w:line="240" w:lineRule="atLeast"/>
        <w:rPr>
          <w:rFonts w:ascii="仿宋" w:hAnsi="仿宋" w:eastAsia="仿宋" w:cs="仿宋"/>
          <w:color w:val="auto"/>
          <w:sz w:val="28"/>
          <w:szCs w:val="28"/>
          <w:highlight w:val="none"/>
        </w:rPr>
      </w:pPr>
      <w:r>
        <w:rPr>
          <w:rFonts w:hint="eastAsia" w:ascii="仿宋" w:hAnsi="仿宋" w:eastAsia="仿宋" w:cs="仿宋"/>
          <w:color w:val="auto"/>
          <w:highlight w:val="none"/>
        </w:rPr>
        <w:br w:type="page"/>
      </w:r>
      <w:bookmarkStart w:id="169" w:name="_Toc60830279"/>
      <w:bookmarkStart w:id="170" w:name="_Toc11099"/>
      <w:r>
        <w:rPr>
          <w:rFonts w:hint="eastAsia" w:ascii="仿宋" w:hAnsi="仿宋" w:eastAsia="仿宋" w:cs="仿宋"/>
          <w:color w:val="auto"/>
          <w:sz w:val="28"/>
          <w:szCs w:val="28"/>
          <w:highlight w:val="none"/>
        </w:rPr>
        <w:t>附件2：履约担保函格式</w:t>
      </w:r>
      <w:bookmarkEnd w:id="169"/>
      <w:bookmarkEnd w:id="170"/>
    </w:p>
    <w:p>
      <w:pPr>
        <w:keepNext/>
        <w:keepLines/>
        <w:autoSpaceDE w:val="0"/>
        <w:autoSpaceDN w:val="0"/>
        <w:adjustRightInd w:val="0"/>
        <w:spacing w:line="240" w:lineRule="atLeast"/>
        <w:jc w:val="center"/>
        <w:rPr>
          <w:rFonts w:ascii="仿宋" w:hAnsi="仿宋" w:eastAsia="仿宋" w:cs="仿宋"/>
          <w:b/>
          <w:bCs/>
          <w:color w:val="auto"/>
          <w:sz w:val="28"/>
          <w:szCs w:val="18"/>
          <w:highlight w:val="none"/>
        </w:rPr>
      </w:pPr>
      <w:bookmarkStart w:id="171" w:name="_Toc60830280"/>
      <w:r>
        <w:rPr>
          <w:rFonts w:hint="eastAsia" w:ascii="仿宋" w:hAnsi="仿宋" w:eastAsia="仿宋" w:cs="仿宋"/>
          <w:b/>
          <w:bCs/>
          <w:color w:val="auto"/>
          <w:sz w:val="28"/>
          <w:szCs w:val="22"/>
          <w:highlight w:val="none"/>
        </w:rPr>
        <w:t>（如采用政府采购信用担保形式时使用）</w:t>
      </w:r>
      <w:bookmarkEnd w:id="171"/>
    </w:p>
    <w:p>
      <w:pPr>
        <w:spacing w:line="240" w:lineRule="atLeast"/>
        <w:ind w:left="1079" w:leftChars="257" w:hanging="540"/>
        <w:rPr>
          <w:rFonts w:ascii="仿宋" w:hAnsi="仿宋" w:eastAsia="仿宋" w:cs="仿宋"/>
          <w:b/>
          <w:color w:val="auto"/>
          <w:kern w:val="0"/>
          <w:sz w:val="24"/>
          <w:szCs w:val="20"/>
          <w:highlight w:val="none"/>
        </w:rPr>
      </w:pPr>
    </w:p>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政府采购履约担保函（项目用）</w:t>
      </w:r>
    </w:p>
    <w:p>
      <w:pP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编号：</w:t>
      </w:r>
    </w:p>
    <w:p>
      <w:pPr>
        <w:rPr>
          <w:rFonts w:ascii="仿宋" w:hAnsi="仿宋" w:eastAsia="仿宋" w:cs="仿宋"/>
          <w:color w:val="auto"/>
          <w:szCs w:val="21"/>
          <w:highlight w:val="none"/>
        </w:rPr>
      </w:pPr>
    </w:p>
    <w:p>
      <w:pPr>
        <w:rPr>
          <w:rFonts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（采购人）：</w:t>
      </w:r>
    </w:p>
    <w:p>
      <w:pPr>
        <w:rPr>
          <w:rFonts w:ascii="仿宋" w:hAnsi="仿宋" w:eastAsia="仿宋" w:cs="仿宋"/>
          <w:color w:val="auto"/>
          <w:szCs w:val="21"/>
          <w:highlight w:val="none"/>
        </w:rPr>
      </w:pPr>
    </w:p>
    <w:p>
      <w:pPr>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鉴于你方与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（以下简称供应商）于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日签定编号为   的《</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政府采购合同》（以下简称主合同），且依据该合同的约定，供应商应在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日前向你方交纳履约保证金，且可以履约担保函的形式交纳履约保证金。应供应商的申请，我方以保证的方式向你方提供如下履约保证金担保：</w:t>
      </w:r>
    </w:p>
    <w:p>
      <w:pPr>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一、保证责任的情形及保证金额</w:t>
      </w:r>
    </w:p>
    <w:p>
      <w:pPr>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（一）在供应商出现下列情形之一时，我方承担保证责任：</w:t>
      </w:r>
    </w:p>
    <w:p>
      <w:pPr>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1．将中标项目转让给他人，或者在投标文件中未说明，且未经采购招标机构人同意，将中标项目分包给他人的；</w:t>
      </w:r>
    </w:p>
    <w:p>
      <w:pP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2．主合同约定的应当缴纳履约保证金的情形: </w:t>
      </w:r>
    </w:p>
    <w:p>
      <w:pPr>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（1）未按主合同约定的质量、数量和期限供应货物/提供服务/完成工程的；</w:t>
      </w:r>
    </w:p>
    <w:p>
      <w:pPr>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pPr>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（二）我方的保证范围是主合同约定的合同价款总额的</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%数额为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元（大写</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），币种为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。（即主合同履约保证金金额）</w:t>
      </w:r>
    </w:p>
    <w:p>
      <w:pPr>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二、保证的方式及保证期间</w:t>
      </w:r>
    </w:p>
    <w:p>
      <w:pPr>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我方保证的方式为：连带责任保证。</w:t>
      </w:r>
    </w:p>
    <w:p>
      <w:pPr>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我方保证的期间为：自本合同生效之日起至供应商按照主合同约定的供货/完工期限届满后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日内。</w:t>
      </w:r>
    </w:p>
    <w:p>
      <w:pPr>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如果供应商未按主合同约定向贵方供应货物/提供服务/完成工程的，由我方在保证金额内向你方支付上述款项。</w:t>
      </w:r>
    </w:p>
    <w:p>
      <w:pPr>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三、承担保证责任的程序</w:t>
      </w:r>
    </w:p>
    <w:p>
      <w:pPr>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1．你方要求我方承担保证责任的，应在本保函保证期间内向我方发出书面索赔通知。索赔通知应写明要求索赔的金额，支付款项应到达的帐号。并附有证明供应商违约事实的证明材料。</w:t>
      </w:r>
    </w:p>
    <w:p>
      <w:pPr>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如果你方与供应商因货物质量问题产生争议，你方还需同时提供</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部门出具的质量检测报告，或经诉讼（仲裁）程序裁决后的裁决书、调解书，本保证人即按照检测结果或裁决书、调解书决定是否承担保证责任。</w:t>
      </w:r>
    </w:p>
    <w:p>
      <w:pPr>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 我方收到你方的书面索赔通知及相应证明材料，在</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工作日内进行核定后按照本保函的承诺承担保证责任。</w:t>
      </w:r>
    </w:p>
    <w:p>
      <w:pPr>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四、保证责任的终止</w:t>
      </w:r>
    </w:p>
    <w:p>
      <w:pPr>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pPr>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2．我方按照本保函向你方履行了保证责任后，自我方向你方支付款项（支付款项从我方账户划出）之日起，保证责任即终止。</w:t>
      </w:r>
    </w:p>
    <w:p>
      <w:pPr>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3．按照法律法规的规定或出现应终止我方保证责任的其它情形的，我方在本保函项下的保证责任亦终止。</w:t>
      </w:r>
    </w:p>
    <w:p>
      <w:pPr>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pPr>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五、免责条款</w:t>
      </w:r>
    </w:p>
    <w:p>
      <w:pPr>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1．因你方违反主合同约定致使供应商不能履行义务的，我方不承担保证责任。</w:t>
      </w:r>
    </w:p>
    <w:p>
      <w:pPr>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2．依照法律法规的规定或你方与供应商的另行约定，全部或者部分免除供应商应缴纳的保证金义务的，我方亦免除相应的保证责任。</w:t>
      </w:r>
    </w:p>
    <w:p>
      <w:pPr>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3．因不可抗力造成供应商不能履行供货义务的，我方不承担保证责任。</w:t>
      </w:r>
    </w:p>
    <w:p>
      <w:pPr>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六、争议的解决</w:t>
      </w:r>
    </w:p>
    <w:p>
      <w:pPr>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因本保函发生的纠纷，由你我双方协商解决，协商不成的，通过诉讼程序解决，诉讼管辖地法院为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法院。</w:t>
      </w:r>
    </w:p>
    <w:p>
      <w:pPr>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七、保函的生效</w:t>
      </w:r>
    </w:p>
    <w:p>
      <w:pPr>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本保函自我方加盖公章之日起生效。</w:t>
      </w:r>
    </w:p>
    <w:p>
      <w:pPr>
        <w:rPr>
          <w:rFonts w:ascii="仿宋" w:hAnsi="仿宋" w:eastAsia="仿宋" w:cs="仿宋"/>
          <w:color w:val="auto"/>
          <w:szCs w:val="21"/>
          <w:highlight w:val="none"/>
        </w:rPr>
      </w:pPr>
    </w:p>
    <w:p>
      <w:pP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pPr>
        <w:ind w:firstLine="4725" w:firstLineChars="2250"/>
        <w:rPr>
          <w:rFonts w:ascii="仿宋" w:hAnsi="仿宋" w:eastAsia="仿宋" w:cs="仿宋"/>
          <w:color w:val="auto"/>
          <w:szCs w:val="21"/>
          <w:highlight w:val="none"/>
        </w:rPr>
      </w:pPr>
      <w:r>
        <w:rPr>
          <w:rFonts w:hint="eastAsia" w:ascii="仿宋" w:hAnsi="仿宋" w:eastAsia="仿宋" w:cs="仿宋"/>
          <w:color w:val="auto"/>
          <w:szCs w:val="21"/>
          <w:highlight w:val="none"/>
        </w:rPr>
        <w:t>保证人：（公章）</w:t>
      </w:r>
    </w:p>
    <w:p>
      <w:pP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pP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年     月      日</w:t>
      </w:r>
    </w:p>
    <w:p>
      <w:pPr>
        <w:pStyle w:val="5"/>
        <w:spacing w:line="240" w:lineRule="atLeast"/>
        <w:ind w:firstLine="0"/>
        <w:rPr>
          <w:rFonts w:ascii="仿宋" w:hAnsi="仿宋" w:eastAsia="仿宋" w:cs="仿宋"/>
          <w:color w:val="auto"/>
          <w:kern w:val="2"/>
          <w:sz w:val="21"/>
          <w:szCs w:val="21"/>
          <w:highlight w:val="none"/>
        </w:rPr>
      </w:pPr>
      <w:r>
        <w:rPr>
          <w:rFonts w:hint="eastAsia" w:ascii="仿宋" w:hAnsi="仿宋" w:eastAsia="仿宋" w:cs="仿宋"/>
          <w:b/>
          <w:color w:val="auto"/>
          <w:sz w:val="21"/>
          <w:szCs w:val="21"/>
          <w:highlight w:val="none"/>
        </w:rPr>
        <w:br w:type="page"/>
      </w:r>
    </w:p>
    <w:p>
      <w:pPr>
        <w:pStyle w:val="3"/>
        <w:spacing w:before="0" w:after="0" w:line="240" w:lineRule="atLeast"/>
        <w:ind w:firstLine="640" w:firstLineChars="200"/>
        <w:rPr>
          <w:rFonts w:ascii="仿宋" w:hAnsi="仿宋" w:eastAsia="仿宋" w:cs="仿宋"/>
          <w:color w:val="auto"/>
          <w:szCs w:val="32"/>
          <w:highlight w:val="none"/>
        </w:rPr>
      </w:pPr>
      <w:bookmarkStart w:id="172" w:name="_Toc17564"/>
      <w:bookmarkStart w:id="173" w:name="_Toc60830281"/>
      <w:r>
        <w:rPr>
          <w:rFonts w:hint="eastAsia" w:ascii="仿宋" w:hAnsi="仿宋" w:eastAsia="仿宋" w:cs="仿宋"/>
          <w:color w:val="auto"/>
          <w:szCs w:val="32"/>
          <w:highlight w:val="none"/>
        </w:rPr>
        <w:t>第二章  合同通用条款</w:t>
      </w:r>
      <w:bookmarkEnd w:id="172"/>
      <w:bookmarkEnd w:id="173"/>
    </w:p>
    <w:p>
      <w:pPr>
        <w:pStyle w:val="5"/>
        <w:rPr>
          <w:rFonts w:ascii="仿宋" w:hAnsi="仿宋" w:eastAsia="仿宋" w:cs="仿宋"/>
          <w:color w:val="auto"/>
          <w:highlight w:val="none"/>
        </w:rPr>
      </w:pPr>
    </w:p>
    <w:p>
      <w:pPr>
        <w:pStyle w:val="4"/>
        <w:tabs>
          <w:tab w:val="left" w:pos="900"/>
        </w:tabs>
        <w:spacing w:before="0" w:line="240" w:lineRule="atLeast"/>
        <w:jc w:val="both"/>
        <w:rPr>
          <w:rFonts w:ascii="仿宋" w:hAnsi="仿宋" w:eastAsia="仿宋" w:cs="仿宋"/>
          <w:color w:val="auto"/>
          <w:sz w:val="21"/>
          <w:szCs w:val="21"/>
          <w:highlight w:val="none"/>
        </w:rPr>
      </w:pPr>
      <w:bookmarkStart w:id="174" w:name="_Ref467378499"/>
      <w:bookmarkStart w:id="175" w:name="_Toc60830282"/>
      <w:bookmarkStart w:id="176" w:name="_Ref467379214"/>
      <w:bookmarkStart w:id="177" w:name="_Ref467379109"/>
      <w:bookmarkStart w:id="178" w:name="_Ref467378404"/>
      <w:bookmarkStart w:id="179" w:name="_Ref467379101"/>
      <w:bookmarkStart w:id="180" w:name="_Ref467379205"/>
      <w:bookmarkStart w:id="181" w:name="_Ref467379195"/>
      <w:bookmarkStart w:id="182" w:name="_Ref467378463"/>
      <w:bookmarkStart w:id="183" w:name="_Ref467379225"/>
      <w:bookmarkStart w:id="184" w:name="_Ref467379094"/>
      <w:bookmarkStart w:id="185" w:name="_Toc1467"/>
      <w:bookmarkStart w:id="186" w:name="_Toc487900349"/>
      <w:r>
        <w:rPr>
          <w:rFonts w:hint="eastAsia" w:ascii="仿宋" w:hAnsi="仿宋" w:eastAsia="仿宋" w:cs="仿宋"/>
          <w:color w:val="auto"/>
          <w:sz w:val="21"/>
          <w:szCs w:val="21"/>
          <w:highlight w:val="none"/>
        </w:rPr>
        <w:t>1． 定义</w:t>
      </w:r>
      <w:bookmarkEnd w:id="174"/>
      <w:bookmarkEnd w:id="175"/>
      <w:bookmarkEnd w:id="176"/>
      <w:bookmarkEnd w:id="177"/>
      <w:bookmarkEnd w:id="178"/>
      <w:bookmarkEnd w:id="179"/>
      <w:bookmarkEnd w:id="180"/>
      <w:bookmarkEnd w:id="181"/>
      <w:bookmarkEnd w:id="182"/>
      <w:bookmarkEnd w:id="183"/>
      <w:bookmarkEnd w:id="184"/>
      <w:bookmarkEnd w:id="185"/>
      <w:bookmarkEnd w:id="186"/>
    </w:p>
    <w:p>
      <w:pPr>
        <w:spacing w:line="240" w:lineRule="atLeast"/>
        <w:ind w:left="630" w:leftChars="300"/>
        <w:rPr>
          <w:rFonts w:ascii="仿宋" w:hAnsi="仿宋" w:eastAsia="仿宋" w:cs="仿宋"/>
          <w:color w:val="auto"/>
          <w:szCs w:val="21"/>
          <w:highlight w:val="none"/>
        </w:rPr>
      </w:pPr>
      <w:r>
        <w:rPr>
          <w:rFonts w:hint="eastAsia" w:ascii="仿宋" w:hAnsi="仿宋" w:eastAsia="仿宋" w:cs="仿宋"/>
          <w:color w:val="auto"/>
          <w:szCs w:val="21"/>
          <w:highlight w:val="none"/>
        </w:rPr>
        <w:t>本合同中的下列术语应解释为：</w:t>
      </w:r>
    </w:p>
    <w:p>
      <w:pPr>
        <w:spacing w:line="240" w:lineRule="atLeast"/>
        <w:ind w:left="630" w:hanging="630" w:hangingChars="300"/>
        <w:rPr>
          <w:rFonts w:ascii="仿宋" w:hAnsi="仿宋" w:eastAsia="仿宋" w:cs="仿宋"/>
          <w:color w:val="auto"/>
          <w:szCs w:val="21"/>
          <w:highlight w:val="none"/>
        </w:rPr>
      </w:pPr>
      <w:r>
        <w:rPr>
          <w:rFonts w:hint="eastAsia" w:ascii="仿宋" w:hAnsi="仿宋" w:eastAsia="仿宋" w:cs="仿宋"/>
          <w:color w:val="auto"/>
          <w:szCs w:val="21"/>
          <w:highlight w:val="none"/>
        </w:rPr>
        <w:t>1.1   “合同”系指买卖双方签署的、合同格式中载明的买卖双方所达成的协议， 包括所有的附件、附录和构成合同的其它文件。</w:t>
      </w:r>
    </w:p>
    <w:p>
      <w:pPr>
        <w:spacing w:line="240" w:lineRule="atLeast"/>
        <w:ind w:left="630" w:hanging="630" w:hangingChars="300"/>
        <w:rPr>
          <w:rFonts w:ascii="仿宋" w:hAnsi="仿宋" w:eastAsia="仿宋" w:cs="仿宋"/>
          <w:color w:val="auto"/>
          <w:szCs w:val="21"/>
          <w:highlight w:val="none"/>
        </w:rPr>
      </w:pPr>
      <w:r>
        <w:rPr>
          <w:rFonts w:hint="eastAsia" w:ascii="仿宋" w:hAnsi="仿宋" w:eastAsia="仿宋" w:cs="仿宋"/>
          <w:color w:val="auto"/>
          <w:szCs w:val="21"/>
          <w:highlight w:val="none"/>
        </w:rPr>
        <w:t>1.2   “合同价”系指根据合同约定，卖方在完全履行合同义务后买方应付给卖方的价格。</w:t>
      </w:r>
    </w:p>
    <w:p>
      <w:pPr>
        <w:spacing w:line="240" w:lineRule="atLeast"/>
        <w:ind w:left="630" w:hanging="630" w:hangingChars="300"/>
        <w:rPr>
          <w:rFonts w:ascii="仿宋" w:hAnsi="仿宋" w:eastAsia="仿宋" w:cs="仿宋"/>
          <w:color w:val="auto"/>
          <w:szCs w:val="21"/>
          <w:highlight w:val="none"/>
        </w:rPr>
      </w:pPr>
      <w:r>
        <w:rPr>
          <w:rFonts w:hint="eastAsia" w:ascii="仿宋" w:hAnsi="仿宋" w:eastAsia="仿宋" w:cs="仿宋"/>
          <w:color w:val="auto"/>
          <w:szCs w:val="21"/>
          <w:highlight w:val="none"/>
        </w:rPr>
        <w:t>1.3   “货物”系指卖方根据合同约定须向买方提供的一切设备、机械、仪表、备件，包括工具、手册等其它相关资料。</w:t>
      </w:r>
    </w:p>
    <w:p>
      <w:pPr>
        <w:spacing w:line="240" w:lineRule="atLeast"/>
        <w:ind w:left="630" w:hanging="630" w:hangingChars="300"/>
        <w:rPr>
          <w:rFonts w:ascii="仿宋" w:hAnsi="仿宋" w:eastAsia="仿宋" w:cs="仿宋"/>
          <w:color w:val="auto"/>
          <w:szCs w:val="21"/>
          <w:highlight w:val="none"/>
        </w:rPr>
      </w:pPr>
      <w:r>
        <w:rPr>
          <w:rFonts w:hint="eastAsia" w:ascii="仿宋" w:hAnsi="仿宋" w:eastAsia="仿宋" w:cs="仿宋"/>
          <w:color w:val="auto"/>
          <w:szCs w:val="21"/>
          <w:highlight w:val="none"/>
        </w:rPr>
        <w:t>1.4   “服务”系指根据合同约定卖方承担与供货有关的辅助服务，如运输、保险及安装、调试、提供技术援助、培训和其他类似的服务。</w:t>
      </w:r>
    </w:p>
    <w:p>
      <w:pPr>
        <w:spacing w:line="240" w:lineRule="atLeast"/>
        <w:ind w:left="630" w:hanging="630" w:hangingChars="300"/>
        <w:rPr>
          <w:rFonts w:ascii="仿宋" w:hAnsi="仿宋" w:eastAsia="仿宋" w:cs="仿宋"/>
          <w:color w:val="auto"/>
          <w:szCs w:val="21"/>
          <w:highlight w:val="none"/>
        </w:rPr>
      </w:pPr>
      <w:bookmarkStart w:id="187" w:name="_Ref467378840"/>
      <w:r>
        <w:rPr>
          <w:rFonts w:hint="eastAsia" w:ascii="仿宋" w:hAnsi="仿宋" w:eastAsia="仿宋" w:cs="仿宋"/>
          <w:color w:val="auto"/>
          <w:szCs w:val="21"/>
          <w:highlight w:val="none"/>
        </w:rPr>
        <w:t>1.5   “买方”系指与中标人签署供货合同的单位（含最终用户）。</w:t>
      </w:r>
      <w:bookmarkEnd w:id="187"/>
    </w:p>
    <w:p>
      <w:pPr>
        <w:spacing w:line="240" w:lineRule="atLeast"/>
        <w:ind w:left="630" w:hanging="630" w:hangingChars="300"/>
        <w:rPr>
          <w:rFonts w:ascii="仿宋" w:hAnsi="仿宋" w:eastAsia="仿宋" w:cs="仿宋"/>
          <w:color w:val="auto"/>
          <w:szCs w:val="21"/>
          <w:highlight w:val="none"/>
        </w:rPr>
      </w:pPr>
      <w:bookmarkStart w:id="188" w:name="_Ref467379400"/>
      <w:r>
        <w:rPr>
          <w:rFonts w:hint="eastAsia" w:ascii="仿宋" w:hAnsi="仿宋" w:eastAsia="仿宋" w:cs="仿宋"/>
          <w:color w:val="auto"/>
          <w:szCs w:val="21"/>
          <w:highlight w:val="none"/>
        </w:rPr>
        <w:t>1.6   “卖方”系指根据合同约定提供货物及相关服务的中标人。</w:t>
      </w:r>
      <w:bookmarkEnd w:id="188"/>
    </w:p>
    <w:p>
      <w:pPr>
        <w:spacing w:line="240" w:lineRule="atLeast"/>
        <w:ind w:left="630" w:hanging="630" w:hangingChars="300"/>
        <w:rPr>
          <w:rFonts w:ascii="仿宋" w:hAnsi="仿宋" w:eastAsia="仿宋" w:cs="仿宋"/>
          <w:color w:val="auto"/>
          <w:szCs w:val="21"/>
          <w:highlight w:val="none"/>
        </w:rPr>
      </w:pPr>
      <w:bookmarkStart w:id="189" w:name="_Ref467379436"/>
      <w:r>
        <w:rPr>
          <w:rFonts w:hint="eastAsia" w:ascii="仿宋" w:hAnsi="仿宋" w:eastAsia="仿宋" w:cs="仿宋"/>
          <w:color w:val="auto"/>
          <w:szCs w:val="21"/>
          <w:highlight w:val="none"/>
        </w:rPr>
        <w:t>1.7   “现场”系指合同约定货物将要运至和安装的地点。</w:t>
      </w:r>
      <w:bookmarkEnd w:id="189"/>
    </w:p>
    <w:p>
      <w:pPr>
        <w:spacing w:line="240" w:lineRule="atLeast"/>
        <w:ind w:left="630" w:hanging="630" w:hangingChars="300"/>
        <w:rPr>
          <w:rFonts w:ascii="仿宋" w:hAnsi="仿宋" w:eastAsia="仿宋" w:cs="仿宋"/>
          <w:color w:val="auto"/>
          <w:szCs w:val="21"/>
          <w:highlight w:val="none"/>
        </w:rPr>
      </w:pPr>
      <w:r>
        <w:rPr>
          <w:rFonts w:hint="eastAsia" w:ascii="仿宋" w:hAnsi="仿宋" w:eastAsia="仿宋" w:cs="仿宋"/>
          <w:color w:val="auto"/>
          <w:szCs w:val="21"/>
          <w:highlight w:val="none"/>
        </w:rPr>
        <w:t>1.8   “验收”系指合同双方依据强制性的国家技术质量规范和合同约定，确认合同项下的货物符合合同规定的活动。</w:t>
      </w:r>
    </w:p>
    <w:p>
      <w:pPr>
        <w:pStyle w:val="4"/>
        <w:tabs>
          <w:tab w:val="left" w:pos="900"/>
        </w:tabs>
        <w:spacing w:before="0" w:line="240" w:lineRule="atLeast"/>
        <w:jc w:val="both"/>
        <w:rPr>
          <w:rFonts w:ascii="仿宋" w:hAnsi="仿宋" w:eastAsia="仿宋" w:cs="仿宋"/>
          <w:color w:val="auto"/>
          <w:sz w:val="21"/>
          <w:szCs w:val="21"/>
          <w:highlight w:val="none"/>
        </w:rPr>
      </w:pPr>
      <w:bookmarkStart w:id="190" w:name="_Toc9132"/>
      <w:bookmarkStart w:id="191" w:name="_Toc487900350"/>
      <w:bookmarkStart w:id="192" w:name="_Toc60830283"/>
      <w:r>
        <w:rPr>
          <w:rFonts w:hint="eastAsia" w:ascii="仿宋" w:hAnsi="仿宋" w:eastAsia="仿宋" w:cs="仿宋"/>
          <w:color w:val="auto"/>
          <w:sz w:val="21"/>
          <w:szCs w:val="21"/>
          <w:highlight w:val="none"/>
        </w:rPr>
        <w:t>2． 技术规范</w:t>
      </w:r>
      <w:bookmarkEnd w:id="190"/>
      <w:bookmarkEnd w:id="191"/>
      <w:bookmarkEnd w:id="192"/>
    </w:p>
    <w:p>
      <w:pPr>
        <w:spacing w:line="240" w:lineRule="atLeast"/>
        <w:ind w:left="630" w:hanging="630" w:hangingChars="300"/>
        <w:rPr>
          <w:rFonts w:ascii="仿宋" w:hAnsi="仿宋" w:eastAsia="仿宋" w:cs="仿宋"/>
          <w:color w:val="auto"/>
          <w:szCs w:val="21"/>
          <w:highlight w:val="none"/>
        </w:rPr>
      </w:pPr>
      <w:r>
        <w:rPr>
          <w:rFonts w:hint="eastAsia" w:ascii="仿宋" w:hAnsi="仿宋" w:eastAsia="仿宋" w:cs="仿宋"/>
          <w:color w:val="auto"/>
          <w:szCs w:val="21"/>
          <w:highlight w:val="none"/>
        </w:rPr>
        <w:t>2.1    提交货物的技术规范应与招标文件规定的技术规范和技术规范附件(如果有的话)及其投标文件的技术规范偏差表(如果被买方接受的话)相一致。若技术规范中无相应说明，则以国家有关部门最新颁布的相应标准及规范为准。</w:t>
      </w:r>
    </w:p>
    <w:p>
      <w:pPr>
        <w:pStyle w:val="4"/>
        <w:tabs>
          <w:tab w:val="left" w:pos="900"/>
        </w:tabs>
        <w:spacing w:before="0" w:line="240" w:lineRule="atLeast"/>
        <w:jc w:val="both"/>
        <w:rPr>
          <w:rFonts w:ascii="仿宋" w:hAnsi="仿宋" w:eastAsia="仿宋" w:cs="仿宋"/>
          <w:color w:val="auto"/>
          <w:sz w:val="21"/>
          <w:szCs w:val="21"/>
          <w:highlight w:val="none"/>
        </w:rPr>
      </w:pPr>
      <w:bookmarkStart w:id="193" w:name="_Toc20004"/>
      <w:bookmarkStart w:id="194" w:name="_Toc487900351"/>
      <w:bookmarkStart w:id="195" w:name="_Toc60830284"/>
      <w:r>
        <w:rPr>
          <w:rFonts w:hint="eastAsia" w:ascii="仿宋" w:hAnsi="仿宋" w:eastAsia="仿宋" w:cs="仿宋"/>
          <w:color w:val="auto"/>
          <w:sz w:val="21"/>
          <w:szCs w:val="21"/>
          <w:highlight w:val="none"/>
        </w:rPr>
        <w:t>3． 知识产权</w:t>
      </w:r>
      <w:bookmarkEnd w:id="193"/>
      <w:bookmarkEnd w:id="194"/>
      <w:bookmarkEnd w:id="195"/>
    </w:p>
    <w:p>
      <w:pPr>
        <w:spacing w:line="240" w:lineRule="atLeast"/>
        <w:ind w:left="630" w:hanging="630" w:hangingChars="300"/>
        <w:rPr>
          <w:rFonts w:ascii="仿宋" w:hAnsi="仿宋" w:eastAsia="仿宋" w:cs="仿宋"/>
          <w:color w:val="auto"/>
          <w:szCs w:val="21"/>
          <w:highlight w:val="none"/>
        </w:rPr>
      </w:pPr>
      <w:r>
        <w:rPr>
          <w:rFonts w:hint="eastAsia" w:ascii="仿宋" w:hAnsi="仿宋" w:eastAsia="仿宋" w:cs="仿宋"/>
          <w:color w:val="auto"/>
          <w:szCs w:val="21"/>
          <w:highlight w:val="none"/>
        </w:rPr>
        <w:t>3.1   卖方应保证买方在使用该货物或其任何一部分时不受第三方提出的侵犯专利权、著作权、商标权和工业设计权等的起诉。如果任何第三方提出侵权指控，卖方须与第三方交涉并承担由此发生的一切责任、费用和经济赔偿。</w:t>
      </w:r>
    </w:p>
    <w:p>
      <w:pPr>
        <w:pStyle w:val="4"/>
        <w:tabs>
          <w:tab w:val="left" w:pos="900"/>
        </w:tabs>
        <w:spacing w:before="0" w:line="240" w:lineRule="atLeast"/>
        <w:jc w:val="both"/>
        <w:rPr>
          <w:rFonts w:ascii="仿宋" w:hAnsi="仿宋" w:eastAsia="仿宋" w:cs="仿宋"/>
          <w:color w:val="auto"/>
          <w:sz w:val="21"/>
          <w:szCs w:val="21"/>
          <w:highlight w:val="none"/>
        </w:rPr>
      </w:pPr>
      <w:bookmarkStart w:id="196" w:name="_Toc60830285"/>
      <w:bookmarkStart w:id="197" w:name="_Toc487900352"/>
      <w:bookmarkStart w:id="198" w:name="_Toc2378"/>
      <w:r>
        <w:rPr>
          <w:rFonts w:hint="eastAsia" w:ascii="仿宋" w:hAnsi="仿宋" w:eastAsia="仿宋" w:cs="仿宋"/>
          <w:color w:val="auto"/>
          <w:sz w:val="21"/>
          <w:szCs w:val="21"/>
          <w:highlight w:val="none"/>
        </w:rPr>
        <w:t>4． 包装要求</w:t>
      </w:r>
      <w:bookmarkEnd w:id="196"/>
      <w:bookmarkEnd w:id="197"/>
      <w:bookmarkEnd w:id="198"/>
    </w:p>
    <w:p>
      <w:pPr>
        <w:spacing w:line="240" w:lineRule="atLeast"/>
        <w:ind w:left="630" w:hanging="630" w:hangingChars="300"/>
        <w:rPr>
          <w:rFonts w:ascii="仿宋" w:hAnsi="仿宋" w:eastAsia="仿宋" w:cs="仿宋"/>
          <w:color w:val="auto"/>
          <w:szCs w:val="21"/>
          <w:highlight w:val="none"/>
        </w:rPr>
      </w:pPr>
      <w:r>
        <w:rPr>
          <w:rFonts w:hint="eastAsia" w:ascii="仿宋" w:hAnsi="仿宋" w:eastAsia="仿宋" w:cs="仿宋"/>
          <w:color w:val="auto"/>
          <w:szCs w:val="21"/>
          <w:highlight w:val="none"/>
        </w:rPr>
        <w:t>4.1   除合同另有约定外,卖方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损坏和损失均由卖方承担。</w:t>
      </w:r>
    </w:p>
    <w:p>
      <w:pPr>
        <w:spacing w:line="240" w:lineRule="atLeast"/>
        <w:ind w:left="788" w:hanging="787" w:hangingChars="375"/>
        <w:rPr>
          <w:rFonts w:ascii="仿宋" w:hAnsi="仿宋" w:eastAsia="仿宋" w:cs="仿宋"/>
          <w:color w:val="auto"/>
          <w:szCs w:val="21"/>
          <w:highlight w:val="none"/>
        </w:rPr>
      </w:pPr>
      <w:r>
        <w:rPr>
          <w:rFonts w:hint="eastAsia" w:ascii="仿宋" w:hAnsi="仿宋" w:eastAsia="仿宋" w:cs="仿宋"/>
          <w:color w:val="auto"/>
          <w:szCs w:val="21"/>
          <w:highlight w:val="none"/>
        </w:rPr>
        <w:t>4.2   每件包装箱内应附一份详细装箱单和质量合格证。</w:t>
      </w:r>
    </w:p>
    <w:p>
      <w:pPr>
        <w:pStyle w:val="4"/>
        <w:tabs>
          <w:tab w:val="left" w:pos="900"/>
        </w:tabs>
        <w:spacing w:before="0" w:line="240" w:lineRule="atLeast"/>
        <w:jc w:val="both"/>
        <w:rPr>
          <w:rFonts w:ascii="仿宋" w:hAnsi="仿宋" w:eastAsia="仿宋" w:cs="仿宋"/>
          <w:color w:val="auto"/>
          <w:sz w:val="21"/>
          <w:szCs w:val="21"/>
          <w:highlight w:val="none"/>
        </w:rPr>
      </w:pPr>
      <w:bookmarkStart w:id="199" w:name="_Toc4571"/>
      <w:bookmarkStart w:id="200" w:name="_Toc60830286"/>
      <w:bookmarkStart w:id="201" w:name="_Toc487900353"/>
      <w:r>
        <w:rPr>
          <w:rFonts w:hint="eastAsia" w:ascii="仿宋" w:hAnsi="仿宋" w:eastAsia="仿宋" w:cs="仿宋"/>
          <w:color w:val="auto"/>
          <w:sz w:val="21"/>
          <w:szCs w:val="21"/>
          <w:highlight w:val="none"/>
        </w:rPr>
        <w:t>5． 装运标志</w:t>
      </w:r>
      <w:bookmarkEnd w:id="199"/>
      <w:bookmarkEnd w:id="200"/>
      <w:bookmarkEnd w:id="201"/>
    </w:p>
    <w:p>
      <w:pPr>
        <w:spacing w:line="240" w:lineRule="atLeast"/>
        <w:ind w:left="788" w:hanging="787" w:hangingChars="375"/>
        <w:rPr>
          <w:rFonts w:ascii="仿宋" w:hAnsi="仿宋" w:eastAsia="仿宋" w:cs="仿宋"/>
          <w:color w:val="auto"/>
          <w:szCs w:val="21"/>
          <w:highlight w:val="none"/>
        </w:rPr>
      </w:pPr>
      <w:r>
        <w:rPr>
          <w:rFonts w:hint="eastAsia" w:ascii="仿宋" w:hAnsi="仿宋" w:eastAsia="仿宋" w:cs="仿宋"/>
          <w:color w:val="auto"/>
          <w:szCs w:val="21"/>
          <w:highlight w:val="none"/>
        </w:rPr>
        <w:t>5.1   卖方应在每一包装箱的四侧用不褪色的油漆以醒目的中文字样做出下列标记：</w:t>
      </w:r>
    </w:p>
    <w:p>
      <w:pPr>
        <w:spacing w:line="240" w:lineRule="atLeast"/>
        <w:ind w:left="1026" w:leftChars="314" w:hanging="367" w:hangingChars="175"/>
        <w:rPr>
          <w:rFonts w:ascii="仿宋" w:hAnsi="仿宋" w:eastAsia="仿宋" w:cs="仿宋"/>
          <w:color w:val="auto"/>
          <w:szCs w:val="21"/>
          <w:highlight w:val="none"/>
        </w:rPr>
      </w:pPr>
      <w:r>
        <w:rPr>
          <w:rFonts w:hint="eastAsia" w:ascii="仿宋" w:hAnsi="仿宋" w:eastAsia="仿宋" w:cs="仿宋"/>
          <w:color w:val="auto"/>
          <w:szCs w:val="21"/>
          <w:highlight w:val="none"/>
        </w:rPr>
        <w:t>收货人：</w:t>
      </w:r>
      <w:r>
        <w:rPr>
          <w:rFonts w:hint="eastAsia" w:ascii="仿宋" w:hAnsi="仿宋" w:eastAsia="仿宋" w:cs="仿宋"/>
          <w:color w:val="auto"/>
          <w:szCs w:val="21"/>
          <w:highlight w:val="none"/>
          <w:u w:val="single"/>
        </w:rPr>
        <w:t xml:space="preserve">                                   </w:t>
      </w:r>
    </w:p>
    <w:p>
      <w:pPr>
        <w:spacing w:line="240" w:lineRule="atLeast"/>
        <w:ind w:left="1026" w:leftChars="314" w:hanging="367" w:hangingChars="175"/>
        <w:rPr>
          <w:rFonts w:ascii="仿宋" w:hAnsi="仿宋" w:eastAsia="仿宋" w:cs="仿宋"/>
          <w:color w:val="auto"/>
          <w:szCs w:val="21"/>
          <w:highlight w:val="none"/>
        </w:rPr>
      </w:pPr>
      <w:r>
        <w:rPr>
          <w:rFonts w:hint="eastAsia" w:ascii="仿宋" w:hAnsi="仿宋" w:eastAsia="仿宋" w:cs="仿宋"/>
          <w:color w:val="auto"/>
          <w:szCs w:val="21"/>
          <w:highlight w:val="none"/>
        </w:rPr>
        <w:t>合同号：</w:t>
      </w:r>
      <w:r>
        <w:rPr>
          <w:rFonts w:hint="eastAsia" w:ascii="仿宋" w:hAnsi="仿宋" w:eastAsia="仿宋" w:cs="仿宋"/>
          <w:color w:val="auto"/>
          <w:szCs w:val="21"/>
          <w:highlight w:val="none"/>
          <w:u w:val="single"/>
        </w:rPr>
        <w:t xml:space="preserve">                                   </w:t>
      </w:r>
    </w:p>
    <w:p>
      <w:pPr>
        <w:spacing w:line="240" w:lineRule="atLeast"/>
        <w:ind w:left="1026" w:leftChars="314" w:hanging="367" w:hangingChars="175"/>
        <w:rPr>
          <w:rFonts w:ascii="仿宋" w:hAnsi="仿宋" w:eastAsia="仿宋" w:cs="仿宋"/>
          <w:color w:val="auto"/>
          <w:szCs w:val="21"/>
          <w:highlight w:val="none"/>
        </w:rPr>
      </w:pPr>
      <w:r>
        <w:rPr>
          <w:rFonts w:hint="eastAsia" w:ascii="仿宋" w:hAnsi="仿宋" w:eastAsia="仿宋" w:cs="仿宋"/>
          <w:color w:val="auto"/>
          <w:szCs w:val="21"/>
          <w:highlight w:val="none"/>
        </w:rPr>
        <w:t>装运标志：</w:t>
      </w:r>
      <w:r>
        <w:rPr>
          <w:rFonts w:hint="eastAsia" w:ascii="仿宋" w:hAnsi="仿宋" w:eastAsia="仿宋" w:cs="仿宋"/>
          <w:color w:val="auto"/>
          <w:szCs w:val="21"/>
          <w:highlight w:val="none"/>
          <w:u w:val="single"/>
        </w:rPr>
        <w:t xml:space="preserve">                                 </w:t>
      </w:r>
    </w:p>
    <w:p>
      <w:pPr>
        <w:spacing w:line="240" w:lineRule="atLeast"/>
        <w:ind w:left="1026" w:leftChars="314" w:hanging="367" w:hangingChars="175"/>
        <w:rPr>
          <w:rFonts w:ascii="仿宋" w:hAnsi="仿宋" w:eastAsia="仿宋" w:cs="仿宋"/>
          <w:color w:val="auto"/>
          <w:szCs w:val="21"/>
          <w:highlight w:val="none"/>
        </w:rPr>
      </w:pPr>
      <w:r>
        <w:rPr>
          <w:rFonts w:hint="eastAsia" w:ascii="仿宋" w:hAnsi="仿宋" w:eastAsia="仿宋" w:cs="仿宋"/>
          <w:color w:val="auto"/>
          <w:szCs w:val="21"/>
          <w:highlight w:val="none"/>
        </w:rPr>
        <w:t>收货人代号：</w:t>
      </w:r>
      <w:r>
        <w:rPr>
          <w:rFonts w:hint="eastAsia" w:ascii="仿宋" w:hAnsi="仿宋" w:eastAsia="仿宋" w:cs="仿宋"/>
          <w:color w:val="auto"/>
          <w:szCs w:val="21"/>
          <w:highlight w:val="none"/>
          <w:u w:val="single"/>
        </w:rPr>
        <w:t xml:space="preserve">                               </w:t>
      </w:r>
    </w:p>
    <w:p>
      <w:pPr>
        <w:spacing w:line="240" w:lineRule="atLeast"/>
        <w:ind w:left="1026" w:leftChars="314" w:hanging="367" w:hangingChars="175"/>
        <w:rPr>
          <w:rFonts w:ascii="仿宋" w:hAnsi="仿宋" w:eastAsia="仿宋" w:cs="仿宋"/>
          <w:color w:val="auto"/>
          <w:szCs w:val="21"/>
          <w:highlight w:val="none"/>
        </w:rPr>
      </w:pPr>
      <w:r>
        <w:rPr>
          <w:rFonts w:hint="eastAsia" w:ascii="仿宋" w:hAnsi="仿宋" w:eastAsia="仿宋" w:cs="仿宋"/>
          <w:color w:val="auto"/>
          <w:szCs w:val="21"/>
          <w:highlight w:val="none"/>
        </w:rPr>
        <w:t>目的地：</w:t>
      </w:r>
      <w:r>
        <w:rPr>
          <w:rFonts w:hint="eastAsia" w:ascii="仿宋" w:hAnsi="仿宋" w:eastAsia="仿宋" w:cs="仿宋"/>
          <w:color w:val="auto"/>
          <w:szCs w:val="21"/>
          <w:highlight w:val="none"/>
          <w:u w:val="single"/>
        </w:rPr>
        <w:t xml:space="preserve">                                   </w:t>
      </w:r>
    </w:p>
    <w:p>
      <w:pPr>
        <w:spacing w:line="240" w:lineRule="atLeast"/>
        <w:ind w:left="1026" w:leftChars="314" w:hanging="367" w:hangingChars="175"/>
        <w:rPr>
          <w:rFonts w:ascii="仿宋" w:hAnsi="仿宋" w:eastAsia="仿宋" w:cs="仿宋"/>
          <w:color w:val="auto"/>
          <w:szCs w:val="21"/>
          <w:highlight w:val="none"/>
        </w:rPr>
      </w:pPr>
      <w:r>
        <w:rPr>
          <w:rFonts w:hint="eastAsia" w:ascii="仿宋" w:hAnsi="仿宋" w:eastAsia="仿宋" w:cs="仿宋"/>
          <w:color w:val="auto"/>
          <w:szCs w:val="21"/>
          <w:highlight w:val="none"/>
        </w:rPr>
        <w:t>货物名称、品目号和箱号：</w:t>
      </w:r>
      <w:r>
        <w:rPr>
          <w:rFonts w:hint="eastAsia" w:ascii="仿宋" w:hAnsi="仿宋" w:eastAsia="仿宋" w:cs="仿宋"/>
          <w:color w:val="auto"/>
          <w:szCs w:val="21"/>
          <w:highlight w:val="none"/>
          <w:u w:val="single"/>
        </w:rPr>
        <w:t xml:space="preserve">                   </w:t>
      </w:r>
    </w:p>
    <w:p>
      <w:pPr>
        <w:spacing w:line="240" w:lineRule="atLeast"/>
        <w:ind w:left="1026" w:leftChars="314" w:hanging="367" w:hangingChars="175"/>
        <w:rPr>
          <w:rFonts w:ascii="仿宋" w:hAnsi="仿宋" w:eastAsia="仿宋" w:cs="仿宋"/>
          <w:color w:val="auto"/>
          <w:szCs w:val="21"/>
          <w:highlight w:val="none"/>
        </w:rPr>
      </w:pPr>
      <w:r>
        <w:rPr>
          <w:rFonts w:hint="eastAsia" w:ascii="仿宋" w:hAnsi="仿宋" w:eastAsia="仿宋" w:cs="仿宋"/>
          <w:color w:val="auto"/>
          <w:szCs w:val="21"/>
          <w:highlight w:val="none"/>
        </w:rPr>
        <w:t>毛重／净重：</w:t>
      </w:r>
      <w:r>
        <w:rPr>
          <w:rFonts w:hint="eastAsia" w:ascii="仿宋" w:hAnsi="仿宋" w:eastAsia="仿宋" w:cs="仿宋"/>
          <w:color w:val="auto"/>
          <w:szCs w:val="21"/>
          <w:highlight w:val="none"/>
          <w:u w:val="single"/>
        </w:rPr>
        <w:t xml:space="preserve">                               </w:t>
      </w:r>
    </w:p>
    <w:p>
      <w:pPr>
        <w:spacing w:line="240" w:lineRule="atLeast"/>
        <w:ind w:left="1026" w:leftChars="314" w:hanging="367" w:hangingChars="175"/>
        <w:rPr>
          <w:rFonts w:ascii="仿宋" w:hAnsi="仿宋" w:eastAsia="仿宋" w:cs="仿宋"/>
          <w:color w:val="auto"/>
          <w:szCs w:val="21"/>
          <w:highlight w:val="none"/>
        </w:rPr>
      </w:pPr>
      <w:r>
        <w:rPr>
          <w:rFonts w:hint="eastAsia" w:ascii="仿宋" w:hAnsi="仿宋" w:eastAsia="仿宋" w:cs="仿宋"/>
          <w:color w:val="auto"/>
          <w:szCs w:val="21"/>
          <w:highlight w:val="none"/>
        </w:rPr>
        <w:t>尺寸(长×宽×高以厘米计)：</w:t>
      </w:r>
      <w:r>
        <w:rPr>
          <w:rFonts w:hint="eastAsia" w:ascii="仿宋" w:hAnsi="仿宋" w:eastAsia="仿宋" w:cs="仿宋"/>
          <w:color w:val="auto"/>
          <w:szCs w:val="21"/>
          <w:highlight w:val="none"/>
          <w:u w:val="single"/>
        </w:rPr>
        <w:t xml:space="preserve">                 </w:t>
      </w:r>
    </w:p>
    <w:p>
      <w:pPr>
        <w:spacing w:line="240" w:lineRule="atLeast"/>
        <w:ind w:left="630" w:hanging="630" w:hangingChars="300"/>
        <w:rPr>
          <w:rFonts w:ascii="仿宋" w:hAnsi="仿宋" w:eastAsia="仿宋" w:cs="仿宋"/>
          <w:color w:val="auto"/>
          <w:szCs w:val="21"/>
          <w:highlight w:val="none"/>
        </w:rPr>
      </w:pPr>
      <w:r>
        <w:rPr>
          <w:rFonts w:hint="eastAsia" w:ascii="仿宋" w:hAnsi="仿宋" w:eastAsia="仿宋" w:cs="仿宋"/>
          <w:color w:val="auto"/>
          <w:szCs w:val="21"/>
          <w:highlight w:val="none"/>
        </w:rPr>
        <w:t>5.2   如果货物单件重量在2吨或2吨以上，卖方应在每件包装箱的两侧用中文和适当的运输标记，标明“重心”和“吊装点”，以便装卸和搬运。根据货物的特点和运输的不同要求， 卖方应在包装箱上清楚地标有“小心轻放”、“防潮”、 “勿倒置”等字样和其他适当的标志。</w:t>
      </w:r>
    </w:p>
    <w:p>
      <w:pPr>
        <w:pStyle w:val="4"/>
        <w:tabs>
          <w:tab w:val="left" w:pos="900"/>
        </w:tabs>
        <w:spacing w:before="0" w:line="240" w:lineRule="atLeast"/>
        <w:jc w:val="both"/>
        <w:rPr>
          <w:rFonts w:ascii="仿宋" w:hAnsi="仿宋" w:eastAsia="仿宋" w:cs="仿宋"/>
          <w:color w:val="auto"/>
          <w:sz w:val="21"/>
          <w:szCs w:val="21"/>
          <w:highlight w:val="none"/>
        </w:rPr>
      </w:pPr>
      <w:bookmarkStart w:id="202" w:name="_Ref467378541"/>
      <w:bookmarkStart w:id="203" w:name="_Ref467379527"/>
      <w:bookmarkStart w:id="204" w:name="_Toc19724"/>
      <w:bookmarkStart w:id="205" w:name="_Toc60830287"/>
      <w:bookmarkStart w:id="206" w:name="_Toc487900354"/>
      <w:bookmarkStart w:id="207" w:name="_Ref467379536"/>
      <w:bookmarkStart w:id="208" w:name="_Ref467379542"/>
      <w:bookmarkStart w:id="209" w:name="_Ref467378591"/>
      <w:r>
        <w:rPr>
          <w:rFonts w:hint="eastAsia" w:ascii="仿宋" w:hAnsi="仿宋" w:eastAsia="仿宋" w:cs="仿宋"/>
          <w:color w:val="auto"/>
          <w:sz w:val="21"/>
          <w:szCs w:val="21"/>
          <w:highlight w:val="none"/>
        </w:rPr>
        <w:t>6． 交货方式</w:t>
      </w:r>
      <w:bookmarkEnd w:id="202"/>
      <w:bookmarkEnd w:id="203"/>
      <w:bookmarkEnd w:id="204"/>
      <w:bookmarkEnd w:id="205"/>
      <w:bookmarkEnd w:id="206"/>
      <w:bookmarkEnd w:id="207"/>
      <w:bookmarkEnd w:id="208"/>
      <w:bookmarkEnd w:id="209"/>
    </w:p>
    <w:p>
      <w:pPr>
        <w:spacing w:line="240" w:lineRule="atLeast"/>
        <w:ind w:left="630" w:hanging="630" w:hangingChars="300"/>
        <w:rPr>
          <w:rFonts w:ascii="仿宋" w:hAnsi="仿宋" w:eastAsia="仿宋" w:cs="仿宋"/>
          <w:color w:val="auto"/>
          <w:szCs w:val="21"/>
          <w:highlight w:val="none"/>
        </w:rPr>
      </w:pPr>
      <w:bookmarkStart w:id="210" w:name="_Ref467379657"/>
      <w:r>
        <w:rPr>
          <w:rFonts w:hint="eastAsia" w:ascii="仿宋" w:hAnsi="仿宋" w:eastAsia="仿宋" w:cs="仿宋"/>
          <w:color w:val="auto"/>
          <w:szCs w:val="21"/>
          <w:highlight w:val="none"/>
        </w:rPr>
        <w:t>6.1   交货方式一般为下列其中一种，具体在合同专用条款中规定。</w:t>
      </w:r>
      <w:bookmarkEnd w:id="210"/>
    </w:p>
    <w:p>
      <w:pPr>
        <w:spacing w:line="240" w:lineRule="atLeast"/>
        <w:ind w:left="630" w:hanging="630" w:hangingChars="300"/>
        <w:rPr>
          <w:rFonts w:ascii="仿宋" w:hAnsi="仿宋" w:eastAsia="仿宋" w:cs="仿宋"/>
          <w:color w:val="auto"/>
          <w:szCs w:val="21"/>
          <w:highlight w:val="none"/>
        </w:rPr>
      </w:pPr>
      <w:r>
        <w:rPr>
          <w:rFonts w:hint="eastAsia" w:ascii="仿宋" w:hAnsi="仿宋" w:eastAsia="仿宋" w:cs="仿宋"/>
          <w:color w:val="auto"/>
          <w:szCs w:val="21"/>
          <w:highlight w:val="none"/>
        </w:rPr>
        <w:t>6.1.1 现场交货：卖方负责办理运输和保险，将货物运抵现场。有关运输和保险的一切费用由卖方承担。所有货物运抵现场的日期为交货日期。</w:t>
      </w:r>
    </w:p>
    <w:p>
      <w:pPr>
        <w:spacing w:line="240" w:lineRule="atLeast"/>
        <w:ind w:left="630" w:hanging="630" w:hangingChars="300"/>
        <w:rPr>
          <w:rFonts w:ascii="仿宋" w:hAnsi="仿宋" w:eastAsia="仿宋" w:cs="仿宋"/>
          <w:color w:val="auto"/>
          <w:szCs w:val="21"/>
          <w:highlight w:val="none"/>
        </w:rPr>
      </w:pPr>
      <w:r>
        <w:rPr>
          <w:rFonts w:hint="eastAsia" w:ascii="仿宋" w:hAnsi="仿宋" w:eastAsia="仿宋" w:cs="仿宋"/>
          <w:color w:val="auto"/>
          <w:szCs w:val="21"/>
          <w:highlight w:val="none"/>
        </w:rPr>
        <w:t>6.1.2 工厂交货：由卖方负责代办运输和保险事宜。运输费和保险费由买方承担。运输部门出具收据的日期为交货日期。</w:t>
      </w:r>
    </w:p>
    <w:p>
      <w:pPr>
        <w:spacing w:line="240" w:lineRule="atLeast"/>
        <w:ind w:left="630" w:hanging="630" w:hangingChars="300"/>
        <w:rPr>
          <w:rFonts w:ascii="仿宋" w:hAnsi="仿宋" w:eastAsia="仿宋" w:cs="仿宋"/>
          <w:color w:val="auto"/>
          <w:szCs w:val="21"/>
          <w:highlight w:val="none"/>
        </w:rPr>
      </w:pPr>
      <w:r>
        <w:rPr>
          <w:rFonts w:hint="eastAsia" w:ascii="仿宋" w:hAnsi="仿宋" w:eastAsia="仿宋" w:cs="仿宋"/>
          <w:color w:val="auto"/>
          <w:szCs w:val="21"/>
          <w:highlight w:val="none"/>
        </w:rPr>
        <w:t>6.1.3 买方自提货物：由买方在合同规定地点自行办理提货。提单日期为交货日期。</w:t>
      </w:r>
    </w:p>
    <w:p>
      <w:pPr>
        <w:spacing w:line="240" w:lineRule="atLeast"/>
        <w:ind w:left="630" w:hanging="630" w:hangingChars="300"/>
        <w:rPr>
          <w:rFonts w:ascii="仿宋" w:hAnsi="仿宋" w:eastAsia="仿宋" w:cs="仿宋"/>
          <w:color w:val="auto"/>
          <w:szCs w:val="21"/>
          <w:highlight w:val="none"/>
        </w:rPr>
      </w:pPr>
      <w:r>
        <w:rPr>
          <w:rFonts w:hint="eastAsia" w:ascii="仿宋" w:hAnsi="仿宋" w:eastAsia="仿宋" w:cs="仿宋"/>
          <w:color w:val="auto"/>
          <w:szCs w:val="21"/>
          <w:highlight w:val="none"/>
        </w:rPr>
        <w:t>6.2   卖方应在合同专用条款规定时间以电报或传真形式将合同号、货物名称、数量、包装箱件数、总毛重、总体积(立方米)和备妥交货日期通知买方。同时卖方应用挂号信将详细交货清单一式6份包括合同号、货物名称、规格、数量、总毛重、总体积(立方米)、包装箱件数和每个包装箱的尺寸(长×宽×高)、货物总价和备妥待交日期以及对货物在运输和仓储的特殊要求和注意事项通知买方。</w:t>
      </w:r>
    </w:p>
    <w:p>
      <w:pPr>
        <w:spacing w:line="240" w:lineRule="atLeast"/>
        <w:ind w:left="630" w:hanging="630" w:hangingChars="300"/>
        <w:rPr>
          <w:rFonts w:ascii="仿宋" w:hAnsi="仿宋" w:eastAsia="仿宋" w:cs="仿宋"/>
          <w:color w:val="auto"/>
          <w:szCs w:val="21"/>
          <w:highlight w:val="none"/>
        </w:rPr>
      </w:pPr>
      <w:r>
        <w:rPr>
          <w:rFonts w:hint="eastAsia" w:ascii="仿宋" w:hAnsi="仿宋" w:eastAsia="仿宋" w:cs="仿宋"/>
          <w:color w:val="auto"/>
          <w:szCs w:val="21"/>
          <w:highlight w:val="none"/>
        </w:rPr>
        <w:t>6.3   在现场交货和工厂交货条件下，卖方装运的货物不应超过合同规定的数量或重量。否则，卖方应对超运部分引起的一切后果负责。</w:t>
      </w:r>
    </w:p>
    <w:p>
      <w:pPr>
        <w:pStyle w:val="4"/>
        <w:tabs>
          <w:tab w:val="left" w:pos="900"/>
        </w:tabs>
        <w:spacing w:before="0" w:line="240" w:lineRule="atLeast"/>
        <w:jc w:val="both"/>
        <w:rPr>
          <w:rFonts w:ascii="仿宋" w:hAnsi="仿宋" w:eastAsia="仿宋" w:cs="仿宋"/>
          <w:color w:val="auto"/>
          <w:sz w:val="21"/>
          <w:szCs w:val="21"/>
          <w:highlight w:val="none"/>
        </w:rPr>
      </w:pPr>
      <w:bookmarkStart w:id="211" w:name="_Toc21500"/>
      <w:bookmarkStart w:id="212" w:name="_Toc487900355"/>
      <w:bookmarkStart w:id="213" w:name="_Toc60830288"/>
      <w:r>
        <w:rPr>
          <w:rFonts w:hint="eastAsia" w:ascii="仿宋" w:hAnsi="仿宋" w:eastAsia="仿宋" w:cs="仿宋"/>
          <w:color w:val="auto"/>
          <w:sz w:val="21"/>
          <w:szCs w:val="21"/>
          <w:highlight w:val="none"/>
        </w:rPr>
        <w:t>7． 装运通知</w:t>
      </w:r>
      <w:bookmarkEnd w:id="211"/>
      <w:bookmarkEnd w:id="212"/>
      <w:bookmarkEnd w:id="213"/>
    </w:p>
    <w:p>
      <w:pPr>
        <w:spacing w:line="240" w:lineRule="atLeast"/>
        <w:ind w:left="630" w:hanging="630" w:hangingChars="300"/>
        <w:rPr>
          <w:rFonts w:ascii="仿宋" w:hAnsi="仿宋" w:eastAsia="仿宋" w:cs="仿宋"/>
          <w:color w:val="auto"/>
          <w:szCs w:val="21"/>
          <w:highlight w:val="none"/>
        </w:rPr>
      </w:pPr>
      <w:r>
        <w:rPr>
          <w:rFonts w:hint="eastAsia" w:ascii="仿宋" w:hAnsi="仿宋" w:eastAsia="仿宋" w:cs="仿宋"/>
          <w:color w:val="auto"/>
          <w:szCs w:val="21"/>
          <w:highlight w:val="none"/>
        </w:rPr>
        <w:t>7.1   在现场交货和工厂交货条件下的货物，卖方通知买方货物已备妥待运输后24小时之内，应将合同号、货名、数量、毛重、总体积(立方米)、发票金额、运输工具名称及装运日期，以电报或传真通知买方。</w:t>
      </w:r>
    </w:p>
    <w:p>
      <w:pPr>
        <w:spacing w:line="240" w:lineRule="atLeast"/>
        <w:ind w:left="630" w:hanging="630" w:hangingChars="300"/>
        <w:rPr>
          <w:rFonts w:ascii="仿宋" w:hAnsi="仿宋" w:eastAsia="仿宋" w:cs="仿宋"/>
          <w:color w:val="auto"/>
          <w:szCs w:val="21"/>
          <w:highlight w:val="none"/>
        </w:rPr>
      </w:pPr>
      <w:r>
        <w:rPr>
          <w:rFonts w:hint="eastAsia" w:ascii="仿宋" w:hAnsi="仿宋" w:eastAsia="仿宋" w:cs="仿宋"/>
          <w:color w:val="auto"/>
          <w:szCs w:val="21"/>
          <w:highlight w:val="none"/>
        </w:rPr>
        <w:t>7.2   如因卖方延误将上述内容用电报或传真通知买方，由此引起的一切后果损失应由卖方负责。</w:t>
      </w:r>
    </w:p>
    <w:p>
      <w:pPr>
        <w:pStyle w:val="4"/>
        <w:tabs>
          <w:tab w:val="left" w:pos="900"/>
        </w:tabs>
        <w:spacing w:before="0" w:line="240" w:lineRule="atLeast"/>
        <w:jc w:val="both"/>
        <w:rPr>
          <w:rFonts w:ascii="仿宋" w:hAnsi="仿宋" w:eastAsia="仿宋" w:cs="仿宋"/>
          <w:color w:val="auto"/>
          <w:sz w:val="21"/>
          <w:szCs w:val="21"/>
          <w:highlight w:val="none"/>
        </w:rPr>
      </w:pPr>
      <w:bookmarkStart w:id="214" w:name="_Ref467379793"/>
      <w:bookmarkStart w:id="215" w:name="_Ref467379807"/>
      <w:bookmarkStart w:id="216" w:name="_Toc60830289"/>
      <w:bookmarkStart w:id="217" w:name="_Toc12304"/>
      <w:bookmarkStart w:id="218" w:name="_Toc487900357"/>
      <w:r>
        <w:rPr>
          <w:rFonts w:hint="eastAsia" w:ascii="仿宋" w:hAnsi="仿宋" w:eastAsia="仿宋" w:cs="仿宋"/>
          <w:color w:val="auto"/>
          <w:sz w:val="21"/>
          <w:szCs w:val="21"/>
          <w:highlight w:val="none"/>
        </w:rPr>
        <w:t>8． 付款条件</w:t>
      </w:r>
      <w:bookmarkEnd w:id="214"/>
      <w:bookmarkEnd w:id="215"/>
      <w:bookmarkEnd w:id="216"/>
      <w:bookmarkEnd w:id="217"/>
      <w:bookmarkEnd w:id="218"/>
    </w:p>
    <w:p>
      <w:pPr>
        <w:spacing w:line="240" w:lineRule="atLeast"/>
        <w:ind w:left="788" w:hanging="787" w:hangingChars="375"/>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付款条件见第二册第八章“</w:t>
      </w:r>
      <w:r>
        <w:rPr>
          <w:rFonts w:hint="eastAsia" w:ascii="仿宋" w:hAnsi="仿宋" w:eastAsia="仿宋" w:cs="仿宋"/>
          <w:color w:val="auto"/>
          <w:szCs w:val="21"/>
          <w:highlight w:val="none"/>
          <w:u w:val="single"/>
        </w:rPr>
        <w:t>合同专用条款</w:t>
      </w:r>
      <w:r>
        <w:rPr>
          <w:rFonts w:hint="eastAsia" w:ascii="仿宋" w:hAnsi="仿宋" w:eastAsia="仿宋" w:cs="仿宋"/>
          <w:color w:val="auto"/>
          <w:szCs w:val="21"/>
          <w:highlight w:val="none"/>
        </w:rPr>
        <w:t>”。</w:t>
      </w:r>
    </w:p>
    <w:p>
      <w:pPr>
        <w:pStyle w:val="4"/>
        <w:tabs>
          <w:tab w:val="left" w:pos="900"/>
        </w:tabs>
        <w:spacing w:before="0" w:line="240" w:lineRule="atLeast"/>
        <w:jc w:val="both"/>
        <w:rPr>
          <w:rFonts w:ascii="仿宋" w:hAnsi="仿宋" w:eastAsia="仿宋" w:cs="仿宋"/>
          <w:color w:val="auto"/>
          <w:sz w:val="21"/>
          <w:szCs w:val="21"/>
          <w:highlight w:val="none"/>
        </w:rPr>
      </w:pPr>
      <w:bookmarkStart w:id="219" w:name="_Toc14807"/>
      <w:bookmarkStart w:id="220" w:name="_Ref467379852"/>
      <w:bookmarkStart w:id="221" w:name="_Toc487900358"/>
      <w:bookmarkStart w:id="222" w:name="_Toc60830290"/>
      <w:bookmarkStart w:id="223" w:name="_Ref467379923"/>
      <w:bookmarkStart w:id="224" w:name="_Ref467379863"/>
      <w:r>
        <w:rPr>
          <w:rFonts w:hint="eastAsia" w:ascii="仿宋" w:hAnsi="仿宋" w:eastAsia="仿宋" w:cs="仿宋"/>
          <w:color w:val="auto"/>
          <w:sz w:val="21"/>
          <w:szCs w:val="21"/>
          <w:highlight w:val="none"/>
        </w:rPr>
        <w:t>9． 技术资料</w:t>
      </w:r>
      <w:bookmarkEnd w:id="219"/>
      <w:bookmarkEnd w:id="220"/>
      <w:bookmarkEnd w:id="221"/>
      <w:bookmarkEnd w:id="222"/>
      <w:bookmarkEnd w:id="223"/>
      <w:bookmarkEnd w:id="224"/>
    </w:p>
    <w:p>
      <w:pPr>
        <w:spacing w:line="240" w:lineRule="atLeast"/>
        <w:ind w:left="630" w:hanging="630" w:hangingChars="300"/>
        <w:rPr>
          <w:rFonts w:ascii="仿宋" w:hAnsi="仿宋" w:eastAsia="仿宋" w:cs="仿宋"/>
          <w:color w:val="auto"/>
          <w:szCs w:val="21"/>
          <w:highlight w:val="none"/>
        </w:rPr>
      </w:pPr>
      <w:r>
        <w:rPr>
          <w:rFonts w:hint="eastAsia" w:ascii="仿宋" w:hAnsi="仿宋" w:eastAsia="仿宋" w:cs="仿宋"/>
          <w:color w:val="auto"/>
          <w:szCs w:val="21"/>
          <w:highlight w:val="none"/>
        </w:rPr>
        <w:t>9.1   合同项下技术资料(除合同特殊条款规定外)将以下列方式交付：</w:t>
      </w:r>
    </w:p>
    <w:p>
      <w:pPr>
        <w:spacing w:line="240" w:lineRule="atLeast"/>
        <w:ind w:left="630" w:leftChars="300"/>
        <w:rPr>
          <w:rFonts w:ascii="仿宋" w:hAnsi="仿宋" w:eastAsia="仿宋" w:cs="仿宋"/>
          <w:color w:val="auto"/>
          <w:szCs w:val="21"/>
          <w:highlight w:val="none"/>
        </w:rPr>
      </w:pPr>
      <w:r>
        <w:rPr>
          <w:rFonts w:hint="eastAsia" w:ascii="仿宋" w:hAnsi="仿宋" w:eastAsia="仿宋" w:cs="仿宋"/>
          <w:color w:val="auto"/>
          <w:szCs w:val="21"/>
          <w:highlight w:val="none"/>
        </w:rPr>
        <w:t>在合同专用条款规定时间内，卖方应将每台设备和仪器的中文技术资料一套，如目录索引、图纸、操作手册、使用指南、维修指南和／或服务手册和示意图寄给买方。</w:t>
      </w:r>
    </w:p>
    <w:p>
      <w:pPr>
        <w:spacing w:line="240" w:lineRule="atLeast"/>
        <w:ind w:left="630" w:hanging="630" w:hangingChars="300"/>
        <w:rPr>
          <w:rFonts w:ascii="仿宋" w:hAnsi="仿宋" w:eastAsia="仿宋" w:cs="仿宋"/>
          <w:color w:val="auto"/>
          <w:szCs w:val="21"/>
          <w:highlight w:val="none"/>
        </w:rPr>
      </w:pPr>
      <w:r>
        <w:rPr>
          <w:rFonts w:hint="eastAsia" w:ascii="仿宋" w:hAnsi="仿宋" w:eastAsia="仿宋" w:cs="仿宋"/>
          <w:color w:val="auto"/>
          <w:szCs w:val="21"/>
          <w:highlight w:val="none"/>
        </w:rPr>
        <w:t>9.2   另外一套完整的上述资料应包装好随同每批货物一起发运。</w:t>
      </w:r>
    </w:p>
    <w:p>
      <w:pPr>
        <w:spacing w:line="240" w:lineRule="atLeast"/>
        <w:ind w:left="630" w:hanging="630" w:hangingChars="300"/>
        <w:rPr>
          <w:rFonts w:ascii="仿宋" w:hAnsi="仿宋" w:eastAsia="仿宋" w:cs="仿宋"/>
          <w:color w:val="auto"/>
          <w:szCs w:val="21"/>
          <w:highlight w:val="none"/>
        </w:rPr>
      </w:pPr>
      <w:r>
        <w:rPr>
          <w:rFonts w:hint="eastAsia" w:ascii="仿宋" w:hAnsi="仿宋" w:eastAsia="仿宋" w:cs="仿宋"/>
          <w:color w:val="auto"/>
          <w:szCs w:val="21"/>
          <w:highlight w:val="none"/>
        </w:rPr>
        <w:t>9.3   如果买方确认卖方提供的技术资料不完整或在运输过程中丢失，卖方将在合同专用条款规定时间内将这些资料免费寄给买方。</w:t>
      </w:r>
    </w:p>
    <w:p>
      <w:pPr>
        <w:pStyle w:val="4"/>
        <w:tabs>
          <w:tab w:val="left" w:pos="900"/>
        </w:tabs>
        <w:spacing w:before="0" w:line="240" w:lineRule="atLeast"/>
        <w:jc w:val="both"/>
        <w:rPr>
          <w:rFonts w:ascii="仿宋" w:hAnsi="仿宋" w:eastAsia="仿宋" w:cs="仿宋"/>
          <w:color w:val="auto"/>
          <w:sz w:val="21"/>
          <w:szCs w:val="21"/>
          <w:highlight w:val="none"/>
        </w:rPr>
      </w:pPr>
      <w:bookmarkStart w:id="225" w:name="_Toc12393"/>
      <w:bookmarkStart w:id="226" w:name="_Ref467377962"/>
      <w:bookmarkStart w:id="227" w:name="_Ref467377798"/>
      <w:bookmarkStart w:id="228" w:name="_Ref467379946"/>
      <w:bookmarkStart w:id="229" w:name="_Toc487900359"/>
      <w:bookmarkStart w:id="230" w:name="_Toc60830291"/>
      <w:bookmarkStart w:id="231" w:name="_Ref467379937"/>
      <w:r>
        <w:rPr>
          <w:rFonts w:hint="eastAsia" w:ascii="仿宋" w:hAnsi="仿宋" w:eastAsia="仿宋" w:cs="仿宋"/>
          <w:color w:val="auto"/>
          <w:sz w:val="21"/>
          <w:szCs w:val="21"/>
          <w:highlight w:val="none"/>
        </w:rPr>
        <w:t>10． 质量保证</w:t>
      </w:r>
      <w:bookmarkEnd w:id="225"/>
      <w:bookmarkEnd w:id="226"/>
      <w:bookmarkEnd w:id="227"/>
      <w:bookmarkEnd w:id="228"/>
      <w:bookmarkEnd w:id="229"/>
      <w:bookmarkEnd w:id="230"/>
      <w:bookmarkEnd w:id="231"/>
    </w:p>
    <w:p>
      <w:pPr>
        <w:spacing w:line="240" w:lineRule="atLeast"/>
        <w:ind w:left="630" w:hanging="630" w:hangingChars="300"/>
        <w:rPr>
          <w:rFonts w:ascii="仿宋" w:hAnsi="仿宋" w:eastAsia="仿宋" w:cs="仿宋"/>
          <w:color w:val="auto"/>
          <w:szCs w:val="21"/>
          <w:highlight w:val="none"/>
        </w:rPr>
      </w:pPr>
      <w:r>
        <w:rPr>
          <w:rFonts w:hint="eastAsia" w:ascii="仿宋" w:hAnsi="仿宋" w:eastAsia="仿宋" w:cs="仿宋"/>
          <w:color w:val="auto"/>
          <w:szCs w:val="21"/>
          <w:highlight w:val="none"/>
        </w:rPr>
        <w:t>10.1  卖方须保证货物是全新、未使用过的，并完全符合强制性的国家技术质量规范和合同规定的质量、规格、性能和技术规范等的要求。</w:t>
      </w:r>
    </w:p>
    <w:p>
      <w:pPr>
        <w:spacing w:line="240" w:lineRule="atLeast"/>
        <w:ind w:left="630" w:hanging="630" w:hangingChars="300"/>
        <w:rPr>
          <w:rFonts w:ascii="仿宋" w:hAnsi="仿宋" w:eastAsia="仿宋" w:cs="仿宋"/>
          <w:color w:val="auto"/>
          <w:szCs w:val="21"/>
          <w:highlight w:val="none"/>
        </w:rPr>
      </w:pPr>
      <w:r>
        <w:rPr>
          <w:rFonts w:hint="eastAsia" w:ascii="仿宋" w:hAnsi="仿宋" w:eastAsia="仿宋" w:cs="仿宋"/>
          <w:color w:val="auto"/>
          <w:szCs w:val="21"/>
          <w:highlight w:val="none"/>
        </w:rPr>
        <w:t>10.2  卖方须保证所提供的货物经正确安装、正常运转和保养，在其使用寿命期内须具有符合质量要求和产品说明书的性能。在货物质量保证期之内，卖方须对由于设计、工艺或材料的缺陷而发生的任何不足或故障负责。</w:t>
      </w:r>
    </w:p>
    <w:p>
      <w:pPr>
        <w:spacing w:line="240" w:lineRule="atLeast"/>
        <w:ind w:left="630" w:hanging="630" w:hangingChars="300"/>
        <w:rPr>
          <w:rFonts w:ascii="仿宋" w:hAnsi="仿宋" w:eastAsia="仿宋" w:cs="仿宋"/>
          <w:color w:val="auto"/>
          <w:szCs w:val="21"/>
          <w:highlight w:val="none"/>
        </w:rPr>
      </w:pPr>
      <w:r>
        <w:rPr>
          <w:rFonts w:hint="eastAsia" w:ascii="仿宋" w:hAnsi="仿宋" w:eastAsia="仿宋" w:cs="仿宋"/>
          <w:color w:val="auto"/>
          <w:szCs w:val="21"/>
          <w:highlight w:val="none"/>
        </w:rPr>
        <w:t>10.3  根据买方按检验标准自己检验结果或委托有资质的相关质检机构的检验结果，发现货物的数量、质量、规格与合同不符；或者在质量保证期内，证实货物存在缺陷，包括潜在的缺陷或使用不符合要求的材料等，买方应尽快以书面形式通知卖方。卖方在合同专用条款规定时间内免费维修或更换有缺陷的货物或部件。</w:t>
      </w:r>
    </w:p>
    <w:p>
      <w:pPr>
        <w:spacing w:line="240" w:lineRule="atLeast"/>
        <w:ind w:left="630" w:hanging="630" w:hangingChars="300"/>
        <w:rPr>
          <w:rFonts w:ascii="仿宋" w:hAnsi="仿宋" w:eastAsia="仿宋" w:cs="仿宋"/>
          <w:color w:val="auto"/>
          <w:szCs w:val="21"/>
          <w:highlight w:val="none"/>
        </w:rPr>
      </w:pPr>
      <w:r>
        <w:rPr>
          <w:rFonts w:hint="eastAsia" w:ascii="仿宋" w:hAnsi="仿宋" w:eastAsia="仿宋" w:cs="仿宋"/>
          <w:color w:val="auto"/>
          <w:szCs w:val="21"/>
          <w:highlight w:val="none"/>
        </w:rPr>
        <w:t>10.4  如果卖方在合同专用条款规定时间内没有弥补缺陷，买方可采取必要的补救措施，但由此引发的风险和费用将由卖方承担。</w:t>
      </w:r>
    </w:p>
    <w:p>
      <w:pPr>
        <w:spacing w:line="240" w:lineRule="atLeast"/>
        <w:ind w:left="630" w:hanging="630" w:hangingChars="300"/>
        <w:rPr>
          <w:rFonts w:ascii="仿宋" w:hAnsi="仿宋" w:eastAsia="仿宋" w:cs="仿宋"/>
          <w:color w:val="auto"/>
          <w:szCs w:val="21"/>
          <w:highlight w:val="none"/>
        </w:rPr>
      </w:pPr>
      <w:r>
        <w:rPr>
          <w:rFonts w:hint="eastAsia" w:ascii="仿宋" w:hAnsi="仿宋" w:eastAsia="仿宋" w:cs="仿宋"/>
          <w:color w:val="auto"/>
          <w:szCs w:val="21"/>
          <w:highlight w:val="none"/>
        </w:rPr>
        <w:t>10.5  除“合同专用条款”规定外，合同项下货物的质量保证期为自货物通过最终验收起12个月。</w:t>
      </w:r>
    </w:p>
    <w:p>
      <w:pPr>
        <w:pStyle w:val="4"/>
        <w:tabs>
          <w:tab w:val="left" w:pos="900"/>
        </w:tabs>
        <w:spacing w:before="0" w:line="240" w:lineRule="atLeast"/>
        <w:jc w:val="both"/>
        <w:rPr>
          <w:rFonts w:ascii="仿宋" w:hAnsi="仿宋" w:eastAsia="仿宋" w:cs="仿宋"/>
          <w:color w:val="auto"/>
          <w:sz w:val="21"/>
          <w:szCs w:val="21"/>
          <w:highlight w:val="none"/>
        </w:rPr>
      </w:pPr>
      <w:bookmarkStart w:id="232" w:name="_Ref467378018"/>
      <w:bookmarkStart w:id="233" w:name="_Toc487900360"/>
      <w:bookmarkStart w:id="234" w:name="_Toc1837"/>
      <w:bookmarkStart w:id="235" w:name="_Toc60830292"/>
      <w:r>
        <w:rPr>
          <w:rFonts w:hint="eastAsia" w:ascii="仿宋" w:hAnsi="仿宋" w:eastAsia="仿宋" w:cs="仿宋"/>
          <w:color w:val="auto"/>
          <w:sz w:val="21"/>
          <w:szCs w:val="21"/>
          <w:highlight w:val="none"/>
        </w:rPr>
        <w:t>11． 检验</w:t>
      </w:r>
      <w:bookmarkEnd w:id="232"/>
      <w:bookmarkEnd w:id="233"/>
      <w:r>
        <w:rPr>
          <w:rFonts w:hint="eastAsia" w:ascii="仿宋" w:hAnsi="仿宋" w:eastAsia="仿宋" w:cs="仿宋"/>
          <w:color w:val="auto"/>
          <w:sz w:val="21"/>
          <w:szCs w:val="21"/>
          <w:highlight w:val="none"/>
        </w:rPr>
        <w:t>和验收</w:t>
      </w:r>
      <w:bookmarkEnd w:id="234"/>
      <w:bookmarkEnd w:id="235"/>
    </w:p>
    <w:p>
      <w:pPr>
        <w:spacing w:line="240" w:lineRule="atLeast"/>
        <w:ind w:left="630" w:hanging="630" w:hangingChars="300"/>
        <w:rPr>
          <w:rFonts w:ascii="仿宋" w:hAnsi="仿宋" w:eastAsia="仿宋" w:cs="仿宋"/>
          <w:color w:val="auto"/>
          <w:szCs w:val="21"/>
          <w:highlight w:val="none"/>
        </w:rPr>
      </w:pPr>
      <w:r>
        <w:rPr>
          <w:rFonts w:hint="eastAsia" w:ascii="仿宋" w:hAnsi="仿宋" w:eastAsia="仿宋" w:cs="仿宋"/>
          <w:color w:val="auto"/>
          <w:szCs w:val="21"/>
          <w:highlight w:val="none"/>
        </w:rPr>
        <w:t>11.1  在交货前，卖方应对货物的质量、规格、性能、数量和重量等进行详细而全面的检验，并出具证明货物符合合同规定的文件。该文件将作为申请付款单据的一部分，但有关质量、规格、性能、数量或重量的检验不应视为最终检验。</w:t>
      </w:r>
    </w:p>
    <w:p>
      <w:pPr>
        <w:spacing w:line="240" w:lineRule="atLeast"/>
        <w:ind w:left="630" w:hanging="630" w:hangingChars="300"/>
        <w:rPr>
          <w:rFonts w:ascii="仿宋" w:hAnsi="仿宋" w:eastAsia="仿宋" w:cs="仿宋"/>
          <w:color w:val="auto"/>
          <w:szCs w:val="21"/>
          <w:highlight w:val="none"/>
        </w:rPr>
      </w:pPr>
      <w:r>
        <w:rPr>
          <w:rFonts w:hint="eastAsia" w:ascii="仿宋" w:hAnsi="仿宋" w:eastAsia="仿宋" w:cs="仿宋"/>
          <w:color w:val="auto"/>
          <w:szCs w:val="21"/>
          <w:highlight w:val="none"/>
        </w:rPr>
        <w:t>11.2  货物运抵现场后，买方在合同专用条款规定时间内组织验收，依法邀请相关方参加。验收将制作验收备忘录，签署验收书。</w:t>
      </w:r>
    </w:p>
    <w:p>
      <w:pPr>
        <w:spacing w:line="240" w:lineRule="atLeast"/>
        <w:ind w:left="630" w:hanging="630" w:hangingChars="300"/>
        <w:rPr>
          <w:rFonts w:ascii="仿宋" w:hAnsi="仿宋" w:eastAsia="仿宋" w:cs="仿宋"/>
          <w:color w:val="auto"/>
          <w:szCs w:val="21"/>
          <w:highlight w:val="none"/>
        </w:rPr>
      </w:pPr>
      <w:r>
        <w:rPr>
          <w:rFonts w:hint="eastAsia" w:ascii="仿宋" w:hAnsi="仿宋" w:eastAsia="仿宋" w:cs="仿宋"/>
          <w:color w:val="auto"/>
          <w:szCs w:val="21"/>
          <w:highlight w:val="none"/>
        </w:rPr>
        <w:t>11.3  买方有在货物制造过程中派员监造的权利, 卖方有义务为买方监造人员行使该权利提供方便。</w:t>
      </w:r>
    </w:p>
    <w:p>
      <w:pPr>
        <w:spacing w:line="240" w:lineRule="atLeast"/>
        <w:ind w:left="630" w:hanging="630" w:hangingChars="300"/>
        <w:rPr>
          <w:rFonts w:ascii="仿宋" w:hAnsi="仿宋" w:eastAsia="仿宋" w:cs="仿宋"/>
          <w:color w:val="auto"/>
          <w:szCs w:val="21"/>
          <w:highlight w:val="none"/>
        </w:rPr>
      </w:pPr>
      <w:r>
        <w:rPr>
          <w:rFonts w:hint="eastAsia" w:ascii="仿宋" w:hAnsi="仿宋" w:eastAsia="仿宋" w:cs="仿宋"/>
          <w:color w:val="auto"/>
          <w:szCs w:val="21"/>
          <w:highlight w:val="none"/>
        </w:rPr>
        <w:t>11.4  制造厂对所供货物进行机械运转试验和性能试验时，卖方必须提前通知买方。</w:t>
      </w:r>
    </w:p>
    <w:p>
      <w:pPr>
        <w:spacing w:line="240" w:lineRule="atLeast"/>
        <w:ind w:left="630" w:hanging="630" w:hangingChars="300"/>
        <w:rPr>
          <w:rFonts w:ascii="仿宋" w:hAnsi="仿宋" w:eastAsia="仿宋" w:cs="仿宋"/>
          <w:color w:val="auto"/>
          <w:szCs w:val="21"/>
          <w:highlight w:val="none"/>
        </w:rPr>
      </w:pPr>
      <w:r>
        <w:rPr>
          <w:rFonts w:hint="eastAsia" w:ascii="仿宋" w:hAnsi="仿宋" w:eastAsia="仿宋" w:cs="仿宋"/>
          <w:color w:val="auto"/>
          <w:szCs w:val="21"/>
          <w:highlight w:val="none"/>
        </w:rPr>
        <w:t>11.5  检验和验收标准、程序等具体内容按合同约定执行。</w:t>
      </w:r>
    </w:p>
    <w:p>
      <w:pPr>
        <w:pStyle w:val="4"/>
        <w:tabs>
          <w:tab w:val="left" w:pos="900"/>
        </w:tabs>
        <w:spacing w:before="0" w:line="240" w:lineRule="atLeast"/>
        <w:jc w:val="both"/>
        <w:rPr>
          <w:rFonts w:ascii="仿宋" w:hAnsi="仿宋" w:eastAsia="仿宋" w:cs="仿宋"/>
          <w:color w:val="auto"/>
          <w:sz w:val="21"/>
          <w:szCs w:val="21"/>
          <w:highlight w:val="none"/>
        </w:rPr>
      </w:pPr>
      <w:bookmarkStart w:id="236" w:name="_Toc12520"/>
      <w:bookmarkStart w:id="237" w:name="_Toc487900361"/>
      <w:bookmarkStart w:id="238" w:name="_Toc60830293"/>
      <w:r>
        <w:rPr>
          <w:rFonts w:hint="eastAsia" w:ascii="仿宋" w:hAnsi="仿宋" w:eastAsia="仿宋" w:cs="仿宋"/>
          <w:color w:val="auto"/>
          <w:sz w:val="21"/>
          <w:szCs w:val="21"/>
          <w:highlight w:val="none"/>
        </w:rPr>
        <w:t>12． 索赔</w:t>
      </w:r>
      <w:bookmarkEnd w:id="236"/>
      <w:bookmarkEnd w:id="237"/>
      <w:bookmarkEnd w:id="238"/>
    </w:p>
    <w:p>
      <w:pPr>
        <w:spacing w:line="240" w:lineRule="atLeast"/>
        <w:ind w:left="630" w:hanging="630" w:hangingChars="300"/>
        <w:rPr>
          <w:rFonts w:ascii="仿宋" w:hAnsi="仿宋" w:eastAsia="仿宋" w:cs="仿宋"/>
          <w:color w:val="auto"/>
          <w:szCs w:val="21"/>
          <w:highlight w:val="none"/>
        </w:rPr>
      </w:pPr>
      <w:r>
        <w:rPr>
          <w:rFonts w:hint="eastAsia" w:ascii="仿宋" w:hAnsi="仿宋" w:eastAsia="仿宋" w:cs="仿宋"/>
          <w:color w:val="auto"/>
          <w:szCs w:val="21"/>
          <w:highlight w:val="none"/>
        </w:rPr>
        <w:t>12.1  如果货物的质量、规格、数量、重量等与合同不符，或在第10.5规定的质量保证期内证实货物存有缺陷，包括潜在的缺陷或使用不符合要求的材料等，买方有权根据有资质的权威质检机构的检验结果向卖方提出索赔（但责任应由保险公司或运输部门承担的除外）。</w:t>
      </w:r>
    </w:p>
    <w:p>
      <w:pPr>
        <w:spacing w:line="240" w:lineRule="atLeast"/>
        <w:ind w:left="630" w:hanging="630" w:hangingChars="300"/>
        <w:rPr>
          <w:rFonts w:ascii="仿宋" w:hAnsi="仿宋" w:eastAsia="仿宋" w:cs="仿宋"/>
          <w:color w:val="auto"/>
          <w:szCs w:val="21"/>
          <w:highlight w:val="none"/>
        </w:rPr>
      </w:pPr>
      <w:bookmarkStart w:id="239" w:name="_Ref467378076"/>
      <w:r>
        <w:rPr>
          <w:rFonts w:hint="eastAsia" w:ascii="仿宋" w:hAnsi="仿宋" w:eastAsia="仿宋" w:cs="仿宋"/>
          <w:color w:val="auto"/>
          <w:szCs w:val="21"/>
          <w:highlight w:val="none"/>
        </w:rPr>
        <w:t>12.2  在根据合同第10条和第11条规定的检验期和质量保证期内，如果卖方对买方提出的索赔负有责任，卖方应按照买方同意的下列一种或多种方式解决索赔事宜：</w:t>
      </w:r>
      <w:bookmarkEnd w:id="239"/>
    </w:p>
    <w:p>
      <w:pPr>
        <w:spacing w:line="240" w:lineRule="atLeast"/>
        <w:ind w:left="840" w:hanging="840" w:hangingChars="400"/>
        <w:rPr>
          <w:rFonts w:ascii="仿宋" w:hAnsi="仿宋" w:eastAsia="仿宋" w:cs="仿宋"/>
          <w:color w:val="auto"/>
          <w:szCs w:val="21"/>
          <w:highlight w:val="none"/>
        </w:rPr>
      </w:pPr>
      <w:r>
        <w:rPr>
          <w:rFonts w:hint="eastAsia" w:ascii="仿宋" w:hAnsi="仿宋" w:eastAsia="仿宋" w:cs="仿宋"/>
          <w:color w:val="auto"/>
          <w:szCs w:val="21"/>
          <w:highlight w:val="none"/>
        </w:rPr>
        <w:t>12.2.1  在法定的退货期内，卖方应按合同规定将货款退还给买方，并承担由此发生的一切损失和费用，包括利息、银行手续费、运费、保险费、检验费、仓储费、装卸费以及为保护退回货物所需的其它必要费用。如已超过退货期，但卖方同意退货，可比照上述办法办理，或由双方协商处理。</w:t>
      </w:r>
    </w:p>
    <w:p>
      <w:pPr>
        <w:spacing w:line="240" w:lineRule="atLeast"/>
        <w:ind w:left="840" w:hanging="840" w:hangingChars="400"/>
        <w:rPr>
          <w:rFonts w:ascii="仿宋" w:hAnsi="仿宋" w:eastAsia="仿宋" w:cs="仿宋"/>
          <w:color w:val="auto"/>
          <w:szCs w:val="21"/>
          <w:highlight w:val="none"/>
        </w:rPr>
      </w:pPr>
      <w:r>
        <w:rPr>
          <w:rFonts w:hint="eastAsia" w:ascii="仿宋" w:hAnsi="仿宋" w:eastAsia="仿宋" w:cs="仿宋"/>
          <w:color w:val="auto"/>
          <w:szCs w:val="21"/>
          <w:highlight w:val="none"/>
        </w:rPr>
        <w:t>12.2.2  根据货物低劣程度、损坏程度以及买方所遭受损失的数额，经买卖双方商定降低货物的价格，或由有权的部门评估，以降低后的价格或评估价格为准。</w:t>
      </w:r>
    </w:p>
    <w:p>
      <w:pPr>
        <w:spacing w:line="240" w:lineRule="atLeast"/>
        <w:ind w:left="840" w:hanging="840" w:hangingChars="400"/>
        <w:rPr>
          <w:rFonts w:ascii="仿宋" w:hAnsi="仿宋" w:eastAsia="仿宋" w:cs="仿宋"/>
          <w:color w:val="auto"/>
          <w:szCs w:val="21"/>
          <w:highlight w:val="none"/>
        </w:rPr>
      </w:pPr>
      <w:r>
        <w:rPr>
          <w:rFonts w:hint="eastAsia" w:ascii="仿宋" w:hAnsi="仿宋" w:eastAsia="仿宋" w:cs="仿宋"/>
          <w:color w:val="auto"/>
          <w:szCs w:val="21"/>
          <w:highlight w:val="none"/>
        </w:rPr>
        <w:t>12.2.3  用符合规格、质量和性能要求的新零件、部件或货物来更换有缺陷的部分或／和修补缺陷部分，卖方应承担一切费用和风险并负担买方所发生的一切直接费用。同时，卖方应按合同第10条规定，相应延长修补或更换件的质量保证期。</w:t>
      </w:r>
    </w:p>
    <w:p>
      <w:pPr>
        <w:spacing w:line="240" w:lineRule="atLeast"/>
        <w:ind w:left="630" w:hanging="630" w:hangingChars="300"/>
        <w:rPr>
          <w:rFonts w:ascii="仿宋" w:hAnsi="仿宋" w:eastAsia="仿宋" w:cs="仿宋"/>
          <w:color w:val="auto"/>
          <w:szCs w:val="21"/>
          <w:highlight w:val="none"/>
        </w:rPr>
      </w:pPr>
      <w:r>
        <w:rPr>
          <w:rFonts w:hint="eastAsia" w:ascii="仿宋" w:hAnsi="仿宋" w:eastAsia="仿宋" w:cs="仿宋"/>
          <w:color w:val="auto"/>
          <w:szCs w:val="21"/>
          <w:highlight w:val="none"/>
        </w:rPr>
        <w:t>12.3  如果在买方发出索赔通知后，卖方在合同专用条款规定时间内未作答复，上述索赔应视为已被卖方接受。买方将按照本合同第12.2条规定解决索赔事宜，买方将从合同款或从卖方开具的履约保证金保函中扣回索赔金额。如果这些金额不足以补偿索赔金额，买方有权向卖方提出不足部分的补偿。</w:t>
      </w:r>
    </w:p>
    <w:p>
      <w:pPr>
        <w:pStyle w:val="4"/>
        <w:tabs>
          <w:tab w:val="left" w:pos="900"/>
        </w:tabs>
        <w:spacing w:before="0" w:line="240" w:lineRule="atLeast"/>
        <w:jc w:val="both"/>
        <w:rPr>
          <w:rFonts w:ascii="仿宋" w:hAnsi="仿宋" w:eastAsia="仿宋" w:cs="仿宋"/>
          <w:color w:val="auto"/>
          <w:sz w:val="21"/>
          <w:szCs w:val="21"/>
          <w:highlight w:val="none"/>
        </w:rPr>
      </w:pPr>
      <w:bookmarkStart w:id="240" w:name="_Toc60830294"/>
      <w:bookmarkStart w:id="241" w:name="_Toc487900362"/>
      <w:bookmarkStart w:id="242" w:name="_Toc20819"/>
      <w:r>
        <w:rPr>
          <w:rFonts w:hint="eastAsia" w:ascii="仿宋" w:hAnsi="仿宋" w:eastAsia="仿宋" w:cs="仿宋"/>
          <w:color w:val="auto"/>
          <w:sz w:val="21"/>
          <w:szCs w:val="21"/>
          <w:highlight w:val="none"/>
        </w:rPr>
        <w:t>13． 延迟交货</w:t>
      </w:r>
      <w:bookmarkEnd w:id="240"/>
      <w:bookmarkEnd w:id="241"/>
      <w:bookmarkEnd w:id="242"/>
    </w:p>
    <w:p>
      <w:pPr>
        <w:spacing w:line="240" w:lineRule="atLeast"/>
        <w:ind w:left="630" w:hanging="630" w:hangingChars="300"/>
        <w:rPr>
          <w:rFonts w:ascii="仿宋" w:hAnsi="仿宋" w:eastAsia="仿宋" w:cs="仿宋"/>
          <w:color w:val="auto"/>
          <w:szCs w:val="21"/>
          <w:highlight w:val="none"/>
        </w:rPr>
      </w:pPr>
      <w:r>
        <w:rPr>
          <w:rFonts w:hint="eastAsia" w:ascii="仿宋" w:hAnsi="仿宋" w:eastAsia="仿宋" w:cs="仿宋"/>
          <w:color w:val="auto"/>
          <w:szCs w:val="21"/>
          <w:highlight w:val="none"/>
        </w:rPr>
        <w:t>13.1  卖方应按照“货物需求一览表及技术规格”中买方规定的时间表交货和提供服务。</w:t>
      </w:r>
    </w:p>
    <w:p>
      <w:pPr>
        <w:spacing w:line="240" w:lineRule="atLeast"/>
        <w:ind w:left="630" w:hanging="630" w:hangingChars="300"/>
        <w:rPr>
          <w:rFonts w:ascii="仿宋" w:hAnsi="仿宋" w:eastAsia="仿宋" w:cs="仿宋"/>
          <w:color w:val="auto"/>
          <w:szCs w:val="21"/>
          <w:highlight w:val="none"/>
        </w:rPr>
      </w:pPr>
      <w:r>
        <w:rPr>
          <w:rFonts w:hint="eastAsia" w:ascii="仿宋" w:hAnsi="仿宋" w:eastAsia="仿宋" w:cs="仿宋"/>
          <w:color w:val="auto"/>
          <w:szCs w:val="21"/>
          <w:highlight w:val="none"/>
        </w:rPr>
        <w:t>13.2  如果卖方无正当理由迟延交货，买方有权提出违约损失赔偿或解除合同。</w:t>
      </w:r>
    </w:p>
    <w:p>
      <w:pPr>
        <w:spacing w:line="240" w:lineRule="atLeast"/>
        <w:ind w:left="630" w:hanging="630" w:hangingChars="300"/>
        <w:rPr>
          <w:rFonts w:ascii="仿宋" w:hAnsi="仿宋" w:eastAsia="仿宋" w:cs="仿宋"/>
          <w:color w:val="auto"/>
          <w:szCs w:val="21"/>
          <w:highlight w:val="none"/>
        </w:rPr>
      </w:pPr>
      <w:r>
        <w:rPr>
          <w:rFonts w:hint="eastAsia" w:ascii="仿宋" w:hAnsi="仿宋" w:eastAsia="仿宋" w:cs="仿宋"/>
          <w:color w:val="auto"/>
          <w:szCs w:val="21"/>
          <w:highlight w:val="none"/>
        </w:rPr>
        <w:t>13.3  在履行合同过程中，如果卖方遇到不能按时交货和提供服务的情况，应及时以书面形式将不能按时交货的理由、预期延误时间通知买方。买方收到卖方通知后，认为其理由正当的，可酌情延长交货时间。</w:t>
      </w:r>
    </w:p>
    <w:p>
      <w:pPr>
        <w:pStyle w:val="4"/>
        <w:tabs>
          <w:tab w:val="left" w:pos="900"/>
        </w:tabs>
        <w:spacing w:before="0" w:line="240" w:lineRule="atLeast"/>
        <w:jc w:val="both"/>
        <w:rPr>
          <w:rFonts w:ascii="仿宋" w:hAnsi="仿宋" w:eastAsia="仿宋" w:cs="仿宋"/>
          <w:color w:val="auto"/>
          <w:sz w:val="21"/>
          <w:szCs w:val="21"/>
          <w:highlight w:val="none"/>
        </w:rPr>
      </w:pPr>
      <w:bookmarkStart w:id="243" w:name="_Toc487900363"/>
      <w:bookmarkStart w:id="244" w:name="_Toc24617"/>
      <w:bookmarkStart w:id="245" w:name="_Toc60830295"/>
      <w:r>
        <w:rPr>
          <w:rFonts w:hint="eastAsia" w:ascii="仿宋" w:hAnsi="仿宋" w:eastAsia="仿宋" w:cs="仿宋"/>
          <w:color w:val="auto"/>
          <w:sz w:val="21"/>
          <w:szCs w:val="21"/>
          <w:highlight w:val="none"/>
        </w:rPr>
        <w:t>14． 违约赔偿</w:t>
      </w:r>
      <w:bookmarkEnd w:id="243"/>
      <w:bookmarkEnd w:id="244"/>
      <w:bookmarkEnd w:id="245"/>
    </w:p>
    <w:p>
      <w:pPr>
        <w:spacing w:line="240" w:lineRule="atLeast"/>
        <w:ind w:left="630" w:hanging="630" w:hangingChars="300"/>
        <w:rPr>
          <w:rFonts w:ascii="仿宋" w:hAnsi="仿宋" w:eastAsia="仿宋" w:cs="仿宋"/>
          <w:color w:val="auto"/>
          <w:szCs w:val="21"/>
          <w:highlight w:val="none"/>
        </w:rPr>
      </w:pPr>
      <w:r>
        <w:rPr>
          <w:rFonts w:hint="eastAsia" w:ascii="仿宋" w:hAnsi="仿宋" w:eastAsia="仿宋" w:cs="仿宋"/>
          <w:color w:val="auto"/>
          <w:szCs w:val="21"/>
          <w:highlight w:val="none"/>
        </w:rPr>
        <w:t>14.1  除合同第15条规定外，如果卖方没有按照合同规定的时间交货和提供服务，买方可要求卖方支付违约金。违约金按每周迟交货物或未提供服务交货价的0.5%计收。一周按７天计算，不足７天按一周计算。如果达到最高限额，买方有权解除合同。违约金的最高限额为迟交货物或没有提供服务的合同价的5%。</w:t>
      </w:r>
    </w:p>
    <w:p>
      <w:pPr>
        <w:pStyle w:val="4"/>
        <w:tabs>
          <w:tab w:val="left" w:pos="900"/>
        </w:tabs>
        <w:spacing w:before="0" w:line="240" w:lineRule="atLeast"/>
        <w:jc w:val="both"/>
        <w:rPr>
          <w:rFonts w:ascii="仿宋" w:hAnsi="仿宋" w:eastAsia="仿宋" w:cs="仿宋"/>
          <w:color w:val="auto"/>
          <w:sz w:val="21"/>
          <w:szCs w:val="21"/>
          <w:highlight w:val="none"/>
        </w:rPr>
      </w:pPr>
      <w:bookmarkStart w:id="246" w:name="_Ref467378121"/>
      <w:bookmarkStart w:id="247" w:name="_Toc487900364"/>
      <w:bookmarkStart w:id="248" w:name="_Toc60830296"/>
      <w:bookmarkStart w:id="249" w:name="_Toc18577"/>
      <w:r>
        <w:rPr>
          <w:rFonts w:hint="eastAsia" w:ascii="仿宋" w:hAnsi="仿宋" w:eastAsia="仿宋" w:cs="仿宋"/>
          <w:color w:val="auto"/>
          <w:sz w:val="21"/>
          <w:szCs w:val="21"/>
          <w:highlight w:val="none"/>
        </w:rPr>
        <w:t>15． 不可抗力</w:t>
      </w:r>
      <w:bookmarkEnd w:id="246"/>
      <w:bookmarkEnd w:id="247"/>
      <w:bookmarkEnd w:id="248"/>
      <w:bookmarkEnd w:id="249"/>
    </w:p>
    <w:p>
      <w:pPr>
        <w:spacing w:line="240" w:lineRule="atLeast"/>
        <w:ind w:left="630" w:hanging="630" w:hangingChars="300"/>
        <w:rPr>
          <w:rFonts w:ascii="仿宋" w:hAnsi="仿宋" w:eastAsia="仿宋" w:cs="仿宋"/>
          <w:color w:val="auto"/>
          <w:szCs w:val="21"/>
          <w:highlight w:val="none"/>
        </w:rPr>
      </w:pPr>
      <w:r>
        <w:rPr>
          <w:rFonts w:hint="eastAsia" w:ascii="仿宋" w:hAnsi="仿宋" w:eastAsia="仿宋" w:cs="仿宋"/>
          <w:color w:val="auto"/>
          <w:szCs w:val="21"/>
          <w:highlight w:val="none"/>
        </w:rPr>
        <w:t>15.1  如果双方中任何一方遭遇法律规定的不可抗力，致使合同履行受阻时，履行合同的期限应予延长，延长的期限应相当于不可抗力所影响的时间。</w:t>
      </w:r>
    </w:p>
    <w:p>
      <w:pPr>
        <w:spacing w:line="240" w:lineRule="atLeast"/>
        <w:ind w:left="630" w:hanging="630" w:hangingChars="300"/>
        <w:rPr>
          <w:rFonts w:ascii="仿宋" w:hAnsi="仿宋" w:eastAsia="仿宋" w:cs="仿宋"/>
          <w:color w:val="auto"/>
          <w:szCs w:val="21"/>
          <w:highlight w:val="none"/>
        </w:rPr>
      </w:pPr>
      <w:r>
        <w:rPr>
          <w:rFonts w:hint="eastAsia" w:ascii="仿宋" w:hAnsi="仿宋" w:eastAsia="仿宋" w:cs="仿宋"/>
          <w:color w:val="auto"/>
          <w:szCs w:val="21"/>
          <w:highlight w:val="none"/>
        </w:rPr>
        <w:t>15.2  受事故影响的一方应在不可抗力的事故发生后尽快书面形式通知另一方，并在合同专用条款规定时间内，将有关部门出具的证明文件送达另一方。</w:t>
      </w:r>
    </w:p>
    <w:p>
      <w:pPr>
        <w:spacing w:line="240" w:lineRule="atLeast"/>
        <w:ind w:left="630" w:hanging="630" w:hangingChars="300"/>
        <w:rPr>
          <w:rFonts w:ascii="仿宋" w:hAnsi="仿宋" w:eastAsia="仿宋" w:cs="仿宋"/>
          <w:color w:val="auto"/>
          <w:szCs w:val="21"/>
          <w:highlight w:val="none"/>
        </w:rPr>
      </w:pPr>
      <w:r>
        <w:rPr>
          <w:rFonts w:hint="eastAsia" w:ascii="仿宋" w:hAnsi="仿宋" w:eastAsia="仿宋" w:cs="仿宋"/>
          <w:color w:val="auto"/>
          <w:szCs w:val="21"/>
          <w:highlight w:val="none"/>
        </w:rPr>
        <w:t>15.3  不可抗力使合同的某些内容有变更必要的， 双方应在合同专用条款规定时间内达成进一步履行合同的协议。因不可抗力致使合同不能履行的，合同终止。</w:t>
      </w:r>
    </w:p>
    <w:p>
      <w:pPr>
        <w:pStyle w:val="4"/>
        <w:tabs>
          <w:tab w:val="left" w:pos="900"/>
        </w:tabs>
        <w:spacing w:before="0" w:line="240" w:lineRule="atLeast"/>
        <w:jc w:val="both"/>
        <w:rPr>
          <w:rFonts w:ascii="仿宋" w:hAnsi="仿宋" w:eastAsia="仿宋" w:cs="仿宋"/>
          <w:color w:val="auto"/>
          <w:sz w:val="21"/>
          <w:szCs w:val="21"/>
          <w:highlight w:val="none"/>
        </w:rPr>
      </w:pPr>
      <w:bookmarkStart w:id="250" w:name="_Toc487900365"/>
      <w:bookmarkStart w:id="251" w:name="_Toc60830297"/>
      <w:bookmarkStart w:id="252" w:name="_Toc24847"/>
      <w:r>
        <w:rPr>
          <w:rFonts w:hint="eastAsia" w:ascii="仿宋" w:hAnsi="仿宋" w:eastAsia="仿宋" w:cs="仿宋"/>
          <w:color w:val="auto"/>
          <w:sz w:val="21"/>
          <w:szCs w:val="21"/>
          <w:highlight w:val="none"/>
        </w:rPr>
        <w:t>16． 税费</w:t>
      </w:r>
      <w:bookmarkEnd w:id="250"/>
      <w:bookmarkEnd w:id="251"/>
      <w:bookmarkEnd w:id="252"/>
    </w:p>
    <w:p>
      <w:pPr>
        <w:spacing w:line="240" w:lineRule="atLeast"/>
        <w:ind w:left="788" w:hanging="787" w:hangingChars="375"/>
        <w:rPr>
          <w:rFonts w:ascii="仿宋" w:hAnsi="仿宋" w:eastAsia="仿宋" w:cs="仿宋"/>
          <w:color w:val="auto"/>
          <w:szCs w:val="21"/>
          <w:highlight w:val="none"/>
        </w:rPr>
      </w:pPr>
      <w:r>
        <w:rPr>
          <w:rFonts w:hint="eastAsia" w:ascii="仿宋" w:hAnsi="仿宋" w:eastAsia="仿宋" w:cs="仿宋"/>
          <w:color w:val="auto"/>
          <w:szCs w:val="21"/>
          <w:highlight w:val="none"/>
        </w:rPr>
        <w:t>16.1   与本合同有关的一切税费均适用中华人民共和国法律的相关规定。</w:t>
      </w:r>
    </w:p>
    <w:p>
      <w:pPr>
        <w:pStyle w:val="4"/>
        <w:tabs>
          <w:tab w:val="left" w:pos="900"/>
        </w:tabs>
        <w:spacing w:before="0" w:line="240" w:lineRule="atLeast"/>
        <w:jc w:val="both"/>
        <w:rPr>
          <w:rFonts w:ascii="仿宋" w:hAnsi="仿宋" w:eastAsia="仿宋" w:cs="仿宋"/>
          <w:color w:val="auto"/>
          <w:sz w:val="21"/>
          <w:szCs w:val="21"/>
          <w:highlight w:val="none"/>
        </w:rPr>
      </w:pPr>
      <w:bookmarkStart w:id="253" w:name="_Hlt487900425"/>
      <w:bookmarkEnd w:id="253"/>
      <w:bookmarkStart w:id="254" w:name="_Toc487900366"/>
      <w:bookmarkStart w:id="255" w:name="_Toc60830298"/>
      <w:bookmarkStart w:id="256" w:name="_Toc12584"/>
      <w:r>
        <w:rPr>
          <w:rFonts w:hint="eastAsia" w:ascii="仿宋" w:hAnsi="仿宋" w:eastAsia="仿宋" w:cs="仿宋"/>
          <w:color w:val="auto"/>
          <w:sz w:val="21"/>
          <w:szCs w:val="21"/>
          <w:highlight w:val="none"/>
        </w:rPr>
        <w:t>17</w:t>
      </w:r>
      <w:bookmarkEnd w:id="254"/>
      <w:r>
        <w:rPr>
          <w:rFonts w:hint="eastAsia" w:ascii="仿宋" w:hAnsi="仿宋" w:eastAsia="仿宋" w:cs="仿宋"/>
          <w:color w:val="auto"/>
          <w:sz w:val="21"/>
          <w:szCs w:val="21"/>
          <w:highlight w:val="none"/>
        </w:rPr>
        <w:t>． 合同争议的解决</w:t>
      </w:r>
      <w:bookmarkEnd w:id="255"/>
      <w:bookmarkEnd w:id="256"/>
    </w:p>
    <w:p>
      <w:pPr>
        <w:spacing w:line="240" w:lineRule="atLeast"/>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17.1   因合同履行中发生的争议，合同当事人双方可通过协商解决。协商不成的，可提请仲裁委员会仲裁或向人民法院提起诉讼。</w:t>
      </w:r>
    </w:p>
    <w:p>
      <w:pPr>
        <w:spacing w:line="240" w:lineRule="atLeast"/>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17.2   仲裁裁决应为最终裁决，当事人一方在规定时间内不履行仲裁机构裁决的，另一方可以申请人民法院强制执行。</w:t>
      </w:r>
    </w:p>
    <w:p>
      <w:pPr>
        <w:spacing w:line="240" w:lineRule="atLeast"/>
        <w:ind w:left="788" w:hanging="787" w:hangingChars="375"/>
        <w:rPr>
          <w:rFonts w:ascii="仿宋" w:hAnsi="仿宋" w:eastAsia="仿宋" w:cs="仿宋"/>
          <w:color w:val="auto"/>
          <w:szCs w:val="21"/>
          <w:highlight w:val="none"/>
        </w:rPr>
      </w:pPr>
      <w:r>
        <w:rPr>
          <w:rFonts w:hint="eastAsia" w:ascii="仿宋" w:hAnsi="仿宋" w:eastAsia="仿宋" w:cs="仿宋"/>
          <w:color w:val="auto"/>
          <w:szCs w:val="21"/>
          <w:highlight w:val="none"/>
        </w:rPr>
        <w:t>17.3   仲裁费用和诉讼费用除仲裁机构另有裁决外，应由败诉方负担。</w:t>
      </w:r>
    </w:p>
    <w:p>
      <w:pPr>
        <w:pStyle w:val="4"/>
        <w:tabs>
          <w:tab w:val="left" w:pos="900"/>
        </w:tabs>
        <w:spacing w:before="0" w:line="240" w:lineRule="atLeast"/>
        <w:jc w:val="both"/>
        <w:rPr>
          <w:rFonts w:ascii="仿宋" w:hAnsi="仿宋" w:eastAsia="仿宋" w:cs="仿宋"/>
          <w:color w:val="auto"/>
          <w:sz w:val="21"/>
          <w:szCs w:val="21"/>
          <w:highlight w:val="none"/>
        </w:rPr>
      </w:pPr>
      <w:bookmarkStart w:id="257" w:name="_Toc2065"/>
      <w:bookmarkStart w:id="258" w:name="_Toc487900367"/>
      <w:bookmarkStart w:id="259" w:name="_Toc60830299"/>
      <w:r>
        <w:rPr>
          <w:rFonts w:hint="eastAsia" w:ascii="仿宋" w:hAnsi="仿宋" w:eastAsia="仿宋" w:cs="仿宋"/>
          <w:color w:val="auto"/>
          <w:sz w:val="21"/>
          <w:szCs w:val="21"/>
          <w:highlight w:val="none"/>
        </w:rPr>
        <w:t>18． 违约解除合同</w:t>
      </w:r>
      <w:bookmarkEnd w:id="257"/>
      <w:bookmarkEnd w:id="258"/>
      <w:bookmarkEnd w:id="259"/>
    </w:p>
    <w:p>
      <w:pPr>
        <w:spacing w:line="240" w:lineRule="atLeast"/>
        <w:ind w:left="735" w:hanging="735" w:hangingChars="350"/>
        <w:rPr>
          <w:rFonts w:ascii="仿宋" w:hAnsi="仿宋" w:eastAsia="仿宋" w:cs="仿宋"/>
          <w:color w:val="auto"/>
          <w:szCs w:val="21"/>
          <w:highlight w:val="none"/>
        </w:rPr>
      </w:pPr>
      <w:bookmarkStart w:id="260" w:name="_Ref467378234"/>
      <w:r>
        <w:rPr>
          <w:rFonts w:hint="eastAsia" w:ascii="仿宋" w:hAnsi="仿宋" w:eastAsia="仿宋" w:cs="仿宋"/>
          <w:color w:val="auto"/>
          <w:szCs w:val="21"/>
          <w:highlight w:val="none"/>
        </w:rPr>
        <w:t>18.1   在卖方违约或出现下列情形的情况下，买方可向卖方发出书面通知，部分或全部终止合同，同时保留向卖方追诉的权利。</w:t>
      </w:r>
      <w:bookmarkEnd w:id="260"/>
    </w:p>
    <w:p>
      <w:pPr>
        <w:spacing w:line="240" w:lineRule="atLeast"/>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18.1.1 卖方未能在合同规定的限期或买方同意延长的限期内，提供全部或部分货物,按合同第18.1的规定可以解除合同的； </w:t>
      </w:r>
    </w:p>
    <w:p>
      <w:pPr>
        <w:spacing w:line="240" w:lineRule="atLeast"/>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18.1.2 卖方未能履行合同规定的其它主要义务的；</w:t>
      </w:r>
    </w:p>
    <w:p>
      <w:pPr>
        <w:spacing w:line="240" w:lineRule="atLeast"/>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18.1.3 在本合同履行过程中有腐败和欺诈行为的。</w:t>
      </w:r>
    </w:p>
    <w:p>
      <w:pPr>
        <w:spacing w:line="240" w:lineRule="atLeast"/>
        <w:ind w:left="788" w:hanging="787" w:hangingChars="375"/>
        <w:rPr>
          <w:rFonts w:ascii="仿宋" w:hAnsi="仿宋" w:eastAsia="仿宋" w:cs="仿宋"/>
          <w:color w:val="auto"/>
          <w:szCs w:val="21"/>
          <w:highlight w:val="none"/>
        </w:rPr>
      </w:pPr>
      <w:r>
        <w:rPr>
          <w:rFonts w:hint="eastAsia" w:ascii="仿宋" w:hAnsi="仿宋" w:eastAsia="仿宋" w:cs="仿宋"/>
          <w:color w:val="auto"/>
          <w:szCs w:val="21"/>
          <w:highlight w:val="none"/>
        </w:rPr>
        <w:t>18.1.3.1 “腐败行为”和“欺诈行为”定义如下:</w:t>
      </w:r>
    </w:p>
    <w:p>
      <w:pPr>
        <w:spacing w:line="240" w:lineRule="atLeast"/>
        <w:ind w:left="1208" w:hanging="1207" w:hangingChars="575"/>
        <w:rPr>
          <w:rFonts w:ascii="仿宋" w:hAnsi="仿宋" w:eastAsia="仿宋" w:cs="仿宋"/>
          <w:color w:val="auto"/>
          <w:szCs w:val="21"/>
          <w:highlight w:val="none"/>
        </w:rPr>
      </w:pPr>
      <w:r>
        <w:rPr>
          <w:rFonts w:hint="eastAsia" w:ascii="仿宋" w:hAnsi="仿宋" w:eastAsia="仿宋" w:cs="仿宋"/>
          <w:color w:val="auto"/>
          <w:szCs w:val="21"/>
          <w:highlight w:val="none"/>
        </w:rPr>
        <w:t>18.1.3.1.1 “腐败行为”是指提供/给予/接受或索取任何有价值的东西来影响买方在合同签订、履行过程中的行为。</w:t>
      </w:r>
    </w:p>
    <w:p>
      <w:pPr>
        <w:spacing w:line="240" w:lineRule="atLeast"/>
        <w:ind w:left="1208" w:hanging="1207" w:hangingChars="575"/>
        <w:rPr>
          <w:rFonts w:ascii="仿宋" w:hAnsi="仿宋" w:eastAsia="仿宋" w:cs="仿宋"/>
          <w:color w:val="auto"/>
          <w:szCs w:val="21"/>
          <w:highlight w:val="none"/>
        </w:rPr>
      </w:pPr>
      <w:r>
        <w:rPr>
          <w:rFonts w:hint="eastAsia" w:ascii="仿宋" w:hAnsi="仿宋" w:eastAsia="仿宋" w:cs="仿宋"/>
          <w:color w:val="auto"/>
          <w:szCs w:val="21"/>
          <w:highlight w:val="none"/>
        </w:rPr>
        <w:t>18.1.3.1.2 “欺诈行为”是指为了影响合同签订、履行过程，以谎报事实的方法，损害买方的利益的行为。</w:t>
      </w:r>
    </w:p>
    <w:p>
      <w:pPr>
        <w:spacing w:line="240" w:lineRule="atLeast"/>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18.2   在买方根据上述第18.1条规定，全部或部分解除合同之后，应当遵循诚实信用原则，全部或部分购买与未交付的货物类似的货物或服务，卖方应承担买方购买类似货物或服务而产生的额外支出。部分解除合同的，卖方应继续履行合同中未解除的部分。</w:t>
      </w:r>
    </w:p>
    <w:p>
      <w:pPr>
        <w:pStyle w:val="4"/>
        <w:tabs>
          <w:tab w:val="left" w:pos="900"/>
        </w:tabs>
        <w:spacing w:before="0" w:line="240" w:lineRule="atLeast"/>
        <w:jc w:val="both"/>
        <w:rPr>
          <w:rFonts w:ascii="仿宋" w:hAnsi="仿宋" w:eastAsia="仿宋" w:cs="仿宋"/>
          <w:color w:val="auto"/>
          <w:sz w:val="21"/>
          <w:szCs w:val="21"/>
          <w:highlight w:val="none"/>
        </w:rPr>
      </w:pPr>
      <w:bookmarkStart w:id="261" w:name="_Toc12780"/>
      <w:bookmarkStart w:id="262" w:name="_Toc487900368"/>
      <w:bookmarkStart w:id="263" w:name="_Toc60830300"/>
      <w:r>
        <w:rPr>
          <w:rFonts w:hint="eastAsia" w:ascii="仿宋" w:hAnsi="仿宋" w:eastAsia="仿宋" w:cs="仿宋"/>
          <w:color w:val="auto"/>
          <w:sz w:val="21"/>
          <w:szCs w:val="21"/>
          <w:highlight w:val="none"/>
        </w:rPr>
        <w:t>19． 破产终止合同</w:t>
      </w:r>
      <w:bookmarkEnd w:id="261"/>
      <w:bookmarkEnd w:id="262"/>
      <w:bookmarkEnd w:id="263"/>
    </w:p>
    <w:p>
      <w:pPr>
        <w:spacing w:line="240" w:lineRule="atLeast"/>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19.1   如果卖方破产导致合同无法履行时，买方可以书面形式通知卖方，单方终止合同而不给卖方补偿。但买方必须以书面形式告知同级政府采购监督管理部门。该合同的终止将不损害或不影响买方已经采取或将要采取的任何行动或补救措施的权利。</w:t>
      </w:r>
    </w:p>
    <w:p>
      <w:pPr>
        <w:pStyle w:val="4"/>
        <w:tabs>
          <w:tab w:val="left" w:pos="900"/>
        </w:tabs>
        <w:spacing w:before="0" w:line="240" w:lineRule="atLeast"/>
        <w:jc w:val="both"/>
        <w:rPr>
          <w:rFonts w:ascii="仿宋" w:hAnsi="仿宋" w:eastAsia="仿宋" w:cs="仿宋"/>
          <w:color w:val="auto"/>
          <w:sz w:val="21"/>
          <w:szCs w:val="21"/>
          <w:highlight w:val="none"/>
        </w:rPr>
      </w:pPr>
      <w:bookmarkStart w:id="264" w:name="_Toc487900369"/>
      <w:bookmarkStart w:id="265" w:name="_Toc60830301"/>
      <w:bookmarkStart w:id="266" w:name="_Toc23561"/>
      <w:r>
        <w:rPr>
          <w:rFonts w:hint="eastAsia" w:ascii="仿宋" w:hAnsi="仿宋" w:eastAsia="仿宋" w:cs="仿宋"/>
          <w:color w:val="auto"/>
          <w:sz w:val="21"/>
          <w:szCs w:val="21"/>
          <w:highlight w:val="none"/>
        </w:rPr>
        <w:t>20． 转让和分包</w:t>
      </w:r>
      <w:bookmarkEnd w:id="264"/>
      <w:bookmarkEnd w:id="265"/>
      <w:bookmarkEnd w:id="266"/>
    </w:p>
    <w:p>
      <w:pPr>
        <w:spacing w:line="240" w:lineRule="atLeast"/>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20.1   政府采购合同不能整体转让。</w:t>
      </w:r>
    </w:p>
    <w:p>
      <w:pPr>
        <w:spacing w:line="240" w:lineRule="atLeast"/>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20.2   经买方同意，卖方可以将合同项下非主体、非关键性工作分包给他人完成。但必须在投标文件中载明。接受分包的人应当具备相应的资格条件，并不得再次分包。分包后不能解除卖方履行本合同的责任和义务，接受分包的人与卖方共同对买方连带承担合同的责任和义务。</w:t>
      </w:r>
    </w:p>
    <w:p>
      <w:pPr>
        <w:spacing w:line="240" w:lineRule="atLeast"/>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20.3   买方允许分包的内容，可在专用条款中另行约定。</w:t>
      </w:r>
    </w:p>
    <w:p>
      <w:pPr>
        <w:pStyle w:val="4"/>
        <w:tabs>
          <w:tab w:val="left" w:pos="900"/>
        </w:tabs>
        <w:spacing w:before="0" w:line="240" w:lineRule="atLeast"/>
        <w:jc w:val="both"/>
        <w:rPr>
          <w:rFonts w:ascii="仿宋" w:hAnsi="仿宋" w:eastAsia="仿宋" w:cs="仿宋"/>
          <w:color w:val="auto"/>
          <w:sz w:val="21"/>
          <w:szCs w:val="21"/>
          <w:highlight w:val="none"/>
        </w:rPr>
      </w:pPr>
      <w:bookmarkStart w:id="267" w:name="_Toc487900370"/>
      <w:bookmarkStart w:id="268" w:name="_Toc3160"/>
      <w:bookmarkStart w:id="269" w:name="_Toc60830302"/>
      <w:r>
        <w:rPr>
          <w:rFonts w:hint="eastAsia" w:ascii="仿宋" w:hAnsi="仿宋" w:eastAsia="仿宋" w:cs="仿宋"/>
          <w:color w:val="auto"/>
          <w:sz w:val="21"/>
          <w:szCs w:val="21"/>
          <w:highlight w:val="none"/>
        </w:rPr>
        <w:t>21． 合同修改</w:t>
      </w:r>
      <w:bookmarkEnd w:id="267"/>
      <w:bookmarkEnd w:id="268"/>
      <w:bookmarkEnd w:id="269"/>
    </w:p>
    <w:p>
      <w:pPr>
        <w:spacing w:line="240" w:lineRule="atLeast"/>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21.1   买方和卖方都不得擅自变更本合同，但合同继续履行将违反法律、行政法规的强制性规定和违背公序良俗的除外。如必须对合同条款进行改动时，当事人双方须共同签署书面文件，作为合同的补充，并报同级政府采购监督管理部门备案。</w:t>
      </w:r>
    </w:p>
    <w:p>
      <w:pPr>
        <w:pStyle w:val="4"/>
        <w:tabs>
          <w:tab w:val="left" w:pos="900"/>
        </w:tabs>
        <w:spacing w:before="0" w:line="240" w:lineRule="atLeast"/>
        <w:jc w:val="both"/>
        <w:rPr>
          <w:rFonts w:ascii="仿宋" w:hAnsi="仿宋" w:eastAsia="仿宋" w:cs="仿宋"/>
          <w:color w:val="auto"/>
          <w:sz w:val="21"/>
          <w:szCs w:val="21"/>
          <w:highlight w:val="none"/>
        </w:rPr>
      </w:pPr>
      <w:bookmarkStart w:id="270" w:name="_Toc60830303"/>
      <w:bookmarkStart w:id="271" w:name="_Toc487900371"/>
      <w:bookmarkStart w:id="272" w:name="_Toc15973"/>
      <w:r>
        <w:rPr>
          <w:rFonts w:hint="eastAsia" w:ascii="仿宋" w:hAnsi="仿宋" w:eastAsia="仿宋" w:cs="仿宋"/>
          <w:color w:val="auto"/>
          <w:sz w:val="21"/>
          <w:szCs w:val="21"/>
          <w:highlight w:val="none"/>
        </w:rPr>
        <w:t>22． 通知</w:t>
      </w:r>
      <w:bookmarkEnd w:id="270"/>
      <w:bookmarkEnd w:id="271"/>
      <w:bookmarkEnd w:id="272"/>
    </w:p>
    <w:p>
      <w:pPr>
        <w:spacing w:line="240" w:lineRule="atLeast"/>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22.1   本合同任何一方给另一方的通知，都应以书面形式发送，而另一方也应以书面形式确认并发送到对方明确的地址。</w:t>
      </w:r>
    </w:p>
    <w:p>
      <w:pPr>
        <w:pStyle w:val="4"/>
        <w:tabs>
          <w:tab w:val="left" w:pos="900"/>
        </w:tabs>
        <w:spacing w:before="0" w:line="240" w:lineRule="atLeast"/>
        <w:jc w:val="both"/>
        <w:rPr>
          <w:rFonts w:ascii="仿宋" w:hAnsi="仿宋" w:eastAsia="仿宋" w:cs="仿宋"/>
          <w:color w:val="auto"/>
          <w:sz w:val="21"/>
          <w:szCs w:val="21"/>
          <w:highlight w:val="none"/>
        </w:rPr>
      </w:pPr>
      <w:bookmarkStart w:id="273" w:name="_Toc12926"/>
      <w:bookmarkStart w:id="274" w:name="_Toc60830304"/>
      <w:bookmarkStart w:id="275" w:name="_Toc487900372"/>
      <w:r>
        <w:rPr>
          <w:rFonts w:hint="eastAsia" w:ascii="仿宋" w:hAnsi="仿宋" w:eastAsia="仿宋" w:cs="仿宋"/>
          <w:color w:val="auto"/>
          <w:sz w:val="21"/>
          <w:szCs w:val="21"/>
          <w:highlight w:val="none"/>
        </w:rPr>
        <w:t>23． 计量单位</w:t>
      </w:r>
      <w:bookmarkEnd w:id="273"/>
      <w:bookmarkEnd w:id="274"/>
      <w:bookmarkEnd w:id="275"/>
    </w:p>
    <w:p>
      <w:pPr>
        <w:spacing w:line="240" w:lineRule="atLeast"/>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23.1   除技术规范中另有规定外,计量单位均使用中国法定计量单位。</w:t>
      </w:r>
    </w:p>
    <w:p>
      <w:pPr>
        <w:pStyle w:val="4"/>
        <w:tabs>
          <w:tab w:val="left" w:pos="900"/>
        </w:tabs>
        <w:spacing w:before="0" w:line="240" w:lineRule="atLeast"/>
        <w:jc w:val="both"/>
        <w:rPr>
          <w:rFonts w:ascii="仿宋" w:hAnsi="仿宋" w:eastAsia="仿宋" w:cs="仿宋"/>
          <w:color w:val="auto"/>
          <w:sz w:val="21"/>
          <w:szCs w:val="21"/>
          <w:highlight w:val="none"/>
        </w:rPr>
      </w:pPr>
      <w:bookmarkStart w:id="276" w:name="_Toc487900373"/>
      <w:bookmarkStart w:id="277" w:name="_Toc60830305"/>
      <w:bookmarkStart w:id="278" w:name="_Toc32229"/>
      <w:r>
        <w:rPr>
          <w:rFonts w:hint="eastAsia" w:ascii="仿宋" w:hAnsi="仿宋" w:eastAsia="仿宋" w:cs="仿宋"/>
          <w:color w:val="auto"/>
          <w:sz w:val="21"/>
          <w:szCs w:val="21"/>
          <w:highlight w:val="none"/>
        </w:rPr>
        <w:t>24． 适用法律</w:t>
      </w:r>
      <w:bookmarkEnd w:id="276"/>
      <w:bookmarkEnd w:id="277"/>
      <w:bookmarkEnd w:id="278"/>
    </w:p>
    <w:p>
      <w:pPr>
        <w:spacing w:line="240" w:lineRule="atLeast"/>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24.1   本合同的履行、违约责任和解决争议的方法等适用《中华人民共和国民法典》。</w:t>
      </w:r>
    </w:p>
    <w:p>
      <w:pPr>
        <w:pStyle w:val="4"/>
        <w:tabs>
          <w:tab w:val="left" w:pos="900"/>
        </w:tabs>
        <w:spacing w:before="0" w:line="240" w:lineRule="atLeast"/>
        <w:jc w:val="both"/>
        <w:rPr>
          <w:rFonts w:ascii="仿宋" w:hAnsi="仿宋" w:eastAsia="仿宋" w:cs="仿宋"/>
          <w:color w:val="auto"/>
          <w:sz w:val="21"/>
          <w:szCs w:val="21"/>
          <w:highlight w:val="none"/>
        </w:rPr>
      </w:pPr>
      <w:bookmarkStart w:id="279" w:name="_Toc4423"/>
      <w:bookmarkStart w:id="280" w:name="_Toc60830306"/>
      <w:bookmarkStart w:id="281" w:name="_Toc487900374"/>
      <w:r>
        <w:rPr>
          <w:rFonts w:hint="eastAsia" w:ascii="仿宋" w:hAnsi="仿宋" w:eastAsia="仿宋" w:cs="仿宋"/>
          <w:color w:val="auto"/>
          <w:sz w:val="21"/>
          <w:szCs w:val="21"/>
          <w:highlight w:val="none"/>
        </w:rPr>
        <w:t>25． 履约保证金</w:t>
      </w:r>
      <w:bookmarkEnd w:id="279"/>
      <w:bookmarkEnd w:id="280"/>
    </w:p>
    <w:p>
      <w:pPr>
        <w:spacing w:line="240" w:lineRule="atLeast"/>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25.1   卖方应按合同专用条款规定缴纳履约保证金。</w:t>
      </w:r>
    </w:p>
    <w:p>
      <w:pPr>
        <w:spacing w:line="240" w:lineRule="atLeast"/>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25.2   履约保证金用于补偿买方因卖方不能履行其合同义务而蒙受的损失。</w:t>
      </w:r>
    </w:p>
    <w:p>
      <w:pPr>
        <w:spacing w:line="240" w:lineRule="atLeast"/>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25.3   履约保证金应使用本合同货币，按下述方式之一提交：</w:t>
      </w:r>
    </w:p>
    <w:p>
      <w:pPr>
        <w:spacing w:line="240" w:lineRule="atLeast"/>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A. 买方可接受的在中华人民共和国注册和营业的银行，按招标文件提供的格式（附件8），或其他买方可接受的格式。</w:t>
      </w:r>
    </w:p>
    <w:p>
      <w:pPr>
        <w:spacing w:line="240" w:lineRule="atLeast"/>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B. 支票、汇票。</w:t>
      </w:r>
    </w:p>
    <w:p>
      <w:pPr>
        <w:spacing w:line="240" w:lineRule="atLeast"/>
        <w:ind w:left="735" w:leftChars="350"/>
        <w:rPr>
          <w:rFonts w:ascii="仿宋" w:hAnsi="仿宋" w:eastAsia="仿宋" w:cs="仿宋"/>
          <w:color w:val="auto"/>
          <w:szCs w:val="21"/>
          <w:highlight w:val="none"/>
        </w:rPr>
      </w:pPr>
      <w:r>
        <w:rPr>
          <w:rFonts w:hint="eastAsia" w:ascii="仿宋" w:hAnsi="仿宋" w:eastAsia="仿宋" w:cs="仿宋"/>
          <w:color w:val="auto"/>
          <w:szCs w:val="21"/>
          <w:highlight w:val="none"/>
        </w:rPr>
        <w:t>C. 政府采购利用担保试点范围内的项目，中标人可以按照财政部门的规定，向采购人提供合格的履约担保函。</w:t>
      </w:r>
    </w:p>
    <w:p>
      <w:pPr>
        <w:spacing w:line="240" w:lineRule="atLeast"/>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25.4</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履约保证金在法定的货物质量保证期期满前应完全有效。</w:t>
      </w:r>
    </w:p>
    <w:p>
      <w:pPr>
        <w:spacing w:line="240" w:lineRule="atLeast"/>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25.5   如果卖方未能按合同规定履行其义务，买方有权从履约保证金中取得补偿。质量保证期结束后三十(30)天内，买方将把履约保证金退还卖方。履约担保函不予退还。</w:t>
      </w:r>
    </w:p>
    <w:p>
      <w:pPr>
        <w:pStyle w:val="4"/>
        <w:tabs>
          <w:tab w:val="left" w:pos="900"/>
        </w:tabs>
        <w:spacing w:before="0" w:line="240" w:lineRule="atLeast"/>
        <w:jc w:val="both"/>
        <w:rPr>
          <w:rFonts w:ascii="仿宋" w:hAnsi="仿宋" w:eastAsia="仿宋" w:cs="仿宋"/>
          <w:color w:val="auto"/>
          <w:sz w:val="21"/>
          <w:szCs w:val="21"/>
          <w:highlight w:val="none"/>
        </w:rPr>
      </w:pPr>
      <w:bookmarkStart w:id="282" w:name="_Toc28752"/>
      <w:bookmarkStart w:id="283" w:name="_Toc60830307"/>
      <w:r>
        <w:rPr>
          <w:rFonts w:hint="eastAsia" w:ascii="仿宋" w:hAnsi="仿宋" w:eastAsia="仿宋" w:cs="仿宋"/>
          <w:color w:val="auto"/>
          <w:sz w:val="21"/>
          <w:szCs w:val="21"/>
          <w:highlight w:val="none"/>
        </w:rPr>
        <w:t>26． 合同生效</w:t>
      </w:r>
      <w:bookmarkEnd w:id="281"/>
      <w:r>
        <w:rPr>
          <w:rFonts w:hint="eastAsia" w:ascii="仿宋" w:hAnsi="仿宋" w:eastAsia="仿宋" w:cs="仿宋"/>
          <w:color w:val="auto"/>
          <w:sz w:val="21"/>
          <w:szCs w:val="21"/>
          <w:highlight w:val="none"/>
        </w:rPr>
        <w:t>和其它</w:t>
      </w:r>
      <w:bookmarkEnd w:id="282"/>
      <w:bookmarkEnd w:id="283"/>
    </w:p>
    <w:p>
      <w:pPr>
        <w:spacing w:line="240" w:lineRule="atLeast"/>
        <w:ind w:left="735" w:hanging="735" w:hangingChars="350"/>
        <w:rPr>
          <w:rFonts w:ascii="仿宋" w:hAnsi="仿宋" w:eastAsia="仿宋" w:cs="仿宋"/>
          <w:color w:val="auto"/>
          <w:szCs w:val="21"/>
          <w:highlight w:val="none"/>
        </w:rPr>
      </w:pPr>
      <w:bookmarkStart w:id="284" w:name="_Toc219175623"/>
      <w:bookmarkStart w:id="285" w:name="_Toc216513786"/>
      <w:bookmarkStart w:id="286" w:name="_Toc218935339"/>
      <w:r>
        <w:rPr>
          <w:rFonts w:hint="eastAsia" w:ascii="仿宋" w:hAnsi="仿宋" w:eastAsia="仿宋" w:cs="仿宋"/>
          <w:color w:val="auto"/>
          <w:szCs w:val="21"/>
          <w:highlight w:val="none"/>
        </w:rPr>
        <w:t>26.1   政府采购项目的采购合同内容的确定应以招标文件和投标文件为基础，不得违背其实质性内容。政府采购项目的采购合同自签订之日起七个工作日内，买方应当将合同副本报同级政府采购监督管理部门和有关部门备案。合同将在双方签字盖章并由卖方递交履约保证金后开始生效。</w:t>
      </w:r>
      <w:bookmarkEnd w:id="284"/>
      <w:bookmarkEnd w:id="285"/>
      <w:bookmarkEnd w:id="286"/>
    </w:p>
    <w:p>
      <w:pPr>
        <w:spacing w:line="240" w:lineRule="atLeast"/>
        <w:ind w:left="735"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26.2   本合同份数按合同专用条款规定。</w:t>
      </w:r>
    </w:p>
    <w:p>
      <w:pPr>
        <w:pStyle w:val="3"/>
        <w:spacing w:before="0" w:line="240" w:lineRule="atLeast"/>
        <w:ind w:left="1078" w:leftChars="257" w:hanging="539"/>
        <w:rPr>
          <w:rFonts w:ascii="仿宋" w:hAnsi="仿宋" w:eastAsia="仿宋" w:cs="仿宋"/>
          <w:color w:val="auto"/>
          <w:szCs w:val="32"/>
          <w:highlight w:val="none"/>
        </w:rPr>
      </w:pPr>
      <w:bookmarkStart w:id="287" w:name="_Toc216582812"/>
      <w:r>
        <w:rPr>
          <w:rFonts w:hint="eastAsia" w:ascii="仿宋" w:hAnsi="仿宋" w:eastAsia="仿宋" w:cs="仿宋"/>
          <w:color w:val="auto"/>
          <w:highlight w:val="none"/>
        </w:rPr>
        <w:br w:type="page"/>
      </w:r>
      <w:bookmarkStart w:id="288" w:name="_Toc60830308"/>
      <w:bookmarkStart w:id="289" w:name="_Toc23001"/>
      <w:r>
        <w:rPr>
          <w:rFonts w:hint="eastAsia" w:ascii="仿宋" w:hAnsi="仿宋" w:eastAsia="仿宋" w:cs="仿宋"/>
          <w:color w:val="auto"/>
          <w:szCs w:val="32"/>
          <w:highlight w:val="none"/>
        </w:rPr>
        <w:t>第三章  投标文件格式</w:t>
      </w:r>
      <w:bookmarkEnd w:id="287"/>
      <w:bookmarkEnd w:id="288"/>
      <w:bookmarkEnd w:id="289"/>
    </w:p>
    <w:p>
      <w:pPr>
        <w:spacing w:line="240" w:lineRule="atLeast"/>
        <w:ind w:left="735" w:leftChars="350" w:firstLine="120" w:firstLineChars="50"/>
        <w:rPr>
          <w:rFonts w:ascii="仿宋" w:hAnsi="仿宋" w:eastAsia="仿宋" w:cs="仿宋"/>
          <w:color w:val="auto"/>
          <w:sz w:val="24"/>
          <w:highlight w:val="none"/>
        </w:rPr>
      </w:pPr>
    </w:p>
    <w:p>
      <w:pPr>
        <w:pStyle w:val="4"/>
        <w:spacing w:before="0" w:line="240" w:lineRule="atLeast"/>
        <w:ind w:left="1079" w:leftChars="257" w:hanging="540"/>
        <w:rPr>
          <w:rFonts w:ascii="仿宋" w:hAnsi="仿宋" w:eastAsia="仿宋" w:cs="仿宋"/>
          <w:color w:val="auto"/>
          <w:sz w:val="24"/>
          <w:highlight w:val="none"/>
        </w:rPr>
      </w:pPr>
      <w:bookmarkStart w:id="290" w:name="_Toc60830309"/>
      <w:bookmarkStart w:id="291" w:name="_Toc21186"/>
      <w:r>
        <w:rPr>
          <w:rFonts w:hint="eastAsia" w:ascii="仿宋" w:hAnsi="仿宋" w:eastAsia="仿宋" w:cs="仿宋"/>
          <w:color w:val="auto"/>
          <w:sz w:val="24"/>
          <w:highlight w:val="none"/>
        </w:rPr>
        <w:t>第一部分 开标一览表及资格证明文件</w:t>
      </w:r>
      <w:bookmarkEnd w:id="290"/>
      <w:bookmarkEnd w:id="291"/>
    </w:p>
    <w:p>
      <w:pPr>
        <w:spacing w:line="240" w:lineRule="atLeast"/>
        <w:ind w:left="708" w:hanging="708" w:hangingChars="295"/>
        <w:jc w:val="center"/>
        <w:rPr>
          <w:rFonts w:ascii="仿宋" w:hAnsi="仿宋" w:eastAsia="仿宋" w:cs="仿宋"/>
          <w:color w:val="auto"/>
          <w:sz w:val="24"/>
          <w:highlight w:val="none"/>
        </w:rPr>
      </w:pPr>
    </w:p>
    <w:p>
      <w:pPr>
        <w:tabs>
          <w:tab w:val="left" w:pos="5580"/>
        </w:tabs>
        <w:spacing w:line="360" w:lineRule="auto"/>
        <w:ind w:firstLine="371" w:firstLineChars="177"/>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1、开标一览表;</w:t>
      </w:r>
    </w:p>
    <w:p>
      <w:pPr>
        <w:tabs>
          <w:tab w:val="left" w:pos="5580"/>
        </w:tabs>
        <w:spacing w:line="360" w:lineRule="auto"/>
        <w:ind w:left="1" w:firstLine="493" w:firstLineChars="235"/>
        <w:rPr>
          <w:rFonts w:ascii="仿宋" w:hAnsi="仿宋" w:eastAsia="仿宋" w:cs="仿宋"/>
          <w:color w:val="auto"/>
          <w:szCs w:val="21"/>
          <w:highlight w:val="none"/>
        </w:rPr>
      </w:pPr>
      <w:r>
        <w:rPr>
          <w:rFonts w:hint="eastAsia" w:ascii="仿宋" w:hAnsi="仿宋" w:eastAsia="仿宋" w:cs="仿宋"/>
          <w:color w:val="auto"/>
          <w:szCs w:val="21"/>
          <w:highlight w:val="none"/>
        </w:rPr>
        <w:t>2、法人或者非法人组织的营业执照等证明文件复印件；</w:t>
      </w:r>
    </w:p>
    <w:p>
      <w:pPr>
        <w:tabs>
          <w:tab w:val="left" w:pos="5580"/>
        </w:tabs>
        <w:spacing w:line="360" w:lineRule="auto"/>
        <w:ind w:left="1" w:firstLine="493" w:firstLineChars="235"/>
        <w:rPr>
          <w:rFonts w:ascii="仿宋" w:hAnsi="仿宋" w:eastAsia="仿宋" w:cs="仿宋"/>
          <w:color w:val="auto"/>
          <w:szCs w:val="21"/>
          <w:highlight w:val="none"/>
        </w:rPr>
      </w:pPr>
      <w:r>
        <w:rPr>
          <w:rFonts w:hint="eastAsia" w:ascii="仿宋" w:hAnsi="仿宋" w:eastAsia="仿宋" w:cs="仿宋"/>
          <w:color w:val="auto"/>
          <w:szCs w:val="21"/>
          <w:highlight w:val="none"/>
        </w:rPr>
        <w:t>3、法定代表人授权书（自然人投标的无需提供）;</w:t>
      </w:r>
    </w:p>
    <w:p>
      <w:pPr>
        <w:tabs>
          <w:tab w:val="left" w:pos="5580"/>
        </w:tabs>
        <w:spacing w:line="360" w:lineRule="auto"/>
        <w:ind w:left="1" w:firstLine="493" w:firstLineChars="235"/>
        <w:rPr>
          <w:rFonts w:ascii="仿宋" w:hAnsi="仿宋" w:eastAsia="仿宋" w:cs="仿宋"/>
          <w:color w:val="auto"/>
          <w:szCs w:val="21"/>
          <w:highlight w:val="none"/>
        </w:rPr>
      </w:pPr>
      <w:r>
        <w:rPr>
          <w:rFonts w:hint="eastAsia" w:ascii="仿宋" w:hAnsi="仿宋" w:eastAsia="仿宋" w:cs="仿宋"/>
          <w:color w:val="auto"/>
          <w:szCs w:val="21"/>
          <w:highlight w:val="none"/>
        </w:rPr>
        <w:t>4、投标人具有良好的商业信誉和健全的财务会计制度的证明文件；</w:t>
      </w:r>
    </w:p>
    <w:p>
      <w:pPr>
        <w:tabs>
          <w:tab w:val="left" w:pos="5580"/>
        </w:tabs>
        <w:spacing w:line="360" w:lineRule="auto"/>
        <w:ind w:left="1" w:firstLine="493" w:firstLineChars="235"/>
        <w:rPr>
          <w:rFonts w:ascii="仿宋" w:hAnsi="仿宋" w:eastAsia="仿宋" w:cs="仿宋"/>
          <w:color w:val="auto"/>
          <w:szCs w:val="21"/>
          <w:highlight w:val="none"/>
        </w:rPr>
      </w:pPr>
      <w:r>
        <w:rPr>
          <w:rFonts w:hint="eastAsia" w:ascii="仿宋" w:hAnsi="仿宋" w:eastAsia="仿宋" w:cs="仿宋"/>
          <w:color w:val="auto"/>
          <w:szCs w:val="21"/>
          <w:highlight w:val="none"/>
        </w:rPr>
        <w:t>5、符合要求的依法缴纳税收和社会保障资金记录;</w:t>
      </w:r>
    </w:p>
    <w:p>
      <w:pPr>
        <w:tabs>
          <w:tab w:val="left" w:pos="5580"/>
        </w:tabs>
        <w:spacing w:line="360" w:lineRule="auto"/>
        <w:ind w:left="1" w:firstLine="493" w:firstLineChars="235"/>
        <w:rPr>
          <w:rFonts w:ascii="仿宋" w:hAnsi="仿宋" w:eastAsia="仿宋" w:cs="仿宋"/>
          <w:color w:val="auto"/>
          <w:szCs w:val="21"/>
          <w:highlight w:val="none"/>
        </w:rPr>
      </w:pPr>
      <w:r>
        <w:rPr>
          <w:rFonts w:hint="eastAsia" w:ascii="仿宋" w:hAnsi="仿宋" w:eastAsia="仿宋" w:cs="仿宋"/>
          <w:color w:val="auto"/>
          <w:szCs w:val="21"/>
          <w:highlight w:val="none"/>
        </w:rPr>
        <w:t>6、承诺函;</w:t>
      </w:r>
    </w:p>
    <w:p>
      <w:pPr>
        <w:tabs>
          <w:tab w:val="left" w:pos="5580"/>
        </w:tabs>
        <w:spacing w:line="360" w:lineRule="auto"/>
        <w:ind w:left="1" w:firstLine="493" w:firstLineChars="235"/>
        <w:rPr>
          <w:rFonts w:ascii="仿宋" w:hAnsi="仿宋" w:eastAsia="仿宋" w:cs="仿宋"/>
          <w:color w:val="auto"/>
          <w:szCs w:val="21"/>
          <w:highlight w:val="none"/>
        </w:rPr>
      </w:pPr>
      <w:r>
        <w:rPr>
          <w:rFonts w:hint="eastAsia" w:ascii="仿宋" w:hAnsi="仿宋" w:eastAsia="仿宋" w:cs="仿宋"/>
          <w:color w:val="auto"/>
          <w:szCs w:val="21"/>
          <w:highlight w:val="none"/>
        </w:rPr>
        <w:t>7、投标人资格要求的特定资格条件。</w:t>
      </w:r>
    </w:p>
    <w:p>
      <w:pPr>
        <w:tabs>
          <w:tab w:val="left" w:pos="5580"/>
        </w:tabs>
        <w:spacing w:line="360" w:lineRule="auto"/>
        <w:ind w:left="1" w:firstLine="493" w:firstLineChars="235"/>
        <w:rPr>
          <w:rFonts w:ascii="仿宋" w:hAnsi="仿宋" w:eastAsia="仿宋" w:cs="仿宋"/>
          <w:color w:val="auto"/>
          <w:szCs w:val="21"/>
          <w:highlight w:val="none"/>
          <w:u w:val="single"/>
        </w:rPr>
      </w:pPr>
      <w:r>
        <w:rPr>
          <w:rFonts w:hint="eastAsia" w:ascii="仿宋" w:hAnsi="仿宋" w:eastAsia="仿宋" w:cs="仿宋"/>
          <w:color w:val="auto"/>
          <w:szCs w:val="21"/>
          <w:highlight w:val="none"/>
        </w:rPr>
        <w:t>8、投标人所投产品为进口产品提供以下证明文件，制造厂家的授权书。</w:t>
      </w:r>
      <w:r>
        <w:rPr>
          <w:rFonts w:hint="eastAsia" w:ascii="仿宋" w:hAnsi="仿宋" w:eastAsia="仿宋" w:cs="仿宋"/>
          <w:color w:val="auto"/>
          <w:szCs w:val="21"/>
          <w:highlight w:val="none"/>
          <w:u w:val="single"/>
        </w:rPr>
        <w:t>如投标须知前附表中规定其不作为资格要求，请勿装订在投标文件第一部分。</w:t>
      </w:r>
    </w:p>
    <w:p>
      <w:pPr>
        <w:tabs>
          <w:tab w:val="left" w:pos="5580"/>
        </w:tabs>
        <w:spacing w:line="240" w:lineRule="atLeast"/>
        <w:ind w:left="1" w:firstLine="564" w:firstLineChars="235"/>
        <w:rPr>
          <w:rFonts w:ascii="仿宋" w:hAnsi="仿宋" w:eastAsia="仿宋" w:cs="仿宋"/>
          <w:color w:val="auto"/>
          <w:sz w:val="24"/>
          <w:highlight w:val="none"/>
        </w:rPr>
      </w:pPr>
    </w:p>
    <w:p>
      <w:pPr>
        <w:tabs>
          <w:tab w:val="left" w:pos="5580"/>
        </w:tabs>
        <w:spacing w:line="240" w:lineRule="atLeast"/>
        <w:ind w:left="1" w:firstLine="564" w:firstLineChars="235"/>
        <w:rPr>
          <w:rFonts w:ascii="仿宋" w:hAnsi="仿宋" w:eastAsia="仿宋" w:cs="仿宋"/>
          <w:color w:val="auto"/>
          <w:sz w:val="24"/>
          <w:highlight w:val="none"/>
        </w:rPr>
      </w:pPr>
    </w:p>
    <w:p>
      <w:pPr>
        <w:tabs>
          <w:tab w:val="left" w:pos="5580"/>
        </w:tabs>
        <w:spacing w:line="240" w:lineRule="atLeast"/>
        <w:ind w:left="1" w:firstLine="564" w:firstLineChars="235"/>
        <w:rPr>
          <w:rFonts w:ascii="仿宋" w:hAnsi="仿宋" w:eastAsia="仿宋" w:cs="仿宋"/>
          <w:color w:val="auto"/>
          <w:sz w:val="24"/>
          <w:highlight w:val="none"/>
        </w:rPr>
      </w:pPr>
    </w:p>
    <w:p>
      <w:pPr>
        <w:tabs>
          <w:tab w:val="left" w:pos="5580"/>
        </w:tabs>
        <w:spacing w:line="240" w:lineRule="atLeast"/>
        <w:ind w:left="1" w:firstLine="564" w:firstLineChars="235"/>
        <w:rPr>
          <w:rFonts w:ascii="仿宋" w:hAnsi="仿宋" w:eastAsia="仿宋" w:cs="仿宋"/>
          <w:color w:val="auto"/>
          <w:sz w:val="24"/>
          <w:highlight w:val="none"/>
        </w:rPr>
      </w:pPr>
    </w:p>
    <w:p>
      <w:pPr>
        <w:tabs>
          <w:tab w:val="left" w:pos="5580"/>
        </w:tabs>
        <w:spacing w:line="240" w:lineRule="atLeast"/>
        <w:ind w:left="1" w:firstLine="564" w:firstLineChars="235"/>
        <w:rPr>
          <w:rFonts w:ascii="仿宋" w:hAnsi="仿宋" w:eastAsia="仿宋" w:cs="仿宋"/>
          <w:color w:val="auto"/>
          <w:sz w:val="24"/>
          <w:highlight w:val="none"/>
        </w:rPr>
      </w:pPr>
    </w:p>
    <w:p>
      <w:pPr>
        <w:tabs>
          <w:tab w:val="left" w:pos="5580"/>
        </w:tabs>
        <w:spacing w:line="240" w:lineRule="atLeast"/>
        <w:ind w:left="1" w:firstLine="564" w:firstLineChars="235"/>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pPr>
        <w:tabs>
          <w:tab w:val="left" w:pos="5580"/>
        </w:tabs>
        <w:spacing w:line="240" w:lineRule="atLeast"/>
        <w:ind w:left="1" w:firstLine="564" w:firstLineChars="235"/>
        <w:rPr>
          <w:rFonts w:ascii="仿宋" w:hAnsi="仿宋" w:eastAsia="仿宋" w:cs="仿宋"/>
          <w:color w:val="auto"/>
          <w:sz w:val="24"/>
          <w:highlight w:val="none"/>
        </w:rPr>
      </w:pPr>
    </w:p>
    <w:p>
      <w:pPr>
        <w:pStyle w:val="6"/>
        <w:spacing w:before="0" w:line="240" w:lineRule="atLeast"/>
        <w:jc w:val="both"/>
        <w:rPr>
          <w:rFonts w:ascii="仿宋" w:hAnsi="仿宋" w:eastAsia="仿宋" w:cs="仿宋"/>
          <w:color w:val="auto"/>
          <w:highlight w:val="none"/>
          <w:u w:val="none"/>
        </w:rPr>
      </w:pPr>
      <w:bookmarkStart w:id="292" w:name="_Toc60830310"/>
      <w:r>
        <w:rPr>
          <w:rFonts w:hint="eastAsia" w:ascii="仿宋" w:hAnsi="仿宋" w:eastAsia="仿宋" w:cs="仿宋"/>
          <w:color w:val="auto"/>
          <w:highlight w:val="none"/>
          <w:u w:val="none"/>
        </w:rPr>
        <w:t>1  开标一览表</w:t>
      </w:r>
      <w:bookmarkEnd w:id="292"/>
    </w:p>
    <w:p>
      <w:pPr>
        <w:pStyle w:val="11"/>
        <w:tabs>
          <w:tab w:val="left" w:pos="5580"/>
        </w:tabs>
        <w:spacing w:line="240" w:lineRule="atLeast"/>
        <w:ind w:left="268" w:leftChars="128"/>
        <w:rPr>
          <w:rFonts w:ascii="仿宋" w:hAnsi="仿宋" w:eastAsia="仿宋" w:cs="仿宋"/>
          <w:color w:val="auto"/>
          <w:sz w:val="24"/>
          <w:highlight w:val="none"/>
        </w:rPr>
      </w:pPr>
    </w:p>
    <w:p>
      <w:pPr>
        <w:pStyle w:val="11"/>
        <w:tabs>
          <w:tab w:val="left" w:pos="5580"/>
        </w:tabs>
        <w:spacing w:line="240" w:lineRule="atLeast"/>
        <w:ind w:left="268" w:leftChars="128"/>
        <w:rPr>
          <w:rFonts w:ascii="仿宋" w:hAnsi="仿宋" w:eastAsia="仿宋" w:cs="仿宋"/>
          <w:color w:val="auto"/>
          <w:sz w:val="24"/>
          <w:szCs w:val="24"/>
          <w:highlight w:val="none"/>
        </w:rPr>
      </w:pPr>
    </w:p>
    <w:p>
      <w:pPr>
        <w:pStyle w:val="5"/>
        <w:tabs>
          <w:tab w:val="left" w:pos="5580"/>
        </w:tabs>
        <w:spacing w:line="240" w:lineRule="atLeast"/>
        <w:ind w:left="1079" w:leftChars="257" w:hanging="540"/>
        <w:jc w:val="center"/>
        <w:rPr>
          <w:rFonts w:ascii="仿宋" w:hAnsi="仿宋" w:eastAsia="仿宋" w:cs="仿宋"/>
          <w:b/>
          <w:color w:val="auto"/>
          <w:highlight w:val="none"/>
        </w:rPr>
      </w:pPr>
      <w:bookmarkStart w:id="293" w:name="_Hlt520356241"/>
      <w:bookmarkEnd w:id="293"/>
      <w:bookmarkStart w:id="294" w:name="_Toc494296984"/>
      <w:bookmarkStart w:id="295" w:name="_Ref467988698"/>
      <w:bookmarkStart w:id="296" w:name="_Toc480942349"/>
      <w:bookmarkStart w:id="297" w:name="_Toc216582813"/>
      <w:bookmarkStart w:id="298" w:name="_Toc520356217"/>
      <w:r>
        <w:rPr>
          <w:rFonts w:hint="eastAsia" w:ascii="仿宋" w:hAnsi="仿宋" w:eastAsia="仿宋" w:cs="仿宋"/>
          <w:b/>
          <w:color w:val="auto"/>
          <w:highlight w:val="none"/>
        </w:rPr>
        <w:t>开标一览表</w:t>
      </w:r>
      <w:bookmarkEnd w:id="294"/>
      <w:r>
        <w:rPr>
          <w:rFonts w:hint="eastAsia" w:ascii="仿宋" w:hAnsi="仿宋" w:eastAsia="仿宋" w:cs="仿宋"/>
          <w:b/>
          <w:color w:val="auto"/>
          <w:highlight w:val="none"/>
        </w:rPr>
        <w:cr/>
      </w:r>
    </w:p>
    <w:p>
      <w:pPr>
        <w:pStyle w:val="5"/>
        <w:tabs>
          <w:tab w:val="left" w:pos="5580"/>
        </w:tabs>
        <w:spacing w:line="240" w:lineRule="atLeast"/>
        <w:ind w:left="1079" w:leftChars="257" w:hanging="540"/>
        <w:rPr>
          <w:rFonts w:ascii="仿宋" w:hAnsi="仿宋" w:eastAsia="仿宋" w:cs="仿宋"/>
          <w:color w:val="auto"/>
          <w:highlight w:val="none"/>
        </w:rPr>
      </w:pPr>
    </w:p>
    <w:p>
      <w:pPr>
        <w:tabs>
          <w:tab w:val="left" w:pos="1800"/>
          <w:tab w:val="left" w:pos="5580"/>
        </w:tabs>
        <w:spacing w:line="240" w:lineRule="atLeast"/>
        <w:ind w:left="1079" w:leftChars="257" w:right="-867" w:rightChars="-413" w:hanging="54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项目名称：　                  项目编号：                 包号：         </w:t>
      </w:r>
    </w:p>
    <w:p>
      <w:pPr>
        <w:tabs>
          <w:tab w:val="left" w:pos="1800"/>
          <w:tab w:val="left" w:pos="5580"/>
        </w:tabs>
        <w:spacing w:line="240" w:lineRule="atLeast"/>
        <w:ind w:left="1079" w:leftChars="257" w:right="-867" w:rightChars="-413" w:hanging="540"/>
        <w:rPr>
          <w:rFonts w:ascii="仿宋" w:hAnsi="仿宋" w:eastAsia="仿宋" w:cs="仿宋"/>
          <w:color w:val="auto"/>
          <w:szCs w:val="21"/>
          <w:highlight w:val="none"/>
        </w:rPr>
      </w:pPr>
      <w:r>
        <w:rPr>
          <w:rFonts w:hint="eastAsia" w:ascii="仿宋" w:hAnsi="仿宋" w:eastAsia="仿宋" w:cs="仿宋"/>
          <w:color w:val="auto"/>
          <w:szCs w:val="21"/>
          <w:highlight w:val="none"/>
        </w:rPr>
        <w:t>报价单位：人民币</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b/>
          <w:color w:val="auto"/>
          <w:szCs w:val="21"/>
          <w:highlight w:val="none"/>
        </w:rPr>
        <w:t>万元</w:t>
      </w:r>
    </w:p>
    <w:tbl>
      <w:tblPr>
        <w:tblStyle w:val="20"/>
        <w:tblW w:w="8850" w:type="dxa"/>
        <w:tblInd w:w="-61" w:type="dxa"/>
        <w:tblLayout w:type="fixed"/>
        <w:tblCellMar>
          <w:top w:w="0" w:type="dxa"/>
          <w:left w:w="0" w:type="dxa"/>
          <w:bottom w:w="0" w:type="dxa"/>
          <w:right w:w="0" w:type="dxa"/>
        </w:tblCellMar>
      </w:tblPr>
      <w:tblGrid>
        <w:gridCol w:w="1420"/>
        <w:gridCol w:w="2340"/>
        <w:gridCol w:w="1546"/>
        <w:gridCol w:w="1276"/>
        <w:gridCol w:w="1248"/>
        <w:gridCol w:w="1020"/>
      </w:tblGrid>
      <w:tr>
        <w:tblPrEx>
          <w:tblCellMar>
            <w:top w:w="0" w:type="dxa"/>
            <w:left w:w="0" w:type="dxa"/>
            <w:bottom w:w="0" w:type="dxa"/>
            <w:right w:w="0" w:type="dxa"/>
          </w:tblCellMar>
        </w:tblPrEx>
        <w:trPr>
          <w:trHeight w:val="662" w:hRule="atLeast"/>
        </w:trPr>
        <w:tc>
          <w:tcPr>
            <w:tcW w:w="1420" w:type="dxa"/>
            <w:tcBorders>
              <w:top w:val="single" w:color="auto" w:sz="4" w:space="0"/>
              <w:left w:val="single" w:color="auto" w:sz="4" w:space="0"/>
              <w:bottom w:val="single" w:color="auto" w:sz="8" w:space="0"/>
              <w:right w:val="single" w:color="auto" w:sz="4" w:space="0"/>
            </w:tcBorders>
            <w:vAlign w:val="center"/>
          </w:tcPr>
          <w:p>
            <w:pPr>
              <w:tabs>
                <w:tab w:val="left" w:pos="5580"/>
              </w:tabs>
              <w:spacing w:line="240" w:lineRule="atLeast"/>
              <w:ind w:right="-199"/>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货物名称</w:t>
            </w:r>
          </w:p>
        </w:tc>
        <w:tc>
          <w:tcPr>
            <w:tcW w:w="2340" w:type="dxa"/>
            <w:tcBorders>
              <w:top w:val="single" w:color="auto" w:sz="4" w:space="0"/>
              <w:left w:val="single" w:color="auto" w:sz="8" w:space="0"/>
              <w:bottom w:val="single" w:color="auto" w:sz="8" w:space="0"/>
              <w:right w:val="single" w:color="auto" w:sz="4" w:space="0"/>
            </w:tcBorders>
            <w:vAlign w:val="center"/>
          </w:tcPr>
          <w:p>
            <w:pPr>
              <w:tabs>
                <w:tab w:val="left" w:pos="5580"/>
              </w:tabs>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投标总价</w:t>
            </w:r>
          </w:p>
        </w:tc>
        <w:tc>
          <w:tcPr>
            <w:tcW w:w="1546"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交货期</w:t>
            </w:r>
          </w:p>
        </w:tc>
        <w:tc>
          <w:tcPr>
            <w:tcW w:w="1276"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交货地点</w:t>
            </w:r>
          </w:p>
        </w:tc>
        <w:tc>
          <w:tcPr>
            <w:tcW w:w="1248" w:type="dxa"/>
            <w:tcBorders>
              <w:top w:val="single" w:color="auto" w:sz="8" w:space="0"/>
              <w:left w:val="nil"/>
              <w:bottom w:val="single" w:color="auto" w:sz="8" w:space="0"/>
              <w:right w:val="single" w:color="auto" w:sz="4" w:space="0"/>
            </w:tcBorders>
            <w:vAlign w:val="center"/>
          </w:tcPr>
          <w:p>
            <w:pPr>
              <w:tabs>
                <w:tab w:val="left" w:pos="5580"/>
              </w:tabs>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投标保证金</w:t>
            </w:r>
          </w:p>
        </w:tc>
        <w:tc>
          <w:tcPr>
            <w:tcW w:w="1020" w:type="dxa"/>
            <w:tcBorders>
              <w:top w:val="single" w:color="auto" w:sz="8" w:space="0"/>
              <w:left w:val="single" w:color="auto" w:sz="4" w:space="0"/>
              <w:bottom w:val="single" w:color="auto" w:sz="8" w:space="0"/>
              <w:right w:val="single" w:color="auto" w:sz="8" w:space="0"/>
            </w:tcBorders>
            <w:vAlign w:val="center"/>
          </w:tcPr>
          <w:p>
            <w:pPr>
              <w:tabs>
                <w:tab w:val="left" w:pos="5580"/>
              </w:tabs>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tblPrEx>
          <w:tblCellMar>
            <w:top w:w="0" w:type="dxa"/>
            <w:left w:w="0" w:type="dxa"/>
            <w:bottom w:w="0" w:type="dxa"/>
            <w:right w:w="0" w:type="dxa"/>
          </w:tblCellMar>
        </w:tblPrEx>
        <w:trPr>
          <w:cantSplit/>
          <w:trHeight w:val="1640" w:hRule="atLeast"/>
        </w:trPr>
        <w:tc>
          <w:tcPr>
            <w:tcW w:w="1420" w:type="dxa"/>
            <w:tcBorders>
              <w:top w:val="single" w:color="auto" w:sz="8" w:space="0"/>
              <w:left w:val="single" w:color="auto" w:sz="4" w:space="0"/>
              <w:bottom w:val="single" w:color="auto" w:sz="4" w:space="0"/>
              <w:right w:val="single" w:color="auto" w:sz="4" w:space="0"/>
            </w:tcBorders>
            <w:vAlign w:val="center"/>
          </w:tcPr>
          <w:p>
            <w:pPr>
              <w:tabs>
                <w:tab w:val="left" w:pos="5580"/>
              </w:tabs>
              <w:spacing w:line="240" w:lineRule="atLeast"/>
              <w:ind w:left="1079" w:leftChars="257" w:hanging="540"/>
              <w:jc w:val="center"/>
              <w:rPr>
                <w:rFonts w:ascii="仿宋" w:hAnsi="仿宋" w:eastAsia="仿宋" w:cs="仿宋"/>
                <w:color w:val="auto"/>
                <w:szCs w:val="21"/>
                <w:highlight w:val="none"/>
              </w:rPr>
            </w:pPr>
          </w:p>
        </w:tc>
        <w:tc>
          <w:tcPr>
            <w:tcW w:w="2340" w:type="dxa"/>
            <w:tcBorders>
              <w:top w:val="single" w:color="auto" w:sz="8" w:space="0"/>
              <w:left w:val="single" w:color="auto" w:sz="8" w:space="0"/>
              <w:bottom w:val="single" w:color="auto" w:sz="4" w:space="0"/>
              <w:right w:val="single" w:color="auto" w:sz="4" w:space="0"/>
            </w:tcBorders>
            <w:vAlign w:val="center"/>
          </w:tcPr>
          <w:p>
            <w:pPr>
              <w:tabs>
                <w:tab w:val="left" w:pos="5580"/>
              </w:tabs>
              <w:spacing w:line="240" w:lineRule="atLeast"/>
              <w:jc w:val="left"/>
              <w:rPr>
                <w:rFonts w:ascii="仿宋" w:hAnsi="仿宋" w:eastAsia="仿宋" w:cs="仿宋"/>
                <w:color w:val="auto"/>
                <w:szCs w:val="21"/>
                <w:highlight w:val="none"/>
              </w:rPr>
            </w:pPr>
            <w:r>
              <w:rPr>
                <w:rFonts w:hint="eastAsia" w:ascii="仿宋" w:hAnsi="仿宋" w:eastAsia="仿宋" w:cs="仿宋"/>
                <w:color w:val="auto"/>
                <w:szCs w:val="21"/>
                <w:highlight w:val="none"/>
              </w:rPr>
              <w:t>大写：</w:t>
            </w:r>
          </w:p>
          <w:p>
            <w:pPr>
              <w:tabs>
                <w:tab w:val="left" w:pos="5580"/>
              </w:tabs>
              <w:spacing w:line="240" w:lineRule="atLeast"/>
              <w:jc w:val="left"/>
              <w:rPr>
                <w:rFonts w:ascii="仿宋" w:hAnsi="仿宋" w:eastAsia="仿宋" w:cs="仿宋"/>
                <w:color w:val="auto"/>
                <w:szCs w:val="21"/>
                <w:highlight w:val="none"/>
              </w:rPr>
            </w:pPr>
            <w:r>
              <w:rPr>
                <w:rFonts w:hint="eastAsia" w:ascii="仿宋" w:hAnsi="仿宋" w:eastAsia="仿宋" w:cs="仿宋"/>
                <w:color w:val="auto"/>
                <w:szCs w:val="21"/>
                <w:highlight w:val="none"/>
              </w:rPr>
              <w:t>小写：</w:t>
            </w:r>
          </w:p>
        </w:tc>
        <w:tc>
          <w:tcPr>
            <w:tcW w:w="1546" w:type="dxa"/>
            <w:tcBorders>
              <w:top w:val="single" w:color="auto" w:sz="8" w:space="0"/>
              <w:left w:val="nil"/>
              <w:bottom w:val="single" w:color="auto" w:sz="4" w:space="0"/>
              <w:right w:val="single" w:color="auto" w:sz="4" w:space="0"/>
            </w:tcBorders>
            <w:vAlign w:val="center"/>
          </w:tcPr>
          <w:p>
            <w:pPr>
              <w:tabs>
                <w:tab w:val="left" w:pos="5580"/>
              </w:tabs>
              <w:spacing w:line="240" w:lineRule="atLeast"/>
              <w:ind w:left="1079" w:leftChars="257" w:hanging="540"/>
              <w:jc w:val="center"/>
              <w:rPr>
                <w:rFonts w:ascii="仿宋" w:hAnsi="仿宋" w:eastAsia="仿宋" w:cs="仿宋"/>
                <w:color w:val="auto"/>
                <w:szCs w:val="21"/>
                <w:highlight w:val="none"/>
              </w:rPr>
            </w:pPr>
          </w:p>
        </w:tc>
        <w:tc>
          <w:tcPr>
            <w:tcW w:w="1276" w:type="dxa"/>
            <w:tcBorders>
              <w:top w:val="single" w:color="auto" w:sz="8" w:space="0"/>
              <w:left w:val="nil"/>
              <w:bottom w:val="single" w:color="auto" w:sz="4" w:space="0"/>
              <w:right w:val="single" w:color="auto" w:sz="4" w:space="0"/>
            </w:tcBorders>
            <w:vAlign w:val="center"/>
          </w:tcPr>
          <w:p>
            <w:pPr>
              <w:tabs>
                <w:tab w:val="left" w:pos="5580"/>
              </w:tabs>
              <w:spacing w:line="240" w:lineRule="atLeast"/>
              <w:ind w:left="1079" w:leftChars="257" w:hanging="540"/>
              <w:jc w:val="center"/>
              <w:rPr>
                <w:rFonts w:ascii="仿宋" w:hAnsi="仿宋" w:eastAsia="仿宋" w:cs="仿宋"/>
                <w:color w:val="auto"/>
                <w:szCs w:val="21"/>
                <w:highlight w:val="none"/>
              </w:rPr>
            </w:pPr>
          </w:p>
        </w:tc>
        <w:tc>
          <w:tcPr>
            <w:tcW w:w="1248" w:type="dxa"/>
            <w:tcBorders>
              <w:top w:val="single" w:color="auto" w:sz="8" w:space="0"/>
              <w:left w:val="nil"/>
              <w:bottom w:val="single" w:color="auto" w:sz="4" w:space="0"/>
              <w:right w:val="single" w:color="auto" w:sz="4" w:space="0"/>
            </w:tcBorders>
            <w:vAlign w:val="center"/>
          </w:tcPr>
          <w:p>
            <w:pPr>
              <w:tabs>
                <w:tab w:val="left" w:pos="5580"/>
              </w:tabs>
              <w:spacing w:line="240" w:lineRule="atLeast"/>
              <w:ind w:left="1079" w:leftChars="257" w:hanging="540"/>
              <w:jc w:val="center"/>
              <w:rPr>
                <w:rFonts w:ascii="仿宋" w:hAnsi="仿宋" w:eastAsia="仿宋" w:cs="仿宋"/>
                <w:color w:val="auto"/>
                <w:szCs w:val="21"/>
                <w:highlight w:val="none"/>
              </w:rPr>
            </w:pPr>
          </w:p>
        </w:tc>
        <w:tc>
          <w:tcPr>
            <w:tcW w:w="1020" w:type="dxa"/>
            <w:tcBorders>
              <w:top w:val="single" w:color="auto" w:sz="8" w:space="0"/>
              <w:left w:val="single" w:color="auto" w:sz="4" w:space="0"/>
              <w:bottom w:val="single" w:color="auto" w:sz="4" w:space="0"/>
              <w:right w:val="single" w:color="auto" w:sz="8" w:space="0"/>
            </w:tcBorders>
            <w:vAlign w:val="center"/>
          </w:tcPr>
          <w:p>
            <w:pPr>
              <w:tabs>
                <w:tab w:val="left" w:pos="5580"/>
              </w:tabs>
              <w:spacing w:line="240" w:lineRule="atLeast"/>
              <w:ind w:left="1079" w:leftChars="257" w:hanging="540"/>
              <w:jc w:val="center"/>
              <w:rPr>
                <w:rFonts w:ascii="仿宋" w:hAnsi="仿宋" w:eastAsia="仿宋" w:cs="仿宋"/>
                <w:color w:val="auto"/>
                <w:szCs w:val="21"/>
                <w:highlight w:val="none"/>
              </w:rPr>
            </w:pPr>
          </w:p>
        </w:tc>
      </w:tr>
    </w:tbl>
    <w:p>
      <w:pPr>
        <w:pStyle w:val="11"/>
        <w:tabs>
          <w:tab w:val="left" w:pos="5580"/>
        </w:tabs>
        <w:spacing w:line="240" w:lineRule="atLeast"/>
        <w:ind w:left="1079" w:leftChars="257" w:hanging="540"/>
        <w:rPr>
          <w:rFonts w:ascii="仿宋" w:hAnsi="仿宋" w:eastAsia="仿宋" w:cs="仿宋"/>
          <w:color w:val="auto"/>
          <w:szCs w:val="21"/>
          <w:highlight w:val="none"/>
        </w:rPr>
      </w:pPr>
    </w:p>
    <w:p>
      <w:pPr>
        <w:pStyle w:val="11"/>
        <w:tabs>
          <w:tab w:val="left" w:pos="5580"/>
        </w:tabs>
        <w:spacing w:line="240" w:lineRule="atLeast"/>
        <w:ind w:left="1079" w:leftChars="257" w:hanging="540"/>
        <w:rPr>
          <w:rFonts w:ascii="仿宋" w:hAnsi="仿宋" w:eastAsia="仿宋" w:cs="仿宋"/>
          <w:color w:val="auto"/>
          <w:szCs w:val="21"/>
          <w:highlight w:val="none"/>
          <w:u w:val="single"/>
        </w:rPr>
      </w:pPr>
    </w:p>
    <w:p>
      <w:pPr>
        <w:pStyle w:val="11"/>
        <w:tabs>
          <w:tab w:val="left" w:pos="5580"/>
        </w:tabs>
        <w:spacing w:line="360" w:lineRule="auto"/>
        <w:ind w:left="1079"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投标人（盖公章）：</w:t>
      </w:r>
      <w:r>
        <w:rPr>
          <w:rFonts w:hint="eastAsia" w:ascii="仿宋" w:hAnsi="仿宋" w:eastAsia="仿宋" w:cs="仿宋"/>
          <w:color w:val="auto"/>
          <w:szCs w:val="21"/>
          <w:highlight w:val="none"/>
          <w:u w:val="single"/>
        </w:rPr>
        <w:t xml:space="preserve">                          </w:t>
      </w:r>
    </w:p>
    <w:p>
      <w:pPr>
        <w:pStyle w:val="11"/>
        <w:tabs>
          <w:tab w:val="left" w:pos="5580"/>
        </w:tabs>
        <w:spacing w:line="360" w:lineRule="auto"/>
        <w:ind w:left="1079" w:leftChars="257" w:hanging="540"/>
        <w:rPr>
          <w:rFonts w:ascii="仿宋" w:hAnsi="仿宋" w:eastAsia="仿宋" w:cs="仿宋"/>
          <w:color w:val="auto"/>
          <w:szCs w:val="21"/>
          <w:highlight w:val="none"/>
          <w:u w:val="single"/>
        </w:rPr>
      </w:pPr>
      <w:r>
        <w:rPr>
          <w:rFonts w:hint="eastAsia" w:ascii="仿宋" w:hAnsi="仿宋" w:eastAsia="仿宋" w:cs="仿宋"/>
          <w:color w:val="auto"/>
          <w:szCs w:val="21"/>
          <w:highlight w:val="none"/>
        </w:rPr>
        <w:t>法定代表人或委托代理人(签字或签章):</w:t>
      </w:r>
      <w:r>
        <w:rPr>
          <w:rFonts w:hint="eastAsia" w:ascii="仿宋" w:hAnsi="仿宋" w:eastAsia="仿宋" w:cs="仿宋"/>
          <w:color w:val="auto"/>
          <w:szCs w:val="21"/>
          <w:highlight w:val="none"/>
          <w:u w:val="single"/>
        </w:rPr>
        <w:tab/>
      </w:r>
    </w:p>
    <w:p>
      <w:pPr>
        <w:pStyle w:val="11"/>
        <w:tabs>
          <w:tab w:val="left" w:pos="5580"/>
        </w:tabs>
        <w:spacing w:line="240" w:lineRule="atLeast"/>
        <w:ind w:left="1079" w:leftChars="257" w:hanging="540"/>
        <w:rPr>
          <w:rFonts w:ascii="仿宋" w:hAnsi="仿宋" w:eastAsia="仿宋" w:cs="仿宋"/>
          <w:color w:val="auto"/>
          <w:szCs w:val="21"/>
          <w:highlight w:val="none"/>
        </w:rPr>
      </w:pPr>
    </w:p>
    <w:p>
      <w:pPr>
        <w:pStyle w:val="11"/>
        <w:tabs>
          <w:tab w:val="left" w:pos="5580"/>
        </w:tabs>
        <w:spacing w:line="240" w:lineRule="atLeast"/>
        <w:ind w:left="1079"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注: 1、此表应按投标人须知的规定装订密封。</w:t>
      </w:r>
    </w:p>
    <w:p>
      <w:pPr>
        <w:pStyle w:val="11"/>
        <w:numPr>
          <w:ilvl w:val="0"/>
          <w:numId w:val="1"/>
        </w:numPr>
        <w:tabs>
          <w:tab w:val="left" w:pos="5580"/>
        </w:tabs>
        <w:spacing w:line="240" w:lineRule="atLeast"/>
        <w:ind w:left="945" w:leftChars="450"/>
        <w:rPr>
          <w:rFonts w:ascii="仿宋" w:hAnsi="仿宋" w:eastAsia="仿宋" w:cs="仿宋"/>
          <w:color w:val="auto"/>
          <w:szCs w:val="21"/>
          <w:highlight w:val="none"/>
        </w:rPr>
      </w:pPr>
      <w:r>
        <w:rPr>
          <w:rFonts w:hint="eastAsia" w:ascii="仿宋" w:hAnsi="仿宋" w:eastAsia="仿宋" w:cs="仿宋"/>
          <w:color w:val="auto"/>
          <w:szCs w:val="21"/>
          <w:highlight w:val="none"/>
        </w:rPr>
        <w:t>此表中，每包的投标总价应和投标分项报价表的总价相一致。</w:t>
      </w:r>
    </w:p>
    <w:p>
      <w:pPr>
        <w:pStyle w:val="11"/>
        <w:numPr>
          <w:ilvl w:val="0"/>
          <w:numId w:val="1"/>
        </w:numPr>
        <w:tabs>
          <w:tab w:val="left" w:pos="5580"/>
        </w:tabs>
        <w:spacing w:line="360" w:lineRule="auto"/>
        <w:ind w:left="945" w:leftChars="450"/>
        <w:rPr>
          <w:rFonts w:ascii="仿宋_GB2312" w:hAnsi="宋体" w:eastAsia="仿宋_GB2312"/>
          <w:color w:val="auto"/>
          <w:highlight w:val="none"/>
        </w:rPr>
      </w:pPr>
      <w:r>
        <w:rPr>
          <w:rFonts w:hint="eastAsia" w:ascii="仿宋" w:hAnsi="仿宋" w:eastAsia="仿宋" w:cs="仿宋"/>
          <w:color w:val="auto"/>
          <w:szCs w:val="21"/>
          <w:highlight w:val="none"/>
        </w:rPr>
        <w:t>提供进口产品的投标人需按第八章采购需求中的报价要求提供分项报价表，并在本表中报人民币包干价</w:t>
      </w:r>
      <w:r>
        <w:rPr>
          <w:rFonts w:hint="eastAsia" w:ascii="仿宋_GB2312" w:hAnsi="宋体" w:eastAsia="仿宋_GB2312"/>
          <w:color w:val="auto"/>
          <w:szCs w:val="21"/>
          <w:highlight w:val="none"/>
        </w:rPr>
        <w:t>（含税/不含税）</w:t>
      </w:r>
      <w:r>
        <w:rPr>
          <w:rFonts w:hint="eastAsia" w:ascii="仿宋" w:hAnsi="仿宋" w:eastAsia="仿宋" w:cs="仿宋"/>
          <w:color w:val="auto"/>
          <w:szCs w:val="21"/>
          <w:highlight w:val="none"/>
        </w:rPr>
        <w:t>。</w:t>
      </w:r>
      <w:r>
        <w:rPr>
          <w:rFonts w:hint="eastAsia" w:ascii="仿宋_GB2312" w:hAnsi="宋体" w:eastAsia="仿宋_GB2312"/>
          <w:color w:val="auto"/>
          <w:szCs w:val="21"/>
          <w:highlight w:val="none"/>
        </w:rPr>
        <w:t>如中标，人民币包干价即为招标人支付给中标人的最高人民币价格，投标人报价时需自行考虑汇率风险。</w:t>
      </w:r>
    </w:p>
    <w:p>
      <w:pPr>
        <w:pStyle w:val="11"/>
        <w:numPr>
          <w:ilvl w:val="0"/>
          <w:numId w:val="1"/>
        </w:numPr>
        <w:tabs>
          <w:tab w:val="left" w:pos="5580"/>
        </w:tabs>
        <w:spacing w:line="360" w:lineRule="auto"/>
        <w:ind w:left="945" w:leftChars="450"/>
        <w:rPr>
          <w:rFonts w:ascii="仿宋" w:hAnsi="仿宋" w:eastAsia="仿宋" w:cs="仿宋"/>
          <w:color w:val="auto"/>
          <w:szCs w:val="21"/>
          <w:highlight w:val="none"/>
        </w:rPr>
      </w:pPr>
      <w:r>
        <w:rPr>
          <w:rFonts w:hint="eastAsia" w:ascii="仿宋_GB2312" w:hAnsi="宋体" w:eastAsia="仿宋_GB2312"/>
          <w:color w:val="auto"/>
          <w:szCs w:val="21"/>
          <w:highlight w:val="none"/>
        </w:rPr>
        <w:t>本招标文件中提及的进口产品是指需通过中国海关报关验放进入中国境内且产自关境外的产品。</w:t>
      </w:r>
    </w:p>
    <w:p>
      <w:pPr>
        <w:pStyle w:val="11"/>
        <w:tabs>
          <w:tab w:val="left" w:pos="5580"/>
        </w:tabs>
        <w:spacing w:line="240" w:lineRule="atLeast"/>
        <w:ind w:left="1078" w:leftChars="428" w:hanging="180" w:hangingChars="75"/>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11"/>
        <w:tabs>
          <w:tab w:val="left" w:pos="5580"/>
        </w:tabs>
        <w:spacing w:line="240" w:lineRule="atLeast"/>
        <w:ind w:left="1079" w:leftChars="257" w:hanging="540"/>
        <w:jc w:val="center"/>
        <w:rPr>
          <w:rFonts w:ascii="仿宋" w:hAnsi="仿宋" w:eastAsia="仿宋" w:cs="仿宋"/>
          <w:b/>
          <w:color w:val="auto"/>
          <w:sz w:val="24"/>
          <w:highlight w:val="none"/>
        </w:rPr>
      </w:pPr>
    </w:p>
    <w:p>
      <w:pPr>
        <w:pStyle w:val="6"/>
        <w:spacing w:before="0" w:line="240" w:lineRule="atLeast"/>
        <w:jc w:val="both"/>
        <w:rPr>
          <w:rFonts w:ascii="仿宋" w:hAnsi="仿宋" w:eastAsia="仿宋" w:cs="仿宋"/>
          <w:color w:val="auto"/>
          <w:highlight w:val="none"/>
          <w:u w:val="none"/>
        </w:rPr>
      </w:pPr>
      <w:bookmarkStart w:id="299" w:name="_Toc60830311"/>
      <w:r>
        <w:rPr>
          <w:rFonts w:hint="eastAsia" w:ascii="仿宋" w:hAnsi="仿宋" w:eastAsia="仿宋" w:cs="仿宋"/>
          <w:color w:val="auto"/>
          <w:highlight w:val="none"/>
          <w:u w:val="none"/>
        </w:rPr>
        <w:t>2  法人或者非法人组织的营业执照等证明文件</w:t>
      </w:r>
      <w:bookmarkEnd w:id="299"/>
      <w:bookmarkStart w:id="300" w:name="_Toc60830312"/>
      <w:r>
        <w:rPr>
          <w:rFonts w:hint="eastAsia" w:ascii="仿宋" w:hAnsi="仿宋" w:eastAsia="仿宋" w:cs="仿宋"/>
          <w:color w:val="auto"/>
          <w:highlight w:val="none"/>
          <w:u w:val="none"/>
        </w:rPr>
        <w:t>或自然人的身份证明</w:t>
      </w:r>
      <w:bookmarkEnd w:id="300"/>
    </w:p>
    <w:p>
      <w:pPr>
        <w:pStyle w:val="11"/>
        <w:tabs>
          <w:tab w:val="left" w:pos="5580"/>
        </w:tabs>
        <w:spacing w:line="240" w:lineRule="atLeast"/>
        <w:ind w:left="1079" w:leftChars="257" w:hanging="540"/>
        <w:jc w:val="center"/>
        <w:rPr>
          <w:rFonts w:ascii="仿宋" w:hAnsi="仿宋" w:eastAsia="仿宋" w:cs="仿宋"/>
          <w:b/>
          <w:color w:val="auto"/>
          <w:sz w:val="24"/>
          <w:highlight w:val="none"/>
        </w:rPr>
      </w:pPr>
    </w:p>
    <w:p>
      <w:pPr>
        <w:pStyle w:val="11"/>
        <w:tabs>
          <w:tab w:val="left" w:pos="5580"/>
        </w:tabs>
        <w:spacing w:line="240" w:lineRule="atLeast"/>
        <w:ind w:left="1079" w:leftChars="257" w:hanging="540"/>
        <w:rPr>
          <w:rFonts w:ascii="仿宋" w:hAnsi="仿宋" w:eastAsia="仿宋" w:cs="仿宋"/>
          <w:b/>
          <w:color w:val="auto"/>
          <w:sz w:val="24"/>
          <w:highlight w:val="none"/>
        </w:rPr>
      </w:pPr>
    </w:p>
    <w:p>
      <w:pPr>
        <w:pStyle w:val="11"/>
        <w:tabs>
          <w:tab w:val="left" w:pos="5580"/>
        </w:tabs>
        <w:spacing w:line="360" w:lineRule="auto"/>
        <w:ind w:firstLine="198"/>
        <w:contextualSpacing/>
        <w:rPr>
          <w:rFonts w:ascii="仿宋" w:hAnsi="仿宋" w:eastAsia="仿宋" w:cs="仿宋"/>
          <w:color w:val="auto"/>
          <w:szCs w:val="21"/>
          <w:highlight w:val="none"/>
        </w:rPr>
      </w:pPr>
      <w:bookmarkStart w:id="301" w:name="_Toc2582311"/>
      <w:r>
        <w:rPr>
          <w:rFonts w:hint="eastAsia" w:ascii="仿宋" w:hAnsi="仿宋" w:eastAsia="仿宋" w:cs="仿宋"/>
          <w:color w:val="auto"/>
          <w:szCs w:val="21"/>
          <w:highlight w:val="none"/>
        </w:rPr>
        <w:t>说明：1.提供有效的营业执照等证明文件复印件，复印件上应加盖本单位公章。</w:t>
      </w:r>
    </w:p>
    <w:p>
      <w:pPr>
        <w:pStyle w:val="11"/>
        <w:tabs>
          <w:tab w:val="left" w:pos="5580"/>
        </w:tabs>
        <w:spacing w:line="360" w:lineRule="auto"/>
        <w:ind w:firstLine="198"/>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2.投标人为自然人的，应提供身份证明的复印件。</w:t>
      </w:r>
    </w:p>
    <w:p>
      <w:pPr>
        <w:pStyle w:val="11"/>
        <w:tabs>
          <w:tab w:val="left" w:pos="5580"/>
        </w:tabs>
        <w:spacing w:line="360" w:lineRule="auto"/>
        <w:ind w:firstLine="198"/>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3.联合体投标应提供联合体各方满足以上要求的证明文件。</w:t>
      </w:r>
    </w:p>
    <w:p>
      <w:pPr>
        <w:pStyle w:val="7"/>
        <w:autoSpaceDE w:val="0"/>
        <w:autoSpaceDN w:val="0"/>
        <w:adjustRightInd w:val="0"/>
        <w:spacing w:before="0" w:line="360" w:lineRule="auto"/>
        <w:jc w:val="center"/>
        <w:rPr>
          <w:rFonts w:ascii="仿宋" w:hAnsi="仿宋" w:eastAsia="仿宋" w:cs="仿宋"/>
          <w:color w:val="auto"/>
          <w:sz w:val="24"/>
          <w:highlight w:val="none"/>
          <w:u w:val="single"/>
        </w:rPr>
      </w:pPr>
      <w:r>
        <w:rPr>
          <w:rFonts w:hint="eastAsia" w:ascii="仿宋" w:hAnsi="仿宋" w:eastAsia="仿宋" w:cs="仿宋"/>
          <w:color w:val="auto"/>
          <w:sz w:val="24"/>
          <w:highlight w:val="none"/>
        </w:rPr>
        <w:br w:type="page"/>
      </w:r>
      <w:bookmarkStart w:id="302" w:name="_Toc60830313"/>
      <w:r>
        <w:rPr>
          <w:rFonts w:hint="eastAsia" w:ascii="仿宋" w:hAnsi="仿宋" w:eastAsia="仿宋" w:cs="仿宋"/>
          <w:color w:val="auto"/>
          <w:sz w:val="24"/>
          <w:highlight w:val="none"/>
        </w:rPr>
        <w:t>法定代表人身份证明书</w:t>
      </w:r>
      <w:bookmarkEnd w:id="301"/>
      <w:bookmarkEnd w:id="302"/>
    </w:p>
    <w:p>
      <w:pPr>
        <w:spacing w:line="360" w:lineRule="auto"/>
        <w:rPr>
          <w:rFonts w:ascii="仿宋" w:hAnsi="仿宋" w:eastAsia="仿宋" w:cs="仿宋"/>
          <w:color w:val="auto"/>
          <w:sz w:val="24"/>
          <w:highlight w:val="none"/>
          <w:u w:val="single"/>
        </w:rPr>
      </w:pPr>
    </w:p>
    <w:p>
      <w:pPr>
        <w:spacing w:line="360" w:lineRule="auto"/>
        <w:rPr>
          <w:rFonts w:ascii="仿宋" w:hAnsi="仿宋" w:eastAsia="仿宋" w:cs="仿宋"/>
          <w:color w:val="auto"/>
          <w:highlight w:val="none"/>
          <w:shd w:val="clear" w:color="auto" w:fill="FFFFFF"/>
        </w:rPr>
      </w:pPr>
    </w:p>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u w:val="single"/>
        </w:rPr>
        <w:t>致（采购代理机构名称）</w:t>
      </w:r>
      <w:r>
        <w:rPr>
          <w:rFonts w:hint="eastAsia" w:ascii="仿宋" w:hAnsi="仿宋" w:eastAsia="仿宋" w:cs="仿宋"/>
          <w:color w:val="auto"/>
          <w:szCs w:val="21"/>
          <w:highlight w:val="none"/>
        </w:rPr>
        <w:t>：</w:t>
      </w:r>
    </w:p>
    <w:p>
      <w:pPr>
        <w:spacing w:line="360" w:lineRule="auto"/>
        <w:ind w:firstLine="525" w:firstLineChars="250"/>
        <w:rPr>
          <w:rFonts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（姓名、性别、年龄、身份证号码）在我</w:t>
      </w:r>
      <w:r>
        <w:rPr>
          <w:color w:val="auto"/>
          <w:highlight w:val="none"/>
        </w:rPr>
        <w:fldChar w:fldCharType="begin"/>
      </w:r>
      <w:r>
        <w:rPr>
          <w:color w:val="auto"/>
          <w:highlight w:val="none"/>
        </w:rPr>
        <w:instrText xml:space="preserve"> HYPERLINK "https://baike.baidu.com/item/%E5%8D%95%E4%BD%8D/32292" \t "_blank" </w:instrText>
      </w:r>
      <w:r>
        <w:rPr>
          <w:color w:val="auto"/>
          <w:highlight w:val="none"/>
        </w:rPr>
        <w:fldChar w:fldCharType="separate"/>
      </w:r>
      <w:r>
        <w:rPr>
          <w:rFonts w:hint="eastAsia" w:ascii="仿宋" w:hAnsi="仿宋" w:eastAsia="仿宋" w:cs="仿宋"/>
          <w:color w:val="auto"/>
          <w:szCs w:val="21"/>
          <w:highlight w:val="none"/>
        </w:rPr>
        <w:t>单位</w:t>
      </w:r>
      <w:r>
        <w:rPr>
          <w:rFonts w:hint="eastAsia" w:ascii="仿宋" w:hAnsi="仿宋" w:eastAsia="仿宋" w:cs="仿宋"/>
          <w:color w:val="auto"/>
          <w:szCs w:val="21"/>
          <w:highlight w:val="none"/>
        </w:rPr>
        <w:fldChar w:fldCharType="end"/>
      </w:r>
      <w:r>
        <w:rPr>
          <w:rFonts w:hint="eastAsia" w:ascii="仿宋" w:hAnsi="仿宋" w:eastAsia="仿宋" w:cs="仿宋"/>
          <w:color w:val="auto"/>
          <w:szCs w:val="21"/>
          <w:highlight w:val="none"/>
        </w:rPr>
        <w:t>任</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（董事长、总经理等）职务，是我单位的法定代表人。</w:t>
      </w:r>
    </w:p>
    <w:p>
      <w:pPr>
        <w:spacing w:line="360" w:lineRule="auto"/>
        <w:ind w:firstLine="480"/>
        <w:rPr>
          <w:rFonts w:ascii="仿宋" w:hAnsi="仿宋" w:eastAsia="仿宋" w:cs="仿宋"/>
          <w:color w:val="auto"/>
          <w:szCs w:val="21"/>
          <w:highlight w:val="none"/>
        </w:rPr>
      </w:pPr>
    </w:p>
    <w:p>
      <w:pPr>
        <w:spacing w:line="360" w:lineRule="auto"/>
        <w:ind w:firstLine="480"/>
        <w:rPr>
          <w:rFonts w:ascii="仿宋" w:hAnsi="仿宋" w:eastAsia="仿宋" w:cs="仿宋"/>
          <w:color w:val="auto"/>
          <w:szCs w:val="21"/>
          <w:highlight w:val="none"/>
        </w:rPr>
      </w:pPr>
    </w:p>
    <w:p>
      <w:pPr>
        <w:spacing w:line="360"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特此证明。</w:t>
      </w:r>
    </w:p>
    <w:p>
      <w:pPr>
        <w:spacing w:line="360" w:lineRule="auto"/>
        <w:ind w:firstLine="480"/>
        <w:rPr>
          <w:rFonts w:ascii="仿宋" w:hAnsi="仿宋" w:eastAsia="仿宋" w:cs="仿宋"/>
          <w:color w:val="auto"/>
          <w:szCs w:val="21"/>
          <w:highlight w:val="none"/>
        </w:rPr>
      </w:pPr>
    </w:p>
    <w:p>
      <w:pPr>
        <w:spacing w:line="360" w:lineRule="auto"/>
        <w:ind w:firstLine="480"/>
        <w:rPr>
          <w:rFonts w:ascii="仿宋" w:hAnsi="仿宋" w:eastAsia="仿宋" w:cs="仿宋"/>
          <w:color w:val="auto"/>
          <w:szCs w:val="21"/>
          <w:highlight w:val="none"/>
        </w:rPr>
      </w:pPr>
    </w:p>
    <w:p>
      <w:pPr>
        <w:spacing w:line="360" w:lineRule="auto"/>
        <w:ind w:firstLine="480"/>
        <w:rPr>
          <w:rFonts w:ascii="仿宋" w:hAnsi="仿宋" w:eastAsia="仿宋" w:cs="仿宋"/>
          <w:color w:val="auto"/>
          <w:szCs w:val="21"/>
          <w:highlight w:val="none"/>
        </w:rPr>
      </w:pPr>
    </w:p>
    <w:p>
      <w:pPr>
        <w:pStyle w:val="11"/>
        <w:tabs>
          <w:tab w:val="left" w:pos="5580"/>
        </w:tabs>
        <w:spacing w:line="360" w:lineRule="auto"/>
        <w:ind w:left="315" w:leftChars="150"/>
        <w:rPr>
          <w:rFonts w:ascii="仿宋" w:hAnsi="仿宋" w:eastAsia="仿宋" w:cs="仿宋"/>
          <w:color w:val="auto"/>
          <w:szCs w:val="21"/>
          <w:highlight w:val="none"/>
        </w:rPr>
      </w:pPr>
      <w:r>
        <w:rPr>
          <w:rFonts w:hint="eastAsia" w:ascii="仿宋" w:hAnsi="仿宋" w:eastAsia="仿宋" w:cs="仿宋"/>
          <w:color w:val="auto"/>
          <w:szCs w:val="21"/>
          <w:highlight w:val="none"/>
        </w:rPr>
        <w:t>投标人（盖公章）：</w:t>
      </w:r>
      <w:r>
        <w:rPr>
          <w:rFonts w:hint="eastAsia" w:ascii="仿宋" w:hAnsi="仿宋" w:eastAsia="仿宋" w:cs="仿宋"/>
          <w:color w:val="auto"/>
          <w:szCs w:val="21"/>
          <w:highlight w:val="none"/>
          <w:u w:val="single"/>
        </w:rPr>
        <w:t xml:space="preserve">                             </w:t>
      </w:r>
    </w:p>
    <w:p>
      <w:pPr>
        <w:pStyle w:val="11"/>
        <w:tabs>
          <w:tab w:val="left" w:pos="5580"/>
        </w:tabs>
        <w:spacing w:line="360" w:lineRule="auto"/>
        <w:ind w:left="315" w:leftChars="150"/>
        <w:rPr>
          <w:rFonts w:ascii="仿宋" w:hAnsi="仿宋" w:eastAsia="仿宋" w:cs="仿宋"/>
          <w:color w:val="auto"/>
          <w:szCs w:val="21"/>
          <w:highlight w:val="none"/>
        </w:rPr>
      </w:pPr>
      <w:r>
        <w:rPr>
          <w:rFonts w:hint="eastAsia" w:ascii="仿宋" w:hAnsi="仿宋" w:eastAsia="仿宋" w:cs="仿宋"/>
          <w:color w:val="auto"/>
          <w:szCs w:val="21"/>
          <w:highlight w:val="none"/>
        </w:rPr>
        <w:t>详细通讯地址：</w:t>
      </w:r>
      <w:r>
        <w:rPr>
          <w:rFonts w:hint="eastAsia" w:ascii="仿宋" w:hAnsi="仿宋" w:eastAsia="仿宋" w:cs="仿宋"/>
          <w:color w:val="auto"/>
          <w:szCs w:val="21"/>
          <w:highlight w:val="none"/>
          <w:u w:val="single"/>
        </w:rPr>
        <w:t xml:space="preserve">                                </w:t>
      </w:r>
    </w:p>
    <w:p>
      <w:pPr>
        <w:pStyle w:val="11"/>
        <w:tabs>
          <w:tab w:val="left" w:pos="5580"/>
        </w:tabs>
        <w:spacing w:line="360" w:lineRule="auto"/>
        <w:ind w:left="315" w:leftChars="150"/>
        <w:rPr>
          <w:rFonts w:ascii="仿宋" w:hAnsi="仿宋" w:eastAsia="仿宋" w:cs="仿宋"/>
          <w:color w:val="auto"/>
          <w:szCs w:val="21"/>
          <w:highlight w:val="none"/>
        </w:rPr>
      </w:pPr>
      <w:r>
        <w:rPr>
          <w:rFonts w:hint="eastAsia" w:ascii="仿宋" w:hAnsi="仿宋" w:eastAsia="仿宋" w:cs="仿宋"/>
          <w:color w:val="auto"/>
          <w:szCs w:val="21"/>
          <w:highlight w:val="none"/>
        </w:rPr>
        <w:t>邮 政 编 码 ：</w:t>
      </w:r>
      <w:r>
        <w:rPr>
          <w:rFonts w:hint="eastAsia" w:ascii="仿宋" w:hAnsi="仿宋" w:eastAsia="仿宋" w:cs="仿宋"/>
          <w:color w:val="auto"/>
          <w:szCs w:val="21"/>
          <w:highlight w:val="none"/>
          <w:u w:val="single"/>
        </w:rPr>
        <w:t xml:space="preserve">                                </w:t>
      </w:r>
    </w:p>
    <w:p>
      <w:pPr>
        <w:pStyle w:val="11"/>
        <w:tabs>
          <w:tab w:val="left" w:pos="5580"/>
        </w:tabs>
        <w:spacing w:line="360" w:lineRule="auto"/>
        <w:ind w:left="315" w:leftChars="150"/>
        <w:rPr>
          <w:rFonts w:ascii="仿宋" w:hAnsi="仿宋" w:eastAsia="仿宋" w:cs="仿宋"/>
          <w:color w:val="auto"/>
          <w:szCs w:val="21"/>
          <w:highlight w:val="none"/>
        </w:rPr>
      </w:pPr>
      <w:r>
        <w:rPr>
          <w:rFonts w:hint="eastAsia" w:ascii="仿宋" w:hAnsi="仿宋" w:eastAsia="仿宋" w:cs="仿宋"/>
          <w:color w:val="auto"/>
          <w:szCs w:val="21"/>
          <w:highlight w:val="none"/>
        </w:rPr>
        <w:t>传　　　　真：</w:t>
      </w:r>
      <w:r>
        <w:rPr>
          <w:rFonts w:hint="eastAsia" w:ascii="仿宋" w:hAnsi="仿宋" w:eastAsia="仿宋" w:cs="仿宋"/>
          <w:color w:val="auto"/>
          <w:szCs w:val="21"/>
          <w:highlight w:val="none"/>
          <w:u w:val="single"/>
        </w:rPr>
        <w:t xml:space="preserve">                                </w:t>
      </w:r>
    </w:p>
    <w:p>
      <w:pPr>
        <w:pStyle w:val="11"/>
        <w:tabs>
          <w:tab w:val="left" w:pos="5580"/>
        </w:tabs>
        <w:spacing w:line="360" w:lineRule="auto"/>
        <w:ind w:left="315" w:leftChars="150"/>
        <w:rPr>
          <w:rFonts w:ascii="仿宋" w:hAnsi="仿宋" w:eastAsia="仿宋" w:cs="仿宋"/>
          <w:color w:val="auto"/>
          <w:szCs w:val="21"/>
          <w:highlight w:val="none"/>
        </w:rPr>
      </w:pPr>
      <w:r>
        <w:rPr>
          <w:rFonts w:hint="eastAsia" w:ascii="仿宋" w:hAnsi="仿宋" w:eastAsia="仿宋" w:cs="仿宋"/>
          <w:color w:val="auto"/>
          <w:szCs w:val="21"/>
          <w:highlight w:val="none"/>
        </w:rPr>
        <w:t>电　　　　话：</w:t>
      </w:r>
      <w:r>
        <w:rPr>
          <w:rFonts w:hint="eastAsia" w:ascii="仿宋" w:hAnsi="仿宋" w:eastAsia="仿宋" w:cs="仿宋"/>
          <w:color w:val="auto"/>
          <w:szCs w:val="21"/>
          <w:highlight w:val="none"/>
          <w:u w:val="single"/>
        </w:rPr>
        <w:t xml:space="preserve">                                </w:t>
      </w:r>
    </w:p>
    <w:p>
      <w:pPr>
        <w:spacing w:line="360" w:lineRule="auto"/>
        <w:ind w:firstLine="480"/>
        <w:rPr>
          <w:rFonts w:ascii="仿宋" w:hAnsi="仿宋" w:eastAsia="仿宋" w:cs="仿宋"/>
          <w:color w:val="auto"/>
          <w:szCs w:val="21"/>
          <w:highlight w:val="none"/>
        </w:rPr>
      </w:pPr>
    </w:p>
    <w:p>
      <w:pPr>
        <w:spacing w:line="360" w:lineRule="auto"/>
        <w:ind w:left="315" w:leftChars="150"/>
        <w:rPr>
          <w:rFonts w:ascii="仿宋" w:hAnsi="仿宋" w:eastAsia="仿宋" w:cs="仿宋"/>
          <w:color w:val="auto"/>
          <w:szCs w:val="21"/>
          <w:highlight w:val="none"/>
        </w:rPr>
      </w:pPr>
      <w:r>
        <w:rPr>
          <w:rFonts w:hint="eastAsia" w:ascii="仿宋" w:hAnsi="仿宋" w:eastAsia="仿宋" w:cs="仿宋"/>
          <w:color w:val="auto"/>
          <w:szCs w:val="21"/>
          <w:highlight w:val="none"/>
        </w:rPr>
        <w:t>注：1. 自然人投标的无需提供。</w:t>
      </w:r>
    </w:p>
    <w:p>
      <w:pPr>
        <w:numPr>
          <w:ilvl w:val="0"/>
          <w:numId w:val="2"/>
        </w:numPr>
        <w:spacing w:line="360" w:lineRule="auto"/>
        <w:rPr>
          <w:rFonts w:ascii="仿宋" w:hAnsi="仿宋" w:eastAsia="仿宋" w:cs="仿宋"/>
          <w:color w:val="auto"/>
          <w:szCs w:val="21"/>
          <w:highlight w:val="none"/>
        </w:rPr>
      </w:pPr>
      <w:r>
        <w:rPr>
          <w:rFonts w:hint="eastAsia" w:ascii="仿宋" w:hAnsi="仿宋" w:eastAsia="仿宋" w:cs="仿宋"/>
          <w:bCs/>
          <w:color w:val="auto"/>
          <w:szCs w:val="21"/>
          <w:highlight w:val="none"/>
        </w:rPr>
        <w:t>需附法定代表人身份证。</w:t>
      </w:r>
    </w:p>
    <w:p>
      <w:pPr>
        <w:pStyle w:val="9"/>
        <w:ind w:left="315" w:leftChars="150"/>
        <w:rPr>
          <w:rFonts w:ascii="仿宋" w:hAnsi="仿宋" w:eastAsia="仿宋" w:cs="仿宋"/>
          <w:color w:val="auto"/>
          <w:highlight w:val="none"/>
        </w:rPr>
      </w:pPr>
    </w:p>
    <w:p>
      <w:pPr>
        <w:pStyle w:val="11"/>
        <w:tabs>
          <w:tab w:val="left" w:pos="5580"/>
        </w:tabs>
        <w:spacing w:line="240" w:lineRule="atLeast"/>
        <w:ind w:left="1079" w:leftChars="257" w:hanging="540"/>
        <w:rPr>
          <w:rFonts w:ascii="仿宋" w:hAnsi="仿宋" w:eastAsia="仿宋" w:cs="仿宋"/>
          <w:color w:val="auto"/>
          <w:sz w:val="24"/>
          <w:highlight w:val="none"/>
        </w:rPr>
      </w:pPr>
    </w:p>
    <w:p>
      <w:pPr>
        <w:pStyle w:val="11"/>
        <w:tabs>
          <w:tab w:val="left" w:pos="5580"/>
        </w:tabs>
        <w:spacing w:line="240" w:lineRule="atLeast"/>
        <w:ind w:left="1079" w:leftChars="257" w:hanging="540"/>
        <w:rPr>
          <w:rFonts w:ascii="仿宋" w:hAnsi="仿宋" w:eastAsia="仿宋" w:cs="仿宋"/>
          <w:color w:val="auto"/>
          <w:sz w:val="24"/>
          <w:highlight w:val="none"/>
        </w:rPr>
      </w:pPr>
    </w:p>
    <w:p>
      <w:pPr>
        <w:pStyle w:val="11"/>
        <w:tabs>
          <w:tab w:val="left" w:pos="5580"/>
        </w:tabs>
        <w:spacing w:line="240" w:lineRule="atLeast"/>
        <w:ind w:left="1080"/>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6"/>
        <w:spacing w:before="0" w:line="240" w:lineRule="atLeast"/>
        <w:jc w:val="both"/>
        <w:rPr>
          <w:rFonts w:ascii="仿宋" w:hAnsi="仿宋" w:eastAsia="仿宋" w:cs="仿宋"/>
          <w:color w:val="auto"/>
          <w:highlight w:val="none"/>
          <w:u w:val="none"/>
        </w:rPr>
      </w:pPr>
      <w:bookmarkStart w:id="303" w:name="_Toc2582312"/>
      <w:bookmarkStart w:id="304" w:name="_Toc60830314"/>
      <w:bookmarkStart w:id="305" w:name="_Toc532473498"/>
      <w:r>
        <w:rPr>
          <w:rFonts w:hint="eastAsia" w:ascii="仿宋" w:hAnsi="仿宋" w:eastAsia="仿宋" w:cs="仿宋"/>
          <w:color w:val="auto"/>
          <w:highlight w:val="none"/>
          <w:u w:val="none"/>
        </w:rPr>
        <w:t>3  法定代表人授权委托书</w:t>
      </w:r>
      <w:bookmarkEnd w:id="303"/>
      <w:bookmarkEnd w:id="304"/>
    </w:p>
    <w:bookmarkEnd w:id="305"/>
    <w:p>
      <w:pPr>
        <w:pStyle w:val="11"/>
        <w:tabs>
          <w:tab w:val="left" w:pos="5580"/>
        </w:tabs>
        <w:spacing w:line="360" w:lineRule="auto"/>
        <w:ind w:left="-539" w:leftChars="-257" w:firstLine="900" w:firstLineChars="375"/>
        <w:jc w:val="center"/>
        <w:rPr>
          <w:rFonts w:ascii="仿宋" w:hAnsi="仿宋" w:eastAsia="仿宋" w:cs="仿宋"/>
          <w:color w:val="auto"/>
          <w:sz w:val="24"/>
          <w:highlight w:val="none"/>
        </w:rPr>
      </w:pPr>
    </w:p>
    <w:p>
      <w:pPr>
        <w:pStyle w:val="11"/>
        <w:tabs>
          <w:tab w:val="left" w:pos="5580"/>
        </w:tabs>
        <w:spacing w:line="360" w:lineRule="auto"/>
        <w:ind w:left="-539" w:leftChars="-257" w:firstLine="900" w:firstLineChars="375"/>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法定代表人授权委托书</w:t>
      </w:r>
      <w:r>
        <w:rPr>
          <w:rFonts w:hint="eastAsia" w:ascii="仿宋" w:hAnsi="仿宋" w:eastAsia="仿宋" w:cs="仿宋"/>
          <w:color w:val="auto"/>
          <w:sz w:val="24"/>
          <w:highlight w:val="none"/>
        </w:rPr>
        <w:cr/>
      </w:r>
    </w:p>
    <w:p>
      <w:pPr>
        <w:pStyle w:val="11"/>
        <w:tabs>
          <w:tab w:val="left" w:pos="5580"/>
        </w:tabs>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本授权书声明：注册于</w:t>
      </w:r>
      <w:r>
        <w:rPr>
          <w:rFonts w:hint="eastAsia" w:ascii="仿宋" w:hAnsi="仿宋" w:eastAsia="仿宋" w:cs="仿宋"/>
          <w:color w:val="auto"/>
          <w:szCs w:val="21"/>
          <w:highlight w:val="none"/>
          <w:u w:val="single"/>
        </w:rPr>
        <w:t>（国家或地区的名称）</w:t>
      </w:r>
      <w:r>
        <w:rPr>
          <w:rFonts w:hint="eastAsia" w:ascii="仿宋" w:hAnsi="仿宋" w:eastAsia="仿宋" w:cs="仿宋"/>
          <w:color w:val="auto"/>
          <w:szCs w:val="21"/>
          <w:highlight w:val="none"/>
        </w:rPr>
        <w:t>的（</w:t>
      </w:r>
      <w:r>
        <w:rPr>
          <w:rFonts w:hint="eastAsia" w:ascii="仿宋" w:hAnsi="仿宋" w:eastAsia="仿宋" w:cs="仿宋"/>
          <w:i/>
          <w:color w:val="auto"/>
          <w:szCs w:val="21"/>
          <w:highlight w:val="none"/>
          <w:u w:val="single"/>
        </w:rPr>
        <w:t>投标人</w:t>
      </w:r>
      <w:r>
        <w:rPr>
          <w:rFonts w:hint="eastAsia" w:ascii="仿宋" w:hAnsi="仿宋" w:eastAsia="仿宋" w:cs="仿宋"/>
          <w:color w:val="auto"/>
          <w:szCs w:val="21"/>
          <w:highlight w:val="none"/>
        </w:rPr>
        <w:t>）的在下面签字的（</w:t>
      </w:r>
      <w:r>
        <w:rPr>
          <w:rFonts w:hint="eastAsia" w:ascii="仿宋" w:hAnsi="仿宋" w:eastAsia="仿宋" w:cs="仿宋"/>
          <w:i/>
          <w:color w:val="auto"/>
          <w:szCs w:val="21"/>
          <w:highlight w:val="none"/>
          <w:u w:val="single"/>
        </w:rPr>
        <w:t>法人代表姓名、职务</w:t>
      </w:r>
      <w:r>
        <w:rPr>
          <w:rFonts w:hint="eastAsia" w:ascii="仿宋" w:hAnsi="仿宋" w:eastAsia="仿宋" w:cs="仿宋"/>
          <w:color w:val="auto"/>
          <w:szCs w:val="21"/>
          <w:highlight w:val="none"/>
        </w:rPr>
        <w:t>）代表我单位授权在下面签字的（</w:t>
      </w:r>
      <w:r>
        <w:rPr>
          <w:rFonts w:hint="eastAsia" w:ascii="仿宋" w:hAnsi="仿宋" w:eastAsia="仿宋" w:cs="仿宋"/>
          <w:i/>
          <w:color w:val="auto"/>
          <w:szCs w:val="21"/>
          <w:highlight w:val="none"/>
          <w:u w:val="single"/>
        </w:rPr>
        <w:t>被授权人的姓名</w:t>
      </w:r>
      <w:r>
        <w:rPr>
          <w:rFonts w:hint="eastAsia" w:ascii="仿宋" w:hAnsi="仿宋" w:eastAsia="仿宋" w:cs="仿宋"/>
          <w:color w:val="auto"/>
          <w:szCs w:val="21"/>
          <w:highlight w:val="none"/>
        </w:rPr>
        <w:t>）为我单位的合法代理人，就（</w:t>
      </w:r>
      <w:r>
        <w:rPr>
          <w:rFonts w:hint="eastAsia" w:ascii="仿宋" w:hAnsi="仿宋" w:eastAsia="仿宋" w:cs="仿宋"/>
          <w:i/>
          <w:color w:val="auto"/>
          <w:szCs w:val="21"/>
          <w:highlight w:val="none"/>
          <w:u w:val="single"/>
        </w:rPr>
        <w:t>项目名称</w:t>
      </w:r>
      <w:r>
        <w:rPr>
          <w:rFonts w:hint="eastAsia" w:ascii="仿宋" w:hAnsi="仿宋" w:eastAsia="仿宋" w:cs="仿宋"/>
          <w:color w:val="auto"/>
          <w:szCs w:val="21"/>
          <w:highlight w:val="none"/>
        </w:rPr>
        <w:t>）投标，以我单位名义处理一切与之有关的事务。</w:t>
      </w:r>
      <w:r>
        <w:rPr>
          <w:rFonts w:hint="eastAsia" w:ascii="仿宋" w:hAnsi="仿宋" w:eastAsia="仿宋" w:cs="仿宋"/>
          <w:color w:val="auto"/>
          <w:szCs w:val="21"/>
          <w:highlight w:val="none"/>
        </w:rPr>
        <w:cr/>
      </w:r>
      <w:r>
        <w:rPr>
          <w:rFonts w:hint="eastAsia" w:ascii="仿宋" w:hAnsi="仿宋" w:eastAsia="仿宋" w:cs="仿宋"/>
          <w:color w:val="auto"/>
          <w:szCs w:val="21"/>
          <w:highlight w:val="none"/>
        </w:rPr>
        <w:t>　　</w:t>
      </w:r>
    </w:p>
    <w:p>
      <w:pPr>
        <w:pStyle w:val="11"/>
        <w:tabs>
          <w:tab w:val="left" w:pos="5580"/>
        </w:tabs>
        <w:spacing w:line="360" w:lineRule="auto"/>
        <w:ind w:left="-539" w:leftChars="-257" w:firstLine="787" w:firstLineChars="375"/>
        <w:rPr>
          <w:rFonts w:ascii="仿宋" w:hAnsi="仿宋" w:eastAsia="仿宋" w:cs="仿宋"/>
          <w:color w:val="auto"/>
          <w:szCs w:val="21"/>
          <w:highlight w:val="none"/>
        </w:rPr>
      </w:pPr>
      <w:r>
        <w:rPr>
          <w:rFonts w:hint="eastAsia" w:ascii="仿宋" w:hAnsi="仿宋" w:eastAsia="仿宋" w:cs="仿宋"/>
          <w:color w:val="auto"/>
          <w:szCs w:val="21"/>
          <w:highlight w:val="none"/>
        </w:rPr>
        <w:t>本授权书于</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日签字生效,特此声明。</w:t>
      </w:r>
      <w:r>
        <w:rPr>
          <w:rFonts w:hint="eastAsia" w:ascii="仿宋" w:hAnsi="仿宋" w:eastAsia="仿宋" w:cs="仿宋"/>
          <w:color w:val="auto"/>
          <w:szCs w:val="21"/>
          <w:highlight w:val="none"/>
        </w:rPr>
        <w:cr/>
      </w:r>
      <w:r>
        <w:rPr>
          <w:rFonts w:hint="eastAsia" w:ascii="仿宋" w:hAnsi="仿宋" w:eastAsia="仿宋" w:cs="仿宋"/>
          <w:color w:val="auto"/>
          <w:szCs w:val="21"/>
          <w:highlight w:val="none"/>
        </w:rPr>
        <w:cr/>
      </w:r>
    </w:p>
    <w:p>
      <w:pPr>
        <w:pStyle w:val="11"/>
        <w:tabs>
          <w:tab w:val="left" w:pos="5580"/>
        </w:tabs>
        <w:spacing w:line="360" w:lineRule="auto"/>
        <w:ind w:left="-539" w:leftChars="-257" w:firstLine="787" w:firstLineChars="375"/>
        <w:rPr>
          <w:rFonts w:ascii="仿宋" w:hAnsi="仿宋" w:eastAsia="仿宋" w:cs="仿宋"/>
          <w:color w:val="auto"/>
          <w:szCs w:val="21"/>
          <w:highlight w:val="none"/>
        </w:rPr>
      </w:pPr>
    </w:p>
    <w:p>
      <w:pPr>
        <w:pStyle w:val="11"/>
        <w:tabs>
          <w:tab w:val="left" w:pos="5580"/>
        </w:tabs>
        <w:spacing w:line="360"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rPr>
        <w:t>投标人（盖公章）：</w:t>
      </w:r>
      <w:r>
        <w:rPr>
          <w:rFonts w:hint="eastAsia" w:ascii="仿宋" w:hAnsi="仿宋" w:eastAsia="仿宋" w:cs="仿宋"/>
          <w:color w:val="auto"/>
          <w:szCs w:val="21"/>
          <w:highlight w:val="none"/>
          <w:u w:val="single"/>
        </w:rPr>
        <w:t xml:space="preserve">                              </w:t>
      </w:r>
    </w:p>
    <w:p>
      <w:pPr>
        <w:pStyle w:val="11"/>
        <w:tabs>
          <w:tab w:val="left" w:pos="5580"/>
        </w:tabs>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法定代表人（签字或签章）：</w:t>
      </w:r>
      <w:r>
        <w:rPr>
          <w:rFonts w:hint="eastAsia" w:ascii="仿宋" w:hAnsi="仿宋" w:eastAsia="仿宋" w:cs="仿宋"/>
          <w:color w:val="auto"/>
          <w:szCs w:val="21"/>
          <w:highlight w:val="none"/>
          <w:u w:val="single"/>
        </w:rPr>
        <w:t xml:space="preserve">                      </w:t>
      </w:r>
    </w:p>
    <w:p>
      <w:pPr>
        <w:pStyle w:val="11"/>
        <w:tabs>
          <w:tab w:val="left" w:pos="5580"/>
        </w:tabs>
        <w:spacing w:line="360"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rPr>
        <w:t>身份证号码：</w:t>
      </w:r>
      <w:r>
        <w:rPr>
          <w:rFonts w:hint="eastAsia" w:ascii="仿宋" w:hAnsi="仿宋" w:eastAsia="仿宋" w:cs="仿宋"/>
          <w:color w:val="auto"/>
          <w:szCs w:val="21"/>
          <w:highlight w:val="none"/>
          <w:u w:val="single"/>
        </w:rPr>
        <w:t xml:space="preserve">                                   </w:t>
      </w:r>
    </w:p>
    <w:p>
      <w:pPr>
        <w:pStyle w:val="11"/>
        <w:tabs>
          <w:tab w:val="left" w:pos="5580"/>
        </w:tabs>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委托代理人（签字或签章）：</w:t>
      </w:r>
      <w:r>
        <w:rPr>
          <w:rFonts w:hint="eastAsia" w:ascii="仿宋" w:hAnsi="仿宋" w:eastAsia="仿宋" w:cs="仿宋"/>
          <w:color w:val="auto"/>
          <w:szCs w:val="21"/>
          <w:highlight w:val="none"/>
          <w:u w:val="single"/>
        </w:rPr>
        <w:t xml:space="preserve">                      </w:t>
      </w:r>
    </w:p>
    <w:p>
      <w:pPr>
        <w:pStyle w:val="11"/>
        <w:tabs>
          <w:tab w:val="left" w:pos="5580"/>
        </w:tabs>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身份证号码：</w:t>
      </w:r>
      <w:r>
        <w:rPr>
          <w:rFonts w:hint="eastAsia" w:ascii="仿宋" w:hAnsi="仿宋" w:eastAsia="仿宋" w:cs="仿宋"/>
          <w:color w:val="auto"/>
          <w:szCs w:val="21"/>
          <w:highlight w:val="none"/>
          <w:u w:val="single"/>
        </w:rPr>
        <w:t xml:space="preserve">                                   </w:t>
      </w:r>
    </w:p>
    <w:p>
      <w:pPr>
        <w:pStyle w:val="11"/>
        <w:tabs>
          <w:tab w:val="left" w:pos="5580"/>
        </w:tabs>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详细通讯地址：</w:t>
      </w:r>
      <w:r>
        <w:rPr>
          <w:rFonts w:hint="eastAsia" w:ascii="仿宋" w:hAnsi="仿宋" w:eastAsia="仿宋" w:cs="仿宋"/>
          <w:color w:val="auto"/>
          <w:szCs w:val="21"/>
          <w:highlight w:val="none"/>
          <w:u w:val="single"/>
        </w:rPr>
        <w:t xml:space="preserve">                                 </w:t>
      </w:r>
    </w:p>
    <w:p>
      <w:pPr>
        <w:pStyle w:val="11"/>
        <w:tabs>
          <w:tab w:val="left" w:pos="5580"/>
        </w:tabs>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邮 政 编 码 ：</w:t>
      </w:r>
      <w:r>
        <w:rPr>
          <w:rFonts w:hint="eastAsia" w:ascii="仿宋" w:hAnsi="仿宋" w:eastAsia="仿宋" w:cs="仿宋"/>
          <w:color w:val="auto"/>
          <w:szCs w:val="21"/>
          <w:highlight w:val="none"/>
          <w:u w:val="single"/>
        </w:rPr>
        <w:t xml:space="preserve">                                 </w:t>
      </w:r>
    </w:p>
    <w:p>
      <w:pPr>
        <w:pStyle w:val="11"/>
        <w:tabs>
          <w:tab w:val="left" w:pos="5580"/>
        </w:tabs>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传　　　　真：</w:t>
      </w:r>
      <w:r>
        <w:rPr>
          <w:rFonts w:hint="eastAsia" w:ascii="仿宋" w:hAnsi="仿宋" w:eastAsia="仿宋" w:cs="仿宋"/>
          <w:color w:val="auto"/>
          <w:szCs w:val="21"/>
          <w:highlight w:val="none"/>
          <w:u w:val="single"/>
        </w:rPr>
        <w:t xml:space="preserve">                                 </w:t>
      </w:r>
    </w:p>
    <w:p>
      <w:pPr>
        <w:pStyle w:val="11"/>
        <w:tabs>
          <w:tab w:val="left" w:pos="5580"/>
        </w:tabs>
        <w:spacing w:line="360" w:lineRule="auto"/>
        <w:ind w:firstLine="420" w:firstLineChars="200"/>
        <w:rPr>
          <w:rFonts w:ascii="仿宋" w:hAnsi="仿宋" w:eastAsia="仿宋" w:cs="仿宋"/>
          <w:color w:val="auto"/>
          <w:szCs w:val="21"/>
          <w:highlight w:val="none"/>
          <w:u w:val="single"/>
        </w:rPr>
      </w:pPr>
      <w:r>
        <w:rPr>
          <w:rFonts w:hint="eastAsia" w:ascii="仿宋" w:hAnsi="仿宋" w:eastAsia="仿宋" w:cs="仿宋"/>
          <w:color w:val="auto"/>
          <w:szCs w:val="21"/>
          <w:highlight w:val="none"/>
        </w:rPr>
        <w:t>电　　　　话：</w:t>
      </w:r>
      <w:r>
        <w:rPr>
          <w:rFonts w:hint="eastAsia" w:ascii="仿宋" w:hAnsi="仿宋" w:eastAsia="仿宋" w:cs="仿宋"/>
          <w:color w:val="auto"/>
          <w:szCs w:val="21"/>
          <w:highlight w:val="none"/>
          <w:u w:val="single"/>
        </w:rPr>
        <w:t xml:space="preserve">                                 </w:t>
      </w:r>
    </w:p>
    <w:p>
      <w:pPr>
        <w:pStyle w:val="11"/>
        <w:tabs>
          <w:tab w:val="left" w:pos="5580"/>
        </w:tabs>
        <w:spacing w:line="360" w:lineRule="auto"/>
        <w:ind w:firstLine="420" w:firstLineChars="200"/>
        <w:rPr>
          <w:rFonts w:ascii="仿宋" w:hAnsi="仿宋" w:eastAsia="仿宋" w:cs="仿宋"/>
          <w:color w:val="auto"/>
          <w:szCs w:val="21"/>
          <w:highlight w:val="none"/>
        </w:rPr>
      </w:pPr>
    </w:p>
    <w:p>
      <w:pPr>
        <w:spacing w:line="360" w:lineRule="auto"/>
        <w:ind w:firstLine="48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注1：请提供授权代表身份证复印件并加盖公章。</w:t>
      </w:r>
    </w:p>
    <w:p>
      <w:pPr>
        <w:spacing w:line="360" w:lineRule="auto"/>
        <w:ind w:firstLine="480"/>
        <w:rPr>
          <w:rFonts w:ascii="仿宋" w:hAnsi="仿宋" w:eastAsia="仿宋" w:cs="仿宋"/>
          <w:color w:val="auto"/>
          <w:szCs w:val="21"/>
          <w:highlight w:val="none"/>
        </w:rPr>
      </w:pPr>
      <w:r>
        <w:rPr>
          <w:rFonts w:hint="eastAsia" w:ascii="仿宋" w:hAnsi="仿宋" w:eastAsia="仿宋" w:cs="仿宋"/>
          <w:color w:val="auto"/>
          <w:szCs w:val="21"/>
          <w:highlight w:val="none"/>
        </w:rPr>
        <w:t>注2：自然人投标的或法定代表人投标的无需提供。</w:t>
      </w:r>
    </w:p>
    <w:p>
      <w:pPr>
        <w:pStyle w:val="6"/>
        <w:spacing w:before="0" w:line="360" w:lineRule="auto"/>
        <w:jc w:val="both"/>
        <w:rPr>
          <w:rFonts w:ascii="仿宋" w:hAnsi="仿宋" w:eastAsia="仿宋" w:cs="仿宋"/>
          <w:color w:val="auto"/>
          <w:highlight w:val="none"/>
          <w:u w:val="none"/>
        </w:rPr>
      </w:pPr>
      <w:r>
        <w:rPr>
          <w:rFonts w:hint="eastAsia" w:ascii="仿宋" w:hAnsi="仿宋" w:eastAsia="仿宋" w:cs="仿宋"/>
          <w:color w:val="auto"/>
          <w:highlight w:val="none"/>
        </w:rPr>
        <w:br w:type="page"/>
      </w:r>
      <w:bookmarkStart w:id="306" w:name="_Toc60830315"/>
      <w:r>
        <w:rPr>
          <w:rFonts w:hint="eastAsia" w:ascii="仿宋" w:hAnsi="仿宋" w:eastAsia="仿宋" w:cs="仿宋"/>
          <w:color w:val="auto"/>
          <w:highlight w:val="none"/>
          <w:u w:val="none"/>
        </w:rPr>
        <w:t>4  投标人具有良好的商业信誉和健全的财务会计制度的证明文件</w:t>
      </w:r>
      <w:bookmarkEnd w:id="306"/>
    </w:p>
    <w:p>
      <w:pPr>
        <w:keepNext/>
        <w:keepLines/>
        <w:autoSpaceDE w:val="0"/>
        <w:autoSpaceDN w:val="0"/>
        <w:adjustRightInd w:val="0"/>
        <w:spacing w:line="360" w:lineRule="auto"/>
        <w:ind w:firstLine="420" w:firstLineChars="200"/>
        <w:rPr>
          <w:rFonts w:ascii="仿宋" w:hAnsi="仿宋" w:eastAsia="仿宋" w:cs="仿宋"/>
          <w:bCs/>
          <w:color w:val="auto"/>
          <w:szCs w:val="16"/>
          <w:highlight w:val="none"/>
        </w:rPr>
      </w:pPr>
      <w:r>
        <w:rPr>
          <w:rFonts w:hint="eastAsia" w:ascii="仿宋" w:hAnsi="仿宋" w:eastAsia="仿宋" w:cs="仿宋"/>
          <w:bCs/>
          <w:color w:val="auto"/>
          <w:szCs w:val="16"/>
          <w:highlight w:val="none"/>
        </w:rPr>
        <w:t>需提供会计师事务所出具的上一年度财务审计报告复印件加盖公章，或银行出具的证明文件复印件加盖公章（距开标时间六个月内开具），或距开标时间六个月内任一月份的财务状况报告复印件加盖公章（至少包括资产负债表和利润表），法人或者其他组织成立未满三个月的需提供承诺具有良好的商业信誉和健全的财务会计制度的承诺书（格式自拟）。</w:t>
      </w:r>
    </w:p>
    <w:p>
      <w:pPr>
        <w:tabs>
          <w:tab w:val="left" w:pos="5580"/>
        </w:tabs>
        <w:spacing w:line="360" w:lineRule="auto"/>
        <w:ind w:firstLine="420" w:firstLineChars="200"/>
        <w:contextualSpacing/>
        <w:rPr>
          <w:rFonts w:ascii="仿宋" w:hAnsi="仿宋" w:eastAsia="仿宋" w:cs="仿宋"/>
          <w:b/>
          <w:color w:val="auto"/>
          <w:szCs w:val="21"/>
          <w:highlight w:val="none"/>
        </w:rPr>
      </w:pPr>
    </w:p>
    <w:p>
      <w:pPr>
        <w:keepNext/>
        <w:keepLines/>
        <w:autoSpaceDE w:val="0"/>
        <w:autoSpaceDN w:val="0"/>
        <w:adjustRightInd w:val="0"/>
        <w:spacing w:line="360" w:lineRule="auto"/>
        <w:ind w:firstLine="420" w:firstLineChars="200"/>
        <w:rPr>
          <w:rFonts w:ascii="仿宋" w:hAnsi="仿宋" w:eastAsia="仿宋" w:cs="仿宋"/>
          <w:bCs/>
          <w:color w:val="auto"/>
          <w:szCs w:val="16"/>
          <w:highlight w:val="none"/>
        </w:rPr>
      </w:pPr>
      <w:r>
        <w:rPr>
          <w:rFonts w:hint="eastAsia" w:ascii="仿宋" w:hAnsi="仿宋" w:eastAsia="仿宋" w:cs="仿宋"/>
          <w:bCs/>
          <w:color w:val="auto"/>
          <w:szCs w:val="16"/>
          <w:highlight w:val="none"/>
        </w:rPr>
        <w:t>说明：</w:t>
      </w:r>
    </w:p>
    <w:p>
      <w:pPr>
        <w:keepNext/>
        <w:keepLines/>
        <w:autoSpaceDE w:val="0"/>
        <w:autoSpaceDN w:val="0"/>
        <w:adjustRightInd w:val="0"/>
        <w:spacing w:line="360" w:lineRule="auto"/>
        <w:ind w:firstLine="420" w:firstLineChars="200"/>
        <w:rPr>
          <w:rFonts w:ascii="仿宋" w:hAnsi="仿宋" w:eastAsia="仿宋" w:cs="仿宋"/>
          <w:bCs/>
          <w:color w:val="auto"/>
          <w:szCs w:val="16"/>
          <w:highlight w:val="none"/>
        </w:rPr>
      </w:pPr>
      <w:r>
        <w:rPr>
          <w:rFonts w:hint="eastAsia" w:ascii="仿宋" w:hAnsi="仿宋" w:eastAsia="仿宋" w:cs="仿宋"/>
          <w:bCs/>
          <w:color w:val="auto"/>
          <w:szCs w:val="16"/>
          <w:highlight w:val="none"/>
        </w:rPr>
        <w:t>1、投标人在投标文件中，需提供</w:t>
      </w:r>
      <w:r>
        <w:rPr>
          <w:rFonts w:hint="eastAsia" w:ascii="仿宋" w:hAnsi="仿宋" w:eastAsia="仿宋" w:cs="仿宋"/>
          <w:b/>
          <w:color w:val="auto"/>
          <w:szCs w:val="16"/>
          <w:highlight w:val="none"/>
        </w:rPr>
        <w:t>本单位上年度经会计师事务所出具的审计报告复印件并加盖本单位公章</w:t>
      </w:r>
      <w:r>
        <w:rPr>
          <w:rFonts w:hint="eastAsia" w:ascii="仿宋" w:hAnsi="仿宋" w:eastAsia="仿宋" w:cs="仿宋"/>
          <w:bCs/>
          <w:color w:val="auto"/>
          <w:szCs w:val="16"/>
          <w:highlight w:val="none"/>
        </w:rPr>
        <w:t>。</w:t>
      </w:r>
    </w:p>
    <w:p>
      <w:pPr>
        <w:keepNext/>
        <w:keepLines/>
        <w:autoSpaceDE w:val="0"/>
        <w:autoSpaceDN w:val="0"/>
        <w:adjustRightInd w:val="0"/>
        <w:spacing w:line="360" w:lineRule="auto"/>
        <w:ind w:firstLine="420" w:firstLineChars="200"/>
        <w:rPr>
          <w:rFonts w:ascii="仿宋" w:hAnsi="仿宋" w:eastAsia="仿宋" w:cs="仿宋"/>
          <w:bCs/>
          <w:color w:val="auto"/>
          <w:szCs w:val="16"/>
          <w:highlight w:val="none"/>
        </w:rPr>
      </w:pPr>
      <w:r>
        <w:rPr>
          <w:rFonts w:hint="eastAsia" w:ascii="仿宋" w:hAnsi="仿宋" w:eastAsia="仿宋" w:cs="仿宋"/>
          <w:bCs/>
          <w:color w:val="auto"/>
          <w:szCs w:val="16"/>
          <w:highlight w:val="none"/>
        </w:rPr>
        <w:t>2、如投标人无法按照第1条要求提供上年度审计报告，则需提供</w:t>
      </w:r>
      <w:r>
        <w:rPr>
          <w:rFonts w:hint="eastAsia" w:ascii="仿宋" w:hAnsi="仿宋" w:eastAsia="仿宋" w:cs="仿宋"/>
          <w:b/>
          <w:color w:val="auto"/>
          <w:szCs w:val="16"/>
          <w:highlight w:val="none"/>
        </w:rPr>
        <w:t>距投标文件递交截止时间六个月内银行出具的证明文件（原件或复印件加盖公章），若证明文件中注明复印无效的须将原件胶装至正本中，若提供的是复印件，采购单位保留审核原件的权利。</w:t>
      </w:r>
      <w:r>
        <w:rPr>
          <w:rFonts w:hint="eastAsia" w:ascii="仿宋" w:hAnsi="仿宋" w:eastAsia="仿宋" w:cs="仿宋"/>
          <w:bCs/>
          <w:color w:val="auto"/>
          <w:szCs w:val="16"/>
          <w:highlight w:val="none"/>
        </w:rPr>
        <w:t>银行出具的证明文件应能说明该投标人与银行之间业务往来正常，企业信誉良好等。</w:t>
      </w:r>
    </w:p>
    <w:p>
      <w:pPr>
        <w:keepNext/>
        <w:keepLines/>
        <w:autoSpaceDE w:val="0"/>
        <w:autoSpaceDN w:val="0"/>
        <w:adjustRightInd w:val="0"/>
        <w:spacing w:line="360" w:lineRule="auto"/>
        <w:ind w:firstLine="420" w:firstLineChars="200"/>
        <w:rPr>
          <w:rFonts w:ascii="仿宋" w:hAnsi="仿宋" w:eastAsia="仿宋" w:cs="仿宋"/>
          <w:bCs/>
          <w:color w:val="auto"/>
          <w:szCs w:val="16"/>
          <w:highlight w:val="none"/>
        </w:rPr>
      </w:pPr>
      <w:r>
        <w:rPr>
          <w:rFonts w:hint="eastAsia" w:ascii="仿宋" w:hAnsi="仿宋" w:eastAsia="仿宋" w:cs="仿宋"/>
          <w:bCs/>
          <w:color w:val="auto"/>
          <w:szCs w:val="16"/>
          <w:highlight w:val="none"/>
        </w:rPr>
        <w:t>3、若以上两种证明材料均无法提供的则可以提供</w:t>
      </w:r>
      <w:r>
        <w:rPr>
          <w:rFonts w:hint="eastAsia" w:ascii="仿宋" w:hAnsi="仿宋" w:eastAsia="仿宋" w:cs="仿宋"/>
          <w:b/>
          <w:color w:val="auto"/>
          <w:szCs w:val="16"/>
          <w:highlight w:val="none"/>
        </w:rPr>
        <w:t>投标人距投标文件递交截止时间前六个月内任一月份的财务状况报告复印件加盖公章（至少包括资产负债表和利润表）</w:t>
      </w:r>
      <w:r>
        <w:rPr>
          <w:rFonts w:hint="eastAsia" w:ascii="仿宋" w:hAnsi="仿宋" w:eastAsia="仿宋" w:cs="仿宋"/>
          <w:bCs/>
          <w:color w:val="auto"/>
          <w:szCs w:val="16"/>
          <w:highlight w:val="none"/>
        </w:rPr>
        <w:t>。</w:t>
      </w:r>
    </w:p>
    <w:p>
      <w:pPr>
        <w:keepNext/>
        <w:keepLines/>
        <w:autoSpaceDE w:val="0"/>
        <w:autoSpaceDN w:val="0"/>
        <w:adjustRightInd w:val="0"/>
        <w:spacing w:line="360" w:lineRule="auto"/>
        <w:ind w:firstLine="420" w:firstLineChars="200"/>
        <w:rPr>
          <w:rFonts w:ascii="仿宋" w:hAnsi="仿宋" w:eastAsia="仿宋" w:cs="仿宋"/>
          <w:bCs/>
          <w:color w:val="auto"/>
          <w:szCs w:val="16"/>
          <w:highlight w:val="none"/>
        </w:rPr>
      </w:pPr>
      <w:r>
        <w:rPr>
          <w:rFonts w:hint="eastAsia" w:ascii="仿宋" w:hAnsi="仿宋" w:eastAsia="仿宋" w:cs="仿宋"/>
          <w:bCs/>
          <w:color w:val="auto"/>
          <w:szCs w:val="16"/>
          <w:highlight w:val="none"/>
        </w:rPr>
        <w:t>4、</w:t>
      </w:r>
      <w:r>
        <w:rPr>
          <w:rFonts w:hint="eastAsia" w:ascii="仿宋" w:hAnsi="仿宋" w:eastAsia="仿宋" w:cs="仿宋"/>
          <w:b/>
          <w:color w:val="auto"/>
          <w:szCs w:val="16"/>
          <w:highlight w:val="none"/>
        </w:rPr>
        <w:t>若法人或者其他组织成立未满三个月且以上三种证明材料均无法提供</w:t>
      </w:r>
      <w:r>
        <w:rPr>
          <w:rFonts w:hint="eastAsia" w:ascii="仿宋" w:hAnsi="仿宋" w:eastAsia="仿宋" w:cs="仿宋"/>
          <w:bCs/>
          <w:color w:val="auto"/>
          <w:szCs w:val="16"/>
          <w:highlight w:val="none"/>
        </w:rPr>
        <w:t>的需提供承诺具有良好的商业信誉和健全的财务会计制度的承诺书（格式自拟）。</w:t>
      </w:r>
    </w:p>
    <w:p>
      <w:pPr>
        <w:keepNext/>
        <w:keepLines/>
        <w:autoSpaceDE w:val="0"/>
        <w:autoSpaceDN w:val="0"/>
        <w:adjustRightInd w:val="0"/>
        <w:spacing w:line="360" w:lineRule="auto"/>
        <w:ind w:firstLine="420" w:firstLineChars="200"/>
        <w:rPr>
          <w:rFonts w:ascii="仿宋" w:hAnsi="仿宋" w:eastAsia="仿宋" w:cs="仿宋"/>
          <w:bCs/>
          <w:color w:val="auto"/>
          <w:szCs w:val="16"/>
          <w:highlight w:val="none"/>
        </w:rPr>
      </w:pPr>
      <w:r>
        <w:rPr>
          <w:rFonts w:hint="eastAsia" w:ascii="仿宋" w:hAnsi="仿宋" w:eastAsia="仿宋" w:cs="仿宋"/>
          <w:bCs/>
          <w:color w:val="auto"/>
          <w:szCs w:val="16"/>
          <w:highlight w:val="none"/>
        </w:rPr>
        <w:t>5、如果是联合体投标，联合体各方均需提供上述证明。</w:t>
      </w:r>
    </w:p>
    <w:p>
      <w:pPr>
        <w:tabs>
          <w:tab w:val="left" w:pos="5580"/>
        </w:tabs>
        <w:spacing w:line="360" w:lineRule="auto"/>
        <w:ind w:firstLine="420" w:firstLineChars="200"/>
        <w:contextualSpacing/>
        <w:rPr>
          <w:rFonts w:ascii="仿宋" w:hAnsi="仿宋" w:eastAsia="仿宋" w:cs="仿宋"/>
          <w:color w:val="auto"/>
          <w:szCs w:val="21"/>
          <w:highlight w:val="none"/>
        </w:rPr>
      </w:pPr>
    </w:p>
    <w:p>
      <w:pPr>
        <w:ind w:firstLine="5775" w:firstLineChars="2750"/>
        <w:rPr>
          <w:rFonts w:ascii="仿宋" w:hAnsi="仿宋" w:eastAsia="仿宋" w:cs="仿宋"/>
          <w:color w:val="auto"/>
          <w:highlight w:val="none"/>
        </w:rPr>
      </w:pPr>
    </w:p>
    <w:p>
      <w:pPr>
        <w:ind w:firstLine="5775" w:firstLineChars="2750"/>
        <w:rPr>
          <w:rFonts w:ascii="仿宋" w:hAnsi="仿宋" w:eastAsia="仿宋" w:cs="仿宋"/>
          <w:color w:val="auto"/>
          <w:highlight w:val="none"/>
        </w:rPr>
      </w:pPr>
    </w:p>
    <w:p>
      <w:pPr>
        <w:pStyle w:val="6"/>
        <w:spacing w:before="0" w:after="0" w:line="360" w:lineRule="auto"/>
        <w:jc w:val="both"/>
        <w:rPr>
          <w:rFonts w:ascii="仿宋" w:hAnsi="仿宋" w:eastAsia="仿宋" w:cs="仿宋"/>
          <w:color w:val="auto"/>
          <w:sz w:val="21"/>
          <w:szCs w:val="16"/>
          <w:highlight w:val="none"/>
          <w:u w:val="none"/>
        </w:rPr>
      </w:pPr>
      <w:bookmarkStart w:id="307" w:name="_Toc60830317"/>
      <w:r>
        <w:rPr>
          <w:rFonts w:hint="eastAsia" w:ascii="仿宋" w:hAnsi="仿宋" w:eastAsia="仿宋" w:cs="仿宋"/>
          <w:color w:val="auto"/>
          <w:sz w:val="21"/>
          <w:szCs w:val="16"/>
          <w:highlight w:val="none"/>
          <w:u w:val="none"/>
        </w:rPr>
        <w:t xml:space="preserve">5  </w:t>
      </w:r>
      <w:bookmarkEnd w:id="307"/>
      <w:r>
        <w:rPr>
          <w:rFonts w:hint="eastAsia" w:ascii="仿宋" w:hAnsi="仿宋" w:eastAsia="仿宋" w:cs="仿宋"/>
          <w:color w:val="auto"/>
          <w:sz w:val="21"/>
          <w:szCs w:val="16"/>
          <w:highlight w:val="none"/>
          <w:u w:val="none"/>
        </w:rPr>
        <w:t>符合要求的依法缴纳税收和社会保障资金记录</w:t>
      </w:r>
    </w:p>
    <w:p>
      <w:pPr>
        <w:keepNext/>
        <w:keepLines/>
        <w:autoSpaceDE w:val="0"/>
        <w:autoSpaceDN w:val="0"/>
        <w:adjustRightInd w:val="0"/>
        <w:spacing w:line="360" w:lineRule="auto"/>
        <w:ind w:firstLine="420" w:firstLineChars="200"/>
        <w:rPr>
          <w:rFonts w:ascii="仿宋" w:hAnsi="仿宋" w:eastAsia="仿宋" w:cs="仿宋"/>
          <w:bCs/>
          <w:color w:val="auto"/>
          <w:szCs w:val="16"/>
          <w:highlight w:val="none"/>
        </w:rPr>
      </w:pPr>
    </w:p>
    <w:p>
      <w:pPr>
        <w:keepNext/>
        <w:keepLines/>
        <w:autoSpaceDE w:val="0"/>
        <w:autoSpaceDN w:val="0"/>
        <w:adjustRightInd w:val="0"/>
        <w:spacing w:line="360" w:lineRule="auto"/>
        <w:ind w:firstLine="420" w:firstLineChars="200"/>
        <w:rPr>
          <w:rFonts w:ascii="仿宋" w:hAnsi="仿宋" w:eastAsia="仿宋" w:cs="仿宋"/>
          <w:bCs/>
          <w:color w:val="auto"/>
          <w:szCs w:val="16"/>
          <w:highlight w:val="none"/>
        </w:rPr>
      </w:pPr>
      <w:r>
        <w:rPr>
          <w:rFonts w:hint="eastAsia" w:ascii="仿宋" w:hAnsi="仿宋" w:eastAsia="仿宋" w:cs="仿宋"/>
          <w:b/>
          <w:color w:val="auto"/>
          <w:szCs w:val="16"/>
          <w:highlight w:val="none"/>
        </w:rPr>
        <w:t>需提供距开标时间六个月内任一月份的纳税证明文件复印件加盖公章</w:t>
      </w:r>
      <w:r>
        <w:rPr>
          <w:rFonts w:hint="eastAsia" w:ascii="仿宋" w:hAnsi="仿宋" w:eastAsia="仿宋" w:cs="仿宋"/>
          <w:bCs/>
          <w:color w:val="auto"/>
          <w:szCs w:val="16"/>
          <w:highlight w:val="none"/>
        </w:rPr>
        <w:t>（</w:t>
      </w:r>
      <w:r>
        <w:rPr>
          <w:rFonts w:hint="eastAsia" w:ascii="仿宋" w:hAnsi="仿宋" w:eastAsia="仿宋" w:cs="仿宋"/>
          <w:bCs/>
          <w:color w:val="auto"/>
          <w:szCs w:val="16"/>
          <w:highlight w:val="none"/>
          <w:u w:val="single"/>
        </w:rPr>
        <w:t>依法免税的应提供相应文件说明</w:t>
      </w:r>
      <w:r>
        <w:rPr>
          <w:rFonts w:hint="eastAsia" w:ascii="仿宋" w:hAnsi="仿宋" w:eastAsia="仿宋" w:cs="仿宋"/>
          <w:bCs/>
          <w:color w:val="auto"/>
          <w:szCs w:val="16"/>
          <w:highlight w:val="none"/>
        </w:rPr>
        <w:t>）</w:t>
      </w:r>
      <w:r>
        <w:rPr>
          <w:rFonts w:hint="eastAsia" w:ascii="仿宋" w:hAnsi="仿宋" w:eastAsia="仿宋" w:cs="仿宋"/>
          <w:b/>
          <w:color w:val="auto"/>
          <w:szCs w:val="16"/>
          <w:highlight w:val="none"/>
        </w:rPr>
        <w:t>和距开标时间六个月内任一月份的依法缴纳社会保障资金的证明材料复印件加盖公章</w:t>
      </w:r>
      <w:r>
        <w:rPr>
          <w:rFonts w:hint="eastAsia" w:ascii="仿宋" w:hAnsi="仿宋" w:eastAsia="仿宋" w:cs="仿宋"/>
          <w:bCs/>
          <w:color w:val="auto"/>
          <w:szCs w:val="16"/>
          <w:highlight w:val="none"/>
        </w:rPr>
        <w:t>（</w:t>
      </w:r>
      <w:r>
        <w:rPr>
          <w:rFonts w:hint="eastAsia" w:ascii="仿宋" w:hAnsi="仿宋" w:eastAsia="仿宋" w:cs="仿宋"/>
          <w:bCs/>
          <w:color w:val="auto"/>
          <w:szCs w:val="16"/>
          <w:highlight w:val="none"/>
          <w:u w:val="single"/>
        </w:rPr>
        <w:t>证明材料可以是缴费的银行单据、专用收据、社会保险缴纳清单或者所在社保机构开具的证明等，自行编写无效，依法不需要缴纳社会保障资金的应提供相应文件说明</w:t>
      </w:r>
      <w:r>
        <w:rPr>
          <w:rFonts w:hint="eastAsia" w:ascii="仿宋" w:hAnsi="仿宋" w:eastAsia="仿宋" w:cs="仿宋"/>
          <w:bCs/>
          <w:color w:val="auto"/>
          <w:szCs w:val="16"/>
          <w:highlight w:val="none"/>
        </w:rPr>
        <w:t>）；</w:t>
      </w:r>
    </w:p>
    <w:p>
      <w:pPr>
        <w:keepNext/>
        <w:keepLines/>
        <w:autoSpaceDE w:val="0"/>
        <w:autoSpaceDN w:val="0"/>
        <w:adjustRightInd w:val="0"/>
        <w:spacing w:line="360" w:lineRule="auto"/>
        <w:ind w:firstLine="420" w:firstLineChars="200"/>
        <w:rPr>
          <w:rFonts w:ascii="仿宋" w:hAnsi="仿宋" w:eastAsia="仿宋" w:cs="仿宋"/>
          <w:bCs/>
          <w:color w:val="auto"/>
          <w:szCs w:val="16"/>
          <w:highlight w:val="none"/>
        </w:rPr>
      </w:pPr>
    </w:p>
    <w:p>
      <w:pPr>
        <w:keepNext/>
        <w:keepLines/>
        <w:autoSpaceDE w:val="0"/>
        <w:autoSpaceDN w:val="0"/>
        <w:adjustRightInd w:val="0"/>
        <w:spacing w:line="360" w:lineRule="auto"/>
        <w:ind w:firstLine="420" w:firstLineChars="200"/>
        <w:rPr>
          <w:rFonts w:ascii="仿宋" w:hAnsi="仿宋" w:eastAsia="仿宋" w:cs="仿宋"/>
          <w:b/>
          <w:color w:val="auto"/>
          <w:szCs w:val="16"/>
          <w:highlight w:val="none"/>
        </w:rPr>
      </w:pPr>
      <w:r>
        <w:rPr>
          <w:rFonts w:hint="eastAsia" w:ascii="仿宋" w:hAnsi="仿宋" w:eastAsia="仿宋" w:cs="仿宋"/>
          <w:b/>
          <w:color w:val="auto"/>
          <w:szCs w:val="16"/>
          <w:highlight w:val="none"/>
        </w:rPr>
        <w:t>注：提供的复印件不清晰的视为未提供相关证明材料</w:t>
      </w:r>
    </w:p>
    <w:p>
      <w:pPr>
        <w:pStyle w:val="6"/>
        <w:spacing w:before="156" w:beforeLines="50" w:after="156" w:afterLines="50" w:line="360" w:lineRule="auto"/>
        <w:rPr>
          <w:rFonts w:ascii="仿宋" w:hAnsi="仿宋" w:eastAsia="仿宋" w:cs="仿宋"/>
          <w:color w:val="auto"/>
          <w:sz w:val="21"/>
          <w:szCs w:val="16"/>
          <w:highlight w:val="none"/>
          <w:u w:val="none"/>
        </w:rPr>
      </w:pPr>
      <w:r>
        <w:rPr>
          <w:rFonts w:hint="eastAsia" w:ascii="仿宋" w:hAnsi="仿宋" w:eastAsia="仿宋" w:cs="仿宋"/>
          <w:color w:val="auto"/>
          <w:highlight w:val="none"/>
        </w:rPr>
        <w:br w:type="page"/>
      </w:r>
      <w:r>
        <w:rPr>
          <w:rFonts w:hint="eastAsia" w:ascii="仿宋" w:hAnsi="仿宋" w:eastAsia="仿宋" w:cs="仿宋"/>
          <w:color w:val="auto"/>
          <w:sz w:val="21"/>
          <w:szCs w:val="16"/>
          <w:highlight w:val="none"/>
          <w:u w:val="none"/>
        </w:rPr>
        <w:t>6  承诺函</w:t>
      </w:r>
    </w:p>
    <w:p>
      <w:pPr>
        <w:pStyle w:val="11"/>
        <w:tabs>
          <w:tab w:val="left" w:pos="5580"/>
        </w:tabs>
        <w:spacing w:line="360" w:lineRule="auto"/>
        <w:ind w:firstLine="420" w:firstLineChars="200"/>
        <w:rPr>
          <w:rFonts w:ascii="仿宋" w:hAnsi="仿宋" w:eastAsia="仿宋" w:cs="仿宋"/>
          <w:b/>
          <w:color w:val="auto"/>
          <w:kern w:val="0"/>
          <w:szCs w:val="16"/>
          <w:highlight w:val="none"/>
        </w:rPr>
      </w:pPr>
      <w:r>
        <w:rPr>
          <w:rFonts w:hint="eastAsia" w:ascii="仿宋" w:hAnsi="仿宋" w:eastAsia="仿宋" w:cs="仿宋"/>
          <w:b/>
          <w:color w:val="auto"/>
          <w:kern w:val="0"/>
          <w:szCs w:val="16"/>
          <w:highlight w:val="none"/>
        </w:rPr>
        <w:t>投标人需按如下格式要求提供承诺函原件（需加盖公章）</w:t>
      </w:r>
    </w:p>
    <w:p>
      <w:pPr>
        <w:pStyle w:val="11"/>
        <w:tabs>
          <w:tab w:val="left" w:pos="5580"/>
        </w:tabs>
        <w:spacing w:line="360" w:lineRule="auto"/>
        <w:ind w:firstLine="420" w:firstLineChars="200"/>
        <w:rPr>
          <w:rFonts w:ascii="仿宋" w:hAnsi="仿宋" w:eastAsia="仿宋" w:cs="仿宋"/>
          <w:b/>
          <w:bCs/>
          <w:color w:val="auto"/>
          <w:szCs w:val="21"/>
          <w:highlight w:val="none"/>
        </w:rPr>
      </w:pPr>
    </w:p>
    <w:p>
      <w:pPr>
        <w:pStyle w:val="11"/>
        <w:tabs>
          <w:tab w:val="left" w:pos="5580"/>
        </w:tabs>
        <w:spacing w:line="360" w:lineRule="auto"/>
        <w:jc w:val="center"/>
        <w:rPr>
          <w:rFonts w:ascii="仿宋" w:hAnsi="仿宋" w:eastAsia="仿宋" w:cs="仿宋"/>
          <w:b/>
          <w:color w:val="auto"/>
          <w:kern w:val="0"/>
          <w:sz w:val="28"/>
          <w:szCs w:val="21"/>
          <w:highlight w:val="none"/>
        </w:rPr>
      </w:pPr>
      <w:r>
        <w:rPr>
          <w:rFonts w:hint="eastAsia" w:ascii="仿宋" w:hAnsi="仿宋" w:eastAsia="仿宋" w:cs="仿宋"/>
          <w:b/>
          <w:color w:val="auto"/>
          <w:kern w:val="0"/>
          <w:sz w:val="28"/>
          <w:szCs w:val="21"/>
          <w:highlight w:val="none"/>
        </w:rPr>
        <w:t>承诺函</w:t>
      </w:r>
    </w:p>
    <w:p>
      <w:pPr>
        <w:pStyle w:val="11"/>
        <w:tabs>
          <w:tab w:val="left" w:pos="5580"/>
        </w:tabs>
        <w:spacing w:line="360" w:lineRule="auto"/>
        <w:rPr>
          <w:rFonts w:ascii="仿宋" w:hAnsi="仿宋" w:eastAsia="仿宋" w:cs="仿宋"/>
          <w:bCs/>
          <w:color w:val="auto"/>
          <w:kern w:val="0"/>
          <w:szCs w:val="16"/>
          <w:highlight w:val="none"/>
        </w:rPr>
      </w:pPr>
      <w:r>
        <w:rPr>
          <w:rFonts w:hint="eastAsia" w:ascii="仿宋" w:hAnsi="仿宋" w:eastAsia="仿宋" w:cs="仿宋"/>
          <w:bCs/>
          <w:color w:val="auto"/>
          <w:kern w:val="0"/>
          <w:szCs w:val="16"/>
          <w:highlight w:val="none"/>
        </w:rPr>
        <w:t>致：</w:t>
      </w:r>
      <w:r>
        <w:rPr>
          <w:rFonts w:hint="eastAsia" w:ascii="仿宋" w:hAnsi="仿宋" w:eastAsia="仿宋" w:cs="仿宋"/>
          <w:bCs/>
          <w:color w:val="auto"/>
          <w:kern w:val="0"/>
          <w:szCs w:val="16"/>
          <w:highlight w:val="none"/>
          <w:u w:val="single"/>
        </w:rPr>
        <w:t>南京理工大学</w:t>
      </w:r>
      <w:r>
        <w:rPr>
          <w:rFonts w:hint="eastAsia" w:ascii="仿宋" w:hAnsi="仿宋" w:eastAsia="仿宋" w:cs="仿宋"/>
          <w:bCs/>
          <w:color w:val="auto"/>
          <w:kern w:val="0"/>
          <w:szCs w:val="16"/>
          <w:highlight w:val="none"/>
        </w:rPr>
        <w:t xml:space="preserve">   </w:t>
      </w:r>
    </w:p>
    <w:p>
      <w:pPr>
        <w:pStyle w:val="11"/>
        <w:tabs>
          <w:tab w:val="left" w:pos="5580"/>
        </w:tabs>
        <w:spacing w:line="360" w:lineRule="auto"/>
        <w:ind w:left="420" w:leftChars="200"/>
        <w:rPr>
          <w:rFonts w:ascii="仿宋" w:hAnsi="仿宋" w:eastAsia="仿宋" w:cs="仿宋"/>
          <w:bCs/>
          <w:color w:val="auto"/>
          <w:kern w:val="0"/>
          <w:szCs w:val="16"/>
          <w:highlight w:val="none"/>
        </w:rPr>
      </w:pPr>
      <w:r>
        <w:rPr>
          <w:rFonts w:hint="eastAsia" w:ascii="仿宋" w:hAnsi="仿宋" w:eastAsia="仿宋" w:cs="仿宋"/>
          <w:bCs/>
          <w:color w:val="auto"/>
          <w:kern w:val="0"/>
          <w:szCs w:val="16"/>
          <w:highlight w:val="none"/>
        </w:rPr>
        <w:t>我司针对项目编号为</w:t>
      </w:r>
      <w:r>
        <w:rPr>
          <w:rFonts w:hint="eastAsia" w:ascii="仿宋" w:hAnsi="仿宋" w:eastAsia="仿宋" w:cs="仿宋"/>
          <w:bCs/>
          <w:color w:val="auto"/>
          <w:kern w:val="0"/>
          <w:szCs w:val="16"/>
          <w:highlight w:val="none"/>
          <w:u w:val="single"/>
        </w:rPr>
        <w:t xml:space="preserve">            </w:t>
      </w:r>
      <w:r>
        <w:rPr>
          <w:rFonts w:hint="eastAsia" w:ascii="仿宋" w:hAnsi="仿宋" w:eastAsia="仿宋" w:cs="仿宋"/>
          <w:bCs/>
          <w:color w:val="auto"/>
          <w:kern w:val="0"/>
          <w:szCs w:val="16"/>
          <w:highlight w:val="none"/>
        </w:rPr>
        <w:t>的</w:t>
      </w:r>
      <w:r>
        <w:rPr>
          <w:rFonts w:hint="eastAsia" w:ascii="仿宋" w:hAnsi="仿宋" w:eastAsia="仿宋" w:cs="仿宋"/>
          <w:bCs/>
          <w:color w:val="auto"/>
          <w:kern w:val="0"/>
          <w:szCs w:val="16"/>
          <w:highlight w:val="none"/>
          <w:u w:val="single"/>
        </w:rPr>
        <w:t xml:space="preserve">    （项目名称）    </w:t>
      </w:r>
      <w:r>
        <w:rPr>
          <w:rFonts w:hint="eastAsia" w:ascii="仿宋" w:hAnsi="仿宋" w:eastAsia="仿宋" w:cs="仿宋"/>
          <w:bCs/>
          <w:color w:val="auto"/>
          <w:kern w:val="0"/>
          <w:szCs w:val="16"/>
          <w:highlight w:val="none"/>
        </w:rPr>
        <w:t xml:space="preserve">郑重做出以下承诺：            </w:t>
      </w:r>
    </w:p>
    <w:p>
      <w:pPr>
        <w:pStyle w:val="11"/>
        <w:tabs>
          <w:tab w:val="left" w:pos="5580"/>
        </w:tabs>
        <w:spacing w:line="360" w:lineRule="auto"/>
        <w:ind w:left="420" w:leftChars="200"/>
        <w:rPr>
          <w:rFonts w:ascii="仿宋" w:hAnsi="仿宋" w:eastAsia="仿宋" w:cs="仿宋"/>
          <w:bCs/>
          <w:color w:val="auto"/>
          <w:kern w:val="0"/>
          <w:szCs w:val="16"/>
          <w:highlight w:val="none"/>
        </w:rPr>
      </w:pPr>
      <w:r>
        <w:rPr>
          <w:rFonts w:hint="eastAsia" w:ascii="仿宋" w:hAnsi="仿宋" w:eastAsia="仿宋" w:cs="仿宋"/>
          <w:bCs/>
          <w:color w:val="auto"/>
          <w:kern w:val="0"/>
          <w:szCs w:val="16"/>
          <w:highlight w:val="none"/>
        </w:rPr>
        <w:t>（1）我司具有履行合同所必需的设备和专业技术能力</w:t>
      </w:r>
    </w:p>
    <w:p>
      <w:pPr>
        <w:pStyle w:val="11"/>
        <w:tabs>
          <w:tab w:val="left" w:pos="5580"/>
        </w:tabs>
        <w:spacing w:line="360" w:lineRule="auto"/>
        <w:ind w:left="420" w:leftChars="200"/>
        <w:rPr>
          <w:rFonts w:ascii="仿宋" w:hAnsi="仿宋" w:eastAsia="仿宋" w:cs="仿宋"/>
          <w:bCs/>
          <w:color w:val="auto"/>
          <w:kern w:val="0"/>
          <w:szCs w:val="16"/>
          <w:highlight w:val="none"/>
        </w:rPr>
      </w:pPr>
      <w:r>
        <w:rPr>
          <w:rFonts w:hint="eastAsia" w:ascii="仿宋" w:hAnsi="仿宋" w:eastAsia="仿宋" w:cs="仿宋"/>
          <w:bCs/>
          <w:color w:val="auto"/>
          <w:kern w:val="0"/>
          <w:szCs w:val="16"/>
          <w:highlight w:val="none"/>
        </w:rPr>
        <w:t>（2）我司参加本项目采购活动前三年内在经营活动中没有重大违法记录（重大违法记录是指供应商因违法经营受到刑事处罚或责令停产停业、吊销许可证或者执照、较大数额罚款等行政处罚）；</w:t>
      </w:r>
    </w:p>
    <w:p>
      <w:pPr>
        <w:pStyle w:val="11"/>
        <w:tabs>
          <w:tab w:val="left" w:pos="5580"/>
        </w:tabs>
        <w:spacing w:line="360" w:lineRule="auto"/>
        <w:ind w:left="420" w:leftChars="200"/>
        <w:rPr>
          <w:rFonts w:ascii="仿宋" w:hAnsi="仿宋" w:eastAsia="仿宋" w:cs="仿宋"/>
          <w:bCs/>
          <w:color w:val="auto"/>
          <w:kern w:val="0"/>
          <w:szCs w:val="16"/>
          <w:highlight w:val="none"/>
        </w:rPr>
      </w:pPr>
      <w:r>
        <w:rPr>
          <w:rFonts w:hint="eastAsia" w:ascii="仿宋" w:hAnsi="仿宋" w:eastAsia="仿宋" w:cs="仿宋"/>
          <w:bCs/>
          <w:color w:val="auto"/>
          <w:kern w:val="0"/>
          <w:szCs w:val="16"/>
          <w:highlight w:val="none"/>
        </w:rPr>
        <w:t>（3）我司不存在单位负责人为同一人同时参与本项目响应的情况；</w:t>
      </w:r>
    </w:p>
    <w:p>
      <w:pPr>
        <w:pStyle w:val="11"/>
        <w:tabs>
          <w:tab w:val="left" w:pos="5580"/>
        </w:tabs>
        <w:spacing w:line="360" w:lineRule="auto"/>
        <w:ind w:left="420" w:leftChars="200"/>
        <w:rPr>
          <w:rFonts w:ascii="仿宋" w:hAnsi="仿宋" w:eastAsia="仿宋" w:cs="仿宋"/>
          <w:bCs/>
          <w:color w:val="auto"/>
          <w:kern w:val="0"/>
          <w:szCs w:val="16"/>
          <w:highlight w:val="none"/>
        </w:rPr>
      </w:pPr>
      <w:r>
        <w:rPr>
          <w:rFonts w:hint="eastAsia" w:ascii="仿宋" w:hAnsi="仿宋" w:eastAsia="仿宋" w:cs="仿宋"/>
          <w:bCs/>
          <w:color w:val="auto"/>
          <w:kern w:val="0"/>
          <w:szCs w:val="16"/>
          <w:highlight w:val="none"/>
        </w:rPr>
        <w:t>（4）我司不存在直接控股、管理关系的不同供应商同时参与本项目响应的情况；</w:t>
      </w:r>
    </w:p>
    <w:p>
      <w:pPr>
        <w:pStyle w:val="11"/>
        <w:tabs>
          <w:tab w:val="left" w:pos="5580"/>
        </w:tabs>
        <w:spacing w:line="360" w:lineRule="auto"/>
        <w:ind w:left="420" w:leftChars="200"/>
        <w:rPr>
          <w:rFonts w:ascii="仿宋" w:hAnsi="仿宋" w:eastAsia="仿宋" w:cs="仿宋"/>
          <w:bCs/>
          <w:color w:val="auto"/>
          <w:kern w:val="0"/>
          <w:szCs w:val="16"/>
          <w:highlight w:val="none"/>
        </w:rPr>
      </w:pPr>
      <w:r>
        <w:rPr>
          <w:rFonts w:hint="eastAsia" w:ascii="仿宋" w:hAnsi="仿宋" w:eastAsia="仿宋" w:cs="仿宋"/>
          <w:bCs/>
          <w:color w:val="auto"/>
          <w:kern w:val="0"/>
          <w:szCs w:val="16"/>
          <w:highlight w:val="none"/>
        </w:rPr>
        <w:t>（5）我司与招标人、代理机构不存在可能影响采购公正性的利益关系。</w:t>
      </w:r>
    </w:p>
    <w:p>
      <w:pPr>
        <w:pStyle w:val="11"/>
        <w:tabs>
          <w:tab w:val="left" w:pos="5580"/>
        </w:tabs>
        <w:spacing w:line="360" w:lineRule="auto"/>
        <w:ind w:left="420" w:leftChars="200"/>
        <w:rPr>
          <w:rFonts w:ascii="仿宋" w:hAnsi="仿宋" w:eastAsia="仿宋" w:cs="仿宋"/>
          <w:bCs/>
          <w:color w:val="auto"/>
          <w:kern w:val="0"/>
          <w:szCs w:val="16"/>
          <w:highlight w:val="none"/>
        </w:rPr>
      </w:pPr>
      <w:r>
        <w:rPr>
          <w:rFonts w:hint="eastAsia" w:ascii="仿宋" w:hAnsi="仿宋" w:eastAsia="仿宋" w:cs="仿宋"/>
          <w:bCs/>
          <w:color w:val="auto"/>
          <w:kern w:val="0"/>
          <w:szCs w:val="16"/>
          <w:highlight w:val="none"/>
        </w:rPr>
        <w:t>（6）我司未采用联合体方式参与本项目投标。</w:t>
      </w:r>
    </w:p>
    <w:p>
      <w:pPr>
        <w:spacing w:line="360" w:lineRule="auto"/>
        <w:ind w:firstLine="6720" w:firstLineChars="3200"/>
        <w:rPr>
          <w:rFonts w:ascii="仿宋" w:hAnsi="仿宋" w:eastAsia="仿宋" w:cs="仿宋"/>
          <w:color w:val="auto"/>
          <w:szCs w:val="21"/>
          <w:highlight w:val="none"/>
        </w:rPr>
      </w:pPr>
    </w:p>
    <w:p>
      <w:pPr>
        <w:pStyle w:val="11"/>
        <w:tabs>
          <w:tab w:val="left" w:pos="5580"/>
        </w:tabs>
        <w:wordWrap w:val="0"/>
        <w:spacing w:line="360" w:lineRule="auto"/>
        <w:jc w:val="right"/>
        <w:rPr>
          <w:rFonts w:ascii="仿宋" w:hAnsi="仿宋" w:eastAsia="仿宋" w:cs="仿宋"/>
          <w:bCs/>
          <w:color w:val="auto"/>
          <w:kern w:val="0"/>
          <w:szCs w:val="16"/>
          <w:highlight w:val="none"/>
        </w:rPr>
      </w:pPr>
      <w:r>
        <w:rPr>
          <w:rFonts w:hint="eastAsia" w:ascii="仿宋" w:hAnsi="仿宋" w:eastAsia="仿宋" w:cs="仿宋"/>
          <w:bCs/>
          <w:color w:val="auto"/>
          <w:kern w:val="0"/>
          <w:szCs w:val="16"/>
          <w:highlight w:val="none"/>
        </w:rPr>
        <w:t xml:space="preserve">特此承诺。             </w:t>
      </w:r>
    </w:p>
    <w:p>
      <w:pPr>
        <w:pStyle w:val="11"/>
        <w:tabs>
          <w:tab w:val="left" w:pos="5580"/>
        </w:tabs>
        <w:spacing w:line="360" w:lineRule="auto"/>
        <w:ind w:left="420" w:leftChars="200"/>
        <w:rPr>
          <w:rFonts w:ascii="仿宋" w:hAnsi="仿宋" w:eastAsia="仿宋" w:cs="仿宋"/>
          <w:bCs/>
          <w:color w:val="auto"/>
          <w:kern w:val="0"/>
          <w:szCs w:val="16"/>
          <w:highlight w:val="none"/>
        </w:rPr>
      </w:pPr>
    </w:p>
    <w:p>
      <w:pPr>
        <w:pStyle w:val="11"/>
        <w:tabs>
          <w:tab w:val="left" w:pos="5580"/>
        </w:tabs>
        <w:spacing w:line="360" w:lineRule="auto"/>
        <w:ind w:left="420" w:leftChars="200"/>
        <w:rPr>
          <w:rFonts w:ascii="仿宋" w:hAnsi="仿宋" w:eastAsia="仿宋" w:cs="仿宋"/>
          <w:bCs/>
          <w:color w:val="auto"/>
          <w:kern w:val="0"/>
          <w:szCs w:val="16"/>
          <w:highlight w:val="none"/>
        </w:rPr>
      </w:pPr>
    </w:p>
    <w:p>
      <w:pPr>
        <w:pStyle w:val="11"/>
        <w:tabs>
          <w:tab w:val="left" w:pos="5580"/>
        </w:tabs>
        <w:spacing w:line="360" w:lineRule="auto"/>
        <w:ind w:left="2940" w:leftChars="1400"/>
        <w:rPr>
          <w:rFonts w:ascii="仿宋" w:hAnsi="仿宋" w:eastAsia="仿宋" w:cs="仿宋"/>
          <w:bCs/>
          <w:color w:val="auto"/>
          <w:kern w:val="0"/>
          <w:szCs w:val="16"/>
          <w:highlight w:val="none"/>
        </w:rPr>
      </w:pPr>
      <w:r>
        <w:rPr>
          <w:rFonts w:hint="eastAsia" w:ascii="仿宋" w:hAnsi="仿宋" w:eastAsia="仿宋" w:cs="仿宋"/>
          <w:bCs/>
          <w:color w:val="auto"/>
          <w:kern w:val="0"/>
          <w:szCs w:val="16"/>
          <w:highlight w:val="none"/>
        </w:rPr>
        <w:t>投标人名称：</w:t>
      </w:r>
      <w:r>
        <w:rPr>
          <w:rFonts w:hint="eastAsia" w:ascii="仿宋" w:hAnsi="仿宋" w:eastAsia="仿宋" w:cs="仿宋"/>
          <w:bCs/>
          <w:color w:val="auto"/>
          <w:kern w:val="0"/>
          <w:szCs w:val="16"/>
          <w:highlight w:val="none"/>
          <w:u w:val="single"/>
        </w:rPr>
        <w:t xml:space="preserve">                      </w:t>
      </w:r>
      <w:r>
        <w:rPr>
          <w:rFonts w:hint="eastAsia" w:ascii="仿宋" w:hAnsi="仿宋" w:eastAsia="仿宋" w:cs="仿宋"/>
          <w:bCs/>
          <w:color w:val="auto"/>
          <w:kern w:val="0"/>
          <w:szCs w:val="16"/>
          <w:highlight w:val="none"/>
        </w:rPr>
        <w:t>（盖章）</w:t>
      </w:r>
    </w:p>
    <w:p>
      <w:pPr>
        <w:pStyle w:val="11"/>
        <w:tabs>
          <w:tab w:val="left" w:pos="5580"/>
        </w:tabs>
        <w:spacing w:line="360" w:lineRule="auto"/>
        <w:ind w:left="2940" w:leftChars="1400"/>
        <w:rPr>
          <w:rFonts w:ascii="仿宋" w:hAnsi="仿宋" w:eastAsia="仿宋" w:cs="仿宋"/>
          <w:bCs/>
          <w:color w:val="auto"/>
          <w:kern w:val="0"/>
          <w:szCs w:val="16"/>
          <w:highlight w:val="none"/>
        </w:rPr>
      </w:pPr>
      <w:r>
        <w:rPr>
          <w:rFonts w:hint="eastAsia" w:ascii="仿宋" w:hAnsi="仿宋" w:eastAsia="仿宋" w:cs="仿宋"/>
          <w:bCs/>
          <w:color w:val="auto"/>
          <w:kern w:val="0"/>
          <w:szCs w:val="16"/>
          <w:highlight w:val="none"/>
        </w:rPr>
        <w:t>法定代表人或被授权人：</w:t>
      </w:r>
      <w:r>
        <w:rPr>
          <w:rFonts w:hint="eastAsia" w:ascii="仿宋" w:hAnsi="仿宋" w:eastAsia="仿宋" w:cs="仿宋"/>
          <w:bCs/>
          <w:color w:val="auto"/>
          <w:kern w:val="0"/>
          <w:szCs w:val="16"/>
          <w:highlight w:val="none"/>
          <w:u w:val="single"/>
        </w:rPr>
        <w:t xml:space="preserve">            </w:t>
      </w:r>
      <w:r>
        <w:rPr>
          <w:rFonts w:hint="eastAsia" w:ascii="仿宋" w:hAnsi="仿宋" w:eastAsia="仿宋" w:cs="仿宋"/>
          <w:bCs/>
          <w:color w:val="auto"/>
          <w:kern w:val="0"/>
          <w:szCs w:val="16"/>
          <w:highlight w:val="none"/>
        </w:rPr>
        <w:t xml:space="preserve">（签字） </w:t>
      </w:r>
    </w:p>
    <w:p>
      <w:pPr>
        <w:pStyle w:val="11"/>
        <w:tabs>
          <w:tab w:val="left" w:pos="5580"/>
        </w:tabs>
        <w:spacing w:line="360" w:lineRule="auto"/>
        <w:ind w:left="420" w:leftChars="200"/>
        <w:rPr>
          <w:rFonts w:ascii="仿宋" w:hAnsi="仿宋" w:eastAsia="仿宋" w:cs="仿宋"/>
          <w:bCs/>
          <w:color w:val="auto"/>
          <w:kern w:val="0"/>
          <w:szCs w:val="16"/>
          <w:highlight w:val="none"/>
        </w:rPr>
      </w:pPr>
    </w:p>
    <w:p>
      <w:pPr>
        <w:spacing w:line="360" w:lineRule="auto"/>
        <w:ind w:right="420" w:firstLine="5565" w:firstLineChars="2650"/>
        <w:rPr>
          <w:rFonts w:ascii="仿宋" w:hAnsi="仿宋" w:eastAsia="仿宋" w:cs="仿宋"/>
          <w:color w:val="auto"/>
          <w:szCs w:val="21"/>
          <w:highlight w:val="none"/>
        </w:rPr>
      </w:pPr>
      <w:r>
        <w:rPr>
          <w:rFonts w:hint="eastAsia" w:ascii="仿宋" w:hAnsi="仿宋" w:eastAsia="仿宋" w:cs="仿宋"/>
          <w:bCs/>
          <w:color w:val="auto"/>
          <w:kern w:val="0"/>
          <w:szCs w:val="16"/>
          <w:highlight w:val="none"/>
        </w:rPr>
        <w:t xml:space="preserve"> 年    月    日</w:t>
      </w:r>
    </w:p>
    <w:p>
      <w:pPr>
        <w:pStyle w:val="11"/>
        <w:tabs>
          <w:tab w:val="left" w:pos="5580"/>
        </w:tabs>
        <w:spacing w:line="240" w:lineRule="atLeast"/>
        <w:ind w:left="1314" w:leftChars="369" w:hanging="540"/>
        <w:rPr>
          <w:rFonts w:ascii="仿宋" w:hAnsi="仿宋" w:eastAsia="仿宋" w:cs="仿宋"/>
          <w:color w:val="auto"/>
          <w:sz w:val="24"/>
          <w:highlight w:val="none"/>
        </w:rPr>
      </w:pPr>
    </w:p>
    <w:p>
      <w:pPr>
        <w:pStyle w:val="6"/>
        <w:spacing w:before="0" w:line="240" w:lineRule="atLeast"/>
        <w:rPr>
          <w:rFonts w:ascii="仿宋" w:hAnsi="仿宋" w:eastAsia="仿宋" w:cs="仿宋"/>
          <w:color w:val="auto"/>
          <w:highlight w:val="none"/>
          <w:u w:val="none"/>
        </w:rPr>
      </w:pPr>
      <w:r>
        <w:rPr>
          <w:rFonts w:hint="eastAsia" w:ascii="仿宋" w:hAnsi="仿宋" w:eastAsia="仿宋" w:cs="仿宋"/>
          <w:color w:val="auto"/>
          <w:highlight w:val="none"/>
        </w:rPr>
        <w:br w:type="page"/>
      </w:r>
      <w:bookmarkStart w:id="308" w:name="_Toc60830321"/>
      <w:r>
        <w:rPr>
          <w:rFonts w:hint="eastAsia" w:ascii="仿宋" w:hAnsi="仿宋" w:eastAsia="仿宋" w:cs="仿宋"/>
          <w:color w:val="auto"/>
          <w:highlight w:val="none"/>
          <w:u w:val="none"/>
        </w:rPr>
        <w:t>7  投标人资格要求的特定资格条件</w:t>
      </w:r>
    </w:p>
    <w:p>
      <w:pPr>
        <w:rPr>
          <w:rFonts w:ascii="仿宋" w:hAnsi="仿宋" w:eastAsia="仿宋" w:cs="仿宋"/>
          <w:color w:val="auto"/>
          <w:highlight w:val="none"/>
        </w:rPr>
      </w:pPr>
    </w:p>
    <w:p>
      <w:pPr>
        <w:keepNext/>
        <w:keepLines/>
        <w:autoSpaceDE w:val="0"/>
        <w:autoSpaceDN w:val="0"/>
        <w:adjustRightInd w:val="0"/>
        <w:spacing w:line="240" w:lineRule="atLeast"/>
        <w:ind w:left="420" w:leftChars="200"/>
        <w:rPr>
          <w:rFonts w:ascii="仿宋" w:hAnsi="仿宋" w:eastAsia="仿宋" w:cs="仿宋"/>
          <w:b/>
          <w:color w:val="auto"/>
          <w:kern w:val="0"/>
          <w:szCs w:val="16"/>
          <w:highlight w:val="none"/>
        </w:rPr>
      </w:pPr>
      <w:r>
        <w:rPr>
          <w:rFonts w:hint="eastAsia" w:ascii="仿宋" w:hAnsi="仿宋" w:eastAsia="仿宋" w:cs="仿宋"/>
          <w:b/>
          <w:color w:val="auto"/>
          <w:kern w:val="0"/>
          <w:szCs w:val="16"/>
          <w:highlight w:val="none"/>
        </w:rPr>
        <w:t>根据投标人资格要求中其他资格条件要求提供相关证明材料。</w:t>
      </w:r>
    </w:p>
    <w:p>
      <w:pPr>
        <w:pStyle w:val="9"/>
        <w:rPr>
          <w:rFonts w:ascii="仿宋" w:hAnsi="仿宋" w:eastAsia="仿宋" w:cs="仿宋"/>
          <w:b/>
          <w:color w:val="auto"/>
          <w:kern w:val="0"/>
          <w:szCs w:val="21"/>
          <w:highlight w:val="none"/>
        </w:rPr>
      </w:pPr>
    </w:p>
    <w:bookmarkEnd w:id="308"/>
    <w:p>
      <w:pPr>
        <w:pStyle w:val="11"/>
        <w:tabs>
          <w:tab w:val="left" w:pos="5580"/>
        </w:tabs>
        <w:spacing w:line="240" w:lineRule="atLeast"/>
        <w:ind w:left="1260" w:leftChars="344" w:hanging="538"/>
        <w:rPr>
          <w:rFonts w:ascii="仿宋" w:hAnsi="仿宋" w:eastAsia="仿宋" w:cs="仿宋"/>
          <w:color w:val="auto"/>
          <w:sz w:val="24"/>
          <w:highlight w:val="none"/>
        </w:rPr>
      </w:pPr>
    </w:p>
    <w:p>
      <w:pPr>
        <w:pStyle w:val="11"/>
        <w:tabs>
          <w:tab w:val="left" w:pos="5580"/>
        </w:tabs>
        <w:spacing w:line="240" w:lineRule="atLeast"/>
        <w:ind w:left="1260" w:leftChars="344" w:hanging="538"/>
        <w:rPr>
          <w:rFonts w:ascii="仿宋" w:hAnsi="仿宋" w:eastAsia="仿宋" w:cs="仿宋"/>
          <w:color w:val="auto"/>
          <w:sz w:val="24"/>
          <w:highlight w:val="none"/>
        </w:rPr>
      </w:pPr>
    </w:p>
    <w:p>
      <w:pPr>
        <w:pStyle w:val="11"/>
        <w:tabs>
          <w:tab w:val="left" w:pos="5580"/>
        </w:tabs>
        <w:spacing w:line="240" w:lineRule="atLeast"/>
        <w:ind w:left="1260" w:leftChars="344" w:hanging="538"/>
        <w:rPr>
          <w:rFonts w:ascii="仿宋" w:hAnsi="仿宋" w:eastAsia="仿宋" w:cs="仿宋"/>
          <w:color w:val="auto"/>
          <w:sz w:val="24"/>
          <w:highlight w:val="none"/>
        </w:rPr>
      </w:pPr>
    </w:p>
    <w:p>
      <w:pPr>
        <w:pStyle w:val="6"/>
        <w:spacing w:before="0" w:line="240" w:lineRule="atLeast"/>
        <w:rPr>
          <w:rFonts w:ascii="仿宋" w:hAnsi="仿宋" w:eastAsia="仿宋" w:cs="仿宋"/>
          <w:color w:val="auto"/>
          <w:highlight w:val="none"/>
          <w:u w:val="none"/>
        </w:rPr>
      </w:pPr>
      <w:bookmarkStart w:id="309" w:name="_Toc60830324"/>
      <w:bookmarkStart w:id="310" w:name="_Toc2582318"/>
      <w:bookmarkStart w:id="311" w:name="_Toc515647814"/>
      <w:bookmarkStart w:id="312" w:name="_Toc23044"/>
      <w:bookmarkStart w:id="313" w:name="_Toc2502"/>
      <w:bookmarkStart w:id="314" w:name="_Toc532473503"/>
      <w:bookmarkStart w:id="315" w:name="_Toc507399527"/>
      <w:r>
        <w:rPr>
          <w:rFonts w:hint="eastAsia" w:ascii="仿宋" w:hAnsi="仿宋" w:eastAsia="仿宋" w:cs="仿宋"/>
          <w:color w:val="auto"/>
          <w:highlight w:val="none"/>
          <w:u w:val="none"/>
        </w:rPr>
        <w:t>8  进口产品制造厂家的授权书</w:t>
      </w:r>
      <w:bookmarkEnd w:id="309"/>
      <w:bookmarkEnd w:id="310"/>
      <w:r>
        <w:rPr>
          <w:rFonts w:hint="eastAsia" w:ascii="仿宋" w:hAnsi="仿宋" w:eastAsia="仿宋" w:cs="仿宋"/>
          <w:color w:val="auto"/>
          <w:highlight w:val="none"/>
          <w:u w:val="none"/>
        </w:rPr>
        <w:t>　</w:t>
      </w:r>
    </w:p>
    <w:p>
      <w:pPr>
        <w:tabs>
          <w:tab w:val="left" w:pos="5580"/>
        </w:tabs>
        <w:spacing w:line="360" w:lineRule="auto"/>
        <w:jc w:val="center"/>
        <w:rPr>
          <w:rFonts w:ascii="仿宋" w:hAnsi="仿宋" w:eastAsia="仿宋" w:cs="仿宋"/>
          <w:color w:val="auto"/>
          <w:kern w:val="0"/>
          <w:sz w:val="24"/>
          <w:szCs w:val="20"/>
          <w:highlight w:val="none"/>
        </w:rPr>
      </w:pPr>
      <w:r>
        <w:rPr>
          <w:rFonts w:hint="eastAsia" w:ascii="仿宋" w:hAnsi="仿宋" w:eastAsia="仿宋" w:cs="仿宋"/>
          <w:b/>
          <w:color w:val="auto"/>
          <w:kern w:val="0"/>
          <w:sz w:val="24"/>
          <w:szCs w:val="20"/>
          <w:highlight w:val="none"/>
        </w:rPr>
        <w:t xml:space="preserve">     授权书</w:t>
      </w:r>
      <w:r>
        <w:rPr>
          <w:rFonts w:hint="eastAsia" w:ascii="仿宋" w:hAnsi="仿宋" w:eastAsia="仿宋" w:cs="仿宋"/>
          <w:color w:val="auto"/>
          <w:kern w:val="0"/>
          <w:sz w:val="24"/>
          <w:szCs w:val="20"/>
          <w:highlight w:val="none"/>
        </w:rPr>
        <w:t>（如需要，格式自拟）</w:t>
      </w:r>
      <w:bookmarkEnd w:id="311"/>
      <w:bookmarkEnd w:id="312"/>
      <w:bookmarkEnd w:id="313"/>
      <w:bookmarkEnd w:id="314"/>
    </w:p>
    <w:p>
      <w:pPr>
        <w:tabs>
          <w:tab w:val="left" w:pos="5580"/>
        </w:tabs>
        <w:spacing w:line="360" w:lineRule="auto"/>
        <w:ind w:left="1079" w:leftChars="257" w:hanging="540"/>
        <w:rPr>
          <w:rFonts w:ascii="仿宋" w:hAnsi="仿宋" w:eastAsia="仿宋" w:cs="仿宋"/>
          <w:color w:val="auto"/>
          <w:szCs w:val="21"/>
          <w:highlight w:val="none"/>
        </w:rPr>
      </w:pPr>
    </w:p>
    <w:p>
      <w:pPr>
        <w:tabs>
          <w:tab w:val="left" w:pos="5580"/>
        </w:tabs>
        <w:spacing w:line="360" w:lineRule="auto"/>
        <w:ind w:left="1079" w:leftChars="257" w:hanging="540"/>
        <w:rPr>
          <w:rFonts w:ascii="仿宋" w:hAnsi="仿宋" w:eastAsia="仿宋" w:cs="仿宋"/>
          <w:color w:val="auto"/>
          <w:szCs w:val="21"/>
          <w:highlight w:val="none"/>
        </w:rPr>
      </w:pPr>
    </w:p>
    <w:p>
      <w:pPr>
        <w:tabs>
          <w:tab w:val="left" w:pos="5580"/>
        </w:tabs>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致：</w:t>
      </w:r>
      <w:r>
        <w:rPr>
          <w:rFonts w:hint="eastAsia" w:ascii="仿宋" w:hAnsi="仿宋" w:eastAsia="仿宋" w:cs="仿宋"/>
          <w:color w:val="auto"/>
          <w:szCs w:val="21"/>
          <w:highlight w:val="none"/>
          <w:u w:val="single"/>
        </w:rPr>
        <w:t xml:space="preserve"> 江苏伟业项目管理有限公司</w:t>
      </w:r>
    </w:p>
    <w:p>
      <w:pPr>
        <w:tabs>
          <w:tab w:val="left" w:pos="5580"/>
        </w:tabs>
        <w:spacing w:line="360" w:lineRule="auto"/>
        <w:rPr>
          <w:rFonts w:ascii="仿宋" w:hAnsi="仿宋" w:eastAsia="仿宋" w:cs="仿宋"/>
          <w:color w:val="auto"/>
          <w:szCs w:val="21"/>
          <w:highlight w:val="none"/>
        </w:rPr>
      </w:pPr>
    </w:p>
    <w:p>
      <w:pPr>
        <w:pStyle w:val="11"/>
        <w:tabs>
          <w:tab w:val="left" w:pos="5580"/>
        </w:tabs>
        <w:spacing w:line="360" w:lineRule="auto"/>
        <w:ind w:firstLine="472" w:firstLineChars="225"/>
        <w:rPr>
          <w:rFonts w:ascii="仿宋" w:hAnsi="仿宋" w:eastAsia="仿宋" w:cs="仿宋"/>
          <w:color w:val="auto"/>
          <w:szCs w:val="21"/>
          <w:highlight w:val="none"/>
        </w:rPr>
      </w:pPr>
      <w:r>
        <w:rPr>
          <w:rFonts w:hint="eastAsia" w:ascii="仿宋" w:hAnsi="仿宋" w:eastAsia="仿宋" w:cs="仿宋"/>
          <w:color w:val="auto"/>
          <w:szCs w:val="21"/>
          <w:highlight w:val="none"/>
        </w:rPr>
        <w:t>本授权书应包括但不限于以下内容：制造商的名称、所在国家和地区、经营地址；被授权人名称、经营地址；被授权设备名称、型号和事项，授权期限及制造商和被授权人签字或盖公章等。</w:t>
      </w:r>
    </w:p>
    <w:p>
      <w:pPr>
        <w:tabs>
          <w:tab w:val="left" w:pos="5580"/>
        </w:tabs>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w:t>
      </w:r>
    </w:p>
    <w:p>
      <w:pPr>
        <w:tabs>
          <w:tab w:val="left" w:pos="5580"/>
        </w:tabs>
        <w:spacing w:line="360" w:lineRule="auto"/>
        <w:rPr>
          <w:rFonts w:ascii="仿宋" w:hAnsi="仿宋" w:eastAsia="仿宋" w:cs="仿宋"/>
          <w:color w:val="auto"/>
          <w:szCs w:val="21"/>
          <w:highlight w:val="none"/>
        </w:rPr>
      </w:pPr>
    </w:p>
    <w:p>
      <w:pPr>
        <w:tabs>
          <w:tab w:val="left" w:pos="5580"/>
        </w:tabs>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注：1.仅限于招标文件第四章已将进口产品制造商授权作为资格条件</w:t>
      </w:r>
    </w:p>
    <w:p>
      <w:pPr>
        <w:tabs>
          <w:tab w:val="left" w:pos="5580"/>
        </w:tabs>
        <w:spacing w:line="360" w:lineRule="auto"/>
        <w:ind w:firstLine="420" w:firstLineChars="20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2.投标人需提供自设备制造商至投标人之间的完整授权，若存在多级授权的需提供有效期内的各级授权材料或者说明文件，如：投标人提供进口产品设备制造商的总代理、区域代理或者全资子公司等出具的授权时，需同时提供进口产品设备制造商给总代理、区域代理或者全资子公司等授权方出具的有效期内的授权材料或者说明文件。若授权链中有长期授权或者说明的可提供长期授权证明材料。</w:t>
      </w:r>
    </w:p>
    <w:p>
      <w:pPr>
        <w:tabs>
          <w:tab w:val="left" w:pos="5580"/>
        </w:tabs>
        <w:spacing w:line="360" w:lineRule="auto"/>
        <w:ind w:firstLine="420" w:firstLineChars="200"/>
        <w:rPr>
          <w:rFonts w:ascii="仿宋" w:hAnsi="仿宋" w:eastAsia="仿宋" w:cs="仿宋"/>
          <w:b/>
          <w:bCs/>
          <w:color w:val="auto"/>
          <w:highlight w:val="none"/>
        </w:rPr>
      </w:pPr>
      <w:r>
        <w:rPr>
          <w:rFonts w:hint="eastAsia" w:ascii="仿宋" w:hAnsi="仿宋" w:eastAsia="仿宋" w:cs="仿宋"/>
          <w:b/>
          <w:bCs/>
          <w:color w:val="auto"/>
          <w:szCs w:val="21"/>
          <w:highlight w:val="none"/>
        </w:rPr>
        <w:t>3.如果提供的授权书为外文版本须提供对应的中文翻译，不提供中文版本的可能导致其投标被拒绝。</w:t>
      </w:r>
    </w:p>
    <w:bookmarkEnd w:id="315"/>
    <w:p>
      <w:pPr>
        <w:pStyle w:val="11"/>
        <w:tabs>
          <w:tab w:val="left" w:pos="5580"/>
        </w:tabs>
        <w:ind w:left="1079" w:leftChars="257" w:hanging="540"/>
        <w:jc w:val="center"/>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11"/>
        <w:tabs>
          <w:tab w:val="left" w:pos="5580"/>
        </w:tabs>
        <w:ind w:left="1079" w:leftChars="257" w:hanging="540"/>
        <w:jc w:val="center"/>
        <w:rPr>
          <w:rFonts w:ascii="仿宋" w:hAnsi="仿宋" w:eastAsia="仿宋" w:cs="仿宋"/>
          <w:color w:val="auto"/>
          <w:sz w:val="24"/>
          <w:highlight w:val="none"/>
        </w:rPr>
      </w:pPr>
    </w:p>
    <w:p>
      <w:pPr>
        <w:pStyle w:val="4"/>
        <w:spacing w:before="0" w:line="240" w:lineRule="atLeast"/>
        <w:ind w:left="1079" w:leftChars="257" w:hanging="540"/>
        <w:rPr>
          <w:rFonts w:ascii="仿宋" w:hAnsi="仿宋" w:eastAsia="仿宋" w:cs="仿宋"/>
          <w:color w:val="auto"/>
          <w:sz w:val="24"/>
          <w:highlight w:val="none"/>
        </w:rPr>
      </w:pPr>
      <w:bookmarkStart w:id="316" w:name="_Toc11048"/>
      <w:bookmarkStart w:id="317" w:name="_Toc60830325"/>
      <w:r>
        <w:rPr>
          <w:rFonts w:hint="eastAsia" w:ascii="仿宋" w:hAnsi="仿宋" w:eastAsia="仿宋" w:cs="仿宋"/>
          <w:color w:val="auto"/>
          <w:sz w:val="24"/>
          <w:highlight w:val="none"/>
        </w:rPr>
        <w:t>第二部分  商务及技术文件</w:t>
      </w:r>
      <w:bookmarkEnd w:id="316"/>
      <w:bookmarkEnd w:id="317"/>
    </w:p>
    <w:p>
      <w:pPr>
        <w:pStyle w:val="11"/>
        <w:tabs>
          <w:tab w:val="left" w:pos="5580"/>
        </w:tabs>
        <w:ind w:left="1079" w:leftChars="257" w:hanging="540"/>
        <w:jc w:val="center"/>
        <w:rPr>
          <w:rFonts w:ascii="仿宋" w:hAnsi="仿宋" w:eastAsia="仿宋" w:cs="仿宋"/>
          <w:color w:val="auto"/>
          <w:sz w:val="24"/>
          <w:highlight w:val="none"/>
        </w:rPr>
      </w:pPr>
    </w:p>
    <w:p>
      <w:pPr>
        <w:pStyle w:val="11"/>
        <w:tabs>
          <w:tab w:val="left" w:pos="5580"/>
        </w:tabs>
        <w:ind w:left="1079" w:leftChars="257" w:hanging="540"/>
        <w:jc w:val="center"/>
        <w:rPr>
          <w:rFonts w:ascii="仿宋" w:hAnsi="仿宋" w:eastAsia="仿宋" w:cs="仿宋"/>
          <w:color w:val="auto"/>
          <w:sz w:val="24"/>
          <w:highlight w:val="none"/>
        </w:rPr>
      </w:pPr>
    </w:p>
    <w:p>
      <w:pPr>
        <w:pStyle w:val="11"/>
        <w:spacing w:line="360" w:lineRule="auto"/>
        <w:ind w:left="1079"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1、投标书</w:t>
      </w:r>
    </w:p>
    <w:p>
      <w:pPr>
        <w:pStyle w:val="11"/>
        <w:spacing w:line="360" w:lineRule="auto"/>
        <w:ind w:left="1079"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2、投标分项报价表</w:t>
      </w:r>
    </w:p>
    <w:p>
      <w:pPr>
        <w:pStyle w:val="11"/>
        <w:spacing w:line="360" w:lineRule="auto"/>
        <w:ind w:left="1079"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3、货物及伴随服务和工程说明一览表</w:t>
      </w:r>
    </w:p>
    <w:p>
      <w:pPr>
        <w:pStyle w:val="11"/>
        <w:spacing w:line="360" w:lineRule="auto"/>
        <w:ind w:left="1079"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4、技术规格偏离表</w:t>
      </w:r>
    </w:p>
    <w:p>
      <w:pPr>
        <w:pStyle w:val="11"/>
        <w:spacing w:line="360" w:lineRule="auto"/>
        <w:ind w:left="1079"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5、商务条款偏离表</w:t>
      </w:r>
    </w:p>
    <w:p>
      <w:pPr>
        <w:pStyle w:val="11"/>
        <w:spacing w:line="360" w:lineRule="auto"/>
        <w:ind w:left="1079"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6、缴纳招标代理费承诺书</w:t>
      </w:r>
    </w:p>
    <w:p>
      <w:pPr>
        <w:pStyle w:val="11"/>
        <w:spacing w:line="360" w:lineRule="auto"/>
        <w:ind w:left="310" w:leftChars="148" w:firstLine="228"/>
        <w:rPr>
          <w:rFonts w:ascii="仿宋" w:hAnsi="仿宋" w:eastAsia="仿宋" w:cs="仿宋"/>
          <w:color w:val="auto"/>
          <w:szCs w:val="21"/>
          <w:highlight w:val="none"/>
        </w:rPr>
      </w:pPr>
      <w:r>
        <w:rPr>
          <w:rFonts w:hint="eastAsia" w:ascii="仿宋" w:hAnsi="仿宋" w:eastAsia="仿宋" w:cs="仿宋"/>
          <w:color w:val="auto"/>
          <w:szCs w:val="21"/>
          <w:highlight w:val="none"/>
        </w:rPr>
        <w:t>7、符合《政府采购促进中小企业发展管理办法》、《关于政府采购支持监狱企业发展有关问题的通知》和《三部门联合发布关于促进残疾人就业政府采购政策的通知》价格扣减条件的投标人须提交</w:t>
      </w:r>
    </w:p>
    <w:p>
      <w:pPr>
        <w:pStyle w:val="11"/>
        <w:spacing w:line="360" w:lineRule="auto"/>
        <w:ind w:left="310" w:leftChars="148" w:firstLine="228"/>
        <w:rPr>
          <w:rFonts w:ascii="仿宋" w:hAnsi="仿宋" w:eastAsia="仿宋" w:cs="仿宋"/>
          <w:color w:val="auto"/>
          <w:szCs w:val="21"/>
          <w:highlight w:val="none"/>
        </w:rPr>
      </w:pPr>
      <w:r>
        <w:rPr>
          <w:rFonts w:hint="eastAsia" w:ascii="仿宋" w:hAnsi="仿宋" w:eastAsia="仿宋" w:cs="仿宋"/>
          <w:color w:val="auto"/>
          <w:szCs w:val="21"/>
          <w:highlight w:val="none"/>
        </w:rPr>
        <w:t>7-1《中小企业声明函》</w:t>
      </w:r>
    </w:p>
    <w:p>
      <w:pPr>
        <w:pStyle w:val="11"/>
        <w:spacing w:line="360" w:lineRule="auto"/>
        <w:ind w:left="310" w:leftChars="148" w:firstLine="228"/>
        <w:rPr>
          <w:rFonts w:ascii="仿宋" w:hAnsi="仿宋" w:eastAsia="仿宋" w:cs="仿宋"/>
          <w:color w:val="auto"/>
          <w:szCs w:val="21"/>
          <w:highlight w:val="none"/>
        </w:rPr>
      </w:pPr>
      <w:r>
        <w:rPr>
          <w:rFonts w:hint="eastAsia" w:ascii="仿宋" w:hAnsi="仿宋" w:eastAsia="仿宋" w:cs="仿宋"/>
          <w:color w:val="auto"/>
          <w:szCs w:val="21"/>
          <w:highlight w:val="none"/>
        </w:rPr>
        <w:t>7-2《投标人监狱企业声明函》</w:t>
      </w:r>
    </w:p>
    <w:p>
      <w:pPr>
        <w:pStyle w:val="11"/>
        <w:spacing w:line="360" w:lineRule="auto"/>
        <w:ind w:left="310" w:leftChars="148" w:firstLine="228"/>
        <w:rPr>
          <w:rFonts w:ascii="仿宋" w:hAnsi="仿宋" w:eastAsia="仿宋" w:cs="仿宋"/>
          <w:color w:val="auto"/>
          <w:szCs w:val="21"/>
          <w:highlight w:val="none"/>
        </w:rPr>
      </w:pPr>
      <w:r>
        <w:rPr>
          <w:rFonts w:hint="eastAsia" w:ascii="仿宋" w:hAnsi="仿宋" w:eastAsia="仿宋" w:cs="仿宋"/>
          <w:color w:val="auto"/>
          <w:szCs w:val="21"/>
          <w:highlight w:val="none"/>
        </w:rPr>
        <w:t>7-3《残疾人福利性单位声明函》</w:t>
      </w:r>
    </w:p>
    <w:p>
      <w:pPr>
        <w:pStyle w:val="11"/>
        <w:spacing w:line="360" w:lineRule="auto"/>
        <w:ind w:left="310" w:leftChars="148" w:firstLine="228"/>
        <w:rPr>
          <w:rFonts w:ascii="仿宋" w:hAnsi="仿宋" w:eastAsia="仿宋" w:cs="仿宋"/>
          <w:color w:val="auto"/>
          <w:szCs w:val="21"/>
          <w:highlight w:val="none"/>
        </w:rPr>
      </w:pPr>
      <w:r>
        <w:rPr>
          <w:rFonts w:hint="eastAsia" w:ascii="仿宋" w:hAnsi="仿宋" w:eastAsia="仿宋" w:cs="仿宋"/>
          <w:b/>
          <w:bCs/>
          <w:color w:val="auto"/>
          <w:szCs w:val="21"/>
          <w:highlight w:val="none"/>
        </w:rPr>
        <w:t>其他用于价格扣减条件的相关文件（如有，如不属于资格条件的联合体协议或者分包意向协议等，格式自拟）</w:t>
      </w:r>
    </w:p>
    <w:p>
      <w:pPr>
        <w:pStyle w:val="11"/>
        <w:spacing w:line="360" w:lineRule="auto"/>
        <w:ind w:left="1079"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8、投标人商务符合性承诺函</w:t>
      </w:r>
    </w:p>
    <w:p>
      <w:pPr>
        <w:pStyle w:val="11"/>
        <w:spacing w:line="360" w:lineRule="auto"/>
        <w:ind w:left="1079"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9、投标保证金缴纳凭证复印件或投标担保函；</w:t>
      </w:r>
    </w:p>
    <w:p>
      <w:pPr>
        <w:pStyle w:val="11"/>
        <w:spacing w:line="360" w:lineRule="auto"/>
        <w:ind w:left="1079"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9-1  政府采购投标担保函</w:t>
      </w:r>
    </w:p>
    <w:p>
      <w:pPr>
        <w:pStyle w:val="11"/>
        <w:spacing w:line="360" w:lineRule="auto"/>
        <w:ind w:left="1079"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9-2  保证金利息声明函</w:t>
      </w:r>
    </w:p>
    <w:p>
      <w:pPr>
        <w:pStyle w:val="11"/>
        <w:spacing w:line="360" w:lineRule="auto"/>
        <w:ind w:left="1079"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10、评审所需要的其他商务文件</w:t>
      </w:r>
    </w:p>
    <w:p>
      <w:pPr>
        <w:pStyle w:val="11"/>
        <w:spacing w:line="360" w:lineRule="auto"/>
        <w:ind w:left="1079"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11、投标文件还应包括投标人须知第10条的所有技术文件</w:t>
      </w:r>
    </w:p>
    <w:p>
      <w:pPr>
        <w:pStyle w:val="11"/>
        <w:spacing w:line="360" w:lineRule="auto"/>
        <w:ind w:left="1079"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12、</w:t>
      </w:r>
      <w:r>
        <w:rPr>
          <w:rFonts w:hint="eastAsia" w:ascii="仿宋" w:hAnsi="仿宋" w:eastAsia="仿宋" w:cs="仿宋"/>
          <w:color w:val="auto"/>
          <w:szCs w:val="21"/>
          <w:highlight w:val="none"/>
          <w:u w:val="single"/>
        </w:rPr>
        <w:t>投标须知前附表</w:t>
      </w:r>
      <w:r>
        <w:rPr>
          <w:rFonts w:hint="eastAsia" w:ascii="仿宋" w:hAnsi="仿宋" w:eastAsia="仿宋" w:cs="仿宋"/>
          <w:color w:val="auto"/>
          <w:szCs w:val="21"/>
          <w:highlight w:val="none"/>
        </w:rPr>
        <w:t>要求的其他文件</w:t>
      </w:r>
    </w:p>
    <w:p>
      <w:pPr>
        <w:pStyle w:val="11"/>
        <w:tabs>
          <w:tab w:val="left" w:pos="5580"/>
        </w:tabs>
        <w:spacing w:line="240" w:lineRule="atLeast"/>
        <w:ind w:left="1079"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6"/>
        <w:spacing w:before="0" w:line="360" w:lineRule="auto"/>
        <w:jc w:val="center"/>
        <w:rPr>
          <w:rFonts w:ascii="仿宋" w:hAnsi="仿宋" w:eastAsia="仿宋" w:cs="仿宋"/>
          <w:color w:val="auto"/>
          <w:highlight w:val="none"/>
          <w:u w:val="none"/>
        </w:rPr>
      </w:pPr>
      <w:bookmarkStart w:id="318" w:name="_Toc60830326"/>
      <w:r>
        <w:rPr>
          <w:rFonts w:hint="eastAsia" w:ascii="仿宋" w:hAnsi="仿宋" w:eastAsia="仿宋" w:cs="仿宋"/>
          <w:color w:val="auto"/>
          <w:highlight w:val="none"/>
          <w:u w:val="none"/>
        </w:rPr>
        <w:t>1</w:t>
      </w:r>
      <w:bookmarkStart w:id="319" w:name="_Hlt520355504"/>
      <w:bookmarkEnd w:id="319"/>
      <w:r>
        <w:rPr>
          <w:rFonts w:hint="eastAsia" w:ascii="仿宋" w:hAnsi="仿宋" w:eastAsia="仿宋" w:cs="仿宋"/>
          <w:color w:val="auto"/>
          <w:highlight w:val="none"/>
          <w:u w:val="none"/>
        </w:rPr>
        <w:t xml:space="preserve">  投标</w:t>
      </w:r>
      <w:bookmarkEnd w:id="295"/>
      <w:bookmarkEnd w:id="296"/>
      <w:r>
        <w:rPr>
          <w:rFonts w:hint="eastAsia" w:ascii="仿宋" w:hAnsi="仿宋" w:eastAsia="仿宋" w:cs="仿宋"/>
          <w:color w:val="auto"/>
          <w:highlight w:val="none"/>
          <w:u w:val="none"/>
        </w:rPr>
        <w:t>书</w:t>
      </w:r>
      <w:bookmarkEnd w:id="297"/>
      <w:bookmarkEnd w:id="298"/>
      <w:bookmarkEnd w:id="318"/>
    </w:p>
    <w:p>
      <w:pPr>
        <w:tabs>
          <w:tab w:val="left" w:pos="5580"/>
        </w:tabs>
        <w:spacing w:line="240" w:lineRule="atLeast"/>
        <w:ind w:left="1079" w:leftChars="257" w:hanging="540"/>
        <w:rPr>
          <w:rFonts w:ascii="仿宋" w:hAnsi="仿宋" w:eastAsia="仿宋" w:cs="仿宋"/>
          <w:color w:val="auto"/>
          <w:szCs w:val="21"/>
          <w:highlight w:val="none"/>
        </w:rPr>
      </w:pPr>
    </w:p>
    <w:p>
      <w:pPr>
        <w:tabs>
          <w:tab w:val="left" w:pos="5580"/>
        </w:tabs>
        <w:spacing w:line="240" w:lineRule="atLeast"/>
        <w:ind w:left="1080" w:hanging="1080"/>
        <w:rPr>
          <w:rFonts w:ascii="仿宋" w:hAnsi="仿宋" w:eastAsia="仿宋" w:cs="仿宋"/>
          <w:color w:val="auto"/>
          <w:szCs w:val="21"/>
          <w:highlight w:val="none"/>
        </w:rPr>
      </w:pPr>
      <w:r>
        <w:rPr>
          <w:rFonts w:hint="eastAsia" w:ascii="仿宋" w:hAnsi="仿宋" w:eastAsia="仿宋" w:cs="仿宋"/>
          <w:color w:val="auto"/>
          <w:szCs w:val="21"/>
          <w:highlight w:val="none"/>
        </w:rPr>
        <w:t>致：</w:t>
      </w:r>
      <w:r>
        <w:rPr>
          <w:rFonts w:hint="eastAsia" w:ascii="仿宋" w:hAnsi="仿宋" w:eastAsia="仿宋" w:cs="仿宋"/>
          <w:color w:val="auto"/>
          <w:szCs w:val="21"/>
          <w:highlight w:val="none"/>
          <w:u w:val="single"/>
        </w:rPr>
        <w:t>江苏伟业项目管理有限公司</w:t>
      </w:r>
    </w:p>
    <w:p>
      <w:pPr>
        <w:pStyle w:val="11"/>
        <w:tabs>
          <w:tab w:val="left" w:pos="5580"/>
        </w:tabs>
        <w:spacing w:line="240" w:lineRule="atLeast"/>
        <w:ind w:left="1079" w:leftChars="257" w:hanging="540"/>
        <w:rPr>
          <w:rFonts w:ascii="仿宋" w:hAnsi="仿宋" w:eastAsia="仿宋" w:cs="仿宋"/>
          <w:color w:val="auto"/>
          <w:szCs w:val="21"/>
          <w:highlight w:val="none"/>
        </w:rPr>
      </w:pPr>
    </w:p>
    <w:p>
      <w:pPr>
        <w:pStyle w:val="11"/>
        <w:tabs>
          <w:tab w:val="left" w:pos="5580"/>
        </w:tabs>
        <w:spacing w:line="360" w:lineRule="auto"/>
        <w:ind w:left="2" w:leftChars="1"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根据贵方为(</w:t>
      </w:r>
      <w:r>
        <w:rPr>
          <w:rFonts w:hint="eastAsia" w:ascii="仿宋" w:hAnsi="仿宋" w:eastAsia="仿宋" w:cs="仿宋"/>
          <w:i/>
          <w:color w:val="auto"/>
          <w:szCs w:val="21"/>
          <w:highlight w:val="none"/>
          <w:u w:val="single"/>
        </w:rPr>
        <w:t>项目名称</w:t>
      </w:r>
      <w:r>
        <w:rPr>
          <w:rFonts w:hint="eastAsia" w:ascii="仿宋" w:hAnsi="仿宋" w:eastAsia="仿宋" w:cs="仿宋"/>
          <w:color w:val="auto"/>
          <w:szCs w:val="21"/>
          <w:highlight w:val="none"/>
        </w:rPr>
        <w:t>)项目的投标邀请(</w:t>
      </w:r>
      <w:r>
        <w:rPr>
          <w:rFonts w:hint="eastAsia" w:ascii="仿宋" w:hAnsi="仿宋" w:eastAsia="仿宋" w:cs="仿宋"/>
          <w:i/>
          <w:color w:val="auto"/>
          <w:szCs w:val="21"/>
          <w:highlight w:val="none"/>
          <w:u w:val="single"/>
        </w:rPr>
        <w:t>项目编号</w:t>
      </w:r>
      <w:r>
        <w:rPr>
          <w:rFonts w:hint="eastAsia" w:ascii="仿宋" w:hAnsi="仿宋" w:eastAsia="仿宋" w:cs="仿宋"/>
          <w:color w:val="auto"/>
          <w:szCs w:val="21"/>
          <w:highlight w:val="none"/>
        </w:rPr>
        <w:t>),签字代表(</w:t>
      </w:r>
      <w:r>
        <w:rPr>
          <w:rFonts w:hint="eastAsia" w:ascii="仿宋" w:hAnsi="仿宋" w:eastAsia="仿宋" w:cs="仿宋"/>
          <w:i/>
          <w:color w:val="auto"/>
          <w:szCs w:val="21"/>
          <w:highlight w:val="none"/>
          <w:u w:val="single"/>
        </w:rPr>
        <w:t>姓名、职务</w:t>
      </w:r>
      <w:r>
        <w:rPr>
          <w:rFonts w:hint="eastAsia" w:ascii="仿宋" w:hAnsi="仿宋" w:eastAsia="仿宋" w:cs="仿宋"/>
          <w:color w:val="auto"/>
          <w:szCs w:val="21"/>
          <w:highlight w:val="none"/>
        </w:rPr>
        <w:t>)经正式授权并代表投标人（</w:t>
      </w:r>
      <w:r>
        <w:rPr>
          <w:rFonts w:hint="eastAsia" w:ascii="仿宋" w:hAnsi="仿宋" w:eastAsia="仿宋" w:cs="仿宋"/>
          <w:i/>
          <w:color w:val="auto"/>
          <w:szCs w:val="21"/>
          <w:highlight w:val="none"/>
          <w:u w:val="single"/>
        </w:rPr>
        <w:t>投标人名称、地址</w:t>
      </w:r>
      <w:r>
        <w:rPr>
          <w:rFonts w:hint="eastAsia" w:ascii="仿宋" w:hAnsi="仿宋" w:eastAsia="仿宋" w:cs="仿宋"/>
          <w:color w:val="auto"/>
          <w:szCs w:val="21"/>
          <w:highlight w:val="none"/>
        </w:rPr>
        <w:t>）提交下述文件正本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份、副本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份及电子文档</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份，以</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形式出具的金额为人民币</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元的投标保证金。</w:t>
      </w:r>
    </w:p>
    <w:p>
      <w:pPr>
        <w:pStyle w:val="11"/>
        <w:tabs>
          <w:tab w:val="left" w:pos="5580"/>
        </w:tabs>
        <w:spacing w:line="360" w:lineRule="auto"/>
        <w:ind w:left="1079"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据此，签字代表宣布同意如下：</w:t>
      </w:r>
    </w:p>
    <w:p>
      <w:pPr>
        <w:pStyle w:val="11"/>
        <w:tabs>
          <w:tab w:val="left" w:pos="5580"/>
        </w:tabs>
        <w:spacing w:line="360" w:lineRule="auto"/>
        <w:ind w:left="1079"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（1）本投标有效期为自投标截止之日起</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个日历日。</w:t>
      </w:r>
    </w:p>
    <w:p>
      <w:pPr>
        <w:pStyle w:val="11"/>
        <w:tabs>
          <w:tab w:val="left" w:pos="5580"/>
        </w:tabs>
        <w:spacing w:line="360" w:lineRule="auto"/>
        <w:ind w:left="1079"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（2）投标人已详细审查全部招标文件，包括所有补充通知（如果有的话）。我们完全理解并同意放弃对这方面有不明、误解的权力。</w:t>
      </w:r>
    </w:p>
    <w:p>
      <w:pPr>
        <w:pStyle w:val="11"/>
        <w:tabs>
          <w:tab w:val="left" w:pos="5580"/>
        </w:tabs>
        <w:spacing w:line="360" w:lineRule="auto"/>
        <w:ind w:left="1079"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（3）根据投标人须知第1条规定，我方承诺，我方不是为本项目提供整体设计、规范编制或者项目管理、监理、检测等服务的供应商，我方不是采购代理机构的附属机构。</w:t>
      </w:r>
    </w:p>
    <w:p>
      <w:pPr>
        <w:pStyle w:val="11"/>
        <w:tabs>
          <w:tab w:val="left" w:pos="5580"/>
        </w:tabs>
        <w:spacing w:line="360" w:lineRule="auto"/>
        <w:ind w:left="1079"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（4）在规定的开标时间后，投标人保证遵守招标文件中有关保证金的规定。</w:t>
      </w:r>
    </w:p>
    <w:p>
      <w:pPr>
        <w:pStyle w:val="11"/>
        <w:tabs>
          <w:tab w:val="left" w:pos="5580"/>
        </w:tabs>
        <w:spacing w:line="360" w:lineRule="auto"/>
        <w:ind w:left="1079"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（5）按照招标文件的规定，在中标后向贵方一次性支付招标代理费。</w:t>
      </w:r>
    </w:p>
    <w:p>
      <w:pPr>
        <w:pStyle w:val="11"/>
        <w:tabs>
          <w:tab w:val="left" w:pos="5580"/>
        </w:tabs>
        <w:spacing w:line="360" w:lineRule="auto"/>
        <w:ind w:left="1079"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（6）投标人同意提供按照贵方可能要求的与其投标有关的一切数据或资料，完全理解贵方不一定接受最低价的投标或收到的任何投标。</w:t>
      </w:r>
    </w:p>
    <w:p>
      <w:pPr>
        <w:pStyle w:val="11"/>
        <w:tabs>
          <w:tab w:val="left" w:pos="5580"/>
        </w:tabs>
        <w:spacing w:line="360" w:lineRule="auto"/>
        <w:ind w:left="1079"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（7）投标人将按招标文件的规定履行合同责任和义务。</w:t>
      </w:r>
    </w:p>
    <w:p>
      <w:pPr>
        <w:pStyle w:val="11"/>
        <w:tabs>
          <w:tab w:val="left" w:pos="5580"/>
        </w:tabs>
        <w:spacing w:line="240" w:lineRule="atLeast"/>
        <w:ind w:left="1079" w:leftChars="257" w:hanging="540"/>
        <w:rPr>
          <w:rFonts w:ascii="仿宋" w:hAnsi="仿宋" w:eastAsia="仿宋" w:cs="仿宋"/>
          <w:color w:val="auto"/>
          <w:szCs w:val="21"/>
          <w:highlight w:val="none"/>
        </w:rPr>
      </w:pPr>
    </w:p>
    <w:p>
      <w:pPr>
        <w:pStyle w:val="11"/>
        <w:tabs>
          <w:tab w:val="left" w:pos="5580"/>
        </w:tabs>
        <w:spacing w:line="360" w:lineRule="auto"/>
        <w:ind w:left="359" w:leftChars="171"/>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与本投标有关的一切正式往来信函请寄：</w:t>
      </w:r>
    </w:p>
    <w:p>
      <w:pPr>
        <w:pStyle w:val="11"/>
        <w:tabs>
          <w:tab w:val="left" w:pos="5580"/>
        </w:tabs>
        <w:spacing w:line="360" w:lineRule="auto"/>
        <w:ind w:left="1078" w:leftChars="257" w:hanging="539"/>
        <w:rPr>
          <w:rFonts w:ascii="仿宋" w:hAnsi="仿宋" w:eastAsia="仿宋" w:cs="仿宋"/>
          <w:color w:val="auto"/>
          <w:szCs w:val="21"/>
          <w:highlight w:val="none"/>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传真：</w:t>
      </w:r>
      <w:r>
        <w:rPr>
          <w:rFonts w:hint="eastAsia" w:ascii="仿宋" w:hAnsi="仿宋" w:eastAsia="仿宋" w:cs="仿宋"/>
          <w:color w:val="auto"/>
          <w:szCs w:val="21"/>
          <w:highlight w:val="none"/>
          <w:u w:val="single"/>
        </w:rPr>
        <w:t xml:space="preserve">                             </w:t>
      </w:r>
    </w:p>
    <w:p>
      <w:pPr>
        <w:pStyle w:val="11"/>
        <w:tabs>
          <w:tab w:val="left" w:pos="5580"/>
        </w:tabs>
        <w:spacing w:line="360" w:lineRule="auto"/>
        <w:ind w:left="1078" w:leftChars="257" w:hanging="539"/>
        <w:rPr>
          <w:rFonts w:ascii="仿宋" w:hAnsi="仿宋" w:eastAsia="仿宋" w:cs="仿宋"/>
          <w:b/>
          <w:color w:val="auto"/>
          <w:szCs w:val="21"/>
          <w:highlight w:val="none"/>
        </w:rPr>
      </w:pPr>
      <w:r>
        <w:rPr>
          <w:rFonts w:hint="eastAsia" w:ascii="仿宋" w:hAnsi="仿宋" w:eastAsia="仿宋" w:cs="仿宋"/>
          <w:color w:val="auto"/>
          <w:szCs w:val="21"/>
          <w:highlight w:val="none"/>
        </w:rPr>
        <w:t>电话：</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电子函件：</w:t>
      </w:r>
      <w:r>
        <w:rPr>
          <w:rFonts w:hint="eastAsia" w:ascii="仿宋" w:hAnsi="仿宋" w:eastAsia="仿宋" w:cs="仿宋"/>
          <w:color w:val="auto"/>
          <w:szCs w:val="21"/>
          <w:highlight w:val="none"/>
          <w:u w:val="single"/>
        </w:rPr>
        <w:t xml:space="preserve">                         </w:t>
      </w:r>
    </w:p>
    <w:p>
      <w:pPr>
        <w:pStyle w:val="11"/>
        <w:tabs>
          <w:tab w:val="left" w:pos="5580"/>
        </w:tabs>
        <w:spacing w:line="360" w:lineRule="auto"/>
        <w:ind w:left="1078" w:leftChars="257" w:hanging="539"/>
        <w:rPr>
          <w:rFonts w:ascii="仿宋" w:hAnsi="仿宋" w:eastAsia="仿宋" w:cs="仿宋"/>
          <w:color w:val="auto"/>
          <w:szCs w:val="21"/>
          <w:highlight w:val="none"/>
        </w:rPr>
      </w:pPr>
    </w:p>
    <w:p>
      <w:pPr>
        <w:pStyle w:val="11"/>
        <w:tabs>
          <w:tab w:val="left" w:pos="5580"/>
        </w:tabs>
        <w:spacing w:line="360" w:lineRule="auto"/>
        <w:ind w:left="1078" w:leftChars="257" w:hanging="539"/>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法定代表人或委托代理人（签字或签章）：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 xml:space="preserve"> </w:t>
      </w:r>
    </w:p>
    <w:p>
      <w:pPr>
        <w:pStyle w:val="11"/>
        <w:tabs>
          <w:tab w:val="left" w:pos="5580"/>
        </w:tabs>
        <w:spacing w:line="360" w:lineRule="auto"/>
        <w:ind w:left="1078" w:leftChars="257" w:hanging="539"/>
        <w:rPr>
          <w:rFonts w:ascii="仿宋" w:hAnsi="仿宋" w:eastAsia="仿宋" w:cs="仿宋"/>
          <w:color w:val="auto"/>
          <w:szCs w:val="21"/>
          <w:highlight w:val="none"/>
        </w:rPr>
      </w:pPr>
      <w:r>
        <w:rPr>
          <w:rFonts w:hint="eastAsia" w:ascii="仿宋" w:hAnsi="仿宋" w:eastAsia="仿宋" w:cs="仿宋"/>
          <w:color w:val="auto"/>
          <w:szCs w:val="21"/>
          <w:highlight w:val="none"/>
        </w:rPr>
        <w:t>投标人名称（盖公章）：</w:t>
      </w:r>
      <w:r>
        <w:rPr>
          <w:rFonts w:hint="eastAsia" w:ascii="仿宋" w:hAnsi="仿宋" w:eastAsia="仿宋" w:cs="仿宋"/>
          <w:color w:val="auto"/>
          <w:szCs w:val="21"/>
          <w:highlight w:val="none"/>
          <w:u w:val="single"/>
        </w:rPr>
        <w:t>　　　　　　            　　 　　</w:t>
      </w:r>
    </w:p>
    <w:p>
      <w:pPr>
        <w:pStyle w:val="11"/>
        <w:tabs>
          <w:tab w:val="left" w:pos="5580"/>
        </w:tabs>
        <w:spacing w:line="360" w:lineRule="auto"/>
        <w:ind w:left="1078" w:leftChars="257" w:hanging="539"/>
        <w:rPr>
          <w:rFonts w:ascii="仿宋" w:hAnsi="仿宋" w:eastAsia="仿宋" w:cs="仿宋"/>
          <w:color w:val="auto"/>
          <w:szCs w:val="21"/>
          <w:highlight w:val="none"/>
        </w:rPr>
      </w:pPr>
      <w:r>
        <w:rPr>
          <w:rFonts w:hint="eastAsia" w:ascii="仿宋" w:hAnsi="仿宋" w:eastAsia="仿宋" w:cs="仿宋"/>
          <w:color w:val="auto"/>
          <w:szCs w:val="21"/>
          <w:highlight w:val="none"/>
        </w:rPr>
        <w:t>投标人开户银行（全称）：</w:t>
      </w:r>
      <w:r>
        <w:rPr>
          <w:rFonts w:hint="eastAsia" w:ascii="仿宋" w:hAnsi="仿宋" w:eastAsia="仿宋" w:cs="仿宋"/>
          <w:color w:val="auto"/>
          <w:szCs w:val="21"/>
          <w:highlight w:val="none"/>
          <w:u w:val="single"/>
        </w:rPr>
        <w:t xml:space="preserve">　　　　　                     </w:t>
      </w:r>
    </w:p>
    <w:p>
      <w:pPr>
        <w:pStyle w:val="11"/>
        <w:tabs>
          <w:tab w:val="left" w:pos="5580"/>
        </w:tabs>
        <w:spacing w:line="360" w:lineRule="auto"/>
        <w:ind w:left="1078" w:leftChars="257" w:hanging="539"/>
        <w:rPr>
          <w:rFonts w:ascii="仿宋" w:hAnsi="仿宋" w:eastAsia="仿宋" w:cs="仿宋"/>
          <w:color w:val="auto"/>
          <w:szCs w:val="21"/>
          <w:highlight w:val="none"/>
        </w:rPr>
      </w:pPr>
      <w:r>
        <w:rPr>
          <w:rFonts w:hint="eastAsia" w:ascii="仿宋" w:hAnsi="仿宋" w:eastAsia="仿宋" w:cs="仿宋"/>
          <w:color w:val="auto"/>
          <w:szCs w:val="21"/>
          <w:highlight w:val="none"/>
        </w:rPr>
        <w:t>投标人银行帐号：</w:t>
      </w:r>
      <w:r>
        <w:rPr>
          <w:rFonts w:hint="eastAsia" w:ascii="仿宋" w:hAnsi="仿宋" w:eastAsia="仿宋" w:cs="仿宋"/>
          <w:color w:val="auto"/>
          <w:szCs w:val="21"/>
          <w:highlight w:val="none"/>
          <w:u w:val="single"/>
        </w:rPr>
        <w:t>　　　　　　　　 　                 　</w:t>
      </w:r>
    </w:p>
    <w:p>
      <w:pPr>
        <w:pStyle w:val="11"/>
        <w:tabs>
          <w:tab w:val="left" w:pos="5580"/>
        </w:tabs>
        <w:spacing w:line="360" w:lineRule="auto"/>
        <w:ind w:left="1078" w:leftChars="257" w:hanging="539"/>
        <w:rPr>
          <w:rFonts w:ascii="仿宋" w:hAnsi="仿宋" w:eastAsia="仿宋" w:cs="仿宋"/>
          <w:color w:val="auto"/>
          <w:szCs w:val="21"/>
          <w:highlight w:val="none"/>
        </w:rPr>
        <w:sectPr>
          <w:footerReference r:id="rId5" w:type="default"/>
          <w:pgSz w:w="11906" w:h="16838"/>
          <w:pgMar w:top="1440" w:right="1797" w:bottom="1440" w:left="1797" w:header="851" w:footer="992" w:gutter="0"/>
          <w:pgNumType w:start="1"/>
          <w:cols w:space="720" w:num="1"/>
          <w:docGrid w:type="linesAndChars" w:linePitch="312" w:charSpace="0"/>
        </w:sectPr>
      </w:pPr>
      <w:bookmarkStart w:id="320" w:name="_Toc494296668"/>
      <w:bookmarkStart w:id="321" w:name="_Toc494297001"/>
      <w:r>
        <w:rPr>
          <w:rFonts w:hint="eastAsia" w:ascii="仿宋" w:hAnsi="仿宋" w:eastAsia="仿宋" w:cs="仿宋"/>
          <w:color w:val="auto"/>
          <w:szCs w:val="21"/>
          <w:highlight w:val="none"/>
        </w:rPr>
        <w:t>日期</w:t>
      </w:r>
      <w:bookmarkEnd w:id="320"/>
      <w:bookmarkEnd w:id="321"/>
      <w:bookmarkStart w:id="322" w:name="_Hlt520356243"/>
      <w:bookmarkEnd w:id="322"/>
      <w:bookmarkStart w:id="323" w:name="_Hlt520355938"/>
      <w:bookmarkEnd w:id="323"/>
      <w:r>
        <w:rPr>
          <w:rFonts w:hint="eastAsia" w:ascii="仿宋" w:hAnsi="仿宋" w:eastAsia="仿宋" w:cs="仿宋"/>
          <w:color w:val="auto"/>
          <w:szCs w:val="21"/>
          <w:highlight w:val="none"/>
        </w:rPr>
        <w:t>：</w:t>
      </w:r>
      <w:r>
        <w:rPr>
          <w:rFonts w:hint="eastAsia" w:ascii="仿宋" w:hAnsi="仿宋" w:eastAsia="仿宋" w:cs="仿宋"/>
          <w:color w:val="auto"/>
          <w:szCs w:val="21"/>
          <w:highlight w:val="none"/>
          <w:u w:val="single"/>
        </w:rPr>
        <w:t xml:space="preserve">　　　　　　　　 　　                           </w:t>
      </w:r>
    </w:p>
    <w:p>
      <w:pPr>
        <w:pStyle w:val="6"/>
        <w:spacing w:before="0" w:line="360" w:lineRule="auto"/>
        <w:jc w:val="center"/>
        <w:rPr>
          <w:rFonts w:ascii="仿宋" w:hAnsi="仿宋" w:eastAsia="仿宋" w:cs="仿宋"/>
          <w:color w:val="auto"/>
          <w:highlight w:val="none"/>
          <w:u w:val="none"/>
        </w:rPr>
      </w:pPr>
      <w:bookmarkStart w:id="324" w:name="_Toc2582321"/>
      <w:bookmarkStart w:id="325" w:name="_Toc60830327"/>
      <w:bookmarkStart w:id="326" w:name="_Toc1881"/>
      <w:bookmarkStart w:id="327" w:name="_Toc532473507"/>
      <w:bookmarkStart w:id="328" w:name="_Toc20897"/>
      <w:bookmarkStart w:id="329" w:name="_Toc515647818"/>
      <w:bookmarkStart w:id="330" w:name="_Toc216582815"/>
      <w:r>
        <w:rPr>
          <w:rFonts w:hint="eastAsia" w:ascii="仿宋" w:hAnsi="仿宋" w:eastAsia="仿宋" w:cs="仿宋"/>
          <w:color w:val="auto"/>
          <w:highlight w:val="none"/>
          <w:u w:val="none"/>
        </w:rPr>
        <w:t>2  投标分项报价表</w:t>
      </w:r>
      <w:bookmarkEnd w:id="324"/>
      <w:bookmarkEnd w:id="325"/>
    </w:p>
    <w:bookmarkEnd w:id="326"/>
    <w:bookmarkEnd w:id="327"/>
    <w:bookmarkEnd w:id="328"/>
    <w:bookmarkEnd w:id="329"/>
    <w:p>
      <w:pPr>
        <w:pStyle w:val="11"/>
        <w:spacing w:line="360" w:lineRule="auto"/>
        <w:ind w:left="1080"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项目名称:                      项目编号:                         包号: 　 　报价单位：人民币万元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2741"/>
        <w:gridCol w:w="1060"/>
        <w:gridCol w:w="1600"/>
        <w:gridCol w:w="1466"/>
        <w:gridCol w:w="977"/>
        <w:gridCol w:w="1843"/>
        <w:gridCol w:w="913"/>
        <w:gridCol w:w="1067"/>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71" w:type="dxa"/>
            <w:vAlign w:val="center"/>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741" w:type="dxa"/>
            <w:vAlign w:val="center"/>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名称</w:t>
            </w:r>
          </w:p>
        </w:tc>
        <w:tc>
          <w:tcPr>
            <w:tcW w:w="1060" w:type="dxa"/>
            <w:vAlign w:val="center"/>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品牌</w:t>
            </w:r>
          </w:p>
        </w:tc>
        <w:tc>
          <w:tcPr>
            <w:tcW w:w="1600" w:type="dxa"/>
            <w:vAlign w:val="center"/>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型号和规格</w:t>
            </w:r>
          </w:p>
        </w:tc>
        <w:tc>
          <w:tcPr>
            <w:tcW w:w="1466" w:type="dxa"/>
            <w:vAlign w:val="center"/>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977" w:type="dxa"/>
            <w:vAlign w:val="center"/>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原产地</w:t>
            </w:r>
          </w:p>
        </w:tc>
        <w:tc>
          <w:tcPr>
            <w:tcW w:w="1843" w:type="dxa"/>
            <w:vAlign w:val="center"/>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制造商</w:t>
            </w:r>
          </w:p>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（服务商）名称</w:t>
            </w:r>
          </w:p>
        </w:tc>
        <w:tc>
          <w:tcPr>
            <w:tcW w:w="913" w:type="dxa"/>
            <w:vAlign w:val="center"/>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单价</w:t>
            </w:r>
          </w:p>
        </w:tc>
        <w:tc>
          <w:tcPr>
            <w:tcW w:w="1067" w:type="dxa"/>
            <w:vAlign w:val="center"/>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总价</w:t>
            </w:r>
          </w:p>
        </w:tc>
        <w:tc>
          <w:tcPr>
            <w:tcW w:w="1072" w:type="dxa"/>
            <w:vAlign w:val="center"/>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671" w:type="dxa"/>
            <w:vAlign w:val="center"/>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741" w:type="dxa"/>
            <w:vAlign w:val="center"/>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货物名称</w:t>
            </w:r>
          </w:p>
        </w:tc>
        <w:tc>
          <w:tcPr>
            <w:tcW w:w="1060" w:type="dxa"/>
          </w:tcPr>
          <w:p>
            <w:pPr>
              <w:pStyle w:val="11"/>
              <w:spacing w:line="240" w:lineRule="atLeast"/>
              <w:jc w:val="center"/>
              <w:rPr>
                <w:rFonts w:ascii="仿宋" w:hAnsi="仿宋" w:eastAsia="仿宋" w:cs="仿宋"/>
                <w:color w:val="auto"/>
                <w:szCs w:val="21"/>
                <w:highlight w:val="none"/>
              </w:rPr>
            </w:pPr>
          </w:p>
        </w:tc>
        <w:tc>
          <w:tcPr>
            <w:tcW w:w="1600" w:type="dxa"/>
            <w:vAlign w:val="center"/>
          </w:tcPr>
          <w:p>
            <w:pPr>
              <w:pStyle w:val="11"/>
              <w:spacing w:line="240" w:lineRule="atLeast"/>
              <w:jc w:val="center"/>
              <w:rPr>
                <w:rFonts w:ascii="仿宋" w:hAnsi="仿宋" w:eastAsia="仿宋" w:cs="仿宋"/>
                <w:color w:val="auto"/>
                <w:szCs w:val="21"/>
                <w:highlight w:val="none"/>
              </w:rPr>
            </w:pPr>
          </w:p>
        </w:tc>
        <w:tc>
          <w:tcPr>
            <w:tcW w:w="1466" w:type="dxa"/>
            <w:vAlign w:val="center"/>
          </w:tcPr>
          <w:p>
            <w:pPr>
              <w:pStyle w:val="11"/>
              <w:spacing w:line="240" w:lineRule="atLeast"/>
              <w:jc w:val="center"/>
              <w:rPr>
                <w:rFonts w:ascii="仿宋" w:hAnsi="仿宋" w:eastAsia="仿宋" w:cs="仿宋"/>
                <w:color w:val="auto"/>
                <w:szCs w:val="21"/>
                <w:highlight w:val="none"/>
              </w:rPr>
            </w:pPr>
          </w:p>
        </w:tc>
        <w:tc>
          <w:tcPr>
            <w:tcW w:w="977" w:type="dxa"/>
            <w:vAlign w:val="center"/>
          </w:tcPr>
          <w:p>
            <w:pPr>
              <w:pStyle w:val="11"/>
              <w:spacing w:line="240" w:lineRule="atLeast"/>
              <w:jc w:val="center"/>
              <w:rPr>
                <w:rFonts w:ascii="仿宋" w:hAnsi="仿宋" w:eastAsia="仿宋" w:cs="仿宋"/>
                <w:color w:val="auto"/>
                <w:szCs w:val="21"/>
                <w:highlight w:val="none"/>
              </w:rPr>
            </w:pPr>
          </w:p>
        </w:tc>
        <w:tc>
          <w:tcPr>
            <w:tcW w:w="1843" w:type="dxa"/>
            <w:vAlign w:val="center"/>
          </w:tcPr>
          <w:p>
            <w:pPr>
              <w:pStyle w:val="11"/>
              <w:spacing w:line="240" w:lineRule="atLeast"/>
              <w:jc w:val="center"/>
              <w:rPr>
                <w:rFonts w:ascii="仿宋" w:hAnsi="仿宋" w:eastAsia="仿宋" w:cs="仿宋"/>
                <w:color w:val="auto"/>
                <w:szCs w:val="21"/>
                <w:highlight w:val="none"/>
              </w:rPr>
            </w:pPr>
          </w:p>
        </w:tc>
        <w:tc>
          <w:tcPr>
            <w:tcW w:w="913" w:type="dxa"/>
            <w:vAlign w:val="center"/>
          </w:tcPr>
          <w:p>
            <w:pPr>
              <w:pStyle w:val="11"/>
              <w:spacing w:line="240" w:lineRule="atLeast"/>
              <w:jc w:val="center"/>
              <w:rPr>
                <w:rFonts w:ascii="仿宋" w:hAnsi="仿宋" w:eastAsia="仿宋" w:cs="仿宋"/>
                <w:color w:val="auto"/>
                <w:szCs w:val="21"/>
                <w:highlight w:val="none"/>
              </w:rPr>
            </w:pPr>
          </w:p>
        </w:tc>
        <w:tc>
          <w:tcPr>
            <w:tcW w:w="1067" w:type="dxa"/>
            <w:vAlign w:val="center"/>
          </w:tcPr>
          <w:p>
            <w:pPr>
              <w:pStyle w:val="11"/>
              <w:spacing w:line="240" w:lineRule="atLeast"/>
              <w:jc w:val="center"/>
              <w:rPr>
                <w:rFonts w:ascii="仿宋" w:hAnsi="仿宋" w:eastAsia="仿宋" w:cs="仿宋"/>
                <w:color w:val="auto"/>
                <w:szCs w:val="21"/>
                <w:highlight w:val="none"/>
              </w:rPr>
            </w:pPr>
          </w:p>
        </w:tc>
        <w:tc>
          <w:tcPr>
            <w:tcW w:w="1072" w:type="dxa"/>
            <w:vAlign w:val="center"/>
          </w:tcPr>
          <w:p>
            <w:pPr>
              <w:pStyle w:val="11"/>
              <w:spacing w:line="240" w:lineRule="atLeast"/>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1" w:type="dxa"/>
            <w:vAlign w:val="center"/>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741" w:type="dxa"/>
            <w:vAlign w:val="center"/>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备品备件</w:t>
            </w:r>
          </w:p>
        </w:tc>
        <w:tc>
          <w:tcPr>
            <w:tcW w:w="1060" w:type="dxa"/>
          </w:tcPr>
          <w:p>
            <w:pPr>
              <w:pStyle w:val="11"/>
              <w:spacing w:line="240" w:lineRule="atLeast"/>
              <w:jc w:val="center"/>
              <w:rPr>
                <w:rFonts w:ascii="仿宋" w:hAnsi="仿宋" w:eastAsia="仿宋" w:cs="仿宋"/>
                <w:color w:val="auto"/>
                <w:szCs w:val="21"/>
                <w:highlight w:val="none"/>
              </w:rPr>
            </w:pPr>
          </w:p>
        </w:tc>
        <w:tc>
          <w:tcPr>
            <w:tcW w:w="1600" w:type="dxa"/>
            <w:vAlign w:val="center"/>
          </w:tcPr>
          <w:p>
            <w:pPr>
              <w:pStyle w:val="11"/>
              <w:spacing w:line="240" w:lineRule="atLeast"/>
              <w:jc w:val="center"/>
              <w:rPr>
                <w:rFonts w:ascii="仿宋" w:hAnsi="仿宋" w:eastAsia="仿宋" w:cs="仿宋"/>
                <w:color w:val="auto"/>
                <w:szCs w:val="21"/>
                <w:highlight w:val="none"/>
              </w:rPr>
            </w:pPr>
          </w:p>
        </w:tc>
        <w:tc>
          <w:tcPr>
            <w:tcW w:w="1466" w:type="dxa"/>
            <w:vAlign w:val="center"/>
          </w:tcPr>
          <w:p>
            <w:pPr>
              <w:pStyle w:val="11"/>
              <w:spacing w:line="240" w:lineRule="atLeast"/>
              <w:jc w:val="center"/>
              <w:rPr>
                <w:rFonts w:ascii="仿宋" w:hAnsi="仿宋" w:eastAsia="仿宋" w:cs="仿宋"/>
                <w:color w:val="auto"/>
                <w:szCs w:val="21"/>
                <w:highlight w:val="none"/>
              </w:rPr>
            </w:pPr>
          </w:p>
        </w:tc>
        <w:tc>
          <w:tcPr>
            <w:tcW w:w="977" w:type="dxa"/>
            <w:vAlign w:val="center"/>
          </w:tcPr>
          <w:p>
            <w:pPr>
              <w:pStyle w:val="11"/>
              <w:spacing w:line="240" w:lineRule="atLeast"/>
              <w:jc w:val="center"/>
              <w:rPr>
                <w:rFonts w:ascii="仿宋" w:hAnsi="仿宋" w:eastAsia="仿宋" w:cs="仿宋"/>
                <w:color w:val="auto"/>
                <w:szCs w:val="21"/>
                <w:highlight w:val="none"/>
              </w:rPr>
            </w:pPr>
          </w:p>
        </w:tc>
        <w:tc>
          <w:tcPr>
            <w:tcW w:w="1843" w:type="dxa"/>
            <w:vAlign w:val="center"/>
          </w:tcPr>
          <w:p>
            <w:pPr>
              <w:pStyle w:val="11"/>
              <w:spacing w:line="240" w:lineRule="atLeast"/>
              <w:jc w:val="center"/>
              <w:rPr>
                <w:rFonts w:ascii="仿宋" w:hAnsi="仿宋" w:eastAsia="仿宋" w:cs="仿宋"/>
                <w:color w:val="auto"/>
                <w:szCs w:val="21"/>
                <w:highlight w:val="none"/>
              </w:rPr>
            </w:pPr>
          </w:p>
        </w:tc>
        <w:tc>
          <w:tcPr>
            <w:tcW w:w="913" w:type="dxa"/>
            <w:vAlign w:val="center"/>
          </w:tcPr>
          <w:p>
            <w:pPr>
              <w:pStyle w:val="11"/>
              <w:spacing w:line="240" w:lineRule="atLeast"/>
              <w:jc w:val="center"/>
              <w:rPr>
                <w:rFonts w:ascii="仿宋" w:hAnsi="仿宋" w:eastAsia="仿宋" w:cs="仿宋"/>
                <w:color w:val="auto"/>
                <w:szCs w:val="21"/>
                <w:highlight w:val="none"/>
              </w:rPr>
            </w:pPr>
          </w:p>
        </w:tc>
        <w:tc>
          <w:tcPr>
            <w:tcW w:w="1067" w:type="dxa"/>
            <w:vAlign w:val="center"/>
          </w:tcPr>
          <w:p>
            <w:pPr>
              <w:pStyle w:val="11"/>
              <w:spacing w:line="240" w:lineRule="atLeast"/>
              <w:jc w:val="center"/>
              <w:rPr>
                <w:rFonts w:ascii="仿宋" w:hAnsi="仿宋" w:eastAsia="仿宋" w:cs="仿宋"/>
                <w:color w:val="auto"/>
                <w:szCs w:val="21"/>
                <w:highlight w:val="none"/>
              </w:rPr>
            </w:pPr>
          </w:p>
        </w:tc>
        <w:tc>
          <w:tcPr>
            <w:tcW w:w="1072" w:type="dxa"/>
            <w:vAlign w:val="center"/>
          </w:tcPr>
          <w:p>
            <w:pPr>
              <w:pStyle w:val="11"/>
              <w:spacing w:line="240" w:lineRule="atLeast"/>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1" w:type="dxa"/>
            <w:vAlign w:val="center"/>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741" w:type="dxa"/>
            <w:vAlign w:val="center"/>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专用工具</w:t>
            </w:r>
          </w:p>
        </w:tc>
        <w:tc>
          <w:tcPr>
            <w:tcW w:w="1060" w:type="dxa"/>
          </w:tcPr>
          <w:p>
            <w:pPr>
              <w:pStyle w:val="11"/>
              <w:spacing w:line="240" w:lineRule="atLeast"/>
              <w:jc w:val="center"/>
              <w:rPr>
                <w:rFonts w:ascii="仿宋" w:hAnsi="仿宋" w:eastAsia="仿宋" w:cs="仿宋"/>
                <w:color w:val="auto"/>
                <w:szCs w:val="21"/>
                <w:highlight w:val="none"/>
              </w:rPr>
            </w:pPr>
          </w:p>
        </w:tc>
        <w:tc>
          <w:tcPr>
            <w:tcW w:w="1600" w:type="dxa"/>
            <w:vAlign w:val="center"/>
          </w:tcPr>
          <w:p>
            <w:pPr>
              <w:pStyle w:val="11"/>
              <w:spacing w:line="240" w:lineRule="atLeast"/>
              <w:jc w:val="center"/>
              <w:rPr>
                <w:rFonts w:ascii="仿宋" w:hAnsi="仿宋" w:eastAsia="仿宋" w:cs="仿宋"/>
                <w:color w:val="auto"/>
                <w:szCs w:val="21"/>
                <w:highlight w:val="none"/>
              </w:rPr>
            </w:pPr>
          </w:p>
        </w:tc>
        <w:tc>
          <w:tcPr>
            <w:tcW w:w="1466" w:type="dxa"/>
            <w:vAlign w:val="center"/>
          </w:tcPr>
          <w:p>
            <w:pPr>
              <w:pStyle w:val="11"/>
              <w:spacing w:line="240" w:lineRule="atLeast"/>
              <w:jc w:val="center"/>
              <w:rPr>
                <w:rFonts w:ascii="仿宋" w:hAnsi="仿宋" w:eastAsia="仿宋" w:cs="仿宋"/>
                <w:color w:val="auto"/>
                <w:szCs w:val="21"/>
                <w:highlight w:val="none"/>
              </w:rPr>
            </w:pPr>
          </w:p>
        </w:tc>
        <w:tc>
          <w:tcPr>
            <w:tcW w:w="977" w:type="dxa"/>
            <w:vAlign w:val="center"/>
          </w:tcPr>
          <w:p>
            <w:pPr>
              <w:pStyle w:val="11"/>
              <w:spacing w:line="240" w:lineRule="atLeast"/>
              <w:jc w:val="center"/>
              <w:rPr>
                <w:rFonts w:ascii="仿宋" w:hAnsi="仿宋" w:eastAsia="仿宋" w:cs="仿宋"/>
                <w:color w:val="auto"/>
                <w:szCs w:val="21"/>
                <w:highlight w:val="none"/>
              </w:rPr>
            </w:pPr>
          </w:p>
        </w:tc>
        <w:tc>
          <w:tcPr>
            <w:tcW w:w="1843" w:type="dxa"/>
            <w:vAlign w:val="center"/>
          </w:tcPr>
          <w:p>
            <w:pPr>
              <w:pStyle w:val="11"/>
              <w:spacing w:line="240" w:lineRule="atLeast"/>
              <w:jc w:val="center"/>
              <w:rPr>
                <w:rFonts w:ascii="仿宋" w:hAnsi="仿宋" w:eastAsia="仿宋" w:cs="仿宋"/>
                <w:color w:val="auto"/>
                <w:szCs w:val="21"/>
                <w:highlight w:val="none"/>
              </w:rPr>
            </w:pPr>
          </w:p>
        </w:tc>
        <w:tc>
          <w:tcPr>
            <w:tcW w:w="913" w:type="dxa"/>
            <w:vAlign w:val="center"/>
          </w:tcPr>
          <w:p>
            <w:pPr>
              <w:pStyle w:val="11"/>
              <w:spacing w:line="240" w:lineRule="atLeast"/>
              <w:jc w:val="center"/>
              <w:rPr>
                <w:rFonts w:ascii="仿宋" w:hAnsi="仿宋" w:eastAsia="仿宋" w:cs="仿宋"/>
                <w:color w:val="auto"/>
                <w:szCs w:val="21"/>
                <w:highlight w:val="none"/>
              </w:rPr>
            </w:pPr>
          </w:p>
        </w:tc>
        <w:tc>
          <w:tcPr>
            <w:tcW w:w="1067" w:type="dxa"/>
            <w:vAlign w:val="center"/>
          </w:tcPr>
          <w:p>
            <w:pPr>
              <w:pStyle w:val="11"/>
              <w:spacing w:line="240" w:lineRule="atLeast"/>
              <w:jc w:val="center"/>
              <w:rPr>
                <w:rFonts w:ascii="仿宋" w:hAnsi="仿宋" w:eastAsia="仿宋" w:cs="仿宋"/>
                <w:color w:val="auto"/>
                <w:szCs w:val="21"/>
                <w:highlight w:val="none"/>
              </w:rPr>
            </w:pPr>
          </w:p>
        </w:tc>
        <w:tc>
          <w:tcPr>
            <w:tcW w:w="1072" w:type="dxa"/>
            <w:vAlign w:val="center"/>
          </w:tcPr>
          <w:p>
            <w:pPr>
              <w:pStyle w:val="11"/>
              <w:spacing w:line="240" w:lineRule="atLeast"/>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1" w:type="dxa"/>
            <w:vAlign w:val="center"/>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741" w:type="dxa"/>
            <w:vAlign w:val="center"/>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运输（含保险）</w:t>
            </w:r>
          </w:p>
        </w:tc>
        <w:tc>
          <w:tcPr>
            <w:tcW w:w="1060" w:type="dxa"/>
          </w:tcPr>
          <w:p>
            <w:pPr>
              <w:pStyle w:val="11"/>
              <w:spacing w:line="240" w:lineRule="atLeast"/>
              <w:jc w:val="center"/>
              <w:rPr>
                <w:rFonts w:ascii="仿宋" w:hAnsi="仿宋" w:eastAsia="仿宋" w:cs="仿宋"/>
                <w:color w:val="auto"/>
                <w:szCs w:val="21"/>
                <w:highlight w:val="none"/>
              </w:rPr>
            </w:pPr>
          </w:p>
        </w:tc>
        <w:tc>
          <w:tcPr>
            <w:tcW w:w="1600" w:type="dxa"/>
            <w:vAlign w:val="center"/>
          </w:tcPr>
          <w:p>
            <w:pPr>
              <w:pStyle w:val="11"/>
              <w:spacing w:line="240" w:lineRule="atLeast"/>
              <w:jc w:val="center"/>
              <w:rPr>
                <w:rFonts w:ascii="仿宋" w:hAnsi="仿宋" w:eastAsia="仿宋" w:cs="仿宋"/>
                <w:color w:val="auto"/>
                <w:szCs w:val="21"/>
                <w:highlight w:val="none"/>
              </w:rPr>
            </w:pPr>
          </w:p>
        </w:tc>
        <w:tc>
          <w:tcPr>
            <w:tcW w:w="1466" w:type="dxa"/>
            <w:vAlign w:val="center"/>
          </w:tcPr>
          <w:p>
            <w:pPr>
              <w:pStyle w:val="11"/>
              <w:spacing w:line="240" w:lineRule="atLeast"/>
              <w:jc w:val="center"/>
              <w:rPr>
                <w:rFonts w:ascii="仿宋" w:hAnsi="仿宋" w:eastAsia="仿宋" w:cs="仿宋"/>
                <w:color w:val="auto"/>
                <w:szCs w:val="21"/>
                <w:highlight w:val="none"/>
              </w:rPr>
            </w:pPr>
          </w:p>
        </w:tc>
        <w:tc>
          <w:tcPr>
            <w:tcW w:w="977" w:type="dxa"/>
            <w:vAlign w:val="center"/>
          </w:tcPr>
          <w:p>
            <w:pPr>
              <w:pStyle w:val="11"/>
              <w:spacing w:line="240" w:lineRule="atLeast"/>
              <w:jc w:val="center"/>
              <w:rPr>
                <w:rFonts w:ascii="仿宋" w:hAnsi="仿宋" w:eastAsia="仿宋" w:cs="仿宋"/>
                <w:color w:val="auto"/>
                <w:szCs w:val="21"/>
                <w:highlight w:val="none"/>
              </w:rPr>
            </w:pPr>
          </w:p>
        </w:tc>
        <w:tc>
          <w:tcPr>
            <w:tcW w:w="1843" w:type="dxa"/>
            <w:vAlign w:val="center"/>
          </w:tcPr>
          <w:p>
            <w:pPr>
              <w:pStyle w:val="11"/>
              <w:spacing w:line="240" w:lineRule="atLeast"/>
              <w:jc w:val="center"/>
              <w:rPr>
                <w:rFonts w:ascii="仿宋" w:hAnsi="仿宋" w:eastAsia="仿宋" w:cs="仿宋"/>
                <w:color w:val="auto"/>
                <w:szCs w:val="21"/>
                <w:highlight w:val="none"/>
              </w:rPr>
            </w:pPr>
          </w:p>
        </w:tc>
        <w:tc>
          <w:tcPr>
            <w:tcW w:w="913" w:type="dxa"/>
            <w:vAlign w:val="center"/>
          </w:tcPr>
          <w:p>
            <w:pPr>
              <w:pStyle w:val="11"/>
              <w:spacing w:line="240" w:lineRule="atLeast"/>
              <w:jc w:val="center"/>
              <w:rPr>
                <w:rFonts w:ascii="仿宋" w:hAnsi="仿宋" w:eastAsia="仿宋" w:cs="仿宋"/>
                <w:color w:val="auto"/>
                <w:szCs w:val="21"/>
                <w:highlight w:val="none"/>
              </w:rPr>
            </w:pPr>
          </w:p>
        </w:tc>
        <w:tc>
          <w:tcPr>
            <w:tcW w:w="1067" w:type="dxa"/>
            <w:vAlign w:val="center"/>
          </w:tcPr>
          <w:p>
            <w:pPr>
              <w:pStyle w:val="11"/>
              <w:spacing w:line="240" w:lineRule="atLeast"/>
              <w:jc w:val="center"/>
              <w:rPr>
                <w:rFonts w:ascii="仿宋" w:hAnsi="仿宋" w:eastAsia="仿宋" w:cs="仿宋"/>
                <w:color w:val="auto"/>
                <w:szCs w:val="21"/>
                <w:highlight w:val="none"/>
              </w:rPr>
            </w:pPr>
          </w:p>
        </w:tc>
        <w:tc>
          <w:tcPr>
            <w:tcW w:w="1072" w:type="dxa"/>
            <w:vAlign w:val="center"/>
          </w:tcPr>
          <w:p>
            <w:pPr>
              <w:pStyle w:val="11"/>
              <w:spacing w:line="240" w:lineRule="atLeast"/>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1" w:type="dxa"/>
            <w:vAlign w:val="center"/>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741" w:type="dxa"/>
            <w:vAlign w:val="center"/>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安装、调试、检验</w:t>
            </w:r>
          </w:p>
        </w:tc>
        <w:tc>
          <w:tcPr>
            <w:tcW w:w="1060" w:type="dxa"/>
          </w:tcPr>
          <w:p>
            <w:pPr>
              <w:pStyle w:val="11"/>
              <w:spacing w:line="240" w:lineRule="atLeast"/>
              <w:jc w:val="center"/>
              <w:rPr>
                <w:rFonts w:ascii="仿宋" w:hAnsi="仿宋" w:eastAsia="仿宋" w:cs="仿宋"/>
                <w:color w:val="auto"/>
                <w:szCs w:val="21"/>
                <w:highlight w:val="none"/>
              </w:rPr>
            </w:pPr>
          </w:p>
        </w:tc>
        <w:tc>
          <w:tcPr>
            <w:tcW w:w="1600" w:type="dxa"/>
            <w:vAlign w:val="center"/>
          </w:tcPr>
          <w:p>
            <w:pPr>
              <w:pStyle w:val="11"/>
              <w:spacing w:line="240" w:lineRule="atLeast"/>
              <w:jc w:val="center"/>
              <w:rPr>
                <w:rFonts w:ascii="仿宋" w:hAnsi="仿宋" w:eastAsia="仿宋" w:cs="仿宋"/>
                <w:color w:val="auto"/>
                <w:szCs w:val="21"/>
                <w:highlight w:val="none"/>
              </w:rPr>
            </w:pPr>
          </w:p>
        </w:tc>
        <w:tc>
          <w:tcPr>
            <w:tcW w:w="1466" w:type="dxa"/>
            <w:vAlign w:val="center"/>
          </w:tcPr>
          <w:p>
            <w:pPr>
              <w:pStyle w:val="11"/>
              <w:spacing w:line="240" w:lineRule="atLeast"/>
              <w:jc w:val="center"/>
              <w:rPr>
                <w:rFonts w:ascii="仿宋" w:hAnsi="仿宋" w:eastAsia="仿宋" w:cs="仿宋"/>
                <w:color w:val="auto"/>
                <w:szCs w:val="21"/>
                <w:highlight w:val="none"/>
              </w:rPr>
            </w:pPr>
          </w:p>
        </w:tc>
        <w:tc>
          <w:tcPr>
            <w:tcW w:w="977" w:type="dxa"/>
            <w:vAlign w:val="center"/>
          </w:tcPr>
          <w:p>
            <w:pPr>
              <w:pStyle w:val="11"/>
              <w:spacing w:line="240" w:lineRule="atLeast"/>
              <w:jc w:val="center"/>
              <w:rPr>
                <w:rFonts w:ascii="仿宋" w:hAnsi="仿宋" w:eastAsia="仿宋" w:cs="仿宋"/>
                <w:color w:val="auto"/>
                <w:szCs w:val="21"/>
                <w:highlight w:val="none"/>
              </w:rPr>
            </w:pPr>
          </w:p>
        </w:tc>
        <w:tc>
          <w:tcPr>
            <w:tcW w:w="1843" w:type="dxa"/>
            <w:vAlign w:val="center"/>
          </w:tcPr>
          <w:p>
            <w:pPr>
              <w:pStyle w:val="11"/>
              <w:spacing w:line="240" w:lineRule="atLeast"/>
              <w:jc w:val="center"/>
              <w:rPr>
                <w:rFonts w:ascii="仿宋" w:hAnsi="仿宋" w:eastAsia="仿宋" w:cs="仿宋"/>
                <w:color w:val="auto"/>
                <w:szCs w:val="21"/>
                <w:highlight w:val="none"/>
              </w:rPr>
            </w:pPr>
          </w:p>
        </w:tc>
        <w:tc>
          <w:tcPr>
            <w:tcW w:w="913" w:type="dxa"/>
            <w:vAlign w:val="center"/>
          </w:tcPr>
          <w:p>
            <w:pPr>
              <w:pStyle w:val="11"/>
              <w:spacing w:line="240" w:lineRule="atLeast"/>
              <w:jc w:val="center"/>
              <w:rPr>
                <w:rFonts w:ascii="仿宋" w:hAnsi="仿宋" w:eastAsia="仿宋" w:cs="仿宋"/>
                <w:color w:val="auto"/>
                <w:szCs w:val="21"/>
                <w:highlight w:val="none"/>
              </w:rPr>
            </w:pPr>
          </w:p>
        </w:tc>
        <w:tc>
          <w:tcPr>
            <w:tcW w:w="1067" w:type="dxa"/>
            <w:vAlign w:val="center"/>
          </w:tcPr>
          <w:p>
            <w:pPr>
              <w:pStyle w:val="11"/>
              <w:spacing w:line="240" w:lineRule="atLeast"/>
              <w:jc w:val="center"/>
              <w:rPr>
                <w:rFonts w:ascii="仿宋" w:hAnsi="仿宋" w:eastAsia="仿宋" w:cs="仿宋"/>
                <w:color w:val="auto"/>
                <w:szCs w:val="21"/>
                <w:highlight w:val="none"/>
              </w:rPr>
            </w:pPr>
          </w:p>
        </w:tc>
        <w:tc>
          <w:tcPr>
            <w:tcW w:w="1072" w:type="dxa"/>
            <w:vAlign w:val="center"/>
          </w:tcPr>
          <w:p>
            <w:pPr>
              <w:pStyle w:val="11"/>
              <w:spacing w:line="240" w:lineRule="atLeast"/>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671" w:type="dxa"/>
            <w:vAlign w:val="center"/>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741" w:type="dxa"/>
            <w:vAlign w:val="center"/>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培训</w:t>
            </w:r>
          </w:p>
        </w:tc>
        <w:tc>
          <w:tcPr>
            <w:tcW w:w="1060" w:type="dxa"/>
          </w:tcPr>
          <w:p>
            <w:pPr>
              <w:pStyle w:val="11"/>
              <w:spacing w:line="240" w:lineRule="atLeast"/>
              <w:jc w:val="center"/>
              <w:rPr>
                <w:rFonts w:ascii="仿宋" w:hAnsi="仿宋" w:eastAsia="仿宋" w:cs="仿宋"/>
                <w:color w:val="auto"/>
                <w:szCs w:val="21"/>
                <w:highlight w:val="none"/>
              </w:rPr>
            </w:pPr>
          </w:p>
        </w:tc>
        <w:tc>
          <w:tcPr>
            <w:tcW w:w="1600" w:type="dxa"/>
            <w:vAlign w:val="center"/>
          </w:tcPr>
          <w:p>
            <w:pPr>
              <w:pStyle w:val="11"/>
              <w:spacing w:line="240" w:lineRule="atLeast"/>
              <w:jc w:val="center"/>
              <w:rPr>
                <w:rFonts w:ascii="仿宋" w:hAnsi="仿宋" w:eastAsia="仿宋" w:cs="仿宋"/>
                <w:color w:val="auto"/>
                <w:szCs w:val="21"/>
                <w:highlight w:val="none"/>
              </w:rPr>
            </w:pPr>
          </w:p>
        </w:tc>
        <w:tc>
          <w:tcPr>
            <w:tcW w:w="1466" w:type="dxa"/>
            <w:vAlign w:val="center"/>
          </w:tcPr>
          <w:p>
            <w:pPr>
              <w:pStyle w:val="11"/>
              <w:spacing w:line="240" w:lineRule="atLeast"/>
              <w:jc w:val="center"/>
              <w:rPr>
                <w:rFonts w:ascii="仿宋" w:hAnsi="仿宋" w:eastAsia="仿宋" w:cs="仿宋"/>
                <w:color w:val="auto"/>
                <w:szCs w:val="21"/>
                <w:highlight w:val="none"/>
              </w:rPr>
            </w:pPr>
          </w:p>
        </w:tc>
        <w:tc>
          <w:tcPr>
            <w:tcW w:w="977" w:type="dxa"/>
            <w:vAlign w:val="center"/>
          </w:tcPr>
          <w:p>
            <w:pPr>
              <w:pStyle w:val="11"/>
              <w:spacing w:line="240" w:lineRule="atLeast"/>
              <w:jc w:val="center"/>
              <w:rPr>
                <w:rFonts w:ascii="仿宋" w:hAnsi="仿宋" w:eastAsia="仿宋" w:cs="仿宋"/>
                <w:color w:val="auto"/>
                <w:szCs w:val="21"/>
                <w:highlight w:val="none"/>
              </w:rPr>
            </w:pPr>
          </w:p>
        </w:tc>
        <w:tc>
          <w:tcPr>
            <w:tcW w:w="1843" w:type="dxa"/>
            <w:vAlign w:val="center"/>
          </w:tcPr>
          <w:p>
            <w:pPr>
              <w:pStyle w:val="11"/>
              <w:spacing w:line="240" w:lineRule="atLeast"/>
              <w:jc w:val="center"/>
              <w:rPr>
                <w:rFonts w:ascii="仿宋" w:hAnsi="仿宋" w:eastAsia="仿宋" w:cs="仿宋"/>
                <w:color w:val="auto"/>
                <w:szCs w:val="21"/>
                <w:highlight w:val="none"/>
              </w:rPr>
            </w:pPr>
          </w:p>
        </w:tc>
        <w:tc>
          <w:tcPr>
            <w:tcW w:w="913" w:type="dxa"/>
            <w:vAlign w:val="center"/>
          </w:tcPr>
          <w:p>
            <w:pPr>
              <w:pStyle w:val="11"/>
              <w:spacing w:line="240" w:lineRule="atLeast"/>
              <w:jc w:val="center"/>
              <w:rPr>
                <w:rFonts w:ascii="仿宋" w:hAnsi="仿宋" w:eastAsia="仿宋" w:cs="仿宋"/>
                <w:color w:val="auto"/>
                <w:szCs w:val="21"/>
                <w:highlight w:val="none"/>
              </w:rPr>
            </w:pPr>
          </w:p>
        </w:tc>
        <w:tc>
          <w:tcPr>
            <w:tcW w:w="1067" w:type="dxa"/>
            <w:vAlign w:val="center"/>
          </w:tcPr>
          <w:p>
            <w:pPr>
              <w:pStyle w:val="11"/>
              <w:spacing w:line="240" w:lineRule="atLeast"/>
              <w:jc w:val="center"/>
              <w:rPr>
                <w:rFonts w:ascii="仿宋" w:hAnsi="仿宋" w:eastAsia="仿宋" w:cs="仿宋"/>
                <w:color w:val="auto"/>
                <w:szCs w:val="21"/>
                <w:highlight w:val="none"/>
              </w:rPr>
            </w:pPr>
          </w:p>
        </w:tc>
        <w:tc>
          <w:tcPr>
            <w:tcW w:w="1072" w:type="dxa"/>
            <w:vAlign w:val="center"/>
          </w:tcPr>
          <w:p>
            <w:pPr>
              <w:pStyle w:val="11"/>
              <w:spacing w:line="240" w:lineRule="atLeast"/>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1" w:type="dxa"/>
            <w:vAlign w:val="center"/>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741" w:type="dxa"/>
            <w:vAlign w:val="center"/>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技术服务</w:t>
            </w:r>
          </w:p>
        </w:tc>
        <w:tc>
          <w:tcPr>
            <w:tcW w:w="1060" w:type="dxa"/>
          </w:tcPr>
          <w:p>
            <w:pPr>
              <w:pStyle w:val="11"/>
              <w:spacing w:line="240" w:lineRule="atLeast"/>
              <w:jc w:val="center"/>
              <w:rPr>
                <w:rFonts w:ascii="仿宋" w:hAnsi="仿宋" w:eastAsia="仿宋" w:cs="仿宋"/>
                <w:color w:val="auto"/>
                <w:szCs w:val="21"/>
                <w:highlight w:val="none"/>
              </w:rPr>
            </w:pPr>
          </w:p>
        </w:tc>
        <w:tc>
          <w:tcPr>
            <w:tcW w:w="1600" w:type="dxa"/>
            <w:vAlign w:val="center"/>
          </w:tcPr>
          <w:p>
            <w:pPr>
              <w:pStyle w:val="11"/>
              <w:spacing w:line="240" w:lineRule="atLeast"/>
              <w:jc w:val="center"/>
              <w:rPr>
                <w:rFonts w:ascii="仿宋" w:hAnsi="仿宋" w:eastAsia="仿宋" w:cs="仿宋"/>
                <w:color w:val="auto"/>
                <w:szCs w:val="21"/>
                <w:highlight w:val="none"/>
              </w:rPr>
            </w:pPr>
          </w:p>
        </w:tc>
        <w:tc>
          <w:tcPr>
            <w:tcW w:w="1466" w:type="dxa"/>
            <w:vAlign w:val="center"/>
          </w:tcPr>
          <w:p>
            <w:pPr>
              <w:pStyle w:val="11"/>
              <w:spacing w:line="240" w:lineRule="atLeast"/>
              <w:jc w:val="center"/>
              <w:rPr>
                <w:rFonts w:ascii="仿宋" w:hAnsi="仿宋" w:eastAsia="仿宋" w:cs="仿宋"/>
                <w:color w:val="auto"/>
                <w:szCs w:val="21"/>
                <w:highlight w:val="none"/>
              </w:rPr>
            </w:pPr>
          </w:p>
        </w:tc>
        <w:tc>
          <w:tcPr>
            <w:tcW w:w="977" w:type="dxa"/>
            <w:vAlign w:val="center"/>
          </w:tcPr>
          <w:p>
            <w:pPr>
              <w:pStyle w:val="11"/>
              <w:spacing w:line="240" w:lineRule="atLeast"/>
              <w:jc w:val="center"/>
              <w:rPr>
                <w:rFonts w:ascii="仿宋" w:hAnsi="仿宋" w:eastAsia="仿宋" w:cs="仿宋"/>
                <w:color w:val="auto"/>
                <w:szCs w:val="21"/>
                <w:highlight w:val="none"/>
              </w:rPr>
            </w:pPr>
          </w:p>
        </w:tc>
        <w:tc>
          <w:tcPr>
            <w:tcW w:w="1843" w:type="dxa"/>
            <w:vAlign w:val="center"/>
          </w:tcPr>
          <w:p>
            <w:pPr>
              <w:pStyle w:val="11"/>
              <w:spacing w:line="240" w:lineRule="atLeast"/>
              <w:jc w:val="center"/>
              <w:rPr>
                <w:rFonts w:ascii="仿宋" w:hAnsi="仿宋" w:eastAsia="仿宋" w:cs="仿宋"/>
                <w:color w:val="auto"/>
                <w:szCs w:val="21"/>
                <w:highlight w:val="none"/>
              </w:rPr>
            </w:pPr>
          </w:p>
        </w:tc>
        <w:tc>
          <w:tcPr>
            <w:tcW w:w="913" w:type="dxa"/>
            <w:vAlign w:val="center"/>
          </w:tcPr>
          <w:p>
            <w:pPr>
              <w:pStyle w:val="11"/>
              <w:spacing w:line="240" w:lineRule="atLeast"/>
              <w:jc w:val="center"/>
              <w:rPr>
                <w:rFonts w:ascii="仿宋" w:hAnsi="仿宋" w:eastAsia="仿宋" w:cs="仿宋"/>
                <w:color w:val="auto"/>
                <w:szCs w:val="21"/>
                <w:highlight w:val="none"/>
              </w:rPr>
            </w:pPr>
          </w:p>
        </w:tc>
        <w:tc>
          <w:tcPr>
            <w:tcW w:w="1067" w:type="dxa"/>
            <w:vAlign w:val="center"/>
          </w:tcPr>
          <w:p>
            <w:pPr>
              <w:pStyle w:val="11"/>
              <w:spacing w:line="240" w:lineRule="atLeast"/>
              <w:jc w:val="center"/>
              <w:rPr>
                <w:rFonts w:ascii="仿宋" w:hAnsi="仿宋" w:eastAsia="仿宋" w:cs="仿宋"/>
                <w:color w:val="auto"/>
                <w:szCs w:val="21"/>
                <w:highlight w:val="none"/>
              </w:rPr>
            </w:pPr>
          </w:p>
        </w:tc>
        <w:tc>
          <w:tcPr>
            <w:tcW w:w="1072" w:type="dxa"/>
            <w:vAlign w:val="center"/>
          </w:tcPr>
          <w:p>
            <w:pPr>
              <w:pStyle w:val="11"/>
              <w:spacing w:line="240" w:lineRule="atLeast"/>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1" w:type="dxa"/>
            <w:vAlign w:val="center"/>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2741" w:type="dxa"/>
            <w:vAlign w:val="center"/>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其他伴随的服务和工程</w:t>
            </w:r>
          </w:p>
        </w:tc>
        <w:tc>
          <w:tcPr>
            <w:tcW w:w="1060" w:type="dxa"/>
          </w:tcPr>
          <w:p>
            <w:pPr>
              <w:pStyle w:val="11"/>
              <w:spacing w:line="240" w:lineRule="atLeast"/>
              <w:jc w:val="center"/>
              <w:rPr>
                <w:rFonts w:ascii="仿宋" w:hAnsi="仿宋" w:eastAsia="仿宋" w:cs="仿宋"/>
                <w:color w:val="auto"/>
                <w:szCs w:val="21"/>
                <w:highlight w:val="none"/>
              </w:rPr>
            </w:pPr>
          </w:p>
        </w:tc>
        <w:tc>
          <w:tcPr>
            <w:tcW w:w="1600" w:type="dxa"/>
            <w:vAlign w:val="center"/>
          </w:tcPr>
          <w:p>
            <w:pPr>
              <w:pStyle w:val="11"/>
              <w:spacing w:line="240" w:lineRule="atLeast"/>
              <w:jc w:val="center"/>
              <w:rPr>
                <w:rFonts w:ascii="仿宋" w:hAnsi="仿宋" w:eastAsia="仿宋" w:cs="仿宋"/>
                <w:color w:val="auto"/>
                <w:szCs w:val="21"/>
                <w:highlight w:val="none"/>
              </w:rPr>
            </w:pPr>
          </w:p>
        </w:tc>
        <w:tc>
          <w:tcPr>
            <w:tcW w:w="1466" w:type="dxa"/>
            <w:vAlign w:val="center"/>
          </w:tcPr>
          <w:p>
            <w:pPr>
              <w:pStyle w:val="11"/>
              <w:spacing w:line="240" w:lineRule="atLeast"/>
              <w:jc w:val="center"/>
              <w:rPr>
                <w:rFonts w:ascii="仿宋" w:hAnsi="仿宋" w:eastAsia="仿宋" w:cs="仿宋"/>
                <w:color w:val="auto"/>
                <w:szCs w:val="21"/>
                <w:highlight w:val="none"/>
              </w:rPr>
            </w:pPr>
          </w:p>
        </w:tc>
        <w:tc>
          <w:tcPr>
            <w:tcW w:w="977" w:type="dxa"/>
            <w:vAlign w:val="center"/>
          </w:tcPr>
          <w:p>
            <w:pPr>
              <w:pStyle w:val="11"/>
              <w:spacing w:line="240" w:lineRule="atLeast"/>
              <w:jc w:val="center"/>
              <w:rPr>
                <w:rFonts w:ascii="仿宋" w:hAnsi="仿宋" w:eastAsia="仿宋" w:cs="仿宋"/>
                <w:color w:val="auto"/>
                <w:szCs w:val="21"/>
                <w:highlight w:val="none"/>
              </w:rPr>
            </w:pPr>
          </w:p>
        </w:tc>
        <w:tc>
          <w:tcPr>
            <w:tcW w:w="1843" w:type="dxa"/>
            <w:vAlign w:val="center"/>
          </w:tcPr>
          <w:p>
            <w:pPr>
              <w:pStyle w:val="11"/>
              <w:spacing w:line="240" w:lineRule="atLeast"/>
              <w:jc w:val="center"/>
              <w:rPr>
                <w:rFonts w:ascii="仿宋" w:hAnsi="仿宋" w:eastAsia="仿宋" w:cs="仿宋"/>
                <w:color w:val="auto"/>
                <w:szCs w:val="21"/>
                <w:highlight w:val="none"/>
              </w:rPr>
            </w:pPr>
          </w:p>
        </w:tc>
        <w:tc>
          <w:tcPr>
            <w:tcW w:w="913" w:type="dxa"/>
            <w:vAlign w:val="center"/>
          </w:tcPr>
          <w:p>
            <w:pPr>
              <w:pStyle w:val="11"/>
              <w:spacing w:line="240" w:lineRule="atLeast"/>
              <w:jc w:val="center"/>
              <w:rPr>
                <w:rFonts w:ascii="仿宋" w:hAnsi="仿宋" w:eastAsia="仿宋" w:cs="仿宋"/>
                <w:color w:val="auto"/>
                <w:szCs w:val="21"/>
                <w:highlight w:val="none"/>
              </w:rPr>
            </w:pPr>
          </w:p>
        </w:tc>
        <w:tc>
          <w:tcPr>
            <w:tcW w:w="1067" w:type="dxa"/>
            <w:vAlign w:val="center"/>
          </w:tcPr>
          <w:p>
            <w:pPr>
              <w:pStyle w:val="11"/>
              <w:spacing w:line="240" w:lineRule="atLeast"/>
              <w:jc w:val="center"/>
              <w:rPr>
                <w:rFonts w:ascii="仿宋" w:hAnsi="仿宋" w:eastAsia="仿宋" w:cs="仿宋"/>
                <w:color w:val="auto"/>
                <w:szCs w:val="21"/>
                <w:highlight w:val="none"/>
              </w:rPr>
            </w:pPr>
          </w:p>
        </w:tc>
        <w:tc>
          <w:tcPr>
            <w:tcW w:w="1072" w:type="dxa"/>
            <w:vAlign w:val="center"/>
          </w:tcPr>
          <w:p>
            <w:pPr>
              <w:pStyle w:val="11"/>
              <w:spacing w:line="240" w:lineRule="atLeast"/>
              <w:jc w:val="center"/>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13410" w:type="dxa"/>
            <w:gridSpan w:val="10"/>
            <w:vAlign w:val="center"/>
          </w:tcPr>
          <w:p>
            <w:pPr>
              <w:pStyle w:val="11"/>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总价：</w:t>
            </w:r>
          </w:p>
        </w:tc>
      </w:tr>
    </w:tbl>
    <w:p>
      <w:pPr>
        <w:pStyle w:val="11"/>
        <w:tabs>
          <w:tab w:val="left" w:pos="5370"/>
        </w:tabs>
        <w:spacing w:before="120" w:beforeLines="50" w:line="360" w:lineRule="auto"/>
        <w:ind w:left="1079" w:leftChars="257" w:hanging="539"/>
        <w:rPr>
          <w:rFonts w:ascii="仿宋" w:hAnsi="仿宋" w:eastAsia="仿宋" w:cs="仿宋"/>
          <w:color w:val="auto"/>
          <w:szCs w:val="21"/>
          <w:highlight w:val="none"/>
          <w:u w:val="single"/>
        </w:rPr>
      </w:pPr>
      <w:r>
        <w:rPr>
          <w:rFonts w:hint="eastAsia" w:ascii="仿宋" w:hAnsi="仿宋" w:eastAsia="仿宋" w:cs="仿宋"/>
          <w:color w:val="auto"/>
          <w:szCs w:val="21"/>
          <w:highlight w:val="none"/>
        </w:rPr>
        <w:t>投标人(盖公章):</w:t>
      </w:r>
      <w:r>
        <w:rPr>
          <w:rFonts w:hint="eastAsia" w:ascii="仿宋" w:hAnsi="仿宋" w:eastAsia="仿宋" w:cs="仿宋"/>
          <w:color w:val="auto"/>
          <w:szCs w:val="21"/>
          <w:highlight w:val="none"/>
          <w:u w:val="single"/>
        </w:rPr>
        <w:tab/>
      </w:r>
    </w:p>
    <w:p>
      <w:pPr>
        <w:pStyle w:val="11"/>
        <w:spacing w:line="360" w:lineRule="auto"/>
        <w:ind w:left="1080"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法定代表人或委托代理人（签字或签章）: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 xml:space="preserve">                 </w:t>
      </w:r>
    </w:p>
    <w:p>
      <w:pPr>
        <w:pStyle w:val="11"/>
        <w:spacing w:line="360" w:lineRule="auto"/>
        <w:ind w:left="1080" w:leftChars="257" w:hanging="540"/>
        <w:rPr>
          <w:rFonts w:ascii="仿宋" w:hAnsi="仿宋" w:eastAsia="仿宋" w:cs="仿宋"/>
          <w:color w:val="auto"/>
          <w:szCs w:val="21"/>
          <w:highlight w:val="none"/>
        </w:rPr>
      </w:pPr>
    </w:p>
    <w:p>
      <w:pPr>
        <w:pStyle w:val="11"/>
        <w:rPr>
          <w:rFonts w:ascii="仿宋" w:hAnsi="仿宋" w:eastAsia="仿宋" w:cs="仿宋"/>
          <w:color w:val="auto"/>
          <w:szCs w:val="21"/>
          <w:highlight w:val="none"/>
        </w:rPr>
      </w:pPr>
      <w:r>
        <w:rPr>
          <w:rFonts w:hint="eastAsia" w:ascii="仿宋" w:hAnsi="仿宋" w:eastAsia="仿宋" w:cs="仿宋"/>
          <w:color w:val="auto"/>
          <w:szCs w:val="21"/>
          <w:highlight w:val="none"/>
        </w:rPr>
        <w:t>注:1.如果投标人认为需要，每种货物填写一份本表。</w:t>
      </w:r>
    </w:p>
    <w:p>
      <w:pPr>
        <w:pStyle w:val="11"/>
        <w:ind w:left="315" w:leftChars="150"/>
        <w:rPr>
          <w:rFonts w:ascii="仿宋" w:hAnsi="仿宋" w:eastAsia="仿宋" w:cs="仿宋"/>
          <w:color w:val="auto"/>
          <w:szCs w:val="21"/>
          <w:highlight w:val="none"/>
        </w:rPr>
      </w:pPr>
      <w:r>
        <w:rPr>
          <w:rFonts w:hint="eastAsia" w:ascii="仿宋" w:hAnsi="仿宋" w:eastAsia="仿宋" w:cs="仿宋"/>
          <w:color w:val="auto"/>
          <w:szCs w:val="21"/>
          <w:highlight w:val="none"/>
        </w:rPr>
        <w:t>2.如果按单价计算的结果与总价不一致,以单价为准修正总价；如果不提供详细分项报价将视为没有实质性响应招标文件。</w:t>
      </w:r>
    </w:p>
    <w:p>
      <w:pPr>
        <w:pStyle w:val="11"/>
        <w:ind w:left="315" w:leftChars="150"/>
        <w:rPr>
          <w:rFonts w:ascii="仿宋" w:hAnsi="仿宋" w:eastAsia="仿宋" w:cs="仿宋"/>
          <w:color w:val="auto"/>
          <w:szCs w:val="21"/>
          <w:highlight w:val="none"/>
        </w:rPr>
      </w:pPr>
      <w:r>
        <w:rPr>
          <w:rFonts w:hint="eastAsia" w:ascii="仿宋" w:hAnsi="仿宋" w:eastAsia="仿宋" w:cs="仿宋"/>
          <w:color w:val="auto"/>
          <w:szCs w:val="21"/>
          <w:highlight w:val="none"/>
        </w:rPr>
        <w:t>3.上述各项的详细分项报价，可另页描述。</w:t>
      </w:r>
    </w:p>
    <w:p>
      <w:pPr>
        <w:pStyle w:val="11"/>
        <w:ind w:left="315" w:leftChars="150"/>
        <w:rPr>
          <w:rFonts w:ascii="仿宋" w:hAnsi="仿宋" w:eastAsia="仿宋" w:cs="仿宋"/>
          <w:color w:val="auto"/>
          <w:szCs w:val="21"/>
          <w:highlight w:val="none"/>
        </w:rPr>
      </w:pPr>
      <w:r>
        <w:rPr>
          <w:rFonts w:hint="eastAsia" w:ascii="仿宋" w:hAnsi="仿宋" w:eastAsia="仿宋" w:cs="仿宋"/>
          <w:color w:val="auto"/>
          <w:szCs w:val="21"/>
          <w:highlight w:val="none"/>
        </w:rPr>
        <w:t>4.如果开标一览表（报价表）内容与本表内容和合计金额不一致的，以开标一览表（报价表）内容为准。</w:t>
      </w:r>
    </w:p>
    <w:bookmarkEnd w:id="330"/>
    <w:p>
      <w:pPr>
        <w:pStyle w:val="11"/>
        <w:ind w:left="315" w:leftChars="150"/>
        <w:rPr>
          <w:rFonts w:ascii="仿宋" w:hAnsi="仿宋" w:eastAsia="仿宋" w:cs="仿宋"/>
          <w:color w:val="auto"/>
          <w:sz w:val="24"/>
          <w:highlight w:val="none"/>
        </w:rPr>
      </w:pPr>
      <w:r>
        <w:rPr>
          <w:rFonts w:hint="eastAsia" w:ascii="仿宋" w:hAnsi="仿宋" w:eastAsia="仿宋" w:cs="仿宋"/>
          <w:b/>
          <w:bCs/>
          <w:color w:val="auto"/>
          <w:szCs w:val="21"/>
          <w:highlight w:val="none"/>
        </w:rPr>
        <w:t>5.如本项目接受进口产品投标，若产品未办理清关可由学校指定的外贸代理协助办理免税手续，投标人投未办理清关手续的进口产品时货物分项报价需体现各项进口产品CIF/CIP南京港美元报价，总价需同时报外币总价和折合的人民币报价（不含税包干价）。已办理清关手续的可直接在此表中报人民币含税包干价。</w:t>
      </w:r>
      <w:r>
        <w:rPr>
          <w:rFonts w:hint="eastAsia" w:ascii="仿宋" w:hAnsi="仿宋" w:eastAsia="仿宋" w:cs="仿宋"/>
          <w:color w:val="auto"/>
          <w:sz w:val="24"/>
          <w:highlight w:val="none"/>
        </w:rPr>
        <w:br w:type="page"/>
      </w:r>
    </w:p>
    <w:p>
      <w:pPr>
        <w:pStyle w:val="6"/>
        <w:spacing w:before="0" w:line="360" w:lineRule="auto"/>
        <w:jc w:val="center"/>
        <w:rPr>
          <w:rFonts w:ascii="仿宋" w:hAnsi="仿宋" w:eastAsia="仿宋" w:cs="仿宋"/>
          <w:color w:val="auto"/>
          <w:highlight w:val="none"/>
        </w:rPr>
      </w:pPr>
      <w:bookmarkStart w:id="331" w:name="_Toc2582322"/>
      <w:bookmarkStart w:id="332" w:name="_Toc60830328"/>
      <w:bookmarkStart w:id="333" w:name="_Toc14037"/>
      <w:bookmarkStart w:id="334" w:name="_Toc532473508"/>
      <w:bookmarkStart w:id="335" w:name="_Toc515647819"/>
      <w:bookmarkStart w:id="336" w:name="_Toc18267"/>
      <w:bookmarkStart w:id="337" w:name="_Toc216582816"/>
      <w:r>
        <w:rPr>
          <w:rFonts w:hint="eastAsia" w:ascii="仿宋" w:hAnsi="仿宋" w:eastAsia="仿宋" w:cs="仿宋"/>
          <w:color w:val="auto"/>
          <w:highlight w:val="none"/>
          <w:u w:val="none"/>
        </w:rPr>
        <w:t>3  货物及伴随服务和工程说明一览表</w:t>
      </w:r>
      <w:bookmarkEnd w:id="331"/>
      <w:bookmarkEnd w:id="332"/>
    </w:p>
    <w:bookmarkEnd w:id="333"/>
    <w:bookmarkEnd w:id="334"/>
    <w:bookmarkEnd w:id="335"/>
    <w:bookmarkEnd w:id="336"/>
    <w:p>
      <w:pPr>
        <w:pStyle w:val="11"/>
        <w:spacing w:line="360" w:lineRule="auto"/>
        <w:ind w:left="1080" w:leftChars="257" w:hanging="540"/>
        <w:rPr>
          <w:rFonts w:ascii="仿宋" w:hAnsi="仿宋" w:eastAsia="仿宋" w:cs="仿宋"/>
          <w:color w:val="auto"/>
          <w:szCs w:val="21"/>
          <w:highlight w:val="none"/>
        </w:rPr>
      </w:pPr>
    </w:p>
    <w:p>
      <w:pPr>
        <w:pStyle w:val="11"/>
        <w:spacing w:line="360" w:lineRule="auto"/>
        <w:ind w:left="1080"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项目名称:                                    项目编号:                       包号:                      </w:t>
      </w:r>
    </w:p>
    <w:p>
      <w:pPr>
        <w:pStyle w:val="11"/>
        <w:spacing w:line="360" w:lineRule="auto"/>
        <w:ind w:left="1080" w:leftChars="257" w:hanging="540"/>
        <w:rPr>
          <w:rFonts w:ascii="仿宋" w:hAnsi="仿宋" w:eastAsia="仿宋" w:cs="仿宋"/>
          <w:color w:val="auto"/>
          <w:szCs w:val="21"/>
          <w:highlight w:val="none"/>
        </w:rPr>
      </w:pPr>
    </w:p>
    <w:tbl>
      <w:tblPr>
        <w:tblStyle w:val="20"/>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980"/>
        <w:gridCol w:w="1800"/>
        <w:gridCol w:w="1620"/>
        <w:gridCol w:w="1980"/>
        <w:gridCol w:w="21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vAlign w:val="center"/>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980" w:type="dxa"/>
            <w:vAlign w:val="center"/>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货物及伴随服务和工程名称</w:t>
            </w:r>
          </w:p>
        </w:tc>
        <w:tc>
          <w:tcPr>
            <w:tcW w:w="1800" w:type="dxa"/>
            <w:vAlign w:val="center"/>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主要规格</w:t>
            </w:r>
          </w:p>
        </w:tc>
        <w:tc>
          <w:tcPr>
            <w:tcW w:w="1620" w:type="dxa"/>
            <w:vAlign w:val="center"/>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数量</w:t>
            </w:r>
          </w:p>
        </w:tc>
        <w:tc>
          <w:tcPr>
            <w:tcW w:w="1980" w:type="dxa"/>
            <w:vAlign w:val="center"/>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交货期</w:t>
            </w:r>
          </w:p>
        </w:tc>
        <w:tc>
          <w:tcPr>
            <w:tcW w:w="2160" w:type="dxa"/>
            <w:vAlign w:val="center"/>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交货地点</w:t>
            </w:r>
          </w:p>
        </w:tc>
        <w:tc>
          <w:tcPr>
            <w:tcW w:w="1980" w:type="dxa"/>
            <w:vAlign w:val="center"/>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pStyle w:val="11"/>
              <w:spacing w:line="360" w:lineRule="auto"/>
              <w:ind w:left="1080" w:leftChars="257" w:hanging="540"/>
              <w:rPr>
                <w:rFonts w:ascii="仿宋" w:hAnsi="仿宋" w:eastAsia="仿宋" w:cs="仿宋"/>
                <w:color w:val="auto"/>
                <w:szCs w:val="21"/>
                <w:highlight w:val="none"/>
              </w:rPr>
            </w:pPr>
          </w:p>
        </w:tc>
        <w:tc>
          <w:tcPr>
            <w:tcW w:w="1980" w:type="dxa"/>
          </w:tcPr>
          <w:p>
            <w:pPr>
              <w:pStyle w:val="11"/>
              <w:spacing w:line="360" w:lineRule="auto"/>
              <w:ind w:left="1080" w:leftChars="257" w:hanging="540"/>
              <w:rPr>
                <w:rFonts w:ascii="仿宋" w:hAnsi="仿宋" w:eastAsia="仿宋" w:cs="仿宋"/>
                <w:color w:val="auto"/>
                <w:szCs w:val="21"/>
                <w:highlight w:val="none"/>
              </w:rPr>
            </w:pPr>
          </w:p>
        </w:tc>
        <w:tc>
          <w:tcPr>
            <w:tcW w:w="1800" w:type="dxa"/>
          </w:tcPr>
          <w:p>
            <w:pPr>
              <w:pStyle w:val="11"/>
              <w:spacing w:line="360" w:lineRule="auto"/>
              <w:ind w:left="1080" w:leftChars="257" w:hanging="540"/>
              <w:rPr>
                <w:rFonts w:ascii="仿宋" w:hAnsi="仿宋" w:eastAsia="仿宋" w:cs="仿宋"/>
                <w:color w:val="auto"/>
                <w:szCs w:val="21"/>
                <w:highlight w:val="none"/>
              </w:rPr>
            </w:pPr>
          </w:p>
        </w:tc>
        <w:tc>
          <w:tcPr>
            <w:tcW w:w="1620" w:type="dxa"/>
          </w:tcPr>
          <w:p>
            <w:pPr>
              <w:pStyle w:val="11"/>
              <w:spacing w:line="360" w:lineRule="auto"/>
              <w:ind w:left="1080" w:leftChars="257" w:hanging="540"/>
              <w:rPr>
                <w:rFonts w:ascii="仿宋" w:hAnsi="仿宋" w:eastAsia="仿宋" w:cs="仿宋"/>
                <w:color w:val="auto"/>
                <w:szCs w:val="21"/>
                <w:highlight w:val="none"/>
              </w:rPr>
            </w:pPr>
          </w:p>
        </w:tc>
        <w:tc>
          <w:tcPr>
            <w:tcW w:w="1980" w:type="dxa"/>
          </w:tcPr>
          <w:p>
            <w:pPr>
              <w:pStyle w:val="11"/>
              <w:spacing w:line="360" w:lineRule="auto"/>
              <w:ind w:left="1080" w:leftChars="257" w:hanging="540"/>
              <w:rPr>
                <w:rFonts w:ascii="仿宋" w:hAnsi="仿宋" w:eastAsia="仿宋" w:cs="仿宋"/>
                <w:color w:val="auto"/>
                <w:szCs w:val="21"/>
                <w:highlight w:val="none"/>
              </w:rPr>
            </w:pPr>
          </w:p>
        </w:tc>
        <w:tc>
          <w:tcPr>
            <w:tcW w:w="2160" w:type="dxa"/>
          </w:tcPr>
          <w:p>
            <w:pPr>
              <w:pStyle w:val="11"/>
              <w:spacing w:line="360" w:lineRule="auto"/>
              <w:ind w:left="1080" w:leftChars="257" w:hanging="540"/>
              <w:rPr>
                <w:rFonts w:ascii="仿宋" w:hAnsi="仿宋" w:eastAsia="仿宋" w:cs="仿宋"/>
                <w:color w:val="auto"/>
                <w:szCs w:val="21"/>
                <w:highlight w:val="none"/>
              </w:rPr>
            </w:pPr>
          </w:p>
        </w:tc>
        <w:tc>
          <w:tcPr>
            <w:tcW w:w="1980" w:type="dxa"/>
          </w:tcPr>
          <w:p>
            <w:pPr>
              <w:pStyle w:val="11"/>
              <w:spacing w:line="360" w:lineRule="auto"/>
              <w:ind w:left="1080" w:leftChars="257" w:hanging="540"/>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pStyle w:val="11"/>
              <w:spacing w:line="360" w:lineRule="auto"/>
              <w:ind w:left="1080" w:leftChars="257" w:hanging="540"/>
              <w:rPr>
                <w:rFonts w:ascii="仿宋" w:hAnsi="仿宋" w:eastAsia="仿宋" w:cs="仿宋"/>
                <w:color w:val="auto"/>
                <w:szCs w:val="21"/>
                <w:highlight w:val="none"/>
              </w:rPr>
            </w:pPr>
          </w:p>
        </w:tc>
        <w:tc>
          <w:tcPr>
            <w:tcW w:w="1980" w:type="dxa"/>
          </w:tcPr>
          <w:p>
            <w:pPr>
              <w:pStyle w:val="11"/>
              <w:spacing w:line="360" w:lineRule="auto"/>
              <w:ind w:left="1080" w:leftChars="257" w:hanging="540"/>
              <w:rPr>
                <w:rFonts w:ascii="仿宋" w:hAnsi="仿宋" w:eastAsia="仿宋" w:cs="仿宋"/>
                <w:color w:val="auto"/>
                <w:szCs w:val="21"/>
                <w:highlight w:val="none"/>
              </w:rPr>
            </w:pPr>
          </w:p>
        </w:tc>
        <w:tc>
          <w:tcPr>
            <w:tcW w:w="1800" w:type="dxa"/>
          </w:tcPr>
          <w:p>
            <w:pPr>
              <w:pStyle w:val="11"/>
              <w:spacing w:line="360" w:lineRule="auto"/>
              <w:ind w:left="1080" w:leftChars="257" w:hanging="540"/>
              <w:rPr>
                <w:rFonts w:ascii="仿宋" w:hAnsi="仿宋" w:eastAsia="仿宋" w:cs="仿宋"/>
                <w:color w:val="auto"/>
                <w:szCs w:val="21"/>
                <w:highlight w:val="none"/>
              </w:rPr>
            </w:pPr>
          </w:p>
        </w:tc>
        <w:tc>
          <w:tcPr>
            <w:tcW w:w="1620" w:type="dxa"/>
          </w:tcPr>
          <w:p>
            <w:pPr>
              <w:pStyle w:val="11"/>
              <w:spacing w:line="360" w:lineRule="auto"/>
              <w:ind w:left="1080" w:leftChars="257" w:hanging="540"/>
              <w:rPr>
                <w:rFonts w:ascii="仿宋" w:hAnsi="仿宋" w:eastAsia="仿宋" w:cs="仿宋"/>
                <w:color w:val="auto"/>
                <w:szCs w:val="21"/>
                <w:highlight w:val="none"/>
              </w:rPr>
            </w:pPr>
          </w:p>
        </w:tc>
        <w:tc>
          <w:tcPr>
            <w:tcW w:w="1980" w:type="dxa"/>
          </w:tcPr>
          <w:p>
            <w:pPr>
              <w:pStyle w:val="11"/>
              <w:spacing w:line="360" w:lineRule="auto"/>
              <w:ind w:left="1080" w:leftChars="257" w:hanging="540"/>
              <w:rPr>
                <w:rFonts w:ascii="仿宋" w:hAnsi="仿宋" w:eastAsia="仿宋" w:cs="仿宋"/>
                <w:color w:val="auto"/>
                <w:szCs w:val="21"/>
                <w:highlight w:val="none"/>
              </w:rPr>
            </w:pPr>
          </w:p>
        </w:tc>
        <w:tc>
          <w:tcPr>
            <w:tcW w:w="2160" w:type="dxa"/>
          </w:tcPr>
          <w:p>
            <w:pPr>
              <w:pStyle w:val="11"/>
              <w:spacing w:line="360" w:lineRule="auto"/>
              <w:ind w:left="1080" w:leftChars="257" w:hanging="540"/>
              <w:rPr>
                <w:rFonts w:ascii="仿宋" w:hAnsi="仿宋" w:eastAsia="仿宋" w:cs="仿宋"/>
                <w:color w:val="auto"/>
                <w:szCs w:val="21"/>
                <w:highlight w:val="none"/>
              </w:rPr>
            </w:pPr>
          </w:p>
        </w:tc>
        <w:tc>
          <w:tcPr>
            <w:tcW w:w="1980" w:type="dxa"/>
          </w:tcPr>
          <w:p>
            <w:pPr>
              <w:pStyle w:val="11"/>
              <w:spacing w:line="360" w:lineRule="auto"/>
              <w:ind w:left="1080" w:leftChars="257" w:hanging="540"/>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pStyle w:val="11"/>
              <w:spacing w:line="360" w:lineRule="auto"/>
              <w:ind w:left="1080" w:leftChars="257" w:hanging="540"/>
              <w:rPr>
                <w:rFonts w:ascii="仿宋" w:hAnsi="仿宋" w:eastAsia="仿宋" w:cs="仿宋"/>
                <w:color w:val="auto"/>
                <w:szCs w:val="21"/>
                <w:highlight w:val="none"/>
              </w:rPr>
            </w:pPr>
          </w:p>
        </w:tc>
        <w:tc>
          <w:tcPr>
            <w:tcW w:w="1980" w:type="dxa"/>
          </w:tcPr>
          <w:p>
            <w:pPr>
              <w:pStyle w:val="11"/>
              <w:spacing w:line="360" w:lineRule="auto"/>
              <w:ind w:left="1080" w:leftChars="257" w:hanging="540"/>
              <w:rPr>
                <w:rFonts w:ascii="仿宋" w:hAnsi="仿宋" w:eastAsia="仿宋" w:cs="仿宋"/>
                <w:color w:val="auto"/>
                <w:szCs w:val="21"/>
                <w:highlight w:val="none"/>
              </w:rPr>
            </w:pPr>
          </w:p>
        </w:tc>
        <w:tc>
          <w:tcPr>
            <w:tcW w:w="1800" w:type="dxa"/>
          </w:tcPr>
          <w:p>
            <w:pPr>
              <w:pStyle w:val="11"/>
              <w:spacing w:line="360" w:lineRule="auto"/>
              <w:ind w:left="1080" w:leftChars="257" w:hanging="540"/>
              <w:rPr>
                <w:rFonts w:ascii="仿宋" w:hAnsi="仿宋" w:eastAsia="仿宋" w:cs="仿宋"/>
                <w:color w:val="auto"/>
                <w:szCs w:val="21"/>
                <w:highlight w:val="none"/>
              </w:rPr>
            </w:pPr>
          </w:p>
        </w:tc>
        <w:tc>
          <w:tcPr>
            <w:tcW w:w="1620" w:type="dxa"/>
          </w:tcPr>
          <w:p>
            <w:pPr>
              <w:pStyle w:val="11"/>
              <w:spacing w:line="360" w:lineRule="auto"/>
              <w:ind w:left="1080" w:leftChars="257" w:hanging="540"/>
              <w:rPr>
                <w:rFonts w:ascii="仿宋" w:hAnsi="仿宋" w:eastAsia="仿宋" w:cs="仿宋"/>
                <w:color w:val="auto"/>
                <w:szCs w:val="21"/>
                <w:highlight w:val="none"/>
              </w:rPr>
            </w:pPr>
          </w:p>
        </w:tc>
        <w:tc>
          <w:tcPr>
            <w:tcW w:w="1980" w:type="dxa"/>
          </w:tcPr>
          <w:p>
            <w:pPr>
              <w:pStyle w:val="11"/>
              <w:spacing w:line="360" w:lineRule="auto"/>
              <w:ind w:left="1080" w:leftChars="257" w:hanging="540"/>
              <w:rPr>
                <w:rFonts w:ascii="仿宋" w:hAnsi="仿宋" w:eastAsia="仿宋" w:cs="仿宋"/>
                <w:color w:val="auto"/>
                <w:szCs w:val="21"/>
                <w:highlight w:val="none"/>
              </w:rPr>
            </w:pPr>
          </w:p>
        </w:tc>
        <w:tc>
          <w:tcPr>
            <w:tcW w:w="2160" w:type="dxa"/>
          </w:tcPr>
          <w:p>
            <w:pPr>
              <w:pStyle w:val="11"/>
              <w:spacing w:line="360" w:lineRule="auto"/>
              <w:ind w:left="1080" w:leftChars="257" w:hanging="540"/>
              <w:rPr>
                <w:rFonts w:ascii="仿宋" w:hAnsi="仿宋" w:eastAsia="仿宋" w:cs="仿宋"/>
                <w:color w:val="auto"/>
                <w:szCs w:val="21"/>
                <w:highlight w:val="none"/>
              </w:rPr>
            </w:pPr>
          </w:p>
        </w:tc>
        <w:tc>
          <w:tcPr>
            <w:tcW w:w="1980" w:type="dxa"/>
          </w:tcPr>
          <w:p>
            <w:pPr>
              <w:pStyle w:val="11"/>
              <w:spacing w:line="360" w:lineRule="auto"/>
              <w:ind w:left="1080" w:leftChars="257" w:hanging="540"/>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pStyle w:val="11"/>
              <w:spacing w:line="360" w:lineRule="auto"/>
              <w:ind w:left="1080" w:leftChars="257" w:hanging="540"/>
              <w:rPr>
                <w:rFonts w:ascii="仿宋" w:hAnsi="仿宋" w:eastAsia="仿宋" w:cs="仿宋"/>
                <w:color w:val="auto"/>
                <w:szCs w:val="21"/>
                <w:highlight w:val="none"/>
              </w:rPr>
            </w:pPr>
          </w:p>
        </w:tc>
        <w:tc>
          <w:tcPr>
            <w:tcW w:w="1980" w:type="dxa"/>
          </w:tcPr>
          <w:p>
            <w:pPr>
              <w:pStyle w:val="11"/>
              <w:spacing w:line="360" w:lineRule="auto"/>
              <w:ind w:left="1080" w:leftChars="257" w:hanging="540"/>
              <w:rPr>
                <w:rFonts w:ascii="仿宋" w:hAnsi="仿宋" w:eastAsia="仿宋" w:cs="仿宋"/>
                <w:color w:val="auto"/>
                <w:szCs w:val="21"/>
                <w:highlight w:val="none"/>
              </w:rPr>
            </w:pPr>
          </w:p>
        </w:tc>
        <w:tc>
          <w:tcPr>
            <w:tcW w:w="1800" w:type="dxa"/>
          </w:tcPr>
          <w:p>
            <w:pPr>
              <w:pStyle w:val="11"/>
              <w:spacing w:line="360" w:lineRule="auto"/>
              <w:ind w:left="1080" w:leftChars="257" w:hanging="540"/>
              <w:rPr>
                <w:rFonts w:ascii="仿宋" w:hAnsi="仿宋" w:eastAsia="仿宋" w:cs="仿宋"/>
                <w:color w:val="auto"/>
                <w:szCs w:val="21"/>
                <w:highlight w:val="none"/>
              </w:rPr>
            </w:pPr>
          </w:p>
        </w:tc>
        <w:tc>
          <w:tcPr>
            <w:tcW w:w="1620" w:type="dxa"/>
          </w:tcPr>
          <w:p>
            <w:pPr>
              <w:pStyle w:val="11"/>
              <w:spacing w:line="360" w:lineRule="auto"/>
              <w:ind w:left="1080" w:leftChars="257" w:hanging="540"/>
              <w:rPr>
                <w:rFonts w:ascii="仿宋" w:hAnsi="仿宋" w:eastAsia="仿宋" w:cs="仿宋"/>
                <w:color w:val="auto"/>
                <w:szCs w:val="21"/>
                <w:highlight w:val="none"/>
              </w:rPr>
            </w:pPr>
          </w:p>
        </w:tc>
        <w:tc>
          <w:tcPr>
            <w:tcW w:w="1980" w:type="dxa"/>
          </w:tcPr>
          <w:p>
            <w:pPr>
              <w:pStyle w:val="11"/>
              <w:spacing w:line="360" w:lineRule="auto"/>
              <w:ind w:left="1080" w:leftChars="257" w:hanging="540"/>
              <w:rPr>
                <w:rFonts w:ascii="仿宋" w:hAnsi="仿宋" w:eastAsia="仿宋" w:cs="仿宋"/>
                <w:color w:val="auto"/>
                <w:szCs w:val="21"/>
                <w:highlight w:val="none"/>
              </w:rPr>
            </w:pPr>
          </w:p>
        </w:tc>
        <w:tc>
          <w:tcPr>
            <w:tcW w:w="2160" w:type="dxa"/>
          </w:tcPr>
          <w:p>
            <w:pPr>
              <w:pStyle w:val="11"/>
              <w:spacing w:line="360" w:lineRule="auto"/>
              <w:ind w:left="1080" w:leftChars="257" w:hanging="540"/>
              <w:rPr>
                <w:rFonts w:ascii="仿宋" w:hAnsi="仿宋" w:eastAsia="仿宋" w:cs="仿宋"/>
                <w:color w:val="auto"/>
                <w:szCs w:val="21"/>
                <w:highlight w:val="none"/>
              </w:rPr>
            </w:pPr>
          </w:p>
        </w:tc>
        <w:tc>
          <w:tcPr>
            <w:tcW w:w="1980" w:type="dxa"/>
          </w:tcPr>
          <w:p>
            <w:pPr>
              <w:pStyle w:val="11"/>
              <w:spacing w:line="360" w:lineRule="auto"/>
              <w:ind w:left="1080" w:leftChars="257" w:hanging="540"/>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40" w:type="dxa"/>
          </w:tcPr>
          <w:p>
            <w:pPr>
              <w:pStyle w:val="11"/>
              <w:spacing w:line="360" w:lineRule="auto"/>
              <w:ind w:left="1080" w:leftChars="257" w:hanging="540"/>
              <w:rPr>
                <w:rFonts w:ascii="仿宋" w:hAnsi="仿宋" w:eastAsia="仿宋" w:cs="仿宋"/>
                <w:color w:val="auto"/>
                <w:szCs w:val="21"/>
                <w:highlight w:val="none"/>
              </w:rPr>
            </w:pPr>
          </w:p>
        </w:tc>
        <w:tc>
          <w:tcPr>
            <w:tcW w:w="1980" w:type="dxa"/>
          </w:tcPr>
          <w:p>
            <w:pPr>
              <w:pStyle w:val="11"/>
              <w:spacing w:line="360" w:lineRule="auto"/>
              <w:ind w:left="1080" w:leftChars="257" w:hanging="540"/>
              <w:rPr>
                <w:rFonts w:ascii="仿宋" w:hAnsi="仿宋" w:eastAsia="仿宋" w:cs="仿宋"/>
                <w:color w:val="auto"/>
                <w:szCs w:val="21"/>
                <w:highlight w:val="none"/>
              </w:rPr>
            </w:pPr>
          </w:p>
        </w:tc>
        <w:tc>
          <w:tcPr>
            <w:tcW w:w="1800" w:type="dxa"/>
          </w:tcPr>
          <w:p>
            <w:pPr>
              <w:pStyle w:val="11"/>
              <w:spacing w:line="360" w:lineRule="auto"/>
              <w:ind w:left="1080" w:leftChars="257" w:hanging="540"/>
              <w:rPr>
                <w:rFonts w:ascii="仿宋" w:hAnsi="仿宋" w:eastAsia="仿宋" w:cs="仿宋"/>
                <w:color w:val="auto"/>
                <w:szCs w:val="21"/>
                <w:highlight w:val="none"/>
              </w:rPr>
            </w:pPr>
          </w:p>
        </w:tc>
        <w:tc>
          <w:tcPr>
            <w:tcW w:w="1620" w:type="dxa"/>
          </w:tcPr>
          <w:p>
            <w:pPr>
              <w:pStyle w:val="11"/>
              <w:spacing w:line="360" w:lineRule="auto"/>
              <w:ind w:left="1080" w:leftChars="257" w:hanging="540"/>
              <w:rPr>
                <w:rFonts w:ascii="仿宋" w:hAnsi="仿宋" w:eastAsia="仿宋" w:cs="仿宋"/>
                <w:color w:val="auto"/>
                <w:szCs w:val="21"/>
                <w:highlight w:val="none"/>
              </w:rPr>
            </w:pPr>
          </w:p>
        </w:tc>
        <w:tc>
          <w:tcPr>
            <w:tcW w:w="1980" w:type="dxa"/>
          </w:tcPr>
          <w:p>
            <w:pPr>
              <w:pStyle w:val="11"/>
              <w:spacing w:line="360" w:lineRule="auto"/>
              <w:ind w:left="1080" w:leftChars="257" w:hanging="540"/>
              <w:rPr>
                <w:rFonts w:ascii="仿宋" w:hAnsi="仿宋" w:eastAsia="仿宋" w:cs="仿宋"/>
                <w:color w:val="auto"/>
                <w:szCs w:val="21"/>
                <w:highlight w:val="none"/>
              </w:rPr>
            </w:pPr>
          </w:p>
        </w:tc>
        <w:tc>
          <w:tcPr>
            <w:tcW w:w="2160" w:type="dxa"/>
          </w:tcPr>
          <w:p>
            <w:pPr>
              <w:pStyle w:val="11"/>
              <w:spacing w:line="360" w:lineRule="auto"/>
              <w:ind w:left="1080" w:leftChars="257" w:hanging="540"/>
              <w:rPr>
                <w:rFonts w:ascii="仿宋" w:hAnsi="仿宋" w:eastAsia="仿宋" w:cs="仿宋"/>
                <w:color w:val="auto"/>
                <w:szCs w:val="21"/>
                <w:highlight w:val="none"/>
              </w:rPr>
            </w:pPr>
          </w:p>
        </w:tc>
        <w:tc>
          <w:tcPr>
            <w:tcW w:w="1980" w:type="dxa"/>
          </w:tcPr>
          <w:p>
            <w:pPr>
              <w:pStyle w:val="11"/>
              <w:spacing w:line="360" w:lineRule="auto"/>
              <w:ind w:left="1080" w:leftChars="257" w:hanging="540"/>
              <w:rPr>
                <w:rFonts w:ascii="仿宋" w:hAnsi="仿宋" w:eastAsia="仿宋" w:cs="仿宋"/>
                <w:color w:val="auto"/>
                <w:szCs w:val="21"/>
                <w:highlight w:val="none"/>
              </w:rPr>
            </w:pPr>
          </w:p>
        </w:tc>
      </w:tr>
    </w:tbl>
    <w:p>
      <w:pPr>
        <w:pStyle w:val="11"/>
        <w:spacing w:line="360" w:lineRule="auto"/>
        <w:ind w:left="1080" w:leftChars="257" w:hanging="540"/>
        <w:rPr>
          <w:rFonts w:ascii="仿宋" w:hAnsi="仿宋" w:eastAsia="仿宋" w:cs="仿宋"/>
          <w:color w:val="auto"/>
          <w:szCs w:val="21"/>
          <w:highlight w:val="none"/>
        </w:rPr>
      </w:pPr>
    </w:p>
    <w:p>
      <w:pPr>
        <w:pStyle w:val="11"/>
        <w:tabs>
          <w:tab w:val="left" w:pos="5370"/>
        </w:tabs>
        <w:spacing w:line="360" w:lineRule="auto"/>
        <w:ind w:left="1080" w:leftChars="257" w:hanging="540"/>
        <w:rPr>
          <w:rFonts w:ascii="仿宋" w:hAnsi="仿宋" w:eastAsia="仿宋" w:cs="仿宋"/>
          <w:color w:val="auto"/>
          <w:szCs w:val="21"/>
          <w:highlight w:val="none"/>
          <w:u w:val="single"/>
        </w:rPr>
      </w:pPr>
      <w:r>
        <w:rPr>
          <w:rFonts w:hint="eastAsia" w:ascii="仿宋" w:hAnsi="仿宋" w:eastAsia="仿宋" w:cs="仿宋"/>
          <w:color w:val="auto"/>
          <w:szCs w:val="21"/>
          <w:highlight w:val="none"/>
        </w:rPr>
        <w:t>投标人(盖公章):</w:t>
      </w:r>
      <w:r>
        <w:rPr>
          <w:rFonts w:hint="eastAsia" w:ascii="仿宋" w:hAnsi="仿宋" w:eastAsia="仿宋" w:cs="仿宋"/>
          <w:color w:val="auto"/>
          <w:szCs w:val="21"/>
          <w:highlight w:val="none"/>
          <w:u w:val="single"/>
        </w:rPr>
        <w:tab/>
      </w:r>
    </w:p>
    <w:p>
      <w:pPr>
        <w:pStyle w:val="11"/>
        <w:spacing w:line="360" w:lineRule="auto"/>
        <w:ind w:left="1080"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法定代表人或委托代理人（签字或签章）: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 xml:space="preserve">                 </w:t>
      </w:r>
    </w:p>
    <w:p>
      <w:pPr>
        <w:pStyle w:val="11"/>
        <w:spacing w:line="360" w:lineRule="auto"/>
        <w:ind w:left="1080" w:leftChars="257" w:hanging="540"/>
        <w:rPr>
          <w:rFonts w:ascii="仿宋" w:hAnsi="仿宋" w:eastAsia="仿宋" w:cs="仿宋"/>
          <w:color w:val="auto"/>
          <w:szCs w:val="21"/>
          <w:highlight w:val="none"/>
        </w:rPr>
      </w:pPr>
    </w:p>
    <w:p>
      <w:pPr>
        <w:pStyle w:val="11"/>
        <w:spacing w:line="360" w:lineRule="auto"/>
        <w:ind w:left="1080"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注: 各项货物及伴随服务和工程详细技术性能应另页描述。</w:t>
      </w:r>
    </w:p>
    <w:bookmarkEnd w:id="337"/>
    <w:p>
      <w:pPr>
        <w:pStyle w:val="11"/>
        <w:spacing w:line="240" w:lineRule="atLeast"/>
        <w:ind w:left="1080" w:leftChars="257" w:hanging="540"/>
        <w:jc w:val="center"/>
        <w:rPr>
          <w:rFonts w:ascii="仿宋" w:hAnsi="仿宋" w:eastAsia="仿宋" w:cs="仿宋"/>
          <w:color w:val="auto"/>
          <w:sz w:val="24"/>
          <w:highlight w:val="none"/>
        </w:rPr>
      </w:pPr>
    </w:p>
    <w:p>
      <w:pPr>
        <w:pStyle w:val="11"/>
        <w:spacing w:line="240" w:lineRule="atLeast"/>
        <w:ind w:left="1080" w:leftChars="257" w:hanging="540"/>
        <w:jc w:val="center"/>
        <w:rPr>
          <w:rFonts w:ascii="仿宋" w:hAnsi="仿宋" w:eastAsia="仿宋" w:cs="仿宋"/>
          <w:color w:val="auto"/>
          <w:sz w:val="24"/>
          <w:highlight w:val="none"/>
        </w:rPr>
        <w:sectPr>
          <w:pgSz w:w="16838" w:h="11906" w:orient="landscape"/>
          <w:pgMar w:top="1797" w:right="1440" w:bottom="1797" w:left="1440" w:header="851" w:footer="992" w:gutter="0"/>
          <w:cols w:space="720" w:num="1"/>
          <w:docGrid w:linePitch="312" w:charSpace="0"/>
        </w:sectPr>
      </w:pPr>
    </w:p>
    <w:p>
      <w:pPr>
        <w:pStyle w:val="6"/>
        <w:spacing w:before="0" w:after="0" w:line="360" w:lineRule="auto"/>
        <w:jc w:val="center"/>
        <w:rPr>
          <w:rFonts w:ascii="仿宋" w:hAnsi="仿宋" w:eastAsia="仿宋" w:cs="仿宋"/>
          <w:color w:val="auto"/>
          <w:highlight w:val="none"/>
          <w:u w:val="none"/>
        </w:rPr>
      </w:pPr>
      <w:bookmarkStart w:id="338" w:name="_Toc60830329"/>
      <w:bookmarkStart w:id="339" w:name="_Toc216582817"/>
      <w:r>
        <w:rPr>
          <w:rFonts w:hint="eastAsia" w:ascii="仿宋" w:hAnsi="仿宋" w:eastAsia="仿宋" w:cs="仿宋"/>
          <w:color w:val="auto"/>
          <w:highlight w:val="none"/>
          <w:u w:val="none"/>
        </w:rPr>
        <w:t>4  技术规格偏离表</w:t>
      </w:r>
      <w:bookmarkEnd w:id="338"/>
      <w:bookmarkEnd w:id="339"/>
    </w:p>
    <w:p>
      <w:pPr>
        <w:pStyle w:val="11"/>
        <w:spacing w:line="240" w:lineRule="atLeast"/>
        <w:ind w:left="1080" w:leftChars="257" w:hanging="540"/>
        <w:rPr>
          <w:rFonts w:ascii="仿宋" w:hAnsi="仿宋" w:eastAsia="仿宋" w:cs="仿宋"/>
          <w:color w:val="auto"/>
          <w:sz w:val="24"/>
          <w:highlight w:val="none"/>
        </w:rPr>
      </w:pPr>
    </w:p>
    <w:p>
      <w:pPr>
        <w:pStyle w:val="11"/>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项目名称:                       项目编号:                 包号:</w:t>
      </w:r>
    </w:p>
    <w:p>
      <w:pPr>
        <w:pStyle w:val="11"/>
        <w:spacing w:line="240" w:lineRule="atLeast"/>
        <w:ind w:left="1080" w:leftChars="257" w:hanging="540"/>
        <w:rPr>
          <w:rFonts w:ascii="仿宋" w:hAnsi="仿宋" w:eastAsia="仿宋" w:cs="仿宋"/>
          <w:color w:val="auto"/>
          <w:szCs w:val="21"/>
          <w:highlight w:val="none"/>
        </w:rPr>
      </w:pPr>
    </w:p>
    <w:tbl>
      <w:tblPr>
        <w:tblStyle w:val="20"/>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1260" w:type="dxa"/>
            <w:vAlign w:val="center"/>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货物名称及伴随服务和工程</w:t>
            </w:r>
          </w:p>
        </w:tc>
        <w:tc>
          <w:tcPr>
            <w:tcW w:w="2340" w:type="dxa"/>
            <w:vAlign w:val="center"/>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招标文件条款号</w:t>
            </w:r>
          </w:p>
        </w:tc>
        <w:tc>
          <w:tcPr>
            <w:tcW w:w="1260" w:type="dxa"/>
            <w:vAlign w:val="center"/>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招标要求</w:t>
            </w:r>
          </w:p>
        </w:tc>
        <w:tc>
          <w:tcPr>
            <w:tcW w:w="1260" w:type="dxa"/>
            <w:vAlign w:val="center"/>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投标响应</w:t>
            </w:r>
          </w:p>
        </w:tc>
        <w:tc>
          <w:tcPr>
            <w:tcW w:w="900" w:type="dxa"/>
            <w:vAlign w:val="center"/>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偏离</w:t>
            </w:r>
          </w:p>
        </w:tc>
        <w:tc>
          <w:tcPr>
            <w:tcW w:w="900" w:type="dxa"/>
            <w:vAlign w:val="center"/>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1"/>
              <w:spacing w:line="240" w:lineRule="atLeast"/>
              <w:ind w:left="1080" w:leftChars="257" w:hanging="540"/>
              <w:rPr>
                <w:rFonts w:ascii="仿宋" w:hAnsi="仿宋" w:eastAsia="仿宋" w:cs="仿宋"/>
                <w:color w:val="auto"/>
                <w:szCs w:val="21"/>
                <w:highlight w:val="none"/>
              </w:rPr>
            </w:pPr>
          </w:p>
        </w:tc>
        <w:tc>
          <w:tcPr>
            <w:tcW w:w="1260" w:type="dxa"/>
          </w:tcPr>
          <w:p>
            <w:pPr>
              <w:pStyle w:val="11"/>
              <w:spacing w:line="240" w:lineRule="atLeast"/>
              <w:ind w:left="1080" w:leftChars="257" w:hanging="540"/>
              <w:rPr>
                <w:rFonts w:ascii="仿宋" w:hAnsi="仿宋" w:eastAsia="仿宋" w:cs="仿宋"/>
                <w:color w:val="auto"/>
                <w:szCs w:val="21"/>
                <w:highlight w:val="none"/>
              </w:rPr>
            </w:pPr>
          </w:p>
        </w:tc>
        <w:tc>
          <w:tcPr>
            <w:tcW w:w="2340" w:type="dxa"/>
          </w:tcPr>
          <w:p>
            <w:pPr>
              <w:pStyle w:val="11"/>
              <w:spacing w:line="240" w:lineRule="atLeast"/>
              <w:ind w:left="1080" w:leftChars="257" w:hanging="540"/>
              <w:rPr>
                <w:rFonts w:ascii="仿宋" w:hAnsi="仿宋" w:eastAsia="仿宋" w:cs="仿宋"/>
                <w:color w:val="auto"/>
                <w:szCs w:val="21"/>
                <w:highlight w:val="none"/>
              </w:rPr>
            </w:pPr>
          </w:p>
        </w:tc>
        <w:tc>
          <w:tcPr>
            <w:tcW w:w="1260" w:type="dxa"/>
          </w:tcPr>
          <w:p>
            <w:pPr>
              <w:pStyle w:val="11"/>
              <w:spacing w:line="240" w:lineRule="atLeast"/>
              <w:ind w:left="1080" w:leftChars="257" w:hanging="540"/>
              <w:rPr>
                <w:rFonts w:ascii="仿宋" w:hAnsi="仿宋" w:eastAsia="仿宋" w:cs="仿宋"/>
                <w:color w:val="auto"/>
                <w:szCs w:val="21"/>
                <w:highlight w:val="none"/>
              </w:rPr>
            </w:pPr>
          </w:p>
        </w:tc>
        <w:tc>
          <w:tcPr>
            <w:tcW w:w="1260" w:type="dxa"/>
          </w:tcPr>
          <w:p>
            <w:pPr>
              <w:pStyle w:val="11"/>
              <w:spacing w:line="240" w:lineRule="atLeast"/>
              <w:ind w:left="1080" w:leftChars="257" w:hanging="540"/>
              <w:rPr>
                <w:rFonts w:ascii="仿宋" w:hAnsi="仿宋" w:eastAsia="仿宋" w:cs="仿宋"/>
                <w:color w:val="auto"/>
                <w:szCs w:val="21"/>
                <w:highlight w:val="none"/>
              </w:rPr>
            </w:pPr>
          </w:p>
        </w:tc>
        <w:tc>
          <w:tcPr>
            <w:tcW w:w="900" w:type="dxa"/>
          </w:tcPr>
          <w:p>
            <w:pPr>
              <w:pStyle w:val="11"/>
              <w:spacing w:line="240" w:lineRule="atLeast"/>
              <w:ind w:left="1080" w:leftChars="257" w:hanging="540"/>
              <w:rPr>
                <w:rFonts w:ascii="仿宋" w:hAnsi="仿宋" w:eastAsia="仿宋" w:cs="仿宋"/>
                <w:color w:val="auto"/>
                <w:szCs w:val="21"/>
                <w:highlight w:val="none"/>
              </w:rPr>
            </w:pPr>
          </w:p>
        </w:tc>
        <w:tc>
          <w:tcPr>
            <w:tcW w:w="900" w:type="dxa"/>
          </w:tcPr>
          <w:p>
            <w:pPr>
              <w:pStyle w:val="11"/>
              <w:spacing w:line="240" w:lineRule="atLeast"/>
              <w:ind w:left="1080" w:leftChars="257" w:hanging="540"/>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1"/>
              <w:spacing w:line="240" w:lineRule="atLeast"/>
              <w:ind w:left="1080" w:leftChars="257" w:hanging="540"/>
              <w:rPr>
                <w:rFonts w:ascii="仿宋" w:hAnsi="仿宋" w:eastAsia="仿宋" w:cs="仿宋"/>
                <w:color w:val="auto"/>
                <w:szCs w:val="21"/>
                <w:highlight w:val="none"/>
              </w:rPr>
            </w:pPr>
          </w:p>
        </w:tc>
        <w:tc>
          <w:tcPr>
            <w:tcW w:w="1260" w:type="dxa"/>
          </w:tcPr>
          <w:p>
            <w:pPr>
              <w:pStyle w:val="11"/>
              <w:spacing w:line="240" w:lineRule="atLeast"/>
              <w:ind w:left="1080" w:leftChars="257" w:hanging="540"/>
              <w:rPr>
                <w:rFonts w:ascii="仿宋" w:hAnsi="仿宋" w:eastAsia="仿宋" w:cs="仿宋"/>
                <w:color w:val="auto"/>
                <w:szCs w:val="21"/>
                <w:highlight w:val="none"/>
              </w:rPr>
            </w:pPr>
          </w:p>
        </w:tc>
        <w:tc>
          <w:tcPr>
            <w:tcW w:w="2340" w:type="dxa"/>
          </w:tcPr>
          <w:p>
            <w:pPr>
              <w:pStyle w:val="11"/>
              <w:spacing w:line="240" w:lineRule="atLeast"/>
              <w:ind w:left="1080" w:leftChars="257" w:hanging="540"/>
              <w:rPr>
                <w:rFonts w:ascii="仿宋" w:hAnsi="仿宋" w:eastAsia="仿宋" w:cs="仿宋"/>
                <w:color w:val="auto"/>
                <w:szCs w:val="21"/>
                <w:highlight w:val="none"/>
              </w:rPr>
            </w:pPr>
          </w:p>
        </w:tc>
        <w:tc>
          <w:tcPr>
            <w:tcW w:w="1260" w:type="dxa"/>
          </w:tcPr>
          <w:p>
            <w:pPr>
              <w:pStyle w:val="11"/>
              <w:spacing w:line="240" w:lineRule="atLeast"/>
              <w:ind w:left="1080" w:leftChars="257" w:hanging="540"/>
              <w:rPr>
                <w:rFonts w:ascii="仿宋" w:hAnsi="仿宋" w:eastAsia="仿宋" w:cs="仿宋"/>
                <w:color w:val="auto"/>
                <w:szCs w:val="21"/>
                <w:highlight w:val="none"/>
              </w:rPr>
            </w:pPr>
          </w:p>
        </w:tc>
        <w:tc>
          <w:tcPr>
            <w:tcW w:w="1260" w:type="dxa"/>
          </w:tcPr>
          <w:p>
            <w:pPr>
              <w:pStyle w:val="11"/>
              <w:spacing w:line="240" w:lineRule="atLeast"/>
              <w:ind w:left="1080" w:leftChars="257" w:hanging="540"/>
              <w:rPr>
                <w:rFonts w:ascii="仿宋" w:hAnsi="仿宋" w:eastAsia="仿宋" w:cs="仿宋"/>
                <w:color w:val="auto"/>
                <w:szCs w:val="21"/>
                <w:highlight w:val="none"/>
              </w:rPr>
            </w:pPr>
          </w:p>
        </w:tc>
        <w:tc>
          <w:tcPr>
            <w:tcW w:w="900" w:type="dxa"/>
          </w:tcPr>
          <w:p>
            <w:pPr>
              <w:pStyle w:val="11"/>
              <w:spacing w:line="240" w:lineRule="atLeast"/>
              <w:ind w:left="1080" w:leftChars="257" w:hanging="540"/>
              <w:rPr>
                <w:rFonts w:ascii="仿宋" w:hAnsi="仿宋" w:eastAsia="仿宋" w:cs="仿宋"/>
                <w:color w:val="auto"/>
                <w:szCs w:val="21"/>
                <w:highlight w:val="none"/>
              </w:rPr>
            </w:pPr>
          </w:p>
        </w:tc>
        <w:tc>
          <w:tcPr>
            <w:tcW w:w="900" w:type="dxa"/>
          </w:tcPr>
          <w:p>
            <w:pPr>
              <w:pStyle w:val="11"/>
              <w:spacing w:line="240" w:lineRule="atLeast"/>
              <w:ind w:left="1080" w:leftChars="257" w:hanging="540"/>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1"/>
              <w:spacing w:line="240" w:lineRule="atLeast"/>
              <w:ind w:left="1080" w:leftChars="257" w:hanging="540"/>
              <w:rPr>
                <w:rFonts w:ascii="仿宋" w:hAnsi="仿宋" w:eastAsia="仿宋" w:cs="仿宋"/>
                <w:color w:val="auto"/>
                <w:szCs w:val="21"/>
                <w:highlight w:val="none"/>
              </w:rPr>
            </w:pPr>
          </w:p>
        </w:tc>
        <w:tc>
          <w:tcPr>
            <w:tcW w:w="1260" w:type="dxa"/>
          </w:tcPr>
          <w:p>
            <w:pPr>
              <w:pStyle w:val="11"/>
              <w:spacing w:line="240" w:lineRule="atLeast"/>
              <w:ind w:left="1080" w:leftChars="257" w:hanging="540"/>
              <w:rPr>
                <w:rFonts w:ascii="仿宋" w:hAnsi="仿宋" w:eastAsia="仿宋" w:cs="仿宋"/>
                <w:color w:val="auto"/>
                <w:szCs w:val="21"/>
                <w:highlight w:val="none"/>
              </w:rPr>
            </w:pPr>
          </w:p>
        </w:tc>
        <w:tc>
          <w:tcPr>
            <w:tcW w:w="2340" w:type="dxa"/>
          </w:tcPr>
          <w:p>
            <w:pPr>
              <w:pStyle w:val="11"/>
              <w:spacing w:line="240" w:lineRule="atLeast"/>
              <w:ind w:left="1080" w:leftChars="257" w:hanging="540"/>
              <w:rPr>
                <w:rFonts w:ascii="仿宋" w:hAnsi="仿宋" w:eastAsia="仿宋" w:cs="仿宋"/>
                <w:color w:val="auto"/>
                <w:szCs w:val="21"/>
                <w:highlight w:val="none"/>
              </w:rPr>
            </w:pPr>
          </w:p>
        </w:tc>
        <w:tc>
          <w:tcPr>
            <w:tcW w:w="1260" w:type="dxa"/>
          </w:tcPr>
          <w:p>
            <w:pPr>
              <w:pStyle w:val="11"/>
              <w:spacing w:line="240" w:lineRule="atLeast"/>
              <w:ind w:left="1080" w:leftChars="257" w:hanging="540"/>
              <w:rPr>
                <w:rFonts w:ascii="仿宋" w:hAnsi="仿宋" w:eastAsia="仿宋" w:cs="仿宋"/>
                <w:color w:val="auto"/>
                <w:szCs w:val="21"/>
                <w:highlight w:val="none"/>
              </w:rPr>
            </w:pPr>
          </w:p>
        </w:tc>
        <w:tc>
          <w:tcPr>
            <w:tcW w:w="1260" w:type="dxa"/>
          </w:tcPr>
          <w:p>
            <w:pPr>
              <w:pStyle w:val="11"/>
              <w:spacing w:line="240" w:lineRule="atLeast"/>
              <w:ind w:left="1080" w:leftChars="257" w:hanging="540"/>
              <w:rPr>
                <w:rFonts w:ascii="仿宋" w:hAnsi="仿宋" w:eastAsia="仿宋" w:cs="仿宋"/>
                <w:color w:val="auto"/>
                <w:szCs w:val="21"/>
                <w:highlight w:val="none"/>
              </w:rPr>
            </w:pPr>
          </w:p>
        </w:tc>
        <w:tc>
          <w:tcPr>
            <w:tcW w:w="900" w:type="dxa"/>
          </w:tcPr>
          <w:p>
            <w:pPr>
              <w:pStyle w:val="11"/>
              <w:spacing w:line="240" w:lineRule="atLeast"/>
              <w:ind w:left="1080" w:leftChars="257" w:hanging="540"/>
              <w:rPr>
                <w:rFonts w:ascii="仿宋" w:hAnsi="仿宋" w:eastAsia="仿宋" w:cs="仿宋"/>
                <w:color w:val="auto"/>
                <w:szCs w:val="21"/>
                <w:highlight w:val="none"/>
              </w:rPr>
            </w:pPr>
          </w:p>
        </w:tc>
        <w:tc>
          <w:tcPr>
            <w:tcW w:w="900" w:type="dxa"/>
          </w:tcPr>
          <w:p>
            <w:pPr>
              <w:pStyle w:val="11"/>
              <w:spacing w:line="240" w:lineRule="atLeast"/>
              <w:ind w:left="1080" w:leftChars="257" w:hanging="540"/>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1"/>
              <w:spacing w:line="240" w:lineRule="atLeast"/>
              <w:ind w:left="1080" w:leftChars="257" w:hanging="540"/>
              <w:rPr>
                <w:rFonts w:ascii="仿宋" w:hAnsi="仿宋" w:eastAsia="仿宋" w:cs="仿宋"/>
                <w:color w:val="auto"/>
                <w:szCs w:val="21"/>
                <w:highlight w:val="none"/>
              </w:rPr>
            </w:pPr>
          </w:p>
        </w:tc>
        <w:tc>
          <w:tcPr>
            <w:tcW w:w="1260" w:type="dxa"/>
          </w:tcPr>
          <w:p>
            <w:pPr>
              <w:pStyle w:val="11"/>
              <w:spacing w:line="240" w:lineRule="atLeast"/>
              <w:ind w:left="1080" w:leftChars="257" w:hanging="540"/>
              <w:rPr>
                <w:rFonts w:ascii="仿宋" w:hAnsi="仿宋" w:eastAsia="仿宋" w:cs="仿宋"/>
                <w:color w:val="auto"/>
                <w:szCs w:val="21"/>
                <w:highlight w:val="none"/>
              </w:rPr>
            </w:pPr>
          </w:p>
        </w:tc>
        <w:tc>
          <w:tcPr>
            <w:tcW w:w="2340" w:type="dxa"/>
          </w:tcPr>
          <w:p>
            <w:pPr>
              <w:pStyle w:val="11"/>
              <w:spacing w:line="240" w:lineRule="atLeast"/>
              <w:ind w:left="1080" w:leftChars="257" w:hanging="540"/>
              <w:rPr>
                <w:rFonts w:ascii="仿宋" w:hAnsi="仿宋" w:eastAsia="仿宋" w:cs="仿宋"/>
                <w:color w:val="auto"/>
                <w:szCs w:val="21"/>
                <w:highlight w:val="none"/>
              </w:rPr>
            </w:pPr>
          </w:p>
        </w:tc>
        <w:tc>
          <w:tcPr>
            <w:tcW w:w="1260" w:type="dxa"/>
          </w:tcPr>
          <w:p>
            <w:pPr>
              <w:pStyle w:val="11"/>
              <w:spacing w:line="240" w:lineRule="atLeast"/>
              <w:ind w:left="1080" w:leftChars="257" w:hanging="540"/>
              <w:rPr>
                <w:rFonts w:ascii="仿宋" w:hAnsi="仿宋" w:eastAsia="仿宋" w:cs="仿宋"/>
                <w:color w:val="auto"/>
                <w:szCs w:val="21"/>
                <w:highlight w:val="none"/>
              </w:rPr>
            </w:pPr>
          </w:p>
        </w:tc>
        <w:tc>
          <w:tcPr>
            <w:tcW w:w="1260" w:type="dxa"/>
          </w:tcPr>
          <w:p>
            <w:pPr>
              <w:pStyle w:val="11"/>
              <w:spacing w:line="240" w:lineRule="atLeast"/>
              <w:ind w:left="1080" w:leftChars="257" w:hanging="540"/>
              <w:rPr>
                <w:rFonts w:ascii="仿宋" w:hAnsi="仿宋" w:eastAsia="仿宋" w:cs="仿宋"/>
                <w:color w:val="auto"/>
                <w:szCs w:val="21"/>
                <w:highlight w:val="none"/>
              </w:rPr>
            </w:pPr>
          </w:p>
        </w:tc>
        <w:tc>
          <w:tcPr>
            <w:tcW w:w="900" w:type="dxa"/>
          </w:tcPr>
          <w:p>
            <w:pPr>
              <w:pStyle w:val="11"/>
              <w:spacing w:line="240" w:lineRule="atLeast"/>
              <w:ind w:left="1080" w:leftChars="257" w:hanging="540"/>
              <w:rPr>
                <w:rFonts w:ascii="仿宋" w:hAnsi="仿宋" w:eastAsia="仿宋" w:cs="仿宋"/>
                <w:color w:val="auto"/>
                <w:szCs w:val="21"/>
                <w:highlight w:val="none"/>
              </w:rPr>
            </w:pPr>
          </w:p>
        </w:tc>
        <w:tc>
          <w:tcPr>
            <w:tcW w:w="900" w:type="dxa"/>
          </w:tcPr>
          <w:p>
            <w:pPr>
              <w:pStyle w:val="11"/>
              <w:spacing w:line="240" w:lineRule="atLeast"/>
              <w:ind w:left="1080" w:leftChars="257" w:hanging="540"/>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11"/>
              <w:spacing w:line="240" w:lineRule="atLeast"/>
              <w:ind w:left="1080" w:leftChars="257" w:hanging="540"/>
              <w:rPr>
                <w:rFonts w:ascii="仿宋" w:hAnsi="仿宋" w:eastAsia="仿宋" w:cs="仿宋"/>
                <w:color w:val="auto"/>
                <w:szCs w:val="21"/>
                <w:highlight w:val="none"/>
              </w:rPr>
            </w:pPr>
          </w:p>
        </w:tc>
        <w:tc>
          <w:tcPr>
            <w:tcW w:w="1260" w:type="dxa"/>
          </w:tcPr>
          <w:p>
            <w:pPr>
              <w:pStyle w:val="11"/>
              <w:spacing w:line="240" w:lineRule="atLeast"/>
              <w:ind w:left="1080" w:leftChars="257" w:hanging="540"/>
              <w:rPr>
                <w:rFonts w:ascii="仿宋" w:hAnsi="仿宋" w:eastAsia="仿宋" w:cs="仿宋"/>
                <w:color w:val="auto"/>
                <w:szCs w:val="21"/>
                <w:highlight w:val="none"/>
              </w:rPr>
            </w:pPr>
          </w:p>
        </w:tc>
        <w:tc>
          <w:tcPr>
            <w:tcW w:w="2340" w:type="dxa"/>
          </w:tcPr>
          <w:p>
            <w:pPr>
              <w:pStyle w:val="11"/>
              <w:spacing w:line="240" w:lineRule="atLeast"/>
              <w:ind w:left="1080" w:leftChars="257" w:hanging="540"/>
              <w:rPr>
                <w:rFonts w:ascii="仿宋" w:hAnsi="仿宋" w:eastAsia="仿宋" w:cs="仿宋"/>
                <w:color w:val="auto"/>
                <w:szCs w:val="21"/>
                <w:highlight w:val="none"/>
              </w:rPr>
            </w:pPr>
          </w:p>
        </w:tc>
        <w:tc>
          <w:tcPr>
            <w:tcW w:w="1260" w:type="dxa"/>
          </w:tcPr>
          <w:p>
            <w:pPr>
              <w:pStyle w:val="11"/>
              <w:spacing w:line="240" w:lineRule="atLeast"/>
              <w:ind w:left="1080" w:leftChars="257" w:hanging="540"/>
              <w:rPr>
                <w:rFonts w:ascii="仿宋" w:hAnsi="仿宋" w:eastAsia="仿宋" w:cs="仿宋"/>
                <w:color w:val="auto"/>
                <w:szCs w:val="21"/>
                <w:highlight w:val="none"/>
              </w:rPr>
            </w:pPr>
          </w:p>
        </w:tc>
        <w:tc>
          <w:tcPr>
            <w:tcW w:w="1260" w:type="dxa"/>
          </w:tcPr>
          <w:p>
            <w:pPr>
              <w:pStyle w:val="11"/>
              <w:spacing w:line="240" w:lineRule="atLeast"/>
              <w:ind w:left="1080" w:leftChars="257" w:hanging="540"/>
              <w:rPr>
                <w:rFonts w:ascii="仿宋" w:hAnsi="仿宋" w:eastAsia="仿宋" w:cs="仿宋"/>
                <w:color w:val="auto"/>
                <w:szCs w:val="21"/>
                <w:highlight w:val="none"/>
              </w:rPr>
            </w:pPr>
          </w:p>
        </w:tc>
        <w:tc>
          <w:tcPr>
            <w:tcW w:w="900" w:type="dxa"/>
          </w:tcPr>
          <w:p>
            <w:pPr>
              <w:pStyle w:val="11"/>
              <w:spacing w:line="240" w:lineRule="atLeast"/>
              <w:ind w:left="1080" w:leftChars="257" w:hanging="540"/>
              <w:rPr>
                <w:rFonts w:ascii="仿宋" w:hAnsi="仿宋" w:eastAsia="仿宋" w:cs="仿宋"/>
                <w:color w:val="auto"/>
                <w:szCs w:val="21"/>
                <w:highlight w:val="none"/>
              </w:rPr>
            </w:pPr>
          </w:p>
        </w:tc>
        <w:tc>
          <w:tcPr>
            <w:tcW w:w="900" w:type="dxa"/>
          </w:tcPr>
          <w:p>
            <w:pPr>
              <w:pStyle w:val="11"/>
              <w:spacing w:line="240" w:lineRule="atLeast"/>
              <w:ind w:left="1080" w:leftChars="257" w:hanging="540"/>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1"/>
              <w:spacing w:line="240" w:lineRule="atLeast"/>
              <w:ind w:left="1080" w:leftChars="257" w:hanging="540"/>
              <w:rPr>
                <w:rFonts w:ascii="仿宋" w:hAnsi="仿宋" w:eastAsia="仿宋" w:cs="仿宋"/>
                <w:color w:val="auto"/>
                <w:szCs w:val="21"/>
                <w:highlight w:val="none"/>
              </w:rPr>
            </w:pPr>
          </w:p>
        </w:tc>
        <w:tc>
          <w:tcPr>
            <w:tcW w:w="1260" w:type="dxa"/>
          </w:tcPr>
          <w:p>
            <w:pPr>
              <w:pStyle w:val="11"/>
              <w:spacing w:line="240" w:lineRule="atLeast"/>
              <w:ind w:left="1080" w:leftChars="257" w:hanging="540"/>
              <w:rPr>
                <w:rFonts w:ascii="仿宋" w:hAnsi="仿宋" w:eastAsia="仿宋" w:cs="仿宋"/>
                <w:color w:val="auto"/>
                <w:szCs w:val="21"/>
                <w:highlight w:val="none"/>
              </w:rPr>
            </w:pPr>
          </w:p>
        </w:tc>
        <w:tc>
          <w:tcPr>
            <w:tcW w:w="2340" w:type="dxa"/>
          </w:tcPr>
          <w:p>
            <w:pPr>
              <w:pStyle w:val="11"/>
              <w:spacing w:line="240" w:lineRule="atLeast"/>
              <w:ind w:left="1080" w:leftChars="257" w:hanging="540"/>
              <w:rPr>
                <w:rFonts w:ascii="仿宋" w:hAnsi="仿宋" w:eastAsia="仿宋" w:cs="仿宋"/>
                <w:color w:val="auto"/>
                <w:szCs w:val="21"/>
                <w:highlight w:val="none"/>
              </w:rPr>
            </w:pPr>
          </w:p>
        </w:tc>
        <w:tc>
          <w:tcPr>
            <w:tcW w:w="1260" w:type="dxa"/>
          </w:tcPr>
          <w:p>
            <w:pPr>
              <w:pStyle w:val="11"/>
              <w:spacing w:line="240" w:lineRule="atLeast"/>
              <w:ind w:left="1080" w:leftChars="257" w:hanging="540"/>
              <w:rPr>
                <w:rFonts w:ascii="仿宋" w:hAnsi="仿宋" w:eastAsia="仿宋" w:cs="仿宋"/>
                <w:color w:val="auto"/>
                <w:szCs w:val="21"/>
                <w:highlight w:val="none"/>
              </w:rPr>
            </w:pPr>
          </w:p>
        </w:tc>
        <w:tc>
          <w:tcPr>
            <w:tcW w:w="1260" w:type="dxa"/>
          </w:tcPr>
          <w:p>
            <w:pPr>
              <w:pStyle w:val="11"/>
              <w:spacing w:line="240" w:lineRule="atLeast"/>
              <w:ind w:left="1080" w:leftChars="257" w:hanging="540"/>
              <w:rPr>
                <w:rFonts w:ascii="仿宋" w:hAnsi="仿宋" w:eastAsia="仿宋" w:cs="仿宋"/>
                <w:color w:val="auto"/>
                <w:szCs w:val="21"/>
                <w:highlight w:val="none"/>
              </w:rPr>
            </w:pPr>
          </w:p>
        </w:tc>
        <w:tc>
          <w:tcPr>
            <w:tcW w:w="900" w:type="dxa"/>
          </w:tcPr>
          <w:p>
            <w:pPr>
              <w:pStyle w:val="11"/>
              <w:spacing w:line="240" w:lineRule="atLeast"/>
              <w:ind w:left="1080" w:leftChars="257" w:hanging="540"/>
              <w:rPr>
                <w:rFonts w:ascii="仿宋" w:hAnsi="仿宋" w:eastAsia="仿宋" w:cs="仿宋"/>
                <w:color w:val="auto"/>
                <w:szCs w:val="21"/>
                <w:highlight w:val="none"/>
              </w:rPr>
            </w:pPr>
          </w:p>
        </w:tc>
        <w:tc>
          <w:tcPr>
            <w:tcW w:w="900" w:type="dxa"/>
          </w:tcPr>
          <w:p>
            <w:pPr>
              <w:pStyle w:val="11"/>
              <w:spacing w:line="240" w:lineRule="atLeast"/>
              <w:ind w:left="1080" w:leftChars="257" w:hanging="540"/>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11"/>
              <w:spacing w:line="240" w:lineRule="atLeast"/>
              <w:ind w:left="1080" w:leftChars="257" w:hanging="540"/>
              <w:rPr>
                <w:rFonts w:ascii="仿宋" w:hAnsi="仿宋" w:eastAsia="仿宋" w:cs="仿宋"/>
                <w:color w:val="auto"/>
                <w:szCs w:val="21"/>
                <w:highlight w:val="none"/>
              </w:rPr>
            </w:pPr>
          </w:p>
        </w:tc>
        <w:tc>
          <w:tcPr>
            <w:tcW w:w="1260" w:type="dxa"/>
          </w:tcPr>
          <w:p>
            <w:pPr>
              <w:pStyle w:val="11"/>
              <w:spacing w:line="240" w:lineRule="atLeast"/>
              <w:ind w:left="1080" w:leftChars="257" w:hanging="540"/>
              <w:rPr>
                <w:rFonts w:ascii="仿宋" w:hAnsi="仿宋" w:eastAsia="仿宋" w:cs="仿宋"/>
                <w:color w:val="auto"/>
                <w:szCs w:val="21"/>
                <w:highlight w:val="none"/>
              </w:rPr>
            </w:pPr>
          </w:p>
        </w:tc>
        <w:tc>
          <w:tcPr>
            <w:tcW w:w="2340" w:type="dxa"/>
          </w:tcPr>
          <w:p>
            <w:pPr>
              <w:pStyle w:val="11"/>
              <w:spacing w:line="240" w:lineRule="atLeast"/>
              <w:ind w:left="1080" w:leftChars="257" w:hanging="540"/>
              <w:rPr>
                <w:rFonts w:ascii="仿宋" w:hAnsi="仿宋" w:eastAsia="仿宋" w:cs="仿宋"/>
                <w:color w:val="auto"/>
                <w:szCs w:val="21"/>
                <w:highlight w:val="none"/>
              </w:rPr>
            </w:pPr>
          </w:p>
        </w:tc>
        <w:tc>
          <w:tcPr>
            <w:tcW w:w="1260" w:type="dxa"/>
          </w:tcPr>
          <w:p>
            <w:pPr>
              <w:pStyle w:val="11"/>
              <w:spacing w:line="240" w:lineRule="atLeast"/>
              <w:ind w:left="1080" w:leftChars="257" w:hanging="540"/>
              <w:rPr>
                <w:rFonts w:ascii="仿宋" w:hAnsi="仿宋" w:eastAsia="仿宋" w:cs="仿宋"/>
                <w:color w:val="auto"/>
                <w:szCs w:val="21"/>
                <w:highlight w:val="none"/>
              </w:rPr>
            </w:pPr>
          </w:p>
        </w:tc>
        <w:tc>
          <w:tcPr>
            <w:tcW w:w="1260" w:type="dxa"/>
          </w:tcPr>
          <w:p>
            <w:pPr>
              <w:pStyle w:val="11"/>
              <w:spacing w:line="240" w:lineRule="atLeast"/>
              <w:ind w:left="1080" w:leftChars="257" w:hanging="540"/>
              <w:rPr>
                <w:rFonts w:ascii="仿宋" w:hAnsi="仿宋" w:eastAsia="仿宋" w:cs="仿宋"/>
                <w:color w:val="auto"/>
                <w:szCs w:val="21"/>
                <w:highlight w:val="none"/>
              </w:rPr>
            </w:pPr>
          </w:p>
        </w:tc>
        <w:tc>
          <w:tcPr>
            <w:tcW w:w="900" w:type="dxa"/>
          </w:tcPr>
          <w:p>
            <w:pPr>
              <w:pStyle w:val="11"/>
              <w:spacing w:line="240" w:lineRule="atLeast"/>
              <w:ind w:left="1080" w:leftChars="257" w:hanging="540"/>
              <w:rPr>
                <w:rFonts w:ascii="仿宋" w:hAnsi="仿宋" w:eastAsia="仿宋" w:cs="仿宋"/>
                <w:color w:val="auto"/>
                <w:szCs w:val="21"/>
                <w:highlight w:val="none"/>
              </w:rPr>
            </w:pPr>
          </w:p>
        </w:tc>
        <w:tc>
          <w:tcPr>
            <w:tcW w:w="900" w:type="dxa"/>
          </w:tcPr>
          <w:p>
            <w:pPr>
              <w:pStyle w:val="11"/>
              <w:spacing w:line="240" w:lineRule="atLeast"/>
              <w:ind w:left="1080" w:leftChars="257" w:hanging="540"/>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1"/>
              <w:spacing w:line="240" w:lineRule="atLeast"/>
              <w:ind w:left="1080" w:leftChars="257" w:hanging="540"/>
              <w:rPr>
                <w:rFonts w:ascii="仿宋" w:hAnsi="仿宋" w:eastAsia="仿宋" w:cs="仿宋"/>
                <w:color w:val="auto"/>
                <w:szCs w:val="21"/>
                <w:highlight w:val="none"/>
              </w:rPr>
            </w:pPr>
          </w:p>
        </w:tc>
        <w:tc>
          <w:tcPr>
            <w:tcW w:w="1260" w:type="dxa"/>
          </w:tcPr>
          <w:p>
            <w:pPr>
              <w:pStyle w:val="11"/>
              <w:spacing w:line="240" w:lineRule="atLeast"/>
              <w:ind w:left="1080" w:leftChars="257" w:hanging="540"/>
              <w:rPr>
                <w:rFonts w:ascii="仿宋" w:hAnsi="仿宋" w:eastAsia="仿宋" w:cs="仿宋"/>
                <w:color w:val="auto"/>
                <w:szCs w:val="21"/>
                <w:highlight w:val="none"/>
              </w:rPr>
            </w:pPr>
          </w:p>
        </w:tc>
        <w:tc>
          <w:tcPr>
            <w:tcW w:w="2340" w:type="dxa"/>
          </w:tcPr>
          <w:p>
            <w:pPr>
              <w:pStyle w:val="11"/>
              <w:spacing w:line="240" w:lineRule="atLeast"/>
              <w:ind w:left="1080" w:leftChars="257" w:hanging="540"/>
              <w:rPr>
                <w:rFonts w:ascii="仿宋" w:hAnsi="仿宋" w:eastAsia="仿宋" w:cs="仿宋"/>
                <w:color w:val="auto"/>
                <w:szCs w:val="21"/>
                <w:highlight w:val="none"/>
              </w:rPr>
            </w:pPr>
          </w:p>
        </w:tc>
        <w:tc>
          <w:tcPr>
            <w:tcW w:w="1260" w:type="dxa"/>
          </w:tcPr>
          <w:p>
            <w:pPr>
              <w:pStyle w:val="11"/>
              <w:spacing w:line="240" w:lineRule="atLeast"/>
              <w:ind w:left="1080" w:leftChars="257" w:hanging="540"/>
              <w:rPr>
                <w:rFonts w:ascii="仿宋" w:hAnsi="仿宋" w:eastAsia="仿宋" w:cs="仿宋"/>
                <w:color w:val="auto"/>
                <w:szCs w:val="21"/>
                <w:highlight w:val="none"/>
              </w:rPr>
            </w:pPr>
          </w:p>
        </w:tc>
        <w:tc>
          <w:tcPr>
            <w:tcW w:w="1260" w:type="dxa"/>
          </w:tcPr>
          <w:p>
            <w:pPr>
              <w:pStyle w:val="11"/>
              <w:spacing w:line="240" w:lineRule="atLeast"/>
              <w:ind w:left="1080" w:leftChars="257" w:hanging="540"/>
              <w:rPr>
                <w:rFonts w:ascii="仿宋" w:hAnsi="仿宋" w:eastAsia="仿宋" w:cs="仿宋"/>
                <w:color w:val="auto"/>
                <w:szCs w:val="21"/>
                <w:highlight w:val="none"/>
              </w:rPr>
            </w:pPr>
          </w:p>
        </w:tc>
        <w:tc>
          <w:tcPr>
            <w:tcW w:w="900" w:type="dxa"/>
          </w:tcPr>
          <w:p>
            <w:pPr>
              <w:pStyle w:val="11"/>
              <w:spacing w:line="240" w:lineRule="atLeast"/>
              <w:ind w:left="1080" w:leftChars="257" w:hanging="540"/>
              <w:rPr>
                <w:rFonts w:ascii="仿宋" w:hAnsi="仿宋" w:eastAsia="仿宋" w:cs="仿宋"/>
                <w:color w:val="auto"/>
                <w:szCs w:val="21"/>
                <w:highlight w:val="none"/>
              </w:rPr>
            </w:pPr>
          </w:p>
        </w:tc>
        <w:tc>
          <w:tcPr>
            <w:tcW w:w="900" w:type="dxa"/>
          </w:tcPr>
          <w:p>
            <w:pPr>
              <w:pStyle w:val="11"/>
              <w:spacing w:line="240" w:lineRule="atLeast"/>
              <w:ind w:left="1080" w:leftChars="257" w:hanging="540"/>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11"/>
              <w:spacing w:line="240" w:lineRule="atLeast"/>
              <w:ind w:left="1080" w:leftChars="257" w:hanging="540"/>
              <w:rPr>
                <w:rFonts w:ascii="仿宋" w:hAnsi="仿宋" w:eastAsia="仿宋" w:cs="仿宋"/>
                <w:color w:val="auto"/>
                <w:szCs w:val="21"/>
                <w:highlight w:val="none"/>
              </w:rPr>
            </w:pPr>
          </w:p>
        </w:tc>
        <w:tc>
          <w:tcPr>
            <w:tcW w:w="1260" w:type="dxa"/>
          </w:tcPr>
          <w:p>
            <w:pPr>
              <w:pStyle w:val="11"/>
              <w:spacing w:line="240" w:lineRule="atLeast"/>
              <w:ind w:left="1080" w:leftChars="257" w:hanging="540"/>
              <w:rPr>
                <w:rFonts w:ascii="仿宋" w:hAnsi="仿宋" w:eastAsia="仿宋" w:cs="仿宋"/>
                <w:color w:val="auto"/>
                <w:szCs w:val="21"/>
                <w:highlight w:val="none"/>
              </w:rPr>
            </w:pPr>
          </w:p>
        </w:tc>
        <w:tc>
          <w:tcPr>
            <w:tcW w:w="2340" w:type="dxa"/>
          </w:tcPr>
          <w:p>
            <w:pPr>
              <w:pStyle w:val="11"/>
              <w:spacing w:line="240" w:lineRule="atLeast"/>
              <w:ind w:left="1080" w:leftChars="257" w:hanging="540"/>
              <w:rPr>
                <w:rFonts w:ascii="仿宋" w:hAnsi="仿宋" w:eastAsia="仿宋" w:cs="仿宋"/>
                <w:color w:val="auto"/>
                <w:szCs w:val="21"/>
                <w:highlight w:val="none"/>
              </w:rPr>
            </w:pPr>
          </w:p>
        </w:tc>
        <w:tc>
          <w:tcPr>
            <w:tcW w:w="1260" w:type="dxa"/>
          </w:tcPr>
          <w:p>
            <w:pPr>
              <w:pStyle w:val="11"/>
              <w:spacing w:line="240" w:lineRule="atLeast"/>
              <w:ind w:left="1080" w:leftChars="257" w:hanging="540"/>
              <w:rPr>
                <w:rFonts w:ascii="仿宋" w:hAnsi="仿宋" w:eastAsia="仿宋" w:cs="仿宋"/>
                <w:color w:val="auto"/>
                <w:szCs w:val="21"/>
                <w:highlight w:val="none"/>
              </w:rPr>
            </w:pPr>
          </w:p>
        </w:tc>
        <w:tc>
          <w:tcPr>
            <w:tcW w:w="1260" w:type="dxa"/>
          </w:tcPr>
          <w:p>
            <w:pPr>
              <w:pStyle w:val="11"/>
              <w:spacing w:line="240" w:lineRule="atLeast"/>
              <w:ind w:left="1080" w:leftChars="257" w:hanging="540"/>
              <w:rPr>
                <w:rFonts w:ascii="仿宋" w:hAnsi="仿宋" w:eastAsia="仿宋" w:cs="仿宋"/>
                <w:color w:val="auto"/>
                <w:szCs w:val="21"/>
                <w:highlight w:val="none"/>
              </w:rPr>
            </w:pPr>
          </w:p>
        </w:tc>
        <w:tc>
          <w:tcPr>
            <w:tcW w:w="900" w:type="dxa"/>
          </w:tcPr>
          <w:p>
            <w:pPr>
              <w:pStyle w:val="11"/>
              <w:spacing w:line="240" w:lineRule="atLeast"/>
              <w:ind w:left="1080" w:leftChars="257" w:hanging="540"/>
              <w:rPr>
                <w:rFonts w:ascii="仿宋" w:hAnsi="仿宋" w:eastAsia="仿宋" w:cs="仿宋"/>
                <w:color w:val="auto"/>
                <w:szCs w:val="21"/>
                <w:highlight w:val="none"/>
              </w:rPr>
            </w:pPr>
          </w:p>
        </w:tc>
        <w:tc>
          <w:tcPr>
            <w:tcW w:w="900" w:type="dxa"/>
          </w:tcPr>
          <w:p>
            <w:pPr>
              <w:pStyle w:val="11"/>
              <w:spacing w:line="240" w:lineRule="atLeast"/>
              <w:ind w:left="1080" w:leftChars="257" w:hanging="540"/>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1"/>
              <w:spacing w:line="240" w:lineRule="atLeast"/>
              <w:ind w:left="1080" w:leftChars="257" w:hanging="540"/>
              <w:rPr>
                <w:rFonts w:ascii="仿宋" w:hAnsi="仿宋" w:eastAsia="仿宋" w:cs="仿宋"/>
                <w:color w:val="auto"/>
                <w:szCs w:val="21"/>
                <w:highlight w:val="none"/>
              </w:rPr>
            </w:pPr>
          </w:p>
        </w:tc>
        <w:tc>
          <w:tcPr>
            <w:tcW w:w="1260" w:type="dxa"/>
          </w:tcPr>
          <w:p>
            <w:pPr>
              <w:pStyle w:val="11"/>
              <w:spacing w:line="240" w:lineRule="atLeast"/>
              <w:ind w:left="1080" w:leftChars="257" w:hanging="540"/>
              <w:rPr>
                <w:rFonts w:ascii="仿宋" w:hAnsi="仿宋" w:eastAsia="仿宋" w:cs="仿宋"/>
                <w:color w:val="auto"/>
                <w:szCs w:val="21"/>
                <w:highlight w:val="none"/>
              </w:rPr>
            </w:pPr>
          </w:p>
        </w:tc>
        <w:tc>
          <w:tcPr>
            <w:tcW w:w="2340" w:type="dxa"/>
          </w:tcPr>
          <w:p>
            <w:pPr>
              <w:pStyle w:val="11"/>
              <w:spacing w:line="240" w:lineRule="atLeast"/>
              <w:ind w:left="1080" w:leftChars="257" w:hanging="540"/>
              <w:rPr>
                <w:rFonts w:ascii="仿宋" w:hAnsi="仿宋" w:eastAsia="仿宋" w:cs="仿宋"/>
                <w:color w:val="auto"/>
                <w:szCs w:val="21"/>
                <w:highlight w:val="none"/>
              </w:rPr>
            </w:pPr>
          </w:p>
        </w:tc>
        <w:tc>
          <w:tcPr>
            <w:tcW w:w="1260" w:type="dxa"/>
          </w:tcPr>
          <w:p>
            <w:pPr>
              <w:pStyle w:val="11"/>
              <w:spacing w:line="240" w:lineRule="atLeast"/>
              <w:ind w:left="1080" w:leftChars="257" w:hanging="540"/>
              <w:rPr>
                <w:rFonts w:ascii="仿宋" w:hAnsi="仿宋" w:eastAsia="仿宋" w:cs="仿宋"/>
                <w:color w:val="auto"/>
                <w:szCs w:val="21"/>
                <w:highlight w:val="none"/>
              </w:rPr>
            </w:pPr>
          </w:p>
        </w:tc>
        <w:tc>
          <w:tcPr>
            <w:tcW w:w="1260" w:type="dxa"/>
          </w:tcPr>
          <w:p>
            <w:pPr>
              <w:pStyle w:val="11"/>
              <w:spacing w:line="240" w:lineRule="atLeast"/>
              <w:ind w:left="1080" w:leftChars="257" w:hanging="540"/>
              <w:rPr>
                <w:rFonts w:ascii="仿宋" w:hAnsi="仿宋" w:eastAsia="仿宋" w:cs="仿宋"/>
                <w:color w:val="auto"/>
                <w:szCs w:val="21"/>
                <w:highlight w:val="none"/>
              </w:rPr>
            </w:pPr>
          </w:p>
        </w:tc>
        <w:tc>
          <w:tcPr>
            <w:tcW w:w="900" w:type="dxa"/>
          </w:tcPr>
          <w:p>
            <w:pPr>
              <w:pStyle w:val="11"/>
              <w:spacing w:line="240" w:lineRule="atLeast"/>
              <w:ind w:left="1080" w:leftChars="257" w:hanging="540"/>
              <w:rPr>
                <w:rFonts w:ascii="仿宋" w:hAnsi="仿宋" w:eastAsia="仿宋" w:cs="仿宋"/>
                <w:color w:val="auto"/>
                <w:szCs w:val="21"/>
                <w:highlight w:val="none"/>
              </w:rPr>
            </w:pPr>
          </w:p>
        </w:tc>
        <w:tc>
          <w:tcPr>
            <w:tcW w:w="900" w:type="dxa"/>
          </w:tcPr>
          <w:p>
            <w:pPr>
              <w:pStyle w:val="11"/>
              <w:spacing w:line="240" w:lineRule="atLeast"/>
              <w:ind w:left="1080" w:leftChars="257" w:hanging="540"/>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11"/>
              <w:spacing w:line="240" w:lineRule="atLeast"/>
              <w:ind w:left="1080" w:leftChars="257" w:hanging="540"/>
              <w:rPr>
                <w:rFonts w:ascii="仿宋" w:hAnsi="仿宋" w:eastAsia="仿宋" w:cs="仿宋"/>
                <w:color w:val="auto"/>
                <w:szCs w:val="21"/>
                <w:highlight w:val="none"/>
              </w:rPr>
            </w:pPr>
          </w:p>
        </w:tc>
        <w:tc>
          <w:tcPr>
            <w:tcW w:w="1260" w:type="dxa"/>
          </w:tcPr>
          <w:p>
            <w:pPr>
              <w:pStyle w:val="11"/>
              <w:spacing w:line="240" w:lineRule="atLeast"/>
              <w:ind w:left="1080" w:leftChars="257" w:hanging="540"/>
              <w:rPr>
                <w:rFonts w:ascii="仿宋" w:hAnsi="仿宋" w:eastAsia="仿宋" w:cs="仿宋"/>
                <w:color w:val="auto"/>
                <w:szCs w:val="21"/>
                <w:highlight w:val="none"/>
              </w:rPr>
            </w:pPr>
          </w:p>
        </w:tc>
        <w:tc>
          <w:tcPr>
            <w:tcW w:w="2340" w:type="dxa"/>
          </w:tcPr>
          <w:p>
            <w:pPr>
              <w:pStyle w:val="11"/>
              <w:spacing w:line="240" w:lineRule="atLeast"/>
              <w:ind w:left="1080" w:leftChars="257" w:hanging="540"/>
              <w:rPr>
                <w:rFonts w:ascii="仿宋" w:hAnsi="仿宋" w:eastAsia="仿宋" w:cs="仿宋"/>
                <w:color w:val="auto"/>
                <w:szCs w:val="21"/>
                <w:highlight w:val="none"/>
              </w:rPr>
            </w:pPr>
          </w:p>
        </w:tc>
        <w:tc>
          <w:tcPr>
            <w:tcW w:w="1260" w:type="dxa"/>
          </w:tcPr>
          <w:p>
            <w:pPr>
              <w:pStyle w:val="11"/>
              <w:spacing w:line="240" w:lineRule="atLeast"/>
              <w:ind w:left="1080" w:leftChars="257" w:hanging="540"/>
              <w:rPr>
                <w:rFonts w:ascii="仿宋" w:hAnsi="仿宋" w:eastAsia="仿宋" w:cs="仿宋"/>
                <w:color w:val="auto"/>
                <w:szCs w:val="21"/>
                <w:highlight w:val="none"/>
              </w:rPr>
            </w:pPr>
          </w:p>
        </w:tc>
        <w:tc>
          <w:tcPr>
            <w:tcW w:w="1260" w:type="dxa"/>
          </w:tcPr>
          <w:p>
            <w:pPr>
              <w:pStyle w:val="11"/>
              <w:spacing w:line="240" w:lineRule="atLeast"/>
              <w:ind w:left="1080" w:leftChars="257" w:hanging="540"/>
              <w:rPr>
                <w:rFonts w:ascii="仿宋" w:hAnsi="仿宋" w:eastAsia="仿宋" w:cs="仿宋"/>
                <w:color w:val="auto"/>
                <w:szCs w:val="21"/>
                <w:highlight w:val="none"/>
              </w:rPr>
            </w:pPr>
          </w:p>
        </w:tc>
        <w:tc>
          <w:tcPr>
            <w:tcW w:w="900" w:type="dxa"/>
          </w:tcPr>
          <w:p>
            <w:pPr>
              <w:pStyle w:val="11"/>
              <w:spacing w:line="240" w:lineRule="atLeast"/>
              <w:ind w:left="1080" w:leftChars="257" w:hanging="540"/>
              <w:rPr>
                <w:rFonts w:ascii="仿宋" w:hAnsi="仿宋" w:eastAsia="仿宋" w:cs="仿宋"/>
                <w:color w:val="auto"/>
                <w:szCs w:val="21"/>
                <w:highlight w:val="none"/>
              </w:rPr>
            </w:pPr>
          </w:p>
        </w:tc>
        <w:tc>
          <w:tcPr>
            <w:tcW w:w="900" w:type="dxa"/>
          </w:tcPr>
          <w:p>
            <w:pPr>
              <w:pStyle w:val="11"/>
              <w:spacing w:line="240" w:lineRule="atLeast"/>
              <w:ind w:left="1080" w:leftChars="257" w:hanging="540"/>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tcPr>
          <w:p>
            <w:pPr>
              <w:pStyle w:val="11"/>
              <w:spacing w:line="240" w:lineRule="atLeast"/>
              <w:ind w:left="1080" w:leftChars="257" w:hanging="540"/>
              <w:rPr>
                <w:rFonts w:ascii="仿宋" w:hAnsi="仿宋" w:eastAsia="仿宋" w:cs="仿宋"/>
                <w:color w:val="auto"/>
                <w:szCs w:val="21"/>
                <w:highlight w:val="none"/>
              </w:rPr>
            </w:pPr>
          </w:p>
        </w:tc>
        <w:tc>
          <w:tcPr>
            <w:tcW w:w="1260" w:type="dxa"/>
          </w:tcPr>
          <w:p>
            <w:pPr>
              <w:pStyle w:val="11"/>
              <w:spacing w:line="240" w:lineRule="atLeast"/>
              <w:ind w:left="1080" w:leftChars="257" w:hanging="540"/>
              <w:rPr>
                <w:rFonts w:ascii="仿宋" w:hAnsi="仿宋" w:eastAsia="仿宋" w:cs="仿宋"/>
                <w:color w:val="auto"/>
                <w:szCs w:val="21"/>
                <w:highlight w:val="none"/>
              </w:rPr>
            </w:pPr>
          </w:p>
        </w:tc>
        <w:tc>
          <w:tcPr>
            <w:tcW w:w="2340" w:type="dxa"/>
          </w:tcPr>
          <w:p>
            <w:pPr>
              <w:pStyle w:val="11"/>
              <w:spacing w:line="240" w:lineRule="atLeast"/>
              <w:ind w:left="1080" w:leftChars="257" w:hanging="540"/>
              <w:rPr>
                <w:rFonts w:ascii="仿宋" w:hAnsi="仿宋" w:eastAsia="仿宋" w:cs="仿宋"/>
                <w:color w:val="auto"/>
                <w:szCs w:val="21"/>
                <w:highlight w:val="none"/>
              </w:rPr>
            </w:pPr>
          </w:p>
        </w:tc>
        <w:tc>
          <w:tcPr>
            <w:tcW w:w="1260" w:type="dxa"/>
          </w:tcPr>
          <w:p>
            <w:pPr>
              <w:pStyle w:val="11"/>
              <w:spacing w:line="240" w:lineRule="atLeast"/>
              <w:ind w:left="1080" w:leftChars="257" w:hanging="540"/>
              <w:rPr>
                <w:rFonts w:ascii="仿宋" w:hAnsi="仿宋" w:eastAsia="仿宋" w:cs="仿宋"/>
                <w:color w:val="auto"/>
                <w:szCs w:val="21"/>
                <w:highlight w:val="none"/>
              </w:rPr>
            </w:pPr>
          </w:p>
        </w:tc>
        <w:tc>
          <w:tcPr>
            <w:tcW w:w="1260" w:type="dxa"/>
          </w:tcPr>
          <w:p>
            <w:pPr>
              <w:pStyle w:val="11"/>
              <w:spacing w:line="240" w:lineRule="atLeast"/>
              <w:ind w:left="1080" w:leftChars="257" w:hanging="540"/>
              <w:rPr>
                <w:rFonts w:ascii="仿宋" w:hAnsi="仿宋" w:eastAsia="仿宋" w:cs="仿宋"/>
                <w:color w:val="auto"/>
                <w:szCs w:val="21"/>
                <w:highlight w:val="none"/>
              </w:rPr>
            </w:pPr>
          </w:p>
        </w:tc>
        <w:tc>
          <w:tcPr>
            <w:tcW w:w="900" w:type="dxa"/>
          </w:tcPr>
          <w:p>
            <w:pPr>
              <w:pStyle w:val="11"/>
              <w:spacing w:line="240" w:lineRule="atLeast"/>
              <w:ind w:left="1080" w:leftChars="257" w:hanging="540"/>
              <w:rPr>
                <w:rFonts w:ascii="仿宋" w:hAnsi="仿宋" w:eastAsia="仿宋" w:cs="仿宋"/>
                <w:color w:val="auto"/>
                <w:szCs w:val="21"/>
                <w:highlight w:val="none"/>
              </w:rPr>
            </w:pPr>
          </w:p>
        </w:tc>
        <w:tc>
          <w:tcPr>
            <w:tcW w:w="900" w:type="dxa"/>
          </w:tcPr>
          <w:p>
            <w:pPr>
              <w:pStyle w:val="11"/>
              <w:spacing w:line="240" w:lineRule="atLeast"/>
              <w:ind w:left="1080" w:leftChars="257" w:hanging="540"/>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tcPr>
          <w:p>
            <w:pPr>
              <w:pStyle w:val="11"/>
              <w:spacing w:line="240" w:lineRule="atLeast"/>
              <w:ind w:left="1080" w:leftChars="257" w:hanging="540"/>
              <w:rPr>
                <w:rFonts w:ascii="仿宋" w:hAnsi="仿宋" w:eastAsia="仿宋" w:cs="仿宋"/>
                <w:color w:val="auto"/>
                <w:szCs w:val="21"/>
                <w:highlight w:val="none"/>
              </w:rPr>
            </w:pPr>
          </w:p>
        </w:tc>
        <w:tc>
          <w:tcPr>
            <w:tcW w:w="1260" w:type="dxa"/>
          </w:tcPr>
          <w:p>
            <w:pPr>
              <w:pStyle w:val="11"/>
              <w:spacing w:line="240" w:lineRule="atLeast"/>
              <w:ind w:left="1080" w:leftChars="257" w:hanging="540"/>
              <w:rPr>
                <w:rFonts w:ascii="仿宋" w:hAnsi="仿宋" w:eastAsia="仿宋" w:cs="仿宋"/>
                <w:color w:val="auto"/>
                <w:szCs w:val="21"/>
                <w:highlight w:val="none"/>
              </w:rPr>
            </w:pPr>
          </w:p>
        </w:tc>
        <w:tc>
          <w:tcPr>
            <w:tcW w:w="2340" w:type="dxa"/>
          </w:tcPr>
          <w:p>
            <w:pPr>
              <w:pStyle w:val="11"/>
              <w:spacing w:line="240" w:lineRule="atLeast"/>
              <w:ind w:left="1080" w:leftChars="257" w:hanging="540"/>
              <w:rPr>
                <w:rFonts w:ascii="仿宋" w:hAnsi="仿宋" w:eastAsia="仿宋" w:cs="仿宋"/>
                <w:color w:val="auto"/>
                <w:szCs w:val="21"/>
                <w:highlight w:val="none"/>
              </w:rPr>
            </w:pPr>
          </w:p>
        </w:tc>
        <w:tc>
          <w:tcPr>
            <w:tcW w:w="1260" w:type="dxa"/>
          </w:tcPr>
          <w:p>
            <w:pPr>
              <w:pStyle w:val="11"/>
              <w:spacing w:line="240" w:lineRule="atLeast"/>
              <w:ind w:left="1080" w:leftChars="257" w:hanging="540"/>
              <w:rPr>
                <w:rFonts w:ascii="仿宋" w:hAnsi="仿宋" w:eastAsia="仿宋" w:cs="仿宋"/>
                <w:color w:val="auto"/>
                <w:szCs w:val="21"/>
                <w:highlight w:val="none"/>
              </w:rPr>
            </w:pPr>
          </w:p>
        </w:tc>
        <w:tc>
          <w:tcPr>
            <w:tcW w:w="1260" w:type="dxa"/>
          </w:tcPr>
          <w:p>
            <w:pPr>
              <w:pStyle w:val="11"/>
              <w:spacing w:line="240" w:lineRule="atLeast"/>
              <w:ind w:left="1080" w:leftChars="257" w:hanging="540"/>
              <w:rPr>
                <w:rFonts w:ascii="仿宋" w:hAnsi="仿宋" w:eastAsia="仿宋" w:cs="仿宋"/>
                <w:color w:val="auto"/>
                <w:szCs w:val="21"/>
                <w:highlight w:val="none"/>
              </w:rPr>
            </w:pPr>
          </w:p>
        </w:tc>
        <w:tc>
          <w:tcPr>
            <w:tcW w:w="900" w:type="dxa"/>
          </w:tcPr>
          <w:p>
            <w:pPr>
              <w:pStyle w:val="11"/>
              <w:spacing w:line="240" w:lineRule="atLeast"/>
              <w:ind w:left="1080" w:leftChars="257" w:hanging="540"/>
              <w:rPr>
                <w:rFonts w:ascii="仿宋" w:hAnsi="仿宋" w:eastAsia="仿宋" w:cs="仿宋"/>
                <w:color w:val="auto"/>
                <w:szCs w:val="21"/>
                <w:highlight w:val="none"/>
              </w:rPr>
            </w:pPr>
          </w:p>
        </w:tc>
        <w:tc>
          <w:tcPr>
            <w:tcW w:w="900" w:type="dxa"/>
          </w:tcPr>
          <w:p>
            <w:pPr>
              <w:pStyle w:val="11"/>
              <w:spacing w:line="240" w:lineRule="atLeast"/>
              <w:ind w:left="1080" w:leftChars="257" w:hanging="540"/>
              <w:rPr>
                <w:rFonts w:ascii="仿宋" w:hAnsi="仿宋" w:eastAsia="仿宋" w:cs="仿宋"/>
                <w:color w:val="auto"/>
                <w:szCs w:val="21"/>
                <w:highlight w:val="none"/>
              </w:rPr>
            </w:pPr>
          </w:p>
        </w:tc>
      </w:tr>
    </w:tbl>
    <w:p>
      <w:pPr>
        <w:pStyle w:val="11"/>
        <w:spacing w:line="240" w:lineRule="atLeast"/>
        <w:ind w:left="1080" w:leftChars="257" w:hanging="540"/>
        <w:rPr>
          <w:rFonts w:ascii="仿宋" w:hAnsi="仿宋" w:eastAsia="仿宋" w:cs="仿宋"/>
          <w:color w:val="auto"/>
          <w:szCs w:val="21"/>
          <w:highlight w:val="none"/>
        </w:rPr>
      </w:pPr>
    </w:p>
    <w:p>
      <w:pPr>
        <w:pStyle w:val="11"/>
        <w:spacing w:line="240" w:lineRule="atLeast"/>
        <w:ind w:left="1080" w:leftChars="257" w:hanging="540"/>
        <w:rPr>
          <w:rFonts w:ascii="仿宋" w:hAnsi="仿宋" w:eastAsia="仿宋" w:cs="仿宋"/>
          <w:color w:val="auto"/>
          <w:szCs w:val="21"/>
          <w:highlight w:val="none"/>
        </w:rPr>
      </w:pPr>
    </w:p>
    <w:p>
      <w:pPr>
        <w:pStyle w:val="11"/>
        <w:tabs>
          <w:tab w:val="left" w:pos="5370"/>
        </w:tabs>
        <w:spacing w:line="360" w:lineRule="auto"/>
        <w:ind w:left="1080" w:leftChars="257" w:hanging="540"/>
        <w:rPr>
          <w:rFonts w:ascii="仿宋" w:hAnsi="仿宋" w:eastAsia="仿宋" w:cs="仿宋"/>
          <w:color w:val="auto"/>
          <w:szCs w:val="21"/>
          <w:highlight w:val="none"/>
          <w:u w:val="single"/>
        </w:rPr>
      </w:pPr>
      <w:r>
        <w:rPr>
          <w:rFonts w:hint="eastAsia" w:ascii="仿宋" w:hAnsi="仿宋" w:eastAsia="仿宋" w:cs="仿宋"/>
          <w:color w:val="auto"/>
          <w:szCs w:val="21"/>
          <w:highlight w:val="none"/>
        </w:rPr>
        <w:t>投标人(盖公章):</w:t>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 xml:space="preserve">       </w:t>
      </w:r>
    </w:p>
    <w:p>
      <w:pPr>
        <w:pStyle w:val="11"/>
        <w:tabs>
          <w:tab w:val="left" w:pos="5580"/>
        </w:tabs>
        <w:spacing w:line="360" w:lineRule="auto"/>
        <w:ind w:left="1080" w:leftChars="257" w:hanging="540"/>
        <w:rPr>
          <w:rFonts w:ascii="仿宋" w:hAnsi="仿宋" w:eastAsia="仿宋" w:cs="仿宋"/>
          <w:color w:val="auto"/>
          <w:szCs w:val="21"/>
          <w:highlight w:val="none"/>
          <w:u w:val="single"/>
        </w:rPr>
      </w:pPr>
      <w:r>
        <w:rPr>
          <w:rFonts w:hint="eastAsia" w:ascii="仿宋" w:hAnsi="仿宋" w:eastAsia="仿宋" w:cs="仿宋"/>
          <w:color w:val="auto"/>
          <w:szCs w:val="21"/>
          <w:highlight w:val="none"/>
        </w:rPr>
        <w:t>法定代表人或委托代理人（签字或签章）: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 xml:space="preserve">     </w:t>
      </w:r>
    </w:p>
    <w:p>
      <w:pPr>
        <w:pStyle w:val="11"/>
        <w:spacing w:line="360" w:lineRule="auto"/>
        <w:rPr>
          <w:rFonts w:ascii="仿宋" w:hAnsi="仿宋" w:eastAsia="仿宋" w:cs="仿宋"/>
          <w:color w:val="auto"/>
          <w:szCs w:val="21"/>
          <w:highlight w:val="none"/>
        </w:rPr>
      </w:pPr>
    </w:p>
    <w:p>
      <w:pPr>
        <w:pStyle w:val="11"/>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注：</w:t>
      </w:r>
    </w:p>
    <w:p>
      <w:pPr>
        <w:pStyle w:val="11"/>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1.投标人应对照招标文件技术要求，</w:t>
      </w:r>
      <w:r>
        <w:rPr>
          <w:rFonts w:hint="eastAsia" w:ascii="仿宋" w:hAnsi="仿宋" w:eastAsia="仿宋" w:cs="仿宋"/>
          <w:b/>
          <w:bCs/>
          <w:color w:val="auto"/>
          <w:szCs w:val="21"/>
          <w:highlight w:val="none"/>
        </w:rPr>
        <w:t>逐条说明</w:t>
      </w:r>
      <w:r>
        <w:rPr>
          <w:rFonts w:hint="eastAsia" w:ascii="仿宋" w:hAnsi="仿宋" w:eastAsia="仿宋" w:cs="仿宋"/>
          <w:color w:val="auto"/>
          <w:szCs w:val="21"/>
          <w:highlight w:val="none"/>
        </w:rPr>
        <w:t>所提供货物和服务已对招标文件的技术要求做出了实质性的响应，并申明与技术要求条文的偏差和例外。</w:t>
      </w:r>
    </w:p>
    <w:p>
      <w:pPr>
        <w:pStyle w:val="11"/>
        <w:spacing w:line="360" w:lineRule="auto"/>
        <w:rPr>
          <w:rFonts w:ascii="仿宋" w:hAnsi="仿宋" w:eastAsia="仿宋" w:cs="仿宋"/>
          <w:b/>
          <w:bCs/>
          <w:color w:val="auto"/>
          <w:szCs w:val="21"/>
          <w:highlight w:val="none"/>
        </w:rPr>
      </w:pPr>
      <w:r>
        <w:rPr>
          <w:rFonts w:hint="eastAsia" w:ascii="仿宋" w:hAnsi="仿宋" w:eastAsia="仿宋" w:cs="仿宋"/>
          <w:color w:val="auto"/>
          <w:szCs w:val="21"/>
          <w:highlight w:val="none"/>
        </w:rPr>
        <w:t>2.对有具体参数要求的指标，投标人必须提供所投货物的具体参数值。此表不能代替技术文件，投标人还应将详细的技术方案和技术支持资料附在投标文件中。</w:t>
      </w:r>
      <w:r>
        <w:rPr>
          <w:rFonts w:hint="eastAsia" w:ascii="仿宋" w:hAnsi="仿宋" w:eastAsia="仿宋" w:cs="仿宋"/>
          <w:b/>
          <w:bCs/>
          <w:color w:val="auto"/>
          <w:szCs w:val="21"/>
          <w:highlight w:val="none"/>
        </w:rPr>
        <w:t>如有差异，以技术支持资料中的参数为准。</w:t>
      </w:r>
      <w:bookmarkStart w:id="340" w:name="_Toc216582818"/>
      <w:bookmarkStart w:id="341" w:name="_Toc60830330"/>
    </w:p>
    <w:p>
      <w:pPr>
        <w:pStyle w:val="11"/>
        <w:spacing w:line="360" w:lineRule="auto"/>
        <w:rPr>
          <w:rFonts w:ascii="仿宋" w:hAnsi="仿宋" w:eastAsia="仿宋" w:cs="仿宋"/>
          <w:b/>
          <w:bCs/>
          <w:color w:val="auto"/>
          <w:szCs w:val="21"/>
          <w:highlight w:val="none"/>
        </w:rPr>
      </w:pPr>
    </w:p>
    <w:p>
      <w:pPr>
        <w:pStyle w:val="6"/>
        <w:spacing w:before="0" w:after="0" w:line="360" w:lineRule="auto"/>
        <w:jc w:val="center"/>
        <w:rPr>
          <w:rFonts w:ascii="仿宋" w:hAnsi="仿宋" w:eastAsia="仿宋" w:cs="仿宋"/>
          <w:color w:val="auto"/>
          <w:highlight w:val="none"/>
          <w:u w:val="none"/>
        </w:rPr>
      </w:pPr>
      <w:r>
        <w:rPr>
          <w:rFonts w:hint="eastAsia" w:ascii="仿宋" w:hAnsi="仿宋" w:eastAsia="仿宋" w:cs="仿宋"/>
          <w:color w:val="auto"/>
          <w:highlight w:val="none"/>
          <w:u w:val="none"/>
        </w:rPr>
        <w:t>5  商务条款偏离表</w:t>
      </w:r>
      <w:bookmarkEnd w:id="340"/>
      <w:bookmarkEnd w:id="341"/>
    </w:p>
    <w:p>
      <w:pPr>
        <w:pStyle w:val="11"/>
        <w:spacing w:line="240" w:lineRule="atLeast"/>
        <w:ind w:left="1080" w:leftChars="257" w:hanging="540"/>
        <w:rPr>
          <w:rFonts w:ascii="仿宋" w:hAnsi="仿宋" w:eastAsia="仿宋" w:cs="仿宋"/>
          <w:color w:val="auto"/>
          <w:sz w:val="24"/>
          <w:highlight w:val="none"/>
        </w:rPr>
      </w:pPr>
    </w:p>
    <w:p>
      <w:pPr>
        <w:pStyle w:val="11"/>
        <w:spacing w:line="240" w:lineRule="atLeast"/>
        <w:ind w:left="1080"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项目名称:                      项目编号:             包号:</w:t>
      </w:r>
    </w:p>
    <w:p>
      <w:pPr>
        <w:pStyle w:val="11"/>
        <w:spacing w:line="240" w:lineRule="atLeast"/>
        <w:ind w:left="1080" w:leftChars="257" w:hanging="540"/>
        <w:rPr>
          <w:rFonts w:ascii="仿宋" w:hAnsi="仿宋" w:eastAsia="仿宋" w:cs="仿宋"/>
          <w:color w:val="auto"/>
          <w:szCs w:val="21"/>
          <w:highlight w:val="none"/>
        </w:rPr>
      </w:pPr>
    </w:p>
    <w:tbl>
      <w:tblPr>
        <w:tblStyle w:val="20"/>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序号</w:t>
            </w:r>
          </w:p>
        </w:tc>
        <w:tc>
          <w:tcPr>
            <w:tcW w:w="2040" w:type="dxa"/>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招标文件条款号</w:t>
            </w:r>
          </w:p>
        </w:tc>
        <w:tc>
          <w:tcPr>
            <w:tcW w:w="2520" w:type="dxa"/>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招标文件的商务条款</w:t>
            </w:r>
          </w:p>
        </w:tc>
        <w:tc>
          <w:tcPr>
            <w:tcW w:w="2520" w:type="dxa"/>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投标文件的商务条款</w:t>
            </w:r>
          </w:p>
        </w:tc>
        <w:tc>
          <w:tcPr>
            <w:tcW w:w="900" w:type="dxa"/>
          </w:tcPr>
          <w:p>
            <w:pPr>
              <w:pStyle w:val="11"/>
              <w:spacing w:line="240" w:lineRule="atLeas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0" w:leftChars="257" w:hanging="540"/>
              <w:rPr>
                <w:rFonts w:ascii="仿宋" w:hAnsi="仿宋" w:eastAsia="仿宋" w:cs="仿宋"/>
                <w:color w:val="auto"/>
                <w:szCs w:val="21"/>
                <w:highlight w:val="none"/>
              </w:rPr>
            </w:pPr>
          </w:p>
        </w:tc>
        <w:tc>
          <w:tcPr>
            <w:tcW w:w="2040" w:type="dxa"/>
          </w:tcPr>
          <w:p>
            <w:pPr>
              <w:pStyle w:val="11"/>
              <w:spacing w:line="240" w:lineRule="atLeast"/>
              <w:ind w:left="1080" w:leftChars="257" w:hanging="540"/>
              <w:rPr>
                <w:rFonts w:ascii="仿宋" w:hAnsi="仿宋" w:eastAsia="仿宋" w:cs="仿宋"/>
                <w:color w:val="auto"/>
                <w:szCs w:val="21"/>
                <w:highlight w:val="none"/>
              </w:rPr>
            </w:pPr>
          </w:p>
        </w:tc>
        <w:tc>
          <w:tcPr>
            <w:tcW w:w="2520" w:type="dxa"/>
          </w:tcPr>
          <w:p>
            <w:pPr>
              <w:pStyle w:val="11"/>
              <w:spacing w:line="240" w:lineRule="atLeast"/>
              <w:ind w:left="1080" w:leftChars="257" w:hanging="540"/>
              <w:jc w:val="center"/>
              <w:rPr>
                <w:rFonts w:ascii="仿宋" w:hAnsi="仿宋" w:eastAsia="仿宋" w:cs="仿宋"/>
                <w:color w:val="auto"/>
                <w:szCs w:val="21"/>
                <w:highlight w:val="none"/>
              </w:rPr>
            </w:pPr>
          </w:p>
        </w:tc>
        <w:tc>
          <w:tcPr>
            <w:tcW w:w="2520" w:type="dxa"/>
          </w:tcPr>
          <w:p>
            <w:pPr>
              <w:pStyle w:val="11"/>
              <w:spacing w:line="240" w:lineRule="atLeast"/>
              <w:ind w:left="1080" w:leftChars="257" w:hanging="540"/>
              <w:jc w:val="center"/>
              <w:rPr>
                <w:rFonts w:ascii="仿宋" w:hAnsi="仿宋" w:eastAsia="仿宋" w:cs="仿宋"/>
                <w:color w:val="auto"/>
                <w:szCs w:val="21"/>
                <w:highlight w:val="none"/>
              </w:rPr>
            </w:pPr>
          </w:p>
        </w:tc>
        <w:tc>
          <w:tcPr>
            <w:tcW w:w="900" w:type="dxa"/>
          </w:tcPr>
          <w:p>
            <w:pPr>
              <w:pStyle w:val="11"/>
              <w:spacing w:line="240" w:lineRule="atLeast"/>
              <w:ind w:left="1080" w:leftChars="257" w:hanging="540"/>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0" w:leftChars="257" w:hanging="540"/>
              <w:rPr>
                <w:rFonts w:ascii="仿宋" w:hAnsi="仿宋" w:eastAsia="仿宋" w:cs="仿宋"/>
                <w:color w:val="auto"/>
                <w:szCs w:val="21"/>
                <w:highlight w:val="none"/>
              </w:rPr>
            </w:pPr>
          </w:p>
        </w:tc>
        <w:tc>
          <w:tcPr>
            <w:tcW w:w="2040" w:type="dxa"/>
          </w:tcPr>
          <w:p>
            <w:pPr>
              <w:pStyle w:val="11"/>
              <w:spacing w:line="240" w:lineRule="atLeast"/>
              <w:ind w:left="1080" w:leftChars="257" w:hanging="540"/>
              <w:rPr>
                <w:rFonts w:ascii="仿宋" w:hAnsi="仿宋" w:eastAsia="仿宋" w:cs="仿宋"/>
                <w:color w:val="auto"/>
                <w:szCs w:val="21"/>
                <w:highlight w:val="none"/>
              </w:rPr>
            </w:pPr>
          </w:p>
        </w:tc>
        <w:tc>
          <w:tcPr>
            <w:tcW w:w="2520" w:type="dxa"/>
          </w:tcPr>
          <w:p>
            <w:pPr>
              <w:pStyle w:val="11"/>
              <w:spacing w:line="240" w:lineRule="atLeast"/>
              <w:ind w:left="1080" w:leftChars="257" w:hanging="540"/>
              <w:rPr>
                <w:rFonts w:ascii="仿宋" w:hAnsi="仿宋" w:eastAsia="仿宋" w:cs="仿宋"/>
                <w:color w:val="auto"/>
                <w:szCs w:val="21"/>
                <w:highlight w:val="none"/>
              </w:rPr>
            </w:pPr>
          </w:p>
        </w:tc>
        <w:tc>
          <w:tcPr>
            <w:tcW w:w="2520" w:type="dxa"/>
          </w:tcPr>
          <w:p>
            <w:pPr>
              <w:pStyle w:val="11"/>
              <w:spacing w:line="240" w:lineRule="atLeast"/>
              <w:ind w:left="1080" w:leftChars="257" w:hanging="540"/>
              <w:rPr>
                <w:rFonts w:ascii="仿宋" w:hAnsi="仿宋" w:eastAsia="仿宋" w:cs="仿宋"/>
                <w:color w:val="auto"/>
                <w:szCs w:val="21"/>
                <w:highlight w:val="none"/>
              </w:rPr>
            </w:pPr>
          </w:p>
        </w:tc>
        <w:tc>
          <w:tcPr>
            <w:tcW w:w="900" w:type="dxa"/>
          </w:tcPr>
          <w:p>
            <w:pPr>
              <w:pStyle w:val="11"/>
              <w:spacing w:line="240" w:lineRule="atLeast"/>
              <w:ind w:left="1080" w:leftChars="257" w:hanging="540"/>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0" w:leftChars="257" w:hanging="540"/>
              <w:rPr>
                <w:rFonts w:ascii="仿宋" w:hAnsi="仿宋" w:eastAsia="仿宋" w:cs="仿宋"/>
                <w:color w:val="auto"/>
                <w:szCs w:val="21"/>
                <w:highlight w:val="none"/>
              </w:rPr>
            </w:pPr>
          </w:p>
        </w:tc>
        <w:tc>
          <w:tcPr>
            <w:tcW w:w="2040" w:type="dxa"/>
          </w:tcPr>
          <w:p>
            <w:pPr>
              <w:pStyle w:val="11"/>
              <w:spacing w:line="240" w:lineRule="atLeast"/>
              <w:ind w:left="1080" w:leftChars="257" w:hanging="540"/>
              <w:rPr>
                <w:rFonts w:ascii="仿宋" w:hAnsi="仿宋" w:eastAsia="仿宋" w:cs="仿宋"/>
                <w:color w:val="auto"/>
                <w:szCs w:val="21"/>
                <w:highlight w:val="none"/>
              </w:rPr>
            </w:pPr>
          </w:p>
        </w:tc>
        <w:tc>
          <w:tcPr>
            <w:tcW w:w="2520" w:type="dxa"/>
          </w:tcPr>
          <w:p>
            <w:pPr>
              <w:pStyle w:val="11"/>
              <w:spacing w:line="240" w:lineRule="atLeast"/>
              <w:ind w:left="1080" w:leftChars="257" w:hanging="540"/>
              <w:rPr>
                <w:rFonts w:ascii="仿宋" w:hAnsi="仿宋" w:eastAsia="仿宋" w:cs="仿宋"/>
                <w:color w:val="auto"/>
                <w:szCs w:val="21"/>
                <w:highlight w:val="none"/>
              </w:rPr>
            </w:pPr>
          </w:p>
        </w:tc>
        <w:tc>
          <w:tcPr>
            <w:tcW w:w="2520" w:type="dxa"/>
          </w:tcPr>
          <w:p>
            <w:pPr>
              <w:pStyle w:val="11"/>
              <w:spacing w:line="240" w:lineRule="atLeast"/>
              <w:ind w:left="1080" w:leftChars="257" w:hanging="540"/>
              <w:rPr>
                <w:rFonts w:ascii="仿宋" w:hAnsi="仿宋" w:eastAsia="仿宋" w:cs="仿宋"/>
                <w:color w:val="auto"/>
                <w:szCs w:val="21"/>
                <w:highlight w:val="none"/>
              </w:rPr>
            </w:pPr>
          </w:p>
        </w:tc>
        <w:tc>
          <w:tcPr>
            <w:tcW w:w="900" w:type="dxa"/>
          </w:tcPr>
          <w:p>
            <w:pPr>
              <w:pStyle w:val="11"/>
              <w:spacing w:line="240" w:lineRule="atLeast"/>
              <w:ind w:left="1080" w:leftChars="257" w:hanging="540"/>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0" w:leftChars="257" w:hanging="540"/>
              <w:rPr>
                <w:rFonts w:ascii="仿宋" w:hAnsi="仿宋" w:eastAsia="仿宋" w:cs="仿宋"/>
                <w:color w:val="auto"/>
                <w:szCs w:val="21"/>
                <w:highlight w:val="none"/>
              </w:rPr>
            </w:pPr>
          </w:p>
        </w:tc>
        <w:tc>
          <w:tcPr>
            <w:tcW w:w="2040" w:type="dxa"/>
          </w:tcPr>
          <w:p>
            <w:pPr>
              <w:pStyle w:val="11"/>
              <w:spacing w:line="240" w:lineRule="atLeast"/>
              <w:ind w:left="1080" w:leftChars="257" w:hanging="540"/>
              <w:rPr>
                <w:rFonts w:ascii="仿宋" w:hAnsi="仿宋" w:eastAsia="仿宋" w:cs="仿宋"/>
                <w:color w:val="auto"/>
                <w:szCs w:val="21"/>
                <w:highlight w:val="none"/>
              </w:rPr>
            </w:pPr>
          </w:p>
        </w:tc>
        <w:tc>
          <w:tcPr>
            <w:tcW w:w="2520" w:type="dxa"/>
          </w:tcPr>
          <w:p>
            <w:pPr>
              <w:pStyle w:val="11"/>
              <w:spacing w:line="240" w:lineRule="atLeast"/>
              <w:ind w:left="1080" w:leftChars="257" w:hanging="540"/>
              <w:rPr>
                <w:rFonts w:ascii="仿宋" w:hAnsi="仿宋" w:eastAsia="仿宋" w:cs="仿宋"/>
                <w:color w:val="auto"/>
                <w:szCs w:val="21"/>
                <w:highlight w:val="none"/>
              </w:rPr>
            </w:pPr>
          </w:p>
        </w:tc>
        <w:tc>
          <w:tcPr>
            <w:tcW w:w="2520" w:type="dxa"/>
          </w:tcPr>
          <w:p>
            <w:pPr>
              <w:pStyle w:val="11"/>
              <w:spacing w:line="240" w:lineRule="atLeast"/>
              <w:ind w:left="1080" w:leftChars="257" w:hanging="540"/>
              <w:rPr>
                <w:rFonts w:ascii="仿宋" w:hAnsi="仿宋" w:eastAsia="仿宋" w:cs="仿宋"/>
                <w:color w:val="auto"/>
                <w:szCs w:val="21"/>
                <w:highlight w:val="none"/>
              </w:rPr>
            </w:pPr>
          </w:p>
        </w:tc>
        <w:tc>
          <w:tcPr>
            <w:tcW w:w="900" w:type="dxa"/>
          </w:tcPr>
          <w:p>
            <w:pPr>
              <w:pStyle w:val="11"/>
              <w:spacing w:line="240" w:lineRule="atLeast"/>
              <w:ind w:left="1080" w:leftChars="257" w:hanging="540"/>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0" w:leftChars="257" w:hanging="540"/>
              <w:rPr>
                <w:rFonts w:ascii="仿宋" w:hAnsi="仿宋" w:eastAsia="仿宋" w:cs="仿宋"/>
                <w:color w:val="auto"/>
                <w:szCs w:val="21"/>
                <w:highlight w:val="none"/>
              </w:rPr>
            </w:pPr>
          </w:p>
        </w:tc>
        <w:tc>
          <w:tcPr>
            <w:tcW w:w="2040" w:type="dxa"/>
          </w:tcPr>
          <w:p>
            <w:pPr>
              <w:pStyle w:val="11"/>
              <w:spacing w:line="240" w:lineRule="atLeast"/>
              <w:ind w:left="1080" w:leftChars="257" w:hanging="540"/>
              <w:rPr>
                <w:rFonts w:ascii="仿宋" w:hAnsi="仿宋" w:eastAsia="仿宋" w:cs="仿宋"/>
                <w:color w:val="auto"/>
                <w:szCs w:val="21"/>
                <w:highlight w:val="none"/>
              </w:rPr>
            </w:pPr>
          </w:p>
        </w:tc>
        <w:tc>
          <w:tcPr>
            <w:tcW w:w="2520" w:type="dxa"/>
          </w:tcPr>
          <w:p>
            <w:pPr>
              <w:pStyle w:val="11"/>
              <w:spacing w:line="240" w:lineRule="atLeast"/>
              <w:ind w:left="1080" w:leftChars="257" w:hanging="540"/>
              <w:rPr>
                <w:rFonts w:ascii="仿宋" w:hAnsi="仿宋" w:eastAsia="仿宋" w:cs="仿宋"/>
                <w:color w:val="auto"/>
                <w:szCs w:val="21"/>
                <w:highlight w:val="none"/>
              </w:rPr>
            </w:pPr>
          </w:p>
        </w:tc>
        <w:tc>
          <w:tcPr>
            <w:tcW w:w="2520" w:type="dxa"/>
          </w:tcPr>
          <w:p>
            <w:pPr>
              <w:pStyle w:val="11"/>
              <w:spacing w:line="240" w:lineRule="atLeast"/>
              <w:ind w:left="1080" w:leftChars="257" w:hanging="540"/>
              <w:rPr>
                <w:rFonts w:ascii="仿宋" w:hAnsi="仿宋" w:eastAsia="仿宋" w:cs="仿宋"/>
                <w:color w:val="auto"/>
                <w:szCs w:val="21"/>
                <w:highlight w:val="none"/>
              </w:rPr>
            </w:pPr>
          </w:p>
        </w:tc>
        <w:tc>
          <w:tcPr>
            <w:tcW w:w="900" w:type="dxa"/>
          </w:tcPr>
          <w:p>
            <w:pPr>
              <w:pStyle w:val="11"/>
              <w:spacing w:line="240" w:lineRule="atLeast"/>
              <w:ind w:left="1080" w:leftChars="257" w:hanging="540"/>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0" w:leftChars="257" w:hanging="540"/>
              <w:rPr>
                <w:rFonts w:ascii="仿宋" w:hAnsi="仿宋" w:eastAsia="仿宋" w:cs="仿宋"/>
                <w:color w:val="auto"/>
                <w:szCs w:val="21"/>
                <w:highlight w:val="none"/>
              </w:rPr>
            </w:pPr>
          </w:p>
        </w:tc>
        <w:tc>
          <w:tcPr>
            <w:tcW w:w="2040" w:type="dxa"/>
          </w:tcPr>
          <w:p>
            <w:pPr>
              <w:pStyle w:val="11"/>
              <w:spacing w:line="240" w:lineRule="atLeast"/>
              <w:ind w:left="1080" w:leftChars="257" w:hanging="540"/>
              <w:rPr>
                <w:rFonts w:ascii="仿宋" w:hAnsi="仿宋" w:eastAsia="仿宋" w:cs="仿宋"/>
                <w:color w:val="auto"/>
                <w:szCs w:val="21"/>
                <w:highlight w:val="none"/>
              </w:rPr>
            </w:pPr>
          </w:p>
        </w:tc>
        <w:tc>
          <w:tcPr>
            <w:tcW w:w="2520" w:type="dxa"/>
          </w:tcPr>
          <w:p>
            <w:pPr>
              <w:pStyle w:val="11"/>
              <w:spacing w:line="240" w:lineRule="atLeast"/>
              <w:ind w:left="1080" w:leftChars="257" w:hanging="540"/>
              <w:rPr>
                <w:rFonts w:ascii="仿宋" w:hAnsi="仿宋" w:eastAsia="仿宋" w:cs="仿宋"/>
                <w:color w:val="auto"/>
                <w:szCs w:val="21"/>
                <w:highlight w:val="none"/>
              </w:rPr>
            </w:pPr>
          </w:p>
        </w:tc>
        <w:tc>
          <w:tcPr>
            <w:tcW w:w="2520" w:type="dxa"/>
          </w:tcPr>
          <w:p>
            <w:pPr>
              <w:pStyle w:val="11"/>
              <w:spacing w:line="240" w:lineRule="atLeast"/>
              <w:ind w:left="1080" w:leftChars="257" w:hanging="540"/>
              <w:rPr>
                <w:rFonts w:ascii="仿宋" w:hAnsi="仿宋" w:eastAsia="仿宋" w:cs="仿宋"/>
                <w:color w:val="auto"/>
                <w:szCs w:val="21"/>
                <w:highlight w:val="none"/>
              </w:rPr>
            </w:pPr>
          </w:p>
        </w:tc>
        <w:tc>
          <w:tcPr>
            <w:tcW w:w="900" w:type="dxa"/>
          </w:tcPr>
          <w:p>
            <w:pPr>
              <w:pStyle w:val="11"/>
              <w:spacing w:line="240" w:lineRule="atLeast"/>
              <w:ind w:left="1080" w:leftChars="257" w:hanging="540"/>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0" w:leftChars="257" w:hanging="540"/>
              <w:rPr>
                <w:rFonts w:ascii="仿宋" w:hAnsi="仿宋" w:eastAsia="仿宋" w:cs="仿宋"/>
                <w:color w:val="auto"/>
                <w:szCs w:val="21"/>
                <w:highlight w:val="none"/>
              </w:rPr>
            </w:pPr>
          </w:p>
        </w:tc>
        <w:tc>
          <w:tcPr>
            <w:tcW w:w="2040" w:type="dxa"/>
          </w:tcPr>
          <w:p>
            <w:pPr>
              <w:pStyle w:val="11"/>
              <w:spacing w:line="240" w:lineRule="atLeast"/>
              <w:ind w:left="1080" w:leftChars="257" w:hanging="540"/>
              <w:rPr>
                <w:rFonts w:ascii="仿宋" w:hAnsi="仿宋" w:eastAsia="仿宋" w:cs="仿宋"/>
                <w:color w:val="auto"/>
                <w:szCs w:val="21"/>
                <w:highlight w:val="none"/>
              </w:rPr>
            </w:pPr>
          </w:p>
        </w:tc>
        <w:tc>
          <w:tcPr>
            <w:tcW w:w="2520" w:type="dxa"/>
          </w:tcPr>
          <w:p>
            <w:pPr>
              <w:pStyle w:val="11"/>
              <w:spacing w:line="240" w:lineRule="atLeast"/>
              <w:ind w:left="1080" w:leftChars="257" w:hanging="540"/>
              <w:rPr>
                <w:rFonts w:ascii="仿宋" w:hAnsi="仿宋" w:eastAsia="仿宋" w:cs="仿宋"/>
                <w:color w:val="auto"/>
                <w:szCs w:val="21"/>
                <w:highlight w:val="none"/>
              </w:rPr>
            </w:pPr>
          </w:p>
        </w:tc>
        <w:tc>
          <w:tcPr>
            <w:tcW w:w="2520" w:type="dxa"/>
          </w:tcPr>
          <w:p>
            <w:pPr>
              <w:pStyle w:val="11"/>
              <w:spacing w:line="240" w:lineRule="atLeast"/>
              <w:ind w:left="1080" w:leftChars="257" w:hanging="540"/>
              <w:rPr>
                <w:rFonts w:ascii="仿宋" w:hAnsi="仿宋" w:eastAsia="仿宋" w:cs="仿宋"/>
                <w:color w:val="auto"/>
                <w:szCs w:val="21"/>
                <w:highlight w:val="none"/>
              </w:rPr>
            </w:pPr>
          </w:p>
        </w:tc>
        <w:tc>
          <w:tcPr>
            <w:tcW w:w="900" w:type="dxa"/>
          </w:tcPr>
          <w:p>
            <w:pPr>
              <w:pStyle w:val="11"/>
              <w:spacing w:line="240" w:lineRule="atLeast"/>
              <w:ind w:left="1080" w:leftChars="257" w:hanging="540"/>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0" w:leftChars="257" w:hanging="540"/>
              <w:rPr>
                <w:rFonts w:ascii="仿宋" w:hAnsi="仿宋" w:eastAsia="仿宋" w:cs="仿宋"/>
                <w:color w:val="auto"/>
                <w:szCs w:val="21"/>
                <w:highlight w:val="none"/>
              </w:rPr>
            </w:pPr>
          </w:p>
        </w:tc>
        <w:tc>
          <w:tcPr>
            <w:tcW w:w="2040" w:type="dxa"/>
          </w:tcPr>
          <w:p>
            <w:pPr>
              <w:pStyle w:val="11"/>
              <w:spacing w:line="240" w:lineRule="atLeast"/>
              <w:ind w:left="1080" w:leftChars="257" w:hanging="540"/>
              <w:rPr>
                <w:rFonts w:ascii="仿宋" w:hAnsi="仿宋" w:eastAsia="仿宋" w:cs="仿宋"/>
                <w:color w:val="auto"/>
                <w:szCs w:val="21"/>
                <w:highlight w:val="none"/>
              </w:rPr>
            </w:pPr>
          </w:p>
        </w:tc>
        <w:tc>
          <w:tcPr>
            <w:tcW w:w="2520" w:type="dxa"/>
          </w:tcPr>
          <w:p>
            <w:pPr>
              <w:pStyle w:val="11"/>
              <w:spacing w:line="240" w:lineRule="atLeast"/>
              <w:ind w:left="1080" w:leftChars="257" w:hanging="540"/>
              <w:rPr>
                <w:rFonts w:ascii="仿宋" w:hAnsi="仿宋" w:eastAsia="仿宋" w:cs="仿宋"/>
                <w:color w:val="auto"/>
                <w:szCs w:val="21"/>
                <w:highlight w:val="none"/>
              </w:rPr>
            </w:pPr>
          </w:p>
        </w:tc>
        <w:tc>
          <w:tcPr>
            <w:tcW w:w="2520" w:type="dxa"/>
          </w:tcPr>
          <w:p>
            <w:pPr>
              <w:pStyle w:val="11"/>
              <w:spacing w:line="240" w:lineRule="atLeast"/>
              <w:ind w:left="1080" w:leftChars="257" w:hanging="540"/>
              <w:rPr>
                <w:rFonts w:ascii="仿宋" w:hAnsi="仿宋" w:eastAsia="仿宋" w:cs="仿宋"/>
                <w:color w:val="auto"/>
                <w:szCs w:val="21"/>
                <w:highlight w:val="none"/>
              </w:rPr>
            </w:pPr>
          </w:p>
        </w:tc>
        <w:tc>
          <w:tcPr>
            <w:tcW w:w="900" w:type="dxa"/>
          </w:tcPr>
          <w:p>
            <w:pPr>
              <w:pStyle w:val="11"/>
              <w:spacing w:line="240" w:lineRule="atLeast"/>
              <w:ind w:left="1080" w:leftChars="257" w:hanging="540"/>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0" w:leftChars="257" w:hanging="540"/>
              <w:rPr>
                <w:rFonts w:ascii="仿宋" w:hAnsi="仿宋" w:eastAsia="仿宋" w:cs="仿宋"/>
                <w:color w:val="auto"/>
                <w:szCs w:val="21"/>
                <w:highlight w:val="none"/>
              </w:rPr>
            </w:pPr>
          </w:p>
        </w:tc>
        <w:tc>
          <w:tcPr>
            <w:tcW w:w="2040" w:type="dxa"/>
          </w:tcPr>
          <w:p>
            <w:pPr>
              <w:pStyle w:val="11"/>
              <w:spacing w:line="240" w:lineRule="atLeast"/>
              <w:ind w:left="1080" w:leftChars="257" w:hanging="540"/>
              <w:rPr>
                <w:rFonts w:ascii="仿宋" w:hAnsi="仿宋" w:eastAsia="仿宋" w:cs="仿宋"/>
                <w:color w:val="auto"/>
                <w:szCs w:val="21"/>
                <w:highlight w:val="none"/>
              </w:rPr>
            </w:pPr>
          </w:p>
        </w:tc>
        <w:tc>
          <w:tcPr>
            <w:tcW w:w="2520" w:type="dxa"/>
          </w:tcPr>
          <w:p>
            <w:pPr>
              <w:pStyle w:val="11"/>
              <w:spacing w:line="240" w:lineRule="atLeast"/>
              <w:ind w:left="1080" w:leftChars="257" w:hanging="540"/>
              <w:rPr>
                <w:rFonts w:ascii="仿宋" w:hAnsi="仿宋" w:eastAsia="仿宋" w:cs="仿宋"/>
                <w:color w:val="auto"/>
                <w:szCs w:val="21"/>
                <w:highlight w:val="none"/>
              </w:rPr>
            </w:pPr>
          </w:p>
        </w:tc>
        <w:tc>
          <w:tcPr>
            <w:tcW w:w="2520" w:type="dxa"/>
          </w:tcPr>
          <w:p>
            <w:pPr>
              <w:pStyle w:val="11"/>
              <w:spacing w:line="240" w:lineRule="atLeast"/>
              <w:ind w:left="1080" w:leftChars="257" w:hanging="540"/>
              <w:rPr>
                <w:rFonts w:ascii="仿宋" w:hAnsi="仿宋" w:eastAsia="仿宋" w:cs="仿宋"/>
                <w:color w:val="auto"/>
                <w:szCs w:val="21"/>
                <w:highlight w:val="none"/>
              </w:rPr>
            </w:pPr>
          </w:p>
        </w:tc>
        <w:tc>
          <w:tcPr>
            <w:tcW w:w="900" w:type="dxa"/>
          </w:tcPr>
          <w:p>
            <w:pPr>
              <w:pStyle w:val="11"/>
              <w:spacing w:line="240" w:lineRule="atLeast"/>
              <w:ind w:left="1080" w:leftChars="257" w:hanging="540"/>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0" w:leftChars="257" w:hanging="540"/>
              <w:rPr>
                <w:rFonts w:ascii="仿宋" w:hAnsi="仿宋" w:eastAsia="仿宋" w:cs="仿宋"/>
                <w:color w:val="auto"/>
                <w:szCs w:val="21"/>
                <w:highlight w:val="none"/>
              </w:rPr>
            </w:pPr>
          </w:p>
        </w:tc>
        <w:tc>
          <w:tcPr>
            <w:tcW w:w="2040" w:type="dxa"/>
          </w:tcPr>
          <w:p>
            <w:pPr>
              <w:pStyle w:val="11"/>
              <w:spacing w:line="240" w:lineRule="atLeast"/>
              <w:ind w:left="1080" w:leftChars="257" w:hanging="540"/>
              <w:rPr>
                <w:rFonts w:ascii="仿宋" w:hAnsi="仿宋" w:eastAsia="仿宋" w:cs="仿宋"/>
                <w:color w:val="auto"/>
                <w:szCs w:val="21"/>
                <w:highlight w:val="none"/>
              </w:rPr>
            </w:pPr>
          </w:p>
        </w:tc>
        <w:tc>
          <w:tcPr>
            <w:tcW w:w="2520" w:type="dxa"/>
          </w:tcPr>
          <w:p>
            <w:pPr>
              <w:pStyle w:val="11"/>
              <w:spacing w:line="240" w:lineRule="atLeast"/>
              <w:ind w:left="1080" w:leftChars="257" w:hanging="540"/>
              <w:rPr>
                <w:rFonts w:ascii="仿宋" w:hAnsi="仿宋" w:eastAsia="仿宋" w:cs="仿宋"/>
                <w:color w:val="auto"/>
                <w:szCs w:val="21"/>
                <w:highlight w:val="none"/>
              </w:rPr>
            </w:pPr>
          </w:p>
        </w:tc>
        <w:tc>
          <w:tcPr>
            <w:tcW w:w="2520" w:type="dxa"/>
          </w:tcPr>
          <w:p>
            <w:pPr>
              <w:pStyle w:val="11"/>
              <w:spacing w:line="240" w:lineRule="atLeast"/>
              <w:ind w:left="1080" w:leftChars="257" w:hanging="540"/>
              <w:rPr>
                <w:rFonts w:ascii="仿宋" w:hAnsi="仿宋" w:eastAsia="仿宋" w:cs="仿宋"/>
                <w:color w:val="auto"/>
                <w:szCs w:val="21"/>
                <w:highlight w:val="none"/>
              </w:rPr>
            </w:pPr>
          </w:p>
        </w:tc>
        <w:tc>
          <w:tcPr>
            <w:tcW w:w="900" w:type="dxa"/>
          </w:tcPr>
          <w:p>
            <w:pPr>
              <w:pStyle w:val="11"/>
              <w:spacing w:line="240" w:lineRule="atLeast"/>
              <w:ind w:left="1080" w:leftChars="257" w:hanging="540"/>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0" w:leftChars="257" w:hanging="540"/>
              <w:rPr>
                <w:rFonts w:ascii="仿宋" w:hAnsi="仿宋" w:eastAsia="仿宋" w:cs="仿宋"/>
                <w:color w:val="auto"/>
                <w:szCs w:val="21"/>
                <w:highlight w:val="none"/>
              </w:rPr>
            </w:pPr>
          </w:p>
        </w:tc>
        <w:tc>
          <w:tcPr>
            <w:tcW w:w="2040" w:type="dxa"/>
          </w:tcPr>
          <w:p>
            <w:pPr>
              <w:pStyle w:val="11"/>
              <w:spacing w:line="240" w:lineRule="atLeast"/>
              <w:ind w:left="1080" w:leftChars="257" w:hanging="540"/>
              <w:rPr>
                <w:rFonts w:ascii="仿宋" w:hAnsi="仿宋" w:eastAsia="仿宋" w:cs="仿宋"/>
                <w:color w:val="auto"/>
                <w:szCs w:val="21"/>
                <w:highlight w:val="none"/>
              </w:rPr>
            </w:pPr>
          </w:p>
        </w:tc>
        <w:tc>
          <w:tcPr>
            <w:tcW w:w="2520" w:type="dxa"/>
          </w:tcPr>
          <w:p>
            <w:pPr>
              <w:pStyle w:val="11"/>
              <w:spacing w:line="240" w:lineRule="atLeast"/>
              <w:ind w:left="1080" w:leftChars="257" w:hanging="540"/>
              <w:rPr>
                <w:rFonts w:ascii="仿宋" w:hAnsi="仿宋" w:eastAsia="仿宋" w:cs="仿宋"/>
                <w:color w:val="auto"/>
                <w:szCs w:val="21"/>
                <w:highlight w:val="none"/>
              </w:rPr>
            </w:pPr>
          </w:p>
        </w:tc>
        <w:tc>
          <w:tcPr>
            <w:tcW w:w="2520" w:type="dxa"/>
          </w:tcPr>
          <w:p>
            <w:pPr>
              <w:pStyle w:val="11"/>
              <w:spacing w:line="240" w:lineRule="atLeast"/>
              <w:ind w:left="1080" w:leftChars="257" w:hanging="540"/>
              <w:rPr>
                <w:rFonts w:ascii="仿宋" w:hAnsi="仿宋" w:eastAsia="仿宋" w:cs="仿宋"/>
                <w:color w:val="auto"/>
                <w:szCs w:val="21"/>
                <w:highlight w:val="none"/>
              </w:rPr>
            </w:pPr>
          </w:p>
        </w:tc>
        <w:tc>
          <w:tcPr>
            <w:tcW w:w="900" w:type="dxa"/>
          </w:tcPr>
          <w:p>
            <w:pPr>
              <w:pStyle w:val="11"/>
              <w:spacing w:line="240" w:lineRule="atLeast"/>
              <w:ind w:left="1080" w:leftChars="257" w:hanging="540"/>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0" w:leftChars="257" w:hanging="540"/>
              <w:rPr>
                <w:rFonts w:ascii="仿宋" w:hAnsi="仿宋" w:eastAsia="仿宋" w:cs="仿宋"/>
                <w:color w:val="auto"/>
                <w:szCs w:val="21"/>
                <w:highlight w:val="none"/>
              </w:rPr>
            </w:pPr>
          </w:p>
        </w:tc>
        <w:tc>
          <w:tcPr>
            <w:tcW w:w="2040" w:type="dxa"/>
          </w:tcPr>
          <w:p>
            <w:pPr>
              <w:pStyle w:val="11"/>
              <w:spacing w:line="240" w:lineRule="atLeast"/>
              <w:ind w:left="1080" w:leftChars="257" w:hanging="540"/>
              <w:rPr>
                <w:rFonts w:ascii="仿宋" w:hAnsi="仿宋" w:eastAsia="仿宋" w:cs="仿宋"/>
                <w:color w:val="auto"/>
                <w:szCs w:val="21"/>
                <w:highlight w:val="none"/>
              </w:rPr>
            </w:pPr>
          </w:p>
        </w:tc>
        <w:tc>
          <w:tcPr>
            <w:tcW w:w="2520" w:type="dxa"/>
          </w:tcPr>
          <w:p>
            <w:pPr>
              <w:pStyle w:val="11"/>
              <w:spacing w:line="240" w:lineRule="atLeast"/>
              <w:ind w:left="1080" w:leftChars="257" w:hanging="540"/>
              <w:rPr>
                <w:rFonts w:ascii="仿宋" w:hAnsi="仿宋" w:eastAsia="仿宋" w:cs="仿宋"/>
                <w:color w:val="auto"/>
                <w:szCs w:val="21"/>
                <w:highlight w:val="none"/>
              </w:rPr>
            </w:pPr>
          </w:p>
        </w:tc>
        <w:tc>
          <w:tcPr>
            <w:tcW w:w="2520" w:type="dxa"/>
          </w:tcPr>
          <w:p>
            <w:pPr>
              <w:pStyle w:val="11"/>
              <w:spacing w:line="240" w:lineRule="atLeast"/>
              <w:ind w:left="1080" w:leftChars="257" w:hanging="540"/>
              <w:rPr>
                <w:rFonts w:ascii="仿宋" w:hAnsi="仿宋" w:eastAsia="仿宋" w:cs="仿宋"/>
                <w:color w:val="auto"/>
                <w:szCs w:val="21"/>
                <w:highlight w:val="none"/>
              </w:rPr>
            </w:pPr>
          </w:p>
        </w:tc>
        <w:tc>
          <w:tcPr>
            <w:tcW w:w="900" w:type="dxa"/>
          </w:tcPr>
          <w:p>
            <w:pPr>
              <w:pStyle w:val="11"/>
              <w:spacing w:line="240" w:lineRule="atLeast"/>
              <w:ind w:left="1080" w:leftChars="257" w:hanging="540"/>
              <w:rPr>
                <w:rFonts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tcPr>
          <w:p>
            <w:pPr>
              <w:pStyle w:val="11"/>
              <w:spacing w:line="240" w:lineRule="atLeast"/>
              <w:ind w:left="1080" w:leftChars="257" w:hanging="540"/>
              <w:rPr>
                <w:rFonts w:ascii="仿宋" w:hAnsi="仿宋" w:eastAsia="仿宋" w:cs="仿宋"/>
                <w:color w:val="auto"/>
                <w:szCs w:val="21"/>
                <w:highlight w:val="none"/>
              </w:rPr>
            </w:pPr>
          </w:p>
        </w:tc>
        <w:tc>
          <w:tcPr>
            <w:tcW w:w="2040" w:type="dxa"/>
          </w:tcPr>
          <w:p>
            <w:pPr>
              <w:pStyle w:val="11"/>
              <w:spacing w:line="240" w:lineRule="atLeast"/>
              <w:ind w:left="1080" w:leftChars="257" w:hanging="540"/>
              <w:rPr>
                <w:rFonts w:ascii="仿宋" w:hAnsi="仿宋" w:eastAsia="仿宋" w:cs="仿宋"/>
                <w:color w:val="auto"/>
                <w:szCs w:val="21"/>
                <w:highlight w:val="none"/>
              </w:rPr>
            </w:pPr>
          </w:p>
        </w:tc>
        <w:tc>
          <w:tcPr>
            <w:tcW w:w="2520" w:type="dxa"/>
          </w:tcPr>
          <w:p>
            <w:pPr>
              <w:pStyle w:val="11"/>
              <w:spacing w:line="240" w:lineRule="atLeast"/>
              <w:ind w:left="1080" w:leftChars="257" w:hanging="540"/>
              <w:rPr>
                <w:rFonts w:ascii="仿宋" w:hAnsi="仿宋" w:eastAsia="仿宋" w:cs="仿宋"/>
                <w:color w:val="auto"/>
                <w:szCs w:val="21"/>
                <w:highlight w:val="none"/>
              </w:rPr>
            </w:pPr>
          </w:p>
        </w:tc>
        <w:tc>
          <w:tcPr>
            <w:tcW w:w="2520" w:type="dxa"/>
          </w:tcPr>
          <w:p>
            <w:pPr>
              <w:pStyle w:val="11"/>
              <w:spacing w:line="240" w:lineRule="atLeast"/>
              <w:ind w:left="1080" w:leftChars="257" w:hanging="540"/>
              <w:rPr>
                <w:rFonts w:ascii="仿宋" w:hAnsi="仿宋" w:eastAsia="仿宋" w:cs="仿宋"/>
                <w:color w:val="auto"/>
                <w:szCs w:val="21"/>
                <w:highlight w:val="none"/>
              </w:rPr>
            </w:pPr>
          </w:p>
        </w:tc>
        <w:tc>
          <w:tcPr>
            <w:tcW w:w="900" w:type="dxa"/>
          </w:tcPr>
          <w:p>
            <w:pPr>
              <w:pStyle w:val="11"/>
              <w:spacing w:line="240" w:lineRule="atLeast"/>
              <w:ind w:left="1080" w:leftChars="257" w:hanging="540"/>
              <w:rPr>
                <w:rFonts w:ascii="仿宋" w:hAnsi="仿宋" w:eastAsia="仿宋" w:cs="仿宋"/>
                <w:color w:val="auto"/>
                <w:szCs w:val="21"/>
                <w:highlight w:val="none"/>
              </w:rPr>
            </w:pPr>
          </w:p>
        </w:tc>
      </w:tr>
    </w:tbl>
    <w:p>
      <w:pPr>
        <w:pStyle w:val="11"/>
        <w:spacing w:line="240" w:lineRule="atLeast"/>
        <w:ind w:left="1080" w:leftChars="257" w:hanging="540"/>
        <w:rPr>
          <w:rFonts w:ascii="仿宋" w:hAnsi="仿宋" w:eastAsia="仿宋" w:cs="仿宋"/>
          <w:color w:val="auto"/>
          <w:szCs w:val="21"/>
          <w:highlight w:val="none"/>
        </w:rPr>
      </w:pPr>
    </w:p>
    <w:p>
      <w:pPr>
        <w:pStyle w:val="11"/>
        <w:spacing w:line="240" w:lineRule="atLeast"/>
        <w:ind w:left="1080" w:leftChars="257" w:hanging="540"/>
        <w:rPr>
          <w:rFonts w:ascii="仿宋" w:hAnsi="仿宋" w:eastAsia="仿宋" w:cs="仿宋"/>
          <w:color w:val="auto"/>
          <w:szCs w:val="21"/>
          <w:highlight w:val="none"/>
        </w:rPr>
      </w:pPr>
    </w:p>
    <w:p>
      <w:pPr>
        <w:pStyle w:val="11"/>
        <w:tabs>
          <w:tab w:val="left" w:pos="5370"/>
        </w:tabs>
        <w:spacing w:line="360" w:lineRule="auto"/>
        <w:ind w:left="1080" w:leftChars="257" w:hanging="540"/>
        <w:rPr>
          <w:rFonts w:ascii="仿宋" w:hAnsi="仿宋" w:eastAsia="仿宋" w:cs="仿宋"/>
          <w:color w:val="auto"/>
          <w:szCs w:val="21"/>
          <w:highlight w:val="none"/>
          <w:u w:val="single"/>
        </w:rPr>
      </w:pPr>
      <w:r>
        <w:rPr>
          <w:rFonts w:hint="eastAsia" w:ascii="仿宋" w:hAnsi="仿宋" w:eastAsia="仿宋" w:cs="仿宋"/>
          <w:color w:val="auto"/>
          <w:szCs w:val="21"/>
          <w:highlight w:val="none"/>
        </w:rPr>
        <w:t>投标人(盖公章):</w:t>
      </w:r>
      <w:r>
        <w:rPr>
          <w:rFonts w:hint="eastAsia" w:ascii="仿宋" w:hAnsi="仿宋" w:eastAsia="仿宋" w:cs="仿宋"/>
          <w:color w:val="auto"/>
          <w:szCs w:val="21"/>
          <w:highlight w:val="none"/>
          <w:u w:val="single"/>
        </w:rPr>
        <w:tab/>
      </w:r>
    </w:p>
    <w:p>
      <w:pPr>
        <w:pStyle w:val="11"/>
        <w:spacing w:line="360" w:lineRule="auto"/>
        <w:ind w:left="1080"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法定代表人或委托代理人（签字或签章）:</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 xml:space="preserve">                 </w:t>
      </w:r>
    </w:p>
    <w:p>
      <w:pPr>
        <w:pStyle w:val="11"/>
        <w:spacing w:line="360" w:lineRule="auto"/>
        <w:rPr>
          <w:rFonts w:ascii="仿宋" w:hAnsi="仿宋" w:eastAsia="仿宋" w:cs="仿宋"/>
          <w:color w:val="auto"/>
          <w:szCs w:val="21"/>
          <w:highlight w:val="none"/>
        </w:rPr>
      </w:pPr>
    </w:p>
    <w:p>
      <w:pPr>
        <w:pStyle w:val="11"/>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注：</w:t>
      </w:r>
    </w:p>
    <w:p>
      <w:pPr>
        <w:pStyle w:val="11"/>
        <w:numPr>
          <w:ilvl w:val="0"/>
          <w:numId w:val="3"/>
        </w:num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投标文件中“★”号商务条款无论是否存在偏离均需在此表中逐条响应；</w:t>
      </w:r>
    </w:p>
    <w:p>
      <w:pPr>
        <w:pStyle w:val="11"/>
        <w:numPr>
          <w:ilvl w:val="0"/>
          <w:numId w:val="3"/>
        </w:num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招标文件商务条款一般主要包括付款方式、专利权和保密要求、服务时间、地点与方式等合同条款。如有遗漏，请投标人按照招标文件正文自行补充完整。</w:t>
      </w:r>
    </w:p>
    <w:p>
      <w:pPr>
        <w:pStyle w:val="11"/>
        <w:numPr>
          <w:ilvl w:val="0"/>
          <w:numId w:val="3"/>
        </w:num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特别提示</w:t>
      </w:r>
    </w:p>
    <w:p>
      <w:pPr>
        <w:pStyle w:val="11"/>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3.1“投标文件商务条款”一栏应填写具体的响应内容，有偏离的要具体说明。</w:t>
      </w:r>
    </w:p>
    <w:p>
      <w:pPr>
        <w:pStyle w:val="11"/>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3.2 对招标文件中有任何偏离应必须列明，否则需在表格最后声明承诺“其他条款无偏离”，视同认可招标文件中的所有条款。</w:t>
      </w:r>
    </w:p>
    <w:p>
      <w:pPr>
        <w:pStyle w:val="11"/>
        <w:spacing w:line="240" w:lineRule="atLeast"/>
        <w:ind w:left="1080"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u w:val="single"/>
        </w:rPr>
        <w:br w:type="page"/>
      </w:r>
    </w:p>
    <w:p>
      <w:pPr>
        <w:pStyle w:val="6"/>
        <w:spacing w:before="0" w:after="0" w:line="360" w:lineRule="auto"/>
        <w:jc w:val="center"/>
        <w:rPr>
          <w:rFonts w:ascii="仿宋" w:hAnsi="仿宋" w:eastAsia="仿宋" w:cs="仿宋"/>
          <w:color w:val="auto"/>
          <w:highlight w:val="none"/>
          <w:u w:val="none"/>
        </w:rPr>
      </w:pPr>
      <w:bookmarkStart w:id="342" w:name="_Toc520356224"/>
      <w:bookmarkStart w:id="343" w:name="_Toc216582819"/>
      <w:bookmarkStart w:id="344" w:name="_Ref467988543"/>
      <w:bookmarkStart w:id="345" w:name="_Toc480942355"/>
      <w:bookmarkStart w:id="346" w:name="_Toc60830331"/>
      <w:r>
        <w:rPr>
          <w:rFonts w:hint="eastAsia" w:ascii="仿宋" w:hAnsi="仿宋" w:eastAsia="仿宋" w:cs="仿宋"/>
          <w:color w:val="auto"/>
          <w:highlight w:val="none"/>
          <w:u w:val="none"/>
        </w:rPr>
        <w:t>6</w:t>
      </w:r>
      <w:bookmarkEnd w:id="342"/>
      <w:bookmarkEnd w:id="343"/>
      <w:bookmarkEnd w:id="344"/>
      <w:bookmarkEnd w:id="345"/>
      <w:bookmarkStart w:id="347" w:name="_Hlt520274065"/>
      <w:bookmarkEnd w:id="347"/>
      <w:bookmarkStart w:id="348" w:name="_Hlt520350918"/>
      <w:bookmarkEnd w:id="348"/>
      <w:bookmarkStart w:id="349" w:name="_Hlt520273711"/>
      <w:bookmarkEnd w:id="349"/>
      <w:bookmarkStart w:id="350" w:name="_Hlt520274393"/>
      <w:bookmarkEnd w:id="350"/>
      <w:bookmarkStart w:id="351" w:name="_Hlt520271212"/>
      <w:bookmarkEnd w:id="351"/>
      <w:bookmarkStart w:id="352" w:name="_Hlt520273973"/>
      <w:bookmarkEnd w:id="352"/>
      <w:bookmarkStart w:id="353" w:name="_Hlt520343000"/>
      <w:bookmarkEnd w:id="353"/>
      <w:bookmarkStart w:id="354" w:name="_Hlt520350957"/>
      <w:bookmarkEnd w:id="354"/>
      <w:bookmarkStart w:id="355" w:name="_Hlt520274407"/>
      <w:bookmarkEnd w:id="355"/>
      <w:bookmarkStart w:id="356" w:name="_Hlt520274911"/>
      <w:bookmarkEnd w:id="356"/>
      <w:bookmarkStart w:id="357" w:name="_Hlt520343392"/>
      <w:bookmarkEnd w:id="357"/>
      <w:bookmarkStart w:id="358" w:name="_Toc216582821"/>
      <w:bookmarkStart w:id="359" w:name="_Toc216513801"/>
      <w:r>
        <w:rPr>
          <w:rFonts w:hint="eastAsia" w:ascii="仿宋" w:hAnsi="仿宋" w:eastAsia="仿宋" w:cs="仿宋"/>
          <w:color w:val="auto"/>
          <w:highlight w:val="none"/>
          <w:u w:val="none"/>
        </w:rPr>
        <w:t xml:space="preserve">  招标代理费承诺书</w:t>
      </w:r>
      <w:bookmarkEnd w:id="346"/>
    </w:p>
    <w:p>
      <w:pPr>
        <w:spacing w:line="240" w:lineRule="atLeast"/>
        <w:ind w:left="1080" w:leftChars="257" w:hanging="540"/>
        <w:rPr>
          <w:rFonts w:ascii="仿宋" w:hAnsi="仿宋" w:eastAsia="仿宋" w:cs="仿宋"/>
          <w:b/>
          <w:color w:val="auto"/>
          <w:sz w:val="24"/>
          <w:highlight w:val="none"/>
        </w:rPr>
      </w:pPr>
    </w:p>
    <w:p>
      <w:pPr>
        <w:spacing w:line="240" w:lineRule="atLeast"/>
        <w:ind w:left="1080" w:leftChars="257" w:hanging="540"/>
        <w:jc w:val="right"/>
        <w:rPr>
          <w:rFonts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240" w:lineRule="atLeast"/>
        <w:ind w:left="1080" w:leftChars="257" w:hanging="540"/>
        <w:rPr>
          <w:rFonts w:ascii="仿宋" w:hAnsi="仿宋" w:eastAsia="仿宋" w:cs="仿宋"/>
          <w:color w:val="auto"/>
          <w:szCs w:val="21"/>
          <w:highlight w:val="none"/>
        </w:rPr>
      </w:pPr>
    </w:p>
    <w:p>
      <w:pPr>
        <w:spacing w:line="360" w:lineRule="auto"/>
        <w:ind w:left="1080" w:hanging="1080"/>
        <w:rPr>
          <w:rFonts w:ascii="仿宋" w:hAnsi="仿宋" w:eastAsia="仿宋" w:cs="仿宋"/>
          <w:color w:val="auto"/>
          <w:szCs w:val="21"/>
          <w:highlight w:val="none"/>
          <w:u w:val="single"/>
        </w:rPr>
      </w:pPr>
      <w:r>
        <w:rPr>
          <w:rFonts w:hint="eastAsia" w:ascii="仿宋" w:hAnsi="仿宋" w:eastAsia="仿宋" w:cs="仿宋"/>
          <w:color w:val="auto"/>
          <w:szCs w:val="21"/>
          <w:highlight w:val="none"/>
        </w:rPr>
        <w:t>致：江苏伟业项目管理有限公司</w:t>
      </w:r>
    </w:p>
    <w:p>
      <w:pPr>
        <w:spacing w:line="360" w:lineRule="auto"/>
        <w:ind w:left="1080" w:leftChars="257" w:hanging="540"/>
        <w:rPr>
          <w:rFonts w:ascii="仿宋" w:hAnsi="仿宋" w:eastAsia="仿宋" w:cs="仿宋"/>
          <w:color w:val="auto"/>
          <w:szCs w:val="21"/>
          <w:highlight w:val="none"/>
        </w:rPr>
      </w:pPr>
    </w:p>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我们在贵公司组织的</w:t>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rPr>
        <w:t>项目招标中若获得中标资格（招标文件编号：</w:t>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rPr>
        <w:t>），我们保证在领取中标通知书的同时按招标文件的规定，以支票、电汇等形式，向贵公司一次性支付应由我们交纳的中标服务费用。</w:t>
      </w:r>
    </w:p>
    <w:p>
      <w:pPr>
        <w:spacing w:line="360" w:lineRule="auto"/>
        <w:ind w:left="1080"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特此承诺！</w:t>
      </w:r>
    </w:p>
    <w:p>
      <w:pPr>
        <w:spacing w:line="360" w:lineRule="auto"/>
        <w:ind w:left="1080" w:leftChars="257" w:hanging="540"/>
        <w:rPr>
          <w:rFonts w:ascii="仿宋" w:hAnsi="仿宋" w:eastAsia="仿宋" w:cs="仿宋"/>
          <w:color w:val="auto"/>
          <w:szCs w:val="21"/>
          <w:highlight w:val="none"/>
        </w:rPr>
      </w:pPr>
    </w:p>
    <w:p>
      <w:pPr>
        <w:spacing w:line="360" w:lineRule="auto"/>
        <w:ind w:left="1080" w:leftChars="257" w:hanging="540"/>
        <w:rPr>
          <w:rFonts w:ascii="仿宋" w:hAnsi="仿宋" w:eastAsia="仿宋" w:cs="仿宋"/>
          <w:color w:val="auto"/>
          <w:szCs w:val="21"/>
          <w:highlight w:val="none"/>
        </w:rPr>
      </w:pPr>
    </w:p>
    <w:p>
      <w:pPr>
        <w:spacing w:line="360" w:lineRule="auto"/>
        <w:ind w:left="1080" w:leftChars="257" w:hanging="540"/>
        <w:rPr>
          <w:rFonts w:ascii="仿宋" w:hAnsi="仿宋" w:eastAsia="仿宋" w:cs="仿宋"/>
          <w:color w:val="auto"/>
          <w:szCs w:val="21"/>
          <w:highlight w:val="none"/>
        </w:rPr>
      </w:pPr>
    </w:p>
    <w:p>
      <w:pPr>
        <w:spacing w:line="360" w:lineRule="auto"/>
        <w:ind w:left="1080" w:leftChars="257" w:hanging="540"/>
        <w:rPr>
          <w:rFonts w:ascii="仿宋" w:hAnsi="仿宋" w:eastAsia="仿宋" w:cs="仿宋"/>
          <w:color w:val="auto"/>
          <w:szCs w:val="21"/>
          <w:highlight w:val="none"/>
        </w:rPr>
      </w:pPr>
    </w:p>
    <w:p>
      <w:pPr>
        <w:spacing w:line="360" w:lineRule="auto"/>
        <w:ind w:left="1080" w:hanging="1080"/>
        <w:rPr>
          <w:rFonts w:ascii="仿宋" w:hAnsi="仿宋" w:eastAsia="仿宋" w:cs="仿宋"/>
          <w:color w:val="auto"/>
          <w:szCs w:val="21"/>
          <w:highlight w:val="none"/>
        </w:rPr>
      </w:pPr>
    </w:p>
    <w:p>
      <w:pPr>
        <w:spacing w:line="360" w:lineRule="auto"/>
        <w:ind w:left="1308" w:leftChars="273" w:hanging="735" w:hangingChars="350"/>
        <w:rPr>
          <w:rFonts w:ascii="仿宋" w:hAnsi="仿宋" w:eastAsia="仿宋" w:cs="仿宋"/>
          <w:color w:val="auto"/>
          <w:szCs w:val="21"/>
          <w:highlight w:val="none"/>
        </w:rPr>
      </w:pPr>
      <w:r>
        <w:rPr>
          <w:rFonts w:hint="eastAsia" w:ascii="仿宋" w:hAnsi="仿宋" w:eastAsia="仿宋" w:cs="仿宋"/>
          <w:color w:val="auto"/>
          <w:szCs w:val="21"/>
          <w:highlight w:val="none"/>
        </w:rPr>
        <w:t>承诺方法定名称：</w:t>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p>
    <w:p>
      <w:pPr>
        <w:spacing w:line="360" w:lineRule="auto"/>
        <w:ind w:left="1620" w:leftChars="257" w:hanging="1080"/>
        <w:rPr>
          <w:rFonts w:ascii="仿宋" w:hAnsi="仿宋" w:eastAsia="仿宋" w:cs="仿宋"/>
          <w:color w:val="auto"/>
          <w:szCs w:val="21"/>
          <w:highlight w:val="none"/>
        </w:rPr>
      </w:pPr>
      <w:r>
        <w:rPr>
          <w:rFonts w:hint="eastAsia" w:ascii="仿宋" w:hAnsi="仿宋" w:eastAsia="仿宋" w:cs="仿宋"/>
          <w:color w:val="auto"/>
          <w:szCs w:val="21"/>
          <w:highlight w:val="none"/>
        </w:rPr>
        <w:t>地址：</w:t>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p>
    <w:p>
      <w:pPr>
        <w:spacing w:line="360" w:lineRule="auto"/>
        <w:ind w:left="1620" w:leftChars="257" w:hanging="1080"/>
        <w:rPr>
          <w:rFonts w:ascii="仿宋" w:hAnsi="仿宋" w:eastAsia="仿宋" w:cs="仿宋"/>
          <w:color w:val="auto"/>
          <w:szCs w:val="21"/>
          <w:highlight w:val="none"/>
        </w:rPr>
      </w:pPr>
      <w:r>
        <w:rPr>
          <w:rFonts w:hint="eastAsia" w:ascii="仿宋" w:hAnsi="仿宋" w:eastAsia="仿宋" w:cs="仿宋"/>
          <w:color w:val="auto"/>
          <w:szCs w:val="21"/>
          <w:highlight w:val="none"/>
        </w:rPr>
        <w:t>电话：</w:t>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传真：</w:t>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p>
    <w:p>
      <w:pPr>
        <w:spacing w:line="360" w:lineRule="auto"/>
        <w:ind w:left="1620" w:leftChars="257" w:hanging="1080"/>
        <w:rPr>
          <w:rFonts w:ascii="仿宋" w:hAnsi="仿宋" w:eastAsia="仿宋" w:cs="仿宋"/>
          <w:color w:val="auto"/>
          <w:szCs w:val="21"/>
          <w:highlight w:val="none"/>
        </w:rPr>
      </w:pPr>
      <w:r>
        <w:rPr>
          <w:rFonts w:hint="eastAsia" w:ascii="仿宋" w:hAnsi="仿宋" w:eastAsia="仿宋" w:cs="仿宋"/>
          <w:color w:val="auto"/>
          <w:szCs w:val="21"/>
          <w:highlight w:val="none"/>
        </w:rPr>
        <w:t>电子邮件：</w:t>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rPr>
        <w:t>邮编：</w:t>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p>
    <w:p>
      <w:pPr>
        <w:spacing w:line="360" w:lineRule="auto"/>
        <w:ind w:left="1620" w:leftChars="257" w:hanging="1080"/>
        <w:rPr>
          <w:rFonts w:ascii="仿宋" w:hAnsi="仿宋" w:eastAsia="仿宋" w:cs="仿宋"/>
          <w:color w:val="auto"/>
          <w:szCs w:val="21"/>
          <w:highlight w:val="none"/>
        </w:rPr>
      </w:pPr>
      <w:r>
        <w:rPr>
          <w:rFonts w:hint="eastAsia" w:ascii="仿宋" w:hAnsi="仿宋" w:eastAsia="仿宋" w:cs="仿宋"/>
          <w:color w:val="auto"/>
          <w:szCs w:val="21"/>
          <w:highlight w:val="none"/>
        </w:rPr>
        <w:t>承诺方授权代表签字：</w:t>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（承诺方盖章）</w:t>
      </w:r>
    </w:p>
    <w:p>
      <w:pPr>
        <w:spacing w:line="360" w:lineRule="auto"/>
        <w:ind w:left="1620" w:leftChars="257" w:hanging="1080"/>
        <w:rPr>
          <w:rFonts w:ascii="仿宋" w:hAnsi="仿宋" w:eastAsia="仿宋" w:cs="仿宋"/>
          <w:color w:val="auto"/>
          <w:szCs w:val="21"/>
          <w:highlight w:val="none"/>
          <w:u w:val="single"/>
        </w:rPr>
      </w:pPr>
      <w:r>
        <w:rPr>
          <w:rFonts w:hint="eastAsia" w:ascii="仿宋" w:hAnsi="仿宋" w:eastAsia="仿宋" w:cs="仿宋"/>
          <w:color w:val="auto"/>
          <w:szCs w:val="21"/>
          <w:highlight w:val="none"/>
        </w:rPr>
        <w:t>承诺日期：</w:t>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ab/>
      </w:r>
      <w:r>
        <w:rPr>
          <w:rFonts w:hint="eastAsia" w:ascii="仿宋" w:hAnsi="仿宋" w:eastAsia="仿宋" w:cs="仿宋"/>
          <w:color w:val="auto"/>
          <w:szCs w:val="21"/>
          <w:highlight w:val="none"/>
          <w:u w:val="single"/>
        </w:rPr>
        <w:t xml:space="preserve">                      </w:t>
      </w:r>
      <w:bookmarkEnd w:id="358"/>
      <w:bookmarkEnd w:id="359"/>
    </w:p>
    <w:p>
      <w:pPr>
        <w:spacing w:line="360" w:lineRule="auto"/>
        <w:ind w:left="1080" w:leftChars="257" w:hanging="540"/>
        <w:rPr>
          <w:rFonts w:ascii="仿宋" w:hAnsi="仿宋" w:eastAsia="仿宋" w:cs="仿宋"/>
          <w:color w:val="auto"/>
          <w:highlight w:val="none"/>
        </w:rPr>
      </w:pPr>
      <w:r>
        <w:rPr>
          <w:rFonts w:hint="eastAsia" w:ascii="仿宋" w:hAnsi="仿宋" w:eastAsia="仿宋" w:cs="仿宋"/>
          <w:color w:val="auto"/>
          <w:sz w:val="24"/>
          <w:highlight w:val="none"/>
        </w:rPr>
        <w:br w:type="page"/>
      </w:r>
    </w:p>
    <w:p>
      <w:pPr>
        <w:pStyle w:val="6"/>
        <w:spacing w:before="0" w:line="240" w:lineRule="atLeast"/>
        <w:jc w:val="both"/>
        <w:rPr>
          <w:rFonts w:ascii="仿宋" w:hAnsi="仿宋" w:eastAsia="仿宋" w:cs="仿宋"/>
          <w:color w:val="auto"/>
          <w:highlight w:val="none"/>
          <w:u w:val="none"/>
        </w:rPr>
      </w:pPr>
      <w:bookmarkStart w:id="360" w:name="_Toc60830332"/>
      <w:r>
        <w:rPr>
          <w:rFonts w:hint="eastAsia" w:ascii="仿宋" w:hAnsi="仿宋" w:eastAsia="仿宋" w:cs="仿宋"/>
          <w:color w:val="auto"/>
          <w:highlight w:val="none"/>
          <w:u w:val="none"/>
        </w:rPr>
        <w:t>7  符合《政府采购促进中小企业发展管理办法》、《关于政府采购支持监狱企业发展有关问题的通知》和《三部门联合发布关于促进残疾人就业政府采购政策的通知》价格扣减条件的投标人须提交</w:t>
      </w:r>
    </w:p>
    <w:p>
      <w:pPr>
        <w:pStyle w:val="11"/>
        <w:tabs>
          <w:tab w:val="left" w:pos="5580"/>
        </w:tabs>
        <w:spacing w:line="360" w:lineRule="auto"/>
        <w:ind w:left="2" w:leftChars="1" w:firstLine="480" w:firstLineChars="200"/>
        <w:rPr>
          <w:rFonts w:ascii="仿宋" w:hAnsi="仿宋" w:eastAsia="仿宋" w:cs="仿宋"/>
          <w:color w:val="auto"/>
          <w:sz w:val="24"/>
          <w:highlight w:val="none"/>
        </w:rPr>
      </w:pPr>
    </w:p>
    <w:p>
      <w:pPr>
        <w:pStyle w:val="7"/>
        <w:autoSpaceDE w:val="0"/>
        <w:autoSpaceDN w:val="0"/>
        <w:adjustRightInd w:val="0"/>
        <w:spacing w:before="0" w:after="0" w:line="360" w:lineRule="auto"/>
        <w:jc w:val="center"/>
        <w:rPr>
          <w:rFonts w:ascii="仿宋" w:hAnsi="仿宋" w:eastAsia="仿宋" w:cs="仿宋"/>
          <w:b w:val="0"/>
          <w:color w:val="auto"/>
          <w:sz w:val="24"/>
          <w:highlight w:val="none"/>
        </w:rPr>
      </w:pPr>
      <w:r>
        <w:rPr>
          <w:rFonts w:hint="eastAsia" w:ascii="仿宋" w:hAnsi="仿宋" w:eastAsia="仿宋" w:cs="仿宋"/>
          <w:color w:val="auto"/>
          <w:sz w:val="24"/>
          <w:highlight w:val="none"/>
        </w:rPr>
        <w:t>7-1   中小企业声明函</w:t>
      </w:r>
      <w:bookmarkEnd w:id="360"/>
    </w:p>
    <w:p>
      <w:pPr>
        <w:spacing w:line="240" w:lineRule="atLeast"/>
        <w:ind w:left="1080" w:leftChars="257" w:hanging="540"/>
        <w:jc w:val="center"/>
        <w:rPr>
          <w:rFonts w:ascii="仿宋" w:hAnsi="仿宋" w:eastAsia="仿宋" w:cs="仿宋"/>
          <w:b/>
          <w:color w:val="auto"/>
          <w:kern w:val="0"/>
          <w:sz w:val="24"/>
          <w:szCs w:val="20"/>
          <w:highlight w:val="none"/>
        </w:rPr>
      </w:pPr>
    </w:p>
    <w:p>
      <w:pPr>
        <w:pStyle w:val="11"/>
        <w:tabs>
          <w:tab w:val="left" w:pos="5580"/>
        </w:tabs>
        <w:spacing w:line="360" w:lineRule="auto"/>
        <w:ind w:left="2" w:leftChars="1"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本公司（联合体）郑重声明，根据《政府采购促进中小企业发展管理办法》（财库﹝2020﹞46 号）的规定，本公司（联合体）参加</w:t>
      </w:r>
      <w:r>
        <w:rPr>
          <w:rFonts w:hint="eastAsia" w:ascii="仿宋" w:hAnsi="仿宋" w:eastAsia="仿宋" w:cs="仿宋"/>
          <w:i/>
          <w:color w:val="auto"/>
          <w:szCs w:val="21"/>
          <w:highlight w:val="none"/>
          <w:u w:val="single"/>
        </w:rPr>
        <w:t>（单位名称）</w:t>
      </w:r>
      <w:r>
        <w:rPr>
          <w:rFonts w:hint="eastAsia" w:ascii="仿宋" w:hAnsi="仿宋" w:eastAsia="仿宋" w:cs="仿宋"/>
          <w:color w:val="auto"/>
          <w:szCs w:val="21"/>
          <w:highlight w:val="none"/>
        </w:rPr>
        <w:t>的</w:t>
      </w:r>
      <w:r>
        <w:rPr>
          <w:rFonts w:hint="eastAsia" w:ascii="仿宋" w:hAnsi="仿宋" w:eastAsia="仿宋" w:cs="仿宋"/>
          <w:i/>
          <w:color w:val="auto"/>
          <w:szCs w:val="21"/>
          <w:highlight w:val="none"/>
          <w:u w:val="single"/>
        </w:rPr>
        <w:t>（项目名称）</w:t>
      </w:r>
      <w:r>
        <w:rPr>
          <w:rFonts w:hint="eastAsia" w:ascii="仿宋" w:hAnsi="仿宋" w:eastAsia="仿宋" w:cs="仿宋"/>
          <w:color w:val="auto"/>
          <w:szCs w:val="21"/>
          <w:highlight w:val="none"/>
        </w:rPr>
        <w:t>采购活动，提供的货物全部由符合政策要求的中小企业制造。相关企业（含联合体中的中小企业、签订分包意向协议的中小企业）的具体情况如下：</w:t>
      </w:r>
    </w:p>
    <w:p>
      <w:pPr>
        <w:pStyle w:val="11"/>
        <w:tabs>
          <w:tab w:val="left" w:pos="5580"/>
        </w:tabs>
        <w:spacing w:line="360" w:lineRule="auto"/>
        <w:ind w:left="542" w:leftChars="7" w:hanging="527"/>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1. </w:t>
      </w:r>
      <w:r>
        <w:rPr>
          <w:rFonts w:hint="eastAsia" w:ascii="仿宋" w:hAnsi="仿宋" w:eastAsia="仿宋" w:cs="仿宋"/>
          <w:i/>
          <w:color w:val="auto"/>
          <w:szCs w:val="21"/>
          <w:highlight w:val="none"/>
          <w:u w:val="single"/>
        </w:rPr>
        <w:t>（标的名称）</w:t>
      </w:r>
      <w:r>
        <w:rPr>
          <w:rFonts w:hint="eastAsia" w:ascii="仿宋" w:hAnsi="仿宋" w:eastAsia="仿宋" w:cs="仿宋"/>
          <w:color w:val="auto"/>
          <w:szCs w:val="21"/>
          <w:highlight w:val="none"/>
        </w:rPr>
        <w:t xml:space="preserve"> ，制造商为</w:t>
      </w:r>
      <w:r>
        <w:rPr>
          <w:rFonts w:hint="eastAsia" w:ascii="仿宋" w:hAnsi="仿宋" w:eastAsia="仿宋" w:cs="仿宋"/>
          <w:i/>
          <w:color w:val="auto"/>
          <w:szCs w:val="21"/>
          <w:highlight w:val="none"/>
          <w:u w:val="single"/>
        </w:rPr>
        <w:t>（企业名称）</w:t>
      </w:r>
      <w:r>
        <w:rPr>
          <w:rFonts w:hint="eastAsia" w:ascii="仿宋" w:hAnsi="仿宋" w:eastAsia="仿宋" w:cs="仿宋"/>
          <w:color w:val="auto"/>
          <w:szCs w:val="21"/>
          <w:highlight w:val="none"/>
        </w:rPr>
        <w:t>，从业人员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人，营业收入为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万元，资产总额为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万元，属于</w:t>
      </w:r>
      <w:r>
        <w:rPr>
          <w:rFonts w:hint="eastAsia" w:ascii="仿宋" w:hAnsi="仿宋" w:eastAsia="仿宋" w:cs="仿宋"/>
          <w:i/>
          <w:color w:val="auto"/>
          <w:szCs w:val="21"/>
          <w:highlight w:val="none"/>
          <w:u w:val="single"/>
        </w:rPr>
        <w:t>（中型企业、小型企业、微型企业）</w:t>
      </w:r>
      <w:r>
        <w:rPr>
          <w:rFonts w:hint="eastAsia" w:ascii="仿宋" w:hAnsi="仿宋" w:eastAsia="仿宋" w:cs="仿宋"/>
          <w:color w:val="auto"/>
          <w:szCs w:val="21"/>
          <w:highlight w:val="none"/>
        </w:rPr>
        <w:t>；</w:t>
      </w:r>
    </w:p>
    <w:p>
      <w:pPr>
        <w:pStyle w:val="11"/>
        <w:tabs>
          <w:tab w:val="left" w:pos="5580"/>
        </w:tabs>
        <w:spacing w:line="360" w:lineRule="auto"/>
        <w:ind w:left="542" w:leftChars="7" w:hanging="527"/>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2. </w:t>
      </w:r>
      <w:r>
        <w:rPr>
          <w:rFonts w:hint="eastAsia" w:ascii="仿宋" w:hAnsi="仿宋" w:eastAsia="仿宋" w:cs="仿宋"/>
          <w:i/>
          <w:color w:val="auto"/>
          <w:szCs w:val="21"/>
          <w:highlight w:val="none"/>
          <w:u w:val="single"/>
        </w:rPr>
        <w:t>标的名称）</w:t>
      </w:r>
      <w:r>
        <w:rPr>
          <w:rFonts w:hint="eastAsia" w:ascii="仿宋" w:hAnsi="仿宋" w:eastAsia="仿宋" w:cs="仿宋"/>
          <w:color w:val="auto"/>
          <w:szCs w:val="21"/>
          <w:highlight w:val="none"/>
        </w:rPr>
        <w:t xml:space="preserve"> ，制造商为</w:t>
      </w:r>
      <w:r>
        <w:rPr>
          <w:rFonts w:hint="eastAsia" w:ascii="仿宋" w:hAnsi="仿宋" w:eastAsia="仿宋" w:cs="仿宋"/>
          <w:i/>
          <w:color w:val="auto"/>
          <w:szCs w:val="21"/>
          <w:highlight w:val="none"/>
          <w:u w:val="single"/>
        </w:rPr>
        <w:t>（企业名称）</w:t>
      </w:r>
      <w:r>
        <w:rPr>
          <w:rFonts w:hint="eastAsia" w:ascii="仿宋" w:hAnsi="仿宋" w:eastAsia="仿宋" w:cs="仿宋"/>
          <w:color w:val="auto"/>
          <w:szCs w:val="21"/>
          <w:highlight w:val="none"/>
        </w:rPr>
        <w:t>，从业人员</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人，营业收入为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万元，资产总额为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万元，属于</w:t>
      </w:r>
      <w:r>
        <w:rPr>
          <w:rFonts w:hint="eastAsia" w:ascii="仿宋" w:hAnsi="仿宋" w:eastAsia="仿宋" w:cs="仿宋"/>
          <w:i/>
          <w:color w:val="auto"/>
          <w:szCs w:val="21"/>
          <w:highlight w:val="none"/>
          <w:u w:val="single"/>
        </w:rPr>
        <w:t>（中型企业、小型企业、微型企业）</w:t>
      </w:r>
      <w:r>
        <w:rPr>
          <w:rFonts w:hint="eastAsia" w:ascii="仿宋" w:hAnsi="仿宋" w:eastAsia="仿宋" w:cs="仿宋"/>
          <w:color w:val="auto"/>
          <w:szCs w:val="21"/>
          <w:highlight w:val="none"/>
        </w:rPr>
        <w:t>；</w:t>
      </w:r>
    </w:p>
    <w:p>
      <w:pPr>
        <w:pStyle w:val="11"/>
        <w:tabs>
          <w:tab w:val="left" w:pos="5580"/>
        </w:tabs>
        <w:spacing w:line="360" w:lineRule="auto"/>
        <w:ind w:left="532" w:leftChars="235" w:hanging="39" w:hangingChars="19"/>
        <w:rPr>
          <w:rFonts w:ascii="仿宋" w:hAnsi="仿宋" w:eastAsia="仿宋" w:cs="仿宋"/>
          <w:color w:val="auto"/>
          <w:szCs w:val="21"/>
          <w:highlight w:val="none"/>
        </w:rPr>
      </w:pPr>
      <w:r>
        <w:rPr>
          <w:rFonts w:hint="eastAsia" w:ascii="仿宋" w:hAnsi="仿宋" w:eastAsia="仿宋" w:cs="仿宋"/>
          <w:color w:val="auto"/>
          <w:szCs w:val="21"/>
          <w:highlight w:val="none"/>
        </w:rPr>
        <w:t>……</w:t>
      </w:r>
    </w:p>
    <w:p>
      <w:pPr>
        <w:pStyle w:val="11"/>
        <w:tabs>
          <w:tab w:val="left" w:pos="5580"/>
        </w:tabs>
        <w:spacing w:line="360" w:lineRule="auto"/>
        <w:ind w:left="2" w:firstLine="430" w:firstLineChars="205"/>
        <w:rPr>
          <w:rFonts w:ascii="仿宋" w:hAnsi="仿宋" w:eastAsia="仿宋" w:cs="仿宋"/>
          <w:color w:val="auto"/>
          <w:szCs w:val="21"/>
          <w:highlight w:val="none"/>
        </w:rPr>
      </w:pPr>
      <w:r>
        <w:rPr>
          <w:rFonts w:hint="eastAsia" w:ascii="仿宋" w:hAnsi="仿宋" w:eastAsia="仿宋" w:cs="仿宋"/>
          <w:color w:val="auto"/>
          <w:szCs w:val="21"/>
          <w:highlight w:val="none"/>
        </w:rPr>
        <w:t>以上企业，不属于大企业的分支机构，不存在控股股东为大企业的情形，也不存在与大企业的负责人为同一人的情形。</w:t>
      </w:r>
    </w:p>
    <w:p>
      <w:pPr>
        <w:pStyle w:val="11"/>
        <w:tabs>
          <w:tab w:val="left" w:pos="5580"/>
        </w:tabs>
        <w:spacing w:line="360" w:lineRule="auto"/>
        <w:ind w:left="2" w:firstLine="430" w:firstLineChars="205"/>
        <w:rPr>
          <w:rFonts w:ascii="仿宋" w:hAnsi="仿宋" w:eastAsia="仿宋" w:cs="仿宋"/>
          <w:color w:val="auto"/>
          <w:szCs w:val="21"/>
          <w:highlight w:val="none"/>
        </w:rPr>
      </w:pPr>
      <w:r>
        <w:rPr>
          <w:rFonts w:hint="eastAsia" w:ascii="仿宋" w:hAnsi="仿宋" w:eastAsia="仿宋" w:cs="仿宋"/>
          <w:color w:val="auto"/>
          <w:szCs w:val="21"/>
          <w:highlight w:val="none"/>
        </w:rPr>
        <w:t>本企业对上述声明内容的真实性负责。如有虚假，将依法承担相应责任。</w:t>
      </w:r>
    </w:p>
    <w:p>
      <w:pPr>
        <w:pStyle w:val="11"/>
        <w:tabs>
          <w:tab w:val="left" w:pos="5580"/>
        </w:tabs>
        <w:spacing w:line="360" w:lineRule="auto"/>
        <w:ind w:left="542" w:leftChars="7" w:hanging="527"/>
        <w:rPr>
          <w:rFonts w:ascii="仿宋" w:hAnsi="仿宋" w:eastAsia="仿宋" w:cs="仿宋"/>
          <w:color w:val="auto"/>
          <w:szCs w:val="21"/>
          <w:highlight w:val="none"/>
        </w:rPr>
      </w:pPr>
    </w:p>
    <w:p>
      <w:pPr>
        <w:pStyle w:val="11"/>
        <w:tabs>
          <w:tab w:val="left" w:pos="5580"/>
        </w:tabs>
        <w:spacing w:line="360" w:lineRule="auto"/>
        <w:ind w:left="542" w:leftChars="7" w:hanging="527"/>
        <w:rPr>
          <w:rFonts w:ascii="仿宋" w:hAnsi="仿宋" w:eastAsia="仿宋" w:cs="仿宋"/>
          <w:color w:val="auto"/>
          <w:szCs w:val="21"/>
          <w:highlight w:val="none"/>
        </w:rPr>
      </w:pPr>
    </w:p>
    <w:p>
      <w:pPr>
        <w:pStyle w:val="11"/>
        <w:tabs>
          <w:tab w:val="left" w:pos="5580"/>
        </w:tabs>
        <w:spacing w:line="360" w:lineRule="auto"/>
        <w:ind w:left="542" w:leftChars="7" w:hanging="527"/>
        <w:rPr>
          <w:rFonts w:ascii="仿宋" w:hAnsi="仿宋" w:eastAsia="仿宋" w:cs="仿宋"/>
          <w:color w:val="auto"/>
          <w:szCs w:val="21"/>
          <w:highlight w:val="none"/>
        </w:rPr>
      </w:pPr>
    </w:p>
    <w:p>
      <w:pPr>
        <w:pStyle w:val="11"/>
        <w:tabs>
          <w:tab w:val="left" w:pos="5580"/>
        </w:tabs>
        <w:spacing w:line="360" w:lineRule="auto"/>
        <w:ind w:left="540" w:leftChars="257" w:firstLine="4095" w:firstLineChars="1950"/>
        <w:rPr>
          <w:rFonts w:ascii="仿宋" w:hAnsi="仿宋" w:eastAsia="仿宋" w:cs="仿宋"/>
          <w:color w:val="auto"/>
          <w:szCs w:val="21"/>
          <w:highlight w:val="none"/>
        </w:rPr>
      </w:pPr>
      <w:r>
        <w:rPr>
          <w:rFonts w:hint="eastAsia" w:ascii="仿宋" w:hAnsi="仿宋" w:eastAsia="仿宋" w:cs="仿宋"/>
          <w:color w:val="auto"/>
          <w:szCs w:val="21"/>
          <w:highlight w:val="none"/>
        </w:rPr>
        <w:t>企业名称（盖章）：</w:t>
      </w:r>
    </w:p>
    <w:p>
      <w:pPr>
        <w:pStyle w:val="11"/>
        <w:tabs>
          <w:tab w:val="left" w:pos="5580"/>
        </w:tabs>
        <w:spacing w:line="360" w:lineRule="auto"/>
        <w:ind w:left="540" w:leftChars="257" w:firstLine="4095" w:firstLineChars="1950"/>
        <w:rPr>
          <w:rFonts w:ascii="仿宋" w:hAnsi="仿宋" w:eastAsia="仿宋" w:cs="仿宋"/>
          <w:color w:val="auto"/>
          <w:szCs w:val="21"/>
          <w:highlight w:val="none"/>
        </w:rPr>
      </w:pPr>
      <w:r>
        <w:rPr>
          <w:rFonts w:hint="eastAsia" w:ascii="仿宋" w:hAnsi="仿宋" w:eastAsia="仿宋" w:cs="仿宋"/>
          <w:color w:val="auto"/>
          <w:szCs w:val="21"/>
          <w:highlight w:val="none"/>
        </w:rPr>
        <w:t>日期：</w:t>
      </w:r>
    </w:p>
    <w:p>
      <w:pPr>
        <w:pStyle w:val="11"/>
        <w:tabs>
          <w:tab w:val="left" w:pos="5580"/>
        </w:tabs>
        <w:spacing w:line="240" w:lineRule="atLeast"/>
        <w:ind w:left="542" w:leftChars="7" w:hanging="527"/>
        <w:rPr>
          <w:rFonts w:ascii="仿宋" w:hAnsi="仿宋" w:eastAsia="仿宋" w:cs="仿宋"/>
          <w:color w:val="auto"/>
          <w:szCs w:val="21"/>
          <w:highlight w:val="none"/>
        </w:rPr>
      </w:pPr>
    </w:p>
    <w:p>
      <w:pPr>
        <w:pStyle w:val="5"/>
        <w:rPr>
          <w:rFonts w:ascii="仿宋" w:hAnsi="仿宋" w:eastAsia="仿宋" w:cs="仿宋"/>
          <w:color w:val="auto"/>
          <w:sz w:val="21"/>
          <w:szCs w:val="21"/>
          <w:highlight w:val="none"/>
        </w:rPr>
      </w:pPr>
    </w:p>
    <w:p>
      <w:pPr>
        <w:pStyle w:val="5"/>
        <w:rPr>
          <w:rFonts w:ascii="仿宋" w:hAnsi="仿宋" w:eastAsia="仿宋" w:cs="仿宋"/>
          <w:color w:val="auto"/>
          <w:sz w:val="21"/>
          <w:szCs w:val="21"/>
          <w:highlight w:val="none"/>
        </w:rPr>
      </w:pPr>
    </w:p>
    <w:p>
      <w:pPr>
        <w:pStyle w:val="5"/>
        <w:rPr>
          <w:rFonts w:ascii="仿宋" w:hAnsi="仿宋" w:eastAsia="仿宋" w:cs="仿宋"/>
          <w:color w:val="auto"/>
          <w:sz w:val="21"/>
          <w:szCs w:val="21"/>
          <w:highlight w:val="none"/>
        </w:rPr>
      </w:pPr>
    </w:p>
    <w:p>
      <w:pPr>
        <w:pStyle w:val="11"/>
        <w:tabs>
          <w:tab w:val="left" w:pos="5580"/>
        </w:tabs>
        <w:spacing w:line="360" w:lineRule="auto"/>
        <w:ind w:left="2" w:firstLine="430" w:firstLineChars="205"/>
        <w:rPr>
          <w:rFonts w:ascii="仿宋" w:hAnsi="仿宋" w:eastAsia="仿宋" w:cs="仿宋"/>
          <w:color w:val="auto"/>
          <w:szCs w:val="21"/>
          <w:highlight w:val="none"/>
        </w:rPr>
      </w:pPr>
      <w:r>
        <w:rPr>
          <w:rFonts w:hint="eastAsia" w:ascii="仿宋" w:hAnsi="仿宋" w:eastAsia="仿宋" w:cs="仿宋"/>
          <w:color w:val="auto"/>
          <w:szCs w:val="21"/>
          <w:highlight w:val="none"/>
        </w:rPr>
        <w:t>注1：从业人员、营业收入、资产总额填报上一年度数据，无上一年度数据的新成立企业可不填报。</w:t>
      </w:r>
    </w:p>
    <w:p>
      <w:pPr>
        <w:pStyle w:val="11"/>
        <w:tabs>
          <w:tab w:val="left" w:pos="5580"/>
        </w:tabs>
        <w:spacing w:line="360" w:lineRule="auto"/>
        <w:ind w:left="2" w:firstLine="430" w:firstLineChars="205"/>
        <w:rPr>
          <w:rFonts w:ascii="仿宋" w:hAnsi="仿宋" w:eastAsia="仿宋" w:cs="仿宋"/>
          <w:color w:val="auto"/>
          <w:szCs w:val="21"/>
          <w:highlight w:val="none"/>
        </w:rPr>
      </w:pPr>
    </w:p>
    <w:p>
      <w:pPr>
        <w:widowControl/>
        <w:spacing w:before="100" w:beforeAutospacing="1" w:after="100" w:afterAutospacing="1" w:line="330" w:lineRule="atLeast"/>
        <w:ind w:firstLine="420"/>
        <w:jc w:val="left"/>
        <w:rPr>
          <w:rFonts w:ascii="仿宋" w:hAnsi="仿宋" w:eastAsia="仿宋" w:cs="仿宋"/>
          <w:color w:val="auto"/>
          <w:kern w:val="0"/>
          <w:szCs w:val="21"/>
          <w:highlight w:val="none"/>
        </w:rPr>
      </w:pPr>
    </w:p>
    <w:p>
      <w:pPr>
        <w:spacing w:line="240" w:lineRule="atLeast"/>
        <w:ind w:left="1080" w:leftChars="257" w:hanging="540"/>
        <w:jc w:val="center"/>
        <w:rPr>
          <w:rFonts w:ascii="仿宋" w:hAnsi="仿宋" w:eastAsia="仿宋" w:cs="仿宋"/>
          <w:b/>
          <w:color w:val="auto"/>
          <w:kern w:val="0"/>
          <w:sz w:val="24"/>
          <w:szCs w:val="20"/>
          <w:highlight w:val="none"/>
        </w:rPr>
      </w:pPr>
      <w:r>
        <w:rPr>
          <w:rFonts w:hint="eastAsia" w:ascii="仿宋" w:hAnsi="仿宋" w:eastAsia="仿宋" w:cs="仿宋"/>
          <w:b/>
          <w:color w:val="auto"/>
          <w:kern w:val="0"/>
          <w:sz w:val="24"/>
          <w:szCs w:val="20"/>
          <w:highlight w:val="none"/>
        </w:rPr>
        <w:t>　</w:t>
      </w:r>
    </w:p>
    <w:p>
      <w:pPr>
        <w:pStyle w:val="7"/>
        <w:autoSpaceDE w:val="0"/>
        <w:autoSpaceDN w:val="0"/>
        <w:adjustRightInd w:val="0"/>
        <w:spacing w:before="0" w:after="0" w:line="360" w:lineRule="auto"/>
        <w:jc w:val="center"/>
        <w:rPr>
          <w:rFonts w:ascii="仿宋" w:hAnsi="仿宋" w:eastAsia="仿宋" w:cs="仿宋"/>
          <w:color w:val="auto"/>
          <w:sz w:val="24"/>
          <w:highlight w:val="none"/>
        </w:rPr>
      </w:pPr>
      <w:r>
        <w:rPr>
          <w:rFonts w:hint="eastAsia" w:ascii="仿宋" w:hAnsi="仿宋" w:eastAsia="仿宋" w:cs="仿宋"/>
          <w:b w:val="0"/>
          <w:color w:val="auto"/>
          <w:sz w:val="24"/>
          <w:highlight w:val="none"/>
        </w:rPr>
        <w:br w:type="page"/>
      </w:r>
      <w:bookmarkStart w:id="361" w:name="_Toc60830333"/>
      <w:r>
        <w:rPr>
          <w:rFonts w:hint="eastAsia" w:ascii="仿宋" w:hAnsi="仿宋" w:eastAsia="仿宋" w:cs="仿宋"/>
          <w:color w:val="auto"/>
          <w:sz w:val="24"/>
          <w:highlight w:val="none"/>
        </w:rPr>
        <w:t>7-2   投标人监狱企业声明函</w:t>
      </w:r>
      <w:bookmarkEnd w:id="361"/>
    </w:p>
    <w:p>
      <w:pPr>
        <w:spacing w:line="360" w:lineRule="auto"/>
        <w:ind w:left="1080" w:leftChars="257" w:hanging="540"/>
        <w:jc w:val="center"/>
        <w:rPr>
          <w:rFonts w:ascii="仿宋" w:hAnsi="仿宋" w:eastAsia="仿宋" w:cs="仿宋"/>
          <w:b/>
          <w:color w:val="auto"/>
          <w:kern w:val="0"/>
          <w:sz w:val="24"/>
          <w:szCs w:val="20"/>
          <w:highlight w:val="none"/>
        </w:rPr>
      </w:pPr>
    </w:p>
    <w:p>
      <w:pPr>
        <w:widowControl/>
        <w:spacing w:before="100" w:beforeAutospacing="1" w:after="100" w:afterAutospacing="1"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本企业（单位）郑重声明下列事项（按照实际情况勾选或填空）：</w:t>
      </w:r>
    </w:p>
    <w:p>
      <w:pPr>
        <w:widowControl/>
        <w:spacing w:before="100" w:beforeAutospacing="1" w:after="100" w:afterAutospacing="1"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本企业（单位）为直接投标人提供本企业（单位）制造的货物。</w:t>
      </w:r>
    </w:p>
    <w:p>
      <w:pPr>
        <w:widowControl/>
        <w:spacing w:before="100" w:beforeAutospacing="1" w:after="100" w:afterAutospacing="1" w:line="360" w:lineRule="auto"/>
        <w:ind w:firstLine="315" w:firstLineChars="15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（1）本企业（单位）</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（请填写：是、不是）监狱企业。后附省级以上监狱管理局、戒毒管理局（含新疆生产建设兵团）出具的属于监狱企业的证明文件。</w:t>
      </w:r>
    </w:p>
    <w:p>
      <w:pPr>
        <w:widowControl/>
        <w:spacing w:before="100" w:beforeAutospacing="1" w:after="100" w:afterAutospacing="1" w:line="360" w:lineRule="auto"/>
        <w:ind w:firstLine="42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（2）本企业（单位）</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（请填写：是、不是）为联合体一方，提供本企业（单位）制造的货物，由本企业（单位）承担工程、提供服务。本企业（单位）提供协议合同金额占到共同投标协议合同总金额的比例为</w:t>
      </w:r>
      <w:r>
        <w:rPr>
          <w:rFonts w:hint="eastAsia" w:ascii="仿宋" w:hAnsi="仿宋" w:eastAsia="仿宋" w:cs="仿宋"/>
          <w:color w:val="auto"/>
          <w:kern w:val="0"/>
          <w:szCs w:val="21"/>
          <w:highlight w:val="none"/>
          <w:u w:val="single"/>
        </w:rPr>
        <w:t xml:space="preserve">       </w:t>
      </w:r>
      <w:r>
        <w:rPr>
          <w:rFonts w:hint="eastAsia" w:ascii="仿宋" w:hAnsi="仿宋" w:eastAsia="仿宋" w:cs="仿宋"/>
          <w:color w:val="auto"/>
          <w:kern w:val="0"/>
          <w:szCs w:val="21"/>
          <w:highlight w:val="none"/>
        </w:rPr>
        <w:t>。</w:t>
      </w:r>
    </w:p>
    <w:p>
      <w:pPr>
        <w:widowControl/>
        <w:spacing w:before="100" w:beforeAutospacing="1" w:after="100" w:afterAutospacing="1"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本企业（单位）对上述声明的真实性负责。如有虚假，将依法承担相应责任。</w:t>
      </w:r>
    </w:p>
    <w:p>
      <w:pPr>
        <w:widowControl/>
        <w:spacing w:before="100" w:beforeAutospacing="1" w:after="100" w:afterAutospacing="1" w:line="360" w:lineRule="auto"/>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w:t>
      </w:r>
    </w:p>
    <w:p>
      <w:pPr>
        <w:widowControl/>
        <w:spacing w:before="100" w:beforeAutospacing="1" w:after="100" w:afterAutospacing="1" w:line="360" w:lineRule="auto"/>
        <w:jc w:val="left"/>
        <w:rPr>
          <w:rFonts w:ascii="仿宋" w:hAnsi="仿宋" w:eastAsia="仿宋" w:cs="仿宋"/>
          <w:color w:val="auto"/>
          <w:kern w:val="0"/>
          <w:szCs w:val="21"/>
          <w:highlight w:val="none"/>
        </w:rPr>
      </w:pPr>
    </w:p>
    <w:p>
      <w:pPr>
        <w:widowControl/>
        <w:spacing w:before="100" w:beforeAutospacing="1" w:after="100" w:afterAutospacing="1" w:line="360" w:lineRule="auto"/>
        <w:jc w:val="left"/>
        <w:rPr>
          <w:rFonts w:ascii="仿宋" w:hAnsi="仿宋" w:eastAsia="仿宋" w:cs="仿宋"/>
          <w:color w:val="auto"/>
          <w:kern w:val="0"/>
          <w:szCs w:val="21"/>
          <w:highlight w:val="none"/>
        </w:rPr>
      </w:pPr>
    </w:p>
    <w:p>
      <w:pPr>
        <w:spacing w:line="360" w:lineRule="auto"/>
        <w:ind w:left="1080" w:leftChars="257" w:hanging="540"/>
        <w:jc w:val="center"/>
        <w:rPr>
          <w:rFonts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　</w:t>
      </w:r>
    </w:p>
    <w:p>
      <w:pPr>
        <w:spacing w:line="360" w:lineRule="auto"/>
        <w:rPr>
          <w:rFonts w:ascii="仿宋" w:hAnsi="仿宋" w:eastAsia="仿宋" w:cs="仿宋"/>
          <w:b/>
          <w:color w:val="auto"/>
          <w:szCs w:val="21"/>
          <w:highlight w:val="none"/>
        </w:rPr>
      </w:pPr>
    </w:p>
    <w:p>
      <w:pPr>
        <w:widowControl/>
        <w:spacing w:before="100" w:beforeAutospacing="1" w:after="100" w:afterAutospacing="1" w:line="360" w:lineRule="auto"/>
        <w:ind w:firstLine="3465" w:firstLineChars="165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投标人（盖章）：</w:t>
      </w:r>
      <w:r>
        <w:rPr>
          <w:rFonts w:hint="eastAsia" w:ascii="仿宋" w:hAnsi="仿宋" w:eastAsia="仿宋" w:cs="仿宋"/>
          <w:color w:val="auto"/>
          <w:kern w:val="0"/>
          <w:szCs w:val="21"/>
          <w:highlight w:val="none"/>
          <w:u w:val="single"/>
        </w:rPr>
        <w:t xml:space="preserve">             </w:t>
      </w:r>
    </w:p>
    <w:p>
      <w:pPr>
        <w:widowControl/>
        <w:spacing w:before="100" w:beforeAutospacing="1" w:after="100" w:afterAutospacing="1" w:line="360" w:lineRule="auto"/>
        <w:ind w:firstLine="3255" w:firstLineChars="1550"/>
        <w:jc w:val="left"/>
        <w:rPr>
          <w:rFonts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　日　期：</w:t>
      </w:r>
      <w:r>
        <w:rPr>
          <w:rFonts w:hint="eastAsia" w:ascii="仿宋" w:hAnsi="仿宋" w:eastAsia="仿宋" w:cs="仿宋"/>
          <w:color w:val="auto"/>
          <w:kern w:val="0"/>
          <w:szCs w:val="21"/>
          <w:highlight w:val="none"/>
          <w:u w:val="single"/>
        </w:rPr>
        <w:t xml:space="preserve">             </w:t>
      </w:r>
    </w:p>
    <w:p>
      <w:pPr>
        <w:widowControl/>
        <w:spacing w:before="100" w:beforeAutospacing="1" w:after="100" w:afterAutospacing="1" w:line="330" w:lineRule="atLeast"/>
        <w:ind w:firstLine="5040" w:firstLineChars="2100"/>
        <w:jc w:val="left"/>
        <w:rPr>
          <w:rFonts w:ascii="仿宋" w:hAnsi="仿宋" w:eastAsia="仿宋" w:cs="仿宋"/>
          <w:color w:val="auto"/>
          <w:kern w:val="0"/>
          <w:sz w:val="24"/>
          <w:highlight w:val="none"/>
        </w:rPr>
      </w:pPr>
    </w:p>
    <w:p>
      <w:pPr>
        <w:widowControl/>
        <w:spacing w:before="100" w:beforeAutospacing="1" w:after="100" w:afterAutospacing="1" w:line="330" w:lineRule="atLeast"/>
        <w:ind w:firstLine="420"/>
        <w:jc w:val="left"/>
        <w:rPr>
          <w:rFonts w:ascii="仿宋" w:hAnsi="仿宋" w:eastAsia="仿宋" w:cs="仿宋"/>
          <w:color w:val="auto"/>
          <w:kern w:val="0"/>
          <w:szCs w:val="21"/>
          <w:highlight w:val="none"/>
        </w:rPr>
      </w:pPr>
    </w:p>
    <w:p>
      <w:pPr>
        <w:rPr>
          <w:rFonts w:ascii="仿宋" w:hAnsi="仿宋" w:eastAsia="仿宋" w:cs="仿宋"/>
          <w:color w:val="auto"/>
          <w:highlight w:val="none"/>
        </w:rPr>
      </w:pPr>
    </w:p>
    <w:p>
      <w:pPr>
        <w:widowControl/>
        <w:spacing w:before="100" w:beforeAutospacing="1" w:after="100" w:afterAutospacing="1" w:line="330" w:lineRule="atLeast"/>
        <w:ind w:firstLine="630" w:firstLineChars="300"/>
        <w:jc w:val="left"/>
        <w:rPr>
          <w:rFonts w:ascii="仿宋" w:hAnsi="仿宋" w:eastAsia="仿宋" w:cs="仿宋"/>
          <w:color w:val="auto"/>
          <w:highlight w:val="none"/>
        </w:rPr>
      </w:pPr>
    </w:p>
    <w:p>
      <w:pPr>
        <w:pStyle w:val="7"/>
        <w:autoSpaceDE w:val="0"/>
        <w:autoSpaceDN w:val="0"/>
        <w:adjustRightInd w:val="0"/>
        <w:spacing w:before="0" w:after="0" w:line="360" w:lineRule="auto"/>
        <w:jc w:val="center"/>
        <w:rPr>
          <w:rFonts w:ascii="仿宋" w:hAnsi="仿宋" w:eastAsia="仿宋" w:cs="仿宋"/>
          <w:color w:val="auto"/>
          <w:sz w:val="24"/>
          <w:highlight w:val="none"/>
        </w:rPr>
      </w:pPr>
      <w:bookmarkStart w:id="362" w:name="_Toc60830334"/>
      <w:bookmarkStart w:id="363" w:name="OLE_LINK14"/>
      <w:bookmarkStart w:id="364" w:name="OLE_LINK13"/>
    </w:p>
    <w:p>
      <w:pPr>
        <w:pStyle w:val="7"/>
        <w:autoSpaceDE w:val="0"/>
        <w:autoSpaceDN w:val="0"/>
        <w:adjustRightInd w:val="0"/>
        <w:spacing w:before="0" w:after="0"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7-3   残疾人福利性单位声明函</w:t>
      </w:r>
      <w:bookmarkEnd w:id="362"/>
    </w:p>
    <w:bookmarkEnd w:id="363"/>
    <w:bookmarkEnd w:id="364"/>
    <w:p>
      <w:pPr>
        <w:spacing w:line="240" w:lineRule="atLeast"/>
        <w:ind w:left="1080" w:leftChars="257" w:hanging="540"/>
        <w:jc w:val="center"/>
        <w:rPr>
          <w:rFonts w:ascii="仿宋" w:hAnsi="仿宋" w:eastAsia="仿宋" w:cs="仿宋"/>
          <w:color w:val="auto"/>
          <w:kern w:val="0"/>
          <w:sz w:val="24"/>
          <w:szCs w:val="20"/>
          <w:highlight w:val="none"/>
        </w:rPr>
      </w:pPr>
    </w:p>
    <w:p>
      <w:pPr>
        <w:spacing w:line="360" w:lineRule="auto"/>
        <w:ind w:firstLine="567"/>
        <w:rPr>
          <w:rFonts w:ascii="仿宋" w:hAnsi="仿宋" w:eastAsia="仿宋" w:cs="仿宋"/>
          <w:color w:val="auto"/>
          <w:kern w:val="0"/>
          <w:sz w:val="24"/>
          <w:szCs w:val="20"/>
          <w:highlight w:val="none"/>
        </w:rPr>
      </w:pPr>
    </w:p>
    <w:p>
      <w:pPr>
        <w:spacing w:line="360" w:lineRule="auto"/>
        <w:ind w:firstLine="567"/>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left="1080" w:leftChars="257" w:hanging="540"/>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本单位对上述声明的真实性负责。如有虚假，将依法承担相应责任。</w:t>
      </w:r>
    </w:p>
    <w:p>
      <w:pPr>
        <w:spacing w:line="360" w:lineRule="auto"/>
        <w:ind w:left="1080" w:leftChars="257" w:hanging="540"/>
        <w:jc w:val="center"/>
        <w:rPr>
          <w:rFonts w:ascii="仿宋" w:hAnsi="仿宋" w:eastAsia="仿宋" w:cs="仿宋"/>
          <w:color w:val="auto"/>
          <w:kern w:val="0"/>
          <w:szCs w:val="21"/>
          <w:highlight w:val="none"/>
        </w:rPr>
      </w:pPr>
    </w:p>
    <w:p>
      <w:pPr>
        <w:spacing w:line="360" w:lineRule="auto"/>
        <w:ind w:left="1080" w:leftChars="257" w:hanging="540"/>
        <w:jc w:val="center"/>
        <w:rPr>
          <w:rFonts w:ascii="仿宋" w:hAnsi="仿宋" w:eastAsia="仿宋" w:cs="仿宋"/>
          <w:color w:val="auto"/>
          <w:kern w:val="0"/>
          <w:szCs w:val="21"/>
          <w:highlight w:val="none"/>
        </w:rPr>
      </w:pPr>
    </w:p>
    <w:p>
      <w:pPr>
        <w:spacing w:line="360" w:lineRule="auto"/>
        <w:ind w:left="1080" w:leftChars="257" w:hanging="54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投标人名称（盖章）：</w:t>
      </w:r>
    </w:p>
    <w:p>
      <w:pPr>
        <w:spacing w:line="360" w:lineRule="auto"/>
        <w:ind w:left="1080" w:leftChars="257" w:hanging="54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日  期：</w:t>
      </w:r>
    </w:p>
    <w:p>
      <w:pPr>
        <w:spacing w:line="360" w:lineRule="auto"/>
        <w:ind w:left="1080" w:leftChars="257" w:hanging="540"/>
        <w:jc w:val="center"/>
        <w:rPr>
          <w:rFonts w:ascii="仿宋" w:hAnsi="仿宋" w:eastAsia="仿宋" w:cs="仿宋"/>
          <w:b/>
          <w:color w:val="auto"/>
          <w:kern w:val="0"/>
          <w:sz w:val="24"/>
          <w:szCs w:val="20"/>
          <w:highlight w:val="none"/>
        </w:rPr>
      </w:pPr>
    </w:p>
    <w:p>
      <w:pPr>
        <w:pStyle w:val="6"/>
        <w:spacing w:before="0" w:line="240" w:lineRule="atLeast"/>
        <w:jc w:val="both"/>
        <w:rPr>
          <w:rFonts w:ascii="仿宋" w:hAnsi="仿宋" w:eastAsia="仿宋" w:cs="仿宋"/>
          <w:color w:val="auto"/>
          <w:highlight w:val="none"/>
        </w:rPr>
      </w:pPr>
      <w:r>
        <w:rPr>
          <w:rFonts w:hint="eastAsia" w:ascii="仿宋" w:hAnsi="仿宋" w:eastAsia="仿宋" w:cs="仿宋"/>
          <w:color w:val="auto"/>
          <w:highlight w:val="none"/>
        </w:rPr>
        <w:br w:type="page"/>
      </w:r>
      <w:bookmarkStart w:id="365" w:name="_Toc60830335"/>
      <w:r>
        <w:rPr>
          <w:rFonts w:hint="eastAsia" w:ascii="仿宋" w:hAnsi="仿宋" w:eastAsia="仿宋" w:cs="仿宋"/>
          <w:color w:val="auto"/>
          <w:highlight w:val="none"/>
          <w:u w:val="none"/>
        </w:rPr>
        <w:t>8  投标人商务符合性承诺函</w:t>
      </w:r>
      <w:bookmarkEnd w:id="365"/>
    </w:p>
    <w:p>
      <w:pPr>
        <w:pStyle w:val="5"/>
        <w:rPr>
          <w:rFonts w:ascii="仿宋" w:hAnsi="仿宋" w:eastAsia="仿宋" w:cs="仿宋"/>
          <w:color w:val="auto"/>
          <w:sz w:val="21"/>
          <w:szCs w:val="21"/>
          <w:highlight w:val="none"/>
        </w:rPr>
      </w:pPr>
    </w:p>
    <w:p>
      <w:pPr>
        <w:pStyle w:val="5"/>
        <w:rPr>
          <w:rFonts w:ascii="仿宋" w:hAnsi="仿宋" w:eastAsia="仿宋" w:cs="仿宋"/>
          <w:color w:val="auto"/>
          <w:sz w:val="21"/>
          <w:szCs w:val="21"/>
          <w:highlight w:val="none"/>
        </w:rPr>
      </w:pPr>
    </w:p>
    <w:p>
      <w:pPr>
        <w:pStyle w:val="5"/>
        <w:rPr>
          <w:rFonts w:ascii="仿宋" w:hAnsi="仿宋" w:eastAsia="仿宋" w:cs="仿宋"/>
          <w:color w:val="auto"/>
          <w:sz w:val="21"/>
          <w:szCs w:val="21"/>
          <w:highlight w:val="none"/>
        </w:rPr>
      </w:pPr>
    </w:p>
    <w:p>
      <w:pPr>
        <w:pStyle w:val="5"/>
        <w:spacing w:line="360" w:lineRule="auto"/>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我公司在此郑重承诺：未为本项目提供整体设计、规范编制或者项目管理、监理、检测等服务；投标过程中不存在向采购人提供、给予任何有价值的物品，试图影响其正常决策行为。</w:t>
      </w:r>
    </w:p>
    <w:p>
      <w:pPr>
        <w:pStyle w:val="5"/>
        <w:spacing w:line="360" w:lineRule="auto"/>
        <w:rPr>
          <w:rFonts w:ascii="仿宋" w:hAnsi="仿宋" w:eastAsia="仿宋" w:cs="仿宋"/>
          <w:color w:val="auto"/>
          <w:sz w:val="21"/>
          <w:szCs w:val="21"/>
          <w:highlight w:val="none"/>
        </w:rPr>
      </w:pPr>
    </w:p>
    <w:p>
      <w:pPr>
        <w:spacing w:line="360" w:lineRule="auto"/>
        <w:ind w:left="1080" w:leftChars="257" w:hanging="540"/>
        <w:jc w:val="center"/>
        <w:rPr>
          <w:rFonts w:ascii="仿宋" w:hAnsi="仿宋" w:eastAsia="仿宋" w:cs="仿宋"/>
          <w:color w:val="auto"/>
          <w:kern w:val="0"/>
          <w:szCs w:val="21"/>
          <w:highlight w:val="none"/>
        </w:rPr>
      </w:pPr>
    </w:p>
    <w:p>
      <w:pPr>
        <w:spacing w:line="360" w:lineRule="auto"/>
        <w:ind w:left="1080" w:leftChars="257" w:hanging="54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投标人名称（盖章）：</w:t>
      </w:r>
    </w:p>
    <w:p>
      <w:pPr>
        <w:spacing w:line="360" w:lineRule="auto"/>
        <w:ind w:left="1080" w:leftChars="257" w:hanging="540"/>
        <w:jc w:val="center"/>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  日  期：</w:t>
      </w:r>
    </w:p>
    <w:p>
      <w:pPr>
        <w:pStyle w:val="5"/>
        <w:rPr>
          <w:rFonts w:ascii="仿宋" w:hAnsi="仿宋" w:eastAsia="仿宋" w:cs="仿宋"/>
          <w:color w:val="auto"/>
          <w:highlight w:val="none"/>
        </w:rPr>
      </w:pPr>
    </w:p>
    <w:p>
      <w:pPr>
        <w:pStyle w:val="5"/>
        <w:rPr>
          <w:rFonts w:ascii="仿宋" w:hAnsi="仿宋" w:eastAsia="仿宋" w:cs="仿宋"/>
          <w:color w:val="auto"/>
          <w:highlight w:val="none"/>
        </w:rPr>
      </w:pPr>
      <w:r>
        <w:rPr>
          <w:rFonts w:hint="eastAsia" w:ascii="仿宋" w:hAnsi="仿宋" w:eastAsia="仿宋" w:cs="仿宋"/>
          <w:color w:val="auto"/>
          <w:highlight w:val="none"/>
        </w:rPr>
        <w:br w:type="page"/>
      </w:r>
    </w:p>
    <w:p>
      <w:pPr>
        <w:pStyle w:val="6"/>
        <w:spacing w:before="0" w:line="240" w:lineRule="atLeast"/>
        <w:jc w:val="both"/>
        <w:rPr>
          <w:rFonts w:ascii="仿宋" w:hAnsi="仿宋" w:eastAsia="仿宋" w:cs="仿宋"/>
          <w:color w:val="auto"/>
          <w:highlight w:val="none"/>
          <w:u w:val="none"/>
        </w:rPr>
      </w:pPr>
      <w:bookmarkStart w:id="366" w:name="_Toc60830336"/>
      <w:r>
        <w:rPr>
          <w:rFonts w:hint="eastAsia" w:ascii="仿宋" w:hAnsi="仿宋" w:eastAsia="仿宋" w:cs="仿宋"/>
          <w:color w:val="auto"/>
          <w:highlight w:val="none"/>
          <w:u w:val="none"/>
        </w:rPr>
        <w:t xml:space="preserve">9  </w:t>
      </w:r>
      <w:bookmarkEnd w:id="366"/>
      <w:r>
        <w:rPr>
          <w:rFonts w:hint="eastAsia" w:ascii="仿宋" w:hAnsi="仿宋" w:eastAsia="仿宋" w:cs="仿宋"/>
          <w:color w:val="auto"/>
          <w:highlight w:val="none"/>
          <w:u w:val="none"/>
        </w:rPr>
        <w:t>投标保证金缴纳凭证复印件或投标担保函</w:t>
      </w:r>
    </w:p>
    <w:p>
      <w:pPr>
        <w:ind w:firstLine="420" w:firstLineChars="200"/>
        <w:rPr>
          <w:rFonts w:ascii="仿宋" w:hAnsi="仿宋" w:eastAsia="仿宋" w:cs="仿宋"/>
          <w:color w:val="auto"/>
          <w:highlight w:val="none"/>
        </w:rPr>
      </w:pPr>
      <w:bookmarkStart w:id="367" w:name="_Toc494296665"/>
      <w:bookmarkStart w:id="368" w:name="_Toc494296991"/>
    </w:p>
    <w:bookmarkEnd w:id="367"/>
    <w:bookmarkEnd w:id="368"/>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投标人可将本项目投标保证金支付的汇款凭证、支票、汇票或保证金收据（如有）的复印件作为缴纳凭证装订在本部分，复印件上应加盖本单位公章；使用银行保函等其他投标担保函的，应将担保函正本，装订在本部分正本中；如采用政府采购信用担保形式的，应使用9-1 所示格式,将原件装订在本部分正本中。</w:t>
      </w:r>
    </w:p>
    <w:p>
      <w:pPr>
        <w:pStyle w:val="9"/>
        <w:rPr>
          <w:rFonts w:ascii="仿宋" w:hAnsi="仿宋" w:eastAsia="仿宋" w:cs="仿宋"/>
          <w:color w:val="auto"/>
          <w:szCs w:val="21"/>
          <w:highlight w:val="none"/>
        </w:rPr>
      </w:pPr>
    </w:p>
    <w:p>
      <w:pPr>
        <w:spacing w:line="240" w:lineRule="atLeast"/>
        <w:ind w:left="1080" w:leftChars="257" w:hanging="540"/>
        <w:jc w:val="center"/>
        <w:rPr>
          <w:rFonts w:ascii="仿宋" w:hAnsi="仿宋" w:eastAsia="仿宋" w:cs="仿宋"/>
          <w:color w:val="auto"/>
          <w:sz w:val="24"/>
          <w:highlight w:val="none"/>
        </w:rPr>
      </w:pPr>
    </w:p>
    <w:p>
      <w:pPr>
        <w:spacing w:line="360" w:lineRule="auto"/>
        <w:jc w:val="center"/>
        <w:outlineLvl w:val="3"/>
        <w:rPr>
          <w:rFonts w:ascii="仿宋" w:hAnsi="仿宋" w:eastAsia="仿宋" w:cs="仿宋"/>
          <w:b/>
          <w:color w:val="auto"/>
          <w:sz w:val="24"/>
          <w:szCs w:val="21"/>
          <w:highlight w:val="none"/>
        </w:rPr>
      </w:pPr>
      <w:r>
        <w:rPr>
          <w:rFonts w:hint="eastAsia" w:ascii="仿宋" w:hAnsi="仿宋" w:eastAsia="仿宋" w:cs="仿宋"/>
          <w:b/>
          <w:color w:val="auto"/>
          <w:sz w:val="24"/>
          <w:szCs w:val="21"/>
          <w:highlight w:val="none"/>
        </w:rPr>
        <w:t>9-1  政府采购投标担保函</w:t>
      </w:r>
    </w:p>
    <w:p>
      <w:pPr>
        <w:ind w:firstLine="6720" w:firstLineChars="3200"/>
        <w:rPr>
          <w:rFonts w:ascii="仿宋" w:hAnsi="仿宋" w:eastAsia="仿宋" w:cs="仿宋"/>
          <w:color w:val="auto"/>
          <w:highlight w:val="none"/>
        </w:rPr>
      </w:pPr>
      <w:r>
        <w:rPr>
          <w:rFonts w:hint="eastAsia" w:ascii="仿宋" w:hAnsi="仿宋" w:eastAsia="仿宋" w:cs="仿宋"/>
          <w:color w:val="auto"/>
          <w:highlight w:val="none"/>
        </w:rPr>
        <w:t>编号：</w:t>
      </w:r>
    </w:p>
    <w:p>
      <w:pPr>
        <w:rPr>
          <w:rFonts w:ascii="仿宋" w:hAnsi="仿宋" w:eastAsia="仿宋" w:cs="仿宋"/>
          <w:color w:val="auto"/>
          <w:highlight w:val="none"/>
        </w:rPr>
      </w:pPr>
      <w:r>
        <w:rPr>
          <w:rFonts w:hint="eastAsia" w:ascii="仿宋" w:hAnsi="仿宋" w:eastAsia="仿宋" w:cs="仿宋"/>
          <w:color w:val="auto"/>
          <w:highlight w:val="none"/>
        </w:rPr>
        <w:t xml:space="preserve"> </w:t>
      </w:r>
    </w:p>
    <w:p>
      <w:pPr>
        <w:spacing w:line="360" w:lineRule="auto"/>
        <w:rPr>
          <w:rFonts w:ascii="仿宋" w:hAnsi="仿宋" w:eastAsia="仿宋" w:cs="仿宋"/>
          <w:color w:val="auto"/>
          <w:highlight w:val="none"/>
        </w:rPr>
      </w:pP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（采购人或采购代理机构）：</w:t>
      </w:r>
    </w:p>
    <w:p>
      <w:pPr>
        <w:spacing w:line="360" w:lineRule="auto"/>
        <w:rPr>
          <w:rFonts w:ascii="仿宋" w:hAnsi="仿宋" w:eastAsia="仿宋" w:cs="仿宋"/>
          <w:color w:val="auto"/>
          <w:highlight w:val="none"/>
        </w:rPr>
      </w:pPr>
    </w:p>
    <w:p>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鉴于</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（以下简称“投标人”）拟参加编号为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的</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 xml:space="preserve">                            </w:t>
      </w:r>
    </w:p>
    <w:p>
      <w:pPr>
        <w:spacing w:line="360" w:lineRule="auto"/>
        <w:rPr>
          <w:rFonts w:ascii="仿宋" w:hAnsi="仿宋" w:eastAsia="仿宋" w:cs="仿宋"/>
          <w:color w:val="auto"/>
          <w:highlight w:val="none"/>
        </w:rPr>
      </w:pPr>
      <w:r>
        <w:rPr>
          <w:rFonts w:hint="eastAsia" w:ascii="仿宋" w:hAnsi="仿宋" w:eastAsia="仿宋" w:cs="仿宋"/>
          <w:color w:val="auto"/>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一、保证责任的情形及保证金额</w:t>
      </w:r>
    </w:p>
    <w:p>
      <w:pPr>
        <w:spacing w:line="360" w:lineRule="auto"/>
        <w:ind w:firstLine="210" w:firstLineChars="100"/>
        <w:rPr>
          <w:rFonts w:ascii="仿宋" w:hAnsi="仿宋" w:eastAsia="仿宋" w:cs="仿宋"/>
          <w:color w:val="auto"/>
          <w:highlight w:val="none"/>
        </w:rPr>
      </w:pPr>
      <w:r>
        <w:rPr>
          <w:rFonts w:hint="eastAsia" w:ascii="仿宋" w:hAnsi="仿宋" w:eastAsia="仿宋" w:cs="仿宋"/>
          <w:color w:val="auto"/>
          <w:highlight w:val="none"/>
        </w:rPr>
        <w:t>（一）在投标人出现下列情形之一时，我方承担保证责任：</w:t>
      </w:r>
    </w:p>
    <w:p>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1．中标后投标人无正当理由不与采购人或者采购代理机构签订《政府采购合同》；</w:t>
      </w:r>
    </w:p>
    <w:p>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2．招标文件规定的投标人应当缴纳保证金的其他情形。</w:t>
      </w:r>
    </w:p>
    <w:p>
      <w:pPr>
        <w:spacing w:line="360" w:lineRule="auto"/>
        <w:ind w:firstLine="210" w:firstLineChars="100"/>
        <w:rPr>
          <w:rFonts w:ascii="仿宋" w:hAnsi="仿宋" w:eastAsia="仿宋" w:cs="仿宋"/>
          <w:color w:val="auto"/>
          <w:highlight w:val="none"/>
        </w:rPr>
      </w:pPr>
      <w:r>
        <w:rPr>
          <w:rFonts w:hint="eastAsia" w:ascii="仿宋" w:hAnsi="仿宋" w:eastAsia="仿宋" w:cs="仿宋"/>
          <w:color w:val="auto"/>
          <w:highlight w:val="none"/>
        </w:rPr>
        <w:t>（二）我方承担保证责任的最高金额为人民币</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元（大写</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），即本项目的投标保证金金额。</w:t>
      </w:r>
    </w:p>
    <w:p>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二、保证的方式及保证期间</w:t>
      </w:r>
    </w:p>
    <w:p>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我方保证的方式为：连带责任保证。</w:t>
      </w:r>
    </w:p>
    <w:p>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我方的保证期间为：自本保函生效之日起</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个月止。</w:t>
      </w:r>
    </w:p>
    <w:p>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三、承担保证责任的程序</w:t>
      </w:r>
    </w:p>
    <w:p>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2．我方在收到索赔通知及相关证明材料后，在</w:t>
      </w:r>
      <w:r>
        <w:rPr>
          <w:rFonts w:hint="eastAsia" w:ascii="仿宋" w:hAnsi="仿宋" w:eastAsia="仿宋" w:cs="仿宋"/>
          <w:color w:val="auto"/>
          <w:highlight w:val="none"/>
          <w:u w:val="single"/>
        </w:rPr>
        <w:t>　　　</w:t>
      </w:r>
      <w:r>
        <w:rPr>
          <w:rFonts w:hint="eastAsia" w:ascii="仿宋" w:hAnsi="仿宋" w:eastAsia="仿宋" w:cs="仿宋"/>
          <w:color w:val="auto"/>
          <w:highlight w:val="none"/>
        </w:rPr>
        <w:t>个工作日内进行审查，符合应承担保证责任情形的，我方应按照你方的要求代投标人向你方支付投标保证金。</w:t>
      </w:r>
    </w:p>
    <w:p>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四、保证责任的终止</w:t>
      </w:r>
    </w:p>
    <w:p>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1．保证期间届满你方未向我方书面主张保证责任的，自保证期间届满次日起，我方保证责任自动终止。</w:t>
      </w:r>
    </w:p>
    <w:p>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2．我方按照本保函向你贵方履行了保证责任后，自我方向你贵方支付款项（支付款项从我方账户划出）之日起，保证责任终止。</w:t>
      </w:r>
    </w:p>
    <w:p>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3．按照法律法规的规定或出现我方保证责任终止的其它情形的，我方在本保函项下的保证责任亦终止。</w:t>
      </w:r>
    </w:p>
    <w:p>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五、免责条款</w:t>
      </w:r>
    </w:p>
    <w:p>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1．依照法律规定或你方与投标人的另行约定，全部或者部分免除投标人投标保证金义务时，我方亦免除相应的保证责任。</w:t>
      </w:r>
    </w:p>
    <w:p>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2．因你方原因致使投标人发生本保函第一条第（一）款约定情形的，我方不承担保证责任。</w:t>
      </w:r>
    </w:p>
    <w:p>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3．因不可抗力造成投标人发生本保函第一条约定情形的，我方不承担保证责任。</w:t>
      </w:r>
    </w:p>
    <w:p>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4．你方或其他有权机关对招标文件进行任何澄清或修改，加重我方保证责任的，我方对加重部分不承担保证责任，但该澄清或修改经我方事先书面同意的除外。</w:t>
      </w:r>
    </w:p>
    <w:p>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六、争议的解决</w:t>
      </w:r>
    </w:p>
    <w:p>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因本保函发生的纠纷，由你我双方协商解决，协商不成的，通过诉讼程序解决，诉讼管辖地法院为</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法院。</w:t>
      </w:r>
    </w:p>
    <w:p>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七、保函的生效</w:t>
      </w:r>
    </w:p>
    <w:p>
      <w:pPr>
        <w:spacing w:line="360" w:lineRule="auto"/>
        <w:ind w:firstLine="420" w:firstLineChars="200"/>
        <w:rPr>
          <w:rFonts w:ascii="仿宋" w:hAnsi="仿宋" w:eastAsia="仿宋" w:cs="仿宋"/>
          <w:color w:val="auto"/>
          <w:highlight w:val="none"/>
        </w:rPr>
      </w:pPr>
      <w:r>
        <w:rPr>
          <w:rFonts w:hint="eastAsia" w:ascii="仿宋" w:hAnsi="仿宋" w:eastAsia="仿宋" w:cs="仿宋"/>
          <w:color w:val="auto"/>
          <w:highlight w:val="none"/>
        </w:rPr>
        <w:t>本保函自我方加盖公章之日起生效。</w:t>
      </w:r>
    </w:p>
    <w:p>
      <w:pPr>
        <w:pStyle w:val="9"/>
        <w:rPr>
          <w:rFonts w:ascii="仿宋" w:hAnsi="仿宋" w:eastAsia="仿宋" w:cs="仿宋"/>
          <w:color w:val="auto"/>
          <w:highlight w:val="none"/>
        </w:rPr>
      </w:pPr>
    </w:p>
    <w:p>
      <w:pPr>
        <w:spacing w:line="360" w:lineRule="auto"/>
        <w:ind w:firstLine="5565" w:firstLineChars="2650"/>
        <w:rPr>
          <w:rFonts w:ascii="仿宋" w:hAnsi="仿宋" w:eastAsia="仿宋" w:cs="仿宋"/>
          <w:color w:val="auto"/>
          <w:highlight w:val="none"/>
        </w:rPr>
      </w:pPr>
      <w:r>
        <w:rPr>
          <w:rFonts w:hint="eastAsia" w:ascii="仿宋" w:hAnsi="仿宋" w:eastAsia="仿宋" w:cs="仿宋"/>
          <w:color w:val="auto"/>
          <w:highlight w:val="none"/>
        </w:rPr>
        <w:t>保证人：（公章）</w:t>
      </w:r>
    </w:p>
    <w:p>
      <w:pPr>
        <w:spacing w:line="360" w:lineRule="auto"/>
        <w:rPr>
          <w:rFonts w:ascii="仿宋" w:hAnsi="仿宋" w:eastAsia="仿宋" w:cs="仿宋"/>
          <w:color w:val="auto"/>
          <w:highlight w:val="none"/>
        </w:rPr>
      </w:pPr>
      <w:r>
        <w:rPr>
          <w:rFonts w:hint="eastAsia" w:ascii="仿宋" w:hAnsi="仿宋" w:eastAsia="仿宋" w:cs="仿宋"/>
          <w:color w:val="auto"/>
          <w:highlight w:val="none"/>
        </w:rPr>
        <w:t xml:space="preserve">                               </w:t>
      </w:r>
    </w:p>
    <w:p>
      <w:pPr>
        <w:pStyle w:val="9"/>
        <w:rPr>
          <w:rFonts w:ascii="仿宋" w:hAnsi="仿宋" w:eastAsia="仿宋" w:cs="仿宋"/>
          <w:color w:val="auto"/>
          <w:highlight w:val="none"/>
        </w:rPr>
      </w:pPr>
    </w:p>
    <w:p>
      <w:pPr>
        <w:wordWrap w:val="0"/>
        <w:spacing w:line="360" w:lineRule="auto"/>
        <w:ind w:firstLine="420" w:firstLineChars="200"/>
        <w:jc w:val="right"/>
        <w:rPr>
          <w:rFonts w:ascii="仿宋" w:hAnsi="仿宋" w:eastAsia="仿宋" w:cs="仿宋"/>
          <w:color w:val="auto"/>
          <w:highlight w:val="none"/>
        </w:rPr>
      </w:pPr>
      <w:r>
        <w:rPr>
          <w:rFonts w:hint="eastAsia" w:ascii="仿宋" w:hAnsi="仿宋" w:eastAsia="仿宋" w:cs="仿宋"/>
          <w:color w:val="auto"/>
          <w:highlight w:val="none"/>
        </w:rPr>
        <w:t xml:space="preserve">年    月    日   </w:t>
      </w:r>
    </w:p>
    <w:p>
      <w:pPr>
        <w:rPr>
          <w:rFonts w:ascii="仿宋" w:hAnsi="仿宋" w:eastAsia="仿宋" w:cs="仿宋"/>
          <w:color w:val="auto"/>
          <w:highlight w:val="none"/>
        </w:rPr>
      </w:pPr>
      <w:r>
        <w:rPr>
          <w:rFonts w:hint="eastAsia" w:ascii="仿宋" w:hAnsi="仿宋" w:eastAsia="仿宋" w:cs="仿宋"/>
          <w:color w:val="auto"/>
          <w:highlight w:val="none"/>
        </w:rPr>
        <w:br w:type="page"/>
      </w:r>
    </w:p>
    <w:p>
      <w:pPr>
        <w:pStyle w:val="3"/>
        <w:spacing w:before="0" w:after="0" w:line="240" w:lineRule="atLeast"/>
        <w:rPr>
          <w:rFonts w:ascii="仿宋" w:hAnsi="仿宋" w:eastAsia="仿宋" w:cs="仿宋"/>
          <w:color w:val="auto"/>
          <w:highlight w:val="none"/>
        </w:rPr>
      </w:pPr>
      <w:bookmarkStart w:id="369" w:name="_Toc28037"/>
      <w:bookmarkStart w:id="370" w:name="_Toc512937850"/>
      <w:r>
        <w:rPr>
          <w:rFonts w:hint="eastAsia" w:ascii="仿宋" w:hAnsi="仿宋" w:eastAsia="仿宋" w:cs="仿宋"/>
          <w:color w:val="auto"/>
          <w:highlight w:val="none"/>
        </w:rPr>
        <w:t>第四章  投标邀请</w:t>
      </w:r>
      <w:bookmarkEnd w:id="369"/>
    </w:p>
    <w:p>
      <w:pPr>
        <w:rPr>
          <w:rFonts w:ascii="仿宋" w:hAnsi="仿宋" w:eastAsia="仿宋" w:cs="仿宋"/>
          <w:color w:val="auto"/>
          <w:highlight w:val="none"/>
        </w:rPr>
      </w:pPr>
    </w:p>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江苏伟业项目管理有限公司受</w:t>
      </w:r>
      <w:r>
        <w:rPr>
          <w:rFonts w:hint="eastAsia" w:ascii="仿宋" w:hAnsi="仿宋" w:eastAsia="仿宋" w:cs="仿宋"/>
          <w:color w:val="auto"/>
          <w:szCs w:val="21"/>
          <w:highlight w:val="none"/>
          <w:u w:val="single"/>
        </w:rPr>
        <w:t xml:space="preserve">  南京理工大学  </w:t>
      </w:r>
      <w:r>
        <w:rPr>
          <w:rFonts w:hint="eastAsia" w:ascii="仿宋" w:hAnsi="仿宋" w:eastAsia="仿宋" w:cs="仿宋"/>
          <w:color w:val="auto"/>
          <w:szCs w:val="21"/>
          <w:highlight w:val="none"/>
        </w:rPr>
        <w:t>委托，对下述货物及伴随服务和工程进行国内</w:t>
      </w:r>
      <w:r>
        <w:rPr>
          <w:rFonts w:hint="eastAsia" w:ascii="仿宋" w:hAnsi="仿宋" w:eastAsia="仿宋" w:cs="仿宋"/>
          <w:color w:val="auto"/>
          <w:szCs w:val="21"/>
          <w:highlight w:val="none"/>
          <w:u w:val="single"/>
        </w:rPr>
        <w:t>公开</w:t>
      </w:r>
      <w:r>
        <w:rPr>
          <w:rFonts w:hint="eastAsia" w:ascii="仿宋" w:hAnsi="仿宋" w:eastAsia="仿宋" w:cs="仿宋"/>
          <w:color w:val="auto"/>
          <w:szCs w:val="21"/>
          <w:highlight w:val="none"/>
        </w:rPr>
        <w:t>招标。现邀请合格的投标人前来投标。</w:t>
      </w:r>
    </w:p>
    <w:p>
      <w:pPr>
        <w:spacing w:line="360" w:lineRule="auto"/>
        <w:rPr>
          <w:rFonts w:ascii="仿宋" w:hAnsi="仿宋" w:eastAsia="仿宋" w:cs="仿宋"/>
          <w:color w:val="auto"/>
          <w:szCs w:val="21"/>
          <w:highlight w:val="none"/>
        </w:rPr>
      </w:pPr>
    </w:p>
    <w:p>
      <w:pPr>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一、项目基本情况</w:t>
      </w:r>
    </w:p>
    <w:p>
      <w:pPr>
        <w:spacing w:line="360" w:lineRule="auto"/>
        <w:ind w:left="210" w:leftChars="1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 项目编号：</w:t>
      </w:r>
      <w:r>
        <w:rPr>
          <w:rFonts w:hint="eastAsia" w:ascii="仿宋" w:hAnsi="仿宋" w:eastAsia="仿宋" w:cs="仿宋"/>
          <w:color w:val="auto"/>
          <w:szCs w:val="21"/>
          <w:highlight w:val="none"/>
          <w:lang w:eastAsia="zh-CN"/>
        </w:rPr>
        <w:t>A22HZ0020</w:t>
      </w:r>
    </w:p>
    <w:p>
      <w:pPr>
        <w:tabs>
          <w:tab w:val="left" w:pos="4276"/>
          <w:tab w:val="left" w:pos="8522"/>
        </w:tabs>
        <w:spacing w:line="360" w:lineRule="auto"/>
        <w:ind w:left="210" w:leftChars="100"/>
        <w:jc w:val="left"/>
        <w:rPr>
          <w:rFonts w:ascii="仿宋" w:hAnsi="仿宋" w:eastAsia="仿宋" w:cs="仿宋"/>
          <w:color w:val="auto"/>
          <w:szCs w:val="21"/>
          <w:highlight w:val="none"/>
        </w:rPr>
      </w:pPr>
      <w:r>
        <w:rPr>
          <w:rFonts w:hint="eastAsia" w:ascii="仿宋" w:hAnsi="仿宋" w:eastAsia="仿宋" w:cs="仿宋"/>
          <w:color w:val="auto"/>
          <w:szCs w:val="21"/>
          <w:highlight w:val="none"/>
        </w:rPr>
        <w:t>2. 项目名称：</w:t>
      </w:r>
      <w:r>
        <w:rPr>
          <w:rFonts w:hint="eastAsia" w:ascii="仿宋" w:hAnsi="仿宋" w:eastAsia="仿宋" w:cs="仿宋"/>
          <w:color w:val="auto"/>
          <w:szCs w:val="21"/>
          <w:highlight w:val="none"/>
          <w:lang w:eastAsia="zh-CN"/>
        </w:rPr>
        <w:t>网安实验终端采购</w:t>
      </w:r>
      <w:r>
        <w:rPr>
          <w:rFonts w:hint="eastAsia" w:ascii="仿宋" w:hAnsi="仿宋" w:eastAsia="仿宋" w:cs="仿宋"/>
          <w:color w:val="auto"/>
          <w:szCs w:val="21"/>
          <w:highlight w:val="none"/>
        </w:rPr>
        <w:t xml:space="preserve">  </w:t>
      </w:r>
    </w:p>
    <w:p>
      <w:pPr>
        <w:tabs>
          <w:tab w:val="left" w:pos="4276"/>
          <w:tab w:val="left" w:pos="8522"/>
        </w:tabs>
        <w:spacing w:line="360" w:lineRule="auto"/>
        <w:ind w:left="210" w:leftChars="100"/>
        <w:jc w:val="left"/>
        <w:rPr>
          <w:rFonts w:ascii="仿宋" w:hAnsi="仿宋" w:eastAsia="仿宋" w:cs="仿宋"/>
          <w:color w:val="auto"/>
          <w:szCs w:val="21"/>
          <w:highlight w:val="none"/>
        </w:rPr>
      </w:pPr>
      <w:r>
        <w:rPr>
          <w:rFonts w:hint="eastAsia" w:ascii="仿宋" w:hAnsi="仿宋" w:eastAsia="仿宋" w:cs="仿宋"/>
          <w:color w:val="auto"/>
          <w:szCs w:val="21"/>
          <w:highlight w:val="none"/>
        </w:rPr>
        <w:t>3. 招标项目性质：政府采购</w:t>
      </w:r>
    </w:p>
    <w:p>
      <w:pPr>
        <w:tabs>
          <w:tab w:val="left" w:pos="4276"/>
          <w:tab w:val="left" w:pos="8522"/>
        </w:tabs>
        <w:spacing w:line="360" w:lineRule="auto"/>
        <w:ind w:left="210" w:leftChars="100"/>
        <w:jc w:val="left"/>
        <w:rPr>
          <w:rFonts w:ascii="仿宋" w:hAnsi="仿宋" w:eastAsia="仿宋" w:cs="仿宋"/>
          <w:color w:val="auto"/>
          <w:szCs w:val="21"/>
          <w:highlight w:val="none"/>
        </w:rPr>
      </w:pPr>
      <w:r>
        <w:rPr>
          <w:rFonts w:hint="eastAsia" w:ascii="仿宋" w:hAnsi="仿宋" w:eastAsia="仿宋" w:cs="仿宋"/>
          <w:color w:val="auto"/>
          <w:szCs w:val="21"/>
          <w:highlight w:val="none"/>
        </w:rPr>
        <w:t>4. 预算金额：</w:t>
      </w:r>
      <w:r>
        <w:rPr>
          <w:rFonts w:hint="eastAsia" w:ascii="仿宋" w:hAnsi="仿宋" w:eastAsia="仿宋" w:cs="仿宋"/>
          <w:color w:val="auto"/>
          <w:szCs w:val="21"/>
          <w:highlight w:val="none"/>
          <w:lang w:eastAsia="zh-CN"/>
        </w:rPr>
        <w:t>18万元</w:t>
      </w:r>
      <w:r>
        <w:rPr>
          <w:rFonts w:hint="eastAsia" w:ascii="仿宋" w:hAnsi="仿宋" w:eastAsia="仿宋" w:cs="仿宋"/>
          <w:color w:val="auto"/>
          <w:szCs w:val="21"/>
          <w:highlight w:val="none"/>
        </w:rPr>
        <w:t>（人民币）</w:t>
      </w:r>
    </w:p>
    <w:p>
      <w:pPr>
        <w:tabs>
          <w:tab w:val="left" w:pos="4276"/>
          <w:tab w:val="left" w:pos="8522"/>
        </w:tabs>
        <w:spacing w:line="360" w:lineRule="auto"/>
        <w:ind w:left="210" w:leftChars="100"/>
        <w:jc w:val="left"/>
        <w:rPr>
          <w:rFonts w:ascii="仿宋" w:hAnsi="仿宋" w:eastAsia="仿宋" w:cs="仿宋"/>
          <w:color w:val="auto"/>
          <w:szCs w:val="21"/>
          <w:highlight w:val="none"/>
        </w:rPr>
      </w:pPr>
      <w:r>
        <w:rPr>
          <w:rFonts w:hint="eastAsia" w:ascii="仿宋" w:hAnsi="仿宋" w:eastAsia="仿宋" w:cs="仿宋"/>
          <w:color w:val="auto"/>
          <w:szCs w:val="21"/>
          <w:highlight w:val="none"/>
        </w:rPr>
        <w:t>5. 最高限价：</w:t>
      </w:r>
      <w:r>
        <w:rPr>
          <w:rFonts w:hint="eastAsia" w:ascii="仿宋" w:hAnsi="仿宋" w:eastAsia="仿宋" w:cs="仿宋"/>
          <w:color w:val="auto"/>
          <w:szCs w:val="21"/>
          <w:highlight w:val="none"/>
          <w:lang w:eastAsia="zh-CN"/>
        </w:rPr>
        <w:t>18万元</w:t>
      </w:r>
      <w:r>
        <w:rPr>
          <w:rFonts w:hint="eastAsia" w:ascii="仿宋" w:hAnsi="仿宋" w:eastAsia="仿宋" w:cs="仿宋"/>
          <w:color w:val="auto"/>
          <w:szCs w:val="21"/>
          <w:highlight w:val="none"/>
        </w:rPr>
        <w:t>（人民币）</w:t>
      </w:r>
    </w:p>
    <w:p>
      <w:pPr>
        <w:tabs>
          <w:tab w:val="left" w:pos="4276"/>
          <w:tab w:val="left" w:pos="8522"/>
        </w:tabs>
        <w:spacing w:line="360" w:lineRule="auto"/>
        <w:ind w:left="210" w:leftChars="100"/>
        <w:jc w:val="left"/>
        <w:rPr>
          <w:rFonts w:ascii="仿宋" w:hAnsi="仿宋" w:eastAsia="仿宋" w:cs="仿宋"/>
          <w:color w:val="auto"/>
          <w:szCs w:val="21"/>
          <w:highlight w:val="none"/>
        </w:rPr>
      </w:pPr>
      <w:r>
        <w:rPr>
          <w:rFonts w:hint="eastAsia" w:ascii="仿宋" w:hAnsi="仿宋" w:eastAsia="仿宋" w:cs="仿宋"/>
          <w:color w:val="auto"/>
          <w:szCs w:val="21"/>
          <w:highlight w:val="none"/>
        </w:rPr>
        <w:t>6. 采购需求：</w:t>
      </w:r>
    </w:p>
    <w:p>
      <w:pPr>
        <w:tabs>
          <w:tab w:val="left" w:pos="4276"/>
          <w:tab w:val="left" w:pos="8522"/>
        </w:tabs>
        <w:spacing w:line="360" w:lineRule="auto"/>
        <w:ind w:left="420" w:left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6.1 采购内容：</w:t>
      </w:r>
      <w:r>
        <w:rPr>
          <w:rFonts w:hint="eastAsia" w:ascii="仿宋" w:hAnsi="仿宋" w:eastAsia="仿宋" w:cs="仿宋"/>
          <w:color w:val="auto"/>
          <w:szCs w:val="21"/>
          <w:highlight w:val="none"/>
          <w:lang w:eastAsia="zh-CN"/>
        </w:rPr>
        <w:t>实验终端</w:t>
      </w:r>
    </w:p>
    <w:p>
      <w:pPr>
        <w:tabs>
          <w:tab w:val="left" w:pos="4276"/>
          <w:tab w:val="left" w:pos="8522"/>
        </w:tabs>
        <w:spacing w:line="360" w:lineRule="auto"/>
        <w:ind w:left="420" w:leftChars="200"/>
        <w:jc w:val="left"/>
        <w:rPr>
          <w:rFonts w:ascii="仿宋" w:hAnsi="仿宋" w:eastAsia="仿宋" w:cs="仿宋"/>
          <w:color w:val="auto"/>
          <w:szCs w:val="21"/>
          <w:highlight w:val="none"/>
        </w:rPr>
      </w:pPr>
      <w:r>
        <w:rPr>
          <w:rFonts w:hint="eastAsia" w:ascii="仿宋" w:hAnsi="仿宋" w:eastAsia="仿宋" w:cs="仿宋"/>
          <w:color w:val="auto"/>
          <w:szCs w:val="21"/>
          <w:highlight w:val="none"/>
        </w:rPr>
        <w:t>6.2 数量：</w:t>
      </w:r>
      <w:r>
        <w:rPr>
          <w:rFonts w:hint="eastAsia" w:ascii="仿宋" w:hAnsi="仿宋" w:eastAsia="仿宋" w:cs="仿宋"/>
          <w:color w:val="auto"/>
          <w:szCs w:val="21"/>
          <w:highlight w:val="none"/>
          <w:lang w:val="en-US" w:eastAsia="zh-CN"/>
        </w:rPr>
        <w:t>30套</w:t>
      </w:r>
      <w:r>
        <w:rPr>
          <w:rFonts w:hint="eastAsia" w:ascii="仿宋" w:hAnsi="仿宋" w:eastAsia="仿宋" w:cs="仿宋"/>
          <w:color w:val="auto"/>
          <w:szCs w:val="21"/>
          <w:highlight w:val="none"/>
        </w:rPr>
        <w:t>批</w:t>
      </w:r>
    </w:p>
    <w:p>
      <w:pPr>
        <w:tabs>
          <w:tab w:val="left" w:pos="4276"/>
          <w:tab w:val="left" w:pos="8522"/>
        </w:tabs>
        <w:spacing w:line="360" w:lineRule="auto"/>
        <w:ind w:left="420" w:leftChars="20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6.3 项目概况：</w:t>
      </w:r>
      <w:r>
        <w:rPr>
          <w:rFonts w:hint="eastAsia" w:ascii="仿宋" w:hAnsi="仿宋" w:eastAsia="仿宋" w:cs="仿宋"/>
          <w:color w:val="auto"/>
          <w:szCs w:val="21"/>
          <w:highlight w:val="none"/>
          <w:lang w:eastAsia="zh-CN"/>
        </w:rPr>
        <w:t>本项目采购设备主要用于本科生日常实验教学。单套终端包含PC机在内的其他硬软件设备，如显示器、外接设备、电源、网卡、网线、拖线板以及相应的应用软件等。</w:t>
      </w:r>
    </w:p>
    <w:p>
      <w:pPr>
        <w:tabs>
          <w:tab w:val="left" w:pos="4276"/>
          <w:tab w:val="left" w:pos="8522"/>
        </w:tabs>
        <w:spacing w:line="360" w:lineRule="auto"/>
        <w:ind w:left="210" w:leftChars="100"/>
        <w:jc w:val="left"/>
        <w:rPr>
          <w:rFonts w:ascii="仿宋" w:hAnsi="仿宋" w:eastAsia="仿宋" w:cs="仿宋"/>
          <w:color w:val="auto"/>
          <w:szCs w:val="21"/>
          <w:highlight w:val="none"/>
        </w:rPr>
      </w:pPr>
      <w:r>
        <w:rPr>
          <w:rFonts w:ascii="仿宋" w:hAnsi="仿宋" w:eastAsia="仿宋" w:cs="仿宋"/>
          <w:color w:val="auto"/>
          <w:szCs w:val="21"/>
          <w:highlight w:val="none"/>
        </w:rPr>
        <w:t xml:space="preserve">7. </w:t>
      </w:r>
      <w:r>
        <w:rPr>
          <w:rFonts w:hint="eastAsia" w:ascii="仿宋" w:hAnsi="仿宋" w:eastAsia="仿宋" w:cs="仿宋"/>
          <w:color w:val="auto"/>
          <w:szCs w:val="21"/>
          <w:highlight w:val="none"/>
        </w:rPr>
        <w:t>合同履行期限：合同签订后</w:t>
      </w:r>
      <w:r>
        <w:rPr>
          <w:rFonts w:hint="eastAsia" w:ascii="仿宋" w:hAnsi="仿宋" w:eastAsia="仿宋" w:cs="仿宋"/>
          <w:color w:val="auto"/>
          <w:szCs w:val="21"/>
          <w:highlight w:val="none"/>
          <w:u w:val="single"/>
          <w:lang w:val="en-US" w:eastAsia="zh-CN"/>
        </w:rPr>
        <w:t>30</w:t>
      </w:r>
      <w:r>
        <w:rPr>
          <w:rFonts w:hint="eastAsia" w:ascii="仿宋" w:hAnsi="仿宋" w:eastAsia="仿宋" w:cs="仿宋"/>
          <w:color w:val="auto"/>
          <w:szCs w:val="21"/>
          <w:highlight w:val="none"/>
          <w:lang w:val="en-US" w:eastAsia="zh-CN"/>
        </w:rPr>
        <w:t>日历天</w:t>
      </w:r>
      <w:r>
        <w:rPr>
          <w:rFonts w:hint="eastAsia" w:ascii="仿宋" w:hAnsi="仿宋" w:eastAsia="仿宋" w:cs="仿宋"/>
          <w:color w:val="auto"/>
          <w:szCs w:val="21"/>
          <w:highlight w:val="none"/>
        </w:rPr>
        <w:t>内交货</w:t>
      </w:r>
    </w:p>
    <w:p>
      <w:pPr>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二、投标人资格要求：</w:t>
      </w:r>
    </w:p>
    <w:p>
      <w:pPr>
        <w:spacing w:line="360" w:lineRule="auto"/>
        <w:ind w:left="210" w:leftChars="100"/>
        <w:rPr>
          <w:rFonts w:ascii="仿宋" w:hAnsi="仿宋" w:eastAsia="仿宋" w:cs="仿宋"/>
          <w:color w:val="auto"/>
          <w:szCs w:val="21"/>
          <w:highlight w:val="none"/>
        </w:rPr>
      </w:pPr>
      <w:r>
        <w:rPr>
          <w:rFonts w:hint="eastAsia" w:ascii="仿宋" w:hAnsi="仿宋" w:eastAsia="仿宋" w:cs="仿宋"/>
          <w:color w:val="auto"/>
          <w:szCs w:val="21"/>
          <w:highlight w:val="none"/>
        </w:rPr>
        <w:t>1.满足《中华人民共和国政府采购法》第二十二条规定；</w:t>
      </w:r>
    </w:p>
    <w:p>
      <w:pPr>
        <w:spacing w:line="360" w:lineRule="auto"/>
        <w:ind w:left="210" w:leftChars="100"/>
        <w:rPr>
          <w:rFonts w:ascii="仿宋" w:hAnsi="仿宋" w:eastAsia="仿宋" w:cs="仿宋"/>
          <w:color w:val="auto"/>
          <w:szCs w:val="21"/>
          <w:highlight w:val="none"/>
        </w:rPr>
      </w:pPr>
      <w:r>
        <w:rPr>
          <w:rFonts w:hint="eastAsia" w:ascii="仿宋" w:hAnsi="仿宋" w:eastAsia="仿宋" w:cs="仿宋"/>
          <w:color w:val="auto"/>
          <w:szCs w:val="21"/>
          <w:highlight w:val="none"/>
        </w:rPr>
        <w:t>2.落实政府采购政策需满足的资格要求：/</w:t>
      </w:r>
    </w:p>
    <w:p>
      <w:pPr>
        <w:spacing w:line="360" w:lineRule="auto"/>
        <w:ind w:left="210" w:leftChars="100"/>
        <w:rPr>
          <w:rFonts w:ascii="仿宋" w:hAnsi="仿宋" w:eastAsia="仿宋" w:cs="仿宋"/>
          <w:color w:val="auto"/>
          <w:szCs w:val="21"/>
          <w:highlight w:val="none"/>
        </w:rPr>
      </w:pPr>
      <w:r>
        <w:rPr>
          <w:rFonts w:hint="eastAsia" w:ascii="仿宋" w:hAnsi="仿宋" w:eastAsia="仿宋" w:cs="仿宋"/>
          <w:color w:val="auto"/>
          <w:szCs w:val="21"/>
          <w:highlight w:val="none"/>
        </w:rPr>
        <w:t>3.本项目的特定资格要求：</w:t>
      </w:r>
    </w:p>
    <w:p>
      <w:pPr>
        <w:spacing w:line="360" w:lineRule="auto"/>
        <w:ind w:left="420" w:left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3.1具有独立承担民事责任的能力，提供法人或其他组织的营业执照等证明文件，复印件加盖公章；</w:t>
      </w:r>
    </w:p>
    <w:p>
      <w:pPr>
        <w:spacing w:line="360" w:lineRule="auto"/>
        <w:ind w:left="420" w:left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3.2具有良好的商业信誉和健全的财务会计制度，需提供会计师事务所出具的上一年度财务审计报告复印件加盖公章，或银行出具的证明文件复印件加盖公章（距开标时间六个月内开具），或距开标时间六个月内任一月份的财务状况报告复印件加盖公章（至少包括资产负债表和利润表），法人或者其他组织成立未满三个月的需提供承诺具有良好的商业信誉和健全的财务会计制度的承诺书（格式自拟）。</w:t>
      </w:r>
    </w:p>
    <w:p>
      <w:pPr>
        <w:spacing w:line="360" w:lineRule="auto"/>
        <w:ind w:left="420" w:left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3.3具有履行合同所必需的设备和专业技术能力，提供承诺函原件（格式自拟）；</w:t>
      </w:r>
    </w:p>
    <w:p>
      <w:pPr>
        <w:spacing w:line="360" w:lineRule="auto"/>
        <w:ind w:left="420" w:left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3.4有依法缴纳税收和社会保障资金的良好记录，提供距开标时间六个月内任一月份的纳税证明文件复印件加盖公章（依法免税的应提供相应文件说明）和距开标时间六个月内任一月份的依法缴纳社会保障资金的证明材料复印件加盖公章（证明材料可以是缴费的银行单据、专用收据、社会保险缴纳清单或者所在社保机构开具的证明等，自行编写无效，依法不需要缴纳社会保障资金的应提供相应文件说明）；</w:t>
      </w:r>
    </w:p>
    <w:p>
      <w:pPr>
        <w:spacing w:line="360" w:lineRule="auto"/>
        <w:ind w:left="420" w:left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3.5参加本项目采购活动前三年内（成立时间不足三年的、自成立时间起），在经营活动中没有重大违法记录，提供声明函原件（格式自拟，重大违法记录是指供应商因违法经营受到刑事处罚或责令停产停业、吊销许可证或者执照、较大数额罚款等行政处罚。）；</w:t>
      </w:r>
    </w:p>
    <w:p>
      <w:pPr>
        <w:spacing w:line="360" w:lineRule="auto"/>
        <w:ind w:left="420" w:left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3.6本次招标不接受联合体投标；</w:t>
      </w:r>
    </w:p>
    <w:p>
      <w:pPr>
        <w:spacing w:line="360" w:lineRule="auto"/>
        <w:ind w:left="420" w:leftChars="200"/>
        <w:rPr>
          <w:rFonts w:ascii="仿宋" w:hAnsi="仿宋" w:eastAsia="仿宋" w:cs="仿宋"/>
          <w:color w:val="auto"/>
          <w:szCs w:val="21"/>
          <w:highlight w:val="none"/>
        </w:rPr>
      </w:pPr>
      <w:r>
        <w:rPr>
          <w:rFonts w:hint="eastAsia" w:ascii="仿宋" w:hAnsi="仿宋" w:eastAsia="仿宋" w:cs="仿宋"/>
          <w:color w:val="auto"/>
          <w:szCs w:val="21"/>
          <w:highlight w:val="none"/>
        </w:rPr>
        <w:t>3.7 限制性条款：供应商须满足下述条款要求（需提供承诺函原件）</w:t>
      </w:r>
    </w:p>
    <w:p>
      <w:pPr>
        <w:spacing w:line="360" w:lineRule="auto"/>
        <w:ind w:left="630" w:leftChars="3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（1）不存在单位负责人为同一人同时参与本项目投标的情况；</w:t>
      </w:r>
    </w:p>
    <w:p>
      <w:pPr>
        <w:spacing w:line="360" w:lineRule="auto"/>
        <w:ind w:left="630" w:leftChars="3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（2）不存在直接控股、管理关系的不同供应商同时参与本项目投标的情况；</w:t>
      </w:r>
    </w:p>
    <w:p>
      <w:pPr>
        <w:spacing w:line="360" w:lineRule="auto"/>
        <w:ind w:left="630" w:leftChars="300"/>
        <w:rPr>
          <w:rFonts w:ascii="仿宋" w:hAnsi="仿宋" w:eastAsia="仿宋" w:cs="仿宋"/>
          <w:color w:val="auto"/>
          <w:szCs w:val="21"/>
          <w:highlight w:val="none"/>
        </w:rPr>
      </w:pPr>
      <w:r>
        <w:rPr>
          <w:rFonts w:hint="eastAsia" w:ascii="仿宋" w:hAnsi="仿宋" w:eastAsia="仿宋" w:cs="仿宋"/>
          <w:color w:val="auto"/>
          <w:szCs w:val="21"/>
          <w:highlight w:val="none"/>
        </w:rPr>
        <w:t>（3）与招标人、招标代理机构不存在可能影响采购公正性的利益关系。</w:t>
      </w:r>
    </w:p>
    <w:p>
      <w:pPr>
        <w:spacing w:line="360" w:lineRule="auto"/>
        <w:ind w:left="420" w:left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3.8 投标人不得有被列入失信被执行人、重大税收违法案件当事人名单、政府采购严重违法失信行为记录（招标代理机构将通过“信用中国”网站(www.creditchina.gov.cn )、中国政府采购网(www.ccgp.gov.cn )查询投标人的信用记录并保存）。</w:t>
      </w:r>
    </w:p>
    <w:p>
      <w:pPr>
        <w:spacing w:line="360" w:lineRule="auto"/>
        <w:ind w:left="420" w:leftChars="200"/>
        <w:rPr>
          <w:rFonts w:ascii="仿宋" w:hAnsi="仿宋" w:eastAsia="仿宋" w:cs="仿宋"/>
          <w:color w:val="auto"/>
          <w:szCs w:val="21"/>
          <w:highlight w:val="none"/>
        </w:rPr>
      </w:pPr>
      <w:r>
        <w:rPr>
          <w:rFonts w:hint="eastAsia" w:ascii="仿宋" w:hAnsi="仿宋" w:eastAsia="仿宋" w:cs="仿宋"/>
          <w:color w:val="auto"/>
          <w:szCs w:val="21"/>
          <w:highlight w:val="none"/>
        </w:rPr>
        <w:t>3.9特定资格条件：无。</w:t>
      </w:r>
    </w:p>
    <w:p>
      <w:pPr>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三、获取招标文件</w:t>
      </w:r>
    </w:p>
    <w:p>
      <w:pPr>
        <w:spacing w:line="360" w:lineRule="auto"/>
        <w:ind w:left="210" w:leftChars="100"/>
        <w:rPr>
          <w:rFonts w:ascii="仿宋" w:hAnsi="仿宋" w:eastAsia="仿宋" w:cs="仿宋"/>
          <w:color w:val="auto"/>
          <w:szCs w:val="21"/>
          <w:highlight w:val="none"/>
        </w:rPr>
      </w:pPr>
      <w:r>
        <w:rPr>
          <w:rFonts w:hint="eastAsia" w:ascii="仿宋" w:hAnsi="仿宋" w:eastAsia="仿宋" w:cs="仿宋"/>
          <w:color w:val="auto"/>
          <w:szCs w:val="21"/>
          <w:highlight w:val="none"/>
        </w:rPr>
        <w:t>1.发售时间：</w:t>
      </w:r>
      <w:r>
        <w:rPr>
          <w:rFonts w:hint="eastAsia" w:ascii="仿宋" w:hAnsi="仿宋" w:eastAsia="仿宋" w:cs="仿宋"/>
          <w:color w:val="auto"/>
          <w:szCs w:val="21"/>
          <w:highlight w:val="none"/>
          <w:u w:val="single"/>
          <w:lang w:eastAsia="zh-CN"/>
        </w:rPr>
        <w:t>2022</w:t>
      </w:r>
      <w:r>
        <w:rPr>
          <w:rFonts w:hint="eastAsia" w:ascii="仿宋" w:hAnsi="仿宋" w:eastAsia="仿宋" w:cs="仿宋"/>
          <w:color w:val="auto"/>
          <w:szCs w:val="21"/>
          <w:highlight w:val="none"/>
        </w:rPr>
        <w:t>年</w:t>
      </w:r>
      <w:r>
        <w:rPr>
          <w:rFonts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11 </w:t>
      </w:r>
      <w:r>
        <w:rPr>
          <w:rFonts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月</w:t>
      </w:r>
      <w:r>
        <w:rPr>
          <w:rFonts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8  </w:t>
      </w:r>
      <w:r>
        <w:rPr>
          <w:rFonts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日至</w:t>
      </w:r>
      <w:r>
        <w:rPr>
          <w:rFonts w:hint="eastAsia" w:ascii="仿宋" w:hAnsi="仿宋" w:eastAsia="仿宋" w:cs="仿宋"/>
          <w:color w:val="auto"/>
          <w:szCs w:val="21"/>
          <w:highlight w:val="none"/>
          <w:u w:val="single"/>
          <w:lang w:eastAsia="zh-CN"/>
        </w:rPr>
        <w:t>2022</w:t>
      </w:r>
      <w:r>
        <w:rPr>
          <w:rFonts w:hint="eastAsia" w:ascii="仿宋" w:hAnsi="仿宋" w:eastAsia="仿宋" w:cs="仿宋"/>
          <w:color w:val="auto"/>
          <w:szCs w:val="21"/>
          <w:highlight w:val="none"/>
        </w:rPr>
        <w:t>年</w:t>
      </w:r>
      <w:r>
        <w:rPr>
          <w:rFonts w:hint="eastAsia" w:ascii="仿宋" w:hAnsi="仿宋" w:eastAsia="仿宋" w:cs="仿宋"/>
          <w:color w:val="auto"/>
          <w:szCs w:val="21"/>
          <w:highlight w:val="none"/>
          <w:u w:val="single"/>
          <w:lang w:val="en-US" w:eastAsia="zh-CN"/>
        </w:rPr>
        <w:t xml:space="preserve"> 11 </w:t>
      </w:r>
      <w:r>
        <w:rPr>
          <w:rFonts w:hint="eastAsia" w:ascii="仿宋" w:hAnsi="仿宋" w:eastAsia="仿宋" w:cs="仿宋"/>
          <w:color w:val="auto"/>
          <w:szCs w:val="21"/>
          <w:highlight w:val="none"/>
        </w:rPr>
        <w:t>月</w:t>
      </w:r>
      <w:r>
        <w:rPr>
          <w:rFonts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15</w:t>
      </w:r>
      <w:r>
        <w:rPr>
          <w:rFonts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日，每天上午9:00至11:30，下午14:00至17:00。（北京时间，法定节假日除外）</w:t>
      </w:r>
    </w:p>
    <w:p>
      <w:pPr>
        <w:spacing w:line="360" w:lineRule="auto"/>
        <w:ind w:left="210" w:leftChars="100"/>
        <w:rPr>
          <w:rFonts w:ascii="仿宋" w:hAnsi="仿宋" w:eastAsia="仿宋" w:cs="仿宋"/>
          <w:color w:val="auto"/>
          <w:szCs w:val="21"/>
          <w:highlight w:val="none"/>
        </w:rPr>
      </w:pPr>
      <w:r>
        <w:rPr>
          <w:rFonts w:ascii="仿宋" w:hAnsi="仿宋" w:eastAsia="仿宋" w:cs="仿宋"/>
          <w:color w:val="auto"/>
          <w:szCs w:val="21"/>
          <w:highlight w:val="none"/>
        </w:rPr>
        <w:t>2</w:t>
      </w:r>
      <w:r>
        <w:rPr>
          <w:rFonts w:hint="eastAsia" w:ascii="仿宋" w:hAnsi="仿宋" w:eastAsia="仿宋" w:cs="仿宋"/>
          <w:color w:val="auto"/>
          <w:szCs w:val="21"/>
          <w:highlight w:val="none"/>
        </w:rPr>
        <w:t>.文件获取方式：请各潜在供应商根据以下步骤进行线上报名、缴费、招标文件下载</w:t>
      </w:r>
    </w:p>
    <w:p>
      <w:pPr>
        <w:spacing w:line="360" w:lineRule="auto"/>
        <w:ind w:left="420" w:leftChars="200"/>
        <w:rPr>
          <w:rFonts w:ascii="仿宋" w:hAnsi="仿宋" w:eastAsia="仿宋" w:cs="仿宋"/>
          <w:color w:val="auto"/>
          <w:szCs w:val="21"/>
          <w:highlight w:val="none"/>
        </w:rPr>
      </w:pPr>
      <w:r>
        <w:rPr>
          <w:rFonts w:hint="eastAsia" w:ascii="仿宋" w:hAnsi="仿宋" w:eastAsia="仿宋" w:cs="仿宋"/>
          <w:color w:val="auto"/>
          <w:szCs w:val="21"/>
          <w:highlight w:val="none"/>
        </w:rPr>
        <w:t>（1）报名方式：线上报名，请具备以上资格条件的潜在供应商先在南京理工大学校园网（http://zbpt.njust.edu.cn/）上找到该项目招标公告并点击“我要报名”按钮进行线上报名。</w:t>
      </w:r>
    </w:p>
    <w:p>
      <w:pPr>
        <w:spacing w:line="360" w:lineRule="auto"/>
        <w:ind w:left="420" w:leftChars="200"/>
        <w:rPr>
          <w:rFonts w:ascii="仿宋" w:hAnsi="仿宋" w:eastAsia="仿宋" w:cs="仿宋"/>
          <w:color w:val="auto"/>
          <w:szCs w:val="21"/>
          <w:highlight w:val="none"/>
        </w:rPr>
      </w:pPr>
      <w:r>
        <w:rPr>
          <w:rFonts w:hint="eastAsia" w:ascii="仿宋" w:hAnsi="仿宋" w:eastAsia="仿宋" w:cs="仿宋"/>
          <w:color w:val="auto"/>
          <w:szCs w:val="21"/>
          <w:highlight w:val="none"/>
        </w:rPr>
        <w:t>（2）购买招标文件方式：线上缴费，请潜在供应商在该项目招标公告页面底部点击“缴纳标书费”，并按要求操作缴纳费用（请务必准确填写各项内容）。标书费售后不退。请于报名截止日期前缴纳，否则无法成功报名。交费后系统开具电子版发票至缴费人手机，请注意查收。</w:t>
      </w:r>
    </w:p>
    <w:p>
      <w:pPr>
        <w:spacing w:line="360" w:lineRule="auto"/>
        <w:ind w:left="420" w:leftChars="200"/>
        <w:rPr>
          <w:rFonts w:ascii="仿宋" w:hAnsi="仿宋" w:eastAsia="仿宋" w:cs="仿宋"/>
          <w:color w:val="auto"/>
          <w:szCs w:val="21"/>
          <w:highlight w:val="none"/>
        </w:rPr>
      </w:pPr>
      <w:r>
        <w:rPr>
          <w:rFonts w:hint="eastAsia" w:ascii="仿宋" w:hAnsi="仿宋" w:eastAsia="仿宋" w:cs="仿宋"/>
          <w:color w:val="auto"/>
          <w:szCs w:val="21"/>
          <w:highlight w:val="none"/>
        </w:rPr>
        <w:t>（3）获取招标文件方式：线上下载，请潜在供应商在该项目招标公告页面底部点击“下载标书”，按要求操作，填写验证码等，即可成功在线上下载招标文件电子稿。（无须再现场购买纸质文件）报名截止后招标文件、答疑澄清及相关图纸（如有）电子文档将再次以邮件形式统一发送至成功报名潜在供应商单位邮箱。</w:t>
      </w:r>
    </w:p>
    <w:p>
      <w:pPr>
        <w:spacing w:line="360" w:lineRule="auto"/>
        <w:ind w:left="210" w:leftChars="100"/>
        <w:rPr>
          <w:rFonts w:ascii="仿宋" w:hAnsi="仿宋" w:eastAsia="仿宋" w:cs="仿宋"/>
          <w:color w:val="auto"/>
          <w:szCs w:val="21"/>
          <w:highlight w:val="none"/>
        </w:rPr>
      </w:pPr>
      <w:r>
        <w:rPr>
          <w:rFonts w:ascii="仿宋" w:hAnsi="仿宋" w:eastAsia="仿宋" w:cs="仿宋"/>
          <w:color w:val="auto"/>
          <w:szCs w:val="21"/>
          <w:highlight w:val="none"/>
        </w:rPr>
        <w:t>3</w:t>
      </w:r>
      <w:r>
        <w:rPr>
          <w:rFonts w:hint="eastAsia" w:ascii="仿宋" w:hAnsi="仿宋" w:eastAsia="仿宋" w:cs="仿宋"/>
          <w:color w:val="auto"/>
          <w:szCs w:val="21"/>
          <w:highlight w:val="none"/>
        </w:rPr>
        <w:t>.售价：￥300.0 元，本公告包含的招标文件售价总和</w:t>
      </w:r>
    </w:p>
    <w:p>
      <w:pPr>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四、提交投标文件截止时间、开标时间和地点 </w:t>
      </w:r>
    </w:p>
    <w:p>
      <w:pPr>
        <w:pStyle w:val="17"/>
        <w:widowControl/>
        <w:spacing w:beforeAutospacing="0" w:afterAutospacing="0" w:line="360" w:lineRule="auto"/>
        <w:ind w:left="210" w:leftChars="1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1.提交投标文件截止时间：</w:t>
      </w:r>
      <w:r>
        <w:rPr>
          <w:rFonts w:hint="eastAsia" w:ascii="仿宋" w:hAnsi="仿宋" w:eastAsia="仿宋" w:cs="仿宋"/>
          <w:color w:val="auto"/>
          <w:sz w:val="21"/>
          <w:szCs w:val="21"/>
          <w:highlight w:val="none"/>
          <w:lang w:eastAsia="zh-CN"/>
        </w:rPr>
        <w:t>2022</w:t>
      </w:r>
      <w:r>
        <w:rPr>
          <w:rFonts w:hint="eastAsia" w:ascii="仿宋" w:hAnsi="仿宋" w:eastAsia="仿宋" w:cs="仿宋"/>
          <w:color w:val="auto"/>
          <w:sz w:val="21"/>
          <w:szCs w:val="21"/>
          <w:highlight w:val="none"/>
        </w:rPr>
        <w:t>年</w:t>
      </w:r>
      <w:r>
        <w:rPr>
          <w:rFonts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11 </w:t>
      </w:r>
      <w:r>
        <w:rPr>
          <w:rFonts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 xml:space="preserve"> 月</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 18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r>
        <w:rPr>
          <w:rFonts w:hint="eastAsia" w:ascii="仿宋" w:hAnsi="仿宋" w:eastAsia="仿宋" w:cs="仿宋"/>
          <w:color w:val="auto"/>
          <w:sz w:val="21"/>
          <w:szCs w:val="21"/>
          <w:highlight w:val="none"/>
          <w:u w:val="single"/>
        </w:rPr>
        <w:t xml:space="preserve"> </w:t>
      </w:r>
      <w:r>
        <w:rPr>
          <w:rFonts w:ascii="仿宋" w:hAnsi="仿宋" w:eastAsia="仿宋" w:cs="仿宋"/>
          <w:color w:val="auto"/>
          <w:sz w:val="21"/>
          <w:szCs w:val="21"/>
          <w:highlight w:val="none"/>
          <w:u w:val="single"/>
        </w:rPr>
        <w:t>1</w:t>
      </w:r>
      <w:r>
        <w:rPr>
          <w:rFonts w:hint="eastAsia" w:ascii="仿宋" w:hAnsi="仿宋" w:eastAsia="仿宋" w:cs="仿宋"/>
          <w:color w:val="auto"/>
          <w:sz w:val="21"/>
          <w:szCs w:val="21"/>
          <w:highlight w:val="none"/>
          <w:u w:val="single"/>
          <w:lang w:val="en-US" w:eastAsia="zh-CN"/>
        </w:rPr>
        <w:t>5</w:t>
      </w:r>
      <w:r>
        <w:rPr>
          <w:rFonts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点</w:t>
      </w:r>
      <w:r>
        <w:rPr>
          <w:rFonts w:hint="eastAsia" w:ascii="仿宋" w:hAnsi="仿宋" w:eastAsia="仿宋" w:cs="仿宋"/>
          <w:color w:val="auto"/>
          <w:sz w:val="21"/>
          <w:szCs w:val="21"/>
          <w:highlight w:val="none"/>
          <w:u w:val="single"/>
        </w:rPr>
        <w:t xml:space="preserve"> </w:t>
      </w:r>
      <w:r>
        <w:rPr>
          <w:rFonts w:ascii="仿宋" w:hAnsi="仿宋" w:eastAsia="仿宋" w:cs="仿宋"/>
          <w:color w:val="auto"/>
          <w:sz w:val="21"/>
          <w:szCs w:val="21"/>
          <w:highlight w:val="none"/>
          <w:u w:val="single"/>
        </w:rPr>
        <w:t xml:space="preserve">30 </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分（北京时间），逾期送达或未按招标文件要求密封的投标文件恕不接收。</w:t>
      </w:r>
    </w:p>
    <w:p>
      <w:pPr>
        <w:pStyle w:val="17"/>
        <w:widowControl/>
        <w:spacing w:beforeAutospacing="0" w:afterAutospacing="0" w:line="360" w:lineRule="auto"/>
        <w:ind w:left="210" w:leftChars="1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2.开标时间：</w:t>
      </w:r>
      <w:r>
        <w:rPr>
          <w:rFonts w:hint="eastAsia" w:ascii="仿宋" w:hAnsi="仿宋" w:eastAsia="仿宋" w:cs="仿宋"/>
          <w:color w:val="auto"/>
          <w:sz w:val="21"/>
          <w:szCs w:val="21"/>
          <w:highlight w:val="none"/>
          <w:lang w:eastAsia="zh-CN"/>
        </w:rPr>
        <w:t>2022</w:t>
      </w:r>
      <w:r>
        <w:rPr>
          <w:rFonts w:hint="eastAsia" w:ascii="仿宋" w:hAnsi="仿宋" w:eastAsia="仿宋" w:cs="仿宋"/>
          <w:color w:val="auto"/>
          <w:sz w:val="21"/>
          <w:szCs w:val="21"/>
          <w:highlight w:val="none"/>
        </w:rPr>
        <w:t>年</w:t>
      </w:r>
      <w:r>
        <w:rPr>
          <w:rFonts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u w:val="single"/>
          <w:lang w:val="en-US" w:eastAsia="zh-CN"/>
        </w:rPr>
        <w:t xml:space="preserve">11  </w:t>
      </w:r>
      <w:r>
        <w:rPr>
          <w:rFonts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月</w:t>
      </w:r>
      <w:r>
        <w:rPr>
          <w:rFonts w:hint="eastAsia" w:ascii="仿宋" w:hAnsi="仿宋" w:eastAsia="仿宋" w:cs="仿宋"/>
          <w:color w:val="auto"/>
          <w:sz w:val="21"/>
          <w:szCs w:val="21"/>
          <w:highlight w:val="none"/>
          <w:u w:val="single"/>
          <w:lang w:val="en-US" w:eastAsia="zh-CN"/>
        </w:rPr>
        <w:t xml:space="preserve">  18 </w:t>
      </w:r>
      <w:r>
        <w:rPr>
          <w:rFonts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日</w:t>
      </w:r>
      <w:r>
        <w:rPr>
          <w:rFonts w:ascii="仿宋" w:hAnsi="仿宋" w:eastAsia="仿宋" w:cs="仿宋"/>
          <w:color w:val="auto"/>
          <w:sz w:val="21"/>
          <w:szCs w:val="21"/>
          <w:highlight w:val="none"/>
          <w:u w:val="single"/>
        </w:rPr>
        <w:t xml:space="preserve"> 1</w:t>
      </w:r>
      <w:r>
        <w:rPr>
          <w:rFonts w:hint="eastAsia" w:ascii="仿宋" w:hAnsi="仿宋" w:eastAsia="仿宋" w:cs="仿宋"/>
          <w:color w:val="auto"/>
          <w:sz w:val="21"/>
          <w:szCs w:val="21"/>
          <w:highlight w:val="none"/>
          <w:u w:val="single"/>
          <w:lang w:val="en-US" w:eastAsia="zh-CN"/>
        </w:rPr>
        <w:t>5</w:t>
      </w:r>
      <w:r>
        <w:rPr>
          <w:rFonts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点</w:t>
      </w:r>
      <w:r>
        <w:rPr>
          <w:rFonts w:hint="eastAsia" w:ascii="仿宋" w:hAnsi="仿宋" w:eastAsia="仿宋" w:cs="仿宋"/>
          <w:color w:val="auto"/>
          <w:sz w:val="21"/>
          <w:szCs w:val="21"/>
          <w:highlight w:val="none"/>
          <w:u w:val="single"/>
        </w:rPr>
        <w:t xml:space="preserve"> </w:t>
      </w:r>
      <w:r>
        <w:rPr>
          <w:rFonts w:ascii="仿宋" w:hAnsi="仿宋" w:eastAsia="仿宋" w:cs="仿宋"/>
          <w:color w:val="auto"/>
          <w:sz w:val="21"/>
          <w:szCs w:val="21"/>
          <w:highlight w:val="none"/>
          <w:u w:val="single"/>
        </w:rPr>
        <w:t xml:space="preserve"> 30 </w:t>
      </w:r>
      <w:r>
        <w:rPr>
          <w:rFonts w:hint="eastAsia" w:ascii="仿宋" w:hAnsi="仿宋" w:eastAsia="仿宋" w:cs="仿宋"/>
          <w:color w:val="auto"/>
          <w:sz w:val="21"/>
          <w:szCs w:val="21"/>
          <w:highlight w:val="none"/>
        </w:rPr>
        <w:t>分（北京时间）（与接收投标文件的截止时间一致）（北京时间）。</w:t>
      </w:r>
    </w:p>
    <w:p>
      <w:pPr>
        <w:pStyle w:val="17"/>
        <w:widowControl/>
        <w:spacing w:beforeAutospacing="0" w:afterAutospacing="0" w:line="360" w:lineRule="auto"/>
        <w:ind w:left="210" w:leftChars="100"/>
        <w:rPr>
          <w:rFonts w:hint="eastAsia" w:ascii="仿宋" w:hAnsi="仿宋" w:eastAsia="仿宋" w:cs="仿宋"/>
          <w:color w:val="auto"/>
          <w:sz w:val="21"/>
          <w:szCs w:val="21"/>
          <w:highlight w:val="none"/>
          <w:u w:val="single"/>
          <w:lang w:eastAsia="zh-CN"/>
        </w:rPr>
      </w:pPr>
      <w:r>
        <w:rPr>
          <w:rFonts w:hint="eastAsia" w:ascii="仿宋" w:hAnsi="仿宋" w:eastAsia="仿宋" w:cs="仿宋"/>
          <w:color w:val="auto"/>
          <w:sz w:val="21"/>
          <w:szCs w:val="21"/>
          <w:highlight w:val="none"/>
        </w:rPr>
        <w:t>3.接收投标文件和开标地点：</w:t>
      </w:r>
      <w:r>
        <w:rPr>
          <w:rFonts w:hint="eastAsia" w:ascii="仿宋" w:hAnsi="仿宋" w:eastAsia="仿宋" w:cs="仿宋"/>
          <w:color w:val="auto"/>
          <w:sz w:val="21"/>
          <w:szCs w:val="21"/>
          <w:highlight w:val="none"/>
          <w:u w:val="single"/>
          <w:lang w:eastAsia="zh-CN"/>
        </w:rPr>
        <w:t>南京市玄武区中山门大街297号钟鼎名悦广场5-207室</w:t>
      </w:r>
    </w:p>
    <w:p>
      <w:pPr>
        <w:pStyle w:val="17"/>
        <w:widowControl/>
        <w:spacing w:beforeAutospacing="0" w:afterAutospacing="0" w:line="360" w:lineRule="auto"/>
        <w:ind w:firstLine="48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为积极响应关于保障疫情防控工作的推进和保证如期完成发展既定目标的指示精神，为降低开标场所人员聚集带来的疫情防控风险，为加强疫情防控工作，即日起来参加开评标的人员，参加开评标时除身份证之外，还需持有苏康码、行程码及七天内核酸检测报告。请支持配合。</w:t>
      </w:r>
    </w:p>
    <w:p>
      <w:pPr>
        <w:pStyle w:val="17"/>
        <w:widowControl/>
        <w:spacing w:beforeAutospacing="0" w:afterAutospacing="0" w:line="360" w:lineRule="auto"/>
        <w:ind w:firstLine="48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本项目实施“不见面开标”，投标人不须到开标现场，投标文件须在投标截止时间前邮寄或递交至开标地点，邮寄请务必使用顺丰快递，邮寄材料务必于投标截止时间前送达指定开标地点，请各投标单位自行安排邮寄时间，投标截止时间后，招标人不受理任何投标文件。（友情提醒：疫情防控期间快递耗时较长，请各投标单位予以充分考虑）</w:t>
      </w:r>
    </w:p>
    <w:p>
      <w:pPr>
        <w:pStyle w:val="17"/>
        <w:widowControl/>
        <w:spacing w:beforeAutospacing="0" w:afterAutospacing="0" w:line="360" w:lineRule="auto"/>
        <w:ind w:firstLine="48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邮寄送达地点：江苏省南京市玄武区中山门大街297号钟鼎名悦广场5-207室，江苏伟业项目管理有限公司南京分公司</w:t>
      </w:r>
    </w:p>
    <w:p>
      <w:pPr>
        <w:pStyle w:val="17"/>
        <w:widowControl/>
        <w:spacing w:beforeAutospacing="0" w:afterAutospacing="0" w:line="360" w:lineRule="auto"/>
        <w:ind w:firstLine="48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收件人：邢工 </w:t>
      </w:r>
    </w:p>
    <w:p>
      <w:pPr>
        <w:pStyle w:val="17"/>
        <w:widowControl/>
        <w:spacing w:beforeAutospacing="0" w:afterAutospacing="0" w:line="360" w:lineRule="auto"/>
        <w:ind w:firstLine="482" w:firstLineChars="200"/>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 xml:space="preserve">联系电话：13851592010   </w:t>
      </w:r>
    </w:p>
    <w:p>
      <w:pPr>
        <w:pStyle w:val="17"/>
        <w:widowControl/>
        <w:spacing w:beforeAutospacing="0" w:afterAutospacing="0" w:line="360" w:lineRule="auto"/>
        <w:rPr>
          <w:rFonts w:hint="eastAsia" w:ascii="仿宋" w:hAnsi="仿宋" w:eastAsia="仿宋" w:cs="仿宋"/>
          <w:b/>
          <w:color w:val="auto"/>
          <w:szCs w:val="21"/>
          <w:highlight w:val="none"/>
        </w:rPr>
      </w:pPr>
    </w:p>
    <w:p>
      <w:pPr>
        <w:spacing w:line="360"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五、其他补充事宜 </w:t>
      </w:r>
    </w:p>
    <w:p>
      <w:pPr>
        <w:pStyle w:val="17"/>
        <w:widowControl/>
        <w:spacing w:beforeAutospacing="0" w:afterAutospacing="0" w:line="360" w:lineRule="auto"/>
        <w:ind w:left="210" w:leftChars="1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1.本项目招标公告在中国政府采购网、中国招标投标网、南京理工大学校园网、南京理工大学江阴校区网发布。</w:t>
      </w:r>
    </w:p>
    <w:p>
      <w:pPr>
        <w:pStyle w:val="17"/>
        <w:widowControl/>
        <w:spacing w:beforeAutospacing="0" w:afterAutospacing="0" w:line="360" w:lineRule="auto"/>
        <w:ind w:left="210" w:leftChars="1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2.凡对本次招标提出询问，请按照招标文件的规定方式与江苏伟业项目管理有限公司联系。</w:t>
      </w:r>
    </w:p>
    <w:p>
      <w:pPr>
        <w:spacing w:line="360" w:lineRule="auto"/>
        <w:ind w:left="1080"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 xml:space="preserve">　　 </w:t>
      </w:r>
    </w:p>
    <w:p>
      <w:pPr>
        <w:pStyle w:val="17"/>
        <w:widowControl/>
        <w:spacing w:beforeAutospacing="0" w:afterAutospacing="0" w:line="360" w:lineRule="auto"/>
        <w:ind w:left="210" w:leftChars="1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地   址：  南京市玄武区中山门大街297号钟鼎名悦广场5-207室</w:t>
      </w:r>
    </w:p>
    <w:p>
      <w:pPr>
        <w:pStyle w:val="17"/>
        <w:widowControl/>
        <w:spacing w:beforeAutospacing="0" w:afterAutospacing="0" w:line="360" w:lineRule="auto"/>
        <w:ind w:left="210" w:leftChars="1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邮　 编：  </w:t>
      </w:r>
      <w:r>
        <w:rPr>
          <w:rFonts w:ascii="仿宋" w:hAnsi="仿宋" w:eastAsia="仿宋" w:cs="仿宋"/>
          <w:color w:val="auto"/>
          <w:sz w:val="21"/>
          <w:szCs w:val="21"/>
          <w:highlight w:val="none"/>
        </w:rPr>
        <w:t>210000</w:t>
      </w:r>
    </w:p>
    <w:p>
      <w:pPr>
        <w:pStyle w:val="17"/>
        <w:widowControl/>
        <w:spacing w:beforeAutospacing="0" w:afterAutospacing="0" w:line="360" w:lineRule="auto"/>
        <w:ind w:left="210" w:leftChars="1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电 　话：</w:t>
      </w:r>
      <w:r>
        <w:rPr>
          <w:rFonts w:ascii="仿宋" w:hAnsi="仿宋" w:eastAsia="仿宋" w:cs="仿宋"/>
          <w:color w:val="auto"/>
          <w:sz w:val="21"/>
          <w:szCs w:val="21"/>
          <w:highlight w:val="none"/>
        </w:rPr>
        <w:t xml:space="preserve"> 18951080942</w:t>
      </w:r>
    </w:p>
    <w:p>
      <w:pPr>
        <w:pStyle w:val="17"/>
        <w:widowControl/>
        <w:spacing w:beforeAutospacing="0" w:afterAutospacing="0" w:line="360" w:lineRule="auto"/>
        <w:ind w:left="210" w:leftChars="1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传　 真：　025-</w:t>
      </w:r>
      <w:r>
        <w:rPr>
          <w:rFonts w:ascii="仿宋" w:hAnsi="仿宋" w:eastAsia="仿宋" w:cs="仿宋"/>
          <w:color w:val="auto"/>
          <w:sz w:val="21"/>
          <w:szCs w:val="21"/>
          <w:highlight w:val="none"/>
        </w:rPr>
        <w:t>52428348</w:t>
      </w:r>
    </w:p>
    <w:p>
      <w:pPr>
        <w:pStyle w:val="17"/>
        <w:widowControl/>
        <w:spacing w:beforeAutospacing="0" w:afterAutospacing="0" w:line="360" w:lineRule="auto"/>
        <w:ind w:left="210" w:leftChars="1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电子信箱： </w:t>
      </w:r>
      <w:r>
        <w:rPr>
          <w:rFonts w:ascii="仿宋" w:hAnsi="仿宋" w:eastAsia="仿宋" w:cs="仿宋"/>
          <w:color w:val="auto"/>
          <w:sz w:val="21"/>
          <w:szCs w:val="21"/>
          <w:highlight w:val="none"/>
        </w:rPr>
        <w:t xml:space="preserve"> </w:t>
      </w:r>
    </w:p>
    <w:p>
      <w:pPr>
        <w:pStyle w:val="17"/>
        <w:widowControl/>
        <w:spacing w:beforeAutospacing="0" w:afterAutospacing="0" w:line="360" w:lineRule="auto"/>
        <w:ind w:left="210" w:leftChars="1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联 系 人：  温清  </w:t>
      </w:r>
    </w:p>
    <w:p>
      <w:pPr>
        <w:pStyle w:val="17"/>
        <w:widowControl/>
        <w:spacing w:beforeAutospacing="0" w:afterAutospacing="0" w:line="360" w:lineRule="auto"/>
        <w:ind w:left="210" w:leftChars="1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采 购 人： </w:t>
      </w:r>
      <w:r>
        <w:rPr>
          <w:rFonts w:hint="eastAsia" w:ascii="仿宋" w:hAnsi="仿宋" w:eastAsia="仿宋"/>
          <w:color w:val="auto"/>
          <w:kern w:val="2"/>
          <w:sz w:val="21"/>
          <w:szCs w:val="21"/>
          <w:highlight w:val="none"/>
        </w:rPr>
        <w:t>南京理工大学</w:t>
      </w:r>
      <w:r>
        <w:rPr>
          <w:rFonts w:hint="eastAsia" w:ascii="仿宋" w:hAnsi="仿宋" w:eastAsia="仿宋"/>
          <w:color w:val="auto"/>
          <w:kern w:val="2"/>
          <w:sz w:val="21"/>
          <w:szCs w:val="21"/>
          <w:highlight w:val="none"/>
          <w:lang w:val="en-US" w:eastAsia="zh-CN"/>
        </w:rPr>
        <w:t>江阴校区</w:t>
      </w:r>
      <w:r>
        <w:rPr>
          <w:rFonts w:hint="eastAsia" w:ascii="仿宋" w:hAnsi="仿宋" w:eastAsia="仿宋" w:cs="仿宋"/>
          <w:color w:val="auto"/>
          <w:sz w:val="21"/>
          <w:szCs w:val="21"/>
          <w:highlight w:val="none"/>
        </w:rPr>
        <w:t xml:space="preserve"> </w:t>
      </w:r>
    </w:p>
    <w:p>
      <w:pPr>
        <w:pStyle w:val="17"/>
        <w:widowControl/>
        <w:spacing w:beforeAutospacing="0" w:afterAutospacing="0" w:line="360" w:lineRule="auto"/>
        <w:ind w:left="210" w:leftChars="1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联 系 人： </w:t>
      </w:r>
      <w:r>
        <w:rPr>
          <w:rFonts w:hint="eastAsia" w:ascii="仿宋" w:hAnsi="仿宋" w:eastAsia="仿宋"/>
          <w:color w:val="auto"/>
          <w:kern w:val="2"/>
          <w:sz w:val="21"/>
          <w:szCs w:val="21"/>
          <w:highlight w:val="none"/>
        </w:rPr>
        <w:t>张老师</w:t>
      </w:r>
    </w:p>
    <w:p>
      <w:pPr>
        <w:pStyle w:val="17"/>
        <w:widowControl/>
        <w:spacing w:beforeAutospacing="0" w:afterAutospacing="0" w:line="360" w:lineRule="auto"/>
        <w:ind w:left="210" w:leftChars="1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地    址： </w:t>
      </w:r>
      <w:r>
        <w:rPr>
          <w:rFonts w:hint="eastAsia" w:ascii="仿宋" w:hAnsi="仿宋" w:eastAsia="仿宋"/>
          <w:color w:val="auto"/>
          <w:kern w:val="2"/>
          <w:sz w:val="21"/>
          <w:szCs w:val="21"/>
          <w:highlight w:val="none"/>
        </w:rPr>
        <w:t>江苏省江阴市福星路8号南理工</w:t>
      </w:r>
      <w:r>
        <w:rPr>
          <w:rFonts w:hint="eastAsia" w:ascii="仿宋" w:hAnsi="仿宋" w:eastAsia="仿宋"/>
          <w:color w:val="auto"/>
          <w:kern w:val="2"/>
          <w:sz w:val="21"/>
          <w:szCs w:val="21"/>
          <w:highlight w:val="none"/>
          <w:lang w:val="en-US" w:eastAsia="zh-CN"/>
        </w:rPr>
        <w:t>江阴</w:t>
      </w:r>
      <w:r>
        <w:rPr>
          <w:rFonts w:hint="eastAsia" w:ascii="仿宋" w:hAnsi="仿宋" w:eastAsia="仿宋"/>
          <w:color w:val="auto"/>
          <w:kern w:val="2"/>
          <w:sz w:val="21"/>
          <w:szCs w:val="21"/>
          <w:highlight w:val="none"/>
        </w:rPr>
        <w:t>校区</w:t>
      </w:r>
      <w:r>
        <w:rPr>
          <w:rFonts w:hint="eastAsia" w:ascii="仿宋" w:hAnsi="仿宋" w:eastAsia="仿宋" w:cs="仿宋"/>
          <w:color w:val="auto"/>
          <w:sz w:val="21"/>
          <w:szCs w:val="21"/>
          <w:highlight w:val="none"/>
        </w:rPr>
        <w:t xml:space="preserve"> </w:t>
      </w:r>
    </w:p>
    <w:p>
      <w:pPr>
        <w:pStyle w:val="17"/>
        <w:widowControl/>
        <w:spacing w:beforeAutospacing="0" w:afterAutospacing="0" w:line="360" w:lineRule="auto"/>
        <w:ind w:left="210" w:leftChars="100"/>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联系方式： </w:t>
      </w:r>
      <w:r>
        <w:rPr>
          <w:rFonts w:ascii="仿宋" w:hAnsi="仿宋" w:eastAsia="仿宋" w:cs="仿宋"/>
          <w:color w:val="auto"/>
          <w:sz w:val="21"/>
          <w:szCs w:val="21"/>
          <w:highlight w:val="none"/>
        </w:rPr>
        <w:t xml:space="preserve">0510-82181588 </w:t>
      </w:r>
      <w:r>
        <w:rPr>
          <w:rFonts w:ascii="仿宋" w:hAnsi="仿宋" w:eastAsia="仿宋"/>
          <w:color w:val="auto"/>
          <w:kern w:val="2"/>
          <w:sz w:val="21"/>
          <w:szCs w:val="21"/>
          <w:highlight w:val="none"/>
        </w:rPr>
        <w:t xml:space="preserve"> </w:t>
      </w:r>
    </w:p>
    <w:p>
      <w:pPr>
        <w:spacing w:line="360" w:lineRule="auto"/>
        <w:ind w:left="1080" w:leftChars="257" w:hanging="540"/>
        <w:jc w:val="left"/>
        <w:rPr>
          <w:rFonts w:ascii="仿宋" w:hAnsi="仿宋" w:eastAsia="仿宋" w:cs="仿宋"/>
          <w:color w:val="auto"/>
          <w:szCs w:val="21"/>
          <w:highlight w:val="none"/>
          <w:u w:val="single"/>
        </w:rPr>
      </w:pPr>
    </w:p>
    <w:p>
      <w:pPr>
        <w:pStyle w:val="3"/>
        <w:spacing w:before="0" w:after="0" w:line="240" w:lineRule="atLeast"/>
        <w:rPr>
          <w:rFonts w:ascii="仿宋" w:hAnsi="仿宋" w:eastAsia="仿宋" w:cs="仿宋"/>
          <w:color w:val="auto"/>
          <w:highlight w:val="none"/>
        </w:rPr>
      </w:pPr>
      <w:r>
        <w:rPr>
          <w:rFonts w:hint="eastAsia" w:ascii="仿宋" w:hAnsi="仿宋" w:eastAsia="仿宋" w:cs="仿宋"/>
          <w:b w:val="0"/>
          <w:i/>
          <w:color w:val="auto"/>
          <w:kern w:val="0"/>
          <w:sz w:val="24"/>
          <w:szCs w:val="24"/>
          <w:highlight w:val="none"/>
        </w:rPr>
        <w:br w:type="page"/>
      </w:r>
      <w:bookmarkStart w:id="371" w:name="_Toc216582823"/>
      <w:bookmarkStart w:id="372" w:name="_Toc507399903"/>
      <w:bookmarkStart w:id="373" w:name="_Toc17649"/>
      <w:r>
        <w:rPr>
          <w:rFonts w:hint="eastAsia" w:ascii="仿宋" w:hAnsi="仿宋" w:eastAsia="仿宋" w:cs="仿宋"/>
          <w:color w:val="auto"/>
          <w:highlight w:val="none"/>
        </w:rPr>
        <w:t>第五章</w:t>
      </w:r>
      <w:bookmarkEnd w:id="371"/>
      <w:bookmarkEnd w:id="372"/>
      <w:r>
        <w:rPr>
          <w:rFonts w:hint="eastAsia" w:ascii="仿宋" w:hAnsi="仿宋" w:eastAsia="仿宋" w:cs="仿宋"/>
          <w:color w:val="auto"/>
          <w:highlight w:val="none"/>
        </w:rPr>
        <w:t xml:space="preserve">  投标人须知前附表</w:t>
      </w:r>
      <w:bookmarkEnd w:id="373"/>
    </w:p>
    <w:bookmarkEnd w:id="370"/>
    <w:p>
      <w:pPr>
        <w:spacing w:before="120" w:beforeLines="50" w:after="120" w:afterLines="50"/>
        <w:ind w:firstLine="360" w:firstLineChars="150"/>
        <w:rPr>
          <w:rFonts w:ascii="仿宋" w:hAnsi="仿宋" w:eastAsia="仿宋" w:cs="仿宋"/>
          <w:color w:val="auto"/>
          <w:szCs w:val="21"/>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Cs w:val="21"/>
          <w:highlight w:val="none"/>
        </w:rPr>
        <w:t>本表是关于要采购货物的具体资料，是对投标人须知的具体补充和修改，如有矛盾，应以本前附表为准。</w:t>
      </w:r>
    </w:p>
    <w:tbl>
      <w:tblPr>
        <w:tblStyle w:val="20"/>
        <w:tblW w:w="910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68"/>
        <w:gridCol w:w="76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75" w:hRule="atLeast"/>
          <w:jc w:val="center"/>
        </w:trPr>
        <w:tc>
          <w:tcPr>
            <w:tcW w:w="1468" w:type="dxa"/>
            <w:vAlign w:val="center"/>
          </w:tcPr>
          <w:p>
            <w:pPr>
              <w:spacing w:line="276"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条款号</w:t>
            </w:r>
          </w:p>
        </w:tc>
        <w:tc>
          <w:tcPr>
            <w:tcW w:w="7632" w:type="dxa"/>
            <w:vAlign w:val="center"/>
          </w:tcPr>
          <w:p>
            <w:pPr>
              <w:spacing w:line="276"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内      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jc w:val="center"/>
        </w:trPr>
        <w:tc>
          <w:tcPr>
            <w:tcW w:w="1468" w:type="dxa"/>
            <w:vAlign w:val="center"/>
          </w:tcPr>
          <w:p>
            <w:pPr>
              <w:spacing w:line="27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7632" w:type="dxa"/>
            <w:vAlign w:val="center"/>
          </w:tcPr>
          <w:p>
            <w:pPr>
              <w:spacing w:line="276" w:lineRule="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rPr>
              <w:t>采购人：南京理工大学</w:t>
            </w:r>
            <w:r>
              <w:rPr>
                <w:rFonts w:hint="eastAsia" w:ascii="仿宋" w:hAnsi="仿宋" w:eastAsia="仿宋" w:cs="仿宋"/>
                <w:color w:val="auto"/>
                <w:szCs w:val="21"/>
                <w:highlight w:val="none"/>
                <w:lang w:val="en-US" w:eastAsia="zh-CN"/>
              </w:rPr>
              <w:t>江阴校区</w:t>
            </w:r>
          </w:p>
          <w:p>
            <w:pPr>
              <w:spacing w:line="276"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  址：</w:t>
            </w:r>
            <w:r>
              <w:rPr>
                <w:rFonts w:hint="eastAsia" w:ascii="仿宋" w:hAnsi="仿宋" w:eastAsia="仿宋" w:cs="仿宋"/>
                <w:color w:val="auto"/>
                <w:szCs w:val="21"/>
                <w:highlight w:val="none"/>
                <w:lang w:val="zh-CN"/>
              </w:rPr>
              <w:t>江苏省江阴市福星路8号南理工校区</w:t>
            </w:r>
          </w:p>
          <w:p>
            <w:pPr>
              <w:pStyle w:val="2"/>
              <w:ind w:left="0" w:leftChars="0"/>
              <w:rPr>
                <w:rFonts w:ascii="仿宋" w:hAnsi="仿宋" w:eastAsia="仿宋" w:cs="仿宋"/>
                <w:color w:val="auto"/>
                <w:szCs w:val="21"/>
                <w:highlight w:val="none"/>
              </w:rPr>
            </w:pPr>
            <w:r>
              <w:rPr>
                <w:rFonts w:hint="eastAsia" w:ascii="仿宋" w:hAnsi="仿宋" w:eastAsia="仿宋" w:cs="仿宋"/>
                <w:color w:val="auto"/>
                <w:szCs w:val="21"/>
                <w:highlight w:val="none"/>
              </w:rPr>
              <w:t>联系人：</w:t>
            </w:r>
            <w:r>
              <w:rPr>
                <w:rFonts w:ascii="仿宋" w:hAnsi="仿宋" w:eastAsia="仿宋" w:cs="仿宋"/>
                <w:color w:val="auto"/>
                <w:szCs w:val="21"/>
                <w:highlight w:val="none"/>
              </w:rPr>
              <w:t>张老师</w:t>
            </w:r>
          </w:p>
          <w:p>
            <w:pPr>
              <w:spacing w:line="276" w:lineRule="auto"/>
              <w:rPr>
                <w:rFonts w:ascii="仿宋" w:hAnsi="仿宋" w:eastAsia="仿宋" w:cs="仿宋"/>
                <w:color w:val="auto"/>
                <w:szCs w:val="21"/>
                <w:highlight w:val="none"/>
              </w:rPr>
            </w:pPr>
            <w:r>
              <w:rPr>
                <w:rFonts w:hint="eastAsia" w:ascii="仿宋" w:hAnsi="仿宋" w:eastAsia="仿宋" w:cs="仿宋"/>
                <w:color w:val="auto"/>
                <w:szCs w:val="21"/>
                <w:highlight w:val="none"/>
              </w:rPr>
              <w:t>电  话：</w:t>
            </w:r>
            <w:r>
              <w:rPr>
                <w:rFonts w:ascii="仿宋" w:hAnsi="仿宋" w:eastAsia="仿宋" w:cs="仿宋"/>
                <w:color w:val="auto"/>
                <w:szCs w:val="21"/>
                <w:highlight w:val="none"/>
              </w:rPr>
              <w:t xml:space="preserve"> 0510-82181588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468" w:type="dxa"/>
            <w:vAlign w:val="center"/>
          </w:tcPr>
          <w:p>
            <w:pPr>
              <w:spacing w:line="27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7632" w:type="dxa"/>
            <w:vAlign w:val="center"/>
          </w:tcPr>
          <w:p>
            <w:pPr>
              <w:spacing w:line="276"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采购代理机构：江苏伟业项目管理有限公司 </w:t>
            </w:r>
          </w:p>
          <w:p>
            <w:pPr>
              <w:spacing w:line="276" w:lineRule="auto"/>
              <w:rPr>
                <w:rFonts w:ascii="仿宋" w:hAnsi="仿宋" w:eastAsia="仿宋" w:cs="仿宋"/>
                <w:color w:val="auto"/>
                <w:szCs w:val="21"/>
                <w:highlight w:val="none"/>
              </w:rPr>
            </w:pPr>
            <w:r>
              <w:rPr>
                <w:rFonts w:hint="eastAsia" w:ascii="仿宋" w:hAnsi="仿宋" w:eastAsia="仿宋" w:cs="仿宋"/>
                <w:color w:val="auto"/>
                <w:szCs w:val="21"/>
                <w:highlight w:val="none"/>
              </w:rPr>
              <w:t>地      址：南京市玄武区中山门大街297号钟鼎名悦广场5-207室</w:t>
            </w:r>
          </w:p>
          <w:p>
            <w:pPr>
              <w:spacing w:line="276" w:lineRule="auto"/>
              <w:rPr>
                <w:rFonts w:ascii="仿宋" w:hAnsi="仿宋" w:eastAsia="仿宋" w:cs="仿宋"/>
                <w:color w:val="auto"/>
                <w:szCs w:val="21"/>
                <w:highlight w:val="none"/>
              </w:rPr>
            </w:pPr>
            <w:r>
              <w:rPr>
                <w:rFonts w:hint="eastAsia" w:ascii="仿宋" w:hAnsi="仿宋" w:eastAsia="仿宋" w:cs="仿宋"/>
                <w:color w:val="auto"/>
                <w:szCs w:val="21"/>
                <w:highlight w:val="none"/>
              </w:rPr>
              <w:t>业务联系人：</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 xml:space="preserve"> 温清</w:t>
            </w:r>
          </w:p>
          <w:p>
            <w:pPr>
              <w:spacing w:line="276" w:lineRule="auto"/>
              <w:rPr>
                <w:rFonts w:ascii="仿宋" w:hAnsi="仿宋" w:eastAsia="仿宋" w:cs="仿宋"/>
                <w:color w:val="auto"/>
                <w:szCs w:val="21"/>
                <w:highlight w:val="none"/>
              </w:rPr>
            </w:pPr>
            <w:r>
              <w:rPr>
                <w:rFonts w:hint="eastAsia" w:ascii="仿宋" w:hAnsi="仿宋" w:eastAsia="仿宋" w:cs="仿宋"/>
                <w:color w:val="auto"/>
                <w:szCs w:val="21"/>
                <w:highlight w:val="none"/>
              </w:rPr>
              <w:t>电      话</w:t>
            </w:r>
            <w:r>
              <w:rPr>
                <w:rFonts w:hint="eastAsia" w:ascii="仿宋" w:hAnsi="仿宋" w:eastAsia="仿宋" w:cs="仿宋"/>
                <w:color w:val="auto"/>
                <w:szCs w:val="21"/>
                <w:highlight w:val="none"/>
                <w:lang w:eastAsia="zh-CN"/>
              </w:rPr>
              <w:t>：</w:t>
            </w:r>
            <w:r>
              <w:rPr>
                <w:rFonts w:ascii="仿宋" w:hAnsi="仿宋" w:eastAsia="仿宋" w:cs="仿宋"/>
                <w:color w:val="auto"/>
                <w:szCs w:val="21"/>
                <w:highlight w:val="none"/>
              </w:rPr>
              <w:t xml:space="preserve"> 18951080942</w:t>
            </w:r>
          </w:p>
          <w:p>
            <w:pPr>
              <w:spacing w:line="276" w:lineRule="auto"/>
              <w:rPr>
                <w:rFonts w:ascii="仿宋" w:hAnsi="仿宋" w:eastAsia="仿宋" w:cs="仿宋"/>
                <w:color w:val="auto"/>
                <w:szCs w:val="21"/>
                <w:highlight w:val="none"/>
              </w:rPr>
            </w:pPr>
            <w:r>
              <w:rPr>
                <w:rFonts w:hint="eastAsia" w:ascii="仿宋" w:hAnsi="仿宋" w:eastAsia="仿宋" w:cs="仿宋"/>
                <w:color w:val="auto"/>
                <w:szCs w:val="21"/>
                <w:highlight w:val="none"/>
              </w:rPr>
              <w:t>传      真：</w:t>
            </w:r>
            <w:r>
              <w:rPr>
                <w:rFonts w:ascii="仿宋" w:hAnsi="仿宋" w:eastAsia="仿宋" w:cs="仿宋"/>
                <w:color w:val="auto"/>
                <w:szCs w:val="21"/>
                <w:highlight w:val="none"/>
              </w:rPr>
              <w:t>025-52428348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468" w:type="dxa"/>
            <w:vAlign w:val="center"/>
          </w:tcPr>
          <w:p>
            <w:pPr>
              <w:spacing w:line="27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1.3.4</w:t>
            </w:r>
          </w:p>
        </w:tc>
        <w:tc>
          <w:tcPr>
            <w:tcW w:w="7632" w:type="dxa"/>
            <w:vAlign w:val="center"/>
          </w:tcPr>
          <w:p>
            <w:pPr>
              <w:spacing w:line="276" w:lineRule="auto"/>
              <w:rPr>
                <w:rFonts w:ascii="仿宋" w:hAnsi="仿宋" w:eastAsia="仿宋" w:cs="仿宋"/>
                <w:color w:val="auto"/>
                <w:szCs w:val="21"/>
                <w:highlight w:val="none"/>
              </w:rPr>
            </w:pPr>
            <w:r>
              <w:rPr>
                <w:rFonts w:hint="eastAsia" w:ascii="仿宋" w:hAnsi="仿宋" w:eastAsia="仿宋" w:cs="仿宋"/>
                <w:color w:val="auto"/>
                <w:szCs w:val="21"/>
                <w:highlight w:val="none"/>
              </w:rPr>
              <w:t>合格投标人的其他资格要求：见第四章“投标邀请”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468" w:type="dxa"/>
            <w:vAlign w:val="center"/>
          </w:tcPr>
          <w:p>
            <w:pPr>
              <w:spacing w:line="27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1.4  </w:t>
            </w:r>
          </w:p>
        </w:tc>
        <w:tc>
          <w:tcPr>
            <w:tcW w:w="7632" w:type="dxa"/>
            <w:vAlign w:val="center"/>
          </w:tcPr>
          <w:p>
            <w:pPr>
              <w:spacing w:line="276"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是否允许采购进口产品：否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468" w:type="dxa"/>
            <w:vAlign w:val="center"/>
          </w:tcPr>
          <w:p>
            <w:pPr>
              <w:spacing w:line="27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1.5.1</w:t>
            </w:r>
          </w:p>
        </w:tc>
        <w:tc>
          <w:tcPr>
            <w:tcW w:w="7632" w:type="dxa"/>
            <w:vAlign w:val="center"/>
          </w:tcPr>
          <w:p>
            <w:pPr>
              <w:spacing w:line="276"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是否为专门面向中小企业采购：否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34" w:hRule="atLeast"/>
          <w:jc w:val="center"/>
        </w:trPr>
        <w:tc>
          <w:tcPr>
            <w:tcW w:w="1468" w:type="dxa"/>
            <w:vAlign w:val="center"/>
          </w:tcPr>
          <w:p>
            <w:pPr>
              <w:spacing w:line="27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1.5.2</w:t>
            </w:r>
          </w:p>
        </w:tc>
        <w:tc>
          <w:tcPr>
            <w:tcW w:w="7632" w:type="dxa"/>
            <w:vAlign w:val="center"/>
          </w:tcPr>
          <w:p>
            <w:pPr>
              <w:spacing w:line="240" w:lineRule="atLeast"/>
              <w:rPr>
                <w:rFonts w:ascii="仿宋" w:hAnsi="仿宋" w:eastAsia="仿宋" w:cs="仿宋"/>
                <w:i/>
                <w:color w:val="auto"/>
                <w:szCs w:val="21"/>
                <w:highlight w:val="none"/>
              </w:rPr>
            </w:pPr>
            <w:r>
              <w:rPr>
                <w:rFonts w:hint="eastAsia" w:ascii="仿宋" w:hAnsi="仿宋" w:eastAsia="仿宋" w:cs="仿宋"/>
                <w:color w:val="auto"/>
                <w:szCs w:val="21"/>
                <w:highlight w:val="none"/>
              </w:rPr>
              <w:t>是否为本项目面向中小企业采购预留份额：</w:t>
            </w:r>
            <w:r>
              <w:rPr>
                <w:rFonts w:hint="eastAsia" w:ascii="仿宋" w:hAnsi="仿宋" w:eastAsia="仿宋" w:cs="仿宋"/>
                <w:color w:val="auto"/>
                <w:szCs w:val="21"/>
                <w:highlight w:val="none"/>
                <w:u w:val="single"/>
              </w:rPr>
              <w:t xml:space="preserve">  否  </w:t>
            </w:r>
            <w:r>
              <w:rPr>
                <w:rFonts w:hint="eastAsia" w:ascii="仿宋" w:hAnsi="仿宋" w:eastAsia="仿宋" w:cs="仿宋"/>
                <w:i/>
                <w:color w:val="auto"/>
                <w:szCs w:val="21"/>
                <w:highlight w:val="none"/>
              </w:rPr>
              <w:t>；</w:t>
            </w:r>
          </w:p>
          <w:p>
            <w:pPr>
              <w:spacing w:line="240" w:lineRule="atLeast"/>
              <w:rPr>
                <w:rFonts w:ascii="仿宋" w:hAnsi="仿宋" w:eastAsia="仿宋" w:cs="仿宋"/>
                <w:i/>
                <w:color w:val="auto"/>
                <w:szCs w:val="21"/>
                <w:highlight w:val="none"/>
              </w:rPr>
            </w:pPr>
            <w:r>
              <w:rPr>
                <w:rFonts w:hint="eastAsia" w:ascii="仿宋" w:hAnsi="仿宋" w:eastAsia="仿宋" w:cs="仿宋"/>
                <w:color w:val="auto"/>
                <w:szCs w:val="21"/>
                <w:highlight w:val="none"/>
              </w:rPr>
              <w:t>如为是，未达到下面比例的投标将被认定为</w:t>
            </w:r>
            <w:r>
              <w:rPr>
                <w:rFonts w:hint="eastAsia" w:ascii="仿宋" w:hAnsi="仿宋" w:eastAsia="仿宋" w:cs="仿宋"/>
                <w:b/>
                <w:bCs/>
                <w:color w:val="auto"/>
                <w:szCs w:val="21"/>
                <w:highlight w:val="none"/>
              </w:rPr>
              <w:t>投标无效</w:t>
            </w:r>
            <w:r>
              <w:rPr>
                <w:rFonts w:hint="eastAsia" w:ascii="仿宋" w:hAnsi="仿宋" w:eastAsia="仿宋" w:cs="仿宋"/>
                <w:color w:val="auto"/>
                <w:szCs w:val="21"/>
                <w:highlight w:val="none"/>
              </w:rPr>
              <w:t>。</w:t>
            </w:r>
          </w:p>
          <w:p>
            <w:pPr>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□要求供应商以联合体形式参加采购活动，且联合体中中小企业承担部分达到比例为</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%,其中预留给小微企业的比例不低于</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□要求获得采购合同的供应商将</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%比例分包给一家或者多家中小企业, 其中预留给小微企业的比例不低于</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468" w:type="dxa"/>
            <w:vAlign w:val="center"/>
          </w:tcPr>
          <w:p>
            <w:pPr>
              <w:spacing w:line="27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1.6</w:t>
            </w:r>
          </w:p>
        </w:tc>
        <w:tc>
          <w:tcPr>
            <w:tcW w:w="7632" w:type="dxa"/>
            <w:vAlign w:val="center"/>
          </w:tcPr>
          <w:p>
            <w:pPr>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是否允许联合体投标：</w:t>
            </w:r>
            <w:r>
              <w:rPr>
                <w:rFonts w:hint="eastAsia" w:ascii="仿宋" w:hAnsi="仿宋" w:eastAsia="仿宋" w:cs="仿宋"/>
                <w:color w:val="auto"/>
                <w:szCs w:val="21"/>
                <w:highlight w:val="none"/>
                <w:u w:val="single"/>
              </w:rPr>
              <w:t xml:space="preserve">  否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468" w:type="dxa"/>
            <w:vAlign w:val="center"/>
          </w:tcPr>
          <w:p>
            <w:pPr>
              <w:spacing w:line="27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1.6.8</w:t>
            </w:r>
          </w:p>
        </w:tc>
        <w:tc>
          <w:tcPr>
            <w:tcW w:w="7632" w:type="dxa"/>
            <w:vAlign w:val="center"/>
          </w:tcPr>
          <w:p>
            <w:pPr>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联合体的其他资格要求：/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468" w:type="dxa"/>
            <w:vAlign w:val="center"/>
          </w:tcPr>
          <w:p>
            <w:pPr>
              <w:spacing w:line="27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7632" w:type="dxa"/>
            <w:vAlign w:val="center"/>
          </w:tcPr>
          <w:p>
            <w:pPr>
              <w:spacing w:line="276"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项目预算金额：</w:t>
            </w:r>
            <w:r>
              <w:rPr>
                <w:rFonts w:hint="eastAsia" w:ascii="仿宋" w:hAnsi="仿宋" w:eastAsia="仿宋" w:cs="仿宋"/>
                <w:color w:val="auto"/>
                <w:szCs w:val="21"/>
                <w:highlight w:val="none"/>
                <w:lang w:val="en-US" w:eastAsia="zh-CN"/>
              </w:rPr>
              <w:t>18万元</w:t>
            </w:r>
            <w:r>
              <w:rPr>
                <w:rFonts w:hint="eastAsia" w:ascii="仿宋" w:hAnsi="仿宋" w:eastAsia="仿宋" w:cs="仿宋"/>
                <w:color w:val="auto"/>
                <w:szCs w:val="21"/>
                <w:highlight w:val="none"/>
              </w:rPr>
              <w:t>。本包最高限价：</w:t>
            </w:r>
            <w:r>
              <w:rPr>
                <w:rFonts w:hint="eastAsia" w:ascii="仿宋" w:hAnsi="仿宋" w:eastAsia="仿宋" w:cs="仿宋"/>
                <w:color w:val="auto"/>
                <w:szCs w:val="21"/>
                <w:highlight w:val="none"/>
                <w:lang w:eastAsia="zh-CN"/>
              </w:rPr>
              <w:t>18万元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468" w:type="dxa"/>
            <w:vAlign w:val="center"/>
          </w:tcPr>
          <w:p>
            <w:pPr>
              <w:spacing w:line="27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5.4</w:t>
            </w:r>
          </w:p>
        </w:tc>
        <w:tc>
          <w:tcPr>
            <w:tcW w:w="7632" w:type="dxa"/>
            <w:vAlign w:val="center"/>
          </w:tcPr>
          <w:p>
            <w:pPr>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本项目不统一组织现场踏勘和答疑会。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468" w:type="dxa"/>
            <w:vAlign w:val="center"/>
          </w:tcPr>
          <w:p>
            <w:pPr>
              <w:spacing w:line="27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5.5</w:t>
            </w:r>
          </w:p>
        </w:tc>
        <w:tc>
          <w:tcPr>
            <w:tcW w:w="7632" w:type="dxa"/>
            <w:vAlign w:val="center"/>
          </w:tcPr>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是否需要提供样品：</w:t>
            </w:r>
            <w:r>
              <w:rPr>
                <w:rFonts w:hint="eastAsia" w:ascii="仿宋" w:hAnsi="仿宋" w:eastAsia="仿宋" w:cs="仿宋"/>
                <w:color w:val="auto"/>
                <w:szCs w:val="21"/>
                <w:highlight w:val="none"/>
                <w:u w:val="single"/>
              </w:rPr>
              <w:t xml:space="preserve">  否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4" w:hRule="atLeast"/>
          <w:jc w:val="center"/>
        </w:trPr>
        <w:tc>
          <w:tcPr>
            <w:tcW w:w="1468" w:type="dxa"/>
            <w:vAlign w:val="center"/>
          </w:tcPr>
          <w:p>
            <w:pPr>
              <w:spacing w:line="27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9.1</w:t>
            </w:r>
          </w:p>
        </w:tc>
        <w:tc>
          <w:tcPr>
            <w:tcW w:w="7632" w:type="dxa"/>
            <w:vAlign w:val="center"/>
          </w:tcPr>
          <w:p>
            <w:pPr>
              <w:spacing w:line="276" w:lineRule="auto"/>
              <w:rPr>
                <w:rFonts w:ascii="仿宋" w:hAnsi="仿宋" w:eastAsia="仿宋" w:cs="仿宋"/>
                <w:color w:val="auto"/>
                <w:szCs w:val="21"/>
                <w:highlight w:val="none"/>
              </w:rPr>
            </w:pPr>
            <w:r>
              <w:rPr>
                <w:rFonts w:hint="eastAsia" w:ascii="仿宋" w:hAnsi="仿宋" w:eastAsia="仿宋" w:cs="仿宋"/>
                <w:color w:val="auto"/>
                <w:szCs w:val="21"/>
                <w:highlight w:val="none"/>
              </w:rPr>
              <w:t>（1）提供投标人的最近六个月内任一月份纳税和社保记录；</w:t>
            </w:r>
          </w:p>
          <w:p>
            <w:pPr>
              <w:spacing w:line="276" w:lineRule="auto"/>
              <w:rPr>
                <w:rFonts w:ascii="仿宋" w:hAnsi="仿宋" w:eastAsia="仿宋" w:cs="仿宋"/>
                <w:color w:val="auto"/>
                <w:szCs w:val="21"/>
                <w:highlight w:val="none"/>
              </w:rPr>
            </w:pPr>
            <w:r>
              <w:rPr>
                <w:rFonts w:hint="eastAsia" w:ascii="仿宋" w:hAnsi="仿宋" w:eastAsia="仿宋" w:cs="仿宋"/>
                <w:color w:val="auto"/>
                <w:szCs w:val="21"/>
                <w:highlight w:val="none"/>
              </w:rPr>
              <w:t>（2）在法规范围内不能提供的，应做书面说明和证明文件：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468" w:type="dxa"/>
            <w:vAlign w:val="center"/>
          </w:tcPr>
          <w:p>
            <w:pPr>
              <w:spacing w:line="276" w:lineRule="auto"/>
              <w:ind w:firstLine="210" w:firstLineChars="100"/>
              <w:rPr>
                <w:rFonts w:ascii="仿宋" w:hAnsi="仿宋" w:eastAsia="仿宋" w:cs="仿宋"/>
                <w:color w:val="auto"/>
                <w:szCs w:val="21"/>
                <w:highlight w:val="none"/>
              </w:rPr>
            </w:pPr>
            <w:r>
              <w:rPr>
                <w:rFonts w:hint="eastAsia" w:ascii="仿宋" w:hAnsi="仿宋" w:eastAsia="仿宋" w:cs="仿宋"/>
                <w:color w:val="auto"/>
                <w:szCs w:val="21"/>
                <w:highlight w:val="none"/>
              </w:rPr>
              <w:t>★12</w:t>
            </w:r>
          </w:p>
        </w:tc>
        <w:tc>
          <w:tcPr>
            <w:tcW w:w="7632" w:type="dxa"/>
            <w:vAlign w:val="center"/>
          </w:tcPr>
          <w:p>
            <w:pPr>
              <w:spacing w:line="276"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保证金形式：支票、汇票、保函正本、电汇 、本票等  </w:t>
            </w:r>
          </w:p>
          <w:p>
            <w:pPr>
              <w:spacing w:line="276" w:lineRule="auto"/>
              <w:ind w:firstLine="1265" w:firstLineChars="600"/>
              <w:rPr>
                <w:rFonts w:ascii="仿宋" w:hAnsi="仿宋" w:eastAsia="仿宋" w:cs="仿宋"/>
                <w:b/>
                <w:color w:val="auto"/>
                <w:szCs w:val="21"/>
                <w:highlight w:val="none"/>
              </w:rPr>
            </w:pPr>
            <w:r>
              <w:rPr>
                <w:rFonts w:hint="eastAsia" w:ascii="仿宋" w:hAnsi="仿宋" w:eastAsia="仿宋" w:cs="仿宋"/>
                <w:b/>
                <w:color w:val="auto"/>
                <w:szCs w:val="21"/>
                <w:highlight w:val="none"/>
                <w:u w:val="single"/>
              </w:rPr>
              <w:t>注：不接受现金作为投标保证金。</w:t>
            </w:r>
          </w:p>
          <w:p>
            <w:pPr>
              <w:spacing w:line="276" w:lineRule="auto"/>
              <w:rPr>
                <w:rFonts w:ascii="仿宋" w:hAnsi="仿宋" w:eastAsia="仿宋" w:cs="仿宋"/>
                <w:color w:val="auto"/>
                <w:szCs w:val="21"/>
                <w:highlight w:val="none"/>
              </w:rPr>
            </w:pPr>
            <w:r>
              <w:rPr>
                <w:rFonts w:hint="eastAsia" w:ascii="仿宋" w:hAnsi="仿宋" w:eastAsia="仿宋" w:cs="仿宋"/>
                <w:color w:val="auto"/>
                <w:szCs w:val="21"/>
                <w:highlight w:val="none"/>
              </w:rPr>
              <w:t>保证金数额：人民币叁仟元整</w:t>
            </w:r>
          </w:p>
          <w:p>
            <w:pPr>
              <w:spacing w:line="276"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保证金收款人：江苏伟业项目管理有限公司南京分公司</w:t>
            </w:r>
          </w:p>
          <w:p>
            <w:pPr>
              <w:spacing w:line="276"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开户行：南京银行股份有限公司城东支行</w:t>
            </w:r>
          </w:p>
          <w:p>
            <w:pPr>
              <w:spacing w:line="276" w:lineRule="auto"/>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账 号：015001</w:t>
            </w:r>
            <w:r>
              <w:rPr>
                <w:rFonts w:hint="eastAsia" w:ascii="仿宋" w:hAnsi="仿宋" w:eastAsia="仿宋" w:cs="仿宋"/>
                <w:b/>
                <w:bCs/>
                <w:color w:val="auto"/>
                <w:szCs w:val="21"/>
                <w:highlight w:val="none"/>
                <w:lang w:eastAsia="zh-CN"/>
              </w:rPr>
              <w:t>202</w:t>
            </w:r>
            <w:r>
              <w:rPr>
                <w:rFonts w:hint="eastAsia" w:ascii="仿宋" w:hAnsi="仿宋" w:eastAsia="仿宋" w:cs="仿宋"/>
                <w:b/>
                <w:bCs/>
                <w:color w:val="auto"/>
                <w:szCs w:val="21"/>
                <w:highlight w:val="none"/>
                <w:lang w:val="en-US" w:eastAsia="zh-CN"/>
              </w:rPr>
              <w:t>1</w:t>
            </w:r>
            <w:r>
              <w:rPr>
                <w:rFonts w:hint="eastAsia" w:ascii="仿宋" w:hAnsi="仿宋" w:eastAsia="仿宋" w:cs="仿宋"/>
                <w:b/>
                <w:bCs/>
                <w:color w:val="auto"/>
                <w:szCs w:val="21"/>
                <w:highlight w:val="none"/>
              </w:rPr>
              <w:t>0023712</w:t>
            </w:r>
          </w:p>
          <w:p>
            <w:pPr>
              <w:spacing w:line="276" w:lineRule="auto"/>
              <w:rPr>
                <w:rFonts w:ascii="仿宋" w:hAnsi="仿宋" w:eastAsia="仿宋" w:cs="仿宋"/>
                <w:color w:val="auto"/>
                <w:szCs w:val="21"/>
                <w:highlight w:val="none"/>
              </w:rPr>
            </w:pPr>
            <w:r>
              <w:rPr>
                <w:rFonts w:hint="eastAsia" w:ascii="仿宋" w:hAnsi="仿宋" w:eastAsia="仿宋" w:cs="仿宋"/>
                <w:b/>
                <w:bCs/>
                <w:color w:val="auto"/>
                <w:szCs w:val="21"/>
                <w:highlight w:val="none"/>
              </w:rPr>
              <w:t>注意事项：1. 投标保证金应当从投标人的基本账户转出。2.未中标的投标人评标结束后退还投标保证金；中标人签定合同后，其投标保证金退还。3.投标人须将保证金递交证明和基本账户开户许可证复印件随投标文件一同递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468" w:type="dxa"/>
            <w:vAlign w:val="center"/>
          </w:tcPr>
          <w:p>
            <w:pPr>
              <w:spacing w:line="276" w:lineRule="auto"/>
              <w:ind w:firstLine="210" w:firstLineChars="100"/>
              <w:rPr>
                <w:rFonts w:ascii="仿宋" w:hAnsi="仿宋" w:eastAsia="仿宋" w:cs="仿宋"/>
                <w:color w:val="auto"/>
                <w:szCs w:val="21"/>
                <w:highlight w:val="none"/>
              </w:rPr>
            </w:pPr>
            <w:r>
              <w:rPr>
                <w:rFonts w:hint="eastAsia" w:ascii="仿宋" w:hAnsi="仿宋" w:eastAsia="仿宋" w:cs="仿宋"/>
                <w:color w:val="auto"/>
                <w:szCs w:val="21"/>
                <w:highlight w:val="none"/>
              </w:rPr>
              <w:t>★13.1</w:t>
            </w:r>
          </w:p>
        </w:tc>
        <w:tc>
          <w:tcPr>
            <w:tcW w:w="7632" w:type="dxa"/>
            <w:vAlign w:val="center"/>
          </w:tcPr>
          <w:p>
            <w:pPr>
              <w:spacing w:line="276" w:lineRule="auto"/>
              <w:rPr>
                <w:rFonts w:ascii="仿宋" w:hAnsi="仿宋" w:eastAsia="仿宋" w:cs="仿宋"/>
                <w:color w:val="auto"/>
                <w:szCs w:val="21"/>
                <w:highlight w:val="none"/>
                <w:u w:val="single"/>
              </w:rPr>
            </w:pPr>
            <w:r>
              <w:rPr>
                <w:rFonts w:hint="eastAsia" w:ascii="仿宋" w:hAnsi="仿宋" w:eastAsia="仿宋" w:cs="仿宋"/>
                <w:color w:val="auto"/>
                <w:szCs w:val="21"/>
                <w:highlight w:val="none"/>
              </w:rPr>
              <w:t>投标有效期：</w:t>
            </w:r>
            <w:r>
              <w:rPr>
                <w:rFonts w:hint="eastAsia" w:ascii="仿宋" w:hAnsi="仿宋" w:eastAsia="仿宋" w:cs="仿宋"/>
                <w:color w:val="auto"/>
                <w:szCs w:val="21"/>
                <w:highlight w:val="none"/>
                <w:u w:val="single"/>
              </w:rPr>
              <w:t xml:space="preserve"> 90 </w:t>
            </w:r>
            <w:r>
              <w:rPr>
                <w:rFonts w:hint="eastAsia" w:ascii="仿宋" w:hAnsi="仿宋" w:eastAsia="仿宋" w:cs="仿宋"/>
                <w:color w:val="auto"/>
                <w:szCs w:val="21"/>
                <w:highlight w:val="none"/>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0" w:hRule="atLeast"/>
          <w:jc w:val="center"/>
        </w:trPr>
        <w:tc>
          <w:tcPr>
            <w:tcW w:w="1468" w:type="dxa"/>
            <w:vAlign w:val="center"/>
          </w:tcPr>
          <w:p>
            <w:pPr>
              <w:spacing w:line="27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14.1</w:t>
            </w:r>
          </w:p>
        </w:tc>
        <w:tc>
          <w:tcPr>
            <w:tcW w:w="7632" w:type="dxa"/>
            <w:vAlign w:val="center"/>
          </w:tcPr>
          <w:p>
            <w:pPr>
              <w:spacing w:line="276" w:lineRule="auto"/>
              <w:rPr>
                <w:rFonts w:ascii="仿宋" w:hAnsi="仿宋" w:eastAsia="仿宋" w:cs="仿宋"/>
                <w:color w:val="auto"/>
                <w:szCs w:val="21"/>
                <w:highlight w:val="none"/>
              </w:rPr>
            </w:pPr>
            <w:r>
              <w:rPr>
                <w:rFonts w:hint="eastAsia" w:ascii="仿宋" w:hAnsi="仿宋" w:eastAsia="仿宋" w:cs="仿宋"/>
                <w:color w:val="auto"/>
                <w:szCs w:val="21"/>
                <w:highlight w:val="none"/>
              </w:rPr>
              <w:t>（1）投标文件递交数量：</w:t>
            </w:r>
          </w:p>
          <w:p>
            <w:pPr>
              <w:spacing w:line="276" w:lineRule="auto"/>
              <w:ind w:firstLine="210" w:firstLineChars="100"/>
              <w:rPr>
                <w:rFonts w:ascii="仿宋" w:hAnsi="仿宋" w:eastAsia="仿宋" w:cs="仿宋"/>
                <w:color w:val="auto"/>
                <w:szCs w:val="21"/>
                <w:highlight w:val="none"/>
              </w:rPr>
            </w:pPr>
            <w:r>
              <w:rPr>
                <w:rFonts w:hint="eastAsia" w:ascii="仿宋" w:hAnsi="仿宋" w:eastAsia="仿宋" w:cs="仿宋"/>
                <w:color w:val="auto"/>
                <w:szCs w:val="21"/>
                <w:highlight w:val="none"/>
              </w:rPr>
              <w:t>① 第一部分投标文件：正本：1份、副本：4份；</w:t>
            </w:r>
          </w:p>
          <w:p>
            <w:pPr>
              <w:spacing w:line="276" w:lineRule="auto"/>
              <w:ind w:firstLine="210" w:firstLineChars="100"/>
              <w:rPr>
                <w:rFonts w:ascii="仿宋" w:hAnsi="仿宋" w:eastAsia="仿宋" w:cs="仿宋"/>
                <w:color w:val="auto"/>
                <w:szCs w:val="21"/>
                <w:highlight w:val="none"/>
              </w:rPr>
            </w:pPr>
            <w:r>
              <w:rPr>
                <w:rFonts w:hint="eastAsia" w:ascii="仿宋" w:hAnsi="仿宋" w:eastAsia="仿宋" w:cs="仿宋"/>
                <w:color w:val="auto"/>
                <w:szCs w:val="21"/>
                <w:highlight w:val="none"/>
              </w:rPr>
              <w:t>② 第二部分投标文件：正本：1份、副本：4份；</w:t>
            </w:r>
          </w:p>
          <w:p>
            <w:pPr>
              <w:spacing w:line="276" w:lineRule="auto"/>
              <w:ind w:firstLine="210" w:firstLineChars="100"/>
              <w:rPr>
                <w:rFonts w:ascii="仿宋" w:hAnsi="仿宋" w:eastAsia="仿宋" w:cs="仿宋"/>
                <w:color w:val="auto"/>
                <w:szCs w:val="21"/>
                <w:highlight w:val="none"/>
              </w:rPr>
            </w:pPr>
            <w:r>
              <w:rPr>
                <w:rFonts w:hint="eastAsia" w:ascii="仿宋" w:hAnsi="仿宋" w:eastAsia="仿宋" w:cs="仿宋"/>
                <w:color w:val="auto"/>
                <w:szCs w:val="21"/>
                <w:highlight w:val="none"/>
              </w:rPr>
              <w:t>③ 电子文档（u盘）1 份（密封递交）</w:t>
            </w:r>
          </w:p>
          <w:p>
            <w:pPr>
              <w:spacing w:line="276" w:lineRule="auto"/>
              <w:ind w:firstLine="210" w:firstLineChars="100"/>
              <w:rPr>
                <w:rFonts w:ascii="仿宋" w:hAnsi="仿宋" w:eastAsia="仿宋" w:cs="仿宋"/>
                <w:color w:val="auto"/>
                <w:szCs w:val="21"/>
                <w:highlight w:val="none"/>
              </w:rPr>
            </w:pPr>
            <w:r>
              <w:rPr>
                <w:rFonts w:hint="eastAsia" w:ascii="仿宋" w:hAnsi="仿宋" w:eastAsia="仿宋" w:cs="仿宋"/>
                <w:color w:val="auto"/>
                <w:szCs w:val="21"/>
                <w:highlight w:val="none"/>
              </w:rPr>
              <w:t>④ 除上述文件外，还需额外提供一份单独密封的开标一览表、保证金缴纳证明材料和利息声明函</w:t>
            </w:r>
          </w:p>
          <w:p>
            <w:pPr>
              <w:spacing w:line="276" w:lineRule="auto"/>
              <w:rPr>
                <w:rFonts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b/>
                <w:bCs/>
                <w:color w:val="auto"/>
                <w:szCs w:val="21"/>
                <w:highlight w:val="none"/>
              </w:rPr>
              <w:t>（2）投标文件必须采用</w:t>
            </w:r>
            <w:r>
              <w:rPr>
                <w:rFonts w:hint="eastAsia" w:ascii="仿宋" w:hAnsi="仿宋" w:eastAsia="仿宋" w:cs="仿宋"/>
                <w:b/>
                <w:bCs/>
                <w:color w:val="auto"/>
                <w:kern w:val="0"/>
                <w:szCs w:val="21"/>
                <w:highlight w:val="none"/>
              </w:rPr>
              <w:t>不可拆卸的装订方式。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468" w:type="dxa"/>
            <w:vAlign w:val="center"/>
          </w:tcPr>
          <w:p>
            <w:pPr>
              <w:spacing w:line="27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16.1</w:t>
            </w:r>
          </w:p>
        </w:tc>
        <w:tc>
          <w:tcPr>
            <w:tcW w:w="7632" w:type="dxa"/>
            <w:vAlign w:val="center"/>
          </w:tcPr>
          <w:p>
            <w:pPr>
              <w:spacing w:line="276" w:lineRule="auto"/>
              <w:rPr>
                <w:rFonts w:ascii="仿宋" w:hAnsi="仿宋" w:eastAsia="仿宋" w:cs="仿宋"/>
                <w:color w:val="auto"/>
                <w:szCs w:val="21"/>
                <w:highlight w:val="none"/>
              </w:rPr>
            </w:pPr>
            <w:r>
              <w:rPr>
                <w:rFonts w:hint="eastAsia" w:ascii="仿宋" w:hAnsi="仿宋" w:eastAsia="仿宋" w:cs="仿宋"/>
                <w:color w:val="auto"/>
                <w:szCs w:val="21"/>
                <w:highlight w:val="none"/>
              </w:rPr>
              <w:t>投标截止时间：见第四章投标邀请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15" w:hRule="atLeast"/>
          <w:jc w:val="center"/>
        </w:trPr>
        <w:tc>
          <w:tcPr>
            <w:tcW w:w="1468" w:type="dxa"/>
            <w:vAlign w:val="center"/>
          </w:tcPr>
          <w:p>
            <w:pPr>
              <w:spacing w:line="27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18.1</w:t>
            </w:r>
          </w:p>
        </w:tc>
        <w:tc>
          <w:tcPr>
            <w:tcW w:w="7632" w:type="dxa"/>
            <w:vAlign w:val="center"/>
          </w:tcPr>
          <w:p>
            <w:pPr>
              <w:spacing w:line="276" w:lineRule="auto"/>
              <w:rPr>
                <w:rFonts w:ascii="仿宋" w:hAnsi="仿宋" w:eastAsia="仿宋" w:cs="仿宋"/>
                <w:color w:val="auto"/>
                <w:szCs w:val="21"/>
                <w:highlight w:val="none"/>
              </w:rPr>
            </w:pPr>
            <w:r>
              <w:rPr>
                <w:rFonts w:hint="eastAsia" w:ascii="仿宋" w:hAnsi="仿宋" w:eastAsia="仿宋" w:cs="仿宋"/>
                <w:color w:val="auto"/>
                <w:szCs w:val="21"/>
                <w:highlight w:val="none"/>
              </w:rPr>
              <w:t>开标时间：见第四章投标邀请　</w:t>
            </w:r>
          </w:p>
          <w:p>
            <w:pPr>
              <w:spacing w:line="276" w:lineRule="auto"/>
              <w:rPr>
                <w:rFonts w:ascii="仿宋" w:hAnsi="仿宋" w:eastAsia="仿宋" w:cs="仿宋"/>
                <w:color w:val="auto"/>
                <w:szCs w:val="21"/>
                <w:highlight w:val="none"/>
              </w:rPr>
            </w:pPr>
            <w:r>
              <w:rPr>
                <w:rFonts w:hint="eastAsia" w:ascii="仿宋" w:hAnsi="仿宋" w:eastAsia="仿宋" w:cs="仿宋"/>
                <w:color w:val="auto"/>
                <w:szCs w:val="21"/>
                <w:highlight w:val="none"/>
              </w:rPr>
              <w:t>开标地点：</w:t>
            </w:r>
            <w:r>
              <w:rPr>
                <w:rFonts w:hint="eastAsia" w:ascii="仿宋" w:hAnsi="仿宋" w:eastAsia="仿宋" w:cs="仿宋"/>
                <w:b/>
                <w:bCs/>
                <w:color w:val="auto"/>
                <w:szCs w:val="21"/>
                <w:highlight w:val="none"/>
                <w:u w:val="single"/>
                <w:lang w:val="zh-CN"/>
              </w:rPr>
              <w:t>南京市玄武区中山门大街297号钟鼎名悦广场5-207室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95" w:hRule="atLeast"/>
          <w:jc w:val="center"/>
        </w:trPr>
        <w:tc>
          <w:tcPr>
            <w:tcW w:w="1468" w:type="dxa"/>
            <w:vAlign w:val="center"/>
          </w:tcPr>
          <w:p>
            <w:pPr>
              <w:spacing w:line="27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19.2</w:t>
            </w:r>
          </w:p>
        </w:tc>
        <w:tc>
          <w:tcPr>
            <w:tcW w:w="7632" w:type="dxa"/>
            <w:vAlign w:val="center"/>
          </w:tcPr>
          <w:p>
            <w:pPr>
              <w:spacing w:line="276" w:lineRule="auto"/>
              <w:rPr>
                <w:rFonts w:ascii="仿宋" w:hAnsi="仿宋" w:eastAsia="仿宋" w:cs="仿宋"/>
                <w:color w:val="auto"/>
                <w:szCs w:val="21"/>
                <w:highlight w:val="none"/>
              </w:rPr>
            </w:pPr>
            <w:r>
              <w:rPr>
                <w:rFonts w:hint="eastAsia" w:ascii="仿宋" w:hAnsi="仿宋" w:eastAsia="仿宋" w:cs="仿宋"/>
                <w:color w:val="auto"/>
                <w:szCs w:val="21"/>
                <w:highlight w:val="none"/>
              </w:rPr>
              <w:t>信用查询时间:</w:t>
            </w:r>
            <w:r>
              <w:rPr>
                <w:rFonts w:hint="eastAsia" w:ascii="仿宋" w:hAnsi="仿宋" w:eastAsia="仿宋" w:cs="仿宋"/>
                <w:color w:val="auto"/>
                <w:szCs w:val="21"/>
                <w:highlight w:val="none"/>
                <w:u w:val="single"/>
              </w:rPr>
              <w:t xml:space="preserve"> 递交投标截止时间前一个工作日至递交投标截止时间后一小时期间查询供应商的信用记录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468" w:type="dxa"/>
            <w:vAlign w:val="center"/>
          </w:tcPr>
          <w:p>
            <w:pPr>
              <w:spacing w:line="27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20.4</w:t>
            </w:r>
          </w:p>
        </w:tc>
        <w:tc>
          <w:tcPr>
            <w:tcW w:w="7632" w:type="dxa"/>
            <w:vAlign w:val="center"/>
          </w:tcPr>
          <w:p>
            <w:pPr>
              <w:spacing w:line="276" w:lineRule="auto"/>
              <w:rPr>
                <w:rFonts w:hint="eastAsia" w:ascii="仿宋" w:hAnsi="仿宋" w:eastAsia="仿宋" w:cs="仿宋"/>
                <w:color w:val="auto"/>
                <w:szCs w:val="21"/>
                <w:highlight w:val="none"/>
                <w:lang w:eastAsia="zh-CN"/>
              </w:rPr>
            </w:pPr>
            <w:r>
              <w:rPr>
                <w:rFonts w:hint="eastAsia" w:ascii="仿宋" w:hAnsi="仿宋" w:eastAsia="仿宋" w:cs="仿宋"/>
                <w:b/>
                <w:bCs/>
                <w:color w:val="auto"/>
                <w:szCs w:val="21"/>
                <w:highlight w:val="none"/>
              </w:rPr>
              <w:t>核心产品：</w:t>
            </w:r>
            <w:r>
              <w:rPr>
                <w:rFonts w:hint="eastAsia" w:ascii="仿宋" w:hAnsi="仿宋" w:eastAsia="仿宋" w:cs="仿宋"/>
                <w:b/>
                <w:bCs/>
                <w:color w:val="auto"/>
                <w:szCs w:val="21"/>
                <w:highlight w:val="none"/>
                <w:u w:val="single"/>
                <w:lang w:eastAsia="zh-CN"/>
              </w:rPr>
              <w:t>本项目采购设备主要用于本科生日常实验教学。单套终端包含PC机在内的其他硬软件设备，如显示器、外接设备、电源、网卡、网线、拖线板以及相应的应用软件等。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468" w:type="dxa"/>
            <w:vAlign w:val="center"/>
          </w:tcPr>
          <w:p>
            <w:pPr>
              <w:spacing w:line="27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23.2</w:t>
            </w:r>
          </w:p>
        </w:tc>
        <w:tc>
          <w:tcPr>
            <w:tcW w:w="7632" w:type="dxa"/>
            <w:vAlign w:val="center"/>
          </w:tcPr>
          <w:p>
            <w:pPr>
              <w:spacing w:line="276" w:lineRule="auto"/>
              <w:rPr>
                <w:rFonts w:ascii="仿宋" w:hAnsi="仿宋" w:eastAsia="仿宋" w:cs="仿宋"/>
                <w:color w:val="auto"/>
                <w:szCs w:val="21"/>
                <w:highlight w:val="none"/>
              </w:rPr>
            </w:pPr>
            <w:r>
              <w:rPr>
                <w:rFonts w:hint="eastAsia" w:ascii="仿宋" w:hAnsi="仿宋" w:eastAsia="仿宋" w:cs="仿宋"/>
                <w:color w:val="auto"/>
                <w:szCs w:val="21"/>
                <w:highlight w:val="none"/>
              </w:rPr>
              <w:t>评标方法：□最低评标价法  ☑综合评分法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468" w:type="dxa"/>
            <w:vAlign w:val="center"/>
          </w:tcPr>
          <w:p>
            <w:pPr>
              <w:spacing w:line="27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27.1</w:t>
            </w:r>
          </w:p>
        </w:tc>
        <w:tc>
          <w:tcPr>
            <w:tcW w:w="7632" w:type="dxa"/>
            <w:vAlign w:val="center"/>
          </w:tcPr>
          <w:p>
            <w:pPr>
              <w:spacing w:line="276"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推荐中标候选人的数量：3家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468" w:type="dxa"/>
            <w:vAlign w:val="center"/>
          </w:tcPr>
          <w:p>
            <w:pPr>
              <w:spacing w:line="27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27.2</w:t>
            </w:r>
          </w:p>
        </w:tc>
        <w:tc>
          <w:tcPr>
            <w:tcW w:w="7632" w:type="dxa"/>
            <w:vAlign w:val="center"/>
          </w:tcPr>
          <w:p>
            <w:pPr>
              <w:spacing w:line="276" w:lineRule="auto"/>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招标人是否委托评标委员会直接确定中标人：否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468" w:type="dxa"/>
            <w:vAlign w:val="center"/>
          </w:tcPr>
          <w:p>
            <w:pPr>
              <w:spacing w:line="27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31.1</w:t>
            </w:r>
          </w:p>
        </w:tc>
        <w:tc>
          <w:tcPr>
            <w:tcW w:w="7632" w:type="dxa"/>
            <w:vAlign w:val="center"/>
          </w:tcPr>
          <w:p>
            <w:pPr>
              <w:spacing w:line="240" w:lineRule="atLeast"/>
              <w:rPr>
                <w:rFonts w:ascii="仿宋" w:hAnsi="仿宋" w:eastAsia="仿宋" w:cs="仿宋"/>
                <w:color w:val="auto"/>
                <w:szCs w:val="21"/>
                <w:highlight w:val="none"/>
                <w:u w:val="single"/>
              </w:rPr>
            </w:pPr>
            <w:r>
              <w:rPr>
                <w:rFonts w:hint="eastAsia" w:ascii="仿宋" w:hAnsi="仿宋" w:eastAsia="仿宋" w:cs="仿宋"/>
                <w:color w:val="auto"/>
                <w:szCs w:val="21"/>
                <w:highlight w:val="none"/>
              </w:rPr>
              <w:t>本项目是否要求提交履约保证金：</w:t>
            </w:r>
            <w:r>
              <w:rPr>
                <w:rFonts w:hint="eastAsia" w:ascii="仿宋" w:hAnsi="仿宋" w:eastAsia="仿宋" w:cs="仿宋"/>
                <w:color w:val="auto"/>
                <w:szCs w:val="21"/>
                <w:highlight w:val="none"/>
                <w:u w:val="single"/>
              </w:rPr>
              <w:t xml:space="preserve">否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468" w:type="dxa"/>
            <w:vAlign w:val="center"/>
          </w:tcPr>
          <w:p>
            <w:pPr>
              <w:spacing w:line="27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32.1</w:t>
            </w:r>
          </w:p>
        </w:tc>
        <w:tc>
          <w:tcPr>
            <w:tcW w:w="7632" w:type="dxa"/>
            <w:vAlign w:val="center"/>
          </w:tcPr>
          <w:p>
            <w:pPr>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预付款详见付款方式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jc w:val="center"/>
        </w:trPr>
        <w:tc>
          <w:tcPr>
            <w:tcW w:w="1468" w:type="dxa"/>
            <w:vAlign w:val="center"/>
          </w:tcPr>
          <w:p>
            <w:pPr>
              <w:spacing w:line="27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32.3</w:t>
            </w:r>
          </w:p>
        </w:tc>
        <w:tc>
          <w:tcPr>
            <w:tcW w:w="7632" w:type="dxa"/>
            <w:vAlign w:val="center"/>
          </w:tcPr>
          <w:p>
            <w:pPr>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情形如下：</w:t>
            </w:r>
          </w:p>
          <w:p>
            <w:pPr>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□采购资金在履约完成之后才能到位</w:t>
            </w:r>
          </w:p>
          <w:p>
            <w:pPr>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□政府采购合同履约期限小于20日</w:t>
            </w:r>
          </w:p>
          <w:p>
            <w:pPr>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□政府采购预算资金小于50万元</w:t>
            </w:r>
          </w:p>
          <w:p>
            <w:pPr>
              <w:spacing w:line="240" w:lineRule="atLeast"/>
              <w:rPr>
                <w:rFonts w:ascii="仿宋" w:hAnsi="仿宋" w:eastAsia="仿宋" w:cs="仿宋"/>
                <w:color w:val="auto"/>
                <w:szCs w:val="21"/>
                <w:highlight w:val="none"/>
              </w:rPr>
            </w:pPr>
            <w:r>
              <w:rPr>
                <w:rFonts w:hint="eastAsia" w:ascii="仿宋" w:hAnsi="仿宋" w:eastAsia="仿宋" w:cs="仿宋"/>
                <w:color w:val="auto"/>
                <w:szCs w:val="21"/>
                <w:highlight w:val="none"/>
              </w:rPr>
              <w:t>□其他采购人不能在政府采购合同履约完成前支付采购资金</w:t>
            </w:r>
          </w:p>
          <w:p>
            <w:pPr>
              <w:pStyle w:val="2"/>
              <w:ind w:left="0" w:leftChars="0"/>
              <w:rPr>
                <w:color w:val="auto"/>
                <w:highlight w:val="none"/>
              </w:rPr>
            </w:pPr>
            <w:r>
              <w:rPr>
                <w:rFonts w:hint="eastAsia" w:ascii="仿宋" w:hAnsi="仿宋" w:eastAsia="仿宋" w:cs="仿宋"/>
                <w:color w:val="auto"/>
                <w:szCs w:val="21"/>
                <w:highlight w:val="none"/>
              </w:rPr>
              <w:sym w:font="Wingdings 2" w:char="0052"/>
            </w:r>
            <w:r>
              <w:rPr>
                <w:rFonts w:hint="eastAsia" w:ascii="仿宋" w:hAnsi="仿宋" w:eastAsia="仿宋" w:cs="仿宋"/>
                <w:color w:val="auto"/>
                <w:szCs w:val="21"/>
                <w:highlight w:val="none"/>
              </w:rPr>
              <w:t>本项目不适用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5" w:hRule="atLeast"/>
          <w:jc w:val="center"/>
        </w:trPr>
        <w:tc>
          <w:tcPr>
            <w:tcW w:w="1468" w:type="dxa"/>
            <w:vAlign w:val="center"/>
          </w:tcPr>
          <w:p>
            <w:pPr>
              <w:spacing w:line="27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33</w:t>
            </w:r>
          </w:p>
        </w:tc>
        <w:tc>
          <w:tcPr>
            <w:tcW w:w="7632" w:type="dxa"/>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是否由中标人缴纳招标代理费： 是  </w:t>
            </w:r>
          </w:p>
          <w:p>
            <w:pPr>
              <w:rPr>
                <w:rFonts w:ascii="仿宋" w:hAnsi="仿宋" w:eastAsia="仿宋" w:cs="仿宋"/>
                <w:color w:val="auto"/>
                <w:szCs w:val="21"/>
                <w:highlight w:val="none"/>
              </w:rPr>
            </w:pPr>
            <w:r>
              <w:rPr>
                <w:rFonts w:hint="eastAsia" w:ascii="仿宋" w:hAnsi="仿宋" w:eastAsia="仿宋" w:cs="仿宋"/>
                <w:color w:val="auto"/>
                <w:szCs w:val="21"/>
                <w:highlight w:val="none"/>
              </w:rPr>
              <w:t>招标代理费：</w:t>
            </w:r>
            <w:r>
              <w:rPr>
                <w:rFonts w:hint="eastAsia" w:ascii="仿宋" w:hAnsi="仿宋" w:eastAsia="仿宋" w:cs="仿宋"/>
                <w:color w:val="auto"/>
                <w:szCs w:val="21"/>
                <w:highlight w:val="none"/>
                <w:u w:val="single"/>
              </w:rPr>
              <w:t xml:space="preserve"> </w:t>
            </w:r>
            <w:r>
              <w:rPr>
                <w:rFonts w:ascii="仿宋" w:hAnsi="仿宋" w:eastAsia="仿宋" w:cs="仿宋"/>
                <w:color w:val="auto"/>
                <w:szCs w:val="21"/>
                <w:highlight w:val="none"/>
                <w:u w:val="single"/>
              </w:rPr>
              <w:t>0.275</w:t>
            </w:r>
            <w:r>
              <w:rPr>
                <w:rFonts w:hint="eastAsia" w:ascii="仿宋" w:hAnsi="仿宋" w:eastAsia="仿宋" w:cs="仿宋"/>
                <w:color w:val="auto"/>
                <w:szCs w:val="21"/>
                <w:highlight w:val="none"/>
              </w:rPr>
              <w:t>万元</w:t>
            </w:r>
          </w:p>
          <w:p>
            <w:pPr>
              <w:spacing w:line="360" w:lineRule="auto"/>
              <w:ind w:left="788" w:hanging="787" w:hangingChars="375"/>
              <w:rPr>
                <w:rFonts w:ascii="仿宋" w:hAnsi="仿宋" w:eastAsia="仿宋" w:cs="仿宋"/>
                <w:color w:val="auto"/>
                <w:szCs w:val="21"/>
                <w:highlight w:val="none"/>
                <w:u w:val="single"/>
              </w:rPr>
            </w:pPr>
            <w:r>
              <w:rPr>
                <w:rFonts w:hint="eastAsia" w:ascii="仿宋" w:hAnsi="仿宋" w:eastAsia="仿宋" w:cs="仿宋"/>
                <w:color w:val="auto"/>
                <w:szCs w:val="21"/>
                <w:highlight w:val="none"/>
              </w:rPr>
              <w:t>支付形式：</w:t>
            </w:r>
            <w:r>
              <w:rPr>
                <w:rFonts w:hint="eastAsia" w:ascii="仿宋" w:hAnsi="仿宋" w:eastAsia="仿宋" w:cs="仿宋"/>
                <w:color w:val="auto"/>
                <w:szCs w:val="21"/>
                <w:highlight w:val="none"/>
                <w:u w:val="single"/>
              </w:rPr>
              <w:t xml:space="preserve"> 电汇 </w:t>
            </w:r>
          </w:p>
          <w:p>
            <w:pPr>
              <w:spacing w:line="360" w:lineRule="auto"/>
              <w:ind w:left="788" w:hanging="787" w:hangingChars="375"/>
              <w:rPr>
                <w:rFonts w:ascii="仿宋" w:hAnsi="仿宋" w:eastAsia="仿宋" w:cs="仿宋"/>
                <w:color w:val="auto"/>
                <w:szCs w:val="21"/>
                <w:highlight w:val="none"/>
              </w:rPr>
            </w:pPr>
            <w:r>
              <w:rPr>
                <w:rFonts w:hint="eastAsia" w:ascii="仿宋" w:hAnsi="仿宋" w:eastAsia="仿宋" w:cs="仿宋"/>
                <w:color w:val="auto"/>
                <w:szCs w:val="21"/>
                <w:highlight w:val="none"/>
              </w:rPr>
              <w:t>支付时间：</w:t>
            </w:r>
            <w:r>
              <w:rPr>
                <w:rFonts w:hint="eastAsia" w:ascii="仿宋" w:hAnsi="仿宋" w:eastAsia="仿宋" w:cs="仿宋"/>
                <w:color w:val="auto"/>
                <w:szCs w:val="21"/>
                <w:highlight w:val="none"/>
                <w:u w:val="single"/>
              </w:rPr>
              <w:t xml:space="preserve"> 领取中标通知书前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46" w:hRule="atLeast"/>
          <w:jc w:val="center"/>
        </w:trPr>
        <w:tc>
          <w:tcPr>
            <w:tcW w:w="1468" w:type="dxa"/>
            <w:vAlign w:val="center"/>
          </w:tcPr>
          <w:p>
            <w:pPr>
              <w:spacing w:line="276"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37.2</w:t>
            </w:r>
          </w:p>
        </w:tc>
        <w:tc>
          <w:tcPr>
            <w:tcW w:w="7632" w:type="dxa"/>
            <w:vAlign w:val="center"/>
          </w:tcPr>
          <w:p>
            <w:pPr>
              <w:spacing w:line="360" w:lineRule="auto"/>
              <w:ind w:left="617" w:leftChars="-1" w:hanging="619" w:hangingChars="295"/>
              <w:rPr>
                <w:rFonts w:ascii="仿宋" w:hAnsi="仿宋" w:eastAsia="仿宋" w:cs="仿宋"/>
                <w:color w:val="auto"/>
                <w:szCs w:val="21"/>
                <w:highlight w:val="none"/>
              </w:rPr>
            </w:pPr>
            <w:r>
              <w:rPr>
                <w:rFonts w:hint="eastAsia" w:ascii="仿宋" w:hAnsi="仿宋" w:eastAsia="仿宋" w:cs="仿宋"/>
                <w:color w:val="auto"/>
                <w:szCs w:val="21"/>
                <w:highlight w:val="none"/>
              </w:rPr>
              <w:t>针对同一采购程序环节的质疑次数：</w:t>
            </w:r>
          </w:p>
          <w:p>
            <w:pPr>
              <w:spacing w:line="360" w:lineRule="auto"/>
              <w:ind w:left="617" w:leftChars="-1" w:hanging="619" w:hangingChars="295"/>
              <w:rPr>
                <w:rFonts w:ascii="仿宋" w:hAnsi="仿宋" w:eastAsia="仿宋" w:cs="仿宋"/>
                <w:color w:val="auto"/>
                <w:szCs w:val="21"/>
                <w:highlight w:val="none"/>
              </w:rPr>
            </w:pPr>
            <w:r>
              <w:rPr>
                <w:rFonts w:hint="eastAsia" w:ascii="仿宋" w:hAnsi="仿宋" w:eastAsia="仿宋" w:cs="仿宋"/>
                <w:color w:val="auto"/>
                <w:szCs w:val="21"/>
                <w:highlight w:val="none"/>
              </w:rPr>
              <w:sym w:font="Wingdings 2" w:char="0052"/>
            </w:r>
            <w:r>
              <w:rPr>
                <w:rFonts w:hint="eastAsia" w:ascii="仿宋" w:hAnsi="仿宋" w:eastAsia="仿宋" w:cs="仿宋"/>
                <w:color w:val="auto"/>
                <w:szCs w:val="21"/>
                <w:highlight w:val="none"/>
              </w:rPr>
              <w:t xml:space="preserve">一次性提出     </w:t>
            </w:r>
            <w:r>
              <w:rPr>
                <w:rFonts w:hint="eastAsia" w:ascii="仿宋" w:hAnsi="仿宋" w:eastAsia="仿宋" w:cs="仿宋"/>
                <w:color w:val="auto"/>
                <w:szCs w:val="21"/>
                <w:highlight w:val="none"/>
              </w:rPr>
              <w:sym w:font="Wingdings 2" w:char="00A3"/>
            </w:r>
            <w:r>
              <w:rPr>
                <w:rFonts w:hint="eastAsia" w:ascii="仿宋" w:hAnsi="仿宋" w:eastAsia="仿宋" w:cs="仿宋"/>
                <w:color w:val="auto"/>
                <w:szCs w:val="21"/>
                <w:highlight w:val="none"/>
              </w:rPr>
              <w:t>多次提出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jc w:val="center"/>
        </w:trPr>
        <w:tc>
          <w:tcPr>
            <w:tcW w:w="9100" w:type="dxa"/>
            <w:gridSpan w:val="2"/>
            <w:tcBorders>
              <w:top w:val="single" w:color="auto" w:sz="12" w:space="0"/>
              <w:left w:val="single" w:color="auto" w:sz="12" w:space="0"/>
              <w:bottom w:val="single" w:color="auto" w:sz="12" w:space="0"/>
              <w:right w:val="single" w:color="auto" w:sz="12" w:space="0"/>
            </w:tcBorders>
            <w:vAlign w:val="center"/>
          </w:tcPr>
          <w:p>
            <w:pPr>
              <w:spacing w:line="276" w:lineRule="auto"/>
              <w:ind w:left="1080"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适用于本投标人须知的额外增加的变动：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jc w:val="center"/>
        </w:trPr>
        <w:tc>
          <w:tcPr>
            <w:tcW w:w="1468" w:type="dxa"/>
            <w:vAlign w:val="center"/>
          </w:tcPr>
          <w:p>
            <w:pPr>
              <w:spacing w:line="276" w:lineRule="auto"/>
              <w:ind w:left="328" w:hanging="327" w:hangingChars="156"/>
              <w:rPr>
                <w:rFonts w:ascii="仿宋" w:hAnsi="仿宋" w:eastAsia="仿宋" w:cs="仿宋"/>
                <w:color w:val="auto"/>
                <w:szCs w:val="21"/>
                <w:highlight w:val="none"/>
              </w:rPr>
            </w:pPr>
          </w:p>
        </w:tc>
        <w:tc>
          <w:tcPr>
            <w:tcW w:w="7632" w:type="dxa"/>
            <w:vAlign w:val="center"/>
          </w:tcPr>
          <w:p>
            <w:pPr>
              <w:spacing w:line="276" w:lineRule="auto"/>
              <w:rPr>
                <w:rFonts w:ascii="仿宋" w:hAnsi="仿宋" w:eastAsia="仿宋" w:cs="仿宋"/>
                <w:color w:val="auto"/>
                <w:szCs w:val="21"/>
                <w:highlight w:val="none"/>
              </w:rPr>
            </w:pPr>
          </w:p>
        </w:tc>
      </w:tr>
    </w:tbl>
    <w:p>
      <w:pPr>
        <w:spacing w:line="240" w:lineRule="atLeast"/>
        <w:rPr>
          <w:rFonts w:ascii="仿宋" w:hAnsi="仿宋" w:eastAsia="仿宋" w:cs="仿宋"/>
          <w:color w:val="auto"/>
          <w:sz w:val="24"/>
          <w:highlight w:val="none"/>
        </w:rPr>
        <w:sectPr>
          <w:headerReference r:id="rId6" w:type="default"/>
          <w:footerReference r:id="rId8" w:type="default"/>
          <w:headerReference r:id="rId7" w:type="even"/>
          <w:footerReference r:id="rId9" w:type="even"/>
          <w:pgSz w:w="11906" w:h="16838"/>
          <w:pgMar w:top="1440" w:right="1797" w:bottom="1440" w:left="1797" w:header="851" w:footer="992" w:gutter="0"/>
          <w:cols w:space="720" w:num="1"/>
          <w:docGrid w:linePitch="312" w:charSpace="0"/>
        </w:sectPr>
      </w:pPr>
    </w:p>
    <w:p>
      <w:pPr>
        <w:spacing w:line="360" w:lineRule="auto"/>
        <w:jc w:val="center"/>
        <w:outlineLvl w:val="3"/>
        <w:rPr>
          <w:rFonts w:ascii="仿宋" w:hAnsi="仿宋" w:eastAsia="仿宋" w:cs="仿宋"/>
          <w:b/>
          <w:color w:val="auto"/>
          <w:sz w:val="24"/>
          <w:szCs w:val="21"/>
          <w:highlight w:val="none"/>
        </w:rPr>
      </w:pPr>
      <w:r>
        <w:rPr>
          <w:rFonts w:hint="eastAsia" w:ascii="仿宋" w:hAnsi="仿宋" w:eastAsia="仿宋" w:cs="仿宋"/>
          <w:b/>
          <w:color w:val="auto"/>
          <w:sz w:val="24"/>
          <w:szCs w:val="21"/>
          <w:highlight w:val="none"/>
        </w:rPr>
        <w:t>9-2  保证金利息声明函</w:t>
      </w:r>
    </w:p>
    <w:p>
      <w:pPr>
        <w:spacing w:line="360" w:lineRule="auto"/>
        <w:rPr>
          <w:rFonts w:ascii="仿宋" w:hAnsi="仿宋" w:eastAsia="仿宋" w:cs="仿宋"/>
          <w:color w:val="auto"/>
          <w:szCs w:val="18"/>
          <w:highlight w:val="none"/>
        </w:rPr>
      </w:pPr>
    </w:p>
    <w:p>
      <w:pPr>
        <w:spacing w:line="360" w:lineRule="auto"/>
        <w:rPr>
          <w:rFonts w:ascii="仿宋" w:hAnsi="仿宋" w:eastAsia="仿宋" w:cs="仿宋"/>
          <w:color w:val="auto"/>
          <w:szCs w:val="18"/>
          <w:highlight w:val="none"/>
        </w:rPr>
      </w:pPr>
      <w:r>
        <w:rPr>
          <w:rFonts w:hint="eastAsia" w:ascii="仿宋" w:hAnsi="仿宋" w:eastAsia="仿宋" w:cs="仿宋"/>
          <w:color w:val="auto"/>
          <w:szCs w:val="18"/>
          <w:highlight w:val="none"/>
        </w:rPr>
        <w:t>致：江苏伟业项目管理有限公司：</w:t>
      </w:r>
    </w:p>
    <w:p>
      <w:pPr>
        <w:spacing w:line="360" w:lineRule="auto"/>
        <w:ind w:firstLine="570"/>
        <w:rPr>
          <w:rFonts w:ascii="仿宋" w:hAnsi="仿宋" w:eastAsia="仿宋" w:cs="仿宋"/>
          <w:color w:val="auto"/>
          <w:szCs w:val="18"/>
          <w:highlight w:val="none"/>
        </w:rPr>
      </w:pPr>
      <w:r>
        <w:rPr>
          <w:rFonts w:hint="eastAsia" w:ascii="仿宋" w:hAnsi="仿宋" w:eastAsia="仿宋" w:cs="仿宋"/>
          <w:color w:val="auto"/>
          <w:szCs w:val="18"/>
          <w:highlight w:val="none"/>
        </w:rPr>
        <w:t>我公司参加的</w:t>
      </w:r>
      <w:r>
        <w:rPr>
          <w:rFonts w:hint="eastAsia" w:ascii="仿宋" w:hAnsi="仿宋" w:eastAsia="仿宋" w:cs="仿宋"/>
          <w:color w:val="auto"/>
          <w:szCs w:val="18"/>
          <w:highlight w:val="none"/>
          <w:u w:val="single"/>
        </w:rPr>
        <w:t xml:space="preserve">  </w:t>
      </w:r>
      <w:r>
        <w:rPr>
          <w:rFonts w:hint="eastAsia" w:ascii="仿宋" w:hAnsi="仿宋" w:eastAsia="仿宋" w:cs="仿宋"/>
          <w:i/>
          <w:color w:val="auto"/>
          <w:szCs w:val="18"/>
          <w:highlight w:val="none"/>
          <w:u w:val="single"/>
        </w:rPr>
        <w:t xml:space="preserve">(项目名称) </w:t>
      </w:r>
      <w:r>
        <w:rPr>
          <w:rFonts w:hint="eastAsia" w:ascii="仿宋" w:hAnsi="仿宋" w:eastAsia="仿宋" w:cs="仿宋"/>
          <w:color w:val="auto"/>
          <w:szCs w:val="18"/>
          <w:highlight w:val="none"/>
          <w:u w:val="single"/>
        </w:rPr>
        <w:t xml:space="preserve">       </w:t>
      </w:r>
      <w:r>
        <w:rPr>
          <w:rFonts w:hint="eastAsia" w:ascii="仿宋" w:hAnsi="仿宋" w:eastAsia="仿宋" w:cs="仿宋"/>
          <w:color w:val="auto"/>
          <w:szCs w:val="18"/>
          <w:highlight w:val="none"/>
        </w:rPr>
        <w:t>（项目编号：</w:t>
      </w:r>
      <w:r>
        <w:rPr>
          <w:rFonts w:hint="eastAsia" w:ascii="仿宋" w:hAnsi="仿宋" w:eastAsia="仿宋" w:cs="仿宋"/>
          <w:color w:val="auto"/>
          <w:szCs w:val="18"/>
          <w:highlight w:val="none"/>
          <w:u w:val="single"/>
        </w:rPr>
        <w:t xml:space="preserve">        </w:t>
      </w:r>
      <w:r>
        <w:rPr>
          <w:rFonts w:hint="eastAsia" w:ascii="仿宋" w:hAnsi="仿宋" w:eastAsia="仿宋" w:cs="仿宋"/>
          <w:color w:val="auto"/>
          <w:szCs w:val="18"/>
          <w:highlight w:val="none"/>
        </w:rPr>
        <w:t>），递交的保证金为</w:t>
      </w:r>
      <w:r>
        <w:rPr>
          <w:rFonts w:hint="eastAsia" w:ascii="仿宋" w:hAnsi="仿宋" w:eastAsia="仿宋" w:cs="仿宋"/>
          <w:color w:val="auto"/>
          <w:szCs w:val="18"/>
          <w:highlight w:val="none"/>
          <w:u w:val="single"/>
        </w:rPr>
        <w:t xml:space="preserve">            (</w:t>
      </w:r>
      <w:r>
        <w:rPr>
          <w:rFonts w:hint="eastAsia" w:ascii="仿宋" w:hAnsi="仿宋" w:eastAsia="仿宋" w:cs="仿宋"/>
          <w:i/>
          <w:color w:val="auto"/>
          <w:szCs w:val="18"/>
          <w:highlight w:val="none"/>
          <w:u w:val="single"/>
        </w:rPr>
        <w:t>保证金金额</w:t>
      </w:r>
      <w:r>
        <w:rPr>
          <w:rFonts w:hint="eastAsia" w:ascii="仿宋" w:hAnsi="仿宋" w:eastAsia="仿宋" w:cs="仿宋"/>
          <w:color w:val="auto"/>
          <w:szCs w:val="18"/>
          <w:highlight w:val="none"/>
          <w:u w:val="single"/>
        </w:rPr>
        <w:t xml:space="preserve">)    </w:t>
      </w:r>
      <w:r>
        <w:rPr>
          <w:rFonts w:hint="eastAsia" w:ascii="仿宋" w:hAnsi="仿宋" w:eastAsia="仿宋" w:cs="仿宋"/>
          <w:color w:val="auto"/>
          <w:szCs w:val="18"/>
          <w:highlight w:val="none"/>
        </w:rPr>
        <w:t>元，我公司</w:t>
      </w:r>
      <w:r>
        <w:rPr>
          <w:rFonts w:hint="eastAsia" w:ascii="仿宋" w:hAnsi="仿宋" w:eastAsia="仿宋" w:cs="仿宋"/>
          <w:color w:val="auto"/>
          <w:szCs w:val="18"/>
          <w:highlight w:val="none"/>
          <w:u w:val="single"/>
        </w:rPr>
        <w:t xml:space="preserve"> </w:t>
      </w:r>
      <w:r>
        <w:rPr>
          <w:rFonts w:hint="eastAsia" w:ascii="仿宋" w:hAnsi="仿宋" w:eastAsia="仿宋" w:cs="仿宋"/>
          <w:i/>
          <w:color w:val="auto"/>
          <w:szCs w:val="18"/>
          <w:highlight w:val="none"/>
          <w:u w:val="single"/>
        </w:rPr>
        <w:t>（放弃/不放弃）</w:t>
      </w:r>
      <w:r>
        <w:rPr>
          <w:rFonts w:hint="eastAsia" w:ascii="仿宋" w:hAnsi="仿宋" w:eastAsia="仿宋" w:cs="仿宋"/>
          <w:color w:val="auto"/>
          <w:szCs w:val="18"/>
          <w:highlight w:val="none"/>
          <w:u w:val="single"/>
        </w:rPr>
        <w:t xml:space="preserve"> </w:t>
      </w:r>
      <w:r>
        <w:rPr>
          <w:rFonts w:hint="eastAsia" w:ascii="仿宋" w:hAnsi="仿宋" w:eastAsia="仿宋" w:cs="仿宋"/>
          <w:color w:val="auto"/>
          <w:szCs w:val="18"/>
          <w:highlight w:val="none"/>
        </w:rPr>
        <w:t>该项目保证金的银行同期活期存款利息，</w:t>
      </w:r>
      <w:r>
        <w:rPr>
          <w:rFonts w:hint="eastAsia" w:ascii="仿宋" w:hAnsi="仿宋" w:eastAsia="仿宋" w:cs="仿宋"/>
          <w:b/>
          <w:color w:val="auto"/>
          <w:szCs w:val="18"/>
          <w:highlight w:val="none"/>
        </w:rPr>
        <w:t>请将保证金退还至我公司原汇款帐户</w:t>
      </w:r>
      <w:r>
        <w:rPr>
          <w:rFonts w:hint="eastAsia" w:ascii="仿宋" w:hAnsi="仿宋" w:eastAsia="仿宋" w:cs="仿宋"/>
          <w:color w:val="auto"/>
          <w:szCs w:val="18"/>
          <w:highlight w:val="none"/>
        </w:rPr>
        <w:t>。</w:t>
      </w:r>
    </w:p>
    <w:p>
      <w:pPr>
        <w:spacing w:line="360" w:lineRule="auto"/>
        <w:ind w:firstLine="570"/>
        <w:rPr>
          <w:rFonts w:ascii="仿宋" w:hAnsi="仿宋" w:eastAsia="仿宋" w:cs="仿宋"/>
          <w:color w:val="auto"/>
          <w:szCs w:val="18"/>
          <w:highlight w:val="none"/>
        </w:rPr>
      </w:pPr>
      <w:r>
        <w:rPr>
          <w:rFonts w:hint="eastAsia" w:ascii="仿宋" w:hAnsi="仿宋" w:eastAsia="仿宋" w:cs="仿宋"/>
          <w:color w:val="auto"/>
          <w:szCs w:val="18"/>
          <w:highlight w:val="none"/>
        </w:rPr>
        <w:t>特此说明。</w:t>
      </w:r>
    </w:p>
    <w:p>
      <w:pPr>
        <w:spacing w:line="360" w:lineRule="auto"/>
        <w:ind w:firstLine="570"/>
        <w:rPr>
          <w:rFonts w:ascii="仿宋" w:hAnsi="仿宋" w:eastAsia="仿宋" w:cs="仿宋"/>
          <w:color w:val="auto"/>
          <w:spacing w:val="36"/>
          <w:szCs w:val="18"/>
          <w:highlight w:val="none"/>
        </w:rPr>
      </w:pPr>
      <w:r>
        <w:rPr>
          <w:rFonts w:hint="eastAsia" w:ascii="仿宋" w:hAnsi="仿宋" w:eastAsia="仿宋" w:cs="仿宋"/>
          <w:color w:val="auto"/>
          <w:spacing w:val="36"/>
          <w:szCs w:val="18"/>
          <w:highlight w:val="none"/>
        </w:rPr>
        <w:t>开户行：</w:t>
      </w:r>
    </w:p>
    <w:p>
      <w:pPr>
        <w:spacing w:line="360" w:lineRule="auto"/>
        <w:ind w:firstLine="570"/>
        <w:rPr>
          <w:rFonts w:ascii="仿宋" w:hAnsi="仿宋" w:eastAsia="仿宋" w:cs="仿宋"/>
          <w:color w:val="auto"/>
          <w:spacing w:val="36"/>
          <w:szCs w:val="18"/>
          <w:highlight w:val="none"/>
        </w:rPr>
      </w:pPr>
      <w:r>
        <w:rPr>
          <w:rFonts w:hint="eastAsia" w:ascii="仿宋" w:hAnsi="仿宋" w:eastAsia="仿宋" w:cs="仿宋"/>
          <w:color w:val="auto"/>
          <w:spacing w:val="36"/>
          <w:szCs w:val="18"/>
          <w:highlight w:val="none"/>
        </w:rPr>
        <w:t>账号：</w:t>
      </w:r>
    </w:p>
    <w:p>
      <w:pPr>
        <w:spacing w:line="360" w:lineRule="auto"/>
        <w:ind w:firstLine="570"/>
        <w:rPr>
          <w:rFonts w:ascii="仿宋" w:hAnsi="仿宋" w:eastAsia="仿宋" w:cs="仿宋"/>
          <w:color w:val="auto"/>
          <w:spacing w:val="36"/>
          <w:szCs w:val="18"/>
          <w:highlight w:val="none"/>
        </w:rPr>
      </w:pPr>
      <w:r>
        <w:rPr>
          <w:rFonts w:hint="eastAsia" w:ascii="仿宋" w:hAnsi="仿宋" w:eastAsia="仿宋" w:cs="仿宋"/>
          <w:color w:val="auto"/>
          <w:spacing w:val="36"/>
          <w:szCs w:val="18"/>
          <w:highlight w:val="none"/>
        </w:rPr>
        <w:t xml:space="preserve">银行地址： </w:t>
      </w:r>
    </w:p>
    <w:p>
      <w:pPr>
        <w:spacing w:line="360" w:lineRule="auto"/>
        <w:ind w:firstLine="570"/>
        <w:rPr>
          <w:rFonts w:ascii="仿宋" w:hAnsi="仿宋" w:eastAsia="仿宋" w:cs="仿宋"/>
          <w:color w:val="auto"/>
          <w:spacing w:val="36"/>
          <w:szCs w:val="18"/>
          <w:highlight w:val="none"/>
        </w:rPr>
      </w:pPr>
    </w:p>
    <w:p>
      <w:pPr>
        <w:spacing w:line="360" w:lineRule="auto"/>
        <w:ind w:firstLine="570"/>
        <w:rPr>
          <w:rFonts w:ascii="仿宋" w:hAnsi="仿宋" w:eastAsia="仿宋" w:cs="仿宋"/>
          <w:color w:val="auto"/>
          <w:spacing w:val="36"/>
          <w:szCs w:val="18"/>
          <w:highlight w:val="none"/>
        </w:rPr>
      </w:pPr>
    </w:p>
    <w:p>
      <w:pPr>
        <w:widowControl/>
        <w:tabs>
          <w:tab w:val="left" w:pos="6348"/>
        </w:tabs>
        <w:spacing w:line="360" w:lineRule="auto"/>
        <w:ind w:firstLine="5040" w:firstLineChars="2400"/>
        <w:rPr>
          <w:rFonts w:ascii="仿宋" w:hAnsi="仿宋" w:eastAsia="仿宋" w:cs="仿宋"/>
          <w:bCs/>
          <w:color w:val="auto"/>
          <w:kern w:val="0"/>
          <w:szCs w:val="18"/>
          <w:highlight w:val="none"/>
        </w:rPr>
      </w:pPr>
      <w:r>
        <w:rPr>
          <w:rFonts w:hint="eastAsia" w:ascii="仿宋" w:hAnsi="仿宋" w:eastAsia="仿宋" w:cs="仿宋"/>
          <w:bCs/>
          <w:color w:val="auto"/>
          <w:kern w:val="0"/>
          <w:szCs w:val="18"/>
          <w:highlight w:val="none"/>
        </w:rPr>
        <w:t xml:space="preserve">供应商名称（盖章）： </w:t>
      </w:r>
      <w:r>
        <w:rPr>
          <w:rFonts w:hint="eastAsia" w:ascii="仿宋" w:hAnsi="仿宋" w:eastAsia="仿宋" w:cs="仿宋"/>
          <w:bCs/>
          <w:color w:val="auto"/>
          <w:kern w:val="0"/>
          <w:szCs w:val="18"/>
          <w:highlight w:val="none"/>
        </w:rPr>
        <w:tab/>
      </w:r>
    </w:p>
    <w:p>
      <w:pPr>
        <w:spacing w:line="360" w:lineRule="auto"/>
        <w:ind w:firstLine="420" w:firstLineChars="200"/>
        <w:rPr>
          <w:rFonts w:ascii="仿宋" w:hAnsi="仿宋" w:eastAsia="仿宋" w:cs="仿宋"/>
          <w:color w:val="auto"/>
          <w:szCs w:val="18"/>
          <w:highlight w:val="none"/>
        </w:rPr>
      </w:pPr>
      <w:r>
        <w:rPr>
          <w:rFonts w:hint="eastAsia" w:ascii="仿宋" w:hAnsi="仿宋" w:eastAsia="仿宋" w:cs="仿宋"/>
          <w:color w:val="auto"/>
          <w:szCs w:val="18"/>
          <w:highlight w:val="none"/>
        </w:rPr>
        <w:t>注：</w:t>
      </w:r>
    </w:p>
    <w:p>
      <w:pPr>
        <w:spacing w:line="360" w:lineRule="auto"/>
        <w:ind w:firstLine="420" w:firstLineChars="200"/>
        <w:rPr>
          <w:rFonts w:ascii="仿宋" w:hAnsi="仿宋" w:eastAsia="仿宋" w:cs="仿宋"/>
          <w:color w:val="auto"/>
          <w:szCs w:val="18"/>
          <w:highlight w:val="none"/>
        </w:rPr>
      </w:pPr>
      <w:r>
        <w:rPr>
          <w:rFonts w:hint="eastAsia" w:ascii="仿宋" w:hAnsi="仿宋" w:eastAsia="仿宋" w:cs="仿宋"/>
          <w:color w:val="auto"/>
          <w:szCs w:val="18"/>
          <w:highlight w:val="none"/>
        </w:rPr>
        <w:t>1.请供应商填写上述《保证金利息声明函》并</w:t>
      </w:r>
      <w:r>
        <w:rPr>
          <w:rFonts w:hint="eastAsia" w:ascii="仿宋" w:hAnsi="仿宋" w:eastAsia="仿宋" w:cs="仿宋"/>
          <w:b/>
          <w:color w:val="auto"/>
          <w:szCs w:val="18"/>
          <w:highlight w:val="none"/>
        </w:rPr>
        <w:t>加盖公章</w:t>
      </w:r>
      <w:r>
        <w:rPr>
          <w:rFonts w:hint="eastAsia" w:ascii="仿宋" w:hAnsi="仿宋" w:eastAsia="仿宋" w:cs="仿宋"/>
          <w:color w:val="auto"/>
          <w:szCs w:val="18"/>
          <w:highlight w:val="none"/>
        </w:rPr>
        <w:t>。</w:t>
      </w:r>
    </w:p>
    <w:p>
      <w:pPr>
        <w:spacing w:line="360" w:lineRule="auto"/>
        <w:ind w:firstLine="420" w:firstLineChars="200"/>
        <w:rPr>
          <w:rFonts w:ascii="仿宋" w:hAnsi="仿宋" w:eastAsia="仿宋" w:cs="仿宋"/>
          <w:b/>
          <w:color w:val="auto"/>
          <w:szCs w:val="18"/>
          <w:highlight w:val="none"/>
        </w:rPr>
      </w:pPr>
      <w:r>
        <w:rPr>
          <w:rFonts w:hint="eastAsia" w:ascii="仿宋" w:hAnsi="仿宋" w:eastAsia="仿宋" w:cs="仿宋"/>
          <w:color w:val="auto"/>
          <w:szCs w:val="18"/>
          <w:highlight w:val="none"/>
        </w:rPr>
        <w:t>2.如需要保证金利息，请在项目结束后与代理机构联系并提供</w:t>
      </w:r>
      <w:r>
        <w:rPr>
          <w:rFonts w:hint="eastAsia" w:ascii="仿宋" w:hAnsi="仿宋" w:eastAsia="仿宋" w:cs="仿宋"/>
          <w:b/>
          <w:color w:val="auto"/>
          <w:szCs w:val="18"/>
          <w:highlight w:val="none"/>
        </w:rPr>
        <w:t>加盖财务章</w:t>
      </w:r>
      <w:r>
        <w:rPr>
          <w:rFonts w:hint="eastAsia" w:ascii="仿宋" w:hAnsi="仿宋" w:eastAsia="仿宋" w:cs="仿宋"/>
          <w:color w:val="auto"/>
          <w:szCs w:val="18"/>
          <w:highlight w:val="none"/>
        </w:rPr>
        <w:t>的保证金利息</w:t>
      </w:r>
      <w:r>
        <w:rPr>
          <w:rFonts w:hint="eastAsia" w:ascii="仿宋" w:hAnsi="仿宋" w:eastAsia="仿宋" w:cs="仿宋"/>
          <w:b/>
          <w:color w:val="auto"/>
          <w:szCs w:val="18"/>
          <w:highlight w:val="none"/>
        </w:rPr>
        <w:t>收据原件</w:t>
      </w:r>
    </w:p>
    <w:p>
      <w:pPr>
        <w:spacing w:line="360" w:lineRule="auto"/>
        <w:ind w:firstLine="422" w:firstLineChars="200"/>
        <w:rPr>
          <w:rFonts w:ascii="仿宋" w:hAnsi="仿宋" w:eastAsia="仿宋" w:cs="仿宋"/>
          <w:b/>
          <w:color w:val="auto"/>
          <w:szCs w:val="18"/>
          <w:highlight w:val="none"/>
        </w:rPr>
      </w:pPr>
      <w:r>
        <w:rPr>
          <w:rFonts w:hint="eastAsia" w:ascii="仿宋" w:hAnsi="仿宋" w:eastAsia="仿宋" w:cs="仿宋"/>
          <w:b/>
          <w:color w:val="auto"/>
          <w:szCs w:val="18"/>
          <w:highlight w:val="none"/>
        </w:rPr>
        <w:t>3.供应商需将本声明函需和投标保证金凭证另行封装一份递交。</w:t>
      </w:r>
    </w:p>
    <w:p>
      <w:pPr>
        <w:wordWrap w:val="0"/>
        <w:spacing w:line="360" w:lineRule="auto"/>
        <w:rPr>
          <w:rFonts w:ascii="仿宋" w:hAnsi="仿宋" w:eastAsia="仿宋" w:cs="仿宋"/>
          <w:color w:val="auto"/>
          <w:szCs w:val="21"/>
          <w:highlight w:val="none"/>
        </w:rPr>
      </w:pPr>
    </w:p>
    <w:p>
      <w:pPr>
        <w:spacing w:line="360" w:lineRule="auto"/>
        <w:ind w:firstLine="420" w:firstLineChars="200"/>
        <w:rPr>
          <w:rFonts w:ascii="仿宋" w:hAnsi="仿宋" w:eastAsia="仿宋" w:cs="仿宋"/>
          <w:color w:val="auto"/>
          <w:szCs w:val="21"/>
          <w:highlight w:val="none"/>
        </w:rPr>
      </w:pPr>
    </w:p>
    <w:p>
      <w:pPr>
        <w:pStyle w:val="5"/>
        <w:spacing w:line="360" w:lineRule="auto"/>
        <w:ind w:firstLine="480" w:firstLineChars="200"/>
        <w:rPr>
          <w:rFonts w:ascii="仿宋" w:hAnsi="仿宋" w:eastAsia="仿宋" w:cs="仿宋"/>
          <w:color w:val="auto"/>
          <w:highlight w:val="none"/>
        </w:rPr>
      </w:pPr>
    </w:p>
    <w:p>
      <w:pPr>
        <w:pStyle w:val="5"/>
        <w:spacing w:line="360" w:lineRule="auto"/>
        <w:jc w:val="center"/>
        <w:rPr>
          <w:rFonts w:ascii="仿宋" w:hAnsi="仿宋" w:eastAsia="仿宋" w:cs="仿宋"/>
          <w:color w:val="auto"/>
          <w:highlight w:val="none"/>
        </w:rPr>
      </w:pPr>
    </w:p>
    <w:p>
      <w:pPr>
        <w:pStyle w:val="5"/>
        <w:rPr>
          <w:rFonts w:ascii="仿宋" w:hAnsi="仿宋" w:eastAsia="仿宋" w:cs="仿宋"/>
          <w:color w:val="auto"/>
          <w:highlight w:val="none"/>
        </w:rPr>
      </w:pPr>
      <w:r>
        <w:rPr>
          <w:rFonts w:hint="eastAsia" w:ascii="仿宋" w:hAnsi="仿宋" w:eastAsia="仿宋" w:cs="仿宋"/>
          <w:color w:val="auto"/>
          <w:highlight w:val="none"/>
        </w:rPr>
        <w:br w:type="page"/>
      </w:r>
    </w:p>
    <w:p>
      <w:pPr>
        <w:spacing w:line="240" w:lineRule="atLeast"/>
        <w:ind w:left="1080" w:leftChars="257" w:hanging="540"/>
        <w:jc w:val="center"/>
        <w:rPr>
          <w:rFonts w:ascii="仿宋" w:hAnsi="仿宋" w:eastAsia="仿宋" w:cs="仿宋"/>
          <w:b/>
          <w:color w:val="auto"/>
          <w:kern w:val="0"/>
          <w:sz w:val="24"/>
          <w:szCs w:val="20"/>
          <w:highlight w:val="none"/>
        </w:rPr>
      </w:pPr>
    </w:p>
    <w:p>
      <w:pPr>
        <w:pStyle w:val="6"/>
        <w:spacing w:before="0" w:line="240" w:lineRule="atLeast"/>
        <w:jc w:val="center"/>
        <w:rPr>
          <w:rFonts w:ascii="仿宋" w:hAnsi="仿宋" w:eastAsia="仿宋" w:cs="仿宋"/>
          <w:color w:val="auto"/>
          <w:highlight w:val="none"/>
          <w:u w:val="none"/>
        </w:rPr>
      </w:pPr>
      <w:bookmarkStart w:id="374" w:name="_Toc60830337"/>
      <w:r>
        <w:rPr>
          <w:rFonts w:hint="eastAsia" w:ascii="仿宋" w:hAnsi="仿宋" w:eastAsia="仿宋" w:cs="仿宋"/>
          <w:color w:val="auto"/>
          <w:highlight w:val="none"/>
          <w:u w:val="none"/>
        </w:rPr>
        <w:t>10</w:t>
      </w:r>
      <w:bookmarkStart w:id="375" w:name="_Toc2582330"/>
      <w:bookmarkStart w:id="376" w:name="_Toc532473516"/>
      <w:r>
        <w:rPr>
          <w:rFonts w:hint="eastAsia" w:ascii="仿宋" w:hAnsi="仿宋" w:eastAsia="仿宋" w:cs="仿宋"/>
          <w:color w:val="auto"/>
          <w:highlight w:val="none"/>
          <w:u w:val="none"/>
        </w:rPr>
        <w:t xml:space="preserve">  评审所需要的其他商务文件</w:t>
      </w:r>
      <w:bookmarkEnd w:id="374"/>
      <w:bookmarkEnd w:id="375"/>
      <w:bookmarkEnd w:id="376"/>
    </w:p>
    <w:p>
      <w:pPr>
        <w:pStyle w:val="5"/>
        <w:rPr>
          <w:rFonts w:ascii="仿宋" w:hAnsi="仿宋" w:eastAsia="仿宋" w:cs="仿宋"/>
          <w:color w:val="auto"/>
          <w:highlight w:val="none"/>
        </w:rPr>
      </w:pPr>
    </w:p>
    <w:p>
      <w:pPr>
        <w:pStyle w:val="5"/>
        <w:rPr>
          <w:rFonts w:ascii="仿宋" w:hAnsi="仿宋" w:eastAsia="仿宋" w:cs="仿宋"/>
          <w:color w:val="auto"/>
          <w:highlight w:val="none"/>
        </w:rPr>
      </w:pPr>
    </w:p>
    <w:p>
      <w:pPr>
        <w:pStyle w:val="5"/>
        <w:rPr>
          <w:rFonts w:ascii="仿宋" w:hAnsi="仿宋" w:eastAsia="仿宋" w:cs="仿宋"/>
          <w:color w:val="auto"/>
          <w:highlight w:val="none"/>
        </w:rPr>
      </w:pPr>
    </w:p>
    <w:p>
      <w:pPr>
        <w:pStyle w:val="5"/>
        <w:rPr>
          <w:rFonts w:ascii="仿宋" w:hAnsi="仿宋" w:eastAsia="仿宋" w:cs="仿宋"/>
          <w:color w:val="auto"/>
          <w:highlight w:val="none"/>
        </w:rPr>
      </w:pPr>
    </w:p>
    <w:p>
      <w:pPr>
        <w:pStyle w:val="5"/>
        <w:rPr>
          <w:rFonts w:ascii="仿宋" w:hAnsi="仿宋" w:eastAsia="仿宋" w:cs="仿宋"/>
          <w:color w:val="auto"/>
          <w:highlight w:val="none"/>
        </w:rPr>
      </w:pPr>
    </w:p>
    <w:p>
      <w:pPr>
        <w:pStyle w:val="5"/>
        <w:rPr>
          <w:rFonts w:ascii="仿宋" w:hAnsi="仿宋" w:eastAsia="仿宋" w:cs="仿宋"/>
          <w:color w:val="auto"/>
          <w:highlight w:val="none"/>
        </w:rPr>
      </w:pPr>
    </w:p>
    <w:p>
      <w:pPr>
        <w:pStyle w:val="5"/>
        <w:rPr>
          <w:rFonts w:ascii="仿宋" w:hAnsi="仿宋" w:eastAsia="仿宋" w:cs="仿宋"/>
          <w:color w:val="auto"/>
          <w:highlight w:val="none"/>
        </w:rPr>
      </w:pPr>
    </w:p>
    <w:p>
      <w:pPr>
        <w:pStyle w:val="5"/>
        <w:rPr>
          <w:rFonts w:ascii="仿宋" w:hAnsi="仿宋" w:eastAsia="仿宋" w:cs="仿宋"/>
          <w:color w:val="auto"/>
          <w:highlight w:val="none"/>
        </w:rPr>
      </w:pPr>
    </w:p>
    <w:p>
      <w:pPr>
        <w:pStyle w:val="5"/>
        <w:rPr>
          <w:rFonts w:ascii="仿宋" w:hAnsi="仿宋" w:eastAsia="仿宋" w:cs="仿宋"/>
          <w:color w:val="auto"/>
          <w:highlight w:val="none"/>
        </w:rPr>
      </w:pPr>
    </w:p>
    <w:p>
      <w:pPr>
        <w:pStyle w:val="5"/>
        <w:rPr>
          <w:rFonts w:ascii="仿宋" w:hAnsi="仿宋" w:eastAsia="仿宋" w:cs="仿宋"/>
          <w:color w:val="auto"/>
          <w:highlight w:val="none"/>
        </w:rPr>
      </w:pPr>
    </w:p>
    <w:p>
      <w:pPr>
        <w:pStyle w:val="5"/>
        <w:rPr>
          <w:rFonts w:ascii="仿宋" w:hAnsi="仿宋" w:eastAsia="仿宋" w:cs="仿宋"/>
          <w:color w:val="auto"/>
          <w:highlight w:val="none"/>
        </w:rPr>
      </w:pPr>
    </w:p>
    <w:p>
      <w:pPr>
        <w:pStyle w:val="6"/>
        <w:spacing w:before="0" w:line="240" w:lineRule="atLeast"/>
        <w:jc w:val="center"/>
        <w:rPr>
          <w:rFonts w:ascii="仿宋" w:hAnsi="仿宋" w:eastAsia="仿宋" w:cs="仿宋"/>
          <w:color w:val="auto"/>
          <w:highlight w:val="none"/>
          <w:u w:val="none"/>
        </w:rPr>
      </w:pPr>
      <w:bookmarkStart w:id="377" w:name="_Toc60830338"/>
      <w:r>
        <w:rPr>
          <w:rFonts w:hint="eastAsia" w:ascii="仿宋" w:hAnsi="仿宋" w:eastAsia="仿宋" w:cs="仿宋"/>
          <w:color w:val="auto"/>
          <w:highlight w:val="none"/>
          <w:u w:val="none"/>
        </w:rPr>
        <w:t>11</w:t>
      </w:r>
      <w:bookmarkEnd w:id="377"/>
      <w:r>
        <w:rPr>
          <w:rFonts w:hint="eastAsia" w:ascii="仿宋" w:hAnsi="仿宋" w:eastAsia="仿宋" w:cs="仿宋"/>
          <w:color w:val="auto"/>
          <w:highlight w:val="none"/>
          <w:u w:val="none"/>
        </w:rPr>
        <w:t xml:space="preserve">  投标文件还应包括“第一章投标人须知”第10条的所有技术文件</w:t>
      </w:r>
    </w:p>
    <w:p>
      <w:pPr>
        <w:pStyle w:val="5"/>
        <w:rPr>
          <w:rFonts w:ascii="仿宋" w:hAnsi="仿宋" w:eastAsia="仿宋" w:cs="仿宋"/>
          <w:color w:val="auto"/>
          <w:highlight w:val="none"/>
        </w:rPr>
      </w:pPr>
      <w:bookmarkStart w:id="378" w:name="_Toc60830339"/>
    </w:p>
    <w:p>
      <w:pPr>
        <w:spacing w:line="360" w:lineRule="auto"/>
        <w:rPr>
          <w:rFonts w:ascii="仿宋" w:hAnsi="仿宋" w:eastAsia="仿宋" w:cs="仿宋"/>
          <w:color w:val="auto"/>
          <w:szCs w:val="18"/>
          <w:highlight w:val="none"/>
        </w:rPr>
      </w:pPr>
      <w:r>
        <w:rPr>
          <w:rFonts w:hint="eastAsia" w:ascii="仿宋" w:hAnsi="仿宋" w:eastAsia="仿宋" w:cs="仿宋"/>
          <w:color w:val="auto"/>
          <w:szCs w:val="18"/>
          <w:highlight w:val="none"/>
        </w:rPr>
        <w:t>10. 证明投标标的的合格性和符合招标文件规定的技术文件</w:t>
      </w:r>
    </w:p>
    <w:p>
      <w:pPr>
        <w:spacing w:line="360" w:lineRule="auto"/>
        <w:ind w:left="210" w:leftChars="100"/>
        <w:rPr>
          <w:rFonts w:ascii="仿宋" w:hAnsi="仿宋" w:eastAsia="仿宋" w:cs="仿宋"/>
          <w:color w:val="auto"/>
          <w:szCs w:val="18"/>
          <w:highlight w:val="none"/>
        </w:rPr>
      </w:pPr>
      <w:r>
        <w:rPr>
          <w:rFonts w:hint="eastAsia" w:ascii="仿宋" w:hAnsi="仿宋" w:eastAsia="仿宋" w:cs="仿宋"/>
          <w:color w:val="auto"/>
          <w:szCs w:val="18"/>
          <w:highlight w:val="none"/>
        </w:rPr>
        <w:t>10.1</w:t>
      </w:r>
      <w:r>
        <w:rPr>
          <w:rFonts w:hint="eastAsia" w:ascii="仿宋" w:hAnsi="仿宋" w:eastAsia="仿宋" w:cs="仿宋"/>
          <w:color w:val="auto"/>
          <w:szCs w:val="18"/>
          <w:highlight w:val="none"/>
        </w:rPr>
        <w:tab/>
      </w:r>
      <w:r>
        <w:rPr>
          <w:rFonts w:hint="eastAsia" w:ascii="仿宋" w:hAnsi="仿宋" w:eastAsia="仿宋" w:cs="仿宋"/>
          <w:color w:val="auto"/>
          <w:szCs w:val="18"/>
          <w:highlight w:val="none"/>
        </w:rPr>
        <w:t>投标人应提交证明文件，证明其投标标的符合招标文件规定。该证明文件是投标文件的技术文件。</w:t>
      </w:r>
    </w:p>
    <w:p>
      <w:pPr>
        <w:spacing w:line="360" w:lineRule="auto"/>
        <w:ind w:left="210" w:leftChars="100"/>
        <w:rPr>
          <w:rFonts w:ascii="仿宋" w:hAnsi="仿宋" w:eastAsia="仿宋" w:cs="仿宋"/>
          <w:color w:val="auto"/>
          <w:szCs w:val="18"/>
          <w:highlight w:val="none"/>
        </w:rPr>
      </w:pPr>
      <w:r>
        <w:rPr>
          <w:rFonts w:hint="eastAsia" w:ascii="仿宋" w:hAnsi="仿宋" w:eastAsia="仿宋" w:cs="仿宋"/>
          <w:color w:val="auto"/>
          <w:szCs w:val="18"/>
          <w:highlight w:val="none"/>
        </w:rPr>
        <w:t>10.2</w:t>
      </w:r>
      <w:r>
        <w:rPr>
          <w:rFonts w:hint="eastAsia" w:ascii="仿宋" w:hAnsi="仿宋" w:eastAsia="仿宋" w:cs="仿宋"/>
          <w:color w:val="auto"/>
          <w:szCs w:val="18"/>
          <w:highlight w:val="none"/>
        </w:rPr>
        <w:tab/>
      </w:r>
      <w:r>
        <w:rPr>
          <w:rFonts w:hint="eastAsia" w:ascii="仿宋" w:hAnsi="仿宋" w:eastAsia="仿宋" w:cs="仿宋"/>
          <w:color w:val="auto"/>
          <w:szCs w:val="18"/>
          <w:highlight w:val="none"/>
        </w:rPr>
        <w:t>上款所述的证明文件，可以是文字资料、图纸和数据，包括：</w:t>
      </w:r>
    </w:p>
    <w:p>
      <w:pPr>
        <w:spacing w:line="360" w:lineRule="auto"/>
        <w:ind w:left="420" w:leftChars="200"/>
        <w:rPr>
          <w:rFonts w:ascii="仿宋" w:hAnsi="仿宋" w:eastAsia="仿宋" w:cs="仿宋"/>
          <w:color w:val="auto"/>
          <w:szCs w:val="18"/>
          <w:highlight w:val="none"/>
        </w:rPr>
      </w:pPr>
      <w:r>
        <w:rPr>
          <w:rFonts w:hint="eastAsia" w:ascii="仿宋" w:hAnsi="仿宋" w:eastAsia="仿宋" w:cs="仿宋"/>
          <w:color w:val="auto"/>
          <w:szCs w:val="18"/>
          <w:highlight w:val="none"/>
        </w:rPr>
        <w:t>10.2.1</w:t>
      </w:r>
      <w:r>
        <w:rPr>
          <w:rFonts w:hint="eastAsia" w:ascii="仿宋" w:hAnsi="仿宋" w:eastAsia="仿宋" w:cs="仿宋"/>
          <w:color w:val="auto"/>
          <w:szCs w:val="18"/>
          <w:highlight w:val="none"/>
        </w:rPr>
        <w:tab/>
      </w:r>
      <w:r>
        <w:rPr>
          <w:rFonts w:hint="eastAsia" w:ascii="仿宋" w:hAnsi="仿宋" w:eastAsia="仿宋" w:cs="仿宋"/>
          <w:color w:val="auto"/>
          <w:szCs w:val="18"/>
          <w:highlight w:val="none"/>
        </w:rPr>
        <w:t>货物主要技术指标和性能的详细说明及实现的功能或者目标；</w:t>
      </w:r>
    </w:p>
    <w:p>
      <w:pPr>
        <w:spacing w:line="360" w:lineRule="auto"/>
        <w:ind w:left="420" w:leftChars="200"/>
        <w:rPr>
          <w:rFonts w:ascii="仿宋" w:hAnsi="仿宋" w:eastAsia="仿宋" w:cs="仿宋"/>
          <w:color w:val="auto"/>
          <w:szCs w:val="18"/>
          <w:highlight w:val="none"/>
        </w:rPr>
      </w:pPr>
      <w:r>
        <w:rPr>
          <w:rFonts w:hint="eastAsia" w:ascii="仿宋" w:hAnsi="仿宋" w:eastAsia="仿宋" w:cs="仿宋"/>
          <w:color w:val="auto"/>
          <w:szCs w:val="18"/>
          <w:highlight w:val="none"/>
        </w:rPr>
        <w:t>10.2.2</w:t>
      </w:r>
      <w:r>
        <w:rPr>
          <w:rFonts w:hint="eastAsia" w:ascii="仿宋" w:hAnsi="仿宋" w:eastAsia="仿宋" w:cs="仿宋"/>
          <w:color w:val="auto"/>
          <w:szCs w:val="18"/>
          <w:highlight w:val="none"/>
        </w:rPr>
        <w:tab/>
      </w:r>
      <w:r>
        <w:rPr>
          <w:rFonts w:hint="eastAsia" w:ascii="仿宋" w:hAnsi="仿宋" w:eastAsia="仿宋" w:cs="仿宋"/>
          <w:color w:val="auto"/>
          <w:szCs w:val="18"/>
          <w:highlight w:val="none"/>
        </w:rPr>
        <w:t>货物从买方开始使用至招标文件规定的保质期内正常、连续地使用所必须的备件和专用工具清单，包括备件和专用工具的货源及现行价格；</w:t>
      </w:r>
    </w:p>
    <w:p>
      <w:pPr>
        <w:spacing w:line="360" w:lineRule="auto"/>
        <w:ind w:left="420" w:leftChars="200"/>
        <w:rPr>
          <w:rFonts w:ascii="仿宋" w:hAnsi="仿宋" w:eastAsia="仿宋" w:cs="仿宋"/>
          <w:color w:val="auto"/>
          <w:szCs w:val="18"/>
          <w:highlight w:val="none"/>
        </w:rPr>
      </w:pPr>
      <w:r>
        <w:rPr>
          <w:rFonts w:hint="eastAsia" w:ascii="仿宋" w:hAnsi="仿宋" w:eastAsia="仿宋" w:cs="仿宋"/>
          <w:color w:val="auto"/>
          <w:szCs w:val="18"/>
          <w:highlight w:val="none"/>
        </w:rPr>
        <w:t>10.2.3</w:t>
      </w:r>
      <w:r>
        <w:rPr>
          <w:rFonts w:hint="eastAsia" w:ascii="仿宋" w:hAnsi="仿宋" w:eastAsia="仿宋" w:cs="仿宋"/>
          <w:color w:val="auto"/>
          <w:szCs w:val="18"/>
          <w:highlight w:val="none"/>
        </w:rPr>
        <w:tab/>
      </w:r>
      <w:r>
        <w:rPr>
          <w:rFonts w:hint="eastAsia" w:ascii="仿宋" w:hAnsi="仿宋" w:eastAsia="仿宋" w:cs="仿宋"/>
          <w:color w:val="auto"/>
          <w:szCs w:val="18"/>
          <w:highlight w:val="none"/>
        </w:rPr>
        <w:t>对照招标文件技术规格，逐条说明所提供货物及伴随的工程和服务已对招标文件的技术规格做出了实质性的响应，或申明与技术规格条文的偏差和例外。</w:t>
      </w:r>
    </w:p>
    <w:p>
      <w:pPr>
        <w:spacing w:line="360" w:lineRule="auto"/>
        <w:ind w:left="210" w:leftChars="100"/>
        <w:rPr>
          <w:rFonts w:ascii="仿宋" w:hAnsi="仿宋" w:eastAsia="仿宋" w:cs="仿宋"/>
          <w:color w:val="auto"/>
          <w:szCs w:val="18"/>
          <w:highlight w:val="none"/>
        </w:rPr>
      </w:pPr>
      <w:r>
        <w:rPr>
          <w:rFonts w:hint="eastAsia" w:ascii="仿宋" w:hAnsi="仿宋" w:eastAsia="仿宋" w:cs="仿宋"/>
          <w:color w:val="auto"/>
          <w:szCs w:val="18"/>
          <w:highlight w:val="none"/>
        </w:rPr>
        <w:t>10.3</w:t>
      </w:r>
      <w:r>
        <w:rPr>
          <w:rFonts w:hint="eastAsia" w:ascii="仿宋" w:hAnsi="仿宋" w:eastAsia="仿宋" w:cs="仿宋"/>
          <w:color w:val="auto"/>
          <w:szCs w:val="18"/>
          <w:highlight w:val="none"/>
        </w:rPr>
        <w:tab/>
      </w:r>
      <w:r>
        <w:rPr>
          <w:rFonts w:hint="eastAsia" w:ascii="仿宋" w:hAnsi="仿宋" w:eastAsia="仿宋" w:cs="仿宋"/>
          <w:color w:val="auto"/>
          <w:szCs w:val="18"/>
          <w:highlight w:val="none"/>
        </w:rPr>
        <w:t>投标人应注意采购人在技术规格中指出的工艺、材料和设备的参照品牌型号仅起说明作用，并没有任何倾向性或限制性。采购人、采购代理机构承诺不以上述参照品牌型号作为评标时判定其投标是否有效的标准。</w:t>
      </w:r>
    </w:p>
    <w:p>
      <w:pPr>
        <w:spacing w:line="360" w:lineRule="auto"/>
        <w:ind w:left="210" w:leftChars="100"/>
        <w:rPr>
          <w:rFonts w:ascii="仿宋" w:hAnsi="仿宋" w:eastAsia="仿宋" w:cs="仿宋"/>
          <w:color w:val="auto"/>
          <w:szCs w:val="18"/>
          <w:highlight w:val="none"/>
        </w:rPr>
      </w:pPr>
      <w:r>
        <w:rPr>
          <w:rFonts w:hint="eastAsia" w:ascii="仿宋" w:hAnsi="仿宋" w:eastAsia="仿宋" w:cs="仿宋"/>
          <w:color w:val="auto"/>
          <w:szCs w:val="18"/>
          <w:highlight w:val="none"/>
        </w:rPr>
        <w:t>10.4   本条所指证明文件不包括对招标文件相关部分的文字、图标的复制。</w:t>
      </w:r>
    </w:p>
    <w:p>
      <w:pPr>
        <w:pStyle w:val="5"/>
        <w:rPr>
          <w:rFonts w:ascii="仿宋" w:hAnsi="仿宋" w:eastAsia="仿宋" w:cs="仿宋"/>
          <w:color w:val="auto"/>
          <w:highlight w:val="none"/>
        </w:rPr>
      </w:pPr>
    </w:p>
    <w:p>
      <w:pPr>
        <w:spacing w:line="360" w:lineRule="auto"/>
        <w:ind w:firstLine="422" w:firstLineChars="200"/>
        <w:rPr>
          <w:rFonts w:ascii="仿宋" w:hAnsi="仿宋" w:eastAsia="仿宋" w:cs="仿宋"/>
          <w:b/>
          <w:bCs/>
          <w:color w:val="auto"/>
          <w:szCs w:val="18"/>
          <w:highlight w:val="none"/>
        </w:rPr>
      </w:pPr>
      <w:r>
        <w:rPr>
          <w:rFonts w:hint="eastAsia" w:ascii="仿宋" w:hAnsi="仿宋" w:eastAsia="仿宋" w:cs="仿宋"/>
          <w:b/>
          <w:bCs/>
          <w:color w:val="auto"/>
          <w:szCs w:val="18"/>
          <w:highlight w:val="none"/>
        </w:rPr>
        <w:t>注：如第八章“采购需求”中另有规定的，证明文件需按第八章详细规定进行补充。</w:t>
      </w:r>
    </w:p>
    <w:p>
      <w:pPr>
        <w:pStyle w:val="5"/>
        <w:rPr>
          <w:rFonts w:ascii="仿宋" w:hAnsi="仿宋" w:eastAsia="仿宋" w:cs="仿宋"/>
          <w:color w:val="auto"/>
          <w:highlight w:val="none"/>
        </w:rPr>
      </w:pPr>
    </w:p>
    <w:p>
      <w:pPr>
        <w:pStyle w:val="5"/>
        <w:rPr>
          <w:rFonts w:ascii="仿宋" w:hAnsi="仿宋" w:eastAsia="仿宋" w:cs="仿宋"/>
          <w:color w:val="auto"/>
          <w:highlight w:val="none"/>
        </w:rPr>
      </w:pPr>
    </w:p>
    <w:p>
      <w:pPr>
        <w:pStyle w:val="5"/>
        <w:rPr>
          <w:rFonts w:ascii="仿宋" w:hAnsi="仿宋" w:eastAsia="仿宋" w:cs="仿宋"/>
          <w:color w:val="auto"/>
          <w:highlight w:val="none"/>
        </w:rPr>
      </w:pPr>
    </w:p>
    <w:p>
      <w:pPr>
        <w:pStyle w:val="6"/>
        <w:spacing w:before="0" w:line="240" w:lineRule="atLeast"/>
        <w:jc w:val="center"/>
        <w:rPr>
          <w:rFonts w:ascii="仿宋" w:hAnsi="仿宋" w:eastAsia="仿宋" w:cs="仿宋"/>
          <w:color w:val="auto"/>
          <w:highlight w:val="none"/>
          <w:u w:val="none"/>
        </w:rPr>
      </w:pPr>
      <w:r>
        <w:rPr>
          <w:rFonts w:hint="eastAsia" w:ascii="仿宋" w:hAnsi="仿宋" w:eastAsia="仿宋" w:cs="仿宋"/>
          <w:color w:val="auto"/>
          <w:highlight w:val="none"/>
          <w:u w:val="none"/>
        </w:rPr>
        <w:t>12</w:t>
      </w:r>
      <w:bookmarkStart w:id="379" w:name="_Toc2582332"/>
      <w:bookmarkStart w:id="380" w:name="_Toc532473518"/>
      <w:r>
        <w:rPr>
          <w:rFonts w:hint="eastAsia" w:ascii="仿宋" w:hAnsi="仿宋" w:eastAsia="仿宋" w:cs="仿宋"/>
          <w:color w:val="auto"/>
          <w:highlight w:val="none"/>
          <w:u w:val="none"/>
        </w:rPr>
        <w:t xml:space="preserve">  投标须知前附表要求的其他文件</w:t>
      </w:r>
      <w:bookmarkEnd w:id="378"/>
      <w:bookmarkEnd w:id="379"/>
      <w:bookmarkEnd w:id="380"/>
    </w:p>
    <w:p>
      <w:pPr>
        <w:rPr>
          <w:rFonts w:ascii="仿宋" w:hAnsi="仿宋" w:eastAsia="仿宋" w:cs="仿宋"/>
          <w:color w:val="auto"/>
          <w:highlight w:val="none"/>
        </w:rPr>
      </w:pPr>
    </w:p>
    <w:p>
      <w:pPr>
        <w:pStyle w:val="5"/>
        <w:rPr>
          <w:rFonts w:ascii="仿宋" w:hAnsi="仿宋" w:eastAsia="仿宋" w:cs="仿宋"/>
          <w:color w:val="auto"/>
          <w:highlight w:val="none"/>
        </w:rPr>
      </w:pPr>
    </w:p>
    <w:p>
      <w:pPr>
        <w:rPr>
          <w:rFonts w:ascii="仿宋" w:hAnsi="仿宋" w:eastAsia="仿宋" w:cs="仿宋"/>
          <w:color w:val="auto"/>
          <w:highlight w:val="none"/>
        </w:rPr>
      </w:pPr>
      <w:bookmarkStart w:id="381" w:name="_Toc218935350"/>
      <w:bookmarkStart w:id="382" w:name="_Toc219175634"/>
      <w:bookmarkStart w:id="383" w:name="_Toc216582822"/>
      <w:bookmarkStart w:id="384" w:name="_Toc507399902"/>
      <w:r>
        <w:rPr>
          <w:rFonts w:hint="eastAsia" w:ascii="仿宋" w:hAnsi="仿宋" w:eastAsia="仿宋" w:cs="仿宋"/>
          <w:color w:val="auto"/>
          <w:highlight w:val="none"/>
        </w:rPr>
        <w:br w:type="page"/>
      </w:r>
    </w:p>
    <w:bookmarkEnd w:id="381"/>
    <w:bookmarkEnd w:id="382"/>
    <w:bookmarkEnd w:id="383"/>
    <w:bookmarkEnd w:id="384"/>
    <w:p>
      <w:pPr>
        <w:pStyle w:val="3"/>
        <w:spacing w:before="0" w:line="240" w:lineRule="atLeast"/>
        <w:rPr>
          <w:rFonts w:ascii="仿宋" w:hAnsi="仿宋" w:eastAsia="仿宋" w:cs="仿宋"/>
          <w:color w:val="auto"/>
          <w:szCs w:val="32"/>
          <w:highlight w:val="none"/>
        </w:rPr>
      </w:pPr>
      <w:bookmarkStart w:id="385" w:name="_Toc219175635"/>
      <w:bookmarkStart w:id="386" w:name="_Toc216513787"/>
      <w:bookmarkStart w:id="387" w:name="_Toc507399904"/>
      <w:bookmarkStart w:id="388" w:name="_Toc218935351"/>
      <w:bookmarkStart w:id="389" w:name="_Toc8082"/>
      <w:bookmarkStart w:id="390" w:name="_Toc216582811"/>
      <w:r>
        <w:rPr>
          <w:rFonts w:hint="eastAsia" w:ascii="仿宋" w:hAnsi="仿宋" w:eastAsia="仿宋" w:cs="仿宋"/>
          <w:color w:val="auto"/>
          <w:szCs w:val="32"/>
          <w:highlight w:val="none"/>
        </w:rPr>
        <w:t>第六章  政府采购合同格式</w:t>
      </w:r>
      <w:bookmarkEnd w:id="385"/>
      <w:bookmarkEnd w:id="386"/>
      <w:bookmarkEnd w:id="387"/>
      <w:bookmarkEnd w:id="388"/>
      <w:bookmarkEnd w:id="389"/>
      <w:bookmarkEnd w:id="390"/>
      <w:bookmarkStart w:id="391" w:name="_Hlt487972895"/>
      <w:bookmarkEnd w:id="391"/>
      <w:bookmarkStart w:id="392" w:name="_Toc216513788"/>
      <w:bookmarkStart w:id="393" w:name="_Toc487900382"/>
    </w:p>
    <w:bookmarkEnd w:id="392"/>
    <w:bookmarkEnd w:id="393"/>
    <w:p>
      <w:pPr>
        <w:spacing w:line="360" w:lineRule="auto"/>
        <w:ind w:left="1080" w:leftChars="257" w:hanging="540"/>
        <w:jc w:val="center"/>
        <w:rPr>
          <w:rFonts w:ascii="仿宋" w:hAnsi="仿宋" w:eastAsia="仿宋" w:cs="仿宋"/>
          <w:color w:val="auto"/>
          <w:sz w:val="24"/>
          <w:highlight w:val="none"/>
        </w:rPr>
      </w:pPr>
      <w:bookmarkStart w:id="394" w:name="_Toc19789_WPSOffice_Level2"/>
      <w:bookmarkStart w:id="395" w:name="_Toc23794_WPSOffice_Level2"/>
      <w:bookmarkStart w:id="396" w:name="_Toc1470_WPSOffice_Level2"/>
      <w:bookmarkStart w:id="397" w:name="_Toc5937_WPSOffice_Level2"/>
    </w:p>
    <w:p>
      <w:pPr>
        <w:spacing w:line="360" w:lineRule="auto"/>
        <w:ind w:left="1080" w:leftChars="257" w:hanging="540"/>
        <w:jc w:val="center"/>
        <w:rPr>
          <w:rFonts w:ascii="仿宋" w:hAnsi="仿宋" w:eastAsia="仿宋" w:cs="仿宋"/>
          <w:color w:val="auto"/>
          <w:sz w:val="24"/>
          <w:highlight w:val="none"/>
        </w:rPr>
      </w:pPr>
      <w:r>
        <w:rPr>
          <w:rFonts w:hint="eastAsia" w:ascii="仿宋" w:hAnsi="仿宋" w:eastAsia="仿宋" w:cs="仿宋"/>
          <w:color w:val="auto"/>
          <w:sz w:val="24"/>
          <w:highlight w:val="none"/>
        </w:rPr>
        <w:t>（货物类）</w:t>
      </w:r>
      <w:bookmarkEnd w:id="394"/>
      <w:bookmarkEnd w:id="395"/>
      <w:bookmarkEnd w:id="396"/>
      <w:bookmarkEnd w:id="397"/>
    </w:p>
    <w:p>
      <w:pPr>
        <w:pStyle w:val="5"/>
        <w:spacing w:line="360" w:lineRule="auto"/>
        <w:ind w:left="1080" w:leftChars="257" w:hanging="540"/>
        <w:rPr>
          <w:rFonts w:ascii="仿宋" w:hAnsi="仿宋" w:eastAsia="仿宋" w:cs="仿宋"/>
          <w:color w:val="auto"/>
          <w:kern w:val="2"/>
          <w:szCs w:val="24"/>
          <w:highlight w:val="none"/>
        </w:rPr>
      </w:pPr>
    </w:p>
    <w:p>
      <w:pPr>
        <w:pStyle w:val="5"/>
        <w:spacing w:line="360" w:lineRule="auto"/>
        <w:ind w:left="1080" w:leftChars="257" w:hanging="540"/>
        <w:rPr>
          <w:rFonts w:ascii="仿宋" w:hAnsi="仿宋" w:eastAsia="仿宋" w:cs="仿宋"/>
          <w:color w:val="auto"/>
          <w:kern w:val="2"/>
          <w:szCs w:val="24"/>
          <w:highlight w:val="none"/>
        </w:rPr>
      </w:pPr>
    </w:p>
    <w:p>
      <w:pPr>
        <w:spacing w:line="360" w:lineRule="auto"/>
        <w:ind w:left="1080" w:leftChars="257" w:hanging="540"/>
        <w:rPr>
          <w:rFonts w:ascii="仿宋" w:hAnsi="仿宋" w:eastAsia="仿宋" w:cs="仿宋"/>
          <w:color w:val="auto"/>
          <w:sz w:val="24"/>
          <w:highlight w:val="none"/>
        </w:rPr>
      </w:pPr>
      <w:bookmarkStart w:id="398" w:name="_Toc216513789"/>
      <w:r>
        <w:rPr>
          <w:rFonts w:hint="eastAsia" w:ascii="仿宋" w:hAnsi="仿宋" w:eastAsia="仿宋" w:cs="仿宋"/>
          <w:color w:val="auto"/>
          <w:sz w:val="24"/>
          <w:highlight w:val="none"/>
        </w:rPr>
        <w:t>合同编号：</w:t>
      </w:r>
      <w:bookmarkEnd w:id="398"/>
      <w:r>
        <w:rPr>
          <w:rFonts w:hint="eastAsia" w:ascii="仿宋" w:hAnsi="仿宋" w:eastAsia="仿宋" w:cs="仿宋"/>
          <w:color w:val="auto"/>
          <w:sz w:val="24"/>
          <w:highlight w:val="none"/>
        </w:rPr>
        <w:t xml:space="preserve">        </w:t>
      </w:r>
    </w:p>
    <w:p>
      <w:pPr>
        <w:pStyle w:val="5"/>
        <w:spacing w:line="360" w:lineRule="auto"/>
        <w:ind w:left="1080" w:leftChars="257" w:hanging="540"/>
        <w:rPr>
          <w:rFonts w:ascii="仿宋" w:hAnsi="仿宋" w:eastAsia="仿宋" w:cs="仿宋"/>
          <w:color w:val="auto"/>
          <w:kern w:val="2"/>
          <w:szCs w:val="24"/>
          <w:highlight w:val="none"/>
        </w:rPr>
      </w:pPr>
    </w:p>
    <w:p>
      <w:pPr>
        <w:spacing w:line="360" w:lineRule="auto"/>
        <w:ind w:left="1080" w:leftChars="257" w:hanging="540"/>
        <w:rPr>
          <w:rFonts w:ascii="仿宋" w:hAnsi="仿宋" w:eastAsia="仿宋" w:cs="仿宋"/>
          <w:color w:val="auto"/>
          <w:sz w:val="24"/>
          <w:highlight w:val="none"/>
        </w:rPr>
      </w:pPr>
    </w:p>
    <w:p>
      <w:pPr>
        <w:spacing w:line="360" w:lineRule="auto"/>
        <w:ind w:left="1080"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 xml:space="preserve">项目名称： </w:t>
      </w:r>
    </w:p>
    <w:p>
      <w:pPr>
        <w:spacing w:line="360" w:lineRule="auto"/>
        <w:ind w:left="1080" w:leftChars="257" w:hanging="540"/>
        <w:rPr>
          <w:rFonts w:ascii="仿宋" w:hAnsi="仿宋" w:eastAsia="仿宋" w:cs="仿宋"/>
          <w:color w:val="auto"/>
          <w:sz w:val="24"/>
          <w:highlight w:val="none"/>
        </w:rPr>
      </w:pPr>
    </w:p>
    <w:p>
      <w:pPr>
        <w:spacing w:line="360" w:lineRule="auto"/>
        <w:ind w:left="1080"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 xml:space="preserve">货物名称： </w:t>
      </w:r>
    </w:p>
    <w:p>
      <w:pPr>
        <w:spacing w:line="360" w:lineRule="auto"/>
        <w:ind w:left="1080" w:leftChars="257" w:hanging="540"/>
        <w:rPr>
          <w:rFonts w:ascii="仿宋" w:hAnsi="仿宋" w:eastAsia="仿宋" w:cs="仿宋"/>
          <w:color w:val="auto"/>
          <w:sz w:val="24"/>
          <w:highlight w:val="none"/>
        </w:rPr>
      </w:pPr>
    </w:p>
    <w:p>
      <w:pPr>
        <w:spacing w:line="360" w:lineRule="auto"/>
        <w:ind w:left="1080" w:leftChars="257" w:hanging="540"/>
        <w:rPr>
          <w:rFonts w:ascii="仿宋" w:hAnsi="仿宋" w:eastAsia="仿宋" w:cs="仿宋"/>
          <w:color w:val="auto"/>
          <w:sz w:val="24"/>
          <w:highlight w:val="none"/>
        </w:rPr>
      </w:pPr>
    </w:p>
    <w:p>
      <w:pPr>
        <w:pStyle w:val="18"/>
        <w:spacing w:line="360" w:lineRule="auto"/>
        <w:ind w:left="1080" w:leftChars="257" w:hanging="540"/>
        <w:rPr>
          <w:rFonts w:ascii="仿宋" w:hAnsi="仿宋" w:eastAsia="仿宋" w:cs="仿宋"/>
          <w:color w:val="auto"/>
          <w:sz w:val="24"/>
          <w:szCs w:val="24"/>
          <w:highlight w:val="none"/>
        </w:rPr>
      </w:pPr>
    </w:p>
    <w:p>
      <w:pPr>
        <w:pStyle w:val="18"/>
        <w:spacing w:line="360" w:lineRule="auto"/>
        <w:ind w:left="1080" w:leftChars="257" w:hanging="540"/>
        <w:rPr>
          <w:rFonts w:ascii="仿宋" w:hAnsi="仿宋" w:eastAsia="仿宋" w:cs="仿宋"/>
          <w:color w:val="auto"/>
          <w:sz w:val="24"/>
          <w:szCs w:val="24"/>
          <w:highlight w:val="none"/>
        </w:rPr>
      </w:pPr>
    </w:p>
    <w:p>
      <w:pPr>
        <w:spacing w:line="360" w:lineRule="auto"/>
        <w:ind w:left="1080"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 xml:space="preserve">买　方： </w:t>
      </w:r>
    </w:p>
    <w:p>
      <w:pPr>
        <w:spacing w:line="360" w:lineRule="auto"/>
        <w:ind w:left="1080" w:leftChars="257" w:hanging="540"/>
        <w:rPr>
          <w:rFonts w:ascii="仿宋" w:hAnsi="仿宋" w:eastAsia="仿宋" w:cs="仿宋"/>
          <w:color w:val="auto"/>
          <w:sz w:val="24"/>
          <w:highlight w:val="none"/>
        </w:rPr>
      </w:pPr>
    </w:p>
    <w:p>
      <w:pPr>
        <w:spacing w:line="360" w:lineRule="auto"/>
        <w:ind w:left="1080"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 xml:space="preserve">卖　方： </w:t>
      </w:r>
    </w:p>
    <w:p>
      <w:pPr>
        <w:spacing w:line="360" w:lineRule="auto"/>
        <w:ind w:left="1080" w:leftChars="257" w:hanging="540"/>
        <w:rPr>
          <w:rFonts w:ascii="仿宋" w:hAnsi="仿宋" w:eastAsia="仿宋" w:cs="仿宋"/>
          <w:color w:val="auto"/>
          <w:sz w:val="24"/>
          <w:highlight w:val="none"/>
        </w:rPr>
      </w:pPr>
    </w:p>
    <w:p>
      <w:pPr>
        <w:spacing w:line="360" w:lineRule="auto"/>
        <w:ind w:left="1080" w:leftChars="257" w:hanging="540"/>
        <w:rPr>
          <w:rFonts w:ascii="仿宋" w:hAnsi="仿宋" w:eastAsia="仿宋" w:cs="仿宋"/>
          <w:color w:val="auto"/>
          <w:sz w:val="24"/>
          <w:highlight w:val="none"/>
        </w:rPr>
      </w:pPr>
    </w:p>
    <w:p>
      <w:pPr>
        <w:spacing w:line="360" w:lineRule="auto"/>
        <w:ind w:left="1080"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t xml:space="preserve">签署日期： </w:t>
      </w:r>
    </w:p>
    <w:p>
      <w:pPr>
        <w:spacing w:line="360" w:lineRule="auto"/>
        <w:ind w:left="1080"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pPr>
        <w:jc w:val="center"/>
        <w:rPr>
          <w:rFonts w:ascii="仿宋" w:hAnsi="仿宋" w:eastAsia="仿宋" w:cs="仿宋"/>
          <w:color w:val="auto"/>
          <w:sz w:val="28"/>
          <w:szCs w:val="28"/>
          <w:highlight w:val="none"/>
        </w:rPr>
      </w:pPr>
      <w:bookmarkStart w:id="399" w:name="_Toc1621_WPSOffice_Level2"/>
      <w:bookmarkStart w:id="400" w:name="_Toc116_WPSOffice_Level2"/>
      <w:bookmarkStart w:id="401" w:name="_Toc32627_WPSOffice_Level2"/>
      <w:bookmarkStart w:id="402" w:name="_Toc4729_WPSOffice_Level2"/>
      <w:r>
        <w:rPr>
          <w:rFonts w:hint="eastAsia" w:ascii="仿宋" w:hAnsi="仿宋" w:eastAsia="仿宋" w:cs="仿宋"/>
          <w:color w:val="auto"/>
          <w:sz w:val="28"/>
          <w:szCs w:val="28"/>
          <w:highlight w:val="none"/>
        </w:rPr>
        <w:t>合同书</w:t>
      </w:r>
      <w:bookmarkEnd w:id="399"/>
      <w:bookmarkEnd w:id="400"/>
      <w:bookmarkEnd w:id="401"/>
      <w:bookmarkEnd w:id="402"/>
    </w:p>
    <w:p>
      <w:pPr>
        <w:spacing w:line="288" w:lineRule="auto"/>
        <w:ind w:left="1080" w:leftChars="257" w:hanging="540"/>
        <w:rPr>
          <w:rFonts w:ascii="仿宋" w:hAnsi="仿宋" w:eastAsia="仿宋" w:cs="仿宋"/>
          <w:color w:val="auto"/>
          <w:sz w:val="24"/>
          <w:highlight w:val="none"/>
        </w:rPr>
      </w:pPr>
    </w:p>
    <w:p>
      <w:pPr>
        <w:spacing w:line="360" w:lineRule="auto"/>
        <w:ind w:firstLine="420" w:firstLineChars="200"/>
        <w:rPr>
          <w:rFonts w:ascii="仿宋" w:hAnsi="仿宋" w:eastAsia="仿宋" w:cs="仿宋"/>
          <w:color w:val="auto"/>
          <w:szCs w:val="21"/>
          <w:highlight w:val="none"/>
        </w:rPr>
      </w:pPr>
      <w:bookmarkStart w:id="403" w:name="_Toc17686_WPSOffice_Level3"/>
      <w:bookmarkStart w:id="404" w:name="_Toc21248_WPSOffice_Level3"/>
      <w:bookmarkStart w:id="405" w:name="_Toc1438_WPSOffice_Level3"/>
      <w:bookmarkStart w:id="406" w:name="_Toc23090_WPSOffice_Level3"/>
      <w:r>
        <w:rPr>
          <w:rFonts w:hint="eastAsia" w:ascii="仿宋" w:hAnsi="仿宋" w:eastAsia="仿宋" w:cs="仿宋"/>
          <w:color w:val="auto"/>
          <w:szCs w:val="21"/>
          <w:highlight w:val="none"/>
        </w:rPr>
        <w:t>买方</w:t>
      </w:r>
      <w:r>
        <w:rPr>
          <w:rFonts w:hint="eastAsia" w:ascii="仿宋" w:hAnsi="仿宋" w:eastAsia="仿宋" w:cs="仿宋"/>
          <w:color w:val="auto"/>
          <w:szCs w:val="21"/>
          <w:highlight w:val="none"/>
          <w:u w:val="single"/>
        </w:rPr>
        <w:t xml:space="preserve">   （名称）    </w:t>
      </w:r>
      <w:r>
        <w:rPr>
          <w:rFonts w:hint="eastAsia" w:ascii="仿宋" w:hAnsi="仿宋" w:eastAsia="仿宋" w:cs="仿宋"/>
          <w:color w:val="auto"/>
          <w:szCs w:val="21"/>
          <w:highlight w:val="none"/>
        </w:rPr>
        <w:t>的</w:t>
      </w:r>
      <w:r>
        <w:rPr>
          <w:rFonts w:hint="eastAsia" w:ascii="仿宋" w:hAnsi="仿宋" w:eastAsia="仿宋" w:cs="仿宋"/>
          <w:color w:val="auto"/>
          <w:szCs w:val="21"/>
          <w:highlight w:val="none"/>
          <w:u w:val="single"/>
        </w:rPr>
        <w:t xml:space="preserve">     (项目名称)    </w:t>
      </w:r>
      <w:r>
        <w:rPr>
          <w:rFonts w:hint="eastAsia" w:ascii="仿宋" w:hAnsi="仿宋" w:eastAsia="仿宋" w:cs="仿宋"/>
          <w:color w:val="auto"/>
          <w:szCs w:val="21"/>
          <w:highlight w:val="none"/>
        </w:rPr>
        <w:t>中所需货物经江苏伟业项目管理有限公司以</w:t>
      </w:r>
      <w:r>
        <w:rPr>
          <w:rFonts w:hint="eastAsia" w:ascii="仿宋" w:hAnsi="仿宋" w:eastAsia="仿宋" w:cs="仿宋"/>
          <w:color w:val="auto"/>
          <w:szCs w:val="21"/>
          <w:highlight w:val="none"/>
          <w:u w:val="single"/>
        </w:rPr>
        <w:t xml:space="preserve"> （招标编号）  </w:t>
      </w:r>
      <w:r>
        <w:rPr>
          <w:rFonts w:hint="eastAsia" w:ascii="仿宋" w:hAnsi="仿宋" w:eastAsia="仿宋" w:cs="仿宋"/>
          <w:color w:val="auto"/>
          <w:szCs w:val="21"/>
          <w:highlight w:val="none"/>
        </w:rPr>
        <w:t>招标文件在国内公开招标。经评定，卖方</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为中标供应商。买、卖双方同意按照下面的条款和条件，签署本合同。</w:t>
      </w:r>
    </w:p>
    <w:p>
      <w:pPr>
        <w:spacing w:line="360" w:lineRule="auto"/>
        <w:ind w:left="1080" w:leftChars="257" w:hanging="540"/>
        <w:rPr>
          <w:rFonts w:ascii="仿宋" w:hAnsi="仿宋" w:eastAsia="仿宋" w:cs="仿宋"/>
          <w:b/>
          <w:color w:val="auto"/>
          <w:szCs w:val="21"/>
          <w:highlight w:val="none"/>
        </w:rPr>
      </w:pPr>
      <w:r>
        <w:rPr>
          <w:rFonts w:hint="eastAsia" w:ascii="仿宋" w:hAnsi="仿宋" w:eastAsia="仿宋" w:cs="仿宋"/>
          <w:b/>
          <w:color w:val="auto"/>
          <w:szCs w:val="21"/>
          <w:highlight w:val="none"/>
        </w:rPr>
        <w:t>1、合同文件</w:t>
      </w:r>
      <w:bookmarkEnd w:id="403"/>
      <w:bookmarkEnd w:id="404"/>
      <w:bookmarkEnd w:id="405"/>
      <w:bookmarkEnd w:id="406"/>
    </w:p>
    <w:p>
      <w:pPr>
        <w:spacing w:line="360" w:lineRule="auto"/>
        <w:ind w:firstLine="472" w:firstLineChars="225"/>
        <w:rPr>
          <w:rFonts w:ascii="仿宋" w:hAnsi="仿宋" w:eastAsia="仿宋" w:cs="仿宋"/>
          <w:color w:val="auto"/>
          <w:szCs w:val="21"/>
          <w:highlight w:val="none"/>
        </w:rPr>
      </w:pPr>
      <w:r>
        <w:rPr>
          <w:rFonts w:hint="eastAsia" w:ascii="仿宋" w:hAnsi="仿宋" w:eastAsia="仿宋" w:cs="仿宋"/>
          <w:color w:val="auto"/>
          <w:szCs w:val="21"/>
          <w:highlight w:val="none"/>
        </w:rPr>
        <w:t>下列文件构成本合同的组成部分，应该认为是一个整体，彼此相互解释，相互补充。为便于解释，组成合同的多个文件的优先支配地位的次序如下：</w:t>
      </w:r>
    </w:p>
    <w:p>
      <w:pPr>
        <w:spacing w:line="360" w:lineRule="auto"/>
        <w:ind w:left="1080"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a.</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本合同书　</w:t>
      </w:r>
    </w:p>
    <w:p>
      <w:pPr>
        <w:spacing w:line="360" w:lineRule="auto"/>
        <w:ind w:left="1080"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b.</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中标通知书</w:t>
      </w:r>
    </w:p>
    <w:p>
      <w:pPr>
        <w:spacing w:line="360" w:lineRule="auto"/>
        <w:ind w:left="1080"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c.</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合同专用条款</w:t>
      </w:r>
    </w:p>
    <w:p>
      <w:pPr>
        <w:spacing w:line="360" w:lineRule="auto"/>
        <w:ind w:left="1080"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d.</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合同通用条款</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ab/>
      </w:r>
    </w:p>
    <w:p>
      <w:pPr>
        <w:spacing w:line="360" w:lineRule="auto"/>
        <w:ind w:left="1080"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e.</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投标文件 (含澄清文件)</w:t>
      </w:r>
    </w:p>
    <w:p>
      <w:pPr>
        <w:spacing w:line="360" w:lineRule="auto"/>
        <w:ind w:left="1080"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f.</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招标文件 (含招标文件补充通知)</w:t>
      </w:r>
    </w:p>
    <w:p>
      <w:pPr>
        <w:spacing w:line="360" w:lineRule="auto"/>
        <w:ind w:left="1080" w:leftChars="257" w:hanging="540"/>
        <w:rPr>
          <w:rFonts w:ascii="仿宋" w:hAnsi="仿宋" w:eastAsia="仿宋" w:cs="仿宋"/>
          <w:b/>
          <w:color w:val="auto"/>
          <w:szCs w:val="21"/>
          <w:highlight w:val="none"/>
        </w:rPr>
      </w:pPr>
      <w:bookmarkStart w:id="407" w:name="_Toc24985_WPSOffice_Level3"/>
      <w:bookmarkStart w:id="408" w:name="_Toc8283_WPSOffice_Level3"/>
      <w:bookmarkStart w:id="409" w:name="_Toc7536_WPSOffice_Level3"/>
      <w:bookmarkStart w:id="410" w:name="_Toc9696_WPSOffice_Level3"/>
      <w:r>
        <w:rPr>
          <w:rFonts w:hint="eastAsia" w:ascii="仿宋" w:hAnsi="仿宋" w:eastAsia="仿宋" w:cs="仿宋"/>
          <w:b/>
          <w:color w:val="auto"/>
          <w:szCs w:val="21"/>
          <w:highlight w:val="none"/>
        </w:rPr>
        <w:t>2、货物和数量</w:t>
      </w:r>
      <w:bookmarkEnd w:id="407"/>
      <w:bookmarkEnd w:id="408"/>
      <w:bookmarkEnd w:id="409"/>
      <w:bookmarkEnd w:id="410"/>
    </w:p>
    <w:p>
      <w:pPr>
        <w:spacing w:line="360" w:lineRule="auto"/>
        <w:ind w:left="1080"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本合同货物：</w:t>
      </w:r>
      <w:r>
        <w:rPr>
          <w:rFonts w:hint="eastAsia" w:ascii="仿宋" w:hAnsi="仿宋" w:eastAsia="仿宋" w:cs="仿宋"/>
          <w:color w:val="auto"/>
          <w:szCs w:val="21"/>
          <w:highlight w:val="none"/>
          <w:u w:val="single"/>
          <w:lang w:eastAsia="zh-CN"/>
        </w:rPr>
        <w:t>网安实验终端采购</w:t>
      </w:r>
      <w:r>
        <w:rPr>
          <w:rFonts w:hint="eastAsia" w:ascii="仿宋" w:hAnsi="仿宋" w:eastAsia="仿宋" w:cs="仿宋"/>
          <w:color w:val="auto"/>
          <w:szCs w:val="21"/>
          <w:highlight w:val="none"/>
          <w:u w:val="single"/>
        </w:rPr>
        <w:t xml:space="preserve">  </w:t>
      </w:r>
    </w:p>
    <w:p>
      <w:pPr>
        <w:spacing w:line="360" w:lineRule="auto"/>
        <w:ind w:left="1080" w:leftChars="257" w:hanging="540"/>
        <w:rPr>
          <w:rFonts w:ascii="仿宋" w:hAnsi="仿宋" w:eastAsia="仿宋" w:cs="仿宋"/>
          <w:color w:val="auto"/>
          <w:szCs w:val="21"/>
          <w:highlight w:val="none"/>
          <w:u w:val="single"/>
        </w:rPr>
      </w:pPr>
      <w:r>
        <w:rPr>
          <w:rFonts w:hint="eastAsia" w:ascii="仿宋" w:hAnsi="仿宋" w:eastAsia="仿宋" w:cs="仿宋"/>
          <w:color w:val="auto"/>
          <w:szCs w:val="21"/>
          <w:highlight w:val="none"/>
        </w:rPr>
        <w:t>数量：</w:t>
      </w:r>
      <w:r>
        <w:rPr>
          <w:rFonts w:hint="eastAsia" w:ascii="仿宋" w:hAnsi="仿宋" w:eastAsia="仿宋" w:cs="仿宋"/>
          <w:color w:val="auto"/>
          <w:szCs w:val="21"/>
          <w:highlight w:val="none"/>
          <w:u w:val="single"/>
        </w:rPr>
        <w:t>1批</w:t>
      </w:r>
    </w:p>
    <w:p>
      <w:pPr>
        <w:spacing w:line="360" w:lineRule="auto"/>
        <w:ind w:left="1080" w:leftChars="257" w:hanging="540"/>
        <w:rPr>
          <w:rFonts w:ascii="仿宋" w:hAnsi="仿宋" w:eastAsia="仿宋" w:cs="仿宋"/>
          <w:b/>
          <w:color w:val="auto"/>
          <w:szCs w:val="21"/>
          <w:highlight w:val="none"/>
        </w:rPr>
      </w:pPr>
      <w:bookmarkStart w:id="411" w:name="_Toc10946_WPSOffice_Level3"/>
      <w:bookmarkStart w:id="412" w:name="_Toc18172_WPSOffice_Level3"/>
      <w:bookmarkStart w:id="413" w:name="_Toc28453_WPSOffice_Level3"/>
      <w:bookmarkStart w:id="414" w:name="_Toc2220_WPSOffice_Level3"/>
      <w:r>
        <w:rPr>
          <w:rFonts w:hint="eastAsia" w:ascii="仿宋" w:hAnsi="仿宋" w:eastAsia="仿宋" w:cs="仿宋"/>
          <w:b/>
          <w:color w:val="auto"/>
          <w:szCs w:val="21"/>
          <w:highlight w:val="none"/>
        </w:rPr>
        <w:t>3、合同总价</w:t>
      </w:r>
      <w:bookmarkEnd w:id="411"/>
      <w:bookmarkEnd w:id="412"/>
      <w:bookmarkEnd w:id="413"/>
      <w:bookmarkEnd w:id="414"/>
    </w:p>
    <w:p>
      <w:pPr>
        <w:spacing w:line="360" w:lineRule="auto"/>
        <w:ind w:left="1080"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本合同总价为</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万元。</w:t>
      </w:r>
    </w:p>
    <w:p>
      <w:pPr>
        <w:spacing w:line="360" w:lineRule="auto"/>
        <w:ind w:left="1080" w:leftChars="257" w:hanging="540"/>
        <w:rPr>
          <w:rFonts w:ascii="仿宋" w:hAnsi="仿宋" w:eastAsia="仿宋" w:cs="仿宋"/>
          <w:color w:val="auto"/>
          <w:szCs w:val="21"/>
          <w:highlight w:val="none"/>
        </w:rPr>
      </w:pPr>
      <w:r>
        <w:rPr>
          <w:rFonts w:hint="eastAsia" w:ascii="仿宋" w:hAnsi="仿宋" w:eastAsia="仿宋" w:cs="仿宋"/>
          <w:color w:val="auto"/>
          <w:szCs w:val="21"/>
          <w:highlight w:val="none"/>
        </w:rPr>
        <w:t>分项价格：附分项报价表</w:t>
      </w:r>
    </w:p>
    <w:p>
      <w:pPr>
        <w:spacing w:line="360" w:lineRule="auto"/>
        <w:ind w:left="1132" w:leftChars="160" w:hanging="796"/>
        <w:rPr>
          <w:rFonts w:ascii="仿宋" w:hAnsi="仿宋" w:eastAsia="仿宋" w:cs="仿宋"/>
          <w:b/>
          <w:color w:val="auto"/>
          <w:szCs w:val="21"/>
          <w:highlight w:val="none"/>
        </w:rPr>
      </w:pPr>
      <w:r>
        <w:rPr>
          <w:rFonts w:hint="eastAsia" w:ascii="仿宋" w:hAnsi="仿宋" w:eastAsia="仿宋" w:cs="仿宋"/>
          <w:b/>
          <w:color w:val="auto"/>
          <w:szCs w:val="21"/>
          <w:highlight w:val="none"/>
        </w:rPr>
        <w:t>★4、付款方式</w:t>
      </w:r>
    </w:p>
    <w:p>
      <w:pPr>
        <w:spacing w:line="360" w:lineRule="auto"/>
        <w:ind w:left="1080" w:leftChars="257" w:hanging="540"/>
        <w:rPr>
          <w:rFonts w:ascii="仿宋" w:hAnsi="仿宋" w:eastAsia="仿宋" w:cs="仿宋"/>
          <w:color w:val="auto"/>
          <w:szCs w:val="21"/>
          <w:highlight w:val="none"/>
        </w:rPr>
      </w:pPr>
      <w:r>
        <w:rPr>
          <w:rFonts w:hint="eastAsia" w:ascii="仿宋" w:hAnsi="仿宋" w:eastAsia="仿宋" w:cs="仿宋"/>
          <w:b/>
          <w:bCs/>
          <w:color w:val="auto"/>
          <w:szCs w:val="21"/>
          <w:highlight w:val="none"/>
        </w:rPr>
        <w:t>1）从中华人民共和国境内提供货物的：</w:t>
      </w:r>
    </w:p>
    <w:p>
      <w:pPr>
        <w:spacing w:line="360" w:lineRule="auto"/>
        <w:ind w:left="1075" w:leftChars="455" w:hanging="120" w:hangingChars="57"/>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货物安装调试、项目验收合格、交付使用后，乙方将合同价的30%作为验收履约保证金交由甲方，甲方支付乙方100%货款，试运行6个月验收合格后，甲方退还乙方验收履约保证金。</w:t>
      </w:r>
    </w:p>
    <w:p>
      <w:pPr>
        <w:spacing w:line="360" w:lineRule="auto"/>
        <w:ind w:left="1080" w:leftChars="257" w:hanging="540"/>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rPr>
        <w:t>2）从中华人民共和国境外提供货物的：</w:t>
      </w:r>
      <w:r>
        <w:rPr>
          <w:rFonts w:hint="eastAsia" w:ascii="仿宋" w:hAnsi="仿宋" w:eastAsia="仿宋" w:cs="仿宋"/>
          <w:b/>
          <w:bCs/>
          <w:color w:val="auto"/>
          <w:szCs w:val="21"/>
          <w:highlight w:val="none"/>
          <w:lang w:val="en-US" w:eastAsia="zh-CN"/>
        </w:rPr>
        <w:t>/</w:t>
      </w:r>
    </w:p>
    <w:p>
      <w:pPr>
        <w:spacing w:line="360" w:lineRule="auto"/>
        <w:ind w:left="1080" w:leftChars="257" w:hanging="540"/>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注：付款金额不计利息。  　　</w:t>
      </w:r>
    </w:p>
    <w:p>
      <w:pPr>
        <w:spacing w:line="360" w:lineRule="auto"/>
        <w:ind w:left="1080" w:leftChars="257" w:hanging="540"/>
        <w:rPr>
          <w:rFonts w:ascii="仿宋" w:hAnsi="仿宋" w:eastAsia="仿宋" w:cs="仿宋"/>
          <w:b/>
          <w:color w:val="auto"/>
          <w:szCs w:val="21"/>
          <w:highlight w:val="none"/>
        </w:rPr>
      </w:pPr>
      <w:r>
        <w:rPr>
          <w:rFonts w:hint="eastAsia" w:ascii="仿宋" w:hAnsi="仿宋" w:eastAsia="仿宋" w:cs="仿宋"/>
          <w:b/>
          <w:color w:val="auto"/>
          <w:szCs w:val="21"/>
          <w:highlight w:val="none"/>
        </w:rPr>
        <w:t>5、本合同货物的交货时间及交货地点</w:t>
      </w:r>
    </w:p>
    <w:p>
      <w:pPr>
        <w:spacing w:line="360" w:lineRule="auto"/>
        <w:ind w:left="540" w:leftChars="257"/>
        <w:rPr>
          <w:rFonts w:ascii="仿宋" w:hAnsi="仿宋" w:eastAsia="仿宋" w:cs="仿宋"/>
          <w:color w:val="auto"/>
          <w:szCs w:val="21"/>
          <w:highlight w:val="none"/>
        </w:rPr>
      </w:pPr>
      <w:r>
        <w:rPr>
          <w:rFonts w:hint="eastAsia" w:ascii="仿宋" w:hAnsi="仿宋" w:eastAsia="仿宋" w:cs="仿宋"/>
          <w:color w:val="auto"/>
          <w:szCs w:val="21"/>
          <w:highlight w:val="none"/>
        </w:rPr>
        <w:t>交货时间：</w:t>
      </w:r>
      <w:r>
        <w:rPr>
          <w:rFonts w:hint="eastAsia" w:ascii="仿宋" w:hAnsi="仿宋" w:eastAsia="仿宋" w:cs="仿宋"/>
          <w:color w:val="auto"/>
          <w:szCs w:val="21"/>
          <w:highlight w:val="none"/>
          <w:u w:val="single"/>
          <w:lang w:eastAsia="zh-CN"/>
        </w:rPr>
        <w:t>合同签订后30日历天内</w:t>
      </w:r>
      <w:r>
        <w:rPr>
          <w:rFonts w:hint="eastAsia" w:ascii="仿宋" w:hAnsi="仿宋" w:eastAsia="仿宋" w:cs="仿宋"/>
          <w:color w:val="auto"/>
          <w:szCs w:val="21"/>
          <w:highlight w:val="none"/>
          <w:u w:val="single"/>
        </w:rPr>
        <w:t>。</w:t>
      </w:r>
    </w:p>
    <w:p>
      <w:pPr>
        <w:spacing w:line="360" w:lineRule="auto"/>
        <w:ind w:left="540" w:leftChars="257"/>
        <w:rPr>
          <w:rFonts w:ascii="仿宋" w:hAnsi="仿宋" w:eastAsia="仿宋" w:cs="仿宋"/>
          <w:color w:val="auto"/>
          <w:szCs w:val="21"/>
          <w:highlight w:val="none"/>
        </w:rPr>
      </w:pPr>
      <w:r>
        <w:rPr>
          <w:rFonts w:hint="eastAsia" w:ascii="仿宋" w:hAnsi="仿宋" w:eastAsia="仿宋" w:cs="仿宋"/>
          <w:color w:val="auto"/>
          <w:szCs w:val="21"/>
          <w:highlight w:val="none"/>
        </w:rPr>
        <w:t>交货地点：</w:t>
      </w:r>
      <w:r>
        <w:rPr>
          <w:rFonts w:hint="eastAsia" w:ascii="仿宋" w:hAnsi="仿宋" w:eastAsia="仿宋" w:cs="仿宋"/>
          <w:color w:val="auto"/>
          <w:szCs w:val="21"/>
          <w:highlight w:val="none"/>
          <w:u w:val="single"/>
        </w:rPr>
        <w:t>南京理工大学江阴校区指定地点</w:t>
      </w:r>
      <w:r>
        <w:rPr>
          <w:rFonts w:hint="eastAsia" w:ascii="仿宋" w:hAnsi="仿宋" w:eastAsia="仿宋" w:cs="仿宋"/>
          <w:color w:val="auto"/>
          <w:szCs w:val="21"/>
          <w:highlight w:val="none"/>
          <w:u w:val="single"/>
          <w:lang w:eastAsia="zh-CN"/>
        </w:rPr>
        <w:t>（至善楼A区）</w:t>
      </w:r>
      <w:r>
        <w:rPr>
          <w:rFonts w:hint="eastAsia" w:ascii="仿宋" w:hAnsi="仿宋" w:eastAsia="仿宋" w:cs="仿宋"/>
          <w:color w:val="auto"/>
          <w:szCs w:val="21"/>
          <w:highlight w:val="none"/>
          <w:u w:val="single"/>
        </w:rPr>
        <w:t>。</w:t>
      </w:r>
    </w:p>
    <w:p>
      <w:pPr>
        <w:spacing w:line="360" w:lineRule="auto"/>
        <w:ind w:left="1080" w:leftChars="257" w:hanging="540"/>
        <w:rPr>
          <w:rFonts w:ascii="仿宋" w:hAnsi="仿宋" w:eastAsia="仿宋" w:cs="仿宋"/>
          <w:b/>
          <w:color w:val="auto"/>
          <w:szCs w:val="21"/>
          <w:highlight w:val="none"/>
        </w:rPr>
      </w:pPr>
      <w:r>
        <w:rPr>
          <w:rFonts w:hint="eastAsia" w:ascii="仿宋" w:hAnsi="仿宋" w:eastAsia="仿宋" w:cs="仿宋"/>
          <w:b/>
          <w:color w:val="auto"/>
          <w:szCs w:val="21"/>
          <w:highlight w:val="none"/>
        </w:rPr>
        <w:t>6合同的生效</w:t>
      </w:r>
    </w:p>
    <w:p>
      <w:pPr>
        <w:spacing w:line="360" w:lineRule="auto"/>
        <w:ind w:left="540" w:leftChars="257"/>
        <w:rPr>
          <w:rFonts w:ascii="仿宋" w:hAnsi="仿宋" w:eastAsia="仿宋" w:cs="仿宋"/>
          <w:color w:val="auto"/>
          <w:szCs w:val="21"/>
          <w:highlight w:val="none"/>
        </w:rPr>
      </w:pPr>
      <w:r>
        <w:rPr>
          <w:rFonts w:hint="eastAsia" w:ascii="仿宋" w:hAnsi="仿宋" w:eastAsia="仿宋" w:cs="仿宋"/>
          <w:color w:val="auto"/>
          <w:szCs w:val="21"/>
          <w:highlight w:val="none"/>
        </w:rPr>
        <w:t>本合同经双方全权代表签署、加盖单位印章并由卖方递交履约保证金后生效。</w:t>
      </w:r>
    </w:p>
    <w:p>
      <w:pPr>
        <w:spacing w:line="360" w:lineRule="auto"/>
        <w:ind w:left="1080" w:leftChars="257" w:hanging="540"/>
        <w:rPr>
          <w:rFonts w:ascii="仿宋" w:hAnsi="仿宋" w:eastAsia="仿宋" w:cs="仿宋"/>
          <w:b/>
          <w:color w:val="auto"/>
          <w:szCs w:val="21"/>
          <w:highlight w:val="none"/>
        </w:rPr>
      </w:pPr>
      <w:r>
        <w:rPr>
          <w:rFonts w:hint="eastAsia" w:ascii="仿宋" w:hAnsi="仿宋" w:eastAsia="仿宋" w:cs="仿宋"/>
          <w:b/>
          <w:color w:val="auto"/>
          <w:szCs w:val="21"/>
          <w:highlight w:val="none"/>
        </w:rPr>
        <w:t>7合同争议的处理</w:t>
      </w:r>
    </w:p>
    <w:p>
      <w:pPr>
        <w:spacing w:line="360" w:lineRule="auto"/>
        <w:ind w:left="540" w:leftChars="257"/>
        <w:rPr>
          <w:rFonts w:ascii="仿宋" w:hAnsi="仿宋" w:eastAsia="仿宋" w:cs="仿宋"/>
          <w:color w:val="auto"/>
          <w:szCs w:val="21"/>
          <w:highlight w:val="none"/>
        </w:rPr>
      </w:pPr>
      <w:r>
        <w:rPr>
          <w:rFonts w:hint="eastAsia" w:ascii="仿宋" w:hAnsi="仿宋" w:eastAsia="仿宋" w:cs="仿宋"/>
          <w:color w:val="auto"/>
          <w:szCs w:val="21"/>
          <w:highlight w:val="none"/>
        </w:rPr>
        <w:t>因合同履行中发生的争议，合同当事人双方可通过协商解决。协商不成的，</w:t>
      </w:r>
    </w:p>
    <w:p>
      <w:pPr>
        <w:spacing w:line="360" w:lineRule="auto"/>
        <w:ind w:left="540" w:leftChars="257"/>
        <w:rPr>
          <w:rFonts w:ascii="仿宋" w:hAnsi="仿宋" w:eastAsia="仿宋" w:cs="仿宋"/>
          <w:color w:val="auto"/>
          <w:szCs w:val="21"/>
          <w:highlight w:val="none"/>
        </w:rPr>
      </w:pPr>
      <w:r>
        <w:rPr>
          <w:rFonts w:hint="eastAsia" w:ascii="仿宋" w:hAnsi="仿宋" w:eastAsia="仿宋" w:cs="仿宋"/>
          <w:color w:val="auto"/>
          <w:szCs w:val="21"/>
          <w:highlight w:val="none"/>
        </w:rPr>
        <w:t>应以以下第</w:t>
      </w:r>
      <w:r>
        <w:rPr>
          <w:rFonts w:hint="eastAsia" w:ascii="仿宋" w:hAnsi="仿宋" w:eastAsia="仿宋" w:cs="仿宋"/>
          <w:color w:val="auto"/>
          <w:szCs w:val="21"/>
          <w:highlight w:val="none"/>
          <w:u w:val="single"/>
        </w:rPr>
        <w:t xml:space="preserve">2 </w:t>
      </w:r>
      <w:r>
        <w:rPr>
          <w:rFonts w:hint="eastAsia" w:ascii="仿宋" w:hAnsi="仿宋" w:eastAsia="仿宋" w:cs="仿宋"/>
          <w:color w:val="auto"/>
          <w:szCs w:val="21"/>
          <w:highlight w:val="none"/>
        </w:rPr>
        <w:t>种方式解决：</w:t>
      </w:r>
    </w:p>
    <w:p>
      <w:pPr>
        <w:numPr>
          <w:ilvl w:val="0"/>
          <w:numId w:val="4"/>
        </w:num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提请南京仲裁委员会仲裁；</w:t>
      </w:r>
    </w:p>
    <w:p>
      <w:pPr>
        <w:numPr>
          <w:ilvl w:val="0"/>
          <w:numId w:val="4"/>
        </w:num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向人民法院提起诉讼，开庭地点为南京。</w:t>
      </w:r>
    </w:p>
    <w:p>
      <w:pPr>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8合同份数</w:t>
      </w:r>
    </w:p>
    <w:p>
      <w:pPr>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本合同一式陆份，具有同等法律效力。买方执肆份，卖方执贰份。</w:t>
      </w:r>
    </w:p>
    <w:p>
      <w:pPr>
        <w:spacing w:line="360" w:lineRule="auto"/>
        <w:ind w:firstLine="422" w:firstLineChars="200"/>
        <w:rPr>
          <w:rFonts w:ascii="仿宋" w:hAnsi="仿宋" w:eastAsia="仿宋" w:cs="仿宋"/>
          <w:b/>
          <w:color w:val="auto"/>
          <w:szCs w:val="21"/>
          <w:highlight w:val="none"/>
        </w:rPr>
      </w:pPr>
      <w:r>
        <w:rPr>
          <w:rFonts w:hint="eastAsia" w:ascii="仿宋" w:hAnsi="仿宋" w:eastAsia="仿宋" w:cs="仿宋"/>
          <w:b/>
          <w:color w:val="auto"/>
          <w:szCs w:val="21"/>
          <w:highlight w:val="none"/>
        </w:rPr>
        <w:t>9、买方账户信息</w:t>
      </w:r>
    </w:p>
    <w:p>
      <w:pPr>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 xml:space="preserve">户 名： </w:t>
      </w:r>
    </w:p>
    <w:p>
      <w:pPr>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 xml:space="preserve">开户银行： </w:t>
      </w:r>
    </w:p>
    <w:p>
      <w:pPr>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bCs/>
          <w:color w:val="auto"/>
          <w:szCs w:val="21"/>
          <w:highlight w:val="none"/>
        </w:rPr>
        <w:t>银行账号：</w:t>
      </w:r>
      <w:r>
        <w:rPr>
          <w:rFonts w:ascii="仿宋" w:hAnsi="仿宋" w:eastAsia="仿宋" w:cs="仿宋"/>
          <w:bCs/>
          <w:color w:val="auto"/>
          <w:szCs w:val="21"/>
          <w:highlight w:val="none"/>
        </w:rPr>
        <w:t xml:space="preserve"> </w:t>
      </w:r>
    </w:p>
    <w:p>
      <w:pPr>
        <w:spacing w:line="360" w:lineRule="auto"/>
        <w:ind w:left="975" w:leftChars="207" w:hanging="540"/>
        <w:rPr>
          <w:rFonts w:ascii="仿宋" w:hAnsi="仿宋" w:eastAsia="仿宋" w:cs="仿宋"/>
          <w:color w:val="auto"/>
          <w:szCs w:val="21"/>
          <w:highlight w:val="none"/>
        </w:rPr>
      </w:pPr>
    </w:p>
    <w:p>
      <w:pPr>
        <w:spacing w:line="360" w:lineRule="auto"/>
        <w:ind w:left="975" w:leftChars="207" w:hanging="540"/>
        <w:rPr>
          <w:rFonts w:ascii="仿宋" w:hAnsi="仿宋" w:eastAsia="仿宋" w:cs="仿宋"/>
          <w:color w:val="auto"/>
          <w:szCs w:val="21"/>
          <w:highlight w:val="none"/>
        </w:rPr>
        <w:sectPr>
          <w:headerReference r:id="rId10" w:type="default"/>
          <w:footerReference r:id="rId11" w:type="default"/>
          <w:pgSz w:w="11906" w:h="16838"/>
          <w:pgMar w:top="1440" w:right="1797" w:bottom="1440" w:left="1797" w:header="851" w:footer="992" w:gutter="0"/>
          <w:cols w:space="720" w:num="1"/>
          <w:docGrid w:linePitch="312" w:charSpace="0"/>
        </w:sectPr>
      </w:pPr>
    </w:p>
    <w:p>
      <w:pPr>
        <w:spacing w:line="360" w:lineRule="auto"/>
        <w:ind w:left="975" w:leftChars="207" w:hanging="540"/>
        <w:rPr>
          <w:rFonts w:ascii="仿宋" w:hAnsi="仿宋" w:eastAsia="仿宋" w:cs="仿宋"/>
          <w:color w:val="auto"/>
          <w:szCs w:val="21"/>
          <w:highlight w:val="none"/>
        </w:rPr>
      </w:pPr>
      <w:r>
        <w:rPr>
          <w:rFonts w:hint="eastAsia" w:ascii="仿宋" w:hAnsi="仿宋" w:eastAsia="仿宋" w:cs="仿宋"/>
          <w:color w:val="auto"/>
          <w:szCs w:val="21"/>
          <w:highlight w:val="none"/>
        </w:rPr>
        <w:t>买  方：</w:t>
      </w:r>
    </w:p>
    <w:p>
      <w:pPr>
        <w:spacing w:line="360" w:lineRule="auto"/>
        <w:ind w:left="975" w:leftChars="207" w:hanging="54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名　 称：(印章) </w:t>
      </w:r>
    </w:p>
    <w:p>
      <w:pPr>
        <w:spacing w:line="360" w:lineRule="auto"/>
        <w:ind w:left="975" w:leftChars="207" w:hanging="540"/>
        <w:rPr>
          <w:rFonts w:ascii="仿宋" w:hAnsi="仿宋" w:eastAsia="仿宋" w:cs="仿宋"/>
          <w:color w:val="auto"/>
          <w:szCs w:val="21"/>
          <w:highlight w:val="none"/>
        </w:rPr>
      </w:pPr>
      <w:r>
        <w:rPr>
          <w:rFonts w:hint="eastAsia" w:ascii="仿宋" w:hAnsi="仿宋" w:eastAsia="仿宋" w:cs="仿宋"/>
          <w:color w:val="auto"/>
          <w:szCs w:val="21"/>
          <w:highlight w:val="none"/>
        </w:rPr>
        <w:t>日   期：</w:t>
      </w:r>
    </w:p>
    <w:p>
      <w:pPr>
        <w:spacing w:line="360" w:lineRule="auto"/>
        <w:ind w:left="975" w:leftChars="207" w:hanging="54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授权代表(签字)： </w:t>
      </w:r>
    </w:p>
    <w:p>
      <w:pPr>
        <w:spacing w:line="360" w:lineRule="auto"/>
        <w:ind w:left="975" w:leftChars="207" w:hanging="540"/>
        <w:rPr>
          <w:rFonts w:ascii="仿宋" w:hAnsi="仿宋" w:eastAsia="仿宋" w:cs="仿宋"/>
          <w:color w:val="auto"/>
          <w:szCs w:val="21"/>
          <w:highlight w:val="none"/>
        </w:rPr>
      </w:pPr>
      <w:r>
        <w:rPr>
          <w:rFonts w:hint="eastAsia" w:ascii="仿宋" w:hAnsi="仿宋" w:eastAsia="仿宋" w:cs="仿宋"/>
          <w:color w:val="auto"/>
          <w:szCs w:val="21"/>
          <w:highlight w:val="none"/>
        </w:rPr>
        <w:t>地　址：</w:t>
      </w:r>
    </w:p>
    <w:p>
      <w:pPr>
        <w:spacing w:line="360" w:lineRule="auto"/>
        <w:ind w:left="975" w:leftChars="207" w:hanging="540"/>
        <w:rPr>
          <w:rFonts w:ascii="仿宋" w:hAnsi="仿宋" w:eastAsia="仿宋" w:cs="仿宋"/>
          <w:color w:val="auto"/>
          <w:szCs w:val="21"/>
          <w:highlight w:val="none"/>
        </w:rPr>
      </w:pPr>
      <w:r>
        <w:rPr>
          <w:rFonts w:hint="eastAsia" w:ascii="仿宋" w:hAnsi="仿宋" w:eastAsia="仿宋" w:cs="仿宋"/>
          <w:color w:val="auto"/>
          <w:szCs w:val="21"/>
          <w:highlight w:val="none"/>
        </w:rPr>
        <w:t>邮政编码：</w:t>
      </w:r>
    </w:p>
    <w:p>
      <w:pPr>
        <w:spacing w:line="360" w:lineRule="auto"/>
        <w:ind w:left="975" w:leftChars="207" w:hanging="540"/>
        <w:rPr>
          <w:rFonts w:ascii="仿宋" w:hAnsi="仿宋" w:eastAsia="仿宋" w:cs="仿宋"/>
          <w:color w:val="auto"/>
          <w:szCs w:val="21"/>
          <w:highlight w:val="none"/>
        </w:rPr>
      </w:pPr>
      <w:r>
        <w:rPr>
          <w:rFonts w:hint="eastAsia" w:ascii="仿宋" w:hAnsi="仿宋" w:eastAsia="仿宋" w:cs="仿宋"/>
          <w:color w:val="auto"/>
          <w:szCs w:val="21"/>
          <w:highlight w:val="none"/>
        </w:rPr>
        <w:t>电　话：</w:t>
      </w:r>
    </w:p>
    <w:p>
      <w:pPr>
        <w:spacing w:line="360" w:lineRule="auto"/>
        <w:ind w:left="975" w:leftChars="207" w:hanging="540"/>
        <w:rPr>
          <w:rFonts w:ascii="仿宋" w:hAnsi="仿宋" w:eastAsia="仿宋" w:cs="仿宋"/>
          <w:color w:val="auto"/>
          <w:szCs w:val="21"/>
          <w:highlight w:val="none"/>
        </w:rPr>
      </w:pPr>
      <w:r>
        <w:rPr>
          <w:rFonts w:hint="eastAsia" w:ascii="仿宋" w:hAnsi="仿宋" w:eastAsia="仿宋" w:cs="仿宋"/>
          <w:color w:val="auto"/>
          <w:szCs w:val="21"/>
          <w:highlight w:val="none"/>
        </w:rPr>
        <w:t>开户行：</w:t>
      </w:r>
    </w:p>
    <w:p>
      <w:pPr>
        <w:spacing w:line="360" w:lineRule="auto"/>
        <w:ind w:left="975" w:leftChars="207" w:hanging="54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帐　号： </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卖　 方：</w:t>
      </w:r>
    </w:p>
    <w:p>
      <w:pPr>
        <w:spacing w:line="360" w:lineRule="auto"/>
        <w:ind w:left="975" w:leftChars="207" w:hanging="540"/>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名　 称：(印章) </w:t>
      </w:r>
    </w:p>
    <w:p>
      <w:pPr>
        <w:spacing w:line="360" w:lineRule="auto"/>
        <w:ind w:left="975" w:leftChars="207" w:hanging="540"/>
        <w:rPr>
          <w:rFonts w:ascii="仿宋" w:hAnsi="仿宋" w:eastAsia="仿宋" w:cs="仿宋"/>
          <w:color w:val="auto"/>
          <w:szCs w:val="21"/>
          <w:highlight w:val="none"/>
        </w:rPr>
      </w:pPr>
      <w:r>
        <w:rPr>
          <w:rFonts w:hint="eastAsia" w:ascii="仿宋" w:hAnsi="仿宋" w:eastAsia="仿宋" w:cs="仿宋"/>
          <w:color w:val="auto"/>
          <w:szCs w:val="21"/>
          <w:highlight w:val="none"/>
        </w:rPr>
        <w:t>日   期：</w:t>
      </w:r>
    </w:p>
    <w:p>
      <w:pPr>
        <w:spacing w:line="360" w:lineRule="auto"/>
        <w:ind w:left="975" w:leftChars="207" w:hanging="540"/>
        <w:rPr>
          <w:rFonts w:ascii="仿宋" w:hAnsi="仿宋" w:eastAsia="仿宋" w:cs="仿宋"/>
          <w:color w:val="auto"/>
          <w:szCs w:val="21"/>
          <w:highlight w:val="none"/>
        </w:rPr>
      </w:pPr>
      <w:r>
        <w:rPr>
          <w:rFonts w:hint="eastAsia" w:ascii="仿宋" w:hAnsi="仿宋" w:eastAsia="仿宋" w:cs="仿宋"/>
          <w:color w:val="auto"/>
          <w:szCs w:val="21"/>
          <w:highlight w:val="none"/>
        </w:rPr>
        <w:t>授权代表(签字)：</w:t>
      </w:r>
    </w:p>
    <w:p>
      <w:pPr>
        <w:spacing w:line="360" w:lineRule="auto"/>
        <w:ind w:left="975" w:leftChars="207" w:hanging="540"/>
        <w:rPr>
          <w:rFonts w:ascii="仿宋" w:hAnsi="仿宋" w:eastAsia="仿宋" w:cs="仿宋"/>
          <w:color w:val="auto"/>
          <w:szCs w:val="21"/>
          <w:highlight w:val="none"/>
        </w:rPr>
      </w:pPr>
      <w:r>
        <w:rPr>
          <w:rFonts w:hint="eastAsia" w:ascii="仿宋" w:hAnsi="仿宋" w:eastAsia="仿宋" w:cs="仿宋"/>
          <w:color w:val="auto"/>
          <w:szCs w:val="21"/>
          <w:highlight w:val="none"/>
        </w:rPr>
        <w:t>地　址：</w:t>
      </w:r>
    </w:p>
    <w:p>
      <w:pPr>
        <w:spacing w:line="360" w:lineRule="auto"/>
        <w:ind w:left="975" w:leftChars="207" w:hanging="540"/>
        <w:rPr>
          <w:rFonts w:ascii="仿宋" w:hAnsi="仿宋" w:eastAsia="仿宋" w:cs="仿宋"/>
          <w:color w:val="auto"/>
          <w:szCs w:val="21"/>
          <w:highlight w:val="none"/>
        </w:rPr>
      </w:pPr>
      <w:r>
        <w:rPr>
          <w:rFonts w:hint="eastAsia" w:ascii="仿宋" w:hAnsi="仿宋" w:eastAsia="仿宋" w:cs="仿宋"/>
          <w:color w:val="auto"/>
          <w:szCs w:val="21"/>
          <w:highlight w:val="none"/>
        </w:rPr>
        <w:t>邮政编码：</w:t>
      </w:r>
    </w:p>
    <w:p>
      <w:pPr>
        <w:spacing w:line="360" w:lineRule="auto"/>
        <w:ind w:left="975" w:leftChars="207" w:hanging="540"/>
        <w:rPr>
          <w:rFonts w:ascii="仿宋" w:hAnsi="仿宋" w:eastAsia="仿宋" w:cs="仿宋"/>
          <w:color w:val="auto"/>
          <w:szCs w:val="21"/>
          <w:highlight w:val="none"/>
        </w:rPr>
      </w:pPr>
      <w:r>
        <w:rPr>
          <w:rFonts w:hint="eastAsia" w:ascii="仿宋" w:hAnsi="仿宋" w:eastAsia="仿宋" w:cs="仿宋"/>
          <w:color w:val="auto"/>
          <w:szCs w:val="21"/>
          <w:highlight w:val="none"/>
        </w:rPr>
        <w:t>电　话：</w:t>
      </w:r>
    </w:p>
    <w:p>
      <w:pPr>
        <w:spacing w:line="360" w:lineRule="auto"/>
        <w:ind w:left="975" w:leftChars="207" w:hanging="540"/>
        <w:rPr>
          <w:rFonts w:ascii="仿宋" w:hAnsi="仿宋" w:eastAsia="仿宋" w:cs="仿宋"/>
          <w:color w:val="auto"/>
          <w:szCs w:val="21"/>
          <w:highlight w:val="none"/>
        </w:rPr>
      </w:pPr>
      <w:r>
        <w:rPr>
          <w:rFonts w:hint="eastAsia" w:ascii="仿宋" w:hAnsi="仿宋" w:eastAsia="仿宋" w:cs="仿宋"/>
          <w:color w:val="auto"/>
          <w:szCs w:val="21"/>
          <w:highlight w:val="none"/>
        </w:rPr>
        <w:t>开户行：</w:t>
      </w:r>
    </w:p>
    <w:p>
      <w:pPr>
        <w:spacing w:line="360" w:lineRule="auto"/>
        <w:ind w:left="975" w:leftChars="207" w:hanging="540"/>
        <w:jc w:val="left"/>
        <w:rPr>
          <w:rFonts w:ascii="仿宋" w:hAnsi="仿宋" w:eastAsia="仿宋" w:cs="仿宋"/>
          <w:color w:val="auto"/>
          <w:szCs w:val="21"/>
          <w:highlight w:val="none"/>
        </w:rPr>
        <w:sectPr>
          <w:type w:val="continuous"/>
          <w:pgSz w:w="11906" w:h="16838"/>
          <w:pgMar w:top="1440" w:right="1797" w:bottom="1440" w:left="1797" w:header="851" w:footer="992" w:gutter="0"/>
          <w:cols w:equalWidth="0" w:num="2">
            <w:col w:w="3943" w:space="425"/>
            <w:col w:w="3943"/>
          </w:cols>
          <w:docGrid w:linePitch="312" w:charSpace="0"/>
        </w:sectPr>
      </w:pPr>
      <w:r>
        <w:rPr>
          <w:rFonts w:hint="eastAsia" w:ascii="仿宋" w:hAnsi="仿宋" w:eastAsia="仿宋" w:cs="仿宋"/>
          <w:color w:val="auto"/>
          <w:szCs w:val="21"/>
          <w:highlight w:val="none"/>
        </w:rPr>
        <w:t>帐  号：</w:t>
      </w:r>
      <w:bookmarkStart w:id="415" w:name="_Toc20782_WPSOffice_Level1"/>
      <w:bookmarkStart w:id="416" w:name="_Toc9545_WPSOffice_Level1"/>
      <w:bookmarkStart w:id="417" w:name="_Toc24551_WPSOffice_Level1"/>
      <w:bookmarkStart w:id="418" w:name="_Toc219175637"/>
      <w:bookmarkStart w:id="419" w:name="_Toc218935353"/>
      <w:bookmarkStart w:id="420" w:name="_Toc6486_WPSOffice_Level1"/>
    </w:p>
    <w:p>
      <w:pPr>
        <w:jc w:val="left"/>
        <w:rPr>
          <w:rFonts w:ascii="仿宋" w:hAnsi="仿宋" w:eastAsia="仿宋" w:cs="仿宋"/>
          <w:color w:val="auto"/>
          <w:szCs w:val="21"/>
          <w:highlight w:val="none"/>
        </w:rPr>
      </w:pPr>
    </w:p>
    <w:p>
      <w:pPr>
        <w:jc w:val="center"/>
        <w:outlineLvl w:val="0"/>
        <w:rPr>
          <w:rFonts w:ascii="仿宋" w:hAnsi="仿宋" w:eastAsia="仿宋" w:cs="仿宋"/>
          <w:b/>
          <w:color w:val="auto"/>
          <w:sz w:val="32"/>
          <w:szCs w:val="32"/>
          <w:highlight w:val="none"/>
        </w:rPr>
      </w:pPr>
      <w:bookmarkStart w:id="421" w:name="_Toc30645"/>
      <w:bookmarkStart w:id="422" w:name="_Toc11330"/>
      <w:bookmarkStart w:id="423" w:name="_Toc523354136"/>
      <w:bookmarkStart w:id="424" w:name="_Toc13325"/>
      <w:r>
        <w:rPr>
          <w:rFonts w:hint="eastAsia" w:ascii="仿宋" w:hAnsi="仿宋" w:eastAsia="仿宋" w:cs="仿宋"/>
          <w:b/>
          <w:color w:val="auto"/>
          <w:sz w:val="32"/>
          <w:szCs w:val="32"/>
          <w:highlight w:val="none"/>
        </w:rPr>
        <w:t xml:space="preserve">第七章  </w:t>
      </w:r>
      <w:bookmarkStart w:id="425" w:name="_Toc494445683"/>
      <w:r>
        <w:rPr>
          <w:rFonts w:hint="eastAsia" w:ascii="仿宋" w:hAnsi="仿宋" w:eastAsia="仿宋" w:cs="仿宋"/>
          <w:b/>
          <w:color w:val="auto"/>
          <w:sz w:val="32"/>
          <w:szCs w:val="32"/>
          <w:highlight w:val="none"/>
        </w:rPr>
        <w:t>合同专用条款</w:t>
      </w:r>
      <w:bookmarkEnd w:id="415"/>
      <w:bookmarkEnd w:id="416"/>
      <w:bookmarkEnd w:id="417"/>
      <w:bookmarkEnd w:id="418"/>
      <w:bookmarkEnd w:id="419"/>
      <w:bookmarkEnd w:id="420"/>
      <w:bookmarkEnd w:id="421"/>
      <w:bookmarkEnd w:id="422"/>
      <w:bookmarkEnd w:id="423"/>
      <w:bookmarkEnd w:id="424"/>
      <w:bookmarkEnd w:id="425"/>
    </w:p>
    <w:p>
      <w:pPr>
        <w:rPr>
          <w:rFonts w:ascii="仿宋" w:hAnsi="仿宋" w:eastAsia="仿宋" w:cs="仿宋"/>
          <w:color w:val="auto"/>
          <w:highlight w:val="none"/>
        </w:rPr>
      </w:pPr>
    </w:p>
    <w:p>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合同专用条款是合同一般条款的补充和修改。如果两者之间有抵触，应以特殊条款为准。合同特殊条款的序号将与合同一般条款序号相对应。</w:t>
      </w:r>
    </w:p>
    <w:p>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1、定义</w:t>
      </w:r>
    </w:p>
    <w:p>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1.5 买方：本合同买方系指：</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1.6 卖方：本合同买方系指：</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1.7 现场：本合同项下的货物安装和运行地点位于：</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6、交货方式</w:t>
      </w:r>
    </w:p>
    <w:p>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6.1　本合同项下的货物交货方式为：</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6.2  卖方应在货物发出</w:t>
      </w:r>
      <w:r>
        <w:rPr>
          <w:rFonts w:hint="eastAsia" w:ascii="仿宋" w:hAnsi="仿宋" w:eastAsia="仿宋" w:cs="仿宋"/>
          <w:color w:val="auto"/>
          <w:szCs w:val="21"/>
          <w:highlight w:val="none"/>
          <w:u w:val="single"/>
        </w:rPr>
        <w:t xml:space="preserve">  2  </w:t>
      </w:r>
      <w:r>
        <w:rPr>
          <w:rFonts w:hint="eastAsia" w:ascii="仿宋" w:hAnsi="仿宋" w:eastAsia="仿宋" w:cs="仿宋"/>
          <w:color w:val="auto"/>
          <w:szCs w:val="21"/>
          <w:highlight w:val="none"/>
        </w:rPr>
        <w:t>天前以电报或传真形式将合同号、货物名称、数量、包装箱件数、总毛重、总体积(立方米)和备妥交货日期通知买方。</w:t>
      </w:r>
    </w:p>
    <w:p>
      <w:pPr>
        <w:spacing w:line="360" w:lineRule="auto"/>
        <w:ind w:firstLine="420" w:firstLineChars="200"/>
        <w:contextualSpacing/>
        <w:rPr>
          <w:rFonts w:ascii="仿宋" w:hAnsi="仿宋" w:eastAsia="仿宋" w:cs="仿宋"/>
          <w:color w:val="auto"/>
          <w:szCs w:val="21"/>
          <w:highlight w:val="none"/>
        </w:rPr>
      </w:pPr>
      <w:bookmarkStart w:id="426" w:name="_Toc20598_WPSOffice_Level2"/>
      <w:bookmarkStart w:id="427" w:name="_Toc13468_WPSOffice_Level2"/>
      <w:bookmarkStart w:id="428" w:name="_Toc17139_WPSOffice_Level2"/>
      <w:bookmarkStart w:id="429" w:name="_Toc29555_WPSOffice_Level2"/>
      <w:r>
        <w:rPr>
          <w:rFonts w:hint="eastAsia" w:ascii="仿宋" w:hAnsi="仿宋" w:eastAsia="仿宋" w:cs="仿宋"/>
          <w:color w:val="auto"/>
          <w:szCs w:val="21"/>
          <w:highlight w:val="none"/>
        </w:rPr>
        <w:t>8、付款条件：</w:t>
      </w:r>
      <w:bookmarkEnd w:id="426"/>
      <w:bookmarkEnd w:id="427"/>
      <w:bookmarkEnd w:id="428"/>
      <w:bookmarkEnd w:id="429"/>
    </w:p>
    <w:p>
      <w:pPr>
        <w:spacing w:line="360" w:lineRule="auto"/>
        <w:ind w:firstLine="420" w:firstLineChars="200"/>
        <w:contextualSpacing/>
        <w:rPr>
          <w:rFonts w:ascii="仿宋" w:hAnsi="仿宋" w:eastAsia="仿宋" w:cs="仿宋"/>
          <w:bCs/>
          <w:color w:val="auto"/>
          <w:szCs w:val="21"/>
          <w:highlight w:val="none"/>
        </w:rPr>
      </w:pPr>
      <w:r>
        <w:rPr>
          <w:rFonts w:hint="eastAsia" w:ascii="仿宋" w:hAnsi="仿宋" w:eastAsia="仿宋" w:cs="仿宋"/>
          <w:bCs/>
          <w:color w:val="auto"/>
          <w:szCs w:val="21"/>
          <w:highlight w:val="none"/>
        </w:rPr>
        <w:t>付款方式按照采购合同具体约定执行。</w:t>
      </w:r>
    </w:p>
    <w:p>
      <w:pPr>
        <w:spacing w:line="360" w:lineRule="auto"/>
        <w:ind w:firstLine="422" w:firstLineChars="200"/>
        <w:contextualSpacing/>
        <w:rPr>
          <w:rFonts w:ascii="仿宋" w:hAnsi="仿宋" w:eastAsia="仿宋" w:cs="仿宋"/>
          <w:b/>
          <w:color w:val="auto"/>
          <w:szCs w:val="21"/>
          <w:highlight w:val="none"/>
        </w:rPr>
      </w:pPr>
      <w:r>
        <w:rPr>
          <w:rFonts w:hint="eastAsia" w:ascii="仿宋" w:hAnsi="仿宋" w:eastAsia="仿宋" w:cs="仿宋"/>
          <w:b/>
          <w:color w:val="auto"/>
          <w:szCs w:val="21"/>
          <w:highlight w:val="none"/>
        </w:rPr>
        <w:t>注：付款金额不计利息。  　　</w:t>
      </w:r>
    </w:p>
    <w:p>
      <w:pPr>
        <w:spacing w:line="360" w:lineRule="auto"/>
        <w:ind w:firstLine="420" w:firstLineChars="200"/>
        <w:contextualSpacing/>
        <w:rPr>
          <w:rFonts w:ascii="仿宋" w:hAnsi="仿宋" w:eastAsia="仿宋" w:cs="仿宋"/>
          <w:color w:val="auto"/>
          <w:szCs w:val="21"/>
          <w:highlight w:val="none"/>
        </w:rPr>
      </w:pPr>
      <w:bookmarkStart w:id="430" w:name="_Toc7734_WPSOffice_Level2"/>
      <w:bookmarkStart w:id="431" w:name="_Toc29407_WPSOffice_Level2"/>
      <w:bookmarkStart w:id="432" w:name="_Toc262_WPSOffice_Level2"/>
      <w:bookmarkStart w:id="433" w:name="_Toc1467_WPSOffice_Level2"/>
      <w:r>
        <w:rPr>
          <w:rFonts w:hint="eastAsia" w:ascii="仿宋" w:hAnsi="仿宋" w:eastAsia="仿宋" w:cs="仿宋"/>
          <w:color w:val="auto"/>
          <w:szCs w:val="21"/>
          <w:highlight w:val="none"/>
        </w:rPr>
        <w:t>9、技术资料</w:t>
      </w:r>
      <w:bookmarkEnd w:id="430"/>
      <w:bookmarkEnd w:id="431"/>
      <w:bookmarkEnd w:id="432"/>
      <w:bookmarkEnd w:id="433"/>
    </w:p>
    <w:p>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9.1合同生效后</w:t>
      </w:r>
      <w:r>
        <w:rPr>
          <w:rFonts w:hint="eastAsia" w:ascii="仿宋" w:hAnsi="仿宋" w:eastAsia="仿宋" w:cs="仿宋"/>
          <w:color w:val="auto"/>
          <w:szCs w:val="21"/>
          <w:highlight w:val="none"/>
          <w:u w:val="single"/>
        </w:rPr>
        <w:t xml:space="preserve">   2  </w:t>
      </w:r>
      <w:r>
        <w:rPr>
          <w:rFonts w:hint="eastAsia" w:ascii="仿宋" w:hAnsi="仿宋" w:eastAsia="仿宋" w:cs="仿宋"/>
          <w:color w:val="auto"/>
          <w:szCs w:val="21"/>
          <w:highlight w:val="none"/>
        </w:rPr>
        <w:t>天之内，卖方应将每台设备和仪器的中文技术资料一套，如目录索引、图纸、操作手册、使用指南、维修指南和／或服务手册和示意图寄给买方。</w:t>
      </w:r>
    </w:p>
    <w:p>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9.3 如果买方确认卖方提供的技术资料不完整或在运输过程中丢失，卖方将在收到买方通知后</w:t>
      </w:r>
      <w:r>
        <w:rPr>
          <w:rFonts w:hint="eastAsia" w:ascii="仿宋" w:hAnsi="仿宋" w:eastAsia="仿宋" w:cs="仿宋"/>
          <w:color w:val="auto"/>
          <w:szCs w:val="21"/>
          <w:highlight w:val="none"/>
          <w:u w:val="single"/>
        </w:rPr>
        <w:t xml:space="preserve">  2  </w:t>
      </w:r>
      <w:r>
        <w:rPr>
          <w:rFonts w:hint="eastAsia" w:ascii="仿宋" w:hAnsi="仿宋" w:eastAsia="仿宋" w:cs="仿宋"/>
          <w:color w:val="auto"/>
          <w:szCs w:val="21"/>
          <w:highlight w:val="none"/>
        </w:rPr>
        <w:t>天内将这些资料免费寄给买方。</w:t>
      </w:r>
    </w:p>
    <w:p>
      <w:pPr>
        <w:spacing w:line="360" w:lineRule="auto"/>
        <w:ind w:firstLine="420" w:firstLineChars="200"/>
        <w:contextualSpacing/>
        <w:rPr>
          <w:rFonts w:ascii="仿宋" w:hAnsi="仿宋" w:eastAsia="仿宋" w:cs="仿宋"/>
          <w:color w:val="auto"/>
          <w:szCs w:val="21"/>
          <w:highlight w:val="none"/>
        </w:rPr>
      </w:pPr>
      <w:bookmarkStart w:id="434" w:name="_Toc21141_WPSOffice_Level2"/>
      <w:bookmarkStart w:id="435" w:name="_Toc24079_WPSOffice_Level2"/>
      <w:bookmarkStart w:id="436" w:name="_Toc26243_WPSOffice_Level2"/>
      <w:bookmarkStart w:id="437" w:name="_Toc7638_WPSOffice_Level2"/>
      <w:r>
        <w:rPr>
          <w:rFonts w:hint="eastAsia" w:ascii="仿宋" w:hAnsi="仿宋" w:eastAsia="仿宋" w:cs="仿宋"/>
          <w:color w:val="auto"/>
          <w:szCs w:val="21"/>
          <w:highlight w:val="none"/>
        </w:rPr>
        <w:t>10、质量保证：</w:t>
      </w:r>
      <w:bookmarkEnd w:id="434"/>
      <w:bookmarkEnd w:id="435"/>
      <w:bookmarkEnd w:id="436"/>
      <w:bookmarkEnd w:id="437"/>
    </w:p>
    <w:p>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10.3 卖方在收到通知后</w:t>
      </w:r>
      <w:r>
        <w:rPr>
          <w:rFonts w:hint="eastAsia" w:ascii="仿宋" w:hAnsi="仿宋" w:eastAsia="仿宋" w:cs="仿宋"/>
          <w:color w:val="auto"/>
          <w:szCs w:val="21"/>
          <w:highlight w:val="none"/>
          <w:u w:val="single"/>
        </w:rPr>
        <w:t xml:space="preserve">  2  </w:t>
      </w:r>
      <w:r>
        <w:rPr>
          <w:rFonts w:hint="eastAsia" w:ascii="仿宋" w:hAnsi="仿宋" w:eastAsia="仿宋" w:cs="仿宋"/>
          <w:color w:val="auto"/>
          <w:szCs w:val="21"/>
          <w:highlight w:val="none"/>
        </w:rPr>
        <w:t>天内应免费维修或更换有缺陷的货物或部件。</w:t>
      </w:r>
    </w:p>
    <w:p>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10.4 如果卖方在收到通知后</w:t>
      </w:r>
      <w:r>
        <w:rPr>
          <w:rFonts w:hint="eastAsia" w:ascii="仿宋" w:hAnsi="仿宋" w:eastAsia="仿宋" w:cs="仿宋"/>
          <w:color w:val="auto"/>
          <w:szCs w:val="21"/>
          <w:highlight w:val="none"/>
          <w:u w:val="single"/>
        </w:rPr>
        <w:t xml:space="preserve">  5 </w:t>
      </w:r>
      <w:r>
        <w:rPr>
          <w:rFonts w:hint="eastAsia" w:ascii="仿宋" w:hAnsi="仿宋" w:eastAsia="仿宋" w:cs="仿宋"/>
          <w:color w:val="auto"/>
          <w:szCs w:val="21"/>
          <w:highlight w:val="none"/>
        </w:rPr>
        <w:t>天内没有弥补缺陷，买方可采取必要的补救措施，但风险和费用将由卖方承担。</w:t>
      </w:r>
    </w:p>
    <w:p>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10.5 合同项下货物的质量保证期：</w:t>
      </w:r>
    </w:p>
    <w:p>
      <w:pPr>
        <w:spacing w:line="360" w:lineRule="auto"/>
        <w:ind w:firstLine="630" w:firstLineChars="300"/>
        <w:contextualSpacing/>
        <w:rPr>
          <w:rFonts w:ascii="仿宋" w:hAnsi="仿宋" w:eastAsia="仿宋" w:cs="仿宋"/>
          <w:color w:val="auto"/>
          <w:szCs w:val="21"/>
          <w:highlight w:val="none"/>
          <w:u w:val="single"/>
        </w:rPr>
      </w:pPr>
      <w:r>
        <w:rPr>
          <w:rFonts w:hint="eastAsia" w:ascii="仿宋" w:hAnsi="仿宋" w:eastAsia="仿宋" w:cs="仿宋"/>
          <w:color w:val="auto"/>
          <w:szCs w:val="21"/>
          <w:highlight w:val="none"/>
        </w:rPr>
        <w:t>10.5.1设备整体质保期：自货物通过最终验收起</w:t>
      </w:r>
      <w:bookmarkStart w:id="438" w:name="_Toc13888_WPSOffice_Level2"/>
      <w:bookmarkStart w:id="439" w:name="_Toc23969_WPSOffice_Level2"/>
      <w:bookmarkStart w:id="440" w:name="_Toc13461_WPSOffice_Level2"/>
      <w:bookmarkStart w:id="441" w:name="_Toc10903_WPSOffice_Level2"/>
      <w:r>
        <w:rPr>
          <w:rFonts w:hint="eastAsia" w:ascii="仿宋" w:hAnsi="仿宋" w:eastAsia="仿宋" w:cs="仿宋"/>
          <w:color w:val="auto"/>
          <w:szCs w:val="21"/>
          <w:highlight w:val="none"/>
          <w:u w:val="single"/>
          <w:lang w:val="en-US" w:eastAsia="zh-CN"/>
        </w:rPr>
        <w:t>3</w:t>
      </w:r>
      <w:r>
        <w:rPr>
          <w:rFonts w:hint="eastAsia" w:ascii="仿宋" w:hAnsi="仿宋" w:eastAsia="仿宋" w:cs="仿宋"/>
          <w:color w:val="auto"/>
          <w:szCs w:val="21"/>
          <w:highlight w:val="none"/>
          <w:u w:val="single"/>
        </w:rPr>
        <w:t>年</w:t>
      </w:r>
      <w:r>
        <w:rPr>
          <w:rFonts w:hint="eastAsia" w:ascii="仿宋" w:hAnsi="仿宋" w:eastAsia="仿宋" w:cs="仿宋"/>
          <w:color w:val="auto"/>
          <w:szCs w:val="21"/>
          <w:highlight w:val="none"/>
        </w:rPr>
        <w:t>，软件免费更新升级，硬件免费维护</w:t>
      </w:r>
      <w:r>
        <w:rPr>
          <w:rFonts w:hint="eastAsia" w:ascii="仿宋" w:hAnsi="仿宋" w:eastAsia="仿宋" w:cs="仿宋"/>
          <w:color w:val="auto"/>
          <w:szCs w:val="21"/>
          <w:highlight w:val="none"/>
          <w:u w:val="single"/>
        </w:rPr>
        <w:t>；</w:t>
      </w:r>
    </w:p>
    <w:p>
      <w:pPr>
        <w:pStyle w:val="2"/>
        <w:spacing w:line="360" w:lineRule="auto"/>
        <w:ind w:left="0" w:leftChars="0"/>
        <w:rPr>
          <w:rFonts w:eastAsia="仿宋"/>
          <w:color w:val="auto"/>
          <w:highlight w:val="none"/>
        </w:rPr>
      </w:pPr>
    </w:p>
    <w:p>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11、检验和验收：</w:t>
      </w:r>
      <w:bookmarkEnd w:id="438"/>
      <w:bookmarkEnd w:id="439"/>
      <w:bookmarkEnd w:id="440"/>
      <w:bookmarkEnd w:id="441"/>
    </w:p>
    <w:p>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11.2 货物运抵现场后，买方应在</w:t>
      </w:r>
      <w:r>
        <w:rPr>
          <w:rFonts w:hint="eastAsia" w:ascii="仿宋" w:hAnsi="仿宋" w:eastAsia="仿宋" w:cs="仿宋"/>
          <w:color w:val="auto"/>
          <w:szCs w:val="21"/>
          <w:highlight w:val="none"/>
          <w:u w:val="single"/>
        </w:rPr>
        <w:t xml:space="preserve">  5  </w:t>
      </w:r>
      <w:r>
        <w:rPr>
          <w:rFonts w:hint="eastAsia" w:ascii="仿宋" w:hAnsi="仿宋" w:eastAsia="仿宋" w:cs="仿宋"/>
          <w:color w:val="auto"/>
          <w:szCs w:val="21"/>
          <w:highlight w:val="none"/>
        </w:rPr>
        <w:t>天内组织验收.</w:t>
      </w:r>
    </w:p>
    <w:p>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验收时间：</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验收地点：</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验收程序：</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验收小组组成：</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验收小组制作验收备忘书，签署验收意见 。</w:t>
      </w:r>
    </w:p>
    <w:p>
      <w:pPr>
        <w:spacing w:line="360" w:lineRule="auto"/>
        <w:ind w:firstLine="420" w:firstLineChars="200"/>
        <w:contextualSpacing/>
        <w:rPr>
          <w:rFonts w:ascii="仿宋" w:hAnsi="仿宋" w:eastAsia="仿宋" w:cs="仿宋"/>
          <w:color w:val="auto"/>
          <w:szCs w:val="21"/>
          <w:highlight w:val="none"/>
        </w:rPr>
      </w:pPr>
      <w:bookmarkStart w:id="442" w:name="_Toc25228_WPSOffice_Level2"/>
      <w:bookmarkStart w:id="443" w:name="_Toc27817_WPSOffice_Level2"/>
      <w:bookmarkStart w:id="444" w:name="_Toc24041_WPSOffice_Level2"/>
      <w:bookmarkStart w:id="445" w:name="_Toc18031_WPSOffice_Level2"/>
      <w:r>
        <w:rPr>
          <w:rFonts w:hint="eastAsia" w:ascii="仿宋" w:hAnsi="仿宋" w:eastAsia="仿宋" w:cs="仿宋"/>
          <w:color w:val="auto"/>
          <w:szCs w:val="21"/>
          <w:highlight w:val="none"/>
        </w:rPr>
        <w:t>12、索赔：</w:t>
      </w:r>
      <w:bookmarkEnd w:id="442"/>
      <w:bookmarkEnd w:id="443"/>
      <w:bookmarkEnd w:id="444"/>
      <w:bookmarkEnd w:id="445"/>
    </w:p>
    <w:p>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12.3索赔通知期限：</w:t>
      </w:r>
      <w:r>
        <w:rPr>
          <w:rFonts w:hint="eastAsia" w:ascii="仿宋" w:hAnsi="仿宋" w:eastAsia="仿宋" w:cs="仿宋"/>
          <w:color w:val="auto"/>
          <w:szCs w:val="21"/>
          <w:highlight w:val="none"/>
          <w:u w:val="single"/>
        </w:rPr>
        <w:t xml:space="preserve">   7  </w:t>
      </w:r>
      <w:r>
        <w:rPr>
          <w:rFonts w:hint="eastAsia" w:ascii="仿宋" w:hAnsi="仿宋" w:eastAsia="仿宋" w:cs="仿宋"/>
          <w:color w:val="auto"/>
          <w:szCs w:val="21"/>
          <w:highlight w:val="none"/>
        </w:rPr>
        <w:t>天。</w:t>
      </w:r>
    </w:p>
    <w:p>
      <w:pPr>
        <w:spacing w:line="360" w:lineRule="auto"/>
        <w:ind w:firstLine="420" w:firstLineChars="200"/>
        <w:contextualSpacing/>
        <w:rPr>
          <w:rFonts w:ascii="仿宋" w:hAnsi="仿宋" w:eastAsia="仿宋" w:cs="仿宋"/>
          <w:color w:val="auto"/>
          <w:szCs w:val="21"/>
          <w:highlight w:val="none"/>
        </w:rPr>
      </w:pPr>
      <w:bookmarkStart w:id="446" w:name="_Toc9962_WPSOffice_Level3"/>
      <w:bookmarkStart w:id="447" w:name="_Toc5071_WPSOffice_Level3"/>
      <w:bookmarkStart w:id="448" w:name="_Toc9701_WPSOffice_Level3"/>
      <w:bookmarkStart w:id="449" w:name="_Toc28577_WPSOffice_Level3"/>
      <w:r>
        <w:rPr>
          <w:rFonts w:hint="eastAsia" w:ascii="仿宋" w:hAnsi="仿宋" w:eastAsia="仿宋" w:cs="仿宋"/>
          <w:color w:val="auto"/>
          <w:szCs w:val="21"/>
          <w:highlight w:val="none"/>
        </w:rPr>
        <w:t>15、不可抗力：</w:t>
      </w:r>
      <w:bookmarkEnd w:id="446"/>
      <w:bookmarkEnd w:id="447"/>
      <w:bookmarkEnd w:id="448"/>
      <w:bookmarkEnd w:id="449"/>
    </w:p>
    <w:p>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15.2受事故影响的一方应在不可抗力的事故发生后尽快书面形式通知另一方，并在事故发生后</w:t>
      </w:r>
      <w:r>
        <w:rPr>
          <w:rFonts w:hint="eastAsia" w:ascii="仿宋" w:hAnsi="仿宋" w:eastAsia="仿宋" w:cs="仿宋"/>
          <w:color w:val="auto"/>
          <w:szCs w:val="21"/>
          <w:highlight w:val="none"/>
          <w:u w:val="single"/>
        </w:rPr>
        <w:t xml:space="preserve">   2   </w:t>
      </w:r>
      <w:r>
        <w:rPr>
          <w:rFonts w:hint="eastAsia" w:ascii="仿宋" w:hAnsi="仿宋" w:eastAsia="仿宋" w:cs="仿宋"/>
          <w:color w:val="auto"/>
          <w:szCs w:val="21"/>
          <w:highlight w:val="none"/>
        </w:rPr>
        <w:t>天内，将有关部门出具的证明文件送达另一方。</w:t>
      </w:r>
    </w:p>
    <w:p>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15.3</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不可抗力使合同的某些内容有变更必要的， 双方应通过协商在</w:t>
      </w:r>
      <w:r>
        <w:rPr>
          <w:rFonts w:hint="eastAsia" w:ascii="仿宋" w:hAnsi="仿宋" w:eastAsia="仿宋" w:cs="仿宋"/>
          <w:color w:val="auto"/>
          <w:szCs w:val="21"/>
          <w:highlight w:val="none"/>
          <w:u w:val="single"/>
        </w:rPr>
        <w:t xml:space="preserve">  7  </w:t>
      </w:r>
      <w:r>
        <w:rPr>
          <w:rFonts w:hint="eastAsia" w:ascii="仿宋" w:hAnsi="仿宋" w:eastAsia="仿宋" w:cs="仿宋"/>
          <w:color w:val="auto"/>
          <w:szCs w:val="21"/>
          <w:highlight w:val="none"/>
        </w:rPr>
        <w:t>天内达成进一步履行合同的协议，因不可抗力致使合同不能履行的，合同终止。</w:t>
      </w:r>
    </w:p>
    <w:p>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17.1因合同履行中发生的争议，合同当事人双方可通过协商解决。协商不成的，应以以下第</w:t>
      </w:r>
      <w:r>
        <w:rPr>
          <w:rFonts w:hint="eastAsia" w:ascii="仿宋" w:hAnsi="仿宋" w:eastAsia="仿宋" w:cs="仿宋"/>
          <w:color w:val="auto"/>
          <w:szCs w:val="21"/>
          <w:highlight w:val="none"/>
          <w:u w:val="single"/>
        </w:rPr>
        <w:t xml:space="preserve">    2   </w:t>
      </w:r>
      <w:r>
        <w:rPr>
          <w:rFonts w:hint="eastAsia" w:ascii="仿宋" w:hAnsi="仿宋" w:eastAsia="仿宋" w:cs="仿宋"/>
          <w:color w:val="auto"/>
          <w:szCs w:val="21"/>
          <w:highlight w:val="none"/>
        </w:rPr>
        <w:t>种方式解决：</w:t>
      </w:r>
    </w:p>
    <w:p>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（1）提请当地仲裁委员会仲裁；</w:t>
      </w:r>
    </w:p>
    <w:p>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（2）向人民法院提起诉讼。</w:t>
      </w:r>
    </w:p>
    <w:p>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26、合同生效和其它</w:t>
      </w:r>
    </w:p>
    <w:p>
      <w:pPr>
        <w:spacing w:line="360" w:lineRule="auto"/>
        <w:ind w:firstLine="420" w:firstLineChars="200"/>
        <w:rPr>
          <w:rFonts w:ascii="仿宋" w:hAnsi="仿宋" w:eastAsia="仿宋" w:cs="仿宋"/>
          <w:bCs/>
          <w:color w:val="auto"/>
          <w:szCs w:val="21"/>
          <w:highlight w:val="none"/>
        </w:rPr>
      </w:pPr>
      <w:r>
        <w:rPr>
          <w:rFonts w:hint="eastAsia" w:ascii="仿宋" w:hAnsi="仿宋" w:eastAsia="仿宋" w:cs="仿宋"/>
          <w:color w:val="auto"/>
          <w:szCs w:val="21"/>
          <w:highlight w:val="none"/>
        </w:rPr>
        <w:t xml:space="preserve">26.2  </w:t>
      </w:r>
      <w:r>
        <w:rPr>
          <w:rFonts w:hint="eastAsia" w:ascii="仿宋" w:hAnsi="仿宋" w:eastAsia="仿宋" w:cs="仿宋"/>
          <w:bCs/>
          <w:color w:val="auto"/>
          <w:szCs w:val="21"/>
          <w:highlight w:val="none"/>
        </w:rPr>
        <w:t>本合同一式陆份，具有同等法律效力。买方执肆份，卖方执贰份。</w:t>
      </w:r>
    </w:p>
    <w:p>
      <w:pPr>
        <w:spacing w:line="240" w:lineRule="atLeast"/>
        <w:ind w:left="1080" w:leftChars="257" w:hanging="540"/>
        <w:rPr>
          <w:rFonts w:ascii="仿宋" w:hAnsi="仿宋" w:eastAsia="仿宋" w:cs="仿宋"/>
          <w:color w:val="auto"/>
          <w:sz w:val="24"/>
          <w:highlight w:val="none"/>
        </w:rPr>
      </w:pPr>
    </w:p>
    <w:p>
      <w:pPr>
        <w:spacing w:line="240" w:lineRule="atLeast"/>
        <w:ind w:left="1080" w:leftChars="257" w:hanging="540"/>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3"/>
        <w:spacing w:before="0" w:line="240" w:lineRule="atLeast"/>
        <w:rPr>
          <w:rFonts w:ascii="仿宋" w:hAnsi="仿宋" w:eastAsia="仿宋" w:cs="仿宋"/>
          <w:color w:val="auto"/>
          <w:szCs w:val="32"/>
          <w:highlight w:val="none"/>
        </w:rPr>
      </w:pPr>
      <w:bookmarkStart w:id="450" w:name="_Toc2582335"/>
      <w:bookmarkStart w:id="451" w:name="_Toc22311"/>
      <w:bookmarkStart w:id="452" w:name="_Toc507399906"/>
      <w:bookmarkStart w:id="453" w:name="_Toc216582825"/>
      <w:bookmarkStart w:id="454" w:name="_Toc219175638"/>
      <w:bookmarkStart w:id="455" w:name="_Toc218935354"/>
      <w:bookmarkStart w:id="456" w:name="_Toc512937852"/>
      <w:r>
        <w:rPr>
          <w:rFonts w:hint="eastAsia" w:ascii="仿宋" w:hAnsi="仿宋" w:eastAsia="仿宋" w:cs="仿宋"/>
          <w:color w:val="auto"/>
          <w:szCs w:val="32"/>
          <w:highlight w:val="none"/>
        </w:rPr>
        <w:t xml:space="preserve">第八章  </w:t>
      </w:r>
      <w:bookmarkEnd w:id="450"/>
      <w:r>
        <w:rPr>
          <w:rFonts w:hint="eastAsia" w:ascii="仿宋" w:hAnsi="仿宋" w:eastAsia="仿宋" w:cs="仿宋"/>
          <w:color w:val="auto"/>
          <w:szCs w:val="32"/>
          <w:highlight w:val="none"/>
        </w:rPr>
        <w:t>采购需求</w:t>
      </w:r>
      <w:bookmarkEnd w:id="451"/>
    </w:p>
    <w:bookmarkEnd w:id="452"/>
    <w:bookmarkEnd w:id="453"/>
    <w:bookmarkEnd w:id="454"/>
    <w:bookmarkEnd w:id="455"/>
    <w:p>
      <w:pPr>
        <w:pStyle w:val="4"/>
        <w:bidi w:val="0"/>
        <w:jc w:val="left"/>
        <w:rPr>
          <w:rFonts w:hint="eastAsia" w:ascii="仿宋" w:hAnsi="仿宋" w:eastAsia="仿宋" w:cs="仿宋"/>
          <w:sz w:val="21"/>
          <w:szCs w:val="21"/>
        </w:rPr>
      </w:pPr>
      <w:bookmarkStart w:id="457" w:name="_Toc24946"/>
      <w:r>
        <w:rPr>
          <w:rFonts w:hint="eastAsia" w:ascii="仿宋" w:hAnsi="仿宋" w:eastAsia="仿宋" w:cs="仿宋"/>
          <w:sz w:val="21"/>
          <w:szCs w:val="21"/>
        </w:rPr>
        <w:t>一、标的物清单</w:t>
      </w:r>
      <w:bookmarkEnd w:id="457"/>
    </w:p>
    <w:tbl>
      <w:tblPr>
        <w:tblStyle w:val="20"/>
        <w:tblW w:w="8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992"/>
        <w:gridCol w:w="2471"/>
        <w:gridCol w:w="1276"/>
        <w:gridCol w:w="1276"/>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项目名称</w:t>
            </w:r>
          </w:p>
        </w:tc>
        <w:tc>
          <w:tcPr>
            <w:tcW w:w="992"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数量</w:t>
            </w:r>
          </w:p>
        </w:tc>
        <w:tc>
          <w:tcPr>
            <w:tcW w:w="2471"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简要要求</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是否接受进口产品</w:t>
            </w:r>
          </w:p>
        </w:tc>
        <w:tc>
          <w:tcPr>
            <w:tcW w:w="1276"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单价</w:t>
            </w:r>
          </w:p>
        </w:tc>
        <w:tc>
          <w:tcPr>
            <w:tcW w:w="1275" w:type="dxa"/>
            <w:tcBorders>
              <w:top w:val="single" w:color="auto" w:sz="4" w:space="0"/>
              <w:left w:val="single" w:color="auto" w:sz="4" w:space="0"/>
              <w:bottom w:val="single" w:color="auto" w:sz="4" w:space="0"/>
              <w:right w:val="single" w:color="auto" w:sz="4" w:space="0"/>
            </w:tcBorders>
            <w:vAlign w:val="center"/>
          </w:tcPr>
          <w:p>
            <w:pPr>
              <w:tabs>
                <w:tab w:val="left" w:pos="720"/>
              </w:tabs>
              <w:spacing w:line="360" w:lineRule="auto"/>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实验终端</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30</w:t>
            </w:r>
            <w:r>
              <w:rPr>
                <w:rFonts w:ascii="仿宋" w:hAnsi="仿宋" w:eastAsia="仿宋" w:cs="仿宋"/>
                <w:color w:val="auto"/>
                <w:szCs w:val="21"/>
                <w:highlight w:val="none"/>
              </w:rPr>
              <w:t>套</w:t>
            </w:r>
          </w:p>
        </w:tc>
        <w:tc>
          <w:tcPr>
            <w:tcW w:w="247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包括</w:t>
            </w:r>
          </w:p>
          <w:p>
            <w:pP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本项目采购设备主要用于本科生日常实验教学。单套终端包含PC机在内的其他硬软件设备，如显示器、外接设备、电源、网卡、网线、拖线板以及相应的应用软件等。</w:t>
            </w:r>
          </w:p>
        </w:tc>
        <w:tc>
          <w:tcPr>
            <w:tcW w:w="1276" w:type="dxa"/>
            <w:tcBorders>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否</w:t>
            </w:r>
          </w:p>
        </w:tc>
        <w:tc>
          <w:tcPr>
            <w:tcW w:w="1276" w:type="dxa"/>
            <w:tcBorders>
              <w:left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Cs w:val="21"/>
                <w:highlight w:val="none"/>
              </w:rPr>
            </w:pPr>
          </w:p>
        </w:tc>
        <w:tc>
          <w:tcPr>
            <w:tcW w:w="127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仿宋" w:hAnsi="仿宋" w:eastAsia="仿宋" w:cs="仿宋"/>
                <w:color w:val="auto"/>
                <w:szCs w:val="21"/>
                <w:highlight w:val="none"/>
              </w:rPr>
            </w:pPr>
          </w:p>
        </w:tc>
      </w:tr>
    </w:tbl>
    <w:p>
      <w:pPr>
        <w:pStyle w:val="5"/>
        <w:spacing w:line="360" w:lineRule="auto"/>
        <w:rPr>
          <w:rFonts w:ascii="Calibri" w:hAnsi="Calibri" w:eastAsia="仿宋"/>
          <w:b/>
          <w:bCs/>
          <w:color w:val="auto"/>
          <w:highlight w:val="none"/>
        </w:rPr>
      </w:pPr>
    </w:p>
    <w:p>
      <w:pPr>
        <w:pStyle w:val="4"/>
        <w:bidi w:val="0"/>
        <w:jc w:val="left"/>
        <w:rPr>
          <w:rFonts w:hint="eastAsia" w:ascii="仿宋" w:hAnsi="仿宋" w:eastAsia="仿宋" w:cs="仿宋"/>
          <w:sz w:val="21"/>
          <w:szCs w:val="21"/>
        </w:rPr>
      </w:pPr>
      <w:bookmarkStart w:id="458" w:name="_Toc26654"/>
      <w:r>
        <w:rPr>
          <w:rFonts w:hint="eastAsia" w:ascii="仿宋" w:hAnsi="仿宋" w:eastAsia="仿宋" w:cs="仿宋"/>
          <w:sz w:val="21"/>
          <w:szCs w:val="21"/>
        </w:rPr>
        <w:t>二、详细技术参数及规格要求</w:t>
      </w:r>
      <w:bookmarkEnd w:id="458"/>
    </w:p>
    <w:p>
      <w:pPr>
        <w:spacing w:line="440" w:lineRule="exact"/>
        <w:ind w:firstLine="315" w:firstLineChars="150"/>
        <w:rPr>
          <w:rFonts w:hint="eastAsia" w:ascii="仿宋" w:hAnsi="仿宋" w:eastAsia="仿宋" w:cs="仿宋"/>
          <w:sz w:val="21"/>
          <w:szCs w:val="21"/>
        </w:rPr>
      </w:pPr>
      <w:r>
        <w:rPr>
          <w:rFonts w:hint="eastAsia" w:ascii="仿宋" w:hAnsi="仿宋" w:eastAsia="仿宋" w:cs="仿宋"/>
          <w:kern w:val="0"/>
          <w:sz w:val="21"/>
          <w:szCs w:val="21"/>
        </w:rPr>
        <w:t>★</w:t>
      </w:r>
      <w:r>
        <w:rPr>
          <w:rFonts w:hint="eastAsia" w:ascii="仿宋" w:hAnsi="仿宋" w:eastAsia="仿宋" w:cs="仿宋"/>
          <w:sz w:val="21"/>
          <w:szCs w:val="21"/>
        </w:rPr>
        <w:t>主要技术指标：</w:t>
      </w:r>
    </w:p>
    <w:p>
      <w:pPr>
        <w:spacing w:line="440" w:lineRule="exact"/>
        <w:ind w:firstLine="315" w:firstLineChars="150"/>
        <w:rPr>
          <w:rFonts w:hint="eastAsia" w:ascii="仿宋" w:hAnsi="仿宋" w:eastAsia="仿宋" w:cs="仿宋"/>
          <w:sz w:val="21"/>
          <w:szCs w:val="21"/>
        </w:rPr>
      </w:pPr>
      <w:r>
        <w:rPr>
          <w:rFonts w:hint="eastAsia" w:ascii="仿宋" w:hAnsi="仿宋" w:eastAsia="仿宋" w:cs="仿宋"/>
          <w:sz w:val="21"/>
          <w:szCs w:val="21"/>
        </w:rPr>
        <w:t>（1）CPU：Intel Core i5-12500 处理器（6核,3.0GHz 主频,18MB 缓存,7纳米制程）；</w:t>
      </w:r>
    </w:p>
    <w:p>
      <w:pPr>
        <w:spacing w:line="440" w:lineRule="exact"/>
        <w:ind w:firstLine="315" w:firstLineChars="150"/>
        <w:rPr>
          <w:rFonts w:hint="eastAsia" w:ascii="仿宋" w:hAnsi="仿宋" w:eastAsia="仿宋" w:cs="仿宋"/>
          <w:sz w:val="21"/>
          <w:szCs w:val="21"/>
        </w:rPr>
      </w:pPr>
      <w:r>
        <w:rPr>
          <w:rFonts w:hint="eastAsia" w:ascii="仿宋" w:hAnsi="仿宋" w:eastAsia="仿宋" w:cs="仿宋"/>
          <w:sz w:val="21"/>
          <w:szCs w:val="21"/>
        </w:rPr>
        <w:t>（2）主板：B660 6个USB3.2，3个PCIe 插槽，1 个原生态全高PCI 插槽；1 个M.2 插槽；</w:t>
      </w:r>
    </w:p>
    <w:p>
      <w:pPr>
        <w:spacing w:line="440" w:lineRule="exact"/>
        <w:ind w:firstLine="315" w:firstLineChars="150"/>
        <w:rPr>
          <w:rFonts w:hint="eastAsia" w:ascii="仿宋" w:hAnsi="仿宋" w:eastAsia="仿宋" w:cs="仿宋"/>
          <w:sz w:val="21"/>
          <w:szCs w:val="21"/>
        </w:rPr>
      </w:pPr>
      <w:r>
        <w:rPr>
          <w:rFonts w:hint="eastAsia" w:ascii="仿宋" w:hAnsi="仿宋" w:eastAsia="仿宋" w:cs="仿宋"/>
          <w:sz w:val="21"/>
          <w:szCs w:val="21"/>
        </w:rPr>
        <w:t>（3）内存：单根 8GB 3200MHzDDR4 内存；</w:t>
      </w:r>
    </w:p>
    <w:p>
      <w:pPr>
        <w:spacing w:line="440" w:lineRule="exact"/>
        <w:ind w:firstLine="315" w:firstLineChars="150"/>
        <w:rPr>
          <w:rFonts w:hint="eastAsia" w:ascii="仿宋" w:hAnsi="仿宋" w:eastAsia="仿宋" w:cs="仿宋"/>
          <w:sz w:val="21"/>
          <w:szCs w:val="21"/>
        </w:rPr>
      </w:pPr>
      <w:r>
        <w:rPr>
          <w:rFonts w:hint="eastAsia" w:ascii="仿宋" w:hAnsi="仿宋" w:eastAsia="仿宋" w:cs="仿宋"/>
          <w:sz w:val="21"/>
          <w:szCs w:val="21"/>
        </w:rPr>
        <w:t>（4）硬盘：512GB SSD，M.2接口，NVMe协议；</w:t>
      </w:r>
    </w:p>
    <w:p>
      <w:pPr>
        <w:spacing w:line="440" w:lineRule="exact"/>
        <w:ind w:firstLine="315" w:firstLineChars="150"/>
        <w:rPr>
          <w:rFonts w:hint="eastAsia" w:ascii="仿宋" w:hAnsi="仿宋" w:eastAsia="仿宋" w:cs="仿宋"/>
          <w:sz w:val="21"/>
          <w:szCs w:val="21"/>
        </w:rPr>
      </w:pPr>
      <w:r>
        <w:rPr>
          <w:rFonts w:hint="eastAsia" w:ascii="仿宋" w:hAnsi="仿宋" w:eastAsia="仿宋" w:cs="仿宋"/>
          <w:sz w:val="21"/>
          <w:szCs w:val="21"/>
        </w:rPr>
        <w:t>（5）显卡：集成显卡1个HDMI 接口；1 个VGA 接口；</w:t>
      </w:r>
    </w:p>
    <w:p>
      <w:pPr>
        <w:spacing w:line="440" w:lineRule="exact"/>
        <w:ind w:firstLine="315" w:firstLineChars="150"/>
        <w:rPr>
          <w:rFonts w:hint="eastAsia" w:ascii="仿宋" w:hAnsi="仿宋" w:eastAsia="仿宋" w:cs="仿宋"/>
          <w:sz w:val="21"/>
          <w:szCs w:val="21"/>
        </w:rPr>
      </w:pPr>
      <w:r>
        <w:rPr>
          <w:rFonts w:hint="eastAsia" w:ascii="仿宋" w:hAnsi="仿宋" w:eastAsia="仿宋" w:cs="仿宋"/>
          <w:sz w:val="21"/>
          <w:szCs w:val="21"/>
        </w:rPr>
        <w:t>（6）网卡：10/100/1000M以太网口；</w:t>
      </w:r>
    </w:p>
    <w:p>
      <w:pPr>
        <w:spacing w:line="440" w:lineRule="exact"/>
        <w:ind w:firstLine="315" w:firstLineChars="150"/>
        <w:rPr>
          <w:rFonts w:hint="eastAsia" w:ascii="仿宋" w:hAnsi="仿宋" w:eastAsia="仿宋" w:cs="仿宋"/>
          <w:sz w:val="21"/>
          <w:szCs w:val="21"/>
        </w:rPr>
      </w:pPr>
      <w:r>
        <w:rPr>
          <w:rFonts w:hint="eastAsia" w:ascii="仿宋" w:hAnsi="仿宋" w:eastAsia="仿宋" w:cs="仿宋"/>
          <w:sz w:val="21"/>
          <w:szCs w:val="21"/>
        </w:rPr>
        <w:t>（7）键鼠：USB 键盘、光电鼠标;</w:t>
      </w:r>
    </w:p>
    <w:p>
      <w:pPr>
        <w:spacing w:line="440" w:lineRule="exact"/>
        <w:ind w:firstLine="315" w:firstLineChars="150"/>
        <w:rPr>
          <w:rFonts w:hint="eastAsia" w:ascii="仿宋" w:hAnsi="仿宋" w:eastAsia="仿宋" w:cs="仿宋"/>
          <w:sz w:val="21"/>
          <w:szCs w:val="21"/>
        </w:rPr>
      </w:pPr>
      <w:r>
        <w:rPr>
          <w:rFonts w:hint="eastAsia" w:ascii="仿宋" w:hAnsi="仿宋" w:eastAsia="仿宋" w:cs="仿宋"/>
          <w:sz w:val="21"/>
          <w:szCs w:val="21"/>
        </w:rPr>
        <w:t>（8）电源：260W 90%（与设备相匹配的功率标准）；</w:t>
      </w:r>
    </w:p>
    <w:p>
      <w:pPr>
        <w:spacing w:line="440" w:lineRule="exact"/>
        <w:ind w:firstLine="315" w:firstLineChars="150"/>
        <w:rPr>
          <w:rFonts w:hint="eastAsia" w:ascii="仿宋" w:hAnsi="仿宋" w:eastAsia="仿宋" w:cs="仿宋"/>
          <w:sz w:val="21"/>
          <w:szCs w:val="21"/>
        </w:rPr>
      </w:pPr>
      <w:r>
        <w:rPr>
          <w:rFonts w:hint="eastAsia" w:ascii="仿宋" w:hAnsi="仿宋" w:eastAsia="仿宋" w:cs="仿宋"/>
          <w:sz w:val="21"/>
          <w:szCs w:val="21"/>
        </w:rPr>
        <w:t>（9）显示器：同品牌21.5寸显示器，低蓝光护眼，响应时间≤2Ms；</w:t>
      </w:r>
    </w:p>
    <w:p>
      <w:pPr>
        <w:spacing w:line="440" w:lineRule="exact"/>
        <w:ind w:firstLine="315" w:firstLineChars="150"/>
        <w:rPr>
          <w:rFonts w:hint="eastAsia" w:ascii="仿宋" w:hAnsi="仿宋" w:eastAsia="仿宋" w:cs="仿宋"/>
          <w:sz w:val="21"/>
          <w:szCs w:val="21"/>
        </w:rPr>
      </w:pPr>
      <w:r>
        <w:rPr>
          <w:rFonts w:hint="eastAsia" w:ascii="仿宋" w:hAnsi="仿宋" w:eastAsia="仿宋" w:cs="仿宋"/>
          <w:sz w:val="21"/>
          <w:szCs w:val="21"/>
        </w:rPr>
        <w:t>（10）质保：快速修复：原厂承诺1个自然日修复，如未按时修复，每延长1 个自然日延长此机器一个月保修期（投标人提供原厂质保承诺并加盖投标人公章）；</w:t>
      </w:r>
    </w:p>
    <w:p>
      <w:pPr>
        <w:spacing w:line="440" w:lineRule="exact"/>
        <w:ind w:firstLine="315" w:firstLineChars="150"/>
        <w:rPr>
          <w:rFonts w:hint="eastAsia" w:ascii="仿宋" w:hAnsi="仿宋" w:eastAsia="仿宋" w:cs="仿宋"/>
          <w:sz w:val="21"/>
          <w:szCs w:val="21"/>
        </w:rPr>
      </w:pPr>
      <w:r>
        <w:rPr>
          <w:rFonts w:hint="eastAsia" w:ascii="仿宋" w:hAnsi="仿宋" w:eastAsia="仿宋" w:cs="仿宋"/>
          <w:sz w:val="21"/>
          <w:szCs w:val="21"/>
        </w:rPr>
        <w:t>（11）机房还原系统：出厂预装同传软件，支持混合硬盘，系统实现同传和增量同传。</w:t>
      </w:r>
    </w:p>
    <w:p>
      <w:pPr>
        <w:pStyle w:val="2"/>
        <w:ind w:left="0" w:leftChars="0" w:firstLine="0" w:firstLineChars="0"/>
        <w:rPr>
          <w:rFonts w:hint="eastAsia"/>
        </w:rPr>
      </w:pPr>
    </w:p>
    <w:p>
      <w:pPr>
        <w:spacing w:line="440" w:lineRule="exact"/>
        <w:ind w:firstLine="315" w:firstLineChars="150"/>
        <w:rPr>
          <w:rFonts w:hint="eastAsia" w:ascii="仿宋" w:hAnsi="仿宋" w:eastAsia="仿宋" w:cs="仿宋"/>
          <w:kern w:val="0"/>
          <w:sz w:val="21"/>
          <w:szCs w:val="21"/>
        </w:rPr>
      </w:pPr>
      <w:r>
        <w:rPr>
          <w:rFonts w:hint="eastAsia" w:ascii="仿宋" w:hAnsi="仿宋" w:eastAsia="仿宋" w:cs="仿宋"/>
          <w:kern w:val="0"/>
          <w:sz w:val="21"/>
          <w:szCs w:val="21"/>
        </w:rPr>
        <w:t>★提供调试服务，上门安装服务，包括但不限于系统、采购方指定的软件等；</w:t>
      </w:r>
    </w:p>
    <w:p>
      <w:pPr>
        <w:spacing w:line="440" w:lineRule="exact"/>
        <w:ind w:firstLine="315" w:firstLineChars="150"/>
        <w:rPr>
          <w:rFonts w:hint="eastAsia" w:ascii="仿宋" w:hAnsi="仿宋" w:eastAsia="仿宋" w:cs="仿宋"/>
          <w:kern w:val="0"/>
          <w:sz w:val="21"/>
          <w:szCs w:val="21"/>
        </w:rPr>
      </w:pPr>
      <w:r>
        <w:rPr>
          <w:rFonts w:hint="eastAsia" w:ascii="仿宋" w:hAnsi="仿宋" w:eastAsia="仿宋" w:cs="仿宋"/>
          <w:kern w:val="0"/>
          <w:sz w:val="21"/>
          <w:szCs w:val="21"/>
        </w:rPr>
        <w:t>★不接受进口产品投标。（注：本文件所称进口产品是指通过中国海关报关验放进入中国境内且产自关境外的产品）；</w:t>
      </w:r>
    </w:p>
    <w:p>
      <w:pPr>
        <w:spacing w:line="440" w:lineRule="exact"/>
        <w:ind w:firstLine="315" w:firstLineChars="150"/>
        <w:rPr>
          <w:rFonts w:hint="eastAsia" w:ascii="仿宋" w:hAnsi="仿宋" w:eastAsia="仿宋" w:cs="仿宋"/>
          <w:kern w:val="0"/>
          <w:sz w:val="21"/>
          <w:szCs w:val="21"/>
        </w:rPr>
      </w:pPr>
      <w:r>
        <w:rPr>
          <w:rFonts w:hint="eastAsia" w:ascii="仿宋" w:hAnsi="仿宋" w:eastAsia="仿宋" w:cs="仿宋"/>
          <w:kern w:val="0"/>
          <w:sz w:val="21"/>
          <w:szCs w:val="21"/>
        </w:rPr>
        <w:t>★设备品牌必须为中国自主品牌；</w:t>
      </w:r>
    </w:p>
    <w:p>
      <w:pPr>
        <w:spacing w:line="440" w:lineRule="exact"/>
        <w:ind w:firstLine="315" w:firstLineChars="150"/>
        <w:rPr>
          <w:rFonts w:hint="eastAsia" w:ascii="仿宋" w:hAnsi="仿宋" w:eastAsia="仿宋" w:cs="仿宋"/>
          <w:sz w:val="21"/>
          <w:szCs w:val="21"/>
        </w:rPr>
      </w:pPr>
    </w:p>
    <w:p>
      <w:pPr>
        <w:pStyle w:val="4"/>
        <w:pageBreakBefore/>
        <w:spacing w:before="0" w:line="360" w:lineRule="auto"/>
        <w:jc w:val="left"/>
        <w:rPr>
          <w:rFonts w:ascii="Calibri" w:hAnsi="Calibri" w:eastAsia="仿宋"/>
          <w:bCs/>
          <w:color w:val="auto"/>
          <w:kern w:val="2"/>
          <w:sz w:val="21"/>
          <w:szCs w:val="24"/>
          <w:highlight w:val="none"/>
        </w:rPr>
      </w:pPr>
      <w:bookmarkStart w:id="459" w:name="_Toc17699"/>
      <w:r>
        <w:rPr>
          <w:rFonts w:hint="eastAsia" w:ascii="Calibri" w:hAnsi="Calibri" w:eastAsia="仿宋"/>
          <w:bCs/>
          <w:color w:val="auto"/>
          <w:kern w:val="2"/>
          <w:sz w:val="21"/>
          <w:szCs w:val="24"/>
          <w:highlight w:val="none"/>
        </w:rPr>
        <w:t>三、商务需求</w:t>
      </w:r>
      <w:bookmarkEnd w:id="459"/>
    </w:p>
    <w:p>
      <w:pPr>
        <w:spacing w:line="360" w:lineRule="auto"/>
        <w:rPr>
          <w:rFonts w:hint="eastAsia" w:ascii="仿宋" w:hAnsi="仿宋" w:eastAsia="仿宋" w:cs="仿宋"/>
          <w:color w:val="auto"/>
          <w:szCs w:val="21"/>
          <w:highlight w:val="none"/>
          <w:lang w:eastAsia="zh-CN"/>
        </w:rPr>
      </w:pPr>
      <w:r>
        <w:rPr>
          <w:rFonts w:ascii="仿宋" w:hAnsi="仿宋" w:eastAsia="仿宋" w:cs="仿宋"/>
          <w:color w:val="auto"/>
          <w:szCs w:val="21"/>
          <w:highlight w:val="none"/>
        </w:rPr>
        <w:t>1、项目建设目标：</w:t>
      </w:r>
      <w:r>
        <w:rPr>
          <w:rFonts w:hint="eastAsia" w:ascii="仿宋" w:hAnsi="仿宋" w:eastAsia="仿宋" w:cs="仿宋"/>
          <w:color w:val="auto"/>
          <w:szCs w:val="21"/>
          <w:highlight w:val="none"/>
          <w:lang w:eastAsia="zh-CN"/>
        </w:rPr>
        <w:t>本项目采购设备主要用于本科生日常实验教学。单套终端包含PC机在内的其他硬软件设备，如显示器、外接设备、电源、网卡、网线、拖线板以及相应的应用软件等。</w:t>
      </w:r>
    </w:p>
    <w:p>
      <w:pPr>
        <w:spacing w:line="360" w:lineRule="auto"/>
        <w:rPr>
          <w:rFonts w:ascii="仿宋" w:hAnsi="仿宋" w:eastAsia="仿宋" w:cs="仿宋"/>
          <w:color w:val="auto"/>
          <w:szCs w:val="21"/>
          <w:highlight w:val="none"/>
        </w:rPr>
      </w:pPr>
      <w:r>
        <w:rPr>
          <w:rFonts w:ascii="仿宋" w:hAnsi="仿宋" w:eastAsia="仿宋" w:cs="仿宋"/>
          <w:color w:val="auto"/>
          <w:szCs w:val="21"/>
          <w:highlight w:val="none"/>
        </w:rPr>
        <w:t>2、相关标准及规范</w:t>
      </w:r>
    </w:p>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符合各项</w:t>
      </w:r>
      <w:r>
        <w:rPr>
          <w:rFonts w:ascii="仿宋" w:hAnsi="仿宋" w:eastAsia="仿宋" w:cs="仿宋"/>
          <w:color w:val="auto"/>
          <w:szCs w:val="21"/>
          <w:highlight w:val="none"/>
        </w:rPr>
        <w:t>国家</w:t>
      </w:r>
      <w:r>
        <w:rPr>
          <w:rFonts w:hint="eastAsia" w:ascii="仿宋" w:hAnsi="仿宋" w:eastAsia="仿宋" w:cs="仿宋"/>
          <w:color w:val="auto"/>
          <w:szCs w:val="21"/>
          <w:highlight w:val="none"/>
        </w:rPr>
        <w:t>标准</w:t>
      </w:r>
      <w:r>
        <w:rPr>
          <w:rFonts w:ascii="仿宋" w:hAnsi="仿宋" w:eastAsia="仿宋" w:cs="仿宋"/>
          <w:color w:val="auto"/>
          <w:szCs w:val="21"/>
          <w:highlight w:val="none"/>
        </w:rPr>
        <w:t>和规范，可以在</w:t>
      </w:r>
      <w:r>
        <w:rPr>
          <w:rFonts w:hint="eastAsia" w:ascii="仿宋" w:hAnsi="仿宋" w:eastAsia="仿宋" w:cs="仿宋"/>
          <w:color w:val="auto"/>
          <w:szCs w:val="21"/>
          <w:highlight w:val="none"/>
        </w:rPr>
        <w:t>南京理工大学现有</w:t>
      </w:r>
      <w:r>
        <w:rPr>
          <w:rFonts w:ascii="仿宋" w:hAnsi="仿宋" w:eastAsia="仿宋" w:cs="仿宋"/>
          <w:color w:val="auto"/>
          <w:szCs w:val="21"/>
          <w:highlight w:val="none"/>
        </w:rPr>
        <w:t>条件下稳定运行。</w:t>
      </w:r>
    </w:p>
    <w:p>
      <w:pPr>
        <w:spacing w:line="360" w:lineRule="auto"/>
        <w:rPr>
          <w:rFonts w:ascii="仿宋" w:hAnsi="仿宋" w:eastAsia="仿宋" w:cs="仿宋"/>
          <w:color w:val="auto"/>
          <w:szCs w:val="21"/>
          <w:highlight w:val="none"/>
        </w:rPr>
      </w:pPr>
      <w:r>
        <w:rPr>
          <w:rFonts w:ascii="仿宋" w:hAnsi="仿宋" w:eastAsia="仿宋" w:cs="仿宋"/>
          <w:color w:val="auto"/>
          <w:szCs w:val="21"/>
          <w:highlight w:val="none"/>
        </w:rPr>
        <w:t>3、质量、安全、技术规格、物理特性等要求</w:t>
      </w:r>
    </w:p>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符合各项</w:t>
      </w:r>
      <w:r>
        <w:rPr>
          <w:rFonts w:ascii="仿宋" w:hAnsi="仿宋" w:eastAsia="仿宋" w:cs="仿宋"/>
          <w:color w:val="auto"/>
          <w:szCs w:val="21"/>
          <w:highlight w:val="none"/>
        </w:rPr>
        <w:t>国家</w:t>
      </w:r>
      <w:r>
        <w:rPr>
          <w:rFonts w:hint="eastAsia" w:ascii="仿宋" w:hAnsi="仿宋" w:eastAsia="仿宋" w:cs="仿宋"/>
          <w:color w:val="auto"/>
          <w:szCs w:val="21"/>
          <w:highlight w:val="none"/>
        </w:rPr>
        <w:t>质量</w:t>
      </w:r>
      <w:r>
        <w:rPr>
          <w:rFonts w:ascii="仿宋" w:hAnsi="仿宋" w:eastAsia="仿宋" w:cs="仿宋"/>
          <w:color w:val="auto"/>
          <w:szCs w:val="21"/>
          <w:highlight w:val="none"/>
        </w:rPr>
        <w:t>和安全</w:t>
      </w:r>
      <w:r>
        <w:rPr>
          <w:rFonts w:hint="eastAsia" w:ascii="仿宋" w:hAnsi="仿宋" w:eastAsia="仿宋" w:cs="仿宋"/>
          <w:color w:val="auto"/>
          <w:szCs w:val="21"/>
          <w:highlight w:val="none"/>
        </w:rPr>
        <w:t>标准，</w:t>
      </w:r>
      <w:r>
        <w:rPr>
          <w:rFonts w:ascii="仿宋" w:hAnsi="仿宋" w:eastAsia="仿宋" w:cs="仿宋"/>
          <w:color w:val="auto"/>
          <w:szCs w:val="21"/>
          <w:highlight w:val="none"/>
        </w:rPr>
        <w:t>可以在</w:t>
      </w:r>
      <w:r>
        <w:rPr>
          <w:rFonts w:hint="eastAsia" w:ascii="仿宋" w:hAnsi="仿宋" w:eastAsia="仿宋" w:cs="仿宋"/>
          <w:color w:val="auto"/>
          <w:szCs w:val="21"/>
          <w:highlight w:val="none"/>
        </w:rPr>
        <w:t>现有</w:t>
      </w:r>
      <w:r>
        <w:rPr>
          <w:rFonts w:ascii="仿宋" w:hAnsi="仿宋" w:eastAsia="仿宋" w:cs="仿宋"/>
          <w:color w:val="auto"/>
          <w:szCs w:val="21"/>
          <w:highlight w:val="none"/>
        </w:rPr>
        <w:t>条件下</w:t>
      </w:r>
      <w:r>
        <w:rPr>
          <w:rFonts w:hint="eastAsia" w:ascii="仿宋" w:hAnsi="仿宋" w:eastAsia="仿宋" w:cs="仿宋"/>
          <w:color w:val="auto"/>
          <w:szCs w:val="21"/>
          <w:highlight w:val="none"/>
        </w:rPr>
        <w:t>安全</w:t>
      </w:r>
      <w:r>
        <w:rPr>
          <w:rFonts w:ascii="仿宋" w:hAnsi="仿宋" w:eastAsia="仿宋" w:cs="仿宋"/>
          <w:color w:val="auto"/>
          <w:szCs w:val="21"/>
          <w:highlight w:val="none"/>
        </w:rPr>
        <w:t>稳定运行</w:t>
      </w:r>
      <w:r>
        <w:rPr>
          <w:rFonts w:hint="eastAsia" w:ascii="仿宋" w:hAnsi="仿宋" w:eastAsia="仿宋" w:cs="仿宋"/>
          <w:color w:val="auto"/>
          <w:szCs w:val="21"/>
          <w:highlight w:val="none"/>
        </w:rPr>
        <w:t>。</w:t>
      </w:r>
    </w:p>
    <w:p>
      <w:pPr>
        <w:spacing w:line="360" w:lineRule="auto"/>
        <w:rPr>
          <w:rFonts w:ascii="仿宋" w:hAnsi="仿宋" w:eastAsia="仿宋" w:cs="仿宋"/>
          <w:color w:val="auto"/>
          <w:szCs w:val="21"/>
          <w:highlight w:val="none"/>
        </w:rPr>
      </w:pPr>
      <w:r>
        <w:rPr>
          <w:rFonts w:ascii="仿宋" w:hAnsi="仿宋" w:eastAsia="仿宋" w:cs="仿宋"/>
          <w:color w:val="auto"/>
          <w:szCs w:val="21"/>
          <w:highlight w:val="none"/>
        </w:rPr>
        <w:t>4</w:t>
      </w:r>
      <w:r>
        <w:rPr>
          <w:rFonts w:hint="eastAsia" w:ascii="仿宋" w:hAnsi="仿宋" w:eastAsia="仿宋" w:cs="仿宋"/>
          <w:color w:val="auto"/>
          <w:szCs w:val="21"/>
          <w:highlight w:val="none"/>
        </w:rPr>
        <w:t>、货物数量、交付时间和地点：</w:t>
      </w:r>
    </w:p>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货物数量：</w:t>
      </w:r>
      <w:r>
        <w:rPr>
          <w:rFonts w:hint="eastAsia" w:ascii="仿宋" w:hAnsi="仿宋" w:eastAsia="仿宋" w:cs="仿宋"/>
          <w:color w:val="auto"/>
          <w:szCs w:val="21"/>
          <w:highlight w:val="none"/>
          <w:lang w:val="en-US" w:eastAsia="zh-CN"/>
        </w:rPr>
        <w:t>30</w:t>
      </w:r>
      <w:r>
        <w:rPr>
          <w:rFonts w:ascii="仿宋" w:hAnsi="仿宋" w:eastAsia="仿宋" w:cs="仿宋"/>
          <w:color w:val="auto"/>
          <w:szCs w:val="21"/>
          <w:highlight w:val="none"/>
        </w:rPr>
        <w:t>台套；</w:t>
      </w:r>
    </w:p>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交货时间：合同生效后</w:t>
      </w:r>
      <w:r>
        <w:rPr>
          <w:rFonts w:hint="eastAsia" w:ascii="仿宋" w:hAnsi="仿宋" w:eastAsia="仿宋" w:cs="仿宋"/>
          <w:color w:val="auto"/>
          <w:szCs w:val="21"/>
          <w:highlight w:val="none"/>
          <w:lang w:val="en-US" w:eastAsia="zh-CN"/>
        </w:rPr>
        <w:t>30日历天</w:t>
      </w:r>
      <w:r>
        <w:rPr>
          <w:rFonts w:hint="eastAsia" w:ascii="仿宋" w:hAnsi="仿宋" w:eastAsia="仿宋" w:cs="仿宋"/>
          <w:color w:val="auto"/>
          <w:szCs w:val="21"/>
          <w:highlight w:val="none"/>
        </w:rPr>
        <w:t>内；</w:t>
      </w:r>
    </w:p>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交货地点：南京理工大学江阴校区指定地点。</w:t>
      </w:r>
    </w:p>
    <w:p>
      <w:pPr>
        <w:spacing w:line="36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5、付款方式：货物安装调试、项目验收合格、交付使用后，乙方将合同价的30%作为验收履约保证金交由甲方，甲方支付乙方100%货款，试运行6个月验收合格后，甲方退还乙方验收履约保证金。</w:t>
      </w:r>
    </w:p>
    <w:p>
      <w:pPr>
        <w:spacing w:line="360" w:lineRule="auto"/>
        <w:rPr>
          <w:rFonts w:ascii="仿宋" w:hAnsi="仿宋" w:eastAsia="仿宋" w:cs="仿宋"/>
          <w:color w:val="auto"/>
          <w:szCs w:val="21"/>
          <w:highlight w:val="none"/>
        </w:rPr>
      </w:pPr>
      <w:bookmarkStart w:id="508" w:name="_GoBack"/>
      <w:bookmarkEnd w:id="508"/>
      <w:r>
        <w:rPr>
          <w:rFonts w:hint="eastAsia" w:ascii="仿宋" w:hAnsi="仿宋" w:eastAsia="仿宋" w:cs="仿宋"/>
          <w:color w:val="auto"/>
          <w:szCs w:val="21"/>
          <w:highlight w:val="none"/>
          <w:lang w:val="en-US" w:eastAsia="zh-CN"/>
        </w:rPr>
        <w:t>6</w:t>
      </w:r>
      <w:r>
        <w:rPr>
          <w:rFonts w:ascii="仿宋" w:hAnsi="仿宋" w:eastAsia="仿宋" w:cs="仿宋"/>
          <w:color w:val="auto"/>
          <w:szCs w:val="21"/>
          <w:highlight w:val="none"/>
        </w:rPr>
        <w:t>、服务标准、期限、效率等</w:t>
      </w:r>
    </w:p>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产品免费质保期：3年免费质保；质保期内免费保修和维护升级软件，质保期自用户对产品验收合格之日起计算。</w:t>
      </w:r>
    </w:p>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7</w:t>
      </w:r>
      <w:r>
        <w:rPr>
          <w:rFonts w:hint="eastAsia" w:ascii="仿宋" w:hAnsi="仿宋" w:eastAsia="仿宋" w:cs="仿宋"/>
          <w:color w:val="auto"/>
          <w:szCs w:val="21"/>
          <w:highlight w:val="none"/>
        </w:rPr>
        <w:t>、验收标准：</w:t>
      </w:r>
      <w:r>
        <w:rPr>
          <w:rFonts w:ascii="仿宋" w:hAnsi="仿宋" w:eastAsia="仿宋" w:cs="仿宋"/>
          <w:color w:val="auto"/>
          <w:szCs w:val="21"/>
          <w:highlight w:val="none"/>
        </w:rPr>
        <w:t>所有参数</w:t>
      </w:r>
      <w:r>
        <w:rPr>
          <w:rFonts w:hint="eastAsia" w:ascii="仿宋" w:hAnsi="仿宋" w:eastAsia="仿宋" w:cs="仿宋"/>
          <w:color w:val="auto"/>
          <w:szCs w:val="21"/>
          <w:highlight w:val="none"/>
        </w:rPr>
        <w:t>达到</w:t>
      </w:r>
      <w:r>
        <w:rPr>
          <w:rFonts w:ascii="仿宋" w:hAnsi="仿宋" w:eastAsia="仿宋" w:cs="仿宋"/>
          <w:color w:val="auto"/>
          <w:szCs w:val="21"/>
          <w:highlight w:val="none"/>
        </w:rPr>
        <w:t>招标参数</w:t>
      </w:r>
      <w:r>
        <w:rPr>
          <w:rFonts w:hint="eastAsia" w:ascii="仿宋" w:hAnsi="仿宋" w:eastAsia="仿宋" w:cs="仿宋"/>
          <w:color w:val="auto"/>
          <w:szCs w:val="21"/>
          <w:highlight w:val="none"/>
        </w:rPr>
        <w:t>要求。</w:t>
      </w:r>
    </w:p>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w:t>
      </w:r>
      <w:r>
        <w:rPr>
          <w:rFonts w:hint="eastAsia" w:ascii="仿宋" w:hAnsi="仿宋" w:eastAsia="仿宋" w:cs="仿宋"/>
          <w:color w:val="auto"/>
          <w:szCs w:val="21"/>
          <w:highlight w:val="none"/>
        </w:rPr>
        <w:t>、</w:t>
      </w:r>
      <w:bookmarkStart w:id="460" w:name="_Hlk58601928"/>
      <w:r>
        <w:rPr>
          <w:rFonts w:hint="eastAsia" w:ascii="仿宋" w:hAnsi="仿宋" w:eastAsia="仿宋" w:cs="仿宋"/>
          <w:color w:val="auto"/>
          <w:szCs w:val="21"/>
          <w:highlight w:val="none"/>
        </w:rPr>
        <w:t>培训：提供专业实验室系统的使用培训。</w:t>
      </w:r>
      <w:bookmarkEnd w:id="456"/>
      <w:bookmarkEnd w:id="460"/>
    </w:p>
    <w:p>
      <w:pPr>
        <w:spacing w:line="360" w:lineRule="auto"/>
        <w:rPr>
          <w:rFonts w:hint="eastAsia" w:ascii="仿宋" w:hAnsi="仿宋" w:eastAsia="仿宋" w:cs="仿宋"/>
          <w:color w:val="auto"/>
          <w:szCs w:val="21"/>
          <w:highlight w:val="none"/>
        </w:rPr>
      </w:pPr>
    </w:p>
    <w:p>
      <w:pPr>
        <w:pStyle w:val="4"/>
        <w:bidi w:val="0"/>
        <w:jc w:val="left"/>
        <w:rPr>
          <w:rFonts w:hint="eastAsia" w:ascii="仿宋" w:hAnsi="仿宋" w:eastAsia="仿宋" w:cs="仿宋"/>
          <w:sz w:val="21"/>
          <w:szCs w:val="21"/>
        </w:rPr>
      </w:pPr>
      <w:bookmarkStart w:id="461" w:name="_Toc30183"/>
      <w:r>
        <w:rPr>
          <w:rFonts w:hint="eastAsia" w:ascii="仿宋" w:hAnsi="仿宋" w:eastAsia="仿宋" w:cs="仿宋"/>
          <w:sz w:val="21"/>
          <w:szCs w:val="21"/>
          <w:lang w:val="en-US" w:eastAsia="zh-CN"/>
        </w:rPr>
        <w:t>四、报价要求</w:t>
      </w:r>
      <w:bookmarkEnd w:id="461"/>
    </w:p>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1.投标人需以人民币进行报价。投标人的投标报价应遵守《中华人民共和国价格法》，为保证公平竞争，如有货物主体部分的赠与行为，将导致其投标被拒绝。</w:t>
      </w:r>
    </w:p>
    <w:p>
      <w:pPr>
        <w:spacing w:line="360" w:lineRule="auto"/>
        <w:rPr>
          <w:rFonts w:ascii="仿宋" w:hAnsi="仿宋" w:eastAsia="仿宋" w:cs="仿宋"/>
          <w:color w:val="auto"/>
          <w:szCs w:val="21"/>
          <w:highlight w:val="none"/>
        </w:rPr>
      </w:pPr>
      <w:r>
        <w:rPr>
          <w:rFonts w:hint="eastAsia" w:ascii="仿宋" w:hAnsi="仿宋" w:eastAsia="仿宋" w:cs="仿宋"/>
          <w:color w:val="auto"/>
          <w:szCs w:val="21"/>
          <w:highlight w:val="none"/>
        </w:rPr>
        <w:t>2.投标人所报的各分项投标单价在合同履行过程中是固定不变的，不得以任何理由予以变更。任何包含价格调整要求的投标，将被认为是无效投标而被拒绝。</w:t>
      </w:r>
    </w:p>
    <w:p>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3.采购人不接受有任何选择的报价。采购人不接受具有附加条件的报价。</w:t>
      </w:r>
    </w:p>
    <w:p>
      <w:pPr>
        <w:spacing w:line="36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本次采购总价款包括货物、软件、标准附件、备品备件、专用工具、图纸资料、技术服务，包装、运输、装卸、保险、税金，货到就位以及安装、调试、培训、保修等验收合格之前和质保期内的售后服务一切税金和费用；</w:t>
      </w:r>
    </w:p>
    <w:p>
      <w:pPr>
        <w:spacing w:line="360" w:lineRule="auto"/>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5.签署合同后，合同期内总价款不变。</w:t>
      </w:r>
    </w:p>
    <w:p>
      <w:pPr>
        <w:spacing w:line="360" w:lineRule="auto"/>
        <w:rPr>
          <w:rFonts w:hint="eastAsia" w:ascii="仿宋" w:hAnsi="仿宋" w:eastAsia="仿宋" w:cs="仿宋"/>
          <w:color w:val="auto"/>
          <w:szCs w:val="21"/>
          <w:highlight w:val="none"/>
        </w:rPr>
      </w:pPr>
    </w:p>
    <w:p>
      <w:pPr>
        <w:spacing w:line="360" w:lineRule="auto"/>
        <w:rPr>
          <w:rFonts w:hint="eastAsia" w:ascii="仿宋" w:hAnsi="仿宋" w:eastAsia="仿宋" w:cs="仿宋"/>
          <w:color w:val="auto"/>
          <w:szCs w:val="21"/>
          <w:highlight w:val="none"/>
        </w:rPr>
      </w:pPr>
    </w:p>
    <w:p>
      <w:pPr>
        <w:rPr>
          <w:rFonts w:hint="eastAsia" w:ascii="仿宋" w:hAnsi="仿宋" w:eastAsia="仿宋" w:cs="仿宋"/>
          <w:color w:val="auto"/>
          <w:szCs w:val="32"/>
          <w:highlight w:val="none"/>
        </w:rPr>
      </w:pPr>
      <w:bookmarkStart w:id="462" w:name="_Toc219175639"/>
      <w:bookmarkStart w:id="463" w:name="_Toc216582826"/>
      <w:bookmarkStart w:id="464" w:name="_Toc218935355"/>
      <w:r>
        <w:rPr>
          <w:rFonts w:hint="eastAsia" w:ascii="仿宋" w:hAnsi="仿宋" w:eastAsia="仿宋" w:cs="仿宋"/>
          <w:color w:val="auto"/>
          <w:szCs w:val="32"/>
          <w:highlight w:val="none"/>
        </w:rPr>
        <w:br w:type="page"/>
      </w:r>
    </w:p>
    <w:p>
      <w:pPr>
        <w:pStyle w:val="3"/>
        <w:spacing w:before="0" w:line="240" w:lineRule="atLeast"/>
        <w:ind w:left="1079" w:leftChars="257" w:hanging="539"/>
        <w:rPr>
          <w:rFonts w:ascii="仿宋" w:hAnsi="仿宋" w:eastAsia="仿宋" w:cs="仿宋"/>
          <w:color w:val="auto"/>
          <w:szCs w:val="32"/>
          <w:highlight w:val="none"/>
        </w:rPr>
      </w:pPr>
      <w:bookmarkStart w:id="465" w:name="_Toc31574"/>
      <w:r>
        <w:rPr>
          <w:rFonts w:hint="eastAsia" w:ascii="仿宋" w:hAnsi="仿宋" w:eastAsia="仿宋" w:cs="仿宋"/>
          <w:color w:val="auto"/>
          <w:szCs w:val="32"/>
          <w:highlight w:val="none"/>
        </w:rPr>
        <w:t xml:space="preserve">第九章  </w:t>
      </w:r>
      <w:bookmarkStart w:id="466" w:name="_Toc507399907"/>
      <w:r>
        <w:rPr>
          <w:rFonts w:hint="eastAsia" w:ascii="仿宋" w:hAnsi="仿宋" w:eastAsia="仿宋" w:cs="仿宋"/>
          <w:color w:val="auto"/>
          <w:szCs w:val="32"/>
          <w:highlight w:val="none"/>
        </w:rPr>
        <w:t>评标方法和标准</w:t>
      </w:r>
      <w:bookmarkEnd w:id="462"/>
      <w:bookmarkEnd w:id="463"/>
      <w:bookmarkEnd w:id="464"/>
      <w:bookmarkEnd w:id="465"/>
      <w:bookmarkEnd w:id="466"/>
    </w:p>
    <w:p>
      <w:pPr>
        <w:pStyle w:val="9"/>
        <w:tabs>
          <w:tab w:val="clear" w:pos="567"/>
        </w:tabs>
        <w:spacing w:before="0" w:line="240" w:lineRule="atLeast"/>
        <w:ind w:firstLine="540" w:firstLineChars="225"/>
        <w:rPr>
          <w:rFonts w:ascii="仿宋" w:hAnsi="仿宋" w:eastAsia="仿宋" w:cs="仿宋"/>
          <w:color w:val="auto"/>
          <w:highlight w:val="none"/>
        </w:rPr>
      </w:pPr>
    </w:p>
    <w:p>
      <w:pPr>
        <w:pStyle w:val="9"/>
        <w:tabs>
          <w:tab w:val="clear" w:pos="567"/>
        </w:tabs>
        <w:spacing w:before="0" w:line="360" w:lineRule="auto"/>
        <w:ind w:firstLine="420" w:firstLineChars="200"/>
        <w:contextualSpacing/>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本项目将按照招标文件第一章投标人须知中“五 开标及评标”、“六 确定中标”及本章的规定评标。</w:t>
      </w:r>
    </w:p>
    <w:p>
      <w:pPr>
        <w:pStyle w:val="9"/>
        <w:tabs>
          <w:tab w:val="clear" w:pos="567"/>
        </w:tabs>
        <w:spacing w:before="0" w:line="360" w:lineRule="auto"/>
        <w:ind w:firstLine="420" w:firstLineChars="200"/>
        <w:contextualSpacing/>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本项目按照综合评分法评标, 是指在最大限度地满足招标文件实质性要求前提下。评委依照本章的评标标准中规定的各项评标因素对每个有效投标进行独立综合评审打分，汇总全体评委的评分，以投标人的总平均分由高到低推荐中标候选人。</w:t>
      </w:r>
    </w:p>
    <w:p>
      <w:pPr>
        <w:spacing w:line="360" w:lineRule="auto"/>
        <w:contextualSpacing/>
        <w:outlineLvl w:val="1"/>
        <w:rPr>
          <w:rFonts w:ascii="仿宋" w:hAnsi="仿宋" w:eastAsia="仿宋" w:cs="仿宋"/>
          <w:b/>
          <w:bCs/>
          <w:color w:val="auto"/>
          <w:szCs w:val="21"/>
          <w:highlight w:val="none"/>
        </w:rPr>
      </w:pPr>
      <w:bookmarkStart w:id="467" w:name="_Toc22208_WPSOffice_Level2"/>
      <w:bookmarkStart w:id="468" w:name="_Toc8965_WPSOffice_Level2"/>
      <w:bookmarkStart w:id="469" w:name="_Toc5707"/>
      <w:bookmarkStart w:id="470" w:name="_Toc24048_WPSOffice_Level2"/>
      <w:bookmarkStart w:id="471" w:name="_Toc22248_WPSOffice_Level2"/>
      <w:bookmarkStart w:id="472" w:name="_Toc12501_WPSOffice_Level2"/>
      <w:bookmarkStart w:id="473" w:name="_Toc838_WPSOffice_Level2"/>
      <w:bookmarkStart w:id="474" w:name="_Toc10260_WPSOffice_Level2"/>
      <w:bookmarkStart w:id="475" w:name="_Toc13410_WPSOffice_Level2"/>
      <w:bookmarkStart w:id="476" w:name="_Toc679_WPSOffice_Level3"/>
      <w:bookmarkStart w:id="477" w:name="_Toc19165_WPSOffice_Level3"/>
      <w:bookmarkStart w:id="478" w:name="_Toc23976_WPSOffice_Level3"/>
      <w:bookmarkStart w:id="479" w:name="_Toc11834_WPSOffice_Level3"/>
      <w:r>
        <w:rPr>
          <w:rFonts w:hint="eastAsia" w:ascii="仿宋" w:hAnsi="仿宋" w:eastAsia="仿宋" w:cs="仿宋"/>
          <w:b/>
          <w:bCs/>
          <w:color w:val="auto"/>
          <w:szCs w:val="21"/>
          <w:highlight w:val="none"/>
        </w:rPr>
        <w:t>一、资格审查</w:t>
      </w:r>
      <w:bookmarkEnd w:id="467"/>
      <w:bookmarkEnd w:id="468"/>
      <w:bookmarkEnd w:id="469"/>
      <w:bookmarkEnd w:id="470"/>
      <w:bookmarkEnd w:id="471"/>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开标后，采购人或采购代理机构依据法律法规和招标文件中规定的内容，对投标人的资格进行审查。未通过资格审查的投标人不进入评标；通过资格审查的有效投标人少于三家的，本项目废标，依法重新招标或采购。</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按下表规定的评审规则进行资格审查。</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
        <w:gridCol w:w="2150"/>
        <w:gridCol w:w="5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923" w:type="dxa"/>
            <w:vAlign w:val="center"/>
          </w:tcPr>
          <w:p>
            <w:pPr>
              <w:contextualSpacing/>
              <w:jc w:val="center"/>
              <w:rPr>
                <w:rFonts w:ascii="仿宋" w:hAnsi="仿宋" w:eastAsia="仿宋" w:cs="仿宋"/>
                <w:b/>
                <w:bCs/>
                <w:color w:val="auto"/>
                <w:highlight w:val="none"/>
              </w:rPr>
            </w:pPr>
            <w:r>
              <w:rPr>
                <w:rFonts w:hint="eastAsia" w:ascii="仿宋" w:hAnsi="仿宋" w:eastAsia="仿宋" w:cs="仿宋"/>
                <w:b/>
                <w:bCs/>
                <w:color w:val="auto"/>
                <w:highlight w:val="none"/>
              </w:rPr>
              <w:t>评审</w:t>
            </w:r>
          </w:p>
          <w:p>
            <w:pPr>
              <w:contextualSpacing/>
              <w:jc w:val="center"/>
              <w:rPr>
                <w:rFonts w:ascii="仿宋" w:hAnsi="仿宋" w:eastAsia="仿宋" w:cs="仿宋"/>
                <w:b/>
                <w:bCs/>
                <w:color w:val="auto"/>
                <w:highlight w:val="none"/>
              </w:rPr>
            </w:pPr>
            <w:r>
              <w:rPr>
                <w:rFonts w:hint="eastAsia" w:ascii="仿宋" w:hAnsi="仿宋" w:eastAsia="仿宋" w:cs="仿宋"/>
                <w:b/>
                <w:bCs/>
                <w:color w:val="auto"/>
                <w:highlight w:val="none"/>
              </w:rPr>
              <w:t>内容</w:t>
            </w:r>
          </w:p>
        </w:tc>
        <w:tc>
          <w:tcPr>
            <w:tcW w:w="2150" w:type="dxa"/>
            <w:vAlign w:val="center"/>
          </w:tcPr>
          <w:p>
            <w:pPr>
              <w:contextualSpacing/>
              <w:jc w:val="center"/>
              <w:rPr>
                <w:rFonts w:ascii="仿宋" w:hAnsi="仿宋" w:eastAsia="仿宋" w:cs="仿宋"/>
                <w:b/>
                <w:bCs/>
                <w:color w:val="auto"/>
                <w:highlight w:val="none"/>
              </w:rPr>
            </w:pPr>
            <w:r>
              <w:rPr>
                <w:rFonts w:hint="eastAsia" w:ascii="仿宋" w:hAnsi="仿宋" w:eastAsia="仿宋" w:cs="仿宋"/>
                <w:b/>
                <w:bCs/>
                <w:color w:val="auto"/>
                <w:highlight w:val="none"/>
              </w:rPr>
              <w:t>评审因素</w:t>
            </w:r>
          </w:p>
        </w:tc>
        <w:tc>
          <w:tcPr>
            <w:tcW w:w="5424" w:type="dxa"/>
            <w:vAlign w:val="center"/>
          </w:tcPr>
          <w:p>
            <w:pPr>
              <w:contextualSpacing/>
              <w:jc w:val="center"/>
              <w:rPr>
                <w:rFonts w:ascii="仿宋" w:hAnsi="仿宋" w:eastAsia="仿宋" w:cs="仿宋"/>
                <w:b/>
                <w:bCs/>
                <w:color w:val="auto"/>
                <w:highlight w:val="none"/>
              </w:rPr>
            </w:pPr>
            <w:r>
              <w:rPr>
                <w:rFonts w:hint="eastAsia" w:ascii="仿宋" w:hAnsi="仿宋" w:eastAsia="仿宋" w:cs="仿宋"/>
                <w:b/>
                <w:bCs/>
                <w:color w:val="auto"/>
                <w:highlight w:val="none"/>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3" w:type="dxa"/>
            <w:vMerge w:val="restart"/>
            <w:vAlign w:val="center"/>
          </w:tcPr>
          <w:p>
            <w:pPr>
              <w:contextualSpacing/>
              <w:jc w:val="center"/>
              <w:rPr>
                <w:rFonts w:ascii="仿宋" w:hAnsi="仿宋" w:eastAsia="仿宋" w:cs="仿宋"/>
                <w:color w:val="auto"/>
                <w:highlight w:val="none"/>
              </w:rPr>
            </w:pPr>
            <w:r>
              <w:rPr>
                <w:rFonts w:hint="eastAsia" w:ascii="仿宋" w:hAnsi="仿宋" w:eastAsia="仿宋" w:cs="仿宋"/>
                <w:color w:val="auto"/>
                <w:highlight w:val="none"/>
              </w:rPr>
              <w:t>资格性审查</w:t>
            </w:r>
          </w:p>
        </w:tc>
        <w:tc>
          <w:tcPr>
            <w:tcW w:w="2150" w:type="dxa"/>
            <w:vAlign w:val="center"/>
          </w:tcPr>
          <w:p>
            <w:pPr>
              <w:contextualSpacing/>
              <w:jc w:val="center"/>
              <w:rPr>
                <w:rFonts w:ascii="仿宋" w:hAnsi="仿宋" w:eastAsia="仿宋" w:cs="仿宋"/>
                <w:color w:val="auto"/>
                <w:highlight w:val="none"/>
              </w:rPr>
            </w:pPr>
            <w:r>
              <w:rPr>
                <w:rFonts w:hint="eastAsia" w:ascii="仿宋" w:hAnsi="仿宋" w:eastAsia="仿宋" w:cs="仿宋"/>
                <w:color w:val="auto"/>
                <w:highlight w:val="none"/>
              </w:rPr>
              <w:t>营业执照等证明</w:t>
            </w:r>
          </w:p>
        </w:tc>
        <w:tc>
          <w:tcPr>
            <w:tcW w:w="5424" w:type="dxa"/>
            <w:vAlign w:val="center"/>
          </w:tcPr>
          <w:p>
            <w:pPr>
              <w:contextualSpacing/>
              <w:jc w:val="center"/>
              <w:rPr>
                <w:rFonts w:ascii="仿宋" w:hAnsi="仿宋" w:eastAsia="仿宋" w:cs="仿宋"/>
                <w:color w:val="auto"/>
                <w:highlight w:val="none"/>
              </w:rPr>
            </w:pPr>
            <w:r>
              <w:rPr>
                <w:rFonts w:hint="eastAsia" w:ascii="仿宋" w:hAnsi="仿宋" w:eastAsia="仿宋" w:cs="仿宋"/>
                <w:color w:val="auto"/>
                <w:highlight w:val="none"/>
              </w:rPr>
              <w:t>符合第四章“投标邀请”要求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jc w:val="center"/>
        </w:trPr>
        <w:tc>
          <w:tcPr>
            <w:tcW w:w="923" w:type="dxa"/>
            <w:vMerge w:val="continue"/>
            <w:vAlign w:val="center"/>
          </w:tcPr>
          <w:p>
            <w:pPr>
              <w:contextualSpacing/>
              <w:jc w:val="center"/>
              <w:rPr>
                <w:rFonts w:ascii="仿宋" w:hAnsi="仿宋" w:eastAsia="仿宋" w:cs="仿宋"/>
                <w:color w:val="auto"/>
                <w:highlight w:val="none"/>
              </w:rPr>
            </w:pPr>
          </w:p>
        </w:tc>
        <w:tc>
          <w:tcPr>
            <w:tcW w:w="2150" w:type="dxa"/>
            <w:vAlign w:val="center"/>
          </w:tcPr>
          <w:p>
            <w:pPr>
              <w:contextualSpacing/>
              <w:jc w:val="center"/>
              <w:rPr>
                <w:rFonts w:ascii="仿宋" w:hAnsi="仿宋" w:eastAsia="仿宋" w:cs="仿宋"/>
                <w:color w:val="auto"/>
                <w:highlight w:val="none"/>
              </w:rPr>
            </w:pPr>
            <w:r>
              <w:rPr>
                <w:rFonts w:hint="eastAsia" w:ascii="仿宋" w:hAnsi="仿宋" w:eastAsia="仿宋" w:cs="仿宋"/>
                <w:color w:val="auto"/>
                <w:highlight w:val="none"/>
              </w:rPr>
              <w:t>良好的商业信誉和健全的财务会计制度</w:t>
            </w:r>
          </w:p>
        </w:tc>
        <w:tc>
          <w:tcPr>
            <w:tcW w:w="5424" w:type="dxa"/>
            <w:vAlign w:val="center"/>
          </w:tcPr>
          <w:p>
            <w:pPr>
              <w:contextualSpacing/>
              <w:jc w:val="center"/>
              <w:rPr>
                <w:rFonts w:ascii="仿宋" w:hAnsi="仿宋" w:eastAsia="仿宋" w:cs="仿宋"/>
                <w:color w:val="auto"/>
                <w:highlight w:val="none"/>
              </w:rPr>
            </w:pPr>
            <w:r>
              <w:rPr>
                <w:rFonts w:hint="eastAsia" w:ascii="仿宋" w:hAnsi="仿宋" w:eastAsia="仿宋" w:cs="仿宋"/>
                <w:color w:val="auto"/>
                <w:highlight w:val="none"/>
              </w:rPr>
              <w:t>符合第四章“投标邀请”要求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923" w:type="dxa"/>
            <w:vMerge w:val="continue"/>
            <w:vAlign w:val="center"/>
          </w:tcPr>
          <w:p>
            <w:pPr>
              <w:contextualSpacing/>
              <w:jc w:val="center"/>
              <w:rPr>
                <w:rFonts w:ascii="仿宋" w:hAnsi="仿宋" w:eastAsia="仿宋" w:cs="仿宋"/>
                <w:color w:val="auto"/>
                <w:highlight w:val="none"/>
              </w:rPr>
            </w:pPr>
          </w:p>
        </w:tc>
        <w:tc>
          <w:tcPr>
            <w:tcW w:w="2150" w:type="dxa"/>
            <w:vAlign w:val="center"/>
          </w:tcPr>
          <w:p>
            <w:pPr>
              <w:contextualSpacing/>
              <w:jc w:val="center"/>
              <w:rPr>
                <w:rFonts w:ascii="仿宋" w:hAnsi="仿宋" w:eastAsia="仿宋" w:cs="仿宋"/>
                <w:color w:val="auto"/>
                <w:highlight w:val="none"/>
              </w:rPr>
            </w:pPr>
            <w:r>
              <w:rPr>
                <w:rFonts w:hint="eastAsia" w:ascii="仿宋" w:hAnsi="仿宋" w:eastAsia="仿宋" w:cs="仿宋"/>
                <w:color w:val="auto"/>
                <w:highlight w:val="none"/>
              </w:rPr>
              <w:t>纳税和社保记录</w:t>
            </w:r>
          </w:p>
        </w:tc>
        <w:tc>
          <w:tcPr>
            <w:tcW w:w="5424" w:type="dxa"/>
            <w:vAlign w:val="center"/>
          </w:tcPr>
          <w:p>
            <w:pPr>
              <w:contextualSpacing/>
              <w:jc w:val="center"/>
              <w:rPr>
                <w:rFonts w:ascii="仿宋" w:hAnsi="仿宋" w:eastAsia="仿宋" w:cs="仿宋"/>
                <w:color w:val="auto"/>
                <w:highlight w:val="none"/>
              </w:rPr>
            </w:pPr>
            <w:r>
              <w:rPr>
                <w:rFonts w:hint="eastAsia" w:ascii="仿宋" w:hAnsi="仿宋" w:eastAsia="仿宋" w:cs="仿宋"/>
                <w:color w:val="auto"/>
                <w:highlight w:val="none"/>
              </w:rPr>
              <w:t>符合第四章“投标邀请”要求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jc w:val="center"/>
        </w:trPr>
        <w:tc>
          <w:tcPr>
            <w:tcW w:w="923" w:type="dxa"/>
            <w:vMerge w:val="continue"/>
            <w:vAlign w:val="center"/>
          </w:tcPr>
          <w:p>
            <w:pPr>
              <w:contextualSpacing/>
              <w:jc w:val="center"/>
              <w:rPr>
                <w:rFonts w:ascii="仿宋" w:hAnsi="仿宋" w:eastAsia="仿宋" w:cs="仿宋"/>
                <w:color w:val="auto"/>
                <w:highlight w:val="none"/>
              </w:rPr>
            </w:pPr>
          </w:p>
        </w:tc>
        <w:tc>
          <w:tcPr>
            <w:tcW w:w="2150" w:type="dxa"/>
            <w:vAlign w:val="center"/>
          </w:tcPr>
          <w:p>
            <w:pPr>
              <w:contextualSpacing/>
              <w:jc w:val="center"/>
              <w:rPr>
                <w:rFonts w:ascii="仿宋" w:hAnsi="仿宋" w:eastAsia="仿宋" w:cs="仿宋"/>
                <w:color w:val="auto"/>
                <w:highlight w:val="none"/>
              </w:rPr>
            </w:pPr>
            <w:r>
              <w:rPr>
                <w:rFonts w:hint="eastAsia" w:ascii="仿宋" w:hAnsi="仿宋" w:eastAsia="仿宋" w:cs="仿宋"/>
                <w:color w:val="auto"/>
                <w:highlight w:val="none"/>
              </w:rPr>
              <w:t>具有履行合同所必需的设备和专业技术能力的声明</w:t>
            </w:r>
          </w:p>
        </w:tc>
        <w:tc>
          <w:tcPr>
            <w:tcW w:w="5424" w:type="dxa"/>
            <w:vMerge w:val="restart"/>
            <w:vAlign w:val="center"/>
          </w:tcPr>
          <w:p>
            <w:pPr>
              <w:contextualSpacing/>
              <w:jc w:val="center"/>
              <w:rPr>
                <w:rFonts w:ascii="仿宋" w:hAnsi="仿宋" w:eastAsia="仿宋" w:cs="仿宋"/>
                <w:color w:val="auto"/>
                <w:highlight w:val="none"/>
              </w:rPr>
            </w:pPr>
            <w:r>
              <w:rPr>
                <w:rFonts w:hint="eastAsia" w:ascii="仿宋" w:hAnsi="仿宋" w:eastAsia="仿宋" w:cs="仿宋"/>
                <w:color w:val="auto"/>
                <w:highlight w:val="none"/>
              </w:rPr>
              <w:t>符合第四章“投标邀请”要求</w:t>
            </w:r>
          </w:p>
          <w:p>
            <w:pPr>
              <w:contextualSpacing/>
              <w:jc w:val="center"/>
              <w:rPr>
                <w:rFonts w:ascii="仿宋" w:hAnsi="仿宋" w:eastAsia="仿宋" w:cs="仿宋"/>
                <w:color w:val="auto"/>
                <w:highlight w:val="none"/>
              </w:rPr>
            </w:pPr>
            <w:r>
              <w:rPr>
                <w:rFonts w:hint="eastAsia" w:ascii="仿宋" w:hAnsi="仿宋" w:eastAsia="仿宋" w:cs="仿宋"/>
                <w:color w:val="auto"/>
                <w:highlight w:val="none"/>
              </w:rPr>
              <w:t>需按第三章“投标文件格式”第一部分第6款“承诺函”格式要求提供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3" w:type="dxa"/>
            <w:vMerge w:val="continue"/>
            <w:vAlign w:val="center"/>
          </w:tcPr>
          <w:p>
            <w:pPr>
              <w:contextualSpacing/>
              <w:jc w:val="center"/>
              <w:rPr>
                <w:rFonts w:ascii="仿宋" w:hAnsi="仿宋" w:eastAsia="仿宋" w:cs="仿宋"/>
                <w:color w:val="auto"/>
                <w:highlight w:val="none"/>
              </w:rPr>
            </w:pPr>
          </w:p>
        </w:tc>
        <w:tc>
          <w:tcPr>
            <w:tcW w:w="2150" w:type="dxa"/>
            <w:vAlign w:val="center"/>
          </w:tcPr>
          <w:p>
            <w:pPr>
              <w:contextualSpacing/>
              <w:jc w:val="center"/>
              <w:rPr>
                <w:rFonts w:ascii="仿宋" w:hAnsi="仿宋" w:eastAsia="仿宋" w:cs="仿宋"/>
                <w:color w:val="auto"/>
                <w:highlight w:val="none"/>
              </w:rPr>
            </w:pPr>
            <w:r>
              <w:rPr>
                <w:rFonts w:hint="eastAsia" w:ascii="仿宋" w:hAnsi="仿宋" w:eastAsia="仿宋" w:cs="仿宋"/>
                <w:color w:val="auto"/>
                <w:highlight w:val="none"/>
              </w:rPr>
              <w:t>无重大违法记录声明</w:t>
            </w:r>
          </w:p>
        </w:tc>
        <w:tc>
          <w:tcPr>
            <w:tcW w:w="5424" w:type="dxa"/>
            <w:vMerge w:val="continue"/>
            <w:vAlign w:val="center"/>
          </w:tcPr>
          <w:p>
            <w:pPr>
              <w:contextualSpacing/>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3" w:type="dxa"/>
            <w:vMerge w:val="continue"/>
            <w:vAlign w:val="center"/>
          </w:tcPr>
          <w:p>
            <w:pPr>
              <w:contextualSpacing/>
              <w:jc w:val="center"/>
              <w:rPr>
                <w:rFonts w:ascii="仿宋" w:hAnsi="仿宋" w:eastAsia="仿宋" w:cs="仿宋"/>
                <w:color w:val="auto"/>
                <w:highlight w:val="none"/>
              </w:rPr>
            </w:pPr>
          </w:p>
        </w:tc>
        <w:tc>
          <w:tcPr>
            <w:tcW w:w="2150" w:type="dxa"/>
            <w:vAlign w:val="center"/>
          </w:tcPr>
          <w:p>
            <w:pPr>
              <w:contextualSpacing/>
              <w:jc w:val="center"/>
              <w:rPr>
                <w:rFonts w:ascii="仿宋" w:hAnsi="仿宋" w:eastAsia="仿宋" w:cs="仿宋"/>
                <w:color w:val="auto"/>
                <w:highlight w:val="none"/>
              </w:rPr>
            </w:pPr>
            <w:r>
              <w:rPr>
                <w:rFonts w:hint="eastAsia" w:ascii="仿宋" w:hAnsi="仿宋" w:eastAsia="仿宋" w:cs="仿宋"/>
                <w:color w:val="auto"/>
                <w:highlight w:val="none"/>
              </w:rPr>
              <w:t>限制性条款的说明/承诺</w:t>
            </w:r>
          </w:p>
        </w:tc>
        <w:tc>
          <w:tcPr>
            <w:tcW w:w="5424" w:type="dxa"/>
            <w:vMerge w:val="continue"/>
            <w:vAlign w:val="center"/>
          </w:tcPr>
          <w:p>
            <w:pPr>
              <w:contextualSpacing/>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923" w:type="dxa"/>
            <w:vMerge w:val="continue"/>
            <w:vAlign w:val="center"/>
          </w:tcPr>
          <w:p>
            <w:pPr>
              <w:contextualSpacing/>
              <w:jc w:val="center"/>
              <w:rPr>
                <w:rFonts w:ascii="仿宋" w:hAnsi="仿宋" w:eastAsia="仿宋" w:cs="仿宋"/>
                <w:color w:val="auto"/>
                <w:highlight w:val="none"/>
              </w:rPr>
            </w:pPr>
          </w:p>
        </w:tc>
        <w:tc>
          <w:tcPr>
            <w:tcW w:w="2150" w:type="dxa"/>
            <w:vAlign w:val="center"/>
          </w:tcPr>
          <w:p>
            <w:pPr>
              <w:contextualSpacing/>
              <w:jc w:val="center"/>
              <w:rPr>
                <w:rFonts w:ascii="仿宋" w:hAnsi="仿宋" w:eastAsia="仿宋" w:cs="仿宋"/>
                <w:color w:val="auto"/>
                <w:highlight w:val="none"/>
              </w:rPr>
            </w:pPr>
            <w:r>
              <w:rPr>
                <w:rFonts w:hint="eastAsia" w:ascii="仿宋" w:hAnsi="仿宋" w:eastAsia="仿宋" w:cs="仿宋"/>
                <w:color w:val="auto"/>
                <w:highlight w:val="none"/>
              </w:rPr>
              <w:t>联合体规定</w:t>
            </w:r>
          </w:p>
        </w:tc>
        <w:tc>
          <w:tcPr>
            <w:tcW w:w="5424" w:type="dxa"/>
            <w:vMerge w:val="continue"/>
            <w:vAlign w:val="center"/>
          </w:tcPr>
          <w:p>
            <w:pPr>
              <w:contextualSpacing/>
              <w:jc w:val="center"/>
              <w:rPr>
                <w:rFonts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2" w:hRule="exact"/>
          <w:jc w:val="center"/>
        </w:trPr>
        <w:tc>
          <w:tcPr>
            <w:tcW w:w="923" w:type="dxa"/>
            <w:vMerge w:val="continue"/>
            <w:vAlign w:val="center"/>
          </w:tcPr>
          <w:p>
            <w:pPr>
              <w:contextualSpacing/>
              <w:jc w:val="center"/>
              <w:rPr>
                <w:rFonts w:ascii="仿宋" w:hAnsi="仿宋" w:eastAsia="仿宋" w:cs="仿宋"/>
                <w:color w:val="auto"/>
                <w:highlight w:val="none"/>
              </w:rPr>
            </w:pPr>
          </w:p>
        </w:tc>
        <w:tc>
          <w:tcPr>
            <w:tcW w:w="2150" w:type="dxa"/>
            <w:vAlign w:val="center"/>
          </w:tcPr>
          <w:p>
            <w:pPr>
              <w:contextualSpacing/>
              <w:jc w:val="center"/>
              <w:rPr>
                <w:rFonts w:ascii="仿宋" w:hAnsi="仿宋" w:eastAsia="仿宋" w:cs="仿宋"/>
                <w:color w:val="auto"/>
                <w:highlight w:val="none"/>
              </w:rPr>
            </w:pPr>
            <w:r>
              <w:rPr>
                <w:rFonts w:hint="eastAsia" w:ascii="仿宋" w:hAnsi="仿宋" w:eastAsia="仿宋" w:cs="仿宋"/>
                <w:color w:val="auto"/>
                <w:szCs w:val="21"/>
                <w:highlight w:val="none"/>
              </w:rPr>
              <w:t xml:space="preserve">不良信用记录查询  </w:t>
            </w:r>
          </w:p>
        </w:tc>
        <w:tc>
          <w:tcPr>
            <w:tcW w:w="5424" w:type="dxa"/>
            <w:vAlign w:val="center"/>
          </w:tcPr>
          <w:p>
            <w:pPr>
              <w:contextualSpacing/>
              <w:jc w:val="center"/>
              <w:rPr>
                <w:rFonts w:ascii="仿宋" w:hAnsi="仿宋" w:eastAsia="仿宋" w:cs="仿宋"/>
                <w:color w:val="auto"/>
                <w:highlight w:val="none"/>
              </w:rPr>
            </w:pPr>
            <w:r>
              <w:rPr>
                <w:rFonts w:hint="eastAsia" w:ascii="仿宋" w:hAnsi="仿宋" w:eastAsia="仿宋" w:cs="仿宋"/>
                <w:color w:val="auto"/>
                <w:highlight w:val="none"/>
              </w:rPr>
              <w:t>招标人或招标代理机构将在开标时间前一个工作日至开标时间后一小时期间查询供应商的信用记录，供应商存在不良信用记录的，其文件将被作为无效响应被否决。不良信用记录指：供应商在“信用中国”网站（www.creditchina.gov.cn）被列入失信被执行人、重大税收违法案件当事人名单或在中国政府采购网（www.ccgp.gov.cn）被列入政府采购严重违法失信行为记录名单，或存在《中华人民共和国政府采购法实施条例》第十九条规定的行政处罚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exact"/>
          <w:jc w:val="center"/>
        </w:trPr>
        <w:tc>
          <w:tcPr>
            <w:tcW w:w="923" w:type="dxa"/>
            <w:vMerge w:val="continue"/>
            <w:vAlign w:val="center"/>
          </w:tcPr>
          <w:p>
            <w:pPr>
              <w:contextualSpacing/>
              <w:jc w:val="center"/>
              <w:rPr>
                <w:rFonts w:ascii="仿宋" w:hAnsi="仿宋" w:eastAsia="仿宋" w:cs="仿宋"/>
                <w:color w:val="auto"/>
                <w:highlight w:val="none"/>
              </w:rPr>
            </w:pPr>
          </w:p>
        </w:tc>
        <w:tc>
          <w:tcPr>
            <w:tcW w:w="2150" w:type="dxa"/>
            <w:vAlign w:val="center"/>
          </w:tcPr>
          <w:p>
            <w:pPr>
              <w:contextualSpacing/>
              <w:jc w:val="center"/>
              <w:rPr>
                <w:rFonts w:ascii="仿宋" w:hAnsi="仿宋" w:eastAsia="仿宋" w:cs="仿宋"/>
                <w:color w:val="auto"/>
                <w:highlight w:val="none"/>
              </w:rPr>
            </w:pPr>
            <w:r>
              <w:rPr>
                <w:rFonts w:hint="eastAsia" w:ascii="仿宋" w:hAnsi="仿宋" w:eastAsia="仿宋" w:cs="仿宋"/>
                <w:color w:val="auto"/>
                <w:szCs w:val="21"/>
                <w:highlight w:val="none"/>
              </w:rPr>
              <w:t>投标人特定资格要求证明文件</w:t>
            </w:r>
          </w:p>
        </w:tc>
        <w:tc>
          <w:tcPr>
            <w:tcW w:w="5424" w:type="dxa"/>
            <w:vAlign w:val="center"/>
          </w:tcPr>
          <w:p>
            <w:pPr>
              <w:contextualSpacing/>
              <w:jc w:val="center"/>
              <w:rPr>
                <w:rFonts w:ascii="仿宋" w:hAnsi="仿宋" w:eastAsia="仿宋" w:cs="仿宋"/>
                <w:color w:val="auto"/>
                <w:highlight w:val="none"/>
              </w:rPr>
            </w:pPr>
            <w:r>
              <w:rPr>
                <w:rFonts w:hint="eastAsia" w:ascii="仿宋" w:hAnsi="仿宋" w:eastAsia="仿宋" w:cs="仿宋"/>
                <w:color w:val="auto"/>
                <w:highlight w:val="none"/>
              </w:rPr>
              <w:t>符合第四章“投标邀请”要求</w:t>
            </w:r>
          </w:p>
        </w:tc>
      </w:tr>
    </w:tbl>
    <w:p>
      <w:pPr>
        <w:spacing w:line="360" w:lineRule="auto"/>
        <w:ind w:firstLine="420" w:firstLineChars="200"/>
        <w:rPr>
          <w:rFonts w:ascii="仿宋" w:hAnsi="仿宋" w:eastAsia="仿宋" w:cs="仿宋"/>
          <w:color w:val="auto"/>
          <w:szCs w:val="21"/>
          <w:highlight w:val="none"/>
        </w:rPr>
      </w:pPr>
    </w:p>
    <w:p>
      <w:pPr>
        <w:spacing w:line="360" w:lineRule="auto"/>
        <w:contextualSpacing/>
        <w:outlineLvl w:val="1"/>
        <w:rPr>
          <w:rFonts w:ascii="仿宋" w:hAnsi="仿宋" w:eastAsia="仿宋" w:cs="仿宋"/>
          <w:b/>
          <w:bCs/>
          <w:color w:val="auto"/>
          <w:szCs w:val="21"/>
          <w:highlight w:val="none"/>
        </w:rPr>
      </w:pPr>
      <w:bookmarkStart w:id="480" w:name="_Toc11349"/>
      <w:r>
        <w:rPr>
          <w:rFonts w:hint="eastAsia" w:ascii="仿宋" w:hAnsi="仿宋" w:eastAsia="仿宋" w:cs="仿宋"/>
          <w:b/>
          <w:bCs/>
          <w:color w:val="auto"/>
          <w:szCs w:val="21"/>
          <w:highlight w:val="none"/>
        </w:rPr>
        <w:t>二、评标委员会的组成</w:t>
      </w:r>
      <w:bookmarkEnd w:id="472"/>
      <w:bookmarkEnd w:id="473"/>
      <w:bookmarkEnd w:id="474"/>
      <w:bookmarkEnd w:id="475"/>
      <w:bookmarkEnd w:id="480"/>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采购人将根据国家有关政府采购的法律法规的规定组建评标委员会，评标委员会共由5人组成。其中外请评标专家4人，采购人代表1人，外请评标专家将按照相关法律法规随机抽取产生。</w:t>
      </w:r>
    </w:p>
    <w:p>
      <w:pPr>
        <w:spacing w:line="360" w:lineRule="auto"/>
        <w:contextualSpacing/>
        <w:outlineLvl w:val="1"/>
        <w:rPr>
          <w:rFonts w:ascii="仿宋" w:hAnsi="仿宋" w:eastAsia="仿宋" w:cs="仿宋"/>
          <w:b/>
          <w:bCs/>
          <w:color w:val="auto"/>
          <w:szCs w:val="21"/>
          <w:highlight w:val="none"/>
        </w:rPr>
      </w:pPr>
      <w:bookmarkStart w:id="481" w:name="_Toc29643_WPSOffice_Level2"/>
      <w:bookmarkStart w:id="482" w:name="_Toc15212"/>
      <w:bookmarkStart w:id="483" w:name="_Toc27601_WPSOffice_Level2"/>
      <w:bookmarkStart w:id="484" w:name="_Toc2768_WPSOffice_Level2"/>
      <w:bookmarkStart w:id="485" w:name="_Toc17197_WPSOffice_Level2"/>
      <w:r>
        <w:rPr>
          <w:rFonts w:hint="eastAsia" w:ascii="仿宋" w:hAnsi="仿宋" w:eastAsia="仿宋" w:cs="仿宋"/>
          <w:b/>
          <w:bCs/>
          <w:color w:val="auto"/>
          <w:szCs w:val="21"/>
          <w:highlight w:val="none"/>
        </w:rPr>
        <w:t>三、评标程序</w:t>
      </w:r>
      <w:bookmarkEnd w:id="481"/>
      <w:bookmarkEnd w:id="482"/>
      <w:bookmarkEnd w:id="483"/>
      <w:bookmarkEnd w:id="484"/>
      <w:bookmarkEnd w:id="485"/>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评标工作按照下列程序进行：</w:t>
      </w:r>
    </w:p>
    <w:p>
      <w:pPr>
        <w:spacing w:line="360" w:lineRule="auto"/>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评标准备</w:t>
      </w:r>
      <w:r>
        <w:rPr>
          <w:rFonts w:hint="eastAsia" w:ascii="仿宋" w:hAnsi="仿宋" w:eastAsia="仿宋" w:cs="仿宋"/>
          <w:color w:val="auto"/>
          <w:szCs w:val="21"/>
          <w:highlight w:val="none"/>
        </w:rPr>
        <w:sym w:font="Symbol" w:char="F0AE"/>
      </w:r>
      <w:r>
        <w:rPr>
          <w:rFonts w:hint="eastAsia" w:ascii="仿宋" w:hAnsi="仿宋" w:eastAsia="仿宋" w:cs="仿宋"/>
          <w:color w:val="auto"/>
          <w:szCs w:val="21"/>
          <w:highlight w:val="none"/>
        </w:rPr>
        <w:t>符合性审查</w:t>
      </w:r>
      <w:r>
        <w:rPr>
          <w:rFonts w:hint="eastAsia" w:ascii="仿宋" w:hAnsi="仿宋" w:eastAsia="仿宋" w:cs="仿宋"/>
          <w:color w:val="auto"/>
          <w:szCs w:val="21"/>
          <w:highlight w:val="none"/>
        </w:rPr>
        <w:sym w:font="Symbol" w:char="F0AE"/>
      </w:r>
      <w:r>
        <w:rPr>
          <w:rFonts w:hint="eastAsia" w:ascii="仿宋" w:hAnsi="仿宋" w:eastAsia="仿宋" w:cs="仿宋"/>
          <w:color w:val="auto"/>
          <w:szCs w:val="21"/>
          <w:highlight w:val="none"/>
        </w:rPr>
        <w:t>详细评审</w:t>
      </w:r>
      <w:r>
        <w:rPr>
          <w:rFonts w:hint="eastAsia" w:ascii="仿宋" w:hAnsi="仿宋" w:eastAsia="仿宋" w:cs="仿宋"/>
          <w:color w:val="auto"/>
          <w:szCs w:val="21"/>
          <w:highlight w:val="none"/>
        </w:rPr>
        <w:sym w:font="Symbol" w:char="F0AE"/>
      </w:r>
      <w:r>
        <w:rPr>
          <w:rFonts w:hint="eastAsia" w:ascii="仿宋" w:hAnsi="仿宋" w:eastAsia="仿宋" w:cs="仿宋"/>
          <w:color w:val="auto"/>
          <w:szCs w:val="21"/>
          <w:highlight w:val="none"/>
        </w:rPr>
        <w:t>评标结论</w:t>
      </w:r>
      <w:r>
        <w:rPr>
          <w:rFonts w:hint="eastAsia" w:ascii="仿宋" w:hAnsi="仿宋" w:eastAsia="仿宋" w:cs="仿宋"/>
          <w:color w:val="auto"/>
          <w:szCs w:val="21"/>
          <w:highlight w:val="none"/>
        </w:rPr>
        <w:sym w:font="Symbol" w:char="F0AE"/>
      </w:r>
      <w:r>
        <w:rPr>
          <w:rFonts w:hint="eastAsia" w:ascii="仿宋" w:hAnsi="仿宋" w:eastAsia="仿宋" w:cs="仿宋"/>
          <w:color w:val="auto"/>
          <w:szCs w:val="21"/>
          <w:highlight w:val="none"/>
        </w:rPr>
        <w:t>评标报告</w:t>
      </w:r>
    </w:p>
    <w:p>
      <w:pPr>
        <w:spacing w:before="120" w:beforeLines="50" w:line="360" w:lineRule="auto"/>
        <w:ind w:left="420" w:hanging="420"/>
        <w:rPr>
          <w:rFonts w:ascii="仿宋" w:hAnsi="仿宋" w:eastAsia="仿宋" w:cs="仿宋"/>
          <w:color w:val="auto"/>
          <w:szCs w:val="21"/>
          <w:highlight w:val="none"/>
        </w:rPr>
      </w:pPr>
      <w:bookmarkStart w:id="486" w:name="_Toc25633_WPSOffice_Level3"/>
      <w:bookmarkStart w:id="487" w:name="_Toc8846_WPSOffice_Level3"/>
      <w:bookmarkStart w:id="488" w:name="_Toc18146_WPSOffice_Level3"/>
      <w:bookmarkStart w:id="489" w:name="_Toc1910_WPSOffice_Level3"/>
      <w:r>
        <w:rPr>
          <w:rFonts w:hint="eastAsia" w:ascii="仿宋" w:hAnsi="仿宋" w:eastAsia="仿宋" w:cs="仿宋"/>
          <w:color w:val="auto"/>
          <w:szCs w:val="21"/>
          <w:highlight w:val="none"/>
        </w:rPr>
        <w:t>3.1 评标准备</w:t>
      </w:r>
      <w:bookmarkEnd w:id="486"/>
      <w:bookmarkEnd w:id="487"/>
      <w:bookmarkEnd w:id="488"/>
      <w:bookmarkEnd w:id="489"/>
    </w:p>
    <w:p>
      <w:pPr>
        <w:spacing w:line="360" w:lineRule="auto"/>
        <w:ind w:left="420"/>
        <w:rPr>
          <w:rFonts w:ascii="仿宋" w:hAnsi="仿宋" w:eastAsia="仿宋" w:cs="仿宋"/>
          <w:color w:val="auto"/>
          <w:szCs w:val="21"/>
          <w:highlight w:val="none"/>
        </w:rPr>
      </w:pPr>
      <w:r>
        <w:rPr>
          <w:rFonts w:hint="eastAsia" w:ascii="仿宋" w:hAnsi="仿宋" w:eastAsia="仿宋" w:cs="仿宋"/>
          <w:color w:val="auto"/>
          <w:szCs w:val="21"/>
          <w:highlight w:val="none"/>
        </w:rPr>
        <w:t>3.1.1下述工作由采购代理机构负责：</w:t>
      </w:r>
    </w:p>
    <w:p>
      <w:pPr>
        <w:spacing w:line="360" w:lineRule="auto"/>
        <w:ind w:left="420"/>
        <w:rPr>
          <w:rFonts w:ascii="仿宋" w:hAnsi="仿宋" w:eastAsia="仿宋" w:cs="仿宋"/>
          <w:color w:val="auto"/>
          <w:szCs w:val="21"/>
          <w:highlight w:val="none"/>
        </w:rPr>
      </w:pPr>
      <w:r>
        <w:rPr>
          <w:rFonts w:hint="eastAsia" w:ascii="仿宋" w:hAnsi="仿宋" w:eastAsia="仿宋" w:cs="仿宋"/>
          <w:color w:val="auto"/>
          <w:szCs w:val="21"/>
          <w:highlight w:val="none"/>
        </w:rPr>
        <w:t>（1）代理机构准备各类评标过程中所需的文件、资料，并编制相关的评标表格；</w:t>
      </w:r>
    </w:p>
    <w:p>
      <w:pPr>
        <w:spacing w:line="360" w:lineRule="auto"/>
        <w:ind w:left="420"/>
        <w:rPr>
          <w:rFonts w:ascii="仿宋" w:hAnsi="仿宋" w:eastAsia="仿宋" w:cs="仿宋"/>
          <w:color w:val="auto"/>
          <w:highlight w:val="none"/>
        </w:rPr>
      </w:pPr>
      <w:r>
        <w:rPr>
          <w:rFonts w:hint="eastAsia" w:ascii="仿宋" w:hAnsi="仿宋" w:eastAsia="仿宋" w:cs="仿宋"/>
          <w:color w:val="auto"/>
          <w:highlight w:val="none"/>
        </w:rPr>
        <w:t>（2）核对评审专家身份和采购人代表授权函</w:t>
      </w:r>
    </w:p>
    <w:p>
      <w:pPr>
        <w:spacing w:line="360" w:lineRule="auto"/>
        <w:ind w:left="420"/>
        <w:rPr>
          <w:rFonts w:ascii="仿宋" w:hAnsi="仿宋" w:eastAsia="仿宋" w:cs="仿宋"/>
          <w:color w:val="auto"/>
          <w:szCs w:val="21"/>
          <w:highlight w:val="none"/>
        </w:rPr>
      </w:pPr>
      <w:r>
        <w:rPr>
          <w:rFonts w:hint="eastAsia" w:ascii="仿宋" w:hAnsi="仿宋" w:eastAsia="仿宋" w:cs="仿宋"/>
          <w:color w:val="auto"/>
          <w:szCs w:val="21"/>
          <w:highlight w:val="none"/>
        </w:rPr>
        <w:t>（3）宣布评标纪律，集中保管通讯工具；</w:t>
      </w:r>
    </w:p>
    <w:p>
      <w:pPr>
        <w:spacing w:line="360" w:lineRule="auto"/>
        <w:ind w:left="420"/>
        <w:rPr>
          <w:rFonts w:ascii="仿宋" w:hAnsi="仿宋" w:eastAsia="仿宋" w:cs="仿宋"/>
          <w:color w:val="auto"/>
          <w:szCs w:val="21"/>
          <w:highlight w:val="none"/>
        </w:rPr>
      </w:pPr>
      <w:r>
        <w:rPr>
          <w:rFonts w:hint="eastAsia" w:ascii="仿宋" w:hAnsi="仿宋" w:eastAsia="仿宋" w:cs="仿宋"/>
          <w:color w:val="auto"/>
          <w:szCs w:val="21"/>
          <w:highlight w:val="none"/>
        </w:rPr>
        <w:t>（4）公布投标人名单，告知评审专家应当回避的情形；</w:t>
      </w:r>
    </w:p>
    <w:p>
      <w:pPr>
        <w:spacing w:line="360" w:lineRule="auto"/>
        <w:ind w:left="420"/>
        <w:rPr>
          <w:rFonts w:ascii="仿宋" w:hAnsi="仿宋" w:eastAsia="仿宋" w:cs="仿宋"/>
          <w:color w:val="auto"/>
          <w:szCs w:val="21"/>
          <w:highlight w:val="none"/>
        </w:rPr>
      </w:pPr>
      <w:r>
        <w:rPr>
          <w:rFonts w:hint="eastAsia" w:ascii="仿宋" w:hAnsi="仿宋" w:eastAsia="仿宋" w:cs="仿宋"/>
          <w:color w:val="auto"/>
          <w:szCs w:val="21"/>
          <w:highlight w:val="none"/>
        </w:rPr>
        <w:t>（5）组织评标委员会推选评标组长；</w:t>
      </w:r>
    </w:p>
    <w:p>
      <w:pPr>
        <w:spacing w:line="360" w:lineRule="auto"/>
        <w:ind w:left="420"/>
        <w:rPr>
          <w:rFonts w:ascii="仿宋" w:hAnsi="仿宋" w:eastAsia="仿宋" w:cs="仿宋"/>
          <w:color w:val="auto"/>
          <w:szCs w:val="21"/>
          <w:highlight w:val="none"/>
        </w:rPr>
      </w:pPr>
      <w:r>
        <w:rPr>
          <w:rFonts w:hint="eastAsia" w:ascii="仿宋" w:hAnsi="仿宋" w:eastAsia="仿宋" w:cs="仿宋"/>
          <w:color w:val="auto"/>
          <w:szCs w:val="21"/>
          <w:highlight w:val="none"/>
        </w:rPr>
        <w:t>3.1.2 下述工作由评委会进行：</w:t>
      </w:r>
    </w:p>
    <w:p>
      <w:pPr>
        <w:spacing w:line="360" w:lineRule="auto"/>
        <w:ind w:left="420"/>
        <w:rPr>
          <w:rFonts w:ascii="仿宋" w:hAnsi="仿宋" w:eastAsia="仿宋" w:cs="仿宋"/>
          <w:color w:val="auto"/>
          <w:szCs w:val="21"/>
          <w:highlight w:val="none"/>
        </w:rPr>
      </w:pPr>
      <w:r>
        <w:rPr>
          <w:rFonts w:hint="eastAsia" w:ascii="仿宋" w:hAnsi="仿宋" w:eastAsia="仿宋" w:cs="仿宋"/>
          <w:color w:val="auto"/>
          <w:szCs w:val="21"/>
          <w:highlight w:val="none"/>
        </w:rPr>
        <w:t>（1）评标委员会成员阅读招标文件，了解本次招标的范围和性质，熟悉评标方法和标准；如评标委员会有需要，招标人有关人员可向专家介绍项目的有关背景情况；</w:t>
      </w:r>
    </w:p>
    <w:p>
      <w:pPr>
        <w:spacing w:line="360" w:lineRule="auto"/>
        <w:ind w:left="420"/>
        <w:rPr>
          <w:rFonts w:ascii="仿宋" w:hAnsi="仿宋" w:eastAsia="仿宋" w:cs="仿宋"/>
          <w:color w:val="auto"/>
          <w:szCs w:val="21"/>
          <w:highlight w:val="none"/>
        </w:rPr>
      </w:pPr>
      <w:r>
        <w:rPr>
          <w:rFonts w:hint="eastAsia" w:ascii="仿宋" w:hAnsi="仿宋" w:eastAsia="仿宋" w:cs="仿宋"/>
          <w:color w:val="auto"/>
          <w:szCs w:val="21"/>
          <w:highlight w:val="none"/>
        </w:rPr>
        <w:t>（2）评标委员会成员熟悉评标过程中使用的表格。</w:t>
      </w:r>
    </w:p>
    <w:p>
      <w:pPr>
        <w:spacing w:before="120" w:beforeLines="50" w:line="360" w:lineRule="auto"/>
        <w:ind w:left="420" w:hanging="420"/>
        <w:rPr>
          <w:rFonts w:ascii="仿宋" w:hAnsi="仿宋" w:eastAsia="仿宋" w:cs="仿宋"/>
          <w:color w:val="auto"/>
          <w:szCs w:val="21"/>
          <w:highlight w:val="none"/>
        </w:rPr>
      </w:pPr>
      <w:bookmarkStart w:id="490" w:name="_Toc15308_WPSOffice_Level3"/>
      <w:bookmarkStart w:id="491" w:name="_Toc31284_WPSOffice_Level3"/>
      <w:bookmarkStart w:id="492" w:name="_Toc1599_WPSOffice_Level3"/>
      <w:bookmarkStart w:id="493" w:name="_Toc20785_WPSOffice_Level3"/>
      <w:r>
        <w:rPr>
          <w:rFonts w:hint="eastAsia" w:ascii="仿宋" w:hAnsi="仿宋" w:eastAsia="仿宋" w:cs="仿宋"/>
          <w:color w:val="auto"/>
          <w:szCs w:val="21"/>
          <w:highlight w:val="none"/>
        </w:rPr>
        <w:t>3.2 资格及符合性审查</w:t>
      </w:r>
      <w:bookmarkEnd w:id="490"/>
      <w:bookmarkEnd w:id="491"/>
      <w:bookmarkEnd w:id="492"/>
      <w:bookmarkEnd w:id="493"/>
    </w:p>
    <w:p>
      <w:pPr>
        <w:spacing w:line="360" w:lineRule="auto"/>
        <w:ind w:left="420"/>
        <w:rPr>
          <w:rFonts w:ascii="仿宋" w:hAnsi="仿宋" w:eastAsia="仿宋" w:cs="仿宋"/>
          <w:color w:val="auto"/>
          <w:szCs w:val="21"/>
          <w:highlight w:val="none"/>
        </w:rPr>
      </w:pPr>
      <w:r>
        <w:rPr>
          <w:rFonts w:hint="eastAsia" w:ascii="仿宋" w:hAnsi="仿宋" w:eastAsia="仿宋" w:cs="仿宋"/>
          <w:color w:val="auto"/>
          <w:szCs w:val="21"/>
          <w:highlight w:val="none"/>
        </w:rPr>
        <w:t>符合性审查即是对投标文件的合格性进行审查。评标委员会将对每一投标人的投标文件的符合性性加以审查，确定其是否对招标文件做出实质性的响应。未对招标文件做出实质性响应的，由评标委员会判定为无效投标，不能参加后续的评审。</w:t>
      </w:r>
    </w:p>
    <w:p>
      <w:pPr>
        <w:spacing w:line="360" w:lineRule="auto"/>
        <w:ind w:left="420"/>
        <w:rPr>
          <w:rFonts w:ascii="仿宋" w:hAnsi="仿宋" w:eastAsia="仿宋" w:cs="仿宋"/>
          <w:color w:val="auto"/>
          <w:szCs w:val="21"/>
          <w:highlight w:val="none"/>
        </w:rPr>
      </w:pPr>
      <w:r>
        <w:rPr>
          <w:rFonts w:hint="eastAsia" w:ascii="仿宋" w:hAnsi="仿宋" w:eastAsia="仿宋" w:cs="仿宋"/>
          <w:color w:val="auto"/>
          <w:szCs w:val="21"/>
          <w:highlight w:val="none"/>
        </w:rPr>
        <w:t>符合性审查的主要内容如下：</w:t>
      </w:r>
    </w:p>
    <w:p>
      <w:pPr>
        <w:widowControl/>
        <w:spacing w:line="360" w:lineRule="auto"/>
        <w:jc w:val="center"/>
        <w:rPr>
          <w:rFonts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符合性审查表</w:t>
      </w:r>
    </w:p>
    <w:tbl>
      <w:tblPr>
        <w:tblStyle w:val="20"/>
        <w:tblW w:w="0" w:type="auto"/>
        <w:jc w:val="center"/>
        <w:tblLayout w:type="fixed"/>
        <w:tblCellMar>
          <w:top w:w="0" w:type="dxa"/>
          <w:left w:w="108" w:type="dxa"/>
          <w:bottom w:w="0" w:type="dxa"/>
          <w:right w:w="108" w:type="dxa"/>
        </w:tblCellMar>
      </w:tblPr>
      <w:tblGrid>
        <w:gridCol w:w="723"/>
        <w:gridCol w:w="2200"/>
        <w:gridCol w:w="5495"/>
      </w:tblGrid>
      <w:tr>
        <w:tblPrEx>
          <w:tblCellMar>
            <w:top w:w="0" w:type="dxa"/>
            <w:left w:w="108" w:type="dxa"/>
            <w:bottom w:w="0" w:type="dxa"/>
            <w:right w:w="108" w:type="dxa"/>
          </w:tblCellMar>
        </w:tblPrEx>
        <w:trPr>
          <w:trHeight w:val="513"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序号</w:t>
            </w:r>
          </w:p>
        </w:tc>
        <w:tc>
          <w:tcPr>
            <w:tcW w:w="220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检查事项</w:t>
            </w:r>
          </w:p>
        </w:tc>
        <w:tc>
          <w:tcPr>
            <w:tcW w:w="549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检查内容</w:t>
            </w:r>
          </w:p>
        </w:tc>
      </w:tr>
      <w:tr>
        <w:tblPrEx>
          <w:tblCellMar>
            <w:top w:w="0" w:type="dxa"/>
            <w:left w:w="108" w:type="dxa"/>
            <w:bottom w:w="0" w:type="dxa"/>
            <w:right w:w="108" w:type="dxa"/>
          </w:tblCellMar>
        </w:tblPrEx>
        <w:trPr>
          <w:trHeight w:val="570"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2200"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Cs w:val="21"/>
                <w:highlight w:val="none"/>
              </w:rPr>
            </w:pPr>
            <w:r>
              <w:rPr>
                <w:rFonts w:hint="eastAsia" w:ascii="仿宋" w:hAnsi="仿宋" w:eastAsia="仿宋" w:cs="仿宋"/>
                <w:color w:val="auto"/>
                <w:szCs w:val="21"/>
                <w:highlight w:val="none"/>
              </w:rPr>
              <w:t>符合采购进口产品相关要求</w:t>
            </w:r>
          </w:p>
        </w:tc>
        <w:tc>
          <w:tcPr>
            <w:tcW w:w="5495" w:type="dxa"/>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仿宋"/>
                <w:color w:val="auto"/>
                <w:szCs w:val="21"/>
                <w:highlight w:val="none"/>
              </w:rPr>
            </w:pPr>
            <w:r>
              <w:rPr>
                <w:rFonts w:hint="eastAsia" w:ascii="仿宋" w:hAnsi="仿宋" w:eastAsia="仿宋" w:cs="仿宋"/>
                <w:color w:val="auto"/>
                <w:szCs w:val="21"/>
                <w:highlight w:val="none"/>
              </w:rPr>
              <w:t>本项目不接受进口产品投标</w:t>
            </w:r>
          </w:p>
        </w:tc>
      </w:tr>
      <w:tr>
        <w:tblPrEx>
          <w:tblCellMar>
            <w:top w:w="0" w:type="dxa"/>
            <w:left w:w="108" w:type="dxa"/>
            <w:bottom w:w="0" w:type="dxa"/>
            <w:right w:w="108" w:type="dxa"/>
          </w:tblCellMar>
        </w:tblPrEx>
        <w:trPr>
          <w:trHeight w:val="570"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2</w:t>
            </w:r>
          </w:p>
        </w:tc>
        <w:tc>
          <w:tcPr>
            <w:tcW w:w="2200"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auto"/>
                <w:szCs w:val="21"/>
                <w:highlight w:val="none"/>
              </w:rPr>
            </w:pPr>
            <w:r>
              <w:rPr>
                <w:rFonts w:hint="eastAsia" w:ascii="仿宋" w:hAnsi="仿宋" w:eastAsia="仿宋" w:cs="仿宋"/>
                <w:color w:val="auto"/>
                <w:szCs w:val="21"/>
                <w:highlight w:val="none"/>
              </w:rPr>
              <w:t>符合企业投标要求</w:t>
            </w:r>
          </w:p>
        </w:tc>
        <w:tc>
          <w:tcPr>
            <w:tcW w:w="5495" w:type="dxa"/>
            <w:tcBorders>
              <w:top w:val="single" w:color="auto" w:sz="4" w:space="0"/>
              <w:left w:val="nil"/>
              <w:bottom w:val="single" w:color="auto" w:sz="4" w:space="0"/>
              <w:right w:val="single" w:color="auto" w:sz="4" w:space="0"/>
            </w:tcBorders>
            <w:vAlign w:val="center"/>
          </w:tcPr>
          <w:p>
            <w:pPr>
              <w:widowControl/>
              <w:jc w:val="left"/>
              <w:rPr>
                <w:rFonts w:ascii="仿宋" w:hAnsi="仿宋" w:eastAsia="仿宋" w:cs="仿宋"/>
                <w:color w:val="auto"/>
                <w:szCs w:val="21"/>
                <w:highlight w:val="none"/>
              </w:rPr>
            </w:pPr>
            <w:r>
              <w:rPr>
                <w:rFonts w:hint="eastAsia" w:ascii="仿宋" w:hAnsi="仿宋" w:eastAsia="仿宋" w:cs="仿宋"/>
                <w:color w:val="auto"/>
                <w:szCs w:val="21"/>
                <w:highlight w:val="none"/>
              </w:rPr>
              <w:t>本项目非专门面向中小企业采购，符合资格要求的投标人均可参与本项目投标。</w:t>
            </w:r>
          </w:p>
        </w:tc>
      </w:tr>
      <w:tr>
        <w:tblPrEx>
          <w:tblCellMar>
            <w:top w:w="0" w:type="dxa"/>
            <w:left w:w="108" w:type="dxa"/>
            <w:bottom w:w="0" w:type="dxa"/>
            <w:right w:w="108" w:type="dxa"/>
          </w:tblCellMar>
        </w:tblPrEx>
        <w:trPr>
          <w:trHeight w:val="570"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2200" w:type="dxa"/>
            <w:tcBorders>
              <w:top w:val="single" w:color="auto" w:sz="4" w:space="0"/>
              <w:left w:val="nil"/>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按要求递交投标保证金</w:t>
            </w:r>
          </w:p>
        </w:tc>
        <w:tc>
          <w:tcPr>
            <w:tcW w:w="5495" w:type="dxa"/>
            <w:tcBorders>
              <w:top w:val="single" w:color="auto" w:sz="4" w:space="0"/>
              <w:left w:val="nil"/>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投标人须按第五章“投标人须知前附表”第★12款要求递交投标保证金</w:t>
            </w:r>
          </w:p>
        </w:tc>
      </w:tr>
      <w:tr>
        <w:tblPrEx>
          <w:tblCellMar>
            <w:top w:w="0" w:type="dxa"/>
            <w:left w:w="108" w:type="dxa"/>
            <w:bottom w:w="0" w:type="dxa"/>
            <w:right w:w="108" w:type="dxa"/>
          </w:tblCellMar>
        </w:tblPrEx>
        <w:trPr>
          <w:trHeight w:val="570"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4</w:t>
            </w:r>
          </w:p>
        </w:tc>
        <w:tc>
          <w:tcPr>
            <w:tcW w:w="2200" w:type="dxa"/>
            <w:tcBorders>
              <w:top w:val="single" w:color="auto" w:sz="4" w:space="0"/>
              <w:left w:val="nil"/>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投标有效期符合要求</w:t>
            </w:r>
          </w:p>
        </w:tc>
        <w:tc>
          <w:tcPr>
            <w:tcW w:w="5495" w:type="dxa"/>
            <w:tcBorders>
              <w:top w:val="single" w:color="auto" w:sz="4" w:space="0"/>
              <w:left w:val="nil"/>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90 日历日</w:t>
            </w:r>
          </w:p>
        </w:tc>
      </w:tr>
      <w:tr>
        <w:tblPrEx>
          <w:tblCellMar>
            <w:top w:w="0" w:type="dxa"/>
            <w:left w:w="108" w:type="dxa"/>
            <w:bottom w:w="0" w:type="dxa"/>
            <w:right w:w="108" w:type="dxa"/>
          </w:tblCellMar>
        </w:tblPrEx>
        <w:trPr>
          <w:trHeight w:val="570"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5</w:t>
            </w:r>
          </w:p>
        </w:tc>
        <w:tc>
          <w:tcPr>
            <w:tcW w:w="2200" w:type="dxa"/>
            <w:tcBorders>
              <w:top w:val="single" w:color="auto" w:sz="4" w:space="0"/>
              <w:left w:val="nil"/>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投标文件按要求签署、盖章</w:t>
            </w:r>
          </w:p>
        </w:tc>
        <w:tc>
          <w:tcPr>
            <w:tcW w:w="5495" w:type="dxa"/>
            <w:tcBorders>
              <w:top w:val="single" w:color="auto" w:sz="4" w:space="0"/>
              <w:left w:val="nil"/>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投标人须按第三章“投标文件格式”要求签署、盖章</w:t>
            </w:r>
          </w:p>
        </w:tc>
      </w:tr>
      <w:tr>
        <w:tblPrEx>
          <w:tblCellMar>
            <w:top w:w="0" w:type="dxa"/>
            <w:left w:w="108" w:type="dxa"/>
            <w:bottom w:w="0" w:type="dxa"/>
            <w:right w:w="108" w:type="dxa"/>
          </w:tblCellMar>
        </w:tblPrEx>
        <w:trPr>
          <w:trHeight w:val="570"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6</w:t>
            </w:r>
          </w:p>
        </w:tc>
        <w:tc>
          <w:tcPr>
            <w:tcW w:w="2200" w:type="dxa"/>
            <w:tcBorders>
              <w:top w:val="single" w:color="auto" w:sz="4" w:space="0"/>
              <w:left w:val="nil"/>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投标文件按要求装订</w:t>
            </w:r>
          </w:p>
        </w:tc>
        <w:tc>
          <w:tcPr>
            <w:tcW w:w="5495" w:type="dxa"/>
            <w:tcBorders>
              <w:top w:val="single" w:color="auto" w:sz="4" w:space="0"/>
              <w:left w:val="nil"/>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投标文件必须采用不可拆卸的装订方式。</w:t>
            </w:r>
          </w:p>
        </w:tc>
      </w:tr>
      <w:tr>
        <w:tblPrEx>
          <w:tblCellMar>
            <w:top w:w="0" w:type="dxa"/>
            <w:left w:w="108" w:type="dxa"/>
            <w:bottom w:w="0" w:type="dxa"/>
            <w:right w:w="108" w:type="dxa"/>
          </w:tblCellMar>
        </w:tblPrEx>
        <w:trPr>
          <w:trHeight w:val="570"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7</w:t>
            </w:r>
          </w:p>
        </w:tc>
        <w:tc>
          <w:tcPr>
            <w:tcW w:w="2200" w:type="dxa"/>
            <w:tcBorders>
              <w:top w:val="single" w:color="auto" w:sz="4" w:space="0"/>
              <w:left w:val="nil"/>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按要求提供法定代表人授权书</w:t>
            </w:r>
          </w:p>
        </w:tc>
        <w:tc>
          <w:tcPr>
            <w:tcW w:w="5495" w:type="dxa"/>
            <w:tcBorders>
              <w:top w:val="single" w:color="auto" w:sz="4" w:space="0"/>
              <w:left w:val="nil"/>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投标人须按第三章“投标文件格式”要求提供</w:t>
            </w:r>
          </w:p>
        </w:tc>
      </w:tr>
      <w:tr>
        <w:tblPrEx>
          <w:tblCellMar>
            <w:top w:w="0" w:type="dxa"/>
            <w:left w:w="108" w:type="dxa"/>
            <w:bottom w:w="0" w:type="dxa"/>
            <w:right w:w="108" w:type="dxa"/>
          </w:tblCellMar>
        </w:tblPrEx>
        <w:trPr>
          <w:trHeight w:val="529" w:hRule="atLeast"/>
          <w:jc w:val="center"/>
        </w:trPr>
        <w:tc>
          <w:tcPr>
            <w:tcW w:w="723" w:type="dxa"/>
            <w:tcBorders>
              <w:top w:val="nil"/>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2200" w:type="dxa"/>
            <w:tcBorders>
              <w:top w:val="nil"/>
              <w:left w:val="nil"/>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投标报价</w:t>
            </w:r>
          </w:p>
        </w:tc>
        <w:tc>
          <w:tcPr>
            <w:tcW w:w="5495" w:type="dxa"/>
            <w:tcBorders>
              <w:top w:val="nil"/>
              <w:left w:val="nil"/>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投标人仅可提出一个投标报价且该投标报价不得超过本项目预算价</w:t>
            </w:r>
          </w:p>
        </w:tc>
      </w:tr>
      <w:tr>
        <w:tblPrEx>
          <w:tblCellMar>
            <w:top w:w="0" w:type="dxa"/>
            <w:left w:w="108" w:type="dxa"/>
            <w:bottom w:w="0" w:type="dxa"/>
            <w:right w:w="108" w:type="dxa"/>
          </w:tblCellMar>
        </w:tblPrEx>
        <w:trPr>
          <w:trHeight w:val="686"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9</w:t>
            </w:r>
          </w:p>
        </w:tc>
        <w:tc>
          <w:tcPr>
            <w:tcW w:w="22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投标人不存在列出的情况</w:t>
            </w:r>
          </w:p>
        </w:tc>
        <w:tc>
          <w:tcPr>
            <w:tcW w:w="549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1、评标委员会认为存在串通投标等损害采购人或其他投标人合法权益的情况</w:t>
            </w:r>
          </w:p>
          <w:p>
            <w:pPr>
              <w:rPr>
                <w:rFonts w:ascii="仿宋" w:hAnsi="仿宋" w:eastAsia="仿宋" w:cs="仿宋"/>
                <w:color w:val="auto"/>
                <w:szCs w:val="21"/>
                <w:highlight w:val="none"/>
              </w:rPr>
            </w:pPr>
            <w:r>
              <w:rPr>
                <w:rFonts w:hint="eastAsia" w:ascii="仿宋" w:hAnsi="仿宋" w:eastAsia="仿宋" w:cs="仿宋"/>
                <w:color w:val="auto"/>
                <w:szCs w:val="21"/>
                <w:highlight w:val="none"/>
              </w:rPr>
              <w:t>2、评标委员会认为投标人的报价明显低于其他通过符合性检查投标人的报价，有可能影响履约的，且投标人未按照规定证明其报价合理性的</w:t>
            </w:r>
          </w:p>
          <w:p>
            <w:pPr>
              <w:rPr>
                <w:rFonts w:ascii="仿宋" w:hAnsi="仿宋" w:eastAsia="仿宋" w:cs="仿宋"/>
                <w:color w:val="auto"/>
                <w:szCs w:val="21"/>
                <w:highlight w:val="none"/>
              </w:rPr>
            </w:pPr>
            <w:r>
              <w:rPr>
                <w:rFonts w:hint="eastAsia" w:ascii="仿宋" w:hAnsi="仿宋" w:eastAsia="仿宋" w:cs="仿宋"/>
                <w:color w:val="auto"/>
                <w:szCs w:val="21"/>
                <w:highlight w:val="none"/>
              </w:rPr>
              <w:t>3、投标文件存在招标人不能接受的附加条件</w:t>
            </w:r>
          </w:p>
        </w:tc>
      </w:tr>
      <w:tr>
        <w:tblPrEx>
          <w:tblCellMar>
            <w:top w:w="0" w:type="dxa"/>
            <w:left w:w="108" w:type="dxa"/>
            <w:bottom w:w="0" w:type="dxa"/>
            <w:right w:w="108" w:type="dxa"/>
          </w:tblCellMar>
        </w:tblPrEx>
        <w:trPr>
          <w:trHeight w:val="814"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w:t>
            </w:r>
          </w:p>
        </w:tc>
        <w:tc>
          <w:tcPr>
            <w:tcW w:w="22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实质性响应招标文件的要求（★项）</w:t>
            </w:r>
          </w:p>
        </w:tc>
        <w:tc>
          <w:tcPr>
            <w:tcW w:w="549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投标人须实质性响应招标文件中的所有加“★”项要求</w:t>
            </w:r>
          </w:p>
        </w:tc>
      </w:tr>
      <w:tr>
        <w:tblPrEx>
          <w:tblCellMar>
            <w:top w:w="0" w:type="dxa"/>
            <w:left w:w="108" w:type="dxa"/>
            <w:bottom w:w="0" w:type="dxa"/>
            <w:right w:w="108" w:type="dxa"/>
          </w:tblCellMar>
        </w:tblPrEx>
        <w:trPr>
          <w:trHeight w:val="710" w:hRule="atLeast"/>
          <w:jc w:val="center"/>
        </w:trPr>
        <w:tc>
          <w:tcPr>
            <w:tcW w:w="72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color w:val="auto"/>
                <w:szCs w:val="21"/>
                <w:highlight w:val="none"/>
              </w:rPr>
            </w:pPr>
            <w:r>
              <w:rPr>
                <w:rFonts w:hint="eastAsia" w:ascii="仿宋" w:hAnsi="仿宋" w:eastAsia="仿宋" w:cs="仿宋"/>
                <w:color w:val="auto"/>
                <w:szCs w:val="21"/>
                <w:highlight w:val="none"/>
              </w:rPr>
              <w:t>11</w:t>
            </w:r>
          </w:p>
        </w:tc>
        <w:tc>
          <w:tcPr>
            <w:tcW w:w="22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其他</w:t>
            </w:r>
          </w:p>
        </w:tc>
        <w:tc>
          <w:tcPr>
            <w:tcW w:w="549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color w:val="auto"/>
                <w:szCs w:val="21"/>
                <w:highlight w:val="none"/>
              </w:rPr>
            </w:pPr>
            <w:r>
              <w:rPr>
                <w:rFonts w:hint="eastAsia" w:ascii="仿宋" w:hAnsi="仿宋" w:eastAsia="仿宋" w:cs="仿宋"/>
                <w:color w:val="auto"/>
                <w:szCs w:val="21"/>
                <w:highlight w:val="none"/>
              </w:rPr>
              <w:t>不存在不符合法规和招标文件中规定的其他实质性要求</w:t>
            </w:r>
          </w:p>
        </w:tc>
      </w:tr>
    </w:tbl>
    <w:p>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初步审查的各项内容中，如有一项没有合格，则视作未对招标文件做出实质性响应而不能通过初步审查，构成无效标。</w:t>
      </w:r>
    </w:p>
    <w:p>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通过符合性审查的投标人不足3家时，本项目废标，依法重新招标或采购。</w:t>
      </w:r>
    </w:p>
    <w:p>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评标委员会将根据初步审查的结果，对通过的投标文件进行详细评审。</w:t>
      </w:r>
    </w:p>
    <w:p>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3.3详细评审</w:t>
      </w:r>
      <w:bookmarkEnd w:id="476"/>
      <w:bookmarkEnd w:id="477"/>
      <w:bookmarkEnd w:id="478"/>
      <w:bookmarkEnd w:id="479"/>
    </w:p>
    <w:p>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评标委员会对满足招标文件全部实质性要求的投标文件，按照招标文件规定的评审因素的量化指标进行独立评审打分，以评审得分从高到低顺序确定中标候选人。分值计算</w:t>
      </w:r>
      <w:r>
        <w:rPr>
          <w:rFonts w:hint="eastAsia" w:ascii="仿宋" w:hAnsi="仿宋" w:eastAsia="仿宋" w:cs="仿宋"/>
          <w:color w:val="auto"/>
          <w:szCs w:val="21"/>
          <w:highlight w:val="none"/>
          <w:lang w:bidi="ar"/>
        </w:rPr>
        <w:t>小数点保留2位</w:t>
      </w:r>
      <w:r>
        <w:rPr>
          <w:rFonts w:hint="eastAsia" w:ascii="仿宋" w:hAnsi="仿宋" w:eastAsia="仿宋" w:cs="仿宋"/>
          <w:color w:val="auto"/>
          <w:szCs w:val="21"/>
          <w:highlight w:val="none"/>
        </w:rPr>
        <w:t>。</w:t>
      </w:r>
    </w:p>
    <w:p>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 本项目未授权评标委员会确定中标人。评标委员会需推荐综合得分前三名为中标候选人。</w:t>
      </w:r>
    </w:p>
    <w:p>
      <w:pPr>
        <w:widowControl/>
        <w:ind w:left="640"/>
        <w:jc w:val="center"/>
        <w:rPr>
          <w:rFonts w:ascii="仿宋" w:hAnsi="仿宋" w:eastAsia="仿宋" w:cs="仿宋"/>
          <w:b/>
          <w:bCs/>
          <w:color w:val="auto"/>
          <w:szCs w:val="21"/>
          <w:highlight w:val="none"/>
        </w:rPr>
      </w:pPr>
      <w:r>
        <w:rPr>
          <w:rFonts w:hint="eastAsia" w:ascii="仿宋" w:hAnsi="仿宋" w:eastAsia="仿宋" w:cs="仿宋"/>
          <w:b/>
          <w:bCs/>
          <w:color w:val="auto"/>
          <w:szCs w:val="21"/>
          <w:highlight w:val="none"/>
        </w:rPr>
        <w:t>评分标准</w:t>
      </w:r>
    </w:p>
    <w:tbl>
      <w:tblPr>
        <w:tblStyle w:val="20"/>
        <w:tblW w:w="8666" w:type="dxa"/>
        <w:jc w:val="center"/>
        <w:tblLayout w:type="fixed"/>
        <w:tblCellMar>
          <w:top w:w="0" w:type="dxa"/>
          <w:left w:w="108" w:type="dxa"/>
          <w:bottom w:w="0" w:type="dxa"/>
          <w:right w:w="108" w:type="dxa"/>
        </w:tblCellMar>
      </w:tblPr>
      <w:tblGrid>
        <w:gridCol w:w="1247"/>
        <w:gridCol w:w="810"/>
        <w:gridCol w:w="6609"/>
      </w:tblGrid>
      <w:tr>
        <w:tblPrEx>
          <w:tblCellMar>
            <w:top w:w="0" w:type="dxa"/>
            <w:left w:w="108" w:type="dxa"/>
            <w:bottom w:w="0" w:type="dxa"/>
            <w:right w:w="108" w:type="dxa"/>
          </w:tblCellMar>
        </w:tblPrEx>
        <w:trPr>
          <w:trHeight w:val="523"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80" w:lineRule="exact"/>
              <w:jc w:val="center"/>
              <w:rPr>
                <w:rFonts w:ascii="仿宋" w:hAnsi="仿宋" w:eastAsia="仿宋" w:cs="仿宋"/>
                <w:color w:val="auto"/>
                <w:szCs w:val="21"/>
                <w:highlight w:val="none"/>
              </w:rPr>
            </w:pPr>
            <w:r>
              <w:rPr>
                <w:rFonts w:hint="eastAsia" w:ascii="仿宋" w:hAnsi="仿宋" w:eastAsia="仿宋" w:cs="仿宋"/>
                <w:b/>
                <w:color w:val="auto"/>
                <w:szCs w:val="21"/>
                <w:highlight w:val="none"/>
              </w:rPr>
              <w:t>评审因素</w:t>
            </w:r>
          </w:p>
        </w:tc>
        <w:tc>
          <w:tcPr>
            <w:tcW w:w="81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80" w:lineRule="exact"/>
              <w:jc w:val="center"/>
              <w:rPr>
                <w:rFonts w:ascii="仿宋" w:hAnsi="仿宋" w:eastAsia="仿宋" w:cs="仿宋"/>
                <w:b/>
                <w:color w:val="auto"/>
                <w:szCs w:val="21"/>
                <w:highlight w:val="none"/>
              </w:rPr>
            </w:pPr>
            <w:r>
              <w:rPr>
                <w:rFonts w:hint="eastAsia" w:ascii="仿宋" w:hAnsi="仿宋" w:eastAsia="仿宋" w:cs="仿宋"/>
                <w:b/>
                <w:color w:val="auto"/>
                <w:szCs w:val="21"/>
                <w:highlight w:val="none"/>
              </w:rPr>
              <w:t>分值</w:t>
            </w:r>
          </w:p>
        </w:tc>
        <w:tc>
          <w:tcPr>
            <w:tcW w:w="66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80" w:lineRule="exact"/>
              <w:jc w:val="center"/>
              <w:rPr>
                <w:rFonts w:ascii="仿宋" w:hAnsi="仿宋" w:eastAsia="仿宋" w:cs="仿宋"/>
                <w:color w:val="auto"/>
                <w:szCs w:val="21"/>
                <w:highlight w:val="none"/>
              </w:rPr>
            </w:pPr>
            <w:r>
              <w:rPr>
                <w:rFonts w:hint="eastAsia" w:ascii="仿宋" w:hAnsi="仿宋" w:eastAsia="仿宋" w:cs="仿宋"/>
                <w:b/>
                <w:color w:val="auto"/>
                <w:szCs w:val="21"/>
                <w:highlight w:val="none"/>
              </w:rPr>
              <w:t>评审标准</w:t>
            </w:r>
          </w:p>
        </w:tc>
      </w:tr>
      <w:tr>
        <w:tblPrEx>
          <w:tblCellMar>
            <w:top w:w="0" w:type="dxa"/>
            <w:left w:w="108" w:type="dxa"/>
            <w:bottom w:w="0" w:type="dxa"/>
            <w:right w:w="108" w:type="dxa"/>
          </w:tblCellMar>
        </w:tblPrEx>
        <w:trPr>
          <w:trHeight w:val="438"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投标报价评分标准</w:t>
            </w:r>
          </w:p>
        </w:tc>
        <w:tc>
          <w:tcPr>
            <w:tcW w:w="81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8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70</w:t>
            </w:r>
          </w:p>
        </w:tc>
        <w:tc>
          <w:tcPr>
            <w:tcW w:w="6609" w:type="dxa"/>
            <w:tcBorders>
              <w:top w:val="single" w:color="auto" w:sz="4" w:space="0"/>
              <w:left w:val="single" w:color="auto" w:sz="4" w:space="0"/>
              <w:bottom w:val="single" w:color="auto" w:sz="4" w:space="0"/>
              <w:right w:val="single" w:color="auto" w:sz="4" w:space="0"/>
            </w:tcBorders>
          </w:tcPr>
          <w:p>
            <w:pPr>
              <w:tabs>
                <w:tab w:val="left" w:pos="240"/>
              </w:tabs>
              <w:spacing w:line="380" w:lineRule="exact"/>
              <w:rPr>
                <w:rFonts w:ascii="仿宋" w:hAnsi="仿宋" w:eastAsia="仿宋" w:cs="仿宋"/>
                <w:color w:val="auto"/>
                <w:szCs w:val="21"/>
                <w:highlight w:val="none"/>
                <w:lang w:bidi="ar"/>
              </w:rPr>
            </w:pPr>
            <w:r>
              <w:rPr>
                <w:rFonts w:hint="eastAsia" w:ascii="仿宋" w:hAnsi="仿宋" w:eastAsia="仿宋" w:cs="仿宋"/>
                <w:color w:val="auto"/>
                <w:szCs w:val="21"/>
                <w:highlight w:val="none"/>
                <w:lang w:bidi="ar"/>
              </w:rPr>
              <w:t>1. 评标价格的确定: 以有效投标报价为依据, 如有缺漏项, 则应补齐报价或按其他投标人相应报价计入投标总价。多报,不予核减。</w:t>
            </w:r>
          </w:p>
          <w:p>
            <w:pPr>
              <w:tabs>
                <w:tab w:val="left" w:pos="240"/>
              </w:tabs>
              <w:spacing w:line="380" w:lineRule="exact"/>
              <w:rPr>
                <w:rFonts w:ascii="仿宋" w:hAnsi="仿宋" w:eastAsia="仿宋" w:cs="仿宋"/>
                <w:color w:val="auto"/>
                <w:szCs w:val="21"/>
                <w:highlight w:val="none"/>
                <w:lang w:bidi="ar"/>
              </w:rPr>
            </w:pPr>
            <w:r>
              <w:rPr>
                <w:rFonts w:hint="eastAsia" w:ascii="仿宋" w:hAnsi="仿宋" w:eastAsia="仿宋" w:cs="仿宋"/>
                <w:color w:val="auto"/>
                <w:szCs w:val="21"/>
                <w:highlight w:val="none"/>
                <w:lang w:bidi="ar"/>
              </w:rPr>
              <w:t>2.满足招标文件要求且评标价格最低的为基准价，其报价得分为满分</w:t>
            </w:r>
            <w:r>
              <w:rPr>
                <w:rFonts w:hint="eastAsia" w:ascii="仿宋" w:hAnsi="仿宋" w:eastAsia="仿宋" w:cs="仿宋"/>
                <w:color w:val="auto"/>
                <w:szCs w:val="21"/>
                <w:highlight w:val="none"/>
                <w:lang w:val="en-US" w:eastAsia="zh-CN" w:bidi="ar"/>
              </w:rPr>
              <w:t>70</w:t>
            </w:r>
            <w:r>
              <w:rPr>
                <w:rFonts w:hint="eastAsia" w:ascii="仿宋" w:hAnsi="仿宋" w:eastAsia="仿宋" w:cs="仿宋"/>
                <w:color w:val="auto"/>
                <w:szCs w:val="21"/>
                <w:highlight w:val="none"/>
                <w:lang w:bidi="ar"/>
              </w:rPr>
              <w:t>分。</w:t>
            </w:r>
          </w:p>
          <w:p>
            <w:pPr>
              <w:tabs>
                <w:tab w:val="left" w:pos="240"/>
              </w:tabs>
              <w:spacing w:line="380" w:lineRule="exact"/>
              <w:rPr>
                <w:rFonts w:ascii="仿宋" w:hAnsi="仿宋" w:eastAsia="仿宋" w:cs="仿宋"/>
                <w:color w:val="auto"/>
                <w:highlight w:val="none"/>
              </w:rPr>
            </w:pPr>
            <w:r>
              <w:rPr>
                <w:rFonts w:hint="eastAsia" w:ascii="仿宋" w:hAnsi="仿宋" w:eastAsia="仿宋" w:cs="仿宋"/>
                <w:color w:val="auto"/>
                <w:szCs w:val="21"/>
                <w:highlight w:val="none"/>
                <w:lang w:bidi="ar"/>
              </w:rPr>
              <w:t>3.报价得分＝（评标基准价/评标价）×</w:t>
            </w:r>
            <w:r>
              <w:rPr>
                <w:rFonts w:hint="eastAsia" w:ascii="仿宋" w:hAnsi="仿宋" w:eastAsia="仿宋" w:cs="仿宋"/>
                <w:color w:val="auto"/>
                <w:szCs w:val="21"/>
                <w:highlight w:val="none"/>
                <w:lang w:val="en-US" w:eastAsia="zh-CN" w:bidi="ar"/>
              </w:rPr>
              <w:t>70</w:t>
            </w:r>
            <w:r>
              <w:rPr>
                <w:rFonts w:hint="eastAsia" w:ascii="仿宋" w:hAnsi="仿宋" w:eastAsia="仿宋" w:cs="仿宋"/>
                <w:color w:val="auto"/>
                <w:szCs w:val="21"/>
                <w:highlight w:val="none"/>
                <w:lang w:bidi="ar"/>
              </w:rPr>
              <w:t>，小数点保留2位。</w:t>
            </w:r>
          </w:p>
        </w:tc>
      </w:tr>
      <w:tr>
        <w:tblPrEx>
          <w:tblCellMar>
            <w:top w:w="0" w:type="dxa"/>
            <w:left w:w="108" w:type="dxa"/>
            <w:bottom w:w="0" w:type="dxa"/>
            <w:right w:w="108" w:type="dxa"/>
          </w:tblCellMar>
        </w:tblPrEx>
        <w:trPr>
          <w:trHeight w:val="640"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所投产品业绩</w:t>
            </w:r>
          </w:p>
        </w:tc>
        <w:tc>
          <w:tcPr>
            <w:tcW w:w="81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80" w:lineRule="exact"/>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66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80" w:lineRule="exact"/>
              <w:jc w:val="left"/>
              <w:rPr>
                <w:rFonts w:ascii="仿宋" w:hAnsi="仿宋" w:eastAsia="仿宋" w:cs="仿宋"/>
                <w:bCs/>
                <w:color w:val="auto"/>
                <w:szCs w:val="21"/>
                <w:highlight w:val="none"/>
              </w:rPr>
            </w:pPr>
            <w:r>
              <w:rPr>
                <w:rFonts w:hint="eastAsia" w:ascii="仿宋" w:hAnsi="仿宋" w:eastAsia="仿宋" w:cs="仿宋"/>
                <w:bCs/>
                <w:color w:val="auto"/>
                <w:szCs w:val="21"/>
                <w:highlight w:val="none"/>
              </w:rPr>
              <w:t>投标人需提供20</w:t>
            </w:r>
            <w:r>
              <w:rPr>
                <w:rFonts w:hint="eastAsia" w:ascii="仿宋" w:hAnsi="仿宋" w:eastAsia="仿宋" w:cs="仿宋"/>
                <w:bCs/>
                <w:color w:val="auto"/>
                <w:szCs w:val="21"/>
                <w:highlight w:val="none"/>
                <w:lang w:val="en-US" w:eastAsia="zh-CN"/>
              </w:rPr>
              <w:t>19</w:t>
            </w:r>
            <w:r>
              <w:rPr>
                <w:rFonts w:hint="eastAsia" w:ascii="仿宋" w:hAnsi="仿宋" w:eastAsia="仿宋" w:cs="仿宋"/>
                <w:bCs/>
                <w:color w:val="auto"/>
                <w:szCs w:val="21"/>
                <w:highlight w:val="none"/>
              </w:rPr>
              <w:t>年</w:t>
            </w:r>
            <w:r>
              <w:rPr>
                <w:rFonts w:hint="eastAsia" w:ascii="仿宋" w:hAnsi="仿宋" w:eastAsia="仿宋" w:cs="仿宋"/>
                <w:bCs/>
                <w:color w:val="auto"/>
                <w:szCs w:val="21"/>
                <w:highlight w:val="none"/>
                <w:lang w:val="en-US" w:eastAsia="zh-CN"/>
              </w:rPr>
              <w:t>10</w:t>
            </w:r>
            <w:r>
              <w:rPr>
                <w:rFonts w:hint="eastAsia" w:ascii="仿宋" w:hAnsi="仿宋" w:eastAsia="仿宋" w:cs="仿宋"/>
                <w:bCs/>
                <w:color w:val="auto"/>
                <w:szCs w:val="21"/>
                <w:highlight w:val="none"/>
              </w:rPr>
              <w:t>月01日以来（以合同签订日期为准）所投产品销售</w:t>
            </w:r>
            <w:r>
              <w:rPr>
                <w:rFonts w:hint="eastAsia" w:ascii="仿宋" w:hAnsi="仿宋" w:eastAsia="仿宋" w:cs="仿宋"/>
                <w:color w:val="auto"/>
                <w:szCs w:val="21"/>
                <w:highlight w:val="none"/>
              </w:rPr>
              <w:t>业绩</w:t>
            </w:r>
            <w:r>
              <w:rPr>
                <w:rFonts w:hint="eastAsia" w:ascii="仿宋" w:hAnsi="仿宋" w:eastAsia="仿宋" w:cs="仿宋"/>
                <w:bCs/>
                <w:color w:val="auto"/>
                <w:szCs w:val="21"/>
                <w:highlight w:val="none"/>
              </w:rPr>
              <w:t>，投标文件中需提供体现合同主要内容的清晰复印件并加盖公章(</w:t>
            </w:r>
            <w:r>
              <w:rPr>
                <w:rFonts w:hint="eastAsia" w:ascii="仿宋" w:hAnsi="仿宋" w:eastAsia="仿宋" w:cs="仿宋"/>
                <w:b/>
                <w:bCs/>
                <w:color w:val="auto"/>
                <w:szCs w:val="21"/>
                <w:highlight w:val="none"/>
              </w:rPr>
              <w:t>至少包含首页、合同标的（完整的）页、签字盖章页)</w:t>
            </w:r>
            <w:r>
              <w:rPr>
                <w:rFonts w:hint="eastAsia" w:ascii="仿宋" w:hAnsi="仿宋" w:eastAsia="仿宋" w:cs="仿宋"/>
                <w:bCs/>
                <w:color w:val="auto"/>
                <w:szCs w:val="21"/>
                <w:highlight w:val="none"/>
              </w:rPr>
              <w:t>。每提供一个所投产品销售</w:t>
            </w:r>
            <w:r>
              <w:rPr>
                <w:rFonts w:hint="eastAsia" w:ascii="仿宋" w:hAnsi="仿宋" w:eastAsia="仿宋" w:cs="仿宋"/>
                <w:color w:val="auto"/>
                <w:kern w:val="0"/>
                <w:szCs w:val="21"/>
                <w:highlight w:val="none"/>
              </w:rPr>
              <w:t>业绩得2分，本款最多得</w:t>
            </w:r>
            <w:r>
              <w:rPr>
                <w:rFonts w:hint="eastAsia" w:ascii="仿宋" w:hAnsi="仿宋" w:eastAsia="仿宋" w:cs="仿宋"/>
                <w:color w:val="auto"/>
                <w:kern w:val="0"/>
                <w:szCs w:val="21"/>
                <w:highlight w:val="none"/>
                <w:lang w:val="en-US" w:eastAsia="zh-CN"/>
              </w:rPr>
              <w:t>10</w:t>
            </w:r>
            <w:r>
              <w:rPr>
                <w:rFonts w:hint="eastAsia" w:ascii="仿宋" w:hAnsi="仿宋" w:eastAsia="仿宋" w:cs="仿宋"/>
                <w:color w:val="auto"/>
                <w:kern w:val="0"/>
                <w:szCs w:val="21"/>
                <w:highlight w:val="none"/>
              </w:rPr>
              <w:t>分。</w:t>
            </w:r>
            <w:r>
              <w:rPr>
                <w:rFonts w:hint="eastAsia" w:ascii="仿宋" w:hAnsi="仿宋" w:eastAsia="仿宋" w:cs="仿宋"/>
                <w:b/>
                <w:color w:val="auto"/>
                <w:szCs w:val="21"/>
                <w:highlight w:val="none"/>
              </w:rPr>
              <w:t>未提供或者投标人提供的合同关键页不全或不清晰的，不得分。</w:t>
            </w:r>
          </w:p>
        </w:tc>
      </w:tr>
      <w:tr>
        <w:tblPrEx>
          <w:tblCellMar>
            <w:top w:w="0" w:type="dxa"/>
            <w:left w:w="108" w:type="dxa"/>
            <w:bottom w:w="0" w:type="dxa"/>
            <w:right w:w="108" w:type="dxa"/>
          </w:tblCellMar>
        </w:tblPrEx>
        <w:trPr>
          <w:trHeight w:val="640"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投标产品的技术响应情况</w:t>
            </w:r>
          </w:p>
        </w:tc>
        <w:tc>
          <w:tcPr>
            <w:tcW w:w="81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lang w:val="en-US" w:eastAsia="zh-CN"/>
              </w:rPr>
              <w:t>8</w:t>
            </w:r>
          </w:p>
        </w:tc>
        <w:tc>
          <w:tcPr>
            <w:tcW w:w="66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1、“★”号技术条款不满足文件要求的，将导致投标被否决（投标人需根据文件要求提供相关技术支持资料）</w:t>
            </w:r>
          </w:p>
          <w:p>
            <w:pPr>
              <w:autoSpaceDE w:val="0"/>
              <w:autoSpaceDN w:val="0"/>
              <w:spacing w:line="380" w:lineRule="exact"/>
              <w:rPr>
                <w:rFonts w:hint="default" w:ascii="仿宋" w:hAnsi="仿宋" w:eastAsia="仿宋" w:cs="仿宋"/>
                <w:b/>
                <w:color w:val="auto"/>
                <w:szCs w:val="21"/>
                <w:highlight w:val="none"/>
                <w:lang w:val="en-US" w:eastAsia="zh-CN"/>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根据所投产品的具体配置、品牌、性能优劣打分。优得8分，良得6，一般得4分，差得2分。</w:t>
            </w:r>
          </w:p>
        </w:tc>
      </w:tr>
      <w:tr>
        <w:tblPrEx>
          <w:tblCellMar>
            <w:top w:w="0" w:type="dxa"/>
            <w:left w:w="108" w:type="dxa"/>
            <w:bottom w:w="0" w:type="dxa"/>
            <w:right w:w="108" w:type="dxa"/>
          </w:tblCellMar>
        </w:tblPrEx>
        <w:trPr>
          <w:trHeight w:val="640"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实施方案</w:t>
            </w:r>
          </w:p>
        </w:tc>
        <w:tc>
          <w:tcPr>
            <w:tcW w:w="81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3</w:t>
            </w:r>
          </w:p>
        </w:tc>
        <w:tc>
          <w:tcPr>
            <w:tcW w:w="66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根据供应商提供详细的项目安装、调试、验收等实施方案进行评审；方案内容详细、合理且可行性强的得3分；方案内容完整、合理且可行性一般的2分；方案内容不完整、合理且及可行性差的得1分；方案内容不完整且不具备可行性的不得分。</w:t>
            </w:r>
          </w:p>
        </w:tc>
      </w:tr>
      <w:tr>
        <w:tblPrEx>
          <w:tblCellMar>
            <w:top w:w="0" w:type="dxa"/>
            <w:left w:w="108" w:type="dxa"/>
            <w:bottom w:w="0" w:type="dxa"/>
            <w:right w:w="108" w:type="dxa"/>
          </w:tblCellMar>
        </w:tblPrEx>
        <w:trPr>
          <w:trHeight w:val="326"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售后服务方案</w:t>
            </w:r>
          </w:p>
        </w:tc>
        <w:tc>
          <w:tcPr>
            <w:tcW w:w="81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8</w:t>
            </w:r>
          </w:p>
        </w:tc>
        <w:tc>
          <w:tcPr>
            <w:tcW w:w="66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仿宋" w:hAnsi="仿宋" w:eastAsia="仿宋" w:cs="仿宋"/>
                <w:color w:val="auto"/>
                <w:highlight w:val="none"/>
              </w:rPr>
            </w:pPr>
            <w:r>
              <w:rPr>
                <w:rFonts w:hint="eastAsia" w:ascii="仿宋" w:hAnsi="仿宋" w:eastAsia="仿宋" w:cs="仿宋"/>
                <w:color w:val="auto"/>
                <w:highlight w:val="none"/>
              </w:rPr>
              <w:t>投标人需提供详细完整得售后服务方案（包括但不限于应急故障处理、故障响应及修复时间、售后服务人员配置（培训人员数量、培训次数、培训内容、人员素质）情况等），评委根据售后服务方案按下述规则进行综合打分：</w:t>
            </w:r>
          </w:p>
          <w:p>
            <w:pPr>
              <w:spacing w:line="360" w:lineRule="auto"/>
              <w:jc w:val="left"/>
              <w:rPr>
                <w:rFonts w:ascii="仿宋" w:hAnsi="仿宋" w:eastAsia="仿宋" w:cs="仿宋"/>
                <w:color w:val="auto"/>
                <w:highlight w:val="none"/>
              </w:rPr>
            </w:pPr>
            <w:r>
              <w:rPr>
                <w:rFonts w:hint="eastAsia" w:ascii="仿宋" w:hAnsi="仿宋" w:eastAsia="仿宋" w:cs="仿宋"/>
                <w:color w:val="auto"/>
                <w:highlight w:val="none"/>
              </w:rPr>
              <w:t>① 提供的售后服务方案内容详细、可行性高、响应及时的得5分，方案内容完整、可行性一般，响应及时性一般的得3分，方案内容不完整、可行性差、响应及时性差的得1分，未提供不得分。</w:t>
            </w:r>
          </w:p>
          <w:p>
            <w:pPr>
              <w:spacing w:line="360" w:lineRule="auto"/>
              <w:jc w:val="left"/>
              <w:rPr>
                <w:rFonts w:ascii="仿宋" w:hAnsi="仿宋" w:eastAsia="仿宋" w:cs="仿宋"/>
                <w:color w:val="auto"/>
                <w:szCs w:val="21"/>
                <w:highlight w:val="none"/>
              </w:rPr>
            </w:pPr>
            <w:r>
              <w:rPr>
                <w:rFonts w:hint="eastAsia" w:ascii="仿宋" w:hAnsi="仿宋" w:eastAsia="仿宋" w:cs="仿宋"/>
                <w:color w:val="auto"/>
                <w:szCs w:val="21"/>
                <w:highlight w:val="none"/>
              </w:rPr>
              <w:t>②提供的售后服务人员配置明确、合理且技术能力优秀的得3分，提供的人员配置详细程度一般且技术能力一般的得1分，未提供不得分；</w:t>
            </w:r>
          </w:p>
        </w:tc>
      </w:tr>
      <w:tr>
        <w:tblPrEx>
          <w:tblCellMar>
            <w:top w:w="0" w:type="dxa"/>
            <w:left w:w="108" w:type="dxa"/>
            <w:bottom w:w="0" w:type="dxa"/>
            <w:right w:w="108" w:type="dxa"/>
          </w:tblCellMar>
        </w:tblPrEx>
        <w:trPr>
          <w:trHeight w:val="530"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节能环保产品</w:t>
            </w:r>
          </w:p>
        </w:tc>
        <w:tc>
          <w:tcPr>
            <w:tcW w:w="81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80" w:lineRule="exact"/>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1</w:t>
            </w:r>
          </w:p>
        </w:tc>
        <w:tc>
          <w:tcPr>
            <w:tcW w:w="66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80" w:lineRule="exact"/>
              <w:rPr>
                <w:rFonts w:ascii="仿宋" w:hAnsi="仿宋" w:eastAsia="仿宋" w:cs="仿宋"/>
                <w:color w:val="auto"/>
                <w:szCs w:val="21"/>
                <w:highlight w:val="none"/>
              </w:rPr>
            </w:pPr>
            <w:r>
              <w:rPr>
                <w:rFonts w:hint="eastAsia" w:ascii="仿宋" w:hAnsi="仿宋" w:eastAsia="仿宋" w:cs="仿宋"/>
                <w:color w:val="auto"/>
                <w:szCs w:val="21"/>
                <w:highlight w:val="none"/>
              </w:rPr>
              <w:t>投标人所投产品如被列入财政部与国家主管部门颁发的节能产品目录或环境标志产品目录或无线局域网产品目录，应提供相关证明，在评标时予以优先采购，具体优惠措施为：在技术部分打分项中加</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 xml:space="preserve"> 分</w:t>
            </w:r>
          </w:p>
        </w:tc>
      </w:tr>
      <w:tr>
        <w:tblPrEx>
          <w:tblCellMar>
            <w:top w:w="0" w:type="dxa"/>
            <w:left w:w="108" w:type="dxa"/>
            <w:bottom w:w="0" w:type="dxa"/>
            <w:right w:w="108" w:type="dxa"/>
          </w:tblCellMar>
        </w:tblPrEx>
        <w:trPr>
          <w:trHeight w:val="530" w:hRule="atLeast"/>
          <w:jc w:val="center"/>
        </w:trPr>
        <w:tc>
          <w:tcPr>
            <w:tcW w:w="1247"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合计</w:t>
            </w:r>
          </w:p>
        </w:tc>
        <w:tc>
          <w:tcPr>
            <w:tcW w:w="81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80" w:lineRule="exact"/>
              <w:jc w:val="center"/>
              <w:rPr>
                <w:rFonts w:ascii="仿宋" w:hAnsi="仿宋" w:eastAsia="仿宋" w:cs="仿宋"/>
                <w:color w:val="auto"/>
                <w:szCs w:val="21"/>
                <w:highlight w:val="none"/>
              </w:rPr>
            </w:pPr>
            <w:r>
              <w:rPr>
                <w:rFonts w:hint="eastAsia" w:ascii="仿宋" w:hAnsi="仿宋" w:eastAsia="仿宋" w:cs="仿宋"/>
                <w:color w:val="auto"/>
                <w:szCs w:val="21"/>
                <w:highlight w:val="none"/>
              </w:rPr>
              <w:t>100</w:t>
            </w:r>
          </w:p>
        </w:tc>
        <w:tc>
          <w:tcPr>
            <w:tcW w:w="6609"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380" w:lineRule="exact"/>
              <w:rPr>
                <w:rFonts w:ascii="仿宋" w:hAnsi="仿宋" w:eastAsia="仿宋" w:cs="仿宋"/>
                <w:color w:val="auto"/>
                <w:szCs w:val="21"/>
                <w:highlight w:val="none"/>
              </w:rPr>
            </w:pPr>
          </w:p>
        </w:tc>
      </w:tr>
    </w:tbl>
    <w:p>
      <w:pPr>
        <w:pStyle w:val="9"/>
        <w:tabs>
          <w:tab w:val="clear" w:pos="567"/>
        </w:tabs>
        <w:spacing w:before="0" w:line="360" w:lineRule="auto"/>
        <w:ind w:firstLine="540" w:firstLineChars="225"/>
        <w:rPr>
          <w:rFonts w:ascii="仿宋" w:hAnsi="仿宋" w:eastAsia="仿宋" w:cs="仿宋"/>
          <w:color w:val="auto"/>
          <w:highlight w:val="none"/>
        </w:rPr>
      </w:pPr>
    </w:p>
    <w:p>
      <w:pPr>
        <w:spacing w:line="360" w:lineRule="auto"/>
        <w:ind w:firstLine="422" w:firstLineChars="200"/>
        <w:contextualSpacing/>
        <w:rPr>
          <w:rFonts w:ascii="仿宋" w:hAnsi="仿宋" w:eastAsia="仿宋" w:cs="仿宋"/>
          <w:b/>
          <w:color w:val="auto"/>
          <w:szCs w:val="21"/>
          <w:highlight w:val="none"/>
        </w:rPr>
      </w:pPr>
      <w:r>
        <w:rPr>
          <w:rFonts w:hint="eastAsia" w:ascii="仿宋" w:hAnsi="仿宋" w:eastAsia="仿宋" w:cs="仿宋"/>
          <w:b/>
          <w:color w:val="auto"/>
          <w:szCs w:val="21"/>
          <w:highlight w:val="none"/>
        </w:rPr>
        <w:t>注：1.以上评标标准中涉及的相关证明文件，应按照要求在投标文件中提供相关文件的复印件（加盖公章），否则视为不满足招标文件要求。</w:t>
      </w:r>
    </w:p>
    <w:p>
      <w:pPr>
        <w:spacing w:line="360" w:lineRule="auto"/>
        <w:ind w:firstLine="422" w:firstLineChars="200"/>
        <w:contextualSpacing/>
        <w:rPr>
          <w:rFonts w:ascii="仿宋" w:hAnsi="仿宋" w:eastAsia="仿宋" w:cs="仿宋"/>
          <w:b/>
          <w:color w:val="auto"/>
          <w:szCs w:val="21"/>
          <w:highlight w:val="none"/>
        </w:rPr>
      </w:pPr>
      <w:r>
        <w:rPr>
          <w:rFonts w:hint="eastAsia" w:ascii="仿宋" w:hAnsi="仿宋" w:eastAsia="仿宋" w:cs="仿宋"/>
          <w:b/>
          <w:color w:val="auto"/>
          <w:szCs w:val="21"/>
          <w:highlight w:val="none"/>
        </w:rPr>
        <w:t xml:space="preserve">    2.投标人需根据评审内容提供评审索引表。</w:t>
      </w:r>
    </w:p>
    <w:p>
      <w:pPr>
        <w:spacing w:line="360" w:lineRule="auto"/>
        <w:ind w:firstLine="420" w:firstLineChars="200"/>
        <w:contextualSpacing/>
        <w:rPr>
          <w:rFonts w:ascii="仿宋" w:hAnsi="仿宋" w:eastAsia="仿宋" w:cs="仿宋"/>
          <w:color w:val="auto"/>
          <w:szCs w:val="21"/>
          <w:highlight w:val="none"/>
        </w:rPr>
      </w:pPr>
      <w:bookmarkStart w:id="494" w:name="_Toc6486_WPSOffice_Level3"/>
      <w:bookmarkStart w:id="495" w:name="_Toc32103_WPSOffice_Level3"/>
      <w:bookmarkStart w:id="496" w:name="_Toc5173_WPSOffice_Level3"/>
      <w:bookmarkStart w:id="497" w:name="_Toc26424_WPSOffice_Level3"/>
      <w:r>
        <w:rPr>
          <w:rFonts w:hint="eastAsia" w:ascii="仿宋" w:hAnsi="仿宋" w:eastAsia="仿宋" w:cs="仿宋"/>
          <w:color w:val="auto"/>
          <w:szCs w:val="21"/>
          <w:highlight w:val="none"/>
        </w:rPr>
        <w:t>3.4 评标结论</w:t>
      </w:r>
      <w:bookmarkEnd w:id="494"/>
      <w:bookmarkEnd w:id="495"/>
      <w:bookmarkEnd w:id="496"/>
      <w:bookmarkEnd w:id="497"/>
    </w:p>
    <w:p>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评标委员会将汇总各投标人的总得分，其算术平均值为该投标人的总平均分，即该投标人的最终得分，并根据得分高低顺序向招标人推荐前3名中标候选人。出现得分相同的情况，以投标报价低者排名居先，如果得分相同且价格相同的，技术部分得分高的优先。</w:t>
      </w:r>
    </w:p>
    <w:p>
      <w:pPr>
        <w:spacing w:line="360" w:lineRule="auto"/>
        <w:ind w:firstLine="420" w:firstLineChars="200"/>
        <w:contextualSpacing/>
        <w:rPr>
          <w:rFonts w:ascii="仿宋" w:hAnsi="仿宋" w:eastAsia="仿宋" w:cs="仿宋"/>
          <w:color w:val="auto"/>
          <w:szCs w:val="21"/>
          <w:highlight w:val="none"/>
        </w:rPr>
      </w:pPr>
      <w:bookmarkStart w:id="498" w:name="_Toc10154_WPSOffice_Level3"/>
      <w:bookmarkStart w:id="499" w:name="_Toc27264_WPSOffice_Level3"/>
      <w:bookmarkStart w:id="500" w:name="_Toc20067_WPSOffice_Level3"/>
      <w:bookmarkStart w:id="501" w:name="_Toc15506_WPSOffice_Level3"/>
      <w:r>
        <w:rPr>
          <w:rFonts w:hint="eastAsia" w:ascii="仿宋" w:hAnsi="仿宋" w:eastAsia="仿宋" w:cs="仿宋"/>
          <w:color w:val="auto"/>
          <w:szCs w:val="21"/>
          <w:highlight w:val="none"/>
        </w:rPr>
        <w:t>3.5 评标报告</w:t>
      </w:r>
      <w:bookmarkEnd w:id="498"/>
      <w:bookmarkEnd w:id="499"/>
      <w:bookmarkEnd w:id="500"/>
      <w:bookmarkEnd w:id="501"/>
    </w:p>
    <w:p>
      <w:pPr>
        <w:spacing w:line="360" w:lineRule="auto"/>
        <w:ind w:firstLine="420" w:firstLineChars="200"/>
        <w:contextualSpacing/>
        <w:rPr>
          <w:rFonts w:ascii="仿宋" w:hAnsi="仿宋" w:eastAsia="仿宋" w:cs="仿宋"/>
          <w:color w:val="auto"/>
          <w:szCs w:val="21"/>
          <w:highlight w:val="none"/>
        </w:rPr>
      </w:pPr>
      <w:r>
        <w:rPr>
          <w:rFonts w:hint="eastAsia" w:ascii="仿宋" w:hAnsi="仿宋" w:eastAsia="仿宋" w:cs="仿宋"/>
          <w:color w:val="auto"/>
          <w:szCs w:val="21"/>
          <w:highlight w:val="none"/>
        </w:rPr>
        <w:t>评分工作结束后，评标委员会编制完并提交一套完整的评标报告。</w:t>
      </w:r>
    </w:p>
    <w:p>
      <w:pPr>
        <w:spacing w:line="360" w:lineRule="auto"/>
        <w:contextualSpacing/>
        <w:outlineLvl w:val="1"/>
        <w:rPr>
          <w:rFonts w:ascii="仿宋" w:hAnsi="仿宋" w:eastAsia="仿宋" w:cs="仿宋"/>
          <w:b/>
          <w:bCs/>
          <w:color w:val="auto"/>
          <w:szCs w:val="21"/>
          <w:highlight w:val="none"/>
        </w:rPr>
      </w:pPr>
      <w:bookmarkStart w:id="502" w:name="_Toc31984_WPSOffice_Level2"/>
      <w:bookmarkStart w:id="503" w:name="_Toc13324_WPSOffice_Level2"/>
      <w:bookmarkStart w:id="504" w:name="_Toc18997_WPSOffice_Level2"/>
      <w:bookmarkStart w:id="505" w:name="_Toc16266_WPSOffice_Level2"/>
      <w:bookmarkStart w:id="506" w:name="_Toc523354142"/>
      <w:bookmarkStart w:id="507" w:name="_Toc18614"/>
      <w:r>
        <w:rPr>
          <w:rFonts w:hint="eastAsia" w:ascii="仿宋" w:hAnsi="仿宋" w:eastAsia="仿宋" w:cs="仿宋"/>
          <w:b/>
          <w:bCs/>
          <w:color w:val="auto"/>
          <w:szCs w:val="21"/>
          <w:highlight w:val="none"/>
        </w:rPr>
        <w:t>四、</w:t>
      </w:r>
      <w:bookmarkEnd w:id="502"/>
      <w:bookmarkEnd w:id="503"/>
      <w:bookmarkEnd w:id="504"/>
      <w:bookmarkEnd w:id="505"/>
      <w:r>
        <w:rPr>
          <w:rFonts w:hint="eastAsia" w:ascii="仿宋" w:hAnsi="仿宋" w:eastAsia="仿宋" w:cs="仿宋"/>
          <w:b/>
          <w:bCs/>
          <w:color w:val="auto"/>
          <w:szCs w:val="21"/>
          <w:highlight w:val="none"/>
        </w:rPr>
        <w:t>评审注意事项</w:t>
      </w:r>
      <w:bookmarkEnd w:id="506"/>
      <w:bookmarkEnd w:id="507"/>
    </w:p>
    <w:p>
      <w:pPr>
        <w:widowControl/>
        <w:spacing w:line="360" w:lineRule="auto"/>
        <w:ind w:firstLine="420" w:firstLineChars="200"/>
        <w:contextualSpacing/>
        <w:jc w:val="left"/>
        <w:rPr>
          <w:rFonts w:ascii="仿宋" w:hAnsi="仿宋" w:eastAsia="仿宋" w:cs="仿宋"/>
          <w:color w:val="auto"/>
          <w:szCs w:val="21"/>
          <w:highlight w:val="none"/>
        </w:rPr>
      </w:pPr>
      <w:r>
        <w:rPr>
          <w:rFonts w:hint="eastAsia" w:ascii="仿宋" w:hAnsi="仿宋" w:eastAsia="仿宋" w:cs="仿宋"/>
          <w:color w:val="auto"/>
          <w:szCs w:val="21"/>
          <w:highlight w:val="none"/>
        </w:rPr>
        <w:t>1.根据《政府采购促进中小企业发展管理办法》（财库[2020]46号），对满足价格扣除条件且在投标文件中提交了《中小企业声明函》的投标人，小微企业报价给予</w:t>
      </w:r>
      <w:r>
        <w:rPr>
          <w:rFonts w:hint="eastAsia" w:ascii="仿宋" w:hAnsi="仿宋" w:eastAsia="仿宋" w:cs="仿宋"/>
          <w:color w:val="auto"/>
          <w:szCs w:val="21"/>
          <w:highlight w:val="none"/>
          <w:u w:val="single"/>
        </w:rPr>
        <w:t xml:space="preserve"> 6 </w:t>
      </w:r>
      <w:r>
        <w:rPr>
          <w:rFonts w:hint="eastAsia" w:ascii="仿宋" w:hAnsi="仿宋" w:eastAsia="仿宋" w:cs="仿宋"/>
          <w:color w:val="auto"/>
          <w:szCs w:val="21"/>
          <w:highlight w:val="none"/>
        </w:rPr>
        <w:t xml:space="preserve"> %的扣除，用扣除后的价格参与评审。专门面向中小企业采购或预留份额的情况不适用。</w:t>
      </w:r>
    </w:p>
    <w:p>
      <w:pPr>
        <w:widowControl/>
        <w:spacing w:line="360" w:lineRule="auto"/>
        <w:ind w:firstLine="420" w:firstLineChars="200"/>
        <w:contextualSpacing/>
        <w:jc w:val="left"/>
        <w:rPr>
          <w:rFonts w:ascii="仿宋" w:hAnsi="仿宋" w:eastAsia="仿宋" w:cs="仿宋"/>
          <w:color w:val="auto"/>
          <w:szCs w:val="21"/>
          <w:highlight w:val="none"/>
        </w:rPr>
      </w:pPr>
      <w:r>
        <w:rPr>
          <w:rFonts w:hint="eastAsia" w:ascii="仿宋" w:hAnsi="仿宋" w:eastAsia="仿宋" w:cs="仿宋"/>
          <w:color w:val="auto"/>
          <w:szCs w:val="21"/>
          <w:highlight w:val="none"/>
        </w:rPr>
        <w:t>2.根据《财政部司法部关于政府采购支持监狱企业发展有关问题的通知》（财库〔2014〕68号）和《三部门联合发布关于促进残疾人就业政府采购政策的通知》（财库〔2017〕141号）的规定，在投标文件中提交了《残疾人福利性单位声明函》或省级以上监狱管理局、戒毒管理局（含新疆生产建设兵团）出具的属于监狱企业的证明文件的企业视同小型、微型企业，其报价部分按第1条的比例扣除后参与评审。对于同时属于小微企业、监狱企业或残疾人福利性单位的，不重复进行投标报价扣除。</w:t>
      </w:r>
    </w:p>
    <w:p>
      <w:pPr>
        <w:widowControl/>
        <w:spacing w:line="360" w:lineRule="auto"/>
        <w:ind w:firstLine="420" w:firstLineChars="200"/>
        <w:contextualSpacing/>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3.大中型企业与小微企业组成联合体或者允许大中型企业向一家或者多家小微企业分包的采购项目，对于联合协议或者分包意向协议约定小微企业的合同份额占到总金额30%以上的，对联合体或者大中型企业的报价给与 </w:t>
      </w:r>
      <w:r>
        <w:rPr>
          <w:rFonts w:hint="eastAsia" w:ascii="仿宋" w:hAnsi="仿宋" w:eastAsia="仿宋" w:cs="仿宋"/>
          <w:color w:val="auto"/>
          <w:szCs w:val="21"/>
          <w:highlight w:val="none"/>
          <w:u w:val="single"/>
        </w:rPr>
        <w:t xml:space="preserve"> 2 </w:t>
      </w:r>
      <w:r>
        <w:rPr>
          <w:rFonts w:hint="eastAsia" w:ascii="仿宋" w:hAnsi="仿宋" w:eastAsia="仿宋" w:cs="仿宋"/>
          <w:color w:val="auto"/>
          <w:szCs w:val="21"/>
          <w:highlight w:val="none"/>
        </w:rPr>
        <w:t xml:space="preserve"> %的扣除，用扣除后的价格参加评审。组成联合体或者接受分包的小微企业与联合体内其他企业、分包企业之间存在直接控股、管理关系的，不享受价格扣除优惠政策。</w:t>
      </w:r>
    </w:p>
    <w:p>
      <w:pPr>
        <w:widowControl/>
        <w:spacing w:line="360" w:lineRule="auto"/>
        <w:ind w:firstLine="420" w:firstLineChars="200"/>
        <w:contextualSpacing/>
        <w:jc w:val="left"/>
        <w:rPr>
          <w:rFonts w:ascii="仿宋" w:hAnsi="仿宋" w:eastAsia="仿宋" w:cs="仿宋"/>
          <w:color w:val="auto"/>
          <w:szCs w:val="21"/>
          <w:highlight w:val="none"/>
        </w:rPr>
      </w:pPr>
      <w:r>
        <w:rPr>
          <w:rFonts w:hint="eastAsia" w:ascii="仿宋" w:hAnsi="仿宋" w:eastAsia="仿宋" w:cs="仿宋"/>
          <w:color w:val="auto"/>
          <w:szCs w:val="21"/>
          <w:highlight w:val="none"/>
        </w:rPr>
        <w:t>联合体各方均为小型、微型企业和监狱企业的，联合体视同为小型、微型企业和监狱企业。</w:t>
      </w:r>
    </w:p>
    <w:p>
      <w:pPr>
        <w:widowControl/>
        <w:spacing w:line="360" w:lineRule="auto"/>
        <w:ind w:firstLine="420" w:firstLineChars="200"/>
        <w:contextualSpacing/>
        <w:jc w:val="left"/>
        <w:rPr>
          <w:rFonts w:ascii="仿宋" w:hAnsi="仿宋" w:eastAsia="仿宋" w:cs="仿宋"/>
          <w:color w:val="auto"/>
          <w:szCs w:val="21"/>
          <w:highlight w:val="none"/>
        </w:rPr>
      </w:pPr>
      <w:r>
        <w:rPr>
          <w:rFonts w:hint="eastAsia" w:ascii="仿宋" w:hAnsi="仿宋" w:eastAsia="仿宋" w:cs="仿宋"/>
          <w:color w:val="auto"/>
          <w:szCs w:val="21"/>
          <w:highlight w:val="none"/>
        </w:rPr>
        <w:t>4.投标人所投产品如被列入财政部与国家主管部门颁发的节能产品目录或环境标志产品目录或无线局域网产品目录，应提供相关证明，在评标时予以优先采购，具体优惠措施为：在技术部分打分项中加/分（详见评分标准）。</w:t>
      </w:r>
    </w:p>
    <w:p>
      <w:pPr>
        <w:widowControl/>
        <w:spacing w:line="360" w:lineRule="auto"/>
        <w:ind w:firstLine="420" w:firstLineChars="200"/>
        <w:contextualSpacing/>
        <w:jc w:val="left"/>
        <w:rPr>
          <w:rFonts w:ascii="仿宋" w:hAnsi="仿宋" w:eastAsia="仿宋" w:cs="仿宋"/>
          <w:color w:val="auto"/>
          <w:szCs w:val="21"/>
          <w:highlight w:val="none"/>
        </w:rPr>
      </w:pPr>
      <w:r>
        <w:rPr>
          <w:rFonts w:hint="eastAsia" w:ascii="仿宋" w:hAnsi="仿宋" w:eastAsia="仿宋" w:cs="仿宋"/>
          <w:color w:val="auto"/>
          <w:szCs w:val="21"/>
          <w:highlight w:val="none"/>
        </w:rPr>
        <w:t>4.如采购人所采购产品为政府强制采购的节能产品，投标人所投产品的品牌及型号必须为清单中有效期内产品并提供证明文件，否则其投标将作为无效投标被拒绝。</w:t>
      </w:r>
    </w:p>
    <w:p>
      <w:pPr>
        <w:widowControl/>
        <w:spacing w:line="360" w:lineRule="auto"/>
        <w:ind w:firstLine="420" w:firstLineChars="200"/>
        <w:contextualSpacing/>
        <w:jc w:val="left"/>
        <w:rPr>
          <w:rFonts w:ascii="仿宋" w:hAnsi="仿宋" w:eastAsia="仿宋" w:cs="仿宋"/>
          <w:color w:val="auto"/>
          <w:szCs w:val="21"/>
          <w:highlight w:val="none"/>
        </w:rPr>
      </w:pPr>
      <w:r>
        <w:rPr>
          <w:rFonts w:hint="eastAsia" w:ascii="仿宋" w:hAnsi="仿宋" w:eastAsia="仿宋" w:cs="仿宋"/>
          <w:color w:val="auto"/>
          <w:szCs w:val="21"/>
          <w:highlight w:val="none"/>
        </w:rPr>
        <w:t>5.其他政府采购政策要求：</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pPr>
        <w:widowControl/>
        <w:spacing w:line="360" w:lineRule="auto"/>
        <w:ind w:firstLine="420" w:firstLineChars="200"/>
        <w:contextualSpacing/>
        <w:jc w:val="left"/>
        <w:rPr>
          <w:rFonts w:ascii="仿宋" w:hAnsi="仿宋" w:eastAsia="仿宋" w:cs="仿宋"/>
          <w:color w:val="auto"/>
          <w:szCs w:val="21"/>
          <w:highlight w:val="none"/>
        </w:rPr>
      </w:pPr>
      <w:r>
        <w:rPr>
          <w:rFonts w:hint="eastAsia" w:ascii="仿宋" w:hAnsi="仿宋" w:eastAsia="仿宋" w:cs="仿宋"/>
          <w:color w:val="auto"/>
          <w:szCs w:val="21"/>
          <w:highlight w:val="none"/>
        </w:rPr>
        <w:t>6.同品牌处理办法：</w:t>
      </w:r>
    </w:p>
    <w:p>
      <w:pPr>
        <w:pStyle w:val="9"/>
        <w:tabs>
          <w:tab w:val="clear" w:pos="567"/>
        </w:tabs>
        <w:spacing w:before="0" w:line="360" w:lineRule="auto"/>
        <w:ind w:firstLine="420" w:firstLineChars="200"/>
        <w:contextualSpacing/>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如采用最低评标办法，则：</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sz w:val="21"/>
          <w:szCs w:val="21"/>
          <w:highlight w:val="none"/>
        </w:rPr>
        <w:t>；</w:t>
      </w:r>
    </w:p>
    <w:p>
      <w:pPr>
        <w:pStyle w:val="9"/>
        <w:tabs>
          <w:tab w:val="clear" w:pos="567"/>
        </w:tabs>
        <w:spacing w:before="0" w:line="360" w:lineRule="auto"/>
        <w:ind w:firstLine="420" w:firstLineChars="200"/>
        <w:contextualSpacing/>
        <w:rPr>
          <w:rFonts w:ascii="仿宋" w:hAnsi="仿宋" w:eastAsia="仿宋" w:cs="仿宋"/>
          <w:b/>
          <w:color w:val="auto"/>
          <w:sz w:val="21"/>
          <w:szCs w:val="21"/>
          <w:highlight w:val="none"/>
        </w:rPr>
      </w:pPr>
      <w:r>
        <w:rPr>
          <w:rFonts w:hint="eastAsia" w:ascii="仿宋" w:hAnsi="仿宋" w:eastAsia="仿宋" w:cs="仿宋"/>
          <w:color w:val="auto"/>
          <w:sz w:val="21"/>
          <w:szCs w:val="21"/>
          <w:highlight w:val="none"/>
        </w:rPr>
        <w:t>如采用综合评标法，则：</w:t>
      </w:r>
      <w:r>
        <w:rPr>
          <w:rFonts w:hint="eastAsia" w:ascii="仿宋" w:hAnsi="仿宋" w:eastAsia="仿宋" w:cs="仿宋"/>
          <w:color w:val="auto"/>
          <w:sz w:val="21"/>
          <w:szCs w:val="21"/>
          <w:highlight w:val="none"/>
          <w:u w:val="single"/>
        </w:rPr>
        <w:t xml:space="preserve"> </w:t>
      </w:r>
      <w:r>
        <w:rPr>
          <w:rFonts w:hint="eastAsia" w:ascii="仿宋" w:hAnsi="仿宋" w:eastAsia="仿宋" w:cs="仿宋"/>
          <w:b/>
          <w:color w:val="auto"/>
          <w:sz w:val="21"/>
          <w:szCs w:val="21"/>
          <w:highlight w:val="none"/>
          <w:u w:val="single"/>
        </w:rPr>
        <w:t>提供相同品牌产品且通过资格审查、符合性审查的不同投标人参加同一合同项下投标的，按一家投标人计算，评审后得分最高的同品牌投标人获得中标人推荐资格</w:t>
      </w:r>
      <w:r>
        <w:rPr>
          <w:rFonts w:hint="eastAsia" w:ascii="仿宋" w:hAnsi="仿宋" w:eastAsia="仿宋" w:cs="仿宋"/>
          <w:b/>
          <w:color w:val="auto"/>
          <w:sz w:val="21"/>
          <w:szCs w:val="21"/>
          <w:highlight w:val="none"/>
        </w:rPr>
        <w:t>，</w:t>
      </w:r>
      <w:r>
        <w:rPr>
          <w:rFonts w:hint="eastAsia" w:ascii="仿宋" w:hAnsi="仿宋" w:eastAsia="仿宋" w:cs="仿宋"/>
          <w:b/>
          <w:color w:val="auto"/>
          <w:sz w:val="21"/>
          <w:szCs w:val="21"/>
          <w:highlight w:val="none"/>
          <w:u w:val="single"/>
        </w:rPr>
        <w:t>评审得分相同的，由采购人按照技术部分得分高者优先的方式确定一个投标人获得中标人推荐资格，其他同品牌投标人不作为中标候选人。</w:t>
      </w:r>
    </w:p>
    <w:p>
      <w:pPr>
        <w:widowControl/>
        <w:spacing w:line="360" w:lineRule="auto"/>
        <w:ind w:firstLine="420" w:firstLineChars="200"/>
        <w:contextualSpacing/>
        <w:jc w:val="left"/>
        <w:rPr>
          <w:rFonts w:ascii="仿宋" w:hAnsi="仿宋" w:eastAsia="仿宋" w:cs="仿宋"/>
          <w:color w:val="auto"/>
          <w:szCs w:val="21"/>
          <w:highlight w:val="none"/>
        </w:rPr>
      </w:pPr>
      <w:r>
        <w:rPr>
          <w:rFonts w:hint="eastAsia" w:ascii="仿宋" w:hAnsi="仿宋" w:eastAsia="仿宋" w:cs="仿宋"/>
          <w:color w:val="auto"/>
          <w:szCs w:val="21"/>
          <w:highlight w:val="none"/>
        </w:rPr>
        <w:t xml:space="preserve">7.中标候选人并列式时的处理方式：   </w:t>
      </w:r>
    </w:p>
    <w:p>
      <w:pPr>
        <w:pStyle w:val="9"/>
        <w:tabs>
          <w:tab w:val="clear" w:pos="567"/>
        </w:tabs>
        <w:spacing w:before="0" w:line="360" w:lineRule="auto"/>
        <w:ind w:firstLine="420" w:firstLineChars="200"/>
        <w:contextualSpacing/>
        <w:rPr>
          <w:rFonts w:ascii="仿宋" w:hAnsi="仿宋" w:eastAsia="仿宋" w:cs="仿宋"/>
          <w:color w:val="auto"/>
          <w:sz w:val="21"/>
          <w:szCs w:val="21"/>
          <w:highlight w:val="none"/>
        </w:rPr>
      </w:pPr>
      <w:r>
        <w:rPr>
          <w:rFonts w:hint="eastAsia" w:ascii="仿宋" w:hAnsi="仿宋" w:eastAsia="仿宋" w:cs="仿宋"/>
          <w:color w:val="auto"/>
          <w:sz w:val="21"/>
          <w:szCs w:val="21"/>
          <w:highlight w:val="none"/>
        </w:rPr>
        <w:t>如采用最低评标办法，则：</w:t>
      </w:r>
      <w:r>
        <w:rPr>
          <w:rFonts w:hint="eastAsia" w:ascii="仿宋" w:hAnsi="仿宋" w:eastAsia="仿宋" w:cs="仿宋"/>
          <w:color w:val="auto"/>
          <w:sz w:val="21"/>
          <w:szCs w:val="21"/>
          <w:highlight w:val="none"/>
          <w:u w:val="single"/>
        </w:rPr>
        <w:t xml:space="preserve">      /      </w:t>
      </w:r>
      <w:r>
        <w:rPr>
          <w:rFonts w:hint="eastAsia" w:ascii="仿宋" w:hAnsi="仿宋" w:eastAsia="仿宋" w:cs="仿宋"/>
          <w:color w:val="auto"/>
          <w:sz w:val="21"/>
          <w:szCs w:val="21"/>
          <w:highlight w:val="none"/>
        </w:rPr>
        <w:t>；</w:t>
      </w:r>
    </w:p>
    <w:p>
      <w:pPr>
        <w:pStyle w:val="9"/>
        <w:tabs>
          <w:tab w:val="clear" w:pos="567"/>
        </w:tabs>
        <w:spacing w:before="0" w:line="360" w:lineRule="auto"/>
        <w:ind w:firstLine="422" w:firstLineChars="200"/>
        <w:contextualSpacing/>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如采用综合评标法，则：</w:t>
      </w:r>
      <w:r>
        <w:rPr>
          <w:rFonts w:hint="eastAsia" w:ascii="仿宋" w:hAnsi="仿宋" w:eastAsia="仿宋" w:cs="仿宋"/>
          <w:b/>
          <w:color w:val="auto"/>
          <w:sz w:val="21"/>
          <w:szCs w:val="21"/>
          <w:highlight w:val="none"/>
          <w:u w:val="single"/>
        </w:rPr>
        <w:t xml:space="preserve"> 按评审后得分由高到低顺序排列。得分相同的，按投标报价由低到高顺序排列，得分与投标报价均相同的，按技术指标优劣排列。</w:t>
      </w:r>
    </w:p>
    <w:p>
      <w:pPr>
        <w:pStyle w:val="9"/>
        <w:tabs>
          <w:tab w:val="clear" w:pos="567"/>
        </w:tabs>
        <w:spacing w:before="0" w:line="360" w:lineRule="auto"/>
        <w:ind w:firstLine="422" w:firstLineChars="200"/>
        <w:contextualSpacing/>
        <w:rPr>
          <w:rFonts w:ascii="仿宋" w:hAnsi="仿宋" w:eastAsia="仿宋" w:cs="仿宋"/>
          <w:b/>
          <w:color w:val="auto"/>
          <w:sz w:val="21"/>
          <w:szCs w:val="21"/>
          <w:highlight w:val="none"/>
        </w:rPr>
      </w:pPr>
      <w:r>
        <w:rPr>
          <w:rFonts w:hint="eastAsia" w:ascii="仿宋" w:hAnsi="仿宋" w:eastAsia="仿宋" w:cs="仿宋"/>
          <w:b/>
          <w:color w:val="auto"/>
          <w:sz w:val="21"/>
          <w:szCs w:val="21"/>
          <w:highlight w:val="none"/>
        </w:rPr>
        <w:t>8.投标人报价过低有可能影响产品质量或者不能诚信履约的，评标委员会可以要求其在规定的时间内提供书面说明，必要时提交相关证明材料；投标人不能证明其报价合理性的，评标委员会将其作为无效投标处理。</w:t>
      </w:r>
    </w:p>
    <w:p>
      <w:pPr>
        <w:widowControl/>
        <w:spacing w:line="360" w:lineRule="auto"/>
        <w:ind w:left="600"/>
        <w:jc w:val="center"/>
        <w:rPr>
          <w:rFonts w:ascii="仿宋" w:hAnsi="仿宋" w:eastAsia="仿宋" w:cs="仿宋"/>
          <w:color w:val="auto"/>
          <w:highlight w:val="none"/>
        </w:rPr>
      </w:pPr>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3"/>
      </w:rPr>
    </w:pPr>
    <w:r>
      <w:fldChar w:fldCharType="begin"/>
    </w:r>
    <w:r>
      <w:rPr>
        <w:rStyle w:val="23"/>
      </w:rPr>
      <w:instrText xml:space="preserve">PAGE  </w:instrText>
    </w:r>
    <w:r>
      <w:fldChar w:fldCharType="end"/>
    </w:r>
  </w:p>
  <w:p>
    <w:pPr>
      <w:pStyle w:val="1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54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F8DAC"/>
    <w:multiLevelType w:val="singleLevel"/>
    <w:tmpl w:val="A2BF8DAC"/>
    <w:lvl w:ilvl="0" w:tentative="0">
      <w:start w:val="2"/>
      <w:numFmt w:val="decimal"/>
      <w:suff w:val="space"/>
      <w:lvlText w:val="%1."/>
      <w:lvlJc w:val="left"/>
      <w:pPr>
        <w:ind w:left="735" w:firstLine="0"/>
      </w:pPr>
    </w:lvl>
  </w:abstractNum>
  <w:abstractNum w:abstractNumId="1">
    <w:nsid w:val="BAA3D582"/>
    <w:multiLevelType w:val="singleLevel"/>
    <w:tmpl w:val="BAA3D582"/>
    <w:lvl w:ilvl="0" w:tentative="0">
      <w:start w:val="1"/>
      <w:numFmt w:val="decimal"/>
      <w:suff w:val="nothing"/>
      <w:lvlText w:val="（%1）"/>
      <w:lvlJc w:val="left"/>
      <w:pPr>
        <w:ind w:left="810" w:firstLine="0"/>
      </w:pPr>
    </w:lvl>
  </w:abstractNum>
  <w:abstractNum w:abstractNumId="2">
    <w:nsid w:val="17FB21AF"/>
    <w:multiLevelType w:val="singleLevel"/>
    <w:tmpl w:val="17FB21AF"/>
    <w:lvl w:ilvl="0" w:tentative="0">
      <w:start w:val="2"/>
      <w:numFmt w:val="decimal"/>
      <w:suff w:val="nothing"/>
      <w:lvlText w:val="%1、"/>
      <w:lvlJc w:val="left"/>
      <w:pPr>
        <w:ind w:left="-105"/>
      </w:pPr>
    </w:lvl>
  </w:abstractNum>
  <w:abstractNum w:abstractNumId="3">
    <w:nsid w:val="337540CC"/>
    <w:multiLevelType w:val="multilevel"/>
    <w:tmpl w:val="337540CC"/>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Y0MzQzNzM2MjIyMDNT0lEKTi0uzszPAykwrAUAgZgdkSwAAAA="/>
    <w:docVar w:name="commondata" w:val="eyJoZGlkIjoiZTlhNzQ4MmY5NDM5NWNkOTAxMGIxYzNhNThiOWQwMmYifQ=="/>
  </w:docVars>
  <w:rsids>
    <w:rsidRoot w:val="32A24AC6"/>
    <w:rsid w:val="00063149"/>
    <w:rsid w:val="0007076C"/>
    <w:rsid w:val="000C46F4"/>
    <w:rsid w:val="001758F6"/>
    <w:rsid w:val="001B24B5"/>
    <w:rsid w:val="001C0D65"/>
    <w:rsid w:val="001E3A9B"/>
    <w:rsid w:val="00227DB2"/>
    <w:rsid w:val="00230A21"/>
    <w:rsid w:val="002560E1"/>
    <w:rsid w:val="0026236C"/>
    <w:rsid w:val="00284400"/>
    <w:rsid w:val="00307A6D"/>
    <w:rsid w:val="00310B6F"/>
    <w:rsid w:val="003577F8"/>
    <w:rsid w:val="00415A72"/>
    <w:rsid w:val="00447DD1"/>
    <w:rsid w:val="004523B1"/>
    <w:rsid w:val="004675EB"/>
    <w:rsid w:val="00476320"/>
    <w:rsid w:val="00496A43"/>
    <w:rsid w:val="004C75A3"/>
    <w:rsid w:val="004D2E88"/>
    <w:rsid w:val="004F4FAC"/>
    <w:rsid w:val="005237B9"/>
    <w:rsid w:val="005728D2"/>
    <w:rsid w:val="005D41C6"/>
    <w:rsid w:val="00611CF6"/>
    <w:rsid w:val="006F4988"/>
    <w:rsid w:val="006F53F0"/>
    <w:rsid w:val="006F5EDA"/>
    <w:rsid w:val="007631FB"/>
    <w:rsid w:val="007C4EFC"/>
    <w:rsid w:val="007C7C86"/>
    <w:rsid w:val="007E4C2C"/>
    <w:rsid w:val="007F0315"/>
    <w:rsid w:val="00847F41"/>
    <w:rsid w:val="008969FF"/>
    <w:rsid w:val="00896D38"/>
    <w:rsid w:val="008A4257"/>
    <w:rsid w:val="008A5EC2"/>
    <w:rsid w:val="008E6096"/>
    <w:rsid w:val="00993BB7"/>
    <w:rsid w:val="00A51C80"/>
    <w:rsid w:val="00AC58EC"/>
    <w:rsid w:val="00B27907"/>
    <w:rsid w:val="00B401C7"/>
    <w:rsid w:val="00BF48DF"/>
    <w:rsid w:val="00C14FE3"/>
    <w:rsid w:val="00C6056D"/>
    <w:rsid w:val="00C672B0"/>
    <w:rsid w:val="00CB5436"/>
    <w:rsid w:val="00CB667F"/>
    <w:rsid w:val="00CC5F9C"/>
    <w:rsid w:val="00CE0B22"/>
    <w:rsid w:val="00D06DF5"/>
    <w:rsid w:val="00D10079"/>
    <w:rsid w:val="00D11CB5"/>
    <w:rsid w:val="00D20D63"/>
    <w:rsid w:val="00D57469"/>
    <w:rsid w:val="00DB67E2"/>
    <w:rsid w:val="00E8743B"/>
    <w:rsid w:val="00E90A3D"/>
    <w:rsid w:val="00EA3082"/>
    <w:rsid w:val="00EA3C23"/>
    <w:rsid w:val="00ED0B13"/>
    <w:rsid w:val="00F47819"/>
    <w:rsid w:val="00F839BB"/>
    <w:rsid w:val="00F8420A"/>
    <w:rsid w:val="00FD41F4"/>
    <w:rsid w:val="00FF5E1F"/>
    <w:rsid w:val="0107551B"/>
    <w:rsid w:val="013C7E1B"/>
    <w:rsid w:val="01427686"/>
    <w:rsid w:val="01566BBE"/>
    <w:rsid w:val="01600F25"/>
    <w:rsid w:val="017E2608"/>
    <w:rsid w:val="01822BFD"/>
    <w:rsid w:val="01993582"/>
    <w:rsid w:val="019B5E93"/>
    <w:rsid w:val="01A71566"/>
    <w:rsid w:val="01B84691"/>
    <w:rsid w:val="01C142D7"/>
    <w:rsid w:val="01E54BC2"/>
    <w:rsid w:val="01EB731B"/>
    <w:rsid w:val="02436FF5"/>
    <w:rsid w:val="02A34ECE"/>
    <w:rsid w:val="02C76AC8"/>
    <w:rsid w:val="02E80C36"/>
    <w:rsid w:val="030D0292"/>
    <w:rsid w:val="0311410B"/>
    <w:rsid w:val="032968F2"/>
    <w:rsid w:val="034829CD"/>
    <w:rsid w:val="036E3F83"/>
    <w:rsid w:val="039A0591"/>
    <w:rsid w:val="039C2EAD"/>
    <w:rsid w:val="03B54F19"/>
    <w:rsid w:val="03C70B74"/>
    <w:rsid w:val="03C77BB0"/>
    <w:rsid w:val="03EA646C"/>
    <w:rsid w:val="03FA50A9"/>
    <w:rsid w:val="03FF465A"/>
    <w:rsid w:val="04137833"/>
    <w:rsid w:val="04221248"/>
    <w:rsid w:val="04566813"/>
    <w:rsid w:val="046B347E"/>
    <w:rsid w:val="047C50B9"/>
    <w:rsid w:val="04CF5041"/>
    <w:rsid w:val="05181179"/>
    <w:rsid w:val="051B332F"/>
    <w:rsid w:val="052C4895"/>
    <w:rsid w:val="05414950"/>
    <w:rsid w:val="056C795E"/>
    <w:rsid w:val="05753FBE"/>
    <w:rsid w:val="05AA0CD1"/>
    <w:rsid w:val="05B35A40"/>
    <w:rsid w:val="060C0DEB"/>
    <w:rsid w:val="060F0F28"/>
    <w:rsid w:val="063A4C95"/>
    <w:rsid w:val="06770863"/>
    <w:rsid w:val="067B250A"/>
    <w:rsid w:val="068A5023"/>
    <w:rsid w:val="069A01E4"/>
    <w:rsid w:val="06A55D95"/>
    <w:rsid w:val="06C86F43"/>
    <w:rsid w:val="06D23246"/>
    <w:rsid w:val="06FA1322"/>
    <w:rsid w:val="070323C7"/>
    <w:rsid w:val="071A0584"/>
    <w:rsid w:val="071E70FC"/>
    <w:rsid w:val="076C104B"/>
    <w:rsid w:val="07AD5BD9"/>
    <w:rsid w:val="07D8446B"/>
    <w:rsid w:val="080F7629"/>
    <w:rsid w:val="082E7DF3"/>
    <w:rsid w:val="08E64976"/>
    <w:rsid w:val="09672CFD"/>
    <w:rsid w:val="09A46DED"/>
    <w:rsid w:val="09D541AF"/>
    <w:rsid w:val="09DA6760"/>
    <w:rsid w:val="0A062B90"/>
    <w:rsid w:val="0AB33424"/>
    <w:rsid w:val="0AB8395E"/>
    <w:rsid w:val="0AE34504"/>
    <w:rsid w:val="0AF92DB0"/>
    <w:rsid w:val="0B123BBB"/>
    <w:rsid w:val="0B314B3A"/>
    <w:rsid w:val="0B6A2CBF"/>
    <w:rsid w:val="0BB31684"/>
    <w:rsid w:val="0BCD60B7"/>
    <w:rsid w:val="0BD16EB3"/>
    <w:rsid w:val="0C006E1E"/>
    <w:rsid w:val="0C130B7C"/>
    <w:rsid w:val="0C2974D0"/>
    <w:rsid w:val="0C3A1552"/>
    <w:rsid w:val="0C4565F7"/>
    <w:rsid w:val="0C471481"/>
    <w:rsid w:val="0C654DE8"/>
    <w:rsid w:val="0C674876"/>
    <w:rsid w:val="0C7A5468"/>
    <w:rsid w:val="0C894CB9"/>
    <w:rsid w:val="0C9C4F46"/>
    <w:rsid w:val="0CAE1870"/>
    <w:rsid w:val="0CB91AE5"/>
    <w:rsid w:val="0D3A1996"/>
    <w:rsid w:val="0D6C2E50"/>
    <w:rsid w:val="0D9501E2"/>
    <w:rsid w:val="0DD17DDB"/>
    <w:rsid w:val="0DF26121"/>
    <w:rsid w:val="0DFB0E23"/>
    <w:rsid w:val="0E2F56AC"/>
    <w:rsid w:val="0E36068F"/>
    <w:rsid w:val="0E9D59B5"/>
    <w:rsid w:val="0ED17194"/>
    <w:rsid w:val="0F002666"/>
    <w:rsid w:val="0F0E275A"/>
    <w:rsid w:val="0F105DB3"/>
    <w:rsid w:val="0F925202"/>
    <w:rsid w:val="0FC92B41"/>
    <w:rsid w:val="0FE2138A"/>
    <w:rsid w:val="0FE93293"/>
    <w:rsid w:val="103005EB"/>
    <w:rsid w:val="10366765"/>
    <w:rsid w:val="10AE5A47"/>
    <w:rsid w:val="10F807EA"/>
    <w:rsid w:val="110E15F2"/>
    <w:rsid w:val="11375D5D"/>
    <w:rsid w:val="11D07C12"/>
    <w:rsid w:val="11DB48ED"/>
    <w:rsid w:val="12132C45"/>
    <w:rsid w:val="127B5674"/>
    <w:rsid w:val="128464AE"/>
    <w:rsid w:val="12B02A81"/>
    <w:rsid w:val="12C11C9E"/>
    <w:rsid w:val="12EC0488"/>
    <w:rsid w:val="13152E3C"/>
    <w:rsid w:val="131F6A7C"/>
    <w:rsid w:val="1324050F"/>
    <w:rsid w:val="132F3FE7"/>
    <w:rsid w:val="13317234"/>
    <w:rsid w:val="139779AC"/>
    <w:rsid w:val="13E45A24"/>
    <w:rsid w:val="141620A1"/>
    <w:rsid w:val="14343676"/>
    <w:rsid w:val="144F284E"/>
    <w:rsid w:val="145758F2"/>
    <w:rsid w:val="147E7D87"/>
    <w:rsid w:val="14907672"/>
    <w:rsid w:val="14E47F62"/>
    <w:rsid w:val="15204578"/>
    <w:rsid w:val="15985A85"/>
    <w:rsid w:val="15AE7319"/>
    <w:rsid w:val="15BC7516"/>
    <w:rsid w:val="15BF3A3E"/>
    <w:rsid w:val="15CB33CB"/>
    <w:rsid w:val="16630AA3"/>
    <w:rsid w:val="16C619E7"/>
    <w:rsid w:val="16DD7E0D"/>
    <w:rsid w:val="16EF28CC"/>
    <w:rsid w:val="174D3558"/>
    <w:rsid w:val="177B386E"/>
    <w:rsid w:val="177F6BFA"/>
    <w:rsid w:val="17B16A7E"/>
    <w:rsid w:val="17DB09BD"/>
    <w:rsid w:val="17FB73E9"/>
    <w:rsid w:val="180B47BE"/>
    <w:rsid w:val="183B22DB"/>
    <w:rsid w:val="184958EB"/>
    <w:rsid w:val="18713095"/>
    <w:rsid w:val="18A44003"/>
    <w:rsid w:val="18B33C5B"/>
    <w:rsid w:val="18EC60AE"/>
    <w:rsid w:val="18ED6F15"/>
    <w:rsid w:val="19095540"/>
    <w:rsid w:val="190E33CA"/>
    <w:rsid w:val="19877040"/>
    <w:rsid w:val="19932A07"/>
    <w:rsid w:val="19BA3EA6"/>
    <w:rsid w:val="19EB6793"/>
    <w:rsid w:val="19F622F7"/>
    <w:rsid w:val="1A1414EA"/>
    <w:rsid w:val="1A2C395A"/>
    <w:rsid w:val="1A8C60BD"/>
    <w:rsid w:val="1AC34DD1"/>
    <w:rsid w:val="1AD10361"/>
    <w:rsid w:val="1AD544DF"/>
    <w:rsid w:val="1AE1597D"/>
    <w:rsid w:val="1AF81154"/>
    <w:rsid w:val="1B13009B"/>
    <w:rsid w:val="1B16782C"/>
    <w:rsid w:val="1B3163B7"/>
    <w:rsid w:val="1B4957C0"/>
    <w:rsid w:val="1B631978"/>
    <w:rsid w:val="1B6F2C50"/>
    <w:rsid w:val="1B992675"/>
    <w:rsid w:val="1BAA6689"/>
    <w:rsid w:val="1BE53376"/>
    <w:rsid w:val="1BFD6718"/>
    <w:rsid w:val="1C0A5152"/>
    <w:rsid w:val="1C262084"/>
    <w:rsid w:val="1C263C0E"/>
    <w:rsid w:val="1CD855FD"/>
    <w:rsid w:val="1CEA4C75"/>
    <w:rsid w:val="1D055B11"/>
    <w:rsid w:val="1D427E1F"/>
    <w:rsid w:val="1D602585"/>
    <w:rsid w:val="1D754F80"/>
    <w:rsid w:val="1DAC133E"/>
    <w:rsid w:val="1DBF3283"/>
    <w:rsid w:val="1DBF5E01"/>
    <w:rsid w:val="1DCB37AD"/>
    <w:rsid w:val="1DD12C1B"/>
    <w:rsid w:val="1E0F2702"/>
    <w:rsid w:val="1E421F8B"/>
    <w:rsid w:val="1EF6298C"/>
    <w:rsid w:val="1F061A6E"/>
    <w:rsid w:val="1F0E3FDF"/>
    <w:rsid w:val="1F9C1EAF"/>
    <w:rsid w:val="1FE76D69"/>
    <w:rsid w:val="200C226C"/>
    <w:rsid w:val="20515673"/>
    <w:rsid w:val="206F4429"/>
    <w:rsid w:val="208A6DA0"/>
    <w:rsid w:val="20D24BCC"/>
    <w:rsid w:val="20E2304D"/>
    <w:rsid w:val="20E3149C"/>
    <w:rsid w:val="21300AD7"/>
    <w:rsid w:val="21323780"/>
    <w:rsid w:val="215D6C36"/>
    <w:rsid w:val="21AE5E8E"/>
    <w:rsid w:val="21D76FFB"/>
    <w:rsid w:val="22236EE8"/>
    <w:rsid w:val="2241514C"/>
    <w:rsid w:val="224D212D"/>
    <w:rsid w:val="224E79BA"/>
    <w:rsid w:val="22591EDE"/>
    <w:rsid w:val="227171B8"/>
    <w:rsid w:val="22846E99"/>
    <w:rsid w:val="228D61E7"/>
    <w:rsid w:val="22A7024B"/>
    <w:rsid w:val="22E764A2"/>
    <w:rsid w:val="236E469D"/>
    <w:rsid w:val="23886DBB"/>
    <w:rsid w:val="240742EE"/>
    <w:rsid w:val="24392FAE"/>
    <w:rsid w:val="24597FD9"/>
    <w:rsid w:val="246A17C2"/>
    <w:rsid w:val="24775B74"/>
    <w:rsid w:val="248077BB"/>
    <w:rsid w:val="24834AF3"/>
    <w:rsid w:val="24884745"/>
    <w:rsid w:val="249019BE"/>
    <w:rsid w:val="24AA402D"/>
    <w:rsid w:val="24BF40C2"/>
    <w:rsid w:val="24C23CDA"/>
    <w:rsid w:val="24E64819"/>
    <w:rsid w:val="24FE71B3"/>
    <w:rsid w:val="25482957"/>
    <w:rsid w:val="254D39DD"/>
    <w:rsid w:val="257E4AAB"/>
    <w:rsid w:val="258E2711"/>
    <w:rsid w:val="258E488F"/>
    <w:rsid w:val="25951D93"/>
    <w:rsid w:val="25A00023"/>
    <w:rsid w:val="25B948BC"/>
    <w:rsid w:val="25BB5413"/>
    <w:rsid w:val="25D269ED"/>
    <w:rsid w:val="25E42CCD"/>
    <w:rsid w:val="26080232"/>
    <w:rsid w:val="26210DB6"/>
    <w:rsid w:val="263C2222"/>
    <w:rsid w:val="2647127E"/>
    <w:rsid w:val="26522433"/>
    <w:rsid w:val="26791A05"/>
    <w:rsid w:val="269277C3"/>
    <w:rsid w:val="269A4687"/>
    <w:rsid w:val="26DC1CE8"/>
    <w:rsid w:val="26DE4FED"/>
    <w:rsid w:val="27124EF5"/>
    <w:rsid w:val="27617DEA"/>
    <w:rsid w:val="276B454B"/>
    <w:rsid w:val="279F035E"/>
    <w:rsid w:val="27B12EFB"/>
    <w:rsid w:val="27CC47AA"/>
    <w:rsid w:val="27D541B0"/>
    <w:rsid w:val="27D9466F"/>
    <w:rsid w:val="27E53EF7"/>
    <w:rsid w:val="27E66BF1"/>
    <w:rsid w:val="28003665"/>
    <w:rsid w:val="28297D89"/>
    <w:rsid w:val="283101E6"/>
    <w:rsid w:val="28612413"/>
    <w:rsid w:val="28D31E7E"/>
    <w:rsid w:val="28D6731E"/>
    <w:rsid w:val="28ED51AD"/>
    <w:rsid w:val="28ED777E"/>
    <w:rsid w:val="293B3595"/>
    <w:rsid w:val="296517AC"/>
    <w:rsid w:val="297646F9"/>
    <w:rsid w:val="299C25F2"/>
    <w:rsid w:val="29B46263"/>
    <w:rsid w:val="29EA2BAA"/>
    <w:rsid w:val="2A294F4A"/>
    <w:rsid w:val="2A58341F"/>
    <w:rsid w:val="2A5F67CE"/>
    <w:rsid w:val="2A72596C"/>
    <w:rsid w:val="2A7A1890"/>
    <w:rsid w:val="2A9C2121"/>
    <w:rsid w:val="2AC61608"/>
    <w:rsid w:val="2ACD203A"/>
    <w:rsid w:val="2AE57F02"/>
    <w:rsid w:val="2AFA1036"/>
    <w:rsid w:val="2B0D29D7"/>
    <w:rsid w:val="2B1458D7"/>
    <w:rsid w:val="2B1C672B"/>
    <w:rsid w:val="2B23235C"/>
    <w:rsid w:val="2B2B7CB8"/>
    <w:rsid w:val="2B3D3F33"/>
    <w:rsid w:val="2B5246FB"/>
    <w:rsid w:val="2B5A3902"/>
    <w:rsid w:val="2B722CB7"/>
    <w:rsid w:val="2B735688"/>
    <w:rsid w:val="2B7C309F"/>
    <w:rsid w:val="2BD12726"/>
    <w:rsid w:val="2BEC4530"/>
    <w:rsid w:val="2C0A5855"/>
    <w:rsid w:val="2C2B6E1A"/>
    <w:rsid w:val="2C760ED0"/>
    <w:rsid w:val="2C8A0808"/>
    <w:rsid w:val="2C9A3E1A"/>
    <w:rsid w:val="2CBB3F65"/>
    <w:rsid w:val="2CDA10DF"/>
    <w:rsid w:val="2CE062C1"/>
    <w:rsid w:val="2CEC3141"/>
    <w:rsid w:val="2D285E84"/>
    <w:rsid w:val="2D2F5A02"/>
    <w:rsid w:val="2D322D6A"/>
    <w:rsid w:val="2D72626F"/>
    <w:rsid w:val="2D73787A"/>
    <w:rsid w:val="2D7C3602"/>
    <w:rsid w:val="2D7D513A"/>
    <w:rsid w:val="2D82408B"/>
    <w:rsid w:val="2DB75DC0"/>
    <w:rsid w:val="2DC61374"/>
    <w:rsid w:val="2DC965F7"/>
    <w:rsid w:val="2DCA3B56"/>
    <w:rsid w:val="2DCD156C"/>
    <w:rsid w:val="2E023ED9"/>
    <w:rsid w:val="2E1905F3"/>
    <w:rsid w:val="2E3D6FA1"/>
    <w:rsid w:val="2E4B4CE4"/>
    <w:rsid w:val="2E630383"/>
    <w:rsid w:val="2E904137"/>
    <w:rsid w:val="2EBF78FA"/>
    <w:rsid w:val="2EC24003"/>
    <w:rsid w:val="2ECF02AB"/>
    <w:rsid w:val="2EEE6087"/>
    <w:rsid w:val="2F0773B6"/>
    <w:rsid w:val="2F1925A0"/>
    <w:rsid w:val="2F193F90"/>
    <w:rsid w:val="2F26410B"/>
    <w:rsid w:val="2F5428F0"/>
    <w:rsid w:val="2F5D619B"/>
    <w:rsid w:val="2F6C0FE2"/>
    <w:rsid w:val="2F974137"/>
    <w:rsid w:val="2FA31E05"/>
    <w:rsid w:val="302A5153"/>
    <w:rsid w:val="30343EB8"/>
    <w:rsid w:val="30800224"/>
    <w:rsid w:val="3089437C"/>
    <w:rsid w:val="30A02C90"/>
    <w:rsid w:val="30DD3F5C"/>
    <w:rsid w:val="30FE694D"/>
    <w:rsid w:val="31814A76"/>
    <w:rsid w:val="31A42872"/>
    <w:rsid w:val="31AE0FC7"/>
    <w:rsid w:val="31BB1D06"/>
    <w:rsid w:val="31C92F6B"/>
    <w:rsid w:val="323E774A"/>
    <w:rsid w:val="32652777"/>
    <w:rsid w:val="32680B92"/>
    <w:rsid w:val="32A24AC6"/>
    <w:rsid w:val="32AC080F"/>
    <w:rsid w:val="32B8756B"/>
    <w:rsid w:val="32FF7D5B"/>
    <w:rsid w:val="333978EB"/>
    <w:rsid w:val="334435AE"/>
    <w:rsid w:val="33C53A80"/>
    <w:rsid w:val="33F8688E"/>
    <w:rsid w:val="3429687F"/>
    <w:rsid w:val="34997BFE"/>
    <w:rsid w:val="349B1BCB"/>
    <w:rsid w:val="34BA4176"/>
    <w:rsid w:val="34BC5915"/>
    <w:rsid w:val="34DD1DC0"/>
    <w:rsid w:val="34F30887"/>
    <w:rsid w:val="34F45A0C"/>
    <w:rsid w:val="354D190E"/>
    <w:rsid w:val="35590DA4"/>
    <w:rsid w:val="35AD1FD8"/>
    <w:rsid w:val="35E001C6"/>
    <w:rsid w:val="35E47C21"/>
    <w:rsid w:val="360675B9"/>
    <w:rsid w:val="36106428"/>
    <w:rsid w:val="362F207A"/>
    <w:rsid w:val="363C1639"/>
    <w:rsid w:val="366642CD"/>
    <w:rsid w:val="36AA524F"/>
    <w:rsid w:val="36BB1BD4"/>
    <w:rsid w:val="370257D4"/>
    <w:rsid w:val="370441AF"/>
    <w:rsid w:val="371459EC"/>
    <w:rsid w:val="37480633"/>
    <w:rsid w:val="375B42A3"/>
    <w:rsid w:val="37845A01"/>
    <w:rsid w:val="379135B3"/>
    <w:rsid w:val="37C64C4D"/>
    <w:rsid w:val="386925B3"/>
    <w:rsid w:val="38B2655D"/>
    <w:rsid w:val="38CB2FAD"/>
    <w:rsid w:val="38E36A70"/>
    <w:rsid w:val="39135BDD"/>
    <w:rsid w:val="391E0649"/>
    <w:rsid w:val="39220D8E"/>
    <w:rsid w:val="3926474F"/>
    <w:rsid w:val="397C1C03"/>
    <w:rsid w:val="399B56C2"/>
    <w:rsid w:val="39C14C92"/>
    <w:rsid w:val="3A400641"/>
    <w:rsid w:val="3A543F10"/>
    <w:rsid w:val="3AA60197"/>
    <w:rsid w:val="3AA73D6C"/>
    <w:rsid w:val="3AAE525E"/>
    <w:rsid w:val="3AD83725"/>
    <w:rsid w:val="3AF56156"/>
    <w:rsid w:val="3B2955EA"/>
    <w:rsid w:val="3B5F71D8"/>
    <w:rsid w:val="3B6A190A"/>
    <w:rsid w:val="3B717C01"/>
    <w:rsid w:val="3B881E53"/>
    <w:rsid w:val="3BAA0BF4"/>
    <w:rsid w:val="3BCB2130"/>
    <w:rsid w:val="3BD80F81"/>
    <w:rsid w:val="3BEB4569"/>
    <w:rsid w:val="3C0371E6"/>
    <w:rsid w:val="3C055AC2"/>
    <w:rsid w:val="3C174883"/>
    <w:rsid w:val="3C2728B7"/>
    <w:rsid w:val="3C6A0799"/>
    <w:rsid w:val="3C8017DE"/>
    <w:rsid w:val="3C9C6998"/>
    <w:rsid w:val="3CAE71B1"/>
    <w:rsid w:val="3CBC4061"/>
    <w:rsid w:val="3CC02D45"/>
    <w:rsid w:val="3CCB485E"/>
    <w:rsid w:val="3CD55102"/>
    <w:rsid w:val="3D4B2B71"/>
    <w:rsid w:val="3D882D7A"/>
    <w:rsid w:val="3DCB2E88"/>
    <w:rsid w:val="3DE8137D"/>
    <w:rsid w:val="3E082BB0"/>
    <w:rsid w:val="3E0F668D"/>
    <w:rsid w:val="3E7D4C53"/>
    <w:rsid w:val="3EA21D62"/>
    <w:rsid w:val="3EB00871"/>
    <w:rsid w:val="3ECC532F"/>
    <w:rsid w:val="3EDD11FC"/>
    <w:rsid w:val="3EDF4727"/>
    <w:rsid w:val="3EF20F56"/>
    <w:rsid w:val="3F5A36F6"/>
    <w:rsid w:val="3F980E9C"/>
    <w:rsid w:val="3FA869B6"/>
    <w:rsid w:val="3FF277DF"/>
    <w:rsid w:val="400A53AB"/>
    <w:rsid w:val="401833D9"/>
    <w:rsid w:val="402C7E23"/>
    <w:rsid w:val="407F653F"/>
    <w:rsid w:val="408323FF"/>
    <w:rsid w:val="40A80807"/>
    <w:rsid w:val="40A92BAE"/>
    <w:rsid w:val="40CA1B57"/>
    <w:rsid w:val="40CC5307"/>
    <w:rsid w:val="412F101C"/>
    <w:rsid w:val="41964EAB"/>
    <w:rsid w:val="419E0E30"/>
    <w:rsid w:val="41C219B1"/>
    <w:rsid w:val="41CE29AA"/>
    <w:rsid w:val="41EC3EC1"/>
    <w:rsid w:val="41F876AD"/>
    <w:rsid w:val="420B1C40"/>
    <w:rsid w:val="4222516E"/>
    <w:rsid w:val="42257B59"/>
    <w:rsid w:val="42383C49"/>
    <w:rsid w:val="424D54EC"/>
    <w:rsid w:val="42897E29"/>
    <w:rsid w:val="428C64FC"/>
    <w:rsid w:val="42BD651A"/>
    <w:rsid w:val="42C02694"/>
    <w:rsid w:val="42C65CC2"/>
    <w:rsid w:val="42EE5B66"/>
    <w:rsid w:val="42FC7BC4"/>
    <w:rsid w:val="43146077"/>
    <w:rsid w:val="432A46D9"/>
    <w:rsid w:val="433521F7"/>
    <w:rsid w:val="43447BC1"/>
    <w:rsid w:val="435519A3"/>
    <w:rsid w:val="43561C69"/>
    <w:rsid w:val="43964AB6"/>
    <w:rsid w:val="43C85F1F"/>
    <w:rsid w:val="43FD560B"/>
    <w:rsid w:val="44B82ADF"/>
    <w:rsid w:val="44EE2C0B"/>
    <w:rsid w:val="44F226E9"/>
    <w:rsid w:val="451E1E81"/>
    <w:rsid w:val="45307D97"/>
    <w:rsid w:val="45416DF2"/>
    <w:rsid w:val="45521B0A"/>
    <w:rsid w:val="45536AAC"/>
    <w:rsid w:val="458452AF"/>
    <w:rsid w:val="45895107"/>
    <w:rsid w:val="45AF4EFB"/>
    <w:rsid w:val="45C243A7"/>
    <w:rsid w:val="45F367AE"/>
    <w:rsid w:val="461E1C63"/>
    <w:rsid w:val="46242F72"/>
    <w:rsid w:val="46616EB2"/>
    <w:rsid w:val="4686460E"/>
    <w:rsid w:val="46E503F4"/>
    <w:rsid w:val="46ED5E94"/>
    <w:rsid w:val="46F95994"/>
    <w:rsid w:val="474F5143"/>
    <w:rsid w:val="47766475"/>
    <w:rsid w:val="477F7E6B"/>
    <w:rsid w:val="478567B9"/>
    <w:rsid w:val="47921847"/>
    <w:rsid w:val="47983EC8"/>
    <w:rsid w:val="47FA030A"/>
    <w:rsid w:val="47FB61BA"/>
    <w:rsid w:val="483D55CB"/>
    <w:rsid w:val="489D140D"/>
    <w:rsid w:val="48B91151"/>
    <w:rsid w:val="49420F1E"/>
    <w:rsid w:val="49596F0D"/>
    <w:rsid w:val="497E0B80"/>
    <w:rsid w:val="49C43B6C"/>
    <w:rsid w:val="49C90715"/>
    <w:rsid w:val="49E05B4C"/>
    <w:rsid w:val="49E1418B"/>
    <w:rsid w:val="49FC61AC"/>
    <w:rsid w:val="4A1A594E"/>
    <w:rsid w:val="4A1E64EC"/>
    <w:rsid w:val="4A2C6E87"/>
    <w:rsid w:val="4A595809"/>
    <w:rsid w:val="4A597D10"/>
    <w:rsid w:val="4A8965B0"/>
    <w:rsid w:val="4A9E7095"/>
    <w:rsid w:val="4AAE2EBD"/>
    <w:rsid w:val="4AB93EC2"/>
    <w:rsid w:val="4B05597E"/>
    <w:rsid w:val="4B4B1CC5"/>
    <w:rsid w:val="4B67555D"/>
    <w:rsid w:val="4B796EBC"/>
    <w:rsid w:val="4BA0148D"/>
    <w:rsid w:val="4BDB0985"/>
    <w:rsid w:val="4BF003A0"/>
    <w:rsid w:val="4C0D4FCC"/>
    <w:rsid w:val="4C404B97"/>
    <w:rsid w:val="4C5A0EC1"/>
    <w:rsid w:val="4C654827"/>
    <w:rsid w:val="4C80552D"/>
    <w:rsid w:val="4C8129DB"/>
    <w:rsid w:val="4CD63DD2"/>
    <w:rsid w:val="4D232BF9"/>
    <w:rsid w:val="4D3E6298"/>
    <w:rsid w:val="4D411B11"/>
    <w:rsid w:val="4D660F66"/>
    <w:rsid w:val="4D6A38C0"/>
    <w:rsid w:val="4DA373F3"/>
    <w:rsid w:val="4DC07F53"/>
    <w:rsid w:val="4DC555E4"/>
    <w:rsid w:val="4DCA7455"/>
    <w:rsid w:val="4E3C5BA0"/>
    <w:rsid w:val="4E692D6F"/>
    <w:rsid w:val="4E924DA4"/>
    <w:rsid w:val="4EB36169"/>
    <w:rsid w:val="4F063729"/>
    <w:rsid w:val="4F385892"/>
    <w:rsid w:val="4F496035"/>
    <w:rsid w:val="4F835CE5"/>
    <w:rsid w:val="4F8513F9"/>
    <w:rsid w:val="4F883E97"/>
    <w:rsid w:val="4FA4170A"/>
    <w:rsid w:val="4FCA3B7F"/>
    <w:rsid w:val="4FD52CCB"/>
    <w:rsid w:val="4FE1732B"/>
    <w:rsid w:val="5008092F"/>
    <w:rsid w:val="50595913"/>
    <w:rsid w:val="507379FC"/>
    <w:rsid w:val="50A20D07"/>
    <w:rsid w:val="50EF6820"/>
    <w:rsid w:val="50F25740"/>
    <w:rsid w:val="51826732"/>
    <w:rsid w:val="51882260"/>
    <w:rsid w:val="51B04484"/>
    <w:rsid w:val="51D46962"/>
    <w:rsid w:val="51DF2421"/>
    <w:rsid w:val="51E762ED"/>
    <w:rsid w:val="51EB0D3E"/>
    <w:rsid w:val="52015E69"/>
    <w:rsid w:val="520204CE"/>
    <w:rsid w:val="521263FA"/>
    <w:rsid w:val="524017B6"/>
    <w:rsid w:val="5253683D"/>
    <w:rsid w:val="5256165B"/>
    <w:rsid w:val="52722170"/>
    <w:rsid w:val="52AE40D9"/>
    <w:rsid w:val="52E00B7A"/>
    <w:rsid w:val="53051AF1"/>
    <w:rsid w:val="53211998"/>
    <w:rsid w:val="53481403"/>
    <w:rsid w:val="535014F4"/>
    <w:rsid w:val="53587D6B"/>
    <w:rsid w:val="535F7691"/>
    <w:rsid w:val="536E667C"/>
    <w:rsid w:val="53743E9A"/>
    <w:rsid w:val="538B49F1"/>
    <w:rsid w:val="539E11B3"/>
    <w:rsid w:val="53BC0D50"/>
    <w:rsid w:val="53EC2263"/>
    <w:rsid w:val="53FE2FDE"/>
    <w:rsid w:val="5448745A"/>
    <w:rsid w:val="545E547C"/>
    <w:rsid w:val="545E6669"/>
    <w:rsid w:val="55445B8D"/>
    <w:rsid w:val="55570788"/>
    <w:rsid w:val="55594009"/>
    <w:rsid w:val="559B5338"/>
    <w:rsid w:val="55B31107"/>
    <w:rsid w:val="55D96893"/>
    <w:rsid w:val="566E3295"/>
    <w:rsid w:val="567A3261"/>
    <w:rsid w:val="56865B90"/>
    <w:rsid w:val="56BE3B75"/>
    <w:rsid w:val="57157F4C"/>
    <w:rsid w:val="57223244"/>
    <w:rsid w:val="57395292"/>
    <w:rsid w:val="575339C7"/>
    <w:rsid w:val="57682E16"/>
    <w:rsid w:val="5768640B"/>
    <w:rsid w:val="57870573"/>
    <w:rsid w:val="57A37FEF"/>
    <w:rsid w:val="57D92CF1"/>
    <w:rsid w:val="58402222"/>
    <w:rsid w:val="588264DD"/>
    <w:rsid w:val="588A1838"/>
    <w:rsid w:val="58C60467"/>
    <w:rsid w:val="58EC339F"/>
    <w:rsid w:val="58F26E0B"/>
    <w:rsid w:val="58F44DE1"/>
    <w:rsid w:val="5913396B"/>
    <w:rsid w:val="59162CB8"/>
    <w:rsid w:val="593A71CF"/>
    <w:rsid w:val="595510D0"/>
    <w:rsid w:val="5960674C"/>
    <w:rsid w:val="59D155DE"/>
    <w:rsid w:val="59F208A1"/>
    <w:rsid w:val="59F83DDC"/>
    <w:rsid w:val="59F91B97"/>
    <w:rsid w:val="5A073E32"/>
    <w:rsid w:val="5A1179D5"/>
    <w:rsid w:val="5A2B6C35"/>
    <w:rsid w:val="5A5218B1"/>
    <w:rsid w:val="5AA71814"/>
    <w:rsid w:val="5AA74A60"/>
    <w:rsid w:val="5AC7796D"/>
    <w:rsid w:val="5AE448F1"/>
    <w:rsid w:val="5B0B3E40"/>
    <w:rsid w:val="5B353731"/>
    <w:rsid w:val="5B3869E6"/>
    <w:rsid w:val="5B4A0152"/>
    <w:rsid w:val="5B851154"/>
    <w:rsid w:val="5B8C0D49"/>
    <w:rsid w:val="5BD74AFE"/>
    <w:rsid w:val="5C472927"/>
    <w:rsid w:val="5C9A2192"/>
    <w:rsid w:val="5CB26315"/>
    <w:rsid w:val="5CC3603D"/>
    <w:rsid w:val="5CE87791"/>
    <w:rsid w:val="5CF60036"/>
    <w:rsid w:val="5D200415"/>
    <w:rsid w:val="5D261F95"/>
    <w:rsid w:val="5D487D6C"/>
    <w:rsid w:val="5D613807"/>
    <w:rsid w:val="5D8338F7"/>
    <w:rsid w:val="5D875CDF"/>
    <w:rsid w:val="5D8D50F4"/>
    <w:rsid w:val="5E0E5EA7"/>
    <w:rsid w:val="5E10654E"/>
    <w:rsid w:val="5E191AEC"/>
    <w:rsid w:val="5E1A05BD"/>
    <w:rsid w:val="5E2F5A77"/>
    <w:rsid w:val="5E486E08"/>
    <w:rsid w:val="5E4F2A40"/>
    <w:rsid w:val="5E733748"/>
    <w:rsid w:val="5E767FEA"/>
    <w:rsid w:val="5EAF5A19"/>
    <w:rsid w:val="5ED148F2"/>
    <w:rsid w:val="5EDA1689"/>
    <w:rsid w:val="5F226A90"/>
    <w:rsid w:val="5F4F2716"/>
    <w:rsid w:val="5F6C5320"/>
    <w:rsid w:val="5F8302C9"/>
    <w:rsid w:val="5F8A2BC1"/>
    <w:rsid w:val="5F9234EB"/>
    <w:rsid w:val="5FF70A5F"/>
    <w:rsid w:val="601B7687"/>
    <w:rsid w:val="601C21C6"/>
    <w:rsid w:val="604F5B7B"/>
    <w:rsid w:val="607C7CD4"/>
    <w:rsid w:val="607D15FE"/>
    <w:rsid w:val="60EE6D8A"/>
    <w:rsid w:val="61415547"/>
    <w:rsid w:val="61841642"/>
    <w:rsid w:val="61A0169C"/>
    <w:rsid w:val="61C4547D"/>
    <w:rsid w:val="61E50113"/>
    <w:rsid w:val="61EE2218"/>
    <w:rsid w:val="620E15D4"/>
    <w:rsid w:val="6222038A"/>
    <w:rsid w:val="62297FF5"/>
    <w:rsid w:val="6295162E"/>
    <w:rsid w:val="62AF71E2"/>
    <w:rsid w:val="62F77688"/>
    <w:rsid w:val="63116D78"/>
    <w:rsid w:val="6329414C"/>
    <w:rsid w:val="63396002"/>
    <w:rsid w:val="63642A53"/>
    <w:rsid w:val="63BB43F5"/>
    <w:rsid w:val="63BF2229"/>
    <w:rsid w:val="63CD4D38"/>
    <w:rsid w:val="63CD73A9"/>
    <w:rsid w:val="63DF34F8"/>
    <w:rsid w:val="63FA2017"/>
    <w:rsid w:val="640C32EC"/>
    <w:rsid w:val="641039AD"/>
    <w:rsid w:val="65622D8B"/>
    <w:rsid w:val="659007B8"/>
    <w:rsid w:val="65AD2505"/>
    <w:rsid w:val="65F05D1D"/>
    <w:rsid w:val="661F7D8D"/>
    <w:rsid w:val="664636A4"/>
    <w:rsid w:val="66D17962"/>
    <w:rsid w:val="673753A8"/>
    <w:rsid w:val="674C4A47"/>
    <w:rsid w:val="67553D0E"/>
    <w:rsid w:val="67637D6D"/>
    <w:rsid w:val="67AD6280"/>
    <w:rsid w:val="67EA5E80"/>
    <w:rsid w:val="68096CC9"/>
    <w:rsid w:val="6840646A"/>
    <w:rsid w:val="68916DF5"/>
    <w:rsid w:val="68A55C83"/>
    <w:rsid w:val="68B66CC6"/>
    <w:rsid w:val="68DC3B70"/>
    <w:rsid w:val="68F159D7"/>
    <w:rsid w:val="68F901FF"/>
    <w:rsid w:val="693256AB"/>
    <w:rsid w:val="695B0ACA"/>
    <w:rsid w:val="696D1F62"/>
    <w:rsid w:val="69703530"/>
    <w:rsid w:val="697C46BC"/>
    <w:rsid w:val="698E53EF"/>
    <w:rsid w:val="69AC1AC7"/>
    <w:rsid w:val="69B250B4"/>
    <w:rsid w:val="69D7243F"/>
    <w:rsid w:val="69E24467"/>
    <w:rsid w:val="6A195234"/>
    <w:rsid w:val="6A6925EF"/>
    <w:rsid w:val="6A9B7F30"/>
    <w:rsid w:val="6B061315"/>
    <w:rsid w:val="6B0E63F5"/>
    <w:rsid w:val="6B47045A"/>
    <w:rsid w:val="6B814375"/>
    <w:rsid w:val="6B903FF7"/>
    <w:rsid w:val="6B9541DF"/>
    <w:rsid w:val="6BA55635"/>
    <w:rsid w:val="6BAF3C03"/>
    <w:rsid w:val="6BB15476"/>
    <w:rsid w:val="6BD47D02"/>
    <w:rsid w:val="6BEB418C"/>
    <w:rsid w:val="6BED2435"/>
    <w:rsid w:val="6BED3A17"/>
    <w:rsid w:val="6C252E01"/>
    <w:rsid w:val="6C537A1C"/>
    <w:rsid w:val="6C634281"/>
    <w:rsid w:val="6C9B2D7F"/>
    <w:rsid w:val="6CBC0B1B"/>
    <w:rsid w:val="6CF87807"/>
    <w:rsid w:val="6D2006EC"/>
    <w:rsid w:val="6D537220"/>
    <w:rsid w:val="6D875E44"/>
    <w:rsid w:val="6D9829C1"/>
    <w:rsid w:val="6DAA1F98"/>
    <w:rsid w:val="6DB4120F"/>
    <w:rsid w:val="6DDA632C"/>
    <w:rsid w:val="6E13568B"/>
    <w:rsid w:val="6E182D60"/>
    <w:rsid w:val="6E4E5444"/>
    <w:rsid w:val="6E527DFF"/>
    <w:rsid w:val="6E6B024B"/>
    <w:rsid w:val="6E86688C"/>
    <w:rsid w:val="6EA0205A"/>
    <w:rsid w:val="6EC23366"/>
    <w:rsid w:val="6EDE0667"/>
    <w:rsid w:val="6F02736A"/>
    <w:rsid w:val="6F100B4F"/>
    <w:rsid w:val="6F1B7A1F"/>
    <w:rsid w:val="6F6F75FB"/>
    <w:rsid w:val="6FAB22DD"/>
    <w:rsid w:val="6FC44647"/>
    <w:rsid w:val="700333E8"/>
    <w:rsid w:val="703A67C2"/>
    <w:rsid w:val="705259D0"/>
    <w:rsid w:val="70625A14"/>
    <w:rsid w:val="70712BB2"/>
    <w:rsid w:val="70833310"/>
    <w:rsid w:val="70A265FC"/>
    <w:rsid w:val="70A422CD"/>
    <w:rsid w:val="70EC0A5D"/>
    <w:rsid w:val="71251E2C"/>
    <w:rsid w:val="713D1995"/>
    <w:rsid w:val="71452022"/>
    <w:rsid w:val="715D1F6F"/>
    <w:rsid w:val="718D328E"/>
    <w:rsid w:val="719E6ED2"/>
    <w:rsid w:val="71BB165B"/>
    <w:rsid w:val="71D62486"/>
    <w:rsid w:val="71E15EEF"/>
    <w:rsid w:val="71E255C6"/>
    <w:rsid w:val="71F9628E"/>
    <w:rsid w:val="72243911"/>
    <w:rsid w:val="72575FD1"/>
    <w:rsid w:val="7266565B"/>
    <w:rsid w:val="729C2E66"/>
    <w:rsid w:val="72D55B00"/>
    <w:rsid w:val="72F77710"/>
    <w:rsid w:val="731C2398"/>
    <w:rsid w:val="731F7479"/>
    <w:rsid w:val="73310739"/>
    <w:rsid w:val="73803691"/>
    <w:rsid w:val="73972AC4"/>
    <w:rsid w:val="73B142BE"/>
    <w:rsid w:val="741E2532"/>
    <w:rsid w:val="741E2A41"/>
    <w:rsid w:val="7449796D"/>
    <w:rsid w:val="748D0D0D"/>
    <w:rsid w:val="74C91441"/>
    <w:rsid w:val="74CB7241"/>
    <w:rsid w:val="75570D1C"/>
    <w:rsid w:val="75613E3C"/>
    <w:rsid w:val="756759ED"/>
    <w:rsid w:val="75CE3F44"/>
    <w:rsid w:val="760053A9"/>
    <w:rsid w:val="76430170"/>
    <w:rsid w:val="76B41A19"/>
    <w:rsid w:val="76EF0629"/>
    <w:rsid w:val="774F2074"/>
    <w:rsid w:val="77653DED"/>
    <w:rsid w:val="7779380E"/>
    <w:rsid w:val="7784316B"/>
    <w:rsid w:val="7788083A"/>
    <w:rsid w:val="77AA62E5"/>
    <w:rsid w:val="77B41FA9"/>
    <w:rsid w:val="77C54E17"/>
    <w:rsid w:val="77DD3CA6"/>
    <w:rsid w:val="77E71316"/>
    <w:rsid w:val="782A503B"/>
    <w:rsid w:val="785721C5"/>
    <w:rsid w:val="78661A12"/>
    <w:rsid w:val="787A5EEF"/>
    <w:rsid w:val="787D5187"/>
    <w:rsid w:val="78917CC7"/>
    <w:rsid w:val="78C241DF"/>
    <w:rsid w:val="791761D2"/>
    <w:rsid w:val="793A0EDE"/>
    <w:rsid w:val="794B69DC"/>
    <w:rsid w:val="794F49A4"/>
    <w:rsid w:val="798A16F5"/>
    <w:rsid w:val="79A63D53"/>
    <w:rsid w:val="79AF6B71"/>
    <w:rsid w:val="79B043E8"/>
    <w:rsid w:val="79BC54D8"/>
    <w:rsid w:val="79CA29CF"/>
    <w:rsid w:val="79D00A76"/>
    <w:rsid w:val="79D00ACD"/>
    <w:rsid w:val="7A0410B5"/>
    <w:rsid w:val="7A060B5E"/>
    <w:rsid w:val="7A0A196B"/>
    <w:rsid w:val="7A763341"/>
    <w:rsid w:val="7AA73D4D"/>
    <w:rsid w:val="7AB81212"/>
    <w:rsid w:val="7AE00171"/>
    <w:rsid w:val="7B007C6B"/>
    <w:rsid w:val="7BB14E8C"/>
    <w:rsid w:val="7BB75406"/>
    <w:rsid w:val="7BD43952"/>
    <w:rsid w:val="7BE41913"/>
    <w:rsid w:val="7BED398D"/>
    <w:rsid w:val="7C24111F"/>
    <w:rsid w:val="7C3F3D2C"/>
    <w:rsid w:val="7C871A65"/>
    <w:rsid w:val="7C9B1F33"/>
    <w:rsid w:val="7CA10DD8"/>
    <w:rsid w:val="7CA45416"/>
    <w:rsid w:val="7CAA3D3B"/>
    <w:rsid w:val="7CC25EDB"/>
    <w:rsid w:val="7CD10FD1"/>
    <w:rsid w:val="7D2C4A3E"/>
    <w:rsid w:val="7D5C2F0F"/>
    <w:rsid w:val="7D616EA5"/>
    <w:rsid w:val="7D680C1D"/>
    <w:rsid w:val="7D7A6717"/>
    <w:rsid w:val="7DD640D8"/>
    <w:rsid w:val="7DEF4DD5"/>
    <w:rsid w:val="7DF37AE4"/>
    <w:rsid w:val="7E202DCA"/>
    <w:rsid w:val="7E58068B"/>
    <w:rsid w:val="7ED35CC5"/>
    <w:rsid w:val="7ED60764"/>
    <w:rsid w:val="7ED632EF"/>
    <w:rsid w:val="7F012B12"/>
    <w:rsid w:val="7F046DA4"/>
    <w:rsid w:val="7F051113"/>
    <w:rsid w:val="7F604C7F"/>
    <w:rsid w:val="7F652339"/>
    <w:rsid w:val="7F6C3379"/>
    <w:rsid w:val="7FFD1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5"/>
    <w:link w:val="33"/>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6">
    <w:name w:val="heading 3"/>
    <w:basedOn w:val="1"/>
    <w:next w:val="1"/>
    <w:link w:val="2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7">
    <w:name w:val="heading 4"/>
    <w:basedOn w:val="1"/>
    <w:next w:val="1"/>
    <w:semiHidden/>
    <w:unhideWhenUsed/>
    <w:qFormat/>
    <w:uiPriority w:val="0"/>
    <w:pPr>
      <w:keepNext/>
      <w:keepLines/>
      <w:spacing w:before="280" w:after="290" w:line="372" w:lineRule="auto"/>
      <w:outlineLvl w:val="3"/>
    </w:pPr>
    <w:rPr>
      <w:rFonts w:ascii="Arial" w:hAnsi="Arial" w:eastAsia="黑体"/>
      <w:b/>
      <w:sz w:val="28"/>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0"/>
    <w:pPr>
      <w:ind w:left="600" w:leftChars="600"/>
    </w:pPr>
    <w:rPr>
      <w:rFonts w:ascii="Calibri" w:hAnsi="Calibri"/>
    </w:rPr>
  </w:style>
  <w:style w:type="paragraph" w:styleId="5">
    <w:name w:val="Normal Indent"/>
    <w:basedOn w:val="1"/>
    <w:link w:val="32"/>
    <w:qFormat/>
    <w:uiPriority w:val="0"/>
    <w:pPr>
      <w:autoSpaceDE w:val="0"/>
      <w:autoSpaceDN w:val="0"/>
      <w:adjustRightInd w:val="0"/>
      <w:ind w:firstLine="420"/>
      <w:jc w:val="left"/>
    </w:pPr>
    <w:rPr>
      <w:rFonts w:ascii="宋体"/>
      <w:kern w:val="0"/>
      <w:sz w:val="24"/>
      <w:szCs w:val="20"/>
    </w:rPr>
  </w:style>
  <w:style w:type="paragraph" w:styleId="8">
    <w:name w:val="annotation text"/>
    <w:basedOn w:val="1"/>
    <w:link w:val="29"/>
    <w:qFormat/>
    <w:uiPriority w:val="0"/>
    <w:pPr>
      <w:jc w:val="left"/>
    </w:pPr>
  </w:style>
  <w:style w:type="paragraph" w:styleId="9">
    <w:name w:val="Body Text"/>
    <w:basedOn w:val="1"/>
    <w:qFormat/>
    <w:uiPriority w:val="0"/>
    <w:pPr>
      <w:tabs>
        <w:tab w:val="left" w:pos="567"/>
      </w:tabs>
      <w:spacing w:before="120" w:line="22" w:lineRule="atLeast"/>
    </w:pPr>
    <w:rPr>
      <w:rFonts w:ascii="宋体" w:hAnsi="宋体"/>
      <w:sz w:val="24"/>
    </w:rPr>
  </w:style>
  <w:style w:type="paragraph" w:styleId="10">
    <w:name w:val="toc 3"/>
    <w:basedOn w:val="1"/>
    <w:next w:val="1"/>
    <w:qFormat/>
    <w:uiPriority w:val="39"/>
    <w:pPr>
      <w:tabs>
        <w:tab w:val="left" w:pos="1260"/>
        <w:tab w:val="right" w:leader="dot" w:pos="8630"/>
      </w:tabs>
      <w:ind w:left="840" w:leftChars="400"/>
    </w:pPr>
  </w:style>
  <w:style w:type="paragraph" w:styleId="11">
    <w:name w:val="Plain Text"/>
    <w:basedOn w:val="1"/>
    <w:qFormat/>
    <w:uiPriority w:val="0"/>
    <w:rPr>
      <w:rFonts w:ascii="宋体" w:hAnsi="Courier New"/>
      <w:szCs w:val="20"/>
    </w:rPr>
  </w:style>
  <w:style w:type="paragraph" w:styleId="12">
    <w:name w:val="Balloon Text"/>
    <w:basedOn w:val="1"/>
    <w:link w:val="28"/>
    <w:qFormat/>
    <w:uiPriority w:val="0"/>
    <w:rPr>
      <w:sz w:val="18"/>
      <w:szCs w:val="18"/>
    </w:rPr>
  </w:style>
  <w:style w:type="paragraph" w:styleId="13">
    <w:name w:val="footer"/>
    <w:basedOn w:val="1"/>
    <w:qFormat/>
    <w:uiPriority w:val="0"/>
    <w:pPr>
      <w:tabs>
        <w:tab w:val="center" w:pos="4153"/>
        <w:tab w:val="right" w:pos="8306"/>
      </w:tabs>
      <w:autoSpaceDE w:val="0"/>
      <w:autoSpaceDN w:val="0"/>
      <w:adjustRightInd w:val="0"/>
      <w:snapToGrid w:val="0"/>
      <w:jc w:val="left"/>
    </w:pPr>
    <w:rPr>
      <w:rFonts w:ascii="宋体"/>
      <w:kern w:val="0"/>
      <w:sz w:val="18"/>
      <w:szCs w:val="20"/>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2"/>
    <w:basedOn w:val="1"/>
    <w:next w:val="1"/>
    <w:qFormat/>
    <w:uiPriority w:val="39"/>
    <w:pPr>
      <w:ind w:left="420" w:leftChars="200"/>
    </w:pPr>
  </w:style>
  <w:style w:type="paragraph" w:styleId="17">
    <w:name w:val="Normal (Web)"/>
    <w:basedOn w:val="1"/>
    <w:qFormat/>
    <w:uiPriority w:val="0"/>
    <w:pPr>
      <w:spacing w:beforeAutospacing="1" w:afterAutospacing="1"/>
      <w:jc w:val="left"/>
    </w:pPr>
    <w:rPr>
      <w:kern w:val="0"/>
      <w:sz w:val="24"/>
    </w:rPr>
  </w:style>
  <w:style w:type="paragraph" w:styleId="18">
    <w:name w:val="index 1"/>
    <w:basedOn w:val="1"/>
    <w:next w:val="1"/>
    <w:semiHidden/>
    <w:qFormat/>
    <w:uiPriority w:val="0"/>
    <w:rPr>
      <w:szCs w:val="20"/>
    </w:rPr>
  </w:style>
  <w:style w:type="paragraph" w:styleId="19">
    <w:name w:val="annotation subject"/>
    <w:basedOn w:val="8"/>
    <w:next w:val="8"/>
    <w:link w:val="30"/>
    <w:qFormat/>
    <w:uiPriority w:val="0"/>
    <w:rPr>
      <w:b/>
      <w:bCs/>
    </w:rPr>
  </w:style>
  <w:style w:type="character" w:styleId="22">
    <w:name w:val="Strong"/>
    <w:basedOn w:val="21"/>
    <w:qFormat/>
    <w:uiPriority w:val="0"/>
    <w:rPr>
      <w:b/>
    </w:rPr>
  </w:style>
  <w:style w:type="character" w:styleId="23">
    <w:name w:val="page number"/>
    <w:basedOn w:val="21"/>
    <w:qFormat/>
    <w:uiPriority w:val="0"/>
  </w:style>
  <w:style w:type="character" w:styleId="24">
    <w:name w:val="Hyperlink"/>
    <w:qFormat/>
    <w:uiPriority w:val="99"/>
    <w:rPr>
      <w:color w:val="0000FF"/>
      <w:u w:val="single"/>
    </w:rPr>
  </w:style>
  <w:style w:type="character" w:styleId="25">
    <w:name w:val="annotation reference"/>
    <w:basedOn w:val="21"/>
    <w:qFormat/>
    <w:uiPriority w:val="0"/>
    <w:rPr>
      <w:sz w:val="21"/>
      <w:szCs w:val="21"/>
    </w:rPr>
  </w:style>
  <w:style w:type="paragraph" w:styleId="26">
    <w:name w:val="List Paragraph"/>
    <w:basedOn w:val="1"/>
    <w:qFormat/>
    <w:uiPriority w:val="34"/>
    <w:pPr>
      <w:widowControl/>
      <w:ind w:firstLine="420" w:firstLineChars="200"/>
      <w:jc w:val="left"/>
    </w:pPr>
    <w:rPr>
      <w:kern w:val="0"/>
      <w:sz w:val="24"/>
    </w:rPr>
  </w:style>
  <w:style w:type="character" w:customStyle="1" w:styleId="27">
    <w:name w:val="标题 3 Char"/>
    <w:link w:val="6"/>
    <w:qFormat/>
    <w:uiPriority w:val="0"/>
    <w:rPr>
      <w:rFonts w:ascii="宋体"/>
      <w:b/>
      <w:kern w:val="0"/>
      <w:sz w:val="24"/>
      <w:szCs w:val="20"/>
      <w:u w:val="single"/>
    </w:rPr>
  </w:style>
  <w:style w:type="character" w:customStyle="1" w:styleId="28">
    <w:name w:val="批注框文本 Char"/>
    <w:basedOn w:val="21"/>
    <w:link w:val="12"/>
    <w:qFormat/>
    <w:uiPriority w:val="0"/>
    <w:rPr>
      <w:kern w:val="2"/>
      <w:sz w:val="18"/>
      <w:szCs w:val="18"/>
    </w:rPr>
  </w:style>
  <w:style w:type="character" w:customStyle="1" w:styleId="29">
    <w:name w:val="批注文字 Char"/>
    <w:basedOn w:val="21"/>
    <w:link w:val="8"/>
    <w:qFormat/>
    <w:uiPriority w:val="0"/>
    <w:rPr>
      <w:kern w:val="2"/>
      <w:sz w:val="21"/>
      <w:szCs w:val="24"/>
    </w:rPr>
  </w:style>
  <w:style w:type="character" w:customStyle="1" w:styleId="30">
    <w:name w:val="批注主题 Char"/>
    <w:basedOn w:val="29"/>
    <w:link w:val="19"/>
    <w:qFormat/>
    <w:uiPriority w:val="0"/>
    <w:rPr>
      <w:b/>
      <w:bCs/>
      <w:kern w:val="2"/>
      <w:sz w:val="21"/>
      <w:szCs w:val="24"/>
    </w:rPr>
  </w:style>
  <w:style w:type="paragraph" w:customStyle="1" w:styleId="31">
    <w:name w:val="AngebotS2e"/>
    <w:basedOn w:val="1"/>
    <w:qFormat/>
    <w:uiPriority w:val="0"/>
    <w:pPr>
      <w:widowControl/>
      <w:tabs>
        <w:tab w:val="left" w:pos="1134"/>
        <w:tab w:val="left" w:pos="1843"/>
        <w:tab w:val="left" w:pos="2268"/>
        <w:tab w:val="left" w:pos="4111"/>
        <w:tab w:val="decimal" w:pos="10433"/>
      </w:tabs>
      <w:jc w:val="left"/>
    </w:pPr>
    <w:rPr>
      <w:kern w:val="0"/>
      <w:sz w:val="20"/>
      <w:szCs w:val="20"/>
      <w:lang w:val="de-DE" w:eastAsia="de-DE"/>
    </w:rPr>
  </w:style>
  <w:style w:type="character" w:customStyle="1" w:styleId="32">
    <w:name w:val="正文缩进 Char"/>
    <w:link w:val="5"/>
    <w:qFormat/>
    <w:uiPriority w:val="0"/>
    <w:rPr>
      <w:rFonts w:ascii="宋体"/>
      <w:sz w:val="24"/>
    </w:rPr>
  </w:style>
  <w:style w:type="character" w:customStyle="1" w:styleId="33">
    <w:name w:val="标题 2 Char"/>
    <w:link w:val="4"/>
    <w:qFormat/>
    <w:locked/>
    <w:uiPriority w:val="0"/>
    <w:rPr>
      <w:rFonts w:ascii="Arial" w:hAnsi="Arial" w:eastAsia="黑体"/>
      <w:b/>
      <w:sz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62</Pages>
  <Words>36143</Words>
  <Characters>37836</Characters>
  <Lines>332</Lines>
  <Paragraphs>93</Paragraphs>
  <TotalTime>15</TotalTime>
  <ScaleCrop>false</ScaleCrop>
  <LinksUpToDate>false</LinksUpToDate>
  <CharactersWithSpaces>41730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2021-04-27T02:35:00Z</dcterms:created>
  <dc:creator>丁皓然</dc:creator>
  <cp:lastModifiedBy>温清</cp:lastModifiedBy>
  <dcterms:modified xsi:type="dcterms:W3CDTF">2022-11-08T08:47:59Z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09F860B9FC2F418586B222CE2982351D</vt:lpwstr>
  </property>
</Properties>
</file>