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jc w:val="center"/>
        <w:outlineLvl w:val="0"/>
        <w:rPr>
          <w:b/>
          <w:color w:val="auto"/>
          <w:sz w:val="28"/>
          <w:szCs w:val="28"/>
          <w:highlight w:val="none"/>
        </w:rPr>
      </w:pPr>
      <w:bookmarkStart w:id="0" w:name="_Toc389065121"/>
      <w:r>
        <w:rPr>
          <w:rFonts w:hint="eastAsia"/>
          <w:b/>
          <w:color w:val="auto"/>
          <w:sz w:val="28"/>
          <w:szCs w:val="28"/>
          <w:highlight w:val="none"/>
          <w:u w:val="single"/>
        </w:rPr>
        <w:t>学校基础设施建设及配套工程项目勘察服务</w:t>
      </w:r>
      <w:r>
        <w:rPr>
          <w:b/>
          <w:color w:val="auto"/>
          <w:sz w:val="28"/>
          <w:szCs w:val="28"/>
          <w:highlight w:val="none"/>
          <w:u w:val="single"/>
        </w:rPr>
        <w:t xml:space="preserve"> </w:t>
      </w:r>
      <w:r>
        <w:rPr>
          <w:b/>
          <w:color w:val="auto"/>
          <w:sz w:val="28"/>
          <w:szCs w:val="28"/>
          <w:highlight w:val="none"/>
        </w:rPr>
        <w:t>招标公告</w:t>
      </w:r>
      <w:bookmarkEnd w:id="0"/>
    </w:p>
    <w:p>
      <w:pPr>
        <w:spacing w:line="360" w:lineRule="auto"/>
        <w:rPr>
          <w:color w:val="auto"/>
          <w:highlight w:val="none"/>
        </w:rPr>
      </w:pPr>
    </w:p>
    <w:p>
      <w:pPr>
        <w:pStyle w:val="2"/>
        <w:pageBreakBefore w:val="0"/>
        <w:widowControl w:val="0"/>
        <w:kinsoku/>
        <w:overflowPunct/>
        <w:topLinePunct w:val="0"/>
        <w:autoSpaceDE/>
        <w:autoSpaceDN/>
        <w:bidi w:val="0"/>
        <w:adjustRightInd/>
        <w:snapToGrid/>
        <w:spacing w:before="0" w:after="0" w:line="400" w:lineRule="exact"/>
        <w:ind w:left="0" w:leftChars="0"/>
        <w:textAlignment w:val="auto"/>
        <w:rPr>
          <w:rFonts w:hint="eastAsia" w:ascii="宋体" w:hAnsi="宋体" w:eastAsia="宋体" w:cs="宋体"/>
          <w:color w:val="auto"/>
          <w:sz w:val="24"/>
          <w:szCs w:val="24"/>
          <w:highlight w:val="none"/>
        </w:rPr>
      </w:pPr>
      <w:bookmarkStart w:id="1" w:name="_Toc389065122"/>
      <w:bookmarkStart w:id="2" w:name="_Toc1084141989"/>
      <w:r>
        <w:rPr>
          <w:rFonts w:hint="eastAsia" w:ascii="宋体" w:hAnsi="宋体" w:eastAsia="宋体" w:cs="宋体"/>
          <w:color w:val="auto"/>
          <w:sz w:val="24"/>
          <w:szCs w:val="24"/>
          <w:highlight w:val="none"/>
        </w:rPr>
        <w:t>1. 招标条件</w:t>
      </w:r>
      <w:bookmarkEnd w:id="1"/>
      <w:bookmarkEnd w:id="2"/>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rPr>
        <w:t xml:space="preserve"> 学校基础设施建设及配套工程项目勘察服务 </w:t>
      </w:r>
      <w:r>
        <w:rPr>
          <w:rFonts w:hint="eastAsia" w:ascii="宋体" w:hAnsi="宋体" w:eastAsia="宋体" w:cs="宋体"/>
          <w:color w:val="auto"/>
          <w:sz w:val="24"/>
          <w:szCs w:val="24"/>
          <w:highlight w:val="none"/>
        </w:rPr>
        <w:t>（项目名称）已由</w:t>
      </w:r>
      <w:r>
        <w:rPr>
          <w:rFonts w:hint="eastAsia" w:ascii="宋体" w:hAnsi="宋体" w:eastAsia="宋体" w:cs="宋体"/>
          <w:color w:val="auto"/>
          <w:sz w:val="24"/>
          <w:szCs w:val="24"/>
          <w:highlight w:val="none"/>
          <w:u w:val="single"/>
        </w:rPr>
        <w:t>宾阳县发展和改革局</w:t>
      </w:r>
      <w:r>
        <w:rPr>
          <w:rFonts w:hint="eastAsia" w:ascii="宋体" w:hAnsi="宋体" w:eastAsia="宋体" w:cs="宋体"/>
          <w:color w:val="auto"/>
          <w:sz w:val="24"/>
          <w:szCs w:val="24"/>
          <w:highlight w:val="none"/>
        </w:rPr>
        <w:t>（项目审批、核准或备案机关名称）以</w:t>
      </w:r>
      <w:r>
        <w:rPr>
          <w:rFonts w:hint="eastAsia" w:ascii="宋体" w:hAnsi="宋体" w:eastAsia="宋体" w:cs="宋体"/>
          <w:color w:val="auto"/>
          <w:sz w:val="24"/>
          <w:szCs w:val="24"/>
          <w:highlight w:val="none"/>
          <w:u w:val="single"/>
        </w:rPr>
        <w:t xml:space="preserve"> 宾发改项字(2022) 422号 </w:t>
      </w:r>
      <w:r>
        <w:rPr>
          <w:rFonts w:hint="eastAsia" w:ascii="宋体" w:hAnsi="宋体" w:eastAsia="宋体" w:cs="宋体"/>
          <w:color w:val="auto"/>
          <w:sz w:val="24"/>
          <w:szCs w:val="24"/>
          <w:highlight w:val="none"/>
        </w:rPr>
        <w:t xml:space="preserve"> （批文名称、文号、项目代码）批准建设，招标人（项目业主）为</w:t>
      </w:r>
      <w:r>
        <w:rPr>
          <w:rFonts w:hint="eastAsia" w:ascii="宋体" w:hAnsi="宋体" w:eastAsia="宋体" w:cs="宋体"/>
          <w:color w:val="auto"/>
          <w:sz w:val="24"/>
          <w:szCs w:val="24"/>
          <w:highlight w:val="none"/>
          <w:u w:val="single"/>
        </w:rPr>
        <w:t xml:space="preserve"> 宾阳县教育局 </w:t>
      </w:r>
      <w:r>
        <w:rPr>
          <w:rFonts w:hint="eastAsia" w:ascii="宋体" w:hAnsi="宋体" w:eastAsia="宋体" w:cs="宋体"/>
          <w:color w:val="auto"/>
          <w:sz w:val="24"/>
          <w:szCs w:val="24"/>
          <w:highlight w:val="none"/>
        </w:rPr>
        <w:t>，建设资金来自</w:t>
      </w:r>
      <w:r>
        <w:rPr>
          <w:rFonts w:hint="eastAsia" w:ascii="宋体" w:hAnsi="宋体" w:eastAsia="宋体" w:cs="宋体"/>
          <w:color w:val="auto"/>
          <w:sz w:val="24"/>
          <w:szCs w:val="24"/>
          <w:highlight w:val="none"/>
          <w:u w:val="single"/>
        </w:rPr>
        <w:t xml:space="preserve"> 上级资金及融资模式解决</w:t>
      </w:r>
      <w:r>
        <w:rPr>
          <w:rFonts w:hint="eastAsia" w:ascii="宋体" w:hAnsi="宋体" w:eastAsia="宋体" w:cs="宋体"/>
          <w:color w:val="auto"/>
          <w:sz w:val="24"/>
          <w:szCs w:val="24"/>
          <w:highlight w:val="none"/>
        </w:rPr>
        <w:t>（资金来源），项目出资比例为</w:t>
      </w:r>
      <w:r>
        <w:rPr>
          <w:rFonts w:hint="eastAsia" w:ascii="宋体" w:hAnsi="宋体" w:eastAsia="宋体" w:cs="宋体"/>
          <w:color w:val="auto"/>
          <w:sz w:val="24"/>
          <w:szCs w:val="24"/>
          <w:highlight w:val="none"/>
          <w:u w:val="single"/>
        </w:rPr>
        <w:t xml:space="preserve">  财政资金8%、社会资本方资金92%  </w:t>
      </w:r>
      <w:r>
        <w:rPr>
          <w:rFonts w:hint="eastAsia" w:ascii="宋体" w:hAnsi="宋体" w:eastAsia="宋体" w:cs="宋体"/>
          <w:color w:val="auto"/>
          <w:sz w:val="24"/>
          <w:szCs w:val="24"/>
          <w:highlight w:val="none"/>
        </w:rPr>
        <w:t>。项目已具备招标条件，现对该项目的勘察进行公开招标。</w:t>
      </w:r>
    </w:p>
    <w:p>
      <w:pPr>
        <w:pStyle w:val="2"/>
        <w:pageBreakBefore w:val="0"/>
        <w:widowControl w:val="0"/>
        <w:tabs>
          <w:tab w:val="left" w:pos="7095"/>
        </w:tabs>
        <w:kinsoku/>
        <w:overflowPunct/>
        <w:topLinePunct w:val="0"/>
        <w:autoSpaceDE/>
        <w:autoSpaceDN/>
        <w:bidi w:val="0"/>
        <w:adjustRightInd/>
        <w:snapToGrid/>
        <w:spacing w:before="0" w:after="0" w:line="400" w:lineRule="exact"/>
        <w:ind w:left="0" w:leftChars="0"/>
        <w:textAlignment w:val="auto"/>
        <w:rPr>
          <w:rFonts w:hint="eastAsia" w:ascii="宋体" w:hAnsi="宋体" w:eastAsia="宋体" w:cs="宋体"/>
          <w:color w:val="auto"/>
          <w:sz w:val="24"/>
          <w:szCs w:val="24"/>
          <w:highlight w:val="none"/>
        </w:rPr>
      </w:pPr>
      <w:bookmarkStart w:id="3" w:name="_Toc204813274"/>
      <w:bookmarkStart w:id="4" w:name="_Toc389065123"/>
      <w:r>
        <w:rPr>
          <w:rFonts w:hint="eastAsia" w:ascii="宋体" w:hAnsi="宋体" w:eastAsia="宋体" w:cs="宋体"/>
          <w:color w:val="auto"/>
          <w:sz w:val="24"/>
          <w:szCs w:val="24"/>
          <w:highlight w:val="none"/>
        </w:rPr>
        <w:t>2. 项目概况与招标范围</w:t>
      </w:r>
      <w:bookmarkEnd w:id="3"/>
      <w:bookmarkEnd w:id="4"/>
      <w:r>
        <w:rPr>
          <w:rFonts w:hint="eastAsia" w:ascii="宋体" w:hAnsi="宋体" w:eastAsia="宋体" w:cs="宋体"/>
          <w:color w:val="auto"/>
          <w:sz w:val="24"/>
          <w:szCs w:val="24"/>
          <w:highlight w:val="none"/>
        </w:rPr>
        <w:tab/>
      </w:r>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2.1项目招标编号：</w:t>
      </w:r>
      <w:r>
        <w:rPr>
          <w:rFonts w:hint="eastAsia" w:ascii="宋体" w:hAnsi="宋体" w:eastAsia="宋体" w:cs="宋体"/>
          <w:color w:val="auto"/>
          <w:sz w:val="24"/>
          <w:szCs w:val="24"/>
          <w:highlight w:val="none"/>
          <w:u w:val="single"/>
        </w:rPr>
        <w:t xml:space="preserve"> E4501002816020854001  </w:t>
      </w:r>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报建号（如有）：</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2.2建设地点：</w:t>
      </w:r>
      <w:r>
        <w:rPr>
          <w:rFonts w:hint="eastAsia" w:ascii="宋体" w:hAnsi="宋体" w:eastAsia="宋体" w:cs="宋体"/>
          <w:color w:val="auto"/>
          <w:sz w:val="24"/>
          <w:szCs w:val="24"/>
          <w:highlight w:val="none"/>
          <w:u w:val="single"/>
        </w:rPr>
        <w:t xml:space="preserve"> 宾阳县 </w:t>
      </w:r>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2.3建设规模：</w:t>
      </w:r>
      <w:r>
        <w:rPr>
          <w:rFonts w:hint="eastAsia" w:ascii="宋体" w:hAnsi="宋体" w:eastAsia="宋体" w:cs="宋体"/>
          <w:color w:val="auto"/>
          <w:sz w:val="24"/>
          <w:szCs w:val="24"/>
          <w:highlight w:val="none"/>
          <w:u w:val="single"/>
        </w:rPr>
        <w:t xml:space="preserve"> 本项目共有25个子项(5个幼儿园项目、5个小学、6个初中、8个高中以及1个职业教育项目)，其中4个幼儿园包括宾阳县城西幼儿园、宾阳县思陇中心幼儿园、黎塘镇第二幼儿园、黎塘镇第三幼儿园、黎塘镇第四幼儿园: 5个小学包括宾阳县中山小学、宾阳县滨水小学、黎塘镇月湾小学、宾阳县武陵镇第二完全小学、宾阳县古辣镇中心学校新校区; 6个初中包括宾阳中学黎塘校区、宾阳县滨水中学、宾阳县思恩民族中学新校区、宾阳中学初中部宾阳县开智中学初中部、宾阳县宾州镇第一初级中学教学综合楼;8个高中包括宾阳县新桥中学新校区、宾阳县新宾中学新校区、宾阳高中学生宿舍楼、宾阳县开智中学风雨操场、宾阳县高级中学教学综合楼、宾阳中学教学综合楼、宾阳中学风雨操场、宾阳县新桥中学食堂; 1个职业教育项目宾阳县职业技术学校实训楼等。项目总建筑面积为403888.02㎡。主要建设内容包括土建工程、装饰工程、电气工程、给排水工程、空调通风工程、消防工程、外水外电、地面硬化、绿化和运动场地等附属工程。本项目勘察布孔总数1061个钻孔，平均孔深</w:t>
      </w:r>
      <w:r>
        <w:rPr>
          <w:rFonts w:hint="eastAsia" w:ascii="宋体" w:hAnsi="宋体" w:eastAsia="宋体" w:cs="宋体"/>
          <w:color w:val="auto"/>
          <w:sz w:val="24"/>
          <w:szCs w:val="24"/>
          <w:highlight w:val="none"/>
          <w:u w:val="single"/>
          <w:lang w:eastAsia="zh-CN"/>
        </w:rPr>
        <w:t>约</w:t>
      </w:r>
      <w:r>
        <w:rPr>
          <w:rFonts w:hint="eastAsia" w:ascii="宋体" w:hAnsi="宋体" w:eastAsia="宋体" w:cs="宋体"/>
          <w:color w:val="auto"/>
          <w:sz w:val="24"/>
          <w:szCs w:val="24"/>
          <w:highlight w:val="none"/>
          <w:u w:val="single"/>
          <w:lang w:val="en-US" w:eastAsia="zh-CN"/>
        </w:rPr>
        <w:t>12.7</w:t>
      </w:r>
      <w:r>
        <w:rPr>
          <w:rFonts w:hint="eastAsia" w:ascii="宋体" w:hAnsi="宋体" w:eastAsia="宋体" w:cs="宋体"/>
          <w:color w:val="auto"/>
          <w:sz w:val="24"/>
          <w:szCs w:val="24"/>
          <w:highlight w:val="none"/>
          <w:u w:val="single"/>
        </w:rPr>
        <w:t>米，预计总进尺约13416米</w:t>
      </w:r>
      <w:r>
        <w:rPr>
          <w:rFonts w:hint="eastAsia" w:ascii="宋体" w:hAnsi="宋体" w:eastAsia="宋体" w:cs="宋体"/>
          <w:color w:val="auto"/>
          <w:sz w:val="24"/>
          <w:szCs w:val="24"/>
          <w:highlight w:val="none"/>
          <w:u w:val="single"/>
          <w:lang w:eastAsia="zh-CN"/>
        </w:rPr>
        <w:t>。</w:t>
      </w:r>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2.4勘察服务期限：合同生效之日起，</w:t>
      </w:r>
      <w:r>
        <w:rPr>
          <w:rFonts w:hint="eastAsia" w:ascii="宋体" w:hAnsi="宋体" w:eastAsia="宋体" w:cs="宋体"/>
          <w:color w:val="auto"/>
          <w:sz w:val="24"/>
          <w:szCs w:val="24"/>
          <w:highlight w:val="none"/>
          <w:u w:val="single"/>
        </w:rPr>
        <w:t xml:space="preserve"> 375 </w:t>
      </w:r>
      <w:r>
        <w:rPr>
          <w:rFonts w:hint="eastAsia" w:ascii="宋体" w:hAnsi="宋体" w:eastAsia="宋体" w:cs="宋体"/>
          <w:color w:val="auto"/>
          <w:sz w:val="24"/>
          <w:szCs w:val="24"/>
          <w:highlight w:val="none"/>
        </w:rPr>
        <w:t>日历天内提交勘察中间成果文件；进场施工之日起</w:t>
      </w:r>
      <w:r>
        <w:rPr>
          <w:rFonts w:hint="eastAsia" w:ascii="宋体" w:hAnsi="宋体" w:eastAsia="宋体" w:cs="宋体"/>
          <w:color w:val="auto"/>
          <w:sz w:val="24"/>
          <w:szCs w:val="24"/>
          <w:highlight w:val="none"/>
          <w:u w:val="single"/>
        </w:rPr>
        <w:t xml:space="preserve">750 </w:t>
      </w:r>
      <w:r>
        <w:rPr>
          <w:rFonts w:hint="eastAsia" w:ascii="宋体" w:hAnsi="宋体" w:eastAsia="宋体" w:cs="宋体"/>
          <w:color w:val="auto"/>
          <w:sz w:val="24"/>
          <w:szCs w:val="24"/>
          <w:highlight w:val="none"/>
        </w:rPr>
        <w:t>日历天内提交最终勘察成果文件。</w:t>
      </w:r>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2.5质量要求：</w:t>
      </w:r>
      <w:r>
        <w:rPr>
          <w:rFonts w:hint="eastAsia" w:ascii="宋体" w:hAnsi="宋体" w:eastAsia="宋体" w:cs="宋体"/>
          <w:color w:val="auto"/>
          <w:sz w:val="24"/>
          <w:szCs w:val="24"/>
          <w:highlight w:val="none"/>
          <w:u w:val="single"/>
        </w:rPr>
        <w:t>真实反映地质情况，符合有关国家质量标准、技术规范及规程并满足设计、施工要求，并通过有关行政主管部门备案。</w:t>
      </w:r>
      <w:r>
        <w:rPr>
          <w:rFonts w:hint="eastAsia" w:ascii="宋体" w:hAnsi="宋体" w:eastAsia="宋体" w:cs="宋体"/>
          <w:color w:val="auto"/>
          <w:sz w:val="24"/>
          <w:szCs w:val="24"/>
          <w:highlight w:val="none"/>
        </w:rPr>
        <w:t xml:space="preserve">                           </w:t>
      </w:r>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2.6标段划分：</w:t>
      </w:r>
      <w:r>
        <w:rPr>
          <w:rFonts w:hint="eastAsia" w:ascii="宋体" w:hAnsi="宋体" w:eastAsia="宋体" w:cs="宋体"/>
          <w:color w:val="auto"/>
          <w:sz w:val="24"/>
          <w:szCs w:val="24"/>
          <w:highlight w:val="none"/>
          <w:u w:val="single"/>
        </w:rPr>
        <w:t>1个标段</w:t>
      </w:r>
      <w:r>
        <w:rPr>
          <w:rFonts w:hint="eastAsia" w:ascii="宋体" w:hAnsi="宋体" w:eastAsia="宋体" w:cs="宋体"/>
          <w:color w:val="auto"/>
          <w:sz w:val="24"/>
          <w:szCs w:val="24"/>
          <w:highlight w:val="none"/>
        </w:rPr>
        <w:t xml:space="preserve">（如有）     </w:t>
      </w:r>
      <w:r>
        <w:rPr>
          <w:rFonts w:hint="eastAsia" w:ascii="宋体" w:hAnsi="宋体" w:eastAsia="宋体" w:cs="宋体"/>
          <w:color w:val="auto"/>
          <w:sz w:val="24"/>
          <w:szCs w:val="24"/>
        </w:rPr>
        <w:t xml:space="preserve">                            </w:t>
      </w:r>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2.7招标范围：</w:t>
      </w:r>
      <w:bookmarkStart w:id="5" w:name="_Toc389065124"/>
      <w:r>
        <w:rPr>
          <w:rFonts w:hint="eastAsia" w:ascii="宋体" w:hAnsi="宋体" w:eastAsia="宋体" w:cs="宋体"/>
          <w:color w:val="auto"/>
          <w:sz w:val="24"/>
          <w:szCs w:val="24"/>
        </w:rPr>
        <w:t>□可行性研究勘察招标  □初步勘察招标  ☑详细勘察招标  □施工勘察招标 □其他：</w:t>
      </w:r>
      <w:r>
        <w:rPr>
          <w:rFonts w:hint="eastAsia" w:ascii="宋体" w:hAnsi="宋体" w:eastAsia="宋体" w:cs="宋体"/>
          <w:color w:val="auto"/>
          <w:sz w:val="24"/>
          <w:szCs w:val="24"/>
          <w:u w:val="single"/>
        </w:rPr>
        <w:t xml:space="preserve">                </w:t>
      </w:r>
    </w:p>
    <w:p>
      <w:pPr>
        <w:pStyle w:val="2"/>
        <w:pageBreakBefore w:val="0"/>
        <w:widowControl w:val="0"/>
        <w:kinsoku/>
        <w:overflowPunct/>
        <w:topLinePunct w:val="0"/>
        <w:autoSpaceDE/>
        <w:autoSpaceDN/>
        <w:bidi w:val="0"/>
        <w:adjustRightInd/>
        <w:snapToGrid/>
        <w:spacing w:before="0" w:after="0" w:line="400" w:lineRule="exact"/>
        <w:ind w:left="0" w:leftChars="0"/>
        <w:textAlignment w:val="auto"/>
        <w:rPr>
          <w:rFonts w:hint="eastAsia" w:ascii="宋体" w:hAnsi="宋体" w:eastAsia="宋体" w:cs="宋体"/>
          <w:color w:val="auto"/>
          <w:sz w:val="24"/>
          <w:szCs w:val="24"/>
        </w:rPr>
      </w:pPr>
      <w:bookmarkStart w:id="6" w:name="_Toc1334232569"/>
      <w:r>
        <w:rPr>
          <w:rFonts w:hint="eastAsia" w:ascii="宋体" w:hAnsi="宋体" w:eastAsia="宋体" w:cs="宋体"/>
          <w:color w:val="auto"/>
          <w:sz w:val="24"/>
          <w:szCs w:val="24"/>
        </w:rPr>
        <w:t>3. 投标人资格要求</w:t>
      </w:r>
      <w:bookmarkEnd w:id="5"/>
      <w:bookmarkEnd w:id="6"/>
    </w:p>
    <w:p>
      <w:pPr>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rPr>
        <w:t>3.1 本次招标要求</w:t>
      </w:r>
      <w:r>
        <w:rPr>
          <w:rFonts w:hint="eastAsia" w:ascii="宋体" w:hAnsi="宋体" w:eastAsia="宋体" w:cs="宋体"/>
          <w:color w:val="auto"/>
          <w:sz w:val="24"/>
          <w:szCs w:val="24"/>
          <w:highlight w:val="none"/>
        </w:rPr>
        <w:t>投标人须已办理“广西建筑市场监管云平台”（以下简称：“桂建云”）入库手续并处于有效状态，具备</w:t>
      </w:r>
      <w:r>
        <w:rPr>
          <w:rFonts w:hint="eastAsia" w:ascii="宋体" w:hAnsi="宋体" w:eastAsia="宋体" w:cs="宋体"/>
          <w:color w:val="auto"/>
          <w:sz w:val="24"/>
          <w:szCs w:val="24"/>
          <w:highlight w:val="none"/>
          <w:u w:val="single"/>
        </w:rPr>
        <w:t>工程勘察专业类（岩土工程勘察）乙级及以上资质或工程勘察综合甲级</w:t>
      </w:r>
      <w:r>
        <w:rPr>
          <w:rFonts w:hint="eastAsia" w:ascii="宋体" w:hAnsi="宋体" w:eastAsia="宋体" w:cs="宋体"/>
          <w:color w:val="auto"/>
          <w:sz w:val="24"/>
          <w:szCs w:val="24"/>
          <w:highlight w:val="none"/>
        </w:rPr>
        <w:t>资质</w:t>
      </w:r>
      <w:r>
        <w:rPr>
          <w:rFonts w:hint="eastAsia" w:ascii="宋体" w:hAnsi="宋体" w:eastAsia="宋体" w:cs="宋体"/>
          <w:b/>
          <w:color w:val="auto"/>
          <w:sz w:val="24"/>
          <w:szCs w:val="24"/>
          <w:highlight w:val="none"/>
        </w:rPr>
        <w:t>【备注：招标人应根据国家法律法规对企业资质等级许可的相关规定以及招标项目特点，合理设置勘察单位资质类别和等级，不得提高资质等级要求】</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并在人员方面具有相应的勘察能力。其中，项目负责人的资格要求：</w:t>
      </w:r>
      <w:r>
        <w:rPr>
          <w:rFonts w:hint="eastAsia" w:ascii="宋体" w:hAnsi="宋体" w:eastAsia="宋体" w:cs="宋体"/>
          <w:color w:val="auto"/>
          <w:sz w:val="24"/>
          <w:szCs w:val="24"/>
          <w:highlight w:val="none"/>
          <w:u w:val="single"/>
        </w:rPr>
        <w:t xml:space="preserve"> 具有注册土木工程师（岩土）执业资格，且具备工程类高级工程师或以上职称 </w:t>
      </w:r>
      <w:r>
        <w:rPr>
          <w:rFonts w:hint="eastAsia" w:ascii="宋体" w:hAnsi="宋体" w:eastAsia="宋体" w:cs="宋体"/>
          <w:color w:val="auto"/>
          <w:sz w:val="24"/>
          <w:szCs w:val="24"/>
          <w:highlight w:val="none"/>
        </w:rPr>
        <w:t>，且已录入 “桂建云”并处于有效状态。</w:t>
      </w:r>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 业绩要求：☑无要求  □有要求：近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年内（</w:t>
      </w:r>
      <w:r>
        <w:rPr>
          <w:rFonts w:hint="eastAsia" w:ascii="宋体" w:hAnsi="宋体" w:eastAsia="宋体" w:cs="宋体"/>
          <w:color w:val="auto"/>
          <w:sz w:val="24"/>
          <w:szCs w:val="24"/>
          <w:highlight w:val="none"/>
          <w:u w:val="single"/>
        </w:rPr>
        <w:t xml:space="preserve">    年  月  日至投标截止日前</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个质量合格的类似工程勘察业绩，类似业绩指：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（一般指功能、规模、项目类型等相近，由招标人指定何种因素相近。已完成项目以施工图审查合格报告书为准，在建项目以勘察合同或中标通知书为准）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【备注：时间的限定一般按近三年】</w:t>
      </w:r>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color w:val="auto"/>
          <w:sz w:val="24"/>
          <w:szCs w:val="24"/>
          <w:lang w:val="en"/>
        </w:rPr>
      </w:pPr>
      <w:r>
        <w:rPr>
          <w:rFonts w:hint="eastAsia" w:ascii="宋体" w:hAnsi="宋体" w:eastAsia="宋体" w:cs="宋体"/>
          <w:color w:val="auto"/>
          <w:sz w:val="24"/>
          <w:szCs w:val="24"/>
          <w:highlight w:val="none"/>
        </w:rPr>
        <w:t>3.3本次招标</w:t>
      </w:r>
      <w:r>
        <w:rPr>
          <w:rFonts w:hint="eastAsia" w:ascii="宋体" w:hAnsi="宋体" w:eastAsia="宋体" w:cs="宋体"/>
          <w:color w:val="auto"/>
          <w:sz w:val="24"/>
          <w:szCs w:val="24"/>
          <w:highlight w:val="none"/>
          <w:u w:val="single"/>
        </w:rPr>
        <w:t>不接受</w:t>
      </w:r>
      <w:r>
        <w:rPr>
          <w:rFonts w:hint="eastAsia" w:ascii="宋体" w:hAnsi="宋体" w:eastAsia="宋体" w:cs="宋体"/>
          <w:color w:val="auto"/>
          <w:sz w:val="24"/>
          <w:szCs w:val="24"/>
          <w:highlight w:val="none"/>
        </w:rPr>
        <w:t>（接</w:t>
      </w:r>
      <w:r>
        <w:rPr>
          <w:rFonts w:hint="eastAsia" w:ascii="宋体" w:hAnsi="宋体" w:eastAsia="宋体" w:cs="宋体"/>
          <w:color w:val="auto"/>
          <w:sz w:val="24"/>
          <w:szCs w:val="24"/>
        </w:rPr>
        <w:t>受或不接受）联合体投标。联合体投标的，应满足下列要求：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b/>
          <w:color w:val="auto"/>
          <w:sz w:val="24"/>
          <w:szCs w:val="24"/>
        </w:rPr>
        <w:t>【备注：联合体参与投标的，联合体各方应当签订联合体协议书，其中联合体牵头人代表联合体各方成员负责投标和合同实施阶段的主办、协调工作，但联合体其他成员在投标、签约与履行合同过程中，负有连带的和各自的法律责任。联合体的信誉实力分按联合体牵头人的企业认定。联合体各方均应符合“具有独立法人资格”、“具有独立承担民事责任的能力”的条件。组成联合体进行投标的成员单位不得再以自己的名义单独参与同一项目（或标段）的投标，也不得组成新的联合体参与同一项目（或标段）的投标。】</w:t>
      </w:r>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 投标人信息以“桂建云”系统上的信息为准。</w:t>
      </w:r>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 □本项目不属于</w:t>
      </w:r>
      <w:r>
        <w:rPr>
          <w:rFonts w:hint="eastAsia" w:ascii="宋体" w:hAnsi="宋体" w:eastAsia="宋体" w:cs="宋体"/>
          <w:color w:val="auto"/>
          <w:sz w:val="24"/>
          <w:szCs w:val="24"/>
          <w:lang w:val="en"/>
        </w:rPr>
        <w:t>政府采购服务</w:t>
      </w:r>
      <w:r>
        <w:rPr>
          <w:rFonts w:hint="eastAsia" w:ascii="宋体" w:hAnsi="宋体" w:eastAsia="宋体" w:cs="宋体"/>
          <w:color w:val="auto"/>
          <w:sz w:val="24"/>
          <w:szCs w:val="24"/>
        </w:rPr>
        <w:t>项目。</w:t>
      </w:r>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本项目属于</w:t>
      </w:r>
      <w:r>
        <w:rPr>
          <w:rFonts w:hint="eastAsia" w:ascii="宋体" w:hAnsi="宋体" w:eastAsia="宋体" w:cs="宋体"/>
          <w:color w:val="auto"/>
          <w:sz w:val="24"/>
          <w:szCs w:val="24"/>
          <w:lang w:val="en"/>
        </w:rPr>
        <w:t>政府采购服务</w:t>
      </w:r>
      <w:r>
        <w:rPr>
          <w:rFonts w:hint="eastAsia" w:ascii="宋体" w:hAnsi="宋体" w:eastAsia="宋体" w:cs="宋体"/>
          <w:color w:val="auto"/>
          <w:sz w:val="24"/>
          <w:szCs w:val="24"/>
        </w:rPr>
        <w:t>项目：</w:t>
      </w:r>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标段为未预留份额专门面向中小企业采购的项目，落实政府采购政策需满足的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资格要求：无。</w:t>
      </w:r>
    </w:p>
    <w:p>
      <w:pPr>
        <w:pageBreakBefore w:val="0"/>
        <w:widowControl w:val="0"/>
        <w:kinsoku/>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标段为预留份额专门面向中小企业采购的项目，落实政府采购政策需满足的资格要求：投标人必须为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（中小微/小微）企业、监狱企业或者残疾人福利性单位，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（大型/大中型）企业不得参加。</w:t>
      </w:r>
    </w:p>
    <w:p>
      <w:pPr>
        <w:pStyle w:val="2"/>
        <w:pageBreakBefore w:val="0"/>
        <w:widowControl w:val="0"/>
        <w:kinsoku/>
        <w:overflowPunct/>
        <w:topLinePunct w:val="0"/>
        <w:autoSpaceDE/>
        <w:autoSpaceDN/>
        <w:bidi w:val="0"/>
        <w:adjustRightInd/>
        <w:snapToGrid/>
        <w:spacing w:before="0" w:after="0" w:line="400" w:lineRule="exact"/>
        <w:ind w:left="0" w:leftChars="0"/>
        <w:textAlignment w:val="auto"/>
        <w:rPr>
          <w:rFonts w:hint="eastAsia" w:ascii="宋体" w:hAnsi="宋体" w:eastAsia="宋体" w:cs="宋体"/>
          <w:color w:val="auto"/>
          <w:sz w:val="24"/>
          <w:szCs w:val="24"/>
          <w:u w:val="single"/>
        </w:rPr>
      </w:pPr>
      <w:bookmarkStart w:id="7" w:name="_Toc1813788911"/>
      <w:r>
        <w:rPr>
          <w:rFonts w:hint="eastAsia" w:ascii="宋体" w:hAnsi="宋体" w:eastAsia="宋体" w:cs="宋体"/>
          <w:color w:val="auto"/>
          <w:sz w:val="24"/>
          <w:szCs w:val="24"/>
        </w:rPr>
        <w:t>4.</w:t>
      </w:r>
      <w:bookmarkStart w:id="8" w:name="_Toc389065126"/>
      <w:r>
        <w:rPr>
          <w:rFonts w:hint="eastAsia" w:ascii="宋体" w:hAnsi="宋体" w:eastAsia="宋体" w:cs="宋体"/>
          <w:color w:val="auto"/>
          <w:sz w:val="24"/>
          <w:szCs w:val="24"/>
        </w:rPr>
        <w:t>招标文件的获取</w:t>
      </w:r>
      <w:bookmarkEnd w:id="7"/>
      <w:bookmarkEnd w:id="8"/>
    </w:p>
    <w:p>
      <w:pPr>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4.1 凡有意参加投标者，</w:t>
      </w:r>
      <w:r>
        <w:rPr>
          <w:rFonts w:hint="eastAsia" w:ascii="宋体" w:hAnsi="宋体" w:eastAsia="宋体" w:cs="宋体"/>
          <w:color w:val="auto"/>
          <w:sz w:val="24"/>
          <w:szCs w:val="24"/>
          <w:highlight w:val="none"/>
          <w:u w:val="single"/>
        </w:rPr>
        <w:t xml:space="preserve">2022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 xml:space="preserve">时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分至投标文件递交的截止时间止（不少于20日），由潜在投标人登录</w:t>
      </w:r>
      <w:r>
        <w:rPr>
          <w:rFonts w:hint="eastAsia" w:ascii="宋体" w:hAnsi="宋体" w:eastAsia="宋体" w:cs="宋体"/>
          <w:color w:val="auto"/>
          <w:sz w:val="24"/>
          <w:szCs w:val="24"/>
          <w:highlight w:val="none"/>
          <w:u w:val="single"/>
        </w:rPr>
        <w:t xml:space="preserve"> 全国公共资源交易平台（广西•南宁）（http://ggzy.jgswj.gxzf.gov.cn/nnggzy/）</w:t>
      </w:r>
      <w:r>
        <w:rPr>
          <w:rFonts w:hint="eastAsia" w:ascii="宋体" w:hAnsi="宋体" w:eastAsia="宋体" w:cs="宋体"/>
          <w:color w:val="auto"/>
          <w:sz w:val="24"/>
          <w:szCs w:val="24"/>
          <w:highlight w:val="none"/>
        </w:rPr>
        <w:t>免费下载招标文件。</w:t>
      </w:r>
    </w:p>
    <w:p>
      <w:pPr>
        <w:pStyle w:val="2"/>
        <w:pageBreakBefore w:val="0"/>
        <w:widowControl w:val="0"/>
        <w:kinsoku/>
        <w:overflowPunct/>
        <w:topLinePunct w:val="0"/>
        <w:autoSpaceDE/>
        <w:autoSpaceDN/>
        <w:bidi w:val="0"/>
        <w:adjustRightInd/>
        <w:snapToGrid/>
        <w:spacing w:before="0" w:after="0" w:line="400" w:lineRule="exact"/>
        <w:ind w:left="0" w:leftChars="0"/>
        <w:textAlignment w:val="auto"/>
        <w:rPr>
          <w:rFonts w:hint="eastAsia" w:ascii="宋体" w:hAnsi="宋体" w:eastAsia="宋体" w:cs="宋体"/>
          <w:color w:val="auto"/>
          <w:sz w:val="24"/>
          <w:szCs w:val="24"/>
          <w:highlight w:val="none"/>
        </w:rPr>
      </w:pPr>
      <w:bookmarkStart w:id="9" w:name="_Toc389065127"/>
      <w:bookmarkStart w:id="10" w:name="_Toc1282411660"/>
      <w:r>
        <w:rPr>
          <w:rFonts w:hint="eastAsia" w:ascii="宋体" w:hAnsi="宋体" w:eastAsia="宋体" w:cs="宋体"/>
          <w:color w:val="auto"/>
          <w:sz w:val="24"/>
          <w:szCs w:val="24"/>
          <w:highlight w:val="none"/>
        </w:rPr>
        <w:t>5. 投标文件的递交</w:t>
      </w:r>
      <w:bookmarkEnd w:id="9"/>
      <w:r>
        <w:rPr>
          <w:rFonts w:hint="eastAsia" w:ascii="宋体" w:hAnsi="宋体" w:eastAsia="宋体" w:cs="宋体"/>
          <w:color w:val="auto"/>
          <w:sz w:val="24"/>
          <w:szCs w:val="24"/>
          <w:highlight w:val="none"/>
          <w:lang w:val="en"/>
        </w:rPr>
        <w:t>及不见面开标说明</w:t>
      </w:r>
      <w:bookmarkEnd w:id="10"/>
    </w:p>
    <w:p>
      <w:pPr>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投标文件应通过全国公共资源交易平台(广西.南宁)（http://ggzy.jgswj.gx</w:t>
      </w:r>
      <w:bookmarkStart w:id="20" w:name="_GoBack"/>
      <w:bookmarkEnd w:id="20"/>
      <w:r>
        <w:rPr>
          <w:rFonts w:hint="eastAsia" w:ascii="宋体" w:hAnsi="宋体" w:eastAsia="宋体" w:cs="宋体"/>
          <w:color w:val="auto"/>
          <w:sz w:val="24"/>
          <w:szCs w:val="24"/>
          <w:highlight w:val="none"/>
        </w:rPr>
        <w:t xml:space="preserve">zf.gov.cn/nnggzy/）提交，截止时间（投标截止时间，下同）为 </w:t>
      </w:r>
      <w:r>
        <w:rPr>
          <w:rFonts w:hint="eastAsia" w:ascii="宋体" w:hAnsi="宋体" w:eastAsia="宋体" w:cs="宋体"/>
          <w:color w:val="auto"/>
          <w:sz w:val="24"/>
          <w:szCs w:val="24"/>
          <w:highlight w:val="none"/>
          <w:u w:val="single"/>
        </w:rPr>
        <w:t xml:space="preserve">2022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时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pPr>
        <w:pageBreakBefore w:val="0"/>
        <w:widowControl w:val="0"/>
        <w:kinsoku/>
        <w:wordWrap w:val="0"/>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5.2投标人在投标截止前登陆全国公共资源交易平台(广西.南宁)（http://ggzy.jgswj.gxzf.gov.</w:t>
      </w:r>
      <w:r>
        <w:rPr>
          <w:rFonts w:hint="eastAsia" w:ascii="宋体" w:hAnsi="宋体" w:eastAsia="宋体" w:cs="宋体"/>
          <w:color w:val="auto"/>
          <w:sz w:val="24"/>
          <w:szCs w:val="24"/>
        </w:rPr>
        <w:t>cn/nnggzy/）网站上传加密的电子投标文件，参加现场开标的投标人代表必须携带身份证原件和加盖公章的复印件（法定代表人参加现场开标会时，只需提供法定代表人身份证明及法定代表人身份证原件），并携带生成投标文件时所使用的企业CA锁参加开标，现场对电子投标文件进行解密。或由企业投标人代表通过CA锁登录广西壮族自治区网上开标子系统，输入身份证号签到，使用生成投标文件的CA锁对电子投标文件进行解密。没有按时进入现场或网上开标室则视为自动放弃投标。由于投标人原因造成投标文件不能解密评审的后果由投标人自行承担。</w:t>
      </w:r>
    </w:p>
    <w:p>
      <w:pPr>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5.3广西壮族自治区网上开标子系统（不见面）登录方式：各投标人使用IE浏览器（IE11版本）打开登录页面（登录地址：</w:t>
      </w:r>
      <w:r>
        <w:rPr>
          <w:rFonts w:hint="eastAsia" w:ascii="宋体" w:hAnsi="宋体" w:eastAsia="宋体" w:cs="宋体"/>
          <w:color w:val="auto"/>
          <w:sz w:val="24"/>
          <w:szCs w:val="24"/>
          <w:u w:val="single"/>
        </w:rPr>
        <w:t>http://117.141.152.153:9080/BidOpening/</w:t>
      </w:r>
      <w:r>
        <w:rPr>
          <w:rFonts w:hint="eastAsia" w:ascii="宋体" w:hAnsi="宋体" w:eastAsia="宋体" w:cs="宋体"/>
          <w:color w:val="auto"/>
          <w:sz w:val="24"/>
          <w:szCs w:val="24"/>
        </w:rPr>
        <w:t>），使用CA锁或“桂交易移动CA”登录。使用“桂交易移动CA”投标的操作流程，详见http://ggzy.jgswj.gxzf.gov.cn/gxggzy/gywm/004021/004021001/20211123/185f3a63-1ec6-4c75-a0c9-4aeedfdacda9.html</w:t>
      </w:r>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 以“桂交易移动CA”制作的投标文件，只能用生成投标文件时加密投标文件的“桂交易移动CA”证书解密，以CA锁制作的投标文件，只能用生成投标文件时加密投标文件CA证书解密。</w:t>
      </w:r>
    </w:p>
    <w:p>
      <w:pPr>
        <w:pStyle w:val="2"/>
        <w:pageBreakBefore w:val="0"/>
        <w:widowControl w:val="0"/>
        <w:kinsoku/>
        <w:overflowPunct/>
        <w:topLinePunct w:val="0"/>
        <w:autoSpaceDE/>
        <w:autoSpaceDN/>
        <w:bidi w:val="0"/>
        <w:adjustRightInd/>
        <w:snapToGrid/>
        <w:spacing w:before="0" w:after="0" w:line="400" w:lineRule="exact"/>
        <w:ind w:left="0" w:leftChars="0"/>
        <w:textAlignment w:val="auto"/>
        <w:rPr>
          <w:rFonts w:hint="eastAsia" w:ascii="宋体" w:hAnsi="宋体" w:eastAsia="宋体" w:cs="宋体"/>
          <w:color w:val="auto"/>
          <w:sz w:val="24"/>
          <w:szCs w:val="24"/>
        </w:rPr>
      </w:pPr>
      <w:bookmarkStart w:id="11" w:name="_Toc389065128"/>
      <w:bookmarkStart w:id="12" w:name="_Toc1471704207"/>
      <w:r>
        <w:rPr>
          <w:rFonts w:hint="eastAsia" w:ascii="宋体" w:hAnsi="宋体" w:eastAsia="宋体" w:cs="宋体"/>
          <w:color w:val="auto"/>
          <w:sz w:val="24"/>
          <w:szCs w:val="24"/>
        </w:rPr>
        <w:t>6. 评标方式</w:t>
      </w:r>
      <w:bookmarkEnd w:id="11"/>
      <w:bookmarkEnd w:id="12"/>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☑综合评估法</w:t>
      </w:r>
    </w:p>
    <w:p>
      <w:pPr>
        <w:pStyle w:val="2"/>
        <w:pageBreakBefore w:val="0"/>
        <w:widowControl w:val="0"/>
        <w:kinsoku/>
        <w:overflowPunct/>
        <w:topLinePunct w:val="0"/>
        <w:autoSpaceDE/>
        <w:autoSpaceDN/>
        <w:bidi w:val="0"/>
        <w:adjustRightInd/>
        <w:snapToGrid/>
        <w:spacing w:before="0" w:after="0" w:line="400" w:lineRule="exact"/>
        <w:ind w:left="0" w:leftChars="0"/>
        <w:textAlignment w:val="auto"/>
        <w:rPr>
          <w:rFonts w:hint="eastAsia" w:ascii="宋体" w:hAnsi="宋体" w:eastAsia="宋体" w:cs="宋体"/>
          <w:color w:val="auto"/>
          <w:sz w:val="24"/>
          <w:szCs w:val="24"/>
          <w:highlight w:val="none"/>
        </w:rPr>
      </w:pPr>
      <w:bookmarkStart w:id="13" w:name="_Toc2145565347"/>
      <w:bookmarkStart w:id="14" w:name="_Toc389065130"/>
      <w:r>
        <w:rPr>
          <w:rFonts w:hint="eastAsia" w:ascii="宋体" w:hAnsi="宋体" w:eastAsia="宋体" w:cs="宋体"/>
          <w:color w:val="auto"/>
          <w:sz w:val="24"/>
          <w:szCs w:val="24"/>
          <w:highlight w:val="none"/>
        </w:rPr>
        <w:t>7 发布公告的媒介</w:t>
      </w:r>
      <w:bookmarkEnd w:id="13"/>
      <w:bookmarkEnd w:id="14"/>
    </w:p>
    <w:p>
      <w:pPr>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本次招标公告同时在</w:t>
      </w:r>
      <w:r>
        <w:rPr>
          <w:rFonts w:hint="eastAsia" w:ascii="宋体" w:hAnsi="宋体" w:eastAsia="宋体" w:cs="宋体"/>
          <w:color w:val="auto"/>
          <w:sz w:val="24"/>
          <w:szCs w:val="24"/>
          <w:highlight w:val="none"/>
          <w:lang w:val="zh-CN"/>
        </w:rPr>
        <w:t>中国招标投标公共服务平台</w:t>
      </w:r>
      <w:r>
        <w:rPr>
          <w:rFonts w:hint="eastAsia" w:ascii="宋体" w:hAnsi="宋体" w:eastAsia="宋体" w:cs="宋体"/>
          <w:color w:val="auto"/>
          <w:sz w:val="24"/>
          <w:szCs w:val="24"/>
          <w:highlight w:val="none"/>
        </w:rPr>
        <w:t>（http://www.cebpubservice.com）</w:t>
      </w:r>
      <w:r>
        <w:rPr>
          <w:rFonts w:hint="eastAsia" w:ascii="宋体" w:hAnsi="宋体" w:eastAsia="宋体" w:cs="宋体"/>
          <w:color w:val="auto"/>
          <w:sz w:val="24"/>
          <w:szCs w:val="24"/>
          <w:highlight w:val="none"/>
          <w:lang w:val="zh-CN"/>
        </w:rPr>
        <w:t>、广西壮族自治区招标投标公共服务平台</w:t>
      </w:r>
      <w:r>
        <w:rPr>
          <w:rFonts w:hint="eastAsia" w:ascii="宋体" w:hAnsi="宋体" w:eastAsia="宋体" w:cs="宋体"/>
          <w:color w:val="auto"/>
          <w:sz w:val="24"/>
          <w:szCs w:val="24"/>
          <w:highlight w:val="none"/>
        </w:rPr>
        <w:t>（http://zbtb.gxi.gov.cn:9000//）</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全国公共资源交易平台(广西.南宁)（http://ggzy.jgswj.gxzf.gov.cn/nnggzy/）、广西建设网（www.gxcic.net）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中国政府采购网（www.ccgp.gov.cn）、广西壮族自治区政府采购网（http://zfcg.gxzf.gov.cn/）发布。</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备注：实行招标投标的</w:t>
      </w:r>
      <w:r>
        <w:rPr>
          <w:rFonts w:hint="eastAsia" w:ascii="宋体" w:hAnsi="宋体" w:eastAsia="宋体" w:cs="宋体"/>
          <w:b/>
          <w:color w:val="auto"/>
          <w:sz w:val="24"/>
          <w:szCs w:val="24"/>
          <w:highlight w:val="none"/>
          <w:lang w:val="en"/>
        </w:rPr>
        <w:t>政府采购服务</w:t>
      </w:r>
      <w:r>
        <w:rPr>
          <w:rFonts w:hint="eastAsia" w:ascii="宋体" w:hAnsi="宋体" w:eastAsia="宋体" w:cs="宋体"/>
          <w:b/>
          <w:color w:val="auto"/>
          <w:sz w:val="24"/>
          <w:szCs w:val="24"/>
          <w:highlight w:val="none"/>
        </w:rPr>
        <w:t>项目还应当同时在中国政府采购网www.ccgp.gov.cn、广西壮族自治区政府采购网zfcg.gxzf.gov.cn上发布。】</w:t>
      </w:r>
    </w:p>
    <w:p>
      <w:pPr>
        <w:pStyle w:val="2"/>
        <w:pageBreakBefore w:val="0"/>
        <w:widowControl w:val="0"/>
        <w:kinsoku/>
        <w:overflowPunct/>
        <w:topLinePunct w:val="0"/>
        <w:autoSpaceDE/>
        <w:autoSpaceDN/>
        <w:bidi w:val="0"/>
        <w:adjustRightInd/>
        <w:snapToGrid/>
        <w:spacing w:before="0" w:after="0" w:line="400" w:lineRule="exact"/>
        <w:ind w:left="0" w:leftChars="0"/>
        <w:textAlignment w:val="auto"/>
        <w:rPr>
          <w:rFonts w:hint="eastAsia" w:ascii="宋体" w:hAnsi="宋体" w:eastAsia="宋体" w:cs="宋体"/>
          <w:color w:val="auto"/>
          <w:sz w:val="24"/>
          <w:szCs w:val="24"/>
          <w:highlight w:val="none"/>
        </w:rPr>
      </w:pPr>
      <w:bookmarkStart w:id="15" w:name="_Toc1965730484"/>
      <w:r>
        <w:rPr>
          <w:rFonts w:hint="eastAsia" w:ascii="宋体" w:hAnsi="宋体" w:eastAsia="宋体" w:cs="宋体"/>
          <w:color w:val="auto"/>
          <w:sz w:val="24"/>
          <w:szCs w:val="24"/>
          <w:highlight w:val="none"/>
        </w:rPr>
        <w:t>8. 交易服务单位</w:t>
      </w:r>
      <w:bookmarkEnd w:id="15"/>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南宁市公共资源交易中心  </w:t>
      </w:r>
    </w:p>
    <w:p>
      <w:pPr>
        <w:pStyle w:val="2"/>
        <w:pageBreakBefore w:val="0"/>
        <w:widowControl w:val="0"/>
        <w:kinsoku/>
        <w:overflowPunct/>
        <w:topLinePunct w:val="0"/>
        <w:autoSpaceDE/>
        <w:autoSpaceDN/>
        <w:bidi w:val="0"/>
        <w:adjustRightInd/>
        <w:snapToGrid/>
        <w:spacing w:before="0" w:after="0" w:line="400" w:lineRule="exact"/>
        <w:ind w:left="0" w:leftChars="0"/>
        <w:textAlignment w:val="auto"/>
        <w:rPr>
          <w:rFonts w:hint="eastAsia" w:ascii="宋体" w:hAnsi="宋体" w:eastAsia="宋体" w:cs="宋体"/>
          <w:color w:val="auto"/>
          <w:sz w:val="24"/>
          <w:szCs w:val="24"/>
          <w:highlight w:val="none"/>
        </w:rPr>
      </w:pPr>
      <w:bookmarkStart w:id="16" w:name="_Toc681741887"/>
      <w:r>
        <w:rPr>
          <w:rFonts w:hint="eastAsia" w:ascii="宋体" w:hAnsi="宋体" w:eastAsia="宋体" w:cs="宋体"/>
          <w:color w:val="auto"/>
          <w:sz w:val="24"/>
          <w:szCs w:val="24"/>
          <w:highlight w:val="none"/>
        </w:rPr>
        <w:t>9. 监督部门及电话</w:t>
      </w:r>
      <w:bookmarkEnd w:id="16"/>
    </w:p>
    <w:p>
      <w:pPr>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宾阳县建筑工程招标投标站 （监督电话：0771-8256703）</w:t>
      </w:r>
    </w:p>
    <w:p>
      <w:pPr>
        <w:pStyle w:val="2"/>
        <w:pageBreakBefore w:val="0"/>
        <w:widowControl w:val="0"/>
        <w:kinsoku/>
        <w:overflowPunct/>
        <w:topLinePunct w:val="0"/>
        <w:autoSpaceDE/>
        <w:autoSpaceDN/>
        <w:bidi w:val="0"/>
        <w:adjustRightInd/>
        <w:snapToGrid/>
        <w:spacing w:before="0" w:after="0" w:line="400" w:lineRule="exact"/>
        <w:ind w:left="0" w:leftChars="0"/>
        <w:textAlignment w:val="auto"/>
        <w:rPr>
          <w:rFonts w:hint="eastAsia" w:ascii="宋体" w:hAnsi="宋体" w:eastAsia="宋体" w:cs="宋体"/>
          <w:color w:val="auto"/>
          <w:sz w:val="24"/>
          <w:szCs w:val="24"/>
          <w:highlight w:val="none"/>
        </w:rPr>
      </w:pPr>
      <w:bookmarkStart w:id="17" w:name="_Toc2124247020"/>
      <w:r>
        <w:rPr>
          <w:rFonts w:hint="eastAsia" w:ascii="宋体" w:hAnsi="宋体" w:eastAsia="宋体" w:cs="宋体"/>
          <w:color w:val="auto"/>
          <w:sz w:val="24"/>
          <w:szCs w:val="24"/>
          <w:highlight w:val="none"/>
        </w:rPr>
        <w:t>10.注意事项</w:t>
      </w:r>
      <w:bookmarkEnd w:id="17"/>
    </w:p>
    <w:p>
      <w:pPr>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潜在投标人必须录入“桂建云”系统，“桂建云”系统登陆地址：http://gxjzsc.caihcloud.com/。由于“桂建云”系统与全国公共资源交易平台(广西.南宁)（http://ggzy.jgswj.gxzf.gov.cn/nnggzy/）的相关信息同步存在时间差（非实时同步，每天晚上同步一次）投标人应自行预留足够的时间将所需投标材料上传至“桂建云”，若因投标人原因未能同步的，后果自行负责。</w:t>
      </w:r>
    </w:p>
    <w:p>
      <w:pPr>
        <w:pStyle w:val="2"/>
        <w:pageBreakBefore w:val="0"/>
        <w:widowControl w:val="0"/>
        <w:kinsoku/>
        <w:overflowPunct/>
        <w:topLinePunct w:val="0"/>
        <w:autoSpaceDE/>
        <w:autoSpaceDN/>
        <w:bidi w:val="0"/>
        <w:adjustRightInd/>
        <w:snapToGrid/>
        <w:spacing w:before="0" w:after="0" w:line="400" w:lineRule="exact"/>
        <w:ind w:left="0" w:leftChars="0"/>
        <w:textAlignment w:val="auto"/>
        <w:rPr>
          <w:rFonts w:hint="eastAsia" w:ascii="宋体" w:hAnsi="宋体" w:eastAsia="宋体" w:cs="宋体"/>
          <w:color w:val="auto"/>
          <w:sz w:val="24"/>
          <w:szCs w:val="24"/>
          <w:highlight w:val="none"/>
        </w:rPr>
      </w:pPr>
      <w:bookmarkStart w:id="18" w:name="_Toc389065131"/>
      <w:bookmarkStart w:id="19" w:name="_Toc2094374639"/>
      <w:r>
        <w:rPr>
          <w:rFonts w:hint="eastAsia" w:ascii="宋体" w:hAnsi="宋体" w:eastAsia="宋体" w:cs="宋体"/>
          <w:color w:val="auto"/>
          <w:sz w:val="24"/>
          <w:szCs w:val="24"/>
          <w:highlight w:val="none"/>
        </w:rPr>
        <w:t>11. 联系方式</w:t>
      </w:r>
      <w:bookmarkEnd w:id="18"/>
      <w:bookmarkEnd w:id="19"/>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09"/>
        <w:gridCol w:w="705"/>
        <w:gridCol w:w="4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400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r>
              <w:rPr>
                <w:rFonts w:hint="eastAsia" w:ascii="宋体" w:hAnsi="宋体" w:eastAsia="宋体" w:cs="宋体"/>
                <w:color w:val="auto"/>
                <w:sz w:val="24"/>
                <w:szCs w:val="24"/>
                <w:highlight w:val="none"/>
                <w:u w:val="none"/>
              </w:rPr>
              <w:t>招 标 人： 宾阳县教育局</w:t>
            </w:r>
          </w:p>
        </w:tc>
        <w:tc>
          <w:tcPr>
            <w:tcW w:w="70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p>
        </w:tc>
        <w:tc>
          <w:tcPr>
            <w:tcW w:w="4542" w:type="dxa"/>
            <w:tcBorders>
              <w:tl2br w:val="nil"/>
              <w:tr2bl w:val="nil"/>
            </w:tcBorders>
            <w:vAlign w:val="top"/>
          </w:tcPr>
          <w:p>
            <w:pPr>
              <w:keepNext w:val="0"/>
              <w:keepLines w:val="0"/>
              <w:pageBreakBefore w:val="0"/>
              <w:widowControl w:val="0"/>
              <w:tabs>
                <w:tab w:val="left" w:pos="210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u w:val="none"/>
                <w:vertAlign w:val="baseline"/>
              </w:rPr>
            </w:pPr>
            <w:r>
              <w:rPr>
                <w:rFonts w:hint="eastAsia" w:ascii="宋体" w:hAnsi="宋体" w:eastAsia="宋体" w:cs="宋体"/>
                <w:color w:val="auto"/>
                <w:sz w:val="24"/>
                <w:szCs w:val="24"/>
                <w:highlight w:val="none"/>
                <w:u w:val="none"/>
              </w:rPr>
              <w:t xml:space="preserve">招标代理机构： </w:t>
            </w:r>
            <w:r>
              <w:rPr>
                <w:rFonts w:hint="eastAsia"/>
                <w:sz w:val="21"/>
                <w:szCs w:val="21"/>
                <w:highlight w:val="none"/>
                <w:u w:val="none"/>
              </w:rPr>
              <w:t>宾阳中信恒泰工程咨询有限公司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r>
              <w:rPr>
                <w:rFonts w:hint="eastAsia" w:ascii="宋体" w:hAnsi="宋体" w:eastAsia="宋体" w:cs="宋体"/>
                <w:color w:val="auto"/>
                <w:sz w:val="24"/>
                <w:szCs w:val="24"/>
                <w:highlight w:val="none"/>
                <w:u w:val="none"/>
              </w:rPr>
              <w:t>地    址： 宾阳县宾州镇财政路青少年活动中心五楼</w:t>
            </w:r>
          </w:p>
        </w:tc>
        <w:tc>
          <w:tcPr>
            <w:tcW w:w="70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p>
        </w:tc>
        <w:tc>
          <w:tcPr>
            <w:tcW w:w="454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r>
              <w:rPr>
                <w:rFonts w:hint="eastAsia" w:ascii="宋体" w:hAnsi="宋体" w:eastAsia="宋体" w:cs="宋体"/>
                <w:color w:val="auto"/>
                <w:sz w:val="24"/>
                <w:szCs w:val="24"/>
                <w:highlight w:val="none"/>
                <w:u w:val="none"/>
              </w:rPr>
              <w:t>地    址：  宾阳县宾州镇财政路片区14号宗地都市花园5号联排综合住宅楼15号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r>
              <w:rPr>
                <w:rFonts w:hint="eastAsia" w:ascii="宋体" w:hAnsi="宋体" w:eastAsia="宋体" w:cs="宋体"/>
                <w:color w:val="auto"/>
                <w:sz w:val="24"/>
                <w:szCs w:val="24"/>
                <w:highlight w:val="none"/>
                <w:u w:val="none"/>
              </w:rPr>
              <w:t xml:space="preserve">邮    编： 530499                </w:t>
            </w:r>
          </w:p>
        </w:tc>
        <w:tc>
          <w:tcPr>
            <w:tcW w:w="70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p>
        </w:tc>
        <w:tc>
          <w:tcPr>
            <w:tcW w:w="454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邮    编： 530400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r>
              <w:rPr>
                <w:rFonts w:hint="eastAsia" w:ascii="宋体" w:hAnsi="宋体" w:eastAsia="宋体" w:cs="宋体"/>
                <w:color w:val="auto"/>
                <w:sz w:val="24"/>
                <w:szCs w:val="24"/>
                <w:highlight w:val="none"/>
                <w:u w:val="none"/>
              </w:rPr>
              <w:t>联 系 人： 蒙</w:t>
            </w:r>
            <w:r>
              <w:rPr>
                <w:rFonts w:hint="eastAsia" w:ascii="宋体" w:hAnsi="宋体" w:cs="宋体"/>
                <w:color w:val="auto"/>
                <w:sz w:val="24"/>
                <w:szCs w:val="24"/>
                <w:highlight w:val="none"/>
                <w:u w:val="none"/>
                <w:lang w:eastAsia="zh-CN"/>
              </w:rPr>
              <w:t>老师</w:t>
            </w:r>
            <w:r>
              <w:rPr>
                <w:rFonts w:hint="eastAsia" w:ascii="宋体" w:hAnsi="宋体" w:eastAsia="宋体" w:cs="宋体"/>
                <w:color w:val="auto"/>
                <w:sz w:val="24"/>
                <w:szCs w:val="24"/>
                <w:highlight w:val="none"/>
                <w:u w:val="none"/>
              </w:rPr>
              <w:tab/>
            </w:r>
            <w:r>
              <w:rPr>
                <w:rFonts w:hint="eastAsia" w:ascii="宋体" w:hAnsi="宋体" w:eastAsia="宋体" w:cs="宋体"/>
                <w:color w:val="auto"/>
                <w:sz w:val="24"/>
                <w:szCs w:val="24"/>
                <w:highlight w:val="none"/>
                <w:u w:val="none"/>
              </w:rPr>
              <w:t xml:space="preserve">  </w:t>
            </w:r>
          </w:p>
        </w:tc>
        <w:tc>
          <w:tcPr>
            <w:tcW w:w="70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p>
        </w:tc>
        <w:tc>
          <w:tcPr>
            <w:tcW w:w="454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r>
              <w:rPr>
                <w:rFonts w:hint="eastAsia" w:ascii="宋体" w:hAnsi="宋体" w:eastAsia="宋体" w:cs="宋体"/>
                <w:color w:val="auto"/>
                <w:sz w:val="24"/>
                <w:szCs w:val="24"/>
                <w:highlight w:val="none"/>
                <w:u w:val="none"/>
              </w:rPr>
              <w:t xml:space="preserve">联 系 人：  覃莹莹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r>
              <w:rPr>
                <w:rFonts w:hint="eastAsia" w:ascii="宋体" w:hAnsi="宋体" w:eastAsia="宋体" w:cs="宋体"/>
                <w:color w:val="auto"/>
                <w:sz w:val="24"/>
                <w:szCs w:val="24"/>
                <w:highlight w:val="none"/>
                <w:u w:val="none"/>
              </w:rPr>
              <w:t xml:space="preserve">电    话： 0771-8228961 </w:t>
            </w:r>
          </w:p>
        </w:tc>
        <w:tc>
          <w:tcPr>
            <w:tcW w:w="70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p>
        </w:tc>
        <w:tc>
          <w:tcPr>
            <w:tcW w:w="454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r>
              <w:rPr>
                <w:rFonts w:hint="eastAsia" w:ascii="宋体" w:hAnsi="宋体" w:eastAsia="宋体" w:cs="宋体"/>
                <w:color w:val="auto"/>
                <w:sz w:val="24"/>
                <w:szCs w:val="24"/>
                <w:highlight w:val="none"/>
                <w:u w:val="none"/>
              </w:rPr>
              <w:t xml:space="preserve">电    话：   18577920110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lang w:val="en-US" w:eastAsia="zh-CN"/>
              </w:rPr>
            </w:pPr>
            <w:r>
              <w:rPr>
                <w:rFonts w:hint="eastAsia" w:ascii="宋体" w:hAnsi="宋体" w:eastAsia="宋体" w:cs="宋体"/>
                <w:color w:val="auto"/>
                <w:sz w:val="24"/>
                <w:szCs w:val="24"/>
                <w:highlight w:val="none"/>
                <w:u w:val="none"/>
              </w:rPr>
              <w:t>传    真：</w:t>
            </w:r>
            <w:r>
              <w:rPr>
                <w:rFonts w:hint="eastAsia" w:ascii="宋体" w:hAnsi="宋体" w:cs="宋体"/>
                <w:color w:val="auto"/>
                <w:sz w:val="24"/>
                <w:szCs w:val="24"/>
                <w:highlight w:val="none"/>
                <w:u w:val="none"/>
                <w:lang w:val="en-US" w:eastAsia="zh-CN"/>
              </w:rPr>
              <w:t>/</w:t>
            </w:r>
          </w:p>
        </w:tc>
        <w:tc>
          <w:tcPr>
            <w:tcW w:w="70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p>
        </w:tc>
        <w:tc>
          <w:tcPr>
            <w:tcW w:w="454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lang w:val="en-US" w:eastAsia="zh-CN"/>
              </w:rPr>
            </w:pPr>
            <w:r>
              <w:rPr>
                <w:rFonts w:hint="eastAsia" w:ascii="宋体" w:hAnsi="宋体" w:eastAsia="宋体" w:cs="宋体"/>
                <w:color w:val="auto"/>
                <w:sz w:val="24"/>
                <w:szCs w:val="24"/>
                <w:highlight w:val="none"/>
                <w:u w:val="none"/>
              </w:rPr>
              <w:t>传    真：</w:t>
            </w:r>
            <w:r>
              <w:rPr>
                <w:rFonts w:hint="eastAsia" w:ascii="宋体" w:hAnsi="宋体" w:cs="宋体"/>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lang w:val="en-US" w:eastAsia="zh-CN"/>
              </w:rPr>
            </w:pPr>
            <w:r>
              <w:rPr>
                <w:rFonts w:hint="eastAsia" w:ascii="宋体" w:hAnsi="宋体" w:eastAsia="宋体" w:cs="宋体"/>
                <w:color w:val="auto"/>
                <w:sz w:val="24"/>
                <w:szCs w:val="24"/>
                <w:highlight w:val="none"/>
                <w:u w:val="none"/>
              </w:rPr>
              <w:t>电子邮箱：</w:t>
            </w:r>
            <w:r>
              <w:rPr>
                <w:rFonts w:hint="eastAsia" w:ascii="宋体" w:hAnsi="宋体" w:cs="宋体"/>
                <w:color w:val="auto"/>
                <w:sz w:val="24"/>
                <w:szCs w:val="24"/>
                <w:highlight w:val="none"/>
                <w:u w:val="none"/>
                <w:lang w:val="en-US" w:eastAsia="zh-CN"/>
              </w:rPr>
              <w:t>/</w:t>
            </w:r>
          </w:p>
        </w:tc>
        <w:tc>
          <w:tcPr>
            <w:tcW w:w="70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p>
        </w:tc>
        <w:tc>
          <w:tcPr>
            <w:tcW w:w="454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lang w:val="en-US" w:eastAsia="zh-CN"/>
              </w:rPr>
            </w:pPr>
            <w:r>
              <w:rPr>
                <w:rFonts w:hint="eastAsia" w:ascii="宋体" w:hAnsi="宋体" w:eastAsia="宋体" w:cs="宋体"/>
                <w:color w:val="auto"/>
                <w:sz w:val="24"/>
                <w:szCs w:val="24"/>
                <w:highlight w:val="none"/>
                <w:u w:val="none"/>
              </w:rPr>
              <w:t>电子邮箱：</w:t>
            </w:r>
            <w:r>
              <w:rPr>
                <w:rFonts w:hint="eastAsia" w:ascii="宋体" w:hAnsi="宋体" w:cs="宋体"/>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lang w:val="en-US" w:eastAsia="zh-CN"/>
              </w:rPr>
            </w:pPr>
            <w:r>
              <w:rPr>
                <w:rFonts w:hint="eastAsia" w:ascii="宋体" w:hAnsi="宋体" w:eastAsia="宋体" w:cs="宋体"/>
                <w:color w:val="auto"/>
                <w:sz w:val="24"/>
                <w:szCs w:val="24"/>
                <w:highlight w:val="none"/>
                <w:u w:val="none"/>
              </w:rPr>
              <w:t>网    址：</w:t>
            </w:r>
            <w:r>
              <w:rPr>
                <w:rFonts w:hint="eastAsia" w:ascii="宋体" w:hAnsi="宋体" w:cs="宋体"/>
                <w:color w:val="auto"/>
                <w:sz w:val="24"/>
                <w:szCs w:val="24"/>
                <w:highlight w:val="none"/>
                <w:u w:val="none"/>
                <w:lang w:val="en-US" w:eastAsia="zh-CN"/>
              </w:rPr>
              <w:t>/</w:t>
            </w:r>
          </w:p>
        </w:tc>
        <w:tc>
          <w:tcPr>
            <w:tcW w:w="70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rPr>
            </w:pPr>
          </w:p>
        </w:tc>
        <w:tc>
          <w:tcPr>
            <w:tcW w:w="454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4"/>
                <w:szCs w:val="24"/>
                <w:highlight w:val="none"/>
                <w:u w:val="none"/>
                <w:vertAlign w:val="baseline"/>
                <w:lang w:val="en-US" w:eastAsia="zh-CN"/>
              </w:rPr>
            </w:pPr>
            <w:r>
              <w:rPr>
                <w:rFonts w:hint="eastAsia" w:ascii="宋体" w:hAnsi="宋体" w:eastAsia="宋体" w:cs="宋体"/>
                <w:color w:val="auto"/>
                <w:sz w:val="24"/>
                <w:szCs w:val="24"/>
                <w:highlight w:val="none"/>
                <w:u w:val="none"/>
              </w:rPr>
              <w:t>网    址：</w:t>
            </w:r>
            <w:r>
              <w:rPr>
                <w:rFonts w:hint="eastAsia" w:ascii="宋体" w:hAnsi="宋体" w:cs="宋体"/>
                <w:color w:val="auto"/>
                <w:sz w:val="24"/>
                <w:szCs w:val="24"/>
                <w:highlight w:val="none"/>
                <w:u w:val="none"/>
                <w:lang w:val="en-US" w:eastAsia="zh-CN"/>
              </w:rPr>
              <w:t>/</w:t>
            </w:r>
          </w:p>
        </w:tc>
      </w:tr>
    </w:tbl>
    <w:p>
      <w:pPr>
        <w:spacing w:line="360" w:lineRule="auto"/>
        <w:ind w:right="420" w:firstLine="6139" w:firstLineChars="2558"/>
        <w:rPr>
          <w:rFonts w:hint="eastAsia" w:ascii="宋体" w:hAnsi="宋体" w:eastAsia="宋体" w:cs="宋体"/>
          <w:color w:val="auto"/>
          <w:sz w:val="24"/>
          <w:szCs w:val="24"/>
          <w:highlight w:val="none"/>
          <w:u w:val="single"/>
        </w:rPr>
      </w:pPr>
    </w:p>
    <w:p>
      <w:pPr>
        <w:spacing w:line="360" w:lineRule="auto"/>
        <w:ind w:right="420" w:firstLine="6139" w:firstLineChars="2558"/>
        <w:rPr>
          <w:rFonts w:hint="eastAsia" w:ascii="宋体" w:hAnsi="宋体" w:eastAsia="宋体" w:cs="宋体"/>
          <w:color w:val="auto"/>
          <w:sz w:val="24"/>
          <w:szCs w:val="24"/>
          <w:highlight w:val="none"/>
          <w:u w:val="single"/>
        </w:rPr>
      </w:pPr>
    </w:p>
    <w:p>
      <w:pPr>
        <w:wordWrap w:val="0"/>
        <w:spacing w:line="360" w:lineRule="auto"/>
        <w:jc w:val="right"/>
        <w:rPr>
          <w:color w:val="auto"/>
          <w:highlight w:val="none"/>
        </w:rPr>
      </w:pPr>
      <w:r>
        <w:rPr>
          <w:rFonts w:hint="eastAsia" w:ascii="宋体" w:hAnsi="宋体" w:eastAsia="宋体" w:cs="宋体"/>
          <w:color w:val="auto"/>
          <w:sz w:val="24"/>
          <w:szCs w:val="24"/>
          <w:highlight w:val="none"/>
          <w:u w:val="single"/>
        </w:rPr>
        <w:t xml:space="preserve"> 2022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rPr>
          <w:color w:val="auto"/>
          <w:highlight w:val="none"/>
        </w:rPr>
      </w:pPr>
    </w:p>
    <w:sectPr>
      <w:footerReference r:id="rId3" w:type="default"/>
      <w:pgSz w:w="11906" w:h="16838"/>
      <w:pgMar w:top="1020" w:right="1466" w:bottom="1440" w:left="14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56EA7"/>
    <w:rsid w:val="03B66999"/>
    <w:rsid w:val="08F57317"/>
    <w:rsid w:val="09F83E95"/>
    <w:rsid w:val="0D3565FC"/>
    <w:rsid w:val="0EAF72A3"/>
    <w:rsid w:val="101353E9"/>
    <w:rsid w:val="10C21D7B"/>
    <w:rsid w:val="11BA11BE"/>
    <w:rsid w:val="11D61F83"/>
    <w:rsid w:val="121C71BB"/>
    <w:rsid w:val="15013E79"/>
    <w:rsid w:val="154E17B1"/>
    <w:rsid w:val="181A6502"/>
    <w:rsid w:val="19A22DFF"/>
    <w:rsid w:val="1A631070"/>
    <w:rsid w:val="1C9B7341"/>
    <w:rsid w:val="1D370C30"/>
    <w:rsid w:val="1FAF34C1"/>
    <w:rsid w:val="2045162A"/>
    <w:rsid w:val="22A65EB3"/>
    <w:rsid w:val="249435E5"/>
    <w:rsid w:val="27C70B16"/>
    <w:rsid w:val="28661C78"/>
    <w:rsid w:val="2A900FFE"/>
    <w:rsid w:val="2B1B69B1"/>
    <w:rsid w:val="2D456C27"/>
    <w:rsid w:val="2D6C06D7"/>
    <w:rsid w:val="31CE7FDC"/>
    <w:rsid w:val="33FB74B3"/>
    <w:rsid w:val="34803AF7"/>
    <w:rsid w:val="37F11EA7"/>
    <w:rsid w:val="3C38552C"/>
    <w:rsid w:val="3DC470D3"/>
    <w:rsid w:val="3DE630C5"/>
    <w:rsid w:val="3FD85BFD"/>
    <w:rsid w:val="44DE266A"/>
    <w:rsid w:val="46C472E6"/>
    <w:rsid w:val="48272D97"/>
    <w:rsid w:val="48F5171C"/>
    <w:rsid w:val="49807720"/>
    <w:rsid w:val="4B797E51"/>
    <w:rsid w:val="4F625643"/>
    <w:rsid w:val="51A6504B"/>
    <w:rsid w:val="535E0E12"/>
    <w:rsid w:val="542062E3"/>
    <w:rsid w:val="579463D3"/>
    <w:rsid w:val="579A4D06"/>
    <w:rsid w:val="580B62F0"/>
    <w:rsid w:val="59543AC2"/>
    <w:rsid w:val="59720C2F"/>
    <w:rsid w:val="598F0F26"/>
    <w:rsid w:val="59EF4D6B"/>
    <w:rsid w:val="5A7D3C74"/>
    <w:rsid w:val="5CD803AF"/>
    <w:rsid w:val="62E77AC7"/>
    <w:rsid w:val="658352F0"/>
    <w:rsid w:val="68F45583"/>
    <w:rsid w:val="690A7C2B"/>
    <w:rsid w:val="69ED37DF"/>
    <w:rsid w:val="6A30734D"/>
    <w:rsid w:val="6A6F17BE"/>
    <w:rsid w:val="6AED3AFD"/>
    <w:rsid w:val="6BDC34E4"/>
    <w:rsid w:val="6D5868AF"/>
    <w:rsid w:val="729A56E4"/>
    <w:rsid w:val="734E4983"/>
    <w:rsid w:val="766C75A3"/>
    <w:rsid w:val="76762A07"/>
    <w:rsid w:val="785947C6"/>
    <w:rsid w:val="78712737"/>
    <w:rsid w:val="797F2742"/>
    <w:rsid w:val="7A4B3982"/>
    <w:rsid w:val="7DDC7F88"/>
    <w:rsid w:val="7E6F5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60" w:after="60" w:line="413" w:lineRule="auto"/>
      <w:jc w:val="left"/>
      <w:outlineLvl w:val="1"/>
    </w:pPr>
    <w:rPr>
      <w:rFonts w:ascii="Arial" w:hAnsi="Arial" w:eastAsia="黑体"/>
      <w:b/>
      <w:bCs/>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2022-11-08T03:56:00Z</dcterms:created>
  <dc:creator>huangshijun</dc:creator>
  <cp:lastModifiedBy>T_T</cp:lastModifiedBy>
  <dcterms:modified xsi:type="dcterms:W3CDTF">2022-11-08T08:58:12Z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