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44"/>
          <w:szCs w:val="44"/>
        </w:rPr>
      </w:pPr>
      <w:r>
        <w:rPr>
          <w:rFonts w:hint="eastAsia" w:ascii="宋体" w:hAnsi="宋体"/>
          <w:b/>
          <w:sz w:val="32"/>
          <w:szCs w:val="32"/>
        </w:rPr>
        <w:t>项目编号：ZXCD20220905</w:t>
      </w: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bCs/>
          <w:sz w:val="32"/>
          <w:szCs w:val="32"/>
        </w:rPr>
      </w:pPr>
      <w:r>
        <w:rPr>
          <w:rFonts w:hint="eastAsia" w:ascii="宋体" w:hAnsi="宋体"/>
          <w:b/>
          <w:sz w:val="44"/>
          <w:szCs w:val="44"/>
        </w:rPr>
        <w:t>大连大学附属新华医院感染性疾病应急中心项目勘察采购项目</w:t>
      </w: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116"/>
          <w:szCs w:val="116"/>
        </w:rPr>
      </w:pPr>
      <w:r>
        <w:rPr>
          <w:rFonts w:hint="eastAsia" w:ascii="宋体" w:hAnsi="宋体"/>
          <w:b/>
          <w:bCs/>
          <w:sz w:val="116"/>
          <w:szCs w:val="116"/>
        </w:rPr>
        <w:t>招 标 文 件</w:t>
      </w: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jc w:val="center"/>
        <w:rPr>
          <w:rFonts w:ascii="宋体" w:hAnsi="宋体" w:cs="宋体"/>
          <w:b/>
          <w:bCs/>
          <w:sz w:val="36"/>
        </w:rPr>
      </w:pPr>
      <w:r>
        <w:rPr>
          <w:rFonts w:hint="eastAsia" w:ascii="宋体" w:hAnsi="宋体" w:cs="宋体"/>
          <w:b/>
          <w:bCs/>
          <w:sz w:val="36"/>
        </w:rPr>
        <w:t>辽宁中信诚达项目管理有限公司</w:t>
      </w:r>
    </w:p>
    <w:p>
      <w:pPr>
        <w:jc w:val="center"/>
        <w:rPr>
          <w:rFonts w:ascii="宋体" w:hAnsi="宋体" w:cs="宋体"/>
          <w:b/>
          <w:bCs/>
          <w:sz w:val="36"/>
        </w:rPr>
      </w:pPr>
      <w:r>
        <w:rPr>
          <w:rFonts w:hint="eastAsia" w:ascii="宋体" w:hAnsi="宋体" w:cs="宋体"/>
          <w:b/>
          <w:bCs/>
          <w:sz w:val="36"/>
        </w:rPr>
        <w:t>中国  大连</w:t>
      </w:r>
    </w:p>
    <w:p>
      <w:pPr>
        <w:jc w:val="center"/>
        <w:rPr>
          <w:rFonts w:ascii="宋体" w:hAnsi="宋体"/>
          <w:b/>
          <w:bCs/>
          <w:sz w:val="32"/>
        </w:rPr>
      </w:pPr>
      <w:r>
        <w:rPr>
          <w:rFonts w:hint="eastAsia" w:ascii="宋体" w:hAnsi="宋体" w:cs="宋体"/>
          <w:b/>
          <w:bCs/>
          <w:sz w:val="36"/>
        </w:rPr>
        <w:t>2022年9月</w:t>
      </w:r>
    </w:p>
    <w:p>
      <w:pPr>
        <w:jc w:val="center"/>
        <w:rPr>
          <w:rFonts w:ascii="宋体" w:hAnsi="宋体"/>
          <w:b/>
          <w:sz w:val="32"/>
          <w:szCs w:val="32"/>
        </w:rPr>
        <w:sectPr>
          <w:footerReference r:id="rId5" w:type="first"/>
          <w:headerReference r:id="rId3" w:type="default"/>
          <w:footerReference r:id="rId4" w:type="default"/>
          <w:pgSz w:w="11906" w:h="16838"/>
          <w:pgMar w:top="1440" w:right="1800" w:bottom="1440" w:left="1800" w:header="851" w:footer="828" w:gutter="0"/>
          <w:pgNumType w:fmt="numberInDash"/>
          <w:cols w:space="720" w:num="1"/>
          <w:titlePg/>
          <w:docGrid w:linePitch="312" w:charSpace="0"/>
        </w:sectPr>
      </w:pPr>
    </w:p>
    <w:p>
      <w:pPr>
        <w:spacing w:line="480" w:lineRule="auto"/>
        <w:jc w:val="center"/>
        <w:rPr>
          <w:rFonts w:ascii="宋体" w:hAnsi="宋体"/>
          <w:b/>
          <w:sz w:val="44"/>
          <w:szCs w:val="44"/>
        </w:rPr>
      </w:pPr>
      <w:r>
        <w:rPr>
          <w:rFonts w:hint="eastAsia" w:ascii="宋体" w:hAnsi="宋体"/>
          <w:b/>
          <w:bCs/>
          <w:sz w:val="48"/>
          <w:szCs w:val="48"/>
        </w:rPr>
        <w:t>目  录</w:t>
      </w:r>
    </w:p>
    <w:p>
      <w:pPr>
        <w:spacing w:line="840" w:lineRule="auto"/>
        <w:ind w:firstLine="28" w:firstLineChars="10"/>
        <w:rPr>
          <w:rFonts w:ascii="宋体" w:hAnsi="宋体"/>
          <w:sz w:val="28"/>
          <w:szCs w:val="28"/>
        </w:rPr>
      </w:pPr>
      <w:r>
        <w:rPr>
          <w:rFonts w:hint="eastAsia" w:ascii="宋体" w:hAnsi="宋体"/>
          <w:sz w:val="28"/>
          <w:szCs w:val="28"/>
        </w:rPr>
        <w:t xml:space="preserve">  投标邀请函…………………………………………………………</w:t>
      </w:r>
      <w:r>
        <w:rPr>
          <w:rFonts w:ascii="宋体" w:hAnsi="宋体"/>
          <w:sz w:val="28"/>
          <w:szCs w:val="28"/>
        </w:rPr>
        <w:t>01</w:t>
      </w:r>
    </w:p>
    <w:p>
      <w:pPr>
        <w:spacing w:line="840" w:lineRule="auto"/>
        <w:ind w:firstLine="28" w:firstLineChars="10"/>
        <w:rPr>
          <w:rFonts w:ascii="宋体" w:hAnsi="宋体"/>
          <w:sz w:val="28"/>
          <w:szCs w:val="28"/>
        </w:rPr>
      </w:pPr>
      <w:r>
        <w:rPr>
          <w:rFonts w:hint="eastAsia" w:ascii="宋体" w:hAnsi="宋体"/>
          <w:sz w:val="28"/>
          <w:szCs w:val="28"/>
        </w:rPr>
        <w:t xml:space="preserve">  第一章 投标人须知及前附表 ……………………………………</w:t>
      </w:r>
      <w:r>
        <w:rPr>
          <w:rFonts w:ascii="宋体" w:hAnsi="宋体"/>
          <w:sz w:val="28"/>
          <w:szCs w:val="28"/>
        </w:rPr>
        <w:t>04</w:t>
      </w:r>
    </w:p>
    <w:p>
      <w:pPr>
        <w:spacing w:line="840" w:lineRule="auto"/>
        <w:ind w:firstLine="28" w:firstLineChars="10"/>
        <w:rPr>
          <w:rFonts w:ascii="宋体" w:hAnsi="宋体"/>
          <w:sz w:val="28"/>
          <w:szCs w:val="28"/>
        </w:rPr>
      </w:pPr>
      <w:r>
        <w:rPr>
          <w:rFonts w:hint="eastAsia" w:ascii="宋体" w:hAnsi="宋体"/>
          <w:sz w:val="28"/>
          <w:szCs w:val="28"/>
        </w:rPr>
        <w:t xml:space="preserve">  第二章 合同条款及合同格式 ……………………………………</w:t>
      </w:r>
      <w:r>
        <w:rPr>
          <w:rFonts w:ascii="宋体" w:hAnsi="宋体"/>
          <w:sz w:val="28"/>
          <w:szCs w:val="28"/>
        </w:rPr>
        <w:t>2</w:t>
      </w:r>
      <w:r>
        <w:rPr>
          <w:rFonts w:hint="eastAsia" w:ascii="宋体" w:hAnsi="宋体"/>
          <w:sz w:val="28"/>
          <w:szCs w:val="28"/>
        </w:rPr>
        <w:t>4</w:t>
      </w:r>
    </w:p>
    <w:p>
      <w:pPr>
        <w:spacing w:line="840" w:lineRule="auto"/>
        <w:rPr>
          <w:rFonts w:ascii="宋体" w:hAnsi="宋体"/>
          <w:sz w:val="28"/>
          <w:szCs w:val="28"/>
        </w:rPr>
      </w:pPr>
      <w:r>
        <w:rPr>
          <w:rFonts w:hint="eastAsia" w:ascii="宋体" w:hAnsi="宋体"/>
          <w:sz w:val="28"/>
          <w:szCs w:val="28"/>
        </w:rPr>
        <w:t xml:space="preserve">  第三章 项目需求及技术要求 ……………………………………28</w:t>
      </w:r>
    </w:p>
    <w:p>
      <w:pPr>
        <w:spacing w:line="840" w:lineRule="auto"/>
        <w:rPr>
          <w:rFonts w:ascii="宋体" w:hAnsi="宋体"/>
          <w:sz w:val="28"/>
          <w:szCs w:val="28"/>
        </w:rPr>
      </w:pPr>
      <w:r>
        <w:rPr>
          <w:rFonts w:hint="eastAsia" w:ascii="宋体" w:hAnsi="宋体"/>
          <w:sz w:val="28"/>
          <w:szCs w:val="28"/>
        </w:rPr>
        <w:t xml:space="preserve">  第四章 投标文件格式 ……………………………………………30</w:t>
      </w:r>
    </w:p>
    <w:p>
      <w:pPr>
        <w:spacing w:line="840" w:lineRule="auto"/>
        <w:rPr>
          <w:rFonts w:ascii="宋体" w:hAnsi="宋体"/>
          <w:sz w:val="28"/>
          <w:szCs w:val="28"/>
        </w:rPr>
      </w:pPr>
      <w:r>
        <w:rPr>
          <w:rFonts w:hint="eastAsia" w:ascii="宋体" w:hAnsi="宋体"/>
          <w:sz w:val="28"/>
          <w:szCs w:val="28"/>
        </w:rPr>
        <w:t xml:space="preserve">  附件1开标一览表…………………………………………………56</w:t>
      </w:r>
    </w:p>
    <w:p>
      <w:pPr>
        <w:spacing w:line="840" w:lineRule="auto"/>
        <w:rPr>
          <w:rFonts w:ascii="宋体" w:hAnsi="宋体"/>
          <w:sz w:val="28"/>
          <w:szCs w:val="28"/>
        </w:rPr>
      </w:pPr>
      <w:r>
        <w:rPr>
          <w:rFonts w:hint="eastAsia" w:ascii="宋体" w:hAnsi="宋体"/>
          <w:sz w:val="28"/>
          <w:szCs w:val="28"/>
        </w:rPr>
        <w:t xml:space="preserve">  附件2 评标方法…………………………………………… ……57</w:t>
      </w:r>
    </w:p>
    <w:p>
      <w:pPr>
        <w:spacing w:line="840" w:lineRule="auto"/>
        <w:rPr>
          <w:rFonts w:ascii="宋体" w:hAnsi="宋体"/>
          <w:sz w:val="28"/>
          <w:szCs w:val="28"/>
        </w:rPr>
      </w:pPr>
      <w:r>
        <w:rPr>
          <w:rFonts w:hint="eastAsia" w:ascii="宋体" w:hAnsi="宋体"/>
          <w:sz w:val="28"/>
          <w:szCs w:val="28"/>
        </w:rPr>
        <w:t xml:space="preserve">  附件3资格性审查表和符合性审查表……………………………60</w:t>
      </w:r>
    </w:p>
    <w:p>
      <w:pPr>
        <w:spacing w:line="840" w:lineRule="auto"/>
        <w:ind w:firstLine="280" w:firstLineChars="100"/>
        <w:rPr>
          <w:rFonts w:ascii="宋体" w:hAnsi="宋体"/>
          <w:sz w:val="28"/>
          <w:szCs w:val="28"/>
        </w:rPr>
      </w:pPr>
    </w:p>
    <w:p>
      <w:pPr>
        <w:spacing w:line="840" w:lineRule="auto"/>
        <w:ind w:firstLine="280" w:firstLineChars="100"/>
        <w:rPr>
          <w:rFonts w:ascii="宋体" w:hAnsi="宋体"/>
          <w:sz w:val="28"/>
          <w:szCs w:val="28"/>
        </w:rPr>
      </w:pPr>
    </w:p>
    <w:p>
      <w:pPr>
        <w:spacing w:line="840" w:lineRule="auto"/>
        <w:ind w:firstLine="280" w:firstLineChars="100"/>
        <w:rPr>
          <w:rFonts w:ascii="宋体" w:hAnsi="宋体"/>
          <w:sz w:val="28"/>
          <w:szCs w:val="28"/>
        </w:rPr>
      </w:pPr>
    </w:p>
    <w:p>
      <w:pPr>
        <w:pStyle w:val="2"/>
      </w:pPr>
    </w:p>
    <w:p>
      <w:pPr>
        <w:spacing w:line="360" w:lineRule="auto"/>
        <w:rPr>
          <w:rFonts w:ascii="宋体" w:hAnsi="宋体"/>
          <w:sz w:val="28"/>
          <w:szCs w:val="28"/>
        </w:rPr>
      </w:pPr>
    </w:p>
    <w:p>
      <w:pPr>
        <w:spacing w:line="360" w:lineRule="auto"/>
        <w:jc w:val="center"/>
        <w:rPr>
          <w:rFonts w:ascii="宋体" w:hAnsi="宋体" w:cs="宋体"/>
          <w:b/>
          <w:kern w:val="0"/>
          <w:sz w:val="32"/>
          <w:szCs w:val="32"/>
        </w:rPr>
      </w:pPr>
      <w:r>
        <w:rPr>
          <w:rFonts w:hint="eastAsia" w:ascii="宋体" w:hAnsi="宋体" w:cs="宋体"/>
          <w:b/>
          <w:kern w:val="0"/>
          <w:sz w:val="32"/>
          <w:szCs w:val="32"/>
        </w:rPr>
        <w:t>大连大学附属新华医院感染性疾病应急中心项目勘察采购项目</w:t>
      </w:r>
    </w:p>
    <w:p>
      <w:pPr>
        <w:spacing w:line="360" w:lineRule="auto"/>
        <w:jc w:val="center"/>
        <w:rPr>
          <w:rFonts w:ascii="宋体" w:hAnsi="宋体" w:cs="宋体"/>
          <w:b/>
          <w:kern w:val="0"/>
          <w:sz w:val="32"/>
          <w:szCs w:val="32"/>
        </w:rPr>
      </w:pPr>
      <w:r>
        <w:rPr>
          <w:rFonts w:hint="eastAsia" w:ascii="宋体" w:hAnsi="宋体" w:cs="宋体"/>
          <w:b/>
          <w:kern w:val="0"/>
          <w:sz w:val="32"/>
          <w:szCs w:val="32"/>
        </w:rPr>
        <w:t>投标邀请函</w:t>
      </w:r>
    </w:p>
    <w:tbl>
      <w:tblPr>
        <w:tblStyle w:val="21"/>
        <w:tblW w:w="0" w:type="auto"/>
        <w:tblInd w:w="4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00" w:type="dxa"/>
          </w:tcPr>
          <w:p>
            <w:pPr>
              <w:spacing w:line="360" w:lineRule="auto"/>
              <w:ind w:firstLine="470" w:firstLineChars="196"/>
              <w:rPr>
                <w:rFonts w:ascii="宋体" w:hAnsi="宋体" w:cs="宋体"/>
                <w:kern w:val="0"/>
                <w:sz w:val="24"/>
              </w:rPr>
            </w:pPr>
            <w:r>
              <w:rPr>
                <w:rFonts w:hint="eastAsia" w:ascii="宋体" w:hAnsi="宋体" w:cs="宋体"/>
                <w:kern w:val="0"/>
                <w:sz w:val="24"/>
              </w:rPr>
              <w:t>辽宁中信诚达项目管理有限公司受大连大学附属新华医院的委托，对大连大学附属新华医院感染性疾病应急中心项目勘察采购项目进行国内公开招标，欢迎符合资格条件的投标人报名参加投标。</w:t>
            </w:r>
          </w:p>
        </w:tc>
      </w:tr>
    </w:tbl>
    <w:p>
      <w:pPr>
        <w:widowControl/>
        <w:spacing w:line="360" w:lineRule="auto"/>
        <w:ind w:firstLine="482" w:firstLineChars="200"/>
        <w:jc w:val="left"/>
        <w:rPr>
          <w:rFonts w:ascii="宋体" w:hAnsi="宋体" w:cs="宋体"/>
          <w:b/>
          <w:kern w:val="0"/>
          <w:sz w:val="24"/>
        </w:rPr>
      </w:pPr>
      <w:r>
        <w:rPr>
          <w:rFonts w:hint="eastAsia" w:ascii="宋体" w:hAnsi="宋体" w:cs="宋体"/>
          <w:b/>
          <w:kern w:val="0"/>
          <w:sz w:val="24"/>
        </w:rPr>
        <w:t>一、项目基本情况：</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w:t>
      </w:r>
      <w:r>
        <w:rPr>
          <w:rFonts w:ascii="宋体" w:hAnsi="宋体" w:cs="宋体"/>
          <w:kern w:val="0"/>
          <w:sz w:val="24"/>
        </w:rPr>
        <w:t>.项目编号：</w:t>
      </w:r>
      <w:r>
        <w:rPr>
          <w:rFonts w:hint="eastAsia" w:ascii="宋体" w:hAnsi="宋体" w:cs="宋体"/>
          <w:kern w:val="0"/>
          <w:sz w:val="24"/>
        </w:rPr>
        <w:t>ZXCD20220905</w:t>
      </w:r>
    </w:p>
    <w:p>
      <w:pPr>
        <w:widowControl/>
        <w:spacing w:line="360" w:lineRule="auto"/>
        <w:ind w:firstLine="480" w:firstLineChars="200"/>
        <w:jc w:val="left"/>
        <w:rPr>
          <w:rFonts w:ascii="宋体" w:hAnsi="宋体" w:cs="宋体"/>
          <w:kern w:val="0"/>
          <w:sz w:val="24"/>
        </w:rPr>
      </w:pPr>
      <w:r>
        <w:rPr>
          <w:rFonts w:ascii="宋体" w:hAnsi="宋体" w:cs="宋体"/>
          <w:kern w:val="0"/>
          <w:sz w:val="24"/>
        </w:rPr>
        <w:t>2.项目名称</w:t>
      </w:r>
      <w:r>
        <w:rPr>
          <w:rFonts w:hint="eastAsia" w:ascii="宋体" w:hAnsi="宋体" w:cs="宋体"/>
          <w:kern w:val="0"/>
          <w:sz w:val="24"/>
        </w:rPr>
        <w:t>：大连大学附属新华医院感染性疾病应急中心项目勘察采购项目</w:t>
      </w:r>
    </w:p>
    <w:p>
      <w:pPr>
        <w:widowControl/>
        <w:spacing w:line="360" w:lineRule="auto"/>
        <w:ind w:firstLine="480" w:firstLineChars="200"/>
        <w:jc w:val="left"/>
        <w:rPr>
          <w:rFonts w:ascii="宋体" w:hAnsi="宋体"/>
          <w:sz w:val="24"/>
        </w:rPr>
      </w:pPr>
      <w:r>
        <w:rPr>
          <w:rFonts w:hint="eastAsia" w:ascii="宋体" w:hAnsi="宋体" w:cs="宋体"/>
          <w:kern w:val="0"/>
          <w:sz w:val="24"/>
        </w:rPr>
        <w:t>3.预算金额：</w:t>
      </w:r>
      <w:r>
        <w:rPr>
          <w:rFonts w:ascii="宋体" w:hAnsi="宋体" w:cs="宋体"/>
          <w:kern w:val="0"/>
          <w:sz w:val="24"/>
        </w:rPr>
        <w:t>26</w:t>
      </w:r>
      <w:r>
        <w:rPr>
          <w:rFonts w:hint="eastAsia" w:ascii="宋体" w:hAnsi="宋体" w:cs="宋体"/>
          <w:kern w:val="0"/>
          <w:sz w:val="24"/>
        </w:rPr>
        <w:t>.</w:t>
      </w:r>
      <w:r>
        <w:rPr>
          <w:rFonts w:ascii="宋体" w:hAnsi="宋体" w:cs="宋体"/>
          <w:kern w:val="0"/>
          <w:sz w:val="24"/>
        </w:rPr>
        <w:t>956224</w:t>
      </w:r>
      <w:r>
        <w:rPr>
          <w:rFonts w:hint="eastAsia" w:ascii="宋体" w:hAnsi="宋体" w:cs="宋体"/>
          <w:kern w:val="0"/>
          <w:sz w:val="24"/>
        </w:rPr>
        <w:t>万元（本项目设拦标价，于开标前3天公布，超出拦标价的，按无效投标处理。）</w:t>
      </w:r>
    </w:p>
    <w:p>
      <w:pPr>
        <w:spacing w:line="360" w:lineRule="auto"/>
        <w:ind w:firstLine="480" w:firstLineChars="200"/>
        <w:jc w:val="left"/>
        <w:rPr>
          <w:rFonts w:ascii="宋体" w:hAnsi="宋体" w:cs="宋体"/>
          <w:kern w:val="0"/>
          <w:sz w:val="24"/>
        </w:rPr>
      </w:pPr>
      <w:r>
        <w:rPr>
          <w:rFonts w:hint="eastAsia" w:ascii="宋体" w:hAnsi="宋体" w:cs="宋体"/>
          <w:kern w:val="0"/>
          <w:sz w:val="24"/>
        </w:rPr>
        <w:t>4</w:t>
      </w:r>
      <w:r>
        <w:rPr>
          <w:rFonts w:ascii="宋体" w:hAnsi="宋体" w:cs="宋体"/>
          <w:kern w:val="0"/>
          <w:sz w:val="24"/>
        </w:rPr>
        <w:t>.</w:t>
      </w:r>
      <w:r>
        <w:rPr>
          <w:rFonts w:hint="eastAsia" w:ascii="宋体" w:hAnsi="宋体" w:cs="宋体"/>
          <w:kern w:val="0"/>
          <w:sz w:val="24"/>
        </w:rPr>
        <w:t>采购需求：大连大学附属新华医院感染性疾病应急中心项目工程前期勘察（详细内容见招标文件）。</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注：投标人不能只对本项目个别品目进行投标，否则将被视为非响应性投标而被拒绝。</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5.合同履行期限：合同生效之日起至合同约定内容履行完毕。</w:t>
      </w:r>
    </w:p>
    <w:p>
      <w:pPr>
        <w:widowControl/>
        <w:spacing w:line="360" w:lineRule="auto"/>
        <w:ind w:firstLine="480"/>
        <w:jc w:val="left"/>
        <w:rPr>
          <w:rFonts w:ascii="宋体" w:hAnsi="宋体"/>
          <w:sz w:val="24"/>
        </w:rPr>
      </w:pPr>
      <w:r>
        <w:rPr>
          <w:rFonts w:hint="eastAsia" w:ascii="宋体" w:hAnsi="宋体"/>
          <w:sz w:val="24"/>
        </w:rPr>
        <w:t>6.本项目（是/否）接受联合体投标：否</w:t>
      </w:r>
    </w:p>
    <w:p>
      <w:pPr>
        <w:widowControl/>
        <w:spacing w:line="360" w:lineRule="auto"/>
        <w:ind w:firstLine="480"/>
        <w:jc w:val="left"/>
        <w:rPr>
          <w:rFonts w:ascii="宋体" w:hAnsi="宋体"/>
          <w:sz w:val="24"/>
        </w:rPr>
      </w:pPr>
      <w:r>
        <w:rPr>
          <w:rFonts w:hint="eastAsia" w:ascii="宋体" w:hAnsi="宋体"/>
          <w:sz w:val="24"/>
        </w:rPr>
        <w:t>本项目分包情况：</w:t>
      </w:r>
    </w:p>
    <w:tbl>
      <w:tblPr>
        <w:tblStyle w:val="20"/>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3959"/>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shd w:val="clear" w:color="auto" w:fill="auto"/>
          </w:tcPr>
          <w:p>
            <w:pPr>
              <w:widowControl/>
              <w:jc w:val="center"/>
              <w:rPr>
                <w:rFonts w:ascii="宋体" w:hAnsi="宋体"/>
                <w:sz w:val="24"/>
              </w:rPr>
            </w:pPr>
            <w:r>
              <w:rPr>
                <w:rFonts w:hint="eastAsia" w:ascii="宋体" w:hAnsi="宋体"/>
                <w:sz w:val="24"/>
              </w:rPr>
              <w:t>分包编号</w:t>
            </w:r>
          </w:p>
        </w:tc>
        <w:tc>
          <w:tcPr>
            <w:tcW w:w="3959" w:type="dxa"/>
            <w:shd w:val="clear" w:color="auto" w:fill="auto"/>
          </w:tcPr>
          <w:p>
            <w:pPr>
              <w:widowControl/>
              <w:jc w:val="center"/>
              <w:rPr>
                <w:rFonts w:ascii="宋体" w:hAnsi="宋体"/>
                <w:sz w:val="24"/>
              </w:rPr>
            </w:pPr>
            <w:r>
              <w:rPr>
                <w:rFonts w:hint="eastAsia" w:ascii="宋体" w:hAnsi="宋体"/>
                <w:sz w:val="24"/>
              </w:rPr>
              <w:t>分包名称</w:t>
            </w:r>
          </w:p>
        </w:tc>
        <w:tc>
          <w:tcPr>
            <w:tcW w:w="2035" w:type="dxa"/>
            <w:shd w:val="clear" w:color="auto" w:fill="auto"/>
          </w:tcPr>
          <w:p>
            <w:pPr>
              <w:widowControl/>
              <w:jc w:val="center"/>
              <w:rPr>
                <w:rFonts w:ascii="宋体" w:hAnsi="宋体"/>
                <w:sz w:val="24"/>
              </w:rPr>
            </w:pPr>
            <w:r>
              <w:rPr>
                <w:rFonts w:hint="eastAsia" w:ascii="宋体" w:hAnsi="宋体"/>
                <w:sz w:val="24"/>
              </w:rPr>
              <w:t>预算金额（万元）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ZXCD20220905</w:t>
            </w:r>
          </w:p>
        </w:tc>
        <w:tc>
          <w:tcPr>
            <w:tcW w:w="3959" w:type="dxa"/>
            <w:shd w:val="clear" w:color="auto" w:fill="auto"/>
            <w:vAlign w:val="center"/>
          </w:tcPr>
          <w:p>
            <w:pPr>
              <w:widowControl/>
              <w:jc w:val="center"/>
              <w:rPr>
                <w:rFonts w:ascii="宋体" w:hAnsi="宋体"/>
                <w:sz w:val="24"/>
              </w:rPr>
            </w:pPr>
            <w:r>
              <w:rPr>
                <w:rFonts w:hint="eastAsia" w:ascii="宋体" w:hAnsi="宋体" w:cs="宋体"/>
                <w:kern w:val="0"/>
                <w:sz w:val="24"/>
              </w:rPr>
              <w:t>大连大学附属新华医院感染性疾病应急中心项目勘察采购项目</w:t>
            </w:r>
          </w:p>
        </w:tc>
        <w:tc>
          <w:tcPr>
            <w:tcW w:w="2035" w:type="dxa"/>
            <w:shd w:val="clear" w:color="auto" w:fill="auto"/>
            <w:vAlign w:val="center"/>
          </w:tcPr>
          <w:p>
            <w:pPr>
              <w:widowControl/>
              <w:jc w:val="center"/>
              <w:rPr>
                <w:rFonts w:ascii="宋体" w:hAnsi="宋体"/>
                <w:sz w:val="24"/>
              </w:rPr>
            </w:pPr>
            <w:r>
              <w:rPr>
                <w:rFonts w:hint="eastAsia" w:ascii="宋体" w:hAnsi="宋体" w:cs="宋体"/>
                <w:kern w:val="0"/>
                <w:sz w:val="24"/>
              </w:rPr>
              <w:t>26.956224</w:t>
            </w:r>
          </w:p>
        </w:tc>
      </w:tr>
    </w:tbl>
    <w:p>
      <w:pPr>
        <w:widowControl/>
        <w:spacing w:line="360" w:lineRule="auto"/>
        <w:ind w:firstLine="482" w:firstLineChars="200"/>
        <w:jc w:val="left"/>
        <w:rPr>
          <w:rFonts w:ascii="宋体" w:hAnsi="宋体"/>
          <w:b/>
          <w:sz w:val="24"/>
        </w:rPr>
      </w:pPr>
      <w:r>
        <w:rPr>
          <w:rFonts w:hint="eastAsia" w:ascii="宋体" w:hAnsi="宋体"/>
          <w:b/>
          <w:sz w:val="24"/>
        </w:rPr>
        <w:t>二</w:t>
      </w:r>
      <w:r>
        <w:rPr>
          <w:rFonts w:ascii="宋体" w:hAnsi="宋体"/>
          <w:b/>
          <w:sz w:val="24"/>
        </w:rPr>
        <w:t>、</w:t>
      </w:r>
      <w:r>
        <w:rPr>
          <w:rFonts w:hint="eastAsia" w:ascii="宋体" w:hAnsi="宋体"/>
          <w:b/>
          <w:sz w:val="24"/>
        </w:rPr>
        <w:t>申请人</w:t>
      </w:r>
      <w:r>
        <w:rPr>
          <w:rFonts w:ascii="宋体" w:hAnsi="宋体"/>
          <w:b/>
          <w:sz w:val="24"/>
        </w:rPr>
        <w:t>的资格要求：</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w:t>
      </w:r>
      <w:r>
        <w:rPr>
          <w:rFonts w:ascii="宋体" w:hAnsi="宋体" w:cs="宋体"/>
          <w:kern w:val="0"/>
          <w:sz w:val="24"/>
        </w:rPr>
        <w:t>.</w:t>
      </w:r>
      <w:r>
        <w:rPr>
          <w:rFonts w:hint="eastAsia" w:ascii="宋体" w:hAnsi="宋体" w:cs="宋体"/>
          <w:kern w:val="0"/>
          <w:sz w:val="24"/>
        </w:rPr>
        <w:t>满足《中华人民共和国政府采购法》第二十二条规定；</w:t>
      </w:r>
    </w:p>
    <w:p>
      <w:pPr>
        <w:spacing w:line="360" w:lineRule="auto"/>
        <w:ind w:firstLine="480" w:firstLineChars="200"/>
        <w:rPr>
          <w:rFonts w:ascii="宋体" w:hAnsi="宋体"/>
          <w:bCs/>
          <w:sz w:val="24"/>
          <w:szCs w:val="21"/>
          <w:u w:val="single"/>
        </w:rPr>
      </w:pPr>
      <w:r>
        <w:rPr>
          <w:rFonts w:hint="eastAsia" w:ascii="宋体" w:hAnsi="宋体"/>
          <w:bCs/>
          <w:sz w:val="24"/>
          <w:szCs w:val="21"/>
        </w:rPr>
        <w:t>2</w:t>
      </w:r>
      <w:r>
        <w:rPr>
          <w:rFonts w:ascii="宋体" w:hAnsi="宋体"/>
          <w:bCs/>
          <w:sz w:val="24"/>
          <w:szCs w:val="21"/>
        </w:rPr>
        <w:t>.落实政府采购政策需满足的资格要求</w:t>
      </w:r>
      <w:r>
        <w:rPr>
          <w:rFonts w:hint="eastAsia" w:ascii="宋体" w:hAnsi="宋体"/>
          <w:bCs/>
          <w:sz w:val="24"/>
          <w:szCs w:val="21"/>
        </w:rPr>
        <w:t>：</w:t>
      </w:r>
      <w:r>
        <w:rPr>
          <w:rFonts w:ascii="宋体" w:hAnsi="宋体"/>
          <w:bCs/>
          <w:sz w:val="24"/>
          <w:szCs w:val="21"/>
        </w:rPr>
        <w:t>无</w:t>
      </w:r>
      <w:r>
        <w:rPr>
          <w:rFonts w:hint="eastAsia" w:ascii="宋体" w:hAnsi="宋体"/>
          <w:bCs/>
          <w:sz w:val="24"/>
          <w:szCs w:val="21"/>
        </w:rPr>
        <w:t>；</w:t>
      </w:r>
    </w:p>
    <w:p>
      <w:pPr>
        <w:spacing w:line="360" w:lineRule="auto"/>
        <w:ind w:firstLine="480" w:firstLineChars="200"/>
        <w:rPr>
          <w:rFonts w:ascii="宋体" w:hAnsi="宋体"/>
          <w:bCs/>
          <w:sz w:val="24"/>
          <w:szCs w:val="21"/>
        </w:rPr>
      </w:pPr>
      <w:r>
        <w:rPr>
          <w:rFonts w:ascii="宋体" w:hAnsi="宋体"/>
          <w:bCs/>
          <w:sz w:val="24"/>
          <w:szCs w:val="21"/>
        </w:rPr>
        <w:t>3.本项目的特定资格要求</w:t>
      </w:r>
      <w:r>
        <w:rPr>
          <w:rFonts w:hint="eastAsia" w:ascii="宋体" w:hAnsi="宋体"/>
          <w:bCs/>
          <w:sz w:val="24"/>
          <w:szCs w:val="21"/>
        </w:rPr>
        <w:t>：</w:t>
      </w:r>
    </w:p>
    <w:p>
      <w:pPr>
        <w:spacing w:line="360" w:lineRule="auto"/>
        <w:ind w:firstLine="480" w:firstLineChars="200"/>
        <w:rPr>
          <w:rFonts w:ascii="宋体" w:hAnsi="宋体"/>
          <w:bCs/>
          <w:sz w:val="24"/>
          <w:szCs w:val="21"/>
        </w:rPr>
      </w:pPr>
      <w:r>
        <w:rPr>
          <w:rFonts w:hint="eastAsia" w:ascii="宋体" w:hAnsi="宋体"/>
          <w:bCs/>
          <w:sz w:val="24"/>
          <w:szCs w:val="21"/>
        </w:rPr>
        <w:t>(1)具有建设行政主管部门核发的工程勘察综合资质甲级或建设行政主管部门核发的工程勘察专业类岩土工程乙级资质及以上资质或建设行政主管部门核发的工程勘察专业类（岩土工程（分项））岩土工程勘察乙级资质及以上资质。</w:t>
      </w:r>
    </w:p>
    <w:p>
      <w:pPr>
        <w:spacing w:line="360" w:lineRule="auto"/>
        <w:ind w:right="-212" w:rightChars="-101" w:firstLine="480" w:firstLineChars="200"/>
        <w:rPr>
          <w:rFonts w:ascii="宋体" w:hAnsi="宋体"/>
          <w:bCs/>
          <w:sz w:val="24"/>
          <w:szCs w:val="21"/>
        </w:rPr>
      </w:pPr>
      <w:r>
        <w:rPr>
          <w:rFonts w:hint="eastAsia" w:ascii="宋体" w:hAnsi="宋体"/>
          <w:bCs/>
          <w:sz w:val="24"/>
          <w:szCs w:val="21"/>
        </w:rPr>
        <w:t>(2)</w:t>
      </w:r>
      <w:r>
        <w:rPr>
          <w:rFonts w:hint="eastAsia"/>
          <w:bCs/>
        </w:rPr>
        <w:t xml:space="preserve"> </w:t>
      </w:r>
      <w:r>
        <w:rPr>
          <w:rFonts w:hint="eastAsia" w:ascii="宋体" w:hAnsi="宋体"/>
          <w:bCs/>
          <w:sz w:val="24"/>
          <w:szCs w:val="21"/>
        </w:rPr>
        <w:t>项目负责人具有国家注册土木工程师（岩土）执业资格，无在处罚期内的不良记录。</w:t>
      </w:r>
    </w:p>
    <w:p>
      <w:pPr>
        <w:spacing w:line="360" w:lineRule="auto"/>
        <w:ind w:right="-212" w:rightChars="-101" w:firstLine="480" w:firstLineChars="200"/>
        <w:rPr>
          <w:rFonts w:ascii="宋体" w:hAnsi="宋体" w:cs="宋体"/>
          <w:kern w:val="0"/>
          <w:sz w:val="24"/>
        </w:rPr>
      </w:pPr>
      <w:r>
        <w:rPr>
          <w:rFonts w:hint="eastAsia" w:ascii="宋体" w:hAnsi="宋体" w:cs="宋体"/>
          <w:kern w:val="0"/>
          <w:sz w:val="24"/>
        </w:rPr>
        <w:t>注：</w:t>
      </w:r>
      <w:r>
        <w:rPr>
          <w:rFonts w:hint="eastAsia" w:ascii="宋体" w:hAnsi="宋体" w:cs="宋体"/>
          <w:bCs/>
          <w:iCs/>
          <w:sz w:val="24"/>
        </w:rPr>
        <w:t>①</w:t>
      </w:r>
      <w:r>
        <w:rPr>
          <w:rFonts w:hint="eastAsia" w:ascii="宋体" w:hAnsi="宋体" w:cs="宋体"/>
          <w:kern w:val="0"/>
          <w:sz w:val="24"/>
        </w:rPr>
        <w:t>项目评审开始前，</w:t>
      </w:r>
      <w:r>
        <w:rPr>
          <w:rFonts w:hint="eastAsia" w:ascii="宋体" w:hAnsi="宋体" w:cs="宋体"/>
          <w:sz w:val="24"/>
        </w:rPr>
        <w:t>经“信用中国”网站（www.creditchina.gov.cn）、“信用辽宁”网站（www.xyln.net）、“信用大连”网站（https:</w:t>
      </w:r>
      <w:r>
        <w:rPr>
          <w:rFonts w:hint="eastAsia" w:ascii="宋体" w:hAnsi="宋体" w:cs="宋体"/>
          <w:kern w:val="0"/>
          <w:sz w:val="24"/>
        </w:rPr>
        <w:t>//credit.dl.gov.cn/）、“中国政府采购网”网站（www.ccgp.gov.cn）查询，被列入失信被执行人、重大税收违法案件当事人名单、政府采购严重违法失信行为记录名单的不得参加本采购项目。</w:t>
      </w:r>
    </w:p>
    <w:p>
      <w:pPr>
        <w:spacing w:line="360" w:lineRule="auto"/>
        <w:ind w:right="-212" w:rightChars="-101" w:firstLine="720" w:firstLineChars="300"/>
        <w:rPr>
          <w:rFonts w:ascii="宋体" w:hAnsi="宋体" w:cs="宋体"/>
          <w:kern w:val="0"/>
          <w:sz w:val="24"/>
        </w:rPr>
      </w:pPr>
      <w:r>
        <w:rPr>
          <w:rFonts w:hint="eastAsia" w:ascii="宋体" w:hAnsi="宋体" w:cs="宋体"/>
          <w:kern w:val="0"/>
          <w:sz w:val="24"/>
        </w:rPr>
        <w:t xml:space="preserve"> ②本项目所属行业为其他未列明行业。</w:t>
      </w:r>
    </w:p>
    <w:p>
      <w:pPr>
        <w:widowControl/>
        <w:spacing w:line="360" w:lineRule="auto"/>
        <w:ind w:firstLine="482" w:firstLineChars="200"/>
        <w:jc w:val="left"/>
        <w:rPr>
          <w:rFonts w:ascii="宋体" w:hAnsi="宋体" w:cs="宋体"/>
          <w:kern w:val="0"/>
          <w:sz w:val="24"/>
        </w:rPr>
      </w:pPr>
      <w:r>
        <w:rPr>
          <w:rFonts w:ascii="宋体" w:hAnsi="宋体" w:cs="宋体"/>
          <w:b/>
          <w:kern w:val="0"/>
          <w:sz w:val="24"/>
        </w:rPr>
        <w:t>三</w:t>
      </w:r>
      <w:r>
        <w:rPr>
          <w:rFonts w:hint="eastAsia" w:ascii="宋体" w:hAnsi="宋体" w:cs="宋体"/>
          <w:b/>
          <w:kern w:val="0"/>
          <w:sz w:val="24"/>
        </w:rPr>
        <w:t>、</w:t>
      </w:r>
      <w:r>
        <w:rPr>
          <w:rFonts w:ascii="宋体" w:hAnsi="宋体" w:cs="宋体"/>
          <w:b/>
          <w:kern w:val="0"/>
          <w:sz w:val="24"/>
        </w:rPr>
        <w:t>获取招标文件</w:t>
      </w:r>
      <w:r>
        <w:rPr>
          <w:rFonts w:hint="eastAsia" w:ascii="宋体" w:hAnsi="宋体" w:cs="宋体"/>
          <w:b/>
          <w:kern w:val="0"/>
          <w:sz w:val="24"/>
        </w:rPr>
        <w:t>：</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w:t>
      </w:r>
      <w:r>
        <w:rPr>
          <w:rFonts w:ascii="宋体" w:hAnsi="宋体" w:cs="宋体"/>
          <w:kern w:val="0"/>
          <w:sz w:val="24"/>
        </w:rPr>
        <w:t>.</w:t>
      </w:r>
      <w:r>
        <w:rPr>
          <w:rFonts w:hint="eastAsia" w:ascii="宋体" w:hAnsi="宋体" w:cs="宋体"/>
          <w:kern w:val="0"/>
          <w:sz w:val="24"/>
        </w:rPr>
        <w:t>时间：2022年09月09日起至2022年09月19日</w:t>
      </w:r>
      <w:r>
        <w:rPr>
          <w:rFonts w:hint="eastAsia" w:cs="宋体" w:asciiTheme="minorEastAsia" w:hAnsiTheme="minorEastAsia" w:eastAsiaTheme="minorEastAsia"/>
          <w:kern w:val="0"/>
          <w:sz w:val="24"/>
        </w:rPr>
        <w:t>每天8:30—11：30、13:00—17:00（北京时间，公休日、节假日除外）</w:t>
      </w:r>
      <w:r>
        <w:rPr>
          <w:rFonts w:hint="eastAsia" w:ascii="宋体" w:hAnsi="宋体" w:cs="宋体"/>
          <w:kern w:val="0"/>
          <w:sz w:val="24"/>
        </w:rPr>
        <w:t>。</w:t>
      </w:r>
      <w:r>
        <w:rPr>
          <w:rFonts w:ascii="宋体" w:hAnsi="宋体"/>
          <w:sz w:val="24"/>
        </w:rPr>
        <w:t xml:space="preserve"> </w:t>
      </w:r>
    </w:p>
    <w:p>
      <w:pPr>
        <w:spacing w:line="360" w:lineRule="auto"/>
        <w:ind w:firstLine="470" w:firstLineChars="196"/>
        <w:rPr>
          <w:rFonts w:ascii="宋体" w:hAnsi="宋体" w:cs="宋体"/>
          <w:kern w:val="0"/>
          <w:sz w:val="24"/>
        </w:rPr>
      </w:pPr>
      <w:r>
        <w:rPr>
          <w:rFonts w:hint="eastAsia" w:ascii="宋体" w:hAnsi="宋体" w:cs="宋体"/>
          <w:kern w:val="0"/>
          <w:sz w:val="24"/>
        </w:rPr>
        <w:t>2.地点：辽宁中信诚达项目管理有限公司（大连市西岗区五四路81号星海商城6号楼803室）发售招标文件。</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方式：投标人需携带营业执照和上述所有资格要求材料相应的复印件一套（复印件须加盖公章），或者联系采购代理机构联系人，采用“不见面”方式通过电子邮箱（lnzxcd_vip@163.com）提交报名材料扫描件进行网络购买。</w:t>
      </w:r>
    </w:p>
    <w:p>
      <w:pPr>
        <w:widowControl/>
        <w:spacing w:line="360" w:lineRule="auto"/>
        <w:ind w:firstLine="480" w:firstLineChars="200"/>
        <w:jc w:val="left"/>
        <w:rPr>
          <w:rFonts w:ascii="宋体" w:hAnsi="宋体" w:cs="宋体"/>
          <w:kern w:val="0"/>
          <w:sz w:val="24"/>
        </w:rPr>
      </w:pPr>
      <w:r>
        <w:rPr>
          <w:rFonts w:ascii="宋体" w:hAnsi="宋体" w:cs="宋体"/>
          <w:kern w:val="0"/>
          <w:sz w:val="24"/>
        </w:rPr>
        <w:t>4.</w:t>
      </w:r>
      <w:r>
        <w:rPr>
          <w:rFonts w:hint="eastAsia" w:ascii="宋体" w:hAnsi="宋体" w:cs="宋体"/>
          <w:kern w:val="0"/>
          <w:sz w:val="24"/>
        </w:rPr>
        <w:t>售价：500元人民币/套，售后不退。</w:t>
      </w:r>
    </w:p>
    <w:p>
      <w:pPr>
        <w:widowControl/>
        <w:spacing w:line="360" w:lineRule="auto"/>
        <w:ind w:firstLine="482" w:firstLineChars="200"/>
        <w:jc w:val="left"/>
        <w:rPr>
          <w:rFonts w:ascii="宋体" w:hAnsi="宋体" w:cs="宋体"/>
          <w:kern w:val="0"/>
          <w:sz w:val="24"/>
        </w:rPr>
      </w:pPr>
      <w:r>
        <w:rPr>
          <w:rFonts w:ascii="宋体" w:hAnsi="宋体"/>
          <w:b/>
          <w:sz w:val="24"/>
        </w:rPr>
        <w:t>四</w:t>
      </w:r>
      <w:r>
        <w:rPr>
          <w:rFonts w:hint="eastAsia" w:ascii="宋体" w:hAnsi="宋体"/>
          <w:b/>
          <w:sz w:val="24"/>
        </w:rPr>
        <w:t>、</w:t>
      </w:r>
      <w:r>
        <w:rPr>
          <w:rFonts w:ascii="宋体" w:hAnsi="宋体"/>
          <w:b/>
          <w:sz w:val="24"/>
        </w:rPr>
        <w:t>提交投标文件截止时间</w:t>
      </w:r>
      <w:r>
        <w:rPr>
          <w:rFonts w:hint="eastAsia" w:ascii="宋体" w:hAnsi="宋体"/>
          <w:b/>
          <w:sz w:val="24"/>
        </w:rPr>
        <w:t>、</w:t>
      </w:r>
      <w:r>
        <w:rPr>
          <w:rFonts w:ascii="宋体" w:hAnsi="宋体"/>
          <w:b/>
          <w:sz w:val="24"/>
        </w:rPr>
        <w:t>开标时间和地点</w:t>
      </w:r>
      <w:r>
        <w:rPr>
          <w:rFonts w:hint="eastAsia" w:ascii="宋体" w:hAnsi="宋体"/>
          <w:b/>
          <w:sz w:val="24"/>
        </w:rPr>
        <w:t>：</w:t>
      </w:r>
    </w:p>
    <w:p>
      <w:pPr>
        <w:spacing w:line="360" w:lineRule="auto"/>
        <w:ind w:firstLine="470" w:firstLineChars="196"/>
        <w:rPr>
          <w:rFonts w:ascii="宋体" w:hAnsi="宋体" w:cs="宋体"/>
          <w:sz w:val="24"/>
          <w:szCs w:val="32"/>
        </w:rPr>
      </w:pPr>
      <w:r>
        <w:rPr>
          <w:rFonts w:hint="eastAsia" w:ascii="宋体" w:hAnsi="宋体" w:cs="宋体"/>
          <w:sz w:val="24"/>
          <w:szCs w:val="32"/>
        </w:rPr>
        <w:t>1.投标文件递交时间及地点：2022年</w:t>
      </w:r>
      <w:r>
        <w:rPr>
          <w:rFonts w:hint="eastAsia" w:ascii="宋体" w:hAnsi="宋体" w:cs="宋体"/>
          <w:kern w:val="0"/>
          <w:sz w:val="24"/>
          <w:lang w:val="en-US" w:eastAsia="zh-CN"/>
        </w:rPr>
        <w:t>10</w:t>
      </w:r>
      <w:r>
        <w:rPr>
          <w:rFonts w:hint="eastAsia" w:ascii="宋体" w:hAnsi="宋体" w:cs="宋体"/>
          <w:kern w:val="0"/>
          <w:sz w:val="24"/>
        </w:rPr>
        <w:t>月</w:t>
      </w:r>
      <w:r>
        <w:rPr>
          <w:rFonts w:hint="eastAsia" w:ascii="宋体" w:hAnsi="宋体" w:cs="宋体"/>
          <w:kern w:val="0"/>
          <w:sz w:val="24"/>
          <w:lang w:val="en-US" w:eastAsia="zh-CN"/>
        </w:rPr>
        <w:t>24</w:t>
      </w:r>
      <w:r>
        <w:rPr>
          <w:rFonts w:hint="eastAsia" w:ascii="宋体" w:hAnsi="宋体" w:cs="宋体"/>
          <w:kern w:val="0"/>
          <w:sz w:val="24"/>
        </w:rPr>
        <w:t>日</w:t>
      </w:r>
      <w:r>
        <w:rPr>
          <w:rFonts w:hint="eastAsia" w:ascii="宋体" w:hAnsi="宋体" w:cs="宋体"/>
          <w:kern w:val="0"/>
          <w:sz w:val="24"/>
          <w:lang w:val="en-US" w:eastAsia="zh-CN"/>
        </w:rPr>
        <w:t>14</w:t>
      </w:r>
      <w:r>
        <w:rPr>
          <w:rFonts w:hint="eastAsia" w:ascii="宋体" w:hAnsi="宋体" w:cs="宋体"/>
          <w:sz w:val="24"/>
          <w:szCs w:val="32"/>
        </w:rPr>
        <w:t>：</w:t>
      </w:r>
      <w:r>
        <w:rPr>
          <w:rFonts w:hint="eastAsia" w:ascii="宋体" w:hAnsi="宋体" w:cs="宋体"/>
          <w:kern w:val="0"/>
          <w:sz w:val="24"/>
        </w:rPr>
        <w:t>30</w:t>
      </w:r>
      <w:r>
        <w:rPr>
          <w:rFonts w:hint="eastAsia" w:ascii="宋体" w:hAnsi="宋体" w:cs="宋体"/>
          <w:sz w:val="24"/>
          <w:szCs w:val="32"/>
        </w:rPr>
        <w:t>时至</w:t>
      </w:r>
      <w:r>
        <w:rPr>
          <w:rFonts w:hint="eastAsia" w:ascii="宋体" w:hAnsi="宋体" w:cs="宋体"/>
          <w:kern w:val="0"/>
          <w:sz w:val="24"/>
          <w:lang w:val="en-US" w:eastAsia="zh-CN"/>
        </w:rPr>
        <w:t>15</w:t>
      </w:r>
      <w:r>
        <w:rPr>
          <w:rFonts w:hint="eastAsia" w:ascii="宋体" w:hAnsi="宋体" w:cs="宋体"/>
          <w:sz w:val="24"/>
          <w:szCs w:val="32"/>
        </w:rPr>
        <w:t>：</w:t>
      </w:r>
      <w:r>
        <w:rPr>
          <w:rFonts w:hint="eastAsia" w:ascii="宋体" w:hAnsi="宋体" w:cs="宋体"/>
          <w:kern w:val="0"/>
          <w:sz w:val="24"/>
        </w:rPr>
        <w:t>00</w:t>
      </w:r>
      <w:r>
        <w:rPr>
          <w:rFonts w:hint="eastAsia" w:ascii="宋体" w:hAnsi="宋体" w:cs="宋体"/>
          <w:sz w:val="24"/>
          <w:szCs w:val="32"/>
        </w:rPr>
        <w:t>时（北京时间），在辽宁中信诚达项目管理有限公司（大连市西岗区五四路81号星海商城6号楼709室）。</w:t>
      </w:r>
    </w:p>
    <w:p>
      <w:pPr>
        <w:spacing w:line="360" w:lineRule="auto"/>
        <w:ind w:firstLine="470" w:firstLineChars="196"/>
        <w:rPr>
          <w:rFonts w:ascii="宋体" w:hAnsi="宋体" w:cs="宋体"/>
          <w:sz w:val="24"/>
          <w:szCs w:val="32"/>
        </w:rPr>
      </w:pPr>
      <w:r>
        <w:rPr>
          <w:rFonts w:hint="eastAsia" w:ascii="宋体" w:hAnsi="宋体" w:cs="宋体"/>
          <w:sz w:val="24"/>
          <w:szCs w:val="32"/>
        </w:rPr>
        <w:t>2.截止时间：2022年</w:t>
      </w:r>
      <w:r>
        <w:rPr>
          <w:rFonts w:hint="eastAsia" w:ascii="宋体" w:hAnsi="宋体" w:cs="宋体"/>
          <w:kern w:val="0"/>
          <w:sz w:val="24"/>
          <w:lang w:val="en-US" w:eastAsia="zh-CN"/>
        </w:rPr>
        <w:t>10</w:t>
      </w:r>
      <w:r>
        <w:rPr>
          <w:rFonts w:hint="eastAsia" w:ascii="宋体" w:hAnsi="宋体" w:cs="宋体"/>
          <w:kern w:val="0"/>
          <w:sz w:val="24"/>
        </w:rPr>
        <w:t>月</w:t>
      </w:r>
      <w:r>
        <w:rPr>
          <w:rFonts w:hint="eastAsia" w:ascii="宋体" w:hAnsi="宋体" w:cs="宋体"/>
          <w:kern w:val="0"/>
          <w:sz w:val="24"/>
          <w:lang w:val="en-US" w:eastAsia="zh-CN"/>
        </w:rPr>
        <w:t>24</w:t>
      </w:r>
      <w:r>
        <w:rPr>
          <w:rFonts w:hint="eastAsia" w:ascii="宋体" w:hAnsi="宋体" w:cs="宋体"/>
          <w:kern w:val="0"/>
          <w:sz w:val="24"/>
        </w:rPr>
        <w:t>日</w:t>
      </w:r>
      <w:r>
        <w:rPr>
          <w:rFonts w:hint="eastAsia" w:ascii="宋体" w:hAnsi="宋体" w:cs="宋体"/>
          <w:kern w:val="0"/>
          <w:sz w:val="24"/>
          <w:lang w:val="en-US" w:eastAsia="zh-CN"/>
        </w:rPr>
        <w:t>15</w:t>
      </w:r>
      <w:r>
        <w:rPr>
          <w:rFonts w:hint="eastAsia" w:ascii="宋体" w:hAnsi="宋体" w:cs="宋体"/>
          <w:sz w:val="24"/>
          <w:szCs w:val="32"/>
        </w:rPr>
        <w:t>：</w:t>
      </w:r>
      <w:r>
        <w:rPr>
          <w:rFonts w:hint="eastAsia" w:ascii="宋体" w:hAnsi="宋体" w:cs="宋体"/>
          <w:kern w:val="0"/>
          <w:sz w:val="24"/>
        </w:rPr>
        <w:t>00</w:t>
      </w:r>
      <w:r>
        <w:rPr>
          <w:rFonts w:hint="eastAsia" w:ascii="宋体" w:hAnsi="宋体" w:cs="宋体"/>
          <w:sz w:val="24"/>
          <w:szCs w:val="32"/>
        </w:rPr>
        <w:t>时（北京时间）。</w:t>
      </w:r>
    </w:p>
    <w:p>
      <w:pPr>
        <w:widowControl/>
        <w:spacing w:line="360" w:lineRule="auto"/>
        <w:ind w:firstLine="480" w:firstLineChars="200"/>
        <w:jc w:val="left"/>
        <w:rPr>
          <w:rFonts w:ascii="宋体" w:hAnsi="宋体" w:cs="宋体"/>
          <w:kern w:val="0"/>
          <w:sz w:val="24"/>
        </w:rPr>
      </w:pPr>
      <w:r>
        <w:rPr>
          <w:rFonts w:hint="eastAsia" w:ascii="宋体" w:hAnsi="宋体" w:cs="宋体"/>
          <w:sz w:val="24"/>
          <w:szCs w:val="32"/>
        </w:rPr>
        <w:t>3.开标时间和地点：2022年</w:t>
      </w:r>
      <w:r>
        <w:rPr>
          <w:rFonts w:hint="eastAsia" w:ascii="宋体" w:hAnsi="宋体" w:cs="宋体"/>
          <w:kern w:val="0"/>
          <w:sz w:val="24"/>
          <w:lang w:eastAsia="zh-CN"/>
        </w:rPr>
        <w:t>10月24日15：00时</w:t>
      </w:r>
      <w:r>
        <w:rPr>
          <w:rFonts w:hint="eastAsia" w:ascii="宋体" w:hAnsi="宋体" w:cs="宋体"/>
          <w:sz w:val="24"/>
          <w:szCs w:val="32"/>
        </w:rPr>
        <w:t>（北京时间）在辽宁中信诚达项目管理有限公司（大连市西岗区五四路81号星海商城6号楼709室）。</w:t>
      </w:r>
    </w:p>
    <w:p>
      <w:pPr>
        <w:widowControl/>
        <w:spacing w:line="360" w:lineRule="auto"/>
        <w:ind w:firstLine="482" w:firstLineChars="200"/>
        <w:jc w:val="left"/>
        <w:rPr>
          <w:rFonts w:ascii="宋体" w:hAnsi="宋体" w:cs="宋体"/>
          <w:kern w:val="0"/>
          <w:sz w:val="24"/>
        </w:rPr>
      </w:pPr>
      <w:r>
        <w:rPr>
          <w:rFonts w:hint="eastAsia" w:ascii="宋体" w:hAnsi="宋体"/>
          <w:b/>
          <w:sz w:val="24"/>
        </w:rPr>
        <w:t>五、</w:t>
      </w:r>
      <w:r>
        <w:rPr>
          <w:rFonts w:ascii="宋体" w:hAnsi="宋体"/>
          <w:b/>
          <w:sz w:val="24"/>
        </w:rPr>
        <w:t>公告期限</w:t>
      </w:r>
      <w:r>
        <w:rPr>
          <w:rFonts w:hint="eastAsia" w:ascii="宋体" w:hAnsi="宋体"/>
          <w:b/>
          <w:sz w:val="24"/>
        </w:rPr>
        <w:t>：</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自本公告发布之日起5个工作日</w:t>
      </w:r>
    </w:p>
    <w:p>
      <w:pPr>
        <w:widowControl/>
        <w:spacing w:line="360" w:lineRule="auto"/>
        <w:ind w:firstLine="482" w:firstLineChars="200"/>
        <w:jc w:val="left"/>
        <w:rPr>
          <w:rFonts w:ascii="宋体" w:hAnsi="宋体" w:cs="宋体"/>
          <w:kern w:val="0"/>
          <w:sz w:val="24"/>
        </w:rPr>
      </w:pPr>
      <w:r>
        <w:rPr>
          <w:rFonts w:hint="eastAsia" w:ascii="宋体" w:hAnsi="宋体" w:cs="宋体"/>
          <w:b/>
          <w:kern w:val="0"/>
          <w:sz w:val="24"/>
        </w:rPr>
        <w:t>六、其他补充事宜：</w:t>
      </w:r>
    </w:p>
    <w:p>
      <w:pPr>
        <w:spacing w:line="360" w:lineRule="auto"/>
        <w:ind w:firstLine="470" w:firstLineChars="196"/>
        <w:rPr>
          <w:rFonts w:ascii="宋体" w:hAnsi="宋体" w:cs="宋体"/>
          <w:kern w:val="0"/>
          <w:sz w:val="24"/>
        </w:rPr>
      </w:pPr>
      <w:r>
        <w:rPr>
          <w:rFonts w:hint="eastAsia" w:ascii="宋体" w:hAnsi="宋体" w:cs="宋体"/>
          <w:sz w:val="24"/>
          <w:szCs w:val="32"/>
        </w:rPr>
        <w:t>未尽事宜详见招标文件。</w:t>
      </w:r>
    </w:p>
    <w:p>
      <w:pPr>
        <w:widowControl/>
        <w:spacing w:line="360" w:lineRule="auto"/>
        <w:ind w:firstLine="482" w:firstLineChars="200"/>
        <w:jc w:val="left"/>
        <w:rPr>
          <w:rFonts w:ascii="宋体" w:hAnsi="宋体" w:cs="宋体"/>
          <w:kern w:val="0"/>
          <w:sz w:val="24"/>
        </w:rPr>
      </w:pPr>
      <w:r>
        <w:rPr>
          <w:rFonts w:hint="eastAsia" w:ascii="宋体" w:hAnsi="宋体"/>
          <w:b/>
          <w:sz w:val="24"/>
        </w:rPr>
        <w:t>七、对本次招标提出询问，请按以下方式联系：</w:t>
      </w:r>
    </w:p>
    <w:p>
      <w:pPr>
        <w:widowControl/>
        <w:spacing w:line="360" w:lineRule="auto"/>
        <w:ind w:firstLine="480" w:firstLineChars="200"/>
        <w:jc w:val="left"/>
        <w:rPr>
          <w:rFonts w:ascii="宋体" w:hAnsi="宋体" w:cs="宋体"/>
          <w:kern w:val="0"/>
          <w:sz w:val="24"/>
        </w:rPr>
      </w:pPr>
      <w:r>
        <w:rPr>
          <w:rFonts w:hint="eastAsia" w:ascii="宋体" w:hAnsi="宋体"/>
          <w:sz w:val="24"/>
        </w:rPr>
        <w:t>1.采购人信息：</w:t>
      </w:r>
      <w:r>
        <w:rPr>
          <w:rFonts w:hint="eastAsia" w:ascii="宋体" w:hAnsi="宋体"/>
          <w:bCs/>
          <w:sz w:val="24"/>
        </w:rPr>
        <w:t>大连大学附属新华医院</w:t>
      </w:r>
    </w:p>
    <w:p>
      <w:pPr>
        <w:spacing w:line="360" w:lineRule="auto"/>
        <w:ind w:right="-212" w:rightChars="-101" w:firstLine="720" w:firstLineChars="300"/>
        <w:rPr>
          <w:rFonts w:ascii="宋体" w:hAnsi="宋体" w:cs="宋体"/>
          <w:sz w:val="24"/>
        </w:rPr>
      </w:pPr>
      <w:r>
        <w:rPr>
          <w:rFonts w:hint="eastAsia" w:ascii="宋体" w:hAnsi="宋体" w:cs="宋体"/>
          <w:sz w:val="24"/>
        </w:rPr>
        <w:t>地    址：大连市沙河口区万岁街156号</w:t>
      </w:r>
    </w:p>
    <w:p>
      <w:pPr>
        <w:spacing w:line="360" w:lineRule="auto"/>
        <w:ind w:left="1" w:firstLine="720" w:firstLineChars="300"/>
        <w:rPr>
          <w:rFonts w:ascii="宋体" w:hAnsi="宋体" w:cs="宋体"/>
          <w:kern w:val="0"/>
          <w:sz w:val="24"/>
        </w:rPr>
      </w:pPr>
      <w:r>
        <w:rPr>
          <w:rFonts w:hint="eastAsia" w:ascii="宋体" w:hAnsi="宋体" w:cs="宋体"/>
          <w:kern w:val="0"/>
          <w:sz w:val="24"/>
        </w:rPr>
        <w:t>联系人：姜恩兰</w:t>
      </w:r>
    </w:p>
    <w:p>
      <w:pPr>
        <w:spacing w:line="360" w:lineRule="auto"/>
        <w:ind w:left="1" w:firstLine="720" w:firstLineChars="300"/>
      </w:pPr>
      <w:r>
        <w:rPr>
          <w:rFonts w:hint="eastAsia" w:ascii="宋体" w:hAnsi="宋体" w:cs="宋体"/>
          <w:kern w:val="0"/>
          <w:sz w:val="24"/>
        </w:rPr>
        <w:t>电  话：0411-</w:t>
      </w:r>
      <w:r>
        <w:t xml:space="preserve"> </w:t>
      </w:r>
      <w:r>
        <w:rPr>
          <w:rFonts w:ascii="宋体" w:hAnsi="宋体" w:cs="宋体"/>
          <w:kern w:val="0"/>
          <w:sz w:val="24"/>
        </w:rPr>
        <w:t>84369680</w:t>
      </w:r>
    </w:p>
    <w:p>
      <w:pPr>
        <w:spacing w:line="360" w:lineRule="auto"/>
        <w:ind w:right="-212" w:rightChars="-101" w:firstLine="480" w:firstLineChars="200"/>
        <w:rPr>
          <w:rFonts w:ascii="宋体" w:hAnsi="宋体" w:cs="宋体"/>
          <w:bCs/>
          <w:sz w:val="24"/>
        </w:rPr>
      </w:pPr>
      <w:r>
        <w:rPr>
          <w:rFonts w:hint="eastAsia" w:ascii="宋体" w:hAnsi="宋体" w:cs="宋体"/>
          <w:bCs/>
          <w:sz w:val="24"/>
        </w:rPr>
        <w:t>2.采购代理机构信息：</w:t>
      </w:r>
    </w:p>
    <w:p>
      <w:pPr>
        <w:spacing w:line="360" w:lineRule="auto"/>
        <w:ind w:right="-212" w:rightChars="-101" w:firstLine="720" w:firstLineChars="300"/>
        <w:rPr>
          <w:rFonts w:ascii="宋体" w:hAnsi="宋体" w:cs="宋体"/>
          <w:bCs/>
          <w:sz w:val="24"/>
        </w:rPr>
      </w:pPr>
      <w:r>
        <w:rPr>
          <w:rFonts w:hint="eastAsia" w:ascii="宋体" w:hAnsi="宋体" w:cs="宋体"/>
          <w:bCs/>
          <w:sz w:val="24"/>
        </w:rPr>
        <w:t>名    称：辽宁中信诚达项目管理有限公司</w:t>
      </w:r>
    </w:p>
    <w:p>
      <w:pPr>
        <w:spacing w:line="360" w:lineRule="auto"/>
        <w:ind w:right="-212" w:rightChars="-101" w:firstLine="720" w:firstLineChars="300"/>
        <w:rPr>
          <w:rFonts w:ascii="宋体" w:hAnsi="宋体" w:cs="宋体"/>
          <w:bCs/>
          <w:sz w:val="24"/>
        </w:rPr>
      </w:pPr>
      <w:r>
        <w:rPr>
          <w:rFonts w:hint="eastAsia" w:ascii="宋体" w:hAnsi="宋体" w:cs="宋体"/>
          <w:bCs/>
          <w:sz w:val="24"/>
        </w:rPr>
        <w:t>地    址：大连市西岗区五四路81号星海商城6号楼803室</w:t>
      </w:r>
    </w:p>
    <w:p>
      <w:pPr>
        <w:spacing w:line="360" w:lineRule="auto"/>
        <w:ind w:right="-212" w:rightChars="-101" w:firstLine="720" w:firstLineChars="300"/>
        <w:rPr>
          <w:rFonts w:ascii="宋体" w:hAnsi="宋体" w:cs="宋体"/>
          <w:bCs/>
          <w:sz w:val="24"/>
        </w:rPr>
      </w:pPr>
      <w:r>
        <w:rPr>
          <w:rFonts w:hint="eastAsia" w:ascii="宋体" w:hAnsi="宋体" w:cs="宋体"/>
          <w:bCs/>
          <w:sz w:val="24"/>
        </w:rPr>
        <w:t>联系方式：0411-83729660-808、806/</w:t>
      </w:r>
      <w:r>
        <w:t xml:space="preserve"> </w:t>
      </w:r>
      <w:r>
        <w:rPr>
          <w:rFonts w:ascii="宋体" w:hAnsi="宋体" w:cs="宋体"/>
          <w:bCs/>
          <w:sz w:val="24"/>
        </w:rPr>
        <w:t>18525549223</w:t>
      </w:r>
    </w:p>
    <w:p>
      <w:pPr>
        <w:spacing w:line="360" w:lineRule="auto"/>
        <w:ind w:right="-212" w:rightChars="-101" w:firstLine="480" w:firstLineChars="200"/>
        <w:rPr>
          <w:rFonts w:ascii="宋体" w:hAnsi="宋体" w:cs="宋体"/>
          <w:bCs/>
          <w:sz w:val="24"/>
        </w:rPr>
      </w:pPr>
      <w:bookmarkStart w:id="0" w:name="_Toc35393808"/>
      <w:bookmarkStart w:id="1" w:name="_Toc35393639"/>
      <w:bookmarkStart w:id="2" w:name="_Toc28359021"/>
      <w:bookmarkStart w:id="3" w:name="_Toc28359098"/>
      <w:r>
        <w:rPr>
          <w:rFonts w:hint="eastAsia" w:ascii="宋体" w:hAnsi="宋体" w:cs="宋体"/>
          <w:bCs/>
          <w:sz w:val="24"/>
        </w:rPr>
        <w:t>3.项目联系方式</w:t>
      </w:r>
      <w:bookmarkEnd w:id="0"/>
      <w:bookmarkEnd w:id="1"/>
      <w:bookmarkEnd w:id="2"/>
      <w:bookmarkEnd w:id="3"/>
      <w:r>
        <w:rPr>
          <w:rFonts w:hint="eastAsia" w:ascii="宋体" w:hAnsi="宋体" w:cs="宋体"/>
          <w:bCs/>
          <w:sz w:val="24"/>
        </w:rPr>
        <w:t>：</w:t>
      </w:r>
    </w:p>
    <w:p>
      <w:pPr>
        <w:spacing w:line="360" w:lineRule="auto"/>
        <w:ind w:right="-212" w:rightChars="-101" w:firstLine="720" w:firstLineChars="300"/>
        <w:rPr>
          <w:rFonts w:ascii="宋体" w:hAnsi="宋体" w:cs="宋体"/>
          <w:bCs/>
          <w:sz w:val="24"/>
        </w:rPr>
      </w:pPr>
      <w:r>
        <w:rPr>
          <w:rFonts w:hint="eastAsia" w:ascii="宋体" w:hAnsi="宋体" w:cs="宋体"/>
          <w:bCs/>
          <w:sz w:val="24"/>
        </w:rPr>
        <w:t>项目联系人：贺春玲、刘永澎、奚旺</w:t>
      </w:r>
    </w:p>
    <w:p>
      <w:pPr>
        <w:spacing w:line="360" w:lineRule="auto"/>
        <w:ind w:right="-212" w:rightChars="-101" w:firstLine="720" w:firstLineChars="300"/>
        <w:rPr>
          <w:rFonts w:ascii="宋体" w:hAnsi="宋体" w:cs="宋体"/>
          <w:bCs/>
          <w:sz w:val="24"/>
        </w:rPr>
      </w:pPr>
      <w:r>
        <w:rPr>
          <w:rFonts w:hint="eastAsia" w:ascii="宋体" w:hAnsi="宋体" w:cs="宋体"/>
          <w:bCs/>
          <w:sz w:val="24"/>
        </w:rPr>
        <w:t>电    话：0411-83729660-808、806/</w:t>
      </w:r>
      <w:r>
        <w:t xml:space="preserve"> </w:t>
      </w:r>
      <w:r>
        <w:rPr>
          <w:rFonts w:ascii="宋体" w:hAnsi="宋体" w:cs="宋体"/>
          <w:bCs/>
          <w:sz w:val="24"/>
        </w:rPr>
        <w:t>18525549223</w:t>
      </w:r>
      <w:r>
        <w:rPr>
          <w:rFonts w:hint="eastAsia" w:ascii="宋体" w:hAnsi="宋体" w:cs="宋体"/>
          <w:bCs/>
          <w:sz w:val="24"/>
        </w:rPr>
        <w:t xml:space="preserve">    </w:t>
      </w:r>
    </w:p>
    <w:p>
      <w:pPr>
        <w:spacing w:line="360" w:lineRule="auto"/>
        <w:ind w:right="-212" w:rightChars="-101" w:firstLine="720" w:firstLineChars="300"/>
        <w:rPr>
          <w:rFonts w:ascii="宋体" w:hAnsi="宋体" w:cs="宋体"/>
          <w:bCs/>
          <w:sz w:val="24"/>
        </w:rPr>
      </w:pPr>
      <w:r>
        <w:rPr>
          <w:rFonts w:hint="eastAsia" w:ascii="宋体" w:hAnsi="宋体" w:cs="宋体"/>
          <w:bCs/>
          <w:sz w:val="24"/>
        </w:rPr>
        <w:t>电子邮箱：</w:t>
      </w:r>
      <w:r>
        <w:fldChar w:fldCharType="begin"/>
      </w:r>
      <w:r>
        <w:instrText xml:space="preserve"> HYPERLINK "mailto:lnzxcd_vip@163.com" </w:instrText>
      </w:r>
      <w:r>
        <w:fldChar w:fldCharType="separate"/>
      </w:r>
      <w:r>
        <w:rPr>
          <w:rFonts w:hint="eastAsia" w:ascii="宋体" w:hAnsi="宋体" w:cs="宋体"/>
          <w:bCs/>
          <w:sz w:val="24"/>
        </w:rPr>
        <w:t>lnzxcd_vip@163.com</w:t>
      </w:r>
      <w:r>
        <w:rPr>
          <w:rFonts w:hint="eastAsia" w:ascii="宋体" w:hAnsi="宋体" w:cs="宋体"/>
          <w:bCs/>
          <w:sz w:val="24"/>
        </w:rPr>
        <w:fldChar w:fldCharType="end"/>
      </w:r>
    </w:p>
    <w:p>
      <w:pPr>
        <w:spacing w:line="360" w:lineRule="auto"/>
        <w:ind w:right="-212" w:rightChars="-101" w:firstLine="720" w:firstLineChars="300"/>
        <w:rPr>
          <w:rFonts w:ascii="宋体" w:hAnsi="宋体" w:cs="宋体"/>
          <w:bCs/>
          <w:sz w:val="24"/>
        </w:rPr>
      </w:pPr>
      <w:r>
        <w:rPr>
          <w:rFonts w:hint="eastAsia" w:ascii="宋体" w:hAnsi="宋体" w:cs="宋体"/>
          <w:bCs/>
          <w:sz w:val="24"/>
        </w:rPr>
        <w:t>地    址：大连市西岗区五四路81号星海商城6号楼803室</w:t>
      </w:r>
    </w:p>
    <w:p>
      <w:pPr>
        <w:spacing w:line="360" w:lineRule="auto"/>
        <w:ind w:right="-212" w:rightChars="-101" w:firstLine="720" w:firstLineChars="300"/>
        <w:rPr>
          <w:rFonts w:ascii="宋体" w:hAnsi="宋体" w:cs="宋体"/>
          <w:bCs/>
          <w:sz w:val="24"/>
        </w:rPr>
      </w:pPr>
      <w:r>
        <w:rPr>
          <w:rFonts w:hint="eastAsia" w:ascii="宋体" w:hAnsi="宋体" w:cs="宋体"/>
          <w:bCs/>
          <w:sz w:val="24"/>
        </w:rPr>
        <w:t>开户银行：中国工商银行股份有限公司大连西岗支行</w:t>
      </w:r>
    </w:p>
    <w:p>
      <w:pPr>
        <w:spacing w:line="360" w:lineRule="auto"/>
        <w:ind w:firstLine="720" w:firstLineChars="300"/>
        <w:rPr>
          <w:rFonts w:ascii="宋体" w:hAnsi="宋体"/>
          <w:sz w:val="24"/>
        </w:rPr>
      </w:pPr>
      <w:r>
        <w:rPr>
          <w:rFonts w:hint="eastAsia" w:ascii="宋体" w:hAnsi="宋体" w:cs="宋体"/>
          <w:bCs/>
          <w:sz w:val="24"/>
        </w:rPr>
        <w:t>账    号：3400202909000064174</w:t>
      </w:r>
    </w:p>
    <w:p>
      <w:pPr>
        <w:spacing w:line="360" w:lineRule="auto"/>
        <w:ind w:firstLine="470" w:firstLineChars="196"/>
        <w:rPr>
          <w:rFonts w:ascii="宋体" w:hAnsi="宋体"/>
          <w:sz w:val="24"/>
        </w:rPr>
      </w:pPr>
    </w:p>
    <w:p>
      <w:pPr>
        <w:spacing w:line="360" w:lineRule="auto"/>
        <w:ind w:firstLine="470" w:firstLineChars="196"/>
        <w:rPr>
          <w:rFonts w:ascii="宋体" w:hAnsi="宋体" w:cs="宋体"/>
          <w:kern w:val="0"/>
          <w:sz w:val="24"/>
        </w:rPr>
      </w:pPr>
    </w:p>
    <w:p>
      <w:pPr>
        <w:spacing w:line="360" w:lineRule="auto"/>
        <w:ind w:firstLine="1200" w:firstLineChars="500"/>
        <w:rPr>
          <w:rFonts w:ascii="宋体" w:hAnsi="宋体"/>
          <w:sz w:val="24"/>
        </w:rPr>
      </w:pPr>
    </w:p>
    <w:p>
      <w:pPr>
        <w:spacing w:line="360" w:lineRule="auto"/>
        <w:ind w:left="1"/>
        <w:rPr>
          <w:rFonts w:ascii="宋体" w:hAnsi="宋体"/>
          <w:sz w:val="24"/>
        </w:rPr>
      </w:pPr>
      <w:r>
        <w:rPr>
          <w:rFonts w:hint="eastAsia" w:ascii="宋体" w:hAnsi="宋体"/>
          <w:sz w:val="24"/>
        </w:rPr>
        <w:br w:type="page"/>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b/>
          <w:bCs/>
          <w:sz w:val="44"/>
        </w:rPr>
      </w:pPr>
      <w:r>
        <w:rPr>
          <w:rFonts w:hint="eastAsia" w:ascii="宋体" w:hAnsi="宋体"/>
          <w:b/>
          <w:bCs/>
          <w:sz w:val="44"/>
        </w:rPr>
        <w:t>第一章 投标人须知及前附表</w:t>
      </w:r>
    </w:p>
    <w:p>
      <w:pPr>
        <w:spacing w:line="360" w:lineRule="auto"/>
        <w:jc w:val="center"/>
        <w:rPr>
          <w:rFonts w:ascii="宋体" w:hAnsi="宋体"/>
          <w:b/>
          <w:sz w:val="36"/>
          <w:szCs w:val="36"/>
        </w:rPr>
      </w:pPr>
      <w:r>
        <w:rPr>
          <w:rFonts w:hint="eastAsia" w:ascii="宋体" w:hAnsi="宋体"/>
          <w:bCs/>
          <w:sz w:val="44"/>
        </w:rPr>
        <w:br w:type="page"/>
      </w:r>
      <w:r>
        <w:rPr>
          <w:rFonts w:hint="eastAsia" w:ascii="宋体" w:hAnsi="宋体"/>
          <w:b/>
          <w:sz w:val="36"/>
          <w:szCs w:val="36"/>
        </w:rPr>
        <w:t>投标人须知前附表</w:t>
      </w:r>
    </w:p>
    <w:tbl>
      <w:tblPr>
        <w:tblStyle w:val="2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序号</w:t>
            </w:r>
          </w:p>
        </w:tc>
        <w:tc>
          <w:tcPr>
            <w:tcW w:w="79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28" w:type="dxa"/>
            <w:tcBorders>
              <w:top w:val="single" w:color="auto" w:sz="4" w:space="0"/>
              <w:left w:val="single" w:color="auto" w:sz="4" w:space="0"/>
              <w:bottom w:val="single" w:color="auto" w:sz="4" w:space="0"/>
              <w:right w:val="single" w:color="auto" w:sz="4" w:space="0"/>
            </w:tcBorders>
            <w:vAlign w:val="center"/>
          </w:tcPr>
          <w:p>
            <w:pPr>
              <w:pStyle w:val="28"/>
              <w:widowControl w:val="0"/>
              <w:pBdr>
                <w:left w:val="none" w:color="auto" w:sz="0" w:space="0"/>
                <w:bottom w:val="none" w:color="auto" w:sz="0" w:space="0"/>
                <w:right w:val="none" w:color="auto" w:sz="0" w:space="0"/>
              </w:pBdr>
              <w:spacing w:before="0" w:beforeAutospacing="0" w:after="0" w:afterAutospacing="0"/>
              <w:rPr>
                <w:rFonts w:ascii="宋体" w:eastAsia="宋体"/>
                <w:color w:val="auto"/>
                <w:kern w:val="2"/>
              </w:rPr>
            </w:pPr>
            <w:r>
              <w:rPr>
                <w:rFonts w:hint="eastAsia" w:ascii="宋体" w:eastAsia="宋体"/>
                <w:color w:val="auto"/>
                <w:kern w:val="2"/>
              </w:rPr>
              <w:t>1</w:t>
            </w:r>
          </w:p>
        </w:tc>
        <w:tc>
          <w:tcPr>
            <w:tcW w:w="7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rPr>
            </w:pPr>
            <w:r>
              <w:rPr>
                <w:rFonts w:hint="eastAsia" w:ascii="宋体" w:hAnsi="宋体"/>
                <w:color w:val="auto"/>
                <w:sz w:val="24"/>
              </w:rPr>
              <w:t>项目名称：大连大学附属新华医院感染性疾病应急中心项目勘察采购项目</w:t>
            </w:r>
          </w:p>
          <w:p>
            <w:pPr>
              <w:rPr>
                <w:rFonts w:ascii="宋体" w:hAnsi="宋体"/>
                <w:color w:val="auto"/>
                <w:sz w:val="24"/>
              </w:rPr>
            </w:pPr>
            <w:r>
              <w:rPr>
                <w:rFonts w:hint="eastAsia" w:ascii="宋体" w:hAnsi="宋体"/>
                <w:color w:val="auto"/>
                <w:sz w:val="24"/>
              </w:rPr>
              <w:t>项目编号：</w:t>
            </w:r>
            <w:r>
              <w:rPr>
                <w:rFonts w:hint="eastAsia" w:ascii="宋体" w:hAnsi="宋体" w:cs="宋体"/>
                <w:color w:val="auto"/>
                <w:kern w:val="0"/>
                <w:sz w:val="24"/>
              </w:rPr>
              <w:t>ZXCD20220905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2</w:t>
            </w:r>
          </w:p>
        </w:tc>
        <w:tc>
          <w:tcPr>
            <w:tcW w:w="7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rPr>
            </w:pPr>
            <w:r>
              <w:rPr>
                <w:rFonts w:hint="eastAsia" w:ascii="宋体" w:hAnsi="宋体"/>
                <w:color w:val="auto"/>
                <w:sz w:val="24"/>
              </w:rPr>
              <w:t>采购人名称:</w:t>
            </w:r>
            <w:r>
              <w:rPr>
                <w:rFonts w:hint="eastAsia" w:ascii="宋体" w:hAnsi="宋体" w:cs="宋体"/>
                <w:color w:val="auto"/>
                <w:kern w:val="0"/>
                <w:sz w:val="24"/>
              </w:rPr>
              <w:t xml:space="preserve"> 大连大学附属新华医院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3</w:t>
            </w:r>
          </w:p>
        </w:tc>
        <w:tc>
          <w:tcPr>
            <w:tcW w:w="792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4"/>
              </w:rPr>
            </w:pPr>
            <w:r>
              <w:rPr>
                <w:rFonts w:hint="eastAsia" w:ascii="宋体" w:hAnsi="宋体"/>
                <w:color w:val="auto"/>
                <w:sz w:val="24"/>
                <w:szCs w:val="21"/>
              </w:rPr>
              <w:t>资金来</w:t>
            </w:r>
            <w:r>
              <w:rPr>
                <w:rFonts w:hint="eastAsia" w:ascii="宋体" w:hAnsi="宋体"/>
                <w:bCs/>
                <w:color w:val="auto"/>
                <w:sz w:val="24"/>
              </w:rPr>
              <w:t>源：</w:t>
            </w:r>
            <w:r>
              <w:rPr>
                <w:rFonts w:hint="eastAsia" w:ascii="宋体" w:hAnsi="宋体"/>
                <w:color w:val="auto"/>
                <w:sz w:val="24"/>
                <w:szCs w:val="21"/>
              </w:rPr>
              <w:t>财政资金</w:t>
            </w:r>
          </w:p>
          <w:p>
            <w:pPr>
              <w:rPr>
                <w:rFonts w:ascii="宋体" w:hAnsi="宋体" w:cs="宋体"/>
                <w:color w:val="auto"/>
                <w:kern w:val="0"/>
                <w:sz w:val="24"/>
              </w:rPr>
            </w:pPr>
            <w:r>
              <w:rPr>
                <w:rFonts w:hint="eastAsia" w:ascii="宋体" w:hAnsi="宋体" w:cs="宋体"/>
                <w:color w:val="auto"/>
                <w:kern w:val="0"/>
                <w:sz w:val="24"/>
              </w:rPr>
              <w:t>采购预算：26.956224万元（本项目设拦标价，于开标前3天公布，超出拦标价的，按无效投标处理。）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4</w:t>
            </w:r>
          </w:p>
        </w:tc>
        <w:tc>
          <w:tcPr>
            <w:tcW w:w="7927"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olor w:val="auto"/>
                <w:sz w:val="24"/>
              </w:rPr>
            </w:pPr>
            <w:r>
              <w:rPr>
                <w:rFonts w:hint="eastAsia" w:ascii="宋体" w:hAnsi="宋体" w:cs="宋体"/>
                <w:color w:val="auto"/>
                <w:kern w:val="0"/>
                <w:sz w:val="24"/>
              </w:rPr>
              <w:t>根据《关于规范政府采购保证金管理建立预付款制度有关事项的通知》大财采【2020】546号文件第一条第一款“鼓励采购人、采购代理机构免收（响应）保证金”的规定，本项目不收投标保证金。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5</w:t>
            </w:r>
          </w:p>
        </w:tc>
        <w:tc>
          <w:tcPr>
            <w:tcW w:w="7927" w:type="dxa"/>
            <w:tcBorders>
              <w:top w:val="single" w:color="auto" w:sz="4" w:space="0"/>
              <w:left w:val="single" w:color="auto" w:sz="4" w:space="0"/>
              <w:bottom w:val="single" w:color="auto" w:sz="4" w:space="0"/>
              <w:right w:val="single" w:color="auto" w:sz="4" w:space="0"/>
            </w:tcBorders>
            <w:vAlign w:val="center"/>
          </w:tcPr>
          <w:p>
            <w:pPr>
              <w:ind w:left="2400" w:hanging="2400" w:hangingChars="1000"/>
              <w:rPr>
                <w:rFonts w:ascii="宋体" w:hAnsi="宋体"/>
                <w:bCs/>
                <w:color w:val="auto"/>
                <w:sz w:val="24"/>
              </w:rPr>
            </w:pPr>
            <w:r>
              <w:rPr>
                <w:rFonts w:hint="eastAsia" w:ascii="宋体" w:hAnsi="宋体"/>
                <w:bCs/>
                <w:color w:val="auto"/>
                <w:sz w:val="24"/>
              </w:rPr>
              <w:t>投标有效期：开标之日起90个日历日。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28" w:type="dxa"/>
            <w:tcBorders>
              <w:top w:val="single" w:color="auto" w:sz="4" w:space="0"/>
              <w:left w:val="single" w:color="auto" w:sz="4" w:space="0"/>
              <w:bottom w:val="single" w:color="auto" w:sz="4" w:space="0"/>
              <w:right w:val="single" w:color="auto" w:sz="4" w:space="0"/>
            </w:tcBorders>
            <w:vAlign w:val="center"/>
          </w:tcPr>
          <w:p>
            <w:pPr>
              <w:pStyle w:val="28"/>
              <w:widowControl w:val="0"/>
              <w:pBdr>
                <w:left w:val="none" w:color="auto" w:sz="0" w:space="0"/>
                <w:bottom w:val="none" w:color="auto" w:sz="0" w:space="0"/>
                <w:right w:val="none" w:color="auto" w:sz="0" w:space="0"/>
              </w:pBdr>
              <w:spacing w:before="0" w:beforeAutospacing="0" w:after="0" w:afterAutospacing="0"/>
              <w:rPr>
                <w:rFonts w:ascii="宋体" w:eastAsia="宋体"/>
                <w:color w:val="auto"/>
                <w:kern w:val="2"/>
              </w:rPr>
            </w:pPr>
            <w:r>
              <w:rPr>
                <w:rFonts w:hint="eastAsia" w:ascii="宋体" w:eastAsia="宋体"/>
                <w:color w:val="auto"/>
                <w:kern w:val="2"/>
              </w:rPr>
              <w:t>6</w:t>
            </w:r>
          </w:p>
        </w:tc>
        <w:tc>
          <w:tcPr>
            <w:tcW w:w="792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4"/>
              </w:rPr>
            </w:pPr>
            <w:r>
              <w:rPr>
                <w:rFonts w:hint="eastAsia" w:ascii="宋体" w:hAnsi="宋体" w:cs="宋体"/>
                <w:color w:val="auto"/>
                <w:kern w:val="0"/>
                <w:sz w:val="24"/>
              </w:rPr>
              <w:t>投标文件编制要求、数量及封装要求：</w:t>
            </w:r>
          </w:p>
          <w:p>
            <w:pPr>
              <w:rPr>
                <w:rFonts w:ascii="宋体" w:hAnsi="宋体" w:cs="宋体"/>
                <w:color w:val="auto"/>
                <w:kern w:val="0"/>
                <w:sz w:val="24"/>
              </w:rPr>
            </w:pPr>
            <w:r>
              <w:rPr>
                <w:rFonts w:hint="eastAsia" w:ascii="宋体" w:hAnsi="宋体" w:cs="宋体"/>
                <w:color w:val="auto"/>
                <w:kern w:val="0"/>
                <w:sz w:val="24"/>
              </w:rPr>
              <w:t>1、投标文件应有章节目录，每页都应有页码标注。</w:t>
            </w:r>
          </w:p>
          <w:p>
            <w:pPr>
              <w:rPr>
                <w:rFonts w:ascii="宋体" w:hAnsi="宋体" w:cs="宋体"/>
                <w:color w:val="auto"/>
                <w:kern w:val="0"/>
                <w:sz w:val="24"/>
              </w:rPr>
            </w:pPr>
            <w:r>
              <w:rPr>
                <w:rFonts w:hint="eastAsia" w:ascii="宋体" w:hAnsi="宋体" w:cs="宋体"/>
                <w:color w:val="auto"/>
                <w:kern w:val="0"/>
                <w:sz w:val="24"/>
              </w:rPr>
              <w:t>2、投标文件应采用胶装。</w:t>
            </w:r>
          </w:p>
          <w:p>
            <w:pPr>
              <w:rPr>
                <w:rFonts w:ascii="宋体" w:hAnsi="宋体" w:cs="宋体"/>
                <w:color w:val="auto"/>
                <w:kern w:val="0"/>
                <w:sz w:val="24"/>
              </w:rPr>
            </w:pPr>
            <w:r>
              <w:rPr>
                <w:rFonts w:hint="eastAsia" w:ascii="宋体" w:hAnsi="宋体" w:cs="宋体"/>
                <w:color w:val="auto"/>
                <w:kern w:val="0"/>
                <w:sz w:val="24"/>
              </w:rPr>
              <w:t>3、投标文件1套正本，5套副本，正、副本需封装在同一密封袋内。</w:t>
            </w:r>
          </w:p>
          <w:p>
            <w:pPr>
              <w:rPr>
                <w:rFonts w:ascii="宋体" w:hAnsi="宋体" w:cs="宋体"/>
                <w:color w:val="auto"/>
                <w:kern w:val="0"/>
                <w:sz w:val="24"/>
              </w:rPr>
            </w:pPr>
            <w:r>
              <w:rPr>
                <w:rFonts w:hint="eastAsia" w:ascii="宋体" w:hAnsi="宋体" w:cs="宋体"/>
                <w:color w:val="auto"/>
                <w:kern w:val="0"/>
                <w:sz w:val="24"/>
              </w:rPr>
              <w:t>4、提供投标文件PDF扫描件一份（U盘或光盘），单独封装在密封袋内。</w:t>
            </w:r>
          </w:p>
          <w:p>
            <w:pPr>
              <w:rPr>
                <w:rFonts w:ascii="宋体" w:hAnsi="宋体" w:cs="宋体"/>
                <w:color w:val="auto"/>
                <w:kern w:val="0"/>
                <w:sz w:val="24"/>
              </w:rPr>
            </w:pPr>
            <w:r>
              <w:rPr>
                <w:rFonts w:hint="eastAsia" w:ascii="宋体" w:hAnsi="宋体" w:cs="宋体"/>
                <w:color w:val="auto"/>
                <w:kern w:val="0"/>
                <w:sz w:val="24"/>
              </w:rPr>
              <w:t>5、开标一览表须单独封装在密封袋内。</w:t>
            </w:r>
          </w:p>
          <w:p>
            <w:pPr>
              <w:rPr>
                <w:rFonts w:ascii="宋体" w:hAnsi="宋体" w:cs="宋体"/>
                <w:color w:val="auto"/>
                <w:kern w:val="0"/>
                <w:sz w:val="24"/>
              </w:rPr>
            </w:pPr>
            <w:r>
              <w:rPr>
                <w:rFonts w:hint="eastAsia" w:ascii="宋体" w:hAnsi="宋体" w:cs="宋体"/>
                <w:color w:val="auto"/>
                <w:kern w:val="0"/>
                <w:sz w:val="24"/>
              </w:rPr>
              <w:t>注：投标文件PDF扫描件须带有公章及签字。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7</w:t>
            </w:r>
          </w:p>
        </w:tc>
        <w:tc>
          <w:tcPr>
            <w:tcW w:w="792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4"/>
              </w:rPr>
            </w:pPr>
            <w:r>
              <w:rPr>
                <w:rFonts w:hint="eastAsia" w:ascii="宋体" w:hAnsi="宋体" w:cs="宋体"/>
                <w:color w:val="auto"/>
                <w:sz w:val="24"/>
              </w:rPr>
              <w:t>投标文件递交时间:</w:t>
            </w:r>
            <w:r>
              <w:rPr>
                <w:rFonts w:hint="eastAsia" w:ascii="宋体" w:hAnsi="宋体" w:cs="宋体"/>
                <w:color w:val="auto"/>
                <w:sz w:val="24"/>
                <w:szCs w:val="32"/>
              </w:rPr>
              <w:t xml:space="preserve"> </w:t>
            </w:r>
            <w:r>
              <w:rPr>
                <w:rFonts w:hint="eastAsia" w:ascii="宋体" w:hAnsi="宋体" w:cs="宋体"/>
                <w:sz w:val="24"/>
                <w:szCs w:val="32"/>
              </w:rPr>
              <w:t>2022年</w:t>
            </w:r>
            <w:r>
              <w:rPr>
                <w:rFonts w:hint="eastAsia" w:ascii="宋体" w:hAnsi="宋体" w:cs="宋体"/>
                <w:kern w:val="0"/>
                <w:sz w:val="24"/>
                <w:lang w:val="en-US" w:eastAsia="zh-CN"/>
              </w:rPr>
              <w:t>10</w:t>
            </w:r>
            <w:r>
              <w:rPr>
                <w:rFonts w:hint="eastAsia" w:ascii="宋体" w:hAnsi="宋体" w:cs="宋体"/>
                <w:kern w:val="0"/>
                <w:sz w:val="24"/>
              </w:rPr>
              <w:t>月</w:t>
            </w:r>
            <w:r>
              <w:rPr>
                <w:rFonts w:hint="eastAsia" w:ascii="宋体" w:hAnsi="宋体" w:cs="宋体"/>
                <w:kern w:val="0"/>
                <w:sz w:val="24"/>
                <w:lang w:val="en-US" w:eastAsia="zh-CN"/>
              </w:rPr>
              <w:t>24</w:t>
            </w:r>
            <w:r>
              <w:rPr>
                <w:rFonts w:hint="eastAsia" w:ascii="宋体" w:hAnsi="宋体" w:cs="宋体"/>
                <w:kern w:val="0"/>
                <w:sz w:val="24"/>
              </w:rPr>
              <w:t>日</w:t>
            </w:r>
            <w:r>
              <w:rPr>
                <w:rFonts w:hint="eastAsia" w:ascii="宋体" w:hAnsi="宋体" w:cs="宋体"/>
                <w:kern w:val="0"/>
                <w:sz w:val="24"/>
                <w:lang w:val="en-US" w:eastAsia="zh-CN"/>
              </w:rPr>
              <w:t>14</w:t>
            </w:r>
            <w:r>
              <w:rPr>
                <w:rFonts w:hint="eastAsia" w:ascii="宋体" w:hAnsi="宋体" w:cs="宋体"/>
                <w:sz w:val="24"/>
                <w:szCs w:val="32"/>
              </w:rPr>
              <w:t>：</w:t>
            </w:r>
            <w:r>
              <w:rPr>
                <w:rFonts w:hint="eastAsia" w:ascii="宋体" w:hAnsi="宋体" w:cs="宋体"/>
                <w:kern w:val="0"/>
                <w:sz w:val="24"/>
              </w:rPr>
              <w:t>30</w:t>
            </w:r>
            <w:r>
              <w:rPr>
                <w:rFonts w:hint="eastAsia" w:ascii="宋体" w:hAnsi="宋体" w:cs="宋体"/>
                <w:sz w:val="24"/>
                <w:szCs w:val="32"/>
              </w:rPr>
              <w:t>时至</w:t>
            </w:r>
            <w:r>
              <w:rPr>
                <w:rFonts w:hint="eastAsia" w:ascii="宋体" w:hAnsi="宋体" w:cs="宋体"/>
                <w:kern w:val="0"/>
                <w:sz w:val="24"/>
                <w:lang w:val="en-US" w:eastAsia="zh-CN"/>
              </w:rPr>
              <w:t>15</w:t>
            </w:r>
            <w:r>
              <w:rPr>
                <w:rFonts w:hint="eastAsia" w:ascii="宋体" w:hAnsi="宋体" w:cs="宋体"/>
                <w:sz w:val="24"/>
                <w:szCs w:val="32"/>
              </w:rPr>
              <w:t>：</w:t>
            </w:r>
            <w:r>
              <w:rPr>
                <w:rFonts w:hint="eastAsia" w:ascii="宋体" w:hAnsi="宋体" w:cs="宋体"/>
                <w:kern w:val="0"/>
                <w:sz w:val="24"/>
              </w:rPr>
              <w:t>00</w:t>
            </w:r>
            <w:r>
              <w:rPr>
                <w:rFonts w:hint="eastAsia" w:ascii="宋体" w:hAnsi="宋体" w:cs="宋体"/>
                <w:sz w:val="24"/>
                <w:szCs w:val="32"/>
              </w:rPr>
              <w:t>时</w:t>
            </w:r>
            <w:r>
              <w:rPr>
                <w:rFonts w:hint="eastAsia" w:ascii="宋体" w:hAnsi="宋体" w:cs="宋体"/>
                <w:color w:val="auto"/>
                <w:sz w:val="24"/>
              </w:rPr>
              <w:t>（北京时间），辽宁中信诚达项目管理有限公司（大连市西岗区五四路81号星海商城6号楼709室）。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8</w:t>
            </w:r>
          </w:p>
        </w:tc>
        <w:tc>
          <w:tcPr>
            <w:tcW w:w="792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4"/>
              </w:rPr>
            </w:pPr>
            <w:r>
              <w:rPr>
                <w:rFonts w:hint="eastAsia" w:ascii="宋体" w:hAnsi="宋体" w:cs="宋体"/>
                <w:color w:val="auto"/>
                <w:sz w:val="24"/>
              </w:rPr>
              <w:t>1、投标截止日期及时间：</w:t>
            </w:r>
            <w:r>
              <w:rPr>
                <w:rFonts w:hint="eastAsia" w:ascii="宋体" w:hAnsi="宋体" w:cs="宋体"/>
                <w:color w:val="auto"/>
                <w:sz w:val="24"/>
                <w:szCs w:val="32"/>
              </w:rPr>
              <w:t>2022年</w:t>
            </w:r>
            <w:r>
              <w:rPr>
                <w:rFonts w:hint="eastAsia" w:ascii="宋体" w:hAnsi="宋体" w:cs="宋体"/>
                <w:color w:val="auto"/>
                <w:kern w:val="0"/>
                <w:sz w:val="24"/>
                <w:lang w:eastAsia="zh-CN"/>
              </w:rPr>
              <w:t>10月24日15：00时</w:t>
            </w:r>
            <w:r>
              <w:rPr>
                <w:rFonts w:hint="eastAsia" w:ascii="宋体" w:hAnsi="宋体" w:cs="宋体"/>
                <w:color w:val="auto"/>
                <w:sz w:val="24"/>
              </w:rPr>
              <w:t>（北京时间）</w:t>
            </w:r>
          </w:p>
          <w:p>
            <w:pPr>
              <w:rPr>
                <w:rFonts w:ascii="宋体" w:hAnsi="宋体" w:cs="宋体"/>
                <w:color w:val="auto"/>
                <w:sz w:val="24"/>
              </w:rPr>
            </w:pPr>
            <w:r>
              <w:rPr>
                <w:rFonts w:hint="eastAsia" w:ascii="宋体" w:hAnsi="宋体" w:cs="宋体"/>
                <w:color w:val="auto"/>
                <w:sz w:val="24"/>
              </w:rPr>
              <w:t>2、开标日期及时间：</w:t>
            </w:r>
            <w:r>
              <w:rPr>
                <w:rFonts w:hint="eastAsia" w:ascii="宋体" w:hAnsi="宋体" w:cs="宋体"/>
                <w:color w:val="auto"/>
                <w:sz w:val="24"/>
                <w:szCs w:val="32"/>
              </w:rPr>
              <w:t>2022年</w:t>
            </w:r>
            <w:r>
              <w:rPr>
                <w:rFonts w:hint="eastAsia" w:ascii="宋体" w:hAnsi="宋体" w:cs="宋体"/>
                <w:color w:val="auto"/>
                <w:kern w:val="0"/>
                <w:sz w:val="24"/>
                <w:lang w:eastAsia="zh-CN"/>
              </w:rPr>
              <w:t>10月24日15：00时</w:t>
            </w:r>
            <w:r>
              <w:rPr>
                <w:rFonts w:hint="eastAsia" w:ascii="宋体" w:hAnsi="宋体" w:cs="宋体"/>
                <w:color w:val="auto"/>
                <w:sz w:val="24"/>
              </w:rPr>
              <w:t>（北京时间）</w:t>
            </w:r>
          </w:p>
          <w:p>
            <w:pPr>
              <w:rPr>
                <w:rFonts w:ascii="宋体" w:hAnsi="宋体"/>
                <w:color w:val="auto"/>
                <w:sz w:val="24"/>
              </w:rPr>
            </w:pPr>
            <w:r>
              <w:rPr>
                <w:rFonts w:hint="eastAsia" w:ascii="宋体" w:hAnsi="宋体" w:cs="宋体"/>
                <w:color w:val="auto"/>
                <w:sz w:val="24"/>
              </w:rPr>
              <w:t>3、开标地点：辽宁中信诚达项目管理有限公司（大连市西岗区五四路81号星海商城6号楼709室）。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9</w:t>
            </w:r>
          </w:p>
        </w:tc>
        <w:tc>
          <w:tcPr>
            <w:tcW w:w="792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bCs/>
                <w:color w:val="auto"/>
                <w:sz w:val="24"/>
              </w:rPr>
            </w:pPr>
            <w:r>
              <w:rPr>
                <w:rFonts w:hint="eastAsia" w:ascii="宋体" w:hAnsi="宋体"/>
                <w:bCs/>
                <w:color w:val="auto"/>
                <w:sz w:val="24"/>
              </w:rPr>
              <w:t>评标方法：综合评分法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10</w:t>
            </w:r>
          </w:p>
        </w:tc>
        <w:tc>
          <w:tcPr>
            <w:tcW w:w="7927" w:type="dxa"/>
            <w:tcBorders>
              <w:top w:val="single" w:color="auto" w:sz="4" w:space="0"/>
              <w:left w:val="single" w:color="auto" w:sz="4" w:space="0"/>
              <w:bottom w:val="single" w:color="auto" w:sz="4" w:space="0"/>
              <w:right w:val="single" w:color="auto" w:sz="4" w:space="0"/>
            </w:tcBorders>
            <w:vAlign w:val="center"/>
          </w:tcPr>
          <w:p>
            <w:pPr>
              <w:tabs>
                <w:tab w:val="left" w:pos="4045"/>
              </w:tabs>
              <w:adjustRightInd w:val="0"/>
              <w:snapToGrid w:val="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招标文件售价（人民币）：5</w:t>
            </w:r>
            <w:r>
              <w:rPr>
                <w:rFonts w:asciiTheme="minorEastAsia" w:hAnsiTheme="minorEastAsia" w:eastAsiaTheme="minorEastAsia"/>
                <w:bCs/>
                <w:color w:val="auto"/>
                <w:sz w:val="24"/>
              </w:rPr>
              <w:t>00</w:t>
            </w:r>
            <w:r>
              <w:rPr>
                <w:rFonts w:hint="eastAsia" w:asciiTheme="minorEastAsia" w:hAnsiTheme="minorEastAsia" w:eastAsiaTheme="minorEastAsia"/>
                <w:bCs/>
                <w:color w:val="auto"/>
                <w:sz w:val="24"/>
              </w:rPr>
              <w:t>元</w:t>
            </w:r>
            <w:r>
              <w:rPr>
                <w:rFonts w:asciiTheme="minorEastAsia" w:hAnsiTheme="minorEastAsia" w:eastAsiaTheme="minorEastAsia"/>
                <w:bCs/>
                <w:color w:val="auto"/>
                <w:sz w:val="24"/>
              </w:rPr>
              <w:t>/</w:t>
            </w:r>
            <w:r>
              <w:rPr>
                <w:rFonts w:hint="eastAsia" w:asciiTheme="minorEastAsia" w:hAnsiTheme="minorEastAsia" w:eastAsiaTheme="minorEastAsia"/>
                <w:bCs/>
                <w:color w:val="auto"/>
                <w:sz w:val="24"/>
              </w:rPr>
              <w:t>套，售后不退。</w:t>
            </w:r>
          </w:p>
          <w:p>
            <w:pPr>
              <w:tabs>
                <w:tab w:val="left" w:pos="4045"/>
              </w:tabs>
              <w:adjustRightInd w:val="0"/>
              <w:snapToGrid w:val="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报名及招标文件发售时间：</w:t>
            </w:r>
            <w:r>
              <w:rPr>
                <w:rFonts w:hint="eastAsia" w:ascii="宋体" w:hAnsi="宋体" w:cs="宋体"/>
                <w:color w:val="auto"/>
                <w:kern w:val="0"/>
                <w:sz w:val="24"/>
              </w:rPr>
              <w:t>2022年09月09日起至2022年09月19日</w:t>
            </w:r>
            <w:r>
              <w:rPr>
                <w:rFonts w:hint="eastAsia" w:cs="宋体" w:asciiTheme="minorEastAsia" w:hAnsiTheme="minorEastAsia" w:eastAsiaTheme="minorEastAsia"/>
                <w:color w:val="auto"/>
                <w:kern w:val="0"/>
                <w:sz w:val="24"/>
              </w:rPr>
              <w:t>止每天8:30—11：30、13:00—17:00（北京时间，公休日、节假日除外）</w:t>
            </w:r>
          </w:p>
          <w:p>
            <w:pPr>
              <w:tabs>
                <w:tab w:val="left" w:pos="4045"/>
              </w:tabs>
              <w:adjustRightInd w:val="0"/>
              <w:snapToGrid w:val="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联系人：贺春玲、刘永澎、奚旺</w:t>
            </w:r>
          </w:p>
          <w:p>
            <w:pPr>
              <w:tabs>
                <w:tab w:val="left" w:pos="4045"/>
              </w:tabs>
              <w:adjustRightInd w:val="0"/>
              <w:snapToGrid w:val="0"/>
              <w:rPr>
                <w:rFonts w:asciiTheme="minorEastAsia" w:hAnsiTheme="minorEastAsia" w:eastAsiaTheme="minorEastAsia"/>
                <w:b/>
                <w:bCs/>
                <w:color w:val="auto"/>
                <w:sz w:val="24"/>
              </w:rPr>
            </w:pPr>
            <w:r>
              <w:rPr>
                <w:rFonts w:hint="eastAsia" w:asciiTheme="minorEastAsia" w:hAnsiTheme="minorEastAsia" w:eastAsiaTheme="minorEastAsia"/>
                <w:bCs/>
                <w:color w:val="auto"/>
                <w:sz w:val="24"/>
              </w:rPr>
              <w:t>联系电话：0411－83729660（808、806）</w:t>
            </w:r>
            <w:r>
              <w:rPr>
                <w:rFonts w:hint="eastAsia" w:ascii="宋体" w:hAnsi="宋体" w:cs="宋体"/>
                <w:bCs/>
                <w:color w:val="auto"/>
                <w:sz w:val="24"/>
              </w:rPr>
              <w:t>/</w:t>
            </w:r>
            <w:r>
              <w:rPr>
                <w:rFonts w:ascii="宋体" w:hAnsi="宋体" w:cs="宋体"/>
                <w:bCs/>
                <w:color w:val="auto"/>
                <w:sz w:val="24"/>
              </w:rPr>
              <w:t>18525549223</w:t>
            </w:r>
          </w:p>
          <w:p>
            <w:pPr>
              <w:tabs>
                <w:tab w:val="left" w:pos="4045"/>
              </w:tabs>
              <w:adjustRightInd w:val="0"/>
              <w:snapToGrid w:val="0"/>
              <w:rPr>
                <w:rFonts w:ascii="宋体" w:hAnsi="宋体"/>
                <w:bCs/>
                <w:color w:val="auto"/>
                <w:sz w:val="24"/>
              </w:rPr>
            </w:pPr>
            <w:r>
              <w:rPr>
                <w:rFonts w:hint="eastAsia" w:asciiTheme="minorEastAsia" w:hAnsiTheme="minorEastAsia" w:eastAsiaTheme="minorEastAsia"/>
                <w:bCs/>
                <w:color w:val="auto"/>
                <w:sz w:val="24"/>
              </w:rPr>
              <w:t>公司地址：</w:t>
            </w:r>
            <w:r>
              <w:rPr>
                <w:rFonts w:hint="eastAsia" w:cs="宋体" w:asciiTheme="minorEastAsia" w:hAnsiTheme="minorEastAsia" w:eastAsiaTheme="minorEastAsia"/>
                <w:color w:val="auto"/>
                <w:kern w:val="0"/>
                <w:sz w:val="24"/>
              </w:rPr>
              <w:t>大连市西岗区五四路81号星海商城6号楼803室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11</w:t>
            </w:r>
          </w:p>
        </w:tc>
        <w:tc>
          <w:tcPr>
            <w:tcW w:w="7927" w:type="dxa"/>
            <w:tcBorders>
              <w:top w:val="single" w:color="auto" w:sz="4" w:space="0"/>
              <w:left w:val="single" w:color="auto" w:sz="4" w:space="0"/>
              <w:bottom w:val="single" w:color="auto" w:sz="4" w:space="0"/>
              <w:right w:val="single" w:color="auto" w:sz="4" w:space="0"/>
            </w:tcBorders>
          </w:tcPr>
          <w:p>
            <w:pPr>
              <w:tabs>
                <w:tab w:val="left" w:pos="4045"/>
              </w:tabs>
              <w:adjustRightInd w:val="0"/>
              <w:snapToGrid w:val="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申请人的资格要求：</w:t>
            </w:r>
          </w:p>
          <w:p>
            <w:pPr>
              <w:tabs>
                <w:tab w:val="left" w:pos="4045"/>
              </w:tabs>
              <w:adjustRightInd w:val="0"/>
              <w:snapToGrid w:val="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1.满足《中华人民共和国政府采购法》第二十二条规定；</w:t>
            </w:r>
          </w:p>
          <w:p>
            <w:pPr>
              <w:tabs>
                <w:tab w:val="left" w:pos="4045"/>
              </w:tabs>
              <w:adjustRightInd w:val="0"/>
              <w:snapToGrid w:val="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2.落实政府采购政策需满足的资格要求：无；</w:t>
            </w:r>
          </w:p>
          <w:p>
            <w:pPr>
              <w:tabs>
                <w:tab w:val="left" w:pos="4045"/>
              </w:tabs>
              <w:adjustRightInd w:val="0"/>
              <w:snapToGrid w:val="0"/>
              <w:rPr>
                <w:rFonts w:ascii="宋体" w:hAnsi="宋体"/>
                <w:bCs/>
                <w:color w:val="auto"/>
                <w:sz w:val="24"/>
                <w:szCs w:val="21"/>
              </w:rPr>
            </w:pPr>
            <w:r>
              <w:rPr>
                <w:rFonts w:hint="eastAsia" w:cs="宋体" w:asciiTheme="minorEastAsia" w:hAnsiTheme="minorEastAsia" w:eastAsiaTheme="minorEastAsia"/>
                <w:color w:val="auto"/>
                <w:kern w:val="0"/>
                <w:sz w:val="24"/>
              </w:rPr>
              <w:t>3.本项目的特定资格要求：</w:t>
            </w:r>
          </w:p>
          <w:p>
            <w:pPr>
              <w:tabs>
                <w:tab w:val="left" w:pos="4045"/>
              </w:tabs>
              <w:adjustRightInd w:val="0"/>
              <w:snapToGrid w:val="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具有建设行政主管部门核发的工程勘察综合资质甲级或建设行政主管部门核发的工程勘察专业类岩土工程乙级资质及以上资质或建设行政主管部门核发的工程勘察专业类（岩土工程（分项））岩土工程勘察乙级资质及以上资质。</w:t>
            </w:r>
          </w:p>
          <w:p>
            <w:pPr>
              <w:tabs>
                <w:tab w:val="left" w:pos="4045"/>
              </w:tabs>
              <w:adjustRightInd w:val="0"/>
              <w:snapToGrid w:val="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 项目负责人具有国家注册土木工程师（岩土）执业资格，无在处罚期内的不良记录。</w:t>
            </w:r>
          </w:p>
          <w:p>
            <w:pPr>
              <w:tabs>
                <w:tab w:val="left" w:pos="4045"/>
              </w:tabs>
              <w:adjustRightInd w:val="0"/>
              <w:snapToGrid w:val="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注：①项目评审开始前，经“信用中国”网站（www.creditchina.gov.cn）、“信用辽宁”网站（www.xyln.net）、“信用大连”网站（https://credit.dl.gov.cn/）、“中国政府采购网”网站（www.ccgp.gov.cn）查询，被列入失信被执行人、重大税收违法案件当事人名单、政府采购严重违法失信行为记录名单的不得参加本采购项目。</w:t>
            </w:r>
          </w:p>
          <w:p>
            <w:pPr>
              <w:tabs>
                <w:tab w:val="left" w:pos="4045"/>
              </w:tabs>
              <w:adjustRightInd w:val="0"/>
              <w:snapToGrid w:val="0"/>
              <w:rPr>
                <w:rFonts w:ascii="宋体" w:hAnsi="宋体"/>
                <w:bCs/>
                <w:color w:val="auto"/>
                <w:sz w:val="24"/>
              </w:rPr>
            </w:pPr>
            <w:r>
              <w:rPr>
                <w:rFonts w:hint="eastAsia" w:ascii="宋体" w:hAnsi="宋体" w:cs="宋体"/>
                <w:color w:val="auto"/>
                <w:kern w:val="0"/>
                <w:sz w:val="24"/>
              </w:rPr>
              <w:t>②本项目所属行业为其他未列明行业。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12</w:t>
            </w:r>
          </w:p>
        </w:tc>
        <w:tc>
          <w:tcPr>
            <w:tcW w:w="7927" w:type="dxa"/>
            <w:tcBorders>
              <w:top w:val="single" w:color="auto" w:sz="4" w:space="0"/>
              <w:left w:val="single" w:color="auto" w:sz="4" w:space="0"/>
              <w:bottom w:val="single" w:color="auto" w:sz="4" w:space="0"/>
              <w:right w:val="single" w:color="auto" w:sz="4" w:space="0"/>
            </w:tcBorders>
          </w:tcPr>
          <w:p>
            <w:pPr>
              <w:tabs>
                <w:tab w:val="left" w:pos="4045"/>
              </w:tabs>
              <w:adjustRightInd w:val="0"/>
              <w:snapToGrid w:val="0"/>
              <w:rPr>
                <w:rFonts w:cs="宋体" w:asciiTheme="minorEastAsia" w:hAnsiTheme="minorEastAsia" w:eastAsiaTheme="minorEastAsia"/>
                <w:color w:val="auto"/>
                <w:kern w:val="0"/>
                <w:sz w:val="24"/>
              </w:rPr>
            </w:pPr>
            <w:r>
              <w:rPr>
                <w:rFonts w:hint="eastAsia" w:ascii="宋体" w:hAnsi="宋体"/>
                <w:b/>
                <w:color w:val="auto"/>
                <w:sz w:val="24"/>
              </w:rPr>
              <w:t>★</w:t>
            </w:r>
            <w:r>
              <w:rPr>
                <w:rFonts w:hint="eastAsia" w:cs="宋体" w:asciiTheme="minorEastAsia" w:hAnsiTheme="minorEastAsia" w:eastAsiaTheme="minorEastAsia"/>
                <w:color w:val="auto"/>
                <w:kern w:val="0"/>
                <w:sz w:val="24"/>
              </w:rPr>
              <w:t>服务要求：</w:t>
            </w:r>
          </w:p>
          <w:p>
            <w:pPr>
              <w:adjustRightInd w:val="0"/>
              <w:snapToGrid w:val="0"/>
              <w:spacing w:line="276" w:lineRule="auto"/>
              <w:ind w:right="105" w:rightChars="50"/>
              <w:jc w:val="left"/>
              <w:rPr>
                <w:rFonts w:cs="宋体" w:asciiTheme="minorEastAsia" w:hAnsiTheme="minorEastAsia" w:eastAsiaTheme="minorEastAsia"/>
                <w:b/>
                <w:bCs/>
                <w:color w:val="auto"/>
                <w:kern w:val="0"/>
                <w:sz w:val="24"/>
              </w:rPr>
            </w:pPr>
            <w:r>
              <w:rPr>
                <w:rFonts w:hint="eastAsia" w:cs="宋体" w:asciiTheme="minorEastAsia" w:hAnsiTheme="minorEastAsia" w:eastAsiaTheme="minorEastAsia"/>
                <w:color w:val="auto"/>
                <w:kern w:val="0"/>
                <w:sz w:val="24"/>
              </w:rPr>
              <w:t>服务期限：</w:t>
            </w:r>
            <w:r>
              <w:rPr>
                <w:rFonts w:hint="eastAsia" w:ascii="宋体" w:hAnsi="宋体" w:eastAsiaTheme="minorEastAsia"/>
                <w:color w:val="auto"/>
                <w:sz w:val="24"/>
              </w:rPr>
              <w:t>采购人</w:t>
            </w:r>
            <w:r>
              <w:rPr>
                <w:rFonts w:hint="eastAsia" w:ascii="宋体" w:hAnsi="宋体"/>
                <w:color w:val="auto"/>
                <w:sz w:val="24"/>
              </w:rPr>
              <w:t>通知进场之日起，5个日历日内提交初勘成果；15个日历日内提交详勘成果。具体以采购人要求为准。</w:t>
            </w:r>
          </w:p>
          <w:p>
            <w:pPr>
              <w:tabs>
                <w:tab w:val="left" w:pos="4045"/>
              </w:tabs>
              <w:adjustRightInd w:val="0"/>
              <w:snapToGrid w:val="0"/>
              <w:rPr>
                <w:color w:val="auto"/>
              </w:rPr>
            </w:pPr>
            <w:r>
              <w:rPr>
                <w:rFonts w:hint="eastAsia" w:ascii="宋体" w:hAnsi="宋体"/>
                <w:b/>
                <w:color w:val="auto"/>
                <w:sz w:val="24"/>
              </w:rPr>
              <w:t>★</w:t>
            </w:r>
            <w:r>
              <w:rPr>
                <w:rFonts w:hint="eastAsia" w:cs="宋体" w:asciiTheme="minorEastAsia" w:hAnsiTheme="minorEastAsia" w:eastAsiaTheme="minorEastAsia"/>
                <w:color w:val="auto"/>
                <w:kern w:val="0"/>
                <w:sz w:val="24"/>
              </w:rPr>
              <w:t>服务地点：采购人指定地点。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olor w:val="auto"/>
                <w:sz w:val="24"/>
                <w:lang w:val="en-US" w:eastAsia="zh-CN"/>
              </w:rPr>
            </w:pPr>
            <w:r>
              <w:rPr>
                <w:rFonts w:hint="eastAsia" w:ascii="宋体" w:hAnsi="宋体"/>
                <w:color w:val="auto"/>
                <w:sz w:val="24"/>
                <w:lang w:val="en-US" w:eastAsia="zh-CN"/>
              </w:rPr>
              <w:t>13</w:t>
            </w:r>
          </w:p>
        </w:tc>
        <w:tc>
          <w:tcPr>
            <w:tcW w:w="7927" w:type="dxa"/>
            <w:tcBorders>
              <w:top w:val="single" w:color="auto" w:sz="4" w:space="0"/>
              <w:left w:val="single" w:color="auto" w:sz="4" w:space="0"/>
              <w:bottom w:val="single" w:color="auto" w:sz="4" w:space="0"/>
              <w:right w:val="single" w:color="auto" w:sz="4" w:space="0"/>
            </w:tcBorders>
            <w:vAlign w:val="center"/>
          </w:tcPr>
          <w:p>
            <w:pPr>
              <w:tabs>
                <w:tab w:val="left" w:pos="4045"/>
              </w:tabs>
              <w:adjustRightInd w:val="0"/>
              <w:snapToGrid w:val="0"/>
              <w:jc w:val="both"/>
              <w:rPr>
                <w:rFonts w:hint="default" w:ascii="宋体" w:hAnsi="宋体" w:eastAsia="宋体"/>
                <w:b/>
                <w:color w:val="auto"/>
                <w:sz w:val="24"/>
                <w:lang w:val="en-US" w:eastAsia="zh-CN"/>
              </w:rPr>
            </w:pPr>
            <w:r>
              <w:rPr>
                <w:rFonts w:hint="eastAsia" w:ascii="宋体" w:hAnsi="宋体"/>
                <w:b w:val="0"/>
                <w:bCs/>
                <w:color w:val="auto"/>
                <w:sz w:val="24"/>
                <w:lang w:val="en-US" w:eastAsia="zh-CN"/>
              </w:rPr>
              <w:t>合同形式：固定单价合同。投标报价文件包含投标总价及综合单价时，综合单价为合同单价。具体按实际完成工作量结算。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 w:val="24"/>
                <w:lang w:eastAsia="zh-CN"/>
              </w:rPr>
            </w:pPr>
            <w:r>
              <w:rPr>
                <w:rFonts w:hint="eastAsia" w:ascii="宋体" w:hAnsi="宋体"/>
                <w:color w:val="auto"/>
                <w:sz w:val="24"/>
              </w:rPr>
              <w:t>1</w:t>
            </w:r>
            <w:r>
              <w:rPr>
                <w:rFonts w:hint="eastAsia" w:ascii="宋体" w:hAnsi="宋体"/>
                <w:color w:val="auto"/>
                <w:sz w:val="24"/>
                <w:lang w:val="en-US" w:eastAsia="zh-CN"/>
              </w:rPr>
              <w:t>4</w:t>
            </w:r>
          </w:p>
        </w:tc>
        <w:tc>
          <w:tcPr>
            <w:tcW w:w="7927" w:type="dxa"/>
            <w:tcBorders>
              <w:top w:val="single" w:color="auto" w:sz="4" w:space="0"/>
              <w:left w:val="single" w:color="auto" w:sz="4" w:space="0"/>
              <w:bottom w:val="single" w:color="auto" w:sz="4" w:space="0"/>
              <w:right w:val="single" w:color="auto" w:sz="4" w:space="0"/>
            </w:tcBorders>
          </w:tcPr>
          <w:p>
            <w:pPr>
              <w:adjustRightInd w:val="0"/>
              <w:snapToGrid w:val="0"/>
              <w:ind w:right="105" w:rightChars="50"/>
              <w:rPr>
                <w:rFonts w:ascii="宋体" w:hAnsi="宋体"/>
                <w:bCs/>
                <w:color w:val="auto"/>
                <w:sz w:val="24"/>
              </w:rPr>
            </w:pPr>
            <w:r>
              <w:rPr>
                <w:rFonts w:hint="eastAsia" w:ascii="宋体" w:hAnsi="宋体"/>
                <w:b/>
                <w:color w:val="auto"/>
                <w:sz w:val="24"/>
              </w:rPr>
              <w:t>★</w:t>
            </w:r>
            <w:r>
              <w:rPr>
                <w:rFonts w:hint="eastAsia" w:ascii="宋体" w:hAnsi="宋体"/>
                <w:color w:val="auto"/>
                <w:sz w:val="24"/>
              </w:rPr>
              <w:t>付款方式：</w:t>
            </w:r>
          </w:p>
          <w:p>
            <w:pPr>
              <w:numPr>
                <w:ilvl w:val="0"/>
                <w:numId w:val="0"/>
              </w:numPr>
              <w:adjustRightInd w:val="0"/>
              <w:snapToGrid w:val="0"/>
              <w:ind w:right="105" w:rightChars="50"/>
              <w:rPr>
                <w:rFonts w:ascii="宋体" w:hAnsi="宋体"/>
                <w:bCs/>
                <w:color w:val="auto"/>
                <w:sz w:val="24"/>
              </w:rPr>
            </w:pPr>
            <w:r>
              <w:rPr>
                <w:rFonts w:hint="eastAsia" w:ascii="宋体" w:hAnsi="宋体"/>
                <w:bCs/>
                <w:color w:val="auto"/>
                <w:sz w:val="24"/>
                <w:lang w:val="en-US" w:eastAsia="zh-CN"/>
              </w:rPr>
              <w:t>1、</w:t>
            </w:r>
            <w:r>
              <w:rPr>
                <w:rFonts w:hint="eastAsia" w:ascii="宋体" w:hAnsi="宋体"/>
                <w:bCs/>
                <w:color w:val="auto"/>
                <w:sz w:val="24"/>
              </w:rPr>
              <w:t>预付款：签订合同后，采购人支付合同价款的30%；</w:t>
            </w:r>
          </w:p>
          <w:p>
            <w:pPr>
              <w:adjustRightInd w:val="0"/>
              <w:snapToGrid w:val="0"/>
              <w:ind w:right="105" w:rightChars="50"/>
              <w:rPr>
                <w:rFonts w:hint="eastAsia" w:ascii="宋体" w:hAnsi="宋体" w:eastAsia="宋体"/>
                <w:bCs/>
                <w:color w:val="auto"/>
                <w:sz w:val="24"/>
                <w:lang w:eastAsia="zh-CN"/>
              </w:rPr>
            </w:pPr>
            <w:r>
              <w:rPr>
                <w:rFonts w:hint="eastAsia" w:ascii="宋体" w:hAnsi="宋体"/>
                <w:bCs/>
                <w:color w:val="auto"/>
                <w:sz w:val="24"/>
              </w:rPr>
              <w:t>2、详勘：提交经审查机构审查合格的详细勘察报告后，支付至对应合同价款的80%</w:t>
            </w:r>
            <w:r>
              <w:rPr>
                <w:rFonts w:hint="eastAsia" w:ascii="宋体" w:hAnsi="宋体"/>
                <w:bCs/>
                <w:color w:val="auto"/>
                <w:sz w:val="24"/>
                <w:lang w:eastAsia="zh-CN"/>
              </w:rPr>
              <w:t>；</w:t>
            </w:r>
          </w:p>
          <w:p>
            <w:pPr>
              <w:spacing w:line="276" w:lineRule="auto"/>
              <w:rPr>
                <w:rFonts w:ascii="宋体" w:hAnsi="宋体"/>
                <w:color w:val="auto"/>
                <w:sz w:val="24"/>
              </w:rPr>
            </w:pPr>
            <w:r>
              <w:rPr>
                <w:rFonts w:hint="eastAsia" w:ascii="宋体" w:hAnsi="宋体"/>
                <w:bCs/>
                <w:color w:val="auto"/>
                <w:sz w:val="24"/>
              </w:rPr>
              <w:t>3.结算款：</w:t>
            </w:r>
            <w:r>
              <w:rPr>
                <w:rFonts w:hint="eastAsia" w:ascii="宋体" w:hAnsi="宋体"/>
                <w:color w:val="auto"/>
                <w:sz w:val="24"/>
              </w:rPr>
              <w:t>经相关审核部门出具结算审核报告后支付至审定额的100%；</w:t>
            </w:r>
          </w:p>
          <w:p>
            <w:pPr>
              <w:tabs>
                <w:tab w:val="left" w:pos="4045"/>
              </w:tabs>
              <w:adjustRightInd w:val="0"/>
              <w:snapToGrid w:val="0"/>
              <w:rPr>
                <w:rFonts w:ascii="宋体" w:hAnsi="宋体"/>
                <w:bCs/>
                <w:color w:val="auto"/>
                <w:sz w:val="24"/>
              </w:rPr>
            </w:pPr>
            <w:r>
              <w:rPr>
                <w:rFonts w:hint="eastAsia" w:ascii="宋体" w:hAnsi="宋体"/>
                <w:bCs/>
                <w:color w:val="auto"/>
                <w:sz w:val="24"/>
              </w:rPr>
              <w:t>注：采购人付款前，中标单位应当提供等额合法有效发票。</w:t>
            </w:r>
          </w:p>
          <w:p>
            <w:pPr>
              <w:tabs>
                <w:tab w:val="left" w:pos="4045"/>
              </w:tabs>
              <w:adjustRightInd w:val="0"/>
              <w:snapToGrid w:val="0"/>
              <w:ind w:firstLine="480" w:firstLineChars="200"/>
              <w:rPr>
                <w:rFonts w:cs="宋体" w:asciiTheme="minorEastAsia" w:hAnsiTheme="minorEastAsia"/>
                <w:color w:val="auto"/>
                <w:kern w:val="0"/>
                <w:sz w:val="24"/>
              </w:rPr>
            </w:pPr>
            <w:r>
              <w:rPr>
                <w:rFonts w:hint="eastAsia" w:ascii="宋体" w:hAnsi="宋体"/>
                <w:bCs/>
                <w:color w:val="auto"/>
                <w:sz w:val="24"/>
              </w:rPr>
              <w:t>支付时间最终以市财政局资金下达时间为准</w:t>
            </w:r>
            <w:r>
              <w:rPr>
                <w:rFonts w:hint="eastAsia" w:ascii="宋体" w:hAnsi="宋体"/>
                <w:bCs/>
                <w:color w:val="auto"/>
                <w:sz w:val="24"/>
                <w:lang w:eastAsia="zh-CN"/>
              </w:rPr>
              <w:t>，</w:t>
            </w:r>
            <w:r>
              <w:rPr>
                <w:rFonts w:hint="eastAsia" w:ascii="宋体" w:hAnsi="宋体"/>
                <w:bCs/>
                <w:color w:val="auto"/>
                <w:sz w:val="24"/>
                <w:lang w:val="en-US" w:eastAsia="zh-CN"/>
              </w:rPr>
              <w:t>支付金额以财政最终审定值为准</w:t>
            </w:r>
            <w:r>
              <w:rPr>
                <w:rFonts w:hint="eastAsia" w:ascii="宋体" w:hAnsi="宋体"/>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 w:val="24"/>
                <w:lang w:eastAsia="zh-CN"/>
              </w:rPr>
            </w:pPr>
            <w:r>
              <w:rPr>
                <w:rFonts w:ascii="宋体" w:hAnsi="宋体"/>
                <w:color w:val="auto"/>
                <w:sz w:val="24"/>
              </w:rPr>
              <w:t>1</w:t>
            </w:r>
            <w:r>
              <w:rPr>
                <w:rFonts w:hint="eastAsia" w:ascii="宋体" w:hAnsi="宋体"/>
                <w:color w:val="auto"/>
                <w:sz w:val="24"/>
                <w:lang w:val="en-US" w:eastAsia="zh-CN"/>
              </w:rPr>
              <w:t>5</w:t>
            </w:r>
          </w:p>
        </w:tc>
        <w:tc>
          <w:tcPr>
            <w:tcW w:w="7927" w:type="dxa"/>
            <w:tcBorders>
              <w:top w:val="single" w:color="auto" w:sz="4" w:space="0"/>
              <w:left w:val="single" w:color="auto" w:sz="4" w:space="0"/>
              <w:bottom w:val="single" w:color="auto" w:sz="4" w:space="0"/>
              <w:right w:val="single" w:color="auto" w:sz="4" w:space="0"/>
            </w:tcBorders>
          </w:tcPr>
          <w:p>
            <w:pPr>
              <w:tabs>
                <w:tab w:val="left" w:pos="4045"/>
              </w:tabs>
              <w:rPr>
                <w:rFonts w:ascii="宋体" w:hAnsi="宋体"/>
                <w:b/>
                <w:color w:val="auto"/>
                <w:sz w:val="24"/>
              </w:rPr>
            </w:pPr>
            <w:r>
              <w:rPr>
                <w:rFonts w:hint="eastAsia" w:ascii="宋体" w:hAnsi="宋体"/>
                <w:b/>
                <w:color w:val="auto"/>
                <w:sz w:val="24"/>
              </w:rPr>
              <w:t>未响应“★”号条款的投标文件为无效。招标文件的技术和商务条款中未标记“★”号的为非实质性要求，未响应非实质性要求的投标文件仍为有效，但可能影响评分。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 w:val="24"/>
                <w:lang w:eastAsia="zh-CN"/>
              </w:rPr>
            </w:pPr>
            <w:r>
              <w:rPr>
                <w:rFonts w:hint="eastAsia" w:ascii="宋体" w:hAnsi="宋体"/>
                <w:color w:val="auto"/>
                <w:sz w:val="24"/>
                <w:lang w:val="en-US" w:eastAsia="zh-CN"/>
              </w:rPr>
              <w:t>16</w:t>
            </w:r>
          </w:p>
        </w:tc>
        <w:tc>
          <w:tcPr>
            <w:tcW w:w="7927" w:type="dxa"/>
            <w:tcBorders>
              <w:top w:val="single" w:color="auto" w:sz="4" w:space="0"/>
              <w:left w:val="single" w:color="auto" w:sz="4" w:space="0"/>
              <w:bottom w:val="single" w:color="auto" w:sz="4" w:space="0"/>
              <w:right w:val="single" w:color="auto" w:sz="4" w:space="0"/>
            </w:tcBorders>
          </w:tcPr>
          <w:p>
            <w:pPr>
              <w:tabs>
                <w:tab w:val="left" w:pos="4045"/>
              </w:tabs>
              <w:rPr>
                <w:rFonts w:ascii="宋体" w:hAnsi="宋体"/>
                <w:b/>
                <w:color w:val="auto"/>
                <w:sz w:val="24"/>
              </w:rPr>
            </w:pPr>
            <w:r>
              <w:rPr>
                <w:rFonts w:hint="eastAsia" w:cs="宋体" w:asciiTheme="minorEastAsia" w:hAnsiTheme="minorEastAsia" w:eastAsiaTheme="minorEastAsia"/>
                <w:b/>
                <w:color w:val="auto"/>
                <w:kern w:val="0"/>
                <w:sz w:val="24"/>
              </w:rPr>
              <w:t>评标委员会认为投标人的报价明显低于其他通过符合性审查投标人的报价，有可能影响服务质量或者不能诚信履约的，投标人未在评标现场合理的时间内提供书面说明或提交相关证明材料，投标人不能证明其报价合理性，评标委员会将其投标文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 w:val="24"/>
                <w:lang w:eastAsia="zh-CN"/>
              </w:rPr>
            </w:pPr>
            <w:r>
              <w:rPr>
                <w:rFonts w:hint="eastAsia" w:ascii="宋体" w:hAnsi="宋体"/>
                <w:color w:val="auto"/>
                <w:sz w:val="24"/>
              </w:rPr>
              <w:t>1</w:t>
            </w:r>
            <w:r>
              <w:rPr>
                <w:rFonts w:hint="eastAsia" w:ascii="宋体" w:hAnsi="宋体"/>
                <w:color w:val="auto"/>
                <w:sz w:val="24"/>
                <w:lang w:val="en-US" w:eastAsia="zh-CN"/>
              </w:rPr>
              <w:t>7</w:t>
            </w:r>
          </w:p>
        </w:tc>
        <w:tc>
          <w:tcPr>
            <w:tcW w:w="7927" w:type="dxa"/>
            <w:tcBorders>
              <w:top w:val="single" w:color="auto" w:sz="4" w:space="0"/>
              <w:left w:val="single" w:color="auto" w:sz="4" w:space="0"/>
              <w:bottom w:val="single" w:color="auto" w:sz="4" w:space="0"/>
              <w:right w:val="single" w:color="auto" w:sz="4" w:space="0"/>
            </w:tcBorders>
          </w:tcPr>
          <w:p>
            <w:pPr>
              <w:tabs>
                <w:tab w:val="left" w:pos="4045"/>
              </w:tabs>
              <w:rPr>
                <w:rFonts w:cs="宋体" w:asciiTheme="minorEastAsia" w:hAnsiTheme="minorEastAsia" w:eastAsiaTheme="minorEastAsia"/>
                <w:b/>
                <w:color w:val="auto"/>
                <w:kern w:val="0"/>
                <w:sz w:val="24"/>
              </w:rPr>
            </w:pPr>
            <w:r>
              <w:rPr>
                <w:rFonts w:hint="eastAsia" w:ascii="宋体" w:hAnsi="宋体" w:cs="宋体"/>
                <w:b/>
                <w:color w:val="auto"/>
                <w:sz w:val="24"/>
              </w:rPr>
              <w:t>中标人在领取中标通知书时，须向采购代理机构支付代理服务费。代理服务费支付方式：</w:t>
            </w:r>
            <w:r>
              <w:rPr>
                <w:rFonts w:hint="eastAsia" w:ascii="宋体" w:hAnsi="宋体" w:cs="宋体"/>
                <w:b/>
                <w:bCs/>
                <w:color w:val="auto"/>
                <w:sz w:val="24"/>
              </w:rPr>
              <w:t>①现金；②电汇：</w:t>
            </w:r>
            <w:r>
              <w:rPr>
                <w:rFonts w:hint="eastAsia" w:ascii="宋体" w:hAnsi="宋体" w:cs="宋体"/>
                <w:b/>
                <w:color w:val="auto"/>
                <w:sz w:val="24"/>
              </w:rPr>
              <w:t>请汇至“户名：辽宁中信诚达项目管理有限公司；开户行：中国工商银行股份有限公司大连西岗支行；账号：3400202909000064174”。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 w:val="24"/>
                <w:lang w:eastAsia="zh-CN"/>
              </w:rPr>
            </w:pPr>
            <w:r>
              <w:rPr>
                <w:rFonts w:hint="eastAsia" w:ascii="宋体" w:hAnsi="宋体"/>
                <w:color w:val="auto"/>
                <w:sz w:val="24"/>
              </w:rPr>
              <w:t>1</w:t>
            </w:r>
            <w:r>
              <w:rPr>
                <w:rFonts w:hint="eastAsia" w:ascii="宋体" w:hAnsi="宋体"/>
                <w:color w:val="auto"/>
                <w:sz w:val="24"/>
                <w:lang w:val="en-US" w:eastAsia="zh-CN"/>
              </w:rPr>
              <w:t>8</w:t>
            </w:r>
          </w:p>
        </w:tc>
        <w:tc>
          <w:tcPr>
            <w:tcW w:w="7927" w:type="dxa"/>
            <w:tcBorders>
              <w:top w:val="single" w:color="auto" w:sz="4" w:space="0"/>
              <w:left w:val="single" w:color="auto" w:sz="4" w:space="0"/>
              <w:bottom w:val="single" w:color="auto" w:sz="4" w:space="0"/>
              <w:right w:val="single" w:color="auto" w:sz="4" w:space="0"/>
            </w:tcBorders>
          </w:tcPr>
          <w:p>
            <w:pPr>
              <w:tabs>
                <w:tab w:val="left" w:pos="4045"/>
              </w:tabs>
              <w:adjustRightInd w:val="0"/>
              <w:snapToGrid w:val="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其他要求：</w:t>
            </w:r>
          </w:p>
          <w:p>
            <w:pPr>
              <w:tabs>
                <w:tab w:val="left" w:pos="4045"/>
              </w:tabs>
              <w:adjustRightInd w:val="0"/>
              <w:snapToGrid w:val="0"/>
              <w:rPr>
                <w:rFonts w:ascii="宋体" w:hAnsi="宋体" w:cs="宋体"/>
                <w:b/>
                <w:color w:val="auto"/>
                <w:sz w:val="24"/>
              </w:rPr>
            </w:pPr>
            <w:r>
              <w:rPr>
                <w:rFonts w:hint="eastAsia" w:cs="宋体" w:asciiTheme="minorEastAsia" w:hAnsiTheme="minorEastAsia" w:eastAsiaTheme="minorEastAsia"/>
                <w:color w:val="auto"/>
                <w:kern w:val="0"/>
                <w:sz w:val="24"/>
              </w:rPr>
              <w:t>本次响应报价应包括所需一切与本项目相关的全部费用，采购人不再支付除合同价款以外的任何费用。</w:t>
            </w:r>
          </w:p>
        </w:tc>
      </w:tr>
    </w:tbl>
    <w:p>
      <w:pPr>
        <w:adjustRightInd w:val="0"/>
        <w:snapToGrid w:val="0"/>
        <w:spacing w:line="336" w:lineRule="auto"/>
        <w:jc w:val="center"/>
        <w:rPr>
          <w:rFonts w:ascii="宋体" w:hAnsi="宋体"/>
          <w:b/>
          <w:bCs/>
          <w:sz w:val="44"/>
          <w:szCs w:val="44"/>
        </w:rPr>
      </w:pPr>
      <w:r>
        <w:rPr>
          <w:rFonts w:ascii="宋体" w:hAnsi="宋体"/>
          <w:b/>
          <w:bCs/>
          <w:sz w:val="44"/>
          <w:szCs w:val="44"/>
        </w:rPr>
        <w:br w:type="page"/>
      </w:r>
      <w:r>
        <w:rPr>
          <w:rFonts w:hint="eastAsia" w:ascii="宋体" w:hAnsi="宋体"/>
          <w:b/>
          <w:bCs/>
          <w:sz w:val="44"/>
          <w:szCs w:val="44"/>
        </w:rPr>
        <w:t>投标人须知</w:t>
      </w:r>
    </w:p>
    <w:p>
      <w:pPr>
        <w:adjustRightInd w:val="0"/>
        <w:snapToGrid w:val="0"/>
        <w:spacing w:line="360" w:lineRule="auto"/>
        <w:ind w:firstLine="354" w:firstLineChars="98"/>
        <w:jc w:val="center"/>
        <w:outlineLvl w:val="0"/>
        <w:rPr>
          <w:rFonts w:ascii="宋体" w:hAnsi="宋体"/>
          <w:b/>
          <w:bCs/>
          <w:sz w:val="36"/>
          <w:szCs w:val="36"/>
        </w:rPr>
      </w:pPr>
      <w:r>
        <w:rPr>
          <w:rFonts w:hint="eastAsia" w:ascii="宋体" w:hAnsi="宋体"/>
          <w:b/>
          <w:bCs/>
          <w:sz w:val="36"/>
          <w:szCs w:val="36"/>
        </w:rPr>
        <w:t>一、总  则</w:t>
      </w:r>
    </w:p>
    <w:p>
      <w:pPr>
        <w:adjustRightInd w:val="0"/>
        <w:snapToGrid w:val="0"/>
        <w:spacing w:line="360" w:lineRule="auto"/>
        <w:ind w:firstLine="236" w:firstLineChars="98"/>
        <w:outlineLvl w:val="0"/>
        <w:rPr>
          <w:rFonts w:ascii="宋体" w:hAnsi="宋体"/>
          <w:b/>
          <w:bCs/>
          <w:sz w:val="28"/>
          <w:szCs w:val="28"/>
        </w:rPr>
      </w:pPr>
      <w:r>
        <w:rPr>
          <w:rFonts w:hint="eastAsia" w:ascii="宋体" w:hAnsi="宋体"/>
          <w:b/>
          <w:bCs/>
          <w:sz w:val="24"/>
        </w:rPr>
        <w:t>（一）项目概述及资金来源</w:t>
      </w:r>
    </w:p>
    <w:p>
      <w:pPr>
        <w:tabs>
          <w:tab w:val="left" w:pos="420"/>
        </w:tabs>
        <w:spacing w:line="360" w:lineRule="auto"/>
        <w:ind w:firstLine="480" w:firstLineChars="200"/>
        <w:rPr>
          <w:rFonts w:ascii="宋体" w:hAnsi="宋体" w:cs="宋体"/>
          <w:kern w:val="0"/>
          <w:sz w:val="24"/>
        </w:rPr>
      </w:pPr>
      <w:r>
        <w:rPr>
          <w:rFonts w:hint="eastAsia" w:ascii="宋体" w:hAnsi="宋体"/>
          <w:sz w:val="24"/>
        </w:rPr>
        <w:t>1.本招标项目按照《中华人民共和国政府采购法》、《政府采购货物和服务招标投标管理办法》的有关规定，</w:t>
      </w:r>
      <w:r>
        <w:rPr>
          <w:rFonts w:hint="eastAsia" w:ascii="宋体" w:hAnsi="宋体"/>
          <w:spacing w:val="-2"/>
          <w:kern w:val="21"/>
          <w:sz w:val="24"/>
          <w:szCs w:val="21"/>
        </w:rPr>
        <w:t>实行国内公开招标</w:t>
      </w:r>
      <w:r>
        <w:rPr>
          <w:rFonts w:hint="eastAsia" w:ascii="宋体" w:hAnsi="宋体" w:cs="宋体"/>
          <w:kern w:val="0"/>
          <w:sz w:val="24"/>
        </w:rPr>
        <w:t>。</w:t>
      </w:r>
    </w:p>
    <w:p>
      <w:pPr>
        <w:tabs>
          <w:tab w:val="left" w:pos="420"/>
        </w:tabs>
        <w:spacing w:line="360" w:lineRule="auto"/>
        <w:ind w:firstLine="480" w:firstLineChars="200"/>
        <w:rPr>
          <w:rFonts w:ascii="宋体" w:hAnsi="宋体"/>
          <w:sz w:val="24"/>
          <w:szCs w:val="21"/>
        </w:rPr>
      </w:pPr>
      <w:r>
        <w:rPr>
          <w:rFonts w:hint="eastAsia" w:ascii="宋体" w:hAnsi="宋体"/>
          <w:sz w:val="24"/>
          <w:szCs w:val="28"/>
        </w:rPr>
        <w:t>（1）</w:t>
      </w:r>
      <w:r>
        <w:rPr>
          <w:rFonts w:hint="eastAsia" w:ascii="宋体" w:hAnsi="宋体"/>
          <w:bCs/>
          <w:sz w:val="24"/>
        </w:rPr>
        <w:t>采购人名称：</w:t>
      </w:r>
      <w:r>
        <w:rPr>
          <w:rFonts w:hint="eastAsia" w:ascii="宋体" w:hAnsi="宋体" w:cs="宋体"/>
          <w:kern w:val="0"/>
          <w:sz w:val="24"/>
        </w:rPr>
        <w:t>大连大学附属新华医院</w:t>
      </w:r>
    </w:p>
    <w:p>
      <w:pPr>
        <w:tabs>
          <w:tab w:val="left" w:pos="420"/>
        </w:tabs>
        <w:spacing w:line="360" w:lineRule="auto"/>
        <w:ind w:firstLine="480" w:firstLineChars="200"/>
        <w:rPr>
          <w:rFonts w:ascii="宋体" w:hAnsi="宋体"/>
          <w:sz w:val="24"/>
          <w:szCs w:val="21"/>
        </w:rPr>
      </w:pPr>
      <w:r>
        <w:rPr>
          <w:rFonts w:hint="eastAsia" w:ascii="宋体" w:hAnsi="宋体"/>
          <w:sz w:val="24"/>
          <w:szCs w:val="21"/>
        </w:rPr>
        <w:t>（2）本次招标的内容为：</w:t>
      </w:r>
      <w:r>
        <w:rPr>
          <w:rFonts w:hint="eastAsia" w:ascii="宋体" w:hAnsi="宋体" w:cs="宋体"/>
          <w:kern w:val="0"/>
          <w:sz w:val="24"/>
        </w:rPr>
        <w:t>大连大学附属新华医院感染性疾病应急中心项目工程前期勘察（详细内容见招标文件）</w:t>
      </w:r>
    </w:p>
    <w:p>
      <w:pPr>
        <w:tabs>
          <w:tab w:val="left" w:pos="420"/>
        </w:tabs>
        <w:spacing w:line="360" w:lineRule="auto"/>
        <w:ind w:firstLine="480" w:firstLineChars="200"/>
        <w:rPr>
          <w:rFonts w:hint="eastAsia" w:ascii="宋体" w:hAnsi="宋体"/>
          <w:sz w:val="24"/>
          <w:szCs w:val="28"/>
          <w:lang w:val="en-AU"/>
        </w:rPr>
      </w:pPr>
      <w:r>
        <w:rPr>
          <w:rFonts w:hint="eastAsia" w:ascii="宋体" w:hAnsi="宋体"/>
          <w:sz w:val="24"/>
          <w:szCs w:val="28"/>
        </w:rPr>
        <w:t>（3）★服务期限：采购人通知进场之日起，5个日历日内提交初勘成果；15个日历日内提交详勘成果。具体以采购人要求为准。</w:t>
      </w:r>
    </w:p>
    <w:p>
      <w:pPr>
        <w:tabs>
          <w:tab w:val="left" w:pos="420"/>
        </w:tabs>
        <w:spacing w:line="360" w:lineRule="auto"/>
        <w:ind w:firstLine="480" w:firstLineChars="200"/>
        <w:rPr>
          <w:rFonts w:hint="eastAsia" w:ascii="宋体" w:hAnsi="宋体"/>
          <w:sz w:val="24"/>
          <w:szCs w:val="28"/>
        </w:rPr>
      </w:pPr>
      <w:r>
        <w:rPr>
          <w:rFonts w:hint="eastAsia" w:ascii="宋体" w:hAnsi="宋体"/>
          <w:sz w:val="24"/>
          <w:szCs w:val="28"/>
        </w:rPr>
        <w:t>（4）★服务地点：采购人指定地点</w:t>
      </w:r>
    </w:p>
    <w:p>
      <w:pPr>
        <w:tabs>
          <w:tab w:val="left" w:pos="420"/>
        </w:tabs>
        <w:spacing w:line="360" w:lineRule="auto"/>
        <w:ind w:firstLine="480" w:firstLineChars="200"/>
        <w:rPr>
          <w:rFonts w:hint="eastAsia" w:ascii="宋体" w:hAnsi="宋体"/>
          <w:sz w:val="24"/>
          <w:szCs w:val="28"/>
        </w:rPr>
      </w:pPr>
      <w:r>
        <w:rPr>
          <w:rFonts w:hint="eastAsia" w:ascii="宋体" w:hAnsi="宋体"/>
          <w:sz w:val="24"/>
          <w:szCs w:val="28"/>
        </w:rPr>
        <w:t>（5）★付款方式：</w:t>
      </w:r>
    </w:p>
    <w:p>
      <w:pPr>
        <w:tabs>
          <w:tab w:val="left" w:pos="420"/>
        </w:tabs>
        <w:spacing w:line="360" w:lineRule="auto"/>
        <w:ind w:firstLine="480" w:firstLineChars="200"/>
        <w:rPr>
          <w:rFonts w:hint="eastAsia" w:ascii="宋体" w:hAnsi="宋体"/>
          <w:sz w:val="24"/>
          <w:szCs w:val="28"/>
        </w:rPr>
      </w:pPr>
      <w:r>
        <w:rPr>
          <w:rFonts w:hint="eastAsia" w:ascii="宋体" w:hAnsi="宋体"/>
          <w:sz w:val="24"/>
          <w:szCs w:val="28"/>
        </w:rPr>
        <w:t>1、预付款：签订合同后，采购人支付合同价款的30%；</w:t>
      </w:r>
    </w:p>
    <w:p>
      <w:pPr>
        <w:tabs>
          <w:tab w:val="left" w:pos="420"/>
        </w:tabs>
        <w:spacing w:line="360" w:lineRule="auto"/>
        <w:ind w:firstLine="480" w:firstLineChars="200"/>
        <w:rPr>
          <w:rFonts w:hint="eastAsia" w:ascii="宋体" w:hAnsi="宋体"/>
          <w:sz w:val="24"/>
          <w:szCs w:val="28"/>
        </w:rPr>
      </w:pPr>
      <w:r>
        <w:rPr>
          <w:rFonts w:hint="eastAsia" w:ascii="宋体" w:hAnsi="宋体"/>
          <w:sz w:val="24"/>
          <w:szCs w:val="28"/>
        </w:rPr>
        <w:t>2、详勘：提交经审查机构审查合格的详细勘察报告后，支付至对应合同价款的80%，</w:t>
      </w:r>
    </w:p>
    <w:p>
      <w:pPr>
        <w:tabs>
          <w:tab w:val="left" w:pos="420"/>
        </w:tabs>
        <w:spacing w:line="360" w:lineRule="auto"/>
        <w:ind w:firstLine="480" w:firstLineChars="200"/>
        <w:rPr>
          <w:rFonts w:hint="eastAsia" w:ascii="宋体" w:hAnsi="宋体"/>
          <w:sz w:val="24"/>
          <w:szCs w:val="28"/>
        </w:rPr>
      </w:pPr>
      <w:r>
        <w:rPr>
          <w:rFonts w:hint="eastAsia" w:ascii="宋体" w:hAnsi="宋体"/>
          <w:sz w:val="24"/>
          <w:szCs w:val="28"/>
        </w:rPr>
        <w:t>3.结算款：经相关审核部门出具结算审核报告后支付至审定额的100%；</w:t>
      </w:r>
    </w:p>
    <w:p>
      <w:pPr>
        <w:tabs>
          <w:tab w:val="left" w:pos="420"/>
        </w:tabs>
        <w:spacing w:line="360" w:lineRule="auto"/>
        <w:ind w:firstLine="480" w:firstLineChars="200"/>
        <w:rPr>
          <w:rFonts w:hint="eastAsia" w:ascii="宋体" w:hAnsi="宋体"/>
          <w:sz w:val="24"/>
          <w:szCs w:val="28"/>
        </w:rPr>
      </w:pPr>
      <w:r>
        <w:rPr>
          <w:rFonts w:hint="eastAsia" w:ascii="宋体" w:hAnsi="宋体"/>
          <w:sz w:val="24"/>
          <w:szCs w:val="28"/>
        </w:rPr>
        <w:t>注：采购人付款前，中标单位应当提供等额合法有效发票。</w:t>
      </w:r>
    </w:p>
    <w:p>
      <w:pPr>
        <w:tabs>
          <w:tab w:val="left" w:pos="420"/>
        </w:tabs>
        <w:spacing w:line="360" w:lineRule="auto"/>
        <w:ind w:firstLine="480" w:firstLineChars="200"/>
        <w:rPr>
          <w:rFonts w:hint="eastAsia" w:ascii="宋体" w:hAnsi="宋体"/>
          <w:sz w:val="24"/>
          <w:szCs w:val="28"/>
        </w:rPr>
      </w:pPr>
      <w:r>
        <w:rPr>
          <w:rFonts w:hint="eastAsia" w:ascii="宋体" w:hAnsi="宋体"/>
          <w:sz w:val="24"/>
          <w:szCs w:val="28"/>
        </w:rPr>
        <w:t>支付时间最终以市财政局资金下达时间为准</w:t>
      </w:r>
      <w:r>
        <w:rPr>
          <w:rFonts w:hint="eastAsia" w:ascii="宋体" w:hAnsi="宋体"/>
          <w:sz w:val="24"/>
          <w:szCs w:val="28"/>
          <w:lang w:eastAsia="zh-CN"/>
        </w:rPr>
        <w:t>，</w:t>
      </w:r>
      <w:r>
        <w:rPr>
          <w:rFonts w:hint="eastAsia" w:ascii="宋体" w:hAnsi="宋体"/>
          <w:sz w:val="24"/>
          <w:szCs w:val="28"/>
          <w:lang w:val="en-US" w:eastAsia="zh-CN"/>
        </w:rPr>
        <w:t>支付金额以财政最终审定值为准</w:t>
      </w:r>
      <w:r>
        <w:rPr>
          <w:rFonts w:hint="eastAsia" w:ascii="宋体" w:hAnsi="宋体"/>
          <w:sz w:val="24"/>
          <w:szCs w:val="28"/>
        </w:rPr>
        <w:t>。</w:t>
      </w:r>
    </w:p>
    <w:p>
      <w:pPr>
        <w:tabs>
          <w:tab w:val="left" w:pos="420"/>
        </w:tabs>
        <w:spacing w:line="360" w:lineRule="auto"/>
        <w:ind w:firstLine="480" w:firstLineChars="200"/>
        <w:rPr>
          <w:rFonts w:hint="eastAsia" w:ascii="宋体" w:hAnsi="宋体"/>
          <w:sz w:val="24"/>
          <w:szCs w:val="28"/>
        </w:rPr>
      </w:pPr>
      <w:r>
        <w:rPr>
          <w:rFonts w:hint="eastAsia" w:ascii="宋体" w:hAnsi="宋体"/>
          <w:sz w:val="24"/>
          <w:szCs w:val="28"/>
        </w:rPr>
        <w:t>（6）资金来源：财政资金。</w:t>
      </w:r>
    </w:p>
    <w:p>
      <w:pPr>
        <w:spacing w:line="360" w:lineRule="auto"/>
        <w:ind w:firstLine="241" w:firstLineChars="100"/>
        <w:rPr>
          <w:rFonts w:ascii="宋体" w:hAnsi="宋体"/>
          <w:sz w:val="24"/>
        </w:rPr>
      </w:pPr>
      <w:r>
        <w:rPr>
          <w:rFonts w:hint="eastAsia" w:ascii="宋体" w:hAnsi="宋体"/>
          <w:b/>
          <w:bCs/>
          <w:sz w:val="24"/>
        </w:rPr>
        <w:t>（二）投标人资格要求</w:t>
      </w:r>
    </w:p>
    <w:p>
      <w:pPr>
        <w:widowControl/>
        <w:spacing w:line="360" w:lineRule="auto"/>
        <w:ind w:firstLine="482" w:firstLineChars="200"/>
        <w:jc w:val="left"/>
        <w:rPr>
          <w:rFonts w:ascii="宋体" w:hAnsi="宋体"/>
          <w:b/>
          <w:sz w:val="24"/>
        </w:rPr>
      </w:pPr>
      <w:r>
        <w:rPr>
          <w:rFonts w:hint="eastAsia" w:ascii="宋体" w:hAnsi="宋体"/>
          <w:b/>
          <w:sz w:val="24"/>
        </w:rPr>
        <w:t>申请人</w:t>
      </w:r>
      <w:r>
        <w:rPr>
          <w:rFonts w:ascii="宋体" w:hAnsi="宋体"/>
          <w:b/>
          <w:sz w:val="24"/>
        </w:rPr>
        <w:t>的资格要求：</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w:t>
      </w:r>
      <w:r>
        <w:rPr>
          <w:rFonts w:ascii="宋体" w:hAnsi="宋体" w:cs="宋体"/>
          <w:kern w:val="0"/>
          <w:sz w:val="24"/>
        </w:rPr>
        <w:t>.</w:t>
      </w:r>
      <w:r>
        <w:rPr>
          <w:rFonts w:hint="eastAsia" w:ascii="宋体" w:hAnsi="宋体" w:cs="宋体"/>
          <w:kern w:val="0"/>
          <w:sz w:val="24"/>
        </w:rPr>
        <w:t>满足《中华人民共和国政府采购法》第二十二条规定；</w:t>
      </w:r>
    </w:p>
    <w:p>
      <w:pPr>
        <w:spacing w:line="360" w:lineRule="auto"/>
        <w:ind w:firstLine="480" w:firstLineChars="200"/>
        <w:rPr>
          <w:rFonts w:ascii="宋体" w:hAnsi="宋体"/>
          <w:bCs/>
          <w:sz w:val="24"/>
          <w:szCs w:val="21"/>
          <w:u w:val="single"/>
        </w:rPr>
      </w:pPr>
      <w:r>
        <w:rPr>
          <w:rFonts w:hint="eastAsia" w:ascii="宋体" w:hAnsi="宋体"/>
          <w:bCs/>
          <w:sz w:val="24"/>
          <w:szCs w:val="21"/>
        </w:rPr>
        <w:t>2</w:t>
      </w:r>
      <w:r>
        <w:rPr>
          <w:rFonts w:ascii="宋体" w:hAnsi="宋体"/>
          <w:bCs/>
          <w:sz w:val="24"/>
          <w:szCs w:val="21"/>
        </w:rPr>
        <w:t>.落实政府采购政策需满足的资格要求</w:t>
      </w:r>
      <w:r>
        <w:rPr>
          <w:rFonts w:hint="eastAsia" w:ascii="宋体" w:hAnsi="宋体"/>
          <w:bCs/>
          <w:sz w:val="24"/>
          <w:szCs w:val="21"/>
        </w:rPr>
        <w:t>：</w:t>
      </w:r>
      <w:r>
        <w:rPr>
          <w:rFonts w:ascii="宋体" w:hAnsi="宋体"/>
          <w:bCs/>
          <w:sz w:val="24"/>
          <w:szCs w:val="21"/>
        </w:rPr>
        <w:t>无</w:t>
      </w:r>
      <w:r>
        <w:rPr>
          <w:rFonts w:hint="eastAsia" w:ascii="宋体" w:hAnsi="宋体"/>
          <w:bCs/>
          <w:sz w:val="24"/>
          <w:szCs w:val="21"/>
        </w:rPr>
        <w:t>；</w:t>
      </w:r>
    </w:p>
    <w:p>
      <w:pPr>
        <w:widowControl/>
        <w:spacing w:line="360" w:lineRule="auto"/>
        <w:ind w:firstLine="480" w:firstLineChars="200"/>
        <w:jc w:val="left"/>
        <w:rPr>
          <w:rFonts w:ascii="宋体" w:hAnsi="宋体"/>
          <w:bCs/>
          <w:sz w:val="24"/>
          <w:szCs w:val="21"/>
        </w:rPr>
      </w:pPr>
      <w:r>
        <w:rPr>
          <w:rFonts w:hint="eastAsia" w:ascii="宋体" w:hAnsi="宋体" w:cs="宋体"/>
          <w:kern w:val="0"/>
          <w:sz w:val="24"/>
        </w:rPr>
        <w:t>3.本项目的特定资格要求：</w:t>
      </w:r>
    </w:p>
    <w:p>
      <w:pPr>
        <w:spacing w:line="360" w:lineRule="auto"/>
        <w:ind w:firstLine="480" w:firstLineChars="200"/>
        <w:rPr>
          <w:rFonts w:ascii="宋体" w:hAnsi="宋体"/>
          <w:bCs/>
          <w:sz w:val="24"/>
          <w:szCs w:val="21"/>
        </w:rPr>
      </w:pPr>
      <w:r>
        <w:rPr>
          <w:rFonts w:hint="eastAsia" w:ascii="宋体" w:hAnsi="宋体"/>
          <w:bCs/>
          <w:sz w:val="24"/>
          <w:szCs w:val="21"/>
        </w:rPr>
        <w:t>(1)具有建设行政主管部门核发的工程勘察综合资质甲级或建设行政主管部门核发的工程勘察专业类岩土工程乙级资质及以上资质或建设行政主管部门核发的工程勘察专业类（岩土工程（分项））岩土工程勘察乙级资质及以上资质。</w:t>
      </w:r>
    </w:p>
    <w:p>
      <w:pPr>
        <w:spacing w:line="360" w:lineRule="auto"/>
        <w:ind w:right="-212" w:rightChars="-101" w:firstLine="480" w:firstLineChars="200"/>
        <w:rPr>
          <w:rFonts w:ascii="宋体" w:hAnsi="宋体"/>
          <w:bCs/>
          <w:sz w:val="24"/>
          <w:szCs w:val="21"/>
        </w:rPr>
      </w:pPr>
      <w:r>
        <w:rPr>
          <w:rFonts w:hint="eastAsia" w:ascii="宋体" w:hAnsi="宋体"/>
          <w:bCs/>
          <w:sz w:val="24"/>
          <w:szCs w:val="21"/>
        </w:rPr>
        <w:t>(2)</w:t>
      </w:r>
      <w:r>
        <w:rPr>
          <w:rFonts w:hint="eastAsia"/>
          <w:bCs/>
        </w:rPr>
        <w:t xml:space="preserve"> </w:t>
      </w:r>
      <w:r>
        <w:rPr>
          <w:rFonts w:hint="eastAsia" w:ascii="宋体" w:hAnsi="宋体"/>
          <w:bCs/>
          <w:sz w:val="24"/>
          <w:szCs w:val="21"/>
        </w:rPr>
        <w:t>项目负责人具有国家注册土木工程师（岩土）执业资格，无在处罚期内的不良记录。</w:t>
      </w:r>
    </w:p>
    <w:p>
      <w:pPr>
        <w:spacing w:line="360" w:lineRule="auto"/>
        <w:ind w:right="-212" w:rightChars="-101" w:firstLine="480" w:firstLineChars="200"/>
        <w:rPr>
          <w:rFonts w:ascii="宋体" w:hAnsi="宋体" w:cs="宋体"/>
          <w:kern w:val="0"/>
          <w:sz w:val="24"/>
        </w:rPr>
      </w:pPr>
      <w:r>
        <w:rPr>
          <w:rFonts w:hint="eastAsia" w:ascii="宋体" w:hAnsi="宋体" w:cs="宋体"/>
          <w:kern w:val="0"/>
          <w:sz w:val="24"/>
        </w:rPr>
        <w:t>注：</w:t>
      </w:r>
      <w:r>
        <w:rPr>
          <w:rFonts w:hint="eastAsia" w:ascii="宋体" w:hAnsi="宋体" w:cs="宋体"/>
          <w:bCs/>
          <w:iCs/>
          <w:sz w:val="24"/>
        </w:rPr>
        <w:t>①</w:t>
      </w:r>
      <w:r>
        <w:rPr>
          <w:rFonts w:hint="eastAsia" w:ascii="宋体" w:hAnsi="宋体" w:cs="宋体"/>
          <w:kern w:val="0"/>
          <w:sz w:val="24"/>
        </w:rPr>
        <w:t>项目评审开始前，</w:t>
      </w:r>
      <w:r>
        <w:rPr>
          <w:rFonts w:hint="eastAsia" w:ascii="宋体" w:hAnsi="宋体" w:cs="宋体"/>
          <w:sz w:val="24"/>
        </w:rPr>
        <w:t>经“信用中国”网站（www.creditchina.gov.cn）、“信用辽宁”网站（www.xyln.net）、“信用大连”网站（https:</w:t>
      </w:r>
      <w:r>
        <w:rPr>
          <w:rFonts w:hint="eastAsia" w:ascii="宋体" w:hAnsi="宋体" w:cs="宋体"/>
          <w:kern w:val="0"/>
          <w:sz w:val="24"/>
        </w:rPr>
        <w:t>//credit.dl.gov.cn/）、“中国政府采购网”网站（www.ccgp.gov.cn）查询，被列入失信被执行人、重大税收违法案件当事人名单、政府采购严重违法失信行为记录名单的不得参加本采购项目。</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 ②本项目所属行业为其他未列明行业。</w:t>
      </w:r>
    </w:p>
    <w:p>
      <w:pPr>
        <w:spacing w:line="360" w:lineRule="auto"/>
        <w:ind w:firstLine="480" w:firstLineChars="200"/>
        <w:jc w:val="left"/>
        <w:rPr>
          <w:rFonts w:asciiTheme="minorEastAsia" w:hAnsiTheme="minorEastAsia" w:eastAsiaTheme="minorEastAsia"/>
          <w:sz w:val="24"/>
        </w:rPr>
      </w:pPr>
      <w:r>
        <w:rPr>
          <w:rFonts w:hint="eastAsia" w:ascii="宋体" w:hAnsi="宋体"/>
          <w:sz w:val="24"/>
        </w:rPr>
        <w:t>其他要求：</w:t>
      </w:r>
    </w:p>
    <w:p>
      <w:pPr>
        <w:spacing w:line="360" w:lineRule="auto"/>
        <w:ind w:firstLine="480" w:firstLineChars="200"/>
        <w:jc w:val="left"/>
        <w:rPr>
          <w:rFonts w:asciiTheme="minorEastAsia" w:hAnsiTheme="minorEastAsia" w:eastAsiaTheme="minorEastAsia"/>
          <w:sz w:val="24"/>
        </w:rPr>
      </w:pPr>
      <w:r>
        <w:rPr>
          <w:rFonts w:hint="eastAsia" w:ascii="宋体" w:hAnsi="宋体"/>
          <w:sz w:val="24"/>
        </w:rPr>
        <w:t>1.投标人只有在法律和财务上独立，并且与采购人没有隶属关系才可以参与本项目的投标。</w:t>
      </w:r>
    </w:p>
    <w:p>
      <w:pPr>
        <w:spacing w:line="360" w:lineRule="auto"/>
        <w:ind w:firstLine="480" w:firstLineChars="200"/>
        <w:jc w:val="left"/>
        <w:rPr>
          <w:rFonts w:asciiTheme="minorEastAsia" w:hAnsiTheme="minorEastAsia" w:eastAsiaTheme="minorEastAsia"/>
          <w:sz w:val="24"/>
        </w:rPr>
      </w:pPr>
      <w:r>
        <w:rPr>
          <w:rFonts w:hint="eastAsia" w:ascii="宋体" w:hAnsi="宋体"/>
          <w:sz w:val="24"/>
        </w:rPr>
        <w:t>2.</w:t>
      </w:r>
      <w:r>
        <w:rPr>
          <w:rFonts w:ascii="宋体" w:hAnsi="宋体"/>
          <w:spacing w:val="8"/>
          <w:sz w:val="24"/>
        </w:rPr>
        <w:t>与采购人存在利害关系可能影响招标公正性的法人、其他组织或者个人，不得参加投标。</w:t>
      </w:r>
    </w:p>
    <w:p>
      <w:pPr>
        <w:spacing w:line="360" w:lineRule="auto"/>
        <w:ind w:firstLine="480" w:firstLineChars="200"/>
        <w:jc w:val="left"/>
        <w:rPr>
          <w:rFonts w:asciiTheme="minorEastAsia" w:hAnsiTheme="minorEastAsia" w:eastAsiaTheme="minorEastAsia"/>
          <w:sz w:val="24"/>
        </w:rPr>
      </w:pPr>
      <w:r>
        <w:rPr>
          <w:rFonts w:hint="eastAsia" w:ascii="宋体" w:hAnsi="宋体"/>
          <w:sz w:val="24"/>
        </w:rPr>
        <w:t>3.</w:t>
      </w:r>
      <w:r>
        <w:rPr>
          <w:rFonts w:ascii="宋体" w:hAnsi="宋体"/>
          <w:spacing w:val="8"/>
          <w:sz w:val="24"/>
        </w:rPr>
        <w:t>单位负责人为同一人或者存在控股、管理关系的不同单位，不得参加同一标段投标或者未划分标段的同一招标项目投标。</w:t>
      </w:r>
    </w:p>
    <w:p>
      <w:pPr>
        <w:spacing w:line="360" w:lineRule="auto"/>
        <w:ind w:firstLine="480" w:firstLineChars="200"/>
        <w:jc w:val="left"/>
        <w:rPr>
          <w:rFonts w:asciiTheme="minorEastAsia" w:hAnsiTheme="minorEastAsia" w:eastAsiaTheme="minorEastAsia"/>
          <w:sz w:val="24"/>
        </w:rPr>
      </w:pPr>
      <w:r>
        <w:rPr>
          <w:rFonts w:hint="eastAsia" w:ascii="宋体" w:hAnsi="宋体"/>
          <w:sz w:val="24"/>
        </w:rPr>
        <w:t>4.法定代表人（负责人）为同一个人的两个及两个以上法人不得同时参与投标；投标人之间不应存在授权关系。如有此类情况，则只接受先报名的投标人。</w:t>
      </w:r>
    </w:p>
    <w:p>
      <w:pPr>
        <w:spacing w:line="360" w:lineRule="auto"/>
        <w:ind w:firstLine="480" w:firstLineChars="200"/>
        <w:jc w:val="left"/>
        <w:rPr>
          <w:rFonts w:asciiTheme="minorEastAsia" w:hAnsiTheme="minorEastAsia" w:eastAsiaTheme="minorEastAsia"/>
          <w:sz w:val="24"/>
        </w:rPr>
      </w:pPr>
      <w:r>
        <w:rPr>
          <w:rFonts w:hint="eastAsia" w:ascii="宋体" w:hAnsi="宋体"/>
          <w:sz w:val="24"/>
        </w:rPr>
        <w:t>5</w:t>
      </w:r>
      <w:r>
        <w:rPr>
          <w:rFonts w:ascii="宋体" w:hAnsi="宋体"/>
          <w:sz w:val="24"/>
        </w:rPr>
        <w:t>.除单一来源采购项目外，为本项目提供整体设计、规范编制或者项目管理、监理、检测等服务的供应商，不得再参加本项目的其他采购活动。</w:t>
      </w:r>
    </w:p>
    <w:p>
      <w:pPr>
        <w:spacing w:line="360" w:lineRule="auto"/>
        <w:ind w:firstLine="480" w:firstLineChars="200"/>
        <w:jc w:val="left"/>
        <w:rPr>
          <w:rFonts w:asciiTheme="minorEastAsia" w:hAnsiTheme="minorEastAsia" w:eastAsiaTheme="minorEastAsia"/>
          <w:sz w:val="24"/>
        </w:rPr>
      </w:pPr>
      <w:r>
        <w:rPr>
          <w:rFonts w:hint="eastAsia" w:ascii="宋体" w:hAnsi="宋体"/>
          <w:sz w:val="24"/>
        </w:rPr>
        <w:t>6.投标人应具备《中华人民共和国政府采购法》第二十二条规定的条件。</w:t>
      </w:r>
    </w:p>
    <w:p>
      <w:pPr>
        <w:spacing w:line="360" w:lineRule="auto"/>
        <w:ind w:firstLine="480" w:firstLineChars="200"/>
        <w:jc w:val="left"/>
        <w:rPr>
          <w:rFonts w:asciiTheme="minorEastAsia" w:hAnsiTheme="minorEastAsia" w:eastAsiaTheme="minorEastAsia"/>
          <w:sz w:val="24"/>
        </w:rPr>
      </w:pPr>
      <w:r>
        <w:rPr>
          <w:rFonts w:hint="eastAsia" w:ascii="宋体" w:hAnsi="宋体"/>
          <w:sz w:val="24"/>
        </w:rPr>
        <w:t>7.投标人必须是通过</w:t>
      </w:r>
      <w:r>
        <w:rPr>
          <w:rFonts w:hint="eastAsia" w:ascii="宋体" w:hAnsi="宋体" w:cs="宋体"/>
          <w:kern w:val="0"/>
          <w:sz w:val="24"/>
        </w:rPr>
        <w:t>大连市公共资源交易平台</w:t>
      </w:r>
      <w:r>
        <w:rPr>
          <w:rFonts w:hint="eastAsia" w:ascii="宋体" w:hAnsi="宋体"/>
          <w:sz w:val="24"/>
        </w:rPr>
        <w:t>申请购买招标文件，并向采购代理机构购买招标文件且登记备案。未通过</w:t>
      </w:r>
      <w:r>
        <w:rPr>
          <w:rFonts w:hint="eastAsia" w:ascii="宋体" w:hAnsi="宋体" w:cs="宋体"/>
          <w:kern w:val="0"/>
          <w:sz w:val="24"/>
        </w:rPr>
        <w:t>大连市公共资源交易平台</w:t>
      </w:r>
      <w:r>
        <w:rPr>
          <w:rFonts w:hint="eastAsia" w:ascii="宋体" w:hAnsi="宋体"/>
          <w:sz w:val="24"/>
        </w:rPr>
        <w:t>申请购买招标文件，或未向采购代理机构购买招标文件并登记备案的潜在投标人均无资格参加投标。</w:t>
      </w:r>
    </w:p>
    <w:p>
      <w:pPr>
        <w:spacing w:line="360" w:lineRule="auto"/>
        <w:ind w:firstLine="241" w:firstLineChars="100"/>
        <w:jc w:val="left"/>
        <w:rPr>
          <w:rFonts w:asciiTheme="minorEastAsia" w:hAnsiTheme="minorEastAsia" w:eastAsiaTheme="minorEastAsia"/>
          <w:sz w:val="24"/>
        </w:rPr>
      </w:pPr>
      <w:r>
        <w:rPr>
          <w:rFonts w:hint="eastAsia" w:ascii="宋体" w:hAnsi="宋体"/>
          <w:b/>
          <w:sz w:val="24"/>
        </w:rPr>
        <w:t>（三）投标费用</w:t>
      </w:r>
    </w:p>
    <w:p>
      <w:pPr>
        <w:spacing w:line="360" w:lineRule="auto"/>
        <w:ind w:firstLine="480" w:firstLineChars="200"/>
        <w:jc w:val="left"/>
        <w:rPr>
          <w:rFonts w:asciiTheme="minorEastAsia" w:hAnsiTheme="minorEastAsia" w:eastAsiaTheme="minorEastAsia"/>
          <w:sz w:val="24"/>
        </w:rPr>
      </w:pPr>
      <w:r>
        <w:rPr>
          <w:rFonts w:hint="eastAsia" w:ascii="宋体" w:hAnsi="宋体"/>
          <w:sz w:val="24"/>
        </w:rPr>
        <w:t>投标人应承担所有与编写和提交投标文件有关的一切费用，不论投标的结果如何，采购人及采购代理机构在任何情况下均无义务和责任承担这些费用。</w:t>
      </w:r>
    </w:p>
    <w:p>
      <w:pPr>
        <w:spacing w:line="360" w:lineRule="auto"/>
        <w:ind w:firstLine="241" w:firstLineChars="100"/>
        <w:rPr>
          <w:rFonts w:ascii="宋体" w:hAnsi="宋体"/>
          <w:b/>
          <w:sz w:val="24"/>
        </w:rPr>
      </w:pPr>
      <w:r>
        <w:rPr>
          <w:rFonts w:hint="eastAsia" w:ascii="宋体" w:hAnsi="宋体"/>
          <w:b/>
          <w:sz w:val="24"/>
        </w:rPr>
        <w:t>（四）促进</w:t>
      </w:r>
      <w:r>
        <w:rPr>
          <w:rFonts w:ascii="宋体" w:hAnsi="宋体"/>
          <w:b/>
          <w:sz w:val="24"/>
        </w:rPr>
        <w:t>中小企业</w:t>
      </w:r>
      <w:r>
        <w:rPr>
          <w:rFonts w:hint="eastAsia" w:ascii="宋体" w:hAnsi="宋体"/>
          <w:b/>
          <w:sz w:val="24"/>
        </w:rPr>
        <w:t>发展</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4.1根据财政部《政府采购促进中小企业发展暂行办法》（财库〔2011〕181号）和《大连市财政局关于应对新型冠状病毒肺炎疫情支持企业稳定生产经营有关政府采购政策的通知》（大财采〔2020〕131号）规定，符合条件的中小企业，享受政府采购扶持政策。</w:t>
      </w:r>
    </w:p>
    <w:p>
      <w:pPr>
        <w:adjustRightInd w:val="0"/>
        <w:snapToGrid w:val="0"/>
        <w:spacing w:line="360" w:lineRule="auto"/>
        <w:ind w:firstLine="480" w:firstLineChars="200"/>
        <w:rPr>
          <w:rFonts w:ascii="宋体" w:hAnsi="宋体"/>
          <w:sz w:val="24"/>
        </w:rPr>
      </w:pPr>
      <w:r>
        <w:rPr>
          <w:rFonts w:hint="eastAsia" w:ascii="宋体" w:hAnsi="宋体"/>
          <w:sz w:val="24"/>
        </w:rPr>
        <w:t>4.2规定</w:t>
      </w:r>
      <w:r>
        <w:rPr>
          <w:rFonts w:ascii="宋体" w:hAnsi="宋体"/>
          <w:sz w:val="24"/>
        </w:rPr>
        <w:t>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 xml:space="preserve">4.2.1在政府采购活动中，供应商提供的货物、工程或者服务符合下列情形的，享受《政府采购促进中小企业发展管理办法》规定的中小企业扶持政策。 </w:t>
      </w:r>
    </w:p>
    <w:p>
      <w:pPr>
        <w:adjustRightInd w:val="0"/>
        <w:snapToGrid w:val="0"/>
        <w:spacing w:line="360" w:lineRule="auto"/>
        <w:ind w:firstLine="480" w:firstLineChars="200"/>
        <w:rPr>
          <w:rFonts w:ascii="宋体" w:hAnsi="宋体"/>
          <w:sz w:val="24"/>
        </w:rPr>
      </w:pPr>
      <w:r>
        <w:rPr>
          <w:rFonts w:hint="eastAsia" w:ascii="宋体" w:hAnsi="宋体"/>
          <w:sz w:val="24"/>
        </w:rPr>
        <w:t>①在货物采购项目中，货物由中小企业制造，即货物由中小企业生产且使用该中小企业商号或者注册商标；</w:t>
      </w:r>
    </w:p>
    <w:p>
      <w:pPr>
        <w:adjustRightInd w:val="0"/>
        <w:snapToGrid w:val="0"/>
        <w:spacing w:line="360" w:lineRule="auto"/>
        <w:ind w:firstLine="480" w:firstLineChars="200"/>
        <w:rPr>
          <w:rFonts w:ascii="宋体" w:hAnsi="宋体"/>
          <w:sz w:val="24"/>
        </w:rPr>
      </w:pPr>
      <w:r>
        <w:rPr>
          <w:rFonts w:hint="eastAsia" w:ascii="宋体" w:hAnsi="宋体"/>
          <w:sz w:val="24"/>
        </w:rPr>
        <w:t>②在工程采购项目中，工程由中小企业承建，即工程施工单位为中小企业；</w:t>
      </w:r>
    </w:p>
    <w:p>
      <w:pPr>
        <w:adjustRightInd w:val="0"/>
        <w:snapToGrid w:val="0"/>
        <w:spacing w:line="360" w:lineRule="auto"/>
        <w:ind w:firstLine="480" w:firstLineChars="200"/>
        <w:rPr>
          <w:rFonts w:ascii="宋体" w:hAnsi="宋体"/>
          <w:sz w:val="24"/>
        </w:rPr>
      </w:pPr>
      <w:r>
        <w:rPr>
          <w:rFonts w:hint="eastAsia" w:ascii="宋体" w:hAnsi="宋体"/>
          <w:sz w:val="24"/>
        </w:rPr>
        <w:t>③在服务采购项目中，服务由中小企业承接，即提供服务的人员为中小企业依照《中华人民共和国民法典》订立劳动合同的从业人员。</w:t>
      </w:r>
    </w:p>
    <w:p>
      <w:pPr>
        <w:adjustRightInd w:val="0"/>
        <w:snapToGrid w:val="0"/>
        <w:spacing w:line="360" w:lineRule="auto"/>
        <w:ind w:firstLine="480" w:firstLineChars="200"/>
        <w:rPr>
          <w:rFonts w:ascii="宋体" w:hAnsi="宋体"/>
          <w:sz w:val="24"/>
        </w:rPr>
      </w:pPr>
      <w:r>
        <w:rPr>
          <w:rFonts w:hint="eastAsia" w:ascii="宋体" w:hAnsi="宋体"/>
          <w:sz w:val="24"/>
        </w:rPr>
        <w:t>在货物采购项目中，供应商提供的货物既有中小企业制造货物，也有大型企业制造货物的，不享受《政府采购促进中小企业发展管理办法》规定的中小企业扶持政策。</w:t>
      </w:r>
    </w:p>
    <w:p>
      <w:pPr>
        <w:adjustRightInd w:val="0"/>
        <w:snapToGrid w:val="0"/>
        <w:spacing w:line="360" w:lineRule="auto"/>
        <w:ind w:firstLine="480" w:firstLineChars="200"/>
        <w:rPr>
          <w:rFonts w:ascii="宋体" w:hAnsi="宋体"/>
          <w:sz w:val="24"/>
        </w:rPr>
      </w:pPr>
      <w:r>
        <w:rPr>
          <w:rFonts w:hint="eastAsia" w:ascii="宋体" w:hAnsi="宋体"/>
          <w:sz w:val="24"/>
        </w:rPr>
        <w:t>以联合体形式参加政府采购活动，联合体各方均为中小企业的，联合体视同中小企业。其中，联合体各方均为小微企业的，联合体视同小微企业。</w:t>
      </w:r>
    </w:p>
    <w:p>
      <w:pPr>
        <w:adjustRightInd w:val="0"/>
        <w:snapToGrid w:val="0"/>
        <w:spacing w:line="360" w:lineRule="auto"/>
        <w:ind w:firstLine="480" w:firstLineChars="200"/>
        <w:rPr>
          <w:rFonts w:ascii="宋体" w:hAnsi="宋体"/>
          <w:sz w:val="24"/>
        </w:rPr>
      </w:pPr>
      <w:r>
        <w:rPr>
          <w:rFonts w:hint="eastAsia" w:ascii="宋体" w:hAnsi="宋体"/>
          <w:sz w:val="24"/>
        </w:rPr>
        <w:t>4.2.2对符合《政府采购促进中小企业发展管理办法》规定的小微企业报价给予10%(工程项目为5%)的扣除，用扣除后的价格参加评审。</w:t>
      </w:r>
    </w:p>
    <w:p>
      <w:pPr>
        <w:adjustRightInd w:val="0"/>
        <w:snapToGrid w:val="0"/>
        <w:spacing w:line="360" w:lineRule="auto"/>
        <w:ind w:firstLine="480" w:firstLineChars="200"/>
        <w:rPr>
          <w:rFonts w:ascii="宋体" w:hAnsi="宋体"/>
          <w:sz w:val="24"/>
        </w:rPr>
      </w:pPr>
      <w:r>
        <w:rPr>
          <w:rFonts w:hint="eastAsia" w:ascii="宋体" w:hAnsi="宋体"/>
          <w:sz w:val="24"/>
        </w:rPr>
        <w:t>4.2.3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5%(工程项目为2%)的扣除，用扣除后的价格参加评审。组成联合体或者接受分包的小微企业与联合体内其他企业、分包企业之间存在直接控股、管理关系的，不享受价格扣除优惠政策。</w:t>
      </w:r>
    </w:p>
    <w:p>
      <w:pPr>
        <w:adjustRightInd w:val="0"/>
        <w:snapToGrid w:val="0"/>
        <w:spacing w:line="360" w:lineRule="auto"/>
        <w:ind w:firstLine="480" w:firstLineChars="200"/>
        <w:rPr>
          <w:rFonts w:ascii="宋体" w:hAnsi="宋体"/>
          <w:sz w:val="24"/>
        </w:rPr>
      </w:pPr>
      <w:r>
        <w:rPr>
          <w:rFonts w:hint="eastAsia" w:ascii="宋体" w:hAnsi="宋体"/>
          <w:sz w:val="24"/>
        </w:rPr>
        <w:t>4.2.4价格扣除比例或者价格分加分比例对小微企业同等对待，不作区分。</w:t>
      </w:r>
    </w:p>
    <w:p>
      <w:pPr>
        <w:adjustRightInd w:val="0"/>
        <w:snapToGrid w:val="0"/>
        <w:spacing w:line="360" w:lineRule="auto"/>
        <w:ind w:firstLine="480" w:firstLineChars="200"/>
        <w:rPr>
          <w:rFonts w:ascii="宋体" w:hAnsi="宋体"/>
          <w:sz w:val="24"/>
        </w:rPr>
      </w:pPr>
      <w:r>
        <w:rPr>
          <w:rFonts w:hint="eastAsia" w:ascii="宋体" w:hAnsi="宋体"/>
          <w:sz w:val="24"/>
        </w:rPr>
        <w:t>4.2.5中小企业参加政府采购活动，应当出具《政府采购促进中小企业发展管理办法》规定的《中小企业声明函》(格式详见采购文件),否则不得享受相关中小企业扶持政策。任何单位和个人不得要求供应商提供《中小企业声明函》之外的中小企业身份证明文件。</w:t>
      </w:r>
    </w:p>
    <w:p>
      <w:pPr>
        <w:adjustRightInd w:val="0"/>
        <w:snapToGrid w:val="0"/>
        <w:spacing w:line="360" w:lineRule="auto"/>
        <w:ind w:firstLine="480" w:firstLineChars="200"/>
        <w:rPr>
          <w:rFonts w:ascii="宋体" w:hAnsi="宋体"/>
          <w:sz w:val="24"/>
        </w:rPr>
      </w:pPr>
      <w:r>
        <w:rPr>
          <w:rFonts w:hint="eastAsia" w:ascii="宋体" w:hAnsi="宋体"/>
          <w:sz w:val="24"/>
        </w:rPr>
        <w:t>4.2.6具体内容详见《政府采购促进中小企业发展管理办法》。</w:t>
      </w:r>
    </w:p>
    <w:p>
      <w:pPr>
        <w:spacing w:line="360" w:lineRule="auto"/>
        <w:ind w:firstLine="480" w:firstLineChars="200"/>
        <w:rPr>
          <w:rFonts w:asciiTheme="minorEastAsia" w:hAnsiTheme="minorEastAsia" w:eastAsiaTheme="minorEastAsia"/>
          <w:sz w:val="24"/>
        </w:rPr>
      </w:pPr>
      <w:r>
        <w:rPr>
          <w:rFonts w:hint="eastAsia" w:ascii="宋体" w:hAnsi="宋体"/>
          <w:sz w:val="24"/>
        </w:rPr>
        <w:t>4.2.7本项目所属行业按照工信部联企业[2011]300号文件《关于印发中小企业划型标准规定的通知》执行。</w:t>
      </w:r>
    </w:p>
    <w:p>
      <w:pPr>
        <w:spacing w:line="360" w:lineRule="auto"/>
        <w:ind w:firstLine="482" w:firstLineChars="200"/>
        <w:rPr>
          <w:rFonts w:ascii="宋体" w:hAnsi="宋体"/>
          <w:b/>
          <w:sz w:val="24"/>
        </w:rPr>
      </w:pPr>
      <w:r>
        <w:rPr>
          <w:rFonts w:hint="eastAsia" w:ascii="宋体" w:hAnsi="宋体"/>
          <w:b/>
          <w:sz w:val="24"/>
        </w:rPr>
        <w:t>（五）政府采购信用担保</w:t>
      </w:r>
    </w:p>
    <w:p>
      <w:pPr>
        <w:spacing w:line="360" w:lineRule="auto"/>
        <w:ind w:firstLine="480" w:firstLineChars="200"/>
        <w:rPr>
          <w:rFonts w:ascii="宋体" w:hAnsi="宋体"/>
          <w:sz w:val="24"/>
        </w:rPr>
      </w:pPr>
      <w:r>
        <w:rPr>
          <w:rFonts w:hint="eastAsia" w:ascii="宋体" w:hAnsi="宋体" w:cs="宋体"/>
          <w:sz w:val="24"/>
          <w:szCs w:val="32"/>
        </w:rPr>
        <w:t>为贯彻落实财政部《政府采购促进中小企业发展管理办法》（财库〔2020〕46号）要求，鼓励各地区、各部门在采购活动中允许中小企业引入信用担保手段，为中小企业在投标（响应）保证、履约保证等方面提供专业化服务。鼓励中小企业依法合规通过政府采购合同融资。</w:t>
      </w:r>
    </w:p>
    <w:p>
      <w:pPr>
        <w:spacing w:line="360" w:lineRule="auto"/>
        <w:ind w:firstLine="361" w:firstLineChars="150"/>
        <w:rPr>
          <w:rFonts w:ascii="宋体" w:hAnsi="宋体"/>
          <w:b/>
          <w:sz w:val="24"/>
        </w:rPr>
      </w:pPr>
      <w:r>
        <w:rPr>
          <w:rFonts w:hint="eastAsia" w:ascii="宋体" w:hAnsi="宋体"/>
          <w:b/>
          <w:sz w:val="24"/>
        </w:rPr>
        <w:t>（六） 支持监狱企业发展</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根据财政部、司法部《关于政府采购支持监狱企业发展有关问题的通知》财库[2014]68号规定，符合条件的监狱企业，享受政府采购扶持政策。</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1.享受政府采购支持的监狱企业，应当同时符合以下条件：</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监狱企业是指由</w:t>
      </w:r>
      <w:r>
        <w:fldChar w:fldCharType="begin"/>
      </w:r>
      <w:r>
        <w:instrText xml:space="preserve"> HYPERLINK "https://www.baidu.com/s?wd=%E5%8F%B8%E6%B3%95%E9%83%A8&amp;tn=44039180_cpr&amp;fenlei=mv6quAkxTZn0IZRqIHckPjm4nH00T1d9PHK-PvPbrAcYrjT1uHR30ZwV5Hcvrjm3rH6sPfKWUMw85HfYnjn4nH6sgvPsT6KdThsqpZwYTjCEQLGCpyw9Uz4Bmy-bIi4WUvYETgN-TLwGUv3EnHnvrH0znWmvnjDYPWbYPjnLrf" \t "_blank" </w:instrText>
      </w:r>
      <w:r>
        <w:fldChar w:fldCharType="separate"/>
      </w:r>
      <w:r>
        <w:rPr>
          <w:rFonts w:hint="eastAsia" w:ascii="宋体" w:hAnsi="宋体" w:cs="宋体"/>
          <w:sz w:val="24"/>
          <w:szCs w:val="32"/>
        </w:rPr>
        <w:t>司法部</w:t>
      </w:r>
      <w:r>
        <w:rPr>
          <w:rFonts w:hint="eastAsia" w:ascii="宋体" w:hAnsi="宋体" w:cs="宋体"/>
          <w:sz w:val="24"/>
          <w:szCs w:val="32"/>
        </w:rPr>
        <w:fldChar w:fldCharType="end"/>
      </w:r>
      <w:r>
        <w:rPr>
          <w:rFonts w:hint="eastAsia" w:ascii="宋体" w:hAnsi="宋体" w:cs="宋体"/>
          <w:sz w:val="24"/>
          <w:szCs w:val="32"/>
        </w:rPr>
        <w:t>认定的为罪犯、戒毒人员提供生产项目和劳动对象，且全部产权属于</w:t>
      </w:r>
      <w:r>
        <w:fldChar w:fldCharType="begin"/>
      </w:r>
      <w:r>
        <w:instrText xml:space="preserve"> HYPERLINK "https://www.baidu.com/s?wd=%E5%8F%B8%E6%B3%95%E9%83%A8&amp;tn=44039180_cpr&amp;fenlei=mv6quAkxTZn0IZRqIHckPjm4nH00T1d9PHK-PvPbrAcYrjT1uHR30ZwV5Hcvrjm3rH6sPfKWUMw85HfYnjn4nH6sgvPsT6KdThsqpZwYTjCEQLGCpyw9Uz4Bmy-bIi4WUvYETgN-TLwGUv3EnHnvrH0znWmvnjDYPWbYPjnLrf" \t "_blank" </w:instrText>
      </w:r>
      <w:r>
        <w:fldChar w:fldCharType="separate"/>
      </w:r>
      <w:r>
        <w:rPr>
          <w:rFonts w:hint="eastAsia" w:ascii="宋体" w:hAnsi="宋体" w:cs="宋体"/>
          <w:sz w:val="24"/>
          <w:szCs w:val="32"/>
        </w:rPr>
        <w:t>司法部</w:t>
      </w:r>
      <w:r>
        <w:rPr>
          <w:rFonts w:hint="eastAsia" w:ascii="宋体" w:hAnsi="宋体" w:cs="宋体"/>
          <w:sz w:val="24"/>
          <w:szCs w:val="32"/>
        </w:rPr>
        <w:fldChar w:fldCharType="end"/>
      </w:r>
      <w:r>
        <w:rPr>
          <w:rFonts w:hint="eastAsia" w:ascii="宋体" w:hAnsi="宋体" w:cs="宋体"/>
          <w:sz w:val="24"/>
          <w:szCs w:val="32"/>
        </w:rPr>
        <w:t>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2.监狱企业参加政府采购活动时，应当提供由省级以上监狱管理局、戒毒管理局（含新疆生产建设兵团）出具的属于监狱企业的证明文件。</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3.在政府采购活动中，监狱企业视同小型、微型企业，享受预留份额、评审中价格扣除等促进中小企业发展的政府采购政策。向监狱企业采购的金额，计入面向中小企业采购的统计数据。监狱企业属于小型企业和微型企业的，不重复享受政策。</w:t>
      </w:r>
    </w:p>
    <w:p>
      <w:pPr>
        <w:spacing w:line="360" w:lineRule="auto"/>
        <w:ind w:firstLine="480" w:firstLineChars="200"/>
        <w:jc w:val="left"/>
        <w:rPr>
          <w:rFonts w:ascii="宋体" w:hAnsi="宋体"/>
          <w:sz w:val="24"/>
        </w:rPr>
      </w:pPr>
      <w:r>
        <w:rPr>
          <w:rFonts w:hint="eastAsia" w:ascii="宋体" w:hAnsi="宋体" w:cs="宋体"/>
          <w:sz w:val="24"/>
          <w:szCs w:val="32"/>
        </w:rPr>
        <w:t>4.对符合《财政部司法部关于政府采购支持监狱企业发展有关问题的通知》规定的监狱企业报价给予10%（工程项目为5%）的扣除，用扣除后的价格参加评审。</w:t>
      </w:r>
    </w:p>
    <w:p>
      <w:pPr>
        <w:spacing w:line="360" w:lineRule="auto"/>
        <w:ind w:firstLine="361" w:firstLineChars="150"/>
        <w:rPr>
          <w:rFonts w:ascii="宋体" w:hAnsi="宋体"/>
          <w:b/>
          <w:sz w:val="24"/>
        </w:rPr>
      </w:pPr>
      <w:r>
        <w:rPr>
          <w:rFonts w:hint="eastAsia" w:ascii="宋体" w:hAnsi="宋体"/>
          <w:b/>
          <w:sz w:val="24"/>
        </w:rPr>
        <w:t>（七） 扶持残疾人福利性单位发展</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根据财政部、民政部、中国残疾人联合会《关于促进残疾人就业政府采购政策的通知》财库〔2017〕141号规定，符合条件的残疾人福利性单位，享受政府采购扶持政策。</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1.享受政府采购扶持政策的残疾人福利性单位，应当同时符合以下条件：</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（1）安置的残疾人占本单位在职职工人数的比例不低于25%（含25%），并且安置的残疾人人数不少于10人（含10人）；</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（2）依法与安置的每位残疾人签订了一年以上（含一年）劳动合同或服务协议；</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（3）为安置的每位残疾人按月足额缴纳了基本养老保险、基本医疗保险、失业保险、工伤保险和生育保险等社会保险费；</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（4）通过银行等金融机构向安置的每位残疾人，按月支付了不低于单位所在区县适用的经省级人民政府批准的月最低工资标准的工资；</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（5）提供本单位制造的货物、承担的工程或者服务（以下简称产品），或者提供其他残疾人福利性单位制造的货物（不包括使用非残疾人福利性单位注册商标的货物）。</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2.符合条件的残疾人福利性单位在参加政府采购活动时，应当提供《关于促进残疾人就业政府采购政策的通知》规定的《残疾人福利性单位声明函》（格式详见招标文件），并对声明的真实性负责。</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中标、成交供应商为残疾人福利性单位的，随中标、成交结果同时公告其《残疾人福利性单位声明函》，接受社会监督。</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供应商提供的《残疾人福利性单位声明函》与事实不符的，依照《政府采购法》第七十七条第一款的规定追究法律责任。</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3.在政府采购活动中，残疾人福利性单位视同小型、微型企业，享受预留份额、评审中价格扣除等促进中小企业发展的政府采购政策。向残疾人福利性单位采购的金额，计入面向中小企业采购的统计数据。</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4.对符合《财政部民政部中国残疾人联合会关于促进残疾人就业政府采购政策的通知》规定的残疾人福利性单位报价给予10%（工程项目为5%）的扣除，用扣除后的价格参加评审。</w:t>
      </w:r>
    </w:p>
    <w:p>
      <w:pPr>
        <w:spacing w:line="360" w:lineRule="auto"/>
        <w:ind w:firstLine="480" w:firstLineChars="200"/>
        <w:jc w:val="left"/>
        <w:rPr>
          <w:rFonts w:ascii="宋体" w:hAnsi="宋体"/>
          <w:sz w:val="24"/>
        </w:rPr>
      </w:pPr>
      <w:r>
        <w:rPr>
          <w:rFonts w:hint="eastAsia" w:ascii="宋体" w:hAnsi="宋体" w:cs="宋体"/>
          <w:sz w:val="24"/>
          <w:szCs w:val="32"/>
        </w:rPr>
        <w:t>注：同时属于小微企业、监狱企业、残疾人福利性单位的，不重复享受政策。</w:t>
      </w:r>
    </w:p>
    <w:p>
      <w:pPr>
        <w:adjustRightInd w:val="0"/>
        <w:snapToGrid w:val="0"/>
        <w:spacing w:line="360" w:lineRule="auto"/>
        <w:ind w:firstLine="354" w:firstLineChars="98"/>
        <w:jc w:val="center"/>
        <w:outlineLvl w:val="0"/>
        <w:rPr>
          <w:rFonts w:ascii="宋体" w:hAnsi="宋体"/>
          <w:b/>
          <w:bCs/>
          <w:sz w:val="36"/>
          <w:szCs w:val="36"/>
        </w:rPr>
      </w:pPr>
      <w:r>
        <w:rPr>
          <w:rFonts w:hint="eastAsia" w:ascii="宋体" w:hAnsi="宋体"/>
          <w:b/>
          <w:bCs/>
          <w:sz w:val="36"/>
          <w:szCs w:val="36"/>
        </w:rPr>
        <w:t>二、招标文件</w:t>
      </w:r>
    </w:p>
    <w:p>
      <w:pPr>
        <w:adjustRightInd w:val="0"/>
        <w:snapToGrid w:val="0"/>
        <w:spacing w:line="360" w:lineRule="auto"/>
        <w:ind w:firstLine="236" w:firstLineChars="98"/>
        <w:outlineLvl w:val="0"/>
        <w:rPr>
          <w:rFonts w:ascii="宋体" w:hAnsi="宋体"/>
          <w:b/>
          <w:bCs/>
          <w:sz w:val="28"/>
          <w:szCs w:val="28"/>
        </w:rPr>
      </w:pPr>
      <w:r>
        <w:rPr>
          <w:rFonts w:hint="eastAsia" w:ascii="宋体" w:hAnsi="宋体"/>
          <w:b/>
          <w:bCs/>
          <w:sz w:val="24"/>
        </w:rPr>
        <w:t xml:space="preserve">（一）招标文件构成    </w:t>
      </w:r>
    </w:p>
    <w:p>
      <w:pPr>
        <w:adjustRightInd w:val="0"/>
        <w:snapToGrid w:val="0"/>
        <w:spacing w:line="360" w:lineRule="auto"/>
        <w:ind w:firstLine="480" w:firstLineChars="200"/>
        <w:outlineLvl w:val="0"/>
        <w:rPr>
          <w:rFonts w:ascii="宋体" w:hAnsi="宋体"/>
          <w:bCs/>
          <w:sz w:val="28"/>
          <w:szCs w:val="28"/>
        </w:rPr>
      </w:pPr>
      <w:r>
        <w:rPr>
          <w:rFonts w:hint="eastAsia" w:ascii="宋体" w:hAnsi="宋体"/>
          <w:sz w:val="24"/>
        </w:rPr>
        <w:t>1.招标文件包括：</w:t>
      </w:r>
    </w:p>
    <w:p>
      <w:pPr>
        <w:adjustRightInd w:val="0"/>
        <w:snapToGrid w:val="0"/>
        <w:spacing w:line="360" w:lineRule="auto"/>
        <w:ind w:firstLine="480" w:firstLineChars="200"/>
        <w:outlineLvl w:val="0"/>
        <w:rPr>
          <w:rFonts w:ascii="宋体" w:hAnsi="宋体"/>
          <w:bCs/>
          <w:sz w:val="28"/>
          <w:szCs w:val="28"/>
        </w:rPr>
      </w:pPr>
      <w:r>
        <w:rPr>
          <w:rFonts w:hint="eastAsia" w:ascii="宋体" w:hAnsi="宋体"/>
          <w:sz w:val="24"/>
        </w:rPr>
        <w:t>投标邀请函</w:t>
      </w:r>
    </w:p>
    <w:p>
      <w:pPr>
        <w:adjustRightInd w:val="0"/>
        <w:snapToGrid w:val="0"/>
        <w:spacing w:line="360" w:lineRule="auto"/>
        <w:ind w:firstLine="480" w:firstLineChars="200"/>
        <w:rPr>
          <w:rFonts w:ascii="宋体" w:hAnsi="宋体"/>
          <w:sz w:val="24"/>
        </w:rPr>
      </w:pPr>
      <w:r>
        <w:rPr>
          <w:rFonts w:hint="eastAsia" w:ascii="宋体" w:hAnsi="宋体"/>
          <w:sz w:val="24"/>
        </w:rPr>
        <w:t>第一章    投标人须知及前附表</w:t>
      </w:r>
    </w:p>
    <w:p>
      <w:pPr>
        <w:adjustRightInd w:val="0"/>
        <w:snapToGrid w:val="0"/>
        <w:spacing w:line="360" w:lineRule="auto"/>
        <w:ind w:firstLine="480" w:firstLineChars="200"/>
        <w:rPr>
          <w:rFonts w:ascii="宋体" w:hAnsi="宋体"/>
          <w:sz w:val="24"/>
        </w:rPr>
      </w:pPr>
      <w:r>
        <w:rPr>
          <w:rFonts w:hint="eastAsia" w:ascii="宋体" w:hAnsi="宋体"/>
          <w:sz w:val="24"/>
        </w:rPr>
        <w:t>第二章    合同条款及合同格式</w:t>
      </w:r>
      <w:r>
        <w:rPr>
          <w:rFonts w:hint="eastAsia" w:ascii="宋体" w:hAnsi="宋体"/>
          <w:sz w:val="24"/>
        </w:rPr>
        <w:tab/>
      </w:r>
    </w:p>
    <w:p>
      <w:pPr>
        <w:adjustRightInd w:val="0"/>
        <w:snapToGrid w:val="0"/>
        <w:spacing w:line="360" w:lineRule="auto"/>
        <w:ind w:firstLine="480" w:firstLineChars="200"/>
        <w:rPr>
          <w:rFonts w:ascii="宋体" w:hAnsi="宋体"/>
          <w:sz w:val="24"/>
        </w:rPr>
      </w:pPr>
      <w:r>
        <w:rPr>
          <w:rFonts w:hint="eastAsia" w:ascii="宋体" w:hAnsi="宋体"/>
          <w:sz w:val="24"/>
        </w:rPr>
        <w:t>第三章    项目需求及技术要求</w:t>
      </w:r>
    </w:p>
    <w:p>
      <w:pPr>
        <w:adjustRightInd w:val="0"/>
        <w:snapToGrid w:val="0"/>
        <w:spacing w:line="360" w:lineRule="auto"/>
        <w:ind w:firstLine="480" w:firstLineChars="200"/>
        <w:rPr>
          <w:rFonts w:ascii="宋体" w:hAnsi="宋体"/>
          <w:sz w:val="24"/>
        </w:rPr>
      </w:pPr>
      <w:r>
        <w:rPr>
          <w:rFonts w:hint="eastAsia" w:ascii="宋体" w:hAnsi="宋体"/>
          <w:sz w:val="24"/>
        </w:rPr>
        <w:t>第四章    投标文件格式</w:t>
      </w:r>
    </w:p>
    <w:p>
      <w:pPr>
        <w:adjustRightInd w:val="0"/>
        <w:snapToGrid w:val="0"/>
        <w:spacing w:line="360" w:lineRule="auto"/>
        <w:ind w:firstLine="480" w:firstLineChars="200"/>
        <w:rPr>
          <w:rFonts w:ascii="宋体" w:hAnsi="宋体"/>
          <w:sz w:val="24"/>
        </w:rPr>
      </w:pPr>
      <w:r>
        <w:rPr>
          <w:rFonts w:hint="eastAsia" w:ascii="宋体" w:hAnsi="宋体"/>
          <w:sz w:val="24"/>
        </w:rPr>
        <w:t>附件1    开标一览表</w:t>
      </w:r>
    </w:p>
    <w:p>
      <w:pPr>
        <w:adjustRightInd w:val="0"/>
        <w:snapToGrid w:val="0"/>
        <w:spacing w:line="360" w:lineRule="auto"/>
        <w:ind w:firstLine="480" w:firstLineChars="200"/>
        <w:rPr>
          <w:rFonts w:ascii="宋体" w:hAnsi="宋体"/>
          <w:sz w:val="24"/>
        </w:rPr>
      </w:pPr>
      <w:r>
        <w:rPr>
          <w:rFonts w:hint="eastAsia" w:ascii="宋体" w:hAnsi="宋体"/>
          <w:sz w:val="24"/>
        </w:rPr>
        <w:t>附件2    评标办法</w:t>
      </w:r>
    </w:p>
    <w:p>
      <w:pPr>
        <w:adjustRightInd w:val="0"/>
        <w:snapToGrid w:val="0"/>
        <w:spacing w:line="360" w:lineRule="auto"/>
        <w:ind w:firstLine="480" w:firstLineChars="200"/>
        <w:rPr>
          <w:rFonts w:ascii="宋体" w:hAnsi="宋体"/>
          <w:sz w:val="24"/>
        </w:rPr>
      </w:pPr>
      <w:r>
        <w:rPr>
          <w:rFonts w:hint="eastAsia" w:ascii="宋体" w:hAnsi="宋体"/>
          <w:sz w:val="24"/>
        </w:rPr>
        <w:t>附件3    资格性评审表和符合性审查表</w:t>
      </w:r>
    </w:p>
    <w:p>
      <w:pPr>
        <w:adjustRightInd w:val="0"/>
        <w:snapToGrid w:val="0"/>
        <w:spacing w:line="360" w:lineRule="auto"/>
        <w:ind w:firstLine="480" w:firstLineChars="200"/>
        <w:rPr>
          <w:rFonts w:ascii="宋体" w:hAnsi="宋体"/>
          <w:sz w:val="24"/>
        </w:rPr>
      </w:pPr>
      <w:r>
        <w:rPr>
          <w:sz w:val="24"/>
        </w:rPr>
        <w:t>除上述内容外，</w:t>
      </w:r>
      <w:r>
        <w:rPr>
          <w:rFonts w:hint="eastAsia"/>
          <w:sz w:val="24"/>
        </w:rPr>
        <w:t>采购人</w:t>
      </w:r>
      <w:r>
        <w:rPr>
          <w:sz w:val="24"/>
        </w:rPr>
        <w:t>在招标期间发出的补充文件和其他函件，均是招标文件的组成部分。</w:t>
      </w:r>
    </w:p>
    <w:p>
      <w:pPr>
        <w:adjustRightInd w:val="0"/>
        <w:snapToGrid w:val="0"/>
        <w:spacing w:line="360" w:lineRule="auto"/>
        <w:ind w:left="1" w:firstLine="480" w:firstLineChars="200"/>
        <w:rPr>
          <w:rFonts w:ascii="宋体" w:hAnsi="宋体"/>
          <w:sz w:val="24"/>
        </w:rPr>
      </w:pPr>
      <w:r>
        <w:rPr>
          <w:rFonts w:hint="eastAsia" w:ascii="宋体" w:hAnsi="宋体"/>
          <w:sz w:val="24"/>
        </w:rPr>
        <w:t>2.投标人应认真阅读招标文件中所有的事项、格式、条款、项目任务等要求。如果投标人没有按照招标文件要求提交全部资料或者投标文件没有对招标文件在各方面都作出实质性响应，其投标将被拒绝。</w:t>
      </w:r>
    </w:p>
    <w:p>
      <w:pPr>
        <w:adjustRightInd w:val="0"/>
        <w:snapToGrid w:val="0"/>
        <w:spacing w:line="360" w:lineRule="auto"/>
        <w:ind w:firstLine="241" w:firstLineChars="100"/>
        <w:rPr>
          <w:rFonts w:ascii="宋体" w:hAnsi="宋体"/>
          <w:b/>
          <w:sz w:val="24"/>
        </w:rPr>
      </w:pPr>
      <w:r>
        <w:rPr>
          <w:rFonts w:hint="eastAsia" w:ascii="宋体" w:hAnsi="宋体"/>
          <w:b/>
          <w:bCs/>
          <w:sz w:val="24"/>
        </w:rPr>
        <w:t>（二）招标文件的澄清</w:t>
      </w:r>
    </w:p>
    <w:p>
      <w:pPr>
        <w:adjustRightInd w:val="0"/>
        <w:snapToGrid w:val="0"/>
        <w:spacing w:line="360" w:lineRule="auto"/>
        <w:ind w:firstLine="480" w:firstLineChars="200"/>
        <w:rPr>
          <w:rFonts w:ascii="宋体" w:hAnsi="宋体"/>
          <w:sz w:val="24"/>
        </w:rPr>
      </w:pPr>
      <w:r>
        <w:rPr>
          <w:rFonts w:hint="eastAsia" w:ascii="宋体" w:hAnsi="宋体"/>
          <w:sz w:val="24"/>
        </w:rPr>
        <w:t>任何要求对招标文件进行澄清的投标人，均应按招标文件中的通讯地址，以书面形式（如传真等）及时通知采购代理机构，采购代理机构将及时以书面形式予以答复，同时将书面答复告知所有购买招标文件的投标人，答复中包括所问问题，但不包括问题的来源。</w:t>
      </w:r>
    </w:p>
    <w:p>
      <w:pPr>
        <w:adjustRightInd w:val="0"/>
        <w:snapToGrid w:val="0"/>
        <w:spacing w:line="360" w:lineRule="auto"/>
        <w:ind w:firstLine="241" w:firstLineChars="100"/>
        <w:rPr>
          <w:rFonts w:ascii="宋体" w:hAnsi="宋体"/>
          <w:b/>
          <w:sz w:val="24"/>
        </w:rPr>
      </w:pPr>
      <w:r>
        <w:rPr>
          <w:rFonts w:hint="eastAsia" w:ascii="宋体" w:hAnsi="宋体"/>
          <w:b/>
          <w:bCs/>
          <w:sz w:val="24"/>
        </w:rPr>
        <w:t>（三）招标文件的修改</w:t>
      </w:r>
    </w:p>
    <w:p>
      <w:pPr>
        <w:pStyle w:val="7"/>
        <w:spacing w:line="360" w:lineRule="auto"/>
        <w:ind w:firstLine="480" w:firstLineChars="200"/>
        <w:rPr>
          <w:rFonts w:ascii="宋体" w:hAnsi="宋体"/>
          <w:sz w:val="24"/>
        </w:rPr>
      </w:pPr>
      <w:r>
        <w:rPr>
          <w:rFonts w:hint="eastAsia" w:ascii="宋体" w:hAnsi="宋体"/>
          <w:sz w:val="24"/>
        </w:rPr>
        <w:t>1.在投标截止时间前，采购人或者采购代理机构可以对已发出的招标文件进行必要澄清或者修改。澄清或者修改的内容可能影响投标文件编制的，采购人或者采购代理机构应当在投标截止时间至少15日前，以书面形式通知所有获取招标文件的潜在投标人；不足15日的，采购人或者采购代理机构应当顺延投标截止时间。</w:t>
      </w:r>
    </w:p>
    <w:p>
      <w:pPr>
        <w:adjustRightInd w:val="0"/>
        <w:snapToGrid w:val="0"/>
        <w:spacing w:line="360" w:lineRule="auto"/>
        <w:ind w:firstLine="480" w:firstLineChars="200"/>
        <w:rPr>
          <w:rFonts w:ascii="宋体" w:hAnsi="宋体"/>
          <w:sz w:val="24"/>
        </w:rPr>
      </w:pPr>
      <w:r>
        <w:rPr>
          <w:rFonts w:hint="eastAsia" w:ascii="宋体" w:hAnsi="宋体"/>
          <w:sz w:val="24"/>
        </w:rPr>
        <w:t>2.在投标截止时间前，采购代理机构可以主动地或在解答投标人提出的澄清问题时对招标文件进行修改。</w:t>
      </w:r>
    </w:p>
    <w:p>
      <w:pPr>
        <w:adjustRightInd w:val="0"/>
        <w:snapToGrid w:val="0"/>
        <w:spacing w:line="360" w:lineRule="auto"/>
        <w:ind w:firstLine="480" w:firstLineChars="200"/>
        <w:rPr>
          <w:rFonts w:ascii="宋体" w:hAnsi="宋体"/>
          <w:sz w:val="24"/>
        </w:rPr>
      </w:pPr>
      <w:r>
        <w:rPr>
          <w:rFonts w:hint="eastAsia" w:ascii="宋体" w:hAnsi="宋体"/>
          <w:sz w:val="24"/>
        </w:rPr>
        <w:t>3.招标文件的修改将以书面形式（如传真等）通知所有购买招标文件的投标人，并对其具有约束力。投标人应在24小时内但不超过投标的截止时间，以书面形式（如传真等）确认已收到修改文件或加盖公章确认收到，否则因此影响投标活动的任何情况由投标人自行承担。</w:t>
      </w:r>
    </w:p>
    <w:p>
      <w:pPr>
        <w:adjustRightInd w:val="0"/>
        <w:snapToGrid w:val="0"/>
        <w:spacing w:line="360" w:lineRule="auto"/>
        <w:ind w:firstLine="480" w:firstLineChars="200"/>
        <w:rPr>
          <w:rFonts w:ascii="宋体" w:hAnsi="宋体"/>
          <w:sz w:val="24"/>
        </w:rPr>
      </w:pPr>
      <w:r>
        <w:rPr>
          <w:rFonts w:hint="eastAsia" w:ascii="宋体" w:hAnsi="宋体"/>
          <w:sz w:val="24"/>
        </w:rPr>
        <w:t>4.为使投标人编写投标文件时，有充分时间对招标文件的修改部分进行研究，采购代理机构将依法延长投标截止时间。</w:t>
      </w:r>
    </w:p>
    <w:p>
      <w:pPr>
        <w:adjustRightInd w:val="0"/>
        <w:snapToGrid w:val="0"/>
        <w:spacing w:line="360" w:lineRule="auto"/>
        <w:ind w:firstLine="354" w:firstLineChars="98"/>
        <w:jc w:val="center"/>
        <w:rPr>
          <w:rFonts w:ascii="宋体" w:hAnsi="宋体"/>
          <w:b/>
          <w:bCs/>
          <w:sz w:val="36"/>
          <w:szCs w:val="36"/>
        </w:rPr>
      </w:pPr>
      <w:r>
        <w:rPr>
          <w:rFonts w:hint="eastAsia" w:ascii="宋体" w:hAnsi="宋体"/>
          <w:b/>
          <w:bCs/>
          <w:sz w:val="36"/>
          <w:szCs w:val="36"/>
        </w:rPr>
        <w:t>三、投标文件的编制</w:t>
      </w:r>
    </w:p>
    <w:p>
      <w:pPr>
        <w:adjustRightInd w:val="0"/>
        <w:snapToGrid w:val="0"/>
        <w:spacing w:line="360" w:lineRule="auto"/>
        <w:ind w:firstLine="241" w:firstLineChars="100"/>
        <w:rPr>
          <w:rFonts w:ascii="宋体" w:hAnsi="宋体"/>
          <w:b/>
          <w:bCs/>
          <w:sz w:val="28"/>
          <w:szCs w:val="28"/>
        </w:rPr>
      </w:pPr>
      <w:r>
        <w:rPr>
          <w:rFonts w:hint="eastAsia" w:ascii="宋体" w:hAnsi="宋体"/>
          <w:b/>
          <w:bCs/>
          <w:sz w:val="24"/>
        </w:rPr>
        <w:t>（一）投标的语言</w:t>
      </w:r>
    </w:p>
    <w:p>
      <w:pPr>
        <w:adjustRightInd w:val="0"/>
        <w:snapToGrid w:val="0"/>
        <w:spacing w:line="360" w:lineRule="auto"/>
        <w:ind w:firstLine="480" w:firstLineChars="200"/>
        <w:rPr>
          <w:rFonts w:ascii="宋体" w:hAnsi="宋体"/>
          <w:sz w:val="24"/>
        </w:rPr>
      </w:pPr>
      <w:r>
        <w:rPr>
          <w:rFonts w:hint="eastAsia" w:ascii="宋体" w:hAnsi="宋体"/>
          <w:sz w:val="24"/>
        </w:rPr>
        <w:t>投标人提交的投标文件以及投标人与采购代理机构就有关投标的所有往来函均应使用中文。</w:t>
      </w:r>
    </w:p>
    <w:p>
      <w:pPr>
        <w:adjustRightInd w:val="0"/>
        <w:snapToGrid w:val="0"/>
        <w:spacing w:line="360" w:lineRule="auto"/>
        <w:ind w:firstLine="241" w:firstLineChars="100"/>
        <w:rPr>
          <w:rFonts w:ascii="宋体" w:hAnsi="宋体"/>
          <w:sz w:val="24"/>
        </w:rPr>
      </w:pPr>
      <w:r>
        <w:rPr>
          <w:rFonts w:hint="eastAsia" w:ascii="宋体" w:hAnsi="宋体"/>
          <w:b/>
          <w:bCs/>
          <w:sz w:val="24"/>
        </w:rPr>
        <w:t>（二）投标文件构成</w:t>
      </w:r>
    </w:p>
    <w:p>
      <w:pPr>
        <w:adjustRightInd w:val="0"/>
        <w:snapToGrid w:val="0"/>
        <w:spacing w:line="360" w:lineRule="auto"/>
        <w:ind w:firstLine="480" w:firstLineChars="200"/>
        <w:rPr>
          <w:rFonts w:ascii="宋体" w:hAnsi="宋体"/>
          <w:sz w:val="24"/>
        </w:rPr>
      </w:pPr>
      <w:r>
        <w:rPr>
          <w:rFonts w:hint="eastAsia" w:ascii="宋体" w:hAnsi="宋体"/>
          <w:sz w:val="24"/>
        </w:rPr>
        <w:t>投标人编写的投标文件应包括下列部分：</w:t>
      </w:r>
    </w:p>
    <w:p>
      <w:pPr>
        <w:adjustRightInd w:val="0"/>
        <w:snapToGrid w:val="0"/>
        <w:spacing w:line="360" w:lineRule="auto"/>
        <w:ind w:firstLine="480" w:firstLineChars="200"/>
        <w:outlineLvl w:val="0"/>
        <w:rPr>
          <w:rFonts w:ascii="宋体" w:hAnsi="宋体"/>
          <w:sz w:val="24"/>
        </w:rPr>
      </w:pPr>
      <w:r>
        <w:rPr>
          <w:rFonts w:hint="eastAsia" w:ascii="宋体" w:hAnsi="宋体"/>
          <w:sz w:val="24"/>
        </w:rPr>
        <w:t>1.投标函；</w:t>
      </w:r>
    </w:p>
    <w:p>
      <w:pPr>
        <w:adjustRightInd w:val="0"/>
        <w:snapToGrid w:val="0"/>
        <w:spacing w:line="360" w:lineRule="auto"/>
        <w:ind w:firstLine="480" w:firstLineChars="200"/>
        <w:outlineLvl w:val="0"/>
        <w:rPr>
          <w:rFonts w:ascii="宋体" w:hAnsi="宋体"/>
          <w:sz w:val="24"/>
        </w:rPr>
      </w:pPr>
      <w:r>
        <w:rPr>
          <w:rFonts w:hint="eastAsia" w:ascii="宋体" w:hAnsi="宋体"/>
          <w:sz w:val="24"/>
        </w:rPr>
        <w:t>2.投标报价表；</w:t>
      </w:r>
    </w:p>
    <w:p>
      <w:pPr>
        <w:adjustRightInd w:val="0"/>
        <w:snapToGrid w:val="0"/>
        <w:spacing w:line="360" w:lineRule="auto"/>
        <w:ind w:firstLine="480" w:firstLineChars="200"/>
        <w:outlineLvl w:val="0"/>
        <w:rPr>
          <w:rFonts w:ascii="宋体" w:hAnsi="宋体"/>
          <w:sz w:val="24"/>
        </w:rPr>
      </w:pPr>
      <w:r>
        <w:rPr>
          <w:rFonts w:hint="eastAsia" w:ascii="宋体" w:hAnsi="宋体"/>
          <w:sz w:val="24"/>
        </w:rPr>
        <w:t>2.1小型和微型企业产品报价说明表格式（如有）；</w:t>
      </w:r>
    </w:p>
    <w:p>
      <w:pPr>
        <w:adjustRightInd w:val="0"/>
        <w:snapToGrid w:val="0"/>
        <w:spacing w:line="360" w:lineRule="auto"/>
        <w:ind w:firstLine="480"/>
        <w:rPr>
          <w:rFonts w:ascii="宋体" w:hAnsi="宋体"/>
          <w:sz w:val="24"/>
        </w:rPr>
      </w:pPr>
      <w:r>
        <w:rPr>
          <w:rFonts w:hint="eastAsia" w:ascii="宋体" w:hAnsi="宋体"/>
          <w:sz w:val="24"/>
        </w:rPr>
        <w:t>2.2监狱企业报价说明表格式（如有）；</w:t>
      </w:r>
    </w:p>
    <w:p>
      <w:pPr>
        <w:adjustRightInd w:val="0"/>
        <w:snapToGrid w:val="0"/>
        <w:spacing w:line="360" w:lineRule="auto"/>
        <w:ind w:firstLine="480"/>
        <w:rPr>
          <w:rFonts w:ascii="宋体" w:hAnsi="宋体"/>
          <w:sz w:val="24"/>
        </w:rPr>
      </w:pPr>
      <w:r>
        <w:rPr>
          <w:rFonts w:hint="eastAsia" w:ascii="宋体" w:hAnsi="宋体"/>
          <w:sz w:val="24"/>
        </w:rPr>
        <w:t>2.3残疾人福利性单位报价说明表格式（如有）；</w:t>
      </w:r>
    </w:p>
    <w:p>
      <w:pPr>
        <w:adjustRightInd w:val="0"/>
        <w:snapToGrid w:val="0"/>
        <w:spacing w:line="360" w:lineRule="auto"/>
        <w:ind w:firstLine="480" w:firstLineChars="200"/>
        <w:outlineLvl w:val="0"/>
        <w:rPr>
          <w:rFonts w:ascii="宋体" w:hAnsi="宋体"/>
          <w:sz w:val="24"/>
        </w:rPr>
      </w:pPr>
      <w:r>
        <w:rPr>
          <w:rFonts w:hint="eastAsia" w:ascii="宋体" w:hAnsi="宋体"/>
          <w:sz w:val="24"/>
        </w:rPr>
        <w:t>3.技术和商务条款偏离表；</w:t>
      </w:r>
    </w:p>
    <w:p>
      <w:pPr>
        <w:adjustRightInd w:val="0"/>
        <w:snapToGrid w:val="0"/>
        <w:spacing w:line="360" w:lineRule="auto"/>
        <w:ind w:firstLine="480" w:firstLineChars="200"/>
        <w:outlineLvl w:val="0"/>
        <w:rPr>
          <w:rFonts w:ascii="宋体" w:hAnsi="宋体"/>
          <w:sz w:val="24"/>
        </w:rPr>
      </w:pPr>
      <w:r>
        <w:rPr>
          <w:rFonts w:hint="eastAsia" w:ascii="宋体" w:hAnsi="宋体"/>
          <w:sz w:val="24"/>
        </w:rPr>
        <w:t>4.资格证明文件；</w:t>
      </w:r>
    </w:p>
    <w:p>
      <w:pPr>
        <w:adjustRightInd w:val="0"/>
        <w:snapToGrid w:val="0"/>
        <w:spacing w:line="360" w:lineRule="auto"/>
        <w:ind w:firstLine="480" w:firstLineChars="200"/>
        <w:outlineLvl w:val="0"/>
        <w:rPr>
          <w:rFonts w:ascii="宋体" w:hAnsi="宋体"/>
          <w:sz w:val="24"/>
        </w:rPr>
      </w:pPr>
      <w:r>
        <w:rPr>
          <w:rFonts w:hint="eastAsia" w:ascii="宋体" w:hAnsi="宋体"/>
          <w:sz w:val="24"/>
        </w:rPr>
        <w:t>5.项目总体概述；</w:t>
      </w:r>
    </w:p>
    <w:p>
      <w:pPr>
        <w:adjustRightInd w:val="0"/>
        <w:snapToGrid w:val="0"/>
        <w:spacing w:line="360" w:lineRule="auto"/>
        <w:ind w:firstLine="480" w:firstLineChars="200"/>
        <w:outlineLvl w:val="0"/>
        <w:rPr>
          <w:rFonts w:ascii="宋体" w:hAnsi="宋体"/>
          <w:sz w:val="24"/>
        </w:rPr>
      </w:pPr>
      <w:r>
        <w:rPr>
          <w:rFonts w:hint="eastAsia" w:ascii="宋体" w:hAnsi="宋体"/>
          <w:sz w:val="24"/>
        </w:rPr>
        <w:t>6.项目勘测方案；</w:t>
      </w:r>
    </w:p>
    <w:p>
      <w:pPr>
        <w:adjustRightInd w:val="0"/>
        <w:snapToGrid w:val="0"/>
        <w:spacing w:line="360" w:lineRule="auto"/>
        <w:ind w:firstLine="480" w:firstLineChars="200"/>
        <w:outlineLvl w:val="0"/>
        <w:rPr>
          <w:rFonts w:ascii="宋体" w:hAnsi="宋体"/>
          <w:sz w:val="24"/>
        </w:rPr>
      </w:pPr>
      <w:r>
        <w:rPr>
          <w:rFonts w:hint="eastAsia" w:ascii="宋体" w:hAnsi="宋体"/>
          <w:sz w:val="24"/>
        </w:rPr>
        <w:t>7.勘测质量的保证体系和保证措施；</w:t>
      </w:r>
    </w:p>
    <w:p>
      <w:pPr>
        <w:adjustRightInd w:val="0"/>
        <w:snapToGrid w:val="0"/>
        <w:spacing w:line="360" w:lineRule="auto"/>
        <w:ind w:firstLine="480" w:firstLineChars="200"/>
        <w:outlineLvl w:val="0"/>
        <w:rPr>
          <w:rFonts w:ascii="宋体" w:hAnsi="宋体"/>
          <w:sz w:val="24"/>
        </w:rPr>
      </w:pPr>
      <w:r>
        <w:rPr>
          <w:rFonts w:hint="eastAsia" w:ascii="宋体" w:hAnsi="宋体"/>
          <w:sz w:val="24"/>
        </w:rPr>
        <w:t>8.服务承诺；</w:t>
      </w:r>
    </w:p>
    <w:p>
      <w:pPr>
        <w:adjustRightInd w:val="0"/>
        <w:snapToGrid w:val="0"/>
        <w:spacing w:line="360" w:lineRule="auto"/>
        <w:ind w:firstLine="480" w:firstLineChars="200"/>
        <w:outlineLvl w:val="0"/>
        <w:rPr>
          <w:rFonts w:ascii="宋体" w:hAnsi="宋体"/>
          <w:sz w:val="24"/>
        </w:rPr>
      </w:pPr>
      <w:r>
        <w:rPr>
          <w:rFonts w:hint="eastAsia" w:ascii="宋体" w:hAnsi="宋体"/>
          <w:sz w:val="24"/>
        </w:rPr>
        <w:t>9.拟投入本项目人员情况；</w:t>
      </w:r>
    </w:p>
    <w:p>
      <w:pPr>
        <w:adjustRightInd w:val="0"/>
        <w:snapToGrid w:val="0"/>
        <w:spacing w:line="360" w:lineRule="auto"/>
        <w:ind w:firstLine="480" w:firstLineChars="200"/>
        <w:outlineLvl w:val="0"/>
        <w:rPr>
          <w:rFonts w:ascii="宋体" w:hAnsi="宋体"/>
          <w:sz w:val="24"/>
        </w:rPr>
      </w:pPr>
      <w:r>
        <w:rPr>
          <w:rFonts w:hint="eastAsia" w:ascii="宋体" w:hAnsi="宋体"/>
          <w:sz w:val="24"/>
        </w:rPr>
        <w:t>10.拟投入本项目设备情况；</w:t>
      </w:r>
    </w:p>
    <w:p>
      <w:pPr>
        <w:adjustRightInd w:val="0"/>
        <w:snapToGrid w:val="0"/>
        <w:spacing w:line="360" w:lineRule="auto"/>
        <w:ind w:firstLine="480" w:firstLineChars="200"/>
        <w:outlineLvl w:val="0"/>
        <w:rPr>
          <w:rFonts w:ascii="宋体" w:hAnsi="宋体"/>
          <w:sz w:val="24"/>
        </w:rPr>
      </w:pPr>
      <w:r>
        <w:rPr>
          <w:rFonts w:hint="eastAsia" w:ascii="宋体" w:hAnsi="宋体"/>
          <w:sz w:val="24"/>
        </w:rPr>
        <w:t>11.其他；</w:t>
      </w:r>
    </w:p>
    <w:p>
      <w:pPr>
        <w:adjustRightInd w:val="0"/>
        <w:snapToGrid w:val="0"/>
        <w:spacing w:line="360" w:lineRule="auto"/>
        <w:ind w:firstLine="480" w:firstLineChars="200"/>
        <w:outlineLvl w:val="0"/>
        <w:rPr>
          <w:rFonts w:ascii="宋体" w:hAnsi="宋体"/>
          <w:sz w:val="24"/>
        </w:rPr>
      </w:pPr>
      <w:r>
        <w:rPr>
          <w:rFonts w:hint="eastAsia" w:ascii="宋体" w:hAnsi="宋体"/>
          <w:sz w:val="24"/>
        </w:rPr>
        <w:t>11.1投标人基本情况表；</w:t>
      </w:r>
    </w:p>
    <w:p>
      <w:pPr>
        <w:adjustRightInd w:val="0"/>
        <w:snapToGrid w:val="0"/>
        <w:spacing w:line="360" w:lineRule="auto"/>
        <w:ind w:firstLine="480" w:firstLineChars="200"/>
        <w:outlineLvl w:val="0"/>
        <w:rPr>
          <w:rFonts w:ascii="宋体" w:hAnsi="宋体"/>
          <w:sz w:val="24"/>
        </w:rPr>
      </w:pPr>
      <w:r>
        <w:rPr>
          <w:rFonts w:hint="eastAsia" w:ascii="宋体" w:hAnsi="宋体"/>
          <w:sz w:val="24"/>
        </w:rPr>
        <w:t>11.2投标人项目业绩一览表；</w:t>
      </w:r>
    </w:p>
    <w:p>
      <w:pPr>
        <w:adjustRightInd w:val="0"/>
        <w:snapToGrid w:val="0"/>
        <w:spacing w:line="360" w:lineRule="auto"/>
        <w:ind w:firstLine="480" w:firstLineChars="200"/>
        <w:outlineLvl w:val="0"/>
        <w:rPr>
          <w:rFonts w:ascii="宋体" w:hAnsi="宋体"/>
          <w:sz w:val="24"/>
        </w:rPr>
      </w:pPr>
      <w:r>
        <w:rPr>
          <w:rFonts w:hint="eastAsia" w:ascii="宋体" w:hAnsi="宋体"/>
          <w:sz w:val="24"/>
        </w:rPr>
        <w:t>11.3其他文件和资料；</w:t>
      </w:r>
    </w:p>
    <w:p>
      <w:pPr>
        <w:adjustRightInd w:val="0"/>
        <w:snapToGrid w:val="0"/>
        <w:spacing w:line="360" w:lineRule="auto"/>
        <w:ind w:firstLine="480" w:firstLineChars="200"/>
        <w:outlineLvl w:val="0"/>
        <w:rPr>
          <w:rFonts w:ascii="宋体" w:hAnsi="宋体"/>
          <w:sz w:val="24"/>
        </w:rPr>
      </w:pPr>
      <w:r>
        <w:rPr>
          <w:rFonts w:hint="eastAsia" w:ascii="宋体" w:hAnsi="宋体"/>
          <w:sz w:val="24"/>
        </w:rPr>
        <w:t>11.4政府采购投标保证金担保函；</w:t>
      </w:r>
    </w:p>
    <w:p>
      <w:pPr>
        <w:adjustRightInd w:val="0"/>
        <w:snapToGrid w:val="0"/>
        <w:spacing w:line="360" w:lineRule="auto"/>
        <w:ind w:firstLine="480" w:firstLineChars="200"/>
        <w:outlineLvl w:val="0"/>
        <w:rPr>
          <w:rFonts w:ascii="宋体" w:hAnsi="宋体"/>
          <w:sz w:val="24"/>
        </w:rPr>
      </w:pPr>
      <w:r>
        <w:rPr>
          <w:rFonts w:hint="eastAsia" w:ascii="宋体" w:hAnsi="宋体"/>
          <w:sz w:val="24"/>
        </w:rPr>
        <w:t>11.5预付款保函的格式和内容；</w:t>
      </w:r>
    </w:p>
    <w:p>
      <w:pPr>
        <w:adjustRightInd w:val="0"/>
        <w:snapToGrid w:val="0"/>
        <w:spacing w:line="360" w:lineRule="auto"/>
        <w:ind w:firstLine="480" w:firstLineChars="200"/>
        <w:outlineLvl w:val="0"/>
        <w:rPr>
          <w:rFonts w:ascii="宋体" w:hAnsi="宋体"/>
          <w:sz w:val="24"/>
        </w:rPr>
      </w:pPr>
      <w:r>
        <w:rPr>
          <w:rFonts w:hint="eastAsia" w:ascii="宋体" w:hAnsi="宋体"/>
          <w:sz w:val="24"/>
        </w:rPr>
        <w:t>11.6中小企业声明函；</w:t>
      </w:r>
    </w:p>
    <w:p>
      <w:pPr>
        <w:adjustRightInd w:val="0"/>
        <w:snapToGrid w:val="0"/>
        <w:spacing w:line="360" w:lineRule="auto"/>
        <w:ind w:firstLine="480" w:firstLineChars="200"/>
        <w:outlineLvl w:val="0"/>
        <w:rPr>
          <w:rFonts w:ascii="宋体" w:hAnsi="宋体"/>
          <w:sz w:val="24"/>
        </w:rPr>
      </w:pPr>
      <w:r>
        <w:rPr>
          <w:rFonts w:hint="eastAsia" w:ascii="宋体" w:hAnsi="宋体"/>
          <w:sz w:val="24"/>
        </w:rPr>
        <w:t>11.7残疾人福利性单位声明函；</w:t>
      </w:r>
    </w:p>
    <w:p>
      <w:pPr>
        <w:adjustRightInd w:val="0"/>
        <w:snapToGrid w:val="0"/>
        <w:spacing w:line="360" w:lineRule="auto"/>
        <w:ind w:firstLine="480" w:firstLineChars="200"/>
        <w:outlineLvl w:val="0"/>
        <w:rPr>
          <w:rFonts w:ascii="宋体" w:hAnsi="宋体"/>
          <w:sz w:val="24"/>
        </w:rPr>
      </w:pPr>
      <w:r>
        <w:rPr>
          <w:rFonts w:hint="eastAsia" w:ascii="宋体" w:hAnsi="宋体"/>
          <w:sz w:val="24"/>
        </w:rPr>
        <w:t>11.8提供由省级以上监狱管理局、戒毒管理局(含新疆生产建设兵团)出具的属于监狱企业的证明文件；</w:t>
      </w:r>
    </w:p>
    <w:p>
      <w:pPr>
        <w:adjustRightInd w:val="0"/>
        <w:snapToGrid w:val="0"/>
        <w:spacing w:line="360" w:lineRule="auto"/>
        <w:ind w:firstLine="480" w:firstLineChars="200"/>
        <w:outlineLvl w:val="0"/>
        <w:rPr>
          <w:rFonts w:ascii="宋体" w:hAnsi="宋体"/>
          <w:sz w:val="24"/>
        </w:rPr>
      </w:pPr>
      <w:r>
        <w:rPr>
          <w:rFonts w:hint="eastAsia" w:ascii="宋体" w:hAnsi="宋体"/>
          <w:sz w:val="24"/>
        </w:rPr>
        <w:t>11.9投标人需说明的其他问题；</w:t>
      </w:r>
    </w:p>
    <w:p>
      <w:pPr>
        <w:adjustRightInd w:val="0"/>
        <w:snapToGrid w:val="0"/>
        <w:spacing w:line="360" w:lineRule="auto"/>
        <w:ind w:firstLine="480" w:firstLineChars="200"/>
        <w:outlineLvl w:val="0"/>
        <w:rPr>
          <w:rFonts w:ascii="宋体" w:hAnsi="宋体"/>
          <w:sz w:val="24"/>
        </w:rPr>
      </w:pPr>
      <w:r>
        <w:rPr>
          <w:rFonts w:hint="eastAsia" w:ascii="宋体" w:hAnsi="宋体"/>
          <w:sz w:val="24"/>
        </w:rPr>
        <w:t>12.开标一览表（要求单独密封）。</w:t>
      </w:r>
    </w:p>
    <w:p>
      <w:pPr>
        <w:adjustRightInd w:val="0"/>
        <w:snapToGrid w:val="0"/>
        <w:spacing w:line="360" w:lineRule="auto"/>
        <w:ind w:firstLine="482" w:firstLineChars="200"/>
        <w:outlineLvl w:val="0"/>
        <w:rPr>
          <w:rFonts w:ascii="宋体" w:hAnsi="宋体"/>
          <w:b/>
          <w:sz w:val="24"/>
        </w:rPr>
      </w:pPr>
      <w:r>
        <w:rPr>
          <w:rFonts w:hint="eastAsia" w:ascii="宋体" w:hAnsi="宋体"/>
          <w:b/>
          <w:sz w:val="24"/>
        </w:rPr>
        <w:t>以上1-12项（其中2.1、2.2、2.3、11</w:t>
      </w:r>
      <w:r>
        <w:rPr>
          <w:rFonts w:ascii="宋体" w:hAnsi="宋体"/>
          <w:b/>
          <w:sz w:val="24"/>
        </w:rPr>
        <w:t>.3</w:t>
      </w:r>
      <w:r>
        <w:rPr>
          <w:rFonts w:hint="eastAsia" w:ascii="宋体" w:hAnsi="宋体"/>
          <w:b/>
          <w:sz w:val="24"/>
        </w:rPr>
        <w:t>-11</w:t>
      </w:r>
      <w:r>
        <w:rPr>
          <w:rFonts w:ascii="宋体" w:hAnsi="宋体"/>
          <w:b/>
          <w:sz w:val="24"/>
        </w:rPr>
        <w:t>.</w:t>
      </w:r>
      <w:r>
        <w:rPr>
          <w:rFonts w:hint="eastAsia" w:ascii="宋体" w:hAnsi="宋体"/>
          <w:b/>
          <w:sz w:val="24"/>
        </w:rPr>
        <w:t>9、12除外）为投标文件的必要组成部分，须提供证明资料。以上材料1-</w:t>
      </w:r>
      <w:r>
        <w:rPr>
          <w:rFonts w:ascii="宋体" w:hAnsi="宋体"/>
          <w:b/>
          <w:sz w:val="24"/>
        </w:rPr>
        <w:t>7</w:t>
      </w:r>
      <w:r>
        <w:rPr>
          <w:rFonts w:hint="eastAsia" w:ascii="宋体" w:hAnsi="宋体"/>
          <w:b/>
          <w:sz w:val="24"/>
        </w:rPr>
        <w:t>项（其中2.1、2.2、2.3、11</w:t>
      </w:r>
      <w:r>
        <w:rPr>
          <w:rFonts w:ascii="宋体" w:hAnsi="宋体"/>
          <w:b/>
          <w:sz w:val="24"/>
        </w:rPr>
        <w:t>.3</w:t>
      </w:r>
      <w:r>
        <w:rPr>
          <w:rFonts w:hint="eastAsia" w:ascii="宋体" w:hAnsi="宋体"/>
          <w:b/>
          <w:sz w:val="24"/>
        </w:rPr>
        <w:t>-11</w:t>
      </w:r>
      <w:r>
        <w:rPr>
          <w:rFonts w:ascii="宋体" w:hAnsi="宋体"/>
          <w:b/>
          <w:sz w:val="24"/>
        </w:rPr>
        <w:t>.</w:t>
      </w:r>
      <w:r>
        <w:rPr>
          <w:rFonts w:hint="eastAsia" w:ascii="宋体" w:hAnsi="宋体"/>
          <w:b/>
          <w:sz w:val="24"/>
        </w:rPr>
        <w:t>9、12除外）缺少任意一项，投标文件无效。</w:t>
      </w:r>
    </w:p>
    <w:p>
      <w:pPr>
        <w:adjustRightInd w:val="0"/>
        <w:snapToGrid w:val="0"/>
        <w:spacing w:line="360" w:lineRule="auto"/>
        <w:ind w:firstLine="236" w:firstLineChars="98"/>
        <w:outlineLvl w:val="0"/>
        <w:rPr>
          <w:rFonts w:ascii="宋体" w:hAnsi="宋体"/>
          <w:b/>
          <w:sz w:val="24"/>
        </w:rPr>
      </w:pPr>
      <w:r>
        <w:rPr>
          <w:rFonts w:hint="eastAsia" w:ascii="宋体" w:hAnsi="宋体"/>
          <w:b/>
          <w:bCs/>
          <w:sz w:val="24"/>
        </w:rPr>
        <w:t>（三）投标函</w:t>
      </w:r>
    </w:p>
    <w:p>
      <w:pPr>
        <w:adjustRightInd w:val="0"/>
        <w:snapToGrid w:val="0"/>
        <w:spacing w:line="360" w:lineRule="auto"/>
        <w:ind w:firstLine="480" w:firstLineChars="200"/>
        <w:rPr>
          <w:rFonts w:ascii="宋体" w:hAnsi="宋体"/>
          <w:sz w:val="24"/>
        </w:rPr>
      </w:pPr>
      <w:r>
        <w:rPr>
          <w:rFonts w:hint="eastAsia" w:ascii="宋体" w:hAnsi="宋体"/>
          <w:sz w:val="24"/>
        </w:rPr>
        <w:t>投标人应完整地填写招标文件中的投标函格式和投标报价表及其附件。</w:t>
      </w:r>
    </w:p>
    <w:p>
      <w:pPr>
        <w:adjustRightInd w:val="0"/>
        <w:snapToGrid w:val="0"/>
        <w:spacing w:line="360" w:lineRule="auto"/>
        <w:ind w:firstLine="241" w:firstLineChars="100"/>
        <w:rPr>
          <w:rFonts w:ascii="宋体" w:hAnsi="宋体"/>
          <w:b/>
          <w:bCs/>
          <w:sz w:val="24"/>
        </w:rPr>
      </w:pPr>
      <w:r>
        <w:rPr>
          <w:rFonts w:hint="eastAsia" w:ascii="宋体" w:hAnsi="宋体"/>
          <w:b/>
          <w:bCs/>
          <w:sz w:val="24"/>
        </w:rPr>
        <w:t>（四）投标报价</w:t>
      </w:r>
    </w:p>
    <w:p>
      <w:pPr>
        <w:adjustRightInd w:val="0"/>
        <w:snapToGrid w:val="0"/>
        <w:spacing w:line="360" w:lineRule="auto"/>
        <w:ind w:firstLine="480" w:firstLineChars="200"/>
        <w:rPr>
          <w:rFonts w:ascii="宋体" w:hAnsi="宋体"/>
          <w:sz w:val="24"/>
        </w:rPr>
      </w:pPr>
      <w:r>
        <w:rPr>
          <w:rFonts w:hint="eastAsia" w:ascii="宋体" w:hAnsi="宋体"/>
          <w:sz w:val="24"/>
        </w:rPr>
        <w:t>1.投标人的投标文件中只允许有一个总报价，任何有选择的报价将不予接受。</w:t>
      </w:r>
    </w:p>
    <w:p>
      <w:pPr>
        <w:adjustRightInd w:val="0"/>
        <w:snapToGrid w:val="0"/>
        <w:spacing w:line="360" w:lineRule="auto"/>
        <w:ind w:firstLine="480" w:firstLineChars="200"/>
        <w:rPr>
          <w:rFonts w:ascii="宋体" w:hAnsi="宋体"/>
          <w:sz w:val="24"/>
        </w:rPr>
      </w:pPr>
      <w:r>
        <w:rPr>
          <w:rFonts w:hint="eastAsia" w:ascii="宋体" w:hAnsi="宋体"/>
          <w:sz w:val="24"/>
        </w:rPr>
        <w:t>2.本项目招标采用固定价格合同，在现有的采购条件下（招标文件要求等）所报服务单价、总价一次性包死（合同另有约定的除外）。</w:t>
      </w:r>
    </w:p>
    <w:p>
      <w:pPr>
        <w:adjustRightInd w:val="0"/>
        <w:snapToGrid w:val="0"/>
        <w:spacing w:line="360" w:lineRule="auto"/>
        <w:ind w:firstLine="480" w:firstLineChars="200"/>
        <w:rPr>
          <w:rFonts w:ascii="宋体" w:hAnsi="宋体"/>
          <w:sz w:val="24"/>
        </w:rPr>
      </w:pPr>
      <w:r>
        <w:rPr>
          <w:rFonts w:hint="eastAsia" w:ascii="宋体" w:hAnsi="宋体"/>
          <w:sz w:val="24"/>
        </w:rPr>
        <w:t>3.投标报价表中标明的价格在合同履行过程中是固定不变的，不得以任何理由予以变更。投标人在报价时应充分考虑本项目招标的各种风险（包括漏项风险），在合同履行期间中标价不再进行调整。以可调整的价格提交的投标将作为非实质性响应投标而予以拒绝。</w:t>
      </w:r>
    </w:p>
    <w:p>
      <w:pPr>
        <w:adjustRightInd w:val="0"/>
        <w:snapToGrid w:val="0"/>
        <w:spacing w:line="360" w:lineRule="auto"/>
        <w:ind w:firstLine="480" w:firstLineChars="200"/>
        <w:rPr>
          <w:rFonts w:ascii="宋体" w:hAnsi="宋体"/>
          <w:sz w:val="24"/>
        </w:rPr>
      </w:pPr>
      <w:r>
        <w:rPr>
          <w:rFonts w:hint="eastAsia" w:ascii="宋体" w:hAnsi="宋体"/>
          <w:sz w:val="24"/>
        </w:rPr>
        <w:t>4.投标人不得以低于成本的报价竞标。</w:t>
      </w:r>
    </w:p>
    <w:p>
      <w:pPr>
        <w:adjustRightInd w:val="0"/>
        <w:snapToGrid w:val="0"/>
        <w:spacing w:line="360" w:lineRule="auto"/>
        <w:ind w:firstLine="241" w:firstLineChars="100"/>
        <w:outlineLvl w:val="0"/>
        <w:rPr>
          <w:rFonts w:ascii="宋体" w:hAnsi="宋体"/>
          <w:b/>
          <w:bCs/>
          <w:sz w:val="24"/>
        </w:rPr>
      </w:pPr>
      <w:r>
        <w:rPr>
          <w:rFonts w:hint="eastAsia" w:ascii="宋体" w:hAnsi="宋体"/>
          <w:b/>
          <w:bCs/>
          <w:sz w:val="24"/>
        </w:rPr>
        <w:t>（五）投标货币</w:t>
      </w:r>
    </w:p>
    <w:p>
      <w:pPr>
        <w:adjustRightInd w:val="0"/>
        <w:snapToGrid w:val="0"/>
        <w:spacing w:line="360" w:lineRule="auto"/>
        <w:ind w:firstLine="480" w:firstLineChars="200"/>
        <w:rPr>
          <w:rFonts w:ascii="宋体" w:hAnsi="宋体"/>
          <w:sz w:val="24"/>
        </w:rPr>
      </w:pPr>
      <w:r>
        <w:rPr>
          <w:rFonts w:hint="eastAsia" w:ascii="宋体" w:hAnsi="宋体"/>
          <w:sz w:val="24"/>
        </w:rPr>
        <w:t>投标报价采用人民币报价。</w:t>
      </w:r>
    </w:p>
    <w:p>
      <w:pPr>
        <w:adjustRightInd w:val="0"/>
        <w:snapToGrid w:val="0"/>
        <w:spacing w:line="360" w:lineRule="auto"/>
        <w:ind w:firstLine="241" w:firstLineChars="100"/>
        <w:rPr>
          <w:rFonts w:ascii="宋体" w:hAnsi="宋体"/>
          <w:b/>
          <w:bCs/>
          <w:sz w:val="24"/>
        </w:rPr>
      </w:pPr>
      <w:r>
        <w:rPr>
          <w:rFonts w:hint="eastAsia" w:ascii="宋体" w:hAnsi="宋体"/>
          <w:b/>
          <w:bCs/>
          <w:sz w:val="24"/>
        </w:rPr>
        <w:t>（六）证明投标人资格合格的文件</w:t>
      </w:r>
    </w:p>
    <w:p>
      <w:pPr>
        <w:adjustRightInd w:val="0"/>
        <w:snapToGrid w:val="0"/>
        <w:spacing w:line="360" w:lineRule="auto"/>
        <w:ind w:firstLine="480" w:firstLineChars="200"/>
        <w:rPr>
          <w:rFonts w:ascii="宋体" w:hAnsi="宋体"/>
          <w:sz w:val="24"/>
        </w:rPr>
      </w:pPr>
      <w:r>
        <w:rPr>
          <w:rFonts w:hint="eastAsia" w:ascii="宋体" w:hAnsi="宋体"/>
          <w:sz w:val="24"/>
        </w:rPr>
        <w:t>1.投标人应提交证明其有资格参加投标和中标后有能力履行合同的文件，并作为其投标文件的一部分。</w:t>
      </w:r>
    </w:p>
    <w:p>
      <w:pPr>
        <w:adjustRightInd w:val="0"/>
        <w:snapToGrid w:val="0"/>
        <w:spacing w:line="360" w:lineRule="auto"/>
        <w:ind w:firstLine="480" w:firstLineChars="200"/>
        <w:rPr>
          <w:rFonts w:ascii="宋体" w:hAnsi="宋体"/>
          <w:sz w:val="24"/>
        </w:rPr>
      </w:pPr>
      <w:r>
        <w:rPr>
          <w:rFonts w:hint="eastAsia" w:ascii="宋体" w:hAnsi="宋体"/>
          <w:sz w:val="24"/>
        </w:rPr>
        <w:t>2.投标人提交的中标后有能力履行合同的资格证明文件应使采购人满意。</w:t>
      </w:r>
    </w:p>
    <w:p>
      <w:pPr>
        <w:adjustRightInd w:val="0"/>
        <w:snapToGrid w:val="0"/>
        <w:spacing w:line="360" w:lineRule="auto"/>
        <w:ind w:firstLine="480" w:firstLineChars="200"/>
        <w:rPr>
          <w:rFonts w:ascii="宋体" w:hAnsi="宋体"/>
          <w:sz w:val="24"/>
        </w:rPr>
      </w:pPr>
      <w:r>
        <w:rPr>
          <w:rFonts w:hint="eastAsia" w:ascii="宋体" w:hAnsi="宋体"/>
          <w:sz w:val="24"/>
        </w:rPr>
        <w:t>（1）投标人必须具备履行合同所需的财务能力、技术能力；</w:t>
      </w:r>
    </w:p>
    <w:p>
      <w:pPr>
        <w:adjustRightInd w:val="0"/>
        <w:snapToGrid w:val="0"/>
        <w:spacing w:line="360" w:lineRule="auto"/>
        <w:ind w:firstLine="480" w:firstLineChars="200"/>
        <w:rPr>
          <w:rFonts w:ascii="宋体" w:hAnsi="宋体"/>
          <w:sz w:val="24"/>
        </w:rPr>
      </w:pPr>
      <w:r>
        <w:rPr>
          <w:rFonts w:hint="eastAsia" w:ascii="宋体" w:hAnsi="宋体"/>
          <w:sz w:val="24"/>
        </w:rPr>
        <w:t>（2）投标人应有能力履行合同条款中的义务。</w:t>
      </w:r>
    </w:p>
    <w:p>
      <w:pPr>
        <w:adjustRightInd w:val="0"/>
        <w:snapToGrid w:val="0"/>
        <w:spacing w:line="360" w:lineRule="auto"/>
        <w:ind w:firstLine="480" w:firstLineChars="200"/>
        <w:rPr>
          <w:rFonts w:ascii="宋体" w:hAnsi="宋体"/>
          <w:sz w:val="24"/>
        </w:rPr>
      </w:pPr>
      <w:r>
        <w:rPr>
          <w:rFonts w:hint="eastAsia" w:ascii="宋体" w:hAnsi="宋体"/>
          <w:sz w:val="24"/>
        </w:rPr>
        <w:t xml:space="preserve">（3）中小企业声明函（中小企业提供）； </w:t>
      </w:r>
    </w:p>
    <w:p>
      <w:pPr>
        <w:adjustRightInd w:val="0"/>
        <w:snapToGrid w:val="0"/>
        <w:spacing w:line="360" w:lineRule="auto"/>
        <w:ind w:firstLine="480" w:firstLineChars="200"/>
        <w:rPr>
          <w:rFonts w:ascii="宋体" w:hAnsi="宋体"/>
          <w:sz w:val="24"/>
        </w:rPr>
      </w:pPr>
      <w:r>
        <w:rPr>
          <w:rFonts w:hint="eastAsia" w:ascii="宋体" w:hAnsi="宋体"/>
          <w:sz w:val="24"/>
        </w:rPr>
        <w:t>（4）残疾人福利性单位企业声明函（残疾人福利性单位企业提供）；</w:t>
      </w:r>
    </w:p>
    <w:p>
      <w:pPr>
        <w:adjustRightInd w:val="0"/>
        <w:snapToGrid w:val="0"/>
        <w:spacing w:line="360" w:lineRule="auto"/>
        <w:ind w:firstLine="480" w:firstLineChars="200"/>
        <w:rPr>
          <w:rFonts w:ascii="宋体" w:hAnsi="宋体"/>
          <w:sz w:val="24"/>
        </w:rPr>
      </w:pPr>
      <w:r>
        <w:rPr>
          <w:rFonts w:hint="eastAsia" w:ascii="宋体" w:hAnsi="宋体"/>
          <w:sz w:val="24"/>
        </w:rPr>
        <w:t>（5）由省级以上监狱管理局、戒毒管理局(含新疆生产建设兵团)出具的属于监狱企业的证明文件；</w:t>
      </w:r>
    </w:p>
    <w:p>
      <w:pPr>
        <w:adjustRightInd w:val="0"/>
        <w:snapToGrid w:val="0"/>
        <w:spacing w:line="360" w:lineRule="auto"/>
        <w:ind w:firstLine="480" w:firstLineChars="200"/>
        <w:rPr>
          <w:rFonts w:ascii="宋体" w:hAnsi="宋体"/>
          <w:sz w:val="24"/>
        </w:rPr>
      </w:pPr>
      <w:r>
        <w:rPr>
          <w:rFonts w:hint="eastAsia" w:ascii="宋体" w:hAnsi="宋体"/>
          <w:sz w:val="24"/>
        </w:rPr>
        <w:t>（6）招标文件要求的其他证明投标人资格的文件。</w:t>
      </w:r>
    </w:p>
    <w:p>
      <w:pPr>
        <w:adjustRightInd w:val="0"/>
        <w:snapToGrid w:val="0"/>
        <w:spacing w:line="360" w:lineRule="auto"/>
        <w:ind w:firstLine="480" w:firstLineChars="200"/>
        <w:rPr>
          <w:rFonts w:ascii="宋体" w:hAnsi="宋体"/>
          <w:sz w:val="24"/>
        </w:rPr>
      </w:pPr>
      <w:r>
        <w:rPr>
          <w:rFonts w:hint="eastAsia" w:ascii="宋体" w:hAnsi="宋体"/>
          <w:sz w:val="24"/>
        </w:rPr>
        <w:t>3.投标人应按招标文件格式要求填写并提交 “资格证明文件”。</w:t>
      </w:r>
    </w:p>
    <w:p>
      <w:pPr>
        <w:adjustRightInd w:val="0"/>
        <w:snapToGrid w:val="0"/>
        <w:spacing w:line="360" w:lineRule="auto"/>
        <w:ind w:firstLine="241" w:firstLineChars="100"/>
        <w:rPr>
          <w:rFonts w:ascii="宋体" w:hAnsi="宋体"/>
          <w:b/>
          <w:sz w:val="24"/>
        </w:rPr>
      </w:pPr>
      <w:r>
        <w:rPr>
          <w:rFonts w:hint="eastAsia" w:ascii="宋体" w:hAnsi="宋体"/>
          <w:b/>
          <w:bCs/>
          <w:sz w:val="24"/>
        </w:rPr>
        <w:t>（七）证明服务的合格性和符合招标文件规定的文件</w:t>
      </w:r>
    </w:p>
    <w:p>
      <w:pPr>
        <w:adjustRightInd w:val="0"/>
        <w:snapToGrid w:val="0"/>
        <w:spacing w:line="360" w:lineRule="auto"/>
        <w:ind w:firstLine="480" w:firstLineChars="200"/>
        <w:outlineLvl w:val="0"/>
        <w:rPr>
          <w:rFonts w:ascii="宋体" w:hAnsi="宋体"/>
          <w:sz w:val="24"/>
        </w:rPr>
      </w:pPr>
      <w:r>
        <w:rPr>
          <w:rFonts w:hint="eastAsia" w:ascii="宋体" w:hAnsi="宋体"/>
          <w:sz w:val="24"/>
        </w:rPr>
        <w:t>1.投标人应提交本项目所有服务的合格性以及符合招标文件规定的证明文件，并作为其投标文件的一部分。</w:t>
      </w:r>
    </w:p>
    <w:p>
      <w:pPr>
        <w:adjustRightInd w:val="0"/>
        <w:snapToGrid w:val="0"/>
        <w:spacing w:line="360" w:lineRule="auto"/>
        <w:ind w:firstLine="480" w:firstLineChars="200"/>
        <w:rPr>
          <w:rFonts w:ascii="宋体" w:hAnsi="宋体"/>
          <w:sz w:val="24"/>
        </w:rPr>
      </w:pPr>
      <w:r>
        <w:rPr>
          <w:rFonts w:hint="eastAsia" w:ascii="宋体" w:hAnsi="宋体"/>
          <w:sz w:val="24"/>
        </w:rPr>
        <w:t>2.服务合格性的证明文件应包括投标报价表中对货物和服务来源地的声明。</w:t>
      </w:r>
    </w:p>
    <w:p>
      <w:pPr>
        <w:adjustRightInd w:val="0"/>
        <w:snapToGrid w:val="0"/>
        <w:spacing w:line="360" w:lineRule="auto"/>
        <w:ind w:firstLine="480"/>
        <w:outlineLvl w:val="0"/>
        <w:rPr>
          <w:rFonts w:ascii="宋体" w:hAnsi="宋体"/>
          <w:sz w:val="24"/>
        </w:rPr>
      </w:pPr>
      <w:r>
        <w:rPr>
          <w:rFonts w:hint="eastAsia" w:ascii="宋体" w:hAnsi="宋体"/>
          <w:sz w:val="24"/>
        </w:rPr>
        <w:t>3.证明服务与招标文件的要求相一致，文件可以是文字资料、图纸和数据。投标人应提供：</w:t>
      </w:r>
      <w:r>
        <w:rPr>
          <w:rFonts w:hint="eastAsia" w:ascii="宋体" w:hAnsi="宋体"/>
          <w:bCs/>
          <w:sz w:val="24"/>
        </w:rPr>
        <w:t>逐条填报的技术和商务条款偏离表。</w:t>
      </w:r>
    </w:p>
    <w:p>
      <w:pPr>
        <w:adjustRightInd w:val="0"/>
        <w:snapToGrid w:val="0"/>
        <w:spacing w:line="360" w:lineRule="auto"/>
        <w:ind w:firstLine="241" w:firstLineChars="100"/>
        <w:rPr>
          <w:rFonts w:ascii="宋体" w:hAnsi="宋体"/>
          <w:b/>
          <w:bCs/>
          <w:sz w:val="24"/>
        </w:rPr>
      </w:pPr>
      <w:r>
        <w:rPr>
          <w:rFonts w:hint="eastAsia" w:ascii="宋体" w:hAnsi="宋体"/>
          <w:b/>
          <w:bCs/>
          <w:sz w:val="24"/>
        </w:rPr>
        <w:t>（八）投标保证金（不采用）</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1.投标人应支付“投标人须知前附表”规定的投标保证金，并作为其投标的一部分。开标现场不接受任何形式的投标保证金。</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2.投标保证金是为了保护采购人免遭因投标人的行为而蒙受损失，采购人在因投标人的行为致使其利益受到损害时可从投标人的投标保证金中得到补偿。</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3.投标保证金可以是电汇、支票、银行汇票、政府采购投标担保函、银行保函的一种（投标保证金保函格式见招标文件，支票或汇票必须为投标人企业的支票或汇票）。</w:t>
      </w:r>
    </w:p>
    <w:p>
      <w:pPr>
        <w:spacing w:line="360" w:lineRule="auto"/>
        <w:ind w:firstLine="482" w:firstLineChars="200"/>
        <w:jc w:val="left"/>
        <w:rPr>
          <w:rFonts w:ascii="宋体" w:hAnsi="宋体" w:cs="宋体"/>
          <w:b/>
          <w:bCs/>
          <w:sz w:val="24"/>
          <w:szCs w:val="32"/>
        </w:rPr>
      </w:pPr>
      <w:r>
        <w:rPr>
          <w:rFonts w:hint="eastAsia" w:ascii="宋体" w:hAnsi="宋体" w:cs="宋体"/>
          <w:b/>
          <w:bCs/>
          <w:sz w:val="24"/>
          <w:szCs w:val="32"/>
        </w:rPr>
        <w:t>注：开标现场不接受任何形式的投标保证金。</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4.开标时，对于未能按要求提交投标保证金的投标人，将被视为非响应性投标予以拒绝。</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5.未中标的投标人的投标保证金在中标通知书发出后五个工作日内予以退还（无息）。</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6.中标人的投标保证金，在中标人按照本招标文件规定签订合同后，五个工作日内予以退还（无息）。</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7.投标人有下列情况之一的，投标保证金将被没收：</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（1）弄虚作假或与其他投标人串通骗取中标的；</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（2）在投标有效期内，投标人撤回投标的；</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（3）因投标人过错被废除授标；</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（4）投标人中标后未按要求在规定时间内与采购人签订合同的；</w:t>
      </w:r>
    </w:p>
    <w:p>
      <w:pPr>
        <w:adjustRightInd w:val="0"/>
        <w:snapToGrid w:val="0"/>
        <w:spacing w:line="360" w:lineRule="auto"/>
        <w:ind w:firstLine="480" w:firstLineChars="200"/>
        <w:rPr>
          <w:rFonts w:ascii="宋体" w:hAnsi="宋体"/>
          <w:sz w:val="24"/>
        </w:rPr>
      </w:pPr>
      <w:r>
        <w:rPr>
          <w:rFonts w:hint="eastAsia" w:ascii="宋体" w:hAnsi="宋体" w:cs="宋体"/>
          <w:sz w:val="24"/>
          <w:szCs w:val="32"/>
        </w:rPr>
        <w:t>（5）法律法规规定其他严重损害采购人利益的情形。</w:t>
      </w:r>
      <w:r>
        <w:rPr>
          <w:rFonts w:hint="eastAsia" w:ascii="宋体" w:hAnsi="宋体"/>
          <w:sz w:val="24"/>
        </w:rPr>
        <w:t xml:space="preserve"> </w:t>
      </w:r>
    </w:p>
    <w:p>
      <w:pPr>
        <w:adjustRightInd w:val="0"/>
        <w:snapToGrid w:val="0"/>
        <w:spacing w:line="360" w:lineRule="auto"/>
        <w:ind w:firstLine="482" w:firstLineChars="200"/>
        <w:outlineLvl w:val="0"/>
        <w:rPr>
          <w:rFonts w:ascii="宋体" w:hAnsi="宋体"/>
          <w:sz w:val="24"/>
        </w:rPr>
      </w:pPr>
      <w:r>
        <w:rPr>
          <w:rFonts w:hint="eastAsia" w:ascii="宋体" w:hAnsi="宋体"/>
          <w:b/>
          <w:bCs/>
          <w:sz w:val="24"/>
        </w:rPr>
        <w:t>（九）投标有效期</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1.本项目投标有效期为自投标截止之日起90个日历日。</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2.特殊情况下，在投标有效期期满之前，采购代理机构可征得投标人同意延长投标有效期。这种要求和答复均应为书面形式（如传真等）。投标人可以拒绝采购代理机构的这种要求而不被没收投标保证金。同意延长的投标人不允许修改其投标文件，但要相应延长其投标保证金的有效期。</w:t>
      </w:r>
    </w:p>
    <w:p>
      <w:pPr>
        <w:adjustRightInd w:val="0"/>
        <w:snapToGrid w:val="0"/>
        <w:spacing w:line="360" w:lineRule="auto"/>
        <w:ind w:firstLine="241" w:firstLineChars="100"/>
        <w:rPr>
          <w:rFonts w:ascii="宋体" w:hAnsi="宋体"/>
          <w:b/>
          <w:bCs/>
          <w:sz w:val="24"/>
        </w:rPr>
      </w:pPr>
      <w:r>
        <w:rPr>
          <w:rFonts w:hint="eastAsia" w:ascii="宋体" w:hAnsi="宋体"/>
          <w:b/>
          <w:bCs/>
          <w:sz w:val="24"/>
        </w:rPr>
        <w:t>（十）投标文件的式样和签署</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1.投标文件应有章节目录，每页都有页码标注。投标文件应采用胶装。投标人应按照招标文件要求，提交投标文件正本1份和副本5份，每套投标文件须清楚地标明“正本”或“副本”。当正本和副本不符时，以正本为准。</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2.投标人应在投标文件中加盖投标单位的行政公章（</w:t>
      </w:r>
      <w:r>
        <w:rPr>
          <w:rFonts w:hint="eastAsia" w:ascii="宋体" w:hAnsi="宋体" w:cs="宋体"/>
          <w:b/>
          <w:bCs/>
          <w:sz w:val="24"/>
          <w:szCs w:val="32"/>
        </w:rPr>
        <w:t>加盖投标单位的财务章、投标专用章或其他业务章视为无效投标</w:t>
      </w:r>
      <w:r>
        <w:rPr>
          <w:rFonts w:hint="eastAsia" w:ascii="宋体" w:hAnsi="宋体" w:cs="宋体"/>
          <w:sz w:val="24"/>
          <w:szCs w:val="32"/>
        </w:rPr>
        <w:t>）。</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3.投标文件的正本和所有的副本均使用永不褪色的墨水工整书写或打印。</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4.除投标人对错处做必要修改外，投标文件不得行间插字、涂改和增删，如有修改，必须由投标人法定代表人（负责人）或被授权人签字。</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5.投标人应当按照招标文件的要求编制投标文件。投标文件应当对招标文件提出的要求和条件作出明确响应。</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361" w:firstLineChars="100"/>
        <w:jc w:val="center"/>
        <w:outlineLvl w:val="0"/>
        <w:rPr>
          <w:rFonts w:ascii="宋体" w:hAnsi="宋体"/>
          <w:b/>
          <w:sz w:val="36"/>
          <w:szCs w:val="36"/>
        </w:rPr>
      </w:pPr>
      <w:r>
        <w:rPr>
          <w:rFonts w:hint="eastAsia" w:ascii="宋体" w:hAnsi="宋体"/>
          <w:b/>
          <w:bCs/>
          <w:sz w:val="36"/>
          <w:szCs w:val="36"/>
        </w:rPr>
        <w:t>四、投标文件的递交</w:t>
      </w:r>
    </w:p>
    <w:p>
      <w:pPr>
        <w:adjustRightInd w:val="0"/>
        <w:snapToGrid w:val="0"/>
        <w:spacing w:line="360" w:lineRule="auto"/>
        <w:ind w:firstLine="241" w:firstLineChars="100"/>
        <w:rPr>
          <w:rFonts w:ascii="宋体" w:hAnsi="宋体"/>
          <w:b/>
          <w:bCs/>
          <w:sz w:val="24"/>
        </w:rPr>
      </w:pPr>
      <w:r>
        <w:rPr>
          <w:rFonts w:hint="eastAsia" w:ascii="宋体" w:hAnsi="宋体"/>
          <w:b/>
          <w:bCs/>
          <w:sz w:val="24"/>
        </w:rPr>
        <w:t>（一）投标文件的密封和标记</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1.投标文件须按以下要求装袋密封：</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投标文件正、副本需封装在同一密封袋内。封皮上写明项目名称、招标编号、投标人名称，并注明“开标截止    年    月   日    时前不得开封”字样，并加盖公章。</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2.如果外层信封未按本招标文件要求封装和标记，采购代理机构对误投或过早启封概不负责。对由此造成提前开封的投标文件，采购代理机构将予以拒绝，并退给投标人。</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3.各投标人仅对自己单位投标文件的密封情况检查，检查内容为其投标文件是否被拆封过、内容是否泄露。投标文件密封如存在瑕疵，但不能导致投标文件信息泄露的，视为密封合格。</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4.为方便开标唱标，投标人必须将开标一览表单独封装在密封袋内，并在信封上标明“开标一览表”字样，在递交投标文件时单独递交。</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5.逾期送达或者未按照招标文件要求密封的投标文件，采购代理机构拒收。</w:t>
      </w:r>
    </w:p>
    <w:p>
      <w:pPr>
        <w:spacing w:line="360" w:lineRule="auto"/>
        <w:ind w:firstLine="482" w:firstLineChars="200"/>
        <w:jc w:val="left"/>
        <w:rPr>
          <w:rFonts w:ascii="宋体" w:hAnsi="宋体" w:cs="宋体"/>
          <w:b/>
          <w:bCs/>
          <w:sz w:val="24"/>
          <w:szCs w:val="32"/>
        </w:rPr>
      </w:pPr>
      <w:r>
        <w:rPr>
          <w:rFonts w:hint="eastAsia" w:ascii="宋体" w:hAnsi="宋体" w:cs="宋体"/>
          <w:b/>
          <w:bCs/>
          <w:sz w:val="24"/>
          <w:szCs w:val="32"/>
        </w:rPr>
        <w:t>（二）投标截止时间</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1.采购代理机构收到投标文件的时间不得迟于“投标邀请函”中规定的开标时间。</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2.采购代理机构可以通过修改招标文件依法延长投标截止时间。在此情况下，采购人和投标人受投标截止时间制约的所有权利和义务均应延长至新的截止时间。</w:t>
      </w:r>
    </w:p>
    <w:p>
      <w:pPr>
        <w:spacing w:line="360" w:lineRule="auto"/>
        <w:ind w:firstLine="482" w:firstLineChars="200"/>
        <w:jc w:val="left"/>
        <w:rPr>
          <w:rFonts w:ascii="宋体" w:hAnsi="宋体" w:cs="宋体"/>
          <w:b/>
          <w:bCs/>
          <w:sz w:val="24"/>
          <w:szCs w:val="32"/>
        </w:rPr>
      </w:pPr>
      <w:r>
        <w:rPr>
          <w:rFonts w:hint="eastAsia" w:ascii="宋体" w:hAnsi="宋体" w:cs="宋体"/>
          <w:b/>
          <w:bCs/>
          <w:sz w:val="24"/>
          <w:szCs w:val="32"/>
        </w:rPr>
        <w:t>（三）迟交的投标文件</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采购代理机构将拒绝并原封退回在其规定的截止时间后收到的任何投标文件。</w:t>
      </w:r>
    </w:p>
    <w:p>
      <w:pPr>
        <w:spacing w:line="360" w:lineRule="auto"/>
        <w:ind w:firstLine="482" w:firstLineChars="200"/>
        <w:jc w:val="left"/>
        <w:rPr>
          <w:rFonts w:ascii="宋体" w:hAnsi="宋体" w:cs="宋体"/>
          <w:b/>
          <w:bCs/>
          <w:sz w:val="24"/>
          <w:szCs w:val="32"/>
        </w:rPr>
      </w:pPr>
      <w:r>
        <w:rPr>
          <w:rFonts w:hint="eastAsia" w:ascii="宋体" w:hAnsi="宋体" w:cs="宋体"/>
          <w:b/>
          <w:bCs/>
          <w:sz w:val="24"/>
          <w:szCs w:val="32"/>
        </w:rPr>
        <w:t>（四）投标文件的修改和撤回</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1.投标人可以在递交投标文件后、投标截止时间前修改或撤回其投标文件。但这种修改或撤销通知，须在投标截止时间前以书面形式交给采购代理机构，该通知须经投标人被授权人签字。</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2.投标人的修改或撤回通知应按招标文件“投标文件的密封和标记”规定编制、密封、标记和递交，并在封套上加注“修改”或“撤回”字样。</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3.投标截止时间之后，投标人不得对其投标文件做任何修改。</w:t>
      </w:r>
    </w:p>
    <w:p>
      <w:pPr>
        <w:adjustRightInd w:val="0"/>
        <w:snapToGrid w:val="0"/>
        <w:spacing w:line="360" w:lineRule="auto"/>
        <w:ind w:firstLine="480"/>
        <w:rPr>
          <w:rFonts w:ascii="宋体" w:hAnsi="宋体"/>
          <w:sz w:val="24"/>
        </w:rPr>
      </w:pPr>
    </w:p>
    <w:p>
      <w:pPr>
        <w:adjustRightInd w:val="0"/>
        <w:snapToGrid w:val="0"/>
        <w:spacing w:line="360" w:lineRule="auto"/>
        <w:ind w:firstLine="361" w:firstLineChars="100"/>
        <w:jc w:val="center"/>
        <w:outlineLvl w:val="0"/>
        <w:rPr>
          <w:rFonts w:ascii="宋体" w:hAnsi="宋体"/>
          <w:b/>
          <w:sz w:val="36"/>
          <w:szCs w:val="36"/>
        </w:rPr>
      </w:pPr>
      <w:r>
        <w:rPr>
          <w:rFonts w:hint="eastAsia" w:ascii="宋体" w:hAnsi="宋体"/>
          <w:b/>
          <w:bCs/>
          <w:sz w:val="36"/>
          <w:szCs w:val="36"/>
        </w:rPr>
        <w:t>五、开标与评标</w:t>
      </w:r>
    </w:p>
    <w:p>
      <w:pPr>
        <w:adjustRightInd w:val="0"/>
        <w:snapToGrid w:val="0"/>
        <w:spacing w:line="360" w:lineRule="auto"/>
        <w:ind w:firstLine="236" w:firstLineChars="98"/>
        <w:rPr>
          <w:rFonts w:ascii="宋体" w:hAnsi="宋体"/>
          <w:b/>
          <w:bCs/>
          <w:sz w:val="24"/>
        </w:rPr>
      </w:pPr>
      <w:r>
        <w:rPr>
          <w:rFonts w:hint="eastAsia" w:ascii="宋体" w:hAnsi="宋体"/>
          <w:b/>
          <w:bCs/>
          <w:sz w:val="24"/>
        </w:rPr>
        <w:t>（一）开标</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1.采购代理机构将在辽宁中信诚达项目管理有限公司会议室进行开标。开标由采购人或者采购代理机构主持，邀请投标人参加。评标委员会成员不得参加开标活动。</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2.提交了可接受的“撤回”通知的投标文件将不予开封。</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3.开标时，各投标人仅对自己单位投标文件的密封情况检查，检查内容为其投标文件是否被拆封过、内容是否泄露。投标文件密封如存在瑕疵，但不能导致投标文件信息泄露的，视为密封合格。</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4.开标时，采购代理机构将当众宣读投标人名称、投标价格、折扣、书面修改和撤回投标的通知、是否提交投标保证金，以及采购人认为合适的其他内容。只有在开标时唱出的折扣，评标时才能考虑。投标人不足3家的，不得开标。</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5.开标过程应当由采购人或者采购代理机构负责记录，由参加开标的各投标人代表和相关工作人员签字确认后随采购文件一并存档。</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6.投标人代表对开标过程和开标记录有疑义，以及认为采购人、采购代理机构相关工作人员有需要回避的情形的，应当场提出询问或者回避申请。</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7.投标人未参加开标的，视同认可开标结果。</w:t>
      </w:r>
    </w:p>
    <w:p>
      <w:pPr>
        <w:spacing w:line="360" w:lineRule="auto"/>
        <w:ind w:firstLine="482" w:firstLineChars="200"/>
        <w:jc w:val="left"/>
        <w:rPr>
          <w:rFonts w:ascii="宋体" w:hAnsi="宋体" w:cs="宋体"/>
          <w:b/>
          <w:bCs/>
          <w:sz w:val="24"/>
          <w:szCs w:val="32"/>
        </w:rPr>
      </w:pPr>
      <w:r>
        <w:rPr>
          <w:rFonts w:hint="eastAsia" w:ascii="宋体" w:hAnsi="宋体" w:cs="宋体"/>
          <w:b/>
          <w:bCs/>
          <w:sz w:val="24"/>
          <w:szCs w:val="32"/>
        </w:rPr>
        <w:t>（二）评标委员会的组成</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1.本项目招标依法组建评标委员会。</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2.评标委员会由采购人代表和随机抽取的有关方面的专家组成，其中具有专业经济、技术资格的专家不少于成员总数的2/3。</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3.与投标人有利害关系的人不得进入评标委员会。</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4.参加项目评审工作的采购人代表，不得参加该评审项目的开标活动。除采购人代表、评标现场组织人员外，采购人的其他工作人员以及与评标工作无关的人员不得进入评标现场。</w:t>
      </w:r>
    </w:p>
    <w:p>
      <w:pPr>
        <w:spacing w:line="360" w:lineRule="auto"/>
        <w:ind w:firstLine="482" w:firstLineChars="200"/>
        <w:jc w:val="left"/>
        <w:rPr>
          <w:rFonts w:ascii="宋体" w:hAnsi="宋体" w:cs="宋体"/>
          <w:b/>
          <w:bCs/>
          <w:sz w:val="24"/>
          <w:szCs w:val="32"/>
        </w:rPr>
      </w:pPr>
      <w:r>
        <w:rPr>
          <w:rFonts w:hint="eastAsia" w:ascii="宋体" w:hAnsi="宋体" w:cs="宋体"/>
          <w:b/>
          <w:bCs/>
          <w:sz w:val="24"/>
          <w:szCs w:val="32"/>
        </w:rPr>
        <w:t>（三）评标过程的保密性</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1.公开开标后，直至向中标候选人授予合同时止，凡与审查、澄清、评价和比较投标有关的资料以及授标意见等，均不得向投标人及与评标无关的其他人员透露。</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2.在评标过程中，投标人试图影响采购人在投标文件审查、澄清、比较及授予合同方面的任何尝试，可能导致该投标人的投标被废除。</w:t>
      </w:r>
    </w:p>
    <w:p>
      <w:pPr>
        <w:spacing w:line="360" w:lineRule="auto"/>
        <w:ind w:firstLine="482" w:firstLineChars="200"/>
        <w:jc w:val="left"/>
        <w:rPr>
          <w:rFonts w:ascii="宋体" w:hAnsi="宋体" w:cs="宋体"/>
          <w:b/>
          <w:bCs/>
          <w:sz w:val="24"/>
          <w:szCs w:val="32"/>
        </w:rPr>
      </w:pPr>
      <w:r>
        <w:rPr>
          <w:rFonts w:hint="eastAsia" w:ascii="宋体" w:hAnsi="宋体" w:cs="宋体"/>
          <w:b/>
          <w:bCs/>
          <w:sz w:val="24"/>
          <w:szCs w:val="32"/>
        </w:rPr>
        <w:t>（四）投标文件的澄清</w:t>
      </w:r>
    </w:p>
    <w:p>
      <w:pPr>
        <w:adjustRightInd w:val="0"/>
        <w:snapToGrid w:val="0"/>
        <w:spacing w:line="360" w:lineRule="auto"/>
        <w:ind w:firstLine="240" w:firstLineChars="100"/>
        <w:rPr>
          <w:rFonts w:ascii="宋体" w:hAnsi="宋体" w:cs="宋体"/>
          <w:sz w:val="24"/>
          <w:szCs w:val="32"/>
        </w:rPr>
      </w:pPr>
      <w:r>
        <w:rPr>
          <w:rFonts w:hint="eastAsia" w:ascii="宋体" w:hAnsi="宋体" w:cs="宋体"/>
          <w:sz w:val="24"/>
          <w:szCs w:val="32"/>
        </w:rPr>
        <w:t>为有助于对投标文件的审查、评价和比较，评标委员会可分别要求投标人对其投标文件进行澄清，有关澄清的要求和答复应以书面形式提交，但不得寻求或允许对投标价格或实质性内容做任何更改。</w:t>
      </w:r>
    </w:p>
    <w:p>
      <w:pPr>
        <w:adjustRightInd w:val="0"/>
        <w:snapToGrid w:val="0"/>
        <w:spacing w:line="360" w:lineRule="auto"/>
        <w:ind w:firstLine="241" w:firstLineChars="100"/>
        <w:rPr>
          <w:rFonts w:ascii="宋体" w:hAnsi="宋体"/>
          <w:b/>
          <w:bCs/>
          <w:sz w:val="24"/>
        </w:rPr>
      </w:pPr>
      <w:r>
        <w:rPr>
          <w:rFonts w:hint="eastAsia" w:ascii="宋体" w:hAnsi="宋体"/>
          <w:b/>
          <w:bCs/>
          <w:sz w:val="24"/>
        </w:rPr>
        <w:t>（五）投标文件的审查</w:t>
      </w:r>
    </w:p>
    <w:p>
      <w:pPr>
        <w:adjustRightInd w:val="0"/>
        <w:snapToGrid w:val="0"/>
        <w:spacing w:line="360" w:lineRule="auto"/>
        <w:ind w:firstLine="480" w:firstLineChars="200"/>
        <w:rPr>
          <w:rFonts w:ascii="宋体" w:hAnsi="宋体"/>
          <w:sz w:val="24"/>
        </w:rPr>
      </w:pPr>
      <w:r>
        <w:rPr>
          <w:rFonts w:hint="eastAsia" w:ascii="宋体" w:hAnsi="宋体"/>
          <w:sz w:val="24"/>
        </w:rPr>
        <w:t>1.开标后，评标委员会将审查投标文件是否完整，有无计算错误，是否提交了投标保证金，文件签署是否合格，投标文件是否大体编排有序。</w:t>
      </w:r>
    </w:p>
    <w:p>
      <w:pPr>
        <w:adjustRightInd w:val="0"/>
        <w:snapToGrid w:val="0"/>
        <w:spacing w:line="360" w:lineRule="auto"/>
        <w:ind w:firstLine="480" w:firstLineChars="200"/>
        <w:rPr>
          <w:rFonts w:ascii="宋体" w:hAnsi="宋体"/>
          <w:sz w:val="24"/>
        </w:rPr>
      </w:pPr>
      <w:r>
        <w:rPr>
          <w:rFonts w:hint="eastAsia" w:ascii="宋体" w:hAnsi="宋体"/>
          <w:sz w:val="24"/>
        </w:rPr>
        <w:t>2.投标文件有下列情况之一的，投标文件无效：</w:t>
      </w:r>
    </w:p>
    <w:p>
      <w:pPr>
        <w:adjustRightInd w:val="0"/>
        <w:snapToGrid w:val="0"/>
        <w:spacing w:line="360" w:lineRule="auto"/>
        <w:ind w:firstLine="480" w:firstLineChars="200"/>
        <w:rPr>
          <w:rFonts w:ascii="宋体" w:hAnsi="宋体"/>
          <w:sz w:val="24"/>
        </w:rPr>
      </w:pPr>
      <w:r>
        <w:rPr>
          <w:rFonts w:hint="eastAsia" w:ascii="宋体" w:hAnsi="宋体"/>
          <w:sz w:val="24"/>
        </w:rPr>
        <w:t>（1）投标资格不符合招标文件要求或未按招标文件要求提供资格证明文件的；</w:t>
      </w:r>
    </w:p>
    <w:p>
      <w:pPr>
        <w:adjustRightInd w:val="0"/>
        <w:snapToGrid w:val="0"/>
        <w:spacing w:line="360" w:lineRule="auto"/>
        <w:ind w:firstLine="480" w:firstLineChars="200"/>
        <w:rPr>
          <w:rFonts w:ascii="宋体" w:hAnsi="宋体"/>
          <w:sz w:val="24"/>
        </w:rPr>
      </w:pPr>
      <w:r>
        <w:rPr>
          <w:rFonts w:hint="eastAsia" w:ascii="宋体" w:hAnsi="宋体"/>
          <w:sz w:val="24"/>
        </w:rPr>
        <w:t>（2）投标有效期不满足招标文件要求；</w:t>
      </w:r>
    </w:p>
    <w:p>
      <w:pPr>
        <w:adjustRightInd w:val="0"/>
        <w:snapToGrid w:val="0"/>
        <w:spacing w:line="360" w:lineRule="auto"/>
        <w:ind w:firstLine="480" w:firstLineChars="200"/>
        <w:rPr>
          <w:rFonts w:ascii="宋体" w:hAnsi="宋体"/>
          <w:sz w:val="24"/>
        </w:rPr>
      </w:pPr>
      <w:r>
        <w:rPr>
          <w:rFonts w:hint="eastAsia" w:ascii="宋体" w:hAnsi="宋体"/>
          <w:sz w:val="24"/>
        </w:rPr>
        <w:t>（3）投标文件完整性不符合招标文件实质性要求；</w:t>
      </w:r>
    </w:p>
    <w:p>
      <w:pPr>
        <w:adjustRightInd w:val="0"/>
        <w:snapToGrid w:val="0"/>
        <w:spacing w:line="360" w:lineRule="auto"/>
        <w:ind w:firstLine="480" w:firstLineChars="200"/>
        <w:rPr>
          <w:rFonts w:ascii="宋体" w:hAnsi="宋体"/>
          <w:sz w:val="24"/>
        </w:rPr>
      </w:pPr>
      <w:r>
        <w:rPr>
          <w:rFonts w:hint="eastAsia" w:ascii="宋体" w:hAnsi="宋体"/>
          <w:sz w:val="24"/>
        </w:rPr>
        <w:t>（4）投标文件签署情况不符合招标文件实质性要求；</w:t>
      </w:r>
    </w:p>
    <w:p>
      <w:pPr>
        <w:adjustRightInd w:val="0"/>
        <w:snapToGrid w:val="0"/>
        <w:spacing w:line="360" w:lineRule="auto"/>
        <w:ind w:firstLine="480" w:firstLineChars="200"/>
        <w:rPr>
          <w:rFonts w:ascii="宋体" w:hAnsi="宋体"/>
          <w:sz w:val="24"/>
        </w:rPr>
      </w:pPr>
      <w:r>
        <w:rPr>
          <w:rFonts w:hint="eastAsia" w:ascii="宋体" w:hAnsi="宋体"/>
          <w:sz w:val="24"/>
        </w:rPr>
        <w:t>（5）未按照招标文件规定报价或有漏项；</w:t>
      </w:r>
    </w:p>
    <w:p>
      <w:pPr>
        <w:adjustRightInd w:val="0"/>
        <w:snapToGrid w:val="0"/>
        <w:spacing w:line="360" w:lineRule="auto"/>
        <w:ind w:firstLine="480"/>
        <w:rPr>
          <w:rFonts w:ascii="宋体" w:hAnsi="宋体"/>
          <w:sz w:val="24"/>
        </w:rPr>
      </w:pPr>
      <w:r>
        <w:rPr>
          <w:rFonts w:hint="eastAsia" w:ascii="宋体" w:hAnsi="宋体"/>
          <w:sz w:val="24"/>
        </w:rPr>
        <w:t>（6）投标报价超过招标文件中规定的预算金额或者拦标价的；</w:t>
      </w:r>
    </w:p>
    <w:p>
      <w:pPr>
        <w:adjustRightInd w:val="0"/>
        <w:snapToGrid w:val="0"/>
        <w:spacing w:line="360" w:lineRule="auto"/>
        <w:ind w:firstLine="480"/>
        <w:rPr>
          <w:rFonts w:ascii="宋体" w:hAnsi="宋体"/>
          <w:sz w:val="24"/>
        </w:rPr>
      </w:pPr>
      <w:r>
        <w:rPr>
          <w:rFonts w:hint="eastAsia" w:ascii="宋体" w:hAnsi="宋体"/>
          <w:sz w:val="24"/>
        </w:rPr>
        <w:t>（7）对“★”条款未做出实质性响应或发生重大偏离；</w:t>
      </w:r>
    </w:p>
    <w:p>
      <w:pPr>
        <w:adjustRightInd w:val="0"/>
        <w:snapToGrid w:val="0"/>
        <w:spacing w:line="360" w:lineRule="auto"/>
        <w:ind w:firstLine="480" w:firstLineChars="200"/>
        <w:rPr>
          <w:rFonts w:ascii="宋体" w:hAnsi="宋体"/>
          <w:sz w:val="24"/>
        </w:rPr>
      </w:pPr>
      <w:r>
        <w:rPr>
          <w:rFonts w:hint="eastAsia" w:ascii="宋体" w:hAnsi="宋体"/>
          <w:sz w:val="24"/>
        </w:rPr>
        <w:t>（8）发现投标人涂改证明材料或者提供虚假材料；</w:t>
      </w:r>
    </w:p>
    <w:p>
      <w:pPr>
        <w:adjustRightInd w:val="0"/>
        <w:snapToGrid w:val="0"/>
        <w:spacing w:line="360" w:lineRule="auto"/>
        <w:ind w:firstLine="480" w:firstLineChars="200"/>
        <w:rPr>
          <w:rFonts w:ascii="宋体" w:hAnsi="宋体"/>
          <w:sz w:val="24"/>
        </w:rPr>
      </w:pPr>
      <w:r>
        <w:rPr>
          <w:rFonts w:hint="eastAsia" w:ascii="宋体" w:hAnsi="宋体"/>
          <w:sz w:val="24"/>
        </w:rPr>
        <w:t>（9）投标文件含有采购人不能接受的附加条件的；</w:t>
      </w:r>
    </w:p>
    <w:p>
      <w:pPr>
        <w:adjustRightInd w:val="0"/>
        <w:snapToGrid w:val="0"/>
        <w:spacing w:line="360" w:lineRule="auto"/>
        <w:ind w:firstLine="480" w:firstLineChars="200"/>
        <w:rPr>
          <w:rFonts w:ascii="宋体" w:hAnsi="宋体"/>
          <w:sz w:val="24"/>
        </w:rPr>
      </w:pPr>
      <w:r>
        <w:rPr>
          <w:rFonts w:hint="eastAsia" w:ascii="宋体" w:hAnsi="宋体"/>
          <w:sz w:val="24"/>
        </w:rPr>
        <w:t>（10）发现其他不符合法律法规规定的实质性要求。</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3.在详细评标之前，评标委员会要审查每份投标文件是否实质上响应了招标文件的要求。实质上响应的投标文件应该是与招标文件要求的全部实质性条款、条件和规格相符，没有重大偏离或保留的投标。所谓重大偏离或保留是指实质上影响合同的供货范围、质量、性能或者实质上与招标文件不一致，而且限制了采购人的权利或投标人的义务。纠正这些偏离或保留将会对其他实质上响应招标文件要求的投标人的竞争地位产生不公正的影响。评标委员会决定投标的响应性只根据投标文件本身的内容，而不寻求外部的证据。</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4.如果投标文件实质上没有响应招标文件的要求，评标委员会将予以拒绝。对于投标文件中含义不明确、同类问题表述不一致或者有明显文字和计算错误的内容，评标委员会将以书面形式要求投标人作出必要的澄清、说明或者补正。投标人的澄清、说明或者补正应当采用书面形式，并加盖公章，或者由法定代表人（负责人）或其授权的代表签字。投标人的澄清、说明或者补正不得超出投标文件的范围或者改变投标文件的实质性内容。</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5.实质上响应的投标在计算上和累加上的算术错误，其修正错误的原则如下：</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（1）投标文件的大写金额和小写金额不一致的，以大写金额为准；</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（2）当总价金额与按单价汇总金额不一致的，以单价汇总金额为准；</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（3）当单价金额小数点有明显错位的，以总价为准，并修改单价；</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（4）当开标一览表与投标文件报价不符时，以开标一览表为准。</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6.评标委员会将按上述修正错误的方法调整投标文件中的投标报价，调整后的价格对投标人具有约束力。如果投标人不接受修正后的价格，则其投标将被拒绝。</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7.评标委员会将允许修正投标文件中不构成重大偏差的、微小的、非正规的、不一致的或不规则的地方，但这些修正不能影响任何投标人相应的名次排序。</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8.评标委员会认为投标人的报价明显低于其他通过符合性审查投标人的报价，有可能影响货物及服务质量或者不能诚信履约的，应当要求其在评标现场合理的时间内提供书面说明，必要时提交相关证明材料；投标人不能证明其报价合理性的，评标委员会应当将其作为无效投标处理。</w:t>
      </w:r>
    </w:p>
    <w:p>
      <w:pPr>
        <w:adjustRightInd w:val="0"/>
        <w:snapToGrid w:val="0"/>
        <w:spacing w:line="360" w:lineRule="auto"/>
        <w:ind w:firstLine="236" w:firstLineChars="98"/>
        <w:rPr>
          <w:rFonts w:ascii="宋体" w:hAnsi="宋体"/>
          <w:b/>
          <w:bCs/>
          <w:sz w:val="24"/>
        </w:rPr>
      </w:pPr>
      <w:r>
        <w:rPr>
          <w:rFonts w:hint="eastAsia" w:ascii="宋体" w:hAnsi="宋体"/>
          <w:b/>
          <w:bCs/>
          <w:sz w:val="24"/>
        </w:rPr>
        <w:t>（六）串标</w:t>
      </w:r>
    </w:p>
    <w:p>
      <w:pPr>
        <w:adjustRightInd w:val="0"/>
        <w:snapToGrid w:val="0"/>
        <w:spacing w:line="360" w:lineRule="auto"/>
        <w:ind w:firstLine="360" w:firstLineChars="150"/>
        <w:rPr>
          <w:rFonts w:ascii="宋体" w:hAnsi="宋体"/>
          <w:sz w:val="24"/>
        </w:rPr>
      </w:pPr>
      <w:r>
        <w:rPr>
          <w:rFonts w:hint="eastAsia" w:ascii="宋体" w:hAnsi="宋体"/>
          <w:sz w:val="24"/>
        </w:rPr>
        <w:t>在评审过程中，评标委员会发现投标单位有串通投标行为的，相关投标单位的投标文件作无效投标文件处理，并报送大连市财政局政府采购监督管理处依法进行处理。</w:t>
      </w:r>
    </w:p>
    <w:p>
      <w:pPr>
        <w:adjustRightInd w:val="0"/>
        <w:snapToGrid w:val="0"/>
        <w:spacing w:line="360" w:lineRule="auto"/>
        <w:ind w:firstLine="235" w:firstLineChars="98"/>
        <w:rPr>
          <w:rFonts w:ascii="宋体" w:hAnsi="宋体"/>
          <w:bCs/>
          <w:sz w:val="24"/>
        </w:rPr>
      </w:pPr>
      <w:r>
        <w:rPr>
          <w:rFonts w:ascii="宋体" w:hAnsi="宋体"/>
          <w:bCs/>
          <w:sz w:val="24"/>
        </w:rPr>
        <w:t>有下列情形之一的，视为投标人串通投标：</w:t>
      </w:r>
    </w:p>
    <w:p>
      <w:pPr>
        <w:adjustRightInd w:val="0"/>
        <w:snapToGrid w:val="0"/>
        <w:spacing w:line="360" w:lineRule="auto"/>
        <w:ind w:firstLine="235" w:firstLineChars="98"/>
        <w:rPr>
          <w:rFonts w:ascii="宋体" w:hAnsi="宋体"/>
          <w:bCs/>
          <w:sz w:val="24"/>
        </w:rPr>
      </w:pPr>
      <w:r>
        <w:rPr>
          <w:rFonts w:ascii="宋体" w:hAnsi="宋体"/>
          <w:bCs/>
          <w:sz w:val="24"/>
        </w:rPr>
        <w:t>（</w:t>
      </w:r>
      <w:r>
        <w:rPr>
          <w:rFonts w:hint="eastAsia" w:ascii="宋体" w:hAnsi="宋体"/>
          <w:bCs/>
          <w:sz w:val="24"/>
        </w:rPr>
        <w:t>1</w:t>
      </w:r>
      <w:r>
        <w:rPr>
          <w:rFonts w:ascii="宋体" w:hAnsi="宋体"/>
          <w:bCs/>
          <w:sz w:val="24"/>
        </w:rPr>
        <w:t>）不同投标人的投标文件由同一单位或者个人编制；</w:t>
      </w:r>
    </w:p>
    <w:p>
      <w:pPr>
        <w:adjustRightInd w:val="0"/>
        <w:snapToGrid w:val="0"/>
        <w:spacing w:line="360" w:lineRule="auto"/>
        <w:ind w:firstLine="235" w:firstLineChars="98"/>
        <w:rPr>
          <w:rFonts w:ascii="宋体" w:hAnsi="宋体"/>
          <w:bCs/>
          <w:sz w:val="24"/>
        </w:rPr>
      </w:pPr>
      <w:r>
        <w:rPr>
          <w:rFonts w:ascii="宋体" w:hAnsi="宋体"/>
          <w:bCs/>
          <w:sz w:val="24"/>
        </w:rPr>
        <w:t>（</w:t>
      </w:r>
      <w:r>
        <w:rPr>
          <w:rFonts w:hint="eastAsia" w:ascii="宋体" w:hAnsi="宋体"/>
          <w:bCs/>
          <w:sz w:val="24"/>
        </w:rPr>
        <w:t>2</w:t>
      </w:r>
      <w:r>
        <w:rPr>
          <w:rFonts w:ascii="宋体" w:hAnsi="宋体"/>
          <w:bCs/>
          <w:sz w:val="24"/>
        </w:rPr>
        <w:t>）不同投标人委托同一单位或者个人办理投标事宜；</w:t>
      </w:r>
    </w:p>
    <w:p>
      <w:pPr>
        <w:adjustRightInd w:val="0"/>
        <w:snapToGrid w:val="0"/>
        <w:spacing w:line="360" w:lineRule="auto"/>
        <w:ind w:firstLine="235" w:firstLineChars="98"/>
        <w:rPr>
          <w:rFonts w:ascii="宋体" w:hAnsi="宋体"/>
          <w:bCs/>
          <w:sz w:val="24"/>
        </w:rPr>
      </w:pPr>
      <w:r>
        <w:rPr>
          <w:rFonts w:ascii="宋体" w:hAnsi="宋体"/>
          <w:bCs/>
          <w:sz w:val="24"/>
        </w:rPr>
        <w:t>（</w:t>
      </w:r>
      <w:r>
        <w:rPr>
          <w:rFonts w:hint="eastAsia" w:ascii="宋体" w:hAnsi="宋体"/>
          <w:bCs/>
          <w:sz w:val="24"/>
        </w:rPr>
        <w:t>3</w:t>
      </w:r>
      <w:r>
        <w:rPr>
          <w:rFonts w:ascii="宋体" w:hAnsi="宋体"/>
          <w:bCs/>
          <w:sz w:val="24"/>
        </w:rPr>
        <w:t>）不同投标人的投标文件载明的项目管理成员或者联系人员为同一人；</w:t>
      </w:r>
    </w:p>
    <w:p>
      <w:pPr>
        <w:adjustRightInd w:val="0"/>
        <w:snapToGrid w:val="0"/>
        <w:spacing w:line="360" w:lineRule="auto"/>
        <w:ind w:firstLine="235" w:firstLineChars="98"/>
        <w:rPr>
          <w:rFonts w:ascii="宋体" w:hAnsi="宋体"/>
          <w:bCs/>
          <w:sz w:val="24"/>
        </w:rPr>
      </w:pPr>
      <w:r>
        <w:rPr>
          <w:rFonts w:ascii="宋体" w:hAnsi="宋体"/>
          <w:bCs/>
          <w:sz w:val="24"/>
        </w:rPr>
        <w:t>（</w:t>
      </w:r>
      <w:r>
        <w:rPr>
          <w:rFonts w:hint="eastAsia" w:ascii="宋体" w:hAnsi="宋体"/>
          <w:bCs/>
          <w:sz w:val="24"/>
        </w:rPr>
        <w:t>4</w:t>
      </w:r>
      <w:r>
        <w:rPr>
          <w:rFonts w:ascii="宋体" w:hAnsi="宋体"/>
          <w:bCs/>
          <w:sz w:val="24"/>
        </w:rPr>
        <w:t>）不同投标人的投标文件异常一致或者投标报价呈规律性差异；</w:t>
      </w:r>
    </w:p>
    <w:p>
      <w:pPr>
        <w:adjustRightInd w:val="0"/>
        <w:snapToGrid w:val="0"/>
        <w:spacing w:line="360" w:lineRule="auto"/>
        <w:ind w:firstLine="235" w:firstLineChars="98"/>
        <w:rPr>
          <w:rFonts w:ascii="宋体" w:hAnsi="宋体"/>
          <w:bCs/>
          <w:sz w:val="24"/>
        </w:rPr>
      </w:pPr>
      <w:r>
        <w:rPr>
          <w:rFonts w:ascii="宋体" w:hAnsi="宋体"/>
          <w:bCs/>
          <w:sz w:val="24"/>
        </w:rPr>
        <w:t>（</w:t>
      </w:r>
      <w:r>
        <w:rPr>
          <w:rFonts w:hint="eastAsia" w:ascii="宋体" w:hAnsi="宋体"/>
          <w:bCs/>
          <w:sz w:val="24"/>
        </w:rPr>
        <w:t>5</w:t>
      </w:r>
      <w:r>
        <w:rPr>
          <w:rFonts w:ascii="宋体" w:hAnsi="宋体"/>
          <w:bCs/>
          <w:sz w:val="24"/>
        </w:rPr>
        <w:t>）不同投标人的投标文件相互混装；</w:t>
      </w:r>
    </w:p>
    <w:p>
      <w:pPr>
        <w:adjustRightInd w:val="0"/>
        <w:snapToGrid w:val="0"/>
        <w:spacing w:line="360" w:lineRule="auto"/>
        <w:ind w:firstLine="235" w:firstLineChars="98"/>
        <w:rPr>
          <w:rFonts w:ascii="宋体" w:hAnsi="宋体"/>
          <w:bCs/>
          <w:sz w:val="24"/>
        </w:rPr>
      </w:pPr>
      <w:r>
        <w:rPr>
          <w:rFonts w:ascii="宋体" w:hAnsi="宋体"/>
          <w:bCs/>
          <w:sz w:val="24"/>
        </w:rPr>
        <w:t>（</w:t>
      </w:r>
      <w:r>
        <w:rPr>
          <w:rFonts w:hint="eastAsia" w:ascii="宋体" w:hAnsi="宋体"/>
          <w:bCs/>
          <w:sz w:val="24"/>
        </w:rPr>
        <w:t>6</w:t>
      </w:r>
      <w:r>
        <w:rPr>
          <w:rFonts w:ascii="宋体" w:hAnsi="宋体"/>
          <w:bCs/>
          <w:sz w:val="24"/>
        </w:rPr>
        <w:t>）不同投标人的投标保证金从同一单位或者个人的账户转出。</w:t>
      </w:r>
    </w:p>
    <w:p>
      <w:pPr>
        <w:adjustRightInd w:val="0"/>
        <w:snapToGrid w:val="0"/>
        <w:spacing w:line="360" w:lineRule="auto"/>
        <w:ind w:firstLine="236" w:firstLineChars="98"/>
        <w:rPr>
          <w:rFonts w:ascii="宋体" w:hAnsi="宋体"/>
          <w:b/>
          <w:bCs/>
          <w:sz w:val="24"/>
        </w:rPr>
      </w:pPr>
      <w:r>
        <w:rPr>
          <w:rFonts w:hint="eastAsia" w:ascii="宋体" w:hAnsi="宋体"/>
          <w:b/>
          <w:bCs/>
          <w:sz w:val="24"/>
        </w:rPr>
        <w:t>（七）</w:t>
      </w:r>
      <w:r>
        <w:rPr>
          <w:rFonts w:hint="eastAsia" w:ascii="宋体" w:hAnsi="宋体"/>
          <w:b/>
          <w:sz w:val="24"/>
        </w:rPr>
        <w:t>评标原则及方法：</w:t>
      </w:r>
    </w:p>
    <w:p>
      <w:pPr>
        <w:spacing w:line="360" w:lineRule="auto"/>
        <w:ind w:firstLine="480" w:firstLineChars="200"/>
        <w:rPr>
          <w:rFonts w:ascii="宋体" w:hAnsi="宋体"/>
          <w:sz w:val="24"/>
        </w:rPr>
      </w:pPr>
      <w:r>
        <w:rPr>
          <w:rFonts w:hint="eastAsia" w:ascii="宋体" w:hAnsi="宋体"/>
          <w:sz w:val="24"/>
        </w:rPr>
        <w:t>1.招标文件是评标工作的重要依据。投标人的投标文件必须满足招标文件的各项要求：包括投标文件的有效性、完整性和与招标文件的一致性。</w:t>
      </w:r>
    </w:p>
    <w:p>
      <w:pPr>
        <w:spacing w:line="360" w:lineRule="auto"/>
        <w:ind w:firstLine="480" w:firstLineChars="200"/>
        <w:rPr>
          <w:rFonts w:ascii="宋体" w:hAnsi="宋体"/>
          <w:sz w:val="24"/>
        </w:rPr>
      </w:pPr>
      <w:r>
        <w:rPr>
          <w:rFonts w:hint="eastAsia" w:ascii="宋体" w:hAnsi="宋体"/>
          <w:sz w:val="24"/>
        </w:rPr>
        <w:t>2.评标应严格按照《中华人民共和国政府采购法》等法律法规的规定，以及招标文件的要求进行。</w:t>
      </w:r>
    </w:p>
    <w:p>
      <w:pPr>
        <w:spacing w:line="360" w:lineRule="auto"/>
        <w:ind w:firstLine="480" w:firstLineChars="200"/>
        <w:rPr>
          <w:rFonts w:ascii="宋体" w:hAnsi="宋体"/>
          <w:sz w:val="24"/>
        </w:rPr>
      </w:pPr>
      <w:r>
        <w:rPr>
          <w:rFonts w:hint="eastAsia" w:ascii="宋体" w:hAnsi="宋体"/>
          <w:sz w:val="24"/>
        </w:rPr>
        <w:t>3.对所有投标人的评价、评估，都采用相同的程序和标准，遵循公开、公平、公正的原则。</w:t>
      </w:r>
    </w:p>
    <w:p>
      <w:pPr>
        <w:spacing w:line="360" w:lineRule="auto"/>
        <w:ind w:firstLine="480" w:firstLineChars="200"/>
        <w:rPr>
          <w:rFonts w:ascii="宋体" w:hAnsi="宋体"/>
          <w:sz w:val="24"/>
        </w:rPr>
      </w:pPr>
      <w:r>
        <w:rPr>
          <w:rFonts w:hint="eastAsia" w:ascii="宋体" w:hAnsi="宋体"/>
          <w:sz w:val="24"/>
        </w:rPr>
        <w:t>4.本项目的评标办法采用综合评分法，具体评分方法详见附件2。</w:t>
      </w:r>
    </w:p>
    <w:p>
      <w:pPr>
        <w:spacing w:line="360" w:lineRule="auto"/>
        <w:ind w:firstLine="480" w:firstLineChars="200"/>
        <w:rPr>
          <w:rFonts w:ascii="宋体" w:hAnsi="宋体"/>
          <w:sz w:val="24"/>
        </w:rPr>
      </w:pPr>
      <w:r>
        <w:rPr>
          <w:rFonts w:hint="eastAsia" w:ascii="宋体" w:hAnsi="宋体"/>
          <w:sz w:val="24"/>
        </w:rPr>
        <w:t>5.评标委员会将只对确定为实质上响应招标文件的投标文件进行评价和比较。</w:t>
      </w:r>
    </w:p>
    <w:p>
      <w:pPr>
        <w:spacing w:line="360" w:lineRule="auto"/>
        <w:ind w:firstLine="480" w:firstLineChars="200"/>
        <w:rPr>
          <w:rFonts w:ascii="宋体" w:hAnsi="宋体"/>
          <w:sz w:val="24"/>
        </w:rPr>
      </w:pPr>
      <w:r>
        <w:rPr>
          <w:rFonts w:hint="eastAsia" w:ascii="宋体" w:hAnsi="宋体"/>
          <w:sz w:val="24"/>
        </w:rPr>
        <w:t>6.评标委员会将按照综合评分法，对资格性检查和符合性检查合格的投标文件进行比较与评价。</w:t>
      </w:r>
    </w:p>
    <w:p>
      <w:pPr>
        <w:spacing w:line="360" w:lineRule="auto"/>
        <w:ind w:firstLine="480" w:firstLineChars="200"/>
        <w:rPr>
          <w:rFonts w:ascii="宋体" w:hAnsi="宋体"/>
          <w:sz w:val="24"/>
        </w:rPr>
      </w:pPr>
      <w:r>
        <w:rPr>
          <w:rFonts w:hint="eastAsia" w:ascii="宋体" w:hAnsi="宋体"/>
          <w:sz w:val="24"/>
        </w:rPr>
        <w:t>7.综合评分法是指在满足招标文件实质性要求前提下，按照招标文件中规定的各项因素进行综合评审后，以评标总分得分最高的投标人作为中标候选人或者中标人的评标方法。</w:t>
      </w:r>
    </w:p>
    <w:p>
      <w:pPr>
        <w:spacing w:line="360" w:lineRule="auto"/>
        <w:ind w:firstLine="480" w:firstLineChars="200"/>
        <w:rPr>
          <w:rFonts w:ascii="宋体" w:hAnsi="宋体"/>
          <w:sz w:val="24"/>
        </w:rPr>
      </w:pPr>
      <w:r>
        <w:rPr>
          <w:rFonts w:hint="eastAsia" w:ascii="宋体" w:hAnsi="宋体"/>
          <w:sz w:val="24"/>
        </w:rPr>
        <w:t>8.对投标人的资格审查，由采购人代表或采购代理机构负责。原则上，应当有两人以上工作人员进行审查工作，并形成《资格审查表》提交给评标委员会。</w:t>
      </w:r>
    </w:p>
    <w:p>
      <w:pPr>
        <w:spacing w:line="360" w:lineRule="auto"/>
        <w:ind w:firstLine="480" w:firstLineChars="200"/>
        <w:rPr>
          <w:rFonts w:ascii="宋体" w:hAnsi="宋体"/>
          <w:sz w:val="24"/>
        </w:rPr>
      </w:pPr>
      <w:r>
        <w:rPr>
          <w:rFonts w:hint="eastAsia" w:ascii="宋体" w:hAnsi="宋体"/>
          <w:sz w:val="24"/>
        </w:rPr>
        <w:t>9.评标委员会对经过初步评审为合格有效的各投标人的投标文件进行评审后，由各评委独立打分，打分时保留2位小数，每人一份评分表，并签名。</w:t>
      </w:r>
    </w:p>
    <w:p>
      <w:pPr>
        <w:spacing w:line="360" w:lineRule="auto"/>
        <w:ind w:firstLine="480" w:firstLineChars="200"/>
        <w:rPr>
          <w:rFonts w:ascii="宋体" w:hAnsi="宋体"/>
          <w:sz w:val="24"/>
        </w:rPr>
      </w:pPr>
      <w:r>
        <w:rPr>
          <w:rFonts w:hint="eastAsia" w:ascii="宋体" w:hAnsi="宋体"/>
          <w:sz w:val="24"/>
        </w:rPr>
        <w:t>10．评标委员会每位成员分别计算出每个有效投标人各项评分因素的汇总得分。以各项因素的汇总得分，然后累加，计算出每个投标人的评标总得分，总得分由高到低排出顺序，总得分最高的投标人推荐为中标候选人。如果投标人评标总得分相同，报价低的投标人排序在前。得分且投标报价相同的，按技术指标优劣顺序排列。</w:t>
      </w:r>
    </w:p>
    <w:p>
      <w:pPr>
        <w:spacing w:line="360" w:lineRule="auto"/>
        <w:ind w:firstLine="482" w:firstLineChars="200"/>
        <w:rPr>
          <w:rFonts w:ascii="宋体" w:hAnsi="宋体"/>
          <w:b/>
          <w:bCs/>
          <w:sz w:val="24"/>
        </w:rPr>
      </w:pPr>
      <w:r>
        <w:rPr>
          <w:rFonts w:hint="eastAsia" w:ascii="宋体" w:hAnsi="宋体"/>
          <w:b/>
          <w:bCs/>
          <w:sz w:val="24"/>
        </w:rPr>
        <w:t>（八）中标候选人的推荐</w:t>
      </w:r>
    </w:p>
    <w:p>
      <w:pPr>
        <w:spacing w:line="360" w:lineRule="auto"/>
        <w:ind w:firstLine="480"/>
        <w:rPr>
          <w:rFonts w:ascii="宋体" w:hAnsi="宋体"/>
          <w:sz w:val="24"/>
        </w:rPr>
      </w:pPr>
      <w:r>
        <w:rPr>
          <w:rFonts w:hint="eastAsia" w:ascii="宋体" w:hAnsi="宋体"/>
          <w:sz w:val="24"/>
        </w:rPr>
        <w:t>1.评标委员会根据评标结果，推荐合格的中标候选人。</w:t>
      </w:r>
    </w:p>
    <w:p>
      <w:pPr>
        <w:spacing w:line="360" w:lineRule="auto"/>
        <w:ind w:firstLine="480"/>
        <w:rPr>
          <w:rFonts w:ascii="宋体" w:hAnsi="宋体"/>
          <w:sz w:val="24"/>
        </w:rPr>
      </w:pPr>
      <w:r>
        <w:rPr>
          <w:rFonts w:hint="eastAsia" w:ascii="宋体" w:hAnsi="宋体"/>
          <w:sz w:val="24"/>
        </w:rPr>
        <w:t>2.采购人有权对中标候选人履行合同的能力进行审查确认（包括资质、业绩等），如发现舞弊行为，即依法取消其中标候选人资格。</w:t>
      </w:r>
    </w:p>
    <w:p>
      <w:pPr>
        <w:spacing w:line="360" w:lineRule="auto"/>
        <w:ind w:firstLine="480"/>
        <w:rPr>
          <w:rFonts w:ascii="宋体" w:hAnsi="宋体"/>
          <w:sz w:val="24"/>
        </w:rPr>
      </w:pPr>
      <w:r>
        <w:rPr>
          <w:rFonts w:hint="eastAsia" w:ascii="宋体" w:hAnsi="宋体"/>
          <w:sz w:val="24"/>
        </w:rPr>
        <w:t>3.采购代理机构将评标情况形成书面评标报告。</w:t>
      </w:r>
    </w:p>
    <w:p>
      <w:pPr>
        <w:spacing w:line="360" w:lineRule="auto"/>
        <w:ind w:firstLine="482" w:firstLineChars="200"/>
        <w:rPr>
          <w:rFonts w:ascii="宋体" w:hAnsi="宋体"/>
          <w:b/>
          <w:bCs/>
          <w:sz w:val="24"/>
        </w:rPr>
      </w:pPr>
      <w:r>
        <w:rPr>
          <w:rFonts w:hint="eastAsia" w:ascii="宋体" w:hAnsi="宋体"/>
          <w:b/>
          <w:bCs/>
          <w:sz w:val="24"/>
        </w:rPr>
        <w:t>（九）定标</w:t>
      </w:r>
    </w:p>
    <w:p>
      <w:pPr>
        <w:spacing w:line="360" w:lineRule="auto"/>
        <w:ind w:firstLine="480" w:firstLineChars="200"/>
        <w:rPr>
          <w:rFonts w:ascii="宋体" w:hAnsi="宋体"/>
          <w:sz w:val="24"/>
        </w:rPr>
      </w:pPr>
      <w:r>
        <w:rPr>
          <w:rFonts w:hint="eastAsia" w:ascii="宋体" w:hAnsi="宋体"/>
          <w:sz w:val="24"/>
        </w:rPr>
        <w:t>中标的标准</w:t>
      </w:r>
    </w:p>
    <w:p>
      <w:pPr>
        <w:spacing w:line="360" w:lineRule="auto"/>
        <w:ind w:firstLine="480" w:firstLineChars="200"/>
        <w:rPr>
          <w:rFonts w:ascii="宋体" w:hAnsi="宋体"/>
          <w:sz w:val="24"/>
        </w:rPr>
      </w:pPr>
      <w:r>
        <w:rPr>
          <w:rFonts w:hint="eastAsia" w:ascii="宋体" w:hAnsi="宋体"/>
          <w:sz w:val="24"/>
        </w:rPr>
        <w:t>1.评标委员会将推荐得分最高的投标人为中标候选人，采购人将依据评标委员会评审意见确定中标人；</w:t>
      </w:r>
    </w:p>
    <w:p>
      <w:pPr>
        <w:spacing w:line="360" w:lineRule="auto"/>
        <w:ind w:firstLine="480" w:firstLineChars="200"/>
        <w:rPr>
          <w:rFonts w:ascii="宋体" w:hAnsi="宋体"/>
          <w:sz w:val="24"/>
        </w:rPr>
      </w:pPr>
      <w:r>
        <w:rPr>
          <w:rFonts w:hint="eastAsia" w:ascii="宋体" w:hAnsi="宋体"/>
          <w:sz w:val="24"/>
        </w:rPr>
        <w:t>2.具有良好的履行合同的能力和条件；</w:t>
      </w:r>
    </w:p>
    <w:p>
      <w:pPr>
        <w:spacing w:line="360" w:lineRule="auto"/>
        <w:ind w:firstLine="480" w:firstLineChars="200"/>
        <w:rPr>
          <w:rFonts w:ascii="宋体" w:hAnsi="宋体"/>
          <w:sz w:val="24"/>
        </w:rPr>
      </w:pPr>
      <w:r>
        <w:rPr>
          <w:rFonts w:hint="eastAsia" w:ascii="宋体" w:hAnsi="宋体"/>
          <w:sz w:val="24"/>
        </w:rPr>
        <w:t>3.保证服务质量、保证服务期，按照招标文件要求提供服务。</w:t>
      </w:r>
    </w:p>
    <w:p>
      <w:pPr>
        <w:pStyle w:val="2"/>
      </w:pPr>
    </w:p>
    <w:p>
      <w:pPr>
        <w:spacing w:line="360" w:lineRule="auto"/>
        <w:jc w:val="center"/>
        <w:rPr>
          <w:rFonts w:ascii="宋体" w:hAnsi="宋体"/>
          <w:sz w:val="24"/>
        </w:rPr>
      </w:pPr>
      <w:r>
        <w:rPr>
          <w:rFonts w:hint="eastAsia" w:ascii="宋体" w:hAnsi="宋体"/>
          <w:b/>
          <w:bCs/>
          <w:sz w:val="36"/>
          <w:szCs w:val="36"/>
        </w:rPr>
        <w:t>六、授予合同</w:t>
      </w:r>
    </w:p>
    <w:p>
      <w:pPr>
        <w:adjustRightInd w:val="0"/>
        <w:snapToGrid w:val="0"/>
        <w:spacing w:line="360" w:lineRule="auto"/>
        <w:ind w:firstLine="241" w:firstLineChars="100"/>
        <w:rPr>
          <w:rFonts w:ascii="宋体" w:hAnsi="宋体"/>
          <w:b/>
          <w:sz w:val="28"/>
          <w:szCs w:val="28"/>
        </w:rPr>
      </w:pPr>
      <w:r>
        <w:rPr>
          <w:rFonts w:hint="eastAsia" w:ascii="宋体" w:hAnsi="宋体"/>
          <w:b/>
          <w:bCs/>
          <w:sz w:val="24"/>
        </w:rPr>
        <w:t>（一）合同授予标准</w:t>
      </w:r>
    </w:p>
    <w:p>
      <w:pPr>
        <w:adjustRightInd w:val="0"/>
        <w:snapToGrid w:val="0"/>
        <w:spacing w:line="360" w:lineRule="auto"/>
        <w:ind w:firstLine="480" w:firstLineChars="200"/>
        <w:rPr>
          <w:rFonts w:ascii="宋体" w:hAnsi="宋体"/>
          <w:sz w:val="24"/>
        </w:rPr>
      </w:pPr>
      <w:r>
        <w:rPr>
          <w:rFonts w:hint="eastAsia" w:ascii="宋体" w:hAnsi="宋体"/>
          <w:sz w:val="24"/>
        </w:rPr>
        <w:t>采购人应将合同授予被确定为实质上响应招标文件要求的，能够圆满地履行合同义务的中标候选人。</w:t>
      </w:r>
    </w:p>
    <w:p>
      <w:pPr>
        <w:adjustRightInd w:val="0"/>
        <w:snapToGrid w:val="0"/>
        <w:spacing w:line="360" w:lineRule="auto"/>
        <w:ind w:firstLine="241" w:firstLineChars="100"/>
        <w:rPr>
          <w:rFonts w:ascii="宋体" w:hAnsi="宋体"/>
          <w:b/>
          <w:sz w:val="24"/>
        </w:rPr>
      </w:pPr>
      <w:r>
        <w:rPr>
          <w:rFonts w:hint="eastAsia" w:ascii="宋体" w:hAnsi="宋体"/>
          <w:b/>
          <w:bCs/>
          <w:sz w:val="24"/>
        </w:rPr>
        <w:t>（二）资格后审</w:t>
      </w:r>
    </w:p>
    <w:p>
      <w:pPr>
        <w:adjustRightInd w:val="0"/>
        <w:snapToGrid w:val="0"/>
        <w:spacing w:line="360" w:lineRule="auto"/>
        <w:ind w:firstLine="480" w:firstLineChars="200"/>
        <w:rPr>
          <w:rFonts w:ascii="宋体" w:hAnsi="宋体"/>
          <w:sz w:val="24"/>
        </w:rPr>
      </w:pPr>
      <w:r>
        <w:rPr>
          <w:rFonts w:hint="eastAsia" w:ascii="宋体" w:hAnsi="宋体"/>
          <w:sz w:val="24"/>
        </w:rPr>
        <w:t>1.如果采购人认为有必要对中标候选人履行合同能力进行确认，可以进行资格后审，包括实地考察或要求其提供相关证明资料。如果采购人对中标候选人资格后审后认为其无履行合同能力，可以提请评标委员会进行复会审议。</w:t>
      </w:r>
    </w:p>
    <w:p>
      <w:pPr>
        <w:adjustRightInd w:val="0"/>
        <w:snapToGrid w:val="0"/>
        <w:spacing w:line="360" w:lineRule="auto"/>
        <w:ind w:firstLine="480" w:firstLineChars="200"/>
        <w:rPr>
          <w:rFonts w:ascii="宋体" w:hAnsi="宋体"/>
          <w:sz w:val="24"/>
        </w:rPr>
      </w:pPr>
      <w:r>
        <w:rPr>
          <w:rFonts w:hint="eastAsia" w:ascii="宋体" w:hAnsi="宋体"/>
          <w:sz w:val="24"/>
        </w:rPr>
        <w:t>2.上述审查将考虑中标候选人的财务、技术能力并基于中标候选人按规定提供的资格审查的证明文件以及采购人认为必要的和合适的其他资料。</w:t>
      </w:r>
    </w:p>
    <w:p>
      <w:pPr>
        <w:adjustRightInd w:val="0"/>
        <w:snapToGrid w:val="0"/>
        <w:spacing w:line="360" w:lineRule="auto"/>
        <w:ind w:firstLine="480" w:firstLineChars="200"/>
        <w:rPr>
          <w:rFonts w:ascii="宋体" w:hAnsi="宋体"/>
          <w:sz w:val="24"/>
        </w:rPr>
      </w:pPr>
      <w:r>
        <w:rPr>
          <w:rFonts w:hint="eastAsia" w:ascii="宋体" w:hAnsi="宋体"/>
          <w:sz w:val="24"/>
        </w:rPr>
        <w:t>3.如果有必要，采购人可对中标候选人进行技术询问，或对其所提供的服务进行实地考察。</w:t>
      </w:r>
    </w:p>
    <w:p>
      <w:pPr>
        <w:adjustRightInd w:val="0"/>
        <w:snapToGrid w:val="0"/>
        <w:spacing w:line="360" w:lineRule="auto"/>
        <w:ind w:firstLine="480" w:firstLineChars="200"/>
        <w:rPr>
          <w:rFonts w:ascii="宋体" w:hAnsi="宋体"/>
          <w:sz w:val="24"/>
        </w:rPr>
      </w:pPr>
      <w:r>
        <w:rPr>
          <w:rFonts w:hint="eastAsia" w:ascii="宋体" w:hAnsi="宋体"/>
          <w:sz w:val="24"/>
        </w:rPr>
        <w:t>4．采购人还可以对中标候选人同类项目有关价格进行考察。如果在质量和服务要求相同的不同项目中，相同的服务价格偏差很大，采购人有权利质疑和询问，并提请评标委员会进行复会审议。</w:t>
      </w:r>
    </w:p>
    <w:p>
      <w:pPr>
        <w:adjustRightInd w:val="0"/>
        <w:snapToGrid w:val="0"/>
        <w:spacing w:line="360" w:lineRule="auto"/>
        <w:ind w:firstLine="480" w:firstLineChars="200"/>
        <w:rPr>
          <w:rFonts w:ascii="宋体" w:hAnsi="宋体"/>
          <w:sz w:val="24"/>
        </w:rPr>
      </w:pPr>
      <w:r>
        <w:rPr>
          <w:rFonts w:hint="eastAsia" w:ascii="宋体" w:hAnsi="宋体"/>
          <w:sz w:val="24"/>
        </w:rPr>
        <w:t>5.如果中标候选人被确认为无能力履行合同，将被取消其中标候选人资格。</w:t>
      </w:r>
    </w:p>
    <w:p>
      <w:pPr>
        <w:adjustRightInd w:val="0"/>
        <w:snapToGrid w:val="0"/>
        <w:spacing w:line="360" w:lineRule="auto"/>
        <w:ind w:firstLine="480" w:firstLineChars="200"/>
        <w:rPr>
          <w:rFonts w:ascii="宋体" w:hAnsi="宋体"/>
          <w:sz w:val="24"/>
        </w:rPr>
      </w:pPr>
      <w:r>
        <w:rPr>
          <w:rFonts w:hint="eastAsia" w:ascii="宋体" w:hAnsi="宋体"/>
          <w:sz w:val="24"/>
        </w:rPr>
        <w:t>6.在中标候选人被确认为无能力履行合同，并被取消其中标人资格的情况下，评标委员会将重新推荐中标候选人或由采购人重新组织采购。</w:t>
      </w:r>
    </w:p>
    <w:p>
      <w:pPr>
        <w:adjustRightInd w:val="0"/>
        <w:snapToGrid w:val="0"/>
        <w:spacing w:line="360" w:lineRule="auto"/>
        <w:ind w:firstLine="241" w:firstLineChars="100"/>
        <w:rPr>
          <w:rFonts w:ascii="宋体" w:hAnsi="宋体"/>
          <w:b/>
          <w:bCs/>
          <w:sz w:val="24"/>
        </w:rPr>
      </w:pPr>
      <w:r>
        <w:rPr>
          <w:rFonts w:hint="eastAsia" w:ascii="宋体" w:hAnsi="宋体"/>
          <w:b/>
          <w:bCs/>
          <w:sz w:val="24"/>
        </w:rPr>
        <w:t>（三）中标通知书</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1.中标通知书对采购人和中标人具有法律效力。中标通知书发出后，采购人改变中标结果的，或者中标人放弃中标的，应当依法承担法律责任。</w:t>
      </w:r>
    </w:p>
    <w:p>
      <w:pPr>
        <w:spacing w:line="360" w:lineRule="auto"/>
        <w:ind w:firstLine="480" w:firstLineChars="200"/>
        <w:jc w:val="left"/>
        <w:rPr>
          <w:rFonts w:ascii="宋体"/>
          <w:sz w:val="24"/>
        </w:rPr>
      </w:pPr>
      <w:r>
        <w:rPr>
          <w:rFonts w:hint="eastAsia" w:ascii="宋体" w:hAnsi="宋体" w:cs="宋体"/>
          <w:sz w:val="24"/>
          <w:szCs w:val="32"/>
        </w:rPr>
        <w:t>2.中标公告详见《中国政府采购网》、《大连市政府采购网》。</w:t>
      </w:r>
    </w:p>
    <w:p>
      <w:pPr>
        <w:adjustRightInd w:val="0"/>
        <w:snapToGrid w:val="0"/>
        <w:spacing w:line="360" w:lineRule="auto"/>
        <w:ind w:firstLine="236" w:firstLineChars="98"/>
        <w:rPr>
          <w:rFonts w:ascii="宋体" w:hAnsi="宋体"/>
          <w:b/>
          <w:bCs/>
          <w:sz w:val="24"/>
        </w:rPr>
      </w:pPr>
      <w:r>
        <w:rPr>
          <w:rFonts w:hint="eastAsia" w:ascii="宋体" w:hAnsi="宋体"/>
          <w:b/>
          <w:bCs/>
          <w:sz w:val="24"/>
        </w:rPr>
        <w:t>（四）签订合同</w:t>
      </w:r>
    </w:p>
    <w:p>
      <w:pPr>
        <w:adjustRightInd w:val="0"/>
        <w:snapToGrid w:val="0"/>
        <w:spacing w:line="360" w:lineRule="auto"/>
        <w:ind w:firstLine="352" w:firstLineChars="147"/>
        <w:rPr>
          <w:rFonts w:ascii="宋体" w:hAnsi="宋体"/>
          <w:sz w:val="24"/>
        </w:rPr>
      </w:pPr>
      <w:r>
        <w:rPr>
          <w:rFonts w:ascii="宋体" w:hAnsi="宋体"/>
          <w:sz w:val="24"/>
        </w:rPr>
        <w:t>1</w:t>
      </w:r>
      <w:r>
        <w:rPr>
          <w:rFonts w:hint="eastAsia" w:ascii="宋体" w:hAnsi="宋体"/>
          <w:sz w:val="24"/>
        </w:rPr>
        <w:t>.采购代理机构组织采购人和中标人在招标文件中规定的地点签订合同。招标文件、中标人的投标文件及评标过程中有关澄清、承诺等文件均为该书面合同的有效组成部分。</w:t>
      </w:r>
    </w:p>
    <w:p>
      <w:pPr>
        <w:adjustRightInd w:val="0"/>
        <w:snapToGrid w:val="0"/>
        <w:spacing w:line="360" w:lineRule="auto"/>
        <w:ind w:firstLine="352" w:firstLineChars="147"/>
        <w:rPr>
          <w:rFonts w:ascii="宋体" w:hAnsi="宋体"/>
          <w:sz w:val="24"/>
        </w:rPr>
      </w:pPr>
      <w:r>
        <w:rPr>
          <w:rFonts w:ascii="宋体" w:hAnsi="宋体"/>
          <w:sz w:val="24"/>
        </w:rPr>
        <w:t>2</w:t>
      </w:r>
      <w:r>
        <w:rPr>
          <w:rFonts w:hint="eastAsia" w:ascii="宋体" w:hAnsi="宋体"/>
          <w:sz w:val="24"/>
        </w:rPr>
        <w:t>.采购人自中标通知书发出之日起30日内，将按照招标文件和中标人投标文件的规定，与中标人签订书面合同。所签订的合同不得对招标文件确定的事项和中标人的投标文件作实质性修改。</w:t>
      </w:r>
    </w:p>
    <w:p>
      <w:pPr>
        <w:adjustRightInd w:val="0"/>
        <w:snapToGrid w:val="0"/>
        <w:spacing w:line="360" w:lineRule="auto"/>
        <w:ind w:firstLine="352" w:firstLineChars="147"/>
        <w:rPr>
          <w:rFonts w:ascii="宋体" w:hAnsi="宋体"/>
          <w:sz w:val="24"/>
        </w:rPr>
      </w:pPr>
      <w:r>
        <w:rPr>
          <w:rFonts w:ascii="宋体" w:hAnsi="宋体"/>
          <w:sz w:val="24"/>
        </w:rPr>
        <w:t>3</w:t>
      </w:r>
      <w:r>
        <w:rPr>
          <w:rFonts w:hint="eastAsia" w:ascii="宋体" w:hAnsi="宋体"/>
          <w:sz w:val="24"/>
        </w:rPr>
        <w:t>.如果中标人无正当理由未在规定期间内签订书面合同，将没收其投标保证金，并承担相关法律责任。</w:t>
      </w:r>
    </w:p>
    <w:p>
      <w:pPr>
        <w:snapToGrid w:val="0"/>
        <w:spacing w:line="360" w:lineRule="auto"/>
        <w:ind w:firstLine="241" w:firstLineChars="100"/>
        <w:rPr>
          <w:rFonts w:ascii="宋体" w:hAnsi="宋体"/>
          <w:b/>
          <w:sz w:val="24"/>
        </w:rPr>
      </w:pPr>
      <w:r>
        <w:rPr>
          <w:rFonts w:hint="eastAsia" w:ascii="宋体" w:hAnsi="宋体"/>
          <w:b/>
          <w:sz w:val="24"/>
        </w:rPr>
        <w:t>（五）</w:t>
      </w:r>
      <w:r>
        <w:rPr>
          <w:rFonts w:hint="eastAsia" w:ascii="宋体" w:hAnsi="宋体"/>
          <w:b/>
          <w:bCs/>
          <w:sz w:val="24"/>
        </w:rPr>
        <w:t>腐败和欺诈行为</w:t>
      </w:r>
    </w:p>
    <w:p>
      <w:pPr>
        <w:snapToGrid w:val="0"/>
        <w:spacing w:line="360" w:lineRule="auto"/>
        <w:ind w:firstLine="480" w:firstLineChars="200"/>
        <w:rPr>
          <w:rFonts w:ascii="宋体" w:hAnsi="宋体"/>
          <w:sz w:val="24"/>
        </w:rPr>
      </w:pPr>
      <w:r>
        <w:rPr>
          <w:rFonts w:hint="eastAsia" w:ascii="宋体" w:hAnsi="宋体"/>
          <w:sz w:val="24"/>
        </w:rPr>
        <w:t>1.定义：</w:t>
      </w:r>
    </w:p>
    <w:p>
      <w:pPr>
        <w:snapToGrid w:val="0"/>
        <w:spacing w:line="360" w:lineRule="auto"/>
        <w:ind w:firstLine="480" w:firstLineChars="200"/>
        <w:rPr>
          <w:rFonts w:ascii="宋体" w:hAnsi="宋体"/>
          <w:sz w:val="24"/>
        </w:rPr>
      </w:pPr>
      <w:r>
        <w:rPr>
          <w:rFonts w:hint="eastAsia" w:ascii="宋体" w:hAnsi="宋体"/>
          <w:sz w:val="24"/>
        </w:rPr>
        <w:t>“腐败行为”是指在采购过程或合同实施过程中提供、给予任何有价值的东西来影响采购人的行为；</w:t>
      </w:r>
    </w:p>
    <w:p>
      <w:pPr>
        <w:snapToGrid w:val="0"/>
        <w:spacing w:line="360" w:lineRule="auto"/>
        <w:ind w:firstLine="480" w:firstLineChars="200"/>
        <w:rPr>
          <w:rFonts w:ascii="宋体" w:hAnsi="宋体"/>
          <w:sz w:val="24"/>
        </w:rPr>
      </w:pPr>
      <w:r>
        <w:rPr>
          <w:rFonts w:hint="eastAsia" w:ascii="宋体" w:hAnsi="宋体"/>
          <w:sz w:val="24"/>
        </w:rPr>
        <w:t>“欺诈行为”是指为了影响采购过程或合同实施过程而谎报事实，损害采购人的利益，包括投标人之间串通投标(递交投标文件之前和之后)，人为地使投标丧失竞争性，剥夺采购人从自由公开竞争所能获得的权益。</w:t>
      </w:r>
    </w:p>
    <w:p>
      <w:pPr>
        <w:snapToGrid w:val="0"/>
        <w:spacing w:line="360" w:lineRule="auto"/>
        <w:ind w:firstLine="480" w:firstLineChars="200"/>
        <w:rPr>
          <w:rFonts w:ascii="宋体" w:hAnsi="宋体"/>
          <w:sz w:val="24"/>
        </w:rPr>
      </w:pPr>
      <w:r>
        <w:rPr>
          <w:rFonts w:hint="eastAsia" w:ascii="宋体" w:hAnsi="宋体"/>
          <w:sz w:val="24"/>
        </w:rPr>
        <w:t>2.如果评标委员会所建议的中标候选人在本项目的竞争中有腐败和欺诈行为，则采购人有权拒绝接受该授标建议。</w:t>
      </w:r>
    </w:p>
    <w:p>
      <w:pPr>
        <w:snapToGrid w:val="0"/>
        <w:spacing w:line="360" w:lineRule="auto"/>
        <w:ind w:firstLine="482" w:firstLineChars="200"/>
        <w:rPr>
          <w:rFonts w:ascii="宋体" w:hAnsi="宋体"/>
          <w:b/>
          <w:bCs/>
          <w:sz w:val="24"/>
        </w:rPr>
      </w:pPr>
      <w:r>
        <w:rPr>
          <w:rFonts w:hint="eastAsia" w:ascii="宋体" w:hAnsi="宋体"/>
          <w:b/>
          <w:bCs/>
          <w:sz w:val="24"/>
        </w:rPr>
        <w:t>（六）招标代理服务费</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1.中标人在领取中标通知书时，须向采购代理机构支付代理服务费。本次招标代理服务费按</w:t>
      </w:r>
      <w:r>
        <w:rPr>
          <w:rFonts w:hint="eastAsia" w:ascii="宋体" w:hAnsi="宋体" w:cs="宋体"/>
          <w:b/>
          <w:bCs/>
          <w:sz w:val="24"/>
          <w:szCs w:val="32"/>
        </w:rPr>
        <w:t>中标价的1.5%</w:t>
      </w:r>
      <w:r>
        <w:rPr>
          <w:rFonts w:hint="eastAsia" w:ascii="宋体" w:hAnsi="宋体" w:cs="宋体"/>
          <w:sz w:val="24"/>
          <w:szCs w:val="32"/>
        </w:rPr>
        <w:t>向中标人收取。代理服务费支付方式：①现金；②电汇：请汇至“户名：辽宁中信诚达项目管理有限公司；开户行：中国工商银行股份有限公司大连西岗支行；账号：3400202909000064174”。</w:t>
      </w:r>
    </w:p>
    <w:p>
      <w:pPr>
        <w:snapToGrid w:val="0"/>
        <w:spacing w:line="360" w:lineRule="auto"/>
        <w:ind w:firstLine="482" w:firstLineChars="200"/>
        <w:rPr>
          <w:rFonts w:ascii="宋体" w:hAnsi="宋体"/>
          <w:b/>
          <w:bCs/>
          <w:sz w:val="24"/>
        </w:rPr>
      </w:pPr>
      <w:r>
        <w:rPr>
          <w:rFonts w:hint="eastAsia" w:ascii="宋体" w:hAnsi="宋体"/>
          <w:b/>
          <w:bCs/>
          <w:sz w:val="24"/>
        </w:rPr>
        <w:t>（七）其他注意事项</w:t>
      </w:r>
    </w:p>
    <w:p>
      <w:pPr>
        <w:snapToGrid w:val="0"/>
        <w:spacing w:line="360" w:lineRule="auto"/>
        <w:ind w:firstLine="480" w:firstLineChars="200"/>
        <w:rPr>
          <w:rFonts w:ascii="宋体" w:hAnsi="宋体"/>
          <w:sz w:val="24"/>
        </w:rPr>
      </w:pPr>
      <w:r>
        <w:rPr>
          <w:rFonts w:hint="eastAsia" w:ascii="宋体" w:hAnsi="宋体"/>
          <w:sz w:val="24"/>
        </w:rPr>
        <w:t>1.投标人被视为充分熟悉本招标项目的技术要求及与履行合同有关的一切情况；</w:t>
      </w:r>
    </w:p>
    <w:p>
      <w:pPr>
        <w:snapToGrid w:val="0"/>
        <w:spacing w:line="360" w:lineRule="auto"/>
        <w:ind w:firstLine="480" w:firstLineChars="200"/>
        <w:rPr>
          <w:rFonts w:ascii="宋体" w:hAnsi="宋体"/>
          <w:sz w:val="24"/>
        </w:rPr>
      </w:pPr>
      <w:r>
        <w:rPr>
          <w:rFonts w:hint="eastAsia" w:ascii="宋体" w:hAnsi="宋体"/>
          <w:sz w:val="24"/>
        </w:rPr>
        <w:t>2.投标人应遵守我国与政府采购相关的法律、法规及规章条例，不得违反；</w:t>
      </w:r>
    </w:p>
    <w:p>
      <w:pPr>
        <w:snapToGrid w:val="0"/>
        <w:spacing w:line="360" w:lineRule="auto"/>
        <w:ind w:firstLine="480" w:firstLineChars="200"/>
        <w:rPr>
          <w:rFonts w:ascii="宋体" w:hAnsi="宋体"/>
          <w:sz w:val="24"/>
        </w:rPr>
      </w:pPr>
      <w:r>
        <w:rPr>
          <w:rFonts w:hint="eastAsia" w:ascii="宋体" w:hAnsi="宋体"/>
          <w:sz w:val="24"/>
        </w:rPr>
        <w:t>3.投标人应详细阅读招标文件的全部内容。不按招标文件的要求提供的报价和资料，可能导致投标文件被拒绝。</w:t>
      </w:r>
    </w:p>
    <w:p>
      <w:pPr>
        <w:snapToGrid w:val="0"/>
        <w:spacing w:line="360" w:lineRule="auto"/>
        <w:ind w:firstLine="482" w:firstLineChars="200"/>
        <w:rPr>
          <w:rFonts w:ascii="宋体" w:hAnsi="宋体"/>
          <w:b/>
          <w:sz w:val="24"/>
        </w:rPr>
      </w:pPr>
      <w:r>
        <w:rPr>
          <w:rFonts w:hint="eastAsia" w:ascii="宋体" w:hAnsi="宋体"/>
          <w:b/>
          <w:sz w:val="24"/>
        </w:rPr>
        <w:t>4.疫情防控要求：凡参加本项目的人员，应按照《大连市财政局转发辽宁省财政厅〈关于做好新型冠状病毒感染的肺炎疫情防控期间政府采购工作有关事项的通知〉》（大财采〔 2020〕77号）的规定，其他事项严格执行大连市新冠状病毒感染的肺炎疫情防控指挥部下发的相关文件。</w:t>
      </w:r>
    </w:p>
    <w:p>
      <w:pPr>
        <w:snapToGrid w:val="0"/>
        <w:spacing w:line="360" w:lineRule="auto"/>
        <w:ind w:firstLine="482" w:firstLineChars="200"/>
        <w:rPr>
          <w:rFonts w:ascii="宋体" w:hAnsi="宋体"/>
          <w:b/>
          <w:sz w:val="24"/>
        </w:rPr>
      </w:pPr>
      <w:r>
        <w:rPr>
          <w:rFonts w:hint="eastAsia" w:ascii="宋体" w:hAnsi="宋体"/>
          <w:b/>
          <w:sz w:val="24"/>
        </w:rPr>
        <w:t>（八）质疑与接收</w:t>
      </w:r>
    </w:p>
    <w:p>
      <w:pPr>
        <w:snapToGrid w:val="0"/>
        <w:spacing w:line="360" w:lineRule="auto"/>
        <w:ind w:firstLine="480" w:firstLineChars="200"/>
        <w:rPr>
          <w:rFonts w:ascii="宋体" w:hAnsi="宋体"/>
          <w:sz w:val="24"/>
        </w:rPr>
      </w:pPr>
      <w:r>
        <w:rPr>
          <w:rFonts w:hint="eastAsia" w:ascii="宋体" w:hAnsi="宋体"/>
          <w:sz w:val="24"/>
        </w:rPr>
        <w:t>1.投标人认为招标文件、采购过程和中标结果使自己的权益受到损害的，在知道或者应知其权益受到损害之日起七个工作日内，以书面形式向采购代理机构提出质疑。</w:t>
      </w:r>
    </w:p>
    <w:p>
      <w:pPr>
        <w:snapToGrid w:val="0"/>
        <w:spacing w:line="360" w:lineRule="auto"/>
        <w:ind w:firstLine="480" w:firstLineChars="200"/>
        <w:rPr>
          <w:rFonts w:ascii="宋体" w:hAnsi="宋体"/>
          <w:sz w:val="24"/>
        </w:rPr>
      </w:pPr>
      <w:r>
        <w:rPr>
          <w:rFonts w:hint="eastAsia" w:ascii="宋体" w:hAnsi="宋体"/>
          <w:sz w:val="24"/>
        </w:rPr>
        <w:t>2.质疑供应商应在法定质疑期内以书面形式提出质疑，针对同一采购程序环节的质疑应一次性提出，否则针对再次提出质疑将不予接收（采购程序环节分为：招标文件、采购过程、中标结果）。</w:t>
      </w:r>
    </w:p>
    <w:p>
      <w:pPr>
        <w:snapToGrid w:val="0"/>
        <w:spacing w:line="360" w:lineRule="auto"/>
        <w:ind w:firstLine="480" w:firstLineChars="200"/>
        <w:rPr>
          <w:rFonts w:ascii="宋体" w:hAnsi="宋体"/>
          <w:sz w:val="24"/>
        </w:rPr>
      </w:pPr>
      <w:r>
        <w:rPr>
          <w:rFonts w:hint="eastAsia" w:ascii="宋体" w:hAnsi="宋体"/>
          <w:sz w:val="24"/>
        </w:rPr>
        <w:t>接收质疑函的方式：投标人以邮寄或直接送达两种形式提出质疑。</w:t>
      </w:r>
    </w:p>
    <w:p>
      <w:pPr>
        <w:snapToGrid w:val="0"/>
        <w:spacing w:line="360" w:lineRule="auto"/>
        <w:ind w:firstLine="480" w:firstLineChars="200"/>
        <w:rPr>
          <w:rFonts w:ascii="宋体" w:hAnsi="宋体"/>
          <w:sz w:val="24"/>
        </w:rPr>
      </w:pPr>
      <w:r>
        <w:rPr>
          <w:rFonts w:hint="eastAsia" w:ascii="宋体" w:hAnsi="宋体"/>
          <w:sz w:val="24"/>
        </w:rPr>
        <w:t>联系单位：辽宁中信诚达项目管理有限公司</w:t>
      </w:r>
    </w:p>
    <w:p>
      <w:pPr>
        <w:snapToGrid w:val="0"/>
        <w:spacing w:line="360" w:lineRule="auto"/>
        <w:ind w:firstLine="480" w:firstLineChars="200"/>
        <w:rPr>
          <w:rFonts w:ascii="宋体" w:hAnsi="宋体"/>
          <w:sz w:val="24"/>
        </w:rPr>
      </w:pPr>
      <w:r>
        <w:rPr>
          <w:rFonts w:hint="eastAsia" w:ascii="宋体" w:hAnsi="宋体"/>
          <w:sz w:val="24"/>
        </w:rPr>
        <w:t>联系电话：0411－83729660-808</w:t>
      </w:r>
    </w:p>
    <w:p>
      <w:pPr>
        <w:snapToGrid w:val="0"/>
        <w:spacing w:line="360" w:lineRule="auto"/>
        <w:ind w:firstLine="480" w:firstLineChars="200"/>
        <w:rPr>
          <w:rFonts w:ascii="宋体" w:hAnsi="宋体"/>
          <w:sz w:val="24"/>
        </w:rPr>
      </w:pPr>
      <w:r>
        <w:rPr>
          <w:rFonts w:hint="eastAsia" w:ascii="宋体" w:hAnsi="宋体"/>
          <w:sz w:val="24"/>
        </w:rPr>
        <w:t>通讯地址：大连市西岗区五四路81号星海商城6号楼803室</w:t>
      </w:r>
    </w:p>
    <w:p>
      <w:pPr>
        <w:snapToGrid w:val="0"/>
        <w:spacing w:line="360" w:lineRule="auto"/>
        <w:ind w:firstLine="480" w:firstLineChars="200"/>
        <w:rPr>
          <w:rFonts w:ascii="宋体" w:hAnsi="宋体"/>
          <w:sz w:val="24"/>
        </w:rPr>
      </w:pPr>
      <w:r>
        <w:rPr>
          <w:rFonts w:hint="eastAsia" w:ascii="宋体" w:hAnsi="宋体"/>
          <w:sz w:val="24"/>
        </w:rPr>
        <w:t>邮政编码：116000</w:t>
      </w:r>
    </w:p>
    <w:p>
      <w:pPr>
        <w:snapToGrid w:val="0"/>
        <w:spacing w:line="360" w:lineRule="auto"/>
        <w:ind w:firstLine="480" w:firstLineChars="200"/>
        <w:rPr>
          <w:rFonts w:ascii="宋体" w:hAnsi="宋体"/>
          <w:sz w:val="24"/>
        </w:rPr>
      </w:pPr>
      <w:r>
        <w:rPr>
          <w:rFonts w:hint="eastAsia" w:ascii="宋体" w:hAnsi="宋体"/>
          <w:sz w:val="24"/>
        </w:rPr>
        <w:t>3.其他</w:t>
      </w:r>
    </w:p>
    <w:p>
      <w:pPr>
        <w:snapToGrid w:val="0"/>
        <w:spacing w:line="360" w:lineRule="auto"/>
        <w:ind w:firstLine="480" w:firstLineChars="200"/>
        <w:rPr>
          <w:rFonts w:ascii="宋体" w:hAnsi="宋体"/>
          <w:sz w:val="24"/>
        </w:rPr>
      </w:pPr>
      <w:r>
        <w:rPr>
          <w:rFonts w:hint="eastAsia" w:ascii="宋体" w:hAnsi="宋体"/>
          <w:sz w:val="24"/>
        </w:rPr>
        <w:t>具体质疑和投诉的事宜投标单位须按照《政府采购质疑和投诉办法》（中华人民共和国财政部令第94号）执行。</w:t>
      </w:r>
    </w:p>
    <w:p>
      <w:pPr>
        <w:snapToGrid w:val="0"/>
        <w:spacing w:line="360" w:lineRule="auto"/>
        <w:ind w:firstLine="480" w:firstLineChars="200"/>
        <w:rPr>
          <w:rFonts w:ascii="宋体" w:hAnsi="宋体"/>
          <w:sz w:val="24"/>
        </w:rPr>
      </w:pPr>
      <w:r>
        <w:rPr>
          <w:rFonts w:hint="eastAsia" w:ascii="宋体" w:hAnsi="宋体"/>
          <w:sz w:val="24"/>
        </w:rPr>
        <w:t>质疑函格式可参考大连市政府采购网--政府采购供应商质疑函范本。</w:t>
      </w:r>
    </w:p>
    <w:p>
      <w:pPr>
        <w:snapToGrid w:val="0"/>
        <w:spacing w:before="312" w:beforeLines="100" w:after="156" w:afterLines="50" w:line="360" w:lineRule="auto"/>
        <w:jc w:val="center"/>
        <w:rPr>
          <w:rFonts w:ascii="宋体" w:hAnsi="宋体"/>
          <w:b/>
          <w:bCs/>
          <w:sz w:val="44"/>
          <w:szCs w:val="44"/>
        </w:rPr>
      </w:pPr>
    </w:p>
    <w:p>
      <w:pPr>
        <w:snapToGrid w:val="0"/>
        <w:spacing w:before="312" w:beforeLines="100" w:after="156" w:afterLines="50" w:line="360" w:lineRule="auto"/>
        <w:jc w:val="center"/>
        <w:rPr>
          <w:rFonts w:ascii="宋体" w:hAnsi="宋体"/>
          <w:b/>
          <w:bCs/>
          <w:sz w:val="44"/>
          <w:szCs w:val="44"/>
        </w:rPr>
      </w:pPr>
    </w:p>
    <w:p>
      <w:pPr>
        <w:snapToGrid w:val="0"/>
        <w:spacing w:before="312" w:beforeLines="100" w:after="156" w:afterLines="50" w:line="360" w:lineRule="auto"/>
        <w:jc w:val="center"/>
        <w:rPr>
          <w:rFonts w:ascii="宋体" w:hAnsi="宋体"/>
          <w:b/>
          <w:bCs/>
          <w:sz w:val="44"/>
          <w:szCs w:val="44"/>
        </w:rPr>
      </w:pPr>
    </w:p>
    <w:p>
      <w:pPr>
        <w:snapToGrid w:val="0"/>
        <w:spacing w:before="312" w:beforeLines="100" w:after="156" w:afterLines="50" w:line="360" w:lineRule="auto"/>
        <w:jc w:val="center"/>
        <w:rPr>
          <w:rFonts w:ascii="宋体" w:hAnsi="宋体"/>
          <w:b/>
          <w:bCs/>
          <w:sz w:val="44"/>
          <w:szCs w:val="44"/>
        </w:rPr>
      </w:pPr>
    </w:p>
    <w:p>
      <w:pPr>
        <w:snapToGrid w:val="0"/>
        <w:spacing w:before="312" w:beforeLines="100" w:after="156" w:afterLines="50" w:line="360" w:lineRule="auto"/>
        <w:jc w:val="center"/>
        <w:rPr>
          <w:rFonts w:ascii="宋体" w:hAnsi="宋体"/>
          <w:b/>
          <w:bCs/>
          <w:sz w:val="44"/>
          <w:szCs w:val="44"/>
        </w:rPr>
      </w:pPr>
    </w:p>
    <w:p>
      <w:pPr>
        <w:snapToGrid w:val="0"/>
        <w:spacing w:before="312" w:beforeLines="100" w:after="156" w:afterLines="50" w:line="360" w:lineRule="auto"/>
        <w:jc w:val="center"/>
        <w:rPr>
          <w:rFonts w:ascii="宋体" w:hAnsi="宋体"/>
          <w:b/>
          <w:bCs/>
          <w:sz w:val="44"/>
          <w:szCs w:val="44"/>
        </w:rPr>
      </w:pPr>
    </w:p>
    <w:p>
      <w:pPr>
        <w:snapToGrid w:val="0"/>
        <w:spacing w:before="312" w:beforeLines="100" w:after="156" w:afterLines="50" w:line="360" w:lineRule="auto"/>
        <w:rPr>
          <w:rFonts w:ascii="宋体" w:hAnsi="宋体"/>
          <w:b/>
          <w:bCs/>
          <w:sz w:val="44"/>
          <w:szCs w:val="44"/>
        </w:rPr>
      </w:pPr>
    </w:p>
    <w:p>
      <w:pPr>
        <w:snapToGrid w:val="0"/>
        <w:spacing w:before="312" w:beforeLines="100" w:after="156" w:afterLines="50" w:line="360" w:lineRule="auto"/>
        <w:rPr>
          <w:rFonts w:ascii="宋体" w:hAnsi="宋体"/>
          <w:b/>
          <w:bCs/>
          <w:sz w:val="44"/>
          <w:szCs w:val="44"/>
        </w:rPr>
      </w:pPr>
    </w:p>
    <w:p>
      <w:pPr>
        <w:pStyle w:val="2"/>
        <w:rPr>
          <w:rFonts w:ascii="宋体" w:hAnsi="宋体"/>
          <w:b/>
          <w:bCs/>
          <w:sz w:val="44"/>
          <w:szCs w:val="44"/>
        </w:rPr>
      </w:pPr>
    </w:p>
    <w:p>
      <w:pPr>
        <w:rPr>
          <w:rFonts w:ascii="宋体" w:hAnsi="宋体"/>
          <w:b/>
          <w:bCs/>
          <w:sz w:val="44"/>
          <w:szCs w:val="44"/>
        </w:rPr>
      </w:pPr>
    </w:p>
    <w:p>
      <w:pPr>
        <w:pStyle w:val="2"/>
      </w:pPr>
    </w:p>
    <w:p>
      <w:pPr>
        <w:snapToGrid w:val="0"/>
        <w:spacing w:before="312" w:beforeLines="100" w:after="156" w:afterLines="50" w:line="360" w:lineRule="auto"/>
        <w:rPr>
          <w:rFonts w:ascii="宋体" w:hAnsi="宋体"/>
          <w:b/>
          <w:bCs/>
          <w:sz w:val="44"/>
          <w:szCs w:val="44"/>
        </w:rPr>
      </w:pPr>
    </w:p>
    <w:p>
      <w:pPr>
        <w:snapToGrid w:val="0"/>
        <w:spacing w:before="312" w:beforeLines="100" w:after="156" w:afterLines="50" w:line="360" w:lineRule="auto"/>
        <w:jc w:val="center"/>
        <w:rPr>
          <w:rFonts w:ascii="宋体" w:hAnsi="宋体"/>
          <w:b/>
          <w:bCs/>
          <w:sz w:val="44"/>
          <w:szCs w:val="44"/>
        </w:rPr>
      </w:pPr>
      <w:r>
        <w:rPr>
          <w:rFonts w:hint="eastAsia" w:ascii="宋体" w:hAnsi="宋体"/>
          <w:b/>
          <w:bCs/>
          <w:sz w:val="44"/>
          <w:szCs w:val="44"/>
        </w:rPr>
        <w:t xml:space="preserve">第二章 </w:t>
      </w:r>
      <w:r>
        <w:rPr>
          <w:rFonts w:hint="eastAsia" w:ascii="宋体" w:hAnsi="宋体"/>
          <w:b/>
          <w:sz w:val="44"/>
          <w:szCs w:val="44"/>
        </w:rPr>
        <w:t>合同条款及合同格式</w:t>
      </w:r>
    </w:p>
    <w:p>
      <w:pPr>
        <w:jc w:val="center"/>
        <w:rPr>
          <w:b/>
          <w:sz w:val="44"/>
          <w:szCs w:val="44"/>
        </w:rPr>
      </w:pPr>
      <w:r>
        <w:rPr>
          <w:rFonts w:ascii="宋体" w:hAnsi="宋体"/>
          <w:b/>
          <w:bCs/>
          <w:sz w:val="44"/>
        </w:rPr>
        <w:br w:type="page"/>
      </w:r>
    </w:p>
    <w:p>
      <w:pPr>
        <w:pStyle w:val="9"/>
        <w:adjustRightInd w:val="0"/>
        <w:snapToGrid w:val="0"/>
        <w:spacing w:line="360" w:lineRule="auto"/>
        <w:jc w:val="center"/>
        <w:rPr>
          <w:rFonts w:hAnsi="宋体"/>
          <w:b/>
          <w:sz w:val="36"/>
          <w:szCs w:val="36"/>
        </w:rPr>
      </w:pPr>
      <w:r>
        <w:rPr>
          <w:rFonts w:hint="eastAsia" w:hAnsi="宋体"/>
          <w:b/>
          <w:sz w:val="36"/>
          <w:szCs w:val="36"/>
        </w:rPr>
        <w:t>合同条款及合同格式</w:t>
      </w:r>
    </w:p>
    <w:p>
      <w:pPr>
        <w:spacing w:line="360" w:lineRule="auto"/>
        <w:rPr>
          <w:rFonts w:ascii="宋体" w:hAnsi="宋体"/>
          <w:sz w:val="24"/>
          <w:u w:val="single"/>
        </w:rPr>
      </w:pPr>
      <w:r>
        <w:rPr>
          <w:rFonts w:hint="eastAsia" w:ascii="宋体" w:hAnsi="宋体"/>
          <w:sz w:val="24"/>
        </w:rPr>
        <w:t>项目名称：</w:t>
      </w:r>
      <w:r>
        <w:rPr>
          <w:rFonts w:ascii="宋体" w:hAnsi="宋体"/>
          <w:sz w:val="24"/>
          <w:u w:val="single"/>
        </w:rPr>
        <w:t xml:space="preserve">               </w:t>
      </w:r>
    </w:p>
    <w:p>
      <w:pPr>
        <w:spacing w:line="360" w:lineRule="auto"/>
        <w:rPr>
          <w:rFonts w:ascii="宋体" w:hAnsi="宋体"/>
          <w:sz w:val="24"/>
        </w:rPr>
      </w:pPr>
      <w:r>
        <w:rPr>
          <w:rFonts w:hint="eastAsia" w:ascii="宋体" w:hAnsi="宋体"/>
          <w:sz w:val="24"/>
        </w:rPr>
        <w:t>项目编号：</w:t>
      </w:r>
      <w:r>
        <w:rPr>
          <w:rFonts w:ascii="宋体" w:hAnsi="宋体"/>
          <w:sz w:val="24"/>
          <w:u w:val="single"/>
        </w:rPr>
        <w:t xml:space="preserve">               </w:t>
      </w:r>
    </w:p>
    <w:p>
      <w:pPr>
        <w:spacing w:line="360" w:lineRule="auto"/>
        <w:rPr>
          <w:rFonts w:ascii="宋体" w:hAnsi="宋体"/>
          <w:sz w:val="24"/>
        </w:rPr>
      </w:pPr>
      <w:r>
        <w:rPr>
          <w:rFonts w:hint="eastAsia" w:ascii="宋体" w:hAnsi="宋体"/>
          <w:sz w:val="24"/>
        </w:rPr>
        <w:t>合同编号：</w:t>
      </w:r>
      <w:r>
        <w:rPr>
          <w:rFonts w:ascii="宋体" w:hAnsi="宋体"/>
          <w:sz w:val="24"/>
          <w:u w:val="single"/>
        </w:rPr>
        <w:t xml:space="preserve">               </w:t>
      </w:r>
    </w:p>
    <w:p>
      <w:pPr>
        <w:spacing w:line="360" w:lineRule="auto"/>
        <w:rPr>
          <w:rFonts w:ascii="宋体" w:hAnsi="宋体"/>
          <w:sz w:val="24"/>
        </w:rPr>
      </w:pPr>
      <w:r>
        <w:rPr>
          <w:rFonts w:hint="eastAsia" w:ascii="宋体" w:hAnsi="宋体"/>
          <w:sz w:val="24"/>
        </w:rPr>
        <w:t>买方（全称）：</w:t>
      </w:r>
      <w:r>
        <w:rPr>
          <w:rFonts w:hint="eastAsia" w:ascii="宋体" w:hAnsi="宋体"/>
          <w:sz w:val="24"/>
          <w:u w:val="single"/>
        </w:rPr>
        <w:t xml:space="preserve">                           </w:t>
      </w:r>
      <w:r>
        <w:rPr>
          <w:rFonts w:hint="eastAsia" w:ascii="宋体" w:hAnsi="宋体"/>
          <w:sz w:val="24"/>
        </w:rPr>
        <w:t>（以下简称甲方）</w:t>
      </w:r>
    </w:p>
    <w:p>
      <w:pPr>
        <w:spacing w:line="360" w:lineRule="auto"/>
        <w:rPr>
          <w:rFonts w:ascii="宋体" w:hAnsi="宋体"/>
          <w:sz w:val="24"/>
        </w:rPr>
      </w:pPr>
      <w:r>
        <w:rPr>
          <w:rFonts w:hint="eastAsia" w:ascii="宋体" w:hAnsi="宋体"/>
          <w:sz w:val="24"/>
        </w:rPr>
        <w:t>卖方（全称）：</w:t>
      </w:r>
      <w:r>
        <w:rPr>
          <w:rFonts w:ascii="宋体" w:hAnsi="宋体"/>
          <w:sz w:val="24"/>
          <w:u w:val="single"/>
        </w:rPr>
        <w:t xml:space="preserve">                           </w:t>
      </w:r>
      <w:r>
        <w:rPr>
          <w:rFonts w:hint="eastAsia" w:ascii="宋体" w:hAnsi="宋体"/>
          <w:sz w:val="24"/>
        </w:rPr>
        <w:t>（以下简称乙方）</w:t>
      </w:r>
    </w:p>
    <w:p>
      <w:pPr>
        <w:spacing w:line="360" w:lineRule="auto"/>
        <w:ind w:firstLine="480" w:firstLineChars="200"/>
        <w:rPr>
          <w:rFonts w:ascii="宋体" w:hAnsi="宋体"/>
          <w:b/>
          <w:sz w:val="24"/>
        </w:rPr>
      </w:pPr>
      <w:r>
        <w:rPr>
          <w:rFonts w:hint="eastAsia" w:ascii="宋体" w:hAnsi="宋体"/>
          <w:sz w:val="24"/>
        </w:rPr>
        <w:t>甲乙双方根据</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日采购项目的采购结果，甲方接受乙方为本项目</w:t>
      </w:r>
      <w:r>
        <w:rPr>
          <w:rFonts w:hint="eastAsia" w:ascii="宋体" w:hAnsi="宋体"/>
          <w:sz w:val="24"/>
          <w:u w:val="single"/>
        </w:rPr>
        <w:t xml:space="preserve">                            </w:t>
      </w:r>
      <w:r>
        <w:rPr>
          <w:rFonts w:hint="eastAsia" w:ascii="宋体" w:hAnsi="宋体"/>
          <w:sz w:val="24"/>
        </w:rPr>
        <w:t>采购所做的响应文件，乙方必须完全按成交通知书中项目履行义务。甲乙双方同意签署本合同（以下简称合同）。</w:t>
      </w:r>
    </w:p>
    <w:p>
      <w:pPr>
        <w:spacing w:line="360" w:lineRule="auto"/>
        <w:ind w:firstLine="482" w:firstLineChars="200"/>
        <w:rPr>
          <w:rFonts w:ascii="宋体" w:hAnsi="宋体"/>
          <w:b/>
          <w:sz w:val="24"/>
        </w:rPr>
      </w:pPr>
      <w:r>
        <w:rPr>
          <w:rFonts w:hint="eastAsia" w:ascii="宋体" w:hAnsi="宋体"/>
          <w:b/>
          <w:sz w:val="24"/>
        </w:rPr>
        <w:t>一、合同范围</w:t>
      </w:r>
    </w:p>
    <w:p>
      <w:pPr>
        <w:spacing w:line="360" w:lineRule="auto"/>
        <w:ind w:firstLine="480" w:firstLineChars="200"/>
        <w:rPr>
          <w:rFonts w:ascii="宋体" w:hAnsi="宋体" w:cs="宋体"/>
          <w:kern w:val="0"/>
          <w:sz w:val="24"/>
        </w:rPr>
      </w:pPr>
      <w:r>
        <w:rPr>
          <w:rFonts w:hint="eastAsia" w:ascii="宋体" w:hAnsi="宋体" w:cs="宋体"/>
          <w:kern w:val="0"/>
          <w:sz w:val="24"/>
        </w:rPr>
        <w:t>大连大学附属新华医院感染性疾病应急中心项目工程前期勘察。</w:t>
      </w:r>
    </w:p>
    <w:p>
      <w:pPr>
        <w:spacing w:line="360" w:lineRule="auto"/>
        <w:ind w:firstLine="482" w:firstLineChars="200"/>
        <w:rPr>
          <w:rFonts w:ascii="宋体" w:hAnsi="宋体"/>
          <w:sz w:val="24"/>
        </w:rPr>
      </w:pPr>
      <w:r>
        <w:rPr>
          <w:rFonts w:hint="eastAsia" w:ascii="宋体" w:hAnsi="宋体"/>
          <w:b/>
          <w:bCs/>
          <w:sz w:val="24"/>
        </w:rPr>
        <w:t>二、合同金额</w:t>
      </w:r>
    </w:p>
    <w:p>
      <w:pPr>
        <w:spacing w:line="360" w:lineRule="auto"/>
        <w:ind w:firstLine="480" w:firstLineChars="200"/>
        <w:rPr>
          <w:rFonts w:ascii="宋体" w:hAnsi="宋体"/>
          <w:sz w:val="24"/>
        </w:rPr>
      </w:pPr>
      <w:r>
        <w:rPr>
          <w:rFonts w:hint="eastAsia" w:ascii="宋体" w:hAnsi="宋体"/>
          <w:sz w:val="24"/>
        </w:rPr>
        <w:t>本合同报价为</w:t>
      </w:r>
      <w:r>
        <w:rPr>
          <w:rFonts w:hint="eastAsia" w:ascii="宋体" w:hAnsi="宋体"/>
          <w:sz w:val="24"/>
          <w:u w:val="single"/>
        </w:rPr>
        <w:t xml:space="preserve">      </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三、服务期限</w:t>
      </w:r>
    </w:p>
    <w:p>
      <w:pPr>
        <w:adjustRightInd w:val="0"/>
        <w:snapToGrid w:val="0"/>
        <w:spacing w:line="360" w:lineRule="auto"/>
        <w:ind w:right="105" w:rightChars="50" w:firstLine="480" w:firstLineChars="200"/>
        <w:jc w:val="left"/>
        <w:rPr>
          <w:rFonts w:ascii="宋体" w:hAnsi="宋体" w:cs="宋体"/>
          <w:kern w:val="0"/>
          <w:sz w:val="24"/>
        </w:rPr>
      </w:pPr>
      <w:r>
        <w:rPr>
          <w:rFonts w:hint="eastAsia" w:ascii="宋体" w:hAnsi="宋体"/>
          <w:sz w:val="24"/>
        </w:rPr>
        <w:t>1.服务期限：</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b/>
          <w:sz w:val="24"/>
        </w:rPr>
      </w:pPr>
      <w:r>
        <w:rPr>
          <w:rFonts w:hint="eastAsia" w:ascii="宋体" w:hAnsi="宋体"/>
          <w:sz w:val="24"/>
        </w:rPr>
        <w:t>2.服务地点：</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p>
      <w:pPr>
        <w:spacing w:line="360" w:lineRule="auto"/>
        <w:ind w:left="479" w:leftChars="228"/>
        <w:rPr>
          <w:b/>
          <w:sz w:val="24"/>
        </w:rPr>
      </w:pPr>
      <w:r>
        <w:rPr>
          <w:rFonts w:hint="eastAsia" w:ascii="宋体" w:hAnsi="宋体"/>
          <w:b/>
          <w:sz w:val="24"/>
        </w:rPr>
        <w:t>四、</w:t>
      </w:r>
      <w:r>
        <w:rPr>
          <w:rFonts w:hint="eastAsia"/>
          <w:b/>
          <w:sz w:val="24"/>
        </w:rPr>
        <w:t>具体服务内容</w:t>
      </w:r>
      <w:r>
        <w:rPr>
          <w:b/>
          <w:sz w:val="24"/>
        </w:rPr>
        <w:t>及基本要求</w:t>
      </w:r>
    </w:p>
    <w:p>
      <w:pPr>
        <w:spacing w:line="360" w:lineRule="auto"/>
        <w:ind w:firstLine="480" w:firstLineChars="200"/>
        <w:rPr>
          <w:rFonts w:ascii="宋体" w:hAnsi="宋体"/>
          <w:sz w:val="24"/>
        </w:rPr>
      </w:pPr>
      <w:r>
        <w:rPr>
          <w:rFonts w:hint="eastAsia" w:ascii="宋体" w:hAnsi="宋体" w:cs="宋体"/>
          <w:kern w:val="0"/>
          <w:sz w:val="24"/>
        </w:rPr>
        <w:t>采购文件所提供的项目需求详见第三章</w:t>
      </w:r>
    </w:p>
    <w:p>
      <w:pPr>
        <w:tabs>
          <w:tab w:val="left" w:pos="84"/>
        </w:tabs>
        <w:spacing w:line="360" w:lineRule="auto"/>
        <w:ind w:firstLine="482" w:firstLineChars="200"/>
        <w:rPr>
          <w:rFonts w:ascii="宋体" w:hAnsi="宋体"/>
          <w:b/>
          <w:sz w:val="24"/>
        </w:rPr>
      </w:pPr>
      <w:r>
        <w:rPr>
          <w:rFonts w:hint="eastAsia" w:ascii="宋体" w:hAnsi="宋体"/>
          <w:b/>
          <w:sz w:val="24"/>
        </w:rPr>
        <w:t>五、</w:t>
      </w:r>
      <w:r>
        <w:rPr>
          <w:rFonts w:hint="eastAsia" w:ascii="宋体" w:hAnsi="宋体"/>
          <w:b/>
          <w:sz w:val="24"/>
          <w:lang w:val="en-US" w:eastAsia="zh-CN"/>
        </w:rPr>
        <w:t>合同形式及</w:t>
      </w:r>
      <w:r>
        <w:rPr>
          <w:rFonts w:hint="eastAsia" w:ascii="宋体" w:hAnsi="宋体"/>
          <w:b/>
          <w:sz w:val="24"/>
        </w:rPr>
        <w:t>付款方式：</w:t>
      </w:r>
    </w:p>
    <w:p>
      <w:pPr>
        <w:tabs>
          <w:tab w:val="left" w:pos="84"/>
        </w:tabs>
        <w:spacing w:line="360" w:lineRule="auto"/>
        <w:ind w:firstLine="480" w:firstLineChars="200"/>
        <w:rPr>
          <w:rFonts w:hint="default" w:ascii="宋体" w:hAnsi="宋体"/>
          <w:sz w:val="24"/>
          <w:szCs w:val="21"/>
          <w:lang w:val="en-US" w:eastAsia="zh-CN"/>
        </w:rPr>
      </w:pPr>
      <w:r>
        <w:rPr>
          <w:rFonts w:hint="eastAsia" w:ascii="宋体" w:hAnsi="宋体"/>
          <w:sz w:val="24"/>
          <w:szCs w:val="21"/>
          <w:lang w:val="en-US" w:eastAsia="zh-CN"/>
        </w:rPr>
        <w:t>1）</w:t>
      </w:r>
      <w:r>
        <w:rPr>
          <w:rFonts w:hint="eastAsia" w:ascii="宋体" w:hAnsi="宋体"/>
          <w:b w:val="0"/>
          <w:bCs/>
          <w:sz w:val="24"/>
          <w:lang w:val="en-US" w:eastAsia="zh-CN"/>
        </w:rPr>
        <w:t>合同形式：固定单价合同。投标报价文件包含投标总价及综合单价时，综合单价为合同单价。具体按实际完成工作量结算。</w:t>
      </w:r>
    </w:p>
    <w:p>
      <w:pPr>
        <w:tabs>
          <w:tab w:val="left" w:pos="84"/>
        </w:tabs>
        <w:spacing w:line="360" w:lineRule="auto"/>
        <w:ind w:firstLine="480" w:firstLineChars="200"/>
        <w:rPr>
          <w:rFonts w:ascii="宋体" w:hAnsi="宋体"/>
          <w:bCs/>
          <w:sz w:val="24"/>
          <w:szCs w:val="21"/>
        </w:rPr>
      </w:pPr>
      <w:r>
        <w:rPr>
          <w:rFonts w:hint="eastAsia" w:ascii="宋体" w:hAnsi="宋体"/>
          <w:sz w:val="24"/>
          <w:szCs w:val="21"/>
          <w:lang w:val="en-US" w:eastAsia="zh-CN"/>
        </w:rPr>
        <w:t>2）</w:t>
      </w:r>
      <w:r>
        <w:rPr>
          <w:rFonts w:hint="eastAsia" w:ascii="宋体" w:hAnsi="宋体"/>
          <w:sz w:val="24"/>
          <w:szCs w:val="21"/>
        </w:rPr>
        <w:t>付款方式：</w:t>
      </w:r>
    </w:p>
    <w:p>
      <w:pPr>
        <w:tabs>
          <w:tab w:val="left" w:pos="420"/>
        </w:tabs>
        <w:spacing w:line="360" w:lineRule="auto"/>
        <w:ind w:firstLine="480" w:firstLineChars="200"/>
        <w:rPr>
          <w:rFonts w:ascii="宋体" w:hAnsi="宋体"/>
          <w:sz w:val="24"/>
        </w:rPr>
      </w:pPr>
      <w:r>
        <w:rPr>
          <w:rFonts w:hint="eastAsia" w:ascii="宋体" w:hAnsi="宋体"/>
          <w:sz w:val="24"/>
        </w:rPr>
        <w:t>1、预付款：签订合同后，采购人支付合同价款的30%；</w:t>
      </w:r>
    </w:p>
    <w:p>
      <w:pPr>
        <w:tabs>
          <w:tab w:val="left" w:pos="420"/>
        </w:tabs>
        <w:spacing w:line="360" w:lineRule="auto"/>
        <w:ind w:firstLine="480" w:firstLineChars="200"/>
        <w:rPr>
          <w:rFonts w:ascii="宋体" w:hAnsi="宋体"/>
          <w:sz w:val="24"/>
        </w:rPr>
      </w:pPr>
      <w:r>
        <w:rPr>
          <w:rFonts w:hint="eastAsia" w:ascii="宋体" w:hAnsi="宋体"/>
          <w:sz w:val="24"/>
        </w:rPr>
        <w:t>2、详勘：提交经审查机构审查合格的详细勘察报告后，支付至对应合同价款的80%，</w:t>
      </w:r>
    </w:p>
    <w:p>
      <w:pPr>
        <w:tabs>
          <w:tab w:val="left" w:pos="84"/>
        </w:tabs>
        <w:spacing w:line="360" w:lineRule="auto"/>
        <w:ind w:firstLine="480" w:firstLineChars="200"/>
        <w:rPr>
          <w:rFonts w:hint="eastAsia" w:ascii="宋体" w:hAnsi="宋体"/>
          <w:sz w:val="24"/>
          <w:szCs w:val="21"/>
          <w:lang w:val="en-US" w:eastAsia="zh-CN"/>
        </w:rPr>
      </w:pPr>
      <w:r>
        <w:rPr>
          <w:rFonts w:hint="eastAsia" w:ascii="宋体" w:hAnsi="宋体"/>
          <w:sz w:val="24"/>
          <w:szCs w:val="21"/>
          <w:lang w:val="en-US" w:eastAsia="zh-CN"/>
        </w:rPr>
        <w:t>3.结算款：经相关审核部门出具结算审核报告后支付至审定额的100%；</w:t>
      </w:r>
    </w:p>
    <w:p>
      <w:pPr>
        <w:tabs>
          <w:tab w:val="left" w:pos="84"/>
        </w:tabs>
        <w:spacing w:line="360" w:lineRule="auto"/>
        <w:ind w:firstLine="480" w:firstLineChars="200"/>
        <w:rPr>
          <w:rFonts w:hint="eastAsia" w:ascii="宋体" w:hAnsi="宋体"/>
          <w:sz w:val="24"/>
          <w:szCs w:val="21"/>
          <w:lang w:val="en-US" w:eastAsia="zh-CN"/>
        </w:rPr>
      </w:pPr>
      <w:r>
        <w:rPr>
          <w:rFonts w:hint="eastAsia" w:ascii="宋体" w:hAnsi="宋体"/>
          <w:sz w:val="24"/>
          <w:szCs w:val="21"/>
          <w:lang w:val="en-US" w:eastAsia="zh-CN"/>
        </w:rPr>
        <w:t>注：采购人付款前，中标单位应当提供等额合法有效发票。</w:t>
      </w:r>
    </w:p>
    <w:p>
      <w:pPr>
        <w:tabs>
          <w:tab w:val="left" w:pos="84"/>
        </w:tabs>
        <w:spacing w:line="360" w:lineRule="auto"/>
        <w:ind w:firstLine="480" w:firstLineChars="200"/>
        <w:rPr>
          <w:rFonts w:hint="eastAsia" w:ascii="宋体" w:hAnsi="宋体"/>
          <w:sz w:val="24"/>
          <w:szCs w:val="21"/>
          <w:lang w:val="en-US" w:eastAsia="zh-CN"/>
        </w:rPr>
      </w:pPr>
      <w:r>
        <w:rPr>
          <w:rFonts w:hint="eastAsia" w:ascii="宋体" w:hAnsi="宋体"/>
          <w:sz w:val="24"/>
          <w:szCs w:val="21"/>
          <w:lang w:val="en-US" w:eastAsia="zh-CN"/>
        </w:rPr>
        <w:t>支付时间最终以市财政局资金下达时间为准，支付金额以财政最终审定值为准。</w:t>
      </w:r>
    </w:p>
    <w:p>
      <w:pPr>
        <w:tabs>
          <w:tab w:val="left" w:pos="84"/>
        </w:tabs>
        <w:spacing w:line="360" w:lineRule="auto"/>
        <w:ind w:firstLine="482" w:firstLineChars="200"/>
        <w:rPr>
          <w:rFonts w:ascii="宋体" w:hAnsi="宋体"/>
          <w:b/>
          <w:sz w:val="24"/>
        </w:rPr>
      </w:pPr>
      <w:r>
        <w:rPr>
          <w:rFonts w:hint="eastAsia" w:ascii="宋体" w:hAnsi="宋体"/>
          <w:b/>
          <w:sz w:val="24"/>
        </w:rPr>
        <w:t>六、违约责任</w:t>
      </w:r>
    </w:p>
    <w:p>
      <w:pPr>
        <w:spacing w:line="360" w:lineRule="auto"/>
        <w:ind w:firstLine="480" w:firstLineChars="200"/>
        <w:rPr>
          <w:rFonts w:ascii="宋体" w:hAnsi="宋体"/>
          <w:sz w:val="24"/>
        </w:rPr>
      </w:pPr>
      <w:r>
        <w:rPr>
          <w:rFonts w:hint="eastAsia" w:ascii="宋体" w:hAnsi="宋体"/>
          <w:sz w:val="24"/>
        </w:rPr>
        <w:t>（一）乙方未按期提供服务的，乙方应合同价款总额每日千分之六向甲方支付违约金，由甲方从待付款中扣除。逾期或未提供服务超过约定日期十个工作日不能完成的，甲方可解除本合同。乙方因逾期完成、未提供服务或因其他违约行为导致甲方解除合同的，乙方应向甲方支付合同价款百分之五的违约金，如造成甲方损失超过违约金的，超出部分由乙方继续承担赔偿责任。</w:t>
      </w:r>
    </w:p>
    <w:p>
      <w:pPr>
        <w:spacing w:line="360" w:lineRule="auto"/>
        <w:ind w:firstLine="480" w:firstLineChars="200"/>
        <w:rPr>
          <w:rFonts w:ascii="宋体" w:hAnsi="宋体"/>
          <w:sz w:val="24"/>
        </w:rPr>
      </w:pPr>
      <w:r>
        <w:rPr>
          <w:rFonts w:hint="eastAsia" w:ascii="宋体" w:hAnsi="宋体"/>
          <w:sz w:val="24"/>
        </w:rPr>
        <w:t>（二）乙方所提供的服务质量标准不符合合同规定及招标件规定标准的，甲方有权拒绝验收该服务，乙方愿意继续提供服务但逾期完成的，按乙方逾期完成处理或提供服务。乙方拒绝按要求继续服务的，甲方可单方面解除合同。</w:t>
      </w:r>
    </w:p>
    <w:p>
      <w:pPr>
        <w:spacing w:line="360" w:lineRule="auto"/>
        <w:ind w:firstLine="482" w:firstLineChars="200"/>
        <w:rPr>
          <w:rFonts w:ascii="宋体" w:hAnsi="宋体"/>
          <w:b/>
          <w:sz w:val="24"/>
        </w:rPr>
      </w:pPr>
      <w:r>
        <w:rPr>
          <w:rFonts w:hint="eastAsia" w:ascii="宋体" w:hAnsi="宋体"/>
          <w:b/>
          <w:sz w:val="24"/>
        </w:rPr>
        <w:t>七、不可抗力事件处理</w:t>
      </w:r>
    </w:p>
    <w:p>
      <w:pPr>
        <w:spacing w:line="360" w:lineRule="auto"/>
        <w:ind w:firstLine="480" w:firstLineChars="200"/>
        <w:rPr>
          <w:rFonts w:ascii="宋体" w:hAnsi="宋体"/>
          <w:sz w:val="24"/>
        </w:rPr>
      </w:pPr>
      <w:r>
        <w:rPr>
          <w:rFonts w:hint="eastAsia" w:ascii="宋体" w:hAnsi="宋体"/>
          <w:sz w:val="24"/>
        </w:rPr>
        <w:t>（一）在合同有效期内，任何一方因不可抗力事件导致不能履行合同，则合同履行期可延长，其延长期与不可抗力影响期相同。</w:t>
      </w:r>
    </w:p>
    <w:p>
      <w:pPr>
        <w:spacing w:line="360" w:lineRule="auto"/>
        <w:ind w:firstLine="480" w:firstLineChars="200"/>
        <w:rPr>
          <w:rFonts w:ascii="宋体" w:hAnsi="宋体"/>
          <w:sz w:val="24"/>
        </w:rPr>
      </w:pPr>
      <w:r>
        <w:rPr>
          <w:rFonts w:hint="eastAsia" w:ascii="宋体" w:hAnsi="宋体"/>
          <w:sz w:val="24"/>
        </w:rPr>
        <w:t>（二）不可抗力事件发生后，应立即通知对方，并寄送有关权威机构出具的证明。</w:t>
      </w:r>
    </w:p>
    <w:p>
      <w:pPr>
        <w:spacing w:line="360" w:lineRule="auto"/>
        <w:ind w:firstLine="480" w:firstLineChars="200"/>
        <w:rPr>
          <w:rFonts w:ascii="宋体" w:hAnsi="宋体"/>
          <w:sz w:val="24"/>
        </w:rPr>
      </w:pPr>
      <w:r>
        <w:rPr>
          <w:rFonts w:hint="eastAsia" w:ascii="宋体" w:hAnsi="宋体"/>
          <w:sz w:val="24"/>
        </w:rPr>
        <w:t>（三） 不可抗力事件延续120天以上，双方应通过友好协商，确定是否继续履行合同。</w:t>
      </w:r>
    </w:p>
    <w:p>
      <w:pPr>
        <w:spacing w:line="360" w:lineRule="auto"/>
        <w:ind w:firstLine="482" w:firstLineChars="200"/>
        <w:rPr>
          <w:rFonts w:ascii="宋体" w:hAnsi="宋体"/>
          <w:b/>
          <w:sz w:val="24"/>
        </w:rPr>
      </w:pPr>
      <w:r>
        <w:rPr>
          <w:rFonts w:hint="eastAsia" w:ascii="宋体" w:hAnsi="宋体"/>
          <w:b/>
          <w:sz w:val="24"/>
        </w:rPr>
        <w:t>八、争议的解决</w:t>
      </w:r>
    </w:p>
    <w:p>
      <w:pPr>
        <w:spacing w:line="360" w:lineRule="auto"/>
        <w:rPr>
          <w:rFonts w:ascii="宋体" w:hAnsi="宋体"/>
          <w:sz w:val="24"/>
        </w:rPr>
      </w:pPr>
      <w:r>
        <w:rPr>
          <w:rFonts w:hint="eastAsia" w:ascii="宋体" w:hAnsi="宋体"/>
          <w:sz w:val="24"/>
        </w:rPr>
        <w:t>在履行合同过程中发生争议时，双方当事人协商解决，协商不成的，采用下列第</w:t>
      </w:r>
      <w:r>
        <w:rPr>
          <w:rFonts w:hint="eastAsia" w:ascii="宋体" w:hAnsi="宋体"/>
          <w:sz w:val="24"/>
          <w:u w:val="single"/>
        </w:rPr>
        <w:t xml:space="preserve">   </w:t>
      </w:r>
      <w:r>
        <w:rPr>
          <w:rFonts w:hint="eastAsia" w:ascii="宋体" w:hAnsi="宋体"/>
          <w:sz w:val="24"/>
        </w:rPr>
        <w:t>种方法解决。</w:t>
      </w:r>
    </w:p>
    <w:p>
      <w:pPr>
        <w:spacing w:line="360" w:lineRule="auto"/>
        <w:ind w:firstLine="480" w:firstLineChars="200"/>
        <w:rPr>
          <w:rFonts w:ascii="宋体" w:hAnsi="宋体"/>
          <w:sz w:val="24"/>
        </w:rPr>
      </w:pPr>
      <w:r>
        <w:rPr>
          <w:rFonts w:hint="eastAsia" w:ascii="宋体" w:hAnsi="宋体"/>
          <w:sz w:val="24"/>
        </w:rPr>
        <w:t>（1）提交大连市仲裁委员会仲裁；</w:t>
      </w:r>
    </w:p>
    <w:p>
      <w:pPr>
        <w:spacing w:line="360" w:lineRule="auto"/>
        <w:ind w:firstLine="480" w:firstLineChars="200"/>
        <w:rPr>
          <w:rFonts w:ascii="宋体" w:hAnsi="宋体"/>
          <w:sz w:val="24"/>
        </w:rPr>
      </w:pPr>
      <w:r>
        <w:rPr>
          <w:rFonts w:hint="eastAsia" w:ascii="宋体" w:hAnsi="宋体"/>
          <w:sz w:val="24"/>
        </w:rPr>
        <w:t>（2）依法向采购人所在地人民法院提起诉讼。</w:t>
      </w:r>
    </w:p>
    <w:p>
      <w:pPr>
        <w:spacing w:line="360" w:lineRule="auto"/>
        <w:ind w:firstLine="482" w:firstLineChars="200"/>
        <w:rPr>
          <w:rFonts w:ascii="宋体" w:hAnsi="宋体"/>
          <w:b/>
          <w:sz w:val="24"/>
        </w:rPr>
      </w:pPr>
      <w:r>
        <w:rPr>
          <w:rFonts w:hint="eastAsia" w:ascii="宋体" w:hAnsi="宋体"/>
          <w:b/>
          <w:sz w:val="24"/>
        </w:rPr>
        <w:t>九、合同生效及其它</w:t>
      </w:r>
    </w:p>
    <w:p>
      <w:pPr>
        <w:spacing w:line="360" w:lineRule="auto"/>
        <w:ind w:firstLine="480" w:firstLineChars="200"/>
        <w:rPr>
          <w:rFonts w:ascii="宋体" w:hAnsi="宋体"/>
          <w:sz w:val="24"/>
        </w:rPr>
      </w:pPr>
      <w:r>
        <w:rPr>
          <w:rFonts w:hint="eastAsia" w:ascii="宋体" w:hAnsi="宋体"/>
          <w:sz w:val="24"/>
        </w:rPr>
        <w:t>（一）合同经双方法定代表人（负责人）或授权委托代理人签字并加盖单位公章后生效。</w:t>
      </w:r>
    </w:p>
    <w:p>
      <w:pPr>
        <w:spacing w:line="360" w:lineRule="auto"/>
        <w:ind w:firstLine="480" w:firstLineChars="200"/>
        <w:rPr>
          <w:rFonts w:ascii="宋体" w:hAnsi="宋体"/>
          <w:sz w:val="24"/>
        </w:rPr>
      </w:pPr>
      <w:r>
        <w:rPr>
          <w:rFonts w:hint="eastAsia" w:ascii="宋体" w:hAnsi="宋体"/>
          <w:sz w:val="24"/>
        </w:rPr>
        <w:t>（二）合同执行中涉及采购资金和谈判采购内容修改或补充的，须经确认后，方可作为主合同不可分割的一部分。</w:t>
      </w:r>
    </w:p>
    <w:p>
      <w:pPr>
        <w:spacing w:line="360" w:lineRule="auto"/>
        <w:ind w:firstLine="480" w:firstLineChars="200"/>
        <w:rPr>
          <w:rFonts w:ascii="宋体" w:hAnsi="宋体"/>
          <w:sz w:val="24"/>
        </w:rPr>
      </w:pPr>
      <w:r>
        <w:rPr>
          <w:rFonts w:hint="eastAsia" w:ascii="宋体" w:hAnsi="宋体"/>
          <w:sz w:val="24"/>
        </w:rPr>
        <w:t>（三）下述合同附件为本合同不可分割的部分并与本合同具有同等效力：</w:t>
      </w:r>
    </w:p>
    <w:p>
      <w:pPr>
        <w:spacing w:line="360" w:lineRule="auto"/>
        <w:ind w:firstLine="720" w:firstLineChars="300"/>
        <w:rPr>
          <w:rFonts w:ascii="宋体" w:hAnsi="宋体"/>
          <w:sz w:val="24"/>
        </w:rPr>
      </w:pPr>
      <w:r>
        <w:rPr>
          <w:rFonts w:hint="eastAsia" w:ascii="宋体" w:hAnsi="宋体"/>
          <w:sz w:val="24"/>
        </w:rPr>
        <w:t>1.报价表</w:t>
      </w:r>
    </w:p>
    <w:p>
      <w:pPr>
        <w:spacing w:line="360" w:lineRule="auto"/>
        <w:ind w:firstLine="720" w:firstLineChars="300"/>
        <w:rPr>
          <w:rFonts w:ascii="宋体" w:hAnsi="宋体"/>
          <w:sz w:val="24"/>
        </w:rPr>
      </w:pPr>
      <w:r>
        <w:rPr>
          <w:rFonts w:hint="eastAsia" w:ascii="宋体" w:hAnsi="宋体"/>
          <w:sz w:val="24"/>
        </w:rPr>
        <w:t>2.服务质量标准</w:t>
      </w:r>
    </w:p>
    <w:p>
      <w:pPr>
        <w:spacing w:line="360" w:lineRule="auto"/>
        <w:ind w:firstLine="720" w:firstLineChars="300"/>
        <w:rPr>
          <w:rFonts w:ascii="宋体" w:hAnsi="宋体"/>
          <w:sz w:val="24"/>
        </w:rPr>
      </w:pPr>
      <w:r>
        <w:rPr>
          <w:rFonts w:hint="eastAsia" w:ascii="宋体" w:hAnsi="宋体"/>
          <w:sz w:val="24"/>
        </w:rPr>
        <w:t>3.乙方响应文件的内容及澄清内容</w:t>
      </w:r>
    </w:p>
    <w:p>
      <w:pPr>
        <w:spacing w:line="360" w:lineRule="auto"/>
        <w:ind w:firstLine="720" w:firstLineChars="300"/>
        <w:rPr>
          <w:rFonts w:ascii="宋体" w:hAnsi="宋体"/>
          <w:sz w:val="24"/>
        </w:rPr>
      </w:pPr>
      <w:r>
        <w:rPr>
          <w:rFonts w:hint="eastAsia" w:ascii="宋体" w:hAnsi="宋体"/>
          <w:sz w:val="24"/>
        </w:rPr>
        <w:t>4.其他与本合同相关的单据</w:t>
      </w:r>
    </w:p>
    <w:p>
      <w:pPr>
        <w:spacing w:line="360" w:lineRule="auto"/>
        <w:ind w:firstLine="720" w:firstLineChars="300"/>
        <w:rPr>
          <w:rFonts w:ascii="宋体" w:hAnsi="宋体"/>
          <w:sz w:val="24"/>
        </w:rPr>
      </w:pPr>
      <w:r>
        <w:rPr>
          <w:rFonts w:hint="eastAsia" w:ascii="宋体" w:hAnsi="宋体"/>
          <w:sz w:val="24"/>
        </w:rPr>
        <w:t>5.本合同适用的特殊条款</w:t>
      </w:r>
    </w:p>
    <w:p>
      <w:pPr>
        <w:spacing w:line="360" w:lineRule="auto"/>
        <w:ind w:firstLine="480" w:firstLineChars="200"/>
        <w:rPr>
          <w:rFonts w:ascii="宋体" w:hAnsi="宋体"/>
          <w:sz w:val="24"/>
        </w:rPr>
      </w:pPr>
      <w:r>
        <w:rPr>
          <w:rFonts w:hint="eastAsia" w:ascii="宋体" w:hAnsi="宋体"/>
          <w:sz w:val="24"/>
        </w:rPr>
        <w:t>（四）本合同未尽事宜，遵照《中华人民共和国民法典》有关条文执行。</w:t>
      </w:r>
    </w:p>
    <w:p>
      <w:pPr>
        <w:spacing w:line="360" w:lineRule="auto"/>
        <w:ind w:firstLine="480" w:firstLineChars="200"/>
        <w:rPr>
          <w:rFonts w:ascii="宋体" w:hAnsi="宋体"/>
          <w:sz w:val="24"/>
        </w:rPr>
      </w:pPr>
      <w:r>
        <w:rPr>
          <w:rFonts w:hint="eastAsia" w:ascii="宋体" w:hAnsi="宋体"/>
          <w:sz w:val="24"/>
        </w:rPr>
        <w:t>（五）本合同正本一式三份（采购人、供应商、采购代理机构各执一份），具有同等法律效力。</w:t>
      </w:r>
    </w:p>
    <w:p>
      <w:pPr>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甲方（盖章）：                     乙方（盖章）：</w:t>
      </w:r>
    </w:p>
    <w:p>
      <w:pPr>
        <w:spacing w:line="360" w:lineRule="auto"/>
        <w:ind w:firstLine="480" w:firstLineChars="200"/>
        <w:rPr>
          <w:rFonts w:ascii="宋体" w:hAnsi="宋体"/>
          <w:sz w:val="24"/>
        </w:rPr>
      </w:pPr>
      <w:r>
        <w:rPr>
          <w:rFonts w:hint="eastAsia" w:ascii="宋体" w:hAnsi="宋体"/>
          <w:sz w:val="24"/>
        </w:rPr>
        <w:t>地址：                            地址：</w:t>
      </w:r>
    </w:p>
    <w:p>
      <w:pPr>
        <w:spacing w:line="360" w:lineRule="auto"/>
        <w:ind w:firstLine="480" w:firstLineChars="200"/>
        <w:rPr>
          <w:rFonts w:ascii="宋体" w:hAnsi="宋体"/>
          <w:sz w:val="24"/>
        </w:rPr>
      </w:pPr>
      <w:r>
        <w:rPr>
          <w:rFonts w:hint="eastAsia" w:ascii="宋体" w:hAnsi="宋体"/>
          <w:sz w:val="24"/>
        </w:rPr>
        <w:t>法定代表人（负责人）：             法定代表人（负责人）：</w:t>
      </w:r>
    </w:p>
    <w:p>
      <w:pPr>
        <w:spacing w:line="360" w:lineRule="auto"/>
        <w:ind w:firstLine="480" w:firstLineChars="200"/>
        <w:rPr>
          <w:rFonts w:ascii="宋体" w:hAnsi="宋体"/>
          <w:sz w:val="24"/>
        </w:rPr>
      </w:pPr>
      <w:r>
        <w:rPr>
          <w:rFonts w:hint="eastAsia" w:ascii="宋体" w:hAnsi="宋体"/>
          <w:sz w:val="24"/>
        </w:rPr>
        <w:t>被授权人：                        被授权人：</w:t>
      </w:r>
    </w:p>
    <w:p>
      <w:pPr>
        <w:spacing w:line="360" w:lineRule="auto"/>
        <w:ind w:firstLine="480" w:firstLineChars="200"/>
        <w:rPr>
          <w:rFonts w:ascii="宋体" w:hAnsi="宋体"/>
          <w:sz w:val="24"/>
        </w:rPr>
      </w:pPr>
      <w:r>
        <w:rPr>
          <w:rFonts w:hint="eastAsia" w:ascii="宋体" w:hAnsi="宋体"/>
          <w:sz w:val="24"/>
        </w:rPr>
        <w:t>电话：                            电话：</w:t>
      </w:r>
    </w:p>
    <w:p>
      <w:pPr>
        <w:spacing w:line="360" w:lineRule="auto"/>
        <w:ind w:firstLine="480" w:firstLineChars="200"/>
        <w:rPr>
          <w:rFonts w:ascii="宋体" w:hAnsi="宋体"/>
          <w:sz w:val="24"/>
        </w:rPr>
      </w:pPr>
      <w:r>
        <w:rPr>
          <w:rFonts w:hint="eastAsia" w:ascii="宋体" w:hAnsi="宋体"/>
          <w:sz w:val="24"/>
        </w:rPr>
        <w:t>传真：                            传真：</w:t>
      </w:r>
    </w:p>
    <w:p>
      <w:pPr>
        <w:spacing w:line="360" w:lineRule="auto"/>
        <w:ind w:firstLine="480" w:firstLineChars="200"/>
        <w:rPr>
          <w:rFonts w:ascii="宋体" w:hAnsi="宋体"/>
          <w:sz w:val="24"/>
        </w:rPr>
      </w:pPr>
      <w:r>
        <w:rPr>
          <w:rFonts w:hint="eastAsia" w:ascii="宋体" w:hAnsi="宋体"/>
          <w:sz w:val="24"/>
        </w:rPr>
        <w:t>邮政编码：                        邮政编码：</w:t>
      </w:r>
    </w:p>
    <w:p>
      <w:pPr>
        <w:spacing w:line="360" w:lineRule="auto"/>
        <w:ind w:firstLine="480" w:firstLineChars="200"/>
        <w:rPr>
          <w:rFonts w:ascii="宋体" w:hAnsi="宋体"/>
          <w:sz w:val="24"/>
        </w:rPr>
      </w:pPr>
      <w:r>
        <w:rPr>
          <w:rFonts w:hint="eastAsia" w:ascii="宋体" w:hAnsi="宋体"/>
          <w:sz w:val="24"/>
        </w:rPr>
        <w:t>开户银行：                        开户银行：</w:t>
      </w:r>
    </w:p>
    <w:p>
      <w:pPr>
        <w:spacing w:line="360" w:lineRule="auto"/>
        <w:ind w:firstLine="480" w:firstLineChars="200"/>
        <w:rPr>
          <w:rFonts w:ascii="宋体" w:hAnsi="宋体"/>
          <w:sz w:val="24"/>
        </w:rPr>
      </w:pPr>
      <w:r>
        <w:rPr>
          <w:rFonts w:hint="eastAsia" w:ascii="宋体" w:hAnsi="宋体"/>
          <w:sz w:val="24"/>
        </w:rPr>
        <w:t>帐号：                            帐号：</w:t>
      </w:r>
    </w:p>
    <w:p>
      <w:pPr>
        <w:spacing w:line="360" w:lineRule="auto"/>
        <w:ind w:firstLine="480" w:firstLineChars="200"/>
        <w:rPr>
          <w:rFonts w:ascii="宋体" w:hAnsi="宋体"/>
          <w:sz w:val="24"/>
        </w:rPr>
      </w:pPr>
      <w:r>
        <w:rPr>
          <w:rFonts w:hint="eastAsia" w:ascii="宋体" w:hAnsi="宋体"/>
          <w:sz w:val="24"/>
        </w:rPr>
        <w:t>签订地点：                        签订日期：</w:t>
      </w:r>
    </w:p>
    <w:p>
      <w:pPr>
        <w:spacing w:line="360" w:lineRule="auto"/>
        <w:rPr>
          <w:rFonts w:ascii="宋体" w:hAnsi="宋体"/>
          <w:sz w:val="24"/>
        </w:rPr>
      </w:pPr>
    </w:p>
    <w:p>
      <w:pPr>
        <w:rPr>
          <w:rFonts w:ascii="宋体" w:hAnsi="宋体"/>
          <w:b/>
          <w:sz w:val="24"/>
        </w:rPr>
      </w:pPr>
    </w:p>
    <w:p>
      <w:pPr>
        <w:jc w:val="left"/>
        <w:rPr>
          <w:rFonts w:ascii="宋体" w:hAnsi="宋体"/>
          <w:b/>
          <w:sz w:val="24"/>
        </w:rPr>
      </w:pPr>
      <w:r>
        <w:rPr>
          <w:rFonts w:hint="eastAsia" w:ascii="宋体" w:hAnsi="宋体"/>
          <w:b/>
          <w:sz w:val="24"/>
        </w:rPr>
        <w:t>注：该合同格式仅为主要条款、以最终双方签订合同条款为准。</w:t>
      </w:r>
    </w:p>
    <w:p>
      <w:pPr>
        <w:jc w:val="center"/>
        <w:rPr>
          <w:rFonts w:asciiTheme="minorEastAsia" w:hAnsiTheme="minorEastAsia" w:eastAsiaTheme="minorEastAsia"/>
          <w:sz w:val="24"/>
        </w:rPr>
        <w:sectPr>
          <w:headerReference r:id="rId6" w:type="first"/>
          <w:footerReference r:id="rId7" w:type="default"/>
          <w:pgSz w:w="11906" w:h="16838"/>
          <w:pgMar w:top="1440" w:right="1418" w:bottom="1440" w:left="1418" w:header="851" w:footer="992" w:gutter="0"/>
          <w:pgNumType w:start="0"/>
          <w:cols w:space="425" w:num="1"/>
          <w:titlePg/>
          <w:docGrid w:type="lines" w:linePitch="312" w:charSpace="0"/>
        </w:sectPr>
      </w:pPr>
    </w:p>
    <w:p>
      <w:pPr>
        <w:snapToGrid w:val="0"/>
        <w:spacing w:line="360" w:lineRule="auto"/>
        <w:rPr>
          <w:rFonts w:ascii="宋体" w:hAnsi="宋体"/>
          <w:b/>
          <w:sz w:val="44"/>
          <w:szCs w:val="44"/>
        </w:rPr>
      </w:pPr>
    </w:p>
    <w:p>
      <w:pPr>
        <w:snapToGrid w:val="0"/>
        <w:spacing w:line="360" w:lineRule="auto"/>
        <w:jc w:val="center"/>
        <w:rPr>
          <w:rFonts w:ascii="宋体" w:hAnsi="宋体"/>
          <w:b/>
          <w:sz w:val="44"/>
          <w:szCs w:val="44"/>
        </w:rPr>
      </w:pPr>
    </w:p>
    <w:p>
      <w:pPr>
        <w:snapToGrid w:val="0"/>
        <w:spacing w:line="360" w:lineRule="auto"/>
        <w:jc w:val="center"/>
        <w:rPr>
          <w:rFonts w:ascii="宋体" w:hAnsi="宋体"/>
          <w:b/>
          <w:sz w:val="44"/>
          <w:szCs w:val="44"/>
        </w:rPr>
      </w:pPr>
    </w:p>
    <w:p>
      <w:pPr>
        <w:snapToGrid w:val="0"/>
        <w:spacing w:line="360" w:lineRule="auto"/>
        <w:jc w:val="center"/>
        <w:rPr>
          <w:rFonts w:ascii="宋体" w:hAnsi="宋体"/>
          <w:b/>
          <w:sz w:val="44"/>
          <w:szCs w:val="44"/>
        </w:rPr>
      </w:pPr>
    </w:p>
    <w:p>
      <w:pPr>
        <w:snapToGrid w:val="0"/>
        <w:spacing w:line="360" w:lineRule="auto"/>
        <w:jc w:val="center"/>
        <w:rPr>
          <w:rFonts w:ascii="宋体" w:hAnsi="宋体"/>
          <w:b/>
          <w:sz w:val="44"/>
          <w:szCs w:val="44"/>
        </w:rPr>
      </w:pPr>
    </w:p>
    <w:p>
      <w:pPr>
        <w:snapToGrid w:val="0"/>
        <w:spacing w:line="360" w:lineRule="auto"/>
        <w:jc w:val="center"/>
        <w:rPr>
          <w:rFonts w:ascii="宋体" w:hAnsi="宋体"/>
          <w:b/>
          <w:sz w:val="44"/>
          <w:szCs w:val="44"/>
        </w:rPr>
      </w:pPr>
    </w:p>
    <w:p>
      <w:pPr>
        <w:snapToGrid w:val="0"/>
        <w:spacing w:line="360" w:lineRule="auto"/>
        <w:jc w:val="center"/>
        <w:rPr>
          <w:rFonts w:ascii="宋体" w:hAnsi="宋体"/>
          <w:b/>
          <w:sz w:val="44"/>
          <w:szCs w:val="44"/>
        </w:rPr>
      </w:pPr>
    </w:p>
    <w:p>
      <w:pPr>
        <w:snapToGrid w:val="0"/>
        <w:spacing w:line="360" w:lineRule="auto"/>
        <w:jc w:val="center"/>
        <w:rPr>
          <w:rFonts w:ascii="宋体" w:hAnsi="宋体"/>
          <w:b/>
          <w:sz w:val="44"/>
          <w:szCs w:val="44"/>
        </w:rPr>
      </w:pPr>
      <w:r>
        <w:rPr>
          <w:rFonts w:hint="eastAsia" w:ascii="宋体" w:hAnsi="宋体"/>
          <w:b/>
          <w:sz w:val="44"/>
          <w:szCs w:val="44"/>
        </w:rPr>
        <w:t>第三章 项目需求及技术要求</w:t>
      </w:r>
    </w:p>
    <w:p>
      <w:pPr>
        <w:snapToGrid w:val="0"/>
        <w:spacing w:line="360" w:lineRule="auto"/>
        <w:jc w:val="center"/>
        <w:rPr>
          <w:rFonts w:ascii="宋体" w:hAnsi="宋体"/>
          <w:b/>
          <w:sz w:val="44"/>
          <w:szCs w:val="44"/>
        </w:rPr>
      </w:pPr>
    </w:p>
    <w:p>
      <w:pPr>
        <w:snapToGrid w:val="0"/>
        <w:spacing w:line="360" w:lineRule="auto"/>
        <w:jc w:val="center"/>
        <w:rPr>
          <w:rFonts w:ascii="宋体" w:hAnsi="宋体"/>
          <w:b/>
          <w:sz w:val="44"/>
          <w:szCs w:val="44"/>
        </w:rPr>
      </w:pPr>
    </w:p>
    <w:p>
      <w:pPr>
        <w:widowControl/>
        <w:jc w:val="left"/>
        <w:rPr>
          <w:rFonts w:ascii="宋体" w:hAnsi="宋体"/>
          <w:b/>
          <w:sz w:val="44"/>
          <w:szCs w:val="44"/>
        </w:rPr>
      </w:pPr>
      <w:r>
        <w:rPr>
          <w:rFonts w:hAnsi="宋体"/>
          <w:b/>
          <w:sz w:val="44"/>
          <w:szCs w:val="44"/>
        </w:rPr>
        <w:br w:type="page"/>
      </w:r>
    </w:p>
    <w:p>
      <w:pPr>
        <w:pStyle w:val="44"/>
        <w:tabs>
          <w:tab w:val="left" w:pos="2340"/>
        </w:tabs>
        <w:adjustRightInd w:val="0"/>
        <w:snapToGrid w:val="0"/>
        <w:spacing w:line="360" w:lineRule="auto"/>
        <w:jc w:val="center"/>
        <w:rPr>
          <w:rFonts w:cs="Times New Roman" w:asciiTheme="minorEastAsia" w:hAnsiTheme="minorEastAsia" w:eastAsiaTheme="minorEastAsia"/>
          <w:b/>
          <w:sz w:val="32"/>
          <w:szCs w:val="32"/>
        </w:rPr>
      </w:pPr>
      <w:r>
        <w:rPr>
          <w:rFonts w:hint="eastAsia" w:cs="Times New Roman" w:asciiTheme="minorEastAsia" w:hAnsiTheme="minorEastAsia" w:eastAsiaTheme="minorEastAsia"/>
          <w:b/>
          <w:sz w:val="32"/>
          <w:szCs w:val="32"/>
        </w:rPr>
        <w:t>项目服务及技术需求</w:t>
      </w:r>
    </w:p>
    <w:p>
      <w:pPr>
        <w:spacing w:line="360" w:lineRule="auto"/>
        <w:rPr>
          <w:rFonts w:ascii="宋体" w:hAnsi="宋体"/>
          <w:b/>
          <w:bCs/>
          <w:sz w:val="24"/>
        </w:rPr>
      </w:pPr>
      <w:r>
        <w:rPr>
          <w:rFonts w:hint="eastAsia" w:ascii="宋体" w:hAnsi="宋体"/>
          <w:b/>
          <w:bCs/>
          <w:sz w:val="24"/>
        </w:rPr>
        <w:t>1、项目概况</w:t>
      </w:r>
    </w:p>
    <w:p>
      <w:pPr>
        <w:spacing w:line="360" w:lineRule="auto"/>
        <w:rPr>
          <w:rFonts w:ascii="宋体" w:hAnsi="宋体"/>
          <w:b/>
          <w:bCs/>
          <w:sz w:val="24"/>
        </w:rPr>
      </w:pPr>
      <w:r>
        <w:rPr>
          <w:rFonts w:hint="eastAsia" w:ascii="宋体" w:hAnsi="宋体" w:cs="宋体"/>
          <w:b/>
          <w:bCs/>
          <w:sz w:val="24"/>
        </w:rPr>
        <w:t>1.1拟建地点</w:t>
      </w:r>
    </w:p>
    <w:p>
      <w:pPr>
        <w:spacing w:line="360" w:lineRule="auto"/>
        <w:ind w:firstLine="480" w:firstLineChars="200"/>
        <w:rPr>
          <w:rFonts w:ascii="宋体" w:hAnsi="宋体" w:cs="宋体"/>
          <w:sz w:val="24"/>
        </w:rPr>
      </w:pPr>
      <w:r>
        <w:rPr>
          <w:rFonts w:hint="eastAsia" w:ascii="宋体" w:hAnsi="宋体" w:cs="宋体"/>
          <w:sz w:val="24"/>
        </w:rPr>
        <w:t>项目位于大连市沙河口区。</w:t>
      </w:r>
    </w:p>
    <w:p>
      <w:pPr>
        <w:spacing w:line="360" w:lineRule="auto"/>
        <w:rPr>
          <w:rFonts w:ascii="宋体" w:hAnsi="宋体" w:cs="宋体"/>
          <w:sz w:val="24"/>
        </w:rPr>
      </w:pPr>
      <w:r>
        <w:rPr>
          <w:rFonts w:hint="eastAsia" w:ascii="宋体" w:hAnsi="宋体" w:cs="宋体"/>
          <w:b/>
          <w:bCs/>
          <w:sz w:val="24"/>
        </w:rPr>
        <w:t>1.2建设规模与内容</w:t>
      </w:r>
    </w:p>
    <w:p>
      <w:pPr>
        <w:spacing w:line="360" w:lineRule="auto"/>
        <w:ind w:firstLine="480" w:firstLineChars="200"/>
        <w:rPr>
          <w:rFonts w:ascii="宋体" w:hAnsi="宋体" w:cs="宋体"/>
          <w:sz w:val="24"/>
        </w:rPr>
      </w:pPr>
      <w:r>
        <w:rPr>
          <w:rFonts w:hint="eastAsia" w:ascii="宋体" w:hAnsi="宋体" w:cs="宋体"/>
          <w:sz w:val="24"/>
        </w:rPr>
        <w:t>总建筑面积17600㎡（计容面积㎡），地上6层，地下2层。其中：地上建筑面积约7600㎡，拟作为感染楼；地下建筑面积约10000 ㎡</w:t>
      </w:r>
      <w:r>
        <w:rPr>
          <w:rFonts w:hint="eastAsia" w:ascii="宋体" w:hAnsi="宋体" w:cs="宋体"/>
          <w:sz w:val="24"/>
          <w:vertAlign w:val="superscript"/>
        </w:rPr>
        <w:t>，</w:t>
      </w:r>
      <w:r>
        <w:rPr>
          <w:rFonts w:hint="eastAsia" w:ascii="宋体" w:hAnsi="宋体" w:cs="宋体"/>
          <w:sz w:val="24"/>
        </w:rPr>
        <w:t>拟作为停车场。</w:t>
      </w:r>
    </w:p>
    <w:p>
      <w:pPr>
        <w:spacing w:line="360" w:lineRule="auto"/>
        <w:rPr>
          <w:rFonts w:ascii="宋体" w:hAnsi="宋体" w:cs="宋体"/>
          <w:sz w:val="24"/>
        </w:rPr>
      </w:pPr>
      <w:r>
        <w:rPr>
          <w:rFonts w:hint="eastAsia" w:ascii="宋体" w:hAnsi="宋体" w:cs="宋体"/>
          <w:b/>
          <w:bCs/>
          <w:sz w:val="24"/>
        </w:rPr>
        <w:t>2、服务要求</w:t>
      </w:r>
    </w:p>
    <w:p>
      <w:pPr>
        <w:spacing w:line="360" w:lineRule="auto"/>
        <w:ind w:firstLine="480" w:firstLineChars="200"/>
        <w:rPr>
          <w:rFonts w:ascii="宋体" w:hAnsi="宋体" w:cs="宋体"/>
          <w:sz w:val="24"/>
        </w:rPr>
      </w:pPr>
      <w:r>
        <w:rPr>
          <w:rFonts w:hint="eastAsia" w:ascii="宋体" w:hAnsi="宋体" w:cs="宋体"/>
          <w:bCs/>
          <w:kern w:val="0"/>
          <w:sz w:val="24"/>
        </w:rPr>
        <w:t>2.1</w:t>
      </w:r>
      <w:r>
        <w:rPr>
          <w:rFonts w:ascii="宋体" w:hAnsi="宋体" w:cs="宋体"/>
          <w:bCs/>
          <w:kern w:val="0"/>
          <w:sz w:val="24"/>
        </w:rPr>
        <w:t>项目勘察（包括初勘、详勘施工勘察），出具勘察报告，完成勘察报告审核，无条件按照审核单位意见修改完善报告等要件直至完成审核手续，并提供施工阶段和竣工验收阶段的技术咨询服务。</w:t>
      </w:r>
    </w:p>
    <w:p>
      <w:pPr>
        <w:spacing w:line="360" w:lineRule="auto"/>
        <w:ind w:firstLine="480" w:firstLineChars="200"/>
        <w:rPr>
          <w:rFonts w:ascii="宋体" w:hAnsi="宋体" w:cs="宋体"/>
          <w:sz w:val="24"/>
        </w:rPr>
      </w:pPr>
      <w:r>
        <w:rPr>
          <w:rFonts w:hint="eastAsia" w:ascii="宋体" w:hAnsi="宋体" w:cs="宋体"/>
          <w:bCs/>
          <w:kern w:val="0"/>
          <w:sz w:val="24"/>
        </w:rPr>
        <w:t>2.2</w:t>
      </w:r>
      <w:r>
        <w:rPr>
          <w:rFonts w:hint="eastAsia" w:ascii="宋体" w:hAnsi="宋体" w:cs="宋体"/>
          <w:kern w:val="0"/>
          <w:sz w:val="24"/>
        </w:rPr>
        <w:t>为本项目配备人员中至少一人为注册土木工程师（岩土）。</w:t>
      </w:r>
    </w:p>
    <w:p>
      <w:pPr>
        <w:spacing w:line="360" w:lineRule="auto"/>
        <w:rPr>
          <w:rFonts w:ascii="宋体" w:hAnsi="宋体" w:cs="宋体"/>
          <w:sz w:val="24"/>
        </w:rPr>
      </w:pPr>
      <w:r>
        <w:rPr>
          <w:rFonts w:hint="eastAsia" w:ascii="宋体" w:hAnsi="宋体" w:cs="宋体"/>
          <w:b/>
          <w:kern w:val="0"/>
          <w:sz w:val="24"/>
        </w:rPr>
        <w:t>3、勘察目的、任务</w:t>
      </w:r>
    </w:p>
    <w:p>
      <w:pPr>
        <w:spacing w:line="360" w:lineRule="auto"/>
        <w:ind w:firstLine="480" w:firstLineChars="200"/>
        <w:rPr>
          <w:rFonts w:ascii="宋体" w:hAnsi="宋体" w:cs="宋体"/>
          <w:sz w:val="24"/>
        </w:rPr>
      </w:pPr>
      <w:r>
        <w:rPr>
          <w:rFonts w:hint="eastAsia" w:ascii="宋体" w:hAnsi="宋体" w:cs="宋体"/>
          <w:bCs/>
          <w:kern w:val="0"/>
          <w:sz w:val="24"/>
        </w:rPr>
        <w:t>详细勘察的目的与任务是为拟建构筑物的设计、施工提供详细的岩土工程资料和设计、施工所需的岩土参数；对建筑物地基做出岩土工程评价，并对地基类型、基础形式、地基处理、基坑支护、工程降水和不良地质错用的防治等提出建议。具体包含以下内容：</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1.</w:t>
      </w:r>
      <w:r>
        <w:rPr>
          <w:rFonts w:hint="eastAsia" w:ascii="宋体" w:hAnsi="宋体" w:cs="宋体"/>
          <w:bCs/>
          <w:kern w:val="0"/>
          <w:sz w:val="24"/>
        </w:rPr>
        <w:t>搜集附有坐标和地形的建筑总平面，场区的地面整平标高，构筑物的性质、规模、荷载、结构特点，基础形式、埋置深度，地基允许变形等资料；</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2.</w:t>
      </w:r>
      <w:r>
        <w:rPr>
          <w:rFonts w:hint="eastAsia" w:ascii="宋体" w:hAnsi="宋体" w:cs="宋体"/>
          <w:bCs/>
          <w:kern w:val="0"/>
          <w:sz w:val="24"/>
        </w:rPr>
        <w:t>查出不良地质作用的类型、成因、分布范围、发展趋势和危害程度，提出整治方案的建议；</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3.</w:t>
      </w:r>
      <w:r>
        <w:rPr>
          <w:rFonts w:hint="eastAsia" w:ascii="宋体" w:hAnsi="宋体" w:cs="宋体"/>
          <w:bCs/>
          <w:kern w:val="0"/>
          <w:sz w:val="24"/>
        </w:rPr>
        <w:t>查明建筑范围内岩土层的类型、深度、分布、工程特征，分析和评价地基的稳定性、均匀性和承载力；</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4.</w:t>
      </w:r>
      <w:r>
        <w:rPr>
          <w:rFonts w:hint="eastAsia" w:ascii="宋体" w:hAnsi="宋体" w:cs="宋体"/>
          <w:bCs/>
          <w:kern w:val="0"/>
          <w:sz w:val="24"/>
        </w:rPr>
        <w:t>对需进行沉降计算的构筑物，提供地基变形计算参数，预测构筑物的变形特征；</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5.</w:t>
      </w:r>
      <w:r>
        <w:rPr>
          <w:rFonts w:hint="eastAsia" w:ascii="宋体" w:hAnsi="宋体" w:cs="宋体"/>
          <w:bCs/>
          <w:kern w:val="0"/>
          <w:sz w:val="24"/>
        </w:rPr>
        <w:t>查明埋藏的河道、沟浜、墓穴、防空洞、孤石等对工程不利的埋藏物；</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6.</w:t>
      </w:r>
      <w:r>
        <w:rPr>
          <w:rFonts w:hint="eastAsia" w:ascii="宋体" w:hAnsi="宋体" w:cs="宋体"/>
          <w:bCs/>
          <w:kern w:val="0"/>
          <w:sz w:val="24"/>
        </w:rPr>
        <w:t>查明地下水的埋藏条件，提供地下水位及其变化幅度；</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7.</w:t>
      </w:r>
      <w:r>
        <w:rPr>
          <w:rFonts w:hint="eastAsia" w:ascii="宋体" w:hAnsi="宋体" w:cs="宋体"/>
          <w:bCs/>
          <w:kern w:val="0"/>
          <w:sz w:val="24"/>
        </w:rPr>
        <w:t>在季节性冻土地区，提供场地土的标准冻结深度；</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8.</w:t>
      </w:r>
      <w:r>
        <w:rPr>
          <w:rFonts w:hint="eastAsia" w:ascii="宋体" w:hAnsi="宋体" w:cs="宋体"/>
          <w:bCs/>
          <w:kern w:val="0"/>
          <w:sz w:val="24"/>
        </w:rPr>
        <w:t>判定水和土对建筑材料的腐蚀性；</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9.</w:t>
      </w:r>
      <w:r>
        <w:rPr>
          <w:rFonts w:hint="eastAsia" w:ascii="宋体" w:hAnsi="宋体" w:cs="宋体"/>
          <w:bCs/>
          <w:kern w:val="0"/>
          <w:sz w:val="24"/>
        </w:rPr>
        <w:t>应确定场地类别，对场地的地震效应进行分析评价；</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10.</w:t>
      </w:r>
      <w:r>
        <w:rPr>
          <w:rFonts w:hint="eastAsia" w:ascii="宋体" w:hAnsi="宋体" w:cs="宋体"/>
          <w:bCs/>
          <w:kern w:val="0"/>
          <w:sz w:val="24"/>
        </w:rPr>
        <w:t>提供桩基设计计算参数，在进行经济技术必选的基础上对基础选型提出建议；评价成桩可能性，论证桩的施工条件及其对环境的影响；</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11.</w:t>
      </w:r>
      <w:r>
        <w:rPr>
          <w:rFonts w:hint="eastAsia" w:ascii="宋体" w:hAnsi="宋体" w:cs="宋体"/>
          <w:bCs/>
          <w:kern w:val="0"/>
          <w:sz w:val="24"/>
        </w:rPr>
        <w:t>提供基坑开挖设计所需岩土参数，对基坑围护、降水措施提出建议；</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12.</w:t>
      </w:r>
      <w:r>
        <w:rPr>
          <w:rFonts w:hint="eastAsia" w:ascii="宋体" w:hAnsi="宋体" w:cs="宋体"/>
          <w:bCs/>
          <w:kern w:val="0"/>
          <w:sz w:val="24"/>
        </w:rPr>
        <w:t>对拟建场地地基基础设计、施工注意事项等提出建议。</w:t>
      </w:r>
    </w:p>
    <w:p>
      <w:pPr>
        <w:spacing w:line="360" w:lineRule="auto"/>
        <w:outlineLvl w:val="0"/>
        <w:rPr>
          <w:rFonts w:ascii="宋体" w:hAnsi="宋体" w:cs="宋体"/>
          <w:sz w:val="24"/>
        </w:rPr>
      </w:pPr>
      <w:bookmarkStart w:id="4" w:name="_Toc256000517"/>
      <w:bookmarkStart w:id="5" w:name="_Toc256000278"/>
      <w:r>
        <w:rPr>
          <w:rFonts w:hint="eastAsia" w:ascii="宋体" w:hAnsi="宋体" w:cs="宋体"/>
          <w:b/>
          <w:sz w:val="24"/>
        </w:rPr>
        <w:t>4、</w:t>
      </w:r>
      <w:r>
        <w:rPr>
          <w:rFonts w:hint="eastAsia" w:ascii="宋体" w:hAnsi="宋体" w:cs="宋体"/>
          <w:b/>
          <w:bCs/>
          <w:sz w:val="24"/>
        </w:rPr>
        <w:t>勘测依据</w:t>
      </w:r>
      <w:bookmarkEnd w:id="4"/>
      <w:bookmarkEnd w:id="5"/>
    </w:p>
    <w:p>
      <w:pPr>
        <w:tabs>
          <w:tab w:val="left" w:pos="0"/>
          <w:tab w:val="left" w:pos="397"/>
          <w:tab w:val="left" w:pos="567"/>
          <w:tab w:val="left" w:pos="993"/>
          <w:tab w:val="left" w:pos="1134"/>
        </w:tabs>
        <w:spacing w:after="100" w:afterAutospacing="1" w:line="360" w:lineRule="auto"/>
        <w:ind w:firstLine="482" w:firstLineChars="200"/>
        <w:contextualSpacing/>
        <w:rPr>
          <w:rFonts w:ascii="宋体" w:hAnsi="宋体"/>
          <w:b/>
          <w:sz w:val="24"/>
        </w:rPr>
      </w:pPr>
      <w:bookmarkStart w:id="6" w:name="_Toc256000279"/>
      <w:bookmarkStart w:id="7" w:name="_Toc256000518"/>
      <w:r>
        <w:rPr>
          <w:rFonts w:hint="eastAsia" w:ascii="宋体" w:hAnsi="宋体"/>
          <w:b/>
          <w:sz w:val="24"/>
        </w:rPr>
        <w:t>4.1岩土勘察工程技术标准与规范</w:t>
      </w:r>
    </w:p>
    <w:p>
      <w:pPr>
        <w:spacing w:line="360" w:lineRule="auto"/>
        <w:ind w:firstLine="480" w:firstLineChars="200"/>
        <w:contextualSpacing/>
        <w:rPr>
          <w:rFonts w:ascii="宋体" w:hAnsi="宋体"/>
          <w:sz w:val="24"/>
        </w:rPr>
      </w:pPr>
      <w:r>
        <w:rPr>
          <w:rFonts w:hint="eastAsia" w:ascii="宋体" w:hAnsi="宋体"/>
          <w:sz w:val="24"/>
        </w:rPr>
        <w:t>（1）岩土勘察工程基本原则</w:t>
      </w:r>
    </w:p>
    <w:p>
      <w:pPr>
        <w:spacing w:line="360" w:lineRule="auto"/>
        <w:ind w:firstLine="480" w:firstLineChars="200"/>
        <w:contextualSpacing/>
        <w:rPr>
          <w:rFonts w:ascii="宋体" w:hAnsi="宋体"/>
          <w:sz w:val="24"/>
        </w:rPr>
      </w:pPr>
      <w:r>
        <w:rPr>
          <w:rFonts w:hint="eastAsia" w:ascii="宋体" w:hAnsi="宋体"/>
          <w:sz w:val="24"/>
        </w:rPr>
        <w:t>a.本工程的岩土勘察过程和成果必须符合国家有关工程建设标准强制性条文和建设部关于岩土勘察方面现行标准、规范、规程和办法等。</w:t>
      </w:r>
    </w:p>
    <w:p>
      <w:pPr>
        <w:spacing w:line="360" w:lineRule="auto"/>
        <w:ind w:firstLine="480" w:firstLineChars="200"/>
        <w:contextualSpacing/>
        <w:rPr>
          <w:rFonts w:ascii="宋体" w:hAnsi="宋体"/>
          <w:sz w:val="24"/>
        </w:rPr>
      </w:pPr>
      <w:r>
        <w:rPr>
          <w:rFonts w:hint="eastAsia" w:ascii="宋体" w:hAnsi="宋体"/>
          <w:sz w:val="24"/>
        </w:rPr>
        <w:t>b</w:t>
      </w:r>
      <w:r>
        <w:rPr>
          <w:rFonts w:ascii="宋体" w:hAnsi="宋体"/>
          <w:sz w:val="24"/>
        </w:rPr>
        <w:t>.</w:t>
      </w:r>
      <w:r>
        <w:rPr>
          <w:rFonts w:hint="eastAsia" w:ascii="宋体" w:hAnsi="宋体"/>
          <w:sz w:val="24"/>
        </w:rPr>
        <w:t>中标人在岩土勘察工作中使用或参考上述标准、规范以外的技术标准、规范时，应征得业主或业主指定的代表人的同意。</w:t>
      </w:r>
    </w:p>
    <w:p>
      <w:pPr>
        <w:spacing w:line="360" w:lineRule="auto"/>
        <w:ind w:firstLine="480" w:firstLineChars="200"/>
        <w:contextualSpacing/>
        <w:rPr>
          <w:rFonts w:ascii="宋体" w:hAnsi="宋体"/>
          <w:sz w:val="24"/>
        </w:rPr>
      </w:pPr>
      <w:r>
        <w:rPr>
          <w:rFonts w:hint="eastAsia" w:ascii="宋体" w:hAnsi="宋体"/>
          <w:sz w:val="24"/>
        </w:rPr>
        <w:t>c</w:t>
      </w:r>
      <w:r>
        <w:rPr>
          <w:rFonts w:ascii="宋体" w:hAnsi="宋体"/>
          <w:sz w:val="24"/>
        </w:rPr>
        <w:t>.</w:t>
      </w:r>
      <w:r>
        <w:rPr>
          <w:rFonts w:hint="eastAsia" w:ascii="宋体" w:hAnsi="宋体"/>
          <w:sz w:val="24"/>
        </w:rPr>
        <w:t>中标人在岩土勘察工作中必须使用中华人民共和国《工程建设标准强制性条文》规定的标准、规范。</w:t>
      </w:r>
    </w:p>
    <w:p>
      <w:pPr>
        <w:spacing w:line="360" w:lineRule="auto"/>
        <w:ind w:firstLine="480" w:firstLineChars="200"/>
        <w:contextualSpacing/>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）岩土勘察规范、规程或标准：</w:t>
      </w:r>
    </w:p>
    <w:p>
      <w:pPr>
        <w:autoSpaceDE w:val="0"/>
        <w:autoSpaceDN w:val="0"/>
        <w:adjustRightInd w:val="0"/>
        <w:spacing w:line="360" w:lineRule="auto"/>
        <w:ind w:firstLine="480" w:firstLineChars="200"/>
        <w:contextualSpacing/>
        <w:jc w:val="left"/>
        <w:rPr>
          <w:rFonts w:ascii="宋体" w:hAnsi="宋体"/>
          <w:sz w:val="24"/>
        </w:rPr>
      </w:pPr>
      <w:r>
        <w:rPr>
          <w:rFonts w:hint="eastAsia" w:ascii="宋体" w:hAnsi="宋体"/>
          <w:sz w:val="24"/>
        </w:rPr>
        <w:t>岩土勘察应符合国家现行规范、规程、标准的规定，目前适用版本推荐如下，如有后继变更，则应以最新版本或最新颁发者为准。</w:t>
      </w:r>
    </w:p>
    <w:p>
      <w:pPr>
        <w:autoSpaceDE w:val="0"/>
        <w:autoSpaceDN w:val="0"/>
        <w:adjustRightInd w:val="0"/>
        <w:spacing w:line="360" w:lineRule="auto"/>
        <w:ind w:firstLine="480" w:firstLineChars="200"/>
        <w:contextualSpacing/>
        <w:jc w:val="left"/>
        <w:rPr>
          <w:rFonts w:ascii="宋体" w:hAnsi="宋体"/>
          <w:sz w:val="24"/>
        </w:rPr>
      </w:pPr>
      <w:r>
        <w:rPr>
          <w:rFonts w:ascii="宋体" w:hAnsi="宋体"/>
          <w:sz w:val="24"/>
        </w:rPr>
        <w:t>《建筑地基基础设计规范》（GB50007-2002）</w:t>
      </w:r>
    </w:p>
    <w:p>
      <w:pPr>
        <w:autoSpaceDE w:val="0"/>
        <w:autoSpaceDN w:val="0"/>
        <w:adjustRightInd w:val="0"/>
        <w:spacing w:line="360" w:lineRule="auto"/>
        <w:ind w:firstLine="480" w:firstLineChars="200"/>
        <w:contextualSpacing/>
        <w:jc w:val="left"/>
        <w:rPr>
          <w:rFonts w:ascii="宋体" w:hAnsi="宋体"/>
          <w:sz w:val="24"/>
        </w:rPr>
      </w:pPr>
      <w:r>
        <w:rPr>
          <w:rFonts w:hint="eastAsia" w:ascii="宋体" w:hAnsi="宋体"/>
          <w:sz w:val="24"/>
        </w:rPr>
        <w:t>《市政工程勘察规范》（CJJ56-2012）</w:t>
      </w:r>
    </w:p>
    <w:p>
      <w:pPr>
        <w:autoSpaceDE w:val="0"/>
        <w:autoSpaceDN w:val="0"/>
        <w:adjustRightInd w:val="0"/>
        <w:spacing w:line="360" w:lineRule="auto"/>
        <w:ind w:firstLine="480" w:firstLineChars="200"/>
        <w:contextualSpacing/>
        <w:jc w:val="left"/>
        <w:rPr>
          <w:rFonts w:ascii="宋体" w:hAnsi="宋体"/>
          <w:sz w:val="24"/>
        </w:rPr>
      </w:pPr>
      <w:r>
        <w:rPr>
          <w:rFonts w:ascii="宋体" w:hAnsi="宋体"/>
          <w:sz w:val="24"/>
        </w:rPr>
        <w:t>《建筑抗震设计规范》（GB50011-2001）</w:t>
      </w:r>
    </w:p>
    <w:p>
      <w:pPr>
        <w:autoSpaceDE w:val="0"/>
        <w:autoSpaceDN w:val="0"/>
        <w:adjustRightInd w:val="0"/>
        <w:spacing w:line="360" w:lineRule="auto"/>
        <w:ind w:firstLine="480" w:firstLineChars="200"/>
        <w:contextualSpacing/>
        <w:jc w:val="left"/>
        <w:rPr>
          <w:rFonts w:ascii="宋体" w:hAnsi="宋体"/>
          <w:sz w:val="24"/>
        </w:rPr>
      </w:pPr>
      <w:r>
        <w:rPr>
          <w:rFonts w:ascii="宋体" w:hAnsi="宋体"/>
          <w:sz w:val="24"/>
        </w:rPr>
        <w:t>《岩土工程勘</w:t>
      </w:r>
      <w:r>
        <w:rPr>
          <w:rFonts w:hint="eastAsia" w:ascii="宋体" w:hAnsi="宋体"/>
          <w:sz w:val="24"/>
        </w:rPr>
        <w:t>察</w:t>
      </w:r>
      <w:r>
        <w:rPr>
          <w:rFonts w:ascii="宋体" w:hAnsi="宋体"/>
          <w:sz w:val="24"/>
        </w:rPr>
        <w:t>规范》（GB50021-2001）</w:t>
      </w:r>
    </w:p>
    <w:p>
      <w:pPr>
        <w:autoSpaceDE w:val="0"/>
        <w:autoSpaceDN w:val="0"/>
        <w:adjustRightInd w:val="0"/>
        <w:spacing w:line="360" w:lineRule="auto"/>
        <w:ind w:firstLine="480" w:firstLineChars="200"/>
        <w:contextualSpacing/>
        <w:jc w:val="left"/>
        <w:rPr>
          <w:rFonts w:ascii="宋体" w:hAnsi="宋体"/>
          <w:sz w:val="24"/>
        </w:rPr>
      </w:pPr>
      <w:r>
        <w:rPr>
          <w:rFonts w:ascii="宋体" w:hAnsi="宋体"/>
          <w:sz w:val="24"/>
        </w:rPr>
        <w:t>《土工试验方法标准》（GB/T50123-1999）</w:t>
      </w:r>
    </w:p>
    <w:p>
      <w:pPr>
        <w:autoSpaceDE w:val="0"/>
        <w:autoSpaceDN w:val="0"/>
        <w:adjustRightInd w:val="0"/>
        <w:spacing w:line="360" w:lineRule="auto"/>
        <w:ind w:firstLine="480" w:firstLineChars="200"/>
        <w:contextualSpacing/>
        <w:jc w:val="left"/>
        <w:rPr>
          <w:rFonts w:ascii="宋体" w:hAnsi="宋体"/>
          <w:sz w:val="24"/>
        </w:rPr>
      </w:pPr>
      <w:r>
        <w:rPr>
          <w:rFonts w:ascii="宋体" w:hAnsi="宋体"/>
          <w:sz w:val="24"/>
        </w:rPr>
        <w:t>《地基动力特性测试规范》（GB/T50269-97）</w:t>
      </w:r>
    </w:p>
    <w:p>
      <w:pPr>
        <w:autoSpaceDE w:val="0"/>
        <w:autoSpaceDN w:val="0"/>
        <w:adjustRightInd w:val="0"/>
        <w:spacing w:line="360" w:lineRule="auto"/>
        <w:ind w:firstLine="480" w:firstLineChars="200"/>
        <w:contextualSpacing/>
        <w:jc w:val="left"/>
        <w:rPr>
          <w:rFonts w:ascii="宋体" w:hAnsi="宋体"/>
          <w:sz w:val="24"/>
        </w:rPr>
      </w:pPr>
      <w:r>
        <w:rPr>
          <w:rFonts w:ascii="宋体" w:hAnsi="宋体"/>
          <w:sz w:val="24"/>
        </w:rPr>
        <w:t>《岩土工程基本术语标准》（GB/T50279-98）</w:t>
      </w:r>
    </w:p>
    <w:p>
      <w:pPr>
        <w:autoSpaceDE w:val="0"/>
        <w:autoSpaceDN w:val="0"/>
        <w:adjustRightInd w:val="0"/>
        <w:spacing w:line="360" w:lineRule="auto"/>
        <w:ind w:firstLine="480" w:firstLineChars="200"/>
        <w:contextualSpacing/>
        <w:jc w:val="left"/>
        <w:rPr>
          <w:rFonts w:ascii="宋体" w:hAnsi="宋体"/>
          <w:sz w:val="24"/>
        </w:rPr>
      </w:pPr>
      <w:r>
        <w:rPr>
          <w:rFonts w:ascii="宋体" w:hAnsi="宋体"/>
          <w:sz w:val="24"/>
        </w:rPr>
        <w:t>《土的分类标准》（GB145-90）</w:t>
      </w:r>
    </w:p>
    <w:p>
      <w:pPr>
        <w:autoSpaceDE w:val="0"/>
        <w:autoSpaceDN w:val="0"/>
        <w:adjustRightInd w:val="0"/>
        <w:spacing w:line="360" w:lineRule="auto"/>
        <w:ind w:firstLine="480" w:firstLineChars="200"/>
        <w:contextualSpacing/>
        <w:jc w:val="left"/>
        <w:rPr>
          <w:rFonts w:ascii="宋体" w:hAnsi="宋体"/>
          <w:sz w:val="24"/>
        </w:rPr>
      </w:pPr>
      <w:r>
        <w:rPr>
          <w:rFonts w:ascii="宋体" w:hAnsi="宋体"/>
          <w:sz w:val="24"/>
        </w:rPr>
        <w:t>《土工试验规程》（SL237-1999）</w:t>
      </w:r>
    </w:p>
    <w:p>
      <w:pPr>
        <w:autoSpaceDE w:val="0"/>
        <w:autoSpaceDN w:val="0"/>
        <w:adjustRightInd w:val="0"/>
        <w:spacing w:line="360" w:lineRule="auto"/>
        <w:ind w:firstLine="480" w:firstLineChars="200"/>
        <w:contextualSpacing/>
        <w:jc w:val="left"/>
        <w:rPr>
          <w:rFonts w:ascii="宋体" w:hAnsi="宋体"/>
          <w:sz w:val="24"/>
        </w:rPr>
      </w:pPr>
      <w:r>
        <w:rPr>
          <w:rFonts w:ascii="宋体" w:hAnsi="宋体"/>
          <w:sz w:val="24"/>
        </w:rPr>
        <w:t>《建筑工地地质钻探技术标准》（JGJ87-92）</w:t>
      </w:r>
    </w:p>
    <w:p>
      <w:pPr>
        <w:autoSpaceDE w:val="0"/>
        <w:autoSpaceDN w:val="0"/>
        <w:adjustRightInd w:val="0"/>
        <w:spacing w:line="360" w:lineRule="auto"/>
        <w:ind w:firstLine="480" w:firstLineChars="200"/>
        <w:contextualSpacing/>
        <w:jc w:val="left"/>
        <w:rPr>
          <w:rFonts w:ascii="宋体" w:hAnsi="宋体"/>
          <w:sz w:val="24"/>
        </w:rPr>
      </w:pPr>
      <w:r>
        <w:rPr>
          <w:rFonts w:ascii="宋体" w:hAnsi="宋体"/>
          <w:sz w:val="24"/>
        </w:rPr>
        <w:t>《原状土取样技术标准》（JGJ89-92）</w:t>
      </w:r>
    </w:p>
    <w:p>
      <w:pPr>
        <w:autoSpaceDE w:val="0"/>
        <w:autoSpaceDN w:val="0"/>
        <w:adjustRightInd w:val="0"/>
        <w:spacing w:line="360" w:lineRule="auto"/>
        <w:ind w:firstLine="480" w:firstLineChars="200"/>
        <w:contextualSpacing/>
        <w:jc w:val="left"/>
        <w:rPr>
          <w:rFonts w:ascii="宋体" w:hAnsi="宋体"/>
          <w:sz w:val="24"/>
        </w:rPr>
      </w:pPr>
      <w:r>
        <w:rPr>
          <w:rFonts w:ascii="宋体" w:hAnsi="宋体"/>
          <w:sz w:val="24"/>
        </w:rPr>
        <w:t>《建筑工程勘察文件编制</w:t>
      </w:r>
      <w:r>
        <w:rPr>
          <w:rFonts w:hint="eastAsia" w:ascii="宋体" w:hAnsi="宋体"/>
          <w:sz w:val="24"/>
        </w:rPr>
        <w:t>深</w:t>
      </w:r>
      <w:r>
        <w:rPr>
          <w:rFonts w:ascii="宋体" w:hAnsi="宋体"/>
          <w:sz w:val="24"/>
        </w:rPr>
        <w:t>度规定》(试行)</w:t>
      </w:r>
    </w:p>
    <w:p>
      <w:pPr>
        <w:autoSpaceDE w:val="0"/>
        <w:autoSpaceDN w:val="0"/>
        <w:adjustRightInd w:val="0"/>
        <w:spacing w:line="360" w:lineRule="auto"/>
        <w:ind w:firstLine="480" w:firstLineChars="200"/>
        <w:contextualSpacing/>
        <w:jc w:val="left"/>
        <w:rPr>
          <w:rFonts w:ascii="宋体" w:hAnsi="宋体"/>
          <w:sz w:val="24"/>
        </w:rPr>
      </w:pPr>
      <w:r>
        <w:rPr>
          <w:rFonts w:hint="eastAsia" w:ascii="宋体" w:hAnsi="宋体"/>
          <w:sz w:val="24"/>
        </w:rPr>
        <w:t>《工程建设标准强制性条文》</w:t>
      </w:r>
    </w:p>
    <w:p>
      <w:pPr>
        <w:autoSpaceDE w:val="0"/>
        <w:autoSpaceDN w:val="0"/>
        <w:adjustRightInd w:val="0"/>
        <w:spacing w:line="360" w:lineRule="auto"/>
        <w:ind w:firstLine="480" w:firstLineChars="200"/>
        <w:contextualSpacing/>
        <w:jc w:val="left"/>
        <w:rPr>
          <w:rFonts w:ascii="宋体" w:hAnsi="宋体"/>
          <w:sz w:val="24"/>
        </w:rPr>
      </w:pPr>
      <w:r>
        <w:rPr>
          <w:rFonts w:ascii="宋体" w:hAnsi="宋体"/>
          <w:sz w:val="24"/>
        </w:rPr>
        <w:t>上述规范和标准如发生不一致时，则以要求最为严格的规范、规程或标准作为工作依据。</w:t>
      </w:r>
    </w:p>
    <w:p>
      <w:pPr>
        <w:autoSpaceDE w:val="0"/>
        <w:autoSpaceDN w:val="0"/>
        <w:adjustRightInd w:val="0"/>
        <w:spacing w:line="360" w:lineRule="auto"/>
        <w:ind w:firstLine="480" w:firstLineChars="200"/>
        <w:contextualSpacing/>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本技术规格及要求提供的是最低限度的技术要求，并未对一切技术细节做出规定，也未充分引述有关标准和规范的条文，投标人应保证提供符合本工程技术规格要求和有关国家标准、技术规范要求的合格工程。本技术规格及要求所使用的标准和规范如与投标人所执行的标准发生矛盾时，按较高标准执行。</w:t>
      </w:r>
    </w:p>
    <w:p>
      <w:pPr>
        <w:spacing w:line="360" w:lineRule="auto"/>
        <w:outlineLvl w:val="0"/>
        <w:rPr>
          <w:rFonts w:ascii="宋体" w:hAnsi="宋体" w:cs="宋体"/>
          <w:b/>
          <w:sz w:val="24"/>
        </w:rPr>
      </w:pPr>
      <w:r>
        <w:rPr>
          <w:rFonts w:hint="eastAsia" w:ascii="宋体" w:hAnsi="宋体" w:cs="宋体"/>
          <w:b/>
          <w:sz w:val="24"/>
        </w:rPr>
        <w:t>5、勘察基本要求</w:t>
      </w:r>
      <w:bookmarkEnd w:id="6"/>
      <w:bookmarkEnd w:id="7"/>
    </w:p>
    <w:p>
      <w:pPr>
        <w:snapToGrid w:val="0"/>
        <w:spacing w:line="360" w:lineRule="auto"/>
        <w:ind w:firstLine="480" w:firstLineChars="200"/>
        <w:rPr>
          <w:rFonts w:ascii="宋体" w:hAnsi="宋体" w:cs="宋体"/>
          <w:sz w:val="24"/>
        </w:rPr>
      </w:pPr>
      <w:r>
        <w:rPr>
          <w:rFonts w:hint="eastAsia" w:ascii="宋体" w:hAnsi="宋体" w:cs="宋体"/>
          <w:sz w:val="24"/>
        </w:rPr>
        <w:t>5.1招标人已提供现有能够提供的资料，投标人中标后应协助招标人收集勘察所需要的其他资料，所需的费用应含在投标报价中。</w:t>
      </w:r>
    </w:p>
    <w:p>
      <w:pPr>
        <w:snapToGrid w:val="0"/>
        <w:spacing w:line="360" w:lineRule="auto"/>
        <w:ind w:firstLine="480" w:firstLineChars="200"/>
        <w:rPr>
          <w:rFonts w:ascii="宋体" w:hAnsi="宋体" w:cs="宋体"/>
          <w:sz w:val="24"/>
        </w:rPr>
      </w:pPr>
      <w:r>
        <w:rPr>
          <w:rFonts w:hint="eastAsia" w:ascii="宋体" w:hAnsi="宋体" w:cs="宋体"/>
          <w:sz w:val="24"/>
        </w:rPr>
        <w:t>5.2勘察人在实施勘察前，应向发包人报送优化后的勘察服务工作大纲，并应实现发包人及其设计师提出的技术要求。</w:t>
      </w:r>
    </w:p>
    <w:p>
      <w:pPr>
        <w:snapToGrid w:val="0"/>
        <w:spacing w:line="360" w:lineRule="auto"/>
        <w:ind w:firstLine="480" w:firstLineChars="200"/>
        <w:rPr>
          <w:rFonts w:ascii="宋体" w:hAnsi="宋体" w:cs="宋体"/>
          <w:sz w:val="24"/>
        </w:rPr>
      </w:pPr>
      <w:r>
        <w:rPr>
          <w:rFonts w:hint="eastAsia" w:ascii="宋体" w:hAnsi="宋体" w:cs="宋体"/>
          <w:sz w:val="24"/>
        </w:rPr>
        <w:t>5.3工程勘察布点应参考发包人提供的资料。勘测点的数量、深度和位置可根据地质情况和现场条件依据规范进行调整，但应经发包人同意和批准。</w:t>
      </w:r>
    </w:p>
    <w:p>
      <w:pPr>
        <w:snapToGrid w:val="0"/>
        <w:spacing w:line="360" w:lineRule="auto"/>
        <w:ind w:firstLine="480" w:firstLineChars="200"/>
        <w:rPr>
          <w:rFonts w:ascii="宋体" w:hAnsi="宋体" w:cs="宋体"/>
          <w:sz w:val="24"/>
        </w:rPr>
      </w:pPr>
      <w:r>
        <w:rPr>
          <w:rFonts w:hint="eastAsia" w:ascii="宋体" w:hAnsi="宋体" w:cs="宋体"/>
          <w:sz w:val="24"/>
        </w:rPr>
        <w:t>5.4勘测过程中应认真记录每日工作内容，保存原始记录资料与数据，以供发包人检查和分析。</w:t>
      </w:r>
    </w:p>
    <w:p>
      <w:pPr>
        <w:snapToGrid w:val="0"/>
        <w:spacing w:line="360" w:lineRule="auto"/>
        <w:ind w:firstLine="480" w:firstLineChars="200"/>
        <w:rPr>
          <w:rFonts w:ascii="宋体" w:hAnsi="宋体" w:cs="宋体"/>
          <w:sz w:val="24"/>
        </w:rPr>
      </w:pPr>
      <w:r>
        <w:rPr>
          <w:rFonts w:hint="eastAsia" w:ascii="宋体" w:hAnsi="宋体" w:cs="宋体"/>
          <w:sz w:val="24"/>
        </w:rPr>
        <w:t>5.5在钻探进行中，如发包人需要更改取样间距与现场试验的要求，或更改钻孔深度，勘察人应积极配合并安排实施。</w:t>
      </w:r>
    </w:p>
    <w:p>
      <w:pPr>
        <w:snapToGrid w:val="0"/>
        <w:spacing w:line="360" w:lineRule="auto"/>
        <w:ind w:firstLine="480" w:firstLineChars="200"/>
        <w:rPr>
          <w:rFonts w:ascii="宋体" w:hAnsi="宋体" w:cs="宋体"/>
          <w:sz w:val="24"/>
        </w:rPr>
      </w:pPr>
      <w:r>
        <w:rPr>
          <w:rFonts w:hint="eastAsia" w:ascii="宋体" w:hAnsi="宋体" w:cs="宋体"/>
          <w:sz w:val="24"/>
        </w:rPr>
        <w:t>5.6勘察人在钻探时应谨慎从事，对地下管线和构筑物进行相应保护，遇到地下文物时应及时向发包人和文物保护部门汇报并妥善保护。</w:t>
      </w:r>
    </w:p>
    <w:p>
      <w:pPr>
        <w:snapToGrid w:val="0"/>
        <w:spacing w:line="360" w:lineRule="auto"/>
        <w:ind w:firstLine="480" w:firstLineChars="200"/>
        <w:rPr>
          <w:rFonts w:ascii="宋体" w:hAnsi="宋体" w:cs="宋体"/>
          <w:sz w:val="24"/>
        </w:rPr>
      </w:pPr>
      <w:r>
        <w:rPr>
          <w:rFonts w:hint="eastAsia" w:ascii="宋体" w:hAnsi="宋体" w:cs="宋体"/>
          <w:sz w:val="24"/>
        </w:rPr>
        <w:t>5.7勘察人在进行外业勘察时，应采取有效的安全、保卫和环境保护措施，避免对原有道路、桥梁、构造物或地上附着物造成损坏或损伤。</w:t>
      </w:r>
    </w:p>
    <w:p>
      <w:pPr>
        <w:snapToGrid w:val="0"/>
        <w:spacing w:line="360" w:lineRule="auto"/>
        <w:ind w:firstLine="480" w:firstLineChars="200"/>
        <w:rPr>
          <w:rFonts w:ascii="宋体" w:hAnsi="宋体" w:cs="宋体"/>
          <w:sz w:val="24"/>
        </w:rPr>
      </w:pPr>
      <w:r>
        <w:rPr>
          <w:rFonts w:hint="eastAsia" w:ascii="宋体" w:hAnsi="宋体" w:cs="宋体"/>
          <w:sz w:val="24"/>
        </w:rPr>
        <w:t>5.8勘测过程中业主将对勘察人进行现场抽点检查，勘察人必须做好记录，由双方当时人签字确认。最终勘测点数以业主实际检查确认后的数据为准并进行工程款拨付依据。</w:t>
      </w:r>
    </w:p>
    <w:p>
      <w:pPr>
        <w:spacing w:line="360" w:lineRule="auto"/>
        <w:outlineLvl w:val="0"/>
        <w:rPr>
          <w:rFonts w:ascii="宋体" w:hAnsi="宋体" w:cs="宋体"/>
          <w:b/>
          <w:sz w:val="24"/>
        </w:rPr>
      </w:pPr>
      <w:bookmarkStart w:id="8" w:name="_Toc256000519"/>
      <w:bookmarkStart w:id="9" w:name="_Toc256000280"/>
      <w:r>
        <w:rPr>
          <w:rFonts w:hint="eastAsia" w:ascii="宋体" w:hAnsi="宋体" w:cs="宋体"/>
          <w:b/>
          <w:sz w:val="24"/>
        </w:rPr>
        <w:t>6、勘察技术要求</w:t>
      </w:r>
      <w:bookmarkEnd w:id="8"/>
      <w:bookmarkEnd w:id="9"/>
    </w:p>
    <w:p>
      <w:pPr>
        <w:spacing w:line="360" w:lineRule="auto"/>
        <w:ind w:firstLine="480" w:firstLineChars="200"/>
        <w:contextualSpacing/>
        <w:rPr>
          <w:rFonts w:ascii="宋体" w:hAnsi="宋体"/>
          <w:sz w:val="24"/>
        </w:rPr>
      </w:pPr>
      <w:r>
        <w:rPr>
          <w:rFonts w:hint="eastAsia" w:ascii="宋体" w:hAnsi="宋体"/>
          <w:sz w:val="24"/>
        </w:rPr>
        <w:t>岩土勘察应遵循国家现行的有关规范、规程进行，并结合此工程的特点，合理安排工作量，提供可靠、准确的数据。</w:t>
      </w:r>
    </w:p>
    <w:p>
      <w:pPr>
        <w:spacing w:line="360" w:lineRule="auto"/>
        <w:ind w:firstLine="422" w:firstLineChars="176"/>
        <w:contextualSpacing/>
        <w:rPr>
          <w:rFonts w:ascii="宋体" w:hAnsi="宋体"/>
          <w:sz w:val="24"/>
        </w:rPr>
      </w:pPr>
      <w:r>
        <w:rPr>
          <w:rFonts w:ascii="宋体" w:hAnsi="宋体"/>
          <w:sz w:val="24"/>
        </w:rPr>
        <w:t>a.</w:t>
      </w:r>
      <w:r>
        <w:rPr>
          <w:rFonts w:hint="eastAsia" w:ascii="宋体" w:hAnsi="宋体"/>
          <w:sz w:val="24"/>
        </w:rPr>
        <w:t>查明地基土层的分布范围、深度、厚度及其变化，提供各土层的物理力学性质指标，确定场地湿陷类型、地</w:t>
      </w:r>
      <w:bookmarkStart w:id="15" w:name="_GoBack"/>
      <w:bookmarkEnd w:id="15"/>
      <w:r>
        <w:rPr>
          <w:rFonts w:hint="eastAsia" w:ascii="宋体" w:hAnsi="宋体"/>
          <w:sz w:val="24"/>
        </w:rPr>
        <w:t>基湿陷等级的平面分布。</w:t>
      </w:r>
    </w:p>
    <w:p>
      <w:pPr>
        <w:spacing w:line="360" w:lineRule="auto"/>
        <w:ind w:firstLine="422" w:firstLineChars="176"/>
        <w:contextualSpacing/>
        <w:rPr>
          <w:rFonts w:ascii="宋体" w:hAnsi="宋体"/>
          <w:sz w:val="24"/>
        </w:rPr>
      </w:pPr>
      <w:r>
        <w:rPr>
          <w:rFonts w:ascii="宋体" w:hAnsi="宋体"/>
          <w:sz w:val="24"/>
        </w:rPr>
        <w:t>b.</w:t>
      </w:r>
      <w:r>
        <w:rPr>
          <w:rFonts w:hint="eastAsia" w:ascii="宋体" w:hAnsi="宋体"/>
          <w:sz w:val="24"/>
        </w:rPr>
        <w:t>查明场地有无不良地质现象。分析地基土是否有地震液化可能性，确定建筑物场地类别及对岩土地震稳定性做出评价，提供场地土的特征周期。</w:t>
      </w:r>
    </w:p>
    <w:p>
      <w:pPr>
        <w:spacing w:line="360" w:lineRule="auto"/>
        <w:ind w:firstLine="422" w:firstLineChars="176"/>
        <w:contextualSpacing/>
        <w:rPr>
          <w:rFonts w:ascii="宋体" w:hAnsi="宋体"/>
          <w:sz w:val="24"/>
        </w:rPr>
      </w:pPr>
      <w:r>
        <w:rPr>
          <w:rFonts w:ascii="宋体" w:hAnsi="宋体"/>
          <w:sz w:val="24"/>
        </w:rPr>
        <w:t>c.</w:t>
      </w:r>
      <w:r>
        <w:rPr>
          <w:rFonts w:hint="eastAsia" w:ascii="宋体" w:hAnsi="宋体"/>
          <w:sz w:val="24"/>
        </w:rPr>
        <w:t>查明场地地下水埋藏条件及对混凝土的侵蚀性，并分析评价对下对工程设计、施工影响等。</w:t>
      </w:r>
    </w:p>
    <w:p>
      <w:pPr>
        <w:spacing w:line="360" w:lineRule="auto"/>
        <w:ind w:firstLine="422" w:firstLineChars="176"/>
        <w:contextualSpacing/>
        <w:rPr>
          <w:rFonts w:ascii="宋体" w:hAnsi="宋体"/>
          <w:sz w:val="24"/>
        </w:rPr>
      </w:pPr>
      <w:r>
        <w:rPr>
          <w:rFonts w:ascii="宋体" w:hAnsi="宋体"/>
          <w:sz w:val="24"/>
        </w:rPr>
        <w:t>d.</w:t>
      </w:r>
      <w:r>
        <w:rPr>
          <w:rFonts w:hint="eastAsia" w:ascii="宋体" w:hAnsi="宋体"/>
          <w:sz w:val="24"/>
        </w:rPr>
        <w:t>查明可能作为建筑物基础持力层的土层分布特征，提供各土层的承载力特征值等。</w:t>
      </w:r>
    </w:p>
    <w:p>
      <w:pPr>
        <w:spacing w:after="120"/>
        <w:ind w:firstLine="472" w:firstLineChars="196"/>
        <w:rPr>
          <w:rFonts w:ascii="宋体" w:hAnsi="宋体" w:cs="宋体"/>
          <w:b/>
          <w:bCs/>
          <w:sz w:val="24"/>
          <w:szCs w:val="22"/>
        </w:rPr>
      </w:pPr>
      <w:r>
        <w:rPr>
          <w:rFonts w:hint="eastAsia" w:ascii="宋体" w:hAnsi="宋体" w:cs="宋体"/>
          <w:b/>
          <w:bCs/>
          <w:sz w:val="24"/>
          <w:szCs w:val="22"/>
        </w:rPr>
        <w:t>e.预计勘察工作量如下：</w:t>
      </w:r>
    </w:p>
    <w:p>
      <w:pPr>
        <w:adjustRightInd w:val="0"/>
        <w:snapToGrid w:val="0"/>
        <w:spacing w:before="120" w:beforeLines="50" w:after="120" w:afterLines="50" w:line="360" w:lineRule="auto"/>
        <w:rPr>
          <w:rFonts w:ascii="宋体" w:hAnsi="宋体" w:cs="宋体"/>
          <w:kern w:val="0"/>
          <w:sz w:val="24"/>
        </w:rPr>
      </w:pPr>
      <w:r>
        <w:rPr>
          <w:rFonts w:hint="eastAsia" w:ascii="宋体" w:hAnsi="宋体" w:cs="宋体"/>
          <w:kern w:val="0"/>
          <w:sz w:val="24"/>
        </w:rPr>
        <w:t>勘察：</w:t>
      </w:r>
    </w:p>
    <w:tbl>
      <w:tblPr>
        <w:tblStyle w:val="20"/>
        <w:tblW w:w="8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430"/>
        <w:gridCol w:w="1110"/>
        <w:gridCol w:w="24"/>
        <w:gridCol w:w="1862"/>
        <w:gridCol w:w="1115"/>
        <w:gridCol w:w="1417"/>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05" w:type="dxa"/>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序号</w:t>
            </w:r>
          </w:p>
        </w:tc>
        <w:tc>
          <w:tcPr>
            <w:tcW w:w="4426" w:type="dxa"/>
            <w:gridSpan w:val="4"/>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工作项目</w:t>
            </w:r>
          </w:p>
        </w:tc>
        <w:tc>
          <w:tcPr>
            <w:tcW w:w="1115" w:type="dxa"/>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单位</w:t>
            </w:r>
          </w:p>
        </w:tc>
        <w:tc>
          <w:tcPr>
            <w:tcW w:w="1417" w:type="dxa"/>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工程量</w:t>
            </w:r>
          </w:p>
        </w:tc>
        <w:tc>
          <w:tcPr>
            <w:tcW w:w="1225" w:type="dxa"/>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805" w:type="dxa"/>
            <w:vMerge w:val="restart"/>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1</w:t>
            </w:r>
          </w:p>
        </w:tc>
        <w:tc>
          <w:tcPr>
            <w:tcW w:w="1430" w:type="dxa"/>
            <w:vMerge w:val="restart"/>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勘探实物</w:t>
            </w:r>
          </w:p>
        </w:tc>
        <w:tc>
          <w:tcPr>
            <w:tcW w:w="1134" w:type="dxa"/>
            <w:gridSpan w:val="2"/>
            <w:vMerge w:val="restart"/>
            <w:vAlign w:val="center"/>
          </w:tcPr>
          <w:p>
            <w:pPr>
              <w:adjustRightInd w:val="0"/>
              <w:snapToGrid w:val="0"/>
              <w:spacing w:before="120" w:beforeLines="50" w:after="120" w:afterLines="50" w:line="360" w:lineRule="auto"/>
              <w:jc w:val="center"/>
              <w:rPr>
                <w:rFonts w:ascii="宋体" w:hAnsi="宋体" w:cs="宋体"/>
                <w:kern w:val="0"/>
                <w:sz w:val="24"/>
              </w:rPr>
            </w:pPr>
            <w:r>
              <w:rPr>
                <w:rFonts w:ascii="宋体" w:hAnsi="宋体" w:cs="宋体"/>
                <w:kern w:val="0"/>
                <w:sz w:val="24"/>
              </w:rPr>
              <w:t>0-10m</w:t>
            </w:r>
          </w:p>
        </w:tc>
        <w:tc>
          <w:tcPr>
            <w:tcW w:w="1862" w:type="dxa"/>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素填土（Ⅲ）</w:t>
            </w:r>
          </w:p>
        </w:tc>
        <w:tc>
          <w:tcPr>
            <w:tcW w:w="1115" w:type="dxa"/>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m</w:t>
            </w:r>
          </w:p>
          <w:p>
            <w:pPr>
              <w:jc w:val="center"/>
            </w:pPr>
          </w:p>
        </w:tc>
        <w:tc>
          <w:tcPr>
            <w:tcW w:w="1417" w:type="dxa"/>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80</w:t>
            </w:r>
          </w:p>
        </w:tc>
        <w:tc>
          <w:tcPr>
            <w:tcW w:w="1225" w:type="dxa"/>
            <w:vAlign w:val="center"/>
          </w:tcPr>
          <w:p>
            <w:pPr>
              <w:adjustRightInd w:val="0"/>
              <w:snapToGrid w:val="0"/>
              <w:spacing w:before="120" w:beforeLines="50" w:after="120" w:afterLines="50"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805" w:type="dxa"/>
            <w:vMerge w:val="continue"/>
            <w:vAlign w:val="center"/>
          </w:tcPr>
          <w:p>
            <w:pPr>
              <w:adjustRightInd w:val="0"/>
              <w:snapToGrid w:val="0"/>
              <w:spacing w:before="120" w:beforeLines="50" w:after="120" w:afterLines="50" w:line="360" w:lineRule="auto"/>
              <w:jc w:val="center"/>
              <w:rPr>
                <w:rFonts w:ascii="宋体" w:hAnsi="宋体" w:cs="宋体"/>
                <w:kern w:val="0"/>
                <w:sz w:val="24"/>
              </w:rPr>
            </w:pPr>
          </w:p>
        </w:tc>
        <w:tc>
          <w:tcPr>
            <w:tcW w:w="1430" w:type="dxa"/>
            <w:vMerge w:val="continue"/>
            <w:vAlign w:val="center"/>
          </w:tcPr>
          <w:p>
            <w:pPr>
              <w:adjustRightInd w:val="0"/>
              <w:snapToGrid w:val="0"/>
              <w:spacing w:before="120" w:beforeLines="50" w:after="120" w:afterLines="50" w:line="360" w:lineRule="auto"/>
              <w:jc w:val="center"/>
              <w:rPr>
                <w:rFonts w:ascii="宋体" w:hAnsi="宋体" w:cs="宋体"/>
                <w:kern w:val="0"/>
                <w:sz w:val="24"/>
              </w:rPr>
            </w:pPr>
          </w:p>
        </w:tc>
        <w:tc>
          <w:tcPr>
            <w:tcW w:w="1134" w:type="dxa"/>
            <w:gridSpan w:val="2"/>
            <w:vMerge w:val="continue"/>
            <w:vAlign w:val="center"/>
          </w:tcPr>
          <w:p>
            <w:pPr>
              <w:adjustRightInd w:val="0"/>
              <w:snapToGrid w:val="0"/>
              <w:spacing w:before="120" w:beforeLines="50" w:after="120" w:afterLines="50" w:line="360" w:lineRule="auto"/>
              <w:jc w:val="center"/>
              <w:rPr>
                <w:rFonts w:ascii="宋体" w:hAnsi="宋体" w:cs="宋体"/>
                <w:kern w:val="0"/>
                <w:sz w:val="24"/>
              </w:rPr>
            </w:pPr>
          </w:p>
        </w:tc>
        <w:tc>
          <w:tcPr>
            <w:tcW w:w="1862" w:type="dxa"/>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粘性土混碎石（Ⅲ）</w:t>
            </w:r>
          </w:p>
        </w:tc>
        <w:tc>
          <w:tcPr>
            <w:tcW w:w="1115" w:type="dxa"/>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m</w:t>
            </w:r>
          </w:p>
        </w:tc>
        <w:tc>
          <w:tcPr>
            <w:tcW w:w="1417" w:type="dxa"/>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120</w:t>
            </w:r>
          </w:p>
        </w:tc>
        <w:tc>
          <w:tcPr>
            <w:tcW w:w="1225" w:type="dxa"/>
            <w:vAlign w:val="center"/>
          </w:tcPr>
          <w:p>
            <w:pPr>
              <w:adjustRightInd w:val="0"/>
              <w:snapToGrid w:val="0"/>
              <w:spacing w:before="120" w:beforeLines="50" w:after="120" w:afterLines="50"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805" w:type="dxa"/>
            <w:vMerge w:val="continue"/>
            <w:vAlign w:val="center"/>
          </w:tcPr>
          <w:p>
            <w:pPr>
              <w:adjustRightInd w:val="0"/>
              <w:snapToGrid w:val="0"/>
              <w:spacing w:before="120" w:beforeLines="50" w:after="120" w:afterLines="50" w:line="360" w:lineRule="auto"/>
              <w:jc w:val="center"/>
              <w:rPr>
                <w:rFonts w:ascii="宋体" w:hAnsi="宋体" w:cs="宋体"/>
                <w:kern w:val="0"/>
                <w:sz w:val="24"/>
              </w:rPr>
            </w:pPr>
          </w:p>
        </w:tc>
        <w:tc>
          <w:tcPr>
            <w:tcW w:w="1430" w:type="dxa"/>
            <w:vMerge w:val="continue"/>
            <w:vAlign w:val="center"/>
          </w:tcPr>
          <w:p>
            <w:pPr>
              <w:adjustRightInd w:val="0"/>
              <w:snapToGrid w:val="0"/>
              <w:spacing w:before="120" w:beforeLines="50" w:after="120" w:afterLines="50" w:line="360" w:lineRule="auto"/>
              <w:jc w:val="center"/>
              <w:rPr>
                <w:rFonts w:ascii="宋体" w:hAnsi="宋体" w:cs="宋体"/>
                <w:kern w:val="0"/>
                <w:sz w:val="24"/>
              </w:rPr>
            </w:pPr>
          </w:p>
        </w:tc>
        <w:tc>
          <w:tcPr>
            <w:tcW w:w="1134" w:type="dxa"/>
            <w:gridSpan w:val="2"/>
            <w:vAlign w:val="center"/>
          </w:tcPr>
          <w:p>
            <w:pPr>
              <w:adjustRightInd w:val="0"/>
              <w:snapToGrid w:val="0"/>
              <w:spacing w:before="120" w:beforeLines="50" w:after="120" w:afterLines="50" w:line="360" w:lineRule="auto"/>
              <w:jc w:val="center"/>
              <w:rPr>
                <w:rFonts w:ascii="宋体" w:hAnsi="宋体" w:cs="宋体"/>
                <w:kern w:val="0"/>
                <w:sz w:val="24"/>
              </w:rPr>
            </w:pPr>
            <w:r>
              <w:rPr>
                <w:rFonts w:ascii="宋体" w:hAnsi="宋体" w:cs="宋体"/>
                <w:kern w:val="0"/>
                <w:sz w:val="24"/>
              </w:rPr>
              <w:t>10-20m</w:t>
            </w:r>
          </w:p>
        </w:tc>
        <w:tc>
          <w:tcPr>
            <w:tcW w:w="1862" w:type="dxa"/>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中风化岩（Ⅳ）</w:t>
            </w:r>
          </w:p>
        </w:tc>
        <w:tc>
          <w:tcPr>
            <w:tcW w:w="1115" w:type="dxa"/>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m</w:t>
            </w:r>
          </w:p>
        </w:tc>
        <w:tc>
          <w:tcPr>
            <w:tcW w:w="1417" w:type="dxa"/>
            <w:vAlign w:val="center"/>
          </w:tcPr>
          <w:p>
            <w:pPr>
              <w:adjustRightInd w:val="0"/>
              <w:snapToGrid w:val="0"/>
              <w:spacing w:before="120" w:beforeLines="50" w:after="120" w:afterLines="50" w:line="360" w:lineRule="auto"/>
              <w:jc w:val="center"/>
              <w:rPr>
                <w:rFonts w:ascii="宋体" w:hAnsi="宋体" w:cs="宋体"/>
                <w:kern w:val="0"/>
                <w:sz w:val="24"/>
              </w:rPr>
            </w:pPr>
            <w:r>
              <w:rPr>
                <w:rFonts w:ascii="宋体" w:hAnsi="宋体" w:cs="宋体"/>
                <w:kern w:val="0"/>
                <w:sz w:val="24"/>
              </w:rPr>
              <w:t>240</w:t>
            </w:r>
          </w:p>
        </w:tc>
        <w:tc>
          <w:tcPr>
            <w:tcW w:w="1225" w:type="dxa"/>
            <w:vAlign w:val="center"/>
          </w:tcPr>
          <w:p>
            <w:pPr>
              <w:adjustRightInd w:val="0"/>
              <w:snapToGrid w:val="0"/>
              <w:spacing w:before="120" w:beforeLines="50" w:after="120" w:afterLines="50"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05" w:type="dxa"/>
            <w:vMerge w:val="restart"/>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2</w:t>
            </w:r>
          </w:p>
        </w:tc>
        <w:tc>
          <w:tcPr>
            <w:tcW w:w="1430" w:type="dxa"/>
            <w:vMerge w:val="restart"/>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取样实物</w:t>
            </w:r>
          </w:p>
        </w:tc>
        <w:tc>
          <w:tcPr>
            <w:tcW w:w="2996" w:type="dxa"/>
            <w:gridSpan w:val="3"/>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取扰动土样</w:t>
            </w:r>
          </w:p>
        </w:tc>
        <w:tc>
          <w:tcPr>
            <w:tcW w:w="1115" w:type="dxa"/>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组</w:t>
            </w:r>
          </w:p>
        </w:tc>
        <w:tc>
          <w:tcPr>
            <w:tcW w:w="1417" w:type="dxa"/>
            <w:vAlign w:val="center"/>
          </w:tcPr>
          <w:p>
            <w:pPr>
              <w:adjustRightInd w:val="0"/>
              <w:snapToGrid w:val="0"/>
              <w:spacing w:before="120" w:beforeLines="50" w:after="120" w:afterLines="50" w:line="360" w:lineRule="auto"/>
              <w:jc w:val="center"/>
              <w:rPr>
                <w:rFonts w:ascii="宋体" w:hAnsi="宋体" w:cs="宋体"/>
                <w:kern w:val="0"/>
                <w:sz w:val="24"/>
              </w:rPr>
            </w:pPr>
            <w:r>
              <w:rPr>
                <w:rFonts w:ascii="宋体" w:hAnsi="宋体" w:cs="宋体"/>
                <w:kern w:val="0"/>
                <w:sz w:val="24"/>
              </w:rPr>
              <w:t>4</w:t>
            </w:r>
          </w:p>
        </w:tc>
        <w:tc>
          <w:tcPr>
            <w:tcW w:w="1225" w:type="dxa"/>
            <w:vAlign w:val="center"/>
          </w:tcPr>
          <w:p>
            <w:pPr>
              <w:adjustRightInd w:val="0"/>
              <w:snapToGrid w:val="0"/>
              <w:spacing w:before="120" w:beforeLines="50" w:after="120" w:afterLines="50"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05" w:type="dxa"/>
            <w:vMerge w:val="continue"/>
            <w:vAlign w:val="center"/>
          </w:tcPr>
          <w:p>
            <w:pPr>
              <w:adjustRightInd w:val="0"/>
              <w:snapToGrid w:val="0"/>
              <w:spacing w:before="120" w:beforeLines="50" w:after="120" w:afterLines="50" w:line="360" w:lineRule="auto"/>
              <w:jc w:val="center"/>
              <w:rPr>
                <w:rFonts w:ascii="宋体" w:hAnsi="宋体" w:cs="宋体"/>
                <w:kern w:val="0"/>
                <w:sz w:val="24"/>
              </w:rPr>
            </w:pPr>
          </w:p>
        </w:tc>
        <w:tc>
          <w:tcPr>
            <w:tcW w:w="1430" w:type="dxa"/>
            <w:vMerge w:val="continue"/>
            <w:vAlign w:val="center"/>
          </w:tcPr>
          <w:p>
            <w:pPr>
              <w:adjustRightInd w:val="0"/>
              <w:snapToGrid w:val="0"/>
              <w:spacing w:before="120" w:beforeLines="50" w:after="120" w:afterLines="50" w:line="360" w:lineRule="auto"/>
              <w:jc w:val="center"/>
              <w:rPr>
                <w:rFonts w:ascii="宋体" w:hAnsi="宋体" w:cs="宋体"/>
                <w:kern w:val="0"/>
                <w:sz w:val="24"/>
              </w:rPr>
            </w:pPr>
          </w:p>
        </w:tc>
        <w:tc>
          <w:tcPr>
            <w:tcW w:w="2996" w:type="dxa"/>
            <w:gridSpan w:val="3"/>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取土样</w:t>
            </w:r>
          </w:p>
        </w:tc>
        <w:tc>
          <w:tcPr>
            <w:tcW w:w="1115" w:type="dxa"/>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组</w:t>
            </w:r>
          </w:p>
        </w:tc>
        <w:tc>
          <w:tcPr>
            <w:tcW w:w="1417" w:type="dxa"/>
            <w:vAlign w:val="center"/>
          </w:tcPr>
          <w:p>
            <w:pPr>
              <w:adjustRightInd w:val="0"/>
              <w:snapToGrid w:val="0"/>
              <w:spacing w:before="120" w:beforeLines="50" w:after="120" w:afterLines="50" w:line="360" w:lineRule="auto"/>
              <w:jc w:val="center"/>
              <w:rPr>
                <w:rFonts w:ascii="宋体" w:hAnsi="宋体" w:cs="宋体"/>
                <w:kern w:val="0"/>
                <w:sz w:val="24"/>
              </w:rPr>
            </w:pPr>
            <w:r>
              <w:rPr>
                <w:rFonts w:ascii="宋体" w:hAnsi="宋体" w:cs="宋体"/>
                <w:kern w:val="0"/>
                <w:sz w:val="24"/>
              </w:rPr>
              <w:t>12</w:t>
            </w:r>
          </w:p>
        </w:tc>
        <w:tc>
          <w:tcPr>
            <w:tcW w:w="1225" w:type="dxa"/>
            <w:vAlign w:val="center"/>
          </w:tcPr>
          <w:p>
            <w:pPr>
              <w:adjustRightInd w:val="0"/>
              <w:snapToGrid w:val="0"/>
              <w:spacing w:before="120" w:beforeLines="50" w:after="120" w:afterLines="50"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05" w:type="dxa"/>
            <w:vMerge w:val="continue"/>
            <w:vAlign w:val="center"/>
          </w:tcPr>
          <w:p>
            <w:pPr>
              <w:adjustRightInd w:val="0"/>
              <w:snapToGrid w:val="0"/>
              <w:spacing w:before="120" w:beforeLines="50" w:after="120" w:afterLines="50" w:line="360" w:lineRule="auto"/>
              <w:jc w:val="center"/>
              <w:rPr>
                <w:rFonts w:ascii="宋体" w:hAnsi="宋体" w:cs="宋体"/>
                <w:kern w:val="0"/>
                <w:sz w:val="24"/>
              </w:rPr>
            </w:pPr>
          </w:p>
        </w:tc>
        <w:tc>
          <w:tcPr>
            <w:tcW w:w="1430" w:type="dxa"/>
            <w:vMerge w:val="continue"/>
            <w:vAlign w:val="center"/>
          </w:tcPr>
          <w:p>
            <w:pPr>
              <w:adjustRightInd w:val="0"/>
              <w:snapToGrid w:val="0"/>
              <w:spacing w:before="120" w:beforeLines="50" w:after="120" w:afterLines="50" w:line="360" w:lineRule="auto"/>
              <w:jc w:val="center"/>
              <w:rPr>
                <w:rFonts w:ascii="宋体" w:hAnsi="宋体" w:cs="宋体"/>
                <w:kern w:val="0"/>
                <w:sz w:val="24"/>
              </w:rPr>
            </w:pPr>
          </w:p>
        </w:tc>
        <w:tc>
          <w:tcPr>
            <w:tcW w:w="2996" w:type="dxa"/>
            <w:gridSpan w:val="3"/>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取水样</w:t>
            </w:r>
          </w:p>
        </w:tc>
        <w:tc>
          <w:tcPr>
            <w:tcW w:w="1115" w:type="dxa"/>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件</w:t>
            </w:r>
          </w:p>
        </w:tc>
        <w:tc>
          <w:tcPr>
            <w:tcW w:w="1417" w:type="dxa"/>
            <w:vAlign w:val="center"/>
          </w:tcPr>
          <w:p>
            <w:pPr>
              <w:adjustRightInd w:val="0"/>
              <w:snapToGrid w:val="0"/>
              <w:spacing w:before="120" w:beforeLines="50" w:after="120" w:afterLines="50" w:line="360" w:lineRule="auto"/>
              <w:jc w:val="center"/>
              <w:rPr>
                <w:rFonts w:ascii="宋体" w:hAnsi="宋体" w:cs="宋体"/>
                <w:kern w:val="0"/>
                <w:sz w:val="24"/>
              </w:rPr>
            </w:pPr>
            <w:r>
              <w:rPr>
                <w:rFonts w:ascii="宋体" w:hAnsi="宋体" w:cs="宋体"/>
                <w:kern w:val="0"/>
                <w:sz w:val="24"/>
              </w:rPr>
              <w:t>2</w:t>
            </w:r>
          </w:p>
        </w:tc>
        <w:tc>
          <w:tcPr>
            <w:tcW w:w="1225" w:type="dxa"/>
            <w:vAlign w:val="center"/>
          </w:tcPr>
          <w:p>
            <w:pPr>
              <w:adjustRightInd w:val="0"/>
              <w:snapToGrid w:val="0"/>
              <w:spacing w:before="120" w:beforeLines="50" w:after="120" w:afterLines="50"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05" w:type="dxa"/>
            <w:vMerge w:val="continue"/>
            <w:vAlign w:val="center"/>
          </w:tcPr>
          <w:p>
            <w:pPr>
              <w:adjustRightInd w:val="0"/>
              <w:snapToGrid w:val="0"/>
              <w:spacing w:before="120" w:beforeLines="50" w:after="120" w:afterLines="50" w:line="360" w:lineRule="auto"/>
              <w:jc w:val="center"/>
              <w:rPr>
                <w:rFonts w:ascii="宋体" w:hAnsi="宋体" w:cs="宋体"/>
                <w:kern w:val="0"/>
                <w:sz w:val="24"/>
              </w:rPr>
            </w:pPr>
          </w:p>
        </w:tc>
        <w:tc>
          <w:tcPr>
            <w:tcW w:w="1430" w:type="dxa"/>
            <w:vMerge w:val="continue"/>
            <w:vAlign w:val="center"/>
          </w:tcPr>
          <w:p>
            <w:pPr>
              <w:adjustRightInd w:val="0"/>
              <w:snapToGrid w:val="0"/>
              <w:spacing w:before="120" w:beforeLines="50" w:after="120" w:afterLines="50" w:line="360" w:lineRule="auto"/>
              <w:jc w:val="center"/>
              <w:rPr>
                <w:rFonts w:ascii="宋体" w:hAnsi="宋体" w:cs="宋体"/>
                <w:kern w:val="0"/>
                <w:sz w:val="24"/>
              </w:rPr>
            </w:pPr>
          </w:p>
        </w:tc>
        <w:tc>
          <w:tcPr>
            <w:tcW w:w="2996" w:type="dxa"/>
            <w:gridSpan w:val="3"/>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取岩样</w:t>
            </w:r>
          </w:p>
        </w:tc>
        <w:tc>
          <w:tcPr>
            <w:tcW w:w="1115" w:type="dxa"/>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组</w:t>
            </w:r>
          </w:p>
        </w:tc>
        <w:tc>
          <w:tcPr>
            <w:tcW w:w="1417" w:type="dxa"/>
            <w:vAlign w:val="center"/>
          </w:tcPr>
          <w:p>
            <w:pPr>
              <w:adjustRightInd w:val="0"/>
              <w:snapToGrid w:val="0"/>
              <w:spacing w:before="120" w:beforeLines="50" w:after="120" w:afterLines="50" w:line="360" w:lineRule="auto"/>
              <w:jc w:val="center"/>
              <w:rPr>
                <w:rFonts w:ascii="宋体" w:hAnsi="宋体" w:cs="宋体"/>
                <w:kern w:val="0"/>
                <w:sz w:val="24"/>
              </w:rPr>
            </w:pPr>
            <w:r>
              <w:rPr>
                <w:rFonts w:ascii="宋体" w:hAnsi="宋体" w:cs="宋体"/>
                <w:kern w:val="0"/>
                <w:sz w:val="24"/>
              </w:rPr>
              <w:t>12</w:t>
            </w:r>
          </w:p>
        </w:tc>
        <w:tc>
          <w:tcPr>
            <w:tcW w:w="1225" w:type="dxa"/>
            <w:vAlign w:val="center"/>
          </w:tcPr>
          <w:p>
            <w:pPr>
              <w:adjustRightInd w:val="0"/>
              <w:snapToGrid w:val="0"/>
              <w:spacing w:before="120" w:beforeLines="50" w:after="120" w:afterLines="50"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05" w:type="dxa"/>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3</w:t>
            </w:r>
          </w:p>
        </w:tc>
        <w:tc>
          <w:tcPr>
            <w:tcW w:w="1430" w:type="dxa"/>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原位测试实物</w:t>
            </w:r>
          </w:p>
        </w:tc>
        <w:tc>
          <w:tcPr>
            <w:tcW w:w="2996" w:type="dxa"/>
            <w:gridSpan w:val="3"/>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粘性土混碎石（Ⅲ）</w:t>
            </w:r>
          </w:p>
        </w:tc>
        <w:tc>
          <w:tcPr>
            <w:tcW w:w="1115" w:type="dxa"/>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次</w:t>
            </w:r>
          </w:p>
        </w:tc>
        <w:tc>
          <w:tcPr>
            <w:tcW w:w="1417" w:type="dxa"/>
            <w:vAlign w:val="center"/>
          </w:tcPr>
          <w:p>
            <w:pPr>
              <w:adjustRightInd w:val="0"/>
              <w:snapToGrid w:val="0"/>
              <w:spacing w:before="120" w:beforeLines="50" w:after="120" w:afterLines="50" w:line="360" w:lineRule="auto"/>
              <w:jc w:val="center"/>
              <w:rPr>
                <w:rFonts w:ascii="宋体" w:hAnsi="宋体" w:cs="宋体"/>
                <w:kern w:val="0"/>
                <w:sz w:val="24"/>
              </w:rPr>
            </w:pPr>
            <w:r>
              <w:rPr>
                <w:rFonts w:ascii="宋体" w:hAnsi="宋体" w:cs="宋体"/>
                <w:kern w:val="0"/>
                <w:sz w:val="24"/>
              </w:rPr>
              <w:t>18</w:t>
            </w:r>
          </w:p>
        </w:tc>
        <w:tc>
          <w:tcPr>
            <w:tcW w:w="1225" w:type="dxa"/>
            <w:vAlign w:val="center"/>
          </w:tcPr>
          <w:p>
            <w:pPr>
              <w:adjustRightInd w:val="0"/>
              <w:snapToGrid w:val="0"/>
              <w:spacing w:before="120" w:beforeLines="50" w:after="120" w:afterLines="50"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05" w:type="dxa"/>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4</w:t>
            </w:r>
          </w:p>
        </w:tc>
        <w:tc>
          <w:tcPr>
            <w:tcW w:w="4426" w:type="dxa"/>
            <w:gridSpan w:val="4"/>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岩土工程验槽</w:t>
            </w:r>
          </w:p>
        </w:tc>
        <w:tc>
          <w:tcPr>
            <w:tcW w:w="1115" w:type="dxa"/>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台班</w:t>
            </w:r>
          </w:p>
        </w:tc>
        <w:tc>
          <w:tcPr>
            <w:tcW w:w="1417" w:type="dxa"/>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2</w:t>
            </w:r>
          </w:p>
        </w:tc>
        <w:tc>
          <w:tcPr>
            <w:tcW w:w="1225" w:type="dxa"/>
            <w:vAlign w:val="center"/>
          </w:tcPr>
          <w:p>
            <w:pPr>
              <w:adjustRightInd w:val="0"/>
              <w:snapToGrid w:val="0"/>
              <w:spacing w:before="120" w:beforeLines="50" w:after="120" w:afterLines="50"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05" w:type="dxa"/>
            <w:vMerge w:val="restart"/>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5</w:t>
            </w:r>
          </w:p>
        </w:tc>
        <w:tc>
          <w:tcPr>
            <w:tcW w:w="1430" w:type="dxa"/>
            <w:vMerge w:val="restart"/>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室内试验实物</w:t>
            </w:r>
          </w:p>
        </w:tc>
        <w:tc>
          <w:tcPr>
            <w:tcW w:w="2996" w:type="dxa"/>
            <w:gridSpan w:val="3"/>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水质简分析</w:t>
            </w:r>
          </w:p>
        </w:tc>
        <w:tc>
          <w:tcPr>
            <w:tcW w:w="1115" w:type="dxa"/>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件</w:t>
            </w:r>
          </w:p>
        </w:tc>
        <w:tc>
          <w:tcPr>
            <w:tcW w:w="1417" w:type="dxa"/>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2</w:t>
            </w:r>
          </w:p>
        </w:tc>
        <w:tc>
          <w:tcPr>
            <w:tcW w:w="1225" w:type="dxa"/>
            <w:vAlign w:val="center"/>
          </w:tcPr>
          <w:p>
            <w:pPr>
              <w:adjustRightInd w:val="0"/>
              <w:snapToGrid w:val="0"/>
              <w:spacing w:before="120" w:beforeLines="50" w:after="120" w:afterLines="50"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05" w:type="dxa"/>
            <w:vMerge w:val="continue"/>
            <w:vAlign w:val="center"/>
          </w:tcPr>
          <w:p>
            <w:pPr>
              <w:adjustRightInd w:val="0"/>
              <w:snapToGrid w:val="0"/>
              <w:spacing w:before="120" w:beforeLines="50" w:after="120" w:afterLines="50" w:line="360" w:lineRule="auto"/>
              <w:jc w:val="center"/>
              <w:rPr>
                <w:rFonts w:ascii="宋体" w:hAnsi="宋体" w:cs="宋体"/>
                <w:kern w:val="0"/>
                <w:sz w:val="24"/>
              </w:rPr>
            </w:pPr>
          </w:p>
        </w:tc>
        <w:tc>
          <w:tcPr>
            <w:tcW w:w="1430" w:type="dxa"/>
            <w:vMerge w:val="continue"/>
            <w:vAlign w:val="center"/>
          </w:tcPr>
          <w:p>
            <w:pPr>
              <w:adjustRightInd w:val="0"/>
              <w:snapToGrid w:val="0"/>
              <w:spacing w:before="120" w:beforeLines="50" w:after="120" w:afterLines="50" w:line="360" w:lineRule="auto"/>
              <w:jc w:val="center"/>
              <w:rPr>
                <w:rFonts w:ascii="宋体" w:hAnsi="宋体" w:cs="宋体"/>
                <w:kern w:val="0"/>
                <w:sz w:val="24"/>
              </w:rPr>
            </w:pPr>
          </w:p>
        </w:tc>
        <w:tc>
          <w:tcPr>
            <w:tcW w:w="1110" w:type="dxa"/>
            <w:vMerge w:val="restart"/>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土工试验</w:t>
            </w:r>
          </w:p>
        </w:tc>
        <w:tc>
          <w:tcPr>
            <w:tcW w:w="1886" w:type="dxa"/>
            <w:gridSpan w:val="2"/>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土腐蚀性分析</w:t>
            </w:r>
          </w:p>
        </w:tc>
        <w:tc>
          <w:tcPr>
            <w:tcW w:w="1115" w:type="dxa"/>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件</w:t>
            </w:r>
          </w:p>
        </w:tc>
        <w:tc>
          <w:tcPr>
            <w:tcW w:w="1417" w:type="dxa"/>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4</w:t>
            </w:r>
          </w:p>
        </w:tc>
        <w:tc>
          <w:tcPr>
            <w:tcW w:w="1225" w:type="dxa"/>
            <w:vAlign w:val="center"/>
          </w:tcPr>
          <w:p>
            <w:pPr>
              <w:adjustRightInd w:val="0"/>
              <w:snapToGrid w:val="0"/>
              <w:spacing w:before="120" w:beforeLines="50" w:after="120" w:afterLines="50"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05" w:type="dxa"/>
            <w:vMerge w:val="continue"/>
            <w:vAlign w:val="center"/>
          </w:tcPr>
          <w:p>
            <w:pPr>
              <w:adjustRightInd w:val="0"/>
              <w:snapToGrid w:val="0"/>
              <w:spacing w:before="120" w:beforeLines="50" w:after="120" w:afterLines="50" w:line="360" w:lineRule="auto"/>
              <w:jc w:val="center"/>
              <w:rPr>
                <w:rFonts w:ascii="宋体" w:hAnsi="宋体" w:cs="宋体"/>
                <w:kern w:val="0"/>
                <w:sz w:val="24"/>
              </w:rPr>
            </w:pPr>
          </w:p>
        </w:tc>
        <w:tc>
          <w:tcPr>
            <w:tcW w:w="1430" w:type="dxa"/>
            <w:vMerge w:val="continue"/>
            <w:vAlign w:val="center"/>
          </w:tcPr>
          <w:p>
            <w:pPr>
              <w:adjustRightInd w:val="0"/>
              <w:snapToGrid w:val="0"/>
              <w:spacing w:before="120" w:beforeLines="50" w:after="120" w:afterLines="50" w:line="360" w:lineRule="auto"/>
              <w:jc w:val="center"/>
              <w:rPr>
                <w:rFonts w:ascii="宋体" w:hAnsi="宋体" w:cs="宋体"/>
                <w:kern w:val="0"/>
                <w:sz w:val="24"/>
              </w:rPr>
            </w:pPr>
          </w:p>
        </w:tc>
        <w:tc>
          <w:tcPr>
            <w:tcW w:w="1110" w:type="dxa"/>
            <w:vMerge w:val="continue"/>
            <w:vAlign w:val="center"/>
          </w:tcPr>
          <w:p>
            <w:pPr>
              <w:adjustRightInd w:val="0"/>
              <w:snapToGrid w:val="0"/>
              <w:spacing w:before="120" w:beforeLines="50" w:after="120" w:afterLines="50" w:line="360" w:lineRule="auto"/>
              <w:jc w:val="center"/>
              <w:rPr>
                <w:rFonts w:ascii="宋体" w:hAnsi="宋体" w:cs="宋体"/>
                <w:kern w:val="0"/>
                <w:sz w:val="24"/>
              </w:rPr>
            </w:pPr>
          </w:p>
        </w:tc>
        <w:tc>
          <w:tcPr>
            <w:tcW w:w="1886" w:type="dxa"/>
            <w:gridSpan w:val="2"/>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原状土样分析</w:t>
            </w:r>
          </w:p>
        </w:tc>
        <w:tc>
          <w:tcPr>
            <w:tcW w:w="1115" w:type="dxa"/>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件</w:t>
            </w:r>
          </w:p>
        </w:tc>
        <w:tc>
          <w:tcPr>
            <w:tcW w:w="1417" w:type="dxa"/>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12</w:t>
            </w:r>
          </w:p>
        </w:tc>
        <w:tc>
          <w:tcPr>
            <w:tcW w:w="1225" w:type="dxa"/>
            <w:vAlign w:val="center"/>
          </w:tcPr>
          <w:p>
            <w:pPr>
              <w:adjustRightInd w:val="0"/>
              <w:snapToGrid w:val="0"/>
              <w:spacing w:before="120" w:beforeLines="50" w:after="120" w:afterLines="50"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05" w:type="dxa"/>
            <w:vMerge w:val="continue"/>
            <w:vAlign w:val="center"/>
          </w:tcPr>
          <w:p>
            <w:pPr>
              <w:adjustRightInd w:val="0"/>
              <w:snapToGrid w:val="0"/>
              <w:spacing w:before="120" w:beforeLines="50" w:after="120" w:afterLines="50" w:line="360" w:lineRule="auto"/>
              <w:jc w:val="center"/>
              <w:rPr>
                <w:rFonts w:ascii="宋体" w:hAnsi="宋体" w:cs="宋体"/>
                <w:kern w:val="0"/>
                <w:sz w:val="24"/>
              </w:rPr>
            </w:pPr>
          </w:p>
        </w:tc>
        <w:tc>
          <w:tcPr>
            <w:tcW w:w="1430" w:type="dxa"/>
            <w:vMerge w:val="continue"/>
            <w:vAlign w:val="center"/>
          </w:tcPr>
          <w:p>
            <w:pPr>
              <w:adjustRightInd w:val="0"/>
              <w:snapToGrid w:val="0"/>
              <w:spacing w:before="120" w:beforeLines="50" w:after="120" w:afterLines="50" w:line="360" w:lineRule="auto"/>
              <w:jc w:val="center"/>
              <w:rPr>
                <w:rFonts w:ascii="宋体" w:hAnsi="宋体" w:cs="宋体"/>
                <w:kern w:val="0"/>
                <w:sz w:val="24"/>
              </w:rPr>
            </w:pPr>
          </w:p>
        </w:tc>
        <w:tc>
          <w:tcPr>
            <w:tcW w:w="1110" w:type="dxa"/>
            <w:vMerge w:val="continue"/>
            <w:vAlign w:val="center"/>
          </w:tcPr>
          <w:p>
            <w:pPr>
              <w:adjustRightInd w:val="0"/>
              <w:snapToGrid w:val="0"/>
              <w:spacing w:before="120" w:beforeLines="50" w:after="120" w:afterLines="50" w:line="360" w:lineRule="auto"/>
              <w:jc w:val="center"/>
              <w:rPr>
                <w:rFonts w:ascii="宋体" w:hAnsi="宋体" w:cs="宋体"/>
                <w:kern w:val="0"/>
                <w:sz w:val="24"/>
              </w:rPr>
            </w:pPr>
          </w:p>
        </w:tc>
        <w:tc>
          <w:tcPr>
            <w:tcW w:w="1886" w:type="dxa"/>
            <w:gridSpan w:val="2"/>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饱和单轴抗压试验</w:t>
            </w:r>
          </w:p>
        </w:tc>
        <w:tc>
          <w:tcPr>
            <w:tcW w:w="1115" w:type="dxa"/>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项</w:t>
            </w:r>
          </w:p>
        </w:tc>
        <w:tc>
          <w:tcPr>
            <w:tcW w:w="1417" w:type="dxa"/>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12</w:t>
            </w:r>
          </w:p>
        </w:tc>
        <w:tc>
          <w:tcPr>
            <w:tcW w:w="1225" w:type="dxa"/>
            <w:vAlign w:val="center"/>
          </w:tcPr>
          <w:p>
            <w:pPr>
              <w:adjustRightInd w:val="0"/>
              <w:snapToGrid w:val="0"/>
              <w:spacing w:before="120" w:beforeLines="50" w:after="120" w:afterLines="50"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05" w:type="dxa"/>
            <w:vMerge w:val="restart"/>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6</w:t>
            </w:r>
          </w:p>
        </w:tc>
        <w:tc>
          <w:tcPr>
            <w:tcW w:w="1430" w:type="dxa"/>
            <w:vMerge w:val="restart"/>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基坑变形监测</w:t>
            </w:r>
          </w:p>
        </w:tc>
        <w:tc>
          <w:tcPr>
            <w:tcW w:w="2996" w:type="dxa"/>
            <w:gridSpan w:val="3"/>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水平位移监测</w:t>
            </w:r>
          </w:p>
        </w:tc>
        <w:tc>
          <w:tcPr>
            <w:tcW w:w="1115" w:type="dxa"/>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点次</w:t>
            </w:r>
          </w:p>
        </w:tc>
        <w:tc>
          <w:tcPr>
            <w:tcW w:w="1417" w:type="dxa"/>
            <w:vAlign w:val="center"/>
          </w:tcPr>
          <w:p>
            <w:pPr>
              <w:adjustRightInd w:val="0"/>
              <w:snapToGrid w:val="0"/>
              <w:spacing w:before="120" w:beforeLines="50" w:after="120" w:afterLines="50" w:line="360" w:lineRule="auto"/>
              <w:jc w:val="center"/>
              <w:rPr>
                <w:rFonts w:ascii="宋体" w:hAnsi="宋体" w:cs="宋体"/>
                <w:kern w:val="0"/>
                <w:sz w:val="24"/>
              </w:rPr>
            </w:pPr>
            <w:r>
              <w:rPr>
                <w:rFonts w:ascii="宋体" w:hAnsi="宋体" w:cs="宋体"/>
                <w:kern w:val="0"/>
                <w:sz w:val="24"/>
              </w:rPr>
              <w:t>200</w:t>
            </w:r>
          </w:p>
        </w:tc>
        <w:tc>
          <w:tcPr>
            <w:tcW w:w="1225" w:type="dxa"/>
            <w:vAlign w:val="center"/>
          </w:tcPr>
          <w:p>
            <w:pPr>
              <w:adjustRightInd w:val="0"/>
              <w:snapToGrid w:val="0"/>
              <w:spacing w:before="120" w:beforeLines="50" w:after="120" w:afterLines="50"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05" w:type="dxa"/>
            <w:vMerge w:val="continue"/>
            <w:vAlign w:val="center"/>
          </w:tcPr>
          <w:p>
            <w:pPr>
              <w:adjustRightInd w:val="0"/>
              <w:snapToGrid w:val="0"/>
              <w:spacing w:before="120" w:beforeLines="50" w:after="120" w:afterLines="50" w:line="360" w:lineRule="auto"/>
              <w:jc w:val="center"/>
              <w:rPr>
                <w:rFonts w:ascii="宋体" w:hAnsi="宋体" w:cs="宋体"/>
                <w:kern w:val="0"/>
                <w:sz w:val="24"/>
              </w:rPr>
            </w:pPr>
          </w:p>
        </w:tc>
        <w:tc>
          <w:tcPr>
            <w:tcW w:w="1430" w:type="dxa"/>
            <w:vMerge w:val="continue"/>
            <w:vAlign w:val="center"/>
          </w:tcPr>
          <w:p>
            <w:pPr>
              <w:adjustRightInd w:val="0"/>
              <w:snapToGrid w:val="0"/>
              <w:spacing w:before="120" w:beforeLines="50" w:after="120" w:afterLines="50" w:line="360" w:lineRule="auto"/>
              <w:jc w:val="center"/>
              <w:rPr>
                <w:rFonts w:ascii="宋体" w:hAnsi="宋体" w:cs="宋体"/>
                <w:kern w:val="0"/>
                <w:sz w:val="24"/>
              </w:rPr>
            </w:pPr>
          </w:p>
        </w:tc>
        <w:tc>
          <w:tcPr>
            <w:tcW w:w="2996" w:type="dxa"/>
            <w:gridSpan w:val="3"/>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竖向位移监测</w:t>
            </w:r>
          </w:p>
        </w:tc>
        <w:tc>
          <w:tcPr>
            <w:tcW w:w="1115" w:type="dxa"/>
            <w:vAlign w:val="center"/>
          </w:tcPr>
          <w:p>
            <w:pPr>
              <w:adjustRightInd w:val="0"/>
              <w:snapToGrid w:val="0"/>
              <w:spacing w:before="120" w:beforeLines="50" w:after="120" w:afterLines="50" w:line="360" w:lineRule="auto"/>
              <w:jc w:val="center"/>
              <w:rPr>
                <w:rFonts w:ascii="宋体" w:hAnsi="宋体" w:cs="宋体"/>
                <w:kern w:val="0"/>
                <w:sz w:val="24"/>
              </w:rPr>
            </w:pPr>
            <w:r>
              <w:rPr>
                <w:rFonts w:hint="eastAsia" w:ascii="宋体" w:hAnsi="宋体" w:cs="宋体"/>
                <w:kern w:val="0"/>
                <w:sz w:val="24"/>
              </w:rPr>
              <w:t>点次</w:t>
            </w:r>
          </w:p>
        </w:tc>
        <w:tc>
          <w:tcPr>
            <w:tcW w:w="1417" w:type="dxa"/>
            <w:vAlign w:val="center"/>
          </w:tcPr>
          <w:p>
            <w:pPr>
              <w:adjustRightInd w:val="0"/>
              <w:snapToGrid w:val="0"/>
              <w:spacing w:before="120" w:beforeLines="50" w:after="120" w:afterLines="50" w:line="360" w:lineRule="auto"/>
              <w:jc w:val="center"/>
              <w:rPr>
                <w:rFonts w:ascii="宋体" w:hAnsi="宋体" w:cs="宋体"/>
                <w:kern w:val="0"/>
                <w:sz w:val="24"/>
              </w:rPr>
            </w:pPr>
            <w:r>
              <w:rPr>
                <w:rFonts w:ascii="宋体" w:hAnsi="宋体" w:cs="宋体"/>
                <w:kern w:val="0"/>
                <w:sz w:val="24"/>
              </w:rPr>
              <w:t>200</w:t>
            </w:r>
          </w:p>
        </w:tc>
        <w:tc>
          <w:tcPr>
            <w:tcW w:w="1225" w:type="dxa"/>
            <w:vAlign w:val="center"/>
          </w:tcPr>
          <w:p>
            <w:pPr>
              <w:adjustRightInd w:val="0"/>
              <w:snapToGrid w:val="0"/>
              <w:spacing w:before="120" w:beforeLines="50" w:after="120" w:afterLines="50" w:line="360" w:lineRule="auto"/>
              <w:jc w:val="center"/>
              <w:rPr>
                <w:rFonts w:ascii="宋体" w:hAnsi="宋体" w:cs="宋体"/>
                <w:kern w:val="0"/>
                <w:sz w:val="24"/>
              </w:rPr>
            </w:pPr>
          </w:p>
        </w:tc>
      </w:tr>
    </w:tbl>
    <w:p>
      <w:pPr>
        <w:spacing w:before="240" w:line="360" w:lineRule="auto"/>
        <w:outlineLvl w:val="0"/>
        <w:rPr>
          <w:rFonts w:ascii="宋体" w:hAnsi="宋体" w:cs="宋体"/>
          <w:sz w:val="24"/>
          <w:szCs w:val="22"/>
        </w:rPr>
      </w:pPr>
      <w:bookmarkStart w:id="10" w:name="_Toc256000522"/>
      <w:bookmarkStart w:id="11" w:name="_Toc256000283"/>
      <w:r>
        <w:rPr>
          <w:rFonts w:hint="eastAsia" w:ascii="宋体" w:hAnsi="宋体" w:cs="宋体"/>
          <w:b/>
          <w:sz w:val="24"/>
        </w:rPr>
        <w:t>7、勘测</w:t>
      </w:r>
      <w:bookmarkEnd w:id="10"/>
      <w:bookmarkEnd w:id="11"/>
      <w:r>
        <w:rPr>
          <w:rFonts w:hint="eastAsia" w:ascii="宋体" w:hAnsi="宋体" w:cs="宋体"/>
          <w:sz w:val="24"/>
          <w:szCs w:val="22"/>
        </w:rPr>
        <w:t>服务期限：</w:t>
      </w:r>
    </w:p>
    <w:p>
      <w:pPr>
        <w:snapToGrid w:val="0"/>
        <w:spacing w:line="360" w:lineRule="auto"/>
        <w:ind w:firstLine="480" w:firstLineChars="200"/>
        <w:rPr>
          <w:rFonts w:ascii="宋体" w:hAnsi="宋体" w:cs="宋体"/>
          <w:sz w:val="24"/>
          <w:szCs w:val="22"/>
        </w:rPr>
      </w:pPr>
      <w:r>
        <w:rPr>
          <w:rFonts w:hint="eastAsia" w:ascii="宋体" w:hAnsi="宋体" w:cs="宋体"/>
          <w:sz w:val="24"/>
          <w:szCs w:val="22"/>
        </w:rPr>
        <w:t>勘察：甲方通知进场之日起，5个日历日内提交初勘成果；15个日历日内提交详勘成果。</w:t>
      </w:r>
    </w:p>
    <w:p>
      <w:pPr>
        <w:snapToGrid w:val="0"/>
        <w:spacing w:line="360" w:lineRule="auto"/>
        <w:ind w:firstLine="480" w:firstLineChars="200"/>
        <w:rPr>
          <w:rFonts w:ascii="宋体" w:hAnsi="宋体" w:cs="宋体"/>
          <w:sz w:val="24"/>
          <w:szCs w:val="22"/>
        </w:rPr>
      </w:pPr>
      <w:r>
        <w:rPr>
          <w:rFonts w:hint="eastAsia" w:ascii="宋体" w:hAnsi="宋体" w:cs="宋体"/>
          <w:sz w:val="24"/>
          <w:szCs w:val="22"/>
        </w:rPr>
        <w:t>具体以招标人要求为准。</w:t>
      </w:r>
    </w:p>
    <w:p>
      <w:pPr>
        <w:snapToGrid w:val="0"/>
        <w:spacing w:line="360" w:lineRule="auto"/>
        <w:ind w:firstLine="480" w:firstLineChars="200"/>
        <w:rPr>
          <w:rFonts w:ascii="宋体" w:hAnsi="宋体" w:cs="宋体"/>
          <w:sz w:val="24"/>
          <w:szCs w:val="22"/>
        </w:rPr>
      </w:pPr>
      <w:r>
        <w:rPr>
          <w:rFonts w:hint="eastAsia" w:ascii="宋体" w:hAnsi="宋体" w:cs="宋体"/>
          <w:sz w:val="24"/>
          <w:szCs w:val="22"/>
        </w:rPr>
        <w:t>后续服务日期：完成勘测工作后至工程竣工。</w:t>
      </w:r>
    </w:p>
    <w:p>
      <w:pPr>
        <w:spacing w:line="360" w:lineRule="auto"/>
        <w:outlineLvl w:val="0"/>
        <w:rPr>
          <w:rFonts w:ascii="宋体" w:hAnsi="宋体" w:cs="宋体"/>
          <w:b/>
          <w:sz w:val="28"/>
          <w:szCs w:val="22"/>
        </w:rPr>
      </w:pPr>
      <w:bookmarkStart w:id="12" w:name="_Toc256000284"/>
      <w:bookmarkStart w:id="13" w:name="_Toc256000523"/>
      <w:r>
        <w:rPr>
          <w:rFonts w:hint="eastAsia" w:ascii="宋体" w:hAnsi="宋体" w:cs="宋体"/>
          <w:b/>
          <w:sz w:val="24"/>
        </w:rPr>
        <w:t>8、勘察报告主要内容</w:t>
      </w:r>
      <w:bookmarkEnd w:id="12"/>
      <w:bookmarkEnd w:id="13"/>
    </w:p>
    <w:p>
      <w:pPr>
        <w:snapToGrid w:val="0"/>
        <w:spacing w:line="360" w:lineRule="auto"/>
        <w:ind w:firstLine="480" w:firstLineChars="200"/>
        <w:rPr>
          <w:rFonts w:ascii="宋体" w:hAnsi="宋体" w:cs="宋体"/>
          <w:sz w:val="24"/>
          <w:szCs w:val="22"/>
        </w:rPr>
      </w:pPr>
      <w:r>
        <w:rPr>
          <w:rFonts w:hint="eastAsia" w:ascii="宋体" w:hAnsi="宋体" w:cs="宋体"/>
          <w:sz w:val="24"/>
          <w:szCs w:val="22"/>
        </w:rPr>
        <w:t>8.1工程勘察报告应根据国家有关勘察成果报告的编制规范和标准编制，应资料完整、真实准确、数据无误、图表清晰、结论有据、建议合理、便于使用和适宜长期保存，并应因地制宜，重点突出，有明确的工程针对性。</w:t>
      </w:r>
    </w:p>
    <w:p>
      <w:pPr>
        <w:snapToGrid w:val="0"/>
        <w:spacing w:line="360" w:lineRule="auto"/>
        <w:ind w:firstLine="480" w:firstLineChars="200"/>
        <w:rPr>
          <w:rFonts w:ascii="宋体" w:hAnsi="宋体" w:cs="宋体"/>
          <w:sz w:val="24"/>
          <w:szCs w:val="22"/>
        </w:rPr>
      </w:pPr>
      <w:r>
        <w:rPr>
          <w:rFonts w:hint="eastAsia" w:ascii="宋体" w:hAnsi="宋体" w:cs="宋体"/>
          <w:sz w:val="24"/>
          <w:szCs w:val="22"/>
        </w:rPr>
        <w:t>8.2工程勘察报告应根据任务要求、工程特点和地质条件等具体情况编写，并应包括但不仅限于以下内容：</w:t>
      </w:r>
    </w:p>
    <w:p>
      <w:pPr>
        <w:snapToGrid w:val="0"/>
        <w:spacing w:line="360" w:lineRule="auto"/>
        <w:ind w:firstLine="480" w:firstLineChars="200"/>
        <w:rPr>
          <w:rFonts w:ascii="宋体" w:hAnsi="宋体" w:cs="宋体"/>
          <w:sz w:val="24"/>
          <w:szCs w:val="22"/>
        </w:rPr>
      </w:pPr>
      <w:r>
        <w:rPr>
          <w:rFonts w:hint="eastAsia" w:ascii="宋体" w:hAnsi="宋体" w:cs="宋体"/>
          <w:sz w:val="24"/>
          <w:szCs w:val="22"/>
        </w:rPr>
        <w:t>8.2.1勘察的目的、任务要求和依据的技术标准；</w:t>
      </w:r>
    </w:p>
    <w:p>
      <w:pPr>
        <w:snapToGrid w:val="0"/>
        <w:spacing w:line="360" w:lineRule="auto"/>
        <w:ind w:firstLine="480" w:firstLineChars="200"/>
        <w:rPr>
          <w:rFonts w:ascii="宋体" w:hAnsi="宋体" w:cs="宋体"/>
          <w:sz w:val="24"/>
          <w:szCs w:val="22"/>
        </w:rPr>
      </w:pPr>
      <w:r>
        <w:rPr>
          <w:rFonts w:hint="eastAsia" w:ascii="宋体" w:hAnsi="宋体" w:cs="宋体"/>
          <w:sz w:val="24"/>
          <w:szCs w:val="22"/>
        </w:rPr>
        <w:t>8.2.2拟建工程概况；</w:t>
      </w:r>
    </w:p>
    <w:p>
      <w:pPr>
        <w:snapToGrid w:val="0"/>
        <w:spacing w:line="360" w:lineRule="auto"/>
        <w:ind w:firstLine="480" w:firstLineChars="200"/>
        <w:rPr>
          <w:rFonts w:ascii="宋体" w:hAnsi="宋体" w:cs="宋体"/>
          <w:sz w:val="24"/>
          <w:szCs w:val="22"/>
        </w:rPr>
      </w:pPr>
      <w:r>
        <w:rPr>
          <w:rFonts w:hint="eastAsia" w:ascii="宋体" w:hAnsi="宋体" w:cs="宋体"/>
          <w:sz w:val="24"/>
          <w:szCs w:val="22"/>
        </w:rPr>
        <w:t>8.2.3勘察方法和勘察工作布置；</w:t>
      </w:r>
    </w:p>
    <w:p>
      <w:pPr>
        <w:snapToGrid w:val="0"/>
        <w:spacing w:line="360" w:lineRule="auto"/>
        <w:ind w:firstLine="480" w:firstLineChars="200"/>
        <w:rPr>
          <w:rFonts w:ascii="宋体" w:hAnsi="宋体" w:cs="宋体"/>
          <w:sz w:val="24"/>
          <w:szCs w:val="22"/>
        </w:rPr>
      </w:pPr>
      <w:r>
        <w:rPr>
          <w:rFonts w:hint="eastAsia" w:ascii="宋体" w:hAnsi="宋体" w:cs="宋体"/>
          <w:sz w:val="24"/>
          <w:szCs w:val="22"/>
        </w:rPr>
        <w:t>8.2.4拟建场地的工程地质条件：</w:t>
      </w:r>
    </w:p>
    <w:p>
      <w:pPr>
        <w:snapToGrid w:val="0"/>
        <w:spacing w:line="360" w:lineRule="auto"/>
        <w:ind w:firstLine="480" w:firstLineChars="200"/>
        <w:rPr>
          <w:rFonts w:ascii="宋体" w:hAnsi="宋体" w:cs="宋体"/>
          <w:sz w:val="24"/>
          <w:szCs w:val="22"/>
        </w:rPr>
      </w:pPr>
      <w:r>
        <w:rPr>
          <w:rFonts w:hint="eastAsia" w:ascii="宋体" w:hAnsi="宋体" w:cs="宋体"/>
          <w:sz w:val="24"/>
          <w:szCs w:val="22"/>
        </w:rPr>
        <w:t>8.2.4.1地质条件背景资料；</w:t>
      </w:r>
    </w:p>
    <w:p>
      <w:pPr>
        <w:snapToGrid w:val="0"/>
        <w:spacing w:line="360" w:lineRule="auto"/>
        <w:ind w:firstLine="480" w:firstLineChars="200"/>
        <w:rPr>
          <w:rFonts w:ascii="宋体" w:hAnsi="宋体" w:cs="宋体"/>
          <w:sz w:val="24"/>
          <w:szCs w:val="22"/>
        </w:rPr>
      </w:pPr>
      <w:r>
        <w:rPr>
          <w:rFonts w:hint="eastAsia" w:ascii="宋体" w:hAnsi="宋体" w:cs="宋体"/>
          <w:sz w:val="24"/>
          <w:szCs w:val="22"/>
        </w:rPr>
        <w:t>8.2.4.2地形地貌条件；</w:t>
      </w:r>
    </w:p>
    <w:p>
      <w:pPr>
        <w:snapToGrid w:val="0"/>
        <w:spacing w:line="360" w:lineRule="auto"/>
        <w:ind w:firstLine="480" w:firstLineChars="200"/>
        <w:rPr>
          <w:rFonts w:ascii="宋体" w:hAnsi="宋体" w:cs="宋体"/>
          <w:sz w:val="24"/>
          <w:szCs w:val="22"/>
        </w:rPr>
      </w:pPr>
      <w:r>
        <w:rPr>
          <w:rFonts w:hint="eastAsia" w:ascii="宋体" w:hAnsi="宋体" w:cs="宋体"/>
          <w:sz w:val="24"/>
          <w:szCs w:val="22"/>
        </w:rPr>
        <w:t>8.2.4.3拟建场区地层、地质构造、岩土性质及其均匀性；</w:t>
      </w:r>
    </w:p>
    <w:p>
      <w:pPr>
        <w:snapToGrid w:val="0"/>
        <w:spacing w:line="360" w:lineRule="auto"/>
        <w:ind w:firstLine="480" w:firstLineChars="200"/>
        <w:rPr>
          <w:rFonts w:ascii="宋体" w:hAnsi="宋体" w:cs="宋体"/>
          <w:sz w:val="24"/>
          <w:szCs w:val="22"/>
        </w:rPr>
      </w:pPr>
      <w:r>
        <w:rPr>
          <w:rFonts w:hint="eastAsia" w:ascii="宋体" w:hAnsi="宋体" w:cs="宋体"/>
          <w:sz w:val="24"/>
          <w:szCs w:val="22"/>
        </w:rPr>
        <w:t>8.2.4.4各项岩土性质指标，岩土的强度参数、变形参数、地基承载力的建议值；</w:t>
      </w:r>
    </w:p>
    <w:p>
      <w:pPr>
        <w:snapToGrid w:val="0"/>
        <w:spacing w:line="360" w:lineRule="auto"/>
        <w:ind w:firstLine="480" w:firstLineChars="200"/>
        <w:rPr>
          <w:rFonts w:ascii="宋体" w:hAnsi="宋体" w:cs="宋体"/>
          <w:sz w:val="24"/>
          <w:szCs w:val="22"/>
        </w:rPr>
      </w:pPr>
      <w:r>
        <w:rPr>
          <w:rFonts w:hint="eastAsia" w:ascii="宋体" w:hAnsi="宋体" w:cs="宋体"/>
          <w:sz w:val="24"/>
          <w:szCs w:val="22"/>
        </w:rPr>
        <w:t>8.2.4.5可能影响工程稳定的不良地质作用的描述和对工程危害程度的评价，提出预防措施；</w:t>
      </w:r>
    </w:p>
    <w:p>
      <w:pPr>
        <w:snapToGrid w:val="0"/>
        <w:spacing w:line="360" w:lineRule="auto"/>
        <w:ind w:firstLine="480" w:firstLineChars="200"/>
        <w:rPr>
          <w:rFonts w:ascii="宋体" w:hAnsi="宋体" w:cs="宋体"/>
          <w:sz w:val="24"/>
          <w:szCs w:val="22"/>
        </w:rPr>
      </w:pPr>
      <w:r>
        <w:rPr>
          <w:rFonts w:hint="eastAsia" w:ascii="宋体" w:hAnsi="宋体" w:cs="宋体"/>
          <w:sz w:val="24"/>
          <w:szCs w:val="22"/>
        </w:rPr>
        <w:t>8.2.4.6埋藏的河道、沟浜、防空洞、孤石等对工程不利的埋藏物情况；</w:t>
      </w:r>
    </w:p>
    <w:p>
      <w:pPr>
        <w:snapToGrid w:val="0"/>
        <w:spacing w:line="360" w:lineRule="auto"/>
        <w:ind w:firstLine="480" w:firstLineChars="200"/>
        <w:rPr>
          <w:rFonts w:ascii="宋体" w:hAnsi="宋体" w:cs="宋体"/>
          <w:sz w:val="24"/>
          <w:szCs w:val="22"/>
        </w:rPr>
      </w:pPr>
      <w:r>
        <w:rPr>
          <w:rFonts w:hint="eastAsia" w:ascii="宋体" w:hAnsi="宋体" w:cs="宋体"/>
          <w:sz w:val="24"/>
          <w:szCs w:val="22"/>
        </w:rPr>
        <w:t>8.2.5拟建场地的水文地质条件：</w:t>
      </w:r>
    </w:p>
    <w:p>
      <w:pPr>
        <w:snapToGrid w:val="0"/>
        <w:spacing w:line="360" w:lineRule="auto"/>
        <w:ind w:firstLine="480" w:firstLineChars="200"/>
        <w:rPr>
          <w:rFonts w:ascii="宋体" w:hAnsi="宋体" w:cs="宋体"/>
          <w:sz w:val="24"/>
          <w:szCs w:val="22"/>
        </w:rPr>
      </w:pPr>
      <w:r>
        <w:rPr>
          <w:rFonts w:hint="eastAsia" w:ascii="宋体" w:hAnsi="宋体" w:cs="宋体"/>
          <w:sz w:val="24"/>
          <w:szCs w:val="22"/>
        </w:rPr>
        <w:t>8.2.5.1地下水类型及地下水位及其变化；</w:t>
      </w:r>
    </w:p>
    <w:p>
      <w:pPr>
        <w:snapToGrid w:val="0"/>
        <w:spacing w:line="360" w:lineRule="auto"/>
        <w:ind w:firstLine="480" w:firstLineChars="200"/>
        <w:rPr>
          <w:rFonts w:ascii="宋体" w:hAnsi="宋体" w:cs="宋体"/>
          <w:sz w:val="24"/>
          <w:szCs w:val="22"/>
        </w:rPr>
      </w:pPr>
      <w:r>
        <w:rPr>
          <w:rFonts w:hint="eastAsia" w:ascii="宋体" w:hAnsi="宋体" w:cs="宋体"/>
          <w:sz w:val="24"/>
          <w:szCs w:val="22"/>
        </w:rPr>
        <w:t>8.2.5.2历年高水位记录；</w:t>
      </w:r>
    </w:p>
    <w:p>
      <w:pPr>
        <w:snapToGrid w:val="0"/>
        <w:spacing w:line="360" w:lineRule="auto"/>
        <w:ind w:firstLine="480" w:firstLineChars="200"/>
        <w:rPr>
          <w:rFonts w:ascii="宋体" w:hAnsi="宋体" w:cs="宋体"/>
          <w:sz w:val="24"/>
          <w:szCs w:val="22"/>
        </w:rPr>
      </w:pPr>
      <w:r>
        <w:rPr>
          <w:rFonts w:hint="eastAsia" w:ascii="宋体" w:hAnsi="宋体" w:cs="宋体"/>
          <w:sz w:val="24"/>
          <w:szCs w:val="22"/>
        </w:rPr>
        <w:t>8.2.5.3关于确定建筑防渗设计水位和抗浮设计水位的基本依据和建议；</w:t>
      </w:r>
    </w:p>
    <w:p>
      <w:pPr>
        <w:snapToGrid w:val="0"/>
        <w:spacing w:line="360" w:lineRule="auto"/>
        <w:ind w:firstLine="480" w:firstLineChars="200"/>
        <w:rPr>
          <w:rFonts w:ascii="宋体" w:hAnsi="宋体" w:cs="宋体"/>
          <w:sz w:val="24"/>
          <w:szCs w:val="22"/>
        </w:rPr>
      </w:pPr>
      <w:r>
        <w:rPr>
          <w:rFonts w:hint="eastAsia" w:ascii="宋体" w:hAnsi="宋体" w:cs="宋体"/>
          <w:sz w:val="24"/>
          <w:szCs w:val="22"/>
        </w:rPr>
        <w:t>8.2.6水和土对建筑材料的影响：</w:t>
      </w:r>
    </w:p>
    <w:p>
      <w:pPr>
        <w:snapToGrid w:val="0"/>
        <w:spacing w:line="360" w:lineRule="auto"/>
        <w:ind w:firstLine="480" w:firstLineChars="200"/>
        <w:rPr>
          <w:rFonts w:ascii="宋体" w:hAnsi="宋体" w:cs="宋体"/>
          <w:sz w:val="24"/>
          <w:szCs w:val="22"/>
        </w:rPr>
      </w:pPr>
      <w:r>
        <w:rPr>
          <w:rFonts w:hint="eastAsia" w:ascii="宋体" w:hAnsi="宋体" w:cs="宋体"/>
          <w:sz w:val="24"/>
          <w:szCs w:val="22"/>
        </w:rPr>
        <w:t>8.2.6.1地下水和土对混凝土和钢筋的腐蚀性评价；</w:t>
      </w:r>
    </w:p>
    <w:p>
      <w:pPr>
        <w:snapToGrid w:val="0"/>
        <w:spacing w:line="360" w:lineRule="auto"/>
        <w:ind w:firstLine="480" w:firstLineChars="200"/>
        <w:rPr>
          <w:rFonts w:ascii="宋体" w:hAnsi="宋体" w:cs="宋体"/>
          <w:sz w:val="24"/>
          <w:szCs w:val="22"/>
        </w:rPr>
      </w:pPr>
      <w:r>
        <w:rPr>
          <w:rFonts w:hint="eastAsia" w:ascii="宋体" w:hAnsi="宋体" w:cs="宋体"/>
          <w:sz w:val="24"/>
          <w:szCs w:val="22"/>
        </w:rPr>
        <w:t>8.2.6.2地下水和土的毒性评价；</w:t>
      </w:r>
    </w:p>
    <w:p>
      <w:pPr>
        <w:snapToGrid w:val="0"/>
        <w:spacing w:line="360" w:lineRule="auto"/>
        <w:ind w:firstLine="480" w:firstLineChars="200"/>
        <w:rPr>
          <w:rFonts w:ascii="宋体" w:hAnsi="宋体" w:cs="宋体"/>
          <w:sz w:val="24"/>
          <w:szCs w:val="22"/>
        </w:rPr>
      </w:pPr>
      <w:r>
        <w:rPr>
          <w:rFonts w:hint="eastAsia" w:ascii="宋体" w:hAnsi="宋体" w:cs="宋体"/>
          <w:sz w:val="24"/>
          <w:szCs w:val="22"/>
        </w:rPr>
        <w:t>8.2.6.3地下水和土对建筑材料的其他影响；</w:t>
      </w:r>
    </w:p>
    <w:p>
      <w:pPr>
        <w:snapToGrid w:val="0"/>
        <w:spacing w:line="360" w:lineRule="auto"/>
        <w:ind w:firstLine="480" w:firstLineChars="200"/>
        <w:rPr>
          <w:rFonts w:ascii="宋体" w:hAnsi="宋体" w:cs="宋体"/>
          <w:sz w:val="24"/>
          <w:szCs w:val="22"/>
        </w:rPr>
      </w:pPr>
      <w:r>
        <w:rPr>
          <w:rFonts w:hint="eastAsia" w:ascii="宋体" w:hAnsi="宋体" w:cs="宋体"/>
          <w:sz w:val="24"/>
          <w:szCs w:val="22"/>
        </w:rPr>
        <w:t>8.2.7场地、地基的建筑抗震设计条件：</w:t>
      </w:r>
    </w:p>
    <w:p>
      <w:pPr>
        <w:snapToGrid w:val="0"/>
        <w:spacing w:line="360" w:lineRule="auto"/>
        <w:ind w:firstLine="480" w:firstLineChars="200"/>
        <w:rPr>
          <w:rFonts w:ascii="宋体" w:hAnsi="宋体" w:cs="宋体"/>
          <w:sz w:val="24"/>
          <w:szCs w:val="22"/>
        </w:rPr>
      </w:pPr>
      <w:r>
        <w:rPr>
          <w:rFonts w:hint="eastAsia" w:ascii="宋体" w:hAnsi="宋体" w:cs="宋体"/>
          <w:sz w:val="24"/>
          <w:szCs w:val="22"/>
        </w:rPr>
        <w:t>8.2.7.1场地土类型与建筑场地类别的判定；</w:t>
      </w:r>
    </w:p>
    <w:p>
      <w:pPr>
        <w:snapToGrid w:val="0"/>
        <w:spacing w:line="360" w:lineRule="auto"/>
        <w:ind w:firstLine="480" w:firstLineChars="200"/>
        <w:rPr>
          <w:rFonts w:ascii="宋体" w:hAnsi="宋体" w:cs="宋体"/>
          <w:sz w:val="24"/>
          <w:szCs w:val="22"/>
        </w:rPr>
      </w:pPr>
      <w:r>
        <w:rPr>
          <w:rFonts w:hint="eastAsia" w:ascii="宋体" w:hAnsi="宋体" w:cs="宋体"/>
          <w:sz w:val="24"/>
          <w:szCs w:val="22"/>
        </w:rPr>
        <w:t>8.2.7.2抗震设防烈度；</w:t>
      </w:r>
    </w:p>
    <w:p>
      <w:pPr>
        <w:snapToGrid w:val="0"/>
        <w:spacing w:line="360" w:lineRule="auto"/>
        <w:ind w:firstLine="480" w:firstLineChars="200"/>
        <w:rPr>
          <w:rFonts w:ascii="宋体" w:hAnsi="宋体" w:cs="宋体"/>
          <w:sz w:val="24"/>
          <w:szCs w:val="22"/>
        </w:rPr>
      </w:pPr>
      <w:r>
        <w:rPr>
          <w:rFonts w:hint="eastAsia" w:ascii="宋体" w:hAnsi="宋体" w:cs="宋体"/>
          <w:sz w:val="24"/>
          <w:szCs w:val="22"/>
        </w:rPr>
        <w:t>8.2.7.3地基土层地震液化评价；</w:t>
      </w:r>
    </w:p>
    <w:p>
      <w:pPr>
        <w:snapToGrid w:val="0"/>
        <w:spacing w:line="360" w:lineRule="auto"/>
        <w:ind w:firstLine="480" w:firstLineChars="200"/>
        <w:rPr>
          <w:rFonts w:ascii="宋体" w:hAnsi="宋体" w:cs="宋体"/>
          <w:sz w:val="24"/>
          <w:szCs w:val="22"/>
        </w:rPr>
      </w:pPr>
      <w:r>
        <w:rPr>
          <w:rFonts w:hint="eastAsia" w:ascii="宋体" w:hAnsi="宋体" w:cs="宋体"/>
          <w:sz w:val="24"/>
          <w:szCs w:val="22"/>
        </w:rPr>
        <w:t>8.2.7.4场地和地基的地震效应、场地地震安全性做出初步评价；</w:t>
      </w:r>
    </w:p>
    <w:p>
      <w:pPr>
        <w:snapToGrid w:val="0"/>
        <w:spacing w:line="360" w:lineRule="auto"/>
        <w:ind w:firstLine="480" w:firstLineChars="200"/>
        <w:rPr>
          <w:rFonts w:ascii="宋体" w:hAnsi="宋体" w:cs="宋体"/>
          <w:sz w:val="24"/>
          <w:szCs w:val="22"/>
        </w:rPr>
      </w:pPr>
      <w:r>
        <w:rPr>
          <w:rFonts w:hint="eastAsia" w:ascii="宋体" w:hAnsi="宋体" w:cs="宋体"/>
          <w:sz w:val="24"/>
          <w:szCs w:val="22"/>
        </w:rPr>
        <w:t>8.2.8地基基础方案分析评价及相关建议；</w:t>
      </w:r>
    </w:p>
    <w:p>
      <w:pPr>
        <w:snapToGrid w:val="0"/>
        <w:spacing w:line="360" w:lineRule="auto"/>
        <w:ind w:firstLine="480" w:firstLineChars="200"/>
        <w:rPr>
          <w:rFonts w:ascii="宋体" w:hAnsi="宋体" w:cs="宋体"/>
          <w:sz w:val="24"/>
          <w:szCs w:val="22"/>
        </w:rPr>
      </w:pPr>
      <w:r>
        <w:rPr>
          <w:rFonts w:hint="eastAsia" w:ascii="宋体" w:hAnsi="宋体" w:cs="宋体"/>
          <w:sz w:val="24"/>
          <w:szCs w:val="22"/>
        </w:rPr>
        <w:t>8.2.9基坑开挖和支护方案评价与相关建议；</w:t>
      </w:r>
    </w:p>
    <w:p>
      <w:pPr>
        <w:snapToGrid w:val="0"/>
        <w:spacing w:line="360" w:lineRule="auto"/>
        <w:ind w:firstLine="480" w:firstLineChars="200"/>
        <w:rPr>
          <w:rFonts w:ascii="宋体" w:hAnsi="宋体" w:cs="宋体"/>
          <w:sz w:val="24"/>
          <w:szCs w:val="22"/>
        </w:rPr>
      </w:pPr>
      <w:r>
        <w:rPr>
          <w:rFonts w:hint="eastAsia" w:ascii="宋体" w:hAnsi="宋体" w:cs="宋体"/>
          <w:sz w:val="24"/>
          <w:szCs w:val="22"/>
        </w:rPr>
        <w:t>8.2.10施工降水方法的建议和有关技术参数及降水对周围环境的影响；</w:t>
      </w:r>
    </w:p>
    <w:p>
      <w:pPr>
        <w:snapToGrid w:val="0"/>
        <w:spacing w:line="360" w:lineRule="auto"/>
        <w:ind w:firstLine="480" w:firstLineChars="200"/>
        <w:rPr>
          <w:rFonts w:ascii="宋体" w:hAnsi="宋体" w:cs="宋体"/>
          <w:sz w:val="24"/>
          <w:szCs w:val="22"/>
        </w:rPr>
      </w:pPr>
      <w:r>
        <w:rPr>
          <w:rFonts w:hint="eastAsia" w:ascii="宋体" w:hAnsi="宋体" w:cs="宋体"/>
          <w:sz w:val="24"/>
          <w:szCs w:val="22"/>
        </w:rPr>
        <w:t>8.2.11变形计算参数，预测建筑物的变形特征，并对设计与施工应注意的问题提出建议；</w:t>
      </w:r>
    </w:p>
    <w:p>
      <w:pPr>
        <w:snapToGrid w:val="0"/>
        <w:spacing w:line="360" w:lineRule="auto"/>
        <w:ind w:firstLine="480" w:firstLineChars="200"/>
        <w:rPr>
          <w:rFonts w:ascii="宋体" w:hAnsi="宋体" w:cs="宋体"/>
          <w:sz w:val="24"/>
          <w:szCs w:val="22"/>
        </w:rPr>
      </w:pPr>
      <w:r>
        <w:rPr>
          <w:rFonts w:hint="eastAsia" w:ascii="宋体" w:hAnsi="宋体" w:cs="宋体"/>
          <w:sz w:val="24"/>
          <w:szCs w:val="22"/>
        </w:rPr>
        <w:t>8.2.12上述方案及建议的计算图表（计算书）及方案草图；</w:t>
      </w:r>
    </w:p>
    <w:p>
      <w:pPr>
        <w:snapToGrid w:val="0"/>
        <w:spacing w:line="360" w:lineRule="auto"/>
        <w:ind w:firstLine="480" w:firstLineChars="200"/>
        <w:rPr>
          <w:rFonts w:ascii="宋体" w:hAnsi="宋体" w:cs="宋体"/>
          <w:sz w:val="24"/>
          <w:szCs w:val="22"/>
        </w:rPr>
      </w:pPr>
      <w:r>
        <w:rPr>
          <w:rFonts w:hint="eastAsia" w:ascii="宋体" w:hAnsi="宋体" w:cs="宋体"/>
          <w:sz w:val="24"/>
          <w:szCs w:val="22"/>
        </w:rPr>
        <w:t>8.2.13附件内容：</w:t>
      </w:r>
    </w:p>
    <w:p>
      <w:pPr>
        <w:snapToGrid w:val="0"/>
        <w:spacing w:line="360" w:lineRule="auto"/>
        <w:ind w:firstLine="480" w:firstLineChars="200"/>
        <w:rPr>
          <w:rFonts w:ascii="宋体" w:hAnsi="宋体" w:cs="宋体"/>
          <w:sz w:val="24"/>
          <w:szCs w:val="22"/>
        </w:rPr>
      </w:pPr>
      <w:r>
        <w:rPr>
          <w:rFonts w:hint="eastAsia" w:ascii="宋体" w:hAnsi="宋体" w:cs="宋体"/>
          <w:sz w:val="24"/>
          <w:szCs w:val="22"/>
        </w:rPr>
        <w:t>8.2.13.1土的物理学性质综合统计表；</w:t>
      </w:r>
    </w:p>
    <w:p>
      <w:pPr>
        <w:snapToGrid w:val="0"/>
        <w:spacing w:line="360" w:lineRule="auto"/>
        <w:ind w:firstLine="480" w:firstLineChars="200"/>
        <w:rPr>
          <w:rFonts w:ascii="宋体" w:hAnsi="宋体" w:cs="宋体"/>
          <w:sz w:val="24"/>
          <w:szCs w:val="22"/>
        </w:rPr>
      </w:pPr>
      <w:r>
        <w:rPr>
          <w:rFonts w:hint="eastAsia" w:ascii="宋体" w:hAnsi="宋体" w:cs="宋体"/>
          <w:sz w:val="24"/>
          <w:szCs w:val="22"/>
        </w:rPr>
        <w:t>8.2.13.2各类工程平面图和地层剖面图及柱状图；</w:t>
      </w:r>
    </w:p>
    <w:p>
      <w:pPr>
        <w:snapToGrid w:val="0"/>
        <w:spacing w:line="360" w:lineRule="auto"/>
        <w:ind w:firstLine="480" w:firstLineChars="200"/>
        <w:rPr>
          <w:rFonts w:ascii="宋体" w:hAnsi="宋体" w:cs="宋体"/>
          <w:sz w:val="24"/>
          <w:szCs w:val="22"/>
        </w:rPr>
      </w:pPr>
      <w:r>
        <w:rPr>
          <w:rFonts w:hint="eastAsia" w:ascii="宋体" w:hAnsi="宋体" w:cs="宋体"/>
          <w:sz w:val="24"/>
          <w:szCs w:val="22"/>
        </w:rPr>
        <w:t>8.2.13.3土工试验说明及试验成果；</w:t>
      </w:r>
    </w:p>
    <w:p>
      <w:pPr>
        <w:snapToGrid w:val="0"/>
        <w:spacing w:line="360" w:lineRule="auto"/>
        <w:ind w:firstLine="480" w:firstLineChars="200"/>
        <w:rPr>
          <w:rFonts w:ascii="宋体" w:hAnsi="宋体" w:cs="宋体"/>
          <w:sz w:val="24"/>
          <w:szCs w:val="22"/>
        </w:rPr>
      </w:pPr>
      <w:r>
        <w:rPr>
          <w:rFonts w:hint="eastAsia" w:ascii="宋体" w:hAnsi="宋体" w:cs="宋体"/>
          <w:sz w:val="24"/>
          <w:szCs w:val="22"/>
        </w:rPr>
        <w:t>8.2.13.4标贯与动力触探原位测试成果图；</w:t>
      </w:r>
    </w:p>
    <w:p>
      <w:pPr>
        <w:snapToGrid w:val="0"/>
        <w:spacing w:line="360" w:lineRule="auto"/>
        <w:ind w:firstLine="480" w:firstLineChars="200"/>
        <w:rPr>
          <w:rFonts w:ascii="宋体" w:hAnsi="宋体" w:cs="宋体"/>
          <w:sz w:val="24"/>
          <w:szCs w:val="22"/>
        </w:rPr>
      </w:pPr>
      <w:r>
        <w:rPr>
          <w:rFonts w:hint="eastAsia" w:ascii="宋体" w:hAnsi="宋体" w:cs="宋体"/>
          <w:sz w:val="24"/>
          <w:szCs w:val="22"/>
        </w:rPr>
        <w:t>8.2.13.5剪切波速测试结果；</w:t>
      </w:r>
    </w:p>
    <w:p>
      <w:pPr>
        <w:snapToGrid w:val="0"/>
        <w:spacing w:line="360" w:lineRule="auto"/>
        <w:ind w:firstLine="480" w:firstLineChars="200"/>
        <w:rPr>
          <w:rFonts w:ascii="宋体" w:hAnsi="宋体" w:cs="宋体"/>
          <w:sz w:val="24"/>
          <w:szCs w:val="22"/>
        </w:rPr>
      </w:pPr>
      <w:r>
        <w:rPr>
          <w:rFonts w:hint="eastAsia" w:ascii="宋体" w:hAnsi="宋体" w:cs="宋体"/>
          <w:sz w:val="24"/>
          <w:szCs w:val="22"/>
        </w:rPr>
        <w:t>8.2.13.6基坑支护计算参数；</w:t>
      </w:r>
    </w:p>
    <w:p>
      <w:pPr>
        <w:snapToGrid w:val="0"/>
        <w:spacing w:line="360" w:lineRule="auto"/>
        <w:ind w:firstLine="480" w:firstLineChars="200"/>
        <w:rPr>
          <w:rFonts w:ascii="宋体" w:hAnsi="宋体" w:cs="宋体"/>
          <w:b/>
          <w:sz w:val="28"/>
          <w:szCs w:val="22"/>
        </w:rPr>
      </w:pPr>
      <w:r>
        <w:rPr>
          <w:rFonts w:hint="eastAsia" w:ascii="宋体" w:hAnsi="宋体" w:cs="宋体"/>
          <w:sz w:val="24"/>
          <w:szCs w:val="22"/>
        </w:rPr>
        <w:t>8.2.14其它根据该工程和有关规范要求需要编写的内容。</w:t>
      </w:r>
    </w:p>
    <w:p>
      <w:pPr>
        <w:spacing w:line="360" w:lineRule="auto"/>
        <w:rPr>
          <w:rFonts w:ascii="宋体" w:hAnsi="宋体" w:cs="宋体"/>
          <w:b/>
          <w:sz w:val="24"/>
        </w:rPr>
      </w:pPr>
      <w:r>
        <w:rPr>
          <w:rFonts w:hint="eastAsia" w:ascii="宋体" w:hAnsi="宋体" w:cs="宋体"/>
          <w:b/>
          <w:sz w:val="24"/>
        </w:rPr>
        <w:t>9、提供成果要求</w:t>
      </w:r>
    </w:p>
    <w:p>
      <w:pPr>
        <w:snapToGrid w:val="0"/>
        <w:spacing w:line="360" w:lineRule="auto"/>
        <w:ind w:firstLine="480" w:firstLineChars="200"/>
        <w:rPr>
          <w:rFonts w:ascii="宋体" w:hAnsi="宋体" w:cs="宋体"/>
          <w:b/>
          <w:bCs/>
          <w:sz w:val="24"/>
        </w:rPr>
      </w:pPr>
      <w:r>
        <w:rPr>
          <w:rFonts w:hint="eastAsia" w:ascii="宋体" w:hAnsi="宋体" w:cs="宋体"/>
          <w:sz w:val="24"/>
        </w:rPr>
        <w:t>勘察人应提交勘察成果资料文本四份，电子光盘一份；</w:t>
      </w:r>
    </w:p>
    <w:p>
      <w:pPr>
        <w:spacing w:line="440" w:lineRule="exact"/>
        <w:ind w:firstLine="883" w:firstLineChars="200"/>
        <w:rPr>
          <w:rFonts w:ascii="宋体" w:hAnsi="宋体"/>
          <w:b/>
          <w:bCs/>
          <w:sz w:val="44"/>
          <w:szCs w:val="44"/>
        </w:rPr>
        <w:sectPr>
          <w:headerReference r:id="rId8" w:type="first"/>
          <w:footerReference r:id="rId10" w:type="first"/>
          <w:footerReference r:id="rId9" w:type="default"/>
          <w:pgSz w:w="11906" w:h="16838"/>
          <w:pgMar w:top="1440" w:right="1800" w:bottom="1440" w:left="1800" w:header="851" w:footer="828" w:gutter="0"/>
          <w:cols w:space="720" w:num="1"/>
          <w:titlePg/>
          <w:docGrid w:linePitch="312" w:charSpace="0"/>
        </w:sectPr>
      </w:pPr>
    </w:p>
    <w:p>
      <w:pPr>
        <w:snapToGrid w:val="0"/>
        <w:spacing w:line="360" w:lineRule="auto"/>
        <w:rPr>
          <w:rFonts w:ascii="宋体" w:hAnsi="宋体"/>
          <w:b/>
          <w:bCs/>
          <w:sz w:val="44"/>
          <w:szCs w:val="44"/>
        </w:rPr>
      </w:pPr>
    </w:p>
    <w:p>
      <w:pPr>
        <w:snapToGrid w:val="0"/>
        <w:spacing w:line="360" w:lineRule="auto"/>
        <w:jc w:val="center"/>
        <w:rPr>
          <w:rFonts w:ascii="宋体" w:hAnsi="宋体"/>
          <w:b/>
          <w:bCs/>
          <w:sz w:val="44"/>
          <w:szCs w:val="44"/>
        </w:rPr>
      </w:pPr>
    </w:p>
    <w:p>
      <w:pPr>
        <w:snapToGrid w:val="0"/>
        <w:spacing w:line="360" w:lineRule="auto"/>
        <w:jc w:val="center"/>
        <w:rPr>
          <w:rFonts w:ascii="宋体" w:hAnsi="宋体"/>
          <w:b/>
          <w:bCs/>
          <w:sz w:val="44"/>
          <w:szCs w:val="44"/>
        </w:rPr>
      </w:pPr>
    </w:p>
    <w:p>
      <w:pPr>
        <w:snapToGrid w:val="0"/>
        <w:spacing w:line="360" w:lineRule="auto"/>
        <w:jc w:val="center"/>
        <w:rPr>
          <w:rFonts w:ascii="宋体" w:hAnsi="宋体"/>
          <w:b/>
          <w:bCs/>
          <w:sz w:val="44"/>
          <w:szCs w:val="44"/>
        </w:rPr>
      </w:pPr>
    </w:p>
    <w:p>
      <w:pPr>
        <w:snapToGrid w:val="0"/>
        <w:spacing w:line="360" w:lineRule="auto"/>
        <w:jc w:val="center"/>
        <w:rPr>
          <w:rFonts w:ascii="宋体" w:hAnsi="宋体"/>
          <w:b/>
          <w:bCs/>
          <w:sz w:val="44"/>
          <w:szCs w:val="44"/>
        </w:rPr>
      </w:pPr>
    </w:p>
    <w:p>
      <w:pPr>
        <w:snapToGrid w:val="0"/>
        <w:spacing w:line="360" w:lineRule="auto"/>
        <w:jc w:val="center"/>
        <w:rPr>
          <w:rFonts w:ascii="宋体" w:hAnsi="宋体"/>
          <w:b/>
          <w:sz w:val="44"/>
        </w:rPr>
      </w:pPr>
      <w:r>
        <w:rPr>
          <w:rFonts w:hint="eastAsia" w:ascii="宋体" w:hAnsi="宋体"/>
          <w:b/>
          <w:bCs/>
          <w:sz w:val="44"/>
          <w:szCs w:val="44"/>
        </w:rPr>
        <w:t xml:space="preserve">第四章 </w:t>
      </w:r>
      <w:r>
        <w:rPr>
          <w:rFonts w:hint="eastAsia" w:ascii="宋体" w:hAnsi="宋体"/>
          <w:b/>
          <w:sz w:val="44"/>
        </w:rPr>
        <w:t>投标文件格式</w:t>
      </w:r>
    </w:p>
    <w:p>
      <w:pPr>
        <w:spacing w:line="360" w:lineRule="auto"/>
        <w:ind w:firstLine="442" w:firstLineChars="100"/>
        <w:jc w:val="center"/>
        <w:rPr>
          <w:rFonts w:ascii="宋体" w:hAnsi="宋体"/>
          <w:b/>
          <w:sz w:val="36"/>
          <w:szCs w:val="36"/>
        </w:rPr>
      </w:pPr>
      <w:r>
        <w:rPr>
          <w:rFonts w:ascii="宋体" w:hAnsi="宋体"/>
          <w:b/>
          <w:sz w:val="44"/>
        </w:rPr>
        <w:br w:type="page"/>
      </w:r>
      <w:r>
        <w:rPr>
          <w:rFonts w:hint="eastAsia" w:ascii="宋体" w:hAnsi="宋体"/>
          <w:b/>
          <w:sz w:val="36"/>
          <w:szCs w:val="36"/>
        </w:rPr>
        <w:t>一、投标函格式</w:t>
      </w:r>
    </w:p>
    <w:p>
      <w:pPr>
        <w:rPr>
          <w:rFonts w:ascii="宋体" w:hAnsi="宋体" w:cs="宋体"/>
          <w:sz w:val="24"/>
        </w:rPr>
      </w:pPr>
      <w:r>
        <w:rPr>
          <w:rFonts w:hint="eastAsia" w:ascii="宋体" w:hAnsi="宋体" w:cs="宋体"/>
          <w:sz w:val="24"/>
        </w:rPr>
        <w:t>致：</w:t>
      </w:r>
      <w:r>
        <w:rPr>
          <w:rFonts w:hint="eastAsia" w:ascii="宋体" w:hAnsi="宋体" w:cs="宋体"/>
          <w:sz w:val="24"/>
          <w:u w:val="single"/>
        </w:rPr>
        <w:t>（采购人、采购代理机构）</w:t>
      </w:r>
    </w:p>
    <w:p>
      <w:pPr>
        <w:ind w:firstLine="480" w:firstLineChars="200"/>
        <w:rPr>
          <w:rFonts w:ascii="宋体" w:hAnsi="宋体" w:cs="宋体"/>
          <w:sz w:val="24"/>
        </w:rPr>
      </w:pPr>
      <w:r>
        <w:rPr>
          <w:rFonts w:hint="eastAsia" w:ascii="宋体" w:hAnsi="宋体" w:cs="宋体"/>
          <w:sz w:val="24"/>
        </w:rPr>
        <w:t>根据贵方</w:t>
      </w:r>
      <w:r>
        <w:rPr>
          <w:rFonts w:hint="eastAsia" w:ascii="宋体" w:hAnsi="宋体" w:cs="宋体"/>
          <w:sz w:val="24"/>
          <w:u w:val="single"/>
        </w:rPr>
        <w:t>（招标项目名称）（项目编号）</w:t>
      </w:r>
      <w:r>
        <w:rPr>
          <w:rFonts w:hint="eastAsia" w:ascii="宋体" w:hAnsi="宋体" w:cs="宋体"/>
          <w:sz w:val="24"/>
        </w:rPr>
        <w:t>，投标人代表</w:t>
      </w:r>
      <w:r>
        <w:rPr>
          <w:rFonts w:hint="eastAsia" w:ascii="宋体" w:hAnsi="宋体" w:cs="宋体"/>
          <w:sz w:val="24"/>
          <w:u w:val="single"/>
        </w:rPr>
        <w:t>（姓名、职务）</w:t>
      </w:r>
      <w:r>
        <w:rPr>
          <w:rFonts w:hint="eastAsia" w:ascii="宋体" w:hAnsi="宋体" w:cs="宋体"/>
          <w:sz w:val="24"/>
        </w:rPr>
        <w:t>经正式授权并代表投标人</w:t>
      </w:r>
      <w:r>
        <w:rPr>
          <w:rFonts w:hint="eastAsia" w:ascii="宋体" w:hAnsi="宋体" w:cs="宋体"/>
          <w:sz w:val="24"/>
          <w:u w:val="single"/>
        </w:rPr>
        <w:t>（投标人名称、地址）</w:t>
      </w:r>
      <w:r>
        <w:rPr>
          <w:rFonts w:hint="eastAsia" w:ascii="宋体" w:hAnsi="宋体" w:cs="宋体"/>
          <w:sz w:val="24"/>
        </w:rPr>
        <w:t>提交下述文件。</w:t>
      </w:r>
    </w:p>
    <w:p>
      <w:pPr>
        <w:ind w:firstLine="480" w:firstLineChars="200"/>
        <w:rPr>
          <w:rFonts w:ascii="宋体" w:hAnsi="宋体" w:cs="宋体"/>
          <w:sz w:val="24"/>
        </w:rPr>
      </w:pPr>
      <w:r>
        <w:rPr>
          <w:rFonts w:hint="eastAsia" w:ascii="宋体" w:hAnsi="宋体" w:cs="宋体"/>
          <w:sz w:val="24"/>
        </w:rPr>
        <w:t>完全理解招标文件的内容，决定投标本项目，据此我方承诺如下：</w:t>
      </w:r>
    </w:p>
    <w:p>
      <w:pPr>
        <w:ind w:firstLine="480" w:firstLineChars="200"/>
        <w:rPr>
          <w:rFonts w:ascii="宋体" w:hAnsi="宋体" w:cs="宋体"/>
          <w:sz w:val="24"/>
        </w:rPr>
      </w:pPr>
      <w:r>
        <w:rPr>
          <w:rFonts w:hint="eastAsia" w:ascii="宋体" w:hAnsi="宋体" w:cs="宋体"/>
          <w:sz w:val="24"/>
        </w:rPr>
        <w:t>1.我方承诺，我方完全具备《政府采购法》第二十二条第一款规定的条件以及本项目招标文件规定的投标人须满足的特定条件。</w:t>
      </w:r>
    </w:p>
    <w:p>
      <w:pPr>
        <w:ind w:firstLine="480" w:firstLineChars="200"/>
        <w:rPr>
          <w:rFonts w:ascii="宋体" w:hAnsi="宋体" w:cs="宋体"/>
          <w:sz w:val="24"/>
        </w:rPr>
      </w:pPr>
      <w:r>
        <w:rPr>
          <w:rFonts w:hint="eastAsia" w:ascii="宋体" w:hAnsi="宋体" w:cs="宋体"/>
          <w:sz w:val="24"/>
        </w:rPr>
        <w:t>2.所附投标价格表中规定的应提交和交付的服务投标报价为</w:t>
      </w:r>
      <w:r>
        <w:rPr>
          <w:rFonts w:hint="eastAsia" w:ascii="宋体" w:hAnsi="宋体" w:cs="宋体"/>
          <w:sz w:val="24"/>
          <w:u w:val="single"/>
        </w:rPr>
        <w:t>人民币金额数，（同时用文字和数字表示。）</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3.我方已仔细研究并完全理解了全部招标文件（包括修改文件、附件等相关资料）规定的内容，并承诺在发生争议时，不会以对招标文件存在误解、不明为由，向采购人及采购代理机构行使任何法律上的抗辩权。</w:t>
      </w:r>
    </w:p>
    <w:p>
      <w:pPr>
        <w:ind w:firstLine="480" w:firstLineChars="200"/>
        <w:rPr>
          <w:rFonts w:ascii="宋体" w:hAnsi="宋体" w:cs="宋体"/>
          <w:sz w:val="24"/>
        </w:rPr>
      </w:pPr>
      <w:r>
        <w:rPr>
          <w:rFonts w:hint="eastAsia" w:ascii="宋体" w:hAnsi="宋体" w:cs="宋体"/>
          <w:sz w:val="24"/>
        </w:rPr>
        <w:t>4.本投标有效期为自投标截止日起</w:t>
      </w:r>
      <w:r>
        <w:rPr>
          <w:rFonts w:hint="eastAsia" w:ascii="宋体" w:hAnsi="宋体" w:cs="宋体"/>
          <w:sz w:val="24"/>
          <w:u w:val="single"/>
        </w:rPr>
        <w:t xml:space="preserve">  90  </w:t>
      </w:r>
      <w:r>
        <w:rPr>
          <w:rFonts w:hint="eastAsia" w:ascii="宋体" w:hAnsi="宋体" w:cs="宋体"/>
          <w:sz w:val="24"/>
        </w:rPr>
        <w:t>个日历日。</w:t>
      </w:r>
    </w:p>
    <w:p>
      <w:pPr>
        <w:ind w:firstLine="480" w:firstLineChars="200"/>
        <w:rPr>
          <w:rFonts w:ascii="宋体" w:hAnsi="宋体"/>
          <w:sz w:val="24"/>
          <w:u w:val="single"/>
        </w:rPr>
      </w:pPr>
      <w:r>
        <w:rPr>
          <w:rFonts w:hint="eastAsia" w:ascii="宋体" w:hAnsi="宋体"/>
          <w:sz w:val="24"/>
        </w:rPr>
        <w:t>5.服务期限：</w:t>
      </w:r>
      <w:r>
        <w:rPr>
          <w:rFonts w:hint="eastAsia" w:ascii="宋体" w:hAnsi="宋体"/>
          <w:sz w:val="24"/>
          <w:u w:val="single"/>
        </w:rPr>
        <w:t xml:space="preserve">                。</w:t>
      </w:r>
    </w:p>
    <w:p>
      <w:pPr>
        <w:ind w:firstLine="480" w:firstLineChars="200"/>
        <w:rPr>
          <w:rFonts w:ascii="宋体" w:hAnsi="宋体" w:cs="宋体"/>
          <w:sz w:val="24"/>
        </w:rPr>
      </w:pPr>
      <w:r>
        <w:rPr>
          <w:rFonts w:hint="eastAsia" w:ascii="宋体" w:hAnsi="宋体" w:cs="宋体"/>
          <w:sz w:val="24"/>
        </w:rPr>
        <w:t>6.我方承诺投标文件及所有提供的一切数据或资料均真实、准确、合法、有效。由于我方提供的资料不实而导致中标结果无效，给其他投标人及采购人造成的全部损失，我方同意无条件予以赔偿。</w:t>
      </w:r>
    </w:p>
    <w:p>
      <w:pPr>
        <w:ind w:firstLine="480" w:firstLineChars="200"/>
        <w:rPr>
          <w:rFonts w:ascii="宋体" w:hAnsi="宋体" w:cs="宋体"/>
          <w:sz w:val="24"/>
        </w:rPr>
      </w:pPr>
      <w:r>
        <w:rPr>
          <w:rFonts w:hint="eastAsia" w:ascii="宋体" w:hAnsi="宋体" w:cs="宋体"/>
          <w:sz w:val="24"/>
        </w:rPr>
        <w:t>7.我方投标文件、你方的中标通知书、招标文件将成为约束双方的合同文件组成部分，若招标文件存在要求，而投标文件没有拒绝亦没有涉及的情形下，我方接受招标文件的有关约束，并同意将招标文件对投标人的要求作为投标人合同义务的组成部分。</w:t>
      </w:r>
    </w:p>
    <w:p>
      <w:pPr>
        <w:ind w:firstLine="480" w:firstLineChars="200"/>
        <w:rPr>
          <w:rFonts w:ascii="宋体" w:hAnsi="宋体" w:cs="宋体"/>
          <w:sz w:val="24"/>
        </w:rPr>
      </w:pPr>
      <w:r>
        <w:rPr>
          <w:rFonts w:hint="eastAsia" w:ascii="宋体" w:hAnsi="宋体" w:cs="宋体"/>
          <w:sz w:val="24"/>
        </w:rPr>
        <w:t>8.我方将严格遵守政府采购法律、法规等法律规范性文件的规定，若存在违法违规等行为，将承担相应的法律责任。</w:t>
      </w:r>
    </w:p>
    <w:p>
      <w:pPr>
        <w:ind w:firstLine="480" w:firstLineChars="200"/>
        <w:rPr>
          <w:rFonts w:ascii="宋体" w:hAnsi="宋体"/>
          <w:sz w:val="24"/>
        </w:rPr>
      </w:pPr>
    </w:p>
    <w:p>
      <w:pPr>
        <w:rPr>
          <w:rFonts w:ascii="宋体" w:hAnsi="宋体"/>
          <w:sz w:val="24"/>
          <w:u w:val="single"/>
        </w:rPr>
      </w:pPr>
    </w:p>
    <w:p>
      <w:pPr>
        <w:spacing w:line="360" w:lineRule="auto"/>
        <w:rPr>
          <w:rFonts w:ascii="宋体" w:hAnsi="宋体"/>
          <w:sz w:val="24"/>
        </w:rPr>
      </w:pPr>
      <w:r>
        <w:rPr>
          <w:rFonts w:hint="eastAsia" w:ascii="宋体" w:hAnsi="宋体"/>
          <w:sz w:val="24"/>
        </w:rPr>
        <w:t>投标人代表签字</w:t>
      </w:r>
    </w:p>
    <w:p>
      <w:pPr>
        <w:spacing w:line="360" w:lineRule="auto"/>
        <w:rPr>
          <w:rFonts w:ascii="宋体" w:hAnsi="宋体"/>
          <w:sz w:val="24"/>
        </w:rPr>
      </w:pPr>
      <w:r>
        <w:rPr>
          <w:rFonts w:hint="eastAsia" w:ascii="宋体" w:hAnsi="宋体"/>
          <w:sz w:val="24"/>
        </w:rPr>
        <w:t>投标人名称</w:t>
      </w:r>
    </w:p>
    <w:p>
      <w:pPr>
        <w:spacing w:line="360" w:lineRule="auto"/>
        <w:rPr>
          <w:rFonts w:ascii="宋体" w:hAnsi="宋体"/>
          <w:sz w:val="24"/>
        </w:rPr>
      </w:pPr>
      <w:r>
        <w:rPr>
          <w:rFonts w:hint="eastAsia" w:ascii="宋体" w:hAnsi="宋体"/>
          <w:sz w:val="24"/>
        </w:rPr>
        <w:t>投标人公章</w:t>
      </w:r>
    </w:p>
    <w:p>
      <w:pPr>
        <w:spacing w:line="360" w:lineRule="auto"/>
        <w:rPr>
          <w:rFonts w:ascii="宋体" w:hAnsi="宋体"/>
          <w:sz w:val="24"/>
          <w:u w:val="single"/>
        </w:rPr>
      </w:pPr>
      <w:r>
        <w:rPr>
          <w:rFonts w:hint="eastAsia" w:ascii="宋体" w:hAnsi="宋体"/>
          <w:sz w:val="24"/>
        </w:rPr>
        <w:t>日期</w:t>
      </w:r>
    </w:p>
    <w:p>
      <w:pPr>
        <w:spacing w:line="360" w:lineRule="auto"/>
        <w:rPr>
          <w:rFonts w:ascii="宋体" w:hAnsi="宋体"/>
          <w:b/>
          <w:sz w:val="24"/>
        </w:rPr>
      </w:pPr>
      <w:r>
        <w:rPr>
          <w:rFonts w:hint="eastAsia" w:ascii="宋体" w:hAnsi="宋体"/>
          <w:b/>
          <w:sz w:val="24"/>
        </w:rPr>
        <w:t>注：1.本格式文件内容不得擅自删改。</w:t>
      </w:r>
    </w:p>
    <w:p>
      <w:pPr>
        <w:spacing w:line="360" w:lineRule="auto"/>
        <w:ind w:firstLine="495"/>
        <w:rPr>
          <w:rFonts w:ascii="宋体" w:hAnsi="宋体"/>
          <w:b/>
          <w:sz w:val="24"/>
        </w:rPr>
      </w:pPr>
      <w:r>
        <w:rPr>
          <w:rFonts w:hint="eastAsia" w:ascii="宋体" w:hAnsi="宋体"/>
          <w:b/>
          <w:sz w:val="24"/>
        </w:rPr>
        <w:t>2.投标人代表签字，必须是亲笔签名。</w:t>
      </w:r>
    </w:p>
    <w:p>
      <w:pPr>
        <w:spacing w:line="360" w:lineRule="auto"/>
        <w:ind w:firstLine="495"/>
        <w:rPr>
          <w:rFonts w:ascii="宋体" w:hAnsi="宋体"/>
          <w:b/>
          <w:sz w:val="24"/>
        </w:rPr>
      </w:pPr>
      <w:r>
        <w:rPr>
          <w:rFonts w:hint="eastAsia" w:ascii="宋体" w:hAnsi="宋体"/>
          <w:b/>
          <w:sz w:val="24"/>
        </w:rPr>
        <w:t>3.投标人公章必须是经公安部门备案的印章。</w:t>
      </w:r>
    </w:p>
    <w:p>
      <w:pPr>
        <w:spacing w:line="360" w:lineRule="auto"/>
        <w:ind w:firstLine="495"/>
        <w:rPr>
          <w:rFonts w:ascii="宋体" w:hAnsi="宋体"/>
          <w:b/>
          <w:sz w:val="24"/>
        </w:rPr>
      </w:pPr>
      <w:r>
        <w:rPr>
          <w:rFonts w:hint="eastAsia" w:ascii="宋体" w:hAnsi="宋体"/>
          <w:b/>
          <w:sz w:val="24"/>
        </w:rPr>
        <w:t>4.不得使用其他印章或电子制版签名。</w:t>
      </w:r>
    </w:p>
    <w:p>
      <w:pPr>
        <w:spacing w:line="360" w:lineRule="auto"/>
        <w:ind w:firstLine="482" w:firstLineChars="200"/>
        <w:rPr>
          <w:rFonts w:ascii="宋体" w:hAnsi="宋体"/>
          <w:b/>
          <w:sz w:val="24"/>
        </w:rPr>
      </w:pPr>
      <w:r>
        <w:rPr>
          <w:rFonts w:hint="eastAsia" w:ascii="宋体" w:hAnsi="宋体"/>
          <w:b/>
          <w:sz w:val="24"/>
        </w:rPr>
        <w:t>5.应按规定签字，否则投标文件无效。</w:t>
      </w:r>
    </w:p>
    <w:p>
      <w:pPr>
        <w:widowControl/>
        <w:jc w:val="left"/>
        <w:rPr>
          <w:rFonts w:ascii="宋体" w:hAnsi="宋体"/>
          <w:sz w:val="36"/>
          <w:szCs w:val="36"/>
        </w:rPr>
      </w:pPr>
      <w:r>
        <w:rPr>
          <w:rFonts w:ascii="宋体" w:hAnsi="宋体"/>
          <w:sz w:val="36"/>
          <w:szCs w:val="36"/>
        </w:rPr>
        <w:br w:type="page"/>
      </w:r>
    </w:p>
    <w:p>
      <w:pPr>
        <w:spacing w:line="360" w:lineRule="auto"/>
        <w:ind w:firstLine="361" w:firstLineChars="100"/>
        <w:jc w:val="center"/>
        <w:rPr>
          <w:rFonts w:ascii="宋体" w:hAnsi="宋体"/>
          <w:b/>
          <w:sz w:val="36"/>
          <w:szCs w:val="36"/>
        </w:rPr>
      </w:pPr>
      <w:r>
        <w:rPr>
          <w:rFonts w:ascii="宋体" w:hAnsi="宋体"/>
          <w:b/>
          <w:sz w:val="36"/>
          <w:szCs w:val="36"/>
        </w:rPr>
        <w:t>二、</w:t>
      </w:r>
      <w:r>
        <w:rPr>
          <w:rFonts w:hint="eastAsia" w:ascii="宋体" w:hAnsi="宋体"/>
          <w:b/>
          <w:sz w:val="36"/>
          <w:szCs w:val="36"/>
        </w:rPr>
        <w:t>投标</w:t>
      </w:r>
      <w:r>
        <w:rPr>
          <w:rFonts w:ascii="宋体" w:hAnsi="宋体"/>
          <w:b/>
          <w:sz w:val="36"/>
          <w:szCs w:val="36"/>
        </w:rPr>
        <w:t>报价表</w:t>
      </w:r>
    </w:p>
    <w:tbl>
      <w:tblPr>
        <w:tblStyle w:val="20"/>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579"/>
        <w:gridCol w:w="3260"/>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48" w:type="dxa"/>
            <w:vAlign w:val="center"/>
          </w:tcPr>
          <w:p>
            <w:pPr>
              <w:jc w:val="center"/>
              <w:rPr>
                <w:rFonts w:ascii="宋体" w:hAnsi="宋体" w:cs="宋体"/>
                <w:sz w:val="24"/>
              </w:rPr>
            </w:pPr>
            <w:r>
              <w:rPr>
                <w:rFonts w:hint="eastAsia" w:ascii="宋体" w:hAnsi="宋体" w:cs="宋体"/>
                <w:sz w:val="24"/>
              </w:rPr>
              <w:t>序号</w:t>
            </w:r>
          </w:p>
        </w:tc>
        <w:tc>
          <w:tcPr>
            <w:tcW w:w="2579" w:type="dxa"/>
            <w:vAlign w:val="center"/>
          </w:tcPr>
          <w:p>
            <w:pPr>
              <w:jc w:val="center"/>
              <w:rPr>
                <w:rFonts w:ascii="宋体" w:hAnsi="宋体" w:cs="宋体"/>
                <w:sz w:val="24"/>
              </w:rPr>
            </w:pPr>
            <w:r>
              <w:rPr>
                <w:rFonts w:hint="eastAsia" w:ascii="宋体" w:hAnsi="宋体" w:cs="宋体"/>
                <w:sz w:val="24"/>
              </w:rPr>
              <w:t>服务项目</w:t>
            </w:r>
          </w:p>
        </w:tc>
        <w:tc>
          <w:tcPr>
            <w:tcW w:w="3260" w:type="dxa"/>
            <w:vAlign w:val="center"/>
          </w:tcPr>
          <w:p>
            <w:pPr>
              <w:jc w:val="center"/>
              <w:rPr>
                <w:rFonts w:ascii="宋体" w:hAnsi="宋体" w:cs="宋体"/>
                <w:sz w:val="24"/>
              </w:rPr>
            </w:pPr>
            <w:r>
              <w:rPr>
                <w:rFonts w:hint="eastAsia" w:ascii="宋体" w:hAnsi="宋体" w:cs="宋体"/>
                <w:sz w:val="24"/>
              </w:rPr>
              <w:t>基本内容</w:t>
            </w:r>
          </w:p>
        </w:tc>
        <w:tc>
          <w:tcPr>
            <w:tcW w:w="2800" w:type="dxa"/>
            <w:vAlign w:val="center"/>
          </w:tcPr>
          <w:p>
            <w:pPr>
              <w:jc w:val="center"/>
              <w:rPr>
                <w:rFonts w:ascii="宋体" w:hAnsi="宋体" w:cs="宋体"/>
                <w:sz w:val="24"/>
              </w:rPr>
            </w:pPr>
            <w:r>
              <w:rPr>
                <w:rFonts w:hint="eastAsia" w:ascii="宋体" w:hAnsi="宋体" w:cs="宋体"/>
                <w:sz w:val="24"/>
              </w:rPr>
              <w:t>费用（元）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Align w:val="center"/>
          </w:tcPr>
          <w:p>
            <w:pPr>
              <w:jc w:val="center"/>
              <w:rPr>
                <w:rFonts w:ascii="宋体" w:hAnsi="宋体" w:cs="宋体"/>
                <w:sz w:val="24"/>
              </w:rPr>
            </w:pPr>
            <w:r>
              <w:rPr>
                <w:rFonts w:hint="eastAsia" w:ascii="宋体" w:hAnsi="宋体" w:cs="宋体"/>
                <w:sz w:val="24"/>
              </w:rPr>
              <w:t>1</w:t>
            </w:r>
          </w:p>
        </w:tc>
        <w:tc>
          <w:tcPr>
            <w:tcW w:w="2579" w:type="dxa"/>
            <w:vAlign w:val="center"/>
          </w:tcPr>
          <w:p>
            <w:pPr>
              <w:jc w:val="center"/>
              <w:rPr>
                <w:rFonts w:ascii="宋体" w:hAnsi="宋体" w:cs="宋体"/>
                <w:sz w:val="24"/>
              </w:rPr>
            </w:pPr>
            <w:r>
              <w:rPr>
                <w:rFonts w:hint="eastAsia" w:ascii="宋体" w:hAnsi="宋体" w:cs="宋体"/>
                <w:sz w:val="24"/>
              </w:rPr>
              <w:t>初勘</w:t>
            </w:r>
          </w:p>
        </w:tc>
        <w:tc>
          <w:tcPr>
            <w:tcW w:w="3260" w:type="dxa"/>
            <w:vAlign w:val="center"/>
          </w:tcPr>
          <w:p>
            <w:pPr>
              <w:jc w:val="center"/>
              <w:rPr>
                <w:rFonts w:ascii="宋体" w:hAnsi="宋体" w:cs="宋体"/>
                <w:sz w:val="24"/>
              </w:rPr>
            </w:pPr>
          </w:p>
        </w:tc>
        <w:tc>
          <w:tcPr>
            <w:tcW w:w="2800"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Align w:val="center"/>
          </w:tcPr>
          <w:p>
            <w:pPr>
              <w:jc w:val="center"/>
              <w:rPr>
                <w:rFonts w:ascii="宋体" w:hAnsi="宋体" w:cs="宋体"/>
                <w:sz w:val="24"/>
              </w:rPr>
            </w:pPr>
            <w:r>
              <w:rPr>
                <w:rFonts w:hint="eastAsia" w:ascii="宋体" w:hAnsi="宋体" w:cs="宋体"/>
                <w:sz w:val="24"/>
              </w:rPr>
              <w:t>2</w:t>
            </w:r>
          </w:p>
        </w:tc>
        <w:tc>
          <w:tcPr>
            <w:tcW w:w="2579" w:type="dxa"/>
            <w:vAlign w:val="center"/>
          </w:tcPr>
          <w:p>
            <w:pPr>
              <w:jc w:val="center"/>
              <w:rPr>
                <w:rFonts w:ascii="宋体" w:hAnsi="宋体" w:cs="宋体"/>
                <w:sz w:val="24"/>
              </w:rPr>
            </w:pPr>
            <w:r>
              <w:rPr>
                <w:rFonts w:hint="eastAsia" w:ascii="宋体" w:hAnsi="宋体" w:cs="宋体"/>
                <w:sz w:val="24"/>
              </w:rPr>
              <w:t>详勘</w:t>
            </w:r>
          </w:p>
        </w:tc>
        <w:tc>
          <w:tcPr>
            <w:tcW w:w="3260" w:type="dxa"/>
            <w:vAlign w:val="center"/>
          </w:tcPr>
          <w:p>
            <w:pPr>
              <w:spacing w:line="360" w:lineRule="auto"/>
              <w:rPr>
                <w:rFonts w:ascii="宋体" w:hAnsi="宋体" w:cs="宋体"/>
                <w:sz w:val="24"/>
              </w:rPr>
            </w:pPr>
          </w:p>
        </w:tc>
        <w:tc>
          <w:tcPr>
            <w:tcW w:w="2800"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Align w:val="center"/>
          </w:tcPr>
          <w:p>
            <w:pPr>
              <w:jc w:val="center"/>
              <w:rPr>
                <w:rFonts w:ascii="宋体" w:hAnsi="宋体" w:cs="宋体"/>
                <w:sz w:val="24"/>
              </w:rPr>
            </w:pPr>
            <w:r>
              <w:rPr>
                <w:rFonts w:hint="eastAsia" w:ascii="宋体" w:hAnsi="宋体" w:cs="宋体"/>
                <w:sz w:val="24"/>
              </w:rPr>
              <w:t>3</w:t>
            </w:r>
          </w:p>
        </w:tc>
        <w:tc>
          <w:tcPr>
            <w:tcW w:w="2579" w:type="dxa"/>
            <w:vAlign w:val="center"/>
          </w:tcPr>
          <w:p>
            <w:pPr>
              <w:jc w:val="center"/>
              <w:rPr>
                <w:rFonts w:ascii="宋体" w:hAnsi="宋体" w:cs="宋体"/>
                <w:sz w:val="24"/>
              </w:rPr>
            </w:pPr>
            <w:r>
              <w:rPr>
                <w:rFonts w:hint="eastAsia" w:ascii="宋体" w:hAnsi="宋体" w:cs="宋体"/>
                <w:sz w:val="24"/>
              </w:rPr>
              <w:t>其他</w:t>
            </w:r>
          </w:p>
        </w:tc>
        <w:tc>
          <w:tcPr>
            <w:tcW w:w="3260" w:type="dxa"/>
            <w:vAlign w:val="center"/>
          </w:tcPr>
          <w:p>
            <w:pPr>
              <w:spacing w:line="360" w:lineRule="auto"/>
              <w:rPr>
                <w:rFonts w:ascii="宋体" w:hAnsi="宋体" w:cs="宋体"/>
                <w:sz w:val="24"/>
              </w:rPr>
            </w:pPr>
          </w:p>
        </w:tc>
        <w:tc>
          <w:tcPr>
            <w:tcW w:w="2800"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Align w:val="center"/>
          </w:tcPr>
          <w:p>
            <w:pPr>
              <w:jc w:val="center"/>
              <w:rPr>
                <w:rFonts w:ascii="宋体" w:hAnsi="宋体" w:cs="宋体"/>
                <w:sz w:val="24"/>
              </w:rPr>
            </w:pPr>
            <w:r>
              <w:rPr>
                <w:rFonts w:hint="eastAsia" w:ascii="宋体" w:hAnsi="宋体" w:cs="宋体"/>
                <w:sz w:val="24"/>
              </w:rPr>
              <w:t>4</w:t>
            </w:r>
          </w:p>
        </w:tc>
        <w:tc>
          <w:tcPr>
            <w:tcW w:w="2579" w:type="dxa"/>
            <w:vAlign w:val="center"/>
          </w:tcPr>
          <w:p>
            <w:pPr>
              <w:jc w:val="center"/>
              <w:rPr>
                <w:rFonts w:ascii="宋体" w:hAnsi="宋体" w:cs="宋体"/>
              </w:rPr>
            </w:pPr>
            <w:r>
              <w:rPr>
                <w:rFonts w:hint="eastAsia" w:ascii="宋体" w:hAnsi="宋体" w:cs="宋体"/>
                <w:sz w:val="24"/>
              </w:rPr>
              <w:t>…</w:t>
            </w:r>
          </w:p>
        </w:tc>
        <w:tc>
          <w:tcPr>
            <w:tcW w:w="3260" w:type="dxa"/>
            <w:vAlign w:val="center"/>
          </w:tcPr>
          <w:p>
            <w:pPr>
              <w:jc w:val="center"/>
              <w:rPr>
                <w:rFonts w:ascii="宋体" w:hAnsi="宋体" w:cs="宋体"/>
                <w:sz w:val="24"/>
              </w:rPr>
            </w:pPr>
          </w:p>
        </w:tc>
        <w:tc>
          <w:tcPr>
            <w:tcW w:w="2800"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648" w:type="dxa"/>
            <w:vAlign w:val="center"/>
          </w:tcPr>
          <w:p>
            <w:pPr>
              <w:jc w:val="center"/>
              <w:rPr>
                <w:rFonts w:ascii="宋体" w:hAnsi="宋体" w:cs="宋体"/>
                <w:sz w:val="24"/>
              </w:rPr>
            </w:pPr>
            <w:r>
              <w:rPr>
                <w:rFonts w:hint="eastAsia" w:ascii="宋体" w:hAnsi="宋体" w:cs="宋体"/>
                <w:sz w:val="24"/>
              </w:rPr>
              <w:t>5</w:t>
            </w:r>
          </w:p>
        </w:tc>
        <w:tc>
          <w:tcPr>
            <w:tcW w:w="2579" w:type="dxa"/>
            <w:vAlign w:val="center"/>
          </w:tcPr>
          <w:p>
            <w:pPr>
              <w:jc w:val="center"/>
              <w:rPr>
                <w:rFonts w:ascii="宋体" w:hAnsi="宋体" w:cs="宋体"/>
              </w:rPr>
            </w:pPr>
            <w:r>
              <w:rPr>
                <w:rFonts w:hint="eastAsia" w:ascii="宋体" w:hAnsi="宋体" w:cs="宋体"/>
                <w:sz w:val="24"/>
              </w:rPr>
              <w:t>…</w:t>
            </w:r>
          </w:p>
        </w:tc>
        <w:tc>
          <w:tcPr>
            <w:tcW w:w="3260" w:type="dxa"/>
            <w:vAlign w:val="center"/>
          </w:tcPr>
          <w:p>
            <w:pPr>
              <w:jc w:val="center"/>
              <w:rPr>
                <w:rFonts w:ascii="宋体" w:hAnsi="宋体" w:cs="宋体"/>
                <w:sz w:val="24"/>
              </w:rPr>
            </w:pPr>
          </w:p>
        </w:tc>
        <w:tc>
          <w:tcPr>
            <w:tcW w:w="2800"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3227" w:type="dxa"/>
            <w:gridSpan w:val="2"/>
            <w:vMerge w:val="restart"/>
            <w:vAlign w:val="center"/>
          </w:tcPr>
          <w:p>
            <w:pPr>
              <w:jc w:val="center"/>
              <w:rPr>
                <w:rFonts w:ascii="宋体" w:hAnsi="宋体" w:cs="宋体"/>
                <w:sz w:val="24"/>
              </w:rPr>
            </w:pPr>
            <w:r>
              <w:rPr>
                <w:rFonts w:hint="eastAsia" w:ascii="宋体" w:hAnsi="宋体" w:cs="宋体"/>
                <w:sz w:val="24"/>
              </w:rPr>
              <w:t>合计</w:t>
            </w:r>
          </w:p>
        </w:tc>
        <w:tc>
          <w:tcPr>
            <w:tcW w:w="3260" w:type="dxa"/>
            <w:vAlign w:val="center"/>
          </w:tcPr>
          <w:p>
            <w:pPr>
              <w:jc w:val="center"/>
              <w:rPr>
                <w:rFonts w:ascii="宋体" w:hAnsi="宋体" w:cs="宋体"/>
                <w:sz w:val="24"/>
              </w:rPr>
            </w:pPr>
            <w:r>
              <w:rPr>
                <w:rFonts w:hint="eastAsia" w:ascii="宋体" w:hAnsi="宋体" w:cs="宋体"/>
                <w:sz w:val="24"/>
              </w:rPr>
              <w:t>小写</w:t>
            </w:r>
          </w:p>
        </w:tc>
        <w:tc>
          <w:tcPr>
            <w:tcW w:w="2800"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3227" w:type="dxa"/>
            <w:gridSpan w:val="2"/>
            <w:vMerge w:val="continue"/>
          </w:tcPr>
          <w:p>
            <w:pPr>
              <w:jc w:val="center"/>
              <w:rPr>
                <w:rFonts w:ascii="宋体" w:hAnsi="宋体" w:cs="宋体"/>
                <w:sz w:val="24"/>
              </w:rPr>
            </w:pPr>
          </w:p>
        </w:tc>
        <w:tc>
          <w:tcPr>
            <w:tcW w:w="3260" w:type="dxa"/>
            <w:vAlign w:val="center"/>
          </w:tcPr>
          <w:p>
            <w:pPr>
              <w:jc w:val="center"/>
              <w:rPr>
                <w:rFonts w:ascii="宋体" w:hAnsi="宋体" w:cs="宋体"/>
                <w:sz w:val="24"/>
              </w:rPr>
            </w:pPr>
            <w:r>
              <w:rPr>
                <w:rFonts w:hint="eastAsia" w:ascii="宋体" w:hAnsi="宋体" w:cs="宋体"/>
                <w:sz w:val="24"/>
              </w:rPr>
              <w:t>大写</w:t>
            </w:r>
          </w:p>
        </w:tc>
        <w:tc>
          <w:tcPr>
            <w:tcW w:w="2800" w:type="dxa"/>
            <w:vAlign w:val="center"/>
          </w:tcPr>
          <w:p>
            <w:pPr>
              <w:jc w:val="center"/>
              <w:rPr>
                <w:rFonts w:ascii="宋体" w:hAnsi="宋体" w:cs="宋体"/>
                <w:sz w:val="24"/>
              </w:rPr>
            </w:pPr>
          </w:p>
        </w:tc>
      </w:tr>
    </w:tbl>
    <w:p>
      <w:pPr>
        <w:rPr>
          <w:rFonts w:ascii="宋体" w:hAnsi="宋体" w:cs="宋体"/>
          <w:sz w:val="24"/>
        </w:rPr>
      </w:pPr>
    </w:p>
    <w:p>
      <w:pPr>
        <w:snapToGrid w:val="0"/>
        <w:spacing w:line="360" w:lineRule="auto"/>
        <w:rPr>
          <w:rFonts w:ascii="宋体" w:hAnsi="宋体"/>
          <w:sz w:val="24"/>
        </w:rPr>
      </w:pPr>
      <w:r>
        <w:rPr>
          <w:rFonts w:hint="eastAsia" w:ascii="宋体" w:hAnsi="宋体"/>
          <w:sz w:val="24"/>
        </w:rPr>
        <w:t>投标人法定代表人（负责人）或被授权人签字：</w:t>
      </w:r>
      <w:r>
        <w:rPr>
          <w:rFonts w:hint="eastAsia" w:ascii="宋体" w:hAnsi="宋体"/>
          <w:sz w:val="24"/>
          <w:u w:val="single"/>
        </w:rPr>
        <w:t xml:space="preserve">                          </w:t>
      </w:r>
    </w:p>
    <w:p>
      <w:pPr>
        <w:snapToGrid w:val="0"/>
        <w:spacing w:line="360" w:lineRule="auto"/>
        <w:rPr>
          <w:rFonts w:ascii="宋体" w:hAnsi="宋体"/>
          <w:sz w:val="24"/>
        </w:rPr>
      </w:pPr>
      <w:r>
        <w:rPr>
          <w:rFonts w:hint="eastAsia" w:ascii="宋体" w:hAnsi="宋体"/>
          <w:sz w:val="24"/>
        </w:rPr>
        <w:t>投标人公章：</w:t>
      </w:r>
    </w:p>
    <w:p>
      <w:pPr>
        <w:snapToGrid w:val="0"/>
        <w:spacing w:line="360" w:lineRule="auto"/>
        <w:rPr>
          <w:rFonts w:ascii="宋体" w:hAnsi="宋体"/>
          <w:sz w:val="24"/>
        </w:rPr>
      </w:pPr>
      <w:r>
        <w:rPr>
          <w:rFonts w:hint="eastAsia" w:ascii="宋体" w:hAnsi="宋体"/>
          <w:sz w:val="24"/>
        </w:rPr>
        <w:t>日　　　期：</w:t>
      </w:r>
    </w:p>
    <w:p>
      <w:pPr>
        <w:snapToGrid w:val="0"/>
        <w:spacing w:line="360" w:lineRule="auto"/>
        <w:rPr>
          <w:rFonts w:ascii="宋体" w:hAnsi="宋体"/>
          <w:sz w:val="24"/>
        </w:rPr>
      </w:pPr>
      <w:r>
        <w:rPr>
          <w:rFonts w:hint="eastAsia" w:ascii="宋体" w:hAnsi="宋体"/>
          <w:sz w:val="24"/>
        </w:rPr>
        <w:t>注：</w:t>
      </w:r>
    </w:p>
    <w:p>
      <w:pPr>
        <w:snapToGrid w:val="0"/>
        <w:spacing w:line="360" w:lineRule="auto"/>
        <w:jc w:val="left"/>
        <w:rPr>
          <w:rFonts w:ascii="宋体" w:hAnsi="宋体" w:cs="宋体"/>
          <w:b/>
          <w:bCs/>
          <w:sz w:val="24"/>
        </w:rPr>
      </w:pPr>
      <w:r>
        <w:rPr>
          <w:rFonts w:hint="eastAsia" w:ascii="宋体" w:hAnsi="宋体" w:cs="宋体"/>
          <w:b/>
          <w:bCs/>
          <w:sz w:val="24"/>
        </w:rPr>
        <w:t>（1）各专业预估工作量见第三章项目需求；勘察专业初勘和详勘工作量可按2:3考虑；</w:t>
      </w:r>
    </w:p>
    <w:p>
      <w:pPr>
        <w:snapToGrid w:val="0"/>
        <w:spacing w:line="360" w:lineRule="auto"/>
        <w:rPr>
          <w:rFonts w:ascii="宋体" w:hAnsi="宋体"/>
          <w:b/>
          <w:bCs/>
          <w:sz w:val="24"/>
        </w:rPr>
      </w:pPr>
      <w:r>
        <w:rPr>
          <w:rFonts w:hint="eastAsia" w:ascii="宋体" w:hAnsi="宋体"/>
          <w:b/>
          <w:bCs/>
          <w:sz w:val="24"/>
        </w:rPr>
        <w:t>（2）由投标人填写。</w:t>
      </w:r>
    </w:p>
    <w:p>
      <w:pPr>
        <w:snapToGrid w:val="0"/>
        <w:spacing w:line="360" w:lineRule="auto"/>
        <w:rPr>
          <w:rFonts w:ascii="宋体" w:hAnsi="宋体"/>
          <w:b/>
          <w:bCs/>
          <w:sz w:val="24"/>
        </w:rPr>
        <w:sectPr>
          <w:footerReference r:id="rId12" w:type="first"/>
          <w:footerReference r:id="rId11" w:type="default"/>
          <w:pgSz w:w="11906" w:h="16838"/>
          <w:pgMar w:top="1440" w:right="1800" w:bottom="1440" w:left="1800" w:header="851" w:footer="828" w:gutter="0"/>
          <w:pgNumType w:fmt="numberInDash"/>
          <w:cols w:space="720" w:num="1"/>
          <w:titlePg/>
          <w:docGrid w:linePitch="312" w:charSpace="0"/>
        </w:sectPr>
      </w:pPr>
      <w:r>
        <w:rPr>
          <w:rFonts w:hint="eastAsia" w:ascii="宋体" w:hAnsi="宋体"/>
          <w:b/>
          <w:bCs/>
          <w:sz w:val="24"/>
        </w:rPr>
        <w:t>（3）应按规定签字，否则投标文件无效。</w:t>
      </w:r>
    </w:p>
    <w:p>
      <w:pPr>
        <w:jc w:val="center"/>
        <w:rPr>
          <w:rFonts w:ascii="宋体" w:hAnsi="宋体"/>
          <w:sz w:val="24"/>
        </w:rPr>
      </w:pPr>
      <w:bookmarkStart w:id="14" w:name="_Toc326757144"/>
      <w:r>
        <w:rPr>
          <w:rFonts w:hint="eastAsia" w:ascii="宋体" w:hAnsi="宋体"/>
          <w:sz w:val="24"/>
        </w:rPr>
        <w:t>（一）小型和微型企业产品报价说明表格式（如有）</w:t>
      </w:r>
      <w:bookmarkEnd w:id="14"/>
    </w:p>
    <w:p>
      <w:pPr>
        <w:rPr>
          <w:rFonts w:ascii="宋体" w:hAnsi="宋体"/>
        </w:rPr>
      </w:pPr>
    </w:p>
    <w:p>
      <w:pPr>
        <w:jc w:val="center"/>
        <w:rPr>
          <w:rFonts w:ascii="宋体" w:hAnsi="宋体"/>
          <w:b/>
          <w:sz w:val="24"/>
        </w:rPr>
      </w:pPr>
      <w:r>
        <w:rPr>
          <w:rFonts w:hint="eastAsia" w:ascii="宋体" w:hAnsi="宋体"/>
          <w:b/>
          <w:sz w:val="24"/>
        </w:rPr>
        <w:t>小型和微型企业产品报价说明表</w:t>
      </w:r>
    </w:p>
    <w:tbl>
      <w:tblPr>
        <w:tblStyle w:val="20"/>
        <w:tblW w:w="8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65"/>
        <w:gridCol w:w="1440"/>
        <w:gridCol w:w="720"/>
        <w:gridCol w:w="720"/>
        <w:gridCol w:w="72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525" w:type="dxa"/>
            <w:vMerge w:val="restar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1365" w:type="dxa"/>
            <w:vMerge w:val="restart"/>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名称</w:t>
            </w:r>
          </w:p>
        </w:tc>
        <w:tc>
          <w:tcPr>
            <w:tcW w:w="1440" w:type="dxa"/>
            <w:vMerge w:val="restart"/>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基本内容</w:t>
            </w:r>
          </w:p>
        </w:tc>
        <w:tc>
          <w:tcPr>
            <w:tcW w:w="720" w:type="dxa"/>
            <w:vMerge w:val="restart"/>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数量</w:t>
            </w:r>
          </w:p>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单位</w:t>
            </w:r>
          </w:p>
        </w:tc>
        <w:tc>
          <w:tcPr>
            <w:tcW w:w="720" w:type="dxa"/>
            <w:vMerge w:val="restart"/>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数量</w:t>
            </w:r>
          </w:p>
        </w:tc>
        <w:tc>
          <w:tcPr>
            <w:tcW w:w="720" w:type="dxa"/>
            <w:vMerge w:val="restart"/>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单价</w:t>
            </w:r>
          </w:p>
        </w:tc>
        <w:tc>
          <w:tcPr>
            <w:tcW w:w="1440"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小型企业</w:t>
            </w:r>
          </w:p>
        </w:tc>
        <w:tc>
          <w:tcPr>
            <w:tcW w:w="1440"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25" w:type="dxa"/>
            <w:vMerge w:val="continue"/>
            <w:vAlign w:val="center"/>
          </w:tcPr>
          <w:p>
            <w:pPr>
              <w:jc w:val="center"/>
              <w:rPr>
                <w:rFonts w:asciiTheme="minorEastAsia" w:hAnsiTheme="minorEastAsia" w:eastAsiaTheme="minorEastAsia"/>
                <w:sz w:val="24"/>
              </w:rPr>
            </w:pPr>
          </w:p>
        </w:tc>
        <w:tc>
          <w:tcPr>
            <w:tcW w:w="1365" w:type="dxa"/>
            <w:vMerge w:val="continue"/>
            <w:vAlign w:val="center"/>
          </w:tcPr>
          <w:p>
            <w:pPr>
              <w:spacing w:line="360" w:lineRule="auto"/>
              <w:jc w:val="center"/>
              <w:rPr>
                <w:rFonts w:asciiTheme="minorEastAsia" w:hAnsiTheme="minorEastAsia" w:eastAsiaTheme="minorEastAsia"/>
                <w:sz w:val="24"/>
              </w:rPr>
            </w:pPr>
          </w:p>
        </w:tc>
        <w:tc>
          <w:tcPr>
            <w:tcW w:w="1440" w:type="dxa"/>
            <w:vMerge w:val="continue"/>
            <w:vAlign w:val="center"/>
          </w:tcPr>
          <w:p>
            <w:pPr>
              <w:spacing w:line="360" w:lineRule="auto"/>
              <w:jc w:val="center"/>
              <w:rPr>
                <w:rFonts w:asciiTheme="minorEastAsia" w:hAnsiTheme="minorEastAsia" w:eastAsiaTheme="minorEastAsia"/>
                <w:sz w:val="24"/>
              </w:rPr>
            </w:pPr>
          </w:p>
        </w:tc>
        <w:tc>
          <w:tcPr>
            <w:tcW w:w="720" w:type="dxa"/>
            <w:vMerge w:val="continue"/>
            <w:vAlign w:val="center"/>
          </w:tcPr>
          <w:p>
            <w:pPr>
              <w:spacing w:line="360" w:lineRule="auto"/>
              <w:jc w:val="center"/>
              <w:rPr>
                <w:rFonts w:asciiTheme="minorEastAsia" w:hAnsiTheme="minorEastAsia" w:eastAsiaTheme="minorEastAsia"/>
                <w:sz w:val="24"/>
              </w:rPr>
            </w:pPr>
          </w:p>
        </w:tc>
        <w:tc>
          <w:tcPr>
            <w:tcW w:w="720" w:type="dxa"/>
            <w:vMerge w:val="continue"/>
            <w:vAlign w:val="center"/>
          </w:tcPr>
          <w:p>
            <w:pPr>
              <w:spacing w:line="360" w:lineRule="auto"/>
              <w:jc w:val="center"/>
              <w:rPr>
                <w:rFonts w:asciiTheme="minorEastAsia" w:hAnsiTheme="minorEastAsia" w:eastAsiaTheme="minorEastAsia"/>
                <w:sz w:val="24"/>
              </w:rPr>
            </w:pPr>
          </w:p>
        </w:tc>
        <w:tc>
          <w:tcPr>
            <w:tcW w:w="720" w:type="dxa"/>
            <w:vMerge w:val="continue"/>
            <w:vAlign w:val="center"/>
          </w:tcPr>
          <w:p>
            <w:pPr>
              <w:spacing w:line="360" w:lineRule="auto"/>
              <w:jc w:val="center"/>
              <w:rPr>
                <w:rFonts w:asciiTheme="minorEastAsia" w:hAnsiTheme="minorEastAsia" w:eastAsiaTheme="minorEastAsia"/>
                <w:sz w:val="24"/>
              </w:rPr>
            </w:pPr>
          </w:p>
        </w:tc>
        <w:tc>
          <w:tcPr>
            <w:tcW w:w="1440"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合计</w:t>
            </w:r>
          </w:p>
        </w:tc>
        <w:tc>
          <w:tcPr>
            <w:tcW w:w="1440"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25"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365" w:type="dxa"/>
          </w:tcPr>
          <w:p>
            <w:pPr>
              <w:rPr>
                <w:rFonts w:asciiTheme="minorEastAsia" w:hAnsiTheme="minorEastAsia" w:eastAsiaTheme="minorEastAsia"/>
                <w:sz w:val="24"/>
              </w:rPr>
            </w:pPr>
          </w:p>
        </w:tc>
        <w:tc>
          <w:tcPr>
            <w:tcW w:w="1440" w:type="dxa"/>
          </w:tcPr>
          <w:p>
            <w:pPr>
              <w:rPr>
                <w:rFonts w:asciiTheme="minorEastAsia" w:hAnsiTheme="minorEastAsia" w:eastAsiaTheme="minorEastAsia"/>
                <w:sz w:val="24"/>
              </w:rPr>
            </w:pPr>
          </w:p>
        </w:tc>
        <w:tc>
          <w:tcPr>
            <w:tcW w:w="720" w:type="dxa"/>
          </w:tcPr>
          <w:p>
            <w:pPr>
              <w:rPr>
                <w:rFonts w:asciiTheme="minorEastAsia" w:hAnsiTheme="minorEastAsia" w:eastAsiaTheme="minorEastAsia"/>
                <w:sz w:val="24"/>
              </w:rPr>
            </w:pPr>
          </w:p>
        </w:tc>
        <w:tc>
          <w:tcPr>
            <w:tcW w:w="720" w:type="dxa"/>
          </w:tcPr>
          <w:p>
            <w:pPr>
              <w:rPr>
                <w:rFonts w:asciiTheme="minorEastAsia" w:hAnsiTheme="minorEastAsia" w:eastAsiaTheme="minorEastAsia"/>
                <w:sz w:val="24"/>
              </w:rPr>
            </w:pPr>
          </w:p>
        </w:tc>
        <w:tc>
          <w:tcPr>
            <w:tcW w:w="720" w:type="dxa"/>
          </w:tcPr>
          <w:p>
            <w:pPr>
              <w:rPr>
                <w:rFonts w:asciiTheme="minorEastAsia" w:hAnsiTheme="minorEastAsia" w:eastAsiaTheme="minorEastAsia"/>
                <w:sz w:val="24"/>
              </w:rPr>
            </w:pPr>
          </w:p>
        </w:tc>
        <w:tc>
          <w:tcPr>
            <w:tcW w:w="1440" w:type="dxa"/>
          </w:tcPr>
          <w:p>
            <w:pPr>
              <w:rPr>
                <w:rFonts w:asciiTheme="minorEastAsia" w:hAnsiTheme="minorEastAsia" w:eastAsiaTheme="minorEastAsia"/>
                <w:sz w:val="24"/>
              </w:rPr>
            </w:pPr>
          </w:p>
        </w:tc>
        <w:tc>
          <w:tcPr>
            <w:tcW w:w="1440" w:type="dxa"/>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25"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365" w:type="dxa"/>
          </w:tcPr>
          <w:p>
            <w:pPr>
              <w:rPr>
                <w:rFonts w:asciiTheme="minorEastAsia" w:hAnsiTheme="minorEastAsia" w:eastAsiaTheme="minorEastAsia"/>
                <w:sz w:val="24"/>
              </w:rPr>
            </w:pPr>
          </w:p>
        </w:tc>
        <w:tc>
          <w:tcPr>
            <w:tcW w:w="1440" w:type="dxa"/>
          </w:tcPr>
          <w:p>
            <w:pPr>
              <w:rPr>
                <w:rFonts w:asciiTheme="minorEastAsia" w:hAnsiTheme="minorEastAsia" w:eastAsiaTheme="minorEastAsia"/>
                <w:sz w:val="24"/>
              </w:rPr>
            </w:pPr>
          </w:p>
        </w:tc>
        <w:tc>
          <w:tcPr>
            <w:tcW w:w="720" w:type="dxa"/>
          </w:tcPr>
          <w:p>
            <w:pPr>
              <w:rPr>
                <w:rFonts w:asciiTheme="minorEastAsia" w:hAnsiTheme="minorEastAsia" w:eastAsiaTheme="minorEastAsia"/>
                <w:sz w:val="24"/>
              </w:rPr>
            </w:pPr>
          </w:p>
        </w:tc>
        <w:tc>
          <w:tcPr>
            <w:tcW w:w="720" w:type="dxa"/>
          </w:tcPr>
          <w:p>
            <w:pPr>
              <w:rPr>
                <w:rFonts w:asciiTheme="minorEastAsia" w:hAnsiTheme="minorEastAsia" w:eastAsiaTheme="minorEastAsia"/>
                <w:sz w:val="24"/>
              </w:rPr>
            </w:pPr>
          </w:p>
        </w:tc>
        <w:tc>
          <w:tcPr>
            <w:tcW w:w="720" w:type="dxa"/>
          </w:tcPr>
          <w:p>
            <w:pPr>
              <w:rPr>
                <w:rFonts w:asciiTheme="minorEastAsia" w:hAnsiTheme="minorEastAsia" w:eastAsiaTheme="minorEastAsia"/>
                <w:sz w:val="24"/>
              </w:rPr>
            </w:pPr>
          </w:p>
        </w:tc>
        <w:tc>
          <w:tcPr>
            <w:tcW w:w="1440" w:type="dxa"/>
          </w:tcPr>
          <w:p>
            <w:pPr>
              <w:rPr>
                <w:rFonts w:asciiTheme="minorEastAsia" w:hAnsiTheme="minorEastAsia" w:eastAsiaTheme="minorEastAsia"/>
                <w:sz w:val="24"/>
              </w:rPr>
            </w:pPr>
          </w:p>
        </w:tc>
        <w:tc>
          <w:tcPr>
            <w:tcW w:w="1440" w:type="dxa"/>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25"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365" w:type="dxa"/>
          </w:tcPr>
          <w:p>
            <w:pPr>
              <w:rPr>
                <w:rFonts w:asciiTheme="minorEastAsia" w:hAnsiTheme="minorEastAsia" w:eastAsiaTheme="minorEastAsia"/>
                <w:sz w:val="24"/>
              </w:rPr>
            </w:pPr>
          </w:p>
        </w:tc>
        <w:tc>
          <w:tcPr>
            <w:tcW w:w="1440" w:type="dxa"/>
          </w:tcPr>
          <w:p>
            <w:pPr>
              <w:rPr>
                <w:rFonts w:asciiTheme="minorEastAsia" w:hAnsiTheme="minorEastAsia" w:eastAsiaTheme="minorEastAsia"/>
                <w:sz w:val="24"/>
              </w:rPr>
            </w:pPr>
          </w:p>
        </w:tc>
        <w:tc>
          <w:tcPr>
            <w:tcW w:w="720" w:type="dxa"/>
          </w:tcPr>
          <w:p>
            <w:pPr>
              <w:rPr>
                <w:rFonts w:asciiTheme="minorEastAsia" w:hAnsiTheme="minorEastAsia" w:eastAsiaTheme="minorEastAsia"/>
                <w:sz w:val="24"/>
              </w:rPr>
            </w:pPr>
          </w:p>
        </w:tc>
        <w:tc>
          <w:tcPr>
            <w:tcW w:w="720" w:type="dxa"/>
          </w:tcPr>
          <w:p>
            <w:pPr>
              <w:rPr>
                <w:rFonts w:asciiTheme="minorEastAsia" w:hAnsiTheme="minorEastAsia" w:eastAsiaTheme="minorEastAsia"/>
                <w:sz w:val="24"/>
              </w:rPr>
            </w:pPr>
          </w:p>
        </w:tc>
        <w:tc>
          <w:tcPr>
            <w:tcW w:w="720" w:type="dxa"/>
          </w:tcPr>
          <w:p>
            <w:pPr>
              <w:rPr>
                <w:rFonts w:asciiTheme="minorEastAsia" w:hAnsiTheme="minorEastAsia" w:eastAsiaTheme="minorEastAsia"/>
                <w:sz w:val="24"/>
              </w:rPr>
            </w:pPr>
          </w:p>
        </w:tc>
        <w:tc>
          <w:tcPr>
            <w:tcW w:w="1440" w:type="dxa"/>
          </w:tcPr>
          <w:p>
            <w:pPr>
              <w:rPr>
                <w:rFonts w:asciiTheme="minorEastAsia" w:hAnsiTheme="minorEastAsia" w:eastAsiaTheme="minorEastAsia"/>
                <w:sz w:val="24"/>
              </w:rPr>
            </w:pPr>
          </w:p>
        </w:tc>
        <w:tc>
          <w:tcPr>
            <w:tcW w:w="1440" w:type="dxa"/>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25" w:type="dxa"/>
            <w:vAlign w:val="center"/>
          </w:tcPr>
          <w:p>
            <w:pPr>
              <w:spacing w:line="360" w:lineRule="auto"/>
              <w:jc w:val="center"/>
              <w:rPr>
                <w:rFonts w:asciiTheme="minorEastAsia" w:hAnsiTheme="minorEastAsia" w:eastAsiaTheme="minorEastAsia"/>
                <w:sz w:val="24"/>
              </w:rPr>
            </w:pPr>
            <w:r>
              <w:rPr>
                <w:rFonts w:asciiTheme="minorEastAsia" w:hAnsiTheme="minorEastAsia" w:eastAsiaTheme="minorEastAsia"/>
                <w:sz w:val="24"/>
              </w:rPr>
              <w:t>…</w:t>
            </w:r>
          </w:p>
        </w:tc>
        <w:tc>
          <w:tcPr>
            <w:tcW w:w="1365" w:type="dxa"/>
          </w:tcPr>
          <w:p>
            <w:pPr>
              <w:rPr>
                <w:rFonts w:asciiTheme="minorEastAsia" w:hAnsiTheme="minorEastAsia" w:eastAsiaTheme="minorEastAsia"/>
                <w:sz w:val="24"/>
              </w:rPr>
            </w:pPr>
          </w:p>
        </w:tc>
        <w:tc>
          <w:tcPr>
            <w:tcW w:w="1440" w:type="dxa"/>
          </w:tcPr>
          <w:p>
            <w:pPr>
              <w:rPr>
                <w:rFonts w:asciiTheme="minorEastAsia" w:hAnsiTheme="minorEastAsia" w:eastAsiaTheme="minorEastAsia"/>
                <w:sz w:val="24"/>
              </w:rPr>
            </w:pPr>
          </w:p>
        </w:tc>
        <w:tc>
          <w:tcPr>
            <w:tcW w:w="720" w:type="dxa"/>
          </w:tcPr>
          <w:p>
            <w:pPr>
              <w:rPr>
                <w:rFonts w:asciiTheme="minorEastAsia" w:hAnsiTheme="minorEastAsia" w:eastAsiaTheme="minorEastAsia"/>
                <w:sz w:val="24"/>
              </w:rPr>
            </w:pPr>
          </w:p>
        </w:tc>
        <w:tc>
          <w:tcPr>
            <w:tcW w:w="720" w:type="dxa"/>
          </w:tcPr>
          <w:p>
            <w:pPr>
              <w:rPr>
                <w:rFonts w:asciiTheme="minorEastAsia" w:hAnsiTheme="minorEastAsia" w:eastAsiaTheme="minorEastAsia"/>
                <w:sz w:val="24"/>
              </w:rPr>
            </w:pPr>
          </w:p>
        </w:tc>
        <w:tc>
          <w:tcPr>
            <w:tcW w:w="720" w:type="dxa"/>
          </w:tcPr>
          <w:p>
            <w:pPr>
              <w:rPr>
                <w:rFonts w:asciiTheme="minorEastAsia" w:hAnsiTheme="minorEastAsia" w:eastAsiaTheme="minorEastAsia"/>
                <w:sz w:val="24"/>
              </w:rPr>
            </w:pPr>
          </w:p>
        </w:tc>
        <w:tc>
          <w:tcPr>
            <w:tcW w:w="1440" w:type="dxa"/>
          </w:tcPr>
          <w:p>
            <w:pPr>
              <w:rPr>
                <w:rFonts w:asciiTheme="minorEastAsia" w:hAnsiTheme="minorEastAsia" w:eastAsiaTheme="minorEastAsia"/>
                <w:sz w:val="24"/>
              </w:rPr>
            </w:pPr>
          </w:p>
        </w:tc>
        <w:tc>
          <w:tcPr>
            <w:tcW w:w="1440" w:type="dxa"/>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25" w:type="dxa"/>
            <w:vAlign w:val="center"/>
          </w:tcPr>
          <w:p>
            <w:pPr>
              <w:jc w:val="center"/>
              <w:rPr>
                <w:rFonts w:asciiTheme="minorEastAsia" w:hAnsiTheme="minorEastAsia" w:eastAsiaTheme="minorEastAsia"/>
                <w:sz w:val="24"/>
              </w:rPr>
            </w:pPr>
          </w:p>
        </w:tc>
        <w:tc>
          <w:tcPr>
            <w:tcW w:w="1365" w:type="dxa"/>
          </w:tcPr>
          <w:p>
            <w:pPr>
              <w:rPr>
                <w:rFonts w:asciiTheme="minorEastAsia" w:hAnsiTheme="minorEastAsia" w:eastAsiaTheme="minorEastAsia"/>
                <w:sz w:val="24"/>
              </w:rPr>
            </w:pPr>
          </w:p>
        </w:tc>
        <w:tc>
          <w:tcPr>
            <w:tcW w:w="1440" w:type="dxa"/>
          </w:tcPr>
          <w:p>
            <w:pPr>
              <w:rPr>
                <w:rFonts w:asciiTheme="minorEastAsia" w:hAnsiTheme="minorEastAsia" w:eastAsiaTheme="minorEastAsia"/>
                <w:sz w:val="24"/>
              </w:rPr>
            </w:pPr>
          </w:p>
        </w:tc>
        <w:tc>
          <w:tcPr>
            <w:tcW w:w="720" w:type="dxa"/>
          </w:tcPr>
          <w:p>
            <w:pPr>
              <w:rPr>
                <w:rFonts w:asciiTheme="minorEastAsia" w:hAnsiTheme="minorEastAsia" w:eastAsiaTheme="minorEastAsia"/>
                <w:sz w:val="24"/>
              </w:rPr>
            </w:pPr>
          </w:p>
        </w:tc>
        <w:tc>
          <w:tcPr>
            <w:tcW w:w="720" w:type="dxa"/>
          </w:tcPr>
          <w:p>
            <w:pPr>
              <w:rPr>
                <w:rFonts w:asciiTheme="minorEastAsia" w:hAnsiTheme="minorEastAsia" w:eastAsiaTheme="minorEastAsia"/>
                <w:sz w:val="24"/>
              </w:rPr>
            </w:pPr>
          </w:p>
        </w:tc>
        <w:tc>
          <w:tcPr>
            <w:tcW w:w="720" w:type="dxa"/>
          </w:tcPr>
          <w:p>
            <w:pPr>
              <w:rPr>
                <w:rFonts w:asciiTheme="minorEastAsia" w:hAnsiTheme="minorEastAsia" w:eastAsiaTheme="minorEastAsia"/>
                <w:sz w:val="24"/>
              </w:rPr>
            </w:pPr>
          </w:p>
        </w:tc>
        <w:tc>
          <w:tcPr>
            <w:tcW w:w="1440" w:type="dxa"/>
          </w:tcPr>
          <w:p>
            <w:pPr>
              <w:rPr>
                <w:rFonts w:asciiTheme="minorEastAsia" w:hAnsiTheme="minorEastAsia" w:eastAsiaTheme="minorEastAsia"/>
                <w:sz w:val="24"/>
              </w:rPr>
            </w:pPr>
          </w:p>
        </w:tc>
        <w:tc>
          <w:tcPr>
            <w:tcW w:w="1440" w:type="dxa"/>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25" w:type="dxa"/>
            <w:vAlign w:val="center"/>
          </w:tcPr>
          <w:p>
            <w:pPr>
              <w:jc w:val="center"/>
              <w:rPr>
                <w:rFonts w:asciiTheme="minorEastAsia" w:hAnsiTheme="minorEastAsia" w:eastAsiaTheme="minorEastAsia"/>
                <w:sz w:val="24"/>
              </w:rPr>
            </w:pPr>
          </w:p>
        </w:tc>
        <w:tc>
          <w:tcPr>
            <w:tcW w:w="1365" w:type="dxa"/>
          </w:tcPr>
          <w:p>
            <w:pPr>
              <w:rPr>
                <w:rFonts w:asciiTheme="minorEastAsia" w:hAnsiTheme="minorEastAsia" w:eastAsiaTheme="minorEastAsia"/>
                <w:sz w:val="24"/>
              </w:rPr>
            </w:pPr>
          </w:p>
        </w:tc>
        <w:tc>
          <w:tcPr>
            <w:tcW w:w="1440" w:type="dxa"/>
          </w:tcPr>
          <w:p>
            <w:pPr>
              <w:rPr>
                <w:rFonts w:asciiTheme="minorEastAsia" w:hAnsiTheme="minorEastAsia" w:eastAsiaTheme="minorEastAsia"/>
                <w:sz w:val="24"/>
              </w:rPr>
            </w:pPr>
          </w:p>
        </w:tc>
        <w:tc>
          <w:tcPr>
            <w:tcW w:w="720" w:type="dxa"/>
          </w:tcPr>
          <w:p>
            <w:pPr>
              <w:rPr>
                <w:rFonts w:asciiTheme="minorEastAsia" w:hAnsiTheme="minorEastAsia" w:eastAsiaTheme="minorEastAsia"/>
                <w:sz w:val="24"/>
              </w:rPr>
            </w:pPr>
          </w:p>
        </w:tc>
        <w:tc>
          <w:tcPr>
            <w:tcW w:w="720" w:type="dxa"/>
          </w:tcPr>
          <w:p>
            <w:pPr>
              <w:rPr>
                <w:rFonts w:asciiTheme="minorEastAsia" w:hAnsiTheme="minorEastAsia" w:eastAsiaTheme="minorEastAsia"/>
                <w:sz w:val="24"/>
              </w:rPr>
            </w:pPr>
          </w:p>
        </w:tc>
        <w:tc>
          <w:tcPr>
            <w:tcW w:w="720" w:type="dxa"/>
          </w:tcPr>
          <w:p>
            <w:pPr>
              <w:rPr>
                <w:rFonts w:asciiTheme="minorEastAsia" w:hAnsiTheme="minorEastAsia" w:eastAsiaTheme="minorEastAsia"/>
                <w:sz w:val="24"/>
              </w:rPr>
            </w:pPr>
          </w:p>
        </w:tc>
        <w:tc>
          <w:tcPr>
            <w:tcW w:w="1440" w:type="dxa"/>
          </w:tcPr>
          <w:p>
            <w:pPr>
              <w:rPr>
                <w:rFonts w:asciiTheme="minorEastAsia" w:hAnsiTheme="minorEastAsia" w:eastAsiaTheme="minorEastAsia"/>
                <w:sz w:val="24"/>
              </w:rPr>
            </w:pPr>
          </w:p>
        </w:tc>
        <w:tc>
          <w:tcPr>
            <w:tcW w:w="1440" w:type="dxa"/>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25" w:type="dxa"/>
            <w:vAlign w:val="center"/>
          </w:tcPr>
          <w:p>
            <w:pPr>
              <w:jc w:val="center"/>
              <w:rPr>
                <w:rFonts w:asciiTheme="minorEastAsia" w:hAnsiTheme="minorEastAsia" w:eastAsiaTheme="minorEastAsia"/>
                <w:sz w:val="24"/>
              </w:rPr>
            </w:pPr>
          </w:p>
        </w:tc>
        <w:tc>
          <w:tcPr>
            <w:tcW w:w="1365" w:type="dxa"/>
            <w:vAlign w:val="center"/>
          </w:tcPr>
          <w:p>
            <w:pPr>
              <w:spacing w:line="360" w:lineRule="auto"/>
              <w:jc w:val="center"/>
              <w:rPr>
                <w:rFonts w:asciiTheme="minorEastAsia" w:hAnsiTheme="minorEastAsia" w:eastAsiaTheme="minorEastAsia"/>
                <w:sz w:val="24"/>
              </w:rPr>
            </w:pPr>
          </w:p>
        </w:tc>
        <w:tc>
          <w:tcPr>
            <w:tcW w:w="1440" w:type="dxa"/>
          </w:tcPr>
          <w:p>
            <w:pPr>
              <w:rPr>
                <w:rFonts w:asciiTheme="minorEastAsia" w:hAnsiTheme="minorEastAsia" w:eastAsiaTheme="minorEastAsia"/>
                <w:sz w:val="24"/>
              </w:rPr>
            </w:pPr>
          </w:p>
        </w:tc>
        <w:tc>
          <w:tcPr>
            <w:tcW w:w="720" w:type="dxa"/>
          </w:tcPr>
          <w:p>
            <w:pPr>
              <w:rPr>
                <w:rFonts w:asciiTheme="minorEastAsia" w:hAnsiTheme="minorEastAsia" w:eastAsiaTheme="minorEastAsia"/>
                <w:sz w:val="24"/>
              </w:rPr>
            </w:pPr>
          </w:p>
        </w:tc>
        <w:tc>
          <w:tcPr>
            <w:tcW w:w="720" w:type="dxa"/>
          </w:tcPr>
          <w:p>
            <w:pPr>
              <w:rPr>
                <w:rFonts w:asciiTheme="minorEastAsia" w:hAnsiTheme="minorEastAsia" w:eastAsiaTheme="minorEastAsia"/>
                <w:sz w:val="24"/>
              </w:rPr>
            </w:pPr>
          </w:p>
        </w:tc>
        <w:tc>
          <w:tcPr>
            <w:tcW w:w="720" w:type="dxa"/>
          </w:tcPr>
          <w:p>
            <w:pPr>
              <w:rPr>
                <w:rFonts w:asciiTheme="minorEastAsia" w:hAnsiTheme="minorEastAsia" w:eastAsiaTheme="minorEastAsia"/>
                <w:sz w:val="24"/>
              </w:rPr>
            </w:pPr>
          </w:p>
        </w:tc>
        <w:tc>
          <w:tcPr>
            <w:tcW w:w="1440" w:type="dxa"/>
          </w:tcPr>
          <w:p>
            <w:pPr>
              <w:rPr>
                <w:rFonts w:asciiTheme="minorEastAsia" w:hAnsiTheme="minorEastAsia" w:eastAsiaTheme="minorEastAsia"/>
                <w:sz w:val="24"/>
              </w:rPr>
            </w:pPr>
          </w:p>
        </w:tc>
        <w:tc>
          <w:tcPr>
            <w:tcW w:w="1440" w:type="dxa"/>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6930" w:type="dxa"/>
            <w:gridSpan w:val="7"/>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总计</w:t>
            </w:r>
          </w:p>
        </w:tc>
        <w:tc>
          <w:tcPr>
            <w:tcW w:w="1440" w:type="dxa"/>
          </w:tcPr>
          <w:p>
            <w:pPr>
              <w:rPr>
                <w:rFonts w:asciiTheme="minorEastAsia" w:hAnsiTheme="minorEastAsia" w:eastAsiaTheme="minorEastAsia"/>
                <w:sz w:val="24"/>
              </w:rPr>
            </w:pPr>
          </w:p>
        </w:tc>
      </w:tr>
    </w:tbl>
    <w:p>
      <w:pPr>
        <w:rPr>
          <w:rFonts w:ascii="宋体" w:hAnsi="宋体"/>
          <w:sz w:val="24"/>
        </w:rPr>
      </w:pPr>
      <w:r>
        <w:rPr>
          <w:rFonts w:hint="eastAsia" w:ascii="宋体" w:hAnsi="宋体"/>
          <w:sz w:val="24"/>
        </w:rPr>
        <w:t>说明：</w:t>
      </w:r>
    </w:p>
    <w:p>
      <w:pPr>
        <w:ind w:firstLine="480" w:firstLineChars="200"/>
        <w:rPr>
          <w:rFonts w:ascii="宋体" w:hAnsi="宋体"/>
          <w:sz w:val="24"/>
        </w:rPr>
      </w:pPr>
      <w:r>
        <w:rPr>
          <w:rFonts w:hint="eastAsia" w:ascii="宋体" w:hAnsi="宋体"/>
          <w:sz w:val="24"/>
        </w:rPr>
        <w:t>1、本表仅为非联合体投标人填报；</w:t>
      </w:r>
    </w:p>
    <w:p>
      <w:pPr>
        <w:ind w:firstLine="480" w:firstLineChars="200"/>
        <w:rPr>
          <w:rFonts w:ascii="宋体" w:hAnsi="宋体"/>
          <w:sz w:val="24"/>
        </w:rPr>
      </w:pPr>
      <w:r>
        <w:rPr>
          <w:rFonts w:hint="eastAsia" w:ascii="宋体" w:hAnsi="宋体"/>
          <w:sz w:val="24"/>
        </w:rPr>
        <w:t>2、本表用于对小型和微型企业产品报价给予一定比例扣除（详见投标人须知）；</w:t>
      </w:r>
    </w:p>
    <w:p>
      <w:pPr>
        <w:ind w:firstLine="480" w:firstLineChars="200"/>
        <w:rPr>
          <w:rFonts w:ascii="宋体" w:hAnsi="宋体"/>
          <w:sz w:val="24"/>
        </w:rPr>
      </w:pPr>
      <w:r>
        <w:rPr>
          <w:rFonts w:hint="eastAsia" w:ascii="宋体" w:hAnsi="宋体"/>
          <w:sz w:val="24"/>
        </w:rPr>
        <w:t>3、填入本表的小型和微型企业须提供“中小企业声明函”；</w:t>
      </w:r>
    </w:p>
    <w:p>
      <w:pPr>
        <w:ind w:firstLine="480" w:firstLineChars="200"/>
        <w:rPr>
          <w:rFonts w:ascii="宋体" w:hAnsi="宋体"/>
          <w:sz w:val="24"/>
        </w:rPr>
      </w:pPr>
      <w:r>
        <w:rPr>
          <w:rFonts w:hint="eastAsia" w:ascii="宋体" w:hAnsi="宋体"/>
          <w:sz w:val="24"/>
        </w:rPr>
        <w:t>4、未填报本表或未提供“中小企业声明函，评标时不对小型和微型企业产品报价给予一定比例扣除。</w:t>
      </w:r>
    </w:p>
    <w:p>
      <w:pPr>
        <w:ind w:left="990" w:leftChars="300" w:hanging="360" w:hangingChars="150"/>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投标人名称：</w:t>
      </w:r>
      <w:r>
        <w:rPr>
          <w:rFonts w:hint="eastAsia" w:ascii="宋体" w:hAnsi="宋体"/>
          <w:sz w:val="24"/>
          <w:u w:val="single"/>
        </w:rPr>
        <w:t xml:space="preserve">                                 </w:t>
      </w:r>
      <w:r>
        <w:rPr>
          <w:rFonts w:hint="eastAsia" w:ascii="宋体" w:hAnsi="宋体"/>
          <w:sz w:val="24"/>
        </w:rPr>
        <w:t xml:space="preserve"> </w:t>
      </w:r>
    </w:p>
    <w:p>
      <w:pPr>
        <w:rPr>
          <w:rFonts w:ascii="宋体" w:hAnsi="宋体"/>
          <w:sz w:val="24"/>
        </w:rPr>
      </w:pPr>
      <w:r>
        <w:rPr>
          <w:rFonts w:hint="eastAsia" w:ascii="宋体" w:hAnsi="宋体"/>
          <w:sz w:val="24"/>
        </w:rPr>
        <w:t>投标人公章：</w:t>
      </w:r>
      <w:r>
        <w:rPr>
          <w:rFonts w:hint="eastAsia" w:ascii="宋体" w:hAnsi="宋体"/>
          <w:sz w:val="24"/>
          <w:u w:val="single"/>
        </w:rPr>
        <w:t xml:space="preserve">                                 </w:t>
      </w:r>
      <w:r>
        <w:rPr>
          <w:rFonts w:hint="eastAsia" w:ascii="宋体" w:hAnsi="宋体"/>
          <w:sz w:val="24"/>
        </w:rPr>
        <w:t xml:space="preserve"> </w:t>
      </w:r>
    </w:p>
    <w:p>
      <w:pPr>
        <w:rPr>
          <w:rFonts w:ascii="宋体" w:hAnsi="宋体"/>
          <w:sz w:val="24"/>
        </w:rPr>
      </w:pPr>
      <w:r>
        <w:rPr>
          <w:rFonts w:hint="eastAsia" w:ascii="宋体" w:hAnsi="宋体"/>
          <w:sz w:val="24"/>
        </w:rPr>
        <w:t>投标人代表签字：</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p>
    <w:p>
      <w:pPr>
        <w:rPr>
          <w:rFonts w:ascii="宋体" w:hAnsi="宋体"/>
          <w:szCs w:val="21"/>
        </w:rPr>
      </w:pPr>
    </w:p>
    <w:p>
      <w:pPr>
        <w:rPr>
          <w:rFonts w:ascii="宋体" w:hAnsi="宋体"/>
          <w:sz w:val="36"/>
          <w:szCs w:val="36"/>
        </w:rPr>
      </w:pPr>
    </w:p>
    <w:p>
      <w:pPr>
        <w:rPr>
          <w:rFonts w:ascii="宋体" w:hAnsi="宋体"/>
          <w:sz w:val="36"/>
          <w:szCs w:val="36"/>
        </w:rPr>
      </w:pPr>
    </w:p>
    <w:p>
      <w:pPr>
        <w:jc w:val="center"/>
        <w:rPr>
          <w:rFonts w:ascii="宋体" w:hAnsi="宋体"/>
          <w:sz w:val="36"/>
          <w:szCs w:val="36"/>
        </w:rPr>
      </w:pPr>
    </w:p>
    <w:p>
      <w:pPr>
        <w:jc w:val="center"/>
        <w:rPr>
          <w:rFonts w:ascii="宋体" w:hAnsi="宋体"/>
          <w:b/>
          <w:sz w:val="32"/>
          <w:szCs w:val="32"/>
        </w:rPr>
      </w:pPr>
      <w:r>
        <w:rPr>
          <w:rFonts w:hint="eastAsia" w:ascii="宋体" w:hAnsi="宋体"/>
          <w:sz w:val="24"/>
        </w:rPr>
        <w:t>（二）监狱企业报价说明表格式（如有）</w:t>
      </w:r>
    </w:p>
    <w:p/>
    <w:p>
      <w:pPr>
        <w:jc w:val="center"/>
        <w:rPr>
          <w:rFonts w:ascii="宋体" w:hAnsi="宋体"/>
          <w:b/>
          <w:sz w:val="24"/>
        </w:rPr>
      </w:pPr>
      <w:r>
        <w:rPr>
          <w:rFonts w:hint="eastAsia" w:ascii="宋体" w:hAnsi="宋体"/>
          <w:b/>
          <w:sz w:val="24"/>
        </w:rPr>
        <w:t>监狱企业产品报价说明表</w:t>
      </w:r>
    </w:p>
    <w:tbl>
      <w:tblPr>
        <w:tblStyle w:val="20"/>
        <w:tblW w:w="8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1820"/>
        <w:gridCol w:w="772"/>
        <w:gridCol w:w="709"/>
        <w:gridCol w:w="709"/>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51" w:type="dxa"/>
            <w:vMerge w:val="restar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1418" w:type="dxa"/>
            <w:vMerge w:val="restart"/>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名称</w:t>
            </w:r>
          </w:p>
        </w:tc>
        <w:tc>
          <w:tcPr>
            <w:tcW w:w="1820" w:type="dxa"/>
            <w:vMerge w:val="restart"/>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基本内容</w:t>
            </w:r>
          </w:p>
        </w:tc>
        <w:tc>
          <w:tcPr>
            <w:tcW w:w="772" w:type="dxa"/>
            <w:vMerge w:val="restart"/>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数量</w:t>
            </w:r>
          </w:p>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单位</w:t>
            </w:r>
          </w:p>
        </w:tc>
        <w:tc>
          <w:tcPr>
            <w:tcW w:w="709" w:type="dxa"/>
            <w:vMerge w:val="restart"/>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数量</w:t>
            </w:r>
          </w:p>
        </w:tc>
        <w:tc>
          <w:tcPr>
            <w:tcW w:w="709" w:type="dxa"/>
            <w:vMerge w:val="restart"/>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单价</w:t>
            </w:r>
          </w:p>
        </w:tc>
        <w:tc>
          <w:tcPr>
            <w:tcW w:w="2034"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监狱企业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1" w:type="dxa"/>
            <w:vMerge w:val="continue"/>
            <w:vAlign w:val="center"/>
          </w:tcPr>
          <w:p>
            <w:pPr>
              <w:jc w:val="center"/>
              <w:rPr>
                <w:rFonts w:asciiTheme="minorEastAsia" w:hAnsiTheme="minorEastAsia" w:eastAsiaTheme="minorEastAsia"/>
                <w:sz w:val="24"/>
              </w:rPr>
            </w:pPr>
          </w:p>
        </w:tc>
        <w:tc>
          <w:tcPr>
            <w:tcW w:w="1418" w:type="dxa"/>
            <w:vMerge w:val="continue"/>
            <w:vAlign w:val="center"/>
          </w:tcPr>
          <w:p>
            <w:pPr>
              <w:spacing w:line="360" w:lineRule="auto"/>
              <w:jc w:val="center"/>
              <w:rPr>
                <w:rFonts w:asciiTheme="minorEastAsia" w:hAnsiTheme="minorEastAsia" w:eastAsiaTheme="minorEastAsia"/>
                <w:sz w:val="24"/>
              </w:rPr>
            </w:pPr>
          </w:p>
        </w:tc>
        <w:tc>
          <w:tcPr>
            <w:tcW w:w="1820" w:type="dxa"/>
            <w:vMerge w:val="continue"/>
            <w:vAlign w:val="center"/>
          </w:tcPr>
          <w:p>
            <w:pPr>
              <w:spacing w:line="360" w:lineRule="auto"/>
              <w:jc w:val="center"/>
              <w:rPr>
                <w:rFonts w:asciiTheme="minorEastAsia" w:hAnsiTheme="minorEastAsia" w:eastAsiaTheme="minorEastAsia"/>
                <w:sz w:val="24"/>
              </w:rPr>
            </w:pPr>
          </w:p>
        </w:tc>
        <w:tc>
          <w:tcPr>
            <w:tcW w:w="772" w:type="dxa"/>
            <w:vMerge w:val="continue"/>
            <w:vAlign w:val="center"/>
          </w:tcPr>
          <w:p>
            <w:pPr>
              <w:spacing w:line="360" w:lineRule="auto"/>
              <w:jc w:val="center"/>
              <w:rPr>
                <w:rFonts w:asciiTheme="minorEastAsia" w:hAnsiTheme="minorEastAsia" w:eastAsiaTheme="minorEastAsia"/>
                <w:sz w:val="24"/>
              </w:rPr>
            </w:pPr>
          </w:p>
        </w:tc>
        <w:tc>
          <w:tcPr>
            <w:tcW w:w="709" w:type="dxa"/>
            <w:vMerge w:val="continue"/>
            <w:vAlign w:val="center"/>
          </w:tcPr>
          <w:p>
            <w:pPr>
              <w:spacing w:line="360" w:lineRule="auto"/>
              <w:jc w:val="center"/>
              <w:rPr>
                <w:rFonts w:asciiTheme="minorEastAsia" w:hAnsiTheme="minorEastAsia" w:eastAsiaTheme="minorEastAsia"/>
                <w:sz w:val="24"/>
              </w:rPr>
            </w:pPr>
          </w:p>
        </w:tc>
        <w:tc>
          <w:tcPr>
            <w:tcW w:w="709" w:type="dxa"/>
            <w:vMerge w:val="continue"/>
            <w:vAlign w:val="center"/>
          </w:tcPr>
          <w:p>
            <w:pPr>
              <w:spacing w:line="360" w:lineRule="auto"/>
              <w:jc w:val="center"/>
              <w:rPr>
                <w:rFonts w:asciiTheme="minorEastAsia" w:hAnsiTheme="minorEastAsia" w:eastAsiaTheme="minorEastAsia"/>
                <w:sz w:val="24"/>
              </w:rPr>
            </w:pPr>
          </w:p>
        </w:tc>
        <w:tc>
          <w:tcPr>
            <w:tcW w:w="2034"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51"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418" w:type="dxa"/>
          </w:tcPr>
          <w:p>
            <w:pPr>
              <w:rPr>
                <w:rFonts w:asciiTheme="minorEastAsia" w:hAnsiTheme="minorEastAsia" w:eastAsiaTheme="minorEastAsia"/>
                <w:sz w:val="24"/>
              </w:rPr>
            </w:pPr>
          </w:p>
        </w:tc>
        <w:tc>
          <w:tcPr>
            <w:tcW w:w="1820" w:type="dxa"/>
          </w:tcPr>
          <w:p>
            <w:pPr>
              <w:rPr>
                <w:rFonts w:asciiTheme="minorEastAsia" w:hAnsiTheme="minorEastAsia" w:eastAsiaTheme="minorEastAsia"/>
                <w:sz w:val="24"/>
              </w:rPr>
            </w:pPr>
          </w:p>
        </w:tc>
        <w:tc>
          <w:tcPr>
            <w:tcW w:w="772" w:type="dxa"/>
          </w:tcPr>
          <w:p>
            <w:pPr>
              <w:rPr>
                <w:rFonts w:asciiTheme="minorEastAsia" w:hAnsiTheme="minorEastAsia" w:eastAsiaTheme="minorEastAsia"/>
                <w:sz w:val="24"/>
              </w:rPr>
            </w:pPr>
          </w:p>
        </w:tc>
        <w:tc>
          <w:tcPr>
            <w:tcW w:w="709" w:type="dxa"/>
          </w:tcPr>
          <w:p>
            <w:pPr>
              <w:rPr>
                <w:rFonts w:asciiTheme="minorEastAsia" w:hAnsiTheme="minorEastAsia" w:eastAsiaTheme="minorEastAsia"/>
                <w:sz w:val="24"/>
              </w:rPr>
            </w:pPr>
          </w:p>
        </w:tc>
        <w:tc>
          <w:tcPr>
            <w:tcW w:w="709" w:type="dxa"/>
          </w:tcPr>
          <w:p>
            <w:pPr>
              <w:rPr>
                <w:rFonts w:asciiTheme="minorEastAsia" w:hAnsiTheme="minorEastAsia" w:eastAsiaTheme="minorEastAsia"/>
                <w:sz w:val="24"/>
              </w:rPr>
            </w:pPr>
          </w:p>
        </w:tc>
        <w:tc>
          <w:tcPr>
            <w:tcW w:w="2034" w:type="dxa"/>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1"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418" w:type="dxa"/>
          </w:tcPr>
          <w:p>
            <w:pPr>
              <w:rPr>
                <w:rFonts w:asciiTheme="minorEastAsia" w:hAnsiTheme="minorEastAsia" w:eastAsiaTheme="minorEastAsia"/>
                <w:sz w:val="24"/>
              </w:rPr>
            </w:pPr>
          </w:p>
        </w:tc>
        <w:tc>
          <w:tcPr>
            <w:tcW w:w="1820" w:type="dxa"/>
          </w:tcPr>
          <w:p>
            <w:pPr>
              <w:rPr>
                <w:rFonts w:asciiTheme="minorEastAsia" w:hAnsiTheme="minorEastAsia" w:eastAsiaTheme="minorEastAsia"/>
                <w:sz w:val="24"/>
              </w:rPr>
            </w:pPr>
          </w:p>
        </w:tc>
        <w:tc>
          <w:tcPr>
            <w:tcW w:w="772" w:type="dxa"/>
          </w:tcPr>
          <w:p>
            <w:pPr>
              <w:rPr>
                <w:rFonts w:asciiTheme="minorEastAsia" w:hAnsiTheme="minorEastAsia" w:eastAsiaTheme="minorEastAsia"/>
                <w:sz w:val="24"/>
              </w:rPr>
            </w:pPr>
          </w:p>
        </w:tc>
        <w:tc>
          <w:tcPr>
            <w:tcW w:w="709" w:type="dxa"/>
          </w:tcPr>
          <w:p>
            <w:pPr>
              <w:rPr>
                <w:rFonts w:asciiTheme="minorEastAsia" w:hAnsiTheme="minorEastAsia" w:eastAsiaTheme="minorEastAsia"/>
                <w:sz w:val="24"/>
              </w:rPr>
            </w:pPr>
          </w:p>
        </w:tc>
        <w:tc>
          <w:tcPr>
            <w:tcW w:w="709" w:type="dxa"/>
          </w:tcPr>
          <w:p>
            <w:pPr>
              <w:rPr>
                <w:rFonts w:asciiTheme="minorEastAsia" w:hAnsiTheme="minorEastAsia" w:eastAsiaTheme="minorEastAsia"/>
                <w:sz w:val="24"/>
              </w:rPr>
            </w:pPr>
          </w:p>
        </w:tc>
        <w:tc>
          <w:tcPr>
            <w:tcW w:w="2034" w:type="dxa"/>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51"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418" w:type="dxa"/>
          </w:tcPr>
          <w:p>
            <w:pPr>
              <w:rPr>
                <w:rFonts w:asciiTheme="minorEastAsia" w:hAnsiTheme="minorEastAsia" w:eastAsiaTheme="minorEastAsia"/>
                <w:sz w:val="24"/>
              </w:rPr>
            </w:pPr>
          </w:p>
        </w:tc>
        <w:tc>
          <w:tcPr>
            <w:tcW w:w="1820" w:type="dxa"/>
          </w:tcPr>
          <w:p>
            <w:pPr>
              <w:rPr>
                <w:rFonts w:asciiTheme="minorEastAsia" w:hAnsiTheme="minorEastAsia" w:eastAsiaTheme="minorEastAsia"/>
                <w:sz w:val="24"/>
              </w:rPr>
            </w:pPr>
          </w:p>
        </w:tc>
        <w:tc>
          <w:tcPr>
            <w:tcW w:w="772" w:type="dxa"/>
          </w:tcPr>
          <w:p>
            <w:pPr>
              <w:rPr>
                <w:rFonts w:asciiTheme="minorEastAsia" w:hAnsiTheme="minorEastAsia" w:eastAsiaTheme="minorEastAsia"/>
                <w:sz w:val="24"/>
              </w:rPr>
            </w:pPr>
          </w:p>
        </w:tc>
        <w:tc>
          <w:tcPr>
            <w:tcW w:w="709" w:type="dxa"/>
          </w:tcPr>
          <w:p>
            <w:pPr>
              <w:rPr>
                <w:rFonts w:asciiTheme="minorEastAsia" w:hAnsiTheme="minorEastAsia" w:eastAsiaTheme="minorEastAsia"/>
                <w:sz w:val="24"/>
              </w:rPr>
            </w:pPr>
          </w:p>
        </w:tc>
        <w:tc>
          <w:tcPr>
            <w:tcW w:w="709" w:type="dxa"/>
          </w:tcPr>
          <w:p>
            <w:pPr>
              <w:rPr>
                <w:rFonts w:asciiTheme="minorEastAsia" w:hAnsiTheme="minorEastAsia" w:eastAsiaTheme="minorEastAsia"/>
                <w:sz w:val="24"/>
              </w:rPr>
            </w:pPr>
          </w:p>
        </w:tc>
        <w:tc>
          <w:tcPr>
            <w:tcW w:w="2034" w:type="dxa"/>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1" w:type="dxa"/>
            <w:vAlign w:val="center"/>
          </w:tcPr>
          <w:p>
            <w:pPr>
              <w:spacing w:line="360" w:lineRule="auto"/>
              <w:jc w:val="center"/>
              <w:rPr>
                <w:rFonts w:asciiTheme="minorEastAsia" w:hAnsiTheme="minorEastAsia" w:eastAsiaTheme="minorEastAsia"/>
                <w:sz w:val="24"/>
              </w:rPr>
            </w:pPr>
            <w:r>
              <w:rPr>
                <w:rFonts w:asciiTheme="minorEastAsia" w:hAnsiTheme="minorEastAsia" w:eastAsiaTheme="minorEastAsia"/>
                <w:sz w:val="24"/>
              </w:rPr>
              <w:t>…</w:t>
            </w:r>
          </w:p>
        </w:tc>
        <w:tc>
          <w:tcPr>
            <w:tcW w:w="1418" w:type="dxa"/>
          </w:tcPr>
          <w:p>
            <w:pPr>
              <w:rPr>
                <w:rFonts w:asciiTheme="minorEastAsia" w:hAnsiTheme="minorEastAsia" w:eastAsiaTheme="minorEastAsia"/>
                <w:sz w:val="24"/>
              </w:rPr>
            </w:pPr>
          </w:p>
        </w:tc>
        <w:tc>
          <w:tcPr>
            <w:tcW w:w="1820" w:type="dxa"/>
          </w:tcPr>
          <w:p>
            <w:pPr>
              <w:rPr>
                <w:rFonts w:asciiTheme="minorEastAsia" w:hAnsiTheme="minorEastAsia" w:eastAsiaTheme="minorEastAsia"/>
                <w:sz w:val="24"/>
              </w:rPr>
            </w:pPr>
          </w:p>
        </w:tc>
        <w:tc>
          <w:tcPr>
            <w:tcW w:w="772" w:type="dxa"/>
          </w:tcPr>
          <w:p>
            <w:pPr>
              <w:rPr>
                <w:rFonts w:asciiTheme="minorEastAsia" w:hAnsiTheme="minorEastAsia" w:eastAsiaTheme="minorEastAsia"/>
                <w:sz w:val="24"/>
              </w:rPr>
            </w:pPr>
          </w:p>
        </w:tc>
        <w:tc>
          <w:tcPr>
            <w:tcW w:w="709" w:type="dxa"/>
          </w:tcPr>
          <w:p>
            <w:pPr>
              <w:rPr>
                <w:rFonts w:asciiTheme="minorEastAsia" w:hAnsiTheme="minorEastAsia" w:eastAsiaTheme="minorEastAsia"/>
                <w:sz w:val="24"/>
              </w:rPr>
            </w:pPr>
          </w:p>
        </w:tc>
        <w:tc>
          <w:tcPr>
            <w:tcW w:w="709" w:type="dxa"/>
          </w:tcPr>
          <w:p>
            <w:pPr>
              <w:rPr>
                <w:rFonts w:asciiTheme="minorEastAsia" w:hAnsiTheme="minorEastAsia" w:eastAsiaTheme="minorEastAsia"/>
                <w:sz w:val="24"/>
              </w:rPr>
            </w:pPr>
          </w:p>
        </w:tc>
        <w:tc>
          <w:tcPr>
            <w:tcW w:w="2034" w:type="dxa"/>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1" w:type="dxa"/>
            <w:vAlign w:val="center"/>
          </w:tcPr>
          <w:p>
            <w:pPr>
              <w:jc w:val="center"/>
              <w:rPr>
                <w:rFonts w:asciiTheme="minorEastAsia" w:hAnsiTheme="minorEastAsia" w:eastAsiaTheme="minorEastAsia"/>
                <w:sz w:val="24"/>
              </w:rPr>
            </w:pPr>
          </w:p>
        </w:tc>
        <w:tc>
          <w:tcPr>
            <w:tcW w:w="1418" w:type="dxa"/>
          </w:tcPr>
          <w:p>
            <w:pPr>
              <w:rPr>
                <w:rFonts w:asciiTheme="minorEastAsia" w:hAnsiTheme="minorEastAsia" w:eastAsiaTheme="minorEastAsia"/>
                <w:sz w:val="24"/>
              </w:rPr>
            </w:pPr>
          </w:p>
        </w:tc>
        <w:tc>
          <w:tcPr>
            <w:tcW w:w="1820" w:type="dxa"/>
          </w:tcPr>
          <w:p>
            <w:pPr>
              <w:rPr>
                <w:rFonts w:asciiTheme="minorEastAsia" w:hAnsiTheme="minorEastAsia" w:eastAsiaTheme="minorEastAsia"/>
                <w:sz w:val="24"/>
              </w:rPr>
            </w:pPr>
          </w:p>
        </w:tc>
        <w:tc>
          <w:tcPr>
            <w:tcW w:w="772" w:type="dxa"/>
          </w:tcPr>
          <w:p>
            <w:pPr>
              <w:rPr>
                <w:rFonts w:asciiTheme="minorEastAsia" w:hAnsiTheme="minorEastAsia" w:eastAsiaTheme="minorEastAsia"/>
                <w:sz w:val="24"/>
              </w:rPr>
            </w:pPr>
          </w:p>
        </w:tc>
        <w:tc>
          <w:tcPr>
            <w:tcW w:w="709" w:type="dxa"/>
          </w:tcPr>
          <w:p>
            <w:pPr>
              <w:rPr>
                <w:rFonts w:asciiTheme="minorEastAsia" w:hAnsiTheme="minorEastAsia" w:eastAsiaTheme="minorEastAsia"/>
                <w:sz w:val="24"/>
              </w:rPr>
            </w:pPr>
          </w:p>
        </w:tc>
        <w:tc>
          <w:tcPr>
            <w:tcW w:w="709" w:type="dxa"/>
          </w:tcPr>
          <w:p>
            <w:pPr>
              <w:rPr>
                <w:rFonts w:asciiTheme="minorEastAsia" w:hAnsiTheme="minorEastAsia" w:eastAsiaTheme="minorEastAsia"/>
                <w:sz w:val="24"/>
              </w:rPr>
            </w:pPr>
          </w:p>
        </w:tc>
        <w:tc>
          <w:tcPr>
            <w:tcW w:w="2034" w:type="dxa"/>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51" w:type="dxa"/>
            <w:vAlign w:val="center"/>
          </w:tcPr>
          <w:p>
            <w:pPr>
              <w:jc w:val="center"/>
              <w:rPr>
                <w:rFonts w:asciiTheme="minorEastAsia" w:hAnsiTheme="minorEastAsia" w:eastAsiaTheme="minorEastAsia"/>
                <w:sz w:val="24"/>
              </w:rPr>
            </w:pPr>
          </w:p>
        </w:tc>
        <w:tc>
          <w:tcPr>
            <w:tcW w:w="1418" w:type="dxa"/>
          </w:tcPr>
          <w:p>
            <w:pPr>
              <w:rPr>
                <w:rFonts w:asciiTheme="minorEastAsia" w:hAnsiTheme="minorEastAsia" w:eastAsiaTheme="minorEastAsia"/>
                <w:sz w:val="24"/>
              </w:rPr>
            </w:pPr>
          </w:p>
        </w:tc>
        <w:tc>
          <w:tcPr>
            <w:tcW w:w="1820" w:type="dxa"/>
          </w:tcPr>
          <w:p>
            <w:pPr>
              <w:rPr>
                <w:rFonts w:asciiTheme="minorEastAsia" w:hAnsiTheme="minorEastAsia" w:eastAsiaTheme="minorEastAsia"/>
                <w:sz w:val="24"/>
              </w:rPr>
            </w:pPr>
          </w:p>
        </w:tc>
        <w:tc>
          <w:tcPr>
            <w:tcW w:w="772" w:type="dxa"/>
          </w:tcPr>
          <w:p>
            <w:pPr>
              <w:rPr>
                <w:rFonts w:asciiTheme="minorEastAsia" w:hAnsiTheme="minorEastAsia" w:eastAsiaTheme="minorEastAsia"/>
                <w:sz w:val="24"/>
              </w:rPr>
            </w:pPr>
          </w:p>
        </w:tc>
        <w:tc>
          <w:tcPr>
            <w:tcW w:w="709" w:type="dxa"/>
          </w:tcPr>
          <w:p>
            <w:pPr>
              <w:rPr>
                <w:rFonts w:asciiTheme="minorEastAsia" w:hAnsiTheme="minorEastAsia" w:eastAsiaTheme="minorEastAsia"/>
                <w:sz w:val="24"/>
              </w:rPr>
            </w:pPr>
          </w:p>
        </w:tc>
        <w:tc>
          <w:tcPr>
            <w:tcW w:w="709" w:type="dxa"/>
          </w:tcPr>
          <w:p>
            <w:pPr>
              <w:rPr>
                <w:rFonts w:asciiTheme="minorEastAsia" w:hAnsiTheme="minorEastAsia" w:eastAsiaTheme="minorEastAsia"/>
                <w:sz w:val="24"/>
              </w:rPr>
            </w:pPr>
          </w:p>
        </w:tc>
        <w:tc>
          <w:tcPr>
            <w:tcW w:w="2034" w:type="dxa"/>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51" w:type="dxa"/>
            <w:vAlign w:val="center"/>
          </w:tcPr>
          <w:p>
            <w:pPr>
              <w:jc w:val="center"/>
              <w:rPr>
                <w:rFonts w:asciiTheme="minorEastAsia" w:hAnsiTheme="minorEastAsia" w:eastAsiaTheme="minorEastAsia"/>
                <w:sz w:val="24"/>
              </w:rPr>
            </w:pPr>
          </w:p>
        </w:tc>
        <w:tc>
          <w:tcPr>
            <w:tcW w:w="1418" w:type="dxa"/>
            <w:vAlign w:val="center"/>
          </w:tcPr>
          <w:p>
            <w:pPr>
              <w:spacing w:line="360" w:lineRule="auto"/>
              <w:jc w:val="center"/>
              <w:rPr>
                <w:rFonts w:asciiTheme="minorEastAsia" w:hAnsiTheme="minorEastAsia" w:eastAsiaTheme="minorEastAsia"/>
                <w:sz w:val="24"/>
              </w:rPr>
            </w:pPr>
          </w:p>
        </w:tc>
        <w:tc>
          <w:tcPr>
            <w:tcW w:w="1820" w:type="dxa"/>
          </w:tcPr>
          <w:p>
            <w:pPr>
              <w:rPr>
                <w:rFonts w:asciiTheme="minorEastAsia" w:hAnsiTheme="minorEastAsia" w:eastAsiaTheme="minorEastAsia"/>
                <w:sz w:val="24"/>
              </w:rPr>
            </w:pPr>
          </w:p>
        </w:tc>
        <w:tc>
          <w:tcPr>
            <w:tcW w:w="772" w:type="dxa"/>
          </w:tcPr>
          <w:p>
            <w:pPr>
              <w:rPr>
                <w:rFonts w:asciiTheme="minorEastAsia" w:hAnsiTheme="minorEastAsia" w:eastAsiaTheme="minorEastAsia"/>
                <w:sz w:val="24"/>
              </w:rPr>
            </w:pPr>
          </w:p>
        </w:tc>
        <w:tc>
          <w:tcPr>
            <w:tcW w:w="709" w:type="dxa"/>
          </w:tcPr>
          <w:p>
            <w:pPr>
              <w:rPr>
                <w:rFonts w:asciiTheme="minorEastAsia" w:hAnsiTheme="minorEastAsia" w:eastAsiaTheme="minorEastAsia"/>
                <w:sz w:val="24"/>
              </w:rPr>
            </w:pPr>
          </w:p>
        </w:tc>
        <w:tc>
          <w:tcPr>
            <w:tcW w:w="709" w:type="dxa"/>
          </w:tcPr>
          <w:p>
            <w:pPr>
              <w:rPr>
                <w:rFonts w:asciiTheme="minorEastAsia" w:hAnsiTheme="minorEastAsia" w:eastAsiaTheme="minorEastAsia"/>
                <w:sz w:val="24"/>
              </w:rPr>
            </w:pPr>
          </w:p>
        </w:tc>
        <w:tc>
          <w:tcPr>
            <w:tcW w:w="2034" w:type="dxa"/>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313" w:type="dxa"/>
            <w:gridSpan w:val="7"/>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总计</w:t>
            </w:r>
          </w:p>
        </w:tc>
      </w:tr>
    </w:tbl>
    <w:p>
      <w:pPr>
        <w:rPr>
          <w:rFonts w:asciiTheme="minorEastAsia" w:hAnsiTheme="minorEastAsia" w:eastAsiaTheme="minorEastAsia"/>
          <w:sz w:val="24"/>
        </w:rPr>
      </w:pPr>
      <w:r>
        <w:rPr>
          <w:rFonts w:hint="eastAsia" w:asciiTheme="minorEastAsia" w:hAnsiTheme="minorEastAsia" w:eastAsiaTheme="minorEastAsia"/>
          <w:sz w:val="24"/>
        </w:rPr>
        <w:t>说明：</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1、本表仅为非联合体投标人填报；</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2、本表用于对监狱企业产品报价给予一定比例扣除（详见投标人须知）；</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3、填入本表的监狱企业须提供“由省级以上监狱管理局、戒毒管理局(含新疆生产建设兵团)出具的属于监狱企业的证明文件”；</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4、未填报本表或未提供“由省级以上监狱管理局、戒毒管理局(含新疆生产建设兵团)出具的属于监狱企业的证明文件”的，评标时不对监狱企业产品报价给予一定比例扣除。</w:t>
      </w:r>
    </w:p>
    <w:p>
      <w:pPr>
        <w:ind w:firstLine="720" w:firstLineChars="300"/>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r>
        <w:rPr>
          <w:rFonts w:hint="eastAsia" w:asciiTheme="minorEastAsia" w:hAnsiTheme="minorEastAsia" w:eastAsiaTheme="minorEastAsia"/>
          <w:sz w:val="24"/>
        </w:rPr>
        <w:t>投标人名称：</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 </w:t>
      </w:r>
    </w:p>
    <w:p>
      <w:pPr>
        <w:rPr>
          <w:rFonts w:asciiTheme="minorEastAsia" w:hAnsiTheme="minorEastAsia" w:eastAsiaTheme="minorEastAsia"/>
          <w:sz w:val="24"/>
        </w:rPr>
      </w:pPr>
      <w:r>
        <w:rPr>
          <w:rFonts w:hint="eastAsia" w:asciiTheme="minorEastAsia" w:hAnsiTheme="minorEastAsia" w:eastAsiaTheme="minorEastAsia"/>
          <w:sz w:val="24"/>
        </w:rPr>
        <w:t>投标人公章：</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  </w:t>
      </w:r>
    </w:p>
    <w:p>
      <w:pPr>
        <w:rPr>
          <w:rFonts w:asciiTheme="minorEastAsia" w:hAnsiTheme="minorEastAsia" w:eastAsiaTheme="minorEastAsia"/>
          <w:sz w:val="24"/>
        </w:rPr>
      </w:pPr>
      <w:r>
        <w:rPr>
          <w:rFonts w:hint="eastAsia" w:asciiTheme="minorEastAsia" w:hAnsiTheme="minorEastAsia" w:eastAsiaTheme="minorEastAsia"/>
          <w:sz w:val="24"/>
        </w:rPr>
        <w:t>投标人法定代表人（负责人）或其授权代表签字：</w:t>
      </w:r>
      <w:r>
        <w:rPr>
          <w:rFonts w:hint="eastAsia" w:asciiTheme="minorEastAsia" w:hAnsiTheme="minorEastAsia" w:eastAsiaTheme="minorEastAsia"/>
          <w:sz w:val="24"/>
          <w:u w:val="single"/>
        </w:rPr>
        <w:t xml:space="preserve">                 </w:t>
      </w:r>
    </w:p>
    <w:p>
      <w:pPr>
        <w:jc w:val="center"/>
        <w:rPr>
          <w:rFonts w:ascii="宋体" w:hAnsi="宋体"/>
          <w:sz w:val="24"/>
        </w:rPr>
      </w:pPr>
      <w:r>
        <w:rPr>
          <w:rFonts w:ascii="宋体" w:hAnsi="宋体"/>
          <w:sz w:val="24"/>
        </w:rPr>
        <w:br w:type="page"/>
      </w:r>
      <w:r>
        <w:rPr>
          <w:rFonts w:hint="eastAsia" w:ascii="宋体" w:hAnsi="宋体"/>
          <w:sz w:val="24"/>
        </w:rPr>
        <w:t>（三）残疾人福利性单位报价说明表格式（如有）</w:t>
      </w:r>
    </w:p>
    <w:p>
      <w:pPr>
        <w:jc w:val="center"/>
        <w:rPr>
          <w:rFonts w:ascii="宋体" w:hAnsi="宋体"/>
          <w:sz w:val="24"/>
        </w:rPr>
      </w:pPr>
    </w:p>
    <w:p>
      <w:pPr>
        <w:jc w:val="center"/>
        <w:rPr>
          <w:rFonts w:ascii="宋体" w:hAnsi="宋体"/>
          <w:b/>
          <w:sz w:val="24"/>
        </w:rPr>
      </w:pPr>
      <w:r>
        <w:rPr>
          <w:rFonts w:hint="eastAsia" w:ascii="宋体" w:hAnsi="宋体"/>
          <w:b/>
          <w:sz w:val="24"/>
        </w:rPr>
        <w:t>残疾人福利性单位产品报价说明表</w:t>
      </w:r>
    </w:p>
    <w:tbl>
      <w:tblPr>
        <w:tblStyle w:val="20"/>
        <w:tblW w:w="8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76"/>
        <w:gridCol w:w="1417"/>
        <w:gridCol w:w="850"/>
        <w:gridCol w:w="819"/>
        <w:gridCol w:w="851"/>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46" w:type="dxa"/>
            <w:vMerge w:val="restar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1276" w:type="dxa"/>
            <w:vMerge w:val="restart"/>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名称</w:t>
            </w:r>
          </w:p>
        </w:tc>
        <w:tc>
          <w:tcPr>
            <w:tcW w:w="1417" w:type="dxa"/>
            <w:vMerge w:val="restart"/>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基本内容</w:t>
            </w:r>
          </w:p>
        </w:tc>
        <w:tc>
          <w:tcPr>
            <w:tcW w:w="850" w:type="dxa"/>
            <w:vMerge w:val="restart"/>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数量</w:t>
            </w:r>
          </w:p>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单位</w:t>
            </w:r>
          </w:p>
        </w:tc>
        <w:tc>
          <w:tcPr>
            <w:tcW w:w="819" w:type="dxa"/>
            <w:vMerge w:val="restart"/>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数量</w:t>
            </w:r>
          </w:p>
        </w:tc>
        <w:tc>
          <w:tcPr>
            <w:tcW w:w="851" w:type="dxa"/>
            <w:vMerge w:val="restart"/>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单价</w:t>
            </w:r>
          </w:p>
        </w:tc>
        <w:tc>
          <w:tcPr>
            <w:tcW w:w="2174"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残疾人福利性单位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46" w:type="dxa"/>
            <w:vMerge w:val="continue"/>
            <w:vAlign w:val="center"/>
          </w:tcPr>
          <w:p>
            <w:pPr>
              <w:jc w:val="center"/>
              <w:rPr>
                <w:rFonts w:asciiTheme="minorEastAsia" w:hAnsiTheme="minorEastAsia" w:eastAsiaTheme="minorEastAsia"/>
                <w:sz w:val="24"/>
              </w:rPr>
            </w:pPr>
          </w:p>
        </w:tc>
        <w:tc>
          <w:tcPr>
            <w:tcW w:w="1276" w:type="dxa"/>
            <w:vMerge w:val="continue"/>
            <w:vAlign w:val="center"/>
          </w:tcPr>
          <w:p>
            <w:pPr>
              <w:spacing w:line="360" w:lineRule="auto"/>
              <w:jc w:val="center"/>
              <w:rPr>
                <w:rFonts w:asciiTheme="minorEastAsia" w:hAnsiTheme="minorEastAsia" w:eastAsiaTheme="minorEastAsia"/>
                <w:sz w:val="24"/>
              </w:rPr>
            </w:pPr>
          </w:p>
        </w:tc>
        <w:tc>
          <w:tcPr>
            <w:tcW w:w="1417" w:type="dxa"/>
            <w:vMerge w:val="continue"/>
            <w:vAlign w:val="center"/>
          </w:tcPr>
          <w:p>
            <w:pPr>
              <w:spacing w:line="360" w:lineRule="auto"/>
              <w:jc w:val="center"/>
              <w:rPr>
                <w:rFonts w:asciiTheme="minorEastAsia" w:hAnsiTheme="minorEastAsia" w:eastAsiaTheme="minorEastAsia"/>
                <w:sz w:val="24"/>
              </w:rPr>
            </w:pPr>
          </w:p>
        </w:tc>
        <w:tc>
          <w:tcPr>
            <w:tcW w:w="850" w:type="dxa"/>
            <w:vMerge w:val="continue"/>
            <w:vAlign w:val="center"/>
          </w:tcPr>
          <w:p>
            <w:pPr>
              <w:spacing w:line="360" w:lineRule="auto"/>
              <w:jc w:val="center"/>
              <w:rPr>
                <w:rFonts w:asciiTheme="minorEastAsia" w:hAnsiTheme="minorEastAsia" w:eastAsiaTheme="minorEastAsia"/>
                <w:sz w:val="24"/>
              </w:rPr>
            </w:pPr>
          </w:p>
        </w:tc>
        <w:tc>
          <w:tcPr>
            <w:tcW w:w="819" w:type="dxa"/>
            <w:vMerge w:val="continue"/>
            <w:vAlign w:val="center"/>
          </w:tcPr>
          <w:p>
            <w:pPr>
              <w:spacing w:line="360" w:lineRule="auto"/>
              <w:jc w:val="center"/>
              <w:rPr>
                <w:rFonts w:asciiTheme="minorEastAsia" w:hAnsiTheme="minorEastAsia" w:eastAsiaTheme="minorEastAsia"/>
                <w:sz w:val="24"/>
              </w:rPr>
            </w:pPr>
          </w:p>
        </w:tc>
        <w:tc>
          <w:tcPr>
            <w:tcW w:w="851" w:type="dxa"/>
            <w:vMerge w:val="continue"/>
            <w:vAlign w:val="center"/>
          </w:tcPr>
          <w:p>
            <w:pPr>
              <w:spacing w:line="360" w:lineRule="auto"/>
              <w:jc w:val="center"/>
              <w:rPr>
                <w:rFonts w:asciiTheme="minorEastAsia" w:hAnsiTheme="minorEastAsia" w:eastAsiaTheme="minorEastAsia"/>
                <w:sz w:val="24"/>
              </w:rPr>
            </w:pPr>
          </w:p>
        </w:tc>
        <w:tc>
          <w:tcPr>
            <w:tcW w:w="2174"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46"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276" w:type="dxa"/>
          </w:tcPr>
          <w:p>
            <w:pPr>
              <w:rPr>
                <w:rFonts w:asciiTheme="minorEastAsia" w:hAnsiTheme="minorEastAsia" w:eastAsiaTheme="minorEastAsia"/>
                <w:sz w:val="24"/>
              </w:rPr>
            </w:pPr>
          </w:p>
        </w:tc>
        <w:tc>
          <w:tcPr>
            <w:tcW w:w="1417" w:type="dxa"/>
          </w:tcPr>
          <w:p>
            <w:pPr>
              <w:rPr>
                <w:rFonts w:asciiTheme="minorEastAsia" w:hAnsiTheme="minorEastAsia" w:eastAsiaTheme="minorEastAsia"/>
                <w:sz w:val="24"/>
              </w:rPr>
            </w:pPr>
          </w:p>
        </w:tc>
        <w:tc>
          <w:tcPr>
            <w:tcW w:w="850" w:type="dxa"/>
          </w:tcPr>
          <w:p>
            <w:pPr>
              <w:rPr>
                <w:rFonts w:asciiTheme="minorEastAsia" w:hAnsiTheme="minorEastAsia" w:eastAsiaTheme="minorEastAsia"/>
                <w:sz w:val="24"/>
              </w:rPr>
            </w:pPr>
          </w:p>
        </w:tc>
        <w:tc>
          <w:tcPr>
            <w:tcW w:w="819" w:type="dxa"/>
          </w:tcPr>
          <w:p>
            <w:pPr>
              <w:rPr>
                <w:rFonts w:asciiTheme="minorEastAsia" w:hAnsiTheme="minorEastAsia" w:eastAsiaTheme="minorEastAsia"/>
                <w:sz w:val="24"/>
              </w:rPr>
            </w:pPr>
          </w:p>
        </w:tc>
        <w:tc>
          <w:tcPr>
            <w:tcW w:w="851" w:type="dxa"/>
          </w:tcPr>
          <w:p>
            <w:pPr>
              <w:rPr>
                <w:rFonts w:asciiTheme="minorEastAsia" w:hAnsiTheme="minorEastAsia" w:eastAsiaTheme="minorEastAsia"/>
                <w:sz w:val="24"/>
              </w:rPr>
            </w:pPr>
          </w:p>
        </w:tc>
        <w:tc>
          <w:tcPr>
            <w:tcW w:w="2174" w:type="dxa"/>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46"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276" w:type="dxa"/>
          </w:tcPr>
          <w:p>
            <w:pPr>
              <w:rPr>
                <w:rFonts w:asciiTheme="minorEastAsia" w:hAnsiTheme="minorEastAsia" w:eastAsiaTheme="minorEastAsia"/>
                <w:sz w:val="24"/>
              </w:rPr>
            </w:pPr>
          </w:p>
        </w:tc>
        <w:tc>
          <w:tcPr>
            <w:tcW w:w="1417" w:type="dxa"/>
          </w:tcPr>
          <w:p>
            <w:pPr>
              <w:rPr>
                <w:rFonts w:asciiTheme="minorEastAsia" w:hAnsiTheme="minorEastAsia" w:eastAsiaTheme="minorEastAsia"/>
                <w:sz w:val="24"/>
              </w:rPr>
            </w:pPr>
          </w:p>
        </w:tc>
        <w:tc>
          <w:tcPr>
            <w:tcW w:w="850" w:type="dxa"/>
          </w:tcPr>
          <w:p>
            <w:pPr>
              <w:rPr>
                <w:rFonts w:asciiTheme="minorEastAsia" w:hAnsiTheme="minorEastAsia" w:eastAsiaTheme="minorEastAsia"/>
                <w:sz w:val="24"/>
              </w:rPr>
            </w:pPr>
          </w:p>
        </w:tc>
        <w:tc>
          <w:tcPr>
            <w:tcW w:w="819" w:type="dxa"/>
          </w:tcPr>
          <w:p>
            <w:pPr>
              <w:rPr>
                <w:rFonts w:asciiTheme="minorEastAsia" w:hAnsiTheme="minorEastAsia" w:eastAsiaTheme="minorEastAsia"/>
                <w:sz w:val="24"/>
              </w:rPr>
            </w:pPr>
          </w:p>
        </w:tc>
        <w:tc>
          <w:tcPr>
            <w:tcW w:w="851" w:type="dxa"/>
          </w:tcPr>
          <w:p>
            <w:pPr>
              <w:rPr>
                <w:rFonts w:asciiTheme="minorEastAsia" w:hAnsiTheme="minorEastAsia" w:eastAsiaTheme="minorEastAsia"/>
                <w:sz w:val="24"/>
              </w:rPr>
            </w:pPr>
          </w:p>
        </w:tc>
        <w:tc>
          <w:tcPr>
            <w:tcW w:w="2174" w:type="dxa"/>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46"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276" w:type="dxa"/>
          </w:tcPr>
          <w:p>
            <w:pPr>
              <w:rPr>
                <w:rFonts w:asciiTheme="minorEastAsia" w:hAnsiTheme="minorEastAsia" w:eastAsiaTheme="minorEastAsia"/>
                <w:sz w:val="24"/>
              </w:rPr>
            </w:pPr>
          </w:p>
        </w:tc>
        <w:tc>
          <w:tcPr>
            <w:tcW w:w="1417" w:type="dxa"/>
          </w:tcPr>
          <w:p>
            <w:pPr>
              <w:rPr>
                <w:rFonts w:asciiTheme="minorEastAsia" w:hAnsiTheme="minorEastAsia" w:eastAsiaTheme="minorEastAsia"/>
                <w:sz w:val="24"/>
              </w:rPr>
            </w:pPr>
          </w:p>
        </w:tc>
        <w:tc>
          <w:tcPr>
            <w:tcW w:w="850" w:type="dxa"/>
          </w:tcPr>
          <w:p>
            <w:pPr>
              <w:rPr>
                <w:rFonts w:asciiTheme="minorEastAsia" w:hAnsiTheme="minorEastAsia" w:eastAsiaTheme="minorEastAsia"/>
                <w:sz w:val="24"/>
              </w:rPr>
            </w:pPr>
          </w:p>
        </w:tc>
        <w:tc>
          <w:tcPr>
            <w:tcW w:w="819" w:type="dxa"/>
          </w:tcPr>
          <w:p>
            <w:pPr>
              <w:rPr>
                <w:rFonts w:asciiTheme="minorEastAsia" w:hAnsiTheme="minorEastAsia" w:eastAsiaTheme="minorEastAsia"/>
                <w:sz w:val="24"/>
              </w:rPr>
            </w:pPr>
          </w:p>
        </w:tc>
        <w:tc>
          <w:tcPr>
            <w:tcW w:w="851" w:type="dxa"/>
          </w:tcPr>
          <w:p>
            <w:pPr>
              <w:rPr>
                <w:rFonts w:asciiTheme="minorEastAsia" w:hAnsiTheme="minorEastAsia" w:eastAsiaTheme="minorEastAsia"/>
                <w:sz w:val="24"/>
              </w:rPr>
            </w:pPr>
          </w:p>
        </w:tc>
        <w:tc>
          <w:tcPr>
            <w:tcW w:w="2174" w:type="dxa"/>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46" w:type="dxa"/>
            <w:vAlign w:val="center"/>
          </w:tcPr>
          <w:p>
            <w:pPr>
              <w:spacing w:line="360" w:lineRule="auto"/>
              <w:jc w:val="center"/>
              <w:rPr>
                <w:rFonts w:asciiTheme="minorEastAsia" w:hAnsiTheme="minorEastAsia" w:eastAsiaTheme="minorEastAsia"/>
                <w:sz w:val="24"/>
              </w:rPr>
            </w:pPr>
            <w:r>
              <w:rPr>
                <w:rFonts w:asciiTheme="minorEastAsia" w:hAnsiTheme="minorEastAsia" w:eastAsiaTheme="minorEastAsia"/>
                <w:sz w:val="24"/>
              </w:rPr>
              <w:t>…</w:t>
            </w:r>
          </w:p>
        </w:tc>
        <w:tc>
          <w:tcPr>
            <w:tcW w:w="1276" w:type="dxa"/>
          </w:tcPr>
          <w:p>
            <w:pPr>
              <w:rPr>
                <w:rFonts w:asciiTheme="minorEastAsia" w:hAnsiTheme="minorEastAsia" w:eastAsiaTheme="minorEastAsia"/>
                <w:sz w:val="24"/>
              </w:rPr>
            </w:pPr>
          </w:p>
        </w:tc>
        <w:tc>
          <w:tcPr>
            <w:tcW w:w="1417" w:type="dxa"/>
          </w:tcPr>
          <w:p>
            <w:pPr>
              <w:rPr>
                <w:rFonts w:asciiTheme="minorEastAsia" w:hAnsiTheme="minorEastAsia" w:eastAsiaTheme="minorEastAsia"/>
                <w:sz w:val="24"/>
              </w:rPr>
            </w:pPr>
          </w:p>
        </w:tc>
        <w:tc>
          <w:tcPr>
            <w:tcW w:w="850" w:type="dxa"/>
          </w:tcPr>
          <w:p>
            <w:pPr>
              <w:rPr>
                <w:rFonts w:asciiTheme="minorEastAsia" w:hAnsiTheme="minorEastAsia" w:eastAsiaTheme="minorEastAsia"/>
                <w:sz w:val="24"/>
              </w:rPr>
            </w:pPr>
          </w:p>
        </w:tc>
        <w:tc>
          <w:tcPr>
            <w:tcW w:w="819" w:type="dxa"/>
          </w:tcPr>
          <w:p>
            <w:pPr>
              <w:rPr>
                <w:rFonts w:asciiTheme="minorEastAsia" w:hAnsiTheme="minorEastAsia" w:eastAsiaTheme="minorEastAsia"/>
                <w:sz w:val="24"/>
              </w:rPr>
            </w:pPr>
          </w:p>
        </w:tc>
        <w:tc>
          <w:tcPr>
            <w:tcW w:w="851" w:type="dxa"/>
          </w:tcPr>
          <w:p>
            <w:pPr>
              <w:rPr>
                <w:rFonts w:asciiTheme="minorEastAsia" w:hAnsiTheme="minorEastAsia" w:eastAsiaTheme="minorEastAsia"/>
                <w:sz w:val="24"/>
              </w:rPr>
            </w:pPr>
          </w:p>
        </w:tc>
        <w:tc>
          <w:tcPr>
            <w:tcW w:w="2174" w:type="dxa"/>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46" w:type="dxa"/>
            <w:vAlign w:val="center"/>
          </w:tcPr>
          <w:p>
            <w:pPr>
              <w:jc w:val="center"/>
              <w:rPr>
                <w:rFonts w:asciiTheme="minorEastAsia" w:hAnsiTheme="minorEastAsia" w:eastAsiaTheme="minorEastAsia"/>
                <w:sz w:val="24"/>
              </w:rPr>
            </w:pPr>
          </w:p>
        </w:tc>
        <w:tc>
          <w:tcPr>
            <w:tcW w:w="1276" w:type="dxa"/>
          </w:tcPr>
          <w:p>
            <w:pPr>
              <w:rPr>
                <w:rFonts w:asciiTheme="minorEastAsia" w:hAnsiTheme="minorEastAsia" w:eastAsiaTheme="minorEastAsia"/>
                <w:sz w:val="24"/>
              </w:rPr>
            </w:pPr>
          </w:p>
        </w:tc>
        <w:tc>
          <w:tcPr>
            <w:tcW w:w="1417" w:type="dxa"/>
          </w:tcPr>
          <w:p>
            <w:pPr>
              <w:rPr>
                <w:rFonts w:asciiTheme="minorEastAsia" w:hAnsiTheme="minorEastAsia" w:eastAsiaTheme="minorEastAsia"/>
                <w:sz w:val="24"/>
              </w:rPr>
            </w:pPr>
          </w:p>
        </w:tc>
        <w:tc>
          <w:tcPr>
            <w:tcW w:w="850" w:type="dxa"/>
          </w:tcPr>
          <w:p>
            <w:pPr>
              <w:rPr>
                <w:rFonts w:asciiTheme="minorEastAsia" w:hAnsiTheme="minorEastAsia" w:eastAsiaTheme="minorEastAsia"/>
                <w:sz w:val="24"/>
              </w:rPr>
            </w:pPr>
          </w:p>
        </w:tc>
        <w:tc>
          <w:tcPr>
            <w:tcW w:w="819" w:type="dxa"/>
          </w:tcPr>
          <w:p>
            <w:pPr>
              <w:rPr>
                <w:rFonts w:asciiTheme="minorEastAsia" w:hAnsiTheme="minorEastAsia" w:eastAsiaTheme="minorEastAsia"/>
                <w:sz w:val="24"/>
              </w:rPr>
            </w:pPr>
          </w:p>
        </w:tc>
        <w:tc>
          <w:tcPr>
            <w:tcW w:w="851" w:type="dxa"/>
          </w:tcPr>
          <w:p>
            <w:pPr>
              <w:rPr>
                <w:rFonts w:asciiTheme="minorEastAsia" w:hAnsiTheme="minorEastAsia" w:eastAsiaTheme="minorEastAsia"/>
                <w:sz w:val="24"/>
              </w:rPr>
            </w:pPr>
          </w:p>
        </w:tc>
        <w:tc>
          <w:tcPr>
            <w:tcW w:w="2174" w:type="dxa"/>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46" w:type="dxa"/>
            <w:vAlign w:val="center"/>
          </w:tcPr>
          <w:p>
            <w:pPr>
              <w:jc w:val="center"/>
              <w:rPr>
                <w:rFonts w:asciiTheme="minorEastAsia" w:hAnsiTheme="minorEastAsia" w:eastAsiaTheme="minorEastAsia"/>
                <w:sz w:val="24"/>
              </w:rPr>
            </w:pPr>
          </w:p>
        </w:tc>
        <w:tc>
          <w:tcPr>
            <w:tcW w:w="1276" w:type="dxa"/>
          </w:tcPr>
          <w:p>
            <w:pPr>
              <w:rPr>
                <w:rFonts w:asciiTheme="minorEastAsia" w:hAnsiTheme="minorEastAsia" w:eastAsiaTheme="minorEastAsia"/>
                <w:sz w:val="24"/>
              </w:rPr>
            </w:pPr>
          </w:p>
        </w:tc>
        <w:tc>
          <w:tcPr>
            <w:tcW w:w="1417" w:type="dxa"/>
          </w:tcPr>
          <w:p>
            <w:pPr>
              <w:rPr>
                <w:rFonts w:asciiTheme="minorEastAsia" w:hAnsiTheme="minorEastAsia" w:eastAsiaTheme="minorEastAsia"/>
                <w:sz w:val="24"/>
              </w:rPr>
            </w:pPr>
          </w:p>
        </w:tc>
        <w:tc>
          <w:tcPr>
            <w:tcW w:w="850" w:type="dxa"/>
          </w:tcPr>
          <w:p>
            <w:pPr>
              <w:rPr>
                <w:rFonts w:asciiTheme="minorEastAsia" w:hAnsiTheme="minorEastAsia" w:eastAsiaTheme="minorEastAsia"/>
                <w:sz w:val="24"/>
              </w:rPr>
            </w:pPr>
          </w:p>
        </w:tc>
        <w:tc>
          <w:tcPr>
            <w:tcW w:w="819" w:type="dxa"/>
          </w:tcPr>
          <w:p>
            <w:pPr>
              <w:rPr>
                <w:rFonts w:asciiTheme="minorEastAsia" w:hAnsiTheme="minorEastAsia" w:eastAsiaTheme="minorEastAsia"/>
                <w:sz w:val="24"/>
              </w:rPr>
            </w:pPr>
          </w:p>
        </w:tc>
        <w:tc>
          <w:tcPr>
            <w:tcW w:w="851" w:type="dxa"/>
          </w:tcPr>
          <w:p>
            <w:pPr>
              <w:rPr>
                <w:rFonts w:asciiTheme="minorEastAsia" w:hAnsiTheme="minorEastAsia" w:eastAsiaTheme="minorEastAsia"/>
                <w:sz w:val="24"/>
              </w:rPr>
            </w:pPr>
          </w:p>
        </w:tc>
        <w:tc>
          <w:tcPr>
            <w:tcW w:w="2174" w:type="dxa"/>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46" w:type="dxa"/>
            <w:vAlign w:val="center"/>
          </w:tcPr>
          <w:p>
            <w:pPr>
              <w:jc w:val="center"/>
              <w:rPr>
                <w:rFonts w:asciiTheme="minorEastAsia" w:hAnsiTheme="minorEastAsia" w:eastAsiaTheme="minorEastAsia"/>
                <w:sz w:val="24"/>
              </w:rPr>
            </w:pPr>
          </w:p>
        </w:tc>
        <w:tc>
          <w:tcPr>
            <w:tcW w:w="1276" w:type="dxa"/>
            <w:vAlign w:val="center"/>
          </w:tcPr>
          <w:p>
            <w:pPr>
              <w:spacing w:line="360" w:lineRule="auto"/>
              <w:jc w:val="center"/>
              <w:rPr>
                <w:rFonts w:asciiTheme="minorEastAsia" w:hAnsiTheme="minorEastAsia" w:eastAsiaTheme="minorEastAsia"/>
                <w:sz w:val="24"/>
              </w:rPr>
            </w:pPr>
          </w:p>
        </w:tc>
        <w:tc>
          <w:tcPr>
            <w:tcW w:w="1417" w:type="dxa"/>
          </w:tcPr>
          <w:p>
            <w:pPr>
              <w:rPr>
                <w:rFonts w:asciiTheme="minorEastAsia" w:hAnsiTheme="minorEastAsia" w:eastAsiaTheme="minorEastAsia"/>
                <w:sz w:val="24"/>
              </w:rPr>
            </w:pPr>
          </w:p>
        </w:tc>
        <w:tc>
          <w:tcPr>
            <w:tcW w:w="850" w:type="dxa"/>
          </w:tcPr>
          <w:p>
            <w:pPr>
              <w:rPr>
                <w:rFonts w:asciiTheme="minorEastAsia" w:hAnsiTheme="minorEastAsia" w:eastAsiaTheme="minorEastAsia"/>
                <w:sz w:val="24"/>
              </w:rPr>
            </w:pPr>
          </w:p>
        </w:tc>
        <w:tc>
          <w:tcPr>
            <w:tcW w:w="819" w:type="dxa"/>
          </w:tcPr>
          <w:p>
            <w:pPr>
              <w:rPr>
                <w:rFonts w:asciiTheme="minorEastAsia" w:hAnsiTheme="minorEastAsia" w:eastAsiaTheme="minorEastAsia"/>
                <w:sz w:val="24"/>
              </w:rPr>
            </w:pPr>
          </w:p>
        </w:tc>
        <w:tc>
          <w:tcPr>
            <w:tcW w:w="851" w:type="dxa"/>
          </w:tcPr>
          <w:p>
            <w:pPr>
              <w:rPr>
                <w:rFonts w:asciiTheme="minorEastAsia" w:hAnsiTheme="minorEastAsia" w:eastAsiaTheme="minorEastAsia"/>
                <w:sz w:val="24"/>
              </w:rPr>
            </w:pPr>
          </w:p>
        </w:tc>
        <w:tc>
          <w:tcPr>
            <w:tcW w:w="2174" w:type="dxa"/>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233" w:type="dxa"/>
            <w:gridSpan w:val="7"/>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总计</w:t>
            </w:r>
          </w:p>
        </w:tc>
      </w:tr>
    </w:tbl>
    <w:p>
      <w:pPr>
        <w:jc w:val="center"/>
        <w:rPr>
          <w:rFonts w:ascii="宋体" w:hAnsi="宋体"/>
          <w:b/>
          <w:sz w:val="24"/>
        </w:rPr>
      </w:pPr>
    </w:p>
    <w:p>
      <w:pPr>
        <w:rPr>
          <w:rFonts w:asciiTheme="minorEastAsia" w:hAnsiTheme="minorEastAsia" w:eastAsiaTheme="minorEastAsia"/>
          <w:sz w:val="24"/>
        </w:rPr>
      </w:pPr>
      <w:r>
        <w:rPr>
          <w:rFonts w:hint="eastAsia" w:asciiTheme="minorEastAsia" w:hAnsiTheme="minorEastAsia" w:eastAsiaTheme="minorEastAsia"/>
          <w:sz w:val="24"/>
        </w:rPr>
        <w:t>说明：</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1、本表仅为非联合体投标人填报；</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2、本表用于对残疾人福利性单位产品报价给予一定比例扣除（详见投标人须知）；</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3、填入本表的残疾人福利性单位须提供“残疾人福利性单位声明函”；</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4、未填报本表或未提供“残疾人福利性单位声明函”的，评标时不对残疾人福利性单位产品报价给予一定比例扣除。</w:t>
      </w: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r>
        <w:rPr>
          <w:rFonts w:hint="eastAsia" w:asciiTheme="minorEastAsia" w:hAnsiTheme="minorEastAsia" w:eastAsiaTheme="minorEastAsia"/>
          <w:sz w:val="24"/>
        </w:rPr>
        <w:t>投标人名称：</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 </w:t>
      </w:r>
    </w:p>
    <w:p>
      <w:pPr>
        <w:rPr>
          <w:rFonts w:asciiTheme="minorEastAsia" w:hAnsiTheme="minorEastAsia" w:eastAsiaTheme="minorEastAsia"/>
          <w:sz w:val="24"/>
        </w:rPr>
      </w:pPr>
      <w:r>
        <w:rPr>
          <w:rFonts w:hint="eastAsia" w:asciiTheme="minorEastAsia" w:hAnsiTheme="minorEastAsia" w:eastAsiaTheme="minorEastAsia"/>
          <w:sz w:val="24"/>
        </w:rPr>
        <w:t>投标人公章：</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 </w:t>
      </w:r>
    </w:p>
    <w:p>
      <w:pPr>
        <w:widowControl/>
        <w:jc w:val="left"/>
        <w:rPr>
          <w:rFonts w:asciiTheme="minorEastAsia" w:hAnsiTheme="minorEastAsia" w:eastAsiaTheme="minorEastAsia"/>
          <w:sz w:val="24"/>
          <w:u w:val="single"/>
        </w:rPr>
      </w:pPr>
      <w:r>
        <w:rPr>
          <w:rFonts w:hint="eastAsia" w:asciiTheme="minorEastAsia" w:hAnsiTheme="minorEastAsia" w:eastAsiaTheme="minorEastAsia"/>
          <w:sz w:val="24"/>
        </w:rPr>
        <w:t>投标人法定代表人（负责人）或其授权代表签字：</w:t>
      </w:r>
      <w:r>
        <w:rPr>
          <w:rFonts w:hint="eastAsia" w:asciiTheme="minorEastAsia" w:hAnsiTheme="minorEastAsia" w:eastAsiaTheme="minorEastAsia"/>
          <w:sz w:val="24"/>
          <w:u w:val="single"/>
        </w:rPr>
        <w:t xml:space="preserve">            </w:t>
      </w:r>
    </w:p>
    <w:p>
      <w:pPr>
        <w:snapToGrid w:val="0"/>
        <w:spacing w:line="360" w:lineRule="auto"/>
        <w:jc w:val="center"/>
        <w:rPr>
          <w:rFonts w:ascii="宋体" w:hAnsi="宋体"/>
          <w:sz w:val="36"/>
          <w:szCs w:val="36"/>
        </w:rPr>
      </w:pPr>
    </w:p>
    <w:p>
      <w:pPr>
        <w:snapToGrid w:val="0"/>
        <w:spacing w:line="360" w:lineRule="auto"/>
        <w:jc w:val="center"/>
        <w:rPr>
          <w:rFonts w:ascii="宋体" w:hAnsi="宋体"/>
          <w:sz w:val="36"/>
          <w:szCs w:val="36"/>
        </w:rPr>
      </w:pPr>
    </w:p>
    <w:p>
      <w:pPr>
        <w:snapToGrid w:val="0"/>
        <w:spacing w:line="360" w:lineRule="auto"/>
        <w:jc w:val="center"/>
        <w:rPr>
          <w:rFonts w:ascii="宋体" w:hAnsi="宋体"/>
          <w:b/>
          <w:szCs w:val="21"/>
        </w:rPr>
      </w:pPr>
      <w:r>
        <w:rPr>
          <w:rFonts w:ascii="宋体" w:hAnsi="宋体"/>
          <w:sz w:val="36"/>
          <w:szCs w:val="36"/>
        </w:rPr>
        <w:br w:type="page"/>
      </w:r>
      <w:r>
        <w:rPr>
          <w:rFonts w:hint="eastAsia" w:ascii="宋体" w:hAnsi="宋体"/>
          <w:b/>
          <w:sz w:val="36"/>
          <w:szCs w:val="36"/>
        </w:rPr>
        <w:t>三、</w:t>
      </w:r>
      <w:r>
        <w:rPr>
          <w:rFonts w:hint="eastAsia" w:ascii="宋体" w:hAnsi="宋体" w:cs="宋体"/>
          <w:b/>
          <w:kern w:val="0"/>
          <w:sz w:val="36"/>
          <w:szCs w:val="36"/>
        </w:rPr>
        <w:t>技术和商务条款偏离表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1875"/>
        <w:gridCol w:w="2230"/>
        <w:gridCol w:w="1713"/>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jc w:val="center"/>
        </w:trPr>
        <w:tc>
          <w:tcPr>
            <w:tcW w:w="480"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序</w:t>
            </w:r>
          </w:p>
          <w:p>
            <w:pPr>
              <w:jc w:val="center"/>
              <w:rPr>
                <w:sz w:val="24"/>
              </w:rPr>
            </w:pPr>
            <w:r>
              <w:rPr>
                <w:rFonts w:hint="eastAsia"/>
                <w:sz w:val="24"/>
              </w:rPr>
              <w:t>号</w:t>
            </w:r>
          </w:p>
        </w:tc>
        <w:tc>
          <w:tcPr>
            <w:tcW w:w="1100"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项目名称</w:t>
            </w:r>
          </w:p>
        </w:tc>
        <w:tc>
          <w:tcPr>
            <w:tcW w:w="1308"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招标文件要求</w:t>
            </w:r>
          </w:p>
        </w:tc>
        <w:tc>
          <w:tcPr>
            <w:tcW w:w="1005"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投标文件响应</w:t>
            </w:r>
          </w:p>
        </w:tc>
        <w:tc>
          <w:tcPr>
            <w:tcW w:w="1107"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480"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0" w:firstLineChars="100"/>
              <w:rPr>
                <w:rFonts w:ascii="宋体" w:hAnsi="宋体" w:cs="宋体"/>
                <w:kern w:val="0"/>
                <w:sz w:val="24"/>
              </w:rPr>
            </w:pPr>
            <w:r>
              <w:rPr>
                <w:rFonts w:hint="eastAsia" w:ascii="宋体" w:hAnsi="宋体" w:cs="宋体"/>
                <w:kern w:val="0"/>
                <w:sz w:val="24"/>
              </w:rPr>
              <w:t>1</w:t>
            </w:r>
          </w:p>
        </w:tc>
        <w:tc>
          <w:tcPr>
            <w:tcW w:w="1100" w:type="pct"/>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s="宋体"/>
                <w:kern w:val="0"/>
                <w:sz w:val="24"/>
              </w:rPr>
            </w:pPr>
          </w:p>
        </w:tc>
        <w:tc>
          <w:tcPr>
            <w:tcW w:w="1308" w:type="pct"/>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s="宋体"/>
                <w:kern w:val="0"/>
                <w:sz w:val="24"/>
              </w:rPr>
            </w:pPr>
          </w:p>
        </w:tc>
        <w:tc>
          <w:tcPr>
            <w:tcW w:w="1005" w:type="pct"/>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s="宋体"/>
                <w:kern w:val="0"/>
                <w:sz w:val="24"/>
              </w:rPr>
            </w:pPr>
          </w:p>
        </w:tc>
        <w:tc>
          <w:tcPr>
            <w:tcW w:w="1107" w:type="pct"/>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480"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0" w:firstLineChars="100"/>
              <w:rPr>
                <w:rFonts w:ascii="宋体" w:hAnsi="宋体" w:cs="宋体"/>
                <w:kern w:val="0"/>
                <w:sz w:val="24"/>
              </w:rPr>
            </w:pPr>
            <w:r>
              <w:rPr>
                <w:rFonts w:hint="eastAsia" w:ascii="宋体" w:hAnsi="宋体" w:cs="宋体"/>
                <w:kern w:val="0"/>
                <w:sz w:val="24"/>
              </w:rPr>
              <w:t>2</w:t>
            </w:r>
          </w:p>
        </w:tc>
        <w:tc>
          <w:tcPr>
            <w:tcW w:w="1100" w:type="pct"/>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s="宋体"/>
                <w:kern w:val="0"/>
                <w:sz w:val="24"/>
              </w:rPr>
            </w:pPr>
          </w:p>
        </w:tc>
        <w:tc>
          <w:tcPr>
            <w:tcW w:w="1308" w:type="pct"/>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s="宋体"/>
                <w:kern w:val="0"/>
                <w:sz w:val="24"/>
              </w:rPr>
            </w:pPr>
          </w:p>
        </w:tc>
        <w:tc>
          <w:tcPr>
            <w:tcW w:w="1005" w:type="pct"/>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s="宋体"/>
                <w:kern w:val="0"/>
                <w:sz w:val="24"/>
              </w:rPr>
            </w:pPr>
          </w:p>
        </w:tc>
        <w:tc>
          <w:tcPr>
            <w:tcW w:w="1107" w:type="pct"/>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480"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0" w:firstLineChars="100"/>
              <w:rPr>
                <w:rFonts w:ascii="宋体" w:hAnsi="宋体" w:cs="宋体"/>
                <w:kern w:val="0"/>
                <w:sz w:val="24"/>
              </w:rPr>
            </w:pPr>
            <w:r>
              <w:rPr>
                <w:rFonts w:hint="eastAsia" w:ascii="宋体" w:hAnsi="宋体" w:cs="宋体"/>
                <w:kern w:val="0"/>
                <w:sz w:val="24"/>
              </w:rPr>
              <w:t>3</w:t>
            </w:r>
          </w:p>
        </w:tc>
        <w:tc>
          <w:tcPr>
            <w:tcW w:w="1100" w:type="pct"/>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s="宋体"/>
                <w:kern w:val="0"/>
                <w:sz w:val="24"/>
              </w:rPr>
            </w:pPr>
          </w:p>
        </w:tc>
        <w:tc>
          <w:tcPr>
            <w:tcW w:w="1308" w:type="pct"/>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s="宋体"/>
                <w:kern w:val="0"/>
                <w:sz w:val="24"/>
              </w:rPr>
            </w:pPr>
          </w:p>
        </w:tc>
        <w:tc>
          <w:tcPr>
            <w:tcW w:w="1005" w:type="pct"/>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s="宋体"/>
                <w:kern w:val="0"/>
                <w:sz w:val="24"/>
              </w:rPr>
            </w:pPr>
          </w:p>
        </w:tc>
        <w:tc>
          <w:tcPr>
            <w:tcW w:w="1107" w:type="pct"/>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480"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0" w:firstLineChars="100"/>
              <w:rPr>
                <w:rFonts w:ascii="宋体" w:hAnsi="宋体" w:cs="宋体"/>
                <w:kern w:val="0"/>
                <w:sz w:val="24"/>
              </w:rPr>
            </w:pPr>
            <w:r>
              <w:rPr>
                <w:rFonts w:hint="eastAsia" w:ascii="宋体" w:hAnsi="宋体" w:cs="宋体"/>
                <w:kern w:val="0"/>
                <w:sz w:val="24"/>
              </w:rPr>
              <w:t>4</w:t>
            </w:r>
          </w:p>
        </w:tc>
        <w:tc>
          <w:tcPr>
            <w:tcW w:w="1100" w:type="pct"/>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s="宋体"/>
                <w:kern w:val="0"/>
                <w:sz w:val="24"/>
              </w:rPr>
            </w:pPr>
          </w:p>
        </w:tc>
        <w:tc>
          <w:tcPr>
            <w:tcW w:w="1308" w:type="pct"/>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s="宋体"/>
                <w:kern w:val="0"/>
                <w:sz w:val="24"/>
              </w:rPr>
            </w:pPr>
          </w:p>
        </w:tc>
        <w:tc>
          <w:tcPr>
            <w:tcW w:w="1005" w:type="pct"/>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s="宋体"/>
                <w:kern w:val="0"/>
                <w:sz w:val="24"/>
              </w:rPr>
            </w:pPr>
          </w:p>
        </w:tc>
        <w:tc>
          <w:tcPr>
            <w:tcW w:w="1107" w:type="pct"/>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480"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rPr>
            </w:pPr>
            <w:r>
              <w:rPr>
                <w:rFonts w:ascii="宋体" w:hAnsi="宋体" w:cs="宋体"/>
                <w:kern w:val="0"/>
                <w:sz w:val="24"/>
              </w:rPr>
              <w:t>…</w:t>
            </w:r>
          </w:p>
        </w:tc>
        <w:tc>
          <w:tcPr>
            <w:tcW w:w="1100" w:type="pct"/>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s="宋体"/>
                <w:kern w:val="0"/>
                <w:sz w:val="24"/>
              </w:rPr>
            </w:pPr>
          </w:p>
        </w:tc>
        <w:tc>
          <w:tcPr>
            <w:tcW w:w="1308" w:type="pct"/>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s="宋体"/>
                <w:kern w:val="0"/>
                <w:sz w:val="24"/>
              </w:rPr>
            </w:pPr>
          </w:p>
        </w:tc>
        <w:tc>
          <w:tcPr>
            <w:tcW w:w="1005" w:type="pct"/>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s="宋体"/>
                <w:kern w:val="0"/>
                <w:sz w:val="24"/>
              </w:rPr>
            </w:pPr>
          </w:p>
        </w:tc>
        <w:tc>
          <w:tcPr>
            <w:tcW w:w="1107" w:type="pct"/>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s="宋体"/>
                <w:kern w:val="0"/>
                <w:sz w:val="24"/>
              </w:rPr>
            </w:pPr>
          </w:p>
        </w:tc>
      </w:tr>
    </w:tbl>
    <w:p>
      <w:pPr>
        <w:spacing w:line="360" w:lineRule="auto"/>
        <w:ind w:firstLine="240" w:firstLineChars="100"/>
        <w:rPr>
          <w:rFonts w:ascii="宋体" w:hAnsi="宋体"/>
          <w:sz w:val="24"/>
        </w:rPr>
      </w:pPr>
    </w:p>
    <w:p>
      <w:pPr>
        <w:spacing w:line="360" w:lineRule="auto"/>
        <w:ind w:firstLine="240" w:firstLineChars="100"/>
        <w:rPr>
          <w:rFonts w:ascii="宋体" w:hAnsi="宋体"/>
          <w:sz w:val="24"/>
          <w:u w:val="single"/>
        </w:rPr>
      </w:pPr>
      <w:r>
        <w:rPr>
          <w:rFonts w:hint="eastAsia" w:ascii="宋体" w:hAnsi="宋体"/>
          <w:sz w:val="24"/>
        </w:rPr>
        <w:t xml:space="preserve">投标人法定代表人（负责人）或被授权人签字： </w:t>
      </w:r>
      <w:r>
        <w:rPr>
          <w:rFonts w:hint="eastAsia" w:ascii="宋体" w:hAnsi="宋体"/>
          <w:sz w:val="24"/>
          <w:u w:val="single"/>
        </w:rPr>
        <w:t xml:space="preserve">                   </w:t>
      </w: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注：（1）“招标文件要求”填写技术部分在招标文件第三章《项目需求及技术要求》中有明确规定；商务部分填写内容为</w:t>
      </w:r>
      <w:r>
        <w:rPr>
          <w:rFonts w:hint="eastAsia" w:ascii="宋体" w:hAnsi="宋体"/>
          <w:b/>
          <w:bCs/>
          <w:sz w:val="24"/>
        </w:rPr>
        <w:t>服务期限、服务地点、付款方式</w:t>
      </w:r>
      <w:r>
        <w:rPr>
          <w:rFonts w:hint="eastAsia" w:ascii="宋体" w:hAnsi="宋体"/>
          <w:sz w:val="24"/>
        </w:rPr>
        <w:t>（至少含以上三项）等。</w:t>
      </w:r>
    </w:p>
    <w:p>
      <w:pPr>
        <w:snapToGrid w:val="0"/>
        <w:spacing w:line="360" w:lineRule="auto"/>
        <w:ind w:firstLine="480" w:firstLineChars="200"/>
        <w:rPr>
          <w:rFonts w:ascii="宋体" w:hAnsi="宋体"/>
          <w:sz w:val="24"/>
        </w:rPr>
      </w:pPr>
      <w:r>
        <w:rPr>
          <w:rFonts w:hint="eastAsia" w:ascii="宋体" w:hAnsi="宋体"/>
          <w:sz w:val="24"/>
        </w:rPr>
        <w:t>（2）“偏离说明”一栏根据“投标文件响应内容”与招标文件逐项对照的结果填写。偏离必须用 “正偏离、负偏离或无偏离”三个名称中的一种进行标注。如投标人有其他说明，可以在技术条款偏离表后作出文字说明。</w:t>
      </w:r>
    </w:p>
    <w:p>
      <w:pPr>
        <w:snapToGrid w:val="0"/>
        <w:spacing w:line="360" w:lineRule="auto"/>
        <w:ind w:firstLine="480" w:firstLineChars="200"/>
        <w:rPr>
          <w:rFonts w:ascii="宋体" w:hAnsi="宋体"/>
          <w:sz w:val="24"/>
        </w:rPr>
      </w:pPr>
      <w:r>
        <w:rPr>
          <w:rFonts w:hint="eastAsia" w:ascii="宋体" w:hAnsi="宋体"/>
          <w:sz w:val="24"/>
        </w:rPr>
        <w:t>（3）本表中填写的内容应与实际投标提供的服务一致，存在虚假行为的，投标人应依法承担有关法律责任。</w:t>
      </w:r>
    </w:p>
    <w:p>
      <w:pPr>
        <w:snapToGrid w:val="0"/>
        <w:spacing w:line="360" w:lineRule="auto"/>
        <w:ind w:firstLine="482" w:firstLineChars="200"/>
        <w:rPr>
          <w:rFonts w:ascii="宋体" w:hAnsi="宋体"/>
          <w:b/>
          <w:sz w:val="24"/>
        </w:rPr>
      </w:pPr>
      <w:r>
        <w:rPr>
          <w:rFonts w:hint="eastAsia" w:ascii="宋体" w:hAnsi="宋体"/>
          <w:b/>
          <w:sz w:val="24"/>
        </w:rPr>
        <w:t>（4）应按规定签字，否则投标文件无效。</w:t>
      </w:r>
    </w:p>
    <w:p>
      <w:pPr>
        <w:snapToGrid w:val="0"/>
        <w:spacing w:line="360" w:lineRule="auto"/>
        <w:jc w:val="center"/>
        <w:rPr>
          <w:rFonts w:ascii="宋体" w:hAnsi="宋体"/>
          <w:b/>
          <w:sz w:val="36"/>
          <w:szCs w:val="36"/>
        </w:rPr>
      </w:pPr>
      <w:r>
        <w:rPr>
          <w:rFonts w:hint="eastAsia" w:ascii="宋体" w:hAnsi="宋体"/>
          <w:b/>
          <w:sz w:val="36"/>
          <w:szCs w:val="36"/>
        </w:rPr>
        <w:t>四、资格证明文件</w:t>
      </w:r>
    </w:p>
    <w:p>
      <w:pPr>
        <w:spacing w:line="360" w:lineRule="auto"/>
        <w:jc w:val="left"/>
        <w:rPr>
          <w:rFonts w:ascii="宋体" w:hAnsi="宋体"/>
          <w:sz w:val="24"/>
        </w:rPr>
      </w:pPr>
    </w:p>
    <w:p>
      <w:pPr>
        <w:spacing w:line="360" w:lineRule="auto"/>
        <w:jc w:val="left"/>
        <w:rPr>
          <w:rFonts w:ascii="宋体" w:hAnsi="宋体"/>
          <w:sz w:val="24"/>
        </w:rPr>
      </w:pPr>
      <w:r>
        <w:rPr>
          <w:rFonts w:hint="eastAsia" w:ascii="宋体" w:hAnsi="宋体"/>
          <w:sz w:val="24"/>
        </w:rPr>
        <w:t>（一）营业执照副本复印件；</w:t>
      </w:r>
    </w:p>
    <w:p>
      <w:pPr>
        <w:spacing w:line="360" w:lineRule="auto"/>
        <w:jc w:val="left"/>
        <w:rPr>
          <w:rFonts w:ascii="宋体" w:hAnsi="宋体"/>
          <w:sz w:val="24"/>
        </w:rPr>
      </w:pPr>
      <w:r>
        <w:rPr>
          <w:rFonts w:hint="eastAsia" w:ascii="宋体" w:hAnsi="宋体"/>
          <w:sz w:val="24"/>
        </w:rPr>
        <w:t>（二）</w:t>
      </w:r>
      <w:r>
        <w:rPr>
          <w:rFonts w:hint="eastAsia" w:ascii="宋体" w:hAnsi="宋体"/>
          <w:bCs/>
          <w:sz w:val="24"/>
          <w:szCs w:val="21"/>
        </w:rPr>
        <w:t>建设行政主管部门核发的工程勘察综合资质甲级或建设行政主管部门核发的工程勘察专业类岩土工程乙级资质及以上资质或建设行政主管部门核发的工程勘察专业类（岩土工程（分项））岩土工程勘察乙级资质及以上资质证书复印件</w:t>
      </w:r>
      <w:r>
        <w:rPr>
          <w:rFonts w:hint="eastAsia" w:ascii="宋体" w:hAnsi="宋体"/>
          <w:sz w:val="24"/>
        </w:rPr>
        <w:t>；</w:t>
      </w:r>
    </w:p>
    <w:p>
      <w:pPr>
        <w:pStyle w:val="2"/>
        <w:spacing w:line="360" w:lineRule="auto"/>
        <w:ind w:left="0" w:leftChars="0"/>
      </w:pPr>
      <w:r>
        <w:rPr>
          <w:rFonts w:hint="eastAsia" w:ascii="宋体" w:hAnsi="宋体"/>
          <w:sz w:val="24"/>
        </w:rPr>
        <w:t>（三）</w:t>
      </w:r>
      <w:r>
        <w:rPr>
          <w:rFonts w:hint="eastAsia" w:ascii="宋体" w:hAnsi="宋体"/>
          <w:bCs/>
          <w:sz w:val="24"/>
          <w:szCs w:val="21"/>
        </w:rPr>
        <w:t>项目负责人国家注册土木工程师（岩土）执业资格证书复印件</w:t>
      </w:r>
      <w:r>
        <w:rPr>
          <w:rFonts w:hint="eastAsia" w:ascii="宋体" w:hAnsi="宋体"/>
          <w:sz w:val="24"/>
        </w:rPr>
        <w:t>；</w:t>
      </w:r>
    </w:p>
    <w:p>
      <w:pPr>
        <w:spacing w:line="360" w:lineRule="auto"/>
        <w:jc w:val="left"/>
        <w:rPr>
          <w:rFonts w:ascii="宋体" w:hAnsi="宋体"/>
          <w:sz w:val="24"/>
        </w:rPr>
      </w:pPr>
      <w:r>
        <w:rPr>
          <w:rFonts w:hint="eastAsia" w:ascii="宋体" w:hAnsi="宋体"/>
          <w:sz w:val="24"/>
        </w:rPr>
        <w:t>（四）法定代表人（负责人）身份证复印件。</w:t>
      </w:r>
    </w:p>
    <w:p>
      <w:pPr>
        <w:spacing w:line="360" w:lineRule="auto"/>
        <w:jc w:val="left"/>
        <w:rPr>
          <w:rFonts w:ascii="宋体" w:hAnsi="宋体" w:cs="宋体"/>
          <w:b/>
          <w:sz w:val="24"/>
          <w:szCs w:val="21"/>
        </w:rPr>
      </w:pPr>
      <w:r>
        <w:rPr>
          <w:rFonts w:hint="eastAsia" w:ascii="宋体" w:hAnsi="宋体" w:cs="宋体"/>
          <w:b/>
          <w:sz w:val="24"/>
          <w:szCs w:val="21"/>
        </w:rPr>
        <w:t>注：上述材料须提供加盖公章的复印件附在投标文件中。</w:t>
      </w:r>
    </w:p>
    <w:p>
      <w:pPr>
        <w:pStyle w:val="2"/>
      </w:pPr>
    </w:p>
    <w:p>
      <w:pPr>
        <w:jc w:val="center"/>
        <w:rPr>
          <w:rFonts w:ascii="宋体" w:hAnsi="宋体" w:cs="宋体"/>
          <w:sz w:val="28"/>
          <w:szCs w:val="28"/>
        </w:rPr>
      </w:pPr>
      <w:r>
        <w:rPr>
          <w:rFonts w:ascii="宋体" w:hAnsi="宋体" w:cs="宋体-18030"/>
          <w:sz w:val="24"/>
        </w:rPr>
        <w:br w:type="page"/>
      </w:r>
      <w:r>
        <w:rPr>
          <w:rFonts w:hint="eastAsia" w:ascii="宋体" w:hAnsi="宋体" w:cs="宋体-18030"/>
          <w:sz w:val="24"/>
        </w:rPr>
        <w:t>（五）</w:t>
      </w:r>
      <w:r>
        <w:rPr>
          <w:rFonts w:hint="eastAsia" w:ascii="宋体" w:hAnsi="宋体" w:cs="宋体"/>
          <w:sz w:val="24"/>
        </w:rPr>
        <w:t>信用承诺书</w:t>
      </w:r>
    </w:p>
    <w:p>
      <w:pPr>
        <w:rPr>
          <w:rFonts w:ascii="宋体" w:hAnsi="宋体" w:cs="宋体"/>
          <w:sz w:val="28"/>
          <w:szCs w:val="28"/>
        </w:rPr>
      </w:pPr>
    </w:p>
    <w:p>
      <w:pPr>
        <w:pStyle w:val="8"/>
        <w:spacing w:after="0" w:line="360" w:lineRule="auto"/>
        <w:ind w:firstLine="440"/>
        <w:rPr>
          <w:rFonts w:asciiTheme="minorEastAsia" w:hAnsiTheme="minorEastAsia" w:eastAsiaTheme="minorEastAsia"/>
          <w:w w:val="105"/>
          <w:sz w:val="24"/>
          <w:szCs w:val="24"/>
        </w:rPr>
      </w:pPr>
      <w:r>
        <w:rPr>
          <w:rFonts w:asciiTheme="minorEastAsia" w:hAnsiTheme="minorEastAsia" w:eastAsiaTheme="minorEastAsia"/>
          <w:w w:val="105"/>
          <w:sz w:val="24"/>
          <w:szCs w:val="24"/>
        </w:rPr>
        <w:t>致：</w:t>
      </w:r>
      <w:r>
        <w:rPr>
          <w:rFonts w:asciiTheme="minorEastAsia" w:hAnsiTheme="minorEastAsia" w:eastAsiaTheme="minorEastAsia"/>
          <w:w w:val="105"/>
          <w:sz w:val="24"/>
          <w:szCs w:val="24"/>
          <w:u w:val="single"/>
        </w:rPr>
        <w:t>（采购单位、采购代理机构）</w:t>
      </w:r>
    </w:p>
    <w:p>
      <w:pPr>
        <w:pStyle w:val="8"/>
        <w:spacing w:after="0" w:line="360" w:lineRule="auto"/>
        <w:ind w:right="264" w:firstLine="504" w:firstLineChars="200"/>
        <w:jc w:val="left"/>
        <w:rPr>
          <w:rFonts w:asciiTheme="minorEastAsia" w:hAnsiTheme="minorEastAsia" w:eastAsiaTheme="minorEastAsia"/>
          <w:sz w:val="24"/>
          <w:szCs w:val="24"/>
        </w:rPr>
      </w:pPr>
      <w:r>
        <w:rPr>
          <w:rFonts w:asciiTheme="minorEastAsia" w:hAnsiTheme="minorEastAsia" w:eastAsiaTheme="minorEastAsia"/>
          <w:w w:val="105"/>
          <w:sz w:val="24"/>
          <w:szCs w:val="24"/>
        </w:rPr>
        <w:t>我单位在参与（项目名称：，项目编号：）的政府采购活动中，自愿做出承诺：根据《中华人民共和国政府采购法》《中华人民共和国政府采购法实施条例》等规定及采购文件资格要求，我单位符合以下条件：</w:t>
      </w:r>
    </w:p>
    <w:p>
      <w:pPr>
        <w:tabs>
          <w:tab w:val="left" w:pos="2643"/>
        </w:tabs>
        <w:autoSpaceDE w:val="0"/>
        <w:autoSpaceDN w:val="0"/>
        <w:spacing w:line="360" w:lineRule="auto"/>
        <w:ind w:firstLine="504" w:firstLineChars="200"/>
        <w:rPr>
          <w:rFonts w:asciiTheme="minorEastAsia" w:hAnsiTheme="minorEastAsia" w:eastAsiaTheme="minorEastAsia"/>
          <w:sz w:val="24"/>
        </w:rPr>
      </w:pPr>
      <w:r>
        <w:rPr>
          <w:rFonts w:hint="eastAsia" w:asciiTheme="minorEastAsia" w:hAnsiTheme="minorEastAsia" w:eastAsiaTheme="minorEastAsia"/>
          <w:w w:val="105"/>
          <w:sz w:val="24"/>
        </w:rPr>
        <w:t>1.</w:t>
      </w:r>
      <w:r>
        <w:rPr>
          <w:rFonts w:asciiTheme="minorEastAsia" w:hAnsiTheme="minorEastAsia" w:eastAsiaTheme="minorEastAsia"/>
          <w:w w:val="105"/>
          <w:sz w:val="24"/>
        </w:rPr>
        <w:t>具有良好的商业信誉和健全的财务会计制度；</w:t>
      </w:r>
    </w:p>
    <w:p>
      <w:pPr>
        <w:tabs>
          <w:tab w:val="left" w:pos="2643"/>
        </w:tabs>
        <w:autoSpaceDE w:val="0"/>
        <w:autoSpaceDN w:val="0"/>
        <w:spacing w:line="360" w:lineRule="auto"/>
        <w:ind w:firstLine="504" w:firstLineChars="200"/>
        <w:rPr>
          <w:rFonts w:asciiTheme="minorEastAsia" w:hAnsiTheme="minorEastAsia" w:eastAsiaTheme="minorEastAsia"/>
          <w:sz w:val="24"/>
        </w:rPr>
      </w:pPr>
      <w:r>
        <w:rPr>
          <w:rFonts w:hint="eastAsia" w:asciiTheme="minorEastAsia" w:hAnsiTheme="minorEastAsia" w:eastAsiaTheme="minorEastAsia"/>
          <w:w w:val="105"/>
          <w:sz w:val="24"/>
        </w:rPr>
        <w:t>2.</w:t>
      </w:r>
      <w:r>
        <w:rPr>
          <w:rFonts w:asciiTheme="minorEastAsia" w:hAnsiTheme="minorEastAsia" w:eastAsiaTheme="minorEastAsia"/>
          <w:w w:val="105"/>
          <w:sz w:val="24"/>
        </w:rPr>
        <w:t>依法缴纳税收和社会保障资金的良好记录；</w:t>
      </w:r>
    </w:p>
    <w:p>
      <w:pPr>
        <w:tabs>
          <w:tab w:val="left" w:pos="2643"/>
        </w:tabs>
        <w:autoSpaceDE w:val="0"/>
        <w:autoSpaceDN w:val="0"/>
        <w:spacing w:line="360" w:lineRule="auto"/>
        <w:ind w:firstLine="504" w:firstLineChars="200"/>
        <w:rPr>
          <w:rFonts w:asciiTheme="minorEastAsia" w:hAnsiTheme="minorEastAsia" w:eastAsiaTheme="minorEastAsia"/>
          <w:sz w:val="24"/>
        </w:rPr>
      </w:pPr>
      <w:r>
        <w:rPr>
          <w:rFonts w:hint="eastAsia" w:asciiTheme="minorEastAsia" w:hAnsiTheme="minorEastAsia" w:eastAsiaTheme="minorEastAsia"/>
          <w:w w:val="105"/>
          <w:sz w:val="24"/>
        </w:rPr>
        <w:t>3.</w:t>
      </w:r>
      <w:r>
        <w:rPr>
          <w:rFonts w:asciiTheme="minorEastAsia" w:hAnsiTheme="minorEastAsia" w:eastAsiaTheme="minorEastAsia"/>
          <w:w w:val="105"/>
          <w:sz w:val="24"/>
        </w:rPr>
        <w:t>参加政府采购活动前三年内，在经营活动中无重大违法记录。</w:t>
      </w:r>
    </w:p>
    <w:p>
      <w:pPr>
        <w:pStyle w:val="8"/>
        <w:spacing w:after="0" w:line="360" w:lineRule="auto"/>
        <w:ind w:firstLine="504" w:firstLineChars="200"/>
        <w:rPr>
          <w:rFonts w:asciiTheme="minorEastAsia" w:hAnsiTheme="minorEastAsia" w:eastAsiaTheme="minorEastAsia" w:cstheme="minorBidi"/>
          <w:w w:val="105"/>
          <w:sz w:val="24"/>
          <w:szCs w:val="24"/>
        </w:rPr>
      </w:pPr>
      <w:r>
        <w:rPr>
          <w:rFonts w:asciiTheme="minorEastAsia" w:hAnsiTheme="minorEastAsia" w:eastAsiaTheme="minorEastAsia" w:cstheme="minorBidi"/>
          <w:w w:val="105"/>
          <w:sz w:val="24"/>
          <w:szCs w:val="24"/>
        </w:rPr>
        <w:t>若我单位以上承诺不实，自愿承担提供虚假材料的法律责任。</w:t>
      </w:r>
    </w:p>
    <w:p>
      <w:pPr>
        <w:spacing w:line="360" w:lineRule="auto"/>
        <w:ind w:firstLine="424" w:firstLineChars="177"/>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firstLine="3684" w:firstLineChars="1535"/>
        <w:rPr>
          <w:rFonts w:ascii="宋体" w:hAnsi="宋体"/>
          <w:sz w:val="24"/>
        </w:rPr>
      </w:pPr>
      <w:r>
        <w:rPr>
          <w:rFonts w:ascii="宋体" w:hAnsi="宋体"/>
          <w:sz w:val="24"/>
        </w:rPr>
        <w:t>承诺供应商（公章）：</w:t>
      </w:r>
    </w:p>
    <w:p>
      <w:pPr>
        <w:spacing w:line="360" w:lineRule="auto"/>
        <w:ind w:firstLine="3684" w:firstLineChars="1535"/>
        <w:rPr>
          <w:rFonts w:ascii="宋体" w:hAnsi="宋体"/>
          <w:sz w:val="24"/>
        </w:rPr>
      </w:pPr>
      <w:r>
        <w:rPr>
          <w:rFonts w:ascii="宋体" w:hAnsi="宋体"/>
          <w:sz w:val="24"/>
        </w:rPr>
        <w:t>单位负责人或授权代表（签字）：</w:t>
      </w:r>
    </w:p>
    <w:p>
      <w:pPr>
        <w:spacing w:line="360" w:lineRule="auto"/>
        <w:ind w:firstLine="3684" w:firstLineChars="1535"/>
        <w:rPr>
          <w:rFonts w:ascii="宋体" w:hAnsi="宋体"/>
          <w:sz w:val="24"/>
        </w:rPr>
      </w:pPr>
      <w:r>
        <w:rPr>
          <w:rFonts w:ascii="宋体" w:hAnsi="宋体"/>
          <w:sz w:val="24"/>
        </w:rPr>
        <w:t>日</w:t>
      </w:r>
      <w:r>
        <w:rPr>
          <w:rFonts w:ascii="宋体" w:hAnsi="宋体"/>
          <w:sz w:val="24"/>
        </w:rPr>
        <w:tab/>
      </w:r>
      <w:r>
        <w:rPr>
          <w:rFonts w:ascii="宋体" w:hAnsi="宋体"/>
          <w:sz w:val="24"/>
        </w:rPr>
        <w:t>期：</w:t>
      </w:r>
    </w:p>
    <w:p>
      <w:pPr>
        <w:spacing w:line="360" w:lineRule="auto"/>
        <w:rPr>
          <w:rFonts w:ascii="宋体" w:hAnsi="宋体"/>
          <w:sz w:val="24"/>
        </w:rPr>
      </w:pPr>
    </w:p>
    <w:p>
      <w:pPr>
        <w:spacing w:line="360" w:lineRule="auto"/>
        <w:rPr>
          <w:rFonts w:ascii="宋体" w:hAnsi="宋体"/>
          <w:sz w:val="24"/>
        </w:rPr>
      </w:pPr>
      <w:r>
        <w:rPr>
          <w:rFonts w:ascii="宋体" w:hAnsi="宋体"/>
          <w:sz w:val="24"/>
        </w:rPr>
        <w:t>说明：供应商可自行选择是否提供本承诺书，若不提供，应按《中华人民共和国政府采购法》《中华人民共和国政府采购法实施条例》等规定及采购文件资格要求提供相应的证明材料。</w:t>
      </w:r>
    </w:p>
    <w:p>
      <w:pPr>
        <w:spacing w:line="360" w:lineRule="auto"/>
        <w:rPr>
          <w:rFonts w:ascii="宋体" w:hAnsi="宋体" w:cs="宋体"/>
          <w:sz w:val="24"/>
        </w:rPr>
      </w:pPr>
    </w:p>
    <w:p>
      <w:pPr>
        <w:jc w:val="center"/>
        <w:rPr>
          <w:rFonts w:ascii="宋体" w:hAnsi="宋体" w:cs="宋体"/>
          <w:sz w:val="28"/>
          <w:szCs w:val="28"/>
        </w:rPr>
      </w:pPr>
    </w:p>
    <w:p>
      <w:pPr>
        <w:jc w:val="center"/>
        <w:rPr>
          <w:rFonts w:ascii="宋体" w:hAnsi="宋体" w:cs="宋体"/>
          <w:sz w:val="28"/>
          <w:szCs w:val="28"/>
        </w:rPr>
      </w:pPr>
    </w:p>
    <w:p>
      <w:pPr>
        <w:jc w:val="center"/>
        <w:rPr>
          <w:rFonts w:ascii="宋体" w:hAnsi="宋体" w:cs="宋体-18030"/>
          <w:sz w:val="24"/>
        </w:rPr>
      </w:pPr>
      <w:r>
        <w:rPr>
          <w:rFonts w:ascii="宋体" w:hAnsi="宋体" w:cs="宋体-18030"/>
          <w:sz w:val="24"/>
        </w:rPr>
        <w:br w:type="page"/>
      </w:r>
      <w:r>
        <w:rPr>
          <w:rFonts w:hint="eastAsia" w:ascii="宋体" w:hAnsi="宋体" w:cs="宋体-18030"/>
          <w:sz w:val="24"/>
        </w:rPr>
        <w:t>（六）</w:t>
      </w:r>
      <w:r>
        <w:rPr>
          <w:rFonts w:hint="eastAsia" w:ascii="宋体" w:hAnsi="宋体"/>
          <w:sz w:val="24"/>
        </w:rPr>
        <w:t>法定代表人（负责人）</w:t>
      </w:r>
      <w:r>
        <w:rPr>
          <w:rFonts w:hint="eastAsia" w:ascii="宋体" w:hAnsi="宋体" w:cs="宋体-18030"/>
          <w:sz w:val="24"/>
        </w:rPr>
        <w:t>授权书</w:t>
      </w:r>
    </w:p>
    <w:p>
      <w:pPr>
        <w:spacing w:line="360" w:lineRule="auto"/>
        <w:rPr>
          <w:rFonts w:ascii="宋体" w:hAnsi="宋体"/>
          <w:b/>
        </w:rPr>
      </w:pPr>
    </w:p>
    <w:p>
      <w:pPr>
        <w:snapToGrid w:val="0"/>
        <w:spacing w:line="360" w:lineRule="auto"/>
        <w:rPr>
          <w:rFonts w:ascii="宋体" w:hAnsi="宋体"/>
          <w:b/>
        </w:rPr>
      </w:pPr>
    </w:p>
    <w:p>
      <w:pPr>
        <w:spacing w:line="360" w:lineRule="auto"/>
        <w:ind w:left="105" w:leftChars="50" w:firstLine="480" w:firstLineChars="200"/>
        <w:rPr>
          <w:rFonts w:ascii="宋体" w:hAnsi="宋体"/>
          <w:sz w:val="24"/>
        </w:rPr>
      </w:pPr>
      <w:r>
        <w:rPr>
          <w:rFonts w:hint="eastAsia" w:ascii="宋体" w:hAnsi="宋体"/>
          <w:bCs/>
          <w:sz w:val="24"/>
        </w:rPr>
        <w:t>兹授权</w:t>
      </w:r>
      <w:r>
        <w:rPr>
          <w:rFonts w:hint="eastAsia" w:ascii="宋体" w:hAnsi="宋体"/>
          <w:bCs/>
          <w:sz w:val="24"/>
          <w:u w:val="single"/>
        </w:rPr>
        <w:t>(委托代理人姓名) (身份证号）</w:t>
      </w:r>
      <w:r>
        <w:rPr>
          <w:rFonts w:hint="eastAsia" w:ascii="宋体" w:hAnsi="宋体"/>
          <w:bCs/>
          <w:sz w:val="24"/>
        </w:rPr>
        <w:t>为我方委托代理人，参加政府</w:t>
      </w:r>
      <w:r>
        <w:rPr>
          <w:rFonts w:hint="eastAsia" w:ascii="宋体" w:hAnsi="宋体"/>
          <w:sz w:val="24"/>
          <w:u w:val="single"/>
        </w:rPr>
        <w:t>（项目名称、包号）（项目编号)</w:t>
      </w:r>
      <w:r>
        <w:rPr>
          <w:rFonts w:hint="eastAsia" w:ascii="宋体" w:hAnsi="宋体"/>
          <w:sz w:val="24"/>
        </w:rPr>
        <w:t>的投标活动，并以本公司名义处理一切与此次投标有关的事宜。在此次投标过程中，本公司将承担该代理人行为的全部法律后果和法律责任。</w:t>
      </w:r>
    </w:p>
    <w:p>
      <w:pPr>
        <w:pStyle w:val="34"/>
        <w:spacing w:line="360" w:lineRule="auto"/>
        <w:ind w:firstLine="424" w:firstLineChars="177"/>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有效期与本公司投标文件中标注的投标有效期相同，自签章之日起生效。</w:t>
      </w:r>
    </w:p>
    <w:p>
      <w:pPr>
        <w:spacing w:line="360" w:lineRule="auto"/>
        <w:ind w:firstLine="435"/>
        <w:rPr>
          <w:rFonts w:ascii="宋体" w:hAnsi="宋体"/>
          <w:sz w:val="24"/>
        </w:rPr>
      </w:pPr>
    </w:p>
    <w:p>
      <w:pPr>
        <w:spacing w:line="360" w:lineRule="auto"/>
        <w:ind w:firstLine="435"/>
        <w:rPr>
          <w:rFonts w:ascii="宋体" w:hAnsi="宋体"/>
          <w:sz w:val="24"/>
        </w:rPr>
      </w:pPr>
    </w:p>
    <w:p>
      <w:pPr>
        <w:spacing w:line="360" w:lineRule="auto"/>
        <w:ind w:firstLine="435"/>
        <w:rPr>
          <w:rFonts w:ascii="宋体" w:hAnsi="宋体"/>
          <w:sz w:val="24"/>
        </w:rPr>
      </w:pPr>
    </w:p>
    <w:p>
      <w:pPr>
        <w:spacing w:line="360" w:lineRule="auto"/>
        <w:ind w:firstLine="437"/>
        <w:rPr>
          <w:rFonts w:ascii="宋体" w:hAnsi="宋体"/>
          <w:sz w:val="24"/>
          <w:u w:val="single"/>
        </w:rPr>
      </w:pPr>
      <w:r>
        <w:rPr>
          <w:rFonts w:hint="eastAsia" w:ascii="宋体" w:hAnsi="宋体"/>
          <w:sz w:val="24"/>
        </w:rPr>
        <w:t>法定代表人（负责人）签字或盖章：</w:t>
      </w:r>
    </w:p>
    <w:p>
      <w:pPr>
        <w:spacing w:line="360" w:lineRule="auto"/>
        <w:ind w:firstLine="437"/>
        <w:rPr>
          <w:rFonts w:ascii="宋体" w:hAnsi="宋体"/>
          <w:sz w:val="24"/>
          <w:u w:val="single"/>
        </w:rPr>
      </w:pPr>
      <w:r>
        <w:rPr>
          <w:rFonts w:hint="eastAsia" w:ascii="宋体" w:hAnsi="宋体"/>
          <w:sz w:val="24"/>
        </w:rPr>
        <w:t>被授权人签字：</w:t>
      </w:r>
    </w:p>
    <w:p>
      <w:pPr>
        <w:spacing w:line="360" w:lineRule="auto"/>
        <w:ind w:firstLine="437"/>
        <w:rPr>
          <w:rFonts w:ascii="宋体" w:hAnsi="宋体"/>
          <w:sz w:val="24"/>
          <w:u w:val="single"/>
        </w:rPr>
      </w:pPr>
      <w:r>
        <w:rPr>
          <w:rFonts w:hint="eastAsia" w:ascii="宋体" w:hAnsi="宋体"/>
          <w:sz w:val="24"/>
        </w:rPr>
        <w:t>投标人公章：</w:t>
      </w:r>
    </w:p>
    <w:p>
      <w:pPr>
        <w:spacing w:line="360" w:lineRule="auto"/>
        <w:ind w:firstLine="437"/>
        <w:rPr>
          <w:rFonts w:ascii="宋体" w:hAnsi="宋体"/>
          <w:sz w:val="24"/>
          <w:u w:val="single"/>
        </w:rPr>
      </w:pPr>
    </w:p>
    <w:p>
      <w:pPr>
        <w:spacing w:line="360" w:lineRule="auto"/>
        <w:ind w:firstLine="437"/>
        <w:rPr>
          <w:rFonts w:ascii="宋体" w:hAnsi="宋体"/>
          <w:sz w:val="24"/>
          <w:u w:val="single"/>
        </w:rPr>
      </w:pPr>
    </w:p>
    <w:p>
      <w:pPr>
        <w:spacing w:line="360" w:lineRule="auto"/>
        <w:rPr>
          <w:rFonts w:ascii="宋体" w:hAnsi="宋体"/>
          <w:sz w:val="24"/>
          <w:u w:val="single"/>
        </w:rPr>
      </w:pPr>
    </w:p>
    <w:p>
      <w:pPr>
        <w:spacing w:line="360" w:lineRule="auto"/>
        <w:ind w:left="164" w:leftChars="78" w:firstLine="120" w:firstLineChars="50"/>
        <w:rPr>
          <w:rFonts w:ascii="宋体" w:hAnsi="宋体"/>
          <w:b/>
          <w:sz w:val="24"/>
        </w:rPr>
      </w:pPr>
      <w:r>
        <w:rPr>
          <w:rFonts w:hint="eastAsia" w:ascii="宋体" w:hAnsi="宋体"/>
          <w:b/>
          <w:sz w:val="24"/>
        </w:rPr>
        <w:t>注：1.法定代表人（负责人）和被授权人签字，必须是亲笔签名。</w:t>
      </w:r>
    </w:p>
    <w:p>
      <w:pPr>
        <w:spacing w:line="360" w:lineRule="auto"/>
        <w:ind w:left="164" w:leftChars="78" w:firstLine="602" w:firstLineChars="250"/>
        <w:rPr>
          <w:rFonts w:ascii="宋体" w:hAnsi="宋体"/>
          <w:b/>
          <w:sz w:val="24"/>
        </w:rPr>
      </w:pPr>
      <w:r>
        <w:rPr>
          <w:rFonts w:hint="eastAsia" w:ascii="宋体" w:hAnsi="宋体"/>
          <w:b/>
          <w:sz w:val="24"/>
        </w:rPr>
        <w:t>2.法定代表人（负责人）盖章和投标人公章，必须是经公安部门备案的印章。</w:t>
      </w:r>
    </w:p>
    <w:p>
      <w:pPr>
        <w:spacing w:line="360" w:lineRule="auto"/>
        <w:ind w:left="164" w:leftChars="78" w:firstLine="602" w:firstLineChars="250"/>
        <w:rPr>
          <w:rFonts w:ascii="宋体" w:hAnsi="宋体"/>
          <w:b/>
          <w:sz w:val="24"/>
        </w:rPr>
      </w:pPr>
      <w:r>
        <w:rPr>
          <w:rFonts w:hint="eastAsia" w:ascii="宋体" w:hAnsi="宋体"/>
          <w:b/>
          <w:sz w:val="24"/>
        </w:rPr>
        <w:t>3.不得使用其他印章或电子制版签名。</w:t>
      </w:r>
    </w:p>
    <w:p>
      <w:pPr>
        <w:spacing w:line="360" w:lineRule="auto"/>
        <w:ind w:left="164" w:leftChars="78" w:firstLine="602" w:firstLineChars="250"/>
        <w:rPr>
          <w:rFonts w:ascii="宋体" w:hAnsi="宋体"/>
          <w:b/>
          <w:sz w:val="24"/>
        </w:rPr>
      </w:pPr>
      <w:r>
        <w:rPr>
          <w:rFonts w:hint="eastAsia" w:ascii="宋体" w:hAnsi="宋体"/>
          <w:b/>
          <w:sz w:val="24"/>
        </w:rPr>
        <w:t>4.应按规定签字，否则投标文件无效。</w:t>
      </w:r>
    </w:p>
    <w:p>
      <w:pPr>
        <w:spacing w:line="360" w:lineRule="auto"/>
        <w:jc w:val="left"/>
        <w:rPr>
          <w:rFonts w:ascii="宋体" w:hAnsi="宋体" w:cs="宋体-18030"/>
          <w:sz w:val="24"/>
        </w:rPr>
      </w:pPr>
    </w:p>
    <w:p>
      <w:pPr>
        <w:jc w:val="center"/>
        <w:rPr>
          <w:rFonts w:ascii="宋体" w:hAnsi="宋体"/>
          <w:sz w:val="24"/>
        </w:rPr>
      </w:pPr>
      <w:r>
        <w:rPr>
          <w:rFonts w:ascii="宋体" w:hAnsi="宋体"/>
          <w:b/>
          <w:sz w:val="24"/>
        </w:rPr>
        <w:br w:type="page"/>
      </w:r>
    </w:p>
    <w:p>
      <w:pPr>
        <w:widowControl/>
        <w:spacing w:line="360" w:lineRule="auto"/>
        <w:jc w:val="center"/>
        <w:rPr>
          <w:rFonts w:ascii="宋体" w:hAnsi="宋体"/>
          <w:b/>
          <w:sz w:val="36"/>
          <w:szCs w:val="36"/>
        </w:rPr>
      </w:pPr>
      <w:r>
        <w:rPr>
          <w:rFonts w:ascii="宋体" w:hAnsi="宋体"/>
          <w:b/>
          <w:sz w:val="36"/>
          <w:szCs w:val="36"/>
        </w:rPr>
        <w:t>五、</w:t>
      </w:r>
      <w:r>
        <w:rPr>
          <w:rFonts w:hint="eastAsia" w:ascii="宋体" w:hAnsi="宋体"/>
          <w:b/>
          <w:sz w:val="36"/>
          <w:szCs w:val="36"/>
        </w:rPr>
        <w:t>项目总体概述</w:t>
      </w:r>
    </w:p>
    <w:p>
      <w:pPr>
        <w:widowControl/>
        <w:spacing w:line="360" w:lineRule="auto"/>
        <w:jc w:val="center"/>
        <w:rPr>
          <w:rFonts w:ascii="宋体" w:hAnsi="宋体"/>
          <w:b/>
          <w:sz w:val="30"/>
          <w:szCs w:val="30"/>
        </w:rPr>
      </w:pPr>
      <w:r>
        <w:rPr>
          <w:rFonts w:hint="eastAsia" w:ascii="宋体" w:hAnsi="宋体"/>
          <w:b/>
          <w:sz w:val="30"/>
          <w:szCs w:val="30"/>
        </w:rPr>
        <w:t>（格式自拟）</w:t>
      </w:r>
    </w:p>
    <w:p>
      <w:pPr>
        <w:widowControl/>
        <w:spacing w:line="360" w:lineRule="auto"/>
        <w:jc w:val="center"/>
        <w:rPr>
          <w:rFonts w:ascii="宋体" w:hAnsi="宋体"/>
          <w:b/>
          <w:sz w:val="36"/>
          <w:szCs w:val="36"/>
        </w:rPr>
      </w:pPr>
    </w:p>
    <w:p>
      <w:pPr>
        <w:widowControl/>
        <w:spacing w:line="360" w:lineRule="auto"/>
        <w:jc w:val="center"/>
        <w:rPr>
          <w:rFonts w:ascii="宋体" w:hAnsi="宋体"/>
          <w:b/>
          <w:sz w:val="36"/>
          <w:szCs w:val="36"/>
        </w:rPr>
      </w:pPr>
      <w:r>
        <w:rPr>
          <w:rFonts w:hint="eastAsia" w:ascii="宋体" w:hAnsi="宋体"/>
          <w:b/>
          <w:sz w:val="36"/>
          <w:szCs w:val="36"/>
        </w:rPr>
        <w:t>六、项目勘测方案</w:t>
      </w:r>
    </w:p>
    <w:p>
      <w:pPr>
        <w:widowControl/>
        <w:spacing w:line="360" w:lineRule="auto"/>
        <w:jc w:val="center"/>
        <w:rPr>
          <w:rFonts w:ascii="宋体" w:hAnsi="宋体"/>
          <w:b/>
          <w:sz w:val="30"/>
          <w:szCs w:val="30"/>
        </w:rPr>
      </w:pPr>
      <w:r>
        <w:rPr>
          <w:rFonts w:hint="eastAsia" w:ascii="宋体" w:hAnsi="宋体"/>
          <w:b/>
          <w:sz w:val="30"/>
          <w:szCs w:val="30"/>
        </w:rPr>
        <w:t>（格式自拟）</w:t>
      </w:r>
    </w:p>
    <w:p>
      <w:pPr>
        <w:widowControl/>
        <w:spacing w:line="360" w:lineRule="auto"/>
        <w:jc w:val="center"/>
        <w:rPr>
          <w:rFonts w:ascii="宋体" w:hAnsi="宋体"/>
          <w:b/>
          <w:sz w:val="36"/>
          <w:szCs w:val="36"/>
        </w:rPr>
      </w:pPr>
    </w:p>
    <w:p>
      <w:pPr>
        <w:widowControl/>
        <w:spacing w:line="360" w:lineRule="auto"/>
        <w:jc w:val="center"/>
        <w:rPr>
          <w:rFonts w:ascii="宋体" w:hAnsi="宋体"/>
          <w:b/>
          <w:sz w:val="36"/>
          <w:szCs w:val="36"/>
        </w:rPr>
      </w:pPr>
      <w:r>
        <w:rPr>
          <w:rFonts w:ascii="宋体" w:hAnsi="宋体"/>
          <w:b/>
          <w:sz w:val="36"/>
          <w:szCs w:val="36"/>
        </w:rPr>
        <w:t>七、</w:t>
      </w:r>
      <w:r>
        <w:rPr>
          <w:rFonts w:hint="eastAsia" w:ascii="宋体" w:hAnsi="宋体"/>
          <w:b/>
          <w:sz w:val="36"/>
          <w:szCs w:val="36"/>
        </w:rPr>
        <w:t>勘测质量的保证体系和保证措施</w:t>
      </w:r>
    </w:p>
    <w:p>
      <w:pPr>
        <w:widowControl/>
        <w:spacing w:line="360" w:lineRule="auto"/>
        <w:jc w:val="center"/>
        <w:rPr>
          <w:rFonts w:ascii="宋体" w:hAnsi="宋体"/>
          <w:b/>
          <w:sz w:val="30"/>
          <w:szCs w:val="30"/>
        </w:rPr>
      </w:pPr>
      <w:r>
        <w:rPr>
          <w:rFonts w:hint="eastAsia" w:ascii="宋体" w:hAnsi="宋体"/>
          <w:b/>
          <w:sz w:val="30"/>
          <w:szCs w:val="30"/>
        </w:rPr>
        <w:t>（格式自拟）</w:t>
      </w:r>
    </w:p>
    <w:p>
      <w:pPr>
        <w:widowControl/>
        <w:spacing w:line="360" w:lineRule="auto"/>
        <w:jc w:val="center"/>
        <w:rPr>
          <w:rFonts w:ascii="宋体" w:hAnsi="宋体"/>
          <w:b/>
          <w:sz w:val="30"/>
          <w:szCs w:val="30"/>
        </w:rPr>
      </w:pPr>
    </w:p>
    <w:p>
      <w:pPr>
        <w:widowControl/>
        <w:spacing w:line="360" w:lineRule="auto"/>
        <w:jc w:val="center"/>
        <w:rPr>
          <w:rFonts w:ascii="宋体" w:hAnsi="宋体"/>
          <w:b/>
          <w:sz w:val="36"/>
          <w:szCs w:val="36"/>
        </w:rPr>
      </w:pPr>
      <w:r>
        <w:rPr>
          <w:rFonts w:hint="eastAsia" w:ascii="宋体" w:hAnsi="宋体"/>
          <w:b/>
          <w:sz w:val="36"/>
          <w:szCs w:val="36"/>
        </w:rPr>
        <w:t>八、服务承诺</w:t>
      </w:r>
    </w:p>
    <w:p>
      <w:pPr>
        <w:widowControl/>
        <w:spacing w:line="360" w:lineRule="auto"/>
        <w:jc w:val="center"/>
        <w:rPr>
          <w:rFonts w:ascii="宋体" w:hAnsi="宋体"/>
          <w:b/>
          <w:sz w:val="30"/>
          <w:szCs w:val="30"/>
        </w:rPr>
      </w:pPr>
      <w:r>
        <w:rPr>
          <w:rFonts w:hint="eastAsia" w:ascii="宋体" w:hAnsi="宋体"/>
          <w:b/>
          <w:sz w:val="30"/>
          <w:szCs w:val="30"/>
        </w:rPr>
        <w:t>（格式自拟）</w:t>
      </w:r>
    </w:p>
    <w:p>
      <w:pPr>
        <w:widowControl/>
        <w:spacing w:line="360" w:lineRule="auto"/>
        <w:jc w:val="center"/>
        <w:rPr>
          <w:rFonts w:ascii="宋体" w:hAnsi="宋体"/>
          <w:b/>
          <w:sz w:val="36"/>
          <w:szCs w:val="36"/>
        </w:rPr>
      </w:pPr>
    </w:p>
    <w:p>
      <w:pPr>
        <w:widowControl/>
        <w:spacing w:line="360" w:lineRule="auto"/>
        <w:jc w:val="center"/>
        <w:rPr>
          <w:rFonts w:ascii="宋体" w:hAnsi="宋体"/>
          <w:b/>
          <w:sz w:val="36"/>
          <w:szCs w:val="36"/>
        </w:rPr>
      </w:pPr>
      <w:r>
        <w:rPr>
          <w:rFonts w:hint="eastAsia" w:ascii="宋体" w:hAnsi="宋体"/>
          <w:b/>
          <w:sz w:val="36"/>
          <w:szCs w:val="36"/>
        </w:rPr>
        <w:t>九、拟投入本项目人员情况</w:t>
      </w:r>
    </w:p>
    <w:p>
      <w:pPr>
        <w:widowControl/>
        <w:spacing w:line="360" w:lineRule="auto"/>
        <w:jc w:val="center"/>
        <w:rPr>
          <w:rFonts w:ascii="宋体" w:hAnsi="宋体"/>
          <w:b/>
          <w:sz w:val="30"/>
          <w:szCs w:val="30"/>
        </w:rPr>
      </w:pPr>
      <w:r>
        <w:rPr>
          <w:rFonts w:hint="eastAsia" w:ascii="宋体" w:hAnsi="宋体"/>
          <w:b/>
          <w:sz w:val="30"/>
          <w:szCs w:val="30"/>
        </w:rPr>
        <w:t>（格式自拟）</w:t>
      </w:r>
    </w:p>
    <w:p>
      <w:pPr>
        <w:widowControl/>
        <w:spacing w:line="360" w:lineRule="auto"/>
        <w:jc w:val="center"/>
        <w:rPr>
          <w:rFonts w:ascii="宋体" w:hAnsi="宋体"/>
          <w:b/>
          <w:sz w:val="36"/>
          <w:szCs w:val="36"/>
        </w:rPr>
      </w:pPr>
    </w:p>
    <w:p>
      <w:pPr>
        <w:widowControl/>
        <w:spacing w:line="360" w:lineRule="auto"/>
        <w:jc w:val="center"/>
        <w:rPr>
          <w:rFonts w:ascii="宋体" w:hAnsi="宋体"/>
          <w:b/>
          <w:sz w:val="36"/>
          <w:szCs w:val="36"/>
        </w:rPr>
      </w:pPr>
      <w:r>
        <w:rPr>
          <w:rFonts w:hint="eastAsia" w:ascii="宋体" w:hAnsi="宋体"/>
          <w:b/>
          <w:sz w:val="36"/>
          <w:szCs w:val="36"/>
        </w:rPr>
        <w:t>十、拟投入本项目设备情况</w:t>
      </w:r>
    </w:p>
    <w:p>
      <w:pPr>
        <w:widowControl/>
        <w:spacing w:line="360" w:lineRule="auto"/>
        <w:jc w:val="center"/>
        <w:rPr>
          <w:rFonts w:ascii="宋体" w:hAnsi="宋体"/>
          <w:b/>
          <w:sz w:val="30"/>
          <w:szCs w:val="30"/>
        </w:rPr>
      </w:pPr>
      <w:r>
        <w:rPr>
          <w:rFonts w:hint="eastAsia" w:ascii="宋体" w:hAnsi="宋体"/>
          <w:b/>
          <w:sz w:val="30"/>
          <w:szCs w:val="30"/>
        </w:rPr>
        <w:t>（格式自拟）</w:t>
      </w:r>
    </w:p>
    <w:p>
      <w:pPr>
        <w:rPr>
          <w:rFonts w:ascii="宋体" w:hAnsi="宋体"/>
          <w:b/>
          <w:sz w:val="36"/>
          <w:szCs w:val="36"/>
        </w:rPr>
      </w:pPr>
      <w:r>
        <w:rPr>
          <w:rFonts w:hint="eastAsia" w:ascii="宋体" w:hAnsi="宋体"/>
          <w:b/>
          <w:sz w:val="36"/>
          <w:szCs w:val="36"/>
        </w:rPr>
        <w:br w:type="page"/>
      </w:r>
    </w:p>
    <w:p>
      <w:pPr>
        <w:spacing w:line="360" w:lineRule="auto"/>
        <w:jc w:val="center"/>
        <w:rPr>
          <w:rFonts w:ascii="宋体" w:hAnsi="宋体"/>
          <w:b/>
          <w:sz w:val="36"/>
          <w:szCs w:val="36"/>
        </w:rPr>
      </w:pPr>
      <w:r>
        <w:rPr>
          <w:rFonts w:hint="eastAsia" w:ascii="宋体" w:hAnsi="宋体"/>
          <w:b/>
          <w:sz w:val="36"/>
          <w:szCs w:val="36"/>
        </w:rPr>
        <w:t>十、其 他</w:t>
      </w:r>
    </w:p>
    <w:p>
      <w:pPr>
        <w:spacing w:line="340" w:lineRule="exact"/>
        <w:jc w:val="center"/>
        <w:rPr>
          <w:rFonts w:ascii="宋体" w:hAnsi="宋体"/>
          <w:b/>
          <w:sz w:val="24"/>
        </w:rPr>
      </w:pPr>
      <w:r>
        <w:rPr>
          <w:rFonts w:hint="eastAsia" w:ascii="宋体" w:hAnsi="宋体"/>
          <w:b/>
          <w:sz w:val="24"/>
        </w:rPr>
        <w:t>（一） 投标人基本情况表</w:t>
      </w:r>
    </w:p>
    <w:p>
      <w:pPr>
        <w:spacing w:line="340" w:lineRule="exact"/>
        <w:ind w:firstLine="240"/>
        <w:rPr>
          <w:rFonts w:ascii="宋体" w:hAnsi="宋体"/>
          <w:b/>
          <w:sz w:val="24"/>
        </w:rPr>
      </w:pPr>
      <w:r>
        <w:rPr>
          <w:rFonts w:hint="eastAsia" w:ascii="宋体" w:hAnsi="宋体" w:cs="Arial"/>
          <w:sz w:val="24"/>
        </w:rPr>
        <w:t>（</w:t>
      </w:r>
      <w:r>
        <w:rPr>
          <w:rFonts w:ascii="宋体" w:hAnsi="宋体" w:cs="Arial"/>
          <w:sz w:val="24"/>
        </w:rPr>
        <w:t>1</w:t>
      </w:r>
      <w:r>
        <w:rPr>
          <w:rFonts w:hint="eastAsia" w:ascii="宋体" w:hAnsi="宋体" w:cs="Arial"/>
          <w:sz w:val="24"/>
        </w:rPr>
        <w:t>）</w:t>
      </w:r>
      <w:r>
        <w:rPr>
          <w:rFonts w:ascii="宋体" w:hAnsi="宋体" w:cs="Arial"/>
          <w:sz w:val="24"/>
        </w:rPr>
        <w:t>公司名称：</w:t>
      </w:r>
      <w:r>
        <w:rPr>
          <w:rFonts w:ascii="宋体" w:hAnsi="宋体" w:cs="Arial"/>
          <w:sz w:val="24"/>
          <w:u w:val="single"/>
        </w:rPr>
        <w:t xml:space="preserve">                </w:t>
      </w:r>
      <w:r>
        <w:rPr>
          <w:rFonts w:ascii="宋体" w:hAnsi="宋体" w:cs="Arial"/>
          <w:sz w:val="24"/>
        </w:rPr>
        <w:t xml:space="preserve">  电话号码：</w:t>
      </w:r>
      <w:r>
        <w:rPr>
          <w:rFonts w:ascii="宋体" w:hAnsi="宋体" w:cs="Arial"/>
          <w:sz w:val="24"/>
          <w:u w:val="single"/>
        </w:rPr>
        <w:t xml:space="preserve">           </w:t>
      </w:r>
      <w:r>
        <w:rPr>
          <w:rFonts w:ascii="宋体" w:hAnsi="宋体" w:cs="Arial"/>
          <w:sz w:val="24"/>
        </w:rPr>
        <w:t xml:space="preserve">                  </w:t>
      </w:r>
    </w:p>
    <w:p>
      <w:pPr>
        <w:spacing w:line="300" w:lineRule="atLeast"/>
        <w:ind w:firstLine="240"/>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w:t>
      </w:r>
      <w:r>
        <w:rPr>
          <w:rFonts w:ascii="宋体" w:hAnsi="宋体" w:cs="Arial"/>
          <w:sz w:val="24"/>
        </w:rPr>
        <w:t>地    址：</w:t>
      </w:r>
      <w:r>
        <w:rPr>
          <w:rFonts w:ascii="宋体" w:hAnsi="宋体" w:cs="Arial"/>
          <w:sz w:val="24"/>
          <w:u w:val="single"/>
        </w:rPr>
        <w:t xml:space="preserve">                </w:t>
      </w:r>
      <w:r>
        <w:rPr>
          <w:rFonts w:ascii="宋体" w:hAnsi="宋体" w:cs="Arial"/>
          <w:sz w:val="24"/>
        </w:rPr>
        <w:t xml:space="preserve">  传    真：</w:t>
      </w:r>
      <w:r>
        <w:rPr>
          <w:rFonts w:ascii="宋体" w:hAnsi="宋体" w:cs="Arial"/>
          <w:sz w:val="24"/>
          <w:u w:val="single"/>
        </w:rPr>
        <w:t xml:space="preserve">           </w:t>
      </w:r>
      <w:r>
        <w:rPr>
          <w:rFonts w:ascii="宋体" w:hAnsi="宋体" w:cs="Arial"/>
          <w:sz w:val="24"/>
        </w:rPr>
        <w:t xml:space="preserve">                  </w:t>
      </w:r>
    </w:p>
    <w:p>
      <w:pPr>
        <w:spacing w:line="300" w:lineRule="atLeast"/>
        <w:ind w:firstLine="240"/>
        <w:rPr>
          <w:rFonts w:ascii="宋体" w:hAnsi="宋体" w:cs="Arial"/>
          <w:sz w:val="24"/>
          <w:u w:val="single"/>
        </w:rPr>
      </w:pPr>
      <w:r>
        <w:rPr>
          <w:rFonts w:hint="eastAsia" w:ascii="宋体" w:hAnsi="宋体" w:cs="Arial"/>
          <w:sz w:val="24"/>
        </w:rPr>
        <w:t>（</w:t>
      </w:r>
      <w:r>
        <w:rPr>
          <w:rFonts w:ascii="宋体" w:hAnsi="宋体" w:cs="Arial"/>
          <w:sz w:val="24"/>
        </w:rPr>
        <w:t>3</w:t>
      </w:r>
      <w:r>
        <w:rPr>
          <w:rFonts w:hint="eastAsia" w:ascii="宋体" w:hAnsi="宋体" w:cs="Arial"/>
          <w:sz w:val="24"/>
        </w:rPr>
        <w:t>）</w:t>
      </w:r>
      <w:r>
        <w:rPr>
          <w:rFonts w:ascii="宋体" w:hAnsi="宋体" w:cs="Arial"/>
          <w:sz w:val="24"/>
        </w:rPr>
        <w:t>注册资金：</w:t>
      </w:r>
      <w:r>
        <w:rPr>
          <w:rFonts w:ascii="宋体" w:hAnsi="宋体" w:cs="Arial"/>
          <w:sz w:val="24"/>
          <w:u w:val="single"/>
        </w:rPr>
        <w:t xml:space="preserve">                </w:t>
      </w:r>
      <w:r>
        <w:rPr>
          <w:rFonts w:ascii="宋体" w:hAnsi="宋体" w:cs="Arial"/>
          <w:sz w:val="24"/>
        </w:rPr>
        <w:t xml:space="preserve">  经济性质:</w:t>
      </w:r>
      <w:r>
        <w:rPr>
          <w:rFonts w:ascii="宋体" w:hAnsi="宋体" w:cs="Arial"/>
          <w:sz w:val="24"/>
          <w:u w:val="single"/>
        </w:rPr>
        <w:t xml:space="preserve">            </w:t>
      </w:r>
    </w:p>
    <w:p>
      <w:pPr>
        <w:spacing w:line="300" w:lineRule="atLeast"/>
        <w:ind w:firstLine="240"/>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w:t>
      </w:r>
      <w:r>
        <w:rPr>
          <w:rFonts w:ascii="宋体" w:hAnsi="宋体" w:cs="Arial"/>
          <w:sz w:val="24"/>
        </w:rPr>
        <w:t>公司经营及资金状况:</w:t>
      </w:r>
    </w:p>
    <w:p>
      <w:pPr>
        <w:spacing w:line="300" w:lineRule="atLeast"/>
        <w:rPr>
          <w:rFonts w:ascii="宋体" w:hAnsi="宋体" w:cs="Arial"/>
          <w:sz w:val="24"/>
        </w:rPr>
      </w:pPr>
    </w:p>
    <w:p>
      <w:pPr>
        <w:spacing w:line="300" w:lineRule="atLeast"/>
        <w:rPr>
          <w:rFonts w:ascii="宋体" w:hAnsi="宋体" w:cs="Arial"/>
          <w:sz w:val="24"/>
        </w:rPr>
      </w:pPr>
    </w:p>
    <w:p>
      <w:pPr>
        <w:spacing w:line="300" w:lineRule="atLeast"/>
        <w:rPr>
          <w:rFonts w:ascii="宋体" w:hAnsi="宋体" w:cs="Arial"/>
          <w:sz w:val="24"/>
        </w:rPr>
      </w:pPr>
    </w:p>
    <w:p>
      <w:pPr>
        <w:spacing w:line="300" w:lineRule="atLeast"/>
        <w:ind w:firstLine="240"/>
        <w:rPr>
          <w:rFonts w:ascii="宋体" w:hAnsi="宋体" w:cs="Arial"/>
          <w:sz w:val="24"/>
        </w:rPr>
      </w:pPr>
      <w:r>
        <w:rPr>
          <w:rFonts w:hint="eastAsia" w:ascii="宋体" w:hAnsi="宋体" w:cs="Arial"/>
          <w:sz w:val="24"/>
        </w:rPr>
        <w:t>（</w:t>
      </w:r>
      <w:r>
        <w:rPr>
          <w:rFonts w:ascii="宋体" w:hAnsi="宋体" w:cs="Arial"/>
          <w:sz w:val="24"/>
        </w:rPr>
        <w:t>5</w:t>
      </w:r>
      <w:r>
        <w:rPr>
          <w:rFonts w:hint="eastAsia" w:ascii="宋体" w:hAnsi="宋体" w:cs="Arial"/>
          <w:sz w:val="24"/>
        </w:rPr>
        <w:t>）</w:t>
      </w:r>
      <w:r>
        <w:rPr>
          <w:rFonts w:ascii="宋体" w:hAnsi="宋体" w:cs="Arial"/>
          <w:sz w:val="24"/>
        </w:rPr>
        <w:t>公司开户银行名称及帐号：            地   址：</w:t>
      </w:r>
    </w:p>
    <w:p>
      <w:pPr>
        <w:spacing w:line="300" w:lineRule="atLeast"/>
        <w:ind w:left="360"/>
        <w:rPr>
          <w:rFonts w:ascii="宋体" w:hAnsi="宋体" w:cs="Arial"/>
          <w:sz w:val="24"/>
          <w:u w:val="single"/>
        </w:rPr>
      </w:pPr>
      <w:r>
        <w:rPr>
          <w:rFonts w:hint="eastAsia" w:ascii="宋体" w:hAnsi="宋体" w:cs="Arial"/>
          <w:sz w:val="24"/>
          <w:u w:val="single"/>
        </w:rPr>
        <w:t xml:space="preserve">       </w:t>
      </w:r>
      <w:r>
        <w:rPr>
          <w:rFonts w:ascii="宋体" w:hAnsi="宋体" w:cs="Arial"/>
          <w:sz w:val="24"/>
          <w:u w:val="single"/>
        </w:rPr>
        <w:t xml:space="preserve">                   </w:t>
      </w:r>
      <w:r>
        <w:rPr>
          <w:rFonts w:ascii="宋体" w:hAnsi="宋体" w:cs="Arial"/>
          <w:sz w:val="24"/>
        </w:rPr>
        <w:t xml:space="preserve">       </w:t>
      </w:r>
      <w:r>
        <w:rPr>
          <w:rFonts w:hint="eastAsia" w:ascii="宋体" w:hAnsi="宋体" w:cs="Arial"/>
          <w:sz w:val="24"/>
        </w:rPr>
        <w:t xml:space="preserve">  </w:t>
      </w:r>
      <w:r>
        <w:rPr>
          <w:rFonts w:ascii="宋体" w:hAnsi="宋体" w:cs="Arial"/>
          <w:sz w:val="24"/>
        </w:rPr>
        <w:t xml:space="preserve"> </w:t>
      </w:r>
      <w:r>
        <w:rPr>
          <w:rFonts w:ascii="宋体" w:hAnsi="宋体" w:cs="Arial"/>
          <w:sz w:val="24"/>
          <w:u w:val="single"/>
        </w:rPr>
        <w:t xml:space="preserve">               </w:t>
      </w:r>
    </w:p>
    <w:p>
      <w:pPr>
        <w:spacing w:line="300" w:lineRule="atLeast"/>
        <w:ind w:left="360"/>
        <w:rPr>
          <w:rFonts w:ascii="宋体" w:hAnsi="宋体" w:cs="Arial"/>
          <w:sz w:val="24"/>
          <w:u w:val="single"/>
        </w:rPr>
      </w:pPr>
      <w:r>
        <w:rPr>
          <w:rFonts w:hint="eastAsia" w:ascii="宋体" w:hAnsi="宋体" w:cs="Arial"/>
          <w:sz w:val="24"/>
          <w:u w:val="single"/>
        </w:rPr>
        <w:t xml:space="preserve">      </w:t>
      </w:r>
      <w:r>
        <w:rPr>
          <w:rFonts w:ascii="宋体" w:hAnsi="宋体" w:cs="Arial"/>
          <w:sz w:val="24"/>
          <w:u w:val="single"/>
        </w:rPr>
        <w:t xml:space="preserve">                    </w:t>
      </w:r>
      <w:r>
        <w:rPr>
          <w:rFonts w:ascii="宋体" w:hAnsi="宋体" w:cs="Arial"/>
          <w:sz w:val="24"/>
        </w:rPr>
        <w:t xml:space="preserve">          </w:t>
      </w:r>
      <w:r>
        <w:rPr>
          <w:rFonts w:ascii="宋体" w:hAnsi="宋体" w:cs="Arial"/>
          <w:sz w:val="24"/>
          <w:u w:val="single"/>
        </w:rPr>
        <w:t xml:space="preserve">               </w:t>
      </w:r>
    </w:p>
    <w:p>
      <w:pPr>
        <w:spacing w:line="300" w:lineRule="atLeast"/>
        <w:ind w:firstLine="240"/>
        <w:rPr>
          <w:rFonts w:ascii="宋体" w:hAnsi="宋体" w:cs="Arial"/>
          <w:sz w:val="24"/>
        </w:rPr>
      </w:pPr>
      <w:r>
        <w:rPr>
          <w:rFonts w:hint="eastAsia" w:ascii="宋体" w:hAnsi="宋体" w:cs="Arial"/>
          <w:sz w:val="24"/>
        </w:rPr>
        <w:t>（6）</w:t>
      </w:r>
      <w:r>
        <w:rPr>
          <w:rFonts w:ascii="宋体" w:hAnsi="宋体" w:cs="Arial"/>
          <w:sz w:val="24"/>
        </w:rPr>
        <w:t xml:space="preserve">营业注册执照号：   </w:t>
      </w:r>
    </w:p>
    <w:p>
      <w:pPr>
        <w:spacing w:line="300" w:lineRule="atLeast"/>
        <w:rPr>
          <w:rFonts w:ascii="宋体" w:hAnsi="宋体" w:cs="Arial"/>
          <w:sz w:val="24"/>
        </w:rPr>
      </w:pPr>
      <w:r>
        <w:rPr>
          <w:rFonts w:ascii="宋体" w:hAnsi="宋体" w:cs="Arial"/>
          <w:sz w:val="24"/>
        </w:rPr>
        <w:t xml:space="preserve">   </w:t>
      </w:r>
    </w:p>
    <w:p>
      <w:pPr>
        <w:spacing w:line="300" w:lineRule="atLeast"/>
        <w:rPr>
          <w:rFonts w:ascii="宋体" w:hAnsi="宋体" w:cs="Arial"/>
          <w:sz w:val="24"/>
        </w:rPr>
      </w:pPr>
      <w:r>
        <w:rPr>
          <w:rFonts w:hint="eastAsia" w:ascii="宋体" w:hAnsi="宋体" w:cs="Arial"/>
          <w:sz w:val="24"/>
        </w:rPr>
        <w:t xml:space="preserve">  （7）其他说明：</w:t>
      </w:r>
    </w:p>
    <w:p>
      <w:pPr>
        <w:spacing w:line="300" w:lineRule="atLeast"/>
        <w:rPr>
          <w:rFonts w:ascii="宋体" w:hAnsi="宋体" w:cs="Arial"/>
          <w:sz w:val="24"/>
        </w:rPr>
      </w:pPr>
      <w:r>
        <w:rPr>
          <w:rFonts w:ascii="宋体" w:hAnsi="宋体" w:cs="Arial"/>
          <w:sz w:val="24"/>
        </w:rPr>
        <w:t xml:space="preserve">        </w:t>
      </w:r>
    </w:p>
    <w:p>
      <w:pPr>
        <w:spacing w:line="300" w:lineRule="atLeast"/>
        <w:rPr>
          <w:rFonts w:ascii="宋体" w:hAnsi="宋体" w:cs="Arial"/>
          <w:sz w:val="24"/>
        </w:rPr>
      </w:pPr>
    </w:p>
    <w:p>
      <w:pPr>
        <w:spacing w:line="300" w:lineRule="atLeast"/>
        <w:rPr>
          <w:rFonts w:ascii="宋体" w:hAnsi="宋体" w:cs="Arial"/>
          <w:sz w:val="24"/>
        </w:rPr>
      </w:pPr>
    </w:p>
    <w:p>
      <w:pPr>
        <w:spacing w:line="300" w:lineRule="atLeast"/>
        <w:ind w:firstLine="570"/>
        <w:rPr>
          <w:rFonts w:ascii="宋体" w:hAnsi="宋体" w:cs="Arial"/>
          <w:sz w:val="24"/>
        </w:rPr>
      </w:pPr>
    </w:p>
    <w:p>
      <w:pPr>
        <w:spacing w:line="300" w:lineRule="atLeast"/>
        <w:ind w:firstLine="570"/>
        <w:rPr>
          <w:rFonts w:ascii="宋体" w:hAnsi="宋体" w:cs="Arial"/>
          <w:sz w:val="24"/>
        </w:rPr>
      </w:pPr>
    </w:p>
    <w:p>
      <w:pPr>
        <w:spacing w:line="300" w:lineRule="atLeast"/>
        <w:ind w:firstLine="570"/>
        <w:rPr>
          <w:rFonts w:ascii="宋体" w:hAnsi="宋体" w:cs="Arial"/>
          <w:sz w:val="24"/>
        </w:rPr>
      </w:pPr>
      <w:r>
        <w:rPr>
          <w:rFonts w:ascii="宋体" w:hAnsi="宋体" w:cs="Arial"/>
          <w:sz w:val="24"/>
        </w:rPr>
        <w:t>我/我们声明以上所述是正确无误的，您有权进行您认为必要的所有调查。</w:t>
      </w:r>
    </w:p>
    <w:p>
      <w:pPr>
        <w:spacing w:line="300" w:lineRule="atLeast"/>
        <w:rPr>
          <w:rFonts w:ascii="宋体" w:hAnsi="宋体" w:cs="Arial"/>
          <w:sz w:val="24"/>
        </w:rPr>
      </w:pPr>
    </w:p>
    <w:p>
      <w:pPr>
        <w:spacing w:line="300" w:lineRule="atLeast"/>
        <w:rPr>
          <w:rFonts w:ascii="宋体" w:hAnsi="宋体" w:cs="Arial"/>
          <w:sz w:val="24"/>
        </w:rPr>
      </w:pPr>
    </w:p>
    <w:p>
      <w:pPr>
        <w:spacing w:line="300" w:lineRule="atLeast"/>
        <w:ind w:firstLine="480" w:firstLineChars="200"/>
        <w:rPr>
          <w:rFonts w:ascii="宋体" w:hAnsi="宋体" w:cs="Arial"/>
          <w:sz w:val="24"/>
        </w:rPr>
      </w:pPr>
      <w:r>
        <w:rPr>
          <w:rFonts w:ascii="宋体" w:hAnsi="宋体" w:cs="Arial"/>
          <w:sz w:val="24"/>
        </w:rPr>
        <w:t xml:space="preserve">日期：                         </w:t>
      </w:r>
    </w:p>
    <w:p>
      <w:pPr>
        <w:spacing w:line="300" w:lineRule="atLeast"/>
        <w:ind w:firstLine="480" w:firstLineChars="200"/>
        <w:rPr>
          <w:rFonts w:ascii="宋体" w:hAnsi="宋体" w:cs="Arial"/>
          <w:sz w:val="24"/>
        </w:rPr>
      </w:pPr>
    </w:p>
    <w:p>
      <w:pPr>
        <w:spacing w:line="300" w:lineRule="atLeast"/>
        <w:ind w:firstLine="480" w:firstLineChars="200"/>
        <w:rPr>
          <w:rFonts w:ascii="宋体" w:hAnsi="宋体" w:cs="Arial"/>
          <w:sz w:val="24"/>
        </w:rPr>
      </w:pPr>
    </w:p>
    <w:p>
      <w:pPr>
        <w:spacing w:line="300" w:lineRule="atLeast"/>
        <w:ind w:firstLine="480" w:firstLineChars="200"/>
        <w:rPr>
          <w:rFonts w:ascii="宋体" w:hAnsi="宋体" w:cs="Arial"/>
          <w:sz w:val="24"/>
        </w:rPr>
      </w:pPr>
      <w:r>
        <w:rPr>
          <w:rFonts w:hint="eastAsia" w:ascii="宋体" w:hAnsi="宋体" w:cs="Arial"/>
          <w:sz w:val="24"/>
        </w:rPr>
        <w:t>投标人名称</w:t>
      </w:r>
      <w:r>
        <w:rPr>
          <w:rFonts w:ascii="宋体" w:hAnsi="宋体" w:cs="Arial"/>
          <w:sz w:val="24"/>
        </w:rPr>
        <w:t>：            (</w:t>
      </w:r>
      <w:r>
        <w:rPr>
          <w:rFonts w:hint="eastAsia" w:ascii="宋体" w:hAnsi="宋体" w:cs="Arial"/>
          <w:sz w:val="24"/>
        </w:rPr>
        <w:t>公</w:t>
      </w:r>
      <w:r>
        <w:rPr>
          <w:rFonts w:ascii="宋体" w:hAnsi="宋体" w:cs="Arial"/>
          <w:sz w:val="24"/>
        </w:rPr>
        <w:t>章)</w:t>
      </w:r>
      <w:r>
        <w:rPr>
          <w:rFonts w:hint="eastAsia" w:ascii="宋体" w:hAnsi="宋体" w:cs="Arial"/>
          <w:sz w:val="24"/>
        </w:rPr>
        <w:t xml:space="preserve">  </w:t>
      </w:r>
    </w:p>
    <w:p>
      <w:pPr>
        <w:spacing w:line="300" w:lineRule="atLeast"/>
        <w:jc w:val="center"/>
        <w:rPr>
          <w:rFonts w:ascii="宋体" w:hAnsi="宋体" w:cs="Arial"/>
          <w:sz w:val="24"/>
        </w:rPr>
      </w:pPr>
      <w:r>
        <w:rPr>
          <w:rFonts w:ascii="宋体" w:hAnsi="宋体" w:cs="Arial"/>
          <w:sz w:val="24"/>
        </w:rPr>
        <w:br w:type="page"/>
      </w:r>
    </w:p>
    <w:p>
      <w:pPr>
        <w:spacing w:line="360" w:lineRule="auto"/>
        <w:ind w:firstLine="480" w:firstLineChars="200"/>
        <w:rPr>
          <w:rFonts w:asciiTheme="minorEastAsia" w:hAnsiTheme="minorEastAsia" w:eastAsiaTheme="minorEastAsia"/>
          <w:sz w:val="24"/>
        </w:rPr>
        <w:sectPr>
          <w:headerReference r:id="rId14" w:type="first"/>
          <w:footerReference r:id="rId15" w:type="first"/>
          <w:headerReference r:id="rId13" w:type="default"/>
          <w:pgSz w:w="11907" w:h="16840"/>
          <w:pgMar w:top="1440" w:right="1800" w:bottom="1440" w:left="1800" w:header="851" w:footer="828" w:gutter="0"/>
          <w:pgNumType w:fmt="numberInDash"/>
          <w:cols w:space="425" w:num="1"/>
          <w:docGrid w:linePitch="312" w:charSpace="0"/>
        </w:sectPr>
      </w:pPr>
    </w:p>
    <w:p>
      <w:pPr>
        <w:spacing w:line="360" w:lineRule="auto"/>
        <w:jc w:val="center"/>
        <w:rPr>
          <w:rFonts w:ascii="宋体" w:hAnsi="宋体"/>
          <w:bCs/>
          <w:sz w:val="24"/>
        </w:rPr>
      </w:pPr>
      <w:r>
        <w:rPr>
          <w:rFonts w:hint="eastAsia" w:ascii="宋体" w:hAnsi="宋体"/>
          <w:b/>
          <w:sz w:val="24"/>
        </w:rPr>
        <w:t>（二）</w:t>
      </w:r>
      <w:r>
        <w:rPr>
          <w:rFonts w:hint="eastAsia" w:ascii="宋体" w:hAnsi="宋体"/>
          <w:bCs/>
          <w:sz w:val="24"/>
        </w:rPr>
        <w:t>类似项目业绩一览表</w:t>
      </w:r>
    </w:p>
    <w:p>
      <w:pPr>
        <w:rPr>
          <w:rFonts w:ascii="宋体" w:hAnsi="宋体" w:cs="Arial"/>
          <w:sz w:val="24"/>
        </w:rPr>
      </w:pPr>
      <w:r>
        <w:rPr>
          <w:rFonts w:ascii="宋体" w:hAnsi="宋体" w:cs="Arial"/>
          <w:sz w:val="24"/>
        </w:rPr>
        <w:t>投标人:</w:t>
      </w:r>
    </w:p>
    <w:tbl>
      <w:tblPr>
        <w:tblStyle w:val="20"/>
        <w:tblW w:w="5000" w:type="pct"/>
        <w:tblInd w:w="0" w:type="dxa"/>
        <w:tblLayout w:type="autofit"/>
        <w:tblCellMar>
          <w:top w:w="0" w:type="dxa"/>
          <w:left w:w="108" w:type="dxa"/>
          <w:bottom w:w="0" w:type="dxa"/>
          <w:right w:w="108" w:type="dxa"/>
        </w:tblCellMar>
      </w:tblPr>
      <w:tblGrid>
        <w:gridCol w:w="672"/>
        <w:gridCol w:w="1280"/>
        <w:gridCol w:w="1060"/>
        <w:gridCol w:w="1348"/>
        <w:gridCol w:w="1070"/>
        <w:gridCol w:w="786"/>
        <w:gridCol w:w="2307"/>
      </w:tblGrid>
      <w:tr>
        <w:tblPrEx>
          <w:tblCellMar>
            <w:top w:w="0" w:type="dxa"/>
            <w:left w:w="108" w:type="dxa"/>
            <w:bottom w:w="0" w:type="dxa"/>
            <w:right w:w="108" w:type="dxa"/>
          </w:tblCellMar>
        </w:tblPrEx>
        <w:trPr>
          <w:trHeight w:val="328" w:hRule="atLeast"/>
        </w:trPr>
        <w:tc>
          <w:tcPr>
            <w:tcW w:w="394" w:type="pct"/>
            <w:tcBorders>
              <w:top w:val="single" w:color="000000" w:sz="4" w:space="0"/>
              <w:left w:val="single" w:color="000000" w:sz="4" w:space="0"/>
              <w:bottom w:val="single" w:color="000000" w:sz="4" w:space="0"/>
            </w:tcBorders>
            <w:vAlign w:val="center"/>
          </w:tcPr>
          <w:p>
            <w:pPr>
              <w:snapToGrid w:val="0"/>
              <w:jc w:val="center"/>
              <w:rPr>
                <w:rFonts w:ascii="宋体" w:hAnsi="宋体" w:cs="Arial"/>
                <w:sz w:val="24"/>
              </w:rPr>
            </w:pPr>
            <w:r>
              <w:rPr>
                <w:rFonts w:ascii="宋体" w:hAnsi="宋体" w:cs="Arial"/>
                <w:sz w:val="24"/>
              </w:rPr>
              <w:t>序号</w:t>
            </w:r>
          </w:p>
        </w:tc>
        <w:tc>
          <w:tcPr>
            <w:tcW w:w="751" w:type="pct"/>
            <w:tcBorders>
              <w:top w:val="single" w:color="000000" w:sz="4" w:space="0"/>
              <w:left w:val="single" w:color="000000" w:sz="4" w:space="0"/>
              <w:bottom w:val="single" w:color="000000" w:sz="4" w:space="0"/>
            </w:tcBorders>
            <w:vAlign w:val="center"/>
          </w:tcPr>
          <w:p>
            <w:pPr>
              <w:snapToGrid w:val="0"/>
              <w:jc w:val="center"/>
              <w:rPr>
                <w:rFonts w:ascii="宋体" w:hAnsi="宋体" w:cs="Arial"/>
                <w:sz w:val="24"/>
              </w:rPr>
            </w:pPr>
            <w:r>
              <w:rPr>
                <w:rFonts w:ascii="宋体" w:hAnsi="宋体" w:cs="Arial"/>
                <w:sz w:val="24"/>
              </w:rPr>
              <w:t>项目名称</w:t>
            </w:r>
          </w:p>
        </w:tc>
        <w:tc>
          <w:tcPr>
            <w:tcW w:w="622" w:type="pct"/>
            <w:tcBorders>
              <w:top w:val="single" w:color="000000" w:sz="4" w:space="0"/>
              <w:left w:val="single" w:color="000000" w:sz="4" w:space="0"/>
              <w:bottom w:val="single" w:color="000000" w:sz="4" w:space="0"/>
            </w:tcBorders>
            <w:vAlign w:val="center"/>
          </w:tcPr>
          <w:p>
            <w:pPr>
              <w:snapToGrid w:val="0"/>
              <w:jc w:val="center"/>
              <w:rPr>
                <w:rFonts w:ascii="宋体" w:hAnsi="宋体" w:cs="Arial"/>
                <w:sz w:val="24"/>
              </w:rPr>
            </w:pPr>
            <w:r>
              <w:rPr>
                <w:rFonts w:ascii="宋体" w:hAnsi="宋体" w:cs="Arial"/>
                <w:sz w:val="24"/>
              </w:rPr>
              <w:t>采购人</w:t>
            </w:r>
          </w:p>
        </w:tc>
        <w:tc>
          <w:tcPr>
            <w:tcW w:w="791" w:type="pct"/>
            <w:tcBorders>
              <w:top w:val="single" w:color="000000" w:sz="4" w:space="0"/>
              <w:left w:val="single" w:color="000000" w:sz="4" w:space="0"/>
              <w:bottom w:val="single" w:color="000000" w:sz="4" w:space="0"/>
            </w:tcBorders>
            <w:vAlign w:val="center"/>
          </w:tcPr>
          <w:p>
            <w:pPr>
              <w:snapToGrid w:val="0"/>
              <w:jc w:val="center"/>
              <w:rPr>
                <w:rFonts w:ascii="宋体" w:hAnsi="宋体" w:cs="Arial"/>
                <w:sz w:val="24"/>
              </w:rPr>
            </w:pPr>
            <w:r>
              <w:rPr>
                <w:rFonts w:ascii="宋体" w:hAnsi="宋体" w:cs="Arial"/>
                <w:sz w:val="24"/>
              </w:rPr>
              <w:t>采购时间</w:t>
            </w:r>
          </w:p>
        </w:tc>
        <w:tc>
          <w:tcPr>
            <w:tcW w:w="628" w:type="pct"/>
            <w:tcBorders>
              <w:top w:val="single" w:color="000000" w:sz="4" w:space="0"/>
              <w:left w:val="single" w:color="000000" w:sz="4" w:space="0"/>
              <w:bottom w:val="single" w:color="000000" w:sz="4" w:space="0"/>
              <w:right w:val="single" w:color="auto" w:sz="4" w:space="0"/>
            </w:tcBorders>
            <w:vAlign w:val="center"/>
          </w:tcPr>
          <w:p>
            <w:pPr>
              <w:snapToGrid w:val="0"/>
              <w:spacing w:line="260" w:lineRule="exact"/>
              <w:jc w:val="center"/>
              <w:rPr>
                <w:rFonts w:ascii="宋体" w:hAnsi="宋体" w:cs="Arial"/>
                <w:sz w:val="24"/>
              </w:rPr>
            </w:pPr>
            <w:r>
              <w:rPr>
                <w:rFonts w:ascii="宋体" w:hAnsi="宋体" w:cs="Arial"/>
                <w:sz w:val="24"/>
              </w:rPr>
              <w:t>数量</w:t>
            </w:r>
          </w:p>
        </w:tc>
        <w:tc>
          <w:tcPr>
            <w:tcW w:w="461" w:type="pct"/>
            <w:tcBorders>
              <w:top w:val="single" w:color="000000" w:sz="4" w:space="0"/>
              <w:left w:val="single" w:color="auto" w:sz="4" w:space="0"/>
              <w:bottom w:val="single" w:color="000000" w:sz="4" w:space="0"/>
            </w:tcBorders>
            <w:vAlign w:val="center"/>
          </w:tcPr>
          <w:p>
            <w:pPr>
              <w:snapToGrid w:val="0"/>
              <w:spacing w:line="260" w:lineRule="exact"/>
              <w:jc w:val="center"/>
              <w:rPr>
                <w:rFonts w:ascii="宋体" w:hAnsi="宋体" w:cs="Arial"/>
                <w:sz w:val="24"/>
              </w:rPr>
            </w:pPr>
            <w:r>
              <w:rPr>
                <w:rFonts w:hint="eastAsia" w:ascii="宋体" w:hAnsi="宋体" w:cs="Arial"/>
                <w:sz w:val="24"/>
              </w:rPr>
              <w:t>金额</w:t>
            </w:r>
          </w:p>
        </w:tc>
        <w:tc>
          <w:tcPr>
            <w:tcW w:w="1353" w:type="pct"/>
            <w:tcBorders>
              <w:top w:val="single" w:color="000000" w:sz="4" w:space="0"/>
              <w:left w:val="single" w:color="000000" w:sz="4" w:space="0"/>
              <w:bottom w:val="single" w:color="000000" w:sz="4" w:space="0"/>
              <w:right w:val="single" w:color="000000" w:sz="4" w:space="0"/>
            </w:tcBorders>
            <w:vAlign w:val="center"/>
          </w:tcPr>
          <w:p>
            <w:pPr>
              <w:snapToGrid w:val="0"/>
              <w:spacing w:line="260" w:lineRule="exact"/>
              <w:jc w:val="center"/>
              <w:rPr>
                <w:rFonts w:ascii="宋体" w:hAnsi="宋体" w:cs="Arial"/>
                <w:sz w:val="24"/>
              </w:rPr>
            </w:pPr>
            <w:r>
              <w:rPr>
                <w:rFonts w:ascii="宋体" w:hAnsi="宋体" w:cs="Arial"/>
                <w:sz w:val="24"/>
              </w:rPr>
              <w:t>单位联系人电话</w:t>
            </w:r>
          </w:p>
        </w:tc>
      </w:tr>
      <w:tr>
        <w:tblPrEx>
          <w:tblCellMar>
            <w:top w:w="0" w:type="dxa"/>
            <w:left w:w="108" w:type="dxa"/>
            <w:bottom w:w="0" w:type="dxa"/>
            <w:right w:w="108" w:type="dxa"/>
          </w:tblCellMar>
        </w:tblPrEx>
        <w:trPr>
          <w:trHeight w:val="310" w:hRule="atLeast"/>
        </w:trPr>
        <w:tc>
          <w:tcPr>
            <w:tcW w:w="394" w:type="pct"/>
            <w:tcBorders>
              <w:left w:val="single" w:color="000000" w:sz="4" w:space="0"/>
              <w:bottom w:val="single" w:color="000000" w:sz="4" w:space="0"/>
            </w:tcBorders>
            <w:vAlign w:val="center"/>
          </w:tcPr>
          <w:p>
            <w:pPr>
              <w:tabs>
                <w:tab w:val="left" w:pos="300"/>
              </w:tabs>
              <w:snapToGrid w:val="0"/>
              <w:jc w:val="center"/>
              <w:rPr>
                <w:rFonts w:ascii="宋体" w:hAnsi="宋体" w:cs="Arial"/>
                <w:sz w:val="24"/>
              </w:rPr>
            </w:pPr>
          </w:p>
        </w:tc>
        <w:tc>
          <w:tcPr>
            <w:tcW w:w="75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2"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9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8" w:type="pct"/>
            <w:tcBorders>
              <w:left w:val="single" w:color="000000" w:sz="4" w:space="0"/>
              <w:bottom w:val="single" w:color="000000" w:sz="4" w:space="0"/>
              <w:right w:val="single" w:color="auto" w:sz="4" w:space="0"/>
            </w:tcBorders>
            <w:vAlign w:val="center"/>
          </w:tcPr>
          <w:p>
            <w:pPr>
              <w:snapToGrid w:val="0"/>
              <w:jc w:val="center"/>
              <w:rPr>
                <w:rFonts w:ascii="宋体" w:hAnsi="宋体" w:cs="Arial"/>
                <w:sz w:val="24"/>
              </w:rPr>
            </w:pPr>
          </w:p>
        </w:tc>
        <w:tc>
          <w:tcPr>
            <w:tcW w:w="461" w:type="pct"/>
            <w:tcBorders>
              <w:left w:val="single" w:color="auto" w:sz="4" w:space="0"/>
              <w:bottom w:val="single" w:color="000000" w:sz="4" w:space="0"/>
            </w:tcBorders>
            <w:vAlign w:val="center"/>
          </w:tcPr>
          <w:p>
            <w:pPr>
              <w:snapToGrid w:val="0"/>
              <w:jc w:val="center"/>
              <w:rPr>
                <w:rFonts w:ascii="宋体" w:hAnsi="宋体" w:cs="Arial"/>
                <w:sz w:val="24"/>
              </w:rPr>
            </w:pPr>
          </w:p>
        </w:tc>
        <w:tc>
          <w:tcPr>
            <w:tcW w:w="1353" w:type="pct"/>
            <w:tcBorders>
              <w:left w:val="single" w:color="000000" w:sz="4" w:space="0"/>
              <w:bottom w:val="single" w:color="000000" w:sz="4" w:space="0"/>
              <w:right w:val="single" w:color="000000" w:sz="4" w:space="0"/>
            </w:tcBorders>
            <w:vAlign w:val="center"/>
          </w:tcPr>
          <w:p>
            <w:pPr>
              <w:snapToGrid w:val="0"/>
              <w:jc w:val="center"/>
              <w:rPr>
                <w:rFonts w:ascii="宋体" w:hAnsi="宋体" w:cs="Arial"/>
                <w:sz w:val="24"/>
              </w:rPr>
            </w:pPr>
          </w:p>
        </w:tc>
      </w:tr>
      <w:tr>
        <w:tblPrEx>
          <w:tblCellMar>
            <w:top w:w="0" w:type="dxa"/>
            <w:left w:w="108" w:type="dxa"/>
            <w:bottom w:w="0" w:type="dxa"/>
            <w:right w:w="108" w:type="dxa"/>
          </w:tblCellMar>
        </w:tblPrEx>
        <w:trPr>
          <w:trHeight w:val="310" w:hRule="atLeast"/>
        </w:trPr>
        <w:tc>
          <w:tcPr>
            <w:tcW w:w="394"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5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2"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9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8" w:type="pct"/>
            <w:tcBorders>
              <w:left w:val="single" w:color="000000" w:sz="4" w:space="0"/>
              <w:bottom w:val="single" w:color="000000" w:sz="4" w:space="0"/>
              <w:right w:val="single" w:color="auto" w:sz="4" w:space="0"/>
            </w:tcBorders>
            <w:vAlign w:val="center"/>
          </w:tcPr>
          <w:p>
            <w:pPr>
              <w:snapToGrid w:val="0"/>
              <w:jc w:val="center"/>
              <w:rPr>
                <w:rFonts w:ascii="宋体" w:hAnsi="宋体" w:cs="Arial"/>
                <w:sz w:val="24"/>
              </w:rPr>
            </w:pPr>
          </w:p>
        </w:tc>
        <w:tc>
          <w:tcPr>
            <w:tcW w:w="461" w:type="pct"/>
            <w:tcBorders>
              <w:left w:val="single" w:color="auto" w:sz="4" w:space="0"/>
              <w:bottom w:val="single" w:color="000000" w:sz="4" w:space="0"/>
            </w:tcBorders>
            <w:vAlign w:val="center"/>
          </w:tcPr>
          <w:p>
            <w:pPr>
              <w:snapToGrid w:val="0"/>
              <w:jc w:val="center"/>
              <w:rPr>
                <w:rFonts w:ascii="宋体" w:hAnsi="宋体" w:cs="Arial"/>
                <w:sz w:val="24"/>
              </w:rPr>
            </w:pPr>
          </w:p>
        </w:tc>
        <w:tc>
          <w:tcPr>
            <w:tcW w:w="1353" w:type="pct"/>
            <w:tcBorders>
              <w:left w:val="single" w:color="000000" w:sz="4" w:space="0"/>
              <w:bottom w:val="single" w:color="000000" w:sz="4" w:space="0"/>
              <w:right w:val="single" w:color="000000" w:sz="4" w:space="0"/>
            </w:tcBorders>
            <w:vAlign w:val="center"/>
          </w:tcPr>
          <w:p>
            <w:pPr>
              <w:snapToGrid w:val="0"/>
              <w:jc w:val="center"/>
              <w:rPr>
                <w:rFonts w:ascii="宋体" w:hAnsi="宋体" w:cs="Arial"/>
                <w:sz w:val="24"/>
              </w:rPr>
            </w:pPr>
          </w:p>
        </w:tc>
      </w:tr>
      <w:tr>
        <w:tblPrEx>
          <w:tblCellMar>
            <w:top w:w="0" w:type="dxa"/>
            <w:left w:w="108" w:type="dxa"/>
            <w:bottom w:w="0" w:type="dxa"/>
            <w:right w:w="108" w:type="dxa"/>
          </w:tblCellMar>
        </w:tblPrEx>
        <w:trPr>
          <w:trHeight w:val="310" w:hRule="atLeast"/>
        </w:trPr>
        <w:tc>
          <w:tcPr>
            <w:tcW w:w="394"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5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2"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9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8" w:type="pct"/>
            <w:tcBorders>
              <w:left w:val="single" w:color="000000" w:sz="4" w:space="0"/>
              <w:bottom w:val="single" w:color="000000" w:sz="4" w:space="0"/>
              <w:right w:val="single" w:color="auto" w:sz="4" w:space="0"/>
            </w:tcBorders>
            <w:vAlign w:val="center"/>
          </w:tcPr>
          <w:p>
            <w:pPr>
              <w:snapToGrid w:val="0"/>
              <w:jc w:val="center"/>
              <w:rPr>
                <w:rFonts w:ascii="宋体" w:hAnsi="宋体" w:cs="Arial"/>
                <w:sz w:val="24"/>
              </w:rPr>
            </w:pPr>
          </w:p>
        </w:tc>
        <w:tc>
          <w:tcPr>
            <w:tcW w:w="461" w:type="pct"/>
            <w:tcBorders>
              <w:left w:val="single" w:color="auto" w:sz="4" w:space="0"/>
              <w:bottom w:val="single" w:color="000000" w:sz="4" w:space="0"/>
            </w:tcBorders>
            <w:vAlign w:val="center"/>
          </w:tcPr>
          <w:p>
            <w:pPr>
              <w:snapToGrid w:val="0"/>
              <w:jc w:val="center"/>
              <w:rPr>
                <w:rFonts w:ascii="宋体" w:hAnsi="宋体" w:cs="Arial"/>
                <w:sz w:val="24"/>
              </w:rPr>
            </w:pPr>
          </w:p>
        </w:tc>
        <w:tc>
          <w:tcPr>
            <w:tcW w:w="1353" w:type="pct"/>
            <w:tcBorders>
              <w:left w:val="single" w:color="000000" w:sz="4" w:space="0"/>
              <w:bottom w:val="single" w:color="000000" w:sz="4" w:space="0"/>
              <w:right w:val="single" w:color="000000" w:sz="4" w:space="0"/>
            </w:tcBorders>
            <w:vAlign w:val="center"/>
          </w:tcPr>
          <w:p>
            <w:pPr>
              <w:snapToGrid w:val="0"/>
              <w:jc w:val="center"/>
              <w:rPr>
                <w:rFonts w:ascii="宋体" w:hAnsi="宋体" w:cs="Arial"/>
                <w:sz w:val="24"/>
              </w:rPr>
            </w:pPr>
          </w:p>
        </w:tc>
      </w:tr>
      <w:tr>
        <w:tblPrEx>
          <w:tblCellMar>
            <w:top w:w="0" w:type="dxa"/>
            <w:left w:w="108" w:type="dxa"/>
            <w:bottom w:w="0" w:type="dxa"/>
            <w:right w:w="108" w:type="dxa"/>
          </w:tblCellMar>
        </w:tblPrEx>
        <w:trPr>
          <w:trHeight w:val="328" w:hRule="atLeast"/>
        </w:trPr>
        <w:tc>
          <w:tcPr>
            <w:tcW w:w="394"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5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2"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9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8" w:type="pct"/>
            <w:tcBorders>
              <w:left w:val="single" w:color="000000" w:sz="4" w:space="0"/>
              <w:bottom w:val="single" w:color="000000" w:sz="4" w:space="0"/>
              <w:right w:val="single" w:color="auto" w:sz="4" w:space="0"/>
            </w:tcBorders>
            <w:vAlign w:val="center"/>
          </w:tcPr>
          <w:p>
            <w:pPr>
              <w:snapToGrid w:val="0"/>
              <w:jc w:val="center"/>
              <w:rPr>
                <w:rFonts w:ascii="宋体" w:hAnsi="宋体" w:cs="Arial"/>
                <w:sz w:val="24"/>
              </w:rPr>
            </w:pPr>
          </w:p>
        </w:tc>
        <w:tc>
          <w:tcPr>
            <w:tcW w:w="461" w:type="pct"/>
            <w:tcBorders>
              <w:left w:val="single" w:color="auto" w:sz="4" w:space="0"/>
              <w:bottom w:val="single" w:color="000000" w:sz="4" w:space="0"/>
            </w:tcBorders>
            <w:vAlign w:val="center"/>
          </w:tcPr>
          <w:p>
            <w:pPr>
              <w:snapToGrid w:val="0"/>
              <w:jc w:val="center"/>
              <w:rPr>
                <w:rFonts w:ascii="宋体" w:hAnsi="宋体" w:cs="Arial"/>
                <w:sz w:val="24"/>
              </w:rPr>
            </w:pPr>
          </w:p>
        </w:tc>
        <w:tc>
          <w:tcPr>
            <w:tcW w:w="1353" w:type="pct"/>
            <w:tcBorders>
              <w:left w:val="single" w:color="000000" w:sz="4" w:space="0"/>
              <w:bottom w:val="single" w:color="000000" w:sz="4" w:space="0"/>
              <w:right w:val="single" w:color="000000" w:sz="4" w:space="0"/>
            </w:tcBorders>
            <w:vAlign w:val="center"/>
          </w:tcPr>
          <w:p>
            <w:pPr>
              <w:snapToGrid w:val="0"/>
              <w:jc w:val="center"/>
              <w:rPr>
                <w:rFonts w:ascii="宋体" w:hAnsi="宋体" w:cs="Arial"/>
                <w:sz w:val="24"/>
              </w:rPr>
            </w:pPr>
          </w:p>
        </w:tc>
      </w:tr>
      <w:tr>
        <w:tblPrEx>
          <w:tblCellMar>
            <w:top w:w="0" w:type="dxa"/>
            <w:left w:w="108" w:type="dxa"/>
            <w:bottom w:w="0" w:type="dxa"/>
            <w:right w:w="108" w:type="dxa"/>
          </w:tblCellMar>
        </w:tblPrEx>
        <w:trPr>
          <w:trHeight w:val="310" w:hRule="atLeast"/>
        </w:trPr>
        <w:tc>
          <w:tcPr>
            <w:tcW w:w="394"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5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2"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9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8" w:type="pct"/>
            <w:tcBorders>
              <w:left w:val="single" w:color="000000" w:sz="4" w:space="0"/>
              <w:bottom w:val="single" w:color="000000" w:sz="4" w:space="0"/>
              <w:right w:val="single" w:color="auto" w:sz="4" w:space="0"/>
            </w:tcBorders>
            <w:vAlign w:val="center"/>
          </w:tcPr>
          <w:p>
            <w:pPr>
              <w:snapToGrid w:val="0"/>
              <w:jc w:val="center"/>
              <w:rPr>
                <w:rFonts w:ascii="宋体" w:hAnsi="宋体" w:cs="Arial"/>
                <w:sz w:val="24"/>
              </w:rPr>
            </w:pPr>
          </w:p>
        </w:tc>
        <w:tc>
          <w:tcPr>
            <w:tcW w:w="461" w:type="pct"/>
            <w:tcBorders>
              <w:left w:val="single" w:color="auto" w:sz="4" w:space="0"/>
              <w:bottom w:val="single" w:color="000000" w:sz="4" w:space="0"/>
            </w:tcBorders>
            <w:vAlign w:val="center"/>
          </w:tcPr>
          <w:p>
            <w:pPr>
              <w:snapToGrid w:val="0"/>
              <w:jc w:val="center"/>
              <w:rPr>
                <w:rFonts w:ascii="宋体" w:hAnsi="宋体" w:cs="Arial"/>
                <w:sz w:val="24"/>
              </w:rPr>
            </w:pPr>
          </w:p>
        </w:tc>
        <w:tc>
          <w:tcPr>
            <w:tcW w:w="1353" w:type="pct"/>
            <w:tcBorders>
              <w:left w:val="single" w:color="000000" w:sz="4" w:space="0"/>
              <w:bottom w:val="single" w:color="000000" w:sz="4" w:space="0"/>
              <w:right w:val="single" w:color="000000" w:sz="4" w:space="0"/>
            </w:tcBorders>
            <w:vAlign w:val="center"/>
          </w:tcPr>
          <w:p>
            <w:pPr>
              <w:snapToGrid w:val="0"/>
              <w:jc w:val="center"/>
              <w:rPr>
                <w:rFonts w:ascii="宋体" w:hAnsi="宋体" w:cs="Arial"/>
                <w:sz w:val="24"/>
              </w:rPr>
            </w:pPr>
          </w:p>
        </w:tc>
      </w:tr>
      <w:tr>
        <w:tblPrEx>
          <w:tblCellMar>
            <w:top w:w="0" w:type="dxa"/>
            <w:left w:w="108" w:type="dxa"/>
            <w:bottom w:w="0" w:type="dxa"/>
            <w:right w:w="108" w:type="dxa"/>
          </w:tblCellMar>
        </w:tblPrEx>
        <w:trPr>
          <w:trHeight w:val="310" w:hRule="atLeast"/>
        </w:trPr>
        <w:tc>
          <w:tcPr>
            <w:tcW w:w="394"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5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2"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9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8" w:type="pct"/>
            <w:tcBorders>
              <w:left w:val="single" w:color="000000" w:sz="4" w:space="0"/>
              <w:bottom w:val="single" w:color="000000" w:sz="4" w:space="0"/>
              <w:right w:val="single" w:color="auto" w:sz="4" w:space="0"/>
            </w:tcBorders>
            <w:vAlign w:val="center"/>
          </w:tcPr>
          <w:p>
            <w:pPr>
              <w:snapToGrid w:val="0"/>
              <w:jc w:val="center"/>
              <w:rPr>
                <w:rFonts w:ascii="宋体" w:hAnsi="宋体" w:cs="Arial"/>
                <w:sz w:val="24"/>
              </w:rPr>
            </w:pPr>
          </w:p>
        </w:tc>
        <w:tc>
          <w:tcPr>
            <w:tcW w:w="461" w:type="pct"/>
            <w:tcBorders>
              <w:left w:val="single" w:color="auto" w:sz="4" w:space="0"/>
              <w:bottom w:val="single" w:color="000000" w:sz="4" w:space="0"/>
            </w:tcBorders>
            <w:vAlign w:val="center"/>
          </w:tcPr>
          <w:p>
            <w:pPr>
              <w:snapToGrid w:val="0"/>
              <w:jc w:val="center"/>
              <w:rPr>
                <w:rFonts w:ascii="宋体" w:hAnsi="宋体" w:cs="Arial"/>
                <w:sz w:val="24"/>
              </w:rPr>
            </w:pPr>
          </w:p>
        </w:tc>
        <w:tc>
          <w:tcPr>
            <w:tcW w:w="1353" w:type="pct"/>
            <w:tcBorders>
              <w:left w:val="single" w:color="000000" w:sz="4" w:space="0"/>
              <w:bottom w:val="single" w:color="000000" w:sz="4" w:space="0"/>
              <w:right w:val="single" w:color="000000" w:sz="4" w:space="0"/>
            </w:tcBorders>
            <w:vAlign w:val="center"/>
          </w:tcPr>
          <w:p>
            <w:pPr>
              <w:snapToGrid w:val="0"/>
              <w:jc w:val="center"/>
              <w:rPr>
                <w:rFonts w:ascii="宋体" w:hAnsi="宋体" w:cs="Arial"/>
                <w:sz w:val="24"/>
              </w:rPr>
            </w:pPr>
          </w:p>
        </w:tc>
      </w:tr>
      <w:tr>
        <w:tblPrEx>
          <w:tblCellMar>
            <w:top w:w="0" w:type="dxa"/>
            <w:left w:w="108" w:type="dxa"/>
            <w:bottom w:w="0" w:type="dxa"/>
            <w:right w:w="108" w:type="dxa"/>
          </w:tblCellMar>
        </w:tblPrEx>
        <w:trPr>
          <w:trHeight w:val="328" w:hRule="atLeast"/>
        </w:trPr>
        <w:tc>
          <w:tcPr>
            <w:tcW w:w="394"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5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2"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9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8" w:type="pct"/>
            <w:tcBorders>
              <w:left w:val="single" w:color="000000" w:sz="4" w:space="0"/>
              <w:bottom w:val="single" w:color="000000" w:sz="4" w:space="0"/>
              <w:right w:val="single" w:color="auto" w:sz="4" w:space="0"/>
            </w:tcBorders>
            <w:vAlign w:val="center"/>
          </w:tcPr>
          <w:p>
            <w:pPr>
              <w:snapToGrid w:val="0"/>
              <w:jc w:val="center"/>
              <w:rPr>
                <w:rFonts w:ascii="宋体" w:hAnsi="宋体" w:cs="Arial"/>
                <w:sz w:val="24"/>
              </w:rPr>
            </w:pPr>
          </w:p>
        </w:tc>
        <w:tc>
          <w:tcPr>
            <w:tcW w:w="461" w:type="pct"/>
            <w:tcBorders>
              <w:left w:val="single" w:color="auto" w:sz="4" w:space="0"/>
              <w:bottom w:val="single" w:color="000000" w:sz="4" w:space="0"/>
            </w:tcBorders>
            <w:vAlign w:val="center"/>
          </w:tcPr>
          <w:p>
            <w:pPr>
              <w:snapToGrid w:val="0"/>
              <w:jc w:val="center"/>
              <w:rPr>
                <w:rFonts w:ascii="宋体" w:hAnsi="宋体" w:cs="Arial"/>
                <w:sz w:val="24"/>
              </w:rPr>
            </w:pPr>
          </w:p>
        </w:tc>
        <w:tc>
          <w:tcPr>
            <w:tcW w:w="1353" w:type="pct"/>
            <w:tcBorders>
              <w:left w:val="single" w:color="000000" w:sz="4" w:space="0"/>
              <w:bottom w:val="single" w:color="000000" w:sz="4" w:space="0"/>
              <w:right w:val="single" w:color="000000" w:sz="4" w:space="0"/>
            </w:tcBorders>
            <w:vAlign w:val="center"/>
          </w:tcPr>
          <w:p>
            <w:pPr>
              <w:snapToGrid w:val="0"/>
              <w:jc w:val="center"/>
              <w:rPr>
                <w:rFonts w:ascii="宋体" w:hAnsi="宋体" w:cs="Arial"/>
                <w:sz w:val="24"/>
              </w:rPr>
            </w:pPr>
          </w:p>
        </w:tc>
      </w:tr>
      <w:tr>
        <w:tblPrEx>
          <w:tblCellMar>
            <w:top w:w="0" w:type="dxa"/>
            <w:left w:w="108" w:type="dxa"/>
            <w:bottom w:w="0" w:type="dxa"/>
            <w:right w:w="108" w:type="dxa"/>
          </w:tblCellMar>
        </w:tblPrEx>
        <w:trPr>
          <w:trHeight w:val="310" w:hRule="atLeast"/>
        </w:trPr>
        <w:tc>
          <w:tcPr>
            <w:tcW w:w="394"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5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2"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9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8" w:type="pct"/>
            <w:tcBorders>
              <w:left w:val="single" w:color="000000" w:sz="4" w:space="0"/>
              <w:bottom w:val="single" w:color="000000" w:sz="4" w:space="0"/>
              <w:right w:val="single" w:color="auto" w:sz="4" w:space="0"/>
            </w:tcBorders>
            <w:vAlign w:val="center"/>
          </w:tcPr>
          <w:p>
            <w:pPr>
              <w:snapToGrid w:val="0"/>
              <w:jc w:val="center"/>
              <w:rPr>
                <w:rFonts w:ascii="宋体" w:hAnsi="宋体" w:cs="Arial"/>
                <w:sz w:val="24"/>
              </w:rPr>
            </w:pPr>
          </w:p>
        </w:tc>
        <w:tc>
          <w:tcPr>
            <w:tcW w:w="461" w:type="pct"/>
            <w:tcBorders>
              <w:left w:val="single" w:color="auto" w:sz="4" w:space="0"/>
              <w:bottom w:val="single" w:color="000000" w:sz="4" w:space="0"/>
            </w:tcBorders>
            <w:vAlign w:val="center"/>
          </w:tcPr>
          <w:p>
            <w:pPr>
              <w:snapToGrid w:val="0"/>
              <w:jc w:val="center"/>
              <w:rPr>
                <w:rFonts w:ascii="宋体" w:hAnsi="宋体" w:cs="Arial"/>
                <w:sz w:val="24"/>
              </w:rPr>
            </w:pPr>
          </w:p>
        </w:tc>
        <w:tc>
          <w:tcPr>
            <w:tcW w:w="1353" w:type="pct"/>
            <w:tcBorders>
              <w:left w:val="single" w:color="000000" w:sz="4" w:space="0"/>
              <w:bottom w:val="single" w:color="000000" w:sz="4" w:space="0"/>
              <w:right w:val="single" w:color="000000" w:sz="4" w:space="0"/>
            </w:tcBorders>
            <w:vAlign w:val="center"/>
          </w:tcPr>
          <w:p>
            <w:pPr>
              <w:snapToGrid w:val="0"/>
              <w:jc w:val="center"/>
              <w:rPr>
                <w:rFonts w:ascii="宋体" w:hAnsi="宋体" w:cs="Arial"/>
                <w:sz w:val="24"/>
              </w:rPr>
            </w:pPr>
          </w:p>
        </w:tc>
      </w:tr>
      <w:tr>
        <w:tblPrEx>
          <w:tblCellMar>
            <w:top w:w="0" w:type="dxa"/>
            <w:left w:w="108" w:type="dxa"/>
            <w:bottom w:w="0" w:type="dxa"/>
            <w:right w:w="108" w:type="dxa"/>
          </w:tblCellMar>
        </w:tblPrEx>
        <w:trPr>
          <w:trHeight w:val="310" w:hRule="atLeast"/>
        </w:trPr>
        <w:tc>
          <w:tcPr>
            <w:tcW w:w="394"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5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2"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9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8" w:type="pct"/>
            <w:tcBorders>
              <w:left w:val="single" w:color="000000" w:sz="4" w:space="0"/>
              <w:bottom w:val="single" w:color="000000" w:sz="4" w:space="0"/>
              <w:right w:val="single" w:color="auto" w:sz="4" w:space="0"/>
            </w:tcBorders>
            <w:vAlign w:val="center"/>
          </w:tcPr>
          <w:p>
            <w:pPr>
              <w:snapToGrid w:val="0"/>
              <w:jc w:val="center"/>
              <w:rPr>
                <w:rFonts w:ascii="宋体" w:hAnsi="宋体" w:cs="Arial"/>
                <w:sz w:val="24"/>
              </w:rPr>
            </w:pPr>
          </w:p>
        </w:tc>
        <w:tc>
          <w:tcPr>
            <w:tcW w:w="461" w:type="pct"/>
            <w:tcBorders>
              <w:left w:val="single" w:color="auto" w:sz="4" w:space="0"/>
              <w:bottom w:val="single" w:color="000000" w:sz="4" w:space="0"/>
            </w:tcBorders>
            <w:vAlign w:val="center"/>
          </w:tcPr>
          <w:p>
            <w:pPr>
              <w:snapToGrid w:val="0"/>
              <w:jc w:val="center"/>
              <w:rPr>
                <w:rFonts w:ascii="宋体" w:hAnsi="宋体" w:cs="Arial"/>
                <w:sz w:val="24"/>
              </w:rPr>
            </w:pPr>
          </w:p>
        </w:tc>
        <w:tc>
          <w:tcPr>
            <w:tcW w:w="1353" w:type="pct"/>
            <w:tcBorders>
              <w:left w:val="single" w:color="000000" w:sz="4" w:space="0"/>
              <w:bottom w:val="single" w:color="000000" w:sz="4" w:space="0"/>
              <w:right w:val="single" w:color="000000" w:sz="4" w:space="0"/>
            </w:tcBorders>
            <w:vAlign w:val="center"/>
          </w:tcPr>
          <w:p>
            <w:pPr>
              <w:snapToGrid w:val="0"/>
              <w:jc w:val="center"/>
              <w:rPr>
                <w:rFonts w:ascii="宋体" w:hAnsi="宋体" w:cs="Arial"/>
                <w:sz w:val="24"/>
              </w:rPr>
            </w:pPr>
          </w:p>
        </w:tc>
      </w:tr>
      <w:tr>
        <w:tblPrEx>
          <w:tblCellMar>
            <w:top w:w="0" w:type="dxa"/>
            <w:left w:w="108" w:type="dxa"/>
            <w:bottom w:w="0" w:type="dxa"/>
            <w:right w:w="108" w:type="dxa"/>
          </w:tblCellMar>
        </w:tblPrEx>
        <w:trPr>
          <w:trHeight w:val="310" w:hRule="atLeast"/>
        </w:trPr>
        <w:tc>
          <w:tcPr>
            <w:tcW w:w="394"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5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2"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9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8" w:type="pct"/>
            <w:tcBorders>
              <w:left w:val="single" w:color="000000" w:sz="4" w:space="0"/>
              <w:bottom w:val="single" w:color="000000" w:sz="4" w:space="0"/>
              <w:right w:val="single" w:color="auto" w:sz="4" w:space="0"/>
            </w:tcBorders>
            <w:vAlign w:val="center"/>
          </w:tcPr>
          <w:p>
            <w:pPr>
              <w:snapToGrid w:val="0"/>
              <w:jc w:val="center"/>
              <w:rPr>
                <w:rFonts w:ascii="宋体" w:hAnsi="宋体" w:cs="Arial"/>
                <w:sz w:val="24"/>
              </w:rPr>
            </w:pPr>
          </w:p>
        </w:tc>
        <w:tc>
          <w:tcPr>
            <w:tcW w:w="461" w:type="pct"/>
            <w:tcBorders>
              <w:left w:val="single" w:color="auto" w:sz="4" w:space="0"/>
              <w:bottom w:val="single" w:color="000000" w:sz="4" w:space="0"/>
            </w:tcBorders>
            <w:vAlign w:val="center"/>
          </w:tcPr>
          <w:p>
            <w:pPr>
              <w:snapToGrid w:val="0"/>
              <w:jc w:val="center"/>
              <w:rPr>
                <w:rFonts w:ascii="宋体" w:hAnsi="宋体" w:cs="Arial"/>
                <w:sz w:val="24"/>
              </w:rPr>
            </w:pPr>
          </w:p>
        </w:tc>
        <w:tc>
          <w:tcPr>
            <w:tcW w:w="1353" w:type="pct"/>
            <w:tcBorders>
              <w:left w:val="single" w:color="000000" w:sz="4" w:space="0"/>
              <w:bottom w:val="single" w:color="000000" w:sz="4" w:space="0"/>
              <w:right w:val="single" w:color="000000" w:sz="4" w:space="0"/>
            </w:tcBorders>
            <w:vAlign w:val="center"/>
          </w:tcPr>
          <w:p>
            <w:pPr>
              <w:snapToGrid w:val="0"/>
              <w:jc w:val="center"/>
              <w:rPr>
                <w:rFonts w:ascii="宋体" w:hAnsi="宋体" w:cs="Arial"/>
                <w:sz w:val="24"/>
              </w:rPr>
            </w:pPr>
          </w:p>
        </w:tc>
      </w:tr>
      <w:tr>
        <w:tblPrEx>
          <w:tblCellMar>
            <w:top w:w="0" w:type="dxa"/>
            <w:left w:w="108" w:type="dxa"/>
            <w:bottom w:w="0" w:type="dxa"/>
            <w:right w:w="108" w:type="dxa"/>
          </w:tblCellMar>
        </w:tblPrEx>
        <w:trPr>
          <w:trHeight w:val="328" w:hRule="atLeast"/>
        </w:trPr>
        <w:tc>
          <w:tcPr>
            <w:tcW w:w="394"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5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2"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9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8" w:type="pct"/>
            <w:tcBorders>
              <w:left w:val="single" w:color="000000" w:sz="4" w:space="0"/>
              <w:bottom w:val="single" w:color="000000" w:sz="4" w:space="0"/>
              <w:right w:val="single" w:color="auto" w:sz="4" w:space="0"/>
            </w:tcBorders>
            <w:vAlign w:val="center"/>
          </w:tcPr>
          <w:p>
            <w:pPr>
              <w:snapToGrid w:val="0"/>
              <w:jc w:val="center"/>
              <w:rPr>
                <w:rFonts w:ascii="宋体" w:hAnsi="宋体" w:cs="Arial"/>
                <w:sz w:val="24"/>
              </w:rPr>
            </w:pPr>
          </w:p>
        </w:tc>
        <w:tc>
          <w:tcPr>
            <w:tcW w:w="461" w:type="pct"/>
            <w:tcBorders>
              <w:left w:val="single" w:color="auto" w:sz="4" w:space="0"/>
              <w:bottom w:val="single" w:color="000000" w:sz="4" w:space="0"/>
            </w:tcBorders>
            <w:vAlign w:val="center"/>
          </w:tcPr>
          <w:p>
            <w:pPr>
              <w:snapToGrid w:val="0"/>
              <w:jc w:val="center"/>
              <w:rPr>
                <w:rFonts w:ascii="宋体" w:hAnsi="宋体" w:cs="Arial"/>
                <w:sz w:val="24"/>
              </w:rPr>
            </w:pPr>
          </w:p>
        </w:tc>
        <w:tc>
          <w:tcPr>
            <w:tcW w:w="1353" w:type="pct"/>
            <w:tcBorders>
              <w:left w:val="single" w:color="000000" w:sz="4" w:space="0"/>
              <w:bottom w:val="single" w:color="000000" w:sz="4" w:space="0"/>
              <w:right w:val="single" w:color="000000" w:sz="4" w:space="0"/>
            </w:tcBorders>
            <w:vAlign w:val="center"/>
          </w:tcPr>
          <w:p>
            <w:pPr>
              <w:snapToGrid w:val="0"/>
              <w:jc w:val="center"/>
              <w:rPr>
                <w:rFonts w:ascii="宋体" w:hAnsi="宋体" w:cs="Arial"/>
                <w:sz w:val="24"/>
              </w:rPr>
            </w:pPr>
          </w:p>
        </w:tc>
      </w:tr>
      <w:tr>
        <w:tblPrEx>
          <w:tblCellMar>
            <w:top w:w="0" w:type="dxa"/>
            <w:left w:w="108" w:type="dxa"/>
            <w:bottom w:w="0" w:type="dxa"/>
            <w:right w:w="108" w:type="dxa"/>
          </w:tblCellMar>
        </w:tblPrEx>
        <w:trPr>
          <w:trHeight w:val="310" w:hRule="atLeast"/>
        </w:trPr>
        <w:tc>
          <w:tcPr>
            <w:tcW w:w="394"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5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2"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9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8" w:type="pct"/>
            <w:tcBorders>
              <w:left w:val="single" w:color="000000" w:sz="4" w:space="0"/>
              <w:bottom w:val="single" w:color="000000" w:sz="4" w:space="0"/>
              <w:right w:val="single" w:color="auto" w:sz="4" w:space="0"/>
            </w:tcBorders>
            <w:vAlign w:val="center"/>
          </w:tcPr>
          <w:p>
            <w:pPr>
              <w:snapToGrid w:val="0"/>
              <w:jc w:val="center"/>
              <w:rPr>
                <w:rFonts w:ascii="宋体" w:hAnsi="宋体" w:cs="Arial"/>
                <w:sz w:val="24"/>
              </w:rPr>
            </w:pPr>
          </w:p>
        </w:tc>
        <w:tc>
          <w:tcPr>
            <w:tcW w:w="461" w:type="pct"/>
            <w:tcBorders>
              <w:left w:val="single" w:color="auto" w:sz="4" w:space="0"/>
              <w:bottom w:val="single" w:color="000000" w:sz="4" w:space="0"/>
            </w:tcBorders>
            <w:vAlign w:val="center"/>
          </w:tcPr>
          <w:p>
            <w:pPr>
              <w:snapToGrid w:val="0"/>
              <w:jc w:val="center"/>
              <w:rPr>
                <w:rFonts w:ascii="宋体" w:hAnsi="宋体" w:cs="Arial"/>
                <w:sz w:val="24"/>
              </w:rPr>
            </w:pPr>
          </w:p>
        </w:tc>
        <w:tc>
          <w:tcPr>
            <w:tcW w:w="1353" w:type="pct"/>
            <w:tcBorders>
              <w:left w:val="single" w:color="000000" w:sz="4" w:space="0"/>
              <w:bottom w:val="single" w:color="000000" w:sz="4" w:space="0"/>
              <w:right w:val="single" w:color="000000" w:sz="4" w:space="0"/>
            </w:tcBorders>
            <w:vAlign w:val="center"/>
          </w:tcPr>
          <w:p>
            <w:pPr>
              <w:snapToGrid w:val="0"/>
              <w:jc w:val="center"/>
              <w:rPr>
                <w:rFonts w:ascii="宋体" w:hAnsi="宋体" w:cs="Arial"/>
                <w:sz w:val="24"/>
              </w:rPr>
            </w:pPr>
          </w:p>
        </w:tc>
      </w:tr>
      <w:tr>
        <w:tblPrEx>
          <w:tblCellMar>
            <w:top w:w="0" w:type="dxa"/>
            <w:left w:w="108" w:type="dxa"/>
            <w:bottom w:w="0" w:type="dxa"/>
            <w:right w:w="108" w:type="dxa"/>
          </w:tblCellMar>
        </w:tblPrEx>
        <w:trPr>
          <w:trHeight w:val="310" w:hRule="atLeast"/>
        </w:trPr>
        <w:tc>
          <w:tcPr>
            <w:tcW w:w="394"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5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2"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9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8" w:type="pct"/>
            <w:tcBorders>
              <w:left w:val="single" w:color="000000" w:sz="4" w:space="0"/>
              <w:bottom w:val="single" w:color="000000" w:sz="4" w:space="0"/>
              <w:right w:val="single" w:color="auto" w:sz="4" w:space="0"/>
            </w:tcBorders>
            <w:vAlign w:val="center"/>
          </w:tcPr>
          <w:p>
            <w:pPr>
              <w:snapToGrid w:val="0"/>
              <w:jc w:val="center"/>
              <w:rPr>
                <w:rFonts w:ascii="宋体" w:hAnsi="宋体" w:cs="Arial"/>
                <w:sz w:val="24"/>
              </w:rPr>
            </w:pPr>
          </w:p>
        </w:tc>
        <w:tc>
          <w:tcPr>
            <w:tcW w:w="461" w:type="pct"/>
            <w:tcBorders>
              <w:left w:val="single" w:color="auto" w:sz="4" w:space="0"/>
              <w:bottom w:val="single" w:color="000000" w:sz="4" w:space="0"/>
            </w:tcBorders>
            <w:vAlign w:val="center"/>
          </w:tcPr>
          <w:p>
            <w:pPr>
              <w:snapToGrid w:val="0"/>
              <w:jc w:val="center"/>
              <w:rPr>
                <w:rFonts w:ascii="宋体" w:hAnsi="宋体" w:cs="Arial"/>
                <w:sz w:val="24"/>
              </w:rPr>
            </w:pPr>
          </w:p>
        </w:tc>
        <w:tc>
          <w:tcPr>
            <w:tcW w:w="1353" w:type="pct"/>
            <w:tcBorders>
              <w:left w:val="single" w:color="000000" w:sz="4" w:space="0"/>
              <w:bottom w:val="single" w:color="000000" w:sz="4" w:space="0"/>
              <w:right w:val="single" w:color="000000" w:sz="4" w:space="0"/>
            </w:tcBorders>
            <w:vAlign w:val="center"/>
          </w:tcPr>
          <w:p>
            <w:pPr>
              <w:snapToGrid w:val="0"/>
              <w:jc w:val="center"/>
              <w:rPr>
                <w:rFonts w:ascii="宋体" w:hAnsi="宋体" w:cs="Arial"/>
                <w:sz w:val="24"/>
              </w:rPr>
            </w:pPr>
          </w:p>
        </w:tc>
      </w:tr>
      <w:tr>
        <w:tblPrEx>
          <w:tblCellMar>
            <w:top w:w="0" w:type="dxa"/>
            <w:left w:w="108" w:type="dxa"/>
            <w:bottom w:w="0" w:type="dxa"/>
            <w:right w:w="108" w:type="dxa"/>
          </w:tblCellMar>
        </w:tblPrEx>
        <w:trPr>
          <w:trHeight w:val="328" w:hRule="atLeast"/>
        </w:trPr>
        <w:tc>
          <w:tcPr>
            <w:tcW w:w="394"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5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2"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9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8" w:type="pct"/>
            <w:tcBorders>
              <w:left w:val="single" w:color="000000" w:sz="4" w:space="0"/>
              <w:bottom w:val="single" w:color="000000" w:sz="4" w:space="0"/>
              <w:right w:val="single" w:color="auto" w:sz="4" w:space="0"/>
            </w:tcBorders>
            <w:vAlign w:val="center"/>
          </w:tcPr>
          <w:p>
            <w:pPr>
              <w:snapToGrid w:val="0"/>
              <w:jc w:val="center"/>
              <w:rPr>
                <w:rFonts w:ascii="宋体" w:hAnsi="宋体" w:cs="Arial"/>
                <w:sz w:val="24"/>
              </w:rPr>
            </w:pPr>
          </w:p>
        </w:tc>
        <w:tc>
          <w:tcPr>
            <w:tcW w:w="461" w:type="pct"/>
            <w:tcBorders>
              <w:left w:val="single" w:color="auto" w:sz="4" w:space="0"/>
              <w:bottom w:val="single" w:color="000000" w:sz="4" w:space="0"/>
            </w:tcBorders>
            <w:vAlign w:val="center"/>
          </w:tcPr>
          <w:p>
            <w:pPr>
              <w:snapToGrid w:val="0"/>
              <w:jc w:val="center"/>
              <w:rPr>
                <w:rFonts w:ascii="宋体" w:hAnsi="宋体" w:cs="Arial"/>
                <w:sz w:val="24"/>
              </w:rPr>
            </w:pPr>
          </w:p>
        </w:tc>
        <w:tc>
          <w:tcPr>
            <w:tcW w:w="1353" w:type="pct"/>
            <w:tcBorders>
              <w:left w:val="single" w:color="000000" w:sz="4" w:space="0"/>
              <w:bottom w:val="single" w:color="000000" w:sz="4" w:space="0"/>
              <w:right w:val="single" w:color="000000" w:sz="4" w:space="0"/>
            </w:tcBorders>
            <w:vAlign w:val="center"/>
          </w:tcPr>
          <w:p>
            <w:pPr>
              <w:snapToGrid w:val="0"/>
              <w:jc w:val="center"/>
              <w:rPr>
                <w:rFonts w:ascii="宋体" w:hAnsi="宋体" w:cs="Arial"/>
                <w:sz w:val="24"/>
              </w:rPr>
            </w:pPr>
          </w:p>
        </w:tc>
      </w:tr>
      <w:tr>
        <w:tblPrEx>
          <w:tblCellMar>
            <w:top w:w="0" w:type="dxa"/>
            <w:left w:w="108" w:type="dxa"/>
            <w:bottom w:w="0" w:type="dxa"/>
            <w:right w:w="108" w:type="dxa"/>
          </w:tblCellMar>
        </w:tblPrEx>
        <w:trPr>
          <w:trHeight w:val="310" w:hRule="atLeast"/>
        </w:trPr>
        <w:tc>
          <w:tcPr>
            <w:tcW w:w="394"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5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2"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9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8" w:type="pct"/>
            <w:tcBorders>
              <w:left w:val="single" w:color="000000" w:sz="4" w:space="0"/>
              <w:bottom w:val="single" w:color="000000" w:sz="4" w:space="0"/>
              <w:right w:val="single" w:color="auto" w:sz="4" w:space="0"/>
            </w:tcBorders>
            <w:vAlign w:val="center"/>
          </w:tcPr>
          <w:p>
            <w:pPr>
              <w:snapToGrid w:val="0"/>
              <w:jc w:val="center"/>
              <w:rPr>
                <w:rFonts w:ascii="宋体" w:hAnsi="宋体" w:cs="Arial"/>
                <w:sz w:val="24"/>
              </w:rPr>
            </w:pPr>
          </w:p>
        </w:tc>
        <w:tc>
          <w:tcPr>
            <w:tcW w:w="461" w:type="pct"/>
            <w:tcBorders>
              <w:left w:val="single" w:color="auto" w:sz="4" w:space="0"/>
              <w:bottom w:val="single" w:color="000000" w:sz="4" w:space="0"/>
            </w:tcBorders>
            <w:vAlign w:val="center"/>
          </w:tcPr>
          <w:p>
            <w:pPr>
              <w:snapToGrid w:val="0"/>
              <w:jc w:val="center"/>
              <w:rPr>
                <w:rFonts w:ascii="宋体" w:hAnsi="宋体" w:cs="Arial"/>
                <w:sz w:val="24"/>
              </w:rPr>
            </w:pPr>
          </w:p>
        </w:tc>
        <w:tc>
          <w:tcPr>
            <w:tcW w:w="1353" w:type="pct"/>
            <w:tcBorders>
              <w:left w:val="single" w:color="000000" w:sz="4" w:space="0"/>
              <w:bottom w:val="single" w:color="000000" w:sz="4" w:space="0"/>
              <w:right w:val="single" w:color="000000" w:sz="4" w:space="0"/>
            </w:tcBorders>
            <w:vAlign w:val="center"/>
          </w:tcPr>
          <w:p>
            <w:pPr>
              <w:snapToGrid w:val="0"/>
              <w:jc w:val="center"/>
              <w:rPr>
                <w:rFonts w:ascii="宋体" w:hAnsi="宋体" w:cs="Arial"/>
                <w:sz w:val="24"/>
              </w:rPr>
            </w:pPr>
          </w:p>
        </w:tc>
      </w:tr>
      <w:tr>
        <w:tblPrEx>
          <w:tblCellMar>
            <w:top w:w="0" w:type="dxa"/>
            <w:left w:w="108" w:type="dxa"/>
            <w:bottom w:w="0" w:type="dxa"/>
            <w:right w:w="108" w:type="dxa"/>
          </w:tblCellMar>
        </w:tblPrEx>
        <w:trPr>
          <w:trHeight w:val="310" w:hRule="atLeast"/>
        </w:trPr>
        <w:tc>
          <w:tcPr>
            <w:tcW w:w="394"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5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2"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9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8" w:type="pct"/>
            <w:tcBorders>
              <w:left w:val="single" w:color="000000" w:sz="4" w:space="0"/>
              <w:bottom w:val="single" w:color="000000" w:sz="4" w:space="0"/>
              <w:right w:val="single" w:color="auto" w:sz="4" w:space="0"/>
            </w:tcBorders>
            <w:vAlign w:val="center"/>
          </w:tcPr>
          <w:p>
            <w:pPr>
              <w:snapToGrid w:val="0"/>
              <w:jc w:val="center"/>
              <w:rPr>
                <w:rFonts w:ascii="宋体" w:hAnsi="宋体" w:cs="Arial"/>
                <w:sz w:val="24"/>
              </w:rPr>
            </w:pPr>
          </w:p>
        </w:tc>
        <w:tc>
          <w:tcPr>
            <w:tcW w:w="461" w:type="pct"/>
            <w:tcBorders>
              <w:left w:val="single" w:color="auto" w:sz="4" w:space="0"/>
              <w:bottom w:val="single" w:color="000000" w:sz="4" w:space="0"/>
            </w:tcBorders>
            <w:vAlign w:val="center"/>
          </w:tcPr>
          <w:p>
            <w:pPr>
              <w:snapToGrid w:val="0"/>
              <w:jc w:val="center"/>
              <w:rPr>
                <w:rFonts w:ascii="宋体" w:hAnsi="宋体" w:cs="Arial"/>
                <w:sz w:val="24"/>
              </w:rPr>
            </w:pPr>
          </w:p>
        </w:tc>
        <w:tc>
          <w:tcPr>
            <w:tcW w:w="1353" w:type="pct"/>
            <w:tcBorders>
              <w:left w:val="single" w:color="000000" w:sz="4" w:space="0"/>
              <w:bottom w:val="single" w:color="000000" w:sz="4" w:space="0"/>
              <w:right w:val="single" w:color="000000" w:sz="4" w:space="0"/>
            </w:tcBorders>
            <w:vAlign w:val="center"/>
          </w:tcPr>
          <w:p>
            <w:pPr>
              <w:snapToGrid w:val="0"/>
              <w:jc w:val="center"/>
              <w:rPr>
                <w:rFonts w:ascii="宋体" w:hAnsi="宋体" w:cs="Arial"/>
                <w:sz w:val="24"/>
              </w:rPr>
            </w:pPr>
          </w:p>
        </w:tc>
      </w:tr>
      <w:tr>
        <w:tblPrEx>
          <w:tblCellMar>
            <w:top w:w="0" w:type="dxa"/>
            <w:left w:w="108" w:type="dxa"/>
            <w:bottom w:w="0" w:type="dxa"/>
            <w:right w:w="108" w:type="dxa"/>
          </w:tblCellMar>
        </w:tblPrEx>
        <w:trPr>
          <w:trHeight w:val="310" w:hRule="atLeast"/>
        </w:trPr>
        <w:tc>
          <w:tcPr>
            <w:tcW w:w="394"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5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2"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9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8" w:type="pct"/>
            <w:tcBorders>
              <w:left w:val="single" w:color="000000" w:sz="4" w:space="0"/>
              <w:bottom w:val="single" w:color="000000" w:sz="4" w:space="0"/>
              <w:right w:val="single" w:color="auto" w:sz="4" w:space="0"/>
            </w:tcBorders>
            <w:vAlign w:val="center"/>
          </w:tcPr>
          <w:p>
            <w:pPr>
              <w:snapToGrid w:val="0"/>
              <w:jc w:val="center"/>
              <w:rPr>
                <w:rFonts w:ascii="宋体" w:hAnsi="宋体" w:cs="Arial"/>
                <w:sz w:val="24"/>
              </w:rPr>
            </w:pPr>
          </w:p>
        </w:tc>
        <w:tc>
          <w:tcPr>
            <w:tcW w:w="461" w:type="pct"/>
            <w:tcBorders>
              <w:left w:val="single" w:color="auto" w:sz="4" w:space="0"/>
              <w:bottom w:val="single" w:color="000000" w:sz="4" w:space="0"/>
            </w:tcBorders>
            <w:vAlign w:val="center"/>
          </w:tcPr>
          <w:p>
            <w:pPr>
              <w:snapToGrid w:val="0"/>
              <w:jc w:val="center"/>
              <w:rPr>
                <w:rFonts w:ascii="宋体" w:hAnsi="宋体" w:cs="Arial"/>
                <w:sz w:val="24"/>
              </w:rPr>
            </w:pPr>
          </w:p>
        </w:tc>
        <w:tc>
          <w:tcPr>
            <w:tcW w:w="1353" w:type="pct"/>
            <w:tcBorders>
              <w:left w:val="single" w:color="000000" w:sz="4" w:space="0"/>
              <w:bottom w:val="single" w:color="000000" w:sz="4" w:space="0"/>
              <w:right w:val="single" w:color="000000" w:sz="4" w:space="0"/>
            </w:tcBorders>
            <w:vAlign w:val="center"/>
          </w:tcPr>
          <w:p>
            <w:pPr>
              <w:snapToGrid w:val="0"/>
              <w:jc w:val="center"/>
              <w:rPr>
                <w:rFonts w:ascii="宋体" w:hAnsi="宋体" w:cs="Arial"/>
                <w:sz w:val="24"/>
              </w:rPr>
            </w:pPr>
          </w:p>
        </w:tc>
      </w:tr>
      <w:tr>
        <w:tblPrEx>
          <w:tblCellMar>
            <w:top w:w="0" w:type="dxa"/>
            <w:left w:w="108" w:type="dxa"/>
            <w:bottom w:w="0" w:type="dxa"/>
            <w:right w:w="108" w:type="dxa"/>
          </w:tblCellMar>
        </w:tblPrEx>
        <w:trPr>
          <w:trHeight w:val="328" w:hRule="atLeast"/>
        </w:trPr>
        <w:tc>
          <w:tcPr>
            <w:tcW w:w="394"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5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2"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9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8" w:type="pct"/>
            <w:tcBorders>
              <w:left w:val="single" w:color="000000" w:sz="4" w:space="0"/>
              <w:bottom w:val="single" w:color="000000" w:sz="4" w:space="0"/>
              <w:right w:val="single" w:color="auto" w:sz="4" w:space="0"/>
            </w:tcBorders>
            <w:vAlign w:val="center"/>
          </w:tcPr>
          <w:p>
            <w:pPr>
              <w:snapToGrid w:val="0"/>
              <w:jc w:val="center"/>
              <w:rPr>
                <w:rFonts w:ascii="宋体" w:hAnsi="宋体" w:cs="Arial"/>
                <w:sz w:val="24"/>
              </w:rPr>
            </w:pPr>
          </w:p>
        </w:tc>
        <w:tc>
          <w:tcPr>
            <w:tcW w:w="461" w:type="pct"/>
            <w:tcBorders>
              <w:left w:val="single" w:color="auto" w:sz="4" w:space="0"/>
              <w:bottom w:val="single" w:color="000000" w:sz="4" w:space="0"/>
            </w:tcBorders>
            <w:vAlign w:val="center"/>
          </w:tcPr>
          <w:p>
            <w:pPr>
              <w:snapToGrid w:val="0"/>
              <w:jc w:val="center"/>
              <w:rPr>
                <w:rFonts w:ascii="宋体" w:hAnsi="宋体" w:cs="Arial"/>
                <w:sz w:val="24"/>
              </w:rPr>
            </w:pPr>
          </w:p>
        </w:tc>
        <w:tc>
          <w:tcPr>
            <w:tcW w:w="1353" w:type="pct"/>
            <w:tcBorders>
              <w:left w:val="single" w:color="000000" w:sz="4" w:space="0"/>
              <w:bottom w:val="single" w:color="000000" w:sz="4" w:space="0"/>
              <w:right w:val="single" w:color="000000" w:sz="4" w:space="0"/>
            </w:tcBorders>
            <w:vAlign w:val="center"/>
          </w:tcPr>
          <w:p>
            <w:pPr>
              <w:snapToGrid w:val="0"/>
              <w:jc w:val="center"/>
              <w:rPr>
                <w:rFonts w:ascii="宋体" w:hAnsi="宋体" w:cs="Arial"/>
                <w:sz w:val="24"/>
              </w:rPr>
            </w:pPr>
          </w:p>
        </w:tc>
      </w:tr>
      <w:tr>
        <w:tblPrEx>
          <w:tblCellMar>
            <w:top w:w="0" w:type="dxa"/>
            <w:left w:w="108" w:type="dxa"/>
            <w:bottom w:w="0" w:type="dxa"/>
            <w:right w:w="108" w:type="dxa"/>
          </w:tblCellMar>
        </w:tblPrEx>
        <w:trPr>
          <w:trHeight w:val="310" w:hRule="atLeast"/>
        </w:trPr>
        <w:tc>
          <w:tcPr>
            <w:tcW w:w="394"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5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2"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9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8" w:type="pct"/>
            <w:tcBorders>
              <w:left w:val="single" w:color="000000" w:sz="4" w:space="0"/>
              <w:bottom w:val="single" w:color="000000" w:sz="4" w:space="0"/>
              <w:right w:val="single" w:color="auto" w:sz="4" w:space="0"/>
            </w:tcBorders>
            <w:vAlign w:val="center"/>
          </w:tcPr>
          <w:p>
            <w:pPr>
              <w:snapToGrid w:val="0"/>
              <w:jc w:val="center"/>
              <w:rPr>
                <w:rFonts w:ascii="宋体" w:hAnsi="宋体" w:cs="Arial"/>
                <w:sz w:val="24"/>
              </w:rPr>
            </w:pPr>
          </w:p>
        </w:tc>
        <w:tc>
          <w:tcPr>
            <w:tcW w:w="461" w:type="pct"/>
            <w:tcBorders>
              <w:left w:val="single" w:color="auto" w:sz="4" w:space="0"/>
              <w:bottom w:val="single" w:color="000000" w:sz="4" w:space="0"/>
            </w:tcBorders>
            <w:vAlign w:val="center"/>
          </w:tcPr>
          <w:p>
            <w:pPr>
              <w:snapToGrid w:val="0"/>
              <w:jc w:val="center"/>
              <w:rPr>
                <w:rFonts w:ascii="宋体" w:hAnsi="宋体" w:cs="Arial"/>
                <w:sz w:val="24"/>
              </w:rPr>
            </w:pPr>
          </w:p>
        </w:tc>
        <w:tc>
          <w:tcPr>
            <w:tcW w:w="1353" w:type="pct"/>
            <w:tcBorders>
              <w:left w:val="single" w:color="000000" w:sz="4" w:space="0"/>
              <w:bottom w:val="single" w:color="000000" w:sz="4" w:space="0"/>
              <w:right w:val="single" w:color="000000" w:sz="4" w:space="0"/>
            </w:tcBorders>
            <w:vAlign w:val="center"/>
          </w:tcPr>
          <w:p>
            <w:pPr>
              <w:snapToGrid w:val="0"/>
              <w:jc w:val="center"/>
              <w:rPr>
                <w:rFonts w:ascii="宋体" w:hAnsi="宋体" w:cs="Arial"/>
                <w:sz w:val="24"/>
              </w:rPr>
            </w:pPr>
          </w:p>
        </w:tc>
      </w:tr>
      <w:tr>
        <w:tblPrEx>
          <w:tblCellMar>
            <w:top w:w="0" w:type="dxa"/>
            <w:left w:w="108" w:type="dxa"/>
            <w:bottom w:w="0" w:type="dxa"/>
            <w:right w:w="108" w:type="dxa"/>
          </w:tblCellMar>
        </w:tblPrEx>
        <w:trPr>
          <w:trHeight w:val="310" w:hRule="atLeast"/>
        </w:trPr>
        <w:tc>
          <w:tcPr>
            <w:tcW w:w="394"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5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2"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9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8" w:type="pct"/>
            <w:tcBorders>
              <w:left w:val="single" w:color="000000" w:sz="4" w:space="0"/>
              <w:bottom w:val="single" w:color="000000" w:sz="4" w:space="0"/>
              <w:right w:val="single" w:color="auto" w:sz="4" w:space="0"/>
            </w:tcBorders>
            <w:vAlign w:val="center"/>
          </w:tcPr>
          <w:p>
            <w:pPr>
              <w:snapToGrid w:val="0"/>
              <w:jc w:val="center"/>
              <w:rPr>
                <w:rFonts w:ascii="宋体" w:hAnsi="宋体" w:cs="Arial"/>
                <w:sz w:val="24"/>
              </w:rPr>
            </w:pPr>
          </w:p>
        </w:tc>
        <w:tc>
          <w:tcPr>
            <w:tcW w:w="461" w:type="pct"/>
            <w:tcBorders>
              <w:left w:val="single" w:color="auto" w:sz="4" w:space="0"/>
              <w:bottom w:val="single" w:color="000000" w:sz="4" w:space="0"/>
            </w:tcBorders>
            <w:vAlign w:val="center"/>
          </w:tcPr>
          <w:p>
            <w:pPr>
              <w:snapToGrid w:val="0"/>
              <w:jc w:val="center"/>
              <w:rPr>
                <w:rFonts w:ascii="宋体" w:hAnsi="宋体" w:cs="Arial"/>
                <w:sz w:val="24"/>
              </w:rPr>
            </w:pPr>
          </w:p>
        </w:tc>
        <w:tc>
          <w:tcPr>
            <w:tcW w:w="1353" w:type="pct"/>
            <w:tcBorders>
              <w:left w:val="single" w:color="000000" w:sz="4" w:space="0"/>
              <w:bottom w:val="single" w:color="000000" w:sz="4" w:space="0"/>
              <w:right w:val="single" w:color="000000" w:sz="4" w:space="0"/>
            </w:tcBorders>
            <w:vAlign w:val="center"/>
          </w:tcPr>
          <w:p>
            <w:pPr>
              <w:snapToGrid w:val="0"/>
              <w:jc w:val="center"/>
              <w:rPr>
                <w:rFonts w:ascii="宋体" w:hAnsi="宋体" w:cs="Arial"/>
                <w:sz w:val="24"/>
              </w:rPr>
            </w:pPr>
          </w:p>
        </w:tc>
      </w:tr>
      <w:tr>
        <w:tblPrEx>
          <w:tblCellMar>
            <w:top w:w="0" w:type="dxa"/>
            <w:left w:w="108" w:type="dxa"/>
            <w:bottom w:w="0" w:type="dxa"/>
            <w:right w:w="108" w:type="dxa"/>
          </w:tblCellMar>
        </w:tblPrEx>
        <w:trPr>
          <w:trHeight w:val="328" w:hRule="atLeast"/>
        </w:trPr>
        <w:tc>
          <w:tcPr>
            <w:tcW w:w="394"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5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2"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9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8" w:type="pct"/>
            <w:tcBorders>
              <w:left w:val="single" w:color="000000" w:sz="4" w:space="0"/>
              <w:bottom w:val="single" w:color="000000" w:sz="4" w:space="0"/>
              <w:right w:val="single" w:color="auto" w:sz="4" w:space="0"/>
            </w:tcBorders>
            <w:vAlign w:val="center"/>
          </w:tcPr>
          <w:p>
            <w:pPr>
              <w:snapToGrid w:val="0"/>
              <w:jc w:val="center"/>
              <w:rPr>
                <w:rFonts w:ascii="宋体" w:hAnsi="宋体" w:cs="Arial"/>
                <w:sz w:val="24"/>
              </w:rPr>
            </w:pPr>
          </w:p>
        </w:tc>
        <w:tc>
          <w:tcPr>
            <w:tcW w:w="461" w:type="pct"/>
            <w:tcBorders>
              <w:left w:val="single" w:color="auto" w:sz="4" w:space="0"/>
              <w:bottom w:val="single" w:color="000000" w:sz="4" w:space="0"/>
            </w:tcBorders>
            <w:vAlign w:val="center"/>
          </w:tcPr>
          <w:p>
            <w:pPr>
              <w:snapToGrid w:val="0"/>
              <w:jc w:val="center"/>
              <w:rPr>
                <w:rFonts w:ascii="宋体" w:hAnsi="宋体" w:cs="Arial"/>
                <w:sz w:val="24"/>
              </w:rPr>
            </w:pPr>
          </w:p>
        </w:tc>
        <w:tc>
          <w:tcPr>
            <w:tcW w:w="1353" w:type="pct"/>
            <w:tcBorders>
              <w:left w:val="single" w:color="000000" w:sz="4" w:space="0"/>
              <w:bottom w:val="single" w:color="000000" w:sz="4" w:space="0"/>
              <w:right w:val="single" w:color="000000" w:sz="4" w:space="0"/>
            </w:tcBorders>
            <w:vAlign w:val="center"/>
          </w:tcPr>
          <w:p>
            <w:pPr>
              <w:snapToGrid w:val="0"/>
              <w:jc w:val="center"/>
              <w:rPr>
                <w:rFonts w:ascii="宋体" w:hAnsi="宋体" w:cs="Arial"/>
                <w:sz w:val="24"/>
              </w:rPr>
            </w:pPr>
          </w:p>
        </w:tc>
      </w:tr>
      <w:tr>
        <w:tblPrEx>
          <w:tblCellMar>
            <w:top w:w="0" w:type="dxa"/>
            <w:left w:w="108" w:type="dxa"/>
            <w:bottom w:w="0" w:type="dxa"/>
            <w:right w:w="108" w:type="dxa"/>
          </w:tblCellMar>
        </w:tblPrEx>
        <w:trPr>
          <w:trHeight w:val="310" w:hRule="atLeast"/>
        </w:trPr>
        <w:tc>
          <w:tcPr>
            <w:tcW w:w="394"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5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2"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9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8" w:type="pct"/>
            <w:tcBorders>
              <w:left w:val="single" w:color="000000" w:sz="4" w:space="0"/>
              <w:bottom w:val="single" w:color="000000" w:sz="4" w:space="0"/>
              <w:right w:val="single" w:color="auto" w:sz="4" w:space="0"/>
            </w:tcBorders>
            <w:vAlign w:val="center"/>
          </w:tcPr>
          <w:p>
            <w:pPr>
              <w:snapToGrid w:val="0"/>
              <w:jc w:val="center"/>
              <w:rPr>
                <w:rFonts w:ascii="宋体" w:hAnsi="宋体" w:cs="Arial"/>
                <w:sz w:val="24"/>
              </w:rPr>
            </w:pPr>
          </w:p>
        </w:tc>
        <w:tc>
          <w:tcPr>
            <w:tcW w:w="461" w:type="pct"/>
            <w:tcBorders>
              <w:left w:val="single" w:color="auto" w:sz="4" w:space="0"/>
              <w:bottom w:val="single" w:color="000000" w:sz="4" w:space="0"/>
            </w:tcBorders>
            <w:vAlign w:val="center"/>
          </w:tcPr>
          <w:p>
            <w:pPr>
              <w:snapToGrid w:val="0"/>
              <w:jc w:val="center"/>
              <w:rPr>
                <w:rFonts w:ascii="宋体" w:hAnsi="宋体" w:cs="Arial"/>
                <w:sz w:val="24"/>
              </w:rPr>
            </w:pPr>
          </w:p>
        </w:tc>
        <w:tc>
          <w:tcPr>
            <w:tcW w:w="1353" w:type="pct"/>
            <w:tcBorders>
              <w:left w:val="single" w:color="000000" w:sz="4" w:space="0"/>
              <w:bottom w:val="single" w:color="000000" w:sz="4" w:space="0"/>
              <w:right w:val="single" w:color="000000" w:sz="4" w:space="0"/>
            </w:tcBorders>
            <w:vAlign w:val="center"/>
          </w:tcPr>
          <w:p>
            <w:pPr>
              <w:snapToGrid w:val="0"/>
              <w:jc w:val="center"/>
              <w:rPr>
                <w:rFonts w:ascii="宋体" w:hAnsi="宋体" w:cs="Arial"/>
                <w:sz w:val="24"/>
              </w:rPr>
            </w:pPr>
          </w:p>
        </w:tc>
      </w:tr>
      <w:tr>
        <w:tblPrEx>
          <w:tblCellMar>
            <w:top w:w="0" w:type="dxa"/>
            <w:left w:w="108" w:type="dxa"/>
            <w:bottom w:w="0" w:type="dxa"/>
            <w:right w:w="108" w:type="dxa"/>
          </w:tblCellMar>
        </w:tblPrEx>
        <w:trPr>
          <w:trHeight w:val="310" w:hRule="atLeast"/>
        </w:trPr>
        <w:tc>
          <w:tcPr>
            <w:tcW w:w="394"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5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2"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9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8" w:type="pct"/>
            <w:tcBorders>
              <w:left w:val="single" w:color="000000" w:sz="4" w:space="0"/>
              <w:bottom w:val="single" w:color="000000" w:sz="4" w:space="0"/>
              <w:right w:val="single" w:color="auto" w:sz="4" w:space="0"/>
            </w:tcBorders>
            <w:vAlign w:val="center"/>
          </w:tcPr>
          <w:p>
            <w:pPr>
              <w:snapToGrid w:val="0"/>
              <w:jc w:val="center"/>
              <w:rPr>
                <w:rFonts w:ascii="宋体" w:hAnsi="宋体" w:cs="Arial"/>
                <w:sz w:val="24"/>
              </w:rPr>
            </w:pPr>
          </w:p>
        </w:tc>
        <w:tc>
          <w:tcPr>
            <w:tcW w:w="461" w:type="pct"/>
            <w:tcBorders>
              <w:left w:val="single" w:color="auto" w:sz="4" w:space="0"/>
              <w:bottom w:val="single" w:color="auto" w:sz="4" w:space="0"/>
            </w:tcBorders>
            <w:vAlign w:val="center"/>
          </w:tcPr>
          <w:p>
            <w:pPr>
              <w:snapToGrid w:val="0"/>
              <w:jc w:val="center"/>
              <w:rPr>
                <w:rFonts w:ascii="宋体" w:hAnsi="宋体" w:cs="Arial"/>
                <w:sz w:val="24"/>
              </w:rPr>
            </w:pPr>
          </w:p>
        </w:tc>
        <w:tc>
          <w:tcPr>
            <w:tcW w:w="1353" w:type="pct"/>
            <w:tcBorders>
              <w:left w:val="single" w:color="000000" w:sz="4" w:space="0"/>
              <w:bottom w:val="single" w:color="000000" w:sz="4" w:space="0"/>
              <w:right w:val="single" w:color="000000" w:sz="4" w:space="0"/>
            </w:tcBorders>
            <w:vAlign w:val="center"/>
          </w:tcPr>
          <w:p>
            <w:pPr>
              <w:snapToGrid w:val="0"/>
              <w:jc w:val="center"/>
              <w:rPr>
                <w:rFonts w:ascii="宋体" w:hAnsi="宋体" w:cs="Arial"/>
                <w:sz w:val="24"/>
              </w:rPr>
            </w:pPr>
          </w:p>
        </w:tc>
      </w:tr>
      <w:tr>
        <w:tblPrEx>
          <w:tblCellMar>
            <w:top w:w="0" w:type="dxa"/>
            <w:left w:w="108" w:type="dxa"/>
            <w:bottom w:w="0" w:type="dxa"/>
            <w:right w:w="108" w:type="dxa"/>
          </w:tblCellMar>
        </w:tblPrEx>
        <w:trPr>
          <w:trHeight w:val="310" w:hRule="atLeast"/>
        </w:trPr>
        <w:tc>
          <w:tcPr>
            <w:tcW w:w="394"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5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2"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9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8" w:type="pct"/>
            <w:tcBorders>
              <w:left w:val="single" w:color="000000" w:sz="4" w:space="0"/>
              <w:bottom w:val="single" w:color="000000" w:sz="4" w:space="0"/>
              <w:right w:val="single" w:color="auto" w:sz="4" w:space="0"/>
            </w:tcBorders>
            <w:vAlign w:val="center"/>
          </w:tcPr>
          <w:p>
            <w:pPr>
              <w:snapToGrid w:val="0"/>
              <w:jc w:val="center"/>
              <w:rPr>
                <w:rFonts w:ascii="宋体" w:hAnsi="宋体" w:cs="Arial"/>
                <w:sz w:val="24"/>
              </w:rPr>
            </w:pPr>
          </w:p>
        </w:tc>
        <w:tc>
          <w:tcPr>
            <w:tcW w:w="461" w:type="pct"/>
            <w:tcBorders>
              <w:top w:val="single" w:color="auto" w:sz="4" w:space="0"/>
              <w:left w:val="single" w:color="auto" w:sz="4" w:space="0"/>
              <w:bottom w:val="single" w:color="000000" w:sz="4" w:space="0"/>
            </w:tcBorders>
            <w:vAlign w:val="center"/>
          </w:tcPr>
          <w:p>
            <w:pPr>
              <w:snapToGrid w:val="0"/>
              <w:jc w:val="center"/>
              <w:rPr>
                <w:rFonts w:ascii="宋体" w:hAnsi="宋体" w:cs="Arial"/>
                <w:sz w:val="24"/>
              </w:rPr>
            </w:pPr>
          </w:p>
        </w:tc>
        <w:tc>
          <w:tcPr>
            <w:tcW w:w="1353" w:type="pct"/>
            <w:tcBorders>
              <w:left w:val="single" w:color="000000" w:sz="4" w:space="0"/>
              <w:bottom w:val="single" w:color="000000" w:sz="4" w:space="0"/>
              <w:right w:val="single" w:color="000000" w:sz="4" w:space="0"/>
            </w:tcBorders>
            <w:vAlign w:val="center"/>
          </w:tcPr>
          <w:p>
            <w:pPr>
              <w:snapToGrid w:val="0"/>
              <w:jc w:val="center"/>
              <w:rPr>
                <w:rFonts w:ascii="宋体" w:hAnsi="宋体" w:cs="Arial"/>
                <w:sz w:val="24"/>
              </w:rPr>
            </w:pPr>
          </w:p>
        </w:tc>
      </w:tr>
      <w:tr>
        <w:tblPrEx>
          <w:tblCellMar>
            <w:top w:w="0" w:type="dxa"/>
            <w:left w:w="108" w:type="dxa"/>
            <w:bottom w:w="0" w:type="dxa"/>
            <w:right w:w="108" w:type="dxa"/>
          </w:tblCellMar>
        </w:tblPrEx>
        <w:trPr>
          <w:trHeight w:val="328" w:hRule="atLeast"/>
        </w:trPr>
        <w:tc>
          <w:tcPr>
            <w:tcW w:w="394"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5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2"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9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8" w:type="pct"/>
            <w:tcBorders>
              <w:left w:val="single" w:color="000000" w:sz="4" w:space="0"/>
              <w:bottom w:val="single" w:color="000000" w:sz="4" w:space="0"/>
              <w:right w:val="single" w:color="auto" w:sz="4" w:space="0"/>
            </w:tcBorders>
            <w:vAlign w:val="center"/>
          </w:tcPr>
          <w:p>
            <w:pPr>
              <w:snapToGrid w:val="0"/>
              <w:jc w:val="center"/>
              <w:rPr>
                <w:rFonts w:ascii="宋体" w:hAnsi="宋体" w:cs="Arial"/>
                <w:sz w:val="24"/>
              </w:rPr>
            </w:pPr>
          </w:p>
        </w:tc>
        <w:tc>
          <w:tcPr>
            <w:tcW w:w="461" w:type="pct"/>
            <w:tcBorders>
              <w:left w:val="single" w:color="auto" w:sz="4" w:space="0"/>
              <w:bottom w:val="single" w:color="000000" w:sz="4" w:space="0"/>
            </w:tcBorders>
            <w:vAlign w:val="center"/>
          </w:tcPr>
          <w:p>
            <w:pPr>
              <w:snapToGrid w:val="0"/>
              <w:jc w:val="center"/>
              <w:rPr>
                <w:rFonts w:ascii="宋体" w:hAnsi="宋体" w:cs="Arial"/>
                <w:sz w:val="24"/>
              </w:rPr>
            </w:pPr>
          </w:p>
        </w:tc>
        <w:tc>
          <w:tcPr>
            <w:tcW w:w="1353" w:type="pct"/>
            <w:tcBorders>
              <w:left w:val="single" w:color="000000" w:sz="4" w:space="0"/>
              <w:bottom w:val="single" w:color="000000" w:sz="4" w:space="0"/>
              <w:right w:val="single" w:color="000000" w:sz="4" w:space="0"/>
            </w:tcBorders>
            <w:vAlign w:val="center"/>
          </w:tcPr>
          <w:p>
            <w:pPr>
              <w:snapToGrid w:val="0"/>
              <w:jc w:val="center"/>
              <w:rPr>
                <w:rFonts w:ascii="宋体" w:hAnsi="宋体" w:cs="Arial"/>
                <w:sz w:val="24"/>
              </w:rPr>
            </w:pPr>
          </w:p>
        </w:tc>
      </w:tr>
      <w:tr>
        <w:tblPrEx>
          <w:tblCellMar>
            <w:top w:w="0" w:type="dxa"/>
            <w:left w:w="108" w:type="dxa"/>
            <w:bottom w:w="0" w:type="dxa"/>
            <w:right w:w="108" w:type="dxa"/>
          </w:tblCellMar>
        </w:tblPrEx>
        <w:trPr>
          <w:trHeight w:val="310" w:hRule="atLeast"/>
        </w:trPr>
        <w:tc>
          <w:tcPr>
            <w:tcW w:w="394"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5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2"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9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8" w:type="pct"/>
            <w:tcBorders>
              <w:left w:val="single" w:color="000000" w:sz="4" w:space="0"/>
              <w:bottom w:val="single" w:color="000000" w:sz="4" w:space="0"/>
              <w:right w:val="single" w:color="auto" w:sz="4" w:space="0"/>
            </w:tcBorders>
            <w:vAlign w:val="center"/>
          </w:tcPr>
          <w:p>
            <w:pPr>
              <w:snapToGrid w:val="0"/>
              <w:jc w:val="center"/>
              <w:rPr>
                <w:rFonts w:ascii="宋体" w:hAnsi="宋体" w:cs="Arial"/>
                <w:sz w:val="24"/>
              </w:rPr>
            </w:pPr>
          </w:p>
        </w:tc>
        <w:tc>
          <w:tcPr>
            <w:tcW w:w="461" w:type="pct"/>
            <w:tcBorders>
              <w:left w:val="single" w:color="auto" w:sz="4" w:space="0"/>
              <w:bottom w:val="single" w:color="000000" w:sz="4" w:space="0"/>
            </w:tcBorders>
            <w:vAlign w:val="center"/>
          </w:tcPr>
          <w:p>
            <w:pPr>
              <w:snapToGrid w:val="0"/>
              <w:jc w:val="center"/>
              <w:rPr>
                <w:rFonts w:ascii="宋体" w:hAnsi="宋体" w:cs="Arial"/>
                <w:sz w:val="24"/>
              </w:rPr>
            </w:pPr>
          </w:p>
        </w:tc>
        <w:tc>
          <w:tcPr>
            <w:tcW w:w="1353" w:type="pct"/>
            <w:tcBorders>
              <w:left w:val="single" w:color="000000" w:sz="4" w:space="0"/>
              <w:bottom w:val="single" w:color="000000" w:sz="4" w:space="0"/>
              <w:right w:val="single" w:color="000000" w:sz="4" w:space="0"/>
            </w:tcBorders>
            <w:vAlign w:val="center"/>
          </w:tcPr>
          <w:p>
            <w:pPr>
              <w:snapToGrid w:val="0"/>
              <w:jc w:val="center"/>
              <w:rPr>
                <w:rFonts w:ascii="宋体" w:hAnsi="宋体" w:cs="Arial"/>
                <w:sz w:val="24"/>
              </w:rPr>
            </w:pPr>
          </w:p>
        </w:tc>
      </w:tr>
      <w:tr>
        <w:tblPrEx>
          <w:tblCellMar>
            <w:top w:w="0" w:type="dxa"/>
            <w:left w:w="108" w:type="dxa"/>
            <w:bottom w:w="0" w:type="dxa"/>
            <w:right w:w="108" w:type="dxa"/>
          </w:tblCellMar>
        </w:tblPrEx>
        <w:trPr>
          <w:trHeight w:val="310" w:hRule="atLeast"/>
        </w:trPr>
        <w:tc>
          <w:tcPr>
            <w:tcW w:w="394"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5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2" w:type="pct"/>
            <w:tcBorders>
              <w:left w:val="single" w:color="000000" w:sz="4" w:space="0"/>
              <w:bottom w:val="single" w:color="000000" w:sz="4" w:space="0"/>
            </w:tcBorders>
            <w:vAlign w:val="center"/>
          </w:tcPr>
          <w:p>
            <w:pPr>
              <w:snapToGrid w:val="0"/>
              <w:jc w:val="center"/>
              <w:rPr>
                <w:rFonts w:ascii="宋体" w:hAnsi="宋体" w:cs="Arial"/>
                <w:sz w:val="24"/>
              </w:rPr>
            </w:pPr>
          </w:p>
        </w:tc>
        <w:tc>
          <w:tcPr>
            <w:tcW w:w="791" w:type="pct"/>
            <w:tcBorders>
              <w:left w:val="single" w:color="000000" w:sz="4" w:space="0"/>
              <w:bottom w:val="single" w:color="000000" w:sz="4" w:space="0"/>
            </w:tcBorders>
            <w:vAlign w:val="center"/>
          </w:tcPr>
          <w:p>
            <w:pPr>
              <w:snapToGrid w:val="0"/>
              <w:jc w:val="center"/>
              <w:rPr>
                <w:rFonts w:ascii="宋体" w:hAnsi="宋体" w:cs="Arial"/>
                <w:sz w:val="24"/>
              </w:rPr>
            </w:pPr>
          </w:p>
        </w:tc>
        <w:tc>
          <w:tcPr>
            <w:tcW w:w="628" w:type="pct"/>
            <w:tcBorders>
              <w:left w:val="single" w:color="000000" w:sz="4" w:space="0"/>
              <w:bottom w:val="single" w:color="000000" w:sz="4" w:space="0"/>
              <w:right w:val="single" w:color="auto" w:sz="4" w:space="0"/>
            </w:tcBorders>
            <w:vAlign w:val="center"/>
          </w:tcPr>
          <w:p>
            <w:pPr>
              <w:snapToGrid w:val="0"/>
              <w:jc w:val="center"/>
              <w:rPr>
                <w:rFonts w:ascii="宋体" w:hAnsi="宋体" w:cs="Arial"/>
                <w:sz w:val="24"/>
              </w:rPr>
            </w:pPr>
          </w:p>
        </w:tc>
        <w:tc>
          <w:tcPr>
            <w:tcW w:w="461" w:type="pct"/>
            <w:tcBorders>
              <w:left w:val="single" w:color="auto" w:sz="4" w:space="0"/>
              <w:bottom w:val="single" w:color="000000" w:sz="4" w:space="0"/>
            </w:tcBorders>
            <w:vAlign w:val="center"/>
          </w:tcPr>
          <w:p>
            <w:pPr>
              <w:snapToGrid w:val="0"/>
              <w:jc w:val="center"/>
              <w:rPr>
                <w:rFonts w:ascii="宋体" w:hAnsi="宋体" w:cs="Arial"/>
                <w:sz w:val="24"/>
              </w:rPr>
            </w:pPr>
          </w:p>
        </w:tc>
        <w:tc>
          <w:tcPr>
            <w:tcW w:w="1353" w:type="pct"/>
            <w:tcBorders>
              <w:left w:val="single" w:color="000000" w:sz="4" w:space="0"/>
              <w:bottom w:val="single" w:color="000000" w:sz="4" w:space="0"/>
              <w:right w:val="single" w:color="000000" w:sz="4" w:space="0"/>
            </w:tcBorders>
            <w:vAlign w:val="center"/>
          </w:tcPr>
          <w:p>
            <w:pPr>
              <w:snapToGrid w:val="0"/>
              <w:jc w:val="center"/>
              <w:rPr>
                <w:rFonts w:ascii="宋体" w:hAnsi="宋体" w:cs="Arial"/>
                <w:sz w:val="24"/>
              </w:rPr>
            </w:pPr>
          </w:p>
        </w:tc>
      </w:tr>
    </w:tbl>
    <w:p>
      <w:pPr>
        <w:spacing w:line="360" w:lineRule="auto"/>
        <w:ind w:firstLine="482" w:firstLineChars="200"/>
        <w:rPr>
          <w:rFonts w:ascii="宋体" w:hAnsi="宋体"/>
          <w:b/>
          <w:sz w:val="24"/>
        </w:rPr>
      </w:pPr>
      <w:r>
        <w:rPr>
          <w:rFonts w:hint="eastAsia" w:ascii="宋体" w:hAnsi="宋体"/>
          <w:b/>
          <w:sz w:val="24"/>
        </w:rPr>
        <w:t>注：</w:t>
      </w:r>
    </w:p>
    <w:p>
      <w:pPr>
        <w:spacing w:line="360" w:lineRule="auto"/>
        <w:ind w:firstLine="482" w:firstLineChars="200"/>
        <w:rPr>
          <w:rFonts w:ascii="宋体" w:hAnsi="宋体"/>
          <w:b/>
          <w:sz w:val="24"/>
        </w:rPr>
      </w:pPr>
      <w:r>
        <w:rPr>
          <w:rFonts w:hint="eastAsia" w:ascii="宋体" w:hAnsi="宋体"/>
          <w:b/>
          <w:sz w:val="24"/>
        </w:rPr>
        <w:t>1、将合同或中标通知书复印件附在响应文件中；</w:t>
      </w:r>
    </w:p>
    <w:p>
      <w:pPr>
        <w:spacing w:line="360" w:lineRule="auto"/>
        <w:ind w:firstLine="482" w:firstLineChars="200"/>
        <w:rPr>
          <w:rFonts w:ascii="宋体" w:hAnsi="宋体"/>
          <w:b/>
        </w:rPr>
      </w:pPr>
      <w:r>
        <w:rPr>
          <w:rFonts w:hint="eastAsia" w:ascii="宋体" w:hAnsi="宋体"/>
          <w:b/>
          <w:sz w:val="24"/>
        </w:rPr>
        <w:t>2、上述材料必须真实可信，如有弄虚作假，一旦被发现将按无效投标处理，并报请政府采购管理部门严肃处理，追究有关单位和人员的责任。</w:t>
      </w:r>
    </w:p>
    <w:p>
      <w:pPr>
        <w:spacing w:line="360" w:lineRule="auto"/>
        <w:jc w:val="center"/>
        <w:rPr>
          <w:rFonts w:ascii="宋体" w:hAnsi="宋体"/>
          <w:sz w:val="24"/>
        </w:rPr>
      </w:pPr>
    </w:p>
    <w:p>
      <w:pPr>
        <w:spacing w:line="360" w:lineRule="auto"/>
        <w:jc w:val="center"/>
        <w:rPr>
          <w:rFonts w:ascii="宋体" w:hAnsi="宋体"/>
          <w:sz w:val="36"/>
          <w:szCs w:val="36"/>
        </w:rPr>
      </w:pPr>
    </w:p>
    <w:p>
      <w:pPr>
        <w:spacing w:line="360" w:lineRule="auto"/>
        <w:rPr>
          <w:rFonts w:ascii="宋体" w:hAnsi="宋体"/>
          <w:sz w:val="36"/>
          <w:szCs w:val="36"/>
        </w:rPr>
      </w:pPr>
    </w:p>
    <w:p>
      <w:pPr>
        <w:spacing w:line="360" w:lineRule="auto"/>
        <w:jc w:val="center"/>
        <w:rPr>
          <w:rFonts w:ascii="宋体" w:hAnsi="宋体"/>
          <w:b/>
          <w:sz w:val="24"/>
        </w:rPr>
      </w:pPr>
      <w:r>
        <w:rPr>
          <w:rFonts w:hint="eastAsia" w:ascii="宋体" w:hAnsi="宋体"/>
          <w:b/>
          <w:sz w:val="24"/>
        </w:rPr>
        <w:t>（三）其他文件和资料（如有）</w:t>
      </w:r>
    </w:p>
    <w:p>
      <w:pPr>
        <w:spacing w:line="360" w:lineRule="auto"/>
        <w:jc w:val="center"/>
        <w:rPr>
          <w:rFonts w:ascii="宋体" w:hAnsi="宋体"/>
          <w:b/>
          <w:sz w:val="24"/>
        </w:rPr>
      </w:pPr>
      <w:r>
        <w:rPr>
          <w:rFonts w:hint="eastAsia" w:ascii="宋体" w:hAnsi="宋体"/>
          <w:b/>
          <w:sz w:val="24"/>
        </w:rPr>
        <w:t>包括但不限于质量认证、企业信誉、财务审计等</w:t>
      </w:r>
    </w:p>
    <w:p>
      <w:pPr>
        <w:spacing w:line="360" w:lineRule="auto"/>
        <w:jc w:val="center"/>
        <w:rPr>
          <w:rFonts w:ascii="宋体" w:hAnsi="宋体"/>
          <w:sz w:val="24"/>
        </w:rPr>
      </w:pPr>
      <w:r>
        <w:rPr>
          <w:rFonts w:hint="eastAsia" w:ascii="宋体" w:hAnsi="宋体"/>
          <w:sz w:val="24"/>
        </w:rPr>
        <w:t>(格式自拟)</w:t>
      </w:r>
    </w:p>
    <w:p>
      <w:pPr>
        <w:widowControl/>
        <w:jc w:val="center"/>
        <w:rPr>
          <w:rFonts w:ascii="宋体" w:hAnsi="宋体"/>
          <w:b/>
          <w:sz w:val="36"/>
          <w:szCs w:val="36"/>
        </w:rPr>
      </w:pPr>
    </w:p>
    <w:p>
      <w:pPr>
        <w:widowControl/>
        <w:jc w:val="left"/>
        <w:rPr>
          <w:rFonts w:ascii="宋体" w:hAnsi="宋体"/>
          <w:b/>
          <w:sz w:val="36"/>
          <w:szCs w:val="36"/>
        </w:rPr>
      </w:pPr>
    </w:p>
    <w:p>
      <w:pPr>
        <w:widowControl/>
        <w:jc w:val="left"/>
        <w:rPr>
          <w:rFonts w:ascii="宋体" w:hAnsi="宋体"/>
          <w:b/>
          <w:sz w:val="36"/>
          <w:szCs w:val="36"/>
        </w:rPr>
      </w:pPr>
      <w:r>
        <w:rPr>
          <w:rFonts w:ascii="宋体" w:hAnsi="宋体"/>
          <w:b/>
          <w:sz w:val="36"/>
          <w:szCs w:val="36"/>
        </w:rPr>
        <w:br w:type="page"/>
      </w:r>
    </w:p>
    <w:p>
      <w:pPr>
        <w:spacing w:line="360" w:lineRule="auto"/>
        <w:jc w:val="center"/>
        <w:rPr>
          <w:rFonts w:ascii="宋体" w:hAnsi="宋体"/>
          <w:b/>
          <w:sz w:val="24"/>
        </w:rPr>
      </w:pPr>
      <w:r>
        <w:rPr>
          <w:rFonts w:hint="eastAsia" w:ascii="宋体" w:hAnsi="宋体"/>
          <w:b/>
          <w:sz w:val="24"/>
        </w:rPr>
        <w:t>（四）政府采购投标保证金担保函</w:t>
      </w:r>
    </w:p>
    <w:p>
      <w:pPr>
        <w:spacing w:line="360" w:lineRule="auto"/>
        <w:jc w:val="center"/>
        <w:rPr>
          <w:rFonts w:ascii="宋体" w:hAnsi="宋体" w:cs="宋体"/>
          <w:b/>
          <w:bCs/>
          <w:sz w:val="24"/>
        </w:rPr>
      </w:pPr>
      <w:r>
        <w:rPr>
          <w:rFonts w:hint="eastAsia" w:ascii="宋体" w:hAnsi="宋体"/>
          <w:sz w:val="24"/>
        </w:rPr>
        <w:t>1、</w:t>
      </w:r>
      <w:r>
        <w:rPr>
          <w:rFonts w:hint="eastAsia" w:ascii="宋体" w:hAnsi="宋体" w:cs="宋体"/>
          <w:b/>
          <w:bCs/>
          <w:sz w:val="24"/>
        </w:rPr>
        <w:t>政府采购投标担保函</w:t>
      </w:r>
      <w:r>
        <w:rPr>
          <w:rFonts w:hint="eastAsia" w:ascii="宋体" w:hAnsi="宋体" w:cs="宋体"/>
          <w:sz w:val="24"/>
        </w:rPr>
        <w:t>（担保公司）</w:t>
      </w:r>
      <w:r>
        <w:rPr>
          <w:rFonts w:ascii="宋体" w:hAnsi="宋体" w:cs="宋体"/>
          <w:b/>
          <w:bCs/>
          <w:sz w:val="24"/>
        </w:rPr>
        <w:t xml:space="preserve"> </w:t>
      </w:r>
    </w:p>
    <w:p>
      <w:pPr>
        <w:spacing w:line="360" w:lineRule="auto"/>
        <w:ind w:firstLine="420"/>
        <w:jc w:val="center"/>
        <w:rPr>
          <w:rFonts w:ascii="宋体" w:hAnsi="宋体"/>
          <w:sz w:val="24"/>
        </w:rPr>
      </w:pPr>
      <w:r>
        <w:rPr>
          <w:rFonts w:hint="eastAsia" w:ascii="宋体" w:hAnsi="宋体" w:cs="宋体"/>
          <w:sz w:val="24"/>
        </w:rPr>
        <w:t>编号：</w:t>
      </w:r>
    </w:p>
    <w:p>
      <w:pPr>
        <w:spacing w:line="360" w:lineRule="auto"/>
        <w:rPr>
          <w:rFonts w:ascii="宋体" w:hAnsi="宋体" w:cs="宋体"/>
          <w:sz w:val="24"/>
        </w:rPr>
      </w:pPr>
      <w:r>
        <w:rPr>
          <w:rFonts w:hint="eastAsia" w:ascii="宋体" w:hAnsi="宋体" w:cs="宋体"/>
          <w:sz w:val="24"/>
          <w:u w:val="single"/>
        </w:rPr>
        <w:t>（采购人）</w:t>
      </w:r>
      <w:r>
        <w:rPr>
          <w:rFonts w:ascii="宋体" w:hAnsi="宋体" w:cs="宋体"/>
          <w:sz w:val="24"/>
          <w:u w:val="single"/>
        </w:rPr>
        <w:t xml:space="preserve">               </w:t>
      </w:r>
      <w:r>
        <w:rPr>
          <w:rFonts w:hint="eastAsia" w:ascii="宋体" w:hAnsi="宋体" w:cs="宋体"/>
          <w:sz w:val="24"/>
        </w:rPr>
        <w:t>：</w:t>
      </w:r>
      <w:r>
        <w:rPr>
          <w:rFonts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鉴于＿＿＿＿＿＿＿＿＿＿＿＿＿（以下简称“投标人”）拟参加＿＿＿＿＿＿＿＿＿＿＿＿＿＿＿（项目名称、包号）（项目编号）＿＿＿＿＿＿＿＿（以下简称“本项目”）投标，根据本项目招标文件，投标人参加投标时应向你方交纳投标保证金，且可以投标担保函的形式交纳投标保证金。应投标人的申请，我方以保证的方式向你方提供如下投标保证金担保：</w:t>
      </w:r>
      <w:r>
        <w:rPr>
          <w:rFonts w:ascii="宋体" w:hAnsi="宋体" w:cs="宋体"/>
          <w:sz w:val="24"/>
        </w:rPr>
        <w:t xml:space="preserve"> </w:t>
      </w:r>
    </w:p>
    <w:p>
      <w:pPr>
        <w:spacing w:line="360" w:lineRule="auto"/>
        <w:ind w:firstLine="420"/>
        <w:rPr>
          <w:rFonts w:ascii="宋体" w:hAnsi="宋体" w:cs="宋体"/>
          <w:sz w:val="24"/>
        </w:rPr>
      </w:pPr>
      <w:r>
        <w:rPr>
          <w:rFonts w:hint="eastAsia" w:ascii="宋体" w:hAnsi="宋体" w:cs="宋体"/>
          <w:sz w:val="24"/>
        </w:rPr>
        <w:t>一、保证责任的情形及保证金额</w:t>
      </w:r>
      <w:r>
        <w:rPr>
          <w:rFonts w:ascii="宋体" w:hAnsi="宋体" w:cs="宋体"/>
          <w:sz w:val="24"/>
        </w:rPr>
        <w:t xml:space="preserve"> </w:t>
      </w:r>
    </w:p>
    <w:p>
      <w:pPr>
        <w:spacing w:line="360" w:lineRule="auto"/>
        <w:ind w:firstLine="420"/>
        <w:rPr>
          <w:rFonts w:ascii="宋体" w:hAnsi="宋体"/>
          <w:sz w:val="24"/>
        </w:rPr>
      </w:pPr>
      <w:r>
        <w:rPr>
          <w:rFonts w:hint="eastAsia" w:ascii="宋体" w:hAnsi="宋体" w:cs="宋体"/>
          <w:sz w:val="24"/>
        </w:rPr>
        <w:t>（一）在投标人出现下列情形之一时，我方承担保证责任：</w:t>
      </w:r>
    </w:p>
    <w:p>
      <w:pPr>
        <w:numPr>
          <w:ilvl w:val="0"/>
          <w:numId w:val="1"/>
        </w:numPr>
        <w:snapToGrid w:val="0"/>
        <w:spacing w:line="360" w:lineRule="auto"/>
        <w:rPr>
          <w:rFonts w:ascii="宋体" w:hAnsi="宋体"/>
          <w:sz w:val="24"/>
        </w:rPr>
      </w:pPr>
      <w:r>
        <w:rPr>
          <w:rFonts w:hint="eastAsia" w:ascii="宋体" w:hAnsi="宋体" w:cs="宋体"/>
          <w:sz w:val="24"/>
        </w:rPr>
        <w:t>在提交投标文件截止时间后到投标有效期届满前，投标人撤回投标；或</w:t>
      </w:r>
    </w:p>
    <w:p>
      <w:pPr>
        <w:numPr>
          <w:ilvl w:val="0"/>
          <w:numId w:val="1"/>
        </w:numPr>
        <w:snapToGrid w:val="0"/>
        <w:spacing w:line="360" w:lineRule="auto"/>
        <w:rPr>
          <w:rFonts w:ascii="宋体" w:hAnsi="宋体"/>
          <w:sz w:val="24"/>
        </w:rPr>
      </w:pPr>
      <w:r>
        <w:rPr>
          <w:rFonts w:hint="eastAsia" w:ascii="宋体" w:hAnsi="宋体" w:cs="宋体"/>
          <w:sz w:val="24"/>
        </w:rPr>
        <w:t>在收到中标通知后</w:t>
      </w:r>
      <w:r>
        <w:rPr>
          <w:rFonts w:ascii="宋体" w:hAnsi="宋体" w:cs="宋体"/>
          <w:sz w:val="24"/>
        </w:rPr>
        <w:t>30</w:t>
      </w:r>
      <w:r>
        <w:rPr>
          <w:rFonts w:hint="eastAsia" w:ascii="宋体" w:hAnsi="宋体" w:cs="宋体"/>
          <w:sz w:val="24"/>
        </w:rPr>
        <w:t>天内，投标人无正当理由未能与采购人签订合同；或</w:t>
      </w:r>
    </w:p>
    <w:p>
      <w:pPr>
        <w:spacing w:line="360" w:lineRule="auto"/>
        <w:ind w:firstLine="480" w:firstLineChars="200"/>
        <w:rPr>
          <w:rFonts w:ascii="宋体" w:hAnsi="宋体"/>
          <w:sz w:val="24"/>
        </w:rPr>
      </w:pPr>
      <w:r>
        <w:rPr>
          <w:rFonts w:ascii="宋体" w:hAnsi="宋体" w:cs="宋体"/>
          <w:sz w:val="24"/>
        </w:rPr>
        <w:t>3.</w:t>
      </w:r>
      <w:r>
        <w:rPr>
          <w:rFonts w:hint="eastAsia" w:ascii="宋体" w:hAnsi="宋体" w:cs="宋体"/>
          <w:sz w:val="24"/>
        </w:rPr>
        <w:t>招标文件及法律、法规等法律规范性文件规定的可以不予退还投标保证金的其他情形；</w:t>
      </w:r>
    </w:p>
    <w:p>
      <w:pPr>
        <w:spacing w:line="360" w:lineRule="auto"/>
        <w:ind w:firstLine="420"/>
        <w:rPr>
          <w:rFonts w:ascii="宋体" w:hAnsi="宋体" w:cs="宋体"/>
          <w:sz w:val="24"/>
        </w:rPr>
      </w:pPr>
      <w:r>
        <w:rPr>
          <w:rFonts w:hint="eastAsia" w:ascii="宋体" w:hAnsi="宋体" w:cs="宋体"/>
          <w:sz w:val="24"/>
        </w:rPr>
        <w:t>（二）我方承担保证责任的最高金额为人民币＿＿＿元（大写），即本项目的投标保证金金额。</w:t>
      </w:r>
      <w:r>
        <w:rPr>
          <w:rFonts w:ascii="宋体" w:hAnsi="宋体" w:cs="宋体"/>
          <w:sz w:val="24"/>
        </w:rPr>
        <w:t xml:space="preserve"> </w:t>
      </w:r>
    </w:p>
    <w:p>
      <w:pPr>
        <w:spacing w:line="360" w:lineRule="auto"/>
        <w:ind w:firstLine="420"/>
        <w:rPr>
          <w:rFonts w:ascii="宋体" w:hAnsi="宋体" w:cs="宋体"/>
          <w:sz w:val="24"/>
        </w:rPr>
      </w:pPr>
      <w:r>
        <w:rPr>
          <w:rFonts w:hint="eastAsia" w:ascii="宋体" w:hAnsi="宋体" w:cs="宋体"/>
          <w:sz w:val="24"/>
        </w:rPr>
        <w:t>二、保证的方式及保证期间</w:t>
      </w:r>
      <w:r>
        <w:rPr>
          <w:rFonts w:ascii="宋体" w:hAnsi="宋体" w:cs="宋体"/>
          <w:sz w:val="24"/>
        </w:rPr>
        <w:t xml:space="preserve"> </w:t>
      </w:r>
    </w:p>
    <w:p>
      <w:pPr>
        <w:spacing w:line="360" w:lineRule="auto"/>
        <w:ind w:firstLine="420"/>
        <w:rPr>
          <w:rFonts w:ascii="宋体" w:hAnsi="宋体"/>
          <w:sz w:val="24"/>
        </w:rPr>
      </w:pPr>
      <w:r>
        <w:rPr>
          <w:rFonts w:hint="eastAsia" w:ascii="宋体" w:hAnsi="宋体" w:cs="宋体"/>
          <w:sz w:val="24"/>
        </w:rPr>
        <w:t>我方保证的方式为：连带责任保证。</w:t>
      </w:r>
    </w:p>
    <w:p>
      <w:pPr>
        <w:spacing w:line="360" w:lineRule="auto"/>
        <w:ind w:firstLine="420"/>
        <w:rPr>
          <w:rFonts w:ascii="宋体" w:hAnsi="宋体"/>
          <w:sz w:val="24"/>
        </w:rPr>
      </w:pPr>
      <w:r>
        <w:rPr>
          <w:rFonts w:hint="eastAsia" w:ascii="宋体" w:hAnsi="宋体" w:cs="宋体"/>
          <w:sz w:val="24"/>
        </w:rPr>
        <w:t>我方的保证期间为：本保函自开标之日起</w:t>
      </w:r>
      <w:r>
        <w:rPr>
          <w:rFonts w:ascii="宋体" w:hAnsi="宋体" w:cs="宋体"/>
          <w:sz w:val="24"/>
        </w:rPr>
        <w:t>90</w:t>
      </w:r>
      <w:r>
        <w:rPr>
          <w:rFonts w:hint="eastAsia" w:ascii="宋体" w:hAnsi="宋体" w:cs="宋体"/>
          <w:sz w:val="24"/>
        </w:rPr>
        <w:t>个日历日内有效。</w:t>
      </w:r>
    </w:p>
    <w:p>
      <w:pPr>
        <w:spacing w:line="360" w:lineRule="auto"/>
        <w:ind w:firstLine="420"/>
        <w:rPr>
          <w:rFonts w:ascii="宋体" w:hAnsi="宋体" w:cs="宋体"/>
          <w:sz w:val="24"/>
        </w:rPr>
      </w:pPr>
      <w:r>
        <w:rPr>
          <w:rFonts w:hint="eastAsia" w:ascii="宋体" w:hAnsi="宋体" w:cs="宋体"/>
          <w:sz w:val="24"/>
        </w:rPr>
        <w:t>三、承担保证责任的程序</w:t>
      </w:r>
      <w:r>
        <w:rPr>
          <w:rFonts w:ascii="宋体" w:hAnsi="宋体" w:cs="宋体"/>
          <w:sz w:val="24"/>
        </w:rPr>
        <w:t xml:space="preserve"> </w:t>
      </w:r>
    </w:p>
    <w:p>
      <w:pPr>
        <w:spacing w:line="360" w:lineRule="auto"/>
        <w:ind w:firstLine="420"/>
        <w:rPr>
          <w:rFonts w:ascii="宋体" w:hAnsi="宋体"/>
          <w:sz w:val="24"/>
        </w:rPr>
      </w:pPr>
      <w:r>
        <w:rPr>
          <w:rFonts w:ascii="宋体" w:hAnsi="宋体" w:cs="宋体"/>
          <w:sz w:val="24"/>
        </w:rPr>
        <w:t>(</w:t>
      </w:r>
      <w:r>
        <w:rPr>
          <w:rFonts w:hint="eastAsia" w:ascii="宋体" w:hAnsi="宋体" w:cs="宋体"/>
          <w:sz w:val="24"/>
        </w:rPr>
        <w:t>一</w:t>
      </w:r>
      <w:r>
        <w:rPr>
          <w:rFonts w:ascii="宋体" w:hAnsi="宋体" w:cs="宋体"/>
          <w:sz w:val="24"/>
        </w:rPr>
        <w:t>)</w:t>
      </w:r>
      <w:r>
        <w:rPr>
          <w:rFonts w:hint="eastAsia" w:ascii="宋体" w:hAnsi="宋体" w:cs="宋体"/>
          <w:sz w:val="24"/>
        </w:rPr>
        <w:t>你方要求我方承担保证责任的，应在本保函保证期间内向我方发出书面索赔通知。索赔通知应写明要求索赔的金额，支付款项应到达的账号。</w:t>
      </w:r>
    </w:p>
    <w:p>
      <w:pPr>
        <w:spacing w:line="360" w:lineRule="auto"/>
        <w:ind w:firstLine="360" w:firstLineChars="150"/>
        <w:rPr>
          <w:rFonts w:ascii="宋体" w:hAnsi="宋体"/>
          <w:sz w:val="24"/>
        </w:rPr>
      </w:pPr>
      <w:r>
        <w:rPr>
          <w:rFonts w:hint="eastAsia" w:ascii="宋体" w:hAnsi="宋体" w:cs="宋体"/>
          <w:sz w:val="24"/>
        </w:rPr>
        <w:t>（二）</w:t>
      </w:r>
      <w:r>
        <w:rPr>
          <w:rFonts w:ascii="宋体" w:hAnsi="宋体" w:cs="宋体"/>
          <w:sz w:val="24"/>
        </w:rPr>
        <w:t xml:space="preserve"> </w:t>
      </w:r>
      <w:r>
        <w:rPr>
          <w:rFonts w:hint="eastAsia" w:ascii="宋体" w:hAnsi="宋体" w:cs="宋体"/>
          <w:sz w:val="24"/>
        </w:rPr>
        <w:t>一旦收到贵方提出的第一条第一款事实的书面通知，我方将立即不争辩、无挑剔、无追索地向贵方支付金额为人民币（金额数）保证金：</w:t>
      </w:r>
    </w:p>
    <w:p>
      <w:pPr>
        <w:spacing w:line="360" w:lineRule="auto"/>
        <w:ind w:firstLine="420"/>
        <w:rPr>
          <w:rFonts w:ascii="宋体" w:hAnsi="宋体"/>
          <w:sz w:val="24"/>
        </w:rPr>
      </w:pPr>
      <w:r>
        <w:rPr>
          <w:rFonts w:hint="eastAsia" w:ascii="宋体" w:hAnsi="宋体" w:cs="宋体"/>
          <w:sz w:val="24"/>
        </w:rPr>
        <w:t>四、保证责任的终止</w:t>
      </w:r>
    </w:p>
    <w:p>
      <w:pPr>
        <w:spacing w:line="360" w:lineRule="auto"/>
        <w:ind w:firstLine="420"/>
        <w:rPr>
          <w:rFonts w:ascii="宋体" w:hAnsi="宋体" w:cs="宋体"/>
          <w:sz w:val="24"/>
        </w:rPr>
      </w:pPr>
      <w:r>
        <w:rPr>
          <w:rFonts w:ascii="宋体" w:hAnsi="宋体" w:cs="宋体"/>
          <w:sz w:val="24"/>
        </w:rPr>
        <w:t>(</w:t>
      </w:r>
      <w:r>
        <w:rPr>
          <w:rFonts w:hint="eastAsia" w:ascii="宋体" w:hAnsi="宋体" w:cs="宋体"/>
          <w:sz w:val="24"/>
        </w:rPr>
        <w:t>一</w:t>
      </w:r>
      <w:r>
        <w:rPr>
          <w:rFonts w:ascii="宋体" w:hAnsi="宋体" w:cs="宋体"/>
          <w:sz w:val="24"/>
        </w:rPr>
        <w:t>)</w:t>
      </w:r>
      <w:r>
        <w:rPr>
          <w:rFonts w:hint="eastAsia" w:ascii="宋体" w:hAnsi="宋体" w:cs="宋体"/>
          <w:sz w:val="24"/>
        </w:rPr>
        <w:t>保证期间届满你方未向我方书面主张保证责任的，自保证期间届满次日起，我方保证责任自动终止。</w:t>
      </w:r>
      <w:r>
        <w:rPr>
          <w:rFonts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rPr>
        <w:t>（二）我方按照本保函向你方履行了保证责任后，自我方向你方支付款项（支付款项从我方账户划出）之日起，保证责任终止。</w:t>
      </w:r>
      <w:r>
        <w:rPr>
          <w:rFonts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rPr>
        <w:t>（三）符合法律法规规定责任终止情形的，我方在本保函项下的保证责任亦终止。</w:t>
      </w:r>
      <w:r>
        <w:rPr>
          <w:rFonts w:ascii="宋体" w:hAnsi="宋体" w:cs="宋体"/>
          <w:sz w:val="24"/>
        </w:rPr>
        <w:t xml:space="preserve"> </w:t>
      </w:r>
    </w:p>
    <w:p>
      <w:pPr>
        <w:spacing w:line="360" w:lineRule="auto"/>
        <w:ind w:firstLine="420"/>
        <w:rPr>
          <w:rFonts w:ascii="宋体" w:hAnsi="宋体" w:cs="宋体"/>
          <w:sz w:val="24"/>
        </w:rPr>
      </w:pPr>
      <w:r>
        <w:rPr>
          <w:rFonts w:hint="eastAsia" w:ascii="宋体" w:hAnsi="宋体" w:cs="宋体"/>
          <w:sz w:val="24"/>
        </w:rPr>
        <w:t>五、免责条款</w:t>
      </w:r>
      <w:r>
        <w:rPr>
          <w:rFonts w:ascii="宋体" w:hAnsi="宋体" w:cs="宋体"/>
          <w:sz w:val="24"/>
        </w:rPr>
        <w:t xml:space="preserve"> </w:t>
      </w:r>
    </w:p>
    <w:p>
      <w:pPr>
        <w:spacing w:line="360" w:lineRule="auto"/>
        <w:ind w:firstLine="420"/>
        <w:rPr>
          <w:rFonts w:ascii="宋体" w:hAnsi="宋体" w:cs="宋体"/>
          <w:sz w:val="24"/>
        </w:rPr>
      </w:pPr>
      <w:r>
        <w:rPr>
          <w:rFonts w:hint="eastAsia" w:ascii="宋体" w:hAnsi="宋体" w:cs="宋体"/>
          <w:sz w:val="24"/>
        </w:rPr>
        <w:t>（一）依照法律规定或你方与投标人的另行约定，全部或者部分免除投标人投标保证金义务时，我方亦免除相应的保证责任。</w:t>
      </w:r>
      <w:r>
        <w:rPr>
          <w:rFonts w:ascii="宋体" w:hAnsi="宋体" w:cs="宋体"/>
          <w:sz w:val="24"/>
        </w:rPr>
        <w:t xml:space="preserve"> </w:t>
      </w:r>
    </w:p>
    <w:p>
      <w:pPr>
        <w:spacing w:line="360" w:lineRule="auto"/>
        <w:ind w:firstLine="420"/>
        <w:rPr>
          <w:rFonts w:ascii="宋体" w:hAnsi="宋体"/>
          <w:sz w:val="24"/>
        </w:rPr>
      </w:pPr>
      <w:r>
        <w:rPr>
          <w:rFonts w:hint="eastAsia" w:ascii="宋体" w:hAnsi="宋体" w:cs="宋体"/>
          <w:sz w:val="24"/>
        </w:rPr>
        <w:t>（二）你方对招标文件进行任何澄清或修改，加重我方保证责任的，我方对加重部分不承担保证责任，但该澄清或修改经我方事先书面同意的除外。</w:t>
      </w:r>
    </w:p>
    <w:p>
      <w:pPr>
        <w:spacing w:line="360" w:lineRule="auto"/>
        <w:ind w:firstLine="420"/>
        <w:rPr>
          <w:rFonts w:ascii="宋体" w:hAnsi="宋体" w:cs="宋体"/>
          <w:sz w:val="24"/>
        </w:rPr>
      </w:pPr>
      <w:r>
        <w:rPr>
          <w:rFonts w:hint="eastAsia" w:ascii="宋体" w:hAnsi="宋体" w:cs="宋体"/>
          <w:sz w:val="24"/>
        </w:rPr>
        <w:t>六、争议的解决</w:t>
      </w:r>
      <w:r>
        <w:rPr>
          <w:rFonts w:ascii="宋体" w:hAnsi="宋体" w:cs="宋体"/>
          <w:sz w:val="24"/>
        </w:rPr>
        <w:t xml:space="preserve"> </w:t>
      </w:r>
    </w:p>
    <w:p>
      <w:pPr>
        <w:spacing w:line="360" w:lineRule="auto"/>
        <w:ind w:firstLine="420"/>
        <w:rPr>
          <w:rFonts w:ascii="宋体" w:hAnsi="宋体"/>
          <w:sz w:val="24"/>
        </w:rPr>
      </w:pPr>
      <w:r>
        <w:rPr>
          <w:rFonts w:hint="eastAsia" w:ascii="宋体" w:hAnsi="宋体" w:cs="宋体"/>
          <w:sz w:val="24"/>
        </w:rPr>
        <w:t>因本保函发生的纠纷，由你我双方协商解决，协商不成的，通过诉讼程序解决，诉讼管辖地法院为你方所在地人民法院。</w:t>
      </w:r>
    </w:p>
    <w:p>
      <w:pPr>
        <w:spacing w:line="360" w:lineRule="auto"/>
        <w:ind w:firstLine="420"/>
        <w:rPr>
          <w:rFonts w:ascii="宋体" w:hAnsi="宋体"/>
          <w:sz w:val="24"/>
        </w:rPr>
      </w:pPr>
      <w:r>
        <w:rPr>
          <w:rFonts w:hint="eastAsia" w:ascii="宋体" w:hAnsi="宋体" w:cs="宋体"/>
          <w:sz w:val="24"/>
        </w:rPr>
        <w:t>七、保函的生效</w:t>
      </w:r>
    </w:p>
    <w:p>
      <w:pPr>
        <w:spacing w:line="360" w:lineRule="auto"/>
        <w:ind w:firstLine="420"/>
        <w:rPr>
          <w:rFonts w:ascii="宋体" w:hAnsi="宋体"/>
          <w:sz w:val="24"/>
        </w:rPr>
      </w:pPr>
      <w:r>
        <w:rPr>
          <w:rFonts w:hint="eastAsia" w:ascii="宋体" w:hAnsi="宋体" w:cs="宋体"/>
          <w:sz w:val="24"/>
        </w:rPr>
        <w:t>本保函自我方加盖公章之日起生效。</w:t>
      </w:r>
    </w:p>
    <w:p>
      <w:pPr>
        <w:spacing w:line="360" w:lineRule="auto"/>
        <w:ind w:firstLine="420"/>
        <w:rPr>
          <w:rFonts w:ascii="宋体" w:hAnsi="宋体"/>
          <w:sz w:val="24"/>
        </w:rPr>
      </w:pPr>
    </w:p>
    <w:p>
      <w:pPr>
        <w:spacing w:line="360" w:lineRule="auto"/>
        <w:ind w:firstLine="420"/>
        <w:rPr>
          <w:rFonts w:ascii="宋体" w:hAnsi="宋体"/>
          <w:sz w:val="24"/>
        </w:rPr>
      </w:pPr>
    </w:p>
    <w:p>
      <w:pPr>
        <w:spacing w:line="360" w:lineRule="auto"/>
        <w:ind w:firstLine="2520" w:firstLineChars="1050"/>
        <w:rPr>
          <w:rFonts w:ascii="宋体" w:hAnsi="宋体"/>
          <w:sz w:val="24"/>
        </w:rPr>
      </w:pPr>
      <w:r>
        <w:rPr>
          <w:rFonts w:hint="eastAsia" w:ascii="宋体" w:hAnsi="宋体" w:cs="宋体"/>
          <w:sz w:val="24"/>
        </w:rPr>
        <w:t>保证人（公章）：</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spacing w:line="360" w:lineRule="auto"/>
        <w:ind w:firstLine="420"/>
        <w:jc w:val="center"/>
        <w:rPr>
          <w:rFonts w:ascii="宋体" w:hAnsi="宋体"/>
          <w:sz w:val="24"/>
        </w:rPr>
      </w:pPr>
      <w:r>
        <w:rPr>
          <w:rFonts w:ascii="宋体" w:hAnsi="宋体" w:cs="宋体"/>
          <w:sz w:val="24"/>
        </w:rPr>
        <w:t xml:space="preserve">   </w:t>
      </w:r>
    </w:p>
    <w:p>
      <w:pPr>
        <w:spacing w:line="340" w:lineRule="exact"/>
        <w:jc w:val="center"/>
        <w:rPr>
          <w:rFonts w:ascii="宋体" w:hAnsi="宋体"/>
          <w:sz w:val="24"/>
        </w:rPr>
      </w:pPr>
      <w:r>
        <w:rPr>
          <w:rFonts w:ascii="宋体" w:hAnsi="宋体"/>
          <w:sz w:val="24"/>
        </w:rPr>
        <w:br w:type="page"/>
      </w:r>
      <w:r>
        <w:rPr>
          <w:rFonts w:hint="eastAsia" w:ascii="宋体" w:hAnsi="宋体"/>
          <w:sz w:val="24"/>
        </w:rPr>
        <w:t>2、投标保证金保函（银行）</w:t>
      </w:r>
    </w:p>
    <w:p>
      <w:pPr>
        <w:spacing w:line="360" w:lineRule="auto"/>
        <w:ind w:firstLine="3960" w:firstLineChars="1650"/>
        <w:rPr>
          <w:rFonts w:ascii="宋体" w:hAnsi="宋体"/>
          <w:sz w:val="24"/>
        </w:rPr>
      </w:pPr>
      <w:r>
        <w:rPr>
          <w:rFonts w:hint="eastAsia" w:ascii="宋体" w:hAnsi="宋体"/>
          <w:sz w:val="24"/>
        </w:rPr>
        <w:t>开具日期：</w:t>
      </w:r>
      <w:r>
        <w:rPr>
          <w:rFonts w:ascii="宋体" w:hAnsi="宋体"/>
          <w:sz w:val="24"/>
          <w:u w:val="single"/>
        </w:rPr>
        <w:t xml:space="preserve">               </w:t>
      </w:r>
    </w:p>
    <w:p>
      <w:pPr>
        <w:spacing w:line="360" w:lineRule="auto"/>
        <w:rPr>
          <w:rFonts w:ascii="宋体" w:hAnsi="宋体"/>
          <w:sz w:val="24"/>
        </w:rPr>
      </w:pPr>
      <w:r>
        <w:rPr>
          <w:rFonts w:hint="eastAsia" w:ascii="宋体" w:hAnsi="宋体"/>
          <w:sz w:val="24"/>
        </w:rPr>
        <w:t>致：</w:t>
      </w:r>
      <w:r>
        <w:rPr>
          <w:rFonts w:ascii="宋体" w:hAnsi="宋体"/>
          <w:sz w:val="24"/>
          <w:u w:val="single"/>
        </w:rPr>
        <w:t xml:space="preserve">  (</w:t>
      </w:r>
      <w:r>
        <w:rPr>
          <w:rFonts w:hint="eastAsia" w:ascii="宋体" w:hAnsi="宋体"/>
          <w:sz w:val="24"/>
          <w:u w:val="single"/>
        </w:rPr>
        <w:t>采购</w:t>
      </w:r>
      <w:r>
        <w:rPr>
          <w:rFonts w:ascii="宋体" w:hAnsi="宋体"/>
          <w:sz w:val="24"/>
          <w:u w:val="single"/>
        </w:rPr>
        <w:t>人</w:t>
      </w:r>
      <w:r>
        <w:rPr>
          <w:rFonts w:hint="eastAsia" w:ascii="宋体" w:hAnsi="宋体"/>
          <w:sz w:val="24"/>
          <w:u w:val="single"/>
        </w:rPr>
        <w:t>)</w:t>
      </w:r>
      <w:r>
        <w:rPr>
          <w:rFonts w:ascii="宋体" w:hAnsi="宋体"/>
          <w:sz w:val="24"/>
          <w:u w:val="single"/>
        </w:rPr>
        <w:t xml:space="preserve">        </w:t>
      </w:r>
    </w:p>
    <w:p>
      <w:pPr>
        <w:spacing w:line="360" w:lineRule="auto"/>
        <w:ind w:left="656" w:leftChars="198" w:hanging="240" w:hangingChars="100"/>
        <w:rPr>
          <w:rFonts w:ascii="宋体" w:hAnsi="宋体"/>
          <w:sz w:val="24"/>
        </w:rPr>
      </w:pPr>
      <w:r>
        <w:rPr>
          <w:rFonts w:hint="eastAsia" w:ascii="宋体" w:hAnsi="宋体"/>
          <w:sz w:val="24"/>
        </w:rPr>
        <w:t>本保函为</w:t>
      </w:r>
      <w:r>
        <w:rPr>
          <w:rFonts w:hint="eastAsia" w:ascii="宋体" w:hAnsi="宋体"/>
          <w:sz w:val="24"/>
          <w:u w:val="single"/>
        </w:rPr>
        <w:t>（投标人名称）</w:t>
      </w:r>
      <w:r>
        <w:rPr>
          <w:rFonts w:hint="eastAsia" w:ascii="宋体" w:hAnsi="宋体"/>
          <w:sz w:val="24"/>
        </w:rPr>
        <w:t>（以下简称“投标人”）</w:t>
      </w:r>
      <w:r>
        <w:rPr>
          <w:rFonts w:hint="eastAsia" w:ascii="宋体" w:hAnsi="宋体"/>
          <w:sz w:val="24"/>
          <w:u w:val="single"/>
        </w:rPr>
        <w:t xml:space="preserve">             </w:t>
      </w:r>
      <w:r>
        <w:rPr>
          <w:rFonts w:hint="eastAsia" w:ascii="宋体" w:hAnsi="宋体"/>
          <w:sz w:val="24"/>
        </w:rPr>
        <w:t>(项目</w:t>
      </w:r>
      <w:r>
        <w:rPr>
          <w:rFonts w:ascii="宋体" w:hAnsi="宋体"/>
          <w:sz w:val="24"/>
        </w:rPr>
        <w:t>名称</w:t>
      </w:r>
      <w:r>
        <w:rPr>
          <w:rFonts w:hint="eastAsia" w:ascii="宋体" w:hAnsi="宋体"/>
          <w:sz w:val="24"/>
        </w:rPr>
        <w:t>、</w:t>
      </w:r>
      <w:r>
        <w:rPr>
          <w:rFonts w:ascii="宋体" w:hAnsi="宋体"/>
          <w:sz w:val="24"/>
        </w:rPr>
        <w:t>包号</w:t>
      </w:r>
      <w:r>
        <w:rPr>
          <w:rFonts w:hint="eastAsia" w:ascii="宋体" w:hAnsi="宋体"/>
          <w:sz w:val="24"/>
        </w:rPr>
        <w:t>)</w:t>
      </w:r>
      <w:r>
        <w:rPr>
          <w:rFonts w:hint="eastAsia" w:ascii="宋体" w:hAnsi="宋体"/>
          <w:sz w:val="24"/>
          <w:u w:val="single"/>
        </w:rPr>
        <w:t xml:space="preserve">          </w:t>
      </w:r>
      <w:r>
        <w:rPr>
          <w:rFonts w:hint="eastAsia" w:ascii="宋体" w:hAnsi="宋体"/>
          <w:sz w:val="24"/>
        </w:rPr>
        <w:t>（项目编号）提供的投标保函。</w:t>
      </w:r>
    </w:p>
    <w:p>
      <w:pPr>
        <w:spacing w:line="360" w:lineRule="auto"/>
        <w:ind w:firstLine="435"/>
        <w:rPr>
          <w:rFonts w:ascii="宋体" w:hAnsi="宋体"/>
          <w:sz w:val="24"/>
        </w:rPr>
      </w:pPr>
      <w:r>
        <w:rPr>
          <w:rFonts w:hint="eastAsia" w:ascii="宋体" w:hAnsi="宋体"/>
          <w:sz w:val="24"/>
          <w:u w:val="single"/>
        </w:rPr>
        <w:t>（出具保函银行名称）</w:t>
      </w:r>
      <w:r>
        <w:rPr>
          <w:rFonts w:hint="eastAsia" w:ascii="宋体" w:hAnsi="宋体"/>
          <w:sz w:val="24"/>
        </w:rPr>
        <w:t>无条件地、不可撤消地具结保证本行、其继承人和受让人，一旦收到贵方提出的就下述任何一种事实的书面通知，立即不争辩、无挑剔、无追索地向贵方支付金额为人民币</w:t>
      </w:r>
      <w:r>
        <w:rPr>
          <w:rFonts w:hint="eastAsia" w:ascii="宋体" w:hAnsi="宋体"/>
          <w:sz w:val="24"/>
          <w:u w:val="single"/>
        </w:rPr>
        <w:t>（金额数）</w:t>
      </w:r>
      <w:r>
        <w:rPr>
          <w:rFonts w:hint="eastAsia" w:ascii="宋体" w:hAnsi="宋体"/>
          <w:sz w:val="24"/>
        </w:rPr>
        <w:t>保证金：</w:t>
      </w:r>
    </w:p>
    <w:p>
      <w:pPr>
        <w:numPr>
          <w:ilvl w:val="0"/>
          <w:numId w:val="1"/>
        </w:numPr>
        <w:spacing w:line="360" w:lineRule="auto"/>
        <w:rPr>
          <w:rFonts w:ascii="宋体" w:hAnsi="宋体"/>
          <w:sz w:val="24"/>
        </w:rPr>
      </w:pPr>
      <w:r>
        <w:rPr>
          <w:rFonts w:hint="eastAsia" w:ascii="宋体" w:hAnsi="宋体"/>
          <w:sz w:val="24"/>
        </w:rPr>
        <w:t>在提交投标文件截止时间后到投标有效期届满前，投标人撤回投标；或</w:t>
      </w:r>
    </w:p>
    <w:p>
      <w:pPr>
        <w:numPr>
          <w:ilvl w:val="0"/>
          <w:numId w:val="1"/>
        </w:numPr>
        <w:spacing w:line="360" w:lineRule="auto"/>
        <w:rPr>
          <w:rFonts w:ascii="宋体" w:hAnsi="宋体"/>
          <w:sz w:val="24"/>
        </w:rPr>
      </w:pPr>
      <w:r>
        <w:rPr>
          <w:rFonts w:hint="eastAsia" w:ascii="宋体" w:hAnsi="宋体"/>
          <w:sz w:val="24"/>
        </w:rPr>
        <w:t>在收到中标通知后</w:t>
      </w:r>
      <w:r>
        <w:rPr>
          <w:rFonts w:ascii="宋体" w:hAnsi="宋体"/>
          <w:sz w:val="24"/>
        </w:rPr>
        <w:t>30</w:t>
      </w:r>
      <w:r>
        <w:rPr>
          <w:rFonts w:hint="eastAsia" w:ascii="宋体" w:hAnsi="宋体"/>
          <w:sz w:val="24"/>
        </w:rPr>
        <w:t>天内，投标人无正当理由未能与采购人签订合同；或</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招标文件及</w:t>
      </w:r>
      <w:r>
        <w:rPr>
          <w:rFonts w:ascii="宋体" w:hAnsi="宋体"/>
          <w:sz w:val="24"/>
        </w:rPr>
        <w:t>法律、法规</w:t>
      </w:r>
      <w:r>
        <w:rPr>
          <w:rFonts w:hint="eastAsia" w:ascii="宋体" w:hAnsi="宋体"/>
          <w:sz w:val="24"/>
        </w:rPr>
        <w:t>等</w:t>
      </w:r>
      <w:r>
        <w:rPr>
          <w:rFonts w:ascii="宋体" w:hAnsi="宋体"/>
          <w:sz w:val="24"/>
        </w:rPr>
        <w:t>法</w:t>
      </w:r>
      <w:r>
        <w:rPr>
          <w:rFonts w:hint="eastAsia" w:ascii="宋体" w:hAnsi="宋体"/>
          <w:sz w:val="24"/>
        </w:rPr>
        <w:t>律规范</w:t>
      </w:r>
      <w:r>
        <w:rPr>
          <w:rFonts w:ascii="宋体" w:hAnsi="宋体"/>
          <w:sz w:val="24"/>
        </w:rPr>
        <w:t>性文件</w:t>
      </w:r>
      <w:r>
        <w:rPr>
          <w:rFonts w:hint="eastAsia" w:ascii="宋体" w:hAnsi="宋体"/>
          <w:sz w:val="24"/>
        </w:rPr>
        <w:t>规定的可以不予退还投标保证金的其他情形；</w:t>
      </w:r>
    </w:p>
    <w:p>
      <w:pPr>
        <w:spacing w:line="360" w:lineRule="auto"/>
        <w:ind w:firstLine="435"/>
        <w:rPr>
          <w:rFonts w:ascii="宋体" w:hAnsi="宋体"/>
          <w:sz w:val="24"/>
        </w:rPr>
      </w:pPr>
      <w:r>
        <w:rPr>
          <w:rFonts w:hint="eastAsia" w:ascii="宋体" w:hAnsi="宋体"/>
          <w:sz w:val="24"/>
        </w:rPr>
        <w:t>本保函自开标之日起</w:t>
      </w:r>
      <w:r>
        <w:rPr>
          <w:rFonts w:ascii="宋体" w:hAnsi="宋体"/>
          <w:sz w:val="24"/>
          <w:u w:val="single"/>
        </w:rPr>
        <w:t>90</w:t>
      </w:r>
      <w:r>
        <w:rPr>
          <w:rFonts w:hint="eastAsia" w:ascii="宋体" w:hAnsi="宋体"/>
          <w:sz w:val="24"/>
        </w:rPr>
        <w:t>个日历日内有效。</w:t>
      </w:r>
    </w:p>
    <w:p>
      <w:pPr>
        <w:spacing w:line="360" w:lineRule="auto"/>
        <w:ind w:firstLine="437"/>
        <w:rPr>
          <w:rFonts w:ascii="宋体" w:hAnsi="宋体"/>
          <w:sz w:val="24"/>
        </w:rPr>
      </w:pPr>
      <w:r>
        <w:rPr>
          <w:rFonts w:hint="eastAsia" w:ascii="宋体" w:hAnsi="宋体"/>
          <w:sz w:val="24"/>
        </w:rPr>
        <w:t>出具保函银行名称</w:t>
      </w:r>
      <w:r>
        <w:rPr>
          <w:rFonts w:ascii="宋体" w:hAnsi="宋体"/>
          <w:sz w:val="24"/>
          <w:u w:val="single"/>
        </w:rPr>
        <w:t xml:space="preserve">                                        </w:t>
      </w:r>
    </w:p>
    <w:p>
      <w:pPr>
        <w:spacing w:line="360" w:lineRule="auto"/>
        <w:ind w:firstLine="437"/>
        <w:rPr>
          <w:rFonts w:ascii="宋体" w:hAnsi="宋体"/>
          <w:sz w:val="24"/>
          <w:u w:val="single"/>
        </w:rPr>
      </w:pPr>
      <w:r>
        <w:rPr>
          <w:rFonts w:hint="eastAsia" w:ascii="宋体" w:hAnsi="宋体"/>
          <w:sz w:val="24"/>
        </w:rPr>
        <w:t>出具保函银行公章</w:t>
      </w:r>
      <w:r>
        <w:rPr>
          <w:rFonts w:ascii="宋体" w:hAnsi="宋体"/>
          <w:sz w:val="24"/>
          <w:u w:val="single"/>
        </w:rPr>
        <w:t xml:space="preserve">                                        </w:t>
      </w:r>
    </w:p>
    <w:p>
      <w:pPr>
        <w:spacing w:line="360" w:lineRule="auto"/>
        <w:ind w:firstLine="437"/>
        <w:rPr>
          <w:rFonts w:ascii="宋体" w:hAnsi="宋体"/>
          <w:sz w:val="24"/>
          <w:u w:val="single"/>
        </w:rPr>
      </w:pPr>
      <w:r>
        <w:rPr>
          <w:rFonts w:hint="eastAsia" w:ascii="宋体" w:hAnsi="宋体"/>
          <w:sz w:val="24"/>
        </w:rPr>
        <w:t>签字人姓名和职务</w:t>
      </w:r>
      <w:r>
        <w:rPr>
          <w:rFonts w:ascii="宋体" w:hAnsi="宋体"/>
          <w:sz w:val="24"/>
          <w:u w:val="single"/>
        </w:rPr>
        <w:t xml:space="preserve">                                        </w:t>
      </w:r>
    </w:p>
    <w:p>
      <w:pPr>
        <w:spacing w:line="360" w:lineRule="auto"/>
        <w:ind w:firstLine="437"/>
        <w:rPr>
          <w:rFonts w:ascii="宋体" w:hAnsi="宋体"/>
          <w:sz w:val="24"/>
        </w:rPr>
      </w:pPr>
      <w:r>
        <w:rPr>
          <w:rFonts w:hint="eastAsia" w:ascii="宋体" w:hAnsi="宋体"/>
          <w:sz w:val="24"/>
        </w:rPr>
        <w:t>签</w:t>
      </w:r>
      <w:r>
        <w:rPr>
          <w:rFonts w:ascii="宋体" w:hAnsi="宋体"/>
          <w:sz w:val="24"/>
        </w:rPr>
        <w:t xml:space="preserve"> </w:t>
      </w:r>
      <w:r>
        <w:rPr>
          <w:rFonts w:hint="eastAsia" w:ascii="宋体" w:hAnsi="宋体"/>
          <w:sz w:val="24"/>
        </w:rPr>
        <w:t>字</w:t>
      </w:r>
      <w:r>
        <w:rPr>
          <w:rFonts w:ascii="宋体" w:hAnsi="宋体"/>
          <w:sz w:val="24"/>
        </w:rPr>
        <w:t xml:space="preserve"> </w:t>
      </w:r>
      <w:r>
        <w:rPr>
          <w:rFonts w:hint="eastAsia" w:ascii="宋体" w:hAnsi="宋体"/>
          <w:sz w:val="24"/>
        </w:rPr>
        <w:t>人</w:t>
      </w:r>
      <w:r>
        <w:rPr>
          <w:rFonts w:ascii="宋体" w:hAnsi="宋体"/>
          <w:sz w:val="24"/>
        </w:rPr>
        <w:t xml:space="preserve"> </w:t>
      </w:r>
      <w:r>
        <w:rPr>
          <w:rFonts w:hint="eastAsia" w:ascii="宋体" w:hAnsi="宋体"/>
          <w:sz w:val="24"/>
        </w:rPr>
        <w:t>签</w:t>
      </w:r>
      <w:r>
        <w:rPr>
          <w:rFonts w:ascii="宋体" w:hAnsi="宋体"/>
          <w:sz w:val="24"/>
        </w:rPr>
        <w:t xml:space="preserve"> </w:t>
      </w:r>
      <w:r>
        <w:rPr>
          <w:rFonts w:hint="eastAsia" w:ascii="宋体" w:hAnsi="宋体"/>
          <w:sz w:val="24"/>
        </w:rPr>
        <w:t>名</w:t>
      </w:r>
      <w:r>
        <w:rPr>
          <w:rFonts w:ascii="宋体" w:hAnsi="宋体"/>
          <w:sz w:val="24"/>
          <w:u w:val="single"/>
        </w:rPr>
        <w:t xml:space="preserve">                                          </w:t>
      </w:r>
    </w:p>
    <w:p>
      <w:pPr>
        <w:spacing w:line="360" w:lineRule="auto"/>
        <w:ind w:firstLine="437"/>
        <w:rPr>
          <w:rFonts w:ascii="宋体" w:hAnsi="宋体"/>
          <w:sz w:val="24"/>
        </w:rPr>
      </w:pPr>
    </w:p>
    <w:p>
      <w:pPr>
        <w:spacing w:line="360" w:lineRule="auto"/>
        <w:ind w:firstLine="437"/>
        <w:rPr>
          <w:rFonts w:ascii="宋体" w:hAnsi="宋体"/>
          <w:sz w:val="24"/>
        </w:rPr>
      </w:pPr>
      <w:r>
        <w:rPr>
          <w:rFonts w:hint="eastAsia" w:ascii="宋体" w:hAnsi="宋体"/>
          <w:sz w:val="24"/>
        </w:rPr>
        <w:t>出具保函银行地址</w:t>
      </w:r>
      <w:r>
        <w:rPr>
          <w:rFonts w:ascii="宋体" w:hAnsi="宋体"/>
          <w:sz w:val="24"/>
          <w:u w:val="single"/>
        </w:rPr>
        <w:t xml:space="preserve">                                        </w:t>
      </w:r>
    </w:p>
    <w:p>
      <w:pPr>
        <w:spacing w:line="360" w:lineRule="auto"/>
        <w:ind w:firstLine="437"/>
        <w:rPr>
          <w:rFonts w:ascii="宋体" w:hAnsi="宋体"/>
          <w:sz w:val="24"/>
        </w:rPr>
      </w:pPr>
      <w:r>
        <w:rPr>
          <w:rFonts w:hint="eastAsia" w:ascii="宋体" w:hAnsi="宋体"/>
          <w:sz w:val="24"/>
        </w:rPr>
        <w:t>出具保函银行电话</w:t>
      </w:r>
      <w:r>
        <w:rPr>
          <w:rFonts w:ascii="宋体" w:hAnsi="宋体"/>
          <w:sz w:val="24"/>
          <w:u w:val="single"/>
        </w:rPr>
        <w:t xml:space="preserve">                                        </w:t>
      </w:r>
    </w:p>
    <w:p>
      <w:pPr>
        <w:spacing w:line="360" w:lineRule="auto"/>
        <w:ind w:firstLine="437"/>
        <w:rPr>
          <w:rFonts w:ascii="宋体" w:hAnsi="宋体"/>
          <w:sz w:val="24"/>
        </w:rPr>
      </w:pPr>
      <w:r>
        <w:rPr>
          <w:rFonts w:hint="eastAsia" w:ascii="宋体" w:hAnsi="宋体"/>
          <w:sz w:val="24"/>
        </w:rPr>
        <w:t>出具保函银行传真</w:t>
      </w:r>
      <w:r>
        <w:rPr>
          <w:rFonts w:ascii="宋体" w:hAnsi="宋体"/>
          <w:sz w:val="24"/>
          <w:u w:val="single"/>
        </w:rPr>
        <w:t xml:space="preserve">                                        </w:t>
      </w:r>
    </w:p>
    <w:p>
      <w:pPr>
        <w:spacing w:line="360" w:lineRule="auto"/>
        <w:ind w:firstLine="435"/>
        <w:rPr>
          <w:rFonts w:ascii="宋体" w:hAnsi="宋体"/>
          <w:b/>
          <w:sz w:val="24"/>
          <w:u w:val="single"/>
        </w:rPr>
      </w:pPr>
    </w:p>
    <w:p>
      <w:pPr>
        <w:spacing w:line="360" w:lineRule="auto"/>
        <w:rPr>
          <w:rFonts w:ascii="宋体" w:hAnsi="宋体"/>
          <w:b/>
          <w:sz w:val="24"/>
        </w:rPr>
      </w:pPr>
      <w:r>
        <w:rPr>
          <w:rFonts w:hint="eastAsia" w:ascii="宋体" w:hAnsi="宋体"/>
          <w:b/>
          <w:bCs/>
          <w:sz w:val="24"/>
        </w:rPr>
        <w:t>注：1、</w:t>
      </w:r>
      <w:r>
        <w:rPr>
          <w:rFonts w:ascii="宋体" w:hAnsi="宋体"/>
          <w:b/>
          <w:sz w:val="24"/>
        </w:rPr>
        <w:t>本函的内容不得删减，</w:t>
      </w:r>
      <w:r>
        <w:rPr>
          <w:rFonts w:hint="eastAsia" w:ascii="宋体" w:hAnsi="宋体"/>
          <w:b/>
          <w:sz w:val="24"/>
        </w:rPr>
        <w:t>各</w:t>
      </w:r>
      <w:r>
        <w:rPr>
          <w:rFonts w:ascii="宋体" w:hAnsi="宋体"/>
          <w:b/>
          <w:sz w:val="24"/>
        </w:rPr>
        <w:t>银行</w:t>
      </w:r>
      <w:r>
        <w:rPr>
          <w:rFonts w:hint="eastAsia" w:ascii="宋体" w:hAnsi="宋体"/>
          <w:b/>
          <w:sz w:val="24"/>
        </w:rPr>
        <w:t>自制的</w:t>
      </w:r>
      <w:r>
        <w:rPr>
          <w:rFonts w:ascii="宋体" w:hAnsi="宋体"/>
          <w:b/>
          <w:sz w:val="24"/>
        </w:rPr>
        <w:t>保函</w:t>
      </w:r>
      <w:r>
        <w:rPr>
          <w:rFonts w:hint="eastAsia" w:ascii="宋体" w:hAnsi="宋体"/>
          <w:b/>
          <w:sz w:val="24"/>
        </w:rPr>
        <w:t>至</w:t>
      </w:r>
      <w:r>
        <w:rPr>
          <w:rFonts w:ascii="宋体" w:hAnsi="宋体"/>
          <w:b/>
          <w:sz w:val="24"/>
        </w:rPr>
        <w:t>少包含本保函的内容。</w:t>
      </w:r>
    </w:p>
    <w:p>
      <w:pPr>
        <w:spacing w:line="360" w:lineRule="auto"/>
        <w:ind w:firstLine="482" w:firstLineChars="200"/>
        <w:rPr>
          <w:rFonts w:ascii="宋体" w:hAnsi="宋体"/>
          <w:b/>
          <w:bCs/>
          <w:sz w:val="24"/>
        </w:rPr>
      </w:pPr>
      <w:r>
        <w:rPr>
          <w:rFonts w:ascii="宋体" w:hAnsi="宋体"/>
          <w:b/>
          <w:bCs/>
          <w:sz w:val="24"/>
        </w:rPr>
        <w:t>2</w:t>
      </w:r>
      <w:r>
        <w:rPr>
          <w:rFonts w:hint="eastAsia" w:ascii="宋体" w:hAnsi="宋体"/>
          <w:b/>
          <w:bCs/>
          <w:sz w:val="24"/>
        </w:rPr>
        <w:t>、本保函需由一家在中华人民共和国境内注册和营业的银行出具。</w:t>
      </w:r>
    </w:p>
    <w:p>
      <w:pPr>
        <w:spacing w:line="340" w:lineRule="exact"/>
        <w:jc w:val="center"/>
        <w:rPr>
          <w:rFonts w:ascii="宋体" w:hAnsi="宋体"/>
          <w:sz w:val="24"/>
        </w:rPr>
        <w:sectPr>
          <w:headerReference r:id="rId17" w:type="first"/>
          <w:footerReference r:id="rId18" w:type="first"/>
          <w:headerReference r:id="rId16" w:type="default"/>
          <w:pgSz w:w="11907" w:h="16840"/>
          <w:pgMar w:top="1440" w:right="1800" w:bottom="1440" w:left="1800" w:header="851" w:footer="828" w:gutter="0"/>
          <w:pgNumType w:fmt="numberInDash"/>
          <w:cols w:space="425" w:num="1"/>
          <w:docGrid w:linePitch="312" w:charSpace="0"/>
        </w:sectPr>
      </w:pPr>
    </w:p>
    <w:p>
      <w:pPr>
        <w:spacing w:line="360" w:lineRule="auto"/>
        <w:jc w:val="center"/>
        <w:rPr>
          <w:rFonts w:ascii="宋体" w:hAnsi="宋体"/>
          <w:b/>
          <w:sz w:val="24"/>
        </w:rPr>
      </w:pPr>
      <w:r>
        <w:rPr>
          <w:rFonts w:hint="eastAsia" w:ascii="宋体" w:hAnsi="宋体"/>
          <w:b/>
          <w:sz w:val="24"/>
        </w:rPr>
        <w:t>（五） 履约保证金保函</w:t>
      </w:r>
    </w:p>
    <w:p>
      <w:pPr>
        <w:jc w:val="center"/>
        <w:rPr>
          <w:rFonts w:ascii="宋体" w:hAnsi="宋体"/>
          <w:sz w:val="24"/>
        </w:rPr>
      </w:pPr>
      <w:r>
        <w:rPr>
          <w:rFonts w:ascii="宋体" w:hAnsi="宋体"/>
          <w:sz w:val="24"/>
        </w:rPr>
        <w:t>（</w:t>
      </w:r>
      <w:r>
        <w:rPr>
          <w:rFonts w:hint="eastAsia" w:ascii="宋体" w:hAnsi="宋体"/>
          <w:sz w:val="24"/>
        </w:rPr>
        <w:t>中标后如以保函形式递交履约保证金以此格式开具</w:t>
      </w:r>
      <w:r>
        <w:rPr>
          <w:rFonts w:ascii="宋体" w:hAnsi="宋体"/>
          <w:sz w:val="24"/>
        </w:rPr>
        <w:t>）</w:t>
      </w:r>
    </w:p>
    <w:p>
      <w:pPr>
        <w:jc w:val="center"/>
        <w:rPr>
          <w:rFonts w:ascii="宋体" w:hAnsi="宋体"/>
          <w:sz w:val="24"/>
        </w:rPr>
      </w:pPr>
    </w:p>
    <w:p>
      <w:pPr>
        <w:jc w:val="center"/>
        <w:rPr>
          <w:rFonts w:ascii="宋体" w:hAnsi="宋体"/>
          <w:sz w:val="24"/>
        </w:rPr>
      </w:pPr>
      <w:r>
        <w:rPr>
          <w:rFonts w:hint="eastAsia" w:ascii="宋体" w:hAnsi="宋体"/>
          <w:b/>
          <w:sz w:val="24"/>
        </w:rPr>
        <w:t>1.银行出具的履约保函格式</w:t>
      </w:r>
    </w:p>
    <w:p>
      <w:pPr>
        <w:spacing w:before="120"/>
        <w:rPr>
          <w:rFonts w:ascii="宋体" w:hAnsi="宋体"/>
          <w:sz w:val="24"/>
        </w:rPr>
      </w:pPr>
      <w:r>
        <w:rPr>
          <w:rFonts w:ascii="宋体" w:hAnsi="宋体"/>
          <w:sz w:val="24"/>
          <w:u w:val="single"/>
        </w:rPr>
        <w:t>　　　　　　　　　　　　　　</w:t>
      </w:r>
      <w:r>
        <w:rPr>
          <w:rFonts w:ascii="宋体" w:hAnsi="宋体"/>
          <w:sz w:val="24"/>
        </w:rPr>
        <w:t>：</w:t>
      </w:r>
    </w:p>
    <w:p>
      <w:pPr>
        <w:spacing w:before="120" w:line="360" w:lineRule="auto"/>
        <w:ind w:firstLine="480"/>
        <w:rPr>
          <w:rFonts w:ascii="宋体" w:hAnsi="宋体"/>
          <w:sz w:val="24"/>
        </w:rPr>
      </w:pPr>
      <w:r>
        <w:rPr>
          <w:rFonts w:ascii="宋体" w:hAnsi="宋体"/>
          <w:sz w:val="24"/>
        </w:rPr>
        <w:t>本保函是我行（</w:t>
      </w:r>
      <w:r>
        <w:rPr>
          <w:rFonts w:ascii="宋体" w:hAnsi="宋体"/>
          <w:sz w:val="24"/>
          <w:u w:val="single"/>
        </w:rPr>
        <w:t xml:space="preserve">           </w:t>
      </w:r>
      <w:r>
        <w:rPr>
          <w:rFonts w:ascii="宋体" w:hAnsi="宋体"/>
          <w:sz w:val="24"/>
        </w:rPr>
        <w:t>〈银行全称〉）为</w:t>
      </w:r>
      <w:r>
        <w:rPr>
          <w:rFonts w:ascii="宋体" w:hAnsi="宋体"/>
          <w:sz w:val="24"/>
          <w:u w:val="single"/>
        </w:rPr>
        <w:t xml:space="preserve">          </w:t>
      </w:r>
      <w:r>
        <w:rPr>
          <w:rFonts w:ascii="宋体" w:hAnsi="宋体"/>
          <w:sz w:val="24"/>
        </w:rPr>
        <w:t>（以下简称卖方）根据贵处组织的</w:t>
      </w:r>
      <w:r>
        <w:rPr>
          <w:rFonts w:ascii="宋体" w:hAnsi="宋体"/>
          <w:sz w:val="24"/>
          <w:u w:val="single"/>
        </w:rPr>
        <w:t xml:space="preserve">          </w:t>
      </w:r>
      <w:r>
        <w:rPr>
          <w:rFonts w:ascii="宋体" w:hAnsi="宋体"/>
          <w:sz w:val="24"/>
        </w:rPr>
        <w:t>项目（项目编号）</w:t>
      </w:r>
      <w:r>
        <w:rPr>
          <w:rFonts w:hint="eastAsia" w:ascii="宋体" w:hAnsi="宋体"/>
          <w:sz w:val="24"/>
        </w:rPr>
        <w:t>投标</w:t>
      </w:r>
      <w:r>
        <w:rPr>
          <w:rFonts w:ascii="宋体" w:hAnsi="宋体"/>
          <w:sz w:val="24"/>
        </w:rPr>
        <w:t xml:space="preserve">结果，将与 </w:t>
      </w:r>
      <w:r>
        <w:rPr>
          <w:rFonts w:ascii="宋体" w:hAnsi="宋体"/>
          <w:sz w:val="24"/>
          <w:u w:val="single"/>
        </w:rPr>
        <w:t xml:space="preserve">          </w:t>
      </w:r>
      <w:r>
        <w:rPr>
          <w:rFonts w:ascii="宋体" w:hAnsi="宋体"/>
          <w:sz w:val="24"/>
        </w:rPr>
        <w:t>（以下简称买方）签订的经济合同及执行合同提供的担保。保证金额为</w:t>
      </w:r>
      <w:r>
        <w:rPr>
          <w:rFonts w:ascii="宋体" w:hAnsi="宋体"/>
          <w:sz w:val="24"/>
          <w:u w:val="single"/>
        </w:rPr>
        <w:t xml:space="preserve">              </w:t>
      </w:r>
      <w:r>
        <w:rPr>
          <w:rFonts w:ascii="宋体" w:hAnsi="宋体"/>
          <w:sz w:val="24"/>
        </w:rPr>
        <w:t>元（大写人民币），即合同总金额的</w:t>
      </w:r>
      <w:r>
        <w:rPr>
          <w:rFonts w:hint="eastAsia" w:ascii="宋体" w:hAnsi="宋体"/>
          <w:sz w:val="24"/>
          <w:u w:val="single"/>
        </w:rPr>
        <w:t xml:space="preserve">   </w:t>
      </w:r>
      <w:r>
        <w:rPr>
          <w:rFonts w:ascii="宋体" w:hAnsi="宋体"/>
          <w:sz w:val="24"/>
        </w:rPr>
        <w:t>%。</w:t>
      </w:r>
    </w:p>
    <w:p>
      <w:pPr>
        <w:spacing w:before="120" w:line="360" w:lineRule="auto"/>
        <w:ind w:firstLine="435"/>
        <w:rPr>
          <w:rFonts w:ascii="宋体" w:hAnsi="宋体"/>
          <w:sz w:val="24"/>
        </w:rPr>
      </w:pPr>
      <w:r>
        <w:rPr>
          <w:rFonts w:ascii="宋体" w:hAnsi="宋体"/>
          <w:sz w:val="24"/>
        </w:rPr>
        <w:t>当我行在收到贵处说明卖方违约的书面通知后，在20天内按通知要求金额无条件地支付给买方。</w:t>
      </w:r>
    </w:p>
    <w:p>
      <w:pPr>
        <w:spacing w:before="120" w:line="360" w:lineRule="auto"/>
        <w:ind w:firstLine="435"/>
        <w:rPr>
          <w:rFonts w:ascii="宋体" w:hAnsi="宋体"/>
          <w:sz w:val="24"/>
        </w:rPr>
      </w:pPr>
      <w:r>
        <w:rPr>
          <w:rFonts w:ascii="宋体" w:hAnsi="宋体"/>
          <w:sz w:val="24"/>
        </w:rPr>
        <w:t>本保函的有效期为自开出之日起，至全部</w:t>
      </w:r>
      <w:r>
        <w:rPr>
          <w:rFonts w:hint="eastAsia" w:ascii="宋体" w:hAnsi="宋体"/>
          <w:sz w:val="24"/>
        </w:rPr>
        <w:t>服务</w:t>
      </w:r>
      <w:r>
        <w:rPr>
          <w:rFonts w:ascii="宋体" w:hAnsi="宋体"/>
          <w:sz w:val="24"/>
        </w:rPr>
        <w:t>验收</w:t>
      </w:r>
      <w:r>
        <w:rPr>
          <w:rFonts w:hint="eastAsia" w:ascii="宋体" w:hAnsi="宋体"/>
          <w:sz w:val="24"/>
        </w:rPr>
        <w:t>合格</w:t>
      </w:r>
      <w:r>
        <w:rPr>
          <w:rFonts w:ascii="宋体" w:hAnsi="宋体"/>
          <w:sz w:val="24"/>
        </w:rPr>
        <w:t>之日止。</w:t>
      </w:r>
    </w:p>
    <w:p>
      <w:pPr>
        <w:ind w:firstLine="435"/>
        <w:rPr>
          <w:rFonts w:ascii="宋体" w:hAnsi="宋体"/>
          <w:sz w:val="24"/>
        </w:rPr>
      </w:pPr>
    </w:p>
    <w:p>
      <w:pPr>
        <w:ind w:firstLine="435"/>
        <w:rPr>
          <w:rFonts w:ascii="宋体" w:hAnsi="宋体"/>
          <w:sz w:val="24"/>
        </w:rPr>
      </w:pPr>
    </w:p>
    <w:p>
      <w:pPr>
        <w:ind w:firstLine="435"/>
        <w:rPr>
          <w:rFonts w:ascii="宋体" w:hAnsi="宋体"/>
          <w:sz w:val="24"/>
        </w:rPr>
      </w:pPr>
    </w:p>
    <w:p>
      <w:pPr>
        <w:tabs>
          <w:tab w:val="left" w:pos="4536"/>
        </w:tabs>
        <w:ind w:firstLine="435"/>
        <w:rPr>
          <w:rFonts w:ascii="宋体" w:hAnsi="宋体"/>
          <w:sz w:val="24"/>
        </w:rPr>
      </w:pPr>
    </w:p>
    <w:p>
      <w:pPr>
        <w:tabs>
          <w:tab w:val="left" w:pos="4536"/>
        </w:tabs>
        <w:ind w:firstLine="435"/>
        <w:rPr>
          <w:rFonts w:ascii="宋体" w:hAnsi="宋体"/>
          <w:sz w:val="24"/>
        </w:rPr>
      </w:pPr>
    </w:p>
    <w:p>
      <w:pPr>
        <w:tabs>
          <w:tab w:val="left" w:pos="4536"/>
        </w:tabs>
        <w:ind w:firstLine="435"/>
        <w:rPr>
          <w:rFonts w:ascii="宋体" w:hAnsi="宋体"/>
          <w:sz w:val="24"/>
        </w:rPr>
      </w:pPr>
    </w:p>
    <w:p>
      <w:pPr>
        <w:tabs>
          <w:tab w:val="left" w:pos="4536"/>
        </w:tabs>
        <w:ind w:firstLine="435"/>
        <w:rPr>
          <w:rFonts w:ascii="宋体" w:hAnsi="宋体"/>
          <w:sz w:val="24"/>
        </w:rPr>
      </w:pPr>
      <w:r>
        <w:rPr>
          <w:rFonts w:ascii="宋体" w:hAnsi="宋体"/>
          <w:sz w:val="24"/>
        </w:rPr>
        <w:t>银行全称：　　　　　　　        卖方全称：</w:t>
      </w:r>
    </w:p>
    <w:p>
      <w:pPr>
        <w:ind w:firstLine="435"/>
        <w:rPr>
          <w:rFonts w:ascii="宋体" w:hAnsi="宋体"/>
          <w:sz w:val="24"/>
        </w:rPr>
      </w:pPr>
    </w:p>
    <w:p>
      <w:pPr>
        <w:ind w:firstLine="360"/>
        <w:rPr>
          <w:rFonts w:ascii="宋体" w:hAnsi="宋体"/>
          <w:sz w:val="24"/>
        </w:rPr>
      </w:pPr>
      <w:r>
        <w:rPr>
          <w:rFonts w:ascii="宋体" w:hAnsi="宋体"/>
          <w:sz w:val="24"/>
        </w:rPr>
        <w:t>（盖章）                        （</w:t>
      </w:r>
      <w:r>
        <w:rPr>
          <w:rFonts w:hint="eastAsia" w:ascii="宋体" w:hAnsi="宋体"/>
          <w:sz w:val="24"/>
        </w:rPr>
        <w:t>公</w:t>
      </w:r>
      <w:r>
        <w:rPr>
          <w:rFonts w:ascii="宋体" w:hAnsi="宋体"/>
          <w:sz w:val="24"/>
        </w:rPr>
        <w:t>章）</w:t>
      </w:r>
    </w:p>
    <w:p>
      <w:pPr>
        <w:ind w:firstLine="435"/>
        <w:rPr>
          <w:rFonts w:ascii="宋体" w:hAnsi="宋体"/>
          <w:sz w:val="24"/>
        </w:rPr>
      </w:pPr>
    </w:p>
    <w:p>
      <w:pPr>
        <w:ind w:firstLine="435"/>
        <w:rPr>
          <w:rFonts w:ascii="宋体" w:hAnsi="宋体"/>
          <w:sz w:val="24"/>
        </w:rPr>
      </w:pPr>
      <w:r>
        <w:rPr>
          <w:rFonts w:ascii="宋体" w:hAnsi="宋体"/>
          <w:sz w:val="24"/>
        </w:rPr>
        <w:t>开具人（签字）：　　　　　      被授权人（签字）：</w:t>
      </w:r>
    </w:p>
    <w:p>
      <w:pPr>
        <w:ind w:firstLine="435"/>
        <w:rPr>
          <w:rFonts w:ascii="宋体" w:hAnsi="宋体"/>
          <w:sz w:val="24"/>
        </w:rPr>
      </w:pPr>
    </w:p>
    <w:p>
      <w:pPr>
        <w:ind w:firstLine="435"/>
        <w:rPr>
          <w:rFonts w:ascii="宋体" w:hAnsi="宋体"/>
          <w:sz w:val="24"/>
        </w:rPr>
      </w:pPr>
      <w:r>
        <w:rPr>
          <w:rFonts w:ascii="宋体" w:hAnsi="宋体"/>
          <w:sz w:val="24"/>
        </w:rPr>
        <w:t>职　务：　　　　　　　　        职　务：</w:t>
      </w:r>
    </w:p>
    <w:p>
      <w:pPr>
        <w:ind w:firstLine="435"/>
        <w:rPr>
          <w:rFonts w:ascii="宋体" w:hAnsi="宋体"/>
          <w:sz w:val="24"/>
        </w:rPr>
      </w:pPr>
    </w:p>
    <w:p>
      <w:pPr>
        <w:ind w:firstLine="435"/>
        <w:rPr>
          <w:rFonts w:ascii="宋体" w:hAnsi="宋体"/>
          <w:sz w:val="24"/>
        </w:rPr>
      </w:pPr>
      <w:r>
        <w:rPr>
          <w:rFonts w:ascii="宋体" w:hAnsi="宋体"/>
          <w:sz w:val="24"/>
        </w:rPr>
        <w:t>电　话：　　　　　　　　        电　话：</w:t>
      </w:r>
    </w:p>
    <w:p>
      <w:pPr>
        <w:ind w:firstLine="435"/>
        <w:rPr>
          <w:rFonts w:ascii="宋体" w:hAnsi="宋体"/>
          <w:sz w:val="24"/>
        </w:rPr>
      </w:pPr>
    </w:p>
    <w:p>
      <w:pPr>
        <w:ind w:firstLine="435"/>
        <w:rPr>
          <w:rFonts w:ascii="宋体" w:hAnsi="宋体"/>
          <w:sz w:val="24"/>
        </w:rPr>
      </w:pPr>
      <w:r>
        <w:rPr>
          <w:rFonts w:ascii="宋体" w:hAnsi="宋体"/>
          <w:sz w:val="24"/>
        </w:rPr>
        <w:t>传　真：　　　　　　　　        传　真：</w:t>
      </w:r>
    </w:p>
    <w:p>
      <w:pPr>
        <w:ind w:firstLine="435"/>
        <w:rPr>
          <w:rFonts w:ascii="宋体" w:hAnsi="宋体"/>
          <w:sz w:val="24"/>
        </w:rPr>
      </w:pPr>
    </w:p>
    <w:p>
      <w:pPr>
        <w:ind w:firstLine="435"/>
        <w:rPr>
          <w:rFonts w:ascii="宋体" w:hAnsi="宋体"/>
          <w:sz w:val="24"/>
        </w:rPr>
      </w:pPr>
      <w:r>
        <w:rPr>
          <w:rFonts w:ascii="宋体" w:hAnsi="宋体"/>
          <w:sz w:val="24"/>
        </w:rPr>
        <w:t>日　期：　　　　　　　　        日　期：</w:t>
      </w:r>
    </w:p>
    <w:p>
      <w:pPr>
        <w:jc w:val="center"/>
        <w:rPr>
          <w:rFonts w:ascii="宋体" w:hAnsi="宋体"/>
          <w:sz w:val="24"/>
        </w:rPr>
      </w:pPr>
      <w:r>
        <w:rPr>
          <w:rFonts w:ascii="宋体" w:hAnsi="宋体"/>
          <w:sz w:val="24"/>
        </w:rPr>
        <w:br w:type="page"/>
      </w:r>
      <w:r>
        <w:rPr>
          <w:rFonts w:hint="eastAsia" w:ascii="宋体" w:hAnsi="宋体"/>
          <w:b/>
          <w:sz w:val="24"/>
        </w:rPr>
        <w:t>2.担保公司出具的履约保函格式</w:t>
      </w:r>
    </w:p>
    <w:p>
      <w:pPr>
        <w:pStyle w:val="17"/>
        <w:snapToGrid w:val="0"/>
        <w:spacing w:before="0" w:beforeAutospacing="0" w:after="0" w:afterAutospacing="0" w:line="312" w:lineRule="auto"/>
        <w:jc w:val="center"/>
      </w:pPr>
    </w:p>
    <w:p>
      <w:pPr>
        <w:pStyle w:val="17"/>
        <w:snapToGrid w:val="0"/>
        <w:spacing w:before="0" w:beforeAutospacing="0" w:after="0" w:afterAutospacing="0" w:line="312" w:lineRule="auto"/>
        <w:jc w:val="center"/>
      </w:pPr>
      <w:r>
        <w:rPr>
          <w:rFonts w:hint="eastAsia"/>
        </w:rPr>
        <w:t>编号：</w:t>
      </w:r>
    </w:p>
    <w:p>
      <w:pPr>
        <w:pStyle w:val="17"/>
        <w:snapToGrid w:val="0"/>
        <w:spacing w:before="0" w:beforeAutospacing="0" w:after="0" w:afterAutospacing="0" w:line="312" w:lineRule="auto"/>
      </w:pPr>
      <w:r>
        <w:rPr>
          <w:rFonts w:hint="eastAsia"/>
        </w:rPr>
        <w:t xml:space="preserve">　　（采购人）： </w:t>
      </w:r>
    </w:p>
    <w:p>
      <w:pPr>
        <w:pStyle w:val="17"/>
        <w:snapToGrid w:val="0"/>
        <w:spacing w:before="0" w:beforeAutospacing="0" w:after="0" w:afterAutospacing="0" w:line="312" w:lineRule="auto"/>
      </w:pPr>
      <w:r>
        <w:rPr>
          <w:rFonts w:hint="eastAsia"/>
        </w:rPr>
        <w:t xml:space="preserve">　　鉴于你方与＿＿＿＿＿＿＿（以下简称投标人）于＿＿年＿＿月 ＿＿日签定编号为的＿＿＿＿《 政府采购合同》（以下简称主合同），且依据该合同的约定，投标人应在＿＿年＿＿月 ＿＿日前向你方交纳履约保证金，且可以履约担保函的形式交纳履约保证金。应投标人的申请，我方以保证的方式向你方提供如下履约保证金担保： </w:t>
      </w:r>
    </w:p>
    <w:p>
      <w:pPr>
        <w:pStyle w:val="17"/>
        <w:snapToGrid w:val="0"/>
        <w:spacing w:before="0" w:beforeAutospacing="0" w:after="0" w:afterAutospacing="0" w:line="312" w:lineRule="auto"/>
      </w:pPr>
      <w:r>
        <w:rPr>
          <w:rFonts w:hint="eastAsia"/>
        </w:rPr>
        <w:t xml:space="preserve">　　一、保证责任的情形及保证金额 </w:t>
      </w:r>
    </w:p>
    <w:p>
      <w:pPr>
        <w:pStyle w:val="17"/>
        <w:snapToGrid w:val="0"/>
        <w:spacing w:before="0" w:beforeAutospacing="0" w:after="0" w:afterAutospacing="0" w:line="312" w:lineRule="auto"/>
      </w:pPr>
      <w:r>
        <w:rPr>
          <w:rFonts w:hint="eastAsia"/>
        </w:rPr>
        <w:t xml:space="preserve">　　（一）在投标人出现下列情形之一时，我方承担保证责任： </w:t>
      </w:r>
    </w:p>
    <w:p>
      <w:pPr>
        <w:pStyle w:val="17"/>
        <w:snapToGrid w:val="0"/>
        <w:spacing w:before="0" w:beforeAutospacing="0" w:after="0" w:afterAutospacing="0" w:line="312" w:lineRule="auto"/>
      </w:pPr>
      <w:r>
        <w:rPr>
          <w:rFonts w:hint="eastAsia"/>
        </w:rPr>
        <w:t xml:space="preserve">　　1．将中标项目转让给他人，或者在投标文件中未说明，且未经采购人同意，将中标项目分包给他人的； </w:t>
      </w:r>
    </w:p>
    <w:p>
      <w:pPr>
        <w:pStyle w:val="17"/>
        <w:snapToGrid w:val="0"/>
        <w:spacing w:before="0" w:beforeAutospacing="0" w:after="0" w:afterAutospacing="0" w:line="312" w:lineRule="auto"/>
      </w:pPr>
      <w:r>
        <w:rPr>
          <w:rFonts w:hint="eastAsia"/>
        </w:rPr>
        <w:t xml:space="preserve">　　2．主合同约定的应当缴纳履约保证金的情形: </w:t>
      </w:r>
    </w:p>
    <w:p>
      <w:pPr>
        <w:pStyle w:val="17"/>
        <w:snapToGrid w:val="0"/>
        <w:spacing w:before="0" w:beforeAutospacing="0" w:after="0" w:afterAutospacing="0" w:line="312" w:lineRule="auto"/>
      </w:pPr>
      <w:r>
        <w:rPr>
          <w:rFonts w:hint="eastAsia"/>
        </w:rPr>
        <w:t xml:space="preserve">　　（1）未按主合同约定的质量、数量和期限供应货物/提供服务/完成工程的； </w:t>
      </w:r>
    </w:p>
    <w:p>
      <w:pPr>
        <w:pStyle w:val="17"/>
        <w:snapToGrid w:val="0"/>
        <w:spacing w:before="0" w:beforeAutospacing="0" w:after="0" w:afterAutospacing="0" w:line="312" w:lineRule="auto"/>
      </w:pPr>
      <w:r>
        <w:rPr>
          <w:rFonts w:hint="eastAsia"/>
        </w:rPr>
        <w:t xml:space="preserve">　　（2）＿＿＿＿＿＿＿＿＿＿＿＿＿＿＿＿＿ 。 </w:t>
      </w:r>
    </w:p>
    <w:p>
      <w:pPr>
        <w:pStyle w:val="17"/>
        <w:snapToGrid w:val="0"/>
        <w:spacing w:before="0" w:beforeAutospacing="0" w:after="0" w:afterAutospacing="0" w:line="312" w:lineRule="auto"/>
      </w:pPr>
      <w:r>
        <w:rPr>
          <w:rFonts w:hint="eastAsia"/>
        </w:rPr>
        <w:t xml:space="preserve">　　（二）我方的保证范围是主合同约定的合同价款总额的＿＿%数额为（大写 ）＿＿＿＿＿＿元，币种为＿＿＿ 。（即主合同履约保证金金额） </w:t>
      </w:r>
    </w:p>
    <w:p>
      <w:pPr>
        <w:pStyle w:val="17"/>
        <w:snapToGrid w:val="0"/>
        <w:spacing w:before="0" w:beforeAutospacing="0" w:after="0" w:afterAutospacing="0" w:line="312" w:lineRule="auto"/>
      </w:pPr>
      <w:r>
        <w:rPr>
          <w:rFonts w:hint="eastAsia"/>
        </w:rPr>
        <w:t xml:space="preserve">　　二、保证的方式及保证期间 </w:t>
      </w:r>
    </w:p>
    <w:p>
      <w:pPr>
        <w:pStyle w:val="17"/>
        <w:snapToGrid w:val="0"/>
        <w:spacing w:before="0" w:beforeAutospacing="0" w:after="0" w:afterAutospacing="0" w:line="312" w:lineRule="auto"/>
      </w:pPr>
      <w:r>
        <w:rPr>
          <w:rFonts w:hint="eastAsia"/>
        </w:rPr>
        <w:t xml:space="preserve">　　我方保证的方式为：连带责任保证。 </w:t>
      </w:r>
    </w:p>
    <w:p>
      <w:pPr>
        <w:pStyle w:val="17"/>
        <w:snapToGrid w:val="0"/>
        <w:spacing w:before="0" w:beforeAutospacing="0" w:after="0" w:afterAutospacing="0" w:line="312" w:lineRule="auto"/>
      </w:pPr>
      <w:r>
        <w:rPr>
          <w:rFonts w:hint="eastAsia"/>
        </w:rPr>
        <w:t xml:space="preserve">　　我方保证的期间为：自本合同生效之日起至投标人按照主合同约定的供货/完工期限届满后＿＿＿日内。 </w:t>
      </w:r>
    </w:p>
    <w:p>
      <w:pPr>
        <w:pStyle w:val="17"/>
        <w:snapToGrid w:val="0"/>
        <w:spacing w:before="0" w:beforeAutospacing="0" w:after="0" w:afterAutospacing="0" w:line="312" w:lineRule="auto"/>
      </w:pPr>
      <w:r>
        <w:rPr>
          <w:rFonts w:hint="eastAsia"/>
        </w:rPr>
        <w:t xml:space="preserve">　　如果投标人未按主合同约定向贵方供应货物/提供服务/完成工程的，由我方在保证金额内向你方支付上述款项。 </w:t>
      </w:r>
    </w:p>
    <w:p>
      <w:pPr>
        <w:pStyle w:val="17"/>
        <w:snapToGrid w:val="0"/>
        <w:spacing w:before="0" w:beforeAutospacing="0" w:after="0" w:afterAutospacing="0" w:line="312" w:lineRule="auto"/>
      </w:pPr>
      <w:r>
        <w:rPr>
          <w:rFonts w:hint="eastAsia"/>
        </w:rPr>
        <w:t xml:space="preserve">　　三、承担保证责任的程序 </w:t>
      </w:r>
    </w:p>
    <w:p>
      <w:pPr>
        <w:pStyle w:val="17"/>
        <w:snapToGrid w:val="0"/>
        <w:spacing w:before="0" w:beforeAutospacing="0" w:after="0" w:afterAutospacing="0" w:line="312" w:lineRule="auto"/>
      </w:pPr>
      <w:r>
        <w:rPr>
          <w:rFonts w:hint="eastAsia"/>
        </w:rPr>
        <w:t xml:space="preserve">　　1．你方要求我方承担保证责任的，应在本保函保证期间内向我方发出书面索赔通知。索赔通知应写明要求索赔的金额，支付款项应到达的账号。并附有证明投标人违约事实的证明材料。 </w:t>
      </w:r>
    </w:p>
    <w:p>
      <w:pPr>
        <w:pStyle w:val="17"/>
        <w:snapToGrid w:val="0"/>
        <w:spacing w:before="0" w:beforeAutospacing="0" w:after="0" w:afterAutospacing="0" w:line="312" w:lineRule="auto"/>
      </w:pPr>
      <w:r>
        <w:rPr>
          <w:rFonts w:hint="eastAsia"/>
        </w:rPr>
        <w:t xml:space="preserve">　　如果你方与投标人因货物质量问题产生争议，你方还需同时提供 部门出具的质量检测报告，或经诉讼（仲裁）程序裁决后的裁决书、调解书，本保证人即按照检测结果或裁决书、调解书决定是否承担保证责任。 </w:t>
      </w:r>
    </w:p>
    <w:p>
      <w:pPr>
        <w:pStyle w:val="17"/>
        <w:snapToGrid w:val="0"/>
        <w:spacing w:before="0" w:beforeAutospacing="0" w:after="0" w:afterAutospacing="0" w:line="312" w:lineRule="auto"/>
      </w:pPr>
      <w:r>
        <w:rPr>
          <w:rFonts w:hint="eastAsia"/>
        </w:rPr>
        <w:t xml:space="preserve">　　2．我方收到你方的书面索赔通知及相应证明材料，在＿＿＿工作日内进行核定后按照本保函的承诺承担保证责任。 </w:t>
      </w:r>
    </w:p>
    <w:p>
      <w:pPr>
        <w:pStyle w:val="17"/>
        <w:snapToGrid w:val="0"/>
        <w:spacing w:before="0" w:beforeAutospacing="0" w:after="0" w:afterAutospacing="0" w:line="312" w:lineRule="auto"/>
      </w:pPr>
      <w:r>
        <w:rPr>
          <w:rFonts w:hint="eastAsia"/>
        </w:rPr>
        <w:t xml:space="preserve">　　四、保证责任的终止 </w:t>
      </w:r>
    </w:p>
    <w:p>
      <w:pPr>
        <w:pStyle w:val="17"/>
        <w:snapToGrid w:val="0"/>
        <w:spacing w:before="0" w:beforeAutospacing="0" w:after="0" w:afterAutospacing="0" w:line="312" w:lineRule="auto"/>
      </w:pPr>
      <w:r>
        <w:rPr>
          <w:rFonts w:hint="eastAsia"/>
        </w:rPr>
        <w:t xml:space="preserve">　　1．保证期间届满你方未向我方书面主张保证责任的，自保证期间届满次日起，我方保证责任自动终止。保证期间届满前，主合同约定的货物\工程\服务全部验收合格的，自验收合格日起，我方保证责任自动终止。 </w:t>
      </w:r>
    </w:p>
    <w:p>
      <w:pPr>
        <w:pStyle w:val="17"/>
        <w:snapToGrid w:val="0"/>
        <w:spacing w:before="0" w:beforeAutospacing="0" w:after="0" w:afterAutospacing="0" w:line="312" w:lineRule="auto"/>
      </w:pPr>
      <w:r>
        <w:rPr>
          <w:rFonts w:hint="eastAsia"/>
        </w:rPr>
        <w:t xml:space="preserve">　　2．我方按照本保函向你方履行了保证责任后，自我方向你方支付款项（支付款项从我方账户划出）之日起，保证责任即终止。 </w:t>
      </w:r>
    </w:p>
    <w:p>
      <w:pPr>
        <w:pStyle w:val="17"/>
        <w:snapToGrid w:val="0"/>
        <w:spacing w:before="0" w:beforeAutospacing="0" w:after="0" w:afterAutospacing="0" w:line="312" w:lineRule="auto"/>
      </w:pPr>
      <w:r>
        <w:rPr>
          <w:rFonts w:hint="eastAsia"/>
        </w:rPr>
        <w:t xml:space="preserve">　　3．按照法律法规的规定或出现应终止我方保证责任的其它情形的，我方在本保函项下的保证责任亦终止。 </w:t>
      </w:r>
    </w:p>
    <w:p>
      <w:pPr>
        <w:pStyle w:val="17"/>
        <w:snapToGrid w:val="0"/>
        <w:spacing w:before="0" w:beforeAutospacing="0" w:after="0" w:afterAutospacing="0" w:line="312" w:lineRule="auto"/>
      </w:pPr>
      <w:r>
        <w:rPr>
          <w:rFonts w:hint="eastAsia"/>
        </w:rPr>
        <w:t xml:space="preserve">　　4.你方与投标人修改主合同，加重我方保证责任的，我方对加重部分不承担保证责任，但该等修改事先经我方书面同意的除外；你方与投标人修改主合同履行期限，我方保证期间仍依修改前的履行期限计算，但该等修改事先经我方书面同意的除外。 </w:t>
      </w:r>
    </w:p>
    <w:p>
      <w:pPr>
        <w:pStyle w:val="17"/>
        <w:snapToGrid w:val="0"/>
        <w:spacing w:before="0" w:beforeAutospacing="0" w:after="0" w:afterAutospacing="0" w:line="312" w:lineRule="auto"/>
      </w:pPr>
      <w:r>
        <w:rPr>
          <w:rFonts w:hint="eastAsia"/>
        </w:rPr>
        <w:t xml:space="preserve">　　五、免责条款 </w:t>
      </w:r>
    </w:p>
    <w:p>
      <w:pPr>
        <w:pStyle w:val="17"/>
        <w:snapToGrid w:val="0"/>
        <w:spacing w:before="0" w:beforeAutospacing="0" w:after="0" w:afterAutospacing="0" w:line="312" w:lineRule="auto"/>
      </w:pPr>
      <w:r>
        <w:rPr>
          <w:rFonts w:hint="eastAsia"/>
        </w:rPr>
        <w:t xml:space="preserve">　　1．因你方违反主合同约定致使投标人不能履行义务的，我方不承担保证责任。 </w:t>
      </w:r>
    </w:p>
    <w:p>
      <w:pPr>
        <w:pStyle w:val="17"/>
        <w:snapToGrid w:val="0"/>
        <w:spacing w:before="0" w:beforeAutospacing="0" w:after="0" w:afterAutospacing="0" w:line="312" w:lineRule="auto"/>
      </w:pPr>
      <w:r>
        <w:rPr>
          <w:rFonts w:hint="eastAsia"/>
        </w:rPr>
        <w:t xml:space="preserve">　　2．依照法律法规的规定或你方与投标人的另行约定，全部或者部分免除投标人应缴纳的保证金义务的，我方亦免除相应的保证责任。 </w:t>
      </w:r>
    </w:p>
    <w:p>
      <w:pPr>
        <w:pStyle w:val="17"/>
        <w:snapToGrid w:val="0"/>
        <w:spacing w:before="0" w:beforeAutospacing="0" w:after="0" w:afterAutospacing="0" w:line="312" w:lineRule="auto"/>
      </w:pPr>
      <w:r>
        <w:rPr>
          <w:rFonts w:hint="eastAsia"/>
        </w:rPr>
        <w:t xml:space="preserve">　　3． 因不可抗力造成投标人不能履行供货义务的，我方不承担保证责任。 </w:t>
      </w:r>
    </w:p>
    <w:p>
      <w:pPr>
        <w:pStyle w:val="17"/>
        <w:snapToGrid w:val="0"/>
        <w:spacing w:before="0" w:beforeAutospacing="0" w:after="0" w:afterAutospacing="0" w:line="312" w:lineRule="auto"/>
      </w:pPr>
      <w:r>
        <w:rPr>
          <w:rFonts w:hint="eastAsia"/>
        </w:rPr>
        <w:t xml:space="preserve">　　六、争议的解决 </w:t>
      </w:r>
    </w:p>
    <w:p>
      <w:pPr>
        <w:pStyle w:val="17"/>
        <w:snapToGrid w:val="0"/>
        <w:spacing w:before="0" w:beforeAutospacing="0" w:after="0" w:afterAutospacing="0" w:line="312" w:lineRule="auto"/>
      </w:pPr>
      <w:r>
        <w:rPr>
          <w:rFonts w:hint="eastAsia"/>
        </w:rPr>
        <w:t xml:space="preserve">　　因本保函发生的纠纷，由你我双方协商解决，协商不成的，通过诉讼程序解决，诉讼管辖地法院为＿＿＿＿＿＿法院。 </w:t>
      </w:r>
    </w:p>
    <w:p>
      <w:pPr>
        <w:pStyle w:val="17"/>
        <w:snapToGrid w:val="0"/>
        <w:spacing w:before="0" w:beforeAutospacing="0" w:after="0" w:afterAutospacing="0" w:line="312" w:lineRule="auto"/>
      </w:pPr>
      <w:r>
        <w:rPr>
          <w:rFonts w:hint="eastAsia"/>
        </w:rPr>
        <w:t xml:space="preserve">　　七、保函的生效 </w:t>
      </w:r>
    </w:p>
    <w:p>
      <w:pPr>
        <w:pStyle w:val="17"/>
        <w:snapToGrid w:val="0"/>
        <w:spacing w:before="0" w:beforeAutospacing="0" w:after="0" w:afterAutospacing="0" w:line="312" w:lineRule="auto"/>
      </w:pPr>
      <w:r>
        <w:rPr>
          <w:rFonts w:hint="eastAsia"/>
        </w:rPr>
        <w:t xml:space="preserve">　　本保函自我方加盖公章之日起生效。 </w:t>
      </w:r>
    </w:p>
    <w:p>
      <w:pPr>
        <w:snapToGrid w:val="0"/>
        <w:spacing w:line="312" w:lineRule="auto"/>
        <w:ind w:left="630"/>
        <w:rPr>
          <w:rFonts w:ascii="宋体" w:hAnsi="宋体"/>
          <w:sz w:val="24"/>
        </w:rPr>
      </w:pPr>
    </w:p>
    <w:p>
      <w:pPr>
        <w:pStyle w:val="17"/>
        <w:snapToGrid w:val="0"/>
        <w:spacing w:before="0" w:beforeAutospacing="0" w:after="0" w:afterAutospacing="0" w:line="312" w:lineRule="auto"/>
        <w:jc w:val="right"/>
      </w:pPr>
      <w:r>
        <w:rPr>
          <w:rFonts w:hint="eastAsia"/>
        </w:rPr>
        <w:t xml:space="preserve">                                保证人：（公章） </w:t>
      </w:r>
    </w:p>
    <w:p>
      <w:pPr>
        <w:jc w:val="right"/>
        <w:rPr>
          <w:rFonts w:ascii="宋体" w:hAnsi="宋体"/>
          <w:sz w:val="24"/>
        </w:rPr>
        <w:sectPr>
          <w:headerReference r:id="rId20" w:type="first"/>
          <w:footerReference r:id="rId22" w:type="first"/>
          <w:headerReference r:id="rId19" w:type="default"/>
          <w:footerReference r:id="rId21" w:type="default"/>
          <w:pgSz w:w="11907" w:h="16840"/>
          <w:pgMar w:top="1440" w:right="1800" w:bottom="1440" w:left="1800" w:header="851" w:footer="828" w:gutter="0"/>
          <w:pgNumType w:fmt="numberInDash"/>
          <w:cols w:space="425" w:num="1"/>
          <w:docGrid w:linePitch="312" w:charSpace="0"/>
        </w:sectPr>
      </w:pPr>
      <w:r>
        <w:rPr>
          <w:rFonts w:hint="eastAsia" w:ascii="宋体" w:hAnsi="宋体"/>
          <w:sz w:val="24"/>
        </w:rPr>
        <w:t>　　年  月  日</w:t>
      </w:r>
    </w:p>
    <w:p>
      <w:pPr>
        <w:spacing w:line="360" w:lineRule="auto"/>
        <w:jc w:val="center"/>
        <w:rPr>
          <w:rFonts w:ascii="宋体" w:hAnsi="宋体"/>
          <w:b/>
          <w:sz w:val="24"/>
        </w:rPr>
      </w:pPr>
      <w:r>
        <w:rPr>
          <w:rFonts w:hint="eastAsia" w:ascii="宋体" w:hAnsi="宋体"/>
          <w:b/>
          <w:sz w:val="24"/>
        </w:rPr>
        <w:t>（六）预付款银行保函格式</w:t>
      </w:r>
    </w:p>
    <w:p>
      <w:pPr>
        <w:ind w:left="420"/>
        <w:jc w:val="center"/>
        <w:rPr>
          <w:rFonts w:ascii="宋体" w:hAnsi="宋体"/>
          <w:b/>
          <w:bCs/>
          <w:sz w:val="24"/>
        </w:rPr>
      </w:pPr>
      <w:r>
        <w:rPr>
          <w:rFonts w:hint="eastAsia" w:ascii="宋体" w:hAnsi="宋体"/>
          <w:b/>
          <w:bCs/>
          <w:sz w:val="24"/>
        </w:rPr>
        <w:t>预付款银行保函</w:t>
      </w:r>
    </w:p>
    <w:p>
      <w:pPr>
        <w:ind w:firstLine="3120" w:firstLineChars="1300"/>
        <w:rPr>
          <w:rFonts w:ascii="宋体" w:hAnsi="宋体"/>
          <w:sz w:val="24"/>
          <w:u w:val="single"/>
        </w:rPr>
      </w:pPr>
      <w:r>
        <w:rPr>
          <w:rFonts w:hint="eastAsia" w:ascii="宋体" w:hAnsi="宋体"/>
          <w:sz w:val="24"/>
        </w:rPr>
        <w:t>开具日期：</w:t>
      </w:r>
      <w:r>
        <w:rPr>
          <w:rFonts w:hint="eastAsia" w:ascii="宋体" w:hAnsi="宋体"/>
          <w:sz w:val="24"/>
          <w:u w:val="single"/>
        </w:rPr>
        <w:t xml:space="preserve">                       </w:t>
      </w:r>
    </w:p>
    <w:p>
      <w:pPr>
        <w:spacing w:line="360" w:lineRule="auto"/>
        <w:rPr>
          <w:rFonts w:ascii="宋体" w:hAnsi="宋体"/>
          <w:sz w:val="24"/>
          <w:u w:val="single"/>
        </w:rPr>
      </w:pPr>
      <w:r>
        <w:rPr>
          <w:rFonts w:ascii="宋体" w:hAnsi="宋体"/>
          <w:sz w:val="24"/>
        </w:rPr>
        <w:t>致：</w:t>
      </w:r>
      <w:r>
        <w:rPr>
          <w:rFonts w:ascii="宋体" w:hAnsi="宋体"/>
          <w:sz w:val="24"/>
          <w:u w:val="single"/>
        </w:rPr>
        <w:t>(采购人名称)</w:t>
      </w:r>
    </w:p>
    <w:p>
      <w:pPr>
        <w:spacing w:line="360" w:lineRule="auto"/>
        <w:ind w:firstLine="437"/>
        <w:rPr>
          <w:rFonts w:ascii="宋体" w:hAnsi="宋体"/>
          <w:sz w:val="24"/>
        </w:rPr>
      </w:pPr>
      <w:r>
        <w:rPr>
          <w:rFonts w:hint="eastAsia" w:ascii="宋体" w:hAnsi="宋体"/>
          <w:sz w:val="24"/>
        </w:rPr>
        <w:t>根据合同规定，</w:t>
      </w:r>
      <w:r>
        <w:rPr>
          <w:rFonts w:hint="eastAsia" w:ascii="宋体" w:hAnsi="宋体"/>
          <w:sz w:val="24"/>
          <w:u w:val="single"/>
        </w:rPr>
        <w:t>（卖方名称）</w:t>
      </w:r>
      <w:r>
        <w:rPr>
          <w:rFonts w:hint="eastAsia" w:ascii="宋体" w:hAnsi="宋体"/>
          <w:sz w:val="24"/>
        </w:rPr>
        <w:t>（以下简称“卖方”），向贵方提交总额为</w:t>
      </w:r>
      <w:r>
        <w:rPr>
          <w:rFonts w:hint="eastAsia" w:ascii="宋体" w:hAnsi="宋体"/>
          <w:sz w:val="24"/>
          <w:u w:val="single"/>
        </w:rPr>
        <w:t>（人民币、以文字和数字表示的保函金额）</w:t>
      </w:r>
      <w:r>
        <w:rPr>
          <w:rFonts w:hint="eastAsia" w:ascii="宋体" w:hAnsi="宋体"/>
          <w:sz w:val="24"/>
        </w:rPr>
        <w:t>的银行保函，以保证卖方将正确和忠实地履行所述的合同条款。</w:t>
      </w:r>
    </w:p>
    <w:p>
      <w:pPr>
        <w:spacing w:line="360" w:lineRule="auto"/>
        <w:ind w:firstLine="437"/>
        <w:rPr>
          <w:rFonts w:ascii="宋体" w:hAnsi="宋体"/>
          <w:sz w:val="24"/>
        </w:rPr>
      </w:pPr>
      <w:r>
        <w:rPr>
          <w:rFonts w:hint="eastAsia" w:ascii="宋体" w:hAnsi="宋体"/>
          <w:sz w:val="24"/>
        </w:rPr>
        <w:t>我行，</w:t>
      </w:r>
      <w:r>
        <w:rPr>
          <w:rFonts w:hint="eastAsia" w:ascii="宋体" w:hAnsi="宋体"/>
          <w:sz w:val="24"/>
          <w:u w:val="single"/>
        </w:rPr>
        <w:t>（银行名称）</w:t>
      </w:r>
      <w:r>
        <w:rPr>
          <w:rFonts w:hint="eastAsia" w:ascii="宋体" w:hAnsi="宋体"/>
          <w:sz w:val="24"/>
        </w:rPr>
        <w:t>，根据卖方的要求，无条件地和不可撤销地同意作为第一责任人而不仅仅作为保证人，保证在收到买方的第一次书面要求，说明买方因卖方违约或终止合同等情况发生而不能获得合同货物或已付预付款，就在七（7）个工作日内支付给买方不超过</w:t>
      </w:r>
      <w:r>
        <w:rPr>
          <w:rFonts w:hint="eastAsia" w:ascii="宋体" w:hAnsi="宋体"/>
          <w:sz w:val="24"/>
          <w:u w:val="single"/>
        </w:rPr>
        <w:t>（币种、以文字和数字表示的保函金额）</w:t>
      </w:r>
      <w:r>
        <w:rPr>
          <w:rFonts w:hint="eastAsia" w:ascii="宋体" w:hAnsi="宋体"/>
          <w:sz w:val="24"/>
        </w:rPr>
        <w:t>的金额，我行无权反对和不需要先向卖方索赔。</w:t>
      </w:r>
    </w:p>
    <w:p>
      <w:pPr>
        <w:spacing w:line="360" w:lineRule="auto"/>
        <w:ind w:firstLine="437"/>
        <w:rPr>
          <w:rFonts w:ascii="宋体" w:hAnsi="宋体"/>
          <w:sz w:val="24"/>
        </w:rPr>
      </w:pPr>
      <w:r>
        <w:rPr>
          <w:rFonts w:hint="eastAsia" w:ascii="宋体" w:hAnsi="宋体"/>
          <w:sz w:val="24"/>
        </w:rPr>
        <w:t>我行进而同意，双方同意的对将要履行的合同条款或合同文件的更改、增补或修改均不能免除我行在本保函下的任何责任。我行在此表示上述更改、增补或修改无需通知我行。但是贵方与卖方协商变更合同且修改内容涉及本保函，卖方应同时书面向我行申请对本保函进行相应修改。</w:t>
      </w:r>
    </w:p>
    <w:p>
      <w:pPr>
        <w:spacing w:line="360" w:lineRule="auto"/>
        <w:ind w:firstLine="437"/>
        <w:rPr>
          <w:rFonts w:ascii="宋体" w:hAnsi="宋体"/>
          <w:sz w:val="24"/>
        </w:rPr>
      </w:pPr>
      <w:r>
        <w:rPr>
          <w:rFonts w:hint="eastAsia" w:ascii="宋体" w:hAnsi="宋体"/>
          <w:sz w:val="24"/>
        </w:rPr>
        <w:t>本保函在本合同规定的全部货物通过预验收前完全有效，货物预货验收并办理验收手续之日失效。基于本保函的任何索款要求通知，必须由贵方的授权签字人签署并加盖公章，在上述日期前以书面形式送达我行。在我行验证贵方签名和印章后，该书面通知即可生效。</w:t>
      </w:r>
    </w:p>
    <w:p>
      <w:pPr>
        <w:spacing w:line="360" w:lineRule="auto"/>
        <w:ind w:firstLine="437"/>
        <w:rPr>
          <w:rFonts w:ascii="宋体" w:hAnsi="宋体"/>
          <w:sz w:val="24"/>
        </w:rPr>
      </w:pPr>
      <w:r>
        <w:rPr>
          <w:rFonts w:hint="eastAsia" w:ascii="宋体" w:hAnsi="宋体"/>
          <w:sz w:val="24"/>
        </w:rPr>
        <w:t>本保函于到期日自动失效，并请将其正本退还买方归还我行注销。但是不论本保函正本是否归还我行，我行在本保函项下的义务和责任将于到期日之后自动解除。</w:t>
      </w:r>
    </w:p>
    <w:p>
      <w:pPr>
        <w:spacing w:line="360" w:lineRule="auto"/>
        <w:ind w:firstLine="437"/>
        <w:rPr>
          <w:rFonts w:ascii="宋体" w:hAnsi="宋体"/>
          <w:sz w:val="24"/>
          <w:u w:val="single"/>
        </w:rPr>
      </w:pPr>
      <w:r>
        <w:rPr>
          <w:rFonts w:ascii="宋体" w:hAnsi="宋体"/>
          <w:sz w:val="24"/>
        </w:rPr>
        <w:t>出具保函银行名称</w:t>
      </w:r>
      <w:r>
        <w:rPr>
          <w:rFonts w:hint="eastAsia" w:ascii="宋体" w:hAnsi="宋体"/>
          <w:sz w:val="24"/>
        </w:rPr>
        <w:t>：</w:t>
      </w:r>
      <w:r>
        <w:rPr>
          <w:rFonts w:ascii="宋体" w:hAnsi="宋体"/>
          <w:sz w:val="24"/>
          <w:u w:val="single"/>
        </w:rPr>
        <w:t xml:space="preserve">                       </w:t>
      </w:r>
    </w:p>
    <w:p>
      <w:pPr>
        <w:spacing w:line="360" w:lineRule="auto"/>
        <w:ind w:firstLine="437"/>
        <w:rPr>
          <w:rFonts w:ascii="宋体" w:hAnsi="宋体"/>
          <w:sz w:val="24"/>
          <w:u w:val="single"/>
        </w:rPr>
      </w:pPr>
      <w:r>
        <w:rPr>
          <w:rFonts w:ascii="宋体" w:hAnsi="宋体"/>
          <w:sz w:val="24"/>
        </w:rPr>
        <w:t xml:space="preserve">公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章</w:t>
      </w:r>
      <w:r>
        <w:rPr>
          <w:rFonts w:hint="eastAsia" w:ascii="宋体" w:hAnsi="宋体"/>
          <w:sz w:val="24"/>
        </w:rPr>
        <w:t>：</w:t>
      </w:r>
      <w:r>
        <w:rPr>
          <w:rFonts w:ascii="宋体" w:hAnsi="宋体"/>
          <w:sz w:val="24"/>
          <w:u w:val="single"/>
        </w:rPr>
        <w:t xml:space="preserve">                       </w:t>
      </w:r>
    </w:p>
    <w:p>
      <w:pPr>
        <w:spacing w:line="360" w:lineRule="auto"/>
        <w:ind w:firstLine="437"/>
        <w:rPr>
          <w:rFonts w:ascii="宋体" w:hAnsi="宋体"/>
          <w:sz w:val="24"/>
        </w:rPr>
      </w:pPr>
      <w:r>
        <w:rPr>
          <w:rFonts w:hint="eastAsia" w:ascii="宋体" w:hAnsi="宋体"/>
          <w:sz w:val="24"/>
        </w:rPr>
        <w:t>地            址：</w:t>
      </w:r>
      <w:r>
        <w:rPr>
          <w:rFonts w:ascii="宋体" w:hAnsi="宋体"/>
          <w:sz w:val="24"/>
          <w:u w:val="single"/>
        </w:rPr>
        <w:t xml:space="preserve">                       </w:t>
      </w:r>
    </w:p>
    <w:p>
      <w:pPr>
        <w:spacing w:line="360" w:lineRule="auto"/>
        <w:ind w:firstLine="437"/>
        <w:rPr>
          <w:rFonts w:ascii="宋体" w:hAnsi="宋体"/>
          <w:sz w:val="24"/>
        </w:rPr>
      </w:pPr>
      <w:r>
        <w:rPr>
          <w:rFonts w:hint="eastAsia" w:ascii="宋体" w:hAnsi="宋体"/>
          <w:sz w:val="24"/>
        </w:rPr>
        <w:t>邮            编：</w:t>
      </w:r>
      <w:r>
        <w:rPr>
          <w:rFonts w:ascii="宋体" w:hAnsi="宋体"/>
          <w:sz w:val="24"/>
          <w:u w:val="single"/>
        </w:rPr>
        <w:t xml:space="preserve">                       </w:t>
      </w:r>
    </w:p>
    <w:p>
      <w:pPr>
        <w:spacing w:line="360" w:lineRule="auto"/>
        <w:ind w:firstLine="437"/>
        <w:rPr>
          <w:rFonts w:ascii="宋体" w:hAnsi="宋体"/>
          <w:sz w:val="24"/>
          <w:u w:val="single"/>
        </w:rPr>
      </w:pPr>
      <w:r>
        <w:rPr>
          <w:rFonts w:ascii="宋体" w:hAnsi="宋体"/>
          <w:sz w:val="24"/>
        </w:rPr>
        <w:t>签字人姓名和职务</w:t>
      </w:r>
      <w:r>
        <w:rPr>
          <w:rFonts w:hint="eastAsia" w:ascii="宋体" w:hAnsi="宋体"/>
          <w:sz w:val="24"/>
        </w:rPr>
        <w:t>：</w:t>
      </w:r>
      <w:r>
        <w:rPr>
          <w:rFonts w:ascii="宋体" w:hAnsi="宋体"/>
          <w:sz w:val="24"/>
          <w:u w:val="single"/>
        </w:rPr>
        <w:t xml:space="preserve">                       </w:t>
      </w:r>
    </w:p>
    <w:p>
      <w:pPr>
        <w:spacing w:line="360" w:lineRule="auto"/>
        <w:ind w:firstLine="437"/>
        <w:rPr>
          <w:rFonts w:ascii="宋体" w:hAnsi="宋体"/>
          <w:sz w:val="24"/>
          <w:u w:val="single"/>
        </w:rPr>
      </w:pPr>
      <w:r>
        <w:rPr>
          <w:rFonts w:ascii="宋体" w:hAnsi="宋体"/>
          <w:sz w:val="24"/>
        </w:rPr>
        <w:t>签 字</w:t>
      </w:r>
      <w:r>
        <w:rPr>
          <w:rFonts w:hint="eastAsia" w:ascii="宋体" w:hAnsi="宋体"/>
          <w:sz w:val="24"/>
        </w:rPr>
        <w:t xml:space="preserve"> </w:t>
      </w:r>
      <w:r>
        <w:rPr>
          <w:rFonts w:ascii="宋体" w:hAnsi="宋体"/>
          <w:sz w:val="24"/>
        </w:rPr>
        <w:t xml:space="preserve"> 人 </w:t>
      </w:r>
      <w:r>
        <w:rPr>
          <w:rFonts w:hint="eastAsia" w:ascii="宋体" w:hAnsi="宋体"/>
          <w:sz w:val="24"/>
        </w:rPr>
        <w:t xml:space="preserve"> </w:t>
      </w:r>
      <w:r>
        <w:rPr>
          <w:rFonts w:ascii="宋体" w:hAnsi="宋体"/>
          <w:sz w:val="24"/>
        </w:rPr>
        <w:t>签 名</w:t>
      </w:r>
      <w:r>
        <w:rPr>
          <w:rFonts w:hint="eastAsia" w:ascii="宋体" w:hAnsi="宋体"/>
          <w:sz w:val="24"/>
        </w:rPr>
        <w:t>：</w:t>
      </w:r>
      <w:r>
        <w:rPr>
          <w:rFonts w:ascii="宋体" w:hAnsi="宋体"/>
          <w:sz w:val="24"/>
          <w:u w:val="single"/>
        </w:rPr>
        <w:t xml:space="preserve">                       </w:t>
      </w:r>
    </w:p>
    <w:p>
      <w:pPr>
        <w:spacing w:line="360" w:lineRule="auto"/>
        <w:ind w:firstLine="437"/>
        <w:rPr>
          <w:rFonts w:ascii="宋体" w:hAnsi="宋体"/>
          <w:sz w:val="24"/>
        </w:rPr>
      </w:pPr>
      <w:r>
        <w:rPr>
          <w:rFonts w:hint="eastAsia" w:ascii="宋体" w:hAnsi="宋体"/>
          <w:sz w:val="24"/>
        </w:rPr>
        <w:t>电 话：</w:t>
      </w:r>
      <w:r>
        <w:rPr>
          <w:rFonts w:ascii="宋体" w:hAnsi="宋体"/>
          <w:sz w:val="24"/>
          <w:u w:val="single"/>
        </w:rPr>
        <w:t xml:space="preserve">                       </w:t>
      </w:r>
      <w:r>
        <w:rPr>
          <w:rFonts w:hint="eastAsia" w:ascii="宋体" w:hAnsi="宋体"/>
          <w:sz w:val="24"/>
        </w:rPr>
        <w:t xml:space="preserve">  传真：</w:t>
      </w:r>
      <w:r>
        <w:rPr>
          <w:rFonts w:ascii="宋体" w:hAnsi="宋体"/>
          <w:sz w:val="24"/>
          <w:u w:val="single"/>
        </w:rPr>
        <w:t xml:space="preserve">                       </w:t>
      </w:r>
    </w:p>
    <w:p>
      <w:pPr>
        <w:spacing w:line="360" w:lineRule="auto"/>
        <w:jc w:val="center"/>
        <w:rPr>
          <w:rFonts w:ascii="宋体" w:hAnsi="宋体"/>
          <w:b/>
          <w:sz w:val="24"/>
        </w:rPr>
      </w:pPr>
      <w:r>
        <w:rPr>
          <w:rFonts w:hint="eastAsia" w:ascii="宋体" w:hAnsi="宋体"/>
          <w:b/>
          <w:sz w:val="24"/>
        </w:rPr>
        <w:t>（七）中小企业声明函</w:t>
      </w:r>
    </w:p>
    <w:p>
      <w:pPr>
        <w:widowControl/>
        <w:spacing w:line="520" w:lineRule="exact"/>
        <w:jc w:val="left"/>
        <w:rPr>
          <w:rFonts w:ascii="宋体" w:hAnsi="宋体" w:cs="宋体"/>
          <w:kern w:val="0"/>
          <w:sz w:val="24"/>
        </w:rPr>
      </w:pPr>
    </w:p>
    <w:p>
      <w:pPr>
        <w:pStyle w:val="8"/>
        <w:spacing w:line="360" w:lineRule="auto"/>
        <w:ind w:firstLine="480" w:firstLineChars="200"/>
        <w:rPr>
          <w:rFonts w:asciiTheme="minorEastAsia" w:hAnsiTheme="minorEastAsia"/>
          <w:sz w:val="24"/>
          <w:szCs w:val="24"/>
        </w:rPr>
      </w:pPr>
      <w:r>
        <w:rPr>
          <w:rFonts w:asciiTheme="minorEastAsia" w:hAnsiTheme="minorEastAsia"/>
          <w:sz w:val="24"/>
          <w:szCs w:val="24"/>
        </w:rPr>
        <w:t>本公司</w:t>
      </w:r>
      <w:r>
        <w:rPr>
          <w:rFonts w:hint="eastAsia" w:asciiTheme="minorEastAsia" w:hAnsiTheme="minorEastAsia"/>
          <w:sz w:val="24"/>
          <w:szCs w:val="24"/>
        </w:rPr>
        <w:t>(</w:t>
      </w:r>
      <w:r>
        <w:rPr>
          <w:rFonts w:asciiTheme="minorEastAsia" w:hAnsiTheme="minorEastAsia"/>
          <w:sz w:val="24"/>
          <w:szCs w:val="24"/>
        </w:rPr>
        <w:t>联合体</w:t>
      </w:r>
      <w:r>
        <w:rPr>
          <w:rFonts w:hint="eastAsia" w:asciiTheme="minorEastAsia" w:hAnsiTheme="minorEastAsia"/>
          <w:sz w:val="24"/>
          <w:szCs w:val="24"/>
        </w:rPr>
        <w:t>)</w:t>
      </w:r>
      <w:r>
        <w:rPr>
          <w:rFonts w:asciiTheme="minorEastAsia" w:hAnsiTheme="minorEastAsia"/>
          <w:sz w:val="24"/>
          <w:szCs w:val="24"/>
        </w:rPr>
        <w:t>郑重声明，根据《政府采购促进中小企业发展管理办法》</w:t>
      </w:r>
      <w:r>
        <w:rPr>
          <w:rFonts w:hint="eastAsia" w:asciiTheme="minorEastAsia" w:hAnsiTheme="minorEastAsia"/>
          <w:sz w:val="24"/>
          <w:szCs w:val="24"/>
        </w:rPr>
        <w:t>(</w:t>
      </w:r>
      <w:r>
        <w:rPr>
          <w:rFonts w:asciiTheme="minorEastAsia" w:hAnsiTheme="minorEastAsia"/>
          <w:sz w:val="24"/>
          <w:szCs w:val="24"/>
        </w:rPr>
        <w:t>财库</w:t>
      </w:r>
      <w:r>
        <w:rPr>
          <w:rFonts w:hint="eastAsia" w:asciiTheme="minorEastAsia" w:hAnsiTheme="minorEastAsia"/>
          <w:sz w:val="24"/>
          <w:szCs w:val="24"/>
        </w:rPr>
        <w:t>(</w:t>
      </w:r>
      <w:r>
        <w:rPr>
          <w:rFonts w:asciiTheme="minorEastAsia" w:hAnsiTheme="minorEastAsia"/>
          <w:sz w:val="24"/>
          <w:szCs w:val="24"/>
        </w:rPr>
        <w:t>2020)46号</w:t>
      </w:r>
      <w:r>
        <w:rPr>
          <w:rFonts w:hint="eastAsia" w:asciiTheme="minorEastAsia" w:hAnsiTheme="minorEastAsia"/>
          <w:sz w:val="24"/>
          <w:szCs w:val="24"/>
        </w:rPr>
        <w:t>)</w:t>
      </w:r>
      <w:r>
        <w:rPr>
          <w:rFonts w:asciiTheme="minorEastAsia" w:hAnsiTheme="minorEastAsia"/>
          <w:sz w:val="24"/>
          <w:szCs w:val="24"/>
        </w:rPr>
        <w:t>的规定，本公司</w:t>
      </w:r>
      <w:r>
        <w:rPr>
          <w:rFonts w:hint="eastAsia" w:asciiTheme="minorEastAsia" w:hAnsiTheme="minorEastAsia"/>
          <w:sz w:val="24"/>
          <w:szCs w:val="24"/>
        </w:rPr>
        <w:t>(</w:t>
      </w:r>
      <w:r>
        <w:rPr>
          <w:rFonts w:asciiTheme="minorEastAsia" w:hAnsiTheme="minorEastAsia"/>
          <w:sz w:val="24"/>
          <w:szCs w:val="24"/>
        </w:rPr>
        <w:t>联合体</w:t>
      </w:r>
      <w:r>
        <w:rPr>
          <w:rFonts w:hint="eastAsia" w:asciiTheme="minorEastAsia" w:hAnsiTheme="minorEastAsia"/>
          <w:sz w:val="24"/>
          <w:szCs w:val="24"/>
        </w:rPr>
        <w:t>)</w:t>
      </w:r>
      <w:r>
        <w:rPr>
          <w:rFonts w:asciiTheme="minorEastAsia" w:hAnsiTheme="minorEastAsia"/>
          <w:sz w:val="24"/>
          <w:szCs w:val="24"/>
        </w:rPr>
        <w:t>参加</w:t>
      </w:r>
      <w:r>
        <w:rPr>
          <w:rFonts w:hint="eastAsia" w:asciiTheme="minorEastAsia" w:hAnsiTheme="minorEastAsia"/>
          <w:sz w:val="24"/>
          <w:szCs w:val="24"/>
          <w:u w:val="single"/>
        </w:rPr>
        <w:t>(</w:t>
      </w:r>
      <w:r>
        <w:rPr>
          <w:rFonts w:asciiTheme="minorEastAsia" w:hAnsiTheme="minorEastAsia"/>
          <w:sz w:val="24"/>
          <w:szCs w:val="24"/>
          <w:u w:val="single"/>
        </w:rPr>
        <w:t>单位名称</w:t>
      </w:r>
      <w:r>
        <w:rPr>
          <w:rFonts w:hint="eastAsia" w:asciiTheme="minorEastAsia" w:hAnsiTheme="minorEastAsia"/>
          <w:sz w:val="24"/>
          <w:szCs w:val="24"/>
          <w:u w:val="single"/>
        </w:rPr>
        <w:t>)</w:t>
      </w:r>
      <w:r>
        <w:rPr>
          <w:rFonts w:asciiTheme="minorEastAsia" w:hAnsiTheme="minorEastAsia"/>
          <w:sz w:val="24"/>
          <w:szCs w:val="24"/>
        </w:rPr>
        <w:t>的</w:t>
      </w:r>
      <w:r>
        <w:rPr>
          <w:rFonts w:hint="eastAsia" w:asciiTheme="minorEastAsia" w:hAnsiTheme="minorEastAsia"/>
          <w:sz w:val="24"/>
          <w:szCs w:val="24"/>
          <w:u w:val="single"/>
        </w:rPr>
        <w:t>(</w:t>
      </w:r>
      <w:r>
        <w:rPr>
          <w:rFonts w:asciiTheme="minorEastAsia" w:hAnsiTheme="minorEastAsia"/>
          <w:sz w:val="24"/>
          <w:szCs w:val="24"/>
          <w:u w:val="single"/>
        </w:rPr>
        <w:t>项目名称</w:t>
      </w:r>
      <w:r>
        <w:rPr>
          <w:rFonts w:hint="eastAsia" w:asciiTheme="minorEastAsia" w:hAnsiTheme="minorEastAsia"/>
          <w:sz w:val="24"/>
          <w:szCs w:val="24"/>
          <w:u w:val="single"/>
        </w:rPr>
        <w:t>)</w:t>
      </w:r>
      <w:r>
        <w:rPr>
          <w:rFonts w:asciiTheme="minorEastAsia" w:hAnsiTheme="minorEastAsia"/>
          <w:sz w:val="24"/>
          <w:szCs w:val="24"/>
        </w:rPr>
        <w:t>采购活动，工程的施工单位全部为符合政策要求的中小企业</w:t>
      </w:r>
      <w:r>
        <w:rPr>
          <w:rFonts w:hint="eastAsia" w:asciiTheme="minorEastAsia" w:hAnsiTheme="minorEastAsia"/>
          <w:sz w:val="24"/>
          <w:szCs w:val="24"/>
        </w:rPr>
        <w:t>(</w:t>
      </w:r>
      <w:r>
        <w:rPr>
          <w:rFonts w:asciiTheme="minorEastAsia" w:hAnsiTheme="minorEastAsia"/>
          <w:sz w:val="24"/>
          <w:szCs w:val="24"/>
        </w:rPr>
        <w:t>或者</w:t>
      </w:r>
      <w:r>
        <w:rPr>
          <w:rFonts w:hint="eastAsia" w:asciiTheme="minorEastAsia" w:hAnsiTheme="minorEastAsia"/>
          <w:sz w:val="24"/>
          <w:szCs w:val="24"/>
        </w:rPr>
        <w:t>：</w:t>
      </w:r>
      <w:r>
        <w:rPr>
          <w:rFonts w:asciiTheme="minorEastAsia" w:hAnsiTheme="minorEastAsia"/>
          <w:sz w:val="24"/>
          <w:szCs w:val="24"/>
        </w:rPr>
        <w:t>服务全部由符合政策要求的中小企业承接</w:t>
      </w:r>
      <w:r>
        <w:rPr>
          <w:rFonts w:hint="eastAsia" w:asciiTheme="minorEastAsia" w:hAnsiTheme="minorEastAsia"/>
          <w:sz w:val="24"/>
          <w:szCs w:val="24"/>
        </w:rPr>
        <w:t>)</w:t>
      </w:r>
      <w:r>
        <w:rPr>
          <w:rFonts w:asciiTheme="minorEastAsia" w:hAnsiTheme="minorEastAsia"/>
          <w:sz w:val="24"/>
          <w:szCs w:val="24"/>
        </w:rPr>
        <w:t>。相关企业</w:t>
      </w:r>
      <w:r>
        <w:rPr>
          <w:rFonts w:hint="eastAsia" w:asciiTheme="minorEastAsia" w:hAnsiTheme="minorEastAsia"/>
          <w:sz w:val="24"/>
          <w:szCs w:val="24"/>
        </w:rPr>
        <w:t>(</w:t>
      </w:r>
      <w:r>
        <w:rPr>
          <w:rFonts w:asciiTheme="minorEastAsia" w:hAnsiTheme="minorEastAsia"/>
          <w:sz w:val="24"/>
          <w:szCs w:val="24"/>
        </w:rPr>
        <w:t>含联合体中的中小企业、签订分包意向协议的中小企业</w:t>
      </w:r>
      <w:r>
        <w:rPr>
          <w:rFonts w:hint="eastAsia" w:asciiTheme="minorEastAsia" w:hAnsiTheme="minorEastAsia"/>
          <w:sz w:val="24"/>
          <w:szCs w:val="24"/>
        </w:rPr>
        <w:t>)</w:t>
      </w:r>
      <w:r>
        <w:rPr>
          <w:rFonts w:asciiTheme="minorEastAsia" w:hAnsiTheme="minorEastAsia"/>
          <w:sz w:val="24"/>
          <w:szCs w:val="24"/>
        </w:rPr>
        <w:t>的具体情况如下</w:t>
      </w:r>
      <w:r>
        <w:rPr>
          <w:rFonts w:hint="eastAsia" w:asciiTheme="minorEastAsia" w:hAnsiTheme="minorEastAsia"/>
          <w:sz w:val="24"/>
          <w:szCs w:val="24"/>
        </w:rPr>
        <w:t>：</w:t>
      </w:r>
    </w:p>
    <w:p>
      <w:pPr>
        <w:pStyle w:val="8"/>
        <w:spacing w:line="360" w:lineRule="auto"/>
        <w:ind w:firstLine="480" w:firstLineChars="200"/>
        <w:rPr>
          <w:rFonts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u w:val="single"/>
        </w:rPr>
        <w:t>(标的名称</w:t>
      </w:r>
      <w:r>
        <w:rPr>
          <w:rFonts w:hint="eastAsia" w:asciiTheme="minorEastAsia" w:hAnsiTheme="minorEastAsia"/>
          <w:sz w:val="24"/>
          <w:szCs w:val="24"/>
          <w:u w:val="single"/>
        </w:rPr>
        <w:t>)</w:t>
      </w:r>
      <w:r>
        <w:rPr>
          <w:rFonts w:asciiTheme="minorEastAsia" w:hAnsiTheme="minorEastAsia"/>
          <w:sz w:val="24"/>
          <w:szCs w:val="24"/>
        </w:rPr>
        <w:t>，属于</w:t>
      </w:r>
      <w:r>
        <w:rPr>
          <w:rFonts w:hint="eastAsia" w:asciiTheme="minorEastAsia" w:hAnsiTheme="minorEastAsia"/>
          <w:sz w:val="24"/>
          <w:szCs w:val="24"/>
          <w:u w:val="single"/>
        </w:rPr>
        <w:t>(</w:t>
      </w:r>
      <w:r>
        <w:rPr>
          <w:rFonts w:asciiTheme="minorEastAsia" w:hAnsiTheme="minorEastAsia"/>
          <w:sz w:val="24"/>
          <w:szCs w:val="24"/>
          <w:u w:val="single"/>
        </w:rPr>
        <w:t>采购文件中明确的所属行业</w:t>
      </w:r>
      <w:r>
        <w:rPr>
          <w:rFonts w:hint="eastAsia" w:asciiTheme="minorEastAsia" w:hAnsiTheme="minorEastAsia"/>
          <w:sz w:val="24"/>
          <w:szCs w:val="24"/>
          <w:u w:val="single"/>
        </w:rPr>
        <w:t>)</w:t>
      </w:r>
      <w:r>
        <w:rPr>
          <w:rFonts w:asciiTheme="minorEastAsia" w:hAnsiTheme="minorEastAsia"/>
          <w:sz w:val="24"/>
          <w:szCs w:val="24"/>
        </w:rPr>
        <w:t>；承建</w:t>
      </w:r>
      <w:r>
        <w:rPr>
          <w:rFonts w:hint="eastAsia" w:asciiTheme="minorEastAsia" w:hAnsiTheme="minorEastAsia"/>
          <w:sz w:val="24"/>
          <w:szCs w:val="24"/>
        </w:rPr>
        <w:t>(</w:t>
      </w:r>
      <w:r>
        <w:rPr>
          <w:rFonts w:asciiTheme="minorEastAsia" w:hAnsiTheme="minorEastAsia"/>
          <w:sz w:val="24"/>
          <w:szCs w:val="24"/>
        </w:rPr>
        <w:t>承接</w:t>
      </w:r>
      <w:r>
        <w:rPr>
          <w:rFonts w:hint="eastAsia" w:asciiTheme="minorEastAsia" w:hAnsiTheme="minorEastAsia"/>
          <w:sz w:val="24"/>
          <w:szCs w:val="24"/>
        </w:rPr>
        <w:t>)</w:t>
      </w:r>
      <w:r>
        <w:rPr>
          <w:rFonts w:asciiTheme="minorEastAsia" w:hAnsiTheme="minorEastAsia"/>
          <w:sz w:val="24"/>
          <w:szCs w:val="24"/>
        </w:rPr>
        <w:t>企业为</w:t>
      </w:r>
      <w:r>
        <w:rPr>
          <w:rFonts w:hint="eastAsia" w:asciiTheme="minorEastAsia" w:hAnsiTheme="minorEastAsia"/>
          <w:sz w:val="24"/>
          <w:szCs w:val="24"/>
          <w:u w:val="single"/>
        </w:rPr>
        <w:t>(</w:t>
      </w:r>
      <w:r>
        <w:rPr>
          <w:rFonts w:asciiTheme="minorEastAsia" w:hAnsiTheme="minorEastAsia"/>
          <w:sz w:val="24"/>
          <w:szCs w:val="24"/>
          <w:u w:val="single"/>
        </w:rPr>
        <w:t>企业名称</w:t>
      </w:r>
      <w:r>
        <w:rPr>
          <w:rFonts w:hint="eastAsia" w:asciiTheme="minorEastAsia" w:hAnsiTheme="minorEastAsia"/>
          <w:sz w:val="24"/>
          <w:szCs w:val="24"/>
          <w:u w:val="single"/>
        </w:rPr>
        <w:t>)</w:t>
      </w:r>
      <w:r>
        <w:rPr>
          <w:rFonts w:asciiTheme="minorEastAsia" w:hAnsiTheme="minorEastAsia"/>
          <w:sz w:val="24"/>
          <w:szCs w:val="24"/>
        </w:rPr>
        <w:t>，从业人员＿人，营业收入为＿万元，资产总额为＿万元，属于</w:t>
      </w:r>
      <w:r>
        <w:rPr>
          <w:rFonts w:hint="eastAsia" w:asciiTheme="minorEastAsia" w:hAnsiTheme="minorEastAsia"/>
          <w:sz w:val="24"/>
          <w:szCs w:val="24"/>
          <w:u w:val="single"/>
        </w:rPr>
        <w:t>(</w:t>
      </w:r>
      <w:r>
        <w:rPr>
          <w:rFonts w:asciiTheme="minorEastAsia" w:hAnsiTheme="minorEastAsia"/>
          <w:sz w:val="24"/>
          <w:szCs w:val="24"/>
          <w:u w:val="single"/>
        </w:rPr>
        <w:t>中型企业、小型企业、微型企业</w:t>
      </w:r>
      <w:r>
        <w:rPr>
          <w:rFonts w:hint="eastAsia" w:asciiTheme="minorEastAsia" w:hAnsiTheme="minorEastAsia"/>
          <w:sz w:val="24"/>
          <w:szCs w:val="24"/>
          <w:u w:val="single"/>
        </w:rPr>
        <w:t>)</w:t>
      </w:r>
      <w:r>
        <w:rPr>
          <w:rFonts w:asciiTheme="minorEastAsia" w:hAnsiTheme="minorEastAsia"/>
          <w:sz w:val="24"/>
          <w:szCs w:val="24"/>
        </w:rPr>
        <w:t>；</w:t>
      </w:r>
    </w:p>
    <w:p>
      <w:pPr>
        <w:pStyle w:val="8"/>
        <w:spacing w:line="360" w:lineRule="auto"/>
        <w:ind w:firstLine="480" w:firstLineChars="200"/>
        <w:rPr>
          <w:rFonts w:asciiTheme="minorEastAsia" w:hAnsiTheme="minorEastAsia"/>
          <w:sz w:val="24"/>
          <w:szCs w:val="24"/>
        </w:rPr>
      </w:pPr>
      <w:r>
        <w:rPr>
          <w:rFonts w:asciiTheme="minorEastAsia" w:hAnsiTheme="minorEastAsia"/>
          <w:sz w:val="24"/>
          <w:szCs w:val="24"/>
        </w:rPr>
        <w:t>2.</w:t>
      </w:r>
      <w:r>
        <w:rPr>
          <w:rFonts w:asciiTheme="minorEastAsia" w:hAnsiTheme="minorEastAsia"/>
          <w:sz w:val="24"/>
          <w:szCs w:val="24"/>
          <w:u w:val="single"/>
        </w:rPr>
        <w:t>(标的名称</w:t>
      </w:r>
      <w:r>
        <w:rPr>
          <w:rFonts w:hint="eastAsia" w:asciiTheme="minorEastAsia" w:hAnsiTheme="minorEastAsia"/>
          <w:sz w:val="24"/>
          <w:szCs w:val="24"/>
          <w:u w:val="single"/>
        </w:rPr>
        <w:t>)</w:t>
      </w:r>
      <w:r>
        <w:rPr>
          <w:rFonts w:asciiTheme="minorEastAsia" w:hAnsiTheme="minorEastAsia"/>
          <w:sz w:val="24"/>
          <w:szCs w:val="24"/>
        </w:rPr>
        <w:t>，属于</w:t>
      </w:r>
      <w:r>
        <w:rPr>
          <w:rFonts w:hint="eastAsia" w:asciiTheme="minorEastAsia" w:hAnsiTheme="minorEastAsia"/>
          <w:sz w:val="24"/>
          <w:szCs w:val="24"/>
          <w:u w:val="single"/>
        </w:rPr>
        <w:t>(</w:t>
      </w:r>
      <w:r>
        <w:rPr>
          <w:rFonts w:asciiTheme="minorEastAsia" w:hAnsiTheme="minorEastAsia"/>
          <w:sz w:val="24"/>
          <w:szCs w:val="24"/>
          <w:u w:val="single"/>
        </w:rPr>
        <w:t>采购文件中明确的所属行业</w:t>
      </w:r>
      <w:r>
        <w:rPr>
          <w:rFonts w:hint="eastAsia" w:asciiTheme="minorEastAsia" w:hAnsiTheme="minorEastAsia"/>
          <w:sz w:val="24"/>
          <w:szCs w:val="24"/>
          <w:u w:val="single"/>
        </w:rPr>
        <w:t>)</w:t>
      </w:r>
      <w:r>
        <w:rPr>
          <w:rFonts w:asciiTheme="minorEastAsia" w:hAnsiTheme="minorEastAsia"/>
          <w:sz w:val="24"/>
          <w:szCs w:val="24"/>
        </w:rPr>
        <w:t>；承建</w:t>
      </w:r>
      <w:r>
        <w:rPr>
          <w:rFonts w:hint="eastAsia" w:asciiTheme="minorEastAsia" w:hAnsiTheme="minorEastAsia"/>
          <w:sz w:val="24"/>
          <w:szCs w:val="24"/>
        </w:rPr>
        <w:t>(</w:t>
      </w:r>
      <w:r>
        <w:rPr>
          <w:rFonts w:asciiTheme="minorEastAsia" w:hAnsiTheme="minorEastAsia"/>
          <w:sz w:val="24"/>
          <w:szCs w:val="24"/>
        </w:rPr>
        <w:t>承接</w:t>
      </w:r>
      <w:r>
        <w:rPr>
          <w:rFonts w:hint="eastAsia" w:asciiTheme="minorEastAsia" w:hAnsiTheme="minorEastAsia"/>
          <w:sz w:val="24"/>
          <w:szCs w:val="24"/>
        </w:rPr>
        <w:t>)</w:t>
      </w:r>
      <w:r>
        <w:rPr>
          <w:rFonts w:asciiTheme="minorEastAsia" w:hAnsiTheme="minorEastAsia"/>
          <w:sz w:val="24"/>
          <w:szCs w:val="24"/>
        </w:rPr>
        <w:t>企业为</w:t>
      </w:r>
      <w:r>
        <w:rPr>
          <w:rFonts w:hint="eastAsia" w:asciiTheme="minorEastAsia" w:hAnsiTheme="minorEastAsia"/>
          <w:sz w:val="24"/>
          <w:szCs w:val="24"/>
          <w:u w:val="single"/>
        </w:rPr>
        <w:t>(</w:t>
      </w:r>
      <w:r>
        <w:rPr>
          <w:rFonts w:asciiTheme="minorEastAsia" w:hAnsiTheme="minorEastAsia"/>
          <w:sz w:val="24"/>
          <w:szCs w:val="24"/>
          <w:u w:val="single"/>
        </w:rPr>
        <w:t>企业名称</w:t>
      </w:r>
      <w:r>
        <w:rPr>
          <w:rFonts w:hint="eastAsia" w:asciiTheme="minorEastAsia" w:hAnsiTheme="minorEastAsia"/>
          <w:sz w:val="24"/>
          <w:szCs w:val="24"/>
          <w:u w:val="single"/>
        </w:rPr>
        <w:t>)</w:t>
      </w:r>
      <w:r>
        <w:rPr>
          <w:rFonts w:asciiTheme="minorEastAsia" w:hAnsiTheme="minorEastAsia"/>
          <w:sz w:val="24"/>
          <w:szCs w:val="24"/>
        </w:rPr>
        <w:t>，从业人员＿人，营业收入为＿万元，资产总额为</w:t>
      </w:r>
      <w:r>
        <w:rPr>
          <w:rFonts w:hint="eastAsia" w:asciiTheme="minorEastAsia" w:hAnsiTheme="minorEastAsia"/>
          <w:sz w:val="24"/>
          <w:szCs w:val="24"/>
          <w:u w:val="single"/>
        </w:rPr>
        <w:t xml:space="preserve">  </w:t>
      </w:r>
      <w:r>
        <w:rPr>
          <w:rFonts w:asciiTheme="minorEastAsia" w:hAnsiTheme="minorEastAsia"/>
          <w:sz w:val="24"/>
          <w:szCs w:val="24"/>
        </w:rPr>
        <w:t>万元，属于</w:t>
      </w:r>
      <w:r>
        <w:rPr>
          <w:rFonts w:hint="eastAsia" w:asciiTheme="minorEastAsia" w:hAnsiTheme="minorEastAsia"/>
          <w:sz w:val="24"/>
          <w:szCs w:val="24"/>
          <w:u w:val="single"/>
        </w:rPr>
        <w:t>(</w:t>
      </w:r>
      <w:r>
        <w:rPr>
          <w:rFonts w:asciiTheme="minorEastAsia" w:hAnsiTheme="minorEastAsia"/>
          <w:sz w:val="24"/>
          <w:szCs w:val="24"/>
          <w:u w:val="single"/>
        </w:rPr>
        <w:t>中型企业、小型企业、微型企业</w:t>
      </w:r>
      <w:r>
        <w:rPr>
          <w:rFonts w:hint="eastAsia" w:asciiTheme="minorEastAsia" w:hAnsiTheme="minorEastAsia"/>
          <w:sz w:val="24"/>
          <w:szCs w:val="24"/>
          <w:u w:val="single"/>
        </w:rPr>
        <w:t>)</w:t>
      </w:r>
      <w:r>
        <w:rPr>
          <w:rFonts w:asciiTheme="minorEastAsia" w:hAnsiTheme="minorEastAsia"/>
          <w:sz w:val="24"/>
          <w:szCs w:val="24"/>
        </w:rPr>
        <w:t>；</w:t>
      </w:r>
    </w:p>
    <w:p>
      <w:pPr>
        <w:pStyle w:val="8"/>
        <w:spacing w:line="360" w:lineRule="auto"/>
        <w:ind w:firstLine="480" w:firstLineChars="200"/>
        <w:rPr>
          <w:rFonts w:asciiTheme="minorEastAsia" w:hAnsiTheme="minorEastAsia"/>
          <w:sz w:val="24"/>
          <w:szCs w:val="24"/>
        </w:rPr>
      </w:pPr>
      <w:r>
        <w:rPr>
          <w:rFonts w:asciiTheme="minorEastAsia" w:hAnsiTheme="minorEastAsia"/>
          <w:sz w:val="24"/>
          <w:szCs w:val="24"/>
        </w:rPr>
        <w:t>以上企业，不属于大企业的分支机构，不存在控股股东为大企业的情形，也不存在与大企业的负责人为同一人的情形。</w:t>
      </w:r>
    </w:p>
    <w:p>
      <w:pPr>
        <w:pStyle w:val="8"/>
        <w:spacing w:line="360" w:lineRule="auto"/>
        <w:ind w:firstLine="480" w:firstLineChars="200"/>
        <w:rPr>
          <w:rFonts w:asciiTheme="minorEastAsia" w:hAnsiTheme="minorEastAsia"/>
          <w:sz w:val="24"/>
          <w:szCs w:val="24"/>
        </w:rPr>
      </w:pPr>
      <w:r>
        <w:rPr>
          <w:rFonts w:asciiTheme="minorEastAsia" w:hAnsiTheme="minorEastAsia"/>
          <w:sz w:val="24"/>
          <w:szCs w:val="24"/>
        </w:rPr>
        <w:t>本企业对上述声明内容的真实性负责。如有虚假，将依法承担相应责任。</w:t>
      </w:r>
    </w:p>
    <w:p>
      <w:pPr>
        <w:pStyle w:val="8"/>
        <w:spacing w:line="360" w:lineRule="auto"/>
        <w:ind w:right="960"/>
        <w:jc w:val="right"/>
        <w:rPr>
          <w:rFonts w:asciiTheme="minorEastAsia" w:hAnsiTheme="minorEastAsia"/>
          <w:sz w:val="24"/>
          <w:szCs w:val="24"/>
        </w:rPr>
      </w:pPr>
    </w:p>
    <w:p>
      <w:pPr>
        <w:pStyle w:val="8"/>
        <w:spacing w:line="360" w:lineRule="auto"/>
        <w:ind w:right="960"/>
        <w:jc w:val="right"/>
        <w:rPr>
          <w:rFonts w:asciiTheme="minorEastAsia" w:hAnsiTheme="minorEastAsia"/>
          <w:sz w:val="24"/>
          <w:szCs w:val="24"/>
        </w:rPr>
      </w:pPr>
      <w:r>
        <w:rPr>
          <w:rFonts w:asciiTheme="minorEastAsia" w:hAnsiTheme="minorEastAsia"/>
          <w:sz w:val="24"/>
          <w:szCs w:val="24"/>
        </w:rPr>
        <w:t>企业名称</w:t>
      </w:r>
      <w:r>
        <w:rPr>
          <w:rFonts w:hint="eastAsia" w:asciiTheme="minorEastAsia" w:hAnsiTheme="minorEastAsia"/>
          <w:sz w:val="24"/>
          <w:szCs w:val="24"/>
        </w:rPr>
        <w:t>(</w:t>
      </w:r>
      <w:r>
        <w:rPr>
          <w:rFonts w:asciiTheme="minorEastAsia" w:hAnsiTheme="minorEastAsia"/>
          <w:sz w:val="24"/>
          <w:szCs w:val="24"/>
        </w:rPr>
        <w:t>盖章</w:t>
      </w:r>
      <w:r>
        <w:rPr>
          <w:rFonts w:hint="eastAsia" w:asciiTheme="minorEastAsia" w:hAnsiTheme="minorEastAsia"/>
          <w:sz w:val="24"/>
          <w:szCs w:val="24"/>
        </w:rPr>
        <w:t>)：</w:t>
      </w:r>
    </w:p>
    <w:p>
      <w:pPr>
        <w:pStyle w:val="8"/>
        <w:spacing w:line="360" w:lineRule="auto"/>
        <w:ind w:right="960" w:firstLine="5280" w:firstLineChars="2200"/>
        <w:rPr>
          <w:rFonts w:asciiTheme="minorEastAsia" w:hAnsiTheme="minorEastAsia"/>
          <w:sz w:val="24"/>
          <w:szCs w:val="24"/>
        </w:rPr>
      </w:pPr>
      <w:r>
        <w:rPr>
          <w:rFonts w:asciiTheme="minorEastAsia" w:hAnsiTheme="minorEastAsia"/>
          <w:sz w:val="24"/>
          <w:szCs w:val="24"/>
        </w:rPr>
        <w:t>日期</w:t>
      </w:r>
      <w:r>
        <w:rPr>
          <w:rFonts w:hint="eastAsia" w:asciiTheme="minorEastAsia" w:hAnsiTheme="minorEastAsia"/>
          <w:sz w:val="24"/>
          <w:szCs w:val="24"/>
        </w:rPr>
        <w:t>：</w:t>
      </w:r>
    </w:p>
    <w:p>
      <w:pPr>
        <w:widowControl/>
        <w:jc w:val="left"/>
        <w:rPr>
          <w:rFonts w:ascii="宋体" w:hAnsi="宋体"/>
          <w:sz w:val="24"/>
        </w:rPr>
      </w:pPr>
      <w:r>
        <w:rPr>
          <w:rFonts w:hint="eastAsia" w:ascii="宋体" w:hAnsi="宋体"/>
          <w:sz w:val="24"/>
        </w:rPr>
        <w:t>注：</w:t>
      </w:r>
    </w:p>
    <w:p>
      <w:pPr>
        <w:widowControl/>
        <w:jc w:val="left"/>
        <w:rPr>
          <w:rFonts w:ascii="宋体" w:hAnsi="宋体"/>
          <w:sz w:val="24"/>
        </w:rPr>
      </w:pPr>
      <w:r>
        <w:rPr>
          <w:rFonts w:hint="eastAsia" w:ascii="宋体" w:hAnsi="宋体"/>
          <w:sz w:val="24"/>
        </w:rPr>
        <w:t>1.</w:t>
      </w:r>
      <w:r>
        <w:rPr>
          <w:rFonts w:ascii="宋体" w:hAnsi="宋体"/>
          <w:sz w:val="24"/>
        </w:rPr>
        <w:t>从业人员、营业收入、资产总额填报上一年度数据，无上一年度数据的新成立企业可不填报。</w:t>
      </w:r>
    </w:p>
    <w:p>
      <w:pPr>
        <w:widowControl/>
        <w:jc w:val="left"/>
        <w:rPr>
          <w:rFonts w:ascii="宋体" w:hAnsi="宋体"/>
          <w:sz w:val="24"/>
        </w:rPr>
      </w:pPr>
      <w:r>
        <w:rPr>
          <w:rFonts w:hint="eastAsia" w:ascii="宋体" w:hAnsi="宋体"/>
          <w:sz w:val="24"/>
        </w:rPr>
        <w:t>2.未填报小型和微型企业产品报价说明表或未提供“中小企业声明函”的，评标时不对小微企业报价给予10%(工程项目为5%)的扣除。</w:t>
      </w:r>
    </w:p>
    <w:p>
      <w:pPr>
        <w:spacing w:line="400" w:lineRule="exact"/>
        <w:rPr>
          <w:rFonts w:ascii="宋体" w:hAnsi="宋体"/>
          <w:sz w:val="24"/>
        </w:rPr>
      </w:pPr>
      <w:r>
        <w:rPr>
          <w:rFonts w:hint="eastAsia" w:ascii="宋体" w:hAnsi="宋体"/>
          <w:sz w:val="24"/>
        </w:rPr>
        <w:t>3.本项目所属行业按照工信部联企业[2011]300号文件《关于印发中小企业划型标准规定的通知》执行。</w:t>
      </w:r>
    </w:p>
    <w:p>
      <w:pPr>
        <w:spacing w:line="360" w:lineRule="auto"/>
        <w:jc w:val="center"/>
        <w:rPr>
          <w:rFonts w:ascii="宋体" w:hAnsi="宋体"/>
          <w:b/>
          <w:sz w:val="24"/>
        </w:rPr>
      </w:pPr>
    </w:p>
    <w:p>
      <w:pPr>
        <w:spacing w:line="360" w:lineRule="auto"/>
        <w:jc w:val="center"/>
        <w:rPr>
          <w:rFonts w:ascii="宋体" w:hAnsi="宋体"/>
          <w:b/>
          <w:sz w:val="24"/>
        </w:rPr>
      </w:pPr>
      <w:r>
        <w:rPr>
          <w:rFonts w:hint="eastAsia" w:ascii="宋体" w:hAnsi="宋体"/>
          <w:b/>
          <w:sz w:val="24"/>
        </w:rPr>
        <w:t>（八）残疾人福利性单位声明函</w:t>
      </w:r>
    </w:p>
    <w:p>
      <w:pPr>
        <w:spacing w:line="340" w:lineRule="exact"/>
        <w:jc w:val="center"/>
        <w:rPr>
          <w:rFonts w:ascii="宋体" w:hAnsi="宋体"/>
          <w:b/>
          <w:sz w:val="24"/>
        </w:rPr>
      </w:pPr>
    </w:p>
    <w:p>
      <w:pPr>
        <w:spacing w:line="360" w:lineRule="auto"/>
        <w:ind w:left="420" w:firstLine="560" w:firstLineChars="200"/>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8"/>
          <w:szCs w:val="28"/>
          <w:u w:val="single"/>
        </w:rPr>
        <w:t xml:space="preserve">        </w:t>
      </w:r>
      <w:r>
        <w:rPr>
          <w:rFonts w:hint="eastAsia" w:ascii="宋体" w:hAnsi="宋体"/>
          <w:sz w:val="28"/>
          <w:szCs w:val="28"/>
        </w:rPr>
        <w:t xml:space="preserve"> 单位的</w:t>
      </w:r>
      <w:r>
        <w:rPr>
          <w:rFonts w:hint="eastAsia" w:ascii="宋体" w:hAnsi="宋体"/>
          <w:sz w:val="28"/>
          <w:szCs w:val="28"/>
          <w:u w:val="single"/>
        </w:rPr>
        <w:t xml:space="preserve">                       </w:t>
      </w:r>
      <w:r>
        <w:rPr>
          <w:rFonts w:hint="eastAsia" w:ascii="宋体" w:hAnsi="宋体"/>
          <w:sz w:val="28"/>
          <w:szCs w:val="28"/>
        </w:rPr>
        <w:t>项目采购活动提供本单位制造的货物（由本单位承担工程/服务），或者提供其他残疾人福利性单位制造的货物（不包括使用非残疾人福利性单位注册商标的货物）。</w:t>
      </w:r>
    </w:p>
    <w:p>
      <w:pPr>
        <w:spacing w:line="360" w:lineRule="auto"/>
        <w:ind w:left="420" w:firstLine="560" w:firstLineChars="200"/>
        <w:rPr>
          <w:rFonts w:ascii="宋体" w:hAnsi="宋体"/>
          <w:sz w:val="28"/>
          <w:szCs w:val="28"/>
        </w:rPr>
      </w:pPr>
      <w:r>
        <w:rPr>
          <w:rFonts w:hint="eastAsia" w:ascii="宋体" w:hAnsi="宋体"/>
          <w:sz w:val="28"/>
          <w:szCs w:val="28"/>
        </w:rPr>
        <w:t>本单位对上述声明的真实性负责。如有虚假，将依法承担相应责任。</w:t>
      </w:r>
    </w:p>
    <w:p>
      <w:pPr>
        <w:spacing w:line="360" w:lineRule="auto"/>
        <w:rPr>
          <w:rFonts w:ascii="宋体" w:hAnsi="宋体"/>
          <w:sz w:val="28"/>
          <w:szCs w:val="28"/>
        </w:rPr>
      </w:pPr>
    </w:p>
    <w:p>
      <w:pPr>
        <w:spacing w:line="360" w:lineRule="auto"/>
        <w:ind w:left="420" w:firstLine="560" w:firstLineChars="200"/>
        <w:rPr>
          <w:rFonts w:ascii="宋体" w:hAnsi="宋体"/>
          <w:sz w:val="28"/>
          <w:szCs w:val="28"/>
        </w:rPr>
      </w:pPr>
    </w:p>
    <w:p>
      <w:pPr>
        <w:spacing w:line="360" w:lineRule="auto"/>
        <w:ind w:left="420" w:leftChars="200" w:firstLine="3220" w:firstLineChars="1150"/>
        <w:jc w:val="left"/>
        <w:rPr>
          <w:rFonts w:ascii="宋体" w:hAnsi="宋体"/>
          <w:sz w:val="28"/>
          <w:szCs w:val="28"/>
        </w:rPr>
      </w:pPr>
      <w:r>
        <w:rPr>
          <w:rFonts w:hint="eastAsia" w:ascii="宋体" w:hAnsi="宋体"/>
          <w:sz w:val="28"/>
          <w:szCs w:val="28"/>
        </w:rPr>
        <w:t>单位名称（盖章）：</w:t>
      </w:r>
    </w:p>
    <w:p>
      <w:pPr>
        <w:spacing w:line="360" w:lineRule="auto"/>
        <w:ind w:left="420" w:leftChars="200" w:firstLine="3220" w:firstLineChars="1150"/>
        <w:jc w:val="left"/>
        <w:rPr>
          <w:rFonts w:ascii="宋体" w:hAnsi="宋体"/>
          <w:sz w:val="28"/>
          <w:szCs w:val="28"/>
        </w:rPr>
      </w:pPr>
    </w:p>
    <w:p>
      <w:pPr>
        <w:spacing w:line="360" w:lineRule="auto"/>
        <w:ind w:left="420" w:leftChars="200" w:firstLine="3220" w:firstLineChars="1150"/>
        <w:jc w:val="left"/>
        <w:rPr>
          <w:rFonts w:ascii="宋体" w:hAnsi="宋体"/>
          <w:sz w:val="28"/>
          <w:szCs w:val="28"/>
        </w:rPr>
      </w:pPr>
      <w:r>
        <w:rPr>
          <w:rFonts w:hint="eastAsia" w:ascii="宋体" w:hAnsi="宋体"/>
          <w:sz w:val="28"/>
          <w:szCs w:val="28"/>
        </w:rPr>
        <w:t>日期：</w:t>
      </w:r>
    </w:p>
    <w:p>
      <w:pPr>
        <w:pStyle w:val="17"/>
        <w:snapToGrid w:val="0"/>
        <w:spacing w:before="0" w:beforeAutospacing="0" w:after="0" w:afterAutospacing="0" w:line="312" w:lineRule="auto"/>
        <w:ind w:firstLine="465"/>
        <w:rPr>
          <w:spacing w:val="6"/>
          <w:sz w:val="28"/>
          <w:szCs w:val="28"/>
        </w:rPr>
      </w:pPr>
    </w:p>
    <w:p>
      <w:pPr>
        <w:pStyle w:val="17"/>
        <w:snapToGrid w:val="0"/>
        <w:spacing w:before="0" w:beforeAutospacing="0" w:after="0" w:afterAutospacing="0" w:line="312" w:lineRule="auto"/>
        <w:ind w:firstLine="465"/>
      </w:pPr>
      <w:r>
        <w:rPr>
          <w:rFonts w:hint="eastAsia"/>
        </w:rPr>
        <w:t>注：1、供应商为残疾人福利性单位且评审中享受了残疾人福利性单位相关政府采购支持政策的，其《残疾人福利性单位声明函》将在中标公告中公告，接受社会监督。</w:t>
      </w:r>
    </w:p>
    <w:p>
      <w:pPr>
        <w:spacing w:line="340" w:lineRule="exact"/>
        <w:jc w:val="left"/>
        <w:rPr>
          <w:rFonts w:ascii="宋体" w:hAnsi="宋体"/>
          <w:sz w:val="24"/>
        </w:rPr>
      </w:pPr>
      <w:r>
        <w:rPr>
          <w:rFonts w:hint="eastAsia" w:ascii="宋体" w:hAnsi="宋体"/>
          <w:sz w:val="24"/>
        </w:rPr>
        <w:t>2、供应商提供的《残疾人福利性单位声明函》与事实不符的，依照《政府采购法》第七十七条第一款的规定，处以采购金额千分之五以上千分之十以下的罚款，列入不良记录名单，在一至三年内禁止参加政府采购活动，有违法所得的，并处没收违法所得，情节严重的，由工商行政管理机关吊销营业执照；构成犯罪的，依法追究刑事责任。</w:t>
      </w:r>
    </w:p>
    <w:p>
      <w:pPr>
        <w:adjustRightInd w:val="0"/>
        <w:snapToGrid w:val="0"/>
        <w:rPr>
          <w:rFonts w:ascii="宋体" w:hAnsi="宋体"/>
          <w:b/>
          <w:sz w:val="24"/>
        </w:rPr>
      </w:pPr>
    </w:p>
    <w:p>
      <w:pPr>
        <w:adjustRightInd w:val="0"/>
        <w:snapToGrid w:val="0"/>
        <w:rPr>
          <w:rFonts w:ascii="宋体" w:hAnsi="宋体"/>
          <w:b/>
          <w:sz w:val="28"/>
          <w:szCs w:val="28"/>
        </w:rPr>
      </w:pPr>
    </w:p>
    <w:p>
      <w:pPr>
        <w:adjustRightInd w:val="0"/>
        <w:snapToGrid w:val="0"/>
        <w:rPr>
          <w:rFonts w:ascii="宋体" w:hAnsi="宋体"/>
          <w:b/>
          <w:sz w:val="28"/>
          <w:szCs w:val="28"/>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r>
        <w:rPr>
          <w:rFonts w:hint="eastAsia" w:ascii="宋体" w:hAnsi="宋体"/>
          <w:b/>
          <w:sz w:val="24"/>
        </w:rPr>
        <w:t>（九）提供由省级以上监狱管理局、戒毒管理局(含新疆生产建设兵团)出具的属于监狱企业的证明文件</w:t>
      </w:r>
    </w:p>
    <w:p>
      <w:pPr>
        <w:spacing w:line="360" w:lineRule="auto"/>
        <w:ind w:firstLine="420" w:firstLineChars="200"/>
        <w:rPr>
          <w:rFonts w:ascii="宋体" w:hAnsi="宋体"/>
        </w:rPr>
      </w:pPr>
    </w:p>
    <w:p>
      <w:pPr>
        <w:spacing w:line="340" w:lineRule="exact"/>
        <w:ind w:firstLine="480" w:firstLineChars="200"/>
        <w:rPr>
          <w:rFonts w:ascii="宋体" w:hAnsi="宋体"/>
          <w:spacing w:val="6"/>
          <w:sz w:val="24"/>
        </w:rPr>
      </w:pPr>
      <w:r>
        <w:rPr>
          <w:rFonts w:hint="eastAsia" w:ascii="宋体" w:hAnsi="宋体"/>
          <w:sz w:val="24"/>
        </w:rPr>
        <w:t>未填报监狱企业报价说明表或未提供“由省级以上监狱管理局、戒毒管理局(含新疆生产建设兵团)出具的属于监狱企业的证明文件”的，评标时不对监狱企业报价给予10%(工程项目为5%)的扣除。</w:t>
      </w:r>
    </w:p>
    <w:p>
      <w:pPr>
        <w:spacing w:line="360" w:lineRule="auto"/>
        <w:ind w:right="480"/>
        <w:jc w:val="center"/>
        <w:rPr>
          <w:rFonts w:ascii="宋体" w:hAnsi="宋体"/>
          <w:b/>
          <w:sz w:val="24"/>
        </w:rPr>
      </w:pPr>
    </w:p>
    <w:p>
      <w:pPr>
        <w:spacing w:line="360" w:lineRule="auto"/>
        <w:ind w:right="480"/>
        <w:jc w:val="center"/>
        <w:rPr>
          <w:rFonts w:ascii="宋体" w:hAnsi="宋体"/>
          <w:b/>
          <w:sz w:val="24"/>
        </w:rPr>
      </w:pPr>
    </w:p>
    <w:p>
      <w:pPr>
        <w:spacing w:line="360" w:lineRule="auto"/>
        <w:ind w:right="480"/>
        <w:jc w:val="center"/>
        <w:rPr>
          <w:rFonts w:ascii="宋体" w:hAnsi="宋体"/>
          <w:b/>
          <w:sz w:val="24"/>
        </w:rPr>
      </w:pPr>
    </w:p>
    <w:p>
      <w:pPr>
        <w:spacing w:line="360" w:lineRule="auto"/>
        <w:ind w:right="480"/>
        <w:jc w:val="center"/>
        <w:rPr>
          <w:rFonts w:ascii="宋体" w:hAnsi="宋体"/>
          <w:b/>
          <w:sz w:val="24"/>
        </w:rPr>
      </w:pPr>
    </w:p>
    <w:p>
      <w:pPr>
        <w:spacing w:line="360" w:lineRule="auto"/>
        <w:ind w:right="480"/>
        <w:jc w:val="center"/>
        <w:rPr>
          <w:rFonts w:ascii="宋体" w:hAnsi="宋体"/>
          <w:b/>
          <w:sz w:val="24"/>
        </w:rPr>
      </w:pPr>
    </w:p>
    <w:p>
      <w:pPr>
        <w:spacing w:line="360" w:lineRule="auto"/>
        <w:ind w:right="480"/>
        <w:jc w:val="center"/>
        <w:rPr>
          <w:rFonts w:ascii="宋体" w:hAnsi="宋体"/>
          <w:b/>
          <w:sz w:val="24"/>
        </w:rPr>
      </w:pPr>
    </w:p>
    <w:p>
      <w:pPr>
        <w:spacing w:line="360" w:lineRule="auto"/>
        <w:ind w:right="480"/>
        <w:jc w:val="center"/>
        <w:rPr>
          <w:rFonts w:ascii="宋体" w:hAnsi="宋体"/>
          <w:b/>
          <w:sz w:val="24"/>
        </w:rPr>
      </w:pPr>
    </w:p>
    <w:p>
      <w:pPr>
        <w:spacing w:line="360" w:lineRule="auto"/>
        <w:ind w:right="480"/>
        <w:jc w:val="center"/>
        <w:rPr>
          <w:rFonts w:ascii="宋体" w:hAnsi="宋体"/>
          <w:b/>
          <w:sz w:val="24"/>
        </w:rPr>
      </w:pPr>
    </w:p>
    <w:p>
      <w:pPr>
        <w:spacing w:line="360" w:lineRule="auto"/>
        <w:ind w:right="480"/>
        <w:jc w:val="center"/>
        <w:rPr>
          <w:rFonts w:ascii="宋体" w:hAnsi="宋体"/>
          <w:b/>
          <w:sz w:val="24"/>
        </w:rPr>
      </w:pPr>
    </w:p>
    <w:p>
      <w:pPr>
        <w:spacing w:line="360" w:lineRule="auto"/>
        <w:ind w:right="480"/>
        <w:jc w:val="center"/>
        <w:rPr>
          <w:rFonts w:ascii="宋体" w:hAnsi="宋体"/>
          <w:b/>
          <w:sz w:val="24"/>
        </w:rPr>
      </w:pPr>
    </w:p>
    <w:p>
      <w:pPr>
        <w:spacing w:line="360" w:lineRule="auto"/>
        <w:ind w:right="480"/>
        <w:jc w:val="center"/>
        <w:rPr>
          <w:rFonts w:ascii="宋体" w:hAnsi="宋体"/>
          <w:b/>
          <w:sz w:val="24"/>
        </w:rPr>
      </w:pPr>
    </w:p>
    <w:p>
      <w:pPr>
        <w:spacing w:line="360" w:lineRule="auto"/>
        <w:ind w:right="480"/>
        <w:jc w:val="center"/>
        <w:rPr>
          <w:rFonts w:ascii="宋体" w:hAnsi="宋体"/>
          <w:b/>
          <w:sz w:val="24"/>
        </w:rPr>
      </w:pPr>
    </w:p>
    <w:p>
      <w:pPr>
        <w:widowControl/>
        <w:jc w:val="center"/>
        <w:rPr>
          <w:rFonts w:ascii="宋体" w:hAnsi="宋体"/>
          <w:b/>
          <w:sz w:val="36"/>
          <w:szCs w:val="36"/>
        </w:rPr>
      </w:pPr>
      <w:r>
        <w:rPr>
          <w:rFonts w:ascii="宋体" w:hAnsi="宋体"/>
          <w:b/>
          <w:sz w:val="24"/>
        </w:rPr>
        <w:br w:type="page"/>
      </w:r>
      <w:r>
        <w:rPr>
          <w:rFonts w:hint="eastAsia" w:ascii="宋体" w:hAnsi="宋体"/>
          <w:b/>
          <w:sz w:val="36"/>
          <w:szCs w:val="36"/>
        </w:rPr>
        <w:t>十二、投标人需说明的其它问题</w:t>
      </w:r>
    </w:p>
    <w:p>
      <w:pPr>
        <w:spacing w:line="340" w:lineRule="exact"/>
        <w:jc w:val="center"/>
        <w:rPr>
          <w:rFonts w:ascii="宋体" w:hAnsi="宋体"/>
          <w:b/>
          <w:sz w:val="28"/>
        </w:rPr>
      </w:pPr>
    </w:p>
    <w:p>
      <w:pPr>
        <w:spacing w:line="360" w:lineRule="auto"/>
        <w:jc w:val="center"/>
        <w:rPr>
          <w:rFonts w:ascii="宋体" w:hAnsi="宋体"/>
          <w:bCs/>
          <w:sz w:val="24"/>
        </w:rPr>
      </w:pPr>
      <w:r>
        <w:rPr>
          <w:rFonts w:ascii="宋体" w:hAnsi="宋体"/>
          <w:bCs/>
          <w:sz w:val="30"/>
        </w:rPr>
        <w:t xml:space="preserve"> </w:t>
      </w:r>
      <w:r>
        <w:rPr>
          <w:rFonts w:hint="eastAsia" w:ascii="宋体" w:hAnsi="宋体"/>
          <w:bCs/>
          <w:sz w:val="30"/>
        </w:rPr>
        <w:t xml:space="preserve"> </w:t>
      </w:r>
      <w:r>
        <w:rPr>
          <w:rFonts w:hint="eastAsia" w:ascii="宋体" w:hAnsi="宋体"/>
          <w:bCs/>
          <w:sz w:val="24"/>
        </w:rPr>
        <w:t>投标人</w:t>
      </w:r>
      <w:r>
        <w:rPr>
          <w:rFonts w:ascii="宋体" w:hAnsi="宋体"/>
          <w:bCs/>
          <w:sz w:val="24"/>
        </w:rPr>
        <w:t>可提出补充建议或说明，提出比</w:t>
      </w:r>
      <w:r>
        <w:rPr>
          <w:rFonts w:hint="eastAsia" w:ascii="宋体" w:hAnsi="宋体"/>
          <w:bCs/>
          <w:sz w:val="24"/>
        </w:rPr>
        <w:t>招标</w:t>
      </w:r>
      <w:r>
        <w:rPr>
          <w:rFonts w:ascii="宋体" w:hAnsi="宋体"/>
          <w:bCs/>
          <w:sz w:val="24"/>
        </w:rPr>
        <w:t>文件的</w:t>
      </w:r>
      <w:r>
        <w:rPr>
          <w:rFonts w:hint="eastAsia" w:ascii="宋体" w:hAnsi="宋体"/>
          <w:bCs/>
          <w:sz w:val="24"/>
        </w:rPr>
        <w:t>技术</w:t>
      </w:r>
      <w:r>
        <w:rPr>
          <w:rFonts w:ascii="宋体" w:hAnsi="宋体"/>
          <w:bCs/>
          <w:sz w:val="24"/>
        </w:rPr>
        <w:t>要求更合理的建议方案</w:t>
      </w:r>
      <w:r>
        <w:rPr>
          <w:rFonts w:hint="eastAsia" w:ascii="宋体" w:hAnsi="宋体"/>
          <w:bCs/>
          <w:sz w:val="24"/>
        </w:rPr>
        <w:t>或其技术偏离可以满足采购人使用要求的理由</w:t>
      </w:r>
      <w:r>
        <w:rPr>
          <w:rFonts w:ascii="宋体" w:hAnsi="宋体"/>
          <w:bCs/>
          <w:sz w:val="24"/>
        </w:rPr>
        <w:t>，同时应说明对技术条件、价格</w:t>
      </w:r>
    </w:p>
    <w:p>
      <w:pPr>
        <w:spacing w:line="360" w:lineRule="auto"/>
        <w:rPr>
          <w:rFonts w:ascii="宋体" w:hAnsi="宋体"/>
          <w:bCs/>
          <w:sz w:val="24"/>
        </w:rPr>
      </w:pPr>
      <w:r>
        <w:rPr>
          <w:rFonts w:ascii="宋体" w:hAnsi="宋体"/>
          <w:bCs/>
          <w:sz w:val="24"/>
        </w:rPr>
        <w:t>等方面的影响。</w:t>
      </w:r>
    </w:p>
    <w:p>
      <w:pPr>
        <w:spacing w:line="340" w:lineRule="exact"/>
        <w:rPr>
          <w:rFonts w:ascii="宋体" w:hAnsi="宋体"/>
          <w:bCs/>
          <w:sz w:val="24"/>
        </w:rPr>
      </w:pPr>
    </w:p>
    <w:p>
      <w:pPr>
        <w:spacing w:before="120" w:line="360" w:lineRule="auto"/>
        <w:ind w:firstLine="435"/>
        <w:jc w:val="center"/>
        <w:rPr>
          <w:rFonts w:ascii="宋体" w:hAnsi="宋体"/>
          <w:sz w:val="24"/>
        </w:rPr>
      </w:pPr>
    </w:p>
    <w:p>
      <w:pPr>
        <w:jc w:val="left"/>
        <w:rPr>
          <w:rFonts w:ascii="宋体" w:hAnsi="宋体"/>
          <w:b/>
          <w:bCs/>
          <w:sz w:val="28"/>
          <w:szCs w:val="28"/>
        </w:rPr>
      </w:pPr>
      <w:r>
        <w:rPr>
          <w:rFonts w:ascii="宋体" w:hAnsi="宋体"/>
          <w:sz w:val="44"/>
        </w:rPr>
        <w:br w:type="page"/>
      </w:r>
      <w:r>
        <w:rPr>
          <w:rFonts w:hint="eastAsia" w:ascii="宋体" w:hAnsi="宋体"/>
          <w:b/>
          <w:bCs/>
          <w:sz w:val="28"/>
          <w:szCs w:val="28"/>
        </w:rPr>
        <w:t>附件1：</w:t>
      </w:r>
    </w:p>
    <w:p>
      <w:pPr>
        <w:jc w:val="center"/>
        <w:rPr>
          <w:rFonts w:ascii="宋体" w:hAnsi="宋体"/>
          <w:bCs/>
          <w:sz w:val="28"/>
          <w:szCs w:val="28"/>
        </w:rPr>
      </w:pPr>
      <w:r>
        <w:rPr>
          <w:rFonts w:hint="eastAsia" w:ascii="宋体" w:hAnsi="宋体"/>
          <w:b/>
          <w:bCs/>
          <w:sz w:val="36"/>
          <w:szCs w:val="36"/>
        </w:rPr>
        <w:t>开 标 一 览 表</w:t>
      </w:r>
    </w:p>
    <w:p>
      <w:pPr>
        <w:rPr>
          <w:rFonts w:ascii="宋体" w:hAnsi="宋体"/>
          <w:b/>
          <w:bCs/>
          <w:sz w:val="24"/>
        </w:rPr>
      </w:pPr>
    </w:p>
    <w:p>
      <w:pPr>
        <w:spacing w:line="360" w:lineRule="auto"/>
        <w:rPr>
          <w:rFonts w:ascii="宋体" w:hAnsi="宋体"/>
          <w:sz w:val="24"/>
        </w:rPr>
      </w:pPr>
      <w:r>
        <w:rPr>
          <w:rFonts w:hint="eastAsia" w:ascii="宋体" w:hAnsi="宋体"/>
          <w:sz w:val="24"/>
        </w:rPr>
        <w:t>项目名称：</w:t>
      </w:r>
      <w:r>
        <w:rPr>
          <w:rFonts w:hint="eastAsia" w:ascii="宋体" w:hAnsi="宋体" w:cs="宋体"/>
          <w:kern w:val="0"/>
          <w:sz w:val="24"/>
        </w:rPr>
        <w:t>大连大学附属新华医院感染性疾病应急中心项目勘察采购项目</w:t>
      </w:r>
    </w:p>
    <w:p>
      <w:pPr>
        <w:spacing w:line="360" w:lineRule="auto"/>
        <w:rPr>
          <w:rFonts w:ascii="宋体" w:hAnsi="宋体"/>
          <w:bCs/>
          <w:sz w:val="24"/>
        </w:rPr>
      </w:pPr>
      <w:r>
        <w:rPr>
          <w:rFonts w:hint="eastAsia" w:ascii="宋体" w:hAnsi="宋体"/>
          <w:sz w:val="24"/>
        </w:rPr>
        <w:t>项目编号：ZXCD20220905</w:t>
      </w:r>
      <w:r>
        <w:rPr>
          <w:rFonts w:hint="eastAsia" w:ascii="宋体" w:hAnsi="宋体"/>
          <w:bCs/>
          <w:sz w:val="24"/>
        </w:rPr>
        <w:t xml:space="preserve">     </w:t>
      </w:r>
      <w:r>
        <w:rPr>
          <w:rFonts w:hint="eastAsia" w:ascii="宋体" w:hAnsi="宋体"/>
          <w:b/>
          <w:bCs/>
          <w:sz w:val="24"/>
        </w:rPr>
        <w:t xml:space="preserve">    　　      </w:t>
      </w:r>
      <w:r>
        <w:rPr>
          <w:rFonts w:hint="eastAsia" w:ascii="宋体" w:hAnsi="宋体"/>
          <w:bCs/>
          <w:sz w:val="24"/>
        </w:rPr>
        <w:t>年   月   日</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8"/>
        <w:gridCol w:w="5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1888" w:type="pct"/>
            <w:vAlign w:val="center"/>
          </w:tcPr>
          <w:p>
            <w:pPr>
              <w:jc w:val="center"/>
              <w:rPr>
                <w:rFonts w:ascii="宋体" w:hAnsi="宋体"/>
                <w:b/>
                <w:bCs/>
                <w:sz w:val="24"/>
              </w:rPr>
            </w:pPr>
            <w:r>
              <w:rPr>
                <w:rFonts w:hint="eastAsia" w:ascii="宋体" w:hAnsi="宋体"/>
                <w:b/>
                <w:bCs/>
                <w:sz w:val="24"/>
              </w:rPr>
              <w:t>投标总报价</w:t>
            </w:r>
          </w:p>
          <w:p>
            <w:pPr>
              <w:jc w:val="center"/>
              <w:rPr>
                <w:rFonts w:ascii="宋体" w:hAnsi="宋体"/>
                <w:b/>
                <w:bCs/>
                <w:sz w:val="24"/>
              </w:rPr>
            </w:pPr>
            <w:r>
              <w:rPr>
                <w:rFonts w:hint="eastAsia" w:ascii="宋体" w:hAnsi="宋体"/>
                <w:b/>
                <w:bCs/>
                <w:sz w:val="24"/>
              </w:rPr>
              <w:t>（人民币/元）</w:t>
            </w:r>
          </w:p>
        </w:tc>
        <w:tc>
          <w:tcPr>
            <w:tcW w:w="3112" w:type="pct"/>
            <w:vAlign w:val="center"/>
          </w:tcPr>
          <w:p>
            <w:pPr>
              <w:jc w:val="center"/>
              <w:rPr>
                <w:rFonts w:ascii="宋体" w:hAnsi="宋体"/>
                <w:b/>
                <w:bCs/>
                <w:sz w:val="24"/>
              </w:rPr>
            </w:pPr>
            <w:r>
              <w:rPr>
                <w:rFonts w:hint="eastAsia" w:ascii="宋体" w:hAnsi="宋体"/>
                <w:b/>
                <w:bCs/>
                <w:sz w:val="24"/>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jc w:val="center"/>
        </w:trPr>
        <w:tc>
          <w:tcPr>
            <w:tcW w:w="1888" w:type="pct"/>
            <w:vAlign w:val="center"/>
          </w:tcPr>
          <w:p>
            <w:pPr>
              <w:jc w:val="center"/>
              <w:rPr>
                <w:rFonts w:ascii="宋体" w:hAnsi="宋体"/>
                <w:sz w:val="24"/>
              </w:rPr>
            </w:pPr>
          </w:p>
        </w:tc>
        <w:tc>
          <w:tcPr>
            <w:tcW w:w="3112" w:type="pct"/>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1" w:type="pct"/>
            <w:gridSpan w:val="2"/>
            <w:vAlign w:val="center"/>
          </w:tcPr>
          <w:p>
            <w:pPr>
              <w:rPr>
                <w:rFonts w:ascii="宋体" w:hAnsi="宋体"/>
                <w:sz w:val="24"/>
              </w:rPr>
            </w:pPr>
            <w:r>
              <w:rPr>
                <w:rFonts w:hint="eastAsia" w:ascii="宋体" w:hAnsi="宋体"/>
                <w:b/>
                <w:sz w:val="24"/>
              </w:rPr>
              <w:t>总报价（大写）：</w:t>
            </w:r>
          </w:p>
        </w:tc>
      </w:tr>
    </w:tbl>
    <w:p>
      <w:pPr>
        <w:rPr>
          <w:rFonts w:ascii="宋体" w:hAnsi="宋体"/>
          <w:b/>
          <w:bCs/>
          <w:sz w:val="24"/>
        </w:rPr>
      </w:pPr>
    </w:p>
    <w:p>
      <w:pPr>
        <w:rPr>
          <w:rFonts w:ascii="宋体" w:hAnsi="宋体"/>
          <w:b/>
          <w:bCs/>
          <w:sz w:val="24"/>
        </w:rPr>
      </w:pPr>
    </w:p>
    <w:p>
      <w:pPr>
        <w:rPr>
          <w:rFonts w:ascii="宋体" w:hAnsi="宋体"/>
          <w:b/>
          <w:bCs/>
          <w:sz w:val="24"/>
        </w:rPr>
      </w:pPr>
    </w:p>
    <w:p>
      <w:pPr>
        <w:rPr>
          <w:rFonts w:ascii="宋体" w:hAnsi="宋体"/>
          <w:b/>
          <w:bCs/>
          <w:sz w:val="24"/>
        </w:rPr>
      </w:pPr>
    </w:p>
    <w:p>
      <w:pPr>
        <w:rPr>
          <w:rFonts w:ascii="宋体" w:hAnsi="宋体"/>
          <w:b/>
          <w:bCs/>
          <w:sz w:val="24"/>
        </w:rPr>
      </w:pPr>
    </w:p>
    <w:p>
      <w:pPr>
        <w:rPr>
          <w:rFonts w:ascii="宋体" w:hAnsi="宋体"/>
          <w:b/>
          <w:bCs/>
          <w:sz w:val="24"/>
        </w:rPr>
      </w:pPr>
    </w:p>
    <w:p>
      <w:pPr>
        <w:rPr>
          <w:rFonts w:ascii="宋体" w:hAnsi="宋体"/>
          <w:b/>
          <w:bCs/>
          <w:sz w:val="24"/>
        </w:rPr>
      </w:pPr>
      <w:r>
        <w:rPr>
          <w:rFonts w:hint="eastAsia" w:ascii="宋体" w:hAnsi="宋体"/>
          <w:b/>
          <w:bCs/>
          <w:sz w:val="24"/>
        </w:rPr>
        <w:t>投标人名称：</w:t>
      </w:r>
    </w:p>
    <w:p>
      <w:pPr>
        <w:rPr>
          <w:rFonts w:ascii="宋体" w:hAnsi="宋体"/>
          <w:b/>
          <w:bCs/>
          <w:sz w:val="24"/>
        </w:rPr>
      </w:pPr>
    </w:p>
    <w:p>
      <w:pPr>
        <w:rPr>
          <w:rFonts w:ascii="宋体" w:hAnsi="宋体"/>
          <w:b/>
          <w:bCs/>
          <w:sz w:val="24"/>
        </w:rPr>
      </w:pPr>
      <w:r>
        <w:rPr>
          <w:rFonts w:hint="eastAsia" w:ascii="宋体" w:hAnsi="宋体"/>
          <w:b/>
          <w:bCs/>
          <w:sz w:val="24"/>
        </w:rPr>
        <w:t>投标人</w:t>
      </w:r>
      <w:r>
        <w:rPr>
          <w:rFonts w:hint="eastAsia" w:ascii="宋体" w:hAnsi="宋体"/>
          <w:b/>
          <w:sz w:val="24"/>
        </w:rPr>
        <w:t>法定代表人（负责人）</w:t>
      </w:r>
      <w:r>
        <w:rPr>
          <w:rFonts w:hint="eastAsia" w:ascii="宋体" w:hAnsi="宋体"/>
          <w:b/>
          <w:bCs/>
          <w:sz w:val="24"/>
        </w:rPr>
        <w:t>或被授权人签字：</w:t>
      </w:r>
    </w:p>
    <w:p>
      <w:pPr>
        <w:rPr>
          <w:rFonts w:ascii="宋体" w:hAnsi="宋体"/>
          <w:b/>
          <w:bCs/>
          <w:sz w:val="24"/>
        </w:rPr>
      </w:pPr>
    </w:p>
    <w:p>
      <w:pPr>
        <w:rPr>
          <w:rFonts w:ascii="宋体" w:hAnsi="宋体"/>
          <w:b/>
          <w:bCs/>
          <w:sz w:val="24"/>
        </w:rPr>
      </w:pPr>
      <w:r>
        <w:rPr>
          <w:rFonts w:hint="eastAsia" w:ascii="宋体" w:hAnsi="宋体"/>
          <w:b/>
          <w:bCs/>
          <w:sz w:val="24"/>
        </w:rPr>
        <w:t>投标人公章：</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ind w:left="421" w:leftChars="-29" w:hanging="482" w:hangingChars="200"/>
        <w:rPr>
          <w:rFonts w:ascii="宋体" w:hAnsi="宋体"/>
          <w:b/>
          <w:bCs/>
          <w:sz w:val="24"/>
        </w:rPr>
      </w:pPr>
      <w:r>
        <w:rPr>
          <w:rFonts w:hint="eastAsia" w:ascii="宋体" w:hAnsi="宋体"/>
          <w:b/>
          <w:bCs/>
          <w:sz w:val="24"/>
        </w:rPr>
        <w:t>注：1.为方便开标唱标，投标人应将开标一览表单独密封，并在信封上标明“开标一览表”字样，然后在递交投标文件时单独递交。开标时，投标文件中如开标一览表内容与投标文件内容不一致时，以开标一览表内容为准。</w:t>
      </w:r>
    </w:p>
    <w:p>
      <w:pPr>
        <w:ind w:left="418" w:leftChars="199"/>
        <w:rPr>
          <w:rFonts w:ascii="宋体" w:hAnsi="宋体"/>
          <w:b/>
          <w:bCs/>
          <w:sz w:val="24"/>
        </w:rPr>
      </w:pPr>
      <w:r>
        <w:rPr>
          <w:rFonts w:hint="eastAsia" w:ascii="宋体" w:hAnsi="宋体"/>
          <w:b/>
          <w:sz w:val="24"/>
        </w:rPr>
        <w:t>2.应按规定签字，否则投标文件无效。</w:t>
      </w:r>
    </w:p>
    <w:p>
      <w:pPr>
        <w:ind w:left="421" w:leftChars="-29" w:hanging="482" w:hangingChars="200"/>
        <w:rPr>
          <w:rFonts w:ascii="宋体" w:hAnsi="宋体"/>
          <w:b/>
          <w:bCs/>
          <w:sz w:val="24"/>
        </w:rPr>
      </w:pPr>
    </w:p>
    <w:p>
      <w:pPr>
        <w:snapToGrid w:val="0"/>
        <w:rPr>
          <w:rFonts w:ascii="宋体" w:hAnsi="宋体"/>
          <w:sz w:val="24"/>
          <w:szCs w:val="28"/>
        </w:rPr>
      </w:pPr>
    </w:p>
    <w:p>
      <w:pPr>
        <w:ind w:firstLine="440"/>
        <w:rPr>
          <w:rFonts w:ascii="宋体" w:hAnsi="宋体"/>
          <w:sz w:val="22"/>
        </w:rPr>
      </w:pPr>
    </w:p>
    <w:p>
      <w:pPr>
        <w:snapToGrid w:val="0"/>
        <w:rPr>
          <w:rFonts w:ascii="宋体" w:hAnsi="宋体"/>
          <w:b/>
          <w:sz w:val="44"/>
        </w:rPr>
      </w:pPr>
      <w:r>
        <w:rPr>
          <w:rFonts w:ascii="宋体" w:hAnsi="宋体"/>
          <w:b/>
          <w:sz w:val="44"/>
        </w:rPr>
        <w:br w:type="page"/>
      </w:r>
      <w:r>
        <w:rPr>
          <w:rFonts w:hint="eastAsia" w:ascii="宋体" w:hAnsi="宋体"/>
          <w:b/>
          <w:bCs/>
          <w:sz w:val="28"/>
          <w:szCs w:val="28"/>
        </w:rPr>
        <w:t>附件2：</w:t>
      </w:r>
    </w:p>
    <w:p>
      <w:pPr>
        <w:tabs>
          <w:tab w:val="left" w:pos="2880"/>
        </w:tabs>
        <w:spacing w:after="240" w:afterLines="100" w:line="360" w:lineRule="auto"/>
        <w:jc w:val="center"/>
        <w:rPr>
          <w:rFonts w:ascii="宋体" w:hAnsi="宋体"/>
          <w:b/>
          <w:bCs/>
          <w:sz w:val="30"/>
          <w:szCs w:val="30"/>
        </w:rPr>
      </w:pPr>
      <w:r>
        <w:rPr>
          <w:rFonts w:hint="eastAsia" w:ascii="宋体" w:hAnsi="宋体"/>
          <w:b/>
          <w:bCs/>
          <w:sz w:val="30"/>
          <w:szCs w:val="30"/>
        </w:rPr>
        <w:t>评  标  方  法</w:t>
      </w:r>
    </w:p>
    <w:p>
      <w:pPr>
        <w:spacing w:line="360" w:lineRule="auto"/>
        <w:ind w:firstLine="480" w:firstLineChars="200"/>
        <w:rPr>
          <w:rFonts w:ascii="宋体" w:hAnsi="宋体"/>
          <w:sz w:val="24"/>
        </w:rPr>
      </w:pPr>
      <w:r>
        <w:rPr>
          <w:rFonts w:hint="eastAsia" w:ascii="宋体" w:hAnsi="宋体"/>
          <w:sz w:val="24"/>
        </w:rPr>
        <w:t>评标方法：本项目采用综合评分法进行评标：</w:t>
      </w:r>
    </w:p>
    <w:p>
      <w:pPr>
        <w:spacing w:line="360" w:lineRule="auto"/>
        <w:ind w:firstLine="480" w:firstLineChars="200"/>
        <w:rPr>
          <w:rFonts w:ascii="宋体" w:hAnsi="宋体"/>
          <w:sz w:val="24"/>
        </w:rPr>
      </w:pPr>
      <w:r>
        <w:rPr>
          <w:rFonts w:hint="eastAsia" w:ascii="宋体" w:hAnsi="宋体"/>
          <w:kern w:val="0"/>
          <w:sz w:val="24"/>
        </w:rPr>
        <w:t>1、</w:t>
      </w:r>
      <w:r>
        <w:rPr>
          <w:rFonts w:hint="eastAsia" w:ascii="宋体" w:hAnsi="宋体"/>
          <w:sz w:val="24"/>
        </w:rPr>
        <w:t>根据投标人的综合得分，计算出投标人的评标总得分，由高到低排出顺序，评标总得分最高的投标人推荐为中标候选人。如果投标人评标总得分相同，报价低的投标人排序在前。得分且投标报价相同的，按技术指标优劣顺序排列。</w:t>
      </w:r>
    </w:p>
    <w:p>
      <w:pPr>
        <w:adjustRightInd w:val="0"/>
        <w:snapToGrid w:val="0"/>
        <w:spacing w:line="360" w:lineRule="auto"/>
        <w:ind w:firstLine="480" w:firstLineChars="200"/>
        <w:rPr>
          <w:rFonts w:ascii="宋体" w:hAnsi="宋体"/>
          <w:kern w:val="0"/>
          <w:sz w:val="24"/>
        </w:rPr>
      </w:pPr>
      <w:r>
        <w:rPr>
          <w:rFonts w:hint="eastAsia" w:ascii="宋体" w:hAnsi="宋体"/>
          <w:kern w:val="0"/>
          <w:sz w:val="24"/>
        </w:rPr>
        <w:t>2、投标人投标产品是中小企业制造的，其产品报价给予一定比例的扣除，其中：小、微型企业给予10％的扣除，用扣除后的价格参与投标报价计算。</w:t>
      </w:r>
    </w:p>
    <w:p>
      <w:pPr>
        <w:adjustRightInd w:val="0"/>
        <w:snapToGrid w:val="0"/>
        <w:spacing w:line="360" w:lineRule="auto"/>
        <w:ind w:firstLine="480" w:firstLineChars="200"/>
        <w:rPr>
          <w:rFonts w:ascii="宋体" w:hAnsi="宋体"/>
          <w:sz w:val="24"/>
        </w:rPr>
      </w:pPr>
      <w:r>
        <w:rPr>
          <w:rFonts w:hint="eastAsia" w:ascii="宋体" w:hAnsi="宋体"/>
          <w:sz w:val="24"/>
        </w:rPr>
        <w:t>3、投标人投标产品是监狱企业制造的，其产品报价给予一定比例的扣除，其产品报价给予8％的扣除，用扣除后的价格参与投标报价计算。</w:t>
      </w:r>
    </w:p>
    <w:p>
      <w:pPr>
        <w:adjustRightInd w:val="0"/>
        <w:snapToGrid w:val="0"/>
        <w:spacing w:line="360" w:lineRule="auto"/>
        <w:ind w:firstLine="480" w:firstLineChars="200"/>
        <w:rPr>
          <w:rFonts w:ascii="宋体" w:hAnsi="宋体"/>
          <w:sz w:val="24"/>
        </w:rPr>
      </w:pPr>
      <w:r>
        <w:rPr>
          <w:rFonts w:hint="eastAsia" w:ascii="宋体" w:hAnsi="宋体"/>
          <w:sz w:val="24"/>
        </w:rPr>
        <w:t>监狱企业同时属于小型、微型企业的，其享受的价格扣除比例取小微企业扣除率和监狱企业扣除率中的较大值。</w:t>
      </w:r>
    </w:p>
    <w:p>
      <w:pPr>
        <w:spacing w:line="360" w:lineRule="auto"/>
        <w:ind w:firstLine="480" w:firstLineChars="200"/>
        <w:rPr>
          <w:rFonts w:ascii="宋体" w:hAnsi="宋体"/>
          <w:sz w:val="24"/>
        </w:rPr>
      </w:pPr>
      <w:r>
        <w:rPr>
          <w:rFonts w:hint="eastAsia" w:ascii="宋体" w:hAnsi="宋体"/>
          <w:sz w:val="24"/>
        </w:rPr>
        <w:t>4、投标人投标产品是残疾人福利性单位制造的，其产品报价给予8％的扣除，用扣除后的价格参与投标报价计算。</w:t>
      </w:r>
    </w:p>
    <w:p>
      <w:pPr>
        <w:spacing w:line="360" w:lineRule="auto"/>
        <w:ind w:firstLine="480" w:firstLineChars="200"/>
        <w:rPr>
          <w:rFonts w:ascii="宋体" w:hAnsi="宋体"/>
          <w:sz w:val="24"/>
        </w:rPr>
      </w:pPr>
      <w:r>
        <w:rPr>
          <w:rFonts w:hint="eastAsia" w:ascii="宋体" w:hAnsi="宋体"/>
          <w:sz w:val="24"/>
        </w:rPr>
        <w:t>残疾人福利性单位同时属于小型、微型企业的，其享受的价格扣除比例取小微企业扣除率和残疾人福利性单位扣除率中的较大值。</w:t>
      </w:r>
    </w:p>
    <w:p>
      <w:pPr>
        <w:tabs>
          <w:tab w:val="left" w:pos="2880"/>
        </w:tabs>
        <w:rPr>
          <w:rFonts w:ascii="宋体" w:hAnsi="宋体"/>
          <w:sz w:val="24"/>
        </w:rPr>
      </w:pPr>
      <w:r>
        <w:rPr>
          <w:rFonts w:hint="eastAsia" w:ascii="宋体" w:hAnsi="宋体"/>
          <w:sz w:val="24"/>
        </w:rPr>
        <w:t>（一）、基本评分标准</w:t>
      </w:r>
    </w:p>
    <w:tbl>
      <w:tblPr>
        <w:tblStyle w:val="2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418"/>
        <w:gridCol w:w="992"/>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66" w:type="dxa"/>
            <w:vAlign w:val="center"/>
          </w:tcPr>
          <w:p>
            <w:pPr>
              <w:snapToGrid w:val="0"/>
              <w:spacing w:line="360" w:lineRule="auto"/>
              <w:jc w:val="center"/>
              <w:rPr>
                <w:rFonts w:ascii="宋体" w:hAnsi="宋体" w:cs="宋体"/>
                <w:b/>
                <w:bCs/>
                <w:sz w:val="24"/>
              </w:rPr>
            </w:pPr>
            <w:r>
              <w:rPr>
                <w:rFonts w:hint="eastAsia" w:ascii="宋体" w:hAnsi="宋体" w:cs="宋体"/>
                <w:b/>
                <w:bCs/>
                <w:sz w:val="24"/>
              </w:rPr>
              <w:t>分项</w:t>
            </w:r>
          </w:p>
        </w:tc>
        <w:tc>
          <w:tcPr>
            <w:tcW w:w="1418" w:type="dxa"/>
            <w:vAlign w:val="center"/>
          </w:tcPr>
          <w:p>
            <w:pPr>
              <w:snapToGrid w:val="0"/>
              <w:spacing w:line="360" w:lineRule="auto"/>
              <w:jc w:val="center"/>
              <w:rPr>
                <w:rFonts w:ascii="宋体" w:hAnsi="宋体" w:cs="宋体"/>
                <w:b/>
                <w:bCs/>
                <w:sz w:val="24"/>
              </w:rPr>
            </w:pPr>
            <w:r>
              <w:rPr>
                <w:rFonts w:hint="eastAsia" w:ascii="宋体" w:hAnsi="宋体" w:cs="宋体"/>
                <w:b/>
                <w:bCs/>
                <w:sz w:val="24"/>
              </w:rPr>
              <w:t>评分因素</w:t>
            </w:r>
          </w:p>
        </w:tc>
        <w:tc>
          <w:tcPr>
            <w:tcW w:w="992" w:type="dxa"/>
            <w:vAlign w:val="center"/>
          </w:tcPr>
          <w:p>
            <w:pPr>
              <w:snapToGrid w:val="0"/>
              <w:spacing w:line="360" w:lineRule="auto"/>
              <w:jc w:val="center"/>
              <w:rPr>
                <w:rFonts w:ascii="宋体" w:hAnsi="宋体" w:cs="宋体"/>
                <w:b/>
                <w:bCs/>
                <w:sz w:val="24"/>
              </w:rPr>
            </w:pPr>
            <w:r>
              <w:rPr>
                <w:rFonts w:hint="eastAsia" w:ascii="宋体" w:hAnsi="宋体" w:cs="宋体"/>
                <w:b/>
                <w:bCs/>
                <w:sz w:val="24"/>
              </w:rPr>
              <w:t>满分</w:t>
            </w:r>
          </w:p>
          <w:p>
            <w:pPr>
              <w:snapToGrid w:val="0"/>
              <w:spacing w:line="360" w:lineRule="auto"/>
              <w:jc w:val="center"/>
              <w:rPr>
                <w:rFonts w:ascii="宋体" w:hAnsi="宋体" w:cs="宋体"/>
                <w:b/>
                <w:bCs/>
                <w:sz w:val="24"/>
              </w:rPr>
            </w:pPr>
            <w:r>
              <w:rPr>
                <w:rFonts w:hint="eastAsia" w:ascii="宋体" w:hAnsi="宋体" w:cs="宋体"/>
                <w:b/>
                <w:bCs/>
                <w:sz w:val="24"/>
              </w:rPr>
              <w:t>分值</w:t>
            </w:r>
          </w:p>
        </w:tc>
        <w:tc>
          <w:tcPr>
            <w:tcW w:w="5891" w:type="dxa"/>
            <w:vAlign w:val="center"/>
          </w:tcPr>
          <w:p>
            <w:pPr>
              <w:snapToGrid w:val="0"/>
              <w:spacing w:line="360" w:lineRule="auto"/>
              <w:jc w:val="center"/>
              <w:rPr>
                <w:rFonts w:ascii="宋体" w:hAnsi="宋体" w:cs="宋体"/>
                <w:b/>
                <w:bCs/>
                <w:sz w:val="24"/>
              </w:rPr>
            </w:pPr>
            <w:r>
              <w:rPr>
                <w:rFonts w:hint="eastAsia" w:ascii="宋体" w:hAnsi="宋体" w:cs="宋体"/>
                <w:b/>
                <w:bCs/>
                <w:sz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66" w:type="dxa"/>
            <w:vAlign w:val="center"/>
          </w:tcPr>
          <w:p>
            <w:pPr>
              <w:snapToGrid w:val="0"/>
              <w:spacing w:line="360" w:lineRule="auto"/>
              <w:jc w:val="center"/>
              <w:rPr>
                <w:rFonts w:ascii="宋体" w:hAnsi="宋体" w:cs="宋体"/>
                <w:b/>
                <w:sz w:val="24"/>
              </w:rPr>
            </w:pPr>
            <w:r>
              <w:rPr>
                <w:rFonts w:hint="eastAsia" w:ascii="宋体" w:hAnsi="宋体" w:cs="宋体"/>
                <w:b/>
                <w:sz w:val="24"/>
              </w:rPr>
              <w:t>价格部分</w:t>
            </w:r>
          </w:p>
        </w:tc>
        <w:tc>
          <w:tcPr>
            <w:tcW w:w="1418" w:type="dxa"/>
            <w:vAlign w:val="center"/>
          </w:tcPr>
          <w:p>
            <w:pPr>
              <w:snapToGrid w:val="0"/>
              <w:spacing w:line="360" w:lineRule="auto"/>
              <w:jc w:val="center"/>
              <w:rPr>
                <w:rFonts w:ascii="宋体" w:hAnsi="宋体" w:cs="宋体"/>
                <w:sz w:val="24"/>
              </w:rPr>
            </w:pPr>
            <w:r>
              <w:rPr>
                <w:rFonts w:hint="eastAsia" w:ascii="宋体" w:hAnsi="宋体" w:cs="宋体"/>
                <w:sz w:val="24"/>
              </w:rPr>
              <w:t>投标报价</w:t>
            </w:r>
          </w:p>
        </w:tc>
        <w:tc>
          <w:tcPr>
            <w:tcW w:w="992" w:type="dxa"/>
            <w:vAlign w:val="center"/>
          </w:tcPr>
          <w:p>
            <w:pPr>
              <w:snapToGrid w:val="0"/>
              <w:spacing w:line="360" w:lineRule="auto"/>
              <w:jc w:val="center"/>
              <w:rPr>
                <w:rFonts w:ascii="宋体" w:hAnsi="宋体" w:cs="宋体"/>
                <w:sz w:val="24"/>
              </w:rPr>
            </w:pPr>
            <w:r>
              <w:rPr>
                <w:rFonts w:hint="eastAsia" w:ascii="宋体" w:hAnsi="宋体" w:cs="宋体"/>
                <w:sz w:val="24"/>
              </w:rPr>
              <w:t>10分</w:t>
            </w:r>
          </w:p>
        </w:tc>
        <w:tc>
          <w:tcPr>
            <w:tcW w:w="5891" w:type="dxa"/>
            <w:vAlign w:val="center"/>
          </w:tcPr>
          <w:p>
            <w:pPr>
              <w:pStyle w:val="51"/>
              <w:rPr>
                <w:rFonts w:ascii="宋体" w:hAnsi="宋体"/>
                <w:kern w:val="0"/>
                <w:sz w:val="24"/>
                <w:szCs w:val="24"/>
              </w:rPr>
            </w:pPr>
            <w:r>
              <w:rPr>
                <w:rFonts w:hint="eastAsia" w:ascii="宋体" w:hAnsi="宋体"/>
                <w:kern w:val="0"/>
                <w:sz w:val="24"/>
                <w:szCs w:val="24"/>
              </w:rPr>
              <w:t>投标人报价得分＝（评标基准价/投标报价）×10</w:t>
            </w:r>
          </w:p>
          <w:p>
            <w:pPr>
              <w:pStyle w:val="51"/>
              <w:rPr>
                <w:rFonts w:ascii="宋体" w:hAnsi="宋体"/>
                <w:kern w:val="0"/>
                <w:sz w:val="24"/>
                <w:szCs w:val="24"/>
              </w:rPr>
            </w:pPr>
            <w:r>
              <w:rPr>
                <w:rFonts w:hint="eastAsia" w:ascii="宋体" w:hAnsi="宋体"/>
                <w:kern w:val="0"/>
                <w:sz w:val="24"/>
                <w:szCs w:val="24"/>
              </w:rPr>
              <w:t>评标基准价为满足招标文件要求且投标价格最低的投标报价。</w:t>
            </w:r>
          </w:p>
          <w:p>
            <w:pPr>
              <w:pStyle w:val="51"/>
              <w:rPr>
                <w:rFonts w:ascii="宋体" w:hAnsi="宋体"/>
                <w:sz w:val="24"/>
                <w:szCs w:val="24"/>
              </w:rPr>
            </w:pPr>
            <w:r>
              <w:rPr>
                <w:rFonts w:hint="eastAsia" w:ascii="宋体" w:hAnsi="宋体"/>
                <w:kern w:val="0"/>
                <w:sz w:val="24"/>
                <w:szCs w:val="24"/>
              </w:rPr>
              <w:t>经评审确认为恶意竞争的最低报价，要求投标人做出书面说明并提供相关证明材料，不能合理说明或不能提供相关证明材料的，由评标委员会认定该投标人以低于成本价投标，作废标处理。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766" w:type="dxa"/>
            <w:vMerge w:val="restart"/>
            <w:vAlign w:val="center"/>
          </w:tcPr>
          <w:p>
            <w:pPr>
              <w:snapToGrid w:val="0"/>
              <w:spacing w:line="360" w:lineRule="auto"/>
              <w:jc w:val="center"/>
              <w:rPr>
                <w:rFonts w:ascii="宋体" w:hAnsi="宋体" w:cs="宋体"/>
                <w:b/>
                <w:bCs/>
                <w:sz w:val="24"/>
              </w:rPr>
            </w:pPr>
            <w:r>
              <w:rPr>
                <w:rFonts w:hint="eastAsia" w:ascii="宋体" w:hAnsi="宋体" w:cs="宋体"/>
                <w:b/>
                <w:bCs/>
                <w:sz w:val="24"/>
              </w:rPr>
              <w:t>技术部分</w:t>
            </w:r>
          </w:p>
        </w:tc>
        <w:tc>
          <w:tcPr>
            <w:tcW w:w="1418" w:type="dxa"/>
            <w:vAlign w:val="center"/>
          </w:tcPr>
          <w:p>
            <w:pPr>
              <w:jc w:val="center"/>
              <w:rPr>
                <w:rFonts w:ascii="宋体" w:hAnsi="宋体" w:cs="宋体"/>
                <w:kern w:val="0"/>
                <w:sz w:val="24"/>
              </w:rPr>
            </w:pPr>
            <w:r>
              <w:rPr>
                <w:rFonts w:hint="eastAsia" w:ascii="宋体" w:hAnsi="宋体"/>
                <w:sz w:val="24"/>
              </w:rPr>
              <w:t>项目总体概述</w:t>
            </w:r>
          </w:p>
        </w:tc>
        <w:tc>
          <w:tcPr>
            <w:tcW w:w="992" w:type="dxa"/>
            <w:vAlign w:val="center"/>
          </w:tcPr>
          <w:p>
            <w:pPr>
              <w:jc w:val="center"/>
              <w:rPr>
                <w:rFonts w:ascii="宋体" w:hAnsi="宋体" w:cs="宋体"/>
                <w:kern w:val="0"/>
                <w:sz w:val="24"/>
              </w:rPr>
            </w:pPr>
            <w:r>
              <w:rPr>
                <w:rFonts w:ascii="宋体" w:hAnsi="宋体"/>
                <w:sz w:val="24"/>
              </w:rPr>
              <w:t>2</w:t>
            </w:r>
            <w:r>
              <w:rPr>
                <w:rFonts w:hint="eastAsia" w:ascii="宋体" w:hAnsi="宋体"/>
                <w:sz w:val="24"/>
              </w:rPr>
              <w:t>0</w:t>
            </w:r>
            <w:r>
              <w:rPr>
                <w:rFonts w:hint="eastAsia" w:ascii="宋体" w:hAnsi="宋体" w:cs="宋体"/>
                <w:sz w:val="24"/>
              </w:rPr>
              <w:t>分</w:t>
            </w:r>
          </w:p>
        </w:tc>
        <w:tc>
          <w:tcPr>
            <w:tcW w:w="5891" w:type="dxa"/>
            <w:vAlign w:val="center"/>
          </w:tcPr>
          <w:p>
            <w:pPr>
              <w:pStyle w:val="51"/>
              <w:rPr>
                <w:rFonts w:ascii="宋体" w:hAnsi="宋体"/>
                <w:kern w:val="0"/>
                <w:sz w:val="24"/>
                <w:szCs w:val="24"/>
              </w:rPr>
            </w:pPr>
            <w:r>
              <w:rPr>
                <w:rFonts w:hint="eastAsia" w:ascii="宋体" w:hAnsi="宋体"/>
                <w:kern w:val="0"/>
                <w:sz w:val="24"/>
                <w:szCs w:val="24"/>
              </w:rPr>
              <w:t>1、优秀标准：对项目总概况、基本信息理解准确深刻，对区域地质情况了解针对性良好（得14-20分）。</w:t>
            </w:r>
          </w:p>
          <w:p>
            <w:pPr>
              <w:pStyle w:val="51"/>
              <w:rPr>
                <w:rFonts w:ascii="宋体" w:hAnsi="宋体"/>
                <w:kern w:val="0"/>
                <w:sz w:val="24"/>
                <w:szCs w:val="24"/>
              </w:rPr>
            </w:pPr>
            <w:r>
              <w:rPr>
                <w:rFonts w:hint="eastAsia" w:ascii="宋体" w:hAnsi="宋体"/>
                <w:kern w:val="0"/>
                <w:sz w:val="24"/>
                <w:szCs w:val="24"/>
              </w:rPr>
              <w:t>2、良好标准：对项目总概况、基本信息理解基本准确，对区域地质情况了解针对性较好（得7-13分）。</w:t>
            </w:r>
          </w:p>
          <w:p>
            <w:pPr>
              <w:pStyle w:val="51"/>
              <w:rPr>
                <w:rFonts w:ascii="宋体" w:hAnsi="宋体"/>
                <w:sz w:val="24"/>
                <w:szCs w:val="24"/>
              </w:rPr>
            </w:pPr>
            <w:r>
              <w:rPr>
                <w:rFonts w:hint="eastAsia" w:ascii="宋体" w:hAnsi="宋体"/>
                <w:kern w:val="0"/>
                <w:sz w:val="24"/>
                <w:szCs w:val="24"/>
              </w:rPr>
              <w:t>3、一般标准：基本信息情况不了解，对区域地质情况了解针对性较差（得0-6分）。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66" w:type="dxa"/>
            <w:vMerge w:val="continue"/>
            <w:vAlign w:val="center"/>
          </w:tcPr>
          <w:p>
            <w:pPr>
              <w:snapToGrid w:val="0"/>
              <w:spacing w:line="360" w:lineRule="auto"/>
              <w:jc w:val="center"/>
              <w:rPr>
                <w:rFonts w:ascii="宋体" w:hAnsi="宋体" w:cs="宋体"/>
                <w:b/>
                <w:bCs/>
                <w:sz w:val="24"/>
              </w:rPr>
            </w:pPr>
          </w:p>
        </w:tc>
        <w:tc>
          <w:tcPr>
            <w:tcW w:w="1418" w:type="dxa"/>
            <w:vAlign w:val="center"/>
          </w:tcPr>
          <w:p>
            <w:pPr>
              <w:pStyle w:val="51"/>
              <w:jc w:val="center"/>
              <w:rPr>
                <w:rFonts w:ascii="宋体" w:hAnsi="宋体"/>
                <w:sz w:val="24"/>
                <w:szCs w:val="24"/>
              </w:rPr>
            </w:pPr>
            <w:r>
              <w:rPr>
                <w:rFonts w:hint="eastAsia" w:ascii="宋体" w:hAnsi="宋体"/>
                <w:sz w:val="24"/>
              </w:rPr>
              <w:t>项目勘测方案</w:t>
            </w:r>
          </w:p>
        </w:tc>
        <w:tc>
          <w:tcPr>
            <w:tcW w:w="992" w:type="dxa"/>
            <w:vAlign w:val="center"/>
          </w:tcPr>
          <w:p>
            <w:pPr>
              <w:jc w:val="center"/>
              <w:rPr>
                <w:rFonts w:ascii="宋体" w:hAnsi="宋体" w:cs="宋体"/>
                <w:sz w:val="24"/>
              </w:rPr>
            </w:pPr>
            <w:r>
              <w:rPr>
                <w:rFonts w:ascii="宋体" w:hAnsi="宋体"/>
                <w:sz w:val="24"/>
              </w:rPr>
              <w:t>2</w:t>
            </w:r>
            <w:r>
              <w:rPr>
                <w:rFonts w:hint="eastAsia" w:ascii="宋体" w:hAnsi="宋体"/>
                <w:sz w:val="24"/>
              </w:rPr>
              <w:t>5</w:t>
            </w:r>
            <w:r>
              <w:rPr>
                <w:rFonts w:hint="eastAsia" w:ascii="宋体" w:hAnsi="宋体" w:cs="宋体"/>
                <w:sz w:val="24"/>
              </w:rPr>
              <w:t>分</w:t>
            </w:r>
          </w:p>
        </w:tc>
        <w:tc>
          <w:tcPr>
            <w:tcW w:w="5891" w:type="dxa"/>
            <w:vAlign w:val="center"/>
          </w:tcPr>
          <w:p>
            <w:pPr>
              <w:pStyle w:val="51"/>
              <w:rPr>
                <w:rFonts w:ascii="宋体" w:hAnsi="宋体"/>
                <w:kern w:val="0"/>
                <w:sz w:val="24"/>
                <w:szCs w:val="24"/>
              </w:rPr>
            </w:pPr>
            <w:r>
              <w:rPr>
                <w:rFonts w:hint="eastAsia" w:ascii="宋体" w:hAnsi="宋体"/>
                <w:kern w:val="0"/>
                <w:sz w:val="24"/>
                <w:szCs w:val="24"/>
              </w:rPr>
              <w:t>1、优秀标准:</w:t>
            </w:r>
            <w:r>
              <w:rPr>
                <w:rFonts w:hint="eastAsia"/>
              </w:rPr>
              <w:t xml:space="preserve"> </w:t>
            </w:r>
            <w:r>
              <w:rPr>
                <w:rFonts w:hint="eastAsia" w:ascii="宋体" w:hAnsi="宋体"/>
                <w:kern w:val="0"/>
                <w:sz w:val="24"/>
                <w:szCs w:val="24"/>
              </w:rPr>
              <w:t>对项目理解准确深刻，对区域地质情况了解，勘察思想与勘察的符合性、实施可行性、难点针对性良好（得17-25分）；</w:t>
            </w:r>
          </w:p>
          <w:p>
            <w:pPr>
              <w:pStyle w:val="51"/>
              <w:rPr>
                <w:rFonts w:ascii="宋体" w:hAnsi="宋体"/>
                <w:kern w:val="0"/>
                <w:sz w:val="24"/>
                <w:szCs w:val="24"/>
              </w:rPr>
            </w:pPr>
            <w:r>
              <w:rPr>
                <w:rFonts w:hint="eastAsia" w:ascii="宋体" w:hAnsi="宋体"/>
                <w:kern w:val="0"/>
                <w:sz w:val="24"/>
                <w:szCs w:val="24"/>
              </w:rPr>
              <w:t>2、良好标准:</w:t>
            </w:r>
            <w:r>
              <w:rPr>
                <w:rFonts w:hint="eastAsia"/>
              </w:rPr>
              <w:t xml:space="preserve"> </w:t>
            </w:r>
            <w:r>
              <w:rPr>
                <w:rFonts w:hint="eastAsia" w:ascii="宋体" w:hAnsi="宋体"/>
                <w:kern w:val="0"/>
                <w:sz w:val="24"/>
                <w:szCs w:val="24"/>
              </w:rPr>
              <w:t>对项目理解较好，对区域地质情况不了解，勘察思想与勘察的符合性、实施可行性、难点针对性较好(得8-16分)；</w:t>
            </w:r>
          </w:p>
          <w:p>
            <w:pPr>
              <w:pStyle w:val="51"/>
              <w:rPr>
                <w:rFonts w:ascii="宋体" w:hAnsi="宋体"/>
                <w:sz w:val="24"/>
                <w:szCs w:val="24"/>
              </w:rPr>
            </w:pPr>
            <w:r>
              <w:rPr>
                <w:rFonts w:hint="eastAsia" w:ascii="宋体" w:hAnsi="宋体"/>
                <w:kern w:val="0"/>
                <w:sz w:val="24"/>
                <w:szCs w:val="24"/>
              </w:rPr>
              <w:t>3、一般标准:</w:t>
            </w:r>
            <w:r>
              <w:rPr>
                <w:rFonts w:hint="eastAsia"/>
              </w:rPr>
              <w:t xml:space="preserve"> </w:t>
            </w:r>
            <w:r>
              <w:rPr>
                <w:rFonts w:hint="eastAsia" w:ascii="宋体" w:hAnsi="宋体"/>
                <w:kern w:val="0"/>
                <w:sz w:val="24"/>
                <w:szCs w:val="24"/>
              </w:rPr>
              <w:t>对项目理解一般，对区域地质情况不了解，勘察思想与勘察的符合性、实施可行性、难点针对性一般(得0-7分)。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9" w:hRule="atLeast"/>
          <w:jc w:val="center"/>
        </w:trPr>
        <w:tc>
          <w:tcPr>
            <w:tcW w:w="766" w:type="dxa"/>
            <w:vMerge w:val="continue"/>
            <w:vAlign w:val="center"/>
          </w:tcPr>
          <w:p>
            <w:pPr>
              <w:snapToGrid w:val="0"/>
              <w:spacing w:line="360" w:lineRule="auto"/>
              <w:jc w:val="center"/>
              <w:rPr>
                <w:rFonts w:ascii="宋体" w:hAnsi="宋体" w:cs="宋体"/>
                <w:b/>
                <w:bCs/>
                <w:sz w:val="24"/>
              </w:rPr>
            </w:pPr>
          </w:p>
        </w:tc>
        <w:tc>
          <w:tcPr>
            <w:tcW w:w="1418" w:type="dxa"/>
            <w:vAlign w:val="center"/>
          </w:tcPr>
          <w:p>
            <w:pPr>
              <w:pStyle w:val="51"/>
              <w:jc w:val="center"/>
              <w:rPr>
                <w:rFonts w:ascii="宋体" w:hAnsi="宋体"/>
                <w:sz w:val="24"/>
                <w:szCs w:val="24"/>
              </w:rPr>
            </w:pPr>
            <w:r>
              <w:rPr>
                <w:rFonts w:hint="eastAsia" w:ascii="宋体" w:hAnsi="宋体"/>
                <w:sz w:val="24"/>
              </w:rPr>
              <w:t>勘测质量的保证体系和保证措施</w:t>
            </w:r>
          </w:p>
        </w:tc>
        <w:tc>
          <w:tcPr>
            <w:tcW w:w="992" w:type="dxa"/>
            <w:vAlign w:val="center"/>
          </w:tcPr>
          <w:p>
            <w:pPr>
              <w:jc w:val="center"/>
              <w:rPr>
                <w:rFonts w:ascii="宋体" w:hAnsi="宋体" w:cs="宋体"/>
                <w:sz w:val="24"/>
              </w:rPr>
            </w:pPr>
            <w:r>
              <w:rPr>
                <w:rFonts w:hint="eastAsia" w:ascii="宋体" w:hAnsi="宋体"/>
                <w:sz w:val="24"/>
              </w:rPr>
              <w:t>10</w:t>
            </w:r>
            <w:r>
              <w:rPr>
                <w:rFonts w:hint="eastAsia" w:ascii="宋体" w:hAnsi="宋体" w:cs="宋体"/>
                <w:sz w:val="24"/>
              </w:rPr>
              <w:t>分</w:t>
            </w:r>
          </w:p>
        </w:tc>
        <w:tc>
          <w:tcPr>
            <w:tcW w:w="5891" w:type="dxa"/>
            <w:vAlign w:val="center"/>
          </w:tcPr>
          <w:p>
            <w:pPr>
              <w:pStyle w:val="51"/>
              <w:rPr>
                <w:rFonts w:ascii="宋体" w:hAnsi="宋体"/>
                <w:kern w:val="0"/>
                <w:sz w:val="24"/>
                <w:szCs w:val="24"/>
              </w:rPr>
            </w:pPr>
            <w:r>
              <w:rPr>
                <w:rFonts w:hint="eastAsia" w:ascii="宋体" w:hAnsi="宋体"/>
                <w:kern w:val="0"/>
                <w:sz w:val="24"/>
                <w:szCs w:val="24"/>
              </w:rPr>
              <w:t>1、质量保证体系完善，质量控制程序科学合理，有针对性得2分；</w:t>
            </w:r>
          </w:p>
          <w:p>
            <w:pPr>
              <w:pStyle w:val="51"/>
              <w:rPr>
                <w:rFonts w:ascii="宋体" w:hAnsi="宋体"/>
                <w:kern w:val="0"/>
                <w:sz w:val="24"/>
                <w:szCs w:val="24"/>
              </w:rPr>
            </w:pPr>
            <w:r>
              <w:rPr>
                <w:rFonts w:hint="eastAsia" w:ascii="宋体" w:hAnsi="宋体"/>
                <w:kern w:val="0"/>
                <w:sz w:val="24"/>
                <w:szCs w:val="24"/>
              </w:rPr>
              <w:t>2、勘察深度保障措施切实可行、有针对性，有违约承诺得2分；</w:t>
            </w:r>
          </w:p>
          <w:p>
            <w:pPr>
              <w:pStyle w:val="51"/>
              <w:rPr>
                <w:rFonts w:ascii="宋体" w:hAnsi="宋体"/>
                <w:kern w:val="0"/>
                <w:sz w:val="24"/>
                <w:szCs w:val="24"/>
              </w:rPr>
            </w:pPr>
            <w:r>
              <w:rPr>
                <w:rFonts w:hint="eastAsia" w:ascii="宋体" w:hAnsi="宋体"/>
                <w:kern w:val="0"/>
                <w:sz w:val="24"/>
                <w:szCs w:val="24"/>
              </w:rPr>
              <w:t>3、勘察安全性能保障措施切实可行、有针对性，有违约承诺得2分；</w:t>
            </w:r>
          </w:p>
          <w:p>
            <w:pPr>
              <w:pStyle w:val="51"/>
              <w:rPr>
                <w:rFonts w:ascii="宋体" w:hAnsi="宋体"/>
                <w:kern w:val="0"/>
                <w:sz w:val="24"/>
                <w:szCs w:val="24"/>
              </w:rPr>
            </w:pPr>
            <w:r>
              <w:rPr>
                <w:rFonts w:hint="eastAsia" w:ascii="宋体" w:hAnsi="宋体"/>
                <w:kern w:val="0"/>
                <w:sz w:val="24"/>
                <w:szCs w:val="24"/>
              </w:rPr>
              <w:t>4、技术先进、新技术应用保证措施可靠，有违约承诺得2分；</w:t>
            </w:r>
          </w:p>
          <w:p>
            <w:pPr>
              <w:pStyle w:val="51"/>
              <w:rPr>
                <w:rFonts w:ascii="宋体" w:hAnsi="宋体"/>
                <w:sz w:val="24"/>
                <w:szCs w:val="24"/>
              </w:rPr>
            </w:pPr>
            <w:r>
              <w:rPr>
                <w:rFonts w:hint="eastAsia" w:ascii="宋体" w:hAnsi="宋体"/>
                <w:kern w:val="0"/>
                <w:sz w:val="24"/>
                <w:szCs w:val="24"/>
              </w:rPr>
              <w:t>5、勘察成果及设计报告有质量保障措施得2分。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66" w:type="dxa"/>
            <w:vMerge w:val="continue"/>
            <w:vAlign w:val="center"/>
          </w:tcPr>
          <w:p>
            <w:pPr>
              <w:snapToGrid w:val="0"/>
              <w:spacing w:line="360" w:lineRule="auto"/>
              <w:jc w:val="center"/>
              <w:rPr>
                <w:rFonts w:ascii="宋体" w:hAnsi="宋体" w:cs="宋体"/>
                <w:sz w:val="24"/>
              </w:rPr>
            </w:pPr>
          </w:p>
        </w:tc>
        <w:tc>
          <w:tcPr>
            <w:tcW w:w="1418" w:type="dxa"/>
            <w:vAlign w:val="center"/>
          </w:tcPr>
          <w:p>
            <w:pPr>
              <w:pStyle w:val="51"/>
              <w:jc w:val="center"/>
              <w:rPr>
                <w:rFonts w:ascii="宋体" w:hAnsi="宋体"/>
                <w:sz w:val="24"/>
                <w:szCs w:val="24"/>
              </w:rPr>
            </w:pPr>
            <w:r>
              <w:rPr>
                <w:rFonts w:hint="eastAsia" w:ascii="宋体" w:hAnsi="宋体"/>
                <w:sz w:val="24"/>
              </w:rPr>
              <w:t>服务承诺</w:t>
            </w:r>
          </w:p>
        </w:tc>
        <w:tc>
          <w:tcPr>
            <w:tcW w:w="992" w:type="dxa"/>
            <w:vAlign w:val="center"/>
          </w:tcPr>
          <w:p>
            <w:pPr>
              <w:jc w:val="center"/>
              <w:rPr>
                <w:rFonts w:ascii="宋体" w:hAnsi="宋体" w:cs="宋体"/>
                <w:sz w:val="24"/>
              </w:rPr>
            </w:pPr>
            <w:r>
              <w:rPr>
                <w:rFonts w:hint="eastAsia" w:ascii="宋体" w:hAnsi="宋体"/>
                <w:sz w:val="24"/>
              </w:rPr>
              <w:t>6</w:t>
            </w:r>
            <w:r>
              <w:rPr>
                <w:rFonts w:hint="eastAsia" w:ascii="宋体" w:hAnsi="宋体" w:cs="宋体"/>
                <w:sz w:val="24"/>
              </w:rPr>
              <w:t>分</w:t>
            </w:r>
          </w:p>
        </w:tc>
        <w:tc>
          <w:tcPr>
            <w:tcW w:w="5891" w:type="dxa"/>
            <w:vAlign w:val="center"/>
          </w:tcPr>
          <w:p>
            <w:pPr>
              <w:pStyle w:val="51"/>
              <w:rPr>
                <w:rFonts w:ascii="宋体" w:hAnsi="宋体"/>
                <w:kern w:val="0"/>
                <w:sz w:val="24"/>
                <w:szCs w:val="24"/>
              </w:rPr>
            </w:pPr>
            <w:r>
              <w:rPr>
                <w:rFonts w:hint="eastAsia" w:ascii="宋体" w:hAnsi="宋体"/>
                <w:kern w:val="0"/>
                <w:sz w:val="24"/>
                <w:szCs w:val="24"/>
              </w:rPr>
              <w:t>1.投标人服务方案内容非常全面，质量保证体系十分完善，控制程序非常科学合理，具有很强的针对性，保障措施切实可行，完全满足招标文件要求，得4</w:t>
            </w:r>
            <w:r>
              <w:rPr>
                <w:rFonts w:ascii="宋体" w:hAnsi="宋体"/>
                <w:kern w:val="0"/>
                <w:sz w:val="24"/>
                <w:szCs w:val="24"/>
              </w:rPr>
              <w:t>-</w:t>
            </w:r>
            <w:r>
              <w:rPr>
                <w:rFonts w:hint="eastAsia" w:ascii="宋体" w:hAnsi="宋体"/>
                <w:kern w:val="0"/>
                <w:sz w:val="24"/>
                <w:szCs w:val="24"/>
              </w:rPr>
              <w:t>6分；</w:t>
            </w:r>
          </w:p>
          <w:p>
            <w:pPr>
              <w:pStyle w:val="51"/>
              <w:rPr>
                <w:rFonts w:ascii="宋体" w:hAnsi="宋体"/>
                <w:kern w:val="0"/>
                <w:sz w:val="24"/>
                <w:szCs w:val="24"/>
              </w:rPr>
            </w:pPr>
            <w:r>
              <w:rPr>
                <w:rFonts w:hint="eastAsia" w:ascii="宋体" w:hAnsi="宋体"/>
                <w:kern w:val="0"/>
                <w:sz w:val="24"/>
                <w:szCs w:val="24"/>
              </w:rPr>
              <w:t>2.投标人服务方案内容比较全面，质量保证体系比较完善，控制程序比较科学合理，具有比较强的针对性，保障措施切实可行，基本满足招标文件要求，得2</w:t>
            </w:r>
            <w:r>
              <w:rPr>
                <w:rFonts w:ascii="宋体" w:hAnsi="宋体"/>
                <w:kern w:val="0"/>
                <w:sz w:val="24"/>
                <w:szCs w:val="24"/>
              </w:rPr>
              <w:t>-</w:t>
            </w:r>
            <w:r>
              <w:rPr>
                <w:rFonts w:hint="eastAsia" w:ascii="宋体" w:hAnsi="宋体"/>
                <w:kern w:val="0"/>
                <w:sz w:val="24"/>
                <w:szCs w:val="24"/>
              </w:rPr>
              <w:t>3分；</w:t>
            </w:r>
          </w:p>
          <w:p>
            <w:pPr>
              <w:pStyle w:val="51"/>
              <w:rPr>
                <w:rFonts w:ascii="宋体" w:hAnsi="宋体"/>
                <w:kern w:val="0"/>
                <w:sz w:val="24"/>
                <w:szCs w:val="24"/>
              </w:rPr>
            </w:pPr>
            <w:r>
              <w:rPr>
                <w:rFonts w:hint="eastAsia" w:ascii="宋体" w:hAnsi="宋体"/>
                <w:kern w:val="0"/>
                <w:sz w:val="24"/>
                <w:szCs w:val="24"/>
              </w:rPr>
              <w:t>3.投标人所提供的服务方案基本可行，得1分；</w:t>
            </w:r>
          </w:p>
          <w:p>
            <w:pPr>
              <w:pStyle w:val="51"/>
              <w:rPr>
                <w:rFonts w:ascii="宋体" w:hAnsi="宋体"/>
                <w:sz w:val="24"/>
                <w:szCs w:val="24"/>
              </w:rPr>
            </w:pPr>
            <w:r>
              <w:rPr>
                <w:rFonts w:hint="eastAsia" w:ascii="宋体" w:hAnsi="宋体"/>
                <w:kern w:val="0"/>
                <w:sz w:val="24"/>
                <w:szCs w:val="24"/>
              </w:rPr>
              <w:t>4.未提供不得分。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766" w:type="dxa"/>
            <w:vMerge w:val="restart"/>
            <w:vAlign w:val="center"/>
          </w:tcPr>
          <w:p>
            <w:pPr>
              <w:snapToGrid w:val="0"/>
              <w:spacing w:line="360" w:lineRule="auto"/>
              <w:jc w:val="center"/>
              <w:rPr>
                <w:rFonts w:ascii="宋体" w:hAnsi="宋体" w:cs="宋体"/>
                <w:b/>
                <w:sz w:val="24"/>
              </w:rPr>
            </w:pPr>
            <w:r>
              <w:rPr>
                <w:rFonts w:hint="eastAsia" w:ascii="宋体" w:hAnsi="宋体" w:cs="宋体"/>
                <w:b/>
                <w:sz w:val="24"/>
              </w:rPr>
              <w:t>商务部分</w:t>
            </w:r>
          </w:p>
        </w:tc>
        <w:tc>
          <w:tcPr>
            <w:tcW w:w="1418" w:type="dxa"/>
            <w:vMerge w:val="restart"/>
            <w:vAlign w:val="center"/>
          </w:tcPr>
          <w:p>
            <w:pPr>
              <w:jc w:val="center"/>
              <w:rPr>
                <w:rFonts w:ascii="宋体" w:hAnsi="宋体" w:cs="宋体"/>
                <w:kern w:val="0"/>
                <w:sz w:val="24"/>
              </w:rPr>
            </w:pPr>
            <w:r>
              <w:rPr>
                <w:rFonts w:hint="eastAsia" w:ascii="宋体" w:hAnsi="宋体"/>
                <w:sz w:val="24"/>
              </w:rPr>
              <w:t>拟投入本项目人员情况</w:t>
            </w:r>
          </w:p>
        </w:tc>
        <w:tc>
          <w:tcPr>
            <w:tcW w:w="992" w:type="dxa"/>
            <w:vAlign w:val="center"/>
          </w:tcPr>
          <w:p>
            <w:pPr>
              <w:jc w:val="center"/>
              <w:rPr>
                <w:rFonts w:ascii="宋体" w:hAnsi="宋体" w:cs="宋体"/>
                <w:kern w:val="0"/>
                <w:sz w:val="24"/>
              </w:rPr>
            </w:pPr>
            <w:r>
              <w:rPr>
                <w:rFonts w:hint="eastAsia" w:asciiTheme="minorEastAsia" w:hAnsiTheme="minorEastAsia" w:eastAsiaTheme="minorEastAsia"/>
                <w:sz w:val="24"/>
              </w:rPr>
              <w:t>8</w:t>
            </w:r>
            <w:r>
              <w:rPr>
                <w:rFonts w:hint="eastAsia" w:ascii="宋体" w:hAnsi="宋体" w:cs="宋体"/>
                <w:sz w:val="24"/>
              </w:rPr>
              <w:t>分</w:t>
            </w:r>
          </w:p>
        </w:tc>
        <w:tc>
          <w:tcPr>
            <w:tcW w:w="5891" w:type="dxa"/>
            <w:vAlign w:val="center"/>
          </w:tcPr>
          <w:p>
            <w:pPr>
              <w:pStyle w:val="51"/>
              <w:rPr>
                <w:rFonts w:ascii="宋体" w:hAnsi="宋体"/>
                <w:kern w:val="0"/>
                <w:sz w:val="24"/>
                <w:szCs w:val="24"/>
              </w:rPr>
            </w:pPr>
            <w:r>
              <w:rPr>
                <w:rFonts w:hint="eastAsia" w:ascii="宋体" w:hAnsi="宋体"/>
                <w:kern w:val="0"/>
                <w:sz w:val="24"/>
                <w:szCs w:val="24"/>
              </w:rPr>
              <w:t>1、优秀标准：人员数量多、配置合理、素质高（得6-8分）；</w:t>
            </w:r>
          </w:p>
          <w:p>
            <w:pPr>
              <w:pStyle w:val="51"/>
              <w:rPr>
                <w:rFonts w:ascii="宋体" w:hAnsi="宋体"/>
                <w:kern w:val="0"/>
                <w:sz w:val="24"/>
                <w:szCs w:val="24"/>
              </w:rPr>
            </w:pPr>
            <w:r>
              <w:rPr>
                <w:rFonts w:hint="eastAsia" w:ascii="宋体" w:hAnsi="宋体"/>
                <w:kern w:val="0"/>
                <w:sz w:val="24"/>
                <w:szCs w:val="24"/>
              </w:rPr>
              <w:t>2、良好标准：人员数量、配置较为合理（得3-5分）；</w:t>
            </w:r>
          </w:p>
          <w:p>
            <w:pPr>
              <w:pStyle w:val="51"/>
              <w:rPr>
                <w:rFonts w:ascii="宋体" w:hAnsi="宋体"/>
                <w:spacing w:val="-1"/>
                <w:kern w:val="0"/>
                <w:sz w:val="24"/>
                <w:szCs w:val="24"/>
              </w:rPr>
            </w:pPr>
            <w:r>
              <w:rPr>
                <w:rFonts w:hint="eastAsia" w:ascii="宋体" w:hAnsi="宋体"/>
                <w:kern w:val="0"/>
                <w:sz w:val="24"/>
                <w:szCs w:val="24"/>
              </w:rPr>
              <w:t>3、一般标准：人员数量、配置较少（得0-2分）。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766" w:type="dxa"/>
            <w:vMerge w:val="continue"/>
            <w:vAlign w:val="center"/>
          </w:tcPr>
          <w:p>
            <w:pPr>
              <w:snapToGrid w:val="0"/>
              <w:spacing w:line="360" w:lineRule="auto"/>
              <w:jc w:val="center"/>
              <w:rPr>
                <w:rFonts w:ascii="宋体" w:hAnsi="宋体" w:cs="宋体"/>
                <w:b/>
                <w:sz w:val="24"/>
              </w:rPr>
            </w:pPr>
          </w:p>
        </w:tc>
        <w:tc>
          <w:tcPr>
            <w:tcW w:w="1418" w:type="dxa"/>
            <w:vMerge w:val="continue"/>
            <w:vAlign w:val="center"/>
          </w:tcPr>
          <w:p>
            <w:pPr>
              <w:jc w:val="center"/>
              <w:rPr>
                <w:rFonts w:ascii="宋体" w:hAnsi="宋体" w:cs="宋体"/>
                <w:kern w:val="0"/>
                <w:sz w:val="24"/>
              </w:rPr>
            </w:pPr>
          </w:p>
        </w:tc>
        <w:tc>
          <w:tcPr>
            <w:tcW w:w="992" w:type="dxa"/>
            <w:vAlign w:val="center"/>
          </w:tcPr>
          <w:p>
            <w:pPr>
              <w:jc w:val="center"/>
              <w:rPr>
                <w:rFonts w:ascii="宋体" w:hAnsi="宋体" w:cs="宋体"/>
                <w:sz w:val="24"/>
              </w:rPr>
            </w:pPr>
            <w:r>
              <w:rPr>
                <w:rFonts w:hint="eastAsia" w:asciiTheme="minorEastAsia" w:hAnsiTheme="minorEastAsia" w:eastAsiaTheme="minorEastAsia"/>
                <w:sz w:val="24"/>
              </w:rPr>
              <w:t>6</w:t>
            </w:r>
            <w:r>
              <w:rPr>
                <w:rFonts w:hint="eastAsia" w:ascii="宋体" w:hAnsi="宋体" w:cs="宋体"/>
                <w:sz w:val="24"/>
              </w:rPr>
              <w:t>分</w:t>
            </w:r>
          </w:p>
        </w:tc>
        <w:tc>
          <w:tcPr>
            <w:tcW w:w="5891" w:type="dxa"/>
            <w:vAlign w:val="center"/>
          </w:tcPr>
          <w:p>
            <w:pPr>
              <w:pStyle w:val="51"/>
              <w:rPr>
                <w:rFonts w:ascii="宋体" w:hAnsi="宋体"/>
                <w:kern w:val="0"/>
                <w:sz w:val="24"/>
                <w:szCs w:val="24"/>
              </w:rPr>
            </w:pPr>
            <w:r>
              <w:rPr>
                <w:rFonts w:hint="eastAsia" w:ascii="宋体" w:hAnsi="宋体"/>
                <w:kern w:val="0"/>
                <w:sz w:val="24"/>
                <w:szCs w:val="24"/>
              </w:rPr>
              <w:t>1、项目负责人具有</w:t>
            </w:r>
            <w:r>
              <w:rPr>
                <w:rFonts w:hint="eastAsia" w:ascii="宋体" w:hAnsi="宋体"/>
                <w:kern w:val="0"/>
                <w:sz w:val="24"/>
                <w:szCs w:val="24"/>
                <w:lang w:eastAsia="zh-Hans"/>
              </w:rPr>
              <w:t>相关</w:t>
            </w:r>
            <w:r>
              <w:rPr>
                <w:rFonts w:hint="eastAsia" w:ascii="宋体" w:hAnsi="宋体"/>
                <w:kern w:val="0"/>
                <w:sz w:val="24"/>
                <w:szCs w:val="24"/>
              </w:rPr>
              <w:t>专业高级工程师职称证书得1分。</w:t>
            </w:r>
          </w:p>
          <w:p>
            <w:pPr>
              <w:pStyle w:val="51"/>
              <w:rPr>
                <w:rFonts w:ascii="宋体" w:hAnsi="宋体"/>
                <w:spacing w:val="-1"/>
                <w:kern w:val="0"/>
                <w:sz w:val="24"/>
                <w:szCs w:val="24"/>
              </w:rPr>
            </w:pPr>
            <w:r>
              <w:rPr>
                <w:rFonts w:hint="eastAsia" w:ascii="宋体" w:hAnsi="宋体"/>
                <w:kern w:val="0"/>
                <w:sz w:val="24"/>
                <w:szCs w:val="24"/>
              </w:rPr>
              <w:t>2、项目负责人具有类似项目业绩，每个项目1分，满分5分（近三年指2019年1月1日至今。类似项目业绩以合同或中标通知书为准，时间以合同约定的开工时间为准），未提供得0分。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766" w:type="dxa"/>
            <w:vMerge w:val="continue"/>
            <w:vAlign w:val="center"/>
          </w:tcPr>
          <w:p>
            <w:pPr>
              <w:snapToGrid w:val="0"/>
              <w:spacing w:line="360" w:lineRule="auto"/>
              <w:jc w:val="center"/>
              <w:rPr>
                <w:rFonts w:ascii="宋体" w:hAnsi="宋体" w:cs="宋体"/>
                <w:b/>
                <w:sz w:val="24"/>
              </w:rPr>
            </w:pPr>
          </w:p>
        </w:tc>
        <w:tc>
          <w:tcPr>
            <w:tcW w:w="1418" w:type="dxa"/>
            <w:vAlign w:val="center"/>
          </w:tcPr>
          <w:p>
            <w:pPr>
              <w:pStyle w:val="51"/>
              <w:jc w:val="center"/>
              <w:rPr>
                <w:rFonts w:ascii="宋体" w:hAnsi="宋体"/>
                <w:kern w:val="0"/>
                <w:sz w:val="24"/>
                <w:szCs w:val="24"/>
              </w:rPr>
            </w:pPr>
            <w:r>
              <w:rPr>
                <w:rFonts w:hint="eastAsia" w:ascii="宋体" w:hAnsi="宋体"/>
                <w:sz w:val="24"/>
              </w:rPr>
              <w:t>拟投入本项目设备情况</w:t>
            </w:r>
          </w:p>
        </w:tc>
        <w:tc>
          <w:tcPr>
            <w:tcW w:w="992" w:type="dxa"/>
            <w:vAlign w:val="center"/>
          </w:tcPr>
          <w:p>
            <w:pPr>
              <w:jc w:val="center"/>
              <w:rPr>
                <w:rFonts w:ascii="宋体" w:hAnsi="宋体" w:cs="宋体"/>
                <w:sz w:val="24"/>
              </w:rPr>
            </w:pPr>
            <w:r>
              <w:rPr>
                <w:rFonts w:hint="eastAsia" w:ascii="宋体" w:hAnsi="宋体"/>
                <w:sz w:val="24"/>
              </w:rPr>
              <w:t>5</w:t>
            </w:r>
            <w:r>
              <w:rPr>
                <w:rFonts w:hint="eastAsia" w:ascii="宋体" w:hAnsi="宋体" w:cs="宋体"/>
                <w:sz w:val="24"/>
              </w:rPr>
              <w:t>分</w:t>
            </w:r>
          </w:p>
        </w:tc>
        <w:tc>
          <w:tcPr>
            <w:tcW w:w="5891" w:type="dxa"/>
            <w:vAlign w:val="center"/>
          </w:tcPr>
          <w:p>
            <w:pPr>
              <w:pStyle w:val="51"/>
              <w:rPr>
                <w:rFonts w:ascii="宋体" w:hAnsi="宋体"/>
                <w:kern w:val="0"/>
                <w:sz w:val="24"/>
                <w:szCs w:val="24"/>
              </w:rPr>
            </w:pPr>
            <w:r>
              <w:rPr>
                <w:rFonts w:hint="eastAsia" w:ascii="宋体" w:hAnsi="宋体"/>
                <w:kern w:val="0"/>
                <w:sz w:val="24"/>
              </w:rPr>
              <w:t>1</w:t>
            </w:r>
            <w:r>
              <w:rPr>
                <w:rFonts w:hint="eastAsia" w:ascii="宋体" w:hAnsi="宋体"/>
                <w:kern w:val="0"/>
                <w:sz w:val="24"/>
                <w:szCs w:val="24"/>
              </w:rPr>
              <w:t>、优秀标准：拟投入本项目设备完全满足项目需求（得4-5分）；</w:t>
            </w:r>
          </w:p>
          <w:p>
            <w:pPr>
              <w:pStyle w:val="51"/>
              <w:rPr>
                <w:rFonts w:ascii="宋体" w:hAnsi="宋体"/>
                <w:kern w:val="0"/>
                <w:sz w:val="24"/>
                <w:szCs w:val="24"/>
              </w:rPr>
            </w:pPr>
            <w:r>
              <w:rPr>
                <w:rFonts w:hint="eastAsia" w:ascii="宋体" w:hAnsi="宋体"/>
                <w:kern w:val="0"/>
                <w:sz w:val="24"/>
                <w:szCs w:val="24"/>
              </w:rPr>
              <w:t>2、良好标准：拟投入本项目设备满足项目需求（得2-3分）；</w:t>
            </w:r>
          </w:p>
          <w:p>
            <w:pPr>
              <w:pStyle w:val="51"/>
              <w:rPr>
                <w:rFonts w:ascii="宋体" w:hAnsi="宋体"/>
                <w:kern w:val="0"/>
                <w:sz w:val="24"/>
                <w:szCs w:val="24"/>
              </w:rPr>
            </w:pPr>
            <w:r>
              <w:rPr>
                <w:rFonts w:hint="eastAsia" w:ascii="宋体" w:hAnsi="宋体"/>
                <w:kern w:val="0"/>
                <w:sz w:val="24"/>
                <w:szCs w:val="24"/>
              </w:rPr>
              <w:t>3、一般标准：拟投入本项目设备基本满足项目需求（得1分）；</w:t>
            </w:r>
          </w:p>
          <w:p>
            <w:pPr>
              <w:pStyle w:val="51"/>
              <w:rPr>
                <w:rFonts w:ascii="宋体" w:hAnsi="宋体"/>
                <w:sz w:val="24"/>
                <w:szCs w:val="24"/>
              </w:rPr>
            </w:pPr>
            <w:r>
              <w:rPr>
                <w:rFonts w:hint="eastAsia" w:ascii="宋体" w:hAnsi="宋体"/>
                <w:kern w:val="0"/>
                <w:sz w:val="24"/>
                <w:szCs w:val="24"/>
              </w:rPr>
              <w:t>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766" w:type="dxa"/>
            <w:vMerge w:val="continue"/>
            <w:vAlign w:val="center"/>
          </w:tcPr>
          <w:p>
            <w:pPr>
              <w:snapToGrid w:val="0"/>
              <w:spacing w:line="360" w:lineRule="auto"/>
              <w:jc w:val="center"/>
              <w:rPr>
                <w:rFonts w:ascii="宋体" w:hAnsi="宋体" w:cs="宋体"/>
                <w:b/>
                <w:sz w:val="24"/>
              </w:rPr>
            </w:pPr>
          </w:p>
        </w:tc>
        <w:tc>
          <w:tcPr>
            <w:tcW w:w="1418" w:type="dxa"/>
            <w:vAlign w:val="center"/>
          </w:tcPr>
          <w:p>
            <w:pPr>
              <w:pStyle w:val="51"/>
              <w:jc w:val="center"/>
              <w:rPr>
                <w:rFonts w:ascii="宋体" w:hAnsi="宋体"/>
                <w:kern w:val="0"/>
                <w:sz w:val="24"/>
                <w:szCs w:val="24"/>
              </w:rPr>
            </w:pPr>
            <w:r>
              <w:rPr>
                <w:rFonts w:hint="eastAsia" w:ascii="宋体" w:hAnsi="宋体"/>
                <w:sz w:val="24"/>
              </w:rPr>
              <w:t>质量认证</w:t>
            </w:r>
          </w:p>
        </w:tc>
        <w:tc>
          <w:tcPr>
            <w:tcW w:w="992" w:type="dxa"/>
            <w:vAlign w:val="center"/>
          </w:tcPr>
          <w:p>
            <w:pPr>
              <w:jc w:val="center"/>
              <w:rPr>
                <w:rFonts w:ascii="宋体" w:hAnsi="宋体" w:cs="宋体"/>
                <w:sz w:val="24"/>
              </w:rPr>
            </w:pPr>
            <w:r>
              <w:rPr>
                <w:rFonts w:hint="eastAsia" w:ascii="宋体" w:hAnsi="宋体"/>
                <w:sz w:val="24"/>
              </w:rPr>
              <w:t>3</w:t>
            </w:r>
            <w:r>
              <w:rPr>
                <w:rFonts w:hint="eastAsia" w:ascii="宋体" w:hAnsi="宋体" w:cs="宋体"/>
                <w:sz w:val="24"/>
              </w:rPr>
              <w:t>分</w:t>
            </w:r>
          </w:p>
        </w:tc>
        <w:tc>
          <w:tcPr>
            <w:tcW w:w="5891" w:type="dxa"/>
            <w:vAlign w:val="center"/>
          </w:tcPr>
          <w:p>
            <w:pPr>
              <w:pStyle w:val="52"/>
              <w:widowControl/>
              <w:textAlignment w:val="center"/>
              <w:rPr>
                <w:rFonts w:ascii="宋体" w:hAnsi="宋体" w:cs="宋体"/>
                <w:sz w:val="24"/>
                <w:szCs w:val="24"/>
              </w:rPr>
            </w:pPr>
            <w:r>
              <w:rPr>
                <w:rFonts w:hint="eastAsia" w:ascii="宋体" w:hAnsi="宋体" w:cs="宋体"/>
                <w:kern w:val="0"/>
                <w:sz w:val="24"/>
                <w:szCs w:val="24"/>
              </w:rPr>
              <w:t>提供有效期内的质量管理体系认证、环境管理体系认证、职业健康安全管理体系认证，每提供一个认证得1分，未提供得0分。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766" w:type="dxa"/>
            <w:vMerge w:val="continue"/>
            <w:vAlign w:val="center"/>
          </w:tcPr>
          <w:p>
            <w:pPr>
              <w:snapToGrid w:val="0"/>
              <w:spacing w:line="360" w:lineRule="auto"/>
              <w:jc w:val="center"/>
              <w:rPr>
                <w:rFonts w:ascii="宋体" w:hAnsi="宋体" w:cs="宋体"/>
                <w:b/>
                <w:sz w:val="24"/>
              </w:rPr>
            </w:pPr>
          </w:p>
        </w:tc>
        <w:tc>
          <w:tcPr>
            <w:tcW w:w="1418" w:type="dxa"/>
            <w:vAlign w:val="center"/>
          </w:tcPr>
          <w:p>
            <w:pPr>
              <w:pStyle w:val="51"/>
              <w:jc w:val="center"/>
              <w:rPr>
                <w:rFonts w:ascii="宋体" w:hAnsi="宋体"/>
                <w:kern w:val="0"/>
                <w:sz w:val="24"/>
                <w:szCs w:val="24"/>
              </w:rPr>
            </w:pPr>
            <w:r>
              <w:rPr>
                <w:rFonts w:hint="eastAsia" w:ascii="宋体" w:hAnsi="宋体"/>
                <w:sz w:val="24"/>
              </w:rPr>
              <w:t>企业信誉</w:t>
            </w:r>
          </w:p>
        </w:tc>
        <w:tc>
          <w:tcPr>
            <w:tcW w:w="992" w:type="dxa"/>
            <w:vAlign w:val="center"/>
          </w:tcPr>
          <w:p>
            <w:pPr>
              <w:jc w:val="center"/>
              <w:rPr>
                <w:rFonts w:ascii="宋体" w:hAnsi="宋体" w:cs="宋体"/>
                <w:sz w:val="24"/>
              </w:rPr>
            </w:pPr>
            <w:r>
              <w:rPr>
                <w:rFonts w:hint="eastAsia" w:ascii="宋体" w:hAnsi="宋体"/>
                <w:sz w:val="24"/>
              </w:rPr>
              <w:t>2</w:t>
            </w:r>
            <w:r>
              <w:rPr>
                <w:rFonts w:hint="eastAsia" w:ascii="宋体" w:hAnsi="宋体" w:cs="宋体"/>
                <w:sz w:val="24"/>
              </w:rPr>
              <w:t>分</w:t>
            </w:r>
          </w:p>
        </w:tc>
        <w:tc>
          <w:tcPr>
            <w:tcW w:w="5891" w:type="dxa"/>
            <w:vAlign w:val="center"/>
          </w:tcPr>
          <w:p>
            <w:pPr>
              <w:pStyle w:val="52"/>
              <w:widowControl/>
              <w:textAlignment w:val="center"/>
              <w:rPr>
                <w:rFonts w:ascii="宋体" w:hAnsi="宋体" w:cs="宋体"/>
                <w:sz w:val="24"/>
                <w:szCs w:val="24"/>
              </w:rPr>
            </w:pPr>
            <w:r>
              <w:rPr>
                <w:rFonts w:hint="eastAsia" w:ascii="宋体" w:hAnsi="宋体" w:cs="宋体"/>
                <w:kern w:val="0"/>
                <w:sz w:val="24"/>
                <w:szCs w:val="24"/>
              </w:rPr>
              <w:t>自2019年1月1日至今，投标人每有一个市级及以上奖励的</w:t>
            </w:r>
            <w:r>
              <w:rPr>
                <w:rFonts w:ascii="宋体" w:hAnsi="宋体" w:cs="宋体"/>
                <w:kern w:val="0"/>
                <w:sz w:val="24"/>
                <w:szCs w:val="24"/>
              </w:rPr>
              <w:t>2</w:t>
            </w:r>
            <w:r>
              <w:rPr>
                <w:rFonts w:hint="eastAsia" w:ascii="宋体" w:hAnsi="宋体" w:cs="宋体"/>
                <w:kern w:val="0"/>
                <w:sz w:val="24"/>
                <w:szCs w:val="24"/>
              </w:rPr>
              <w:t>分，满分2分；未提供不得分。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766" w:type="dxa"/>
            <w:vMerge w:val="continue"/>
            <w:vAlign w:val="center"/>
          </w:tcPr>
          <w:p>
            <w:pPr>
              <w:snapToGrid w:val="0"/>
              <w:spacing w:line="360" w:lineRule="auto"/>
              <w:jc w:val="center"/>
              <w:rPr>
                <w:rFonts w:ascii="宋体" w:hAnsi="宋体" w:cs="宋体"/>
                <w:b/>
                <w:sz w:val="24"/>
              </w:rPr>
            </w:pPr>
          </w:p>
        </w:tc>
        <w:tc>
          <w:tcPr>
            <w:tcW w:w="1418" w:type="dxa"/>
            <w:vAlign w:val="center"/>
          </w:tcPr>
          <w:p>
            <w:pPr>
              <w:pStyle w:val="51"/>
              <w:jc w:val="center"/>
              <w:rPr>
                <w:rFonts w:ascii="宋体" w:hAnsi="宋体"/>
                <w:kern w:val="0"/>
                <w:sz w:val="24"/>
                <w:szCs w:val="24"/>
              </w:rPr>
            </w:pPr>
            <w:r>
              <w:rPr>
                <w:rFonts w:hint="eastAsia" w:ascii="宋体" w:hAnsi="宋体"/>
                <w:sz w:val="24"/>
              </w:rPr>
              <w:t>财务审计</w:t>
            </w:r>
          </w:p>
        </w:tc>
        <w:tc>
          <w:tcPr>
            <w:tcW w:w="992" w:type="dxa"/>
            <w:vAlign w:val="center"/>
          </w:tcPr>
          <w:p>
            <w:pPr>
              <w:jc w:val="center"/>
              <w:rPr>
                <w:rFonts w:ascii="宋体" w:hAnsi="宋体" w:cs="宋体"/>
                <w:sz w:val="24"/>
              </w:rPr>
            </w:pPr>
            <w:r>
              <w:rPr>
                <w:rFonts w:hint="eastAsia" w:ascii="宋体" w:hAnsi="宋体"/>
                <w:sz w:val="24"/>
              </w:rPr>
              <w:t>1</w:t>
            </w:r>
            <w:r>
              <w:rPr>
                <w:rFonts w:hint="eastAsia" w:ascii="宋体" w:hAnsi="宋体" w:cs="宋体"/>
                <w:sz w:val="24"/>
              </w:rPr>
              <w:t>分</w:t>
            </w:r>
          </w:p>
        </w:tc>
        <w:tc>
          <w:tcPr>
            <w:tcW w:w="5891" w:type="dxa"/>
            <w:vAlign w:val="center"/>
          </w:tcPr>
          <w:p>
            <w:pPr>
              <w:pStyle w:val="52"/>
              <w:widowControl/>
              <w:textAlignment w:val="center"/>
              <w:rPr>
                <w:rFonts w:ascii="宋体" w:hAnsi="宋体" w:cs="宋体"/>
                <w:sz w:val="24"/>
                <w:szCs w:val="24"/>
              </w:rPr>
            </w:pPr>
            <w:r>
              <w:rPr>
                <w:rFonts w:hint="eastAsia" w:ascii="宋体" w:hAnsi="宋体" w:cs="宋体"/>
                <w:kern w:val="0"/>
                <w:sz w:val="24"/>
                <w:szCs w:val="24"/>
              </w:rPr>
              <w:t>提供近二年经过审计合格的财务报表，每一年得0.5分，满分1分。（近二年财务审计报告指2020年、2021年的审计报告），未提供得0分。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766" w:type="dxa"/>
            <w:vMerge w:val="continue"/>
            <w:vAlign w:val="center"/>
          </w:tcPr>
          <w:p>
            <w:pPr>
              <w:snapToGrid w:val="0"/>
              <w:spacing w:line="360" w:lineRule="auto"/>
              <w:jc w:val="center"/>
              <w:rPr>
                <w:rFonts w:ascii="宋体" w:hAnsi="宋体" w:cs="宋体"/>
                <w:b/>
                <w:sz w:val="24"/>
              </w:rPr>
            </w:pPr>
          </w:p>
        </w:tc>
        <w:tc>
          <w:tcPr>
            <w:tcW w:w="1418" w:type="dxa"/>
            <w:vAlign w:val="center"/>
          </w:tcPr>
          <w:p>
            <w:pPr>
              <w:jc w:val="center"/>
              <w:rPr>
                <w:rFonts w:ascii="宋体" w:hAnsi="宋体" w:cs="宋体"/>
                <w:kern w:val="0"/>
                <w:sz w:val="24"/>
              </w:rPr>
            </w:pPr>
            <w:r>
              <w:rPr>
                <w:rFonts w:hint="eastAsia" w:ascii="宋体" w:hAnsi="宋体" w:cs="宋体"/>
                <w:sz w:val="24"/>
              </w:rPr>
              <w:t>业绩</w:t>
            </w:r>
          </w:p>
        </w:tc>
        <w:tc>
          <w:tcPr>
            <w:tcW w:w="992" w:type="dxa"/>
            <w:vAlign w:val="center"/>
          </w:tcPr>
          <w:p>
            <w:pPr>
              <w:jc w:val="center"/>
              <w:rPr>
                <w:rFonts w:ascii="宋体" w:hAnsi="宋体" w:cs="宋体"/>
                <w:sz w:val="24"/>
              </w:rPr>
            </w:pPr>
            <w:r>
              <w:rPr>
                <w:rFonts w:hint="eastAsia" w:ascii="宋体" w:hAnsi="宋体"/>
                <w:sz w:val="24"/>
              </w:rPr>
              <w:t>4</w:t>
            </w:r>
            <w:r>
              <w:rPr>
                <w:rFonts w:hint="eastAsia" w:ascii="宋体" w:hAnsi="宋体" w:cs="宋体"/>
                <w:sz w:val="24"/>
              </w:rPr>
              <w:t>分</w:t>
            </w:r>
          </w:p>
        </w:tc>
        <w:tc>
          <w:tcPr>
            <w:tcW w:w="5891" w:type="dxa"/>
            <w:vAlign w:val="center"/>
          </w:tcPr>
          <w:p>
            <w:pPr>
              <w:pStyle w:val="51"/>
              <w:rPr>
                <w:rFonts w:ascii="宋体" w:hAnsi="宋体"/>
                <w:kern w:val="0"/>
                <w:sz w:val="24"/>
                <w:szCs w:val="24"/>
              </w:rPr>
            </w:pPr>
            <w:r>
              <w:rPr>
                <w:rFonts w:hint="eastAsia" w:ascii="宋体" w:hAnsi="宋体"/>
                <w:kern w:val="0"/>
                <w:sz w:val="24"/>
                <w:szCs w:val="24"/>
              </w:rPr>
              <w:t>投标人提供2019年1月1日至今的类似项目业绩，每提供一个得0.5分，满分4分，未提供不得分。</w:t>
            </w:r>
          </w:p>
          <w:p>
            <w:pPr>
              <w:pStyle w:val="51"/>
              <w:rPr>
                <w:rFonts w:ascii="宋体" w:hAnsi="宋体"/>
                <w:sz w:val="24"/>
                <w:szCs w:val="24"/>
              </w:rPr>
            </w:pPr>
            <w:r>
              <w:rPr>
                <w:rFonts w:ascii="宋体" w:hAnsi="宋体"/>
                <w:sz w:val="24"/>
              </w:rPr>
              <w:t>注</w:t>
            </w:r>
            <w:r>
              <w:rPr>
                <w:rFonts w:hint="eastAsia" w:ascii="宋体" w:hAnsi="宋体"/>
                <w:sz w:val="24"/>
              </w:rPr>
              <w:t>：以合同或中标通知书为准，时间以合同约定的开工时间为准。</w:t>
            </w:r>
          </w:p>
        </w:tc>
      </w:tr>
    </w:tbl>
    <w:p>
      <w:pPr>
        <w:tabs>
          <w:tab w:val="left" w:pos="360"/>
        </w:tabs>
        <w:spacing w:line="360" w:lineRule="auto"/>
        <w:ind w:firstLine="480" w:firstLineChars="200"/>
        <w:rPr>
          <w:rFonts w:ascii="宋体" w:hAnsi="宋体"/>
          <w:sz w:val="24"/>
        </w:rPr>
      </w:pPr>
      <w:r>
        <w:rPr>
          <w:rFonts w:hint="eastAsia" w:ascii="宋体" w:hAnsi="宋体"/>
          <w:sz w:val="24"/>
        </w:rPr>
        <w:t>注：1、保留小数点后两位（按四舍五入原则）</w:t>
      </w:r>
    </w:p>
    <w:p>
      <w:pPr>
        <w:tabs>
          <w:tab w:val="left" w:pos="360"/>
        </w:tabs>
        <w:spacing w:line="360" w:lineRule="auto"/>
        <w:ind w:firstLine="480" w:firstLineChars="200"/>
        <w:rPr>
          <w:rFonts w:ascii="宋体" w:hAnsi="宋体"/>
          <w:sz w:val="24"/>
        </w:rPr>
      </w:pPr>
      <w:r>
        <w:rPr>
          <w:rFonts w:hint="eastAsia" w:ascii="宋体" w:hAnsi="宋体"/>
          <w:sz w:val="24"/>
        </w:rPr>
        <w:t>2、获得最高评估分的投标人将被推荐为合格的中标候选人。</w:t>
      </w:r>
    </w:p>
    <w:p>
      <w:pPr>
        <w:tabs>
          <w:tab w:val="left" w:pos="360"/>
        </w:tabs>
        <w:spacing w:line="360" w:lineRule="auto"/>
        <w:ind w:firstLine="480" w:firstLineChars="200"/>
        <w:rPr>
          <w:rFonts w:ascii="宋体" w:hAnsi="宋体"/>
          <w:sz w:val="24"/>
        </w:rPr>
      </w:pPr>
      <w:r>
        <w:rPr>
          <w:rFonts w:hint="eastAsia" w:ascii="宋体" w:hAnsi="宋体"/>
          <w:sz w:val="24"/>
        </w:rPr>
        <w:t>3、如果投标人综合得分相同，按下列顺序排列以确定将被推荐为合格的中标候选人：</w:t>
      </w:r>
    </w:p>
    <w:p>
      <w:pPr>
        <w:tabs>
          <w:tab w:val="left" w:pos="360"/>
        </w:tabs>
        <w:spacing w:line="360" w:lineRule="auto"/>
        <w:ind w:firstLine="480" w:firstLineChars="200"/>
        <w:rPr>
          <w:rFonts w:ascii="宋体" w:hAnsi="宋体"/>
          <w:sz w:val="24"/>
        </w:rPr>
      </w:pPr>
      <w:r>
        <w:rPr>
          <w:rFonts w:hint="eastAsia" w:ascii="宋体" w:hAnsi="宋体"/>
          <w:sz w:val="24"/>
        </w:rPr>
        <w:t>（1）投标价低的；</w:t>
      </w:r>
    </w:p>
    <w:p>
      <w:pPr>
        <w:tabs>
          <w:tab w:val="left" w:pos="360"/>
        </w:tabs>
        <w:spacing w:line="360" w:lineRule="auto"/>
        <w:ind w:firstLine="480" w:firstLineChars="200"/>
        <w:rPr>
          <w:rFonts w:ascii="宋体" w:hAnsi="宋体"/>
          <w:sz w:val="24"/>
        </w:rPr>
      </w:pPr>
      <w:r>
        <w:rPr>
          <w:rFonts w:hint="eastAsia" w:ascii="宋体" w:hAnsi="宋体"/>
          <w:sz w:val="24"/>
        </w:rPr>
        <w:t>（2）服务方案得分高的；</w:t>
      </w:r>
    </w:p>
    <w:p>
      <w:pPr>
        <w:tabs>
          <w:tab w:val="left" w:pos="360"/>
        </w:tabs>
        <w:spacing w:line="360" w:lineRule="auto"/>
        <w:ind w:firstLine="480" w:firstLineChars="200"/>
        <w:rPr>
          <w:rFonts w:ascii="宋体" w:hAnsi="宋体"/>
          <w:sz w:val="24"/>
        </w:rPr>
      </w:pPr>
      <w:r>
        <w:rPr>
          <w:rFonts w:hint="eastAsia" w:ascii="宋体" w:hAnsi="宋体"/>
          <w:sz w:val="24"/>
        </w:rPr>
        <w:t>（3）拟投入人员情况分高的。</w:t>
      </w:r>
    </w:p>
    <w:p>
      <w:pPr>
        <w:tabs>
          <w:tab w:val="left" w:pos="360"/>
        </w:tabs>
        <w:spacing w:line="360" w:lineRule="auto"/>
        <w:ind w:firstLine="480" w:firstLineChars="200"/>
        <w:rPr>
          <w:rFonts w:ascii="宋体" w:hAnsi="宋体"/>
          <w:sz w:val="24"/>
        </w:rPr>
      </w:pPr>
      <w:r>
        <w:rPr>
          <w:rFonts w:hint="eastAsia" w:ascii="宋体" w:hAnsi="宋体"/>
          <w:sz w:val="24"/>
        </w:rPr>
        <w:t>4、投标人在投标时须提供与以上评分因素相关的材料。如果发现有弄虚作假的，将取消其投标资格。</w:t>
      </w:r>
    </w:p>
    <w:p>
      <w:pPr>
        <w:tabs>
          <w:tab w:val="left" w:pos="360"/>
        </w:tabs>
        <w:spacing w:line="360" w:lineRule="auto"/>
        <w:ind w:firstLine="480" w:firstLineChars="200"/>
        <w:rPr>
          <w:rFonts w:ascii="宋体" w:hAnsi="宋体"/>
          <w:sz w:val="24"/>
        </w:rPr>
      </w:pPr>
      <w:r>
        <w:rPr>
          <w:rFonts w:hint="eastAsia" w:ascii="宋体" w:hAnsi="宋体"/>
          <w:sz w:val="24"/>
        </w:rPr>
        <w:t>5、保密要求</w:t>
      </w:r>
    </w:p>
    <w:p>
      <w:pPr>
        <w:tabs>
          <w:tab w:val="left" w:pos="360"/>
        </w:tabs>
        <w:spacing w:line="360" w:lineRule="auto"/>
        <w:ind w:firstLine="480" w:firstLineChars="200"/>
        <w:rPr>
          <w:rFonts w:asciiTheme="minorEastAsia" w:hAnsiTheme="minorEastAsia" w:eastAsiaTheme="minorEastAsia"/>
          <w:sz w:val="24"/>
        </w:rPr>
      </w:pPr>
      <w:r>
        <w:rPr>
          <w:rFonts w:hint="eastAsia" w:ascii="宋体" w:hAnsi="宋体"/>
          <w:sz w:val="24"/>
        </w:rPr>
        <w:t>从开标时起到中标公告发布时止，有关投标文件的审查、澄清、评估和比较以及有关授予合同的意向的一切情况都不得透露给投标人或与上述评审工作无关的人员。</w:t>
      </w:r>
    </w:p>
    <w:p>
      <w:pPr>
        <w:tabs>
          <w:tab w:val="left" w:pos="36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三、有关说明</w:t>
      </w:r>
    </w:p>
    <w:p>
      <w:pPr>
        <w:widowControl/>
        <w:spacing w:line="360" w:lineRule="auto"/>
        <w:ind w:firstLine="482" w:firstLineChars="200"/>
        <w:jc w:val="left"/>
        <w:rPr>
          <w:rFonts w:asciiTheme="minorEastAsia" w:hAnsiTheme="minorEastAsia" w:eastAsiaTheme="minorEastAsia"/>
          <w:b/>
          <w:sz w:val="24"/>
          <w:u w:val="single"/>
        </w:rPr>
      </w:pPr>
      <w:r>
        <w:rPr>
          <w:rFonts w:hint="eastAsia" w:asciiTheme="minorEastAsia" w:hAnsiTheme="minorEastAsia" w:eastAsiaTheme="minorEastAsia"/>
          <w:b/>
          <w:sz w:val="24"/>
          <w:u w:val="single"/>
        </w:rPr>
        <w:t>以上所有证件均须以原件或副本原件为证明支持（投标文件中放入复印件），但不保证查看所有投标人的所有原件。</w:t>
      </w:r>
    </w:p>
    <w:p>
      <w:pPr>
        <w:jc w:val="center"/>
        <w:rPr>
          <w:rFonts w:ascii="宋体" w:hAnsi="宋体"/>
          <w:bCs/>
          <w:sz w:val="28"/>
          <w:szCs w:val="28"/>
        </w:rPr>
      </w:pPr>
    </w:p>
    <w:p>
      <w:pPr>
        <w:jc w:val="center"/>
        <w:rPr>
          <w:rFonts w:ascii="宋体" w:hAnsi="宋体"/>
          <w:bCs/>
          <w:sz w:val="28"/>
          <w:szCs w:val="28"/>
        </w:rPr>
      </w:pPr>
    </w:p>
    <w:p>
      <w:pPr>
        <w:jc w:val="center"/>
        <w:rPr>
          <w:rFonts w:ascii="宋体" w:hAnsi="宋体"/>
          <w:b/>
          <w:sz w:val="36"/>
          <w:szCs w:val="36"/>
        </w:rPr>
      </w:pPr>
      <w:r>
        <w:rPr>
          <w:rFonts w:ascii="宋体" w:hAnsi="宋体"/>
          <w:b/>
          <w:sz w:val="36"/>
          <w:szCs w:val="36"/>
        </w:rPr>
        <w:br w:type="page"/>
      </w:r>
    </w:p>
    <w:p>
      <w:pPr>
        <w:rPr>
          <w:rFonts w:ascii="宋体" w:hAnsi="宋体"/>
          <w:b/>
          <w:bCs/>
          <w:sz w:val="28"/>
          <w:szCs w:val="28"/>
        </w:rPr>
      </w:pPr>
      <w:r>
        <w:rPr>
          <w:rFonts w:hint="eastAsia" w:ascii="宋体" w:hAnsi="宋体"/>
          <w:b/>
          <w:bCs/>
          <w:sz w:val="28"/>
          <w:szCs w:val="28"/>
        </w:rPr>
        <w:t>附件</w:t>
      </w:r>
      <w:r>
        <w:rPr>
          <w:rFonts w:ascii="宋体" w:hAnsi="宋体"/>
          <w:b/>
          <w:bCs/>
          <w:sz w:val="28"/>
          <w:szCs w:val="28"/>
        </w:rPr>
        <w:t>3</w:t>
      </w:r>
      <w:r>
        <w:rPr>
          <w:rFonts w:hint="eastAsia" w:ascii="宋体" w:hAnsi="宋体"/>
          <w:b/>
          <w:bCs/>
          <w:sz w:val="28"/>
          <w:szCs w:val="28"/>
        </w:rPr>
        <w:t>：</w:t>
      </w:r>
    </w:p>
    <w:p>
      <w:pPr>
        <w:jc w:val="center"/>
        <w:rPr>
          <w:rFonts w:ascii="宋体" w:hAnsi="宋体"/>
          <w:b/>
          <w:sz w:val="36"/>
          <w:szCs w:val="36"/>
        </w:rPr>
      </w:pPr>
      <w:r>
        <w:rPr>
          <w:rFonts w:hint="eastAsia" w:ascii="宋体" w:hAnsi="宋体"/>
          <w:b/>
          <w:sz w:val="36"/>
          <w:szCs w:val="36"/>
        </w:rPr>
        <w:t>资格性审查表</w:t>
      </w:r>
    </w:p>
    <w:tbl>
      <w:tblPr>
        <w:tblStyle w:val="20"/>
        <w:tblW w:w="48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4057"/>
        <w:gridCol w:w="780"/>
        <w:gridCol w:w="955"/>
        <w:gridCol w:w="955"/>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24" w:type="pct"/>
            <w:vMerge w:val="restart"/>
            <w:vAlign w:val="center"/>
          </w:tcPr>
          <w:p>
            <w:pPr>
              <w:rPr>
                <w:b/>
                <w:bCs/>
                <w:sz w:val="24"/>
              </w:rPr>
            </w:pPr>
            <w:r>
              <w:rPr>
                <w:rFonts w:hint="eastAsia" w:cs="宋体"/>
                <w:b/>
                <w:bCs/>
                <w:sz w:val="24"/>
              </w:rPr>
              <w:t>序号</w:t>
            </w:r>
          </w:p>
        </w:tc>
        <w:tc>
          <w:tcPr>
            <w:tcW w:w="2434" w:type="pct"/>
            <w:vMerge w:val="restart"/>
            <w:vAlign w:val="center"/>
          </w:tcPr>
          <w:p>
            <w:pPr>
              <w:jc w:val="center"/>
              <w:rPr>
                <w:b/>
                <w:bCs/>
                <w:sz w:val="24"/>
              </w:rPr>
            </w:pPr>
            <w:r>
              <w:rPr>
                <w:rFonts w:hint="eastAsia" w:cs="宋体"/>
                <w:b/>
                <w:bCs/>
                <w:sz w:val="24"/>
              </w:rPr>
              <w:t>审查内容</w:t>
            </w:r>
          </w:p>
        </w:tc>
        <w:tc>
          <w:tcPr>
            <w:tcW w:w="2140" w:type="pct"/>
            <w:gridSpan w:val="4"/>
            <w:vAlign w:val="center"/>
          </w:tcPr>
          <w:p>
            <w:pPr>
              <w:jc w:val="center"/>
              <w:rPr>
                <w:b/>
                <w:bCs/>
                <w:sz w:val="24"/>
              </w:rPr>
            </w:pPr>
            <w:r>
              <w:rPr>
                <w:rFonts w:hint="eastAsia" w:cs="宋体"/>
                <w:b/>
                <w:bCs/>
                <w:sz w:val="24"/>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24" w:type="pct"/>
            <w:vMerge w:val="continue"/>
            <w:vAlign w:val="center"/>
          </w:tcPr>
          <w:p>
            <w:pPr>
              <w:ind w:firstLine="482"/>
              <w:jc w:val="center"/>
              <w:rPr>
                <w:b/>
                <w:bCs/>
                <w:sz w:val="24"/>
              </w:rPr>
            </w:pPr>
          </w:p>
        </w:tc>
        <w:tc>
          <w:tcPr>
            <w:tcW w:w="2434" w:type="pct"/>
            <w:vMerge w:val="continue"/>
            <w:vAlign w:val="center"/>
          </w:tcPr>
          <w:p>
            <w:pPr>
              <w:ind w:firstLine="482"/>
              <w:rPr>
                <w:b/>
                <w:bCs/>
                <w:sz w:val="24"/>
              </w:rPr>
            </w:pPr>
          </w:p>
        </w:tc>
        <w:tc>
          <w:tcPr>
            <w:tcW w:w="468" w:type="pct"/>
            <w:vAlign w:val="center"/>
          </w:tcPr>
          <w:p>
            <w:pPr>
              <w:ind w:firstLine="482"/>
              <w:jc w:val="center"/>
              <w:rPr>
                <w:b/>
                <w:bCs/>
                <w:sz w:val="24"/>
              </w:rPr>
            </w:pPr>
          </w:p>
        </w:tc>
        <w:tc>
          <w:tcPr>
            <w:tcW w:w="573" w:type="pct"/>
            <w:vAlign w:val="center"/>
          </w:tcPr>
          <w:p>
            <w:pPr>
              <w:ind w:firstLine="482"/>
              <w:jc w:val="center"/>
              <w:rPr>
                <w:b/>
                <w:bCs/>
                <w:sz w:val="24"/>
              </w:rPr>
            </w:pPr>
          </w:p>
        </w:tc>
        <w:tc>
          <w:tcPr>
            <w:tcW w:w="573" w:type="pct"/>
            <w:vAlign w:val="center"/>
          </w:tcPr>
          <w:p>
            <w:pPr>
              <w:ind w:firstLine="482"/>
              <w:jc w:val="center"/>
              <w:rPr>
                <w:b/>
                <w:bCs/>
                <w:sz w:val="24"/>
              </w:rPr>
            </w:pPr>
          </w:p>
        </w:tc>
        <w:tc>
          <w:tcPr>
            <w:tcW w:w="525" w:type="pct"/>
            <w:vAlign w:val="center"/>
          </w:tcPr>
          <w:p>
            <w:pPr>
              <w:ind w:firstLine="482"/>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4" w:type="pct"/>
            <w:vAlign w:val="center"/>
          </w:tcPr>
          <w:p>
            <w:pPr>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1</w:t>
            </w:r>
          </w:p>
        </w:tc>
        <w:tc>
          <w:tcPr>
            <w:tcW w:w="2434" w:type="pct"/>
            <w:vAlign w:val="center"/>
          </w:tcPr>
          <w:p>
            <w:pPr>
              <w:snapToGrid w:val="0"/>
              <w:spacing w:line="400" w:lineRule="exact"/>
              <w:jc w:val="left"/>
              <w:rPr>
                <w:rFonts w:asciiTheme="minorEastAsia" w:hAnsiTheme="minorEastAsia" w:eastAsiaTheme="minorEastAsia"/>
                <w:sz w:val="24"/>
              </w:rPr>
            </w:pPr>
            <w:r>
              <w:rPr>
                <w:rFonts w:hint="eastAsia" w:cs="宋体" w:asciiTheme="minorEastAsia" w:hAnsiTheme="minorEastAsia" w:eastAsiaTheme="minorEastAsia"/>
                <w:sz w:val="24"/>
              </w:rPr>
              <w:t>营业执照符合要求情况</w:t>
            </w:r>
          </w:p>
        </w:tc>
        <w:tc>
          <w:tcPr>
            <w:tcW w:w="468" w:type="pct"/>
            <w:vAlign w:val="center"/>
          </w:tcPr>
          <w:p>
            <w:pPr>
              <w:adjustRightInd w:val="0"/>
              <w:snapToGrid w:val="0"/>
              <w:ind w:firstLine="480"/>
              <w:jc w:val="center"/>
              <w:rPr>
                <w:sz w:val="24"/>
              </w:rPr>
            </w:pPr>
          </w:p>
        </w:tc>
        <w:tc>
          <w:tcPr>
            <w:tcW w:w="573" w:type="pct"/>
            <w:vAlign w:val="center"/>
          </w:tcPr>
          <w:p>
            <w:pPr>
              <w:ind w:firstLine="480"/>
              <w:jc w:val="center"/>
              <w:rPr>
                <w:sz w:val="24"/>
              </w:rPr>
            </w:pPr>
          </w:p>
        </w:tc>
        <w:tc>
          <w:tcPr>
            <w:tcW w:w="573" w:type="pct"/>
            <w:vAlign w:val="center"/>
          </w:tcPr>
          <w:p>
            <w:pPr>
              <w:ind w:firstLine="480"/>
              <w:jc w:val="center"/>
              <w:rPr>
                <w:sz w:val="24"/>
              </w:rPr>
            </w:pPr>
          </w:p>
        </w:tc>
        <w:tc>
          <w:tcPr>
            <w:tcW w:w="525" w:type="pct"/>
            <w:vAlign w:val="center"/>
          </w:tcPr>
          <w:p>
            <w:pPr>
              <w:ind w:firstLine="48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4" w:type="pct"/>
            <w:vAlign w:val="center"/>
          </w:tcPr>
          <w:p>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434" w:type="pct"/>
            <w:vAlign w:val="center"/>
          </w:tcPr>
          <w:p>
            <w:pPr>
              <w:snapToGrid w:val="0"/>
              <w:spacing w:line="400" w:lineRule="exact"/>
              <w:jc w:val="left"/>
              <w:rPr>
                <w:rFonts w:cs="宋体" w:asciiTheme="minorEastAsia" w:hAnsiTheme="minorEastAsia" w:eastAsiaTheme="minorEastAsia"/>
                <w:sz w:val="24"/>
              </w:rPr>
            </w:pPr>
            <w:r>
              <w:rPr>
                <w:rFonts w:hint="eastAsia" w:ascii="宋体" w:hAnsi="宋体"/>
                <w:bCs/>
                <w:sz w:val="24"/>
                <w:szCs w:val="21"/>
              </w:rPr>
              <w:t>供应商资质条件</w:t>
            </w:r>
            <w:r>
              <w:rPr>
                <w:rFonts w:hint="eastAsia" w:ascii="宋体" w:hAnsi="宋体"/>
                <w:sz w:val="24"/>
              </w:rPr>
              <w:t>符合要求情况</w:t>
            </w:r>
          </w:p>
        </w:tc>
        <w:tc>
          <w:tcPr>
            <w:tcW w:w="468" w:type="pct"/>
            <w:vAlign w:val="center"/>
          </w:tcPr>
          <w:p>
            <w:pPr>
              <w:adjustRightInd w:val="0"/>
              <w:snapToGrid w:val="0"/>
              <w:ind w:firstLine="480"/>
              <w:jc w:val="center"/>
              <w:rPr>
                <w:sz w:val="24"/>
              </w:rPr>
            </w:pPr>
          </w:p>
        </w:tc>
        <w:tc>
          <w:tcPr>
            <w:tcW w:w="573" w:type="pct"/>
            <w:vAlign w:val="center"/>
          </w:tcPr>
          <w:p>
            <w:pPr>
              <w:ind w:firstLine="480"/>
              <w:jc w:val="center"/>
              <w:rPr>
                <w:sz w:val="24"/>
              </w:rPr>
            </w:pPr>
          </w:p>
        </w:tc>
        <w:tc>
          <w:tcPr>
            <w:tcW w:w="573" w:type="pct"/>
            <w:vAlign w:val="center"/>
          </w:tcPr>
          <w:p>
            <w:pPr>
              <w:ind w:firstLine="480"/>
              <w:jc w:val="center"/>
              <w:rPr>
                <w:sz w:val="24"/>
              </w:rPr>
            </w:pPr>
          </w:p>
        </w:tc>
        <w:tc>
          <w:tcPr>
            <w:tcW w:w="525" w:type="pct"/>
            <w:vAlign w:val="center"/>
          </w:tcPr>
          <w:p>
            <w:pPr>
              <w:ind w:firstLine="48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4" w:type="pct"/>
            <w:vAlign w:val="center"/>
          </w:tcPr>
          <w:p>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2434" w:type="pct"/>
            <w:vAlign w:val="center"/>
          </w:tcPr>
          <w:p>
            <w:pPr>
              <w:snapToGrid w:val="0"/>
              <w:spacing w:line="400" w:lineRule="exact"/>
              <w:jc w:val="left"/>
              <w:rPr>
                <w:rFonts w:ascii="宋体" w:hAnsi="宋体"/>
                <w:bCs/>
                <w:sz w:val="24"/>
                <w:szCs w:val="21"/>
              </w:rPr>
            </w:pPr>
            <w:r>
              <w:rPr>
                <w:rFonts w:hint="eastAsia" w:ascii="宋体" w:hAnsi="宋体"/>
                <w:bCs/>
                <w:sz w:val="24"/>
                <w:szCs w:val="21"/>
              </w:rPr>
              <w:t>项目负责人资质条件</w:t>
            </w:r>
            <w:r>
              <w:rPr>
                <w:rFonts w:hint="eastAsia" w:ascii="宋体" w:hAnsi="宋体"/>
                <w:sz w:val="24"/>
              </w:rPr>
              <w:t>符合要求情况</w:t>
            </w:r>
          </w:p>
        </w:tc>
        <w:tc>
          <w:tcPr>
            <w:tcW w:w="468" w:type="pct"/>
            <w:vAlign w:val="center"/>
          </w:tcPr>
          <w:p>
            <w:pPr>
              <w:adjustRightInd w:val="0"/>
              <w:snapToGrid w:val="0"/>
              <w:ind w:firstLine="480"/>
              <w:jc w:val="center"/>
              <w:rPr>
                <w:sz w:val="24"/>
              </w:rPr>
            </w:pPr>
          </w:p>
        </w:tc>
        <w:tc>
          <w:tcPr>
            <w:tcW w:w="573" w:type="pct"/>
            <w:vAlign w:val="center"/>
          </w:tcPr>
          <w:p>
            <w:pPr>
              <w:ind w:firstLine="480"/>
              <w:jc w:val="center"/>
              <w:rPr>
                <w:sz w:val="24"/>
              </w:rPr>
            </w:pPr>
          </w:p>
        </w:tc>
        <w:tc>
          <w:tcPr>
            <w:tcW w:w="573" w:type="pct"/>
            <w:vAlign w:val="center"/>
          </w:tcPr>
          <w:p>
            <w:pPr>
              <w:ind w:firstLine="480"/>
              <w:jc w:val="center"/>
              <w:rPr>
                <w:sz w:val="24"/>
              </w:rPr>
            </w:pPr>
          </w:p>
        </w:tc>
        <w:tc>
          <w:tcPr>
            <w:tcW w:w="525" w:type="pct"/>
            <w:vAlign w:val="center"/>
          </w:tcPr>
          <w:p>
            <w:pPr>
              <w:ind w:firstLine="48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4" w:type="pct"/>
            <w:vAlign w:val="center"/>
          </w:tcPr>
          <w:p>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2434" w:type="pct"/>
            <w:vAlign w:val="center"/>
          </w:tcPr>
          <w:p>
            <w:pPr>
              <w:snapToGrid w:val="0"/>
              <w:spacing w:line="400" w:lineRule="exact"/>
              <w:jc w:val="left"/>
              <w:rPr>
                <w:rFonts w:cs="宋体" w:asciiTheme="minorEastAsia" w:hAnsiTheme="minorEastAsia" w:eastAsiaTheme="minorEastAsia"/>
                <w:sz w:val="24"/>
              </w:rPr>
            </w:pPr>
            <w:r>
              <w:rPr>
                <w:rFonts w:hint="eastAsia" w:asciiTheme="minorEastAsia" w:hAnsiTheme="minorEastAsia" w:eastAsiaTheme="minorEastAsia"/>
                <w:sz w:val="24"/>
              </w:rPr>
              <w:t>信用记录符合要求情况</w:t>
            </w:r>
          </w:p>
        </w:tc>
        <w:tc>
          <w:tcPr>
            <w:tcW w:w="468" w:type="pct"/>
            <w:vAlign w:val="center"/>
          </w:tcPr>
          <w:p>
            <w:pPr>
              <w:adjustRightInd w:val="0"/>
              <w:snapToGrid w:val="0"/>
              <w:ind w:firstLine="480"/>
              <w:jc w:val="center"/>
              <w:rPr>
                <w:sz w:val="24"/>
              </w:rPr>
            </w:pPr>
          </w:p>
        </w:tc>
        <w:tc>
          <w:tcPr>
            <w:tcW w:w="573" w:type="pct"/>
            <w:vAlign w:val="center"/>
          </w:tcPr>
          <w:p>
            <w:pPr>
              <w:adjustRightInd w:val="0"/>
              <w:snapToGrid w:val="0"/>
              <w:ind w:firstLine="480"/>
              <w:jc w:val="center"/>
              <w:rPr>
                <w:sz w:val="24"/>
              </w:rPr>
            </w:pPr>
          </w:p>
        </w:tc>
        <w:tc>
          <w:tcPr>
            <w:tcW w:w="573" w:type="pct"/>
            <w:vAlign w:val="center"/>
          </w:tcPr>
          <w:p>
            <w:pPr>
              <w:adjustRightInd w:val="0"/>
              <w:snapToGrid w:val="0"/>
              <w:ind w:firstLine="480"/>
              <w:jc w:val="center"/>
              <w:rPr>
                <w:sz w:val="24"/>
              </w:rPr>
            </w:pPr>
          </w:p>
        </w:tc>
        <w:tc>
          <w:tcPr>
            <w:tcW w:w="525" w:type="pct"/>
            <w:vAlign w:val="center"/>
          </w:tcPr>
          <w:p>
            <w:pPr>
              <w:adjustRightInd w:val="0"/>
              <w:snapToGrid w:val="0"/>
              <w:ind w:firstLine="48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4" w:type="pct"/>
            <w:vAlign w:val="center"/>
          </w:tcPr>
          <w:p>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2434" w:type="pct"/>
            <w:vAlign w:val="center"/>
          </w:tcPr>
          <w:p>
            <w:pPr>
              <w:snapToGrid w:val="0"/>
              <w:spacing w:line="40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重大违法记录查询情况</w:t>
            </w:r>
          </w:p>
        </w:tc>
        <w:tc>
          <w:tcPr>
            <w:tcW w:w="468" w:type="pct"/>
            <w:vAlign w:val="center"/>
          </w:tcPr>
          <w:p>
            <w:pPr>
              <w:adjustRightInd w:val="0"/>
              <w:snapToGrid w:val="0"/>
              <w:ind w:firstLine="480"/>
              <w:jc w:val="center"/>
              <w:rPr>
                <w:sz w:val="24"/>
              </w:rPr>
            </w:pPr>
          </w:p>
        </w:tc>
        <w:tc>
          <w:tcPr>
            <w:tcW w:w="573" w:type="pct"/>
            <w:vAlign w:val="center"/>
          </w:tcPr>
          <w:p>
            <w:pPr>
              <w:adjustRightInd w:val="0"/>
              <w:snapToGrid w:val="0"/>
              <w:ind w:firstLine="480"/>
              <w:jc w:val="center"/>
              <w:rPr>
                <w:sz w:val="24"/>
              </w:rPr>
            </w:pPr>
          </w:p>
        </w:tc>
        <w:tc>
          <w:tcPr>
            <w:tcW w:w="573" w:type="pct"/>
            <w:vAlign w:val="center"/>
          </w:tcPr>
          <w:p>
            <w:pPr>
              <w:adjustRightInd w:val="0"/>
              <w:snapToGrid w:val="0"/>
              <w:ind w:firstLine="480"/>
              <w:jc w:val="center"/>
              <w:rPr>
                <w:sz w:val="24"/>
              </w:rPr>
            </w:pPr>
          </w:p>
        </w:tc>
        <w:tc>
          <w:tcPr>
            <w:tcW w:w="525" w:type="pct"/>
            <w:vAlign w:val="center"/>
          </w:tcPr>
          <w:p>
            <w:pPr>
              <w:adjustRightInd w:val="0"/>
              <w:snapToGrid w:val="0"/>
              <w:ind w:firstLine="48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4" w:type="pct"/>
            <w:vAlign w:val="center"/>
          </w:tcPr>
          <w:p>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2434" w:type="pct"/>
            <w:vAlign w:val="center"/>
          </w:tcPr>
          <w:p>
            <w:pPr>
              <w:snapToGrid w:val="0"/>
              <w:spacing w:line="400" w:lineRule="exact"/>
              <w:jc w:val="left"/>
              <w:rPr>
                <w:rFonts w:asciiTheme="minorEastAsia" w:hAnsiTheme="minorEastAsia" w:eastAsiaTheme="minorEastAsia"/>
                <w:sz w:val="24"/>
              </w:rPr>
            </w:pPr>
            <w:r>
              <w:rPr>
                <w:rFonts w:hint="eastAsia" w:cs="宋体" w:asciiTheme="minorEastAsia" w:hAnsiTheme="minorEastAsia" w:eastAsiaTheme="minorEastAsia"/>
                <w:sz w:val="24"/>
              </w:rPr>
              <w:t>投标人</w:t>
            </w:r>
            <w:r>
              <w:rPr>
                <w:rFonts w:hint="eastAsia" w:ascii="宋体" w:hAnsi="宋体" w:cs="宋体"/>
                <w:sz w:val="24"/>
              </w:rPr>
              <w:t>信用承诺书声明情况</w:t>
            </w:r>
          </w:p>
        </w:tc>
        <w:tc>
          <w:tcPr>
            <w:tcW w:w="468" w:type="pct"/>
            <w:vAlign w:val="center"/>
          </w:tcPr>
          <w:p>
            <w:pPr>
              <w:adjustRightInd w:val="0"/>
              <w:snapToGrid w:val="0"/>
              <w:ind w:firstLine="480"/>
              <w:jc w:val="center"/>
              <w:rPr>
                <w:sz w:val="24"/>
              </w:rPr>
            </w:pPr>
          </w:p>
        </w:tc>
        <w:tc>
          <w:tcPr>
            <w:tcW w:w="573" w:type="pct"/>
            <w:vAlign w:val="center"/>
          </w:tcPr>
          <w:p>
            <w:pPr>
              <w:adjustRightInd w:val="0"/>
              <w:snapToGrid w:val="0"/>
              <w:ind w:firstLine="480"/>
              <w:jc w:val="center"/>
              <w:rPr>
                <w:sz w:val="24"/>
              </w:rPr>
            </w:pPr>
          </w:p>
        </w:tc>
        <w:tc>
          <w:tcPr>
            <w:tcW w:w="573" w:type="pct"/>
            <w:vAlign w:val="center"/>
          </w:tcPr>
          <w:p>
            <w:pPr>
              <w:adjustRightInd w:val="0"/>
              <w:snapToGrid w:val="0"/>
              <w:ind w:firstLine="480"/>
              <w:jc w:val="center"/>
              <w:rPr>
                <w:sz w:val="24"/>
              </w:rPr>
            </w:pPr>
          </w:p>
        </w:tc>
        <w:tc>
          <w:tcPr>
            <w:tcW w:w="525" w:type="pct"/>
            <w:vAlign w:val="center"/>
          </w:tcPr>
          <w:p>
            <w:pPr>
              <w:adjustRightInd w:val="0"/>
              <w:snapToGrid w:val="0"/>
              <w:ind w:firstLine="48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859" w:type="pct"/>
            <w:gridSpan w:val="2"/>
            <w:vAlign w:val="center"/>
          </w:tcPr>
          <w:p>
            <w:pPr>
              <w:adjustRightInd w:val="0"/>
              <w:snapToGrid w:val="0"/>
              <w:ind w:firstLine="432"/>
              <w:jc w:val="center"/>
              <w:rPr>
                <w:spacing w:val="-12"/>
                <w:sz w:val="24"/>
              </w:rPr>
            </w:pPr>
            <w:r>
              <w:rPr>
                <w:rFonts w:hint="eastAsia" w:cs="宋体"/>
                <w:spacing w:val="-12"/>
                <w:sz w:val="24"/>
              </w:rPr>
              <w:t>审查结论</w:t>
            </w:r>
          </w:p>
        </w:tc>
        <w:tc>
          <w:tcPr>
            <w:tcW w:w="468" w:type="pct"/>
            <w:vAlign w:val="center"/>
          </w:tcPr>
          <w:p>
            <w:pPr>
              <w:adjustRightInd w:val="0"/>
              <w:snapToGrid w:val="0"/>
              <w:ind w:firstLine="480"/>
              <w:jc w:val="center"/>
              <w:rPr>
                <w:sz w:val="24"/>
              </w:rPr>
            </w:pPr>
          </w:p>
        </w:tc>
        <w:tc>
          <w:tcPr>
            <w:tcW w:w="573" w:type="pct"/>
            <w:vAlign w:val="center"/>
          </w:tcPr>
          <w:p>
            <w:pPr>
              <w:adjustRightInd w:val="0"/>
              <w:snapToGrid w:val="0"/>
              <w:ind w:firstLine="480"/>
              <w:jc w:val="center"/>
              <w:rPr>
                <w:sz w:val="24"/>
              </w:rPr>
            </w:pPr>
          </w:p>
        </w:tc>
        <w:tc>
          <w:tcPr>
            <w:tcW w:w="573" w:type="pct"/>
            <w:vAlign w:val="center"/>
          </w:tcPr>
          <w:p>
            <w:pPr>
              <w:adjustRightInd w:val="0"/>
              <w:snapToGrid w:val="0"/>
              <w:ind w:firstLine="480"/>
              <w:jc w:val="center"/>
              <w:rPr>
                <w:sz w:val="24"/>
              </w:rPr>
            </w:pPr>
          </w:p>
        </w:tc>
        <w:tc>
          <w:tcPr>
            <w:tcW w:w="525" w:type="pct"/>
            <w:vAlign w:val="center"/>
          </w:tcPr>
          <w:p>
            <w:pPr>
              <w:adjustRightInd w:val="0"/>
              <w:snapToGrid w:val="0"/>
              <w:ind w:firstLine="48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24" w:type="pct"/>
            <w:vAlign w:val="center"/>
          </w:tcPr>
          <w:p>
            <w:pPr>
              <w:adjustRightInd w:val="0"/>
              <w:snapToGrid w:val="0"/>
              <w:jc w:val="center"/>
              <w:rPr>
                <w:rFonts w:ascii="宋体" w:hAnsi="宋体" w:cs="宋体"/>
                <w:sz w:val="24"/>
              </w:rPr>
            </w:pPr>
            <w:r>
              <w:rPr>
                <w:rFonts w:hint="eastAsia" w:ascii="宋体" w:hAnsi="宋体" w:cs="宋体"/>
                <w:sz w:val="24"/>
              </w:rPr>
              <w:t>审</w:t>
            </w:r>
          </w:p>
          <w:p>
            <w:pPr>
              <w:adjustRightInd w:val="0"/>
              <w:snapToGrid w:val="0"/>
              <w:jc w:val="center"/>
              <w:rPr>
                <w:rFonts w:ascii="宋体" w:hAnsi="宋体" w:cs="宋体"/>
                <w:sz w:val="24"/>
              </w:rPr>
            </w:pPr>
            <w:r>
              <w:rPr>
                <w:rFonts w:hint="eastAsia" w:ascii="宋体" w:hAnsi="宋体" w:cs="宋体"/>
                <w:sz w:val="24"/>
              </w:rPr>
              <w:t>查</w:t>
            </w:r>
          </w:p>
          <w:p>
            <w:pPr>
              <w:adjustRightInd w:val="0"/>
              <w:snapToGrid w:val="0"/>
              <w:jc w:val="center"/>
              <w:rPr>
                <w:rFonts w:ascii="宋体" w:hAnsi="宋体" w:cs="宋体"/>
                <w:sz w:val="24"/>
              </w:rPr>
            </w:pPr>
            <w:r>
              <w:rPr>
                <w:rFonts w:hint="eastAsia" w:ascii="宋体" w:hAnsi="宋体" w:cs="宋体"/>
                <w:sz w:val="24"/>
              </w:rPr>
              <w:t>人</w:t>
            </w:r>
          </w:p>
          <w:p>
            <w:pPr>
              <w:adjustRightInd w:val="0"/>
              <w:snapToGrid w:val="0"/>
              <w:jc w:val="center"/>
              <w:rPr>
                <w:rFonts w:ascii="宋体" w:hAnsi="宋体" w:cs="宋体"/>
                <w:sz w:val="24"/>
              </w:rPr>
            </w:pPr>
            <w:r>
              <w:rPr>
                <w:rFonts w:hint="eastAsia" w:ascii="宋体" w:hAnsi="宋体" w:cs="宋体"/>
                <w:sz w:val="24"/>
              </w:rPr>
              <w:t>员</w:t>
            </w:r>
          </w:p>
        </w:tc>
        <w:tc>
          <w:tcPr>
            <w:tcW w:w="4575" w:type="pct"/>
            <w:gridSpan w:val="5"/>
            <w:vAlign w:val="center"/>
          </w:tcPr>
          <w:p>
            <w:pPr>
              <w:adjustRightInd w:val="0"/>
              <w:snapToGrid w:val="0"/>
              <w:rPr>
                <w:rFonts w:ascii="宋体" w:hAnsi="宋体" w:cs="宋体"/>
                <w:sz w:val="24"/>
              </w:rPr>
            </w:pPr>
            <w:r>
              <w:rPr>
                <w:rFonts w:hint="eastAsia" w:ascii="宋体" w:hAnsi="宋体" w:cs="宋体"/>
                <w:sz w:val="24"/>
              </w:rPr>
              <w:t>备注：（有不符合项的，需在此处详细写明理由）</w:t>
            </w:r>
          </w:p>
          <w:p>
            <w:pPr>
              <w:adjustRightInd w:val="0"/>
              <w:snapToGrid w:val="0"/>
              <w:rPr>
                <w:rFonts w:ascii="宋体" w:hAnsi="宋体" w:cs="宋体"/>
                <w:sz w:val="24"/>
              </w:rPr>
            </w:pPr>
          </w:p>
          <w:p>
            <w:pPr>
              <w:pStyle w:val="2"/>
              <w:rPr>
                <w:rFonts w:ascii="宋体" w:hAnsi="宋体" w:cs="宋体"/>
                <w:sz w:val="24"/>
              </w:rPr>
            </w:pPr>
          </w:p>
          <w:p>
            <w:pPr>
              <w:rPr>
                <w:rFonts w:ascii="宋体" w:hAnsi="宋体" w:cs="宋体"/>
                <w:sz w:val="24"/>
              </w:rPr>
            </w:pPr>
          </w:p>
          <w:p>
            <w:pPr>
              <w:pStyle w:val="2"/>
            </w:pPr>
          </w:p>
          <w:p>
            <w:pPr>
              <w:adjustRightInd w:val="0"/>
              <w:snapToGrid w:val="0"/>
              <w:rPr>
                <w:rFonts w:ascii="宋体" w:hAnsi="宋体" w:cs="宋体"/>
                <w:sz w:val="24"/>
              </w:rPr>
            </w:pPr>
            <w:r>
              <w:rPr>
                <w:rFonts w:hint="eastAsia" w:ascii="宋体" w:hAnsi="宋体" w:cs="宋体"/>
                <w:sz w:val="24"/>
              </w:rPr>
              <w:t>审查人签字：</w:t>
            </w:r>
          </w:p>
          <w:p>
            <w:pPr>
              <w:adjustRightInd w:val="0"/>
              <w:snapToGrid w:val="0"/>
              <w:rPr>
                <w:rFonts w:ascii="宋体" w:hAnsi="宋体" w:cs="宋体"/>
                <w:sz w:val="24"/>
              </w:rPr>
            </w:pPr>
            <w:r>
              <w:rPr>
                <w:rFonts w:hint="eastAsia" w:ascii="宋体" w:hAnsi="宋体" w:cs="宋体"/>
                <w:sz w:val="24"/>
              </w:rPr>
              <w:t>审查人单位：</w:t>
            </w:r>
            <w:r>
              <w:rPr>
                <w:rFonts w:ascii="宋体" w:hAnsi="宋体" w:cs="宋体"/>
                <w:sz w:val="24"/>
              </w:rPr>
              <w:t xml:space="preserve"> </w:t>
            </w:r>
          </w:p>
        </w:tc>
      </w:tr>
    </w:tbl>
    <w:p>
      <w:pPr>
        <w:jc w:val="center"/>
        <w:rPr>
          <w:rFonts w:ascii="宋体" w:hAnsi="宋体" w:cs="宋体"/>
          <w:b/>
        </w:rPr>
      </w:pPr>
    </w:p>
    <w:p>
      <w:pPr>
        <w:rPr>
          <w:rFonts w:ascii="宋体" w:hAnsi="宋体" w:cs="宋体"/>
          <w:sz w:val="24"/>
        </w:rPr>
      </w:pPr>
      <w:r>
        <w:rPr>
          <w:rFonts w:hint="eastAsia" w:ascii="宋体" w:hAnsi="宋体" w:cs="宋体"/>
          <w:sz w:val="24"/>
        </w:rPr>
        <w:t>注：1、货物和服务招标项目的资格审查由采购人或代理机构进行，至少两人。其他政府采购项目由评委会或谈判小组进行审查。</w:t>
      </w:r>
    </w:p>
    <w:p>
      <w:pPr>
        <w:ind w:firstLine="480" w:firstLineChars="200"/>
        <w:rPr>
          <w:rFonts w:ascii="宋体" w:hAnsi="宋体" w:cs="宋体"/>
          <w:sz w:val="24"/>
        </w:rPr>
      </w:pPr>
      <w:r>
        <w:rPr>
          <w:rFonts w:hint="eastAsia" w:ascii="宋体" w:hAnsi="宋体" w:cs="宋体"/>
          <w:sz w:val="24"/>
        </w:rPr>
        <w:t>2、审查情况或结论合格打√，不合格打×，不合格原因请在备注栏内注明。</w:t>
      </w:r>
    </w:p>
    <w:p>
      <w:pPr>
        <w:ind w:firstLine="480" w:firstLineChars="200"/>
        <w:rPr>
          <w:rFonts w:ascii="宋体" w:hAnsi="宋体"/>
          <w:sz w:val="24"/>
        </w:rPr>
      </w:pPr>
      <w:r>
        <w:rPr>
          <w:rFonts w:hint="eastAsia" w:ascii="宋体" w:hAnsi="宋体"/>
          <w:sz w:val="24"/>
        </w:rPr>
        <w:t>3、《资格性审查表》是资格性评审的依据，不得对《资格性审查表》以外的内容进行资格审查。</w:t>
      </w:r>
    </w:p>
    <w:p>
      <w:pPr>
        <w:jc w:val="center"/>
        <w:rPr>
          <w:rFonts w:ascii="宋体" w:hAnsi="宋体"/>
          <w:szCs w:val="21"/>
        </w:rPr>
      </w:pPr>
    </w:p>
    <w:p>
      <w:pPr>
        <w:jc w:val="center"/>
        <w:rPr>
          <w:rFonts w:ascii="宋体" w:hAnsi="宋体"/>
          <w:szCs w:val="21"/>
        </w:rPr>
      </w:pPr>
    </w:p>
    <w:p>
      <w:pPr>
        <w:rPr>
          <w:rFonts w:ascii="宋体" w:hAnsi="宋体"/>
          <w:szCs w:val="21"/>
        </w:rPr>
      </w:pPr>
    </w:p>
    <w:p>
      <w:pPr>
        <w:jc w:val="center"/>
        <w:rPr>
          <w:rFonts w:ascii="宋体" w:hAnsi="宋体"/>
          <w:szCs w:val="21"/>
        </w:rPr>
      </w:pPr>
    </w:p>
    <w:p>
      <w:pPr>
        <w:pStyle w:val="2"/>
      </w:pPr>
    </w:p>
    <w:p/>
    <w:p>
      <w:pPr>
        <w:jc w:val="center"/>
        <w:rPr>
          <w:rFonts w:ascii="宋体" w:hAnsi="宋体"/>
          <w:b/>
          <w:sz w:val="36"/>
          <w:szCs w:val="36"/>
        </w:rPr>
      </w:pPr>
      <w:r>
        <w:rPr>
          <w:rFonts w:hint="eastAsia" w:ascii="宋体" w:hAnsi="宋体"/>
          <w:b/>
          <w:sz w:val="36"/>
          <w:szCs w:val="36"/>
        </w:rPr>
        <w:t>符合性审查表</w:t>
      </w:r>
    </w:p>
    <w:tbl>
      <w:tblPr>
        <w:tblStyle w:val="20"/>
        <w:tblpPr w:leftFromText="180" w:rightFromText="180" w:vertAnchor="text" w:horzAnchor="margin" w:tblpXSpec="center" w:tblpY="15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5175"/>
        <w:gridCol w:w="631"/>
        <w:gridCol w:w="631"/>
        <w:gridCol w:w="63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8" w:type="pct"/>
            <w:vAlign w:val="center"/>
          </w:tcPr>
          <w:p>
            <w:pPr>
              <w:jc w:val="center"/>
              <w:rPr>
                <w:rFonts w:ascii="宋体" w:hAnsi="宋体" w:cs="宋体"/>
                <w:b/>
                <w:sz w:val="24"/>
              </w:rPr>
            </w:pPr>
            <w:r>
              <w:rPr>
                <w:rFonts w:hint="eastAsia" w:ascii="宋体" w:hAnsi="宋体" w:cs="宋体"/>
                <w:b/>
                <w:sz w:val="24"/>
              </w:rPr>
              <w:t>序号</w:t>
            </w:r>
          </w:p>
        </w:tc>
        <w:tc>
          <w:tcPr>
            <w:tcW w:w="3035" w:type="pct"/>
            <w:vAlign w:val="center"/>
          </w:tcPr>
          <w:p>
            <w:pPr>
              <w:jc w:val="center"/>
              <w:rPr>
                <w:rFonts w:ascii="宋体" w:hAnsi="宋体" w:cs="宋体"/>
                <w:b/>
                <w:sz w:val="24"/>
              </w:rPr>
            </w:pPr>
            <w:r>
              <w:rPr>
                <w:rFonts w:hint="eastAsia" w:ascii="宋体" w:hAnsi="宋体" w:cs="宋体"/>
                <w:b/>
                <w:sz w:val="24"/>
              </w:rPr>
              <w:t>审查内容</w:t>
            </w:r>
          </w:p>
        </w:tc>
        <w:tc>
          <w:tcPr>
            <w:tcW w:w="1485" w:type="pct"/>
            <w:gridSpan w:val="4"/>
            <w:vAlign w:val="center"/>
          </w:tcPr>
          <w:p>
            <w:pPr>
              <w:jc w:val="center"/>
              <w:rPr>
                <w:rFonts w:ascii="宋体" w:hAnsi="宋体" w:cs="宋体"/>
                <w:b/>
                <w:sz w:val="24"/>
              </w:rPr>
            </w:pPr>
            <w:r>
              <w:rPr>
                <w:rFonts w:hint="eastAsia" w:ascii="宋体" w:hAnsi="宋体" w:cs="宋体"/>
                <w:b/>
                <w:sz w:val="24"/>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78" w:type="pct"/>
            <w:vAlign w:val="center"/>
          </w:tcPr>
          <w:p>
            <w:pPr>
              <w:jc w:val="center"/>
              <w:rPr>
                <w:rFonts w:ascii="宋体" w:hAnsi="宋体" w:cs="宋体"/>
                <w:sz w:val="24"/>
              </w:rPr>
            </w:pPr>
            <w:r>
              <w:rPr>
                <w:rFonts w:ascii="宋体" w:hAnsi="宋体" w:cs="宋体"/>
                <w:sz w:val="24"/>
              </w:rPr>
              <w:t>1</w:t>
            </w:r>
          </w:p>
        </w:tc>
        <w:tc>
          <w:tcPr>
            <w:tcW w:w="3035" w:type="pct"/>
            <w:vAlign w:val="center"/>
          </w:tcPr>
          <w:p>
            <w:pPr>
              <w:pStyle w:val="6"/>
              <w:ind w:firstLine="0" w:firstLineChars="0"/>
              <w:rPr>
                <w:rFonts w:ascii="宋体" w:hAnsi="宋体"/>
                <w:sz w:val="24"/>
              </w:rPr>
            </w:pPr>
            <w:r>
              <w:rPr>
                <w:rFonts w:hint="eastAsia" w:ascii="宋体" w:hAnsi="宋体" w:cs="宋体"/>
                <w:sz w:val="24"/>
              </w:rPr>
              <w:t>投标人法定代表人（负责人）或者授权代表按时参加谈判会议。</w:t>
            </w:r>
          </w:p>
        </w:tc>
        <w:tc>
          <w:tcPr>
            <w:tcW w:w="370" w:type="pct"/>
            <w:vAlign w:val="center"/>
          </w:tcPr>
          <w:p>
            <w:pPr>
              <w:rPr>
                <w:rFonts w:ascii="宋体" w:hAnsi="宋体" w:cs="宋体"/>
                <w:sz w:val="24"/>
              </w:rPr>
            </w:pPr>
          </w:p>
        </w:tc>
        <w:tc>
          <w:tcPr>
            <w:tcW w:w="370" w:type="pct"/>
            <w:vAlign w:val="center"/>
          </w:tcPr>
          <w:p>
            <w:pPr>
              <w:rPr>
                <w:rFonts w:ascii="宋体" w:hAnsi="宋体" w:cs="宋体"/>
                <w:sz w:val="24"/>
              </w:rPr>
            </w:pPr>
          </w:p>
        </w:tc>
        <w:tc>
          <w:tcPr>
            <w:tcW w:w="370" w:type="pct"/>
            <w:vAlign w:val="center"/>
          </w:tcPr>
          <w:p>
            <w:pPr>
              <w:rPr>
                <w:rFonts w:ascii="宋体" w:hAnsi="宋体" w:cs="宋体"/>
                <w:sz w:val="24"/>
              </w:rPr>
            </w:pPr>
          </w:p>
        </w:tc>
        <w:tc>
          <w:tcPr>
            <w:tcW w:w="374" w:type="pct"/>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78" w:type="pct"/>
            <w:vAlign w:val="center"/>
          </w:tcPr>
          <w:p>
            <w:pPr>
              <w:jc w:val="center"/>
              <w:rPr>
                <w:rFonts w:ascii="宋体" w:hAnsi="宋体" w:cs="宋体"/>
                <w:sz w:val="24"/>
              </w:rPr>
            </w:pPr>
            <w:r>
              <w:rPr>
                <w:rFonts w:ascii="宋体" w:hAnsi="宋体" w:cs="宋体"/>
                <w:sz w:val="24"/>
              </w:rPr>
              <w:t>2</w:t>
            </w:r>
          </w:p>
        </w:tc>
        <w:tc>
          <w:tcPr>
            <w:tcW w:w="3035" w:type="pct"/>
            <w:vAlign w:val="center"/>
          </w:tcPr>
          <w:p>
            <w:pPr>
              <w:pStyle w:val="6"/>
              <w:ind w:firstLine="0" w:firstLineChars="0"/>
              <w:rPr>
                <w:rFonts w:ascii="宋体" w:hAnsi="宋体"/>
                <w:sz w:val="24"/>
              </w:rPr>
            </w:pPr>
            <w:r>
              <w:rPr>
                <w:rFonts w:hint="eastAsia" w:ascii="宋体" w:hAnsi="宋体"/>
                <w:sz w:val="24"/>
              </w:rPr>
              <w:t>投标有效期满足招标文件要求。</w:t>
            </w:r>
          </w:p>
        </w:tc>
        <w:tc>
          <w:tcPr>
            <w:tcW w:w="370" w:type="pct"/>
            <w:vAlign w:val="center"/>
          </w:tcPr>
          <w:p>
            <w:pPr>
              <w:rPr>
                <w:rFonts w:ascii="宋体" w:hAnsi="宋体" w:cs="宋体"/>
                <w:sz w:val="24"/>
              </w:rPr>
            </w:pPr>
          </w:p>
        </w:tc>
        <w:tc>
          <w:tcPr>
            <w:tcW w:w="370" w:type="pct"/>
            <w:vAlign w:val="center"/>
          </w:tcPr>
          <w:p>
            <w:pPr>
              <w:rPr>
                <w:rFonts w:ascii="宋体" w:hAnsi="宋体" w:cs="宋体"/>
                <w:sz w:val="24"/>
              </w:rPr>
            </w:pPr>
          </w:p>
        </w:tc>
        <w:tc>
          <w:tcPr>
            <w:tcW w:w="370" w:type="pct"/>
            <w:vAlign w:val="center"/>
          </w:tcPr>
          <w:p>
            <w:pPr>
              <w:rPr>
                <w:rFonts w:ascii="宋体" w:hAnsi="宋体" w:cs="宋体"/>
                <w:sz w:val="24"/>
              </w:rPr>
            </w:pPr>
          </w:p>
        </w:tc>
        <w:tc>
          <w:tcPr>
            <w:tcW w:w="374" w:type="pct"/>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78" w:type="pct"/>
            <w:vAlign w:val="center"/>
          </w:tcPr>
          <w:p>
            <w:pPr>
              <w:jc w:val="center"/>
              <w:rPr>
                <w:rFonts w:ascii="宋体" w:hAnsi="宋体" w:cs="宋体"/>
                <w:sz w:val="24"/>
              </w:rPr>
            </w:pPr>
            <w:r>
              <w:rPr>
                <w:rFonts w:hint="eastAsia" w:ascii="宋体" w:hAnsi="宋体" w:cs="宋体"/>
                <w:sz w:val="24"/>
              </w:rPr>
              <w:t>3</w:t>
            </w:r>
          </w:p>
        </w:tc>
        <w:tc>
          <w:tcPr>
            <w:tcW w:w="3035" w:type="pct"/>
            <w:vAlign w:val="center"/>
          </w:tcPr>
          <w:p>
            <w:pPr>
              <w:pStyle w:val="6"/>
              <w:ind w:firstLine="0" w:firstLineChars="0"/>
              <w:rPr>
                <w:rFonts w:ascii="宋体" w:hAnsi="宋体"/>
                <w:sz w:val="24"/>
              </w:rPr>
            </w:pPr>
            <w:r>
              <w:rPr>
                <w:rFonts w:hint="eastAsia" w:ascii="宋体" w:hAnsi="宋体"/>
                <w:sz w:val="24"/>
              </w:rPr>
              <w:t>投标文件完整性符合招标文件实质性要求。</w:t>
            </w:r>
          </w:p>
        </w:tc>
        <w:tc>
          <w:tcPr>
            <w:tcW w:w="370" w:type="pct"/>
            <w:vAlign w:val="center"/>
          </w:tcPr>
          <w:p>
            <w:pPr>
              <w:rPr>
                <w:rFonts w:ascii="宋体" w:hAnsi="宋体" w:cs="宋体"/>
                <w:sz w:val="24"/>
              </w:rPr>
            </w:pPr>
          </w:p>
        </w:tc>
        <w:tc>
          <w:tcPr>
            <w:tcW w:w="370" w:type="pct"/>
            <w:vAlign w:val="center"/>
          </w:tcPr>
          <w:p>
            <w:pPr>
              <w:rPr>
                <w:rFonts w:ascii="宋体" w:hAnsi="宋体" w:cs="宋体"/>
                <w:sz w:val="24"/>
              </w:rPr>
            </w:pPr>
          </w:p>
        </w:tc>
        <w:tc>
          <w:tcPr>
            <w:tcW w:w="370" w:type="pct"/>
            <w:vAlign w:val="center"/>
          </w:tcPr>
          <w:p>
            <w:pPr>
              <w:rPr>
                <w:rFonts w:ascii="宋体" w:hAnsi="宋体" w:cs="宋体"/>
                <w:sz w:val="24"/>
              </w:rPr>
            </w:pPr>
          </w:p>
        </w:tc>
        <w:tc>
          <w:tcPr>
            <w:tcW w:w="374" w:type="pct"/>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78" w:type="pct"/>
            <w:vAlign w:val="center"/>
          </w:tcPr>
          <w:p>
            <w:pPr>
              <w:jc w:val="center"/>
              <w:rPr>
                <w:rFonts w:ascii="宋体" w:hAnsi="宋体" w:cs="宋体"/>
                <w:sz w:val="24"/>
              </w:rPr>
            </w:pPr>
            <w:r>
              <w:rPr>
                <w:rFonts w:hint="eastAsia" w:ascii="宋体" w:hAnsi="宋体" w:cs="宋体"/>
                <w:sz w:val="24"/>
              </w:rPr>
              <w:t>4</w:t>
            </w:r>
          </w:p>
        </w:tc>
        <w:tc>
          <w:tcPr>
            <w:tcW w:w="3035" w:type="pct"/>
            <w:vAlign w:val="center"/>
          </w:tcPr>
          <w:p>
            <w:pPr>
              <w:pStyle w:val="6"/>
              <w:ind w:firstLine="0" w:firstLineChars="0"/>
              <w:rPr>
                <w:rFonts w:ascii="宋体" w:hAnsi="宋体"/>
                <w:sz w:val="24"/>
              </w:rPr>
            </w:pPr>
            <w:r>
              <w:rPr>
                <w:rFonts w:hint="eastAsia" w:ascii="宋体" w:hAnsi="宋体"/>
                <w:sz w:val="24"/>
              </w:rPr>
              <w:t>投标文件签署情况符合招标文件实质性要求。</w:t>
            </w:r>
          </w:p>
        </w:tc>
        <w:tc>
          <w:tcPr>
            <w:tcW w:w="370" w:type="pct"/>
            <w:vAlign w:val="center"/>
          </w:tcPr>
          <w:p>
            <w:pPr>
              <w:rPr>
                <w:rFonts w:ascii="宋体" w:hAnsi="宋体" w:cs="宋体"/>
                <w:sz w:val="24"/>
              </w:rPr>
            </w:pPr>
          </w:p>
        </w:tc>
        <w:tc>
          <w:tcPr>
            <w:tcW w:w="370" w:type="pct"/>
            <w:vAlign w:val="center"/>
          </w:tcPr>
          <w:p>
            <w:pPr>
              <w:rPr>
                <w:rFonts w:ascii="宋体" w:hAnsi="宋体" w:cs="宋体"/>
                <w:sz w:val="24"/>
              </w:rPr>
            </w:pPr>
          </w:p>
        </w:tc>
        <w:tc>
          <w:tcPr>
            <w:tcW w:w="370" w:type="pct"/>
            <w:vAlign w:val="center"/>
          </w:tcPr>
          <w:p>
            <w:pPr>
              <w:rPr>
                <w:rFonts w:ascii="宋体" w:hAnsi="宋体" w:cs="宋体"/>
                <w:sz w:val="24"/>
              </w:rPr>
            </w:pPr>
          </w:p>
        </w:tc>
        <w:tc>
          <w:tcPr>
            <w:tcW w:w="374" w:type="pct"/>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78" w:type="pct"/>
            <w:vAlign w:val="center"/>
          </w:tcPr>
          <w:p>
            <w:pPr>
              <w:jc w:val="center"/>
              <w:rPr>
                <w:rFonts w:ascii="宋体" w:hAnsi="宋体" w:cs="宋体"/>
                <w:sz w:val="24"/>
              </w:rPr>
            </w:pPr>
            <w:r>
              <w:rPr>
                <w:rFonts w:hint="eastAsia" w:ascii="宋体" w:hAnsi="宋体" w:cs="宋体"/>
                <w:sz w:val="24"/>
              </w:rPr>
              <w:t>5</w:t>
            </w:r>
          </w:p>
        </w:tc>
        <w:tc>
          <w:tcPr>
            <w:tcW w:w="3035" w:type="pct"/>
            <w:vAlign w:val="center"/>
          </w:tcPr>
          <w:p>
            <w:pPr>
              <w:pStyle w:val="6"/>
              <w:ind w:firstLine="0" w:firstLineChars="0"/>
              <w:rPr>
                <w:rFonts w:ascii="宋体" w:hAnsi="宋体"/>
                <w:sz w:val="24"/>
              </w:rPr>
            </w:pPr>
            <w:r>
              <w:rPr>
                <w:rFonts w:hint="eastAsia" w:ascii="宋体" w:hAnsi="宋体"/>
                <w:sz w:val="24"/>
              </w:rPr>
              <w:t>按照招标文件规定报价，没有漏项。</w:t>
            </w:r>
          </w:p>
        </w:tc>
        <w:tc>
          <w:tcPr>
            <w:tcW w:w="370" w:type="pct"/>
            <w:vAlign w:val="center"/>
          </w:tcPr>
          <w:p>
            <w:pPr>
              <w:rPr>
                <w:rFonts w:ascii="宋体" w:hAnsi="宋体" w:cs="宋体"/>
                <w:sz w:val="24"/>
              </w:rPr>
            </w:pPr>
          </w:p>
        </w:tc>
        <w:tc>
          <w:tcPr>
            <w:tcW w:w="370" w:type="pct"/>
            <w:vAlign w:val="center"/>
          </w:tcPr>
          <w:p>
            <w:pPr>
              <w:rPr>
                <w:rFonts w:ascii="宋体" w:hAnsi="宋体" w:cs="宋体"/>
                <w:sz w:val="24"/>
              </w:rPr>
            </w:pPr>
          </w:p>
        </w:tc>
        <w:tc>
          <w:tcPr>
            <w:tcW w:w="370" w:type="pct"/>
            <w:vAlign w:val="center"/>
          </w:tcPr>
          <w:p>
            <w:pPr>
              <w:rPr>
                <w:rFonts w:ascii="宋体" w:hAnsi="宋体" w:cs="宋体"/>
                <w:sz w:val="24"/>
              </w:rPr>
            </w:pPr>
          </w:p>
        </w:tc>
        <w:tc>
          <w:tcPr>
            <w:tcW w:w="374" w:type="pct"/>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78" w:type="pct"/>
            <w:vAlign w:val="center"/>
          </w:tcPr>
          <w:p>
            <w:pPr>
              <w:jc w:val="center"/>
              <w:rPr>
                <w:rFonts w:ascii="宋体" w:hAnsi="宋体" w:cs="宋体"/>
                <w:sz w:val="24"/>
              </w:rPr>
            </w:pPr>
            <w:r>
              <w:rPr>
                <w:rFonts w:hint="eastAsia" w:ascii="宋体" w:hAnsi="宋体" w:cs="宋体"/>
                <w:sz w:val="24"/>
              </w:rPr>
              <w:t>6</w:t>
            </w:r>
          </w:p>
        </w:tc>
        <w:tc>
          <w:tcPr>
            <w:tcW w:w="3035" w:type="pct"/>
            <w:vAlign w:val="center"/>
          </w:tcPr>
          <w:p>
            <w:pPr>
              <w:pStyle w:val="6"/>
              <w:ind w:firstLine="0" w:firstLineChars="0"/>
              <w:rPr>
                <w:rFonts w:ascii="宋体" w:hAnsi="宋体"/>
                <w:sz w:val="24"/>
              </w:rPr>
            </w:pPr>
            <w:r>
              <w:rPr>
                <w:rFonts w:hint="eastAsia" w:ascii="宋体" w:hAnsi="宋体"/>
                <w:sz w:val="24"/>
              </w:rPr>
              <w:t>投标报价未超过招标文件中规定的预算金额或者拦标价。</w:t>
            </w:r>
          </w:p>
        </w:tc>
        <w:tc>
          <w:tcPr>
            <w:tcW w:w="370" w:type="pct"/>
            <w:vAlign w:val="center"/>
          </w:tcPr>
          <w:p>
            <w:pPr>
              <w:rPr>
                <w:rFonts w:ascii="宋体" w:hAnsi="宋体" w:cs="宋体"/>
                <w:sz w:val="24"/>
              </w:rPr>
            </w:pPr>
          </w:p>
        </w:tc>
        <w:tc>
          <w:tcPr>
            <w:tcW w:w="370" w:type="pct"/>
            <w:vAlign w:val="center"/>
          </w:tcPr>
          <w:p>
            <w:pPr>
              <w:rPr>
                <w:rFonts w:ascii="宋体" w:hAnsi="宋体" w:cs="宋体"/>
                <w:sz w:val="24"/>
              </w:rPr>
            </w:pPr>
          </w:p>
        </w:tc>
        <w:tc>
          <w:tcPr>
            <w:tcW w:w="370" w:type="pct"/>
            <w:vAlign w:val="center"/>
          </w:tcPr>
          <w:p>
            <w:pPr>
              <w:rPr>
                <w:rFonts w:ascii="宋体" w:hAnsi="宋体" w:cs="宋体"/>
                <w:sz w:val="24"/>
              </w:rPr>
            </w:pPr>
          </w:p>
        </w:tc>
        <w:tc>
          <w:tcPr>
            <w:tcW w:w="374" w:type="pct"/>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78" w:type="pct"/>
            <w:vAlign w:val="center"/>
          </w:tcPr>
          <w:p>
            <w:pPr>
              <w:jc w:val="center"/>
              <w:rPr>
                <w:rFonts w:ascii="宋体" w:hAnsi="宋体" w:cs="宋体"/>
                <w:sz w:val="24"/>
              </w:rPr>
            </w:pPr>
            <w:r>
              <w:rPr>
                <w:rFonts w:hint="eastAsia" w:ascii="宋体" w:hAnsi="宋体" w:cs="宋体"/>
                <w:sz w:val="24"/>
              </w:rPr>
              <w:t>7</w:t>
            </w:r>
          </w:p>
        </w:tc>
        <w:tc>
          <w:tcPr>
            <w:tcW w:w="3035" w:type="pct"/>
            <w:vAlign w:val="center"/>
          </w:tcPr>
          <w:p>
            <w:pPr>
              <w:pStyle w:val="6"/>
              <w:ind w:firstLine="0" w:firstLineChars="0"/>
              <w:rPr>
                <w:rFonts w:ascii="宋体" w:hAnsi="宋体"/>
                <w:sz w:val="24"/>
              </w:rPr>
            </w:pPr>
            <w:r>
              <w:rPr>
                <w:rFonts w:hint="eastAsia" w:ascii="宋体" w:hAnsi="宋体"/>
                <w:sz w:val="24"/>
              </w:rPr>
              <w:t>对“★”条款做出实质性响应，未发生重大偏离。</w:t>
            </w:r>
          </w:p>
        </w:tc>
        <w:tc>
          <w:tcPr>
            <w:tcW w:w="370" w:type="pct"/>
            <w:vAlign w:val="center"/>
          </w:tcPr>
          <w:p>
            <w:pPr>
              <w:rPr>
                <w:rFonts w:ascii="宋体" w:hAnsi="宋体" w:cs="宋体"/>
                <w:sz w:val="24"/>
              </w:rPr>
            </w:pPr>
          </w:p>
        </w:tc>
        <w:tc>
          <w:tcPr>
            <w:tcW w:w="370" w:type="pct"/>
            <w:vAlign w:val="center"/>
          </w:tcPr>
          <w:p>
            <w:pPr>
              <w:rPr>
                <w:rFonts w:ascii="宋体" w:hAnsi="宋体" w:cs="宋体"/>
                <w:sz w:val="24"/>
              </w:rPr>
            </w:pPr>
          </w:p>
        </w:tc>
        <w:tc>
          <w:tcPr>
            <w:tcW w:w="370" w:type="pct"/>
            <w:vAlign w:val="center"/>
          </w:tcPr>
          <w:p>
            <w:pPr>
              <w:rPr>
                <w:rFonts w:ascii="宋体" w:hAnsi="宋体" w:cs="宋体"/>
                <w:sz w:val="24"/>
              </w:rPr>
            </w:pPr>
          </w:p>
        </w:tc>
        <w:tc>
          <w:tcPr>
            <w:tcW w:w="374" w:type="pct"/>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78" w:type="pct"/>
            <w:vAlign w:val="center"/>
          </w:tcPr>
          <w:p>
            <w:pPr>
              <w:jc w:val="center"/>
              <w:rPr>
                <w:rFonts w:ascii="宋体" w:hAnsi="宋体" w:cs="宋体"/>
                <w:sz w:val="24"/>
              </w:rPr>
            </w:pPr>
            <w:r>
              <w:rPr>
                <w:rFonts w:hint="eastAsia" w:ascii="宋体" w:hAnsi="宋体" w:cs="宋体"/>
                <w:sz w:val="24"/>
              </w:rPr>
              <w:t>8</w:t>
            </w:r>
          </w:p>
        </w:tc>
        <w:tc>
          <w:tcPr>
            <w:tcW w:w="3035" w:type="pct"/>
            <w:vAlign w:val="center"/>
          </w:tcPr>
          <w:p>
            <w:pPr>
              <w:pStyle w:val="6"/>
              <w:ind w:firstLine="0" w:firstLineChars="0"/>
              <w:jc w:val="left"/>
              <w:rPr>
                <w:rFonts w:ascii="宋体" w:hAnsi="宋体"/>
                <w:sz w:val="24"/>
              </w:rPr>
            </w:pPr>
            <w:r>
              <w:rPr>
                <w:rFonts w:hint="eastAsia" w:ascii="宋体" w:hAnsi="宋体"/>
                <w:sz w:val="24"/>
              </w:rPr>
              <w:t>未发现投标人涂改证明材料或者提供虚假材料。</w:t>
            </w:r>
          </w:p>
        </w:tc>
        <w:tc>
          <w:tcPr>
            <w:tcW w:w="370" w:type="pct"/>
            <w:vAlign w:val="center"/>
          </w:tcPr>
          <w:p>
            <w:pPr>
              <w:rPr>
                <w:rFonts w:ascii="宋体" w:hAnsi="宋体" w:cs="宋体"/>
                <w:sz w:val="24"/>
              </w:rPr>
            </w:pPr>
          </w:p>
        </w:tc>
        <w:tc>
          <w:tcPr>
            <w:tcW w:w="370" w:type="pct"/>
            <w:vAlign w:val="center"/>
          </w:tcPr>
          <w:p>
            <w:pPr>
              <w:rPr>
                <w:rFonts w:ascii="宋体" w:hAnsi="宋体" w:cs="宋体"/>
                <w:sz w:val="24"/>
              </w:rPr>
            </w:pPr>
          </w:p>
        </w:tc>
        <w:tc>
          <w:tcPr>
            <w:tcW w:w="370" w:type="pct"/>
            <w:vAlign w:val="center"/>
          </w:tcPr>
          <w:p>
            <w:pPr>
              <w:rPr>
                <w:rFonts w:ascii="宋体" w:hAnsi="宋体" w:cs="宋体"/>
                <w:sz w:val="24"/>
              </w:rPr>
            </w:pPr>
          </w:p>
        </w:tc>
        <w:tc>
          <w:tcPr>
            <w:tcW w:w="374" w:type="pct"/>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78" w:type="pct"/>
            <w:vAlign w:val="center"/>
          </w:tcPr>
          <w:p>
            <w:pPr>
              <w:jc w:val="center"/>
              <w:rPr>
                <w:rFonts w:ascii="宋体" w:hAnsi="宋体" w:cs="宋体"/>
                <w:sz w:val="24"/>
              </w:rPr>
            </w:pPr>
            <w:r>
              <w:rPr>
                <w:rFonts w:hint="eastAsia" w:ascii="宋体" w:hAnsi="宋体" w:cs="宋体"/>
                <w:sz w:val="24"/>
              </w:rPr>
              <w:t>9</w:t>
            </w:r>
          </w:p>
        </w:tc>
        <w:tc>
          <w:tcPr>
            <w:tcW w:w="3035" w:type="pct"/>
            <w:vAlign w:val="center"/>
          </w:tcPr>
          <w:p>
            <w:pPr>
              <w:pStyle w:val="6"/>
              <w:ind w:firstLine="0" w:firstLineChars="0"/>
              <w:rPr>
                <w:rFonts w:ascii="宋体" w:hAnsi="宋体"/>
                <w:sz w:val="24"/>
              </w:rPr>
            </w:pPr>
            <w:r>
              <w:rPr>
                <w:rFonts w:hint="eastAsia" w:ascii="宋体" w:hAnsi="宋体"/>
                <w:sz w:val="24"/>
              </w:rPr>
              <w:t>投标文件未含有采购人不能接受的附加条件的。</w:t>
            </w:r>
          </w:p>
        </w:tc>
        <w:tc>
          <w:tcPr>
            <w:tcW w:w="370" w:type="pct"/>
            <w:vAlign w:val="center"/>
          </w:tcPr>
          <w:p>
            <w:pPr>
              <w:rPr>
                <w:rFonts w:ascii="宋体" w:hAnsi="宋体" w:cs="宋体"/>
                <w:sz w:val="24"/>
              </w:rPr>
            </w:pPr>
          </w:p>
        </w:tc>
        <w:tc>
          <w:tcPr>
            <w:tcW w:w="370" w:type="pct"/>
            <w:vAlign w:val="center"/>
          </w:tcPr>
          <w:p>
            <w:pPr>
              <w:rPr>
                <w:rFonts w:ascii="宋体" w:hAnsi="宋体" w:cs="宋体"/>
                <w:sz w:val="24"/>
              </w:rPr>
            </w:pPr>
          </w:p>
        </w:tc>
        <w:tc>
          <w:tcPr>
            <w:tcW w:w="370" w:type="pct"/>
            <w:vAlign w:val="center"/>
          </w:tcPr>
          <w:p>
            <w:pPr>
              <w:rPr>
                <w:rFonts w:ascii="宋体" w:hAnsi="宋体" w:cs="宋体"/>
                <w:sz w:val="24"/>
              </w:rPr>
            </w:pPr>
          </w:p>
        </w:tc>
        <w:tc>
          <w:tcPr>
            <w:tcW w:w="374" w:type="pct"/>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78" w:type="pct"/>
            <w:vAlign w:val="center"/>
          </w:tcPr>
          <w:p>
            <w:pPr>
              <w:jc w:val="center"/>
              <w:rPr>
                <w:rFonts w:ascii="宋体" w:hAnsi="宋体" w:cs="宋体"/>
                <w:sz w:val="24"/>
              </w:rPr>
            </w:pPr>
            <w:r>
              <w:rPr>
                <w:rFonts w:hint="eastAsia" w:ascii="宋体" w:hAnsi="宋体" w:cs="宋体"/>
                <w:sz w:val="24"/>
              </w:rPr>
              <w:t>10</w:t>
            </w:r>
          </w:p>
        </w:tc>
        <w:tc>
          <w:tcPr>
            <w:tcW w:w="3035" w:type="pct"/>
            <w:vAlign w:val="center"/>
          </w:tcPr>
          <w:p>
            <w:pPr>
              <w:pStyle w:val="6"/>
              <w:ind w:firstLine="0" w:firstLineChars="0"/>
              <w:rPr>
                <w:rFonts w:ascii="宋体" w:hAnsi="宋体"/>
                <w:sz w:val="24"/>
              </w:rPr>
            </w:pPr>
            <w:r>
              <w:rPr>
                <w:rFonts w:hint="eastAsia" w:ascii="宋体" w:hAnsi="宋体"/>
                <w:sz w:val="24"/>
              </w:rPr>
              <w:t>未发现其他不符合法律法规规定的实质性要求。</w:t>
            </w:r>
          </w:p>
        </w:tc>
        <w:tc>
          <w:tcPr>
            <w:tcW w:w="370" w:type="pct"/>
            <w:vAlign w:val="center"/>
          </w:tcPr>
          <w:p>
            <w:pPr>
              <w:rPr>
                <w:rFonts w:ascii="宋体" w:hAnsi="宋体" w:cs="宋体"/>
                <w:sz w:val="24"/>
              </w:rPr>
            </w:pPr>
          </w:p>
        </w:tc>
        <w:tc>
          <w:tcPr>
            <w:tcW w:w="370" w:type="pct"/>
            <w:vAlign w:val="center"/>
          </w:tcPr>
          <w:p>
            <w:pPr>
              <w:rPr>
                <w:rFonts w:ascii="宋体" w:hAnsi="宋体" w:cs="宋体"/>
                <w:sz w:val="24"/>
              </w:rPr>
            </w:pPr>
          </w:p>
        </w:tc>
        <w:tc>
          <w:tcPr>
            <w:tcW w:w="370" w:type="pct"/>
            <w:vAlign w:val="center"/>
          </w:tcPr>
          <w:p>
            <w:pPr>
              <w:rPr>
                <w:rFonts w:ascii="宋体" w:hAnsi="宋体" w:cs="宋体"/>
                <w:sz w:val="24"/>
              </w:rPr>
            </w:pPr>
          </w:p>
        </w:tc>
        <w:tc>
          <w:tcPr>
            <w:tcW w:w="374" w:type="pct"/>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3514" w:type="pct"/>
            <w:gridSpan w:val="2"/>
            <w:vAlign w:val="center"/>
          </w:tcPr>
          <w:p>
            <w:pPr>
              <w:rPr>
                <w:rFonts w:ascii="宋体" w:hAnsi="宋体" w:cs="宋体"/>
                <w:sz w:val="24"/>
              </w:rPr>
            </w:pPr>
            <w:r>
              <w:rPr>
                <w:rFonts w:hint="eastAsia" w:ascii="宋体" w:hAnsi="宋体" w:cs="宋体"/>
                <w:sz w:val="24"/>
              </w:rPr>
              <w:t>审查结论</w:t>
            </w:r>
          </w:p>
        </w:tc>
        <w:tc>
          <w:tcPr>
            <w:tcW w:w="370" w:type="pct"/>
            <w:vAlign w:val="center"/>
          </w:tcPr>
          <w:p>
            <w:pPr>
              <w:rPr>
                <w:rFonts w:ascii="宋体" w:hAnsi="宋体" w:cs="宋体"/>
                <w:sz w:val="24"/>
              </w:rPr>
            </w:pPr>
          </w:p>
        </w:tc>
        <w:tc>
          <w:tcPr>
            <w:tcW w:w="370" w:type="pct"/>
            <w:vAlign w:val="center"/>
          </w:tcPr>
          <w:p>
            <w:pPr>
              <w:rPr>
                <w:rFonts w:ascii="宋体" w:hAnsi="宋体" w:cs="宋体"/>
                <w:sz w:val="24"/>
              </w:rPr>
            </w:pPr>
          </w:p>
        </w:tc>
        <w:tc>
          <w:tcPr>
            <w:tcW w:w="370" w:type="pct"/>
            <w:vAlign w:val="center"/>
          </w:tcPr>
          <w:p>
            <w:pPr>
              <w:rPr>
                <w:rFonts w:ascii="宋体" w:hAnsi="宋体" w:cs="宋体"/>
                <w:sz w:val="24"/>
              </w:rPr>
            </w:pPr>
          </w:p>
        </w:tc>
        <w:tc>
          <w:tcPr>
            <w:tcW w:w="374" w:type="pct"/>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5000" w:type="pct"/>
            <w:gridSpan w:val="6"/>
            <w:vAlign w:val="center"/>
          </w:tcPr>
          <w:p>
            <w:pPr>
              <w:rPr>
                <w:rFonts w:ascii="宋体" w:hAnsi="宋体" w:cs="宋体"/>
                <w:sz w:val="24"/>
              </w:rPr>
            </w:pPr>
            <w:r>
              <w:rPr>
                <w:rFonts w:hint="eastAsia" w:ascii="宋体" w:hAnsi="宋体" w:cs="宋体"/>
                <w:sz w:val="24"/>
              </w:rPr>
              <w:t>备注：（有不符合项的，需在此处详细写明理由）</w:t>
            </w:r>
          </w:p>
          <w:p>
            <w:pPr>
              <w:rPr>
                <w:rFonts w:ascii="宋体" w:hAnsi="宋体" w:cs="宋体"/>
                <w:sz w:val="24"/>
              </w:rPr>
            </w:pPr>
          </w:p>
          <w:p>
            <w:pPr>
              <w:rPr>
                <w:rFonts w:ascii="宋体" w:hAnsi="宋体" w:cs="宋体"/>
                <w:sz w:val="24"/>
              </w:rPr>
            </w:pPr>
            <w:r>
              <w:rPr>
                <w:rFonts w:ascii="宋体" w:hAnsi="宋体" w:cs="宋体"/>
                <w:sz w:val="24"/>
              </w:rPr>
              <w:t xml:space="preserve">                                   </w:t>
            </w:r>
            <w:r>
              <w:rPr>
                <w:rFonts w:hint="eastAsia" w:ascii="宋体" w:hAnsi="宋体" w:cs="宋体"/>
                <w:sz w:val="24"/>
              </w:rPr>
              <w:t xml:space="preserve">                   </w:t>
            </w:r>
          </w:p>
          <w:p>
            <w:pPr>
              <w:rPr>
                <w:rFonts w:ascii="宋体" w:hAnsi="宋体" w:cs="宋体"/>
                <w:sz w:val="24"/>
              </w:rPr>
            </w:pPr>
            <w:r>
              <w:rPr>
                <w:rFonts w:hint="eastAsia" w:ascii="宋体" w:hAnsi="宋体" w:cs="宋体"/>
                <w:sz w:val="24"/>
              </w:rPr>
              <w:t>评委签字：</w:t>
            </w:r>
          </w:p>
        </w:tc>
      </w:tr>
    </w:tbl>
    <w:p>
      <w:pPr>
        <w:tabs>
          <w:tab w:val="left" w:pos="2410"/>
        </w:tabs>
        <w:ind w:right="-164" w:rightChars="-78"/>
        <w:jc w:val="left"/>
        <w:rPr>
          <w:rFonts w:ascii="宋体" w:hAnsi="宋体" w:cs="宋体"/>
          <w:szCs w:val="21"/>
        </w:rPr>
      </w:pPr>
    </w:p>
    <w:p>
      <w:pPr>
        <w:rPr>
          <w:rFonts w:asciiTheme="minorEastAsia" w:hAnsiTheme="minorEastAsia" w:eastAsiaTheme="minorEastAsia"/>
          <w:sz w:val="24"/>
        </w:rPr>
      </w:pPr>
      <w:r>
        <w:rPr>
          <w:rFonts w:hint="eastAsia" w:cs="宋体" w:asciiTheme="minorEastAsia" w:hAnsiTheme="minorEastAsia" w:eastAsiaTheme="minorEastAsia"/>
          <w:sz w:val="24"/>
        </w:rPr>
        <w:t>注：</w:t>
      </w:r>
      <w:r>
        <w:rPr>
          <w:rFonts w:asciiTheme="minorEastAsia" w:hAnsiTheme="minorEastAsia" w:eastAsiaTheme="minorEastAsia"/>
          <w:sz w:val="24"/>
        </w:rPr>
        <w:t>1</w:t>
      </w:r>
      <w:r>
        <w:rPr>
          <w:rFonts w:hint="eastAsia" w:asciiTheme="minorEastAsia" w:hAnsiTheme="minorEastAsia" w:eastAsiaTheme="minorEastAsia"/>
          <w:sz w:val="24"/>
        </w:rPr>
        <w:t>、合格项打√，不合格项打×，不合格原因请在备注栏内注明。</w:t>
      </w:r>
    </w:p>
    <w:p>
      <w:pPr>
        <w:ind w:firstLine="480" w:firstLineChars="200"/>
      </w:pPr>
      <w:r>
        <w:rPr>
          <w:rFonts w:asciiTheme="minorEastAsia" w:hAnsiTheme="minorEastAsia" w:eastAsiaTheme="minorEastAsia"/>
          <w:sz w:val="24"/>
        </w:rPr>
        <w:t>2</w:t>
      </w:r>
      <w:r>
        <w:rPr>
          <w:rFonts w:hint="eastAsia" w:asciiTheme="minorEastAsia" w:hAnsiTheme="minorEastAsia" w:eastAsiaTheme="minorEastAsia"/>
          <w:sz w:val="24"/>
        </w:rPr>
        <w:t>、《符合性审查表》是符合性评审的依据，《符合性审查表》未列明的，不得作为符合性评审中认定投标（报价）文件无效的依据（属于法律法规规定的投标文件无效的情形除外。</w:t>
      </w:r>
    </w:p>
    <w:sectPr>
      <w:headerReference r:id="rId23" w:type="default"/>
      <w:footerReference r:id="rId24" w:type="default"/>
      <w:pgSz w:w="11907" w:h="16840"/>
      <w:pgMar w:top="1440" w:right="1800" w:bottom="1440" w:left="1800" w:header="851" w:footer="828"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18030">
    <w:altName w:val="Arial Unicode MS"/>
    <w:panose1 w:val="00000000000000000000"/>
    <w:charset w:val="86"/>
    <w:family w:val="auto"/>
    <w:pitch w:val="default"/>
    <w:sig w:usb0="00000000" w:usb1="00000000" w:usb2="000A005E"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4"/>
      </w:rPr>
    </w:pPr>
    <w:r>
      <w:fldChar w:fldCharType="begin"/>
    </w:r>
    <w:r>
      <w:rPr>
        <w:rStyle w:val="24"/>
      </w:rPr>
      <w:instrText xml:space="preserve">PAGE  </w:instrText>
    </w:r>
    <w:r>
      <w:fldChar w:fldCharType="separate"/>
    </w:r>
    <w:r>
      <w:rPr>
        <w:rStyle w:val="24"/>
      </w:rPr>
      <w:t>- 30 -</w:t>
    </w:r>
    <w:r>
      <w:fldChar w:fldCharType="end"/>
    </w:r>
  </w:p>
  <w:p>
    <w:pPr>
      <w:pStyle w:val="12"/>
      <w:rPr>
        <w:rFonts w:ascii="仿宋_GB2312" w:eastAsia="仿宋_GB2312"/>
        <w:sz w:val="21"/>
        <w:szCs w:val="21"/>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仿宋_GB2312" w:eastAsia="仿宋_GB2312"/>
        <w:sz w:val="21"/>
        <w:szCs w:val="21"/>
      </w:rPr>
    </w:pPr>
  </w:p>
  <w:p>
    <w:pPr>
      <w:pStyle w:val="12"/>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- 54 -</w:t>
    </w:r>
    <w:r>
      <w:rPr>
        <w:rStyle w:val="24"/>
      </w:rPr>
      <w:fldChar w:fldCharType="end"/>
    </w:r>
  </w:p>
  <w:p>
    <w:pPr>
      <w:pStyle w:val="12"/>
      <w:jc w:val="right"/>
      <w:rPr>
        <w:rFonts w:ascii="宋体" w:hAnsi="宋体"/>
        <w:sz w:val="21"/>
        <w:szCs w:val="21"/>
      </w:rPr>
    </w:pPr>
  </w:p>
  <w:p>
    <w:pPr>
      <w:pStyle w:val="12"/>
      <w:rPr>
        <w:rFonts w:ascii="仿宋_GB2312" w:eastAsia="仿宋_GB2312"/>
        <w:sz w:val="21"/>
        <w:szCs w:val="21"/>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仿宋_GB2312" w:eastAsia="仿宋_GB2312"/>
        <w:sz w:val="21"/>
        <w:szCs w:val="21"/>
      </w:rPr>
    </w:pPr>
    <w:r>
      <w:rPr>
        <w:rFonts w:ascii="仿宋_GB2312" w:eastAsia="仿宋_GB2312"/>
        <w:sz w:val="21"/>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-98425</wp:posOffset>
              </wp:positionV>
              <wp:extent cx="5829300"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7.75pt;height:0pt;width:459pt;z-index:251660288;mso-width-relative:page;mso-height-relative:page;" filled="f" stroked="t" coordsize="21600,21600" o:gfxdata="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DzrYtUA&#10;AAAIAQAADwAAAAAAAAABACAAAAAiAAAAZHJzL2Rvd25yZXYueG1sUEsBAhQAFAAAAAgAh07iQBq4&#10;Xc/pAQAAuAMAAA4AAAAAAAAAAQAgAAAAJAEAAGRycy9lMm9Eb2MueG1sUEsFBgAAAAAGAAYAWQEA&#10;AH8FAAAAAA==&#10;">
              <v:fill on="f" focussize="0,0"/>
              <v:stroke color="#000000" joinstyle="round"/>
              <v:imagedata o:title=""/>
              <o:lock v:ext="edit" aspectratio="f"/>
            </v:line>
          </w:pict>
        </mc:Fallback>
      </mc:AlternateContent>
    </w:r>
  </w:p>
  <w:p>
    <w:pPr>
      <w:pStyle w:val="1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仿宋_GB2312" w:eastAsia="仿宋_GB2312"/>
        <w:sz w:val="21"/>
        <w:szCs w:val="21"/>
      </w:rPr>
    </w:pPr>
  </w:p>
  <w:p>
    <w:pPr>
      <w:pStyle w:val="12"/>
      <w:framePr w:wrap="around" w:vAnchor="text" w:hAnchor="margin" w:xAlign="center" w:y="1"/>
      <w:rPr>
        <w:rStyle w:val="24"/>
      </w:rPr>
    </w:pPr>
    <w:r>
      <w:fldChar w:fldCharType="begin"/>
    </w:r>
    <w:r>
      <w:rPr>
        <w:rStyle w:val="24"/>
      </w:rPr>
      <w:instrText xml:space="preserve">PAGE  </w:instrText>
    </w:r>
    <w:r>
      <w:fldChar w:fldCharType="separate"/>
    </w:r>
    <w:r>
      <w:rPr>
        <w:rStyle w:val="24"/>
      </w:rPr>
      <w:t>- 63 -</w:t>
    </w:r>
    <w:r>
      <w:fldChar w:fldCharType="end"/>
    </w:r>
  </w:p>
  <w:p>
    <w:pPr>
      <w:pStyle w:val="12"/>
      <w:rPr>
        <w:rFonts w:ascii="仿宋_GB2312" w:eastAsia="仿宋_GB2312"/>
        <w:sz w:val="21"/>
        <w:szCs w:val="21"/>
      </w:rPr>
    </w:pPr>
    <w:r>
      <w:rPr>
        <w:rFonts w:hint="eastAsia" w:ascii="仿宋_GB2312" w:eastAsia="仿宋_GB2312"/>
        <w:sz w:val="21"/>
        <w:szCs w:val="21"/>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765"/>
        <w:tab w:val="clear" w:pos="4153"/>
        <w:tab w:val="clear" w:pos="8306"/>
      </w:tabs>
      <w:jc w:val="center"/>
      <w:rPr>
        <w:rFonts w:ascii="仿宋_GB2312" w:eastAsia="仿宋_GB2312"/>
        <w:sz w:val="21"/>
        <w:szCs w:val="21"/>
      </w:rPr>
    </w:pP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81119"/>
    </w:sdtPr>
    <w:sdtContent>
      <w:p>
        <w:pPr>
          <w:pStyle w:val="12"/>
          <w:jc w:val="center"/>
        </w:pPr>
        <w:r>
          <w:fldChar w:fldCharType="begin"/>
        </w:r>
        <w:r>
          <w:instrText xml:space="preserve"> PAGE   \* MERGEFORMAT </w:instrText>
        </w:r>
        <w:r>
          <w:fldChar w:fldCharType="separate"/>
        </w:r>
        <w:r>
          <w:rPr>
            <w:lang w:val="zh-CN"/>
          </w:rPr>
          <w:t>27</w:t>
        </w:r>
        <w:r>
          <w:rPr>
            <w:lang w:val="zh-CN"/>
          </w:rPr>
          <w:fldChar w:fldCharType="end"/>
        </w:r>
      </w:p>
    </w:sdtContent>
  </w:sdt>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62757221"/>
                          </w:sdtPr>
                          <w:sdtContent>
                            <w:p>
                              <w:pPr>
                                <w:pStyle w:val="12"/>
                                <w:jc w:val="center"/>
                              </w:pPr>
                              <w:r>
                                <w:fldChar w:fldCharType="begin"/>
                              </w:r>
                              <w:r>
                                <w:instrText xml:space="preserve"> PAGE   \* MERGEFORMAT </w:instrText>
                              </w:r>
                              <w:r>
                                <w:fldChar w:fldCharType="separate"/>
                              </w:r>
                              <w:r>
                                <w:rPr>
                                  <w:lang w:val="zh-CN"/>
                                </w:rPr>
                                <w:t>33</w:t>
                              </w:r>
                              <w:r>
                                <w:rPr>
                                  <w:lang w:val="zh-CN"/>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sdt>
                    <w:sdtPr>
                      <w:id w:val="-762757221"/>
                    </w:sdtPr>
                    <w:sdtContent>
                      <w:p>
                        <w:pPr>
                          <w:pStyle w:val="12"/>
                          <w:jc w:val="center"/>
                        </w:pPr>
                        <w:r>
                          <w:fldChar w:fldCharType="begin"/>
                        </w:r>
                        <w:r>
                          <w:instrText xml:space="preserve"> PAGE   \* MERGEFORMAT </w:instrText>
                        </w:r>
                        <w:r>
                          <w:fldChar w:fldCharType="separate"/>
                        </w:r>
                        <w:r>
                          <w:rPr>
                            <w:lang w:val="zh-CN"/>
                          </w:rPr>
                          <w:t>33</w:t>
                        </w:r>
                        <w:r>
                          <w:rPr>
                            <w:lang w:val="zh-CN"/>
                          </w:rPr>
                          <w:fldChar w:fldCharType="end"/>
                        </w:r>
                      </w:p>
                    </w:sdtContent>
                  </w:sdt>
                  <w:p>
                    <w:pPr>
                      <w:pStyle w:val="2"/>
                    </w:pPr>
                  </w:p>
                </w:txbxContent>
              </v:textbox>
            </v:shape>
          </w:pict>
        </mc:Fallback>
      </mc:AlternateContent>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765"/>
        <w:tab w:val="clear" w:pos="4153"/>
        <w:tab w:val="clear" w:pos="8306"/>
      </w:tabs>
      <w:jc w:val="center"/>
      <w:rPr>
        <w:rFonts w:ascii="仿宋_GB2312" w:eastAsia="仿宋_GB2312"/>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28</w:t>
                    </w:r>
                    <w:r>
                      <w:fldChar w:fldCharType="end"/>
                    </w:r>
                  </w:p>
                </w:txbxContent>
              </v:textbox>
            </v:shape>
          </w:pict>
        </mc:Fallback>
      </mc:AlternateContent>
    </w:r>
  </w:p>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8344263"/>
    </w:sdtPr>
    <w:sdtContent>
      <w:p>
        <w:pPr>
          <w:pStyle w:val="12"/>
          <w:jc w:val="center"/>
        </w:pPr>
        <w:r>
          <w:fldChar w:fldCharType="begin"/>
        </w:r>
        <w:r>
          <w:instrText xml:space="preserve"> PAGE   \* MERGEFORMAT </w:instrText>
        </w:r>
        <w:r>
          <w:fldChar w:fldCharType="separate"/>
        </w:r>
        <w:r>
          <w:rPr>
            <w:lang w:val="zh-CN"/>
          </w:rPr>
          <w:t>-</w:t>
        </w:r>
        <w:r>
          <w:t xml:space="preserve"> 37 -</w:t>
        </w:r>
        <w:r>
          <w:rPr>
            <w:lang w:val="zh-CN"/>
          </w:rPr>
          <w:fldChar w:fldCharType="end"/>
        </w:r>
      </w:p>
    </w:sdtContent>
  </w:sdt>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649132"/>
    </w:sdtPr>
    <w:sdtContent>
      <w:p>
        <w:pPr>
          <w:pStyle w:val="12"/>
          <w:jc w:val="center"/>
        </w:pPr>
        <w:r>
          <w:fldChar w:fldCharType="begin"/>
        </w:r>
        <w:r>
          <w:instrText xml:space="preserve">PAGE   \* MERGEFORMAT</w:instrText>
        </w:r>
        <w:r>
          <w:fldChar w:fldCharType="separate"/>
        </w:r>
        <w:r>
          <w:rPr>
            <w:lang w:val="zh-CN"/>
          </w:rPr>
          <w:t>-</w:t>
        </w:r>
        <w:r>
          <w:t xml:space="preserve"> 35 -</w:t>
        </w:r>
        <w:r>
          <w:fldChar w:fldCharType="end"/>
        </w:r>
      </w:p>
    </w:sdtContent>
  </w:sdt>
  <w:p>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仿宋_GB2312" w:eastAsia="仿宋_GB2312"/>
        <w:sz w:val="21"/>
        <w:szCs w:val="21"/>
      </w:rPr>
    </w:pPr>
    <w:r>
      <w:rPr>
        <w:rFonts w:ascii="仿宋_GB2312" w:eastAsia="仿宋_GB2312"/>
        <w:sz w:val="21"/>
        <w:szCs w:val="2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-98425</wp:posOffset>
              </wp:positionV>
              <wp:extent cx="5829300" cy="0"/>
              <wp:effectExtent l="0" t="0" r="19050" b="19050"/>
              <wp:wrapNone/>
              <wp:docPr id="3" name="Line 15"/>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ln>
                    </wps:spPr>
                    <wps:bodyPr/>
                  </wps:wsp>
                </a:graphicData>
              </a:graphic>
            </wp:anchor>
          </w:drawing>
        </mc:Choice>
        <mc:Fallback>
          <w:pict>
            <v:line id="Line 15" o:spid="_x0000_s1026" o:spt="20" style="position:absolute;left:0pt;margin-left:0pt;margin-top:-7.75pt;height:0pt;width:459pt;z-index:251661312;mso-width-relative:page;mso-height-relative:page;" filled="f" stroked="t" coordsize="21600,21600" o:gfxdata="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QPOti1QAAAAgBAAAPAAAAAAAAAAEAIAAAACIAAABkcnMvZG93&#10;bnJldi54bWxQSwECFAAUAAAACACHTuJA2G8opsoBAACgAwAADgAAAAAAAAABACAAAAAkAQAAZHJz&#10;L2Uyb0RvYy54bWxQSwUGAAAAAAYABgBZAQAAYAUAAAAA&#10;">
              <v:fill on="f" focussize="0,0"/>
              <v:stroke color="#000000" joinstyle="round"/>
              <v:imagedata o:title=""/>
              <o:lock v:ext="edit" aspectratio="f"/>
            </v:line>
          </w:pict>
        </mc:Fallback>
      </mc:AlternateContent>
    </w:r>
  </w:p>
  <w:p>
    <w:pPr>
      <w:pStyle w:val="1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仿宋_GB2312" w:eastAsia="仿宋_GB2312"/>
        <w:sz w:val="21"/>
        <w:szCs w:val="21"/>
      </w:rPr>
    </w:pPr>
    <w:r>
      <w:rPr>
        <w:rFonts w:ascii="仿宋_GB2312" w:eastAsia="仿宋_GB2312"/>
        <w:sz w:val="21"/>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-98425</wp:posOffset>
              </wp:positionV>
              <wp:extent cx="5829300"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7.75pt;height:0pt;width:459pt;z-index:251659264;mso-width-relative:page;mso-height-relative:page;" filled="f" stroked="t" coordsize="21600,21600" o:gfxdata="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A862LV&#10;AAAACAEAAA8AAAAAAAAAAQAgAAAAIgAAAGRycy9kb3ducmV2LnhtbFBLAQIUABQAAAAIAIdO4kDa&#10;NcaE6gEAALgDAAAOAAAAAAAAAAEAIAAAACQBAABkcnMvZTJvRG9jLnhtbFBLBQYAAAAABgAGAFkB&#10;AACABQAAAAA=&#10;">
              <v:fill on="f" focussize="0,0"/>
              <v:stroke color="#000000" joinstyle="round"/>
              <v:imagedata o:title=""/>
              <o:lock v:ext="edit" aspectratio="f"/>
            </v:lin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cs="宋体"/>
        <w:kern w:val="0"/>
        <w:sz w:val="21"/>
        <w:szCs w:val="21"/>
      </w:rPr>
    </w:pPr>
    <w:r>
      <w:rPr>
        <w:rFonts w:hint="eastAsia" w:ascii="宋体" w:hAnsi="宋体"/>
        <w:sz w:val="21"/>
        <w:szCs w:val="21"/>
      </w:rPr>
      <w:t>辽宁中信诚达项目管理有限公司</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cs="宋体"/>
        <w:kern w:val="0"/>
        <w:sz w:val="21"/>
        <w:szCs w:val="21"/>
      </w:rPr>
    </w:pPr>
    <w:r>
      <w:rPr>
        <w:rFonts w:hint="eastAsia" w:ascii="宋体" w:hAnsi="宋体"/>
        <w:sz w:val="21"/>
        <w:szCs w:val="21"/>
      </w:rPr>
      <w:t>辽宁中信诚达项目管理有限公司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ascii="宋体" w:hAnsi="宋体"/>
        <w:sz w:val="21"/>
        <w:szCs w:val="21"/>
      </w:rPr>
      <w:t>辽宁中信诚达项目管理有限公司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ascii="宋体" w:hAnsi="宋体"/>
        <w:sz w:val="21"/>
        <w:szCs w:val="21"/>
      </w:rPr>
      <w:t>辽宁中信诚达项目管理有限公司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cs="宋体"/>
        <w:kern w:val="0"/>
        <w:sz w:val="21"/>
        <w:szCs w:val="21"/>
      </w:rPr>
    </w:pPr>
    <w:r>
      <w:rPr>
        <w:rFonts w:hint="eastAsia" w:ascii="宋体" w:hAnsi="宋体"/>
        <w:sz w:val="21"/>
        <w:szCs w:val="21"/>
      </w:rPr>
      <w:t>辽宁中信诚达项目管理有限公司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c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sz w:val="21"/>
        <w:szCs w:val="21"/>
      </w:rPr>
    </w:pPr>
    <w:r>
      <w:rPr>
        <w:rFonts w:hint="eastAsia" w:ascii="宋体" w:hAnsi="宋体"/>
        <w:sz w:val="21"/>
        <w:szCs w:val="21"/>
      </w:rPr>
      <w:t>辽宁中信诚达项目管理有限公司</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cr/>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sz w:val="21"/>
        <w:szCs w:val="21"/>
      </w:rPr>
    </w:pPr>
    <w:r>
      <w:rPr>
        <w:rFonts w:hint="eastAsia" w:ascii="宋体" w:hAnsi="宋体"/>
        <w:sz w:val="21"/>
        <w:szCs w:val="21"/>
      </w:rPr>
      <w:t>辽宁中信诚达项目管理有限公司</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drawing>
        <wp:inline distT="0" distB="0" distL="0" distR="0">
          <wp:extent cx="533400" cy="171450"/>
          <wp:effectExtent l="0" t="0" r="0" b="0"/>
          <wp:docPr id="6"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1"/>
                  <pic:cNvPicPr>
                    <a:picLocks noChangeAspect="1" noChangeArrowheads="1"/>
                  </pic:cNvPicPr>
                </pic:nvPicPr>
                <pic:blipFill>
                  <a:blip r:embed="rId1"/>
                  <a:srcRect/>
                  <a:stretch>
                    <a:fillRect/>
                  </a:stretch>
                </pic:blipFill>
                <pic:spPr>
                  <a:xfrm>
                    <a:off x="0" y="0"/>
                    <a:ext cx="533400" cy="1714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E"/>
    <w:multiLevelType w:val="multilevel"/>
    <w:tmpl w:val="0000001E"/>
    <w:lvl w:ilvl="0" w:tentative="0">
      <w:start w:val="1"/>
      <w:numFmt w:val="decimal"/>
      <w:lvlText w:val="%1."/>
      <w:lvlJc w:val="left"/>
      <w:pPr>
        <w:tabs>
          <w:tab w:val="left" w:pos="435"/>
        </w:tabs>
        <w:ind w:left="775" w:hanging="340"/>
      </w:pPr>
      <w:rPr>
        <w:rFonts w:hint="eastAsia" w:cs="Times New Roman"/>
      </w:rPr>
    </w:lvl>
    <w:lvl w:ilvl="1" w:tentative="0">
      <w:start w:val="1"/>
      <w:numFmt w:val="lowerLetter"/>
      <w:lvlText w:val="%2)"/>
      <w:lvlJc w:val="left"/>
      <w:pPr>
        <w:tabs>
          <w:tab w:val="left" w:pos="1275"/>
        </w:tabs>
        <w:ind w:left="1275" w:hanging="420"/>
      </w:pPr>
      <w:rPr>
        <w:rFonts w:cs="Times New Roman"/>
      </w:rPr>
    </w:lvl>
    <w:lvl w:ilvl="2" w:tentative="0">
      <w:start w:val="1"/>
      <w:numFmt w:val="lowerRoman"/>
      <w:lvlText w:val="%3."/>
      <w:lvlJc w:val="right"/>
      <w:pPr>
        <w:tabs>
          <w:tab w:val="left" w:pos="1695"/>
        </w:tabs>
        <w:ind w:left="1695" w:hanging="420"/>
      </w:pPr>
      <w:rPr>
        <w:rFonts w:cs="Times New Roman"/>
      </w:rPr>
    </w:lvl>
    <w:lvl w:ilvl="3" w:tentative="0">
      <w:start w:val="1"/>
      <w:numFmt w:val="decimal"/>
      <w:lvlText w:val="%4."/>
      <w:lvlJc w:val="left"/>
      <w:pPr>
        <w:tabs>
          <w:tab w:val="left" w:pos="2115"/>
        </w:tabs>
        <w:ind w:left="2115" w:hanging="420"/>
      </w:pPr>
      <w:rPr>
        <w:rFonts w:cs="Times New Roman"/>
      </w:rPr>
    </w:lvl>
    <w:lvl w:ilvl="4" w:tentative="0">
      <w:start w:val="1"/>
      <w:numFmt w:val="lowerLetter"/>
      <w:lvlText w:val="%5)"/>
      <w:lvlJc w:val="left"/>
      <w:pPr>
        <w:tabs>
          <w:tab w:val="left" w:pos="2535"/>
        </w:tabs>
        <w:ind w:left="2535" w:hanging="420"/>
      </w:pPr>
      <w:rPr>
        <w:rFonts w:cs="Times New Roman"/>
      </w:rPr>
    </w:lvl>
    <w:lvl w:ilvl="5" w:tentative="0">
      <w:start w:val="1"/>
      <w:numFmt w:val="lowerRoman"/>
      <w:lvlText w:val="%6."/>
      <w:lvlJc w:val="right"/>
      <w:pPr>
        <w:tabs>
          <w:tab w:val="left" w:pos="2955"/>
        </w:tabs>
        <w:ind w:left="2955" w:hanging="420"/>
      </w:pPr>
      <w:rPr>
        <w:rFonts w:cs="Times New Roman"/>
      </w:rPr>
    </w:lvl>
    <w:lvl w:ilvl="6" w:tentative="0">
      <w:start w:val="1"/>
      <w:numFmt w:val="decimal"/>
      <w:lvlText w:val="%7."/>
      <w:lvlJc w:val="left"/>
      <w:pPr>
        <w:tabs>
          <w:tab w:val="left" w:pos="3375"/>
        </w:tabs>
        <w:ind w:left="3375" w:hanging="420"/>
      </w:pPr>
      <w:rPr>
        <w:rFonts w:cs="Times New Roman"/>
      </w:rPr>
    </w:lvl>
    <w:lvl w:ilvl="7" w:tentative="0">
      <w:start w:val="1"/>
      <w:numFmt w:val="lowerLetter"/>
      <w:lvlText w:val="%8)"/>
      <w:lvlJc w:val="left"/>
      <w:pPr>
        <w:tabs>
          <w:tab w:val="left" w:pos="3795"/>
        </w:tabs>
        <w:ind w:left="3795" w:hanging="420"/>
      </w:pPr>
      <w:rPr>
        <w:rFonts w:cs="Times New Roman"/>
      </w:rPr>
    </w:lvl>
    <w:lvl w:ilvl="8" w:tentative="0">
      <w:start w:val="1"/>
      <w:numFmt w:val="lowerRoman"/>
      <w:lvlText w:val="%9."/>
      <w:lvlJc w:val="right"/>
      <w:pPr>
        <w:tabs>
          <w:tab w:val="left" w:pos="4215"/>
        </w:tabs>
        <w:ind w:left="421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2NTY4YTA4OWI5NGVhYmIyZjIwNDQ0ZDUzYjk1OWQifQ=="/>
  </w:docVars>
  <w:rsids>
    <w:rsidRoot w:val="004C2853"/>
    <w:rsid w:val="00000649"/>
    <w:rsid w:val="00001D15"/>
    <w:rsid w:val="00002047"/>
    <w:rsid w:val="00002507"/>
    <w:rsid w:val="00002B37"/>
    <w:rsid w:val="00002D80"/>
    <w:rsid w:val="00003C7D"/>
    <w:rsid w:val="00004EC6"/>
    <w:rsid w:val="00005027"/>
    <w:rsid w:val="0000506A"/>
    <w:rsid w:val="0000601F"/>
    <w:rsid w:val="00006A91"/>
    <w:rsid w:val="000070FD"/>
    <w:rsid w:val="000079B3"/>
    <w:rsid w:val="00010F59"/>
    <w:rsid w:val="00011BA0"/>
    <w:rsid w:val="00012257"/>
    <w:rsid w:val="00013768"/>
    <w:rsid w:val="00015C10"/>
    <w:rsid w:val="0001619B"/>
    <w:rsid w:val="0001755C"/>
    <w:rsid w:val="00022545"/>
    <w:rsid w:val="00022FC0"/>
    <w:rsid w:val="00023AB2"/>
    <w:rsid w:val="00024180"/>
    <w:rsid w:val="00024B83"/>
    <w:rsid w:val="0002669E"/>
    <w:rsid w:val="00027308"/>
    <w:rsid w:val="00027CDB"/>
    <w:rsid w:val="00027F55"/>
    <w:rsid w:val="0003457B"/>
    <w:rsid w:val="00035D6B"/>
    <w:rsid w:val="00036A1E"/>
    <w:rsid w:val="00036BC5"/>
    <w:rsid w:val="00036FDB"/>
    <w:rsid w:val="00037324"/>
    <w:rsid w:val="000408F1"/>
    <w:rsid w:val="00041758"/>
    <w:rsid w:val="00041903"/>
    <w:rsid w:val="00042F83"/>
    <w:rsid w:val="000443E5"/>
    <w:rsid w:val="000448E8"/>
    <w:rsid w:val="000465AF"/>
    <w:rsid w:val="0004692D"/>
    <w:rsid w:val="00046B7D"/>
    <w:rsid w:val="000475A8"/>
    <w:rsid w:val="00047CAB"/>
    <w:rsid w:val="0005236F"/>
    <w:rsid w:val="00053525"/>
    <w:rsid w:val="00054971"/>
    <w:rsid w:val="00055235"/>
    <w:rsid w:val="00055274"/>
    <w:rsid w:val="0005736A"/>
    <w:rsid w:val="00057CDD"/>
    <w:rsid w:val="00060581"/>
    <w:rsid w:val="00062109"/>
    <w:rsid w:val="0006278D"/>
    <w:rsid w:val="00062BCA"/>
    <w:rsid w:val="00062EBC"/>
    <w:rsid w:val="00063005"/>
    <w:rsid w:val="00063D1C"/>
    <w:rsid w:val="0006481D"/>
    <w:rsid w:val="00065C7A"/>
    <w:rsid w:val="000662DE"/>
    <w:rsid w:val="00066B22"/>
    <w:rsid w:val="00070ACB"/>
    <w:rsid w:val="0007171B"/>
    <w:rsid w:val="00071E8C"/>
    <w:rsid w:val="000749D3"/>
    <w:rsid w:val="00074CFE"/>
    <w:rsid w:val="00075697"/>
    <w:rsid w:val="0007605A"/>
    <w:rsid w:val="000765A4"/>
    <w:rsid w:val="00076725"/>
    <w:rsid w:val="0007740F"/>
    <w:rsid w:val="00077886"/>
    <w:rsid w:val="00080546"/>
    <w:rsid w:val="0008135E"/>
    <w:rsid w:val="00081D61"/>
    <w:rsid w:val="0008360D"/>
    <w:rsid w:val="00083DA3"/>
    <w:rsid w:val="000841A2"/>
    <w:rsid w:val="000849C4"/>
    <w:rsid w:val="00085563"/>
    <w:rsid w:val="000873A8"/>
    <w:rsid w:val="000875E6"/>
    <w:rsid w:val="00087B26"/>
    <w:rsid w:val="00090E56"/>
    <w:rsid w:val="000918D1"/>
    <w:rsid w:val="00091DA5"/>
    <w:rsid w:val="00092DB0"/>
    <w:rsid w:val="00093387"/>
    <w:rsid w:val="000949F3"/>
    <w:rsid w:val="000958A8"/>
    <w:rsid w:val="00095CAF"/>
    <w:rsid w:val="00096CF2"/>
    <w:rsid w:val="00097027"/>
    <w:rsid w:val="000A3042"/>
    <w:rsid w:val="000A3259"/>
    <w:rsid w:val="000A3AC1"/>
    <w:rsid w:val="000A4D8B"/>
    <w:rsid w:val="000A51F9"/>
    <w:rsid w:val="000A61FC"/>
    <w:rsid w:val="000A6317"/>
    <w:rsid w:val="000A7CAD"/>
    <w:rsid w:val="000B0A91"/>
    <w:rsid w:val="000B14A9"/>
    <w:rsid w:val="000B1555"/>
    <w:rsid w:val="000B18A0"/>
    <w:rsid w:val="000B26E7"/>
    <w:rsid w:val="000B320A"/>
    <w:rsid w:val="000B3354"/>
    <w:rsid w:val="000B3713"/>
    <w:rsid w:val="000B39D5"/>
    <w:rsid w:val="000B3E8F"/>
    <w:rsid w:val="000B4B83"/>
    <w:rsid w:val="000B4C5E"/>
    <w:rsid w:val="000B50A2"/>
    <w:rsid w:val="000B524A"/>
    <w:rsid w:val="000B58DA"/>
    <w:rsid w:val="000B6C14"/>
    <w:rsid w:val="000B76E5"/>
    <w:rsid w:val="000B7B30"/>
    <w:rsid w:val="000C03AD"/>
    <w:rsid w:val="000C048E"/>
    <w:rsid w:val="000C0E9B"/>
    <w:rsid w:val="000C11DC"/>
    <w:rsid w:val="000C1278"/>
    <w:rsid w:val="000C1282"/>
    <w:rsid w:val="000C3937"/>
    <w:rsid w:val="000C4A83"/>
    <w:rsid w:val="000C5C30"/>
    <w:rsid w:val="000C67B9"/>
    <w:rsid w:val="000D1015"/>
    <w:rsid w:val="000D11AF"/>
    <w:rsid w:val="000D1B37"/>
    <w:rsid w:val="000D26A6"/>
    <w:rsid w:val="000D2C99"/>
    <w:rsid w:val="000D36EE"/>
    <w:rsid w:val="000D5047"/>
    <w:rsid w:val="000D5073"/>
    <w:rsid w:val="000D5086"/>
    <w:rsid w:val="000D53CC"/>
    <w:rsid w:val="000D6078"/>
    <w:rsid w:val="000D66C8"/>
    <w:rsid w:val="000D6755"/>
    <w:rsid w:val="000D7661"/>
    <w:rsid w:val="000E01AD"/>
    <w:rsid w:val="000E083F"/>
    <w:rsid w:val="000E120D"/>
    <w:rsid w:val="000E35B6"/>
    <w:rsid w:val="000E385A"/>
    <w:rsid w:val="000E3965"/>
    <w:rsid w:val="000E41B5"/>
    <w:rsid w:val="000E5DC8"/>
    <w:rsid w:val="000E655A"/>
    <w:rsid w:val="000E7DFC"/>
    <w:rsid w:val="000F0233"/>
    <w:rsid w:val="000F0BAB"/>
    <w:rsid w:val="000F1043"/>
    <w:rsid w:val="000F17CE"/>
    <w:rsid w:val="000F26A0"/>
    <w:rsid w:val="000F28B5"/>
    <w:rsid w:val="000F368A"/>
    <w:rsid w:val="000F7119"/>
    <w:rsid w:val="000F79E0"/>
    <w:rsid w:val="00102C99"/>
    <w:rsid w:val="00102E75"/>
    <w:rsid w:val="00104215"/>
    <w:rsid w:val="00104275"/>
    <w:rsid w:val="00104633"/>
    <w:rsid w:val="00104CEF"/>
    <w:rsid w:val="00105687"/>
    <w:rsid w:val="00105A07"/>
    <w:rsid w:val="00105DD4"/>
    <w:rsid w:val="00106773"/>
    <w:rsid w:val="00107535"/>
    <w:rsid w:val="001076C0"/>
    <w:rsid w:val="00107B9D"/>
    <w:rsid w:val="00107D82"/>
    <w:rsid w:val="00107E0F"/>
    <w:rsid w:val="00110AAA"/>
    <w:rsid w:val="00110ED5"/>
    <w:rsid w:val="0011132B"/>
    <w:rsid w:val="001117F6"/>
    <w:rsid w:val="00111BD1"/>
    <w:rsid w:val="00113515"/>
    <w:rsid w:val="00115288"/>
    <w:rsid w:val="00116849"/>
    <w:rsid w:val="00117FEA"/>
    <w:rsid w:val="001201E1"/>
    <w:rsid w:val="00120871"/>
    <w:rsid w:val="00121739"/>
    <w:rsid w:val="00121A7C"/>
    <w:rsid w:val="00122B20"/>
    <w:rsid w:val="00122F32"/>
    <w:rsid w:val="00123AFD"/>
    <w:rsid w:val="00124D18"/>
    <w:rsid w:val="0012727F"/>
    <w:rsid w:val="0012737B"/>
    <w:rsid w:val="00127A3D"/>
    <w:rsid w:val="00127C0D"/>
    <w:rsid w:val="001300E2"/>
    <w:rsid w:val="00130DA9"/>
    <w:rsid w:val="00131E4F"/>
    <w:rsid w:val="0013240D"/>
    <w:rsid w:val="00133DB2"/>
    <w:rsid w:val="001352EC"/>
    <w:rsid w:val="00136BE6"/>
    <w:rsid w:val="00137F33"/>
    <w:rsid w:val="00141BD8"/>
    <w:rsid w:val="00142678"/>
    <w:rsid w:val="00142F57"/>
    <w:rsid w:val="00145B29"/>
    <w:rsid w:val="001469C3"/>
    <w:rsid w:val="00146F18"/>
    <w:rsid w:val="00150FF0"/>
    <w:rsid w:val="00151BE2"/>
    <w:rsid w:val="00152476"/>
    <w:rsid w:val="0015291B"/>
    <w:rsid w:val="0015327A"/>
    <w:rsid w:val="001538C0"/>
    <w:rsid w:val="001545E3"/>
    <w:rsid w:val="001547D9"/>
    <w:rsid w:val="00154A9F"/>
    <w:rsid w:val="00155B52"/>
    <w:rsid w:val="00156242"/>
    <w:rsid w:val="001571B8"/>
    <w:rsid w:val="00157577"/>
    <w:rsid w:val="00160B3A"/>
    <w:rsid w:val="00161E59"/>
    <w:rsid w:val="001624A5"/>
    <w:rsid w:val="00162655"/>
    <w:rsid w:val="0016389C"/>
    <w:rsid w:val="00163E16"/>
    <w:rsid w:val="0016519C"/>
    <w:rsid w:val="00165412"/>
    <w:rsid w:val="00165B05"/>
    <w:rsid w:val="00166651"/>
    <w:rsid w:val="00166C80"/>
    <w:rsid w:val="00166DA6"/>
    <w:rsid w:val="00166F84"/>
    <w:rsid w:val="001670EA"/>
    <w:rsid w:val="00167114"/>
    <w:rsid w:val="0016766B"/>
    <w:rsid w:val="0017010E"/>
    <w:rsid w:val="0017056F"/>
    <w:rsid w:val="00170778"/>
    <w:rsid w:val="00171147"/>
    <w:rsid w:val="001744D5"/>
    <w:rsid w:val="00175EFB"/>
    <w:rsid w:val="001770FD"/>
    <w:rsid w:val="001775E7"/>
    <w:rsid w:val="00180F6C"/>
    <w:rsid w:val="00182759"/>
    <w:rsid w:val="00182789"/>
    <w:rsid w:val="00182B69"/>
    <w:rsid w:val="00182B85"/>
    <w:rsid w:val="00183072"/>
    <w:rsid w:val="001855E8"/>
    <w:rsid w:val="00186862"/>
    <w:rsid w:val="00187EAC"/>
    <w:rsid w:val="00190142"/>
    <w:rsid w:val="00190AE6"/>
    <w:rsid w:val="00191004"/>
    <w:rsid w:val="00191E7A"/>
    <w:rsid w:val="0019365F"/>
    <w:rsid w:val="00194D33"/>
    <w:rsid w:val="00195016"/>
    <w:rsid w:val="001951E3"/>
    <w:rsid w:val="0019593B"/>
    <w:rsid w:val="00196930"/>
    <w:rsid w:val="00196C59"/>
    <w:rsid w:val="00196F70"/>
    <w:rsid w:val="00197184"/>
    <w:rsid w:val="00197BB4"/>
    <w:rsid w:val="001A10A1"/>
    <w:rsid w:val="001A263B"/>
    <w:rsid w:val="001A4C28"/>
    <w:rsid w:val="001A4FCD"/>
    <w:rsid w:val="001A531D"/>
    <w:rsid w:val="001A6563"/>
    <w:rsid w:val="001B2317"/>
    <w:rsid w:val="001B2B74"/>
    <w:rsid w:val="001B3F07"/>
    <w:rsid w:val="001B41E5"/>
    <w:rsid w:val="001B4423"/>
    <w:rsid w:val="001B493A"/>
    <w:rsid w:val="001B67C6"/>
    <w:rsid w:val="001B683C"/>
    <w:rsid w:val="001B7B59"/>
    <w:rsid w:val="001C0AEC"/>
    <w:rsid w:val="001C0B8B"/>
    <w:rsid w:val="001C288A"/>
    <w:rsid w:val="001C4A03"/>
    <w:rsid w:val="001C51FE"/>
    <w:rsid w:val="001C62EB"/>
    <w:rsid w:val="001C6434"/>
    <w:rsid w:val="001C6AAA"/>
    <w:rsid w:val="001C6D64"/>
    <w:rsid w:val="001C771B"/>
    <w:rsid w:val="001D08CA"/>
    <w:rsid w:val="001D1625"/>
    <w:rsid w:val="001D1CFB"/>
    <w:rsid w:val="001D2538"/>
    <w:rsid w:val="001D554E"/>
    <w:rsid w:val="001D5F55"/>
    <w:rsid w:val="001D6A71"/>
    <w:rsid w:val="001D6CDE"/>
    <w:rsid w:val="001D7831"/>
    <w:rsid w:val="001E0938"/>
    <w:rsid w:val="001E0D74"/>
    <w:rsid w:val="001E1283"/>
    <w:rsid w:val="001E18AF"/>
    <w:rsid w:val="001E2049"/>
    <w:rsid w:val="001E2D57"/>
    <w:rsid w:val="001E2E70"/>
    <w:rsid w:val="001E2F33"/>
    <w:rsid w:val="001E4765"/>
    <w:rsid w:val="001E4AB9"/>
    <w:rsid w:val="001E5CCF"/>
    <w:rsid w:val="001E64D2"/>
    <w:rsid w:val="001E6585"/>
    <w:rsid w:val="001E6749"/>
    <w:rsid w:val="001E6DAD"/>
    <w:rsid w:val="001E6FF4"/>
    <w:rsid w:val="001E72EA"/>
    <w:rsid w:val="001F1210"/>
    <w:rsid w:val="001F158E"/>
    <w:rsid w:val="001F218A"/>
    <w:rsid w:val="001F2FD9"/>
    <w:rsid w:val="001F33D0"/>
    <w:rsid w:val="001F346B"/>
    <w:rsid w:val="001F38DA"/>
    <w:rsid w:val="001F5FAD"/>
    <w:rsid w:val="001F62FC"/>
    <w:rsid w:val="001F6BE1"/>
    <w:rsid w:val="001F6C8A"/>
    <w:rsid w:val="001F73E0"/>
    <w:rsid w:val="002003EF"/>
    <w:rsid w:val="00201F6E"/>
    <w:rsid w:val="002026E3"/>
    <w:rsid w:val="00204920"/>
    <w:rsid w:val="002065CE"/>
    <w:rsid w:val="00206DB8"/>
    <w:rsid w:val="0020704F"/>
    <w:rsid w:val="0020729E"/>
    <w:rsid w:val="002112DD"/>
    <w:rsid w:val="00212957"/>
    <w:rsid w:val="00213201"/>
    <w:rsid w:val="00213550"/>
    <w:rsid w:val="0021389C"/>
    <w:rsid w:val="00214754"/>
    <w:rsid w:val="002150C4"/>
    <w:rsid w:val="00215411"/>
    <w:rsid w:val="00215E62"/>
    <w:rsid w:val="00220254"/>
    <w:rsid w:val="00221130"/>
    <w:rsid w:val="002212A7"/>
    <w:rsid w:val="00221408"/>
    <w:rsid w:val="002231B0"/>
    <w:rsid w:val="00223884"/>
    <w:rsid w:val="00223FE0"/>
    <w:rsid w:val="00225758"/>
    <w:rsid w:val="00225E14"/>
    <w:rsid w:val="00226403"/>
    <w:rsid w:val="00227AA2"/>
    <w:rsid w:val="00230247"/>
    <w:rsid w:val="00230A62"/>
    <w:rsid w:val="0023250C"/>
    <w:rsid w:val="00232C4C"/>
    <w:rsid w:val="00232C56"/>
    <w:rsid w:val="00233A2A"/>
    <w:rsid w:val="00234656"/>
    <w:rsid w:val="002354F0"/>
    <w:rsid w:val="00235FBB"/>
    <w:rsid w:val="00236280"/>
    <w:rsid w:val="002366AC"/>
    <w:rsid w:val="00236740"/>
    <w:rsid w:val="00236921"/>
    <w:rsid w:val="00236C2B"/>
    <w:rsid w:val="002379CE"/>
    <w:rsid w:val="002404D1"/>
    <w:rsid w:val="00240C31"/>
    <w:rsid w:val="0024138B"/>
    <w:rsid w:val="0024277E"/>
    <w:rsid w:val="002449C7"/>
    <w:rsid w:val="0024624D"/>
    <w:rsid w:val="00246609"/>
    <w:rsid w:val="0024753E"/>
    <w:rsid w:val="00251F6A"/>
    <w:rsid w:val="00252CCA"/>
    <w:rsid w:val="002533C7"/>
    <w:rsid w:val="002539EF"/>
    <w:rsid w:val="00253C97"/>
    <w:rsid w:val="00255187"/>
    <w:rsid w:val="00255C92"/>
    <w:rsid w:val="00255E6A"/>
    <w:rsid w:val="00256FCF"/>
    <w:rsid w:val="00257670"/>
    <w:rsid w:val="00262082"/>
    <w:rsid w:val="00262372"/>
    <w:rsid w:val="00262D56"/>
    <w:rsid w:val="00263637"/>
    <w:rsid w:val="002639DD"/>
    <w:rsid w:val="00263EA0"/>
    <w:rsid w:val="0026419B"/>
    <w:rsid w:val="002648A7"/>
    <w:rsid w:val="00264935"/>
    <w:rsid w:val="002649B1"/>
    <w:rsid w:val="00265949"/>
    <w:rsid w:val="002665CB"/>
    <w:rsid w:val="00266A60"/>
    <w:rsid w:val="00266D0B"/>
    <w:rsid w:val="00270037"/>
    <w:rsid w:val="00270062"/>
    <w:rsid w:val="002719A6"/>
    <w:rsid w:val="002725D7"/>
    <w:rsid w:val="00272A1B"/>
    <w:rsid w:val="00272E9D"/>
    <w:rsid w:val="00272F15"/>
    <w:rsid w:val="00274395"/>
    <w:rsid w:val="0027482E"/>
    <w:rsid w:val="002748C6"/>
    <w:rsid w:val="00275362"/>
    <w:rsid w:val="00275FEC"/>
    <w:rsid w:val="00276481"/>
    <w:rsid w:val="00276616"/>
    <w:rsid w:val="00276E66"/>
    <w:rsid w:val="002811B8"/>
    <w:rsid w:val="00281BE2"/>
    <w:rsid w:val="00282825"/>
    <w:rsid w:val="00282A23"/>
    <w:rsid w:val="00283625"/>
    <w:rsid w:val="00284B9A"/>
    <w:rsid w:val="00286379"/>
    <w:rsid w:val="0028665E"/>
    <w:rsid w:val="0029353B"/>
    <w:rsid w:val="0029411F"/>
    <w:rsid w:val="0029446C"/>
    <w:rsid w:val="002944E8"/>
    <w:rsid w:val="00294D25"/>
    <w:rsid w:val="0029526F"/>
    <w:rsid w:val="00295A13"/>
    <w:rsid w:val="00295D84"/>
    <w:rsid w:val="0029604E"/>
    <w:rsid w:val="002971EF"/>
    <w:rsid w:val="002A0739"/>
    <w:rsid w:val="002A1ADF"/>
    <w:rsid w:val="002A25A2"/>
    <w:rsid w:val="002A2D7D"/>
    <w:rsid w:val="002A3AD2"/>
    <w:rsid w:val="002A4095"/>
    <w:rsid w:val="002A50BA"/>
    <w:rsid w:val="002A558C"/>
    <w:rsid w:val="002A5837"/>
    <w:rsid w:val="002A5868"/>
    <w:rsid w:val="002A6060"/>
    <w:rsid w:val="002B17A3"/>
    <w:rsid w:val="002B235A"/>
    <w:rsid w:val="002B289A"/>
    <w:rsid w:val="002B3271"/>
    <w:rsid w:val="002B349B"/>
    <w:rsid w:val="002B3EFB"/>
    <w:rsid w:val="002B472B"/>
    <w:rsid w:val="002B4B36"/>
    <w:rsid w:val="002B5085"/>
    <w:rsid w:val="002B575D"/>
    <w:rsid w:val="002B7DE6"/>
    <w:rsid w:val="002C0ABD"/>
    <w:rsid w:val="002C1C9A"/>
    <w:rsid w:val="002C21D7"/>
    <w:rsid w:val="002C2594"/>
    <w:rsid w:val="002C2636"/>
    <w:rsid w:val="002C2928"/>
    <w:rsid w:val="002C3A59"/>
    <w:rsid w:val="002C3CA5"/>
    <w:rsid w:val="002C44B7"/>
    <w:rsid w:val="002C49F6"/>
    <w:rsid w:val="002C5013"/>
    <w:rsid w:val="002C736E"/>
    <w:rsid w:val="002D0FA8"/>
    <w:rsid w:val="002D17AE"/>
    <w:rsid w:val="002D1A22"/>
    <w:rsid w:val="002D1DC7"/>
    <w:rsid w:val="002D2D58"/>
    <w:rsid w:val="002D32AC"/>
    <w:rsid w:val="002D39A3"/>
    <w:rsid w:val="002D3BD7"/>
    <w:rsid w:val="002D4CF6"/>
    <w:rsid w:val="002D5A9F"/>
    <w:rsid w:val="002D6C6C"/>
    <w:rsid w:val="002D6CFF"/>
    <w:rsid w:val="002D7658"/>
    <w:rsid w:val="002D7E20"/>
    <w:rsid w:val="002E04F5"/>
    <w:rsid w:val="002E08FE"/>
    <w:rsid w:val="002E1275"/>
    <w:rsid w:val="002E1E4E"/>
    <w:rsid w:val="002E3432"/>
    <w:rsid w:val="002E445F"/>
    <w:rsid w:val="002E4B66"/>
    <w:rsid w:val="002E552D"/>
    <w:rsid w:val="002E5DED"/>
    <w:rsid w:val="002F1E83"/>
    <w:rsid w:val="002F3B96"/>
    <w:rsid w:val="002F3F25"/>
    <w:rsid w:val="002F3F93"/>
    <w:rsid w:val="002F4380"/>
    <w:rsid w:val="002F4B13"/>
    <w:rsid w:val="002F4BAA"/>
    <w:rsid w:val="002F4EE3"/>
    <w:rsid w:val="002F4F78"/>
    <w:rsid w:val="002F53DB"/>
    <w:rsid w:val="002F5910"/>
    <w:rsid w:val="002F6B5B"/>
    <w:rsid w:val="0030221E"/>
    <w:rsid w:val="003022D6"/>
    <w:rsid w:val="0030251E"/>
    <w:rsid w:val="00302A9D"/>
    <w:rsid w:val="003052F3"/>
    <w:rsid w:val="0030544D"/>
    <w:rsid w:val="00305C70"/>
    <w:rsid w:val="00312EDD"/>
    <w:rsid w:val="00313954"/>
    <w:rsid w:val="003140CD"/>
    <w:rsid w:val="00314F02"/>
    <w:rsid w:val="003156AF"/>
    <w:rsid w:val="00316933"/>
    <w:rsid w:val="003208E4"/>
    <w:rsid w:val="003222E1"/>
    <w:rsid w:val="003245A3"/>
    <w:rsid w:val="003245FC"/>
    <w:rsid w:val="00324981"/>
    <w:rsid w:val="0032613D"/>
    <w:rsid w:val="00326ACF"/>
    <w:rsid w:val="00327C02"/>
    <w:rsid w:val="003300D5"/>
    <w:rsid w:val="00330B36"/>
    <w:rsid w:val="00331262"/>
    <w:rsid w:val="00331F72"/>
    <w:rsid w:val="00332702"/>
    <w:rsid w:val="00333D8F"/>
    <w:rsid w:val="00334698"/>
    <w:rsid w:val="003359F7"/>
    <w:rsid w:val="003360FD"/>
    <w:rsid w:val="00336361"/>
    <w:rsid w:val="0033703C"/>
    <w:rsid w:val="00337866"/>
    <w:rsid w:val="00337C15"/>
    <w:rsid w:val="00340BB1"/>
    <w:rsid w:val="00341222"/>
    <w:rsid w:val="0034147C"/>
    <w:rsid w:val="00342826"/>
    <w:rsid w:val="003444F4"/>
    <w:rsid w:val="003447F9"/>
    <w:rsid w:val="00345398"/>
    <w:rsid w:val="00346414"/>
    <w:rsid w:val="00346A01"/>
    <w:rsid w:val="003471CB"/>
    <w:rsid w:val="003479CD"/>
    <w:rsid w:val="00347B94"/>
    <w:rsid w:val="0035161C"/>
    <w:rsid w:val="0035182C"/>
    <w:rsid w:val="00352C74"/>
    <w:rsid w:val="00353993"/>
    <w:rsid w:val="00353B9E"/>
    <w:rsid w:val="00354698"/>
    <w:rsid w:val="00356159"/>
    <w:rsid w:val="003564FB"/>
    <w:rsid w:val="0035680C"/>
    <w:rsid w:val="00361275"/>
    <w:rsid w:val="00361A5B"/>
    <w:rsid w:val="00363E1E"/>
    <w:rsid w:val="003646BF"/>
    <w:rsid w:val="0036477D"/>
    <w:rsid w:val="003649B5"/>
    <w:rsid w:val="00364C06"/>
    <w:rsid w:val="003664F5"/>
    <w:rsid w:val="00366754"/>
    <w:rsid w:val="00366927"/>
    <w:rsid w:val="00366EEC"/>
    <w:rsid w:val="003670DE"/>
    <w:rsid w:val="0037010E"/>
    <w:rsid w:val="003705C6"/>
    <w:rsid w:val="00370B72"/>
    <w:rsid w:val="00370BA8"/>
    <w:rsid w:val="00370FB1"/>
    <w:rsid w:val="00371543"/>
    <w:rsid w:val="00372B26"/>
    <w:rsid w:val="00372E5E"/>
    <w:rsid w:val="00373CEC"/>
    <w:rsid w:val="003747F9"/>
    <w:rsid w:val="00374D59"/>
    <w:rsid w:val="00375887"/>
    <w:rsid w:val="00375F67"/>
    <w:rsid w:val="0037613C"/>
    <w:rsid w:val="0037634C"/>
    <w:rsid w:val="00376948"/>
    <w:rsid w:val="0037707E"/>
    <w:rsid w:val="00377BA1"/>
    <w:rsid w:val="00377C42"/>
    <w:rsid w:val="00381549"/>
    <w:rsid w:val="00382698"/>
    <w:rsid w:val="00382933"/>
    <w:rsid w:val="00384433"/>
    <w:rsid w:val="003851FE"/>
    <w:rsid w:val="0038652F"/>
    <w:rsid w:val="00386CE2"/>
    <w:rsid w:val="0038739E"/>
    <w:rsid w:val="0038754F"/>
    <w:rsid w:val="00387578"/>
    <w:rsid w:val="00387763"/>
    <w:rsid w:val="00392449"/>
    <w:rsid w:val="00392D51"/>
    <w:rsid w:val="00392EC6"/>
    <w:rsid w:val="00393489"/>
    <w:rsid w:val="003934C8"/>
    <w:rsid w:val="00394B7F"/>
    <w:rsid w:val="0039684C"/>
    <w:rsid w:val="00397201"/>
    <w:rsid w:val="00397C05"/>
    <w:rsid w:val="003A0C79"/>
    <w:rsid w:val="003A2AD7"/>
    <w:rsid w:val="003A2CCF"/>
    <w:rsid w:val="003A30AC"/>
    <w:rsid w:val="003A4B9B"/>
    <w:rsid w:val="003A4E81"/>
    <w:rsid w:val="003A4F61"/>
    <w:rsid w:val="003A5025"/>
    <w:rsid w:val="003A53A4"/>
    <w:rsid w:val="003A5A98"/>
    <w:rsid w:val="003A6CE3"/>
    <w:rsid w:val="003A7A58"/>
    <w:rsid w:val="003A7B7D"/>
    <w:rsid w:val="003A7E55"/>
    <w:rsid w:val="003B0221"/>
    <w:rsid w:val="003B0438"/>
    <w:rsid w:val="003B1B75"/>
    <w:rsid w:val="003B4721"/>
    <w:rsid w:val="003B4CEB"/>
    <w:rsid w:val="003B511D"/>
    <w:rsid w:val="003B51FA"/>
    <w:rsid w:val="003B5C6F"/>
    <w:rsid w:val="003B65DE"/>
    <w:rsid w:val="003B7A47"/>
    <w:rsid w:val="003B7E56"/>
    <w:rsid w:val="003C0108"/>
    <w:rsid w:val="003C02C4"/>
    <w:rsid w:val="003C07E4"/>
    <w:rsid w:val="003C1E19"/>
    <w:rsid w:val="003C40F1"/>
    <w:rsid w:val="003C4B6C"/>
    <w:rsid w:val="003C4EC7"/>
    <w:rsid w:val="003C56A4"/>
    <w:rsid w:val="003C56E9"/>
    <w:rsid w:val="003C5AB9"/>
    <w:rsid w:val="003C7AB9"/>
    <w:rsid w:val="003C7D2B"/>
    <w:rsid w:val="003D0EEC"/>
    <w:rsid w:val="003D18EC"/>
    <w:rsid w:val="003D1D19"/>
    <w:rsid w:val="003D254E"/>
    <w:rsid w:val="003D3ACE"/>
    <w:rsid w:val="003D44DE"/>
    <w:rsid w:val="003D4EE7"/>
    <w:rsid w:val="003D5097"/>
    <w:rsid w:val="003D6CD1"/>
    <w:rsid w:val="003D6E65"/>
    <w:rsid w:val="003D6F73"/>
    <w:rsid w:val="003D72C1"/>
    <w:rsid w:val="003D7493"/>
    <w:rsid w:val="003D7CD8"/>
    <w:rsid w:val="003E1F28"/>
    <w:rsid w:val="003E2248"/>
    <w:rsid w:val="003E3432"/>
    <w:rsid w:val="003E4330"/>
    <w:rsid w:val="003E4345"/>
    <w:rsid w:val="003E46B3"/>
    <w:rsid w:val="003E47D3"/>
    <w:rsid w:val="003E6179"/>
    <w:rsid w:val="003E6210"/>
    <w:rsid w:val="003E6F66"/>
    <w:rsid w:val="003E7F4D"/>
    <w:rsid w:val="003E7FD6"/>
    <w:rsid w:val="003F0F7F"/>
    <w:rsid w:val="003F1A72"/>
    <w:rsid w:val="003F1D7B"/>
    <w:rsid w:val="003F4836"/>
    <w:rsid w:val="003F4E9F"/>
    <w:rsid w:val="003F57FD"/>
    <w:rsid w:val="003F709A"/>
    <w:rsid w:val="003F7452"/>
    <w:rsid w:val="0040079E"/>
    <w:rsid w:val="004013D8"/>
    <w:rsid w:val="00401A92"/>
    <w:rsid w:val="0040281D"/>
    <w:rsid w:val="00402BCA"/>
    <w:rsid w:val="004035CF"/>
    <w:rsid w:val="0040367B"/>
    <w:rsid w:val="0040417C"/>
    <w:rsid w:val="00406620"/>
    <w:rsid w:val="004107EA"/>
    <w:rsid w:val="00410ED6"/>
    <w:rsid w:val="004117A6"/>
    <w:rsid w:val="00411EC4"/>
    <w:rsid w:val="00411EE6"/>
    <w:rsid w:val="00412A30"/>
    <w:rsid w:val="00412CF2"/>
    <w:rsid w:val="00413304"/>
    <w:rsid w:val="00413625"/>
    <w:rsid w:val="004147A8"/>
    <w:rsid w:val="00414BB9"/>
    <w:rsid w:val="004163CB"/>
    <w:rsid w:val="00416A3D"/>
    <w:rsid w:val="004178E1"/>
    <w:rsid w:val="00417D0F"/>
    <w:rsid w:val="00420FD4"/>
    <w:rsid w:val="00421D35"/>
    <w:rsid w:val="004222A3"/>
    <w:rsid w:val="00425A96"/>
    <w:rsid w:val="0042603B"/>
    <w:rsid w:val="004264A8"/>
    <w:rsid w:val="004267D2"/>
    <w:rsid w:val="00426952"/>
    <w:rsid w:val="00426CB4"/>
    <w:rsid w:val="0042789F"/>
    <w:rsid w:val="00427ACE"/>
    <w:rsid w:val="004304EC"/>
    <w:rsid w:val="00430651"/>
    <w:rsid w:val="004314C3"/>
    <w:rsid w:val="00431831"/>
    <w:rsid w:val="00434090"/>
    <w:rsid w:val="004347EE"/>
    <w:rsid w:val="00434BAE"/>
    <w:rsid w:val="00436568"/>
    <w:rsid w:val="004369C0"/>
    <w:rsid w:val="00437879"/>
    <w:rsid w:val="00437DC8"/>
    <w:rsid w:val="00440D09"/>
    <w:rsid w:val="00441F7C"/>
    <w:rsid w:val="00442891"/>
    <w:rsid w:val="004430CB"/>
    <w:rsid w:val="00444007"/>
    <w:rsid w:val="004441E3"/>
    <w:rsid w:val="00445C57"/>
    <w:rsid w:val="004464EF"/>
    <w:rsid w:val="00450F08"/>
    <w:rsid w:val="00451D4D"/>
    <w:rsid w:val="00451E7B"/>
    <w:rsid w:val="00452144"/>
    <w:rsid w:val="00452E67"/>
    <w:rsid w:val="0045326E"/>
    <w:rsid w:val="004536DC"/>
    <w:rsid w:val="00454A28"/>
    <w:rsid w:val="00454C5E"/>
    <w:rsid w:val="004551F6"/>
    <w:rsid w:val="00456CB6"/>
    <w:rsid w:val="00457BFA"/>
    <w:rsid w:val="00457FE2"/>
    <w:rsid w:val="0046267B"/>
    <w:rsid w:val="00463DD8"/>
    <w:rsid w:val="004641AD"/>
    <w:rsid w:val="00464726"/>
    <w:rsid w:val="004659D7"/>
    <w:rsid w:val="00466FA9"/>
    <w:rsid w:val="0046798E"/>
    <w:rsid w:val="00467F04"/>
    <w:rsid w:val="00470511"/>
    <w:rsid w:val="00473102"/>
    <w:rsid w:val="0047623C"/>
    <w:rsid w:val="00476652"/>
    <w:rsid w:val="00480FCC"/>
    <w:rsid w:val="00481159"/>
    <w:rsid w:val="00481B3F"/>
    <w:rsid w:val="0048376B"/>
    <w:rsid w:val="0048393C"/>
    <w:rsid w:val="00483F12"/>
    <w:rsid w:val="00485BF3"/>
    <w:rsid w:val="00486CAF"/>
    <w:rsid w:val="004901FE"/>
    <w:rsid w:val="00490446"/>
    <w:rsid w:val="004919B2"/>
    <w:rsid w:val="00491AF6"/>
    <w:rsid w:val="00494595"/>
    <w:rsid w:val="00494659"/>
    <w:rsid w:val="00495584"/>
    <w:rsid w:val="00497EAD"/>
    <w:rsid w:val="004A04AF"/>
    <w:rsid w:val="004A0D98"/>
    <w:rsid w:val="004A1D77"/>
    <w:rsid w:val="004A1D94"/>
    <w:rsid w:val="004A3659"/>
    <w:rsid w:val="004A3939"/>
    <w:rsid w:val="004A3CA8"/>
    <w:rsid w:val="004A47AE"/>
    <w:rsid w:val="004A4933"/>
    <w:rsid w:val="004A51CD"/>
    <w:rsid w:val="004A68AD"/>
    <w:rsid w:val="004A6CAA"/>
    <w:rsid w:val="004B1F8C"/>
    <w:rsid w:val="004B2465"/>
    <w:rsid w:val="004B397A"/>
    <w:rsid w:val="004B39E8"/>
    <w:rsid w:val="004B5A68"/>
    <w:rsid w:val="004B5BA4"/>
    <w:rsid w:val="004C0502"/>
    <w:rsid w:val="004C1C29"/>
    <w:rsid w:val="004C2367"/>
    <w:rsid w:val="004C2698"/>
    <w:rsid w:val="004C2853"/>
    <w:rsid w:val="004C2BDE"/>
    <w:rsid w:val="004C2D2E"/>
    <w:rsid w:val="004C2F7E"/>
    <w:rsid w:val="004C3048"/>
    <w:rsid w:val="004C3FC6"/>
    <w:rsid w:val="004C3FE7"/>
    <w:rsid w:val="004C5DEE"/>
    <w:rsid w:val="004C61E4"/>
    <w:rsid w:val="004C6C3E"/>
    <w:rsid w:val="004C71D5"/>
    <w:rsid w:val="004D0049"/>
    <w:rsid w:val="004D0197"/>
    <w:rsid w:val="004D0C8F"/>
    <w:rsid w:val="004D0FC1"/>
    <w:rsid w:val="004D2E33"/>
    <w:rsid w:val="004D2E4D"/>
    <w:rsid w:val="004D3876"/>
    <w:rsid w:val="004D4B66"/>
    <w:rsid w:val="004D5858"/>
    <w:rsid w:val="004D586A"/>
    <w:rsid w:val="004D5F40"/>
    <w:rsid w:val="004D67C3"/>
    <w:rsid w:val="004D694B"/>
    <w:rsid w:val="004D6BE7"/>
    <w:rsid w:val="004E2FD3"/>
    <w:rsid w:val="004E3EC7"/>
    <w:rsid w:val="004E431C"/>
    <w:rsid w:val="004E4BBF"/>
    <w:rsid w:val="004E4C5D"/>
    <w:rsid w:val="004E5579"/>
    <w:rsid w:val="004E56EB"/>
    <w:rsid w:val="004E575B"/>
    <w:rsid w:val="004E5F8F"/>
    <w:rsid w:val="004E6511"/>
    <w:rsid w:val="004E6799"/>
    <w:rsid w:val="004E6803"/>
    <w:rsid w:val="004E6DF1"/>
    <w:rsid w:val="004E6EB4"/>
    <w:rsid w:val="004E74B7"/>
    <w:rsid w:val="004E7D2C"/>
    <w:rsid w:val="004E7EA3"/>
    <w:rsid w:val="004F1317"/>
    <w:rsid w:val="004F14B2"/>
    <w:rsid w:val="004F1DCA"/>
    <w:rsid w:val="004F25AE"/>
    <w:rsid w:val="004F2AF7"/>
    <w:rsid w:val="004F2C4D"/>
    <w:rsid w:val="004F4545"/>
    <w:rsid w:val="004F525C"/>
    <w:rsid w:val="004F5A0F"/>
    <w:rsid w:val="004F643C"/>
    <w:rsid w:val="005000DF"/>
    <w:rsid w:val="005004C6"/>
    <w:rsid w:val="00500DE1"/>
    <w:rsid w:val="00501D2A"/>
    <w:rsid w:val="00502377"/>
    <w:rsid w:val="00504A35"/>
    <w:rsid w:val="00505201"/>
    <w:rsid w:val="00505B88"/>
    <w:rsid w:val="00505D9E"/>
    <w:rsid w:val="00505DA2"/>
    <w:rsid w:val="00505E91"/>
    <w:rsid w:val="005061EF"/>
    <w:rsid w:val="00507214"/>
    <w:rsid w:val="00510A5E"/>
    <w:rsid w:val="00511B01"/>
    <w:rsid w:val="00512E97"/>
    <w:rsid w:val="00513E8C"/>
    <w:rsid w:val="005141C2"/>
    <w:rsid w:val="0051459F"/>
    <w:rsid w:val="00515CF3"/>
    <w:rsid w:val="005176CE"/>
    <w:rsid w:val="00520654"/>
    <w:rsid w:val="00520701"/>
    <w:rsid w:val="00520852"/>
    <w:rsid w:val="0052104F"/>
    <w:rsid w:val="00521F92"/>
    <w:rsid w:val="0052432A"/>
    <w:rsid w:val="00524E72"/>
    <w:rsid w:val="00525186"/>
    <w:rsid w:val="00527C7F"/>
    <w:rsid w:val="00530B09"/>
    <w:rsid w:val="005315A0"/>
    <w:rsid w:val="00533458"/>
    <w:rsid w:val="00534025"/>
    <w:rsid w:val="0053446C"/>
    <w:rsid w:val="00534632"/>
    <w:rsid w:val="00534CF8"/>
    <w:rsid w:val="00534E75"/>
    <w:rsid w:val="00536A0B"/>
    <w:rsid w:val="00536CB8"/>
    <w:rsid w:val="00537F42"/>
    <w:rsid w:val="00540357"/>
    <w:rsid w:val="005404BB"/>
    <w:rsid w:val="005407E1"/>
    <w:rsid w:val="00540EB6"/>
    <w:rsid w:val="0054189A"/>
    <w:rsid w:val="00543987"/>
    <w:rsid w:val="00545A09"/>
    <w:rsid w:val="00545C0E"/>
    <w:rsid w:val="00546050"/>
    <w:rsid w:val="005479C6"/>
    <w:rsid w:val="00547DCE"/>
    <w:rsid w:val="00547E15"/>
    <w:rsid w:val="005529B5"/>
    <w:rsid w:val="00552DB4"/>
    <w:rsid w:val="00553A7B"/>
    <w:rsid w:val="00553BFB"/>
    <w:rsid w:val="00554966"/>
    <w:rsid w:val="00555438"/>
    <w:rsid w:val="0055564C"/>
    <w:rsid w:val="00555DB1"/>
    <w:rsid w:val="00556A62"/>
    <w:rsid w:val="0056075B"/>
    <w:rsid w:val="00560D4B"/>
    <w:rsid w:val="00561A3A"/>
    <w:rsid w:val="0056204E"/>
    <w:rsid w:val="005649EA"/>
    <w:rsid w:val="00565E38"/>
    <w:rsid w:val="00567050"/>
    <w:rsid w:val="00567F82"/>
    <w:rsid w:val="00570A69"/>
    <w:rsid w:val="00571347"/>
    <w:rsid w:val="00571425"/>
    <w:rsid w:val="00571735"/>
    <w:rsid w:val="00571EF0"/>
    <w:rsid w:val="00572641"/>
    <w:rsid w:val="0057420D"/>
    <w:rsid w:val="00574348"/>
    <w:rsid w:val="00574562"/>
    <w:rsid w:val="00574977"/>
    <w:rsid w:val="00574CB6"/>
    <w:rsid w:val="00576A2C"/>
    <w:rsid w:val="0057751A"/>
    <w:rsid w:val="005801E1"/>
    <w:rsid w:val="005815B7"/>
    <w:rsid w:val="00582D02"/>
    <w:rsid w:val="00582E9B"/>
    <w:rsid w:val="0058333A"/>
    <w:rsid w:val="00583534"/>
    <w:rsid w:val="00583F6C"/>
    <w:rsid w:val="00584B3F"/>
    <w:rsid w:val="0058602B"/>
    <w:rsid w:val="0058610A"/>
    <w:rsid w:val="00587CD8"/>
    <w:rsid w:val="00590101"/>
    <w:rsid w:val="00590387"/>
    <w:rsid w:val="00590847"/>
    <w:rsid w:val="005909D3"/>
    <w:rsid w:val="00591B04"/>
    <w:rsid w:val="00592038"/>
    <w:rsid w:val="005929FC"/>
    <w:rsid w:val="00592A94"/>
    <w:rsid w:val="00593464"/>
    <w:rsid w:val="00593565"/>
    <w:rsid w:val="00593F65"/>
    <w:rsid w:val="005955CF"/>
    <w:rsid w:val="00595AEA"/>
    <w:rsid w:val="00595D18"/>
    <w:rsid w:val="005971A8"/>
    <w:rsid w:val="00597C41"/>
    <w:rsid w:val="005A045A"/>
    <w:rsid w:val="005A069C"/>
    <w:rsid w:val="005A072E"/>
    <w:rsid w:val="005A267A"/>
    <w:rsid w:val="005A4915"/>
    <w:rsid w:val="005A546D"/>
    <w:rsid w:val="005A5865"/>
    <w:rsid w:val="005A637D"/>
    <w:rsid w:val="005A640D"/>
    <w:rsid w:val="005A7A0D"/>
    <w:rsid w:val="005B108E"/>
    <w:rsid w:val="005B1306"/>
    <w:rsid w:val="005B1560"/>
    <w:rsid w:val="005B1EB0"/>
    <w:rsid w:val="005B20E7"/>
    <w:rsid w:val="005B38F5"/>
    <w:rsid w:val="005B4857"/>
    <w:rsid w:val="005B5745"/>
    <w:rsid w:val="005B72BA"/>
    <w:rsid w:val="005C04B3"/>
    <w:rsid w:val="005C138D"/>
    <w:rsid w:val="005C14C4"/>
    <w:rsid w:val="005C1FF5"/>
    <w:rsid w:val="005C2996"/>
    <w:rsid w:val="005C31F9"/>
    <w:rsid w:val="005C458D"/>
    <w:rsid w:val="005C461F"/>
    <w:rsid w:val="005C5108"/>
    <w:rsid w:val="005C55DB"/>
    <w:rsid w:val="005C57BF"/>
    <w:rsid w:val="005C5A9D"/>
    <w:rsid w:val="005C5C54"/>
    <w:rsid w:val="005C632F"/>
    <w:rsid w:val="005C6A74"/>
    <w:rsid w:val="005C7687"/>
    <w:rsid w:val="005D0010"/>
    <w:rsid w:val="005D008A"/>
    <w:rsid w:val="005D02EC"/>
    <w:rsid w:val="005D0DE5"/>
    <w:rsid w:val="005D1658"/>
    <w:rsid w:val="005D1D73"/>
    <w:rsid w:val="005D38A9"/>
    <w:rsid w:val="005D42BB"/>
    <w:rsid w:val="005D433A"/>
    <w:rsid w:val="005D524D"/>
    <w:rsid w:val="005D5617"/>
    <w:rsid w:val="005D79E2"/>
    <w:rsid w:val="005D7D22"/>
    <w:rsid w:val="005E100B"/>
    <w:rsid w:val="005E22E2"/>
    <w:rsid w:val="005E3BAC"/>
    <w:rsid w:val="005E62D8"/>
    <w:rsid w:val="005E62DE"/>
    <w:rsid w:val="005E7197"/>
    <w:rsid w:val="005E7CEA"/>
    <w:rsid w:val="005F0663"/>
    <w:rsid w:val="005F0994"/>
    <w:rsid w:val="005F09B4"/>
    <w:rsid w:val="005F0D83"/>
    <w:rsid w:val="005F1000"/>
    <w:rsid w:val="005F10E6"/>
    <w:rsid w:val="005F162B"/>
    <w:rsid w:val="005F1951"/>
    <w:rsid w:val="005F27EB"/>
    <w:rsid w:val="005F2B1E"/>
    <w:rsid w:val="005F3056"/>
    <w:rsid w:val="005F33E2"/>
    <w:rsid w:val="005F46DD"/>
    <w:rsid w:val="005F4736"/>
    <w:rsid w:val="005F4D9C"/>
    <w:rsid w:val="005F555D"/>
    <w:rsid w:val="005F5613"/>
    <w:rsid w:val="005F6D9D"/>
    <w:rsid w:val="005F7C4D"/>
    <w:rsid w:val="00600798"/>
    <w:rsid w:val="00600880"/>
    <w:rsid w:val="00600C35"/>
    <w:rsid w:val="006011B4"/>
    <w:rsid w:val="006012B2"/>
    <w:rsid w:val="006015F4"/>
    <w:rsid w:val="00601DCF"/>
    <w:rsid w:val="00602AEC"/>
    <w:rsid w:val="006030C2"/>
    <w:rsid w:val="00603811"/>
    <w:rsid w:val="00603BA4"/>
    <w:rsid w:val="00605029"/>
    <w:rsid w:val="006053FB"/>
    <w:rsid w:val="00607BEA"/>
    <w:rsid w:val="00610015"/>
    <w:rsid w:val="00611B44"/>
    <w:rsid w:val="00611F55"/>
    <w:rsid w:val="00612DFA"/>
    <w:rsid w:val="0061376E"/>
    <w:rsid w:val="006142E1"/>
    <w:rsid w:val="00614A25"/>
    <w:rsid w:val="006154C4"/>
    <w:rsid w:val="0061788C"/>
    <w:rsid w:val="00617AA8"/>
    <w:rsid w:val="00617C79"/>
    <w:rsid w:val="006204CF"/>
    <w:rsid w:val="00620640"/>
    <w:rsid w:val="00620D00"/>
    <w:rsid w:val="0062112F"/>
    <w:rsid w:val="006217F6"/>
    <w:rsid w:val="00624B21"/>
    <w:rsid w:val="00626EF9"/>
    <w:rsid w:val="00627383"/>
    <w:rsid w:val="006277EE"/>
    <w:rsid w:val="00627B89"/>
    <w:rsid w:val="00630405"/>
    <w:rsid w:val="00630DAD"/>
    <w:rsid w:val="00632922"/>
    <w:rsid w:val="00632A3A"/>
    <w:rsid w:val="0063301C"/>
    <w:rsid w:val="00633F36"/>
    <w:rsid w:val="00634063"/>
    <w:rsid w:val="00635FF3"/>
    <w:rsid w:val="00636DB3"/>
    <w:rsid w:val="00637602"/>
    <w:rsid w:val="00637AF6"/>
    <w:rsid w:val="0064078E"/>
    <w:rsid w:val="00641312"/>
    <w:rsid w:val="00641FDD"/>
    <w:rsid w:val="00642504"/>
    <w:rsid w:val="00642B82"/>
    <w:rsid w:val="00642E91"/>
    <w:rsid w:val="00643112"/>
    <w:rsid w:val="0064389B"/>
    <w:rsid w:val="00645395"/>
    <w:rsid w:val="00645814"/>
    <w:rsid w:val="00646308"/>
    <w:rsid w:val="00646657"/>
    <w:rsid w:val="00646887"/>
    <w:rsid w:val="0064784B"/>
    <w:rsid w:val="0065043C"/>
    <w:rsid w:val="0065146F"/>
    <w:rsid w:val="00652391"/>
    <w:rsid w:val="00652687"/>
    <w:rsid w:val="00653182"/>
    <w:rsid w:val="006535DB"/>
    <w:rsid w:val="006539FD"/>
    <w:rsid w:val="006541A7"/>
    <w:rsid w:val="006552EF"/>
    <w:rsid w:val="00656B66"/>
    <w:rsid w:val="00656FD6"/>
    <w:rsid w:val="0065764C"/>
    <w:rsid w:val="0066170D"/>
    <w:rsid w:val="00661D9F"/>
    <w:rsid w:val="00662D38"/>
    <w:rsid w:val="00662F38"/>
    <w:rsid w:val="00663690"/>
    <w:rsid w:val="00664FAC"/>
    <w:rsid w:val="00667AD2"/>
    <w:rsid w:val="00667FAA"/>
    <w:rsid w:val="00671848"/>
    <w:rsid w:val="00671D91"/>
    <w:rsid w:val="006727C4"/>
    <w:rsid w:val="00672952"/>
    <w:rsid w:val="00674A35"/>
    <w:rsid w:val="00674C3D"/>
    <w:rsid w:val="00675233"/>
    <w:rsid w:val="00675C25"/>
    <w:rsid w:val="00675E92"/>
    <w:rsid w:val="00677121"/>
    <w:rsid w:val="006772BB"/>
    <w:rsid w:val="00677AF7"/>
    <w:rsid w:val="00681139"/>
    <w:rsid w:val="0068215A"/>
    <w:rsid w:val="00682918"/>
    <w:rsid w:val="00682AFE"/>
    <w:rsid w:val="00685BEF"/>
    <w:rsid w:val="00686549"/>
    <w:rsid w:val="00686A4E"/>
    <w:rsid w:val="00687A4F"/>
    <w:rsid w:val="00690596"/>
    <w:rsid w:val="0069080A"/>
    <w:rsid w:val="00690B51"/>
    <w:rsid w:val="00690EB1"/>
    <w:rsid w:val="00692A34"/>
    <w:rsid w:val="00692EA8"/>
    <w:rsid w:val="0069397A"/>
    <w:rsid w:val="00694E70"/>
    <w:rsid w:val="00695815"/>
    <w:rsid w:val="00695C57"/>
    <w:rsid w:val="00696460"/>
    <w:rsid w:val="00696B2D"/>
    <w:rsid w:val="00696FAB"/>
    <w:rsid w:val="006970F5"/>
    <w:rsid w:val="0069754E"/>
    <w:rsid w:val="0069770D"/>
    <w:rsid w:val="00697CC2"/>
    <w:rsid w:val="00697CD7"/>
    <w:rsid w:val="006A03A0"/>
    <w:rsid w:val="006A0ED3"/>
    <w:rsid w:val="006A2D07"/>
    <w:rsid w:val="006A309E"/>
    <w:rsid w:val="006A4432"/>
    <w:rsid w:val="006A4681"/>
    <w:rsid w:val="006A505B"/>
    <w:rsid w:val="006A52C5"/>
    <w:rsid w:val="006A55A4"/>
    <w:rsid w:val="006A570C"/>
    <w:rsid w:val="006A57FF"/>
    <w:rsid w:val="006A70B3"/>
    <w:rsid w:val="006A7827"/>
    <w:rsid w:val="006A79B3"/>
    <w:rsid w:val="006B0441"/>
    <w:rsid w:val="006B0899"/>
    <w:rsid w:val="006B17CC"/>
    <w:rsid w:val="006B36EA"/>
    <w:rsid w:val="006B5926"/>
    <w:rsid w:val="006B59D1"/>
    <w:rsid w:val="006B5B46"/>
    <w:rsid w:val="006B66F8"/>
    <w:rsid w:val="006B71BB"/>
    <w:rsid w:val="006B77ED"/>
    <w:rsid w:val="006B7928"/>
    <w:rsid w:val="006B7D87"/>
    <w:rsid w:val="006C0D89"/>
    <w:rsid w:val="006C1D4D"/>
    <w:rsid w:val="006C2000"/>
    <w:rsid w:val="006C2504"/>
    <w:rsid w:val="006C31DD"/>
    <w:rsid w:val="006C3FA7"/>
    <w:rsid w:val="006C431A"/>
    <w:rsid w:val="006C4724"/>
    <w:rsid w:val="006C4929"/>
    <w:rsid w:val="006C693D"/>
    <w:rsid w:val="006C6BBD"/>
    <w:rsid w:val="006C6E18"/>
    <w:rsid w:val="006C736A"/>
    <w:rsid w:val="006C7383"/>
    <w:rsid w:val="006C76BA"/>
    <w:rsid w:val="006C78D2"/>
    <w:rsid w:val="006D084B"/>
    <w:rsid w:val="006D20B6"/>
    <w:rsid w:val="006D2EFC"/>
    <w:rsid w:val="006D451A"/>
    <w:rsid w:val="006D53C0"/>
    <w:rsid w:val="006E020B"/>
    <w:rsid w:val="006E0DE1"/>
    <w:rsid w:val="006E208C"/>
    <w:rsid w:val="006E21FC"/>
    <w:rsid w:val="006E2CE0"/>
    <w:rsid w:val="006E31F2"/>
    <w:rsid w:val="006E38A9"/>
    <w:rsid w:val="006E3A2B"/>
    <w:rsid w:val="006E516F"/>
    <w:rsid w:val="006E5D1D"/>
    <w:rsid w:val="006E5EB9"/>
    <w:rsid w:val="006E730E"/>
    <w:rsid w:val="006E7930"/>
    <w:rsid w:val="006F36F7"/>
    <w:rsid w:val="006F3B0F"/>
    <w:rsid w:val="006F3D03"/>
    <w:rsid w:val="006F3E24"/>
    <w:rsid w:val="006F49F4"/>
    <w:rsid w:val="006F66A1"/>
    <w:rsid w:val="006F6B35"/>
    <w:rsid w:val="006F6F90"/>
    <w:rsid w:val="00700021"/>
    <w:rsid w:val="007006EB"/>
    <w:rsid w:val="00701D76"/>
    <w:rsid w:val="007021E5"/>
    <w:rsid w:val="007027B2"/>
    <w:rsid w:val="007028D3"/>
    <w:rsid w:val="00703218"/>
    <w:rsid w:val="00703F58"/>
    <w:rsid w:val="00704ABF"/>
    <w:rsid w:val="00706735"/>
    <w:rsid w:val="007073D1"/>
    <w:rsid w:val="007107FD"/>
    <w:rsid w:val="007112F4"/>
    <w:rsid w:val="00711ABB"/>
    <w:rsid w:val="00711C72"/>
    <w:rsid w:val="00711F10"/>
    <w:rsid w:val="0071208E"/>
    <w:rsid w:val="007120BD"/>
    <w:rsid w:val="007131E3"/>
    <w:rsid w:val="00713496"/>
    <w:rsid w:val="00713BF1"/>
    <w:rsid w:val="00713CD6"/>
    <w:rsid w:val="00713D5F"/>
    <w:rsid w:val="00714675"/>
    <w:rsid w:val="007154C6"/>
    <w:rsid w:val="00715BB5"/>
    <w:rsid w:val="0071665C"/>
    <w:rsid w:val="0071769E"/>
    <w:rsid w:val="007212D8"/>
    <w:rsid w:val="007219A8"/>
    <w:rsid w:val="00721B30"/>
    <w:rsid w:val="00722179"/>
    <w:rsid w:val="007222A3"/>
    <w:rsid w:val="00722BF5"/>
    <w:rsid w:val="007244F1"/>
    <w:rsid w:val="007247FE"/>
    <w:rsid w:val="0072487D"/>
    <w:rsid w:val="0072524B"/>
    <w:rsid w:val="007255B0"/>
    <w:rsid w:val="00725A46"/>
    <w:rsid w:val="00726DD4"/>
    <w:rsid w:val="00727CE8"/>
    <w:rsid w:val="00730820"/>
    <w:rsid w:val="00731697"/>
    <w:rsid w:val="007318D4"/>
    <w:rsid w:val="00731F58"/>
    <w:rsid w:val="00731FA8"/>
    <w:rsid w:val="00732280"/>
    <w:rsid w:val="00732713"/>
    <w:rsid w:val="00733146"/>
    <w:rsid w:val="007334C0"/>
    <w:rsid w:val="0073365C"/>
    <w:rsid w:val="00733E21"/>
    <w:rsid w:val="007346D1"/>
    <w:rsid w:val="007348AB"/>
    <w:rsid w:val="00734DC5"/>
    <w:rsid w:val="00735026"/>
    <w:rsid w:val="00735994"/>
    <w:rsid w:val="00735F6E"/>
    <w:rsid w:val="00736B15"/>
    <w:rsid w:val="007407F9"/>
    <w:rsid w:val="007409A1"/>
    <w:rsid w:val="00740C04"/>
    <w:rsid w:val="00740F5A"/>
    <w:rsid w:val="007414C5"/>
    <w:rsid w:val="00742455"/>
    <w:rsid w:val="0074286D"/>
    <w:rsid w:val="00743383"/>
    <w:rsid w:val="007437BA"/>
    <w:rsid w:val="007439EE"/>
    <w:rsid w:val="00743B7D"/>
    <w:rsid w:val="00744D88"/>
    <w:rsid w:val="00745046"/>
    <w:rsid w:val="00745A7E"/>
    <w:rsid w:val="00746C2F"/>
    <w:rsid w:val="00746C44"/>
    <w:rsid w:val="00747B04"/>
    <w:rsid w:val="0075248B"/>
    <w:rsid w:val="007524CA"/>
    <w:rsid w:val="00753CA6"/>
    <w:rsid w:val="00754145"/>
    <w:rsid w:val="007548E7"/>
    <w:rsid w:val="007550DD"/>
    <w:rsid w:val="00755FEE"/>
    <w:rsid w:val="007563DF"/>
    <w:rsid w:val="007571C5"/>
    <w:rsid w:val="00757227"/>
    <w:rsid w:val="0075730E"/>
    <w:rsid w:val="00757312"/>
    <w:rsid w:val="007614F9"/>
    <w:rsid w:val="00761917"/>
    <w:rsid w:val="0076294C"/>
    <w:rsid w:val="00762DA1"/>
    <w:rsid w:val="00763EBA"/>
    <w:rsid w:val="00764447"/>
    <w:rsid w:val="00764825"/>
    <w:rsid w:val="00764CBD"/>
    <w:rsid w:val="00766700"/>
    <w:rsid w:val="00767322"/>
    <w:rsid w:val="007704A9"/>
    <w:rsid w:val="00772D7C"/>
    <w:rsid w:val="007731E9"/>
    <w:rsid w:val="00773C42"/>
    <w:rsid w:val="00773E8B"/>
    <w:rsid w:val="007748C8"/>
    <w:rsid w:val="00775B83"/>
    <w:rsid w:val="00776C01"/>
    <w:rsid w:val="00776EBA"/>
    <w:rsid w:val="00777497"/>
    <w:rsid w:val="00777970"/>
    <w:rsid w:val="0078062F"/>
    <w:rsid w:val="007806C3"/>
    <w:rsid w:val="00780D7A"/>
    <w:rsid w:val="007812AD"/>
    <w:rsid w:val="007813EA"/>
    <w:rsid w:val="0078194E"/>
    <w:rsid w:val="00781D91"/>
    <w:rsid w:val="00782861"/>
    <w:rsid w:val="00782D1C"/>
    <w:rsid w:val="00782DBC"/>
    <w:rsid w:val="00784CE9"/>
    <w:rsid w:val="00784D99"/>
    <w:rsid w:val="00787562"/>
    <w:rsid w:val="00787A45"/>
    <w:rsid w:val="00790790"/>
    <w:rsid w:val="00790A23"/>
    <w:rsid w:val="007918EE"/>
    <w:rsid w:val="00791F9C"/>
    <w:rsid w:val="00791FFF"/>
    <w:rsid w:val="007926FA"/>
    <w:rsid w:val="007928DA"/>
    <w:rsid w:val="007928E0"/>
    <w:rsid w:val="00792BA3"/>
    <w:rsid w:val="00792E8A"/>
    <w:rsid w:val="00793BE7"/>
    <w:rsid w:val="007942E6"/>
    <w:rsid w:val="0079437F"/>
    <w:rsid w:val="007946B0"/>
    <w:rsid w:val="00795BBC"/>
    <w:rsid w:val="00796D5D"/>
    <w:rsid w:val="00797342"/>
    <w:rsid w:val="00797F3F"/>
    <w:rsid w:val="007A1899"/>
    <w:rsid w:val="007A223B"/>
    <w:rsid w:val="007A2465"/>
    <w:rsid w:val="007A4185"/>
    <w:rsid w:val="007A4C4F"/>
    <w:rsid w:val="007A5162"/>
    <w:rsid w:val="007A5A01"/>
    <w:rsid w:val="007A6198"/>
    <w:rsid w:val="007A74DE"/>
    <w:rsid w:val="007A7A4F"/>
    <w:rsid w:val="007B03C0"/>
    <w:rsid w:val="007B1BEB"/>
    <w:rsid w:val="007B3765"/>
    <w:rsid w:val="007B4B9C"/>
    <w:rsid w:val="007B687C"/>
    <w:rsid w:val="007B7673"/>
    <w:rsid w:val="007B7F28"/>
    <w:rsid w:val="007C002F"/>
    <w:rsid w:val="007C0BFD"/>
    <w:rsid w:val="007C0F80"/>
    <w:rsid w:val="007C4359"/>
    <w:rsid w:val="007C4537"/>
    <w:rsid w:val="007C4C3E"/>
    <w:rsid w:val="007C54CB"/>
    <w:rsid w:val="007C65FC"/>
    <w:rsid w:val="007C6AB4"/>
    <w:rsid w:val="007D00A2"/>
    <w:rsid w:val="007D0897"/>
    <w:rsid w:val="007D173E"/>
    <w:rsid w:val="007D1B0B"/>
    <w:rsid w:val="007D2F3D"/>
    <w:rsid w:val="007D3286"/>
    <w:rsid w:val="007D351B"/>
    <w:rsid w:val="007D3679"/>
    <w:rsid w:val="007D36FF"/>
    <w:rsid w:val="007D44AA"/>
    <w:rsid w:val="007D57E9"/>
    <w:rsid w:val="007E0B2A"/>
    <w:rsid w:val="007E14E8"/>
    <w:rsid w:val="007E244C"/>
    <w:rsid w:val="007E2FB9"/>
    <w:rsid w:val="007E319D"/>
    <w:rsid w:val="007E3350"/>
    <w:rsid w:val="007E4494"/>
    <w:rsid w:val="007E48B3"/>
    <w:rsid w:val="007E5136"/>
    <w:rsid w:val="007E5F8D"/>
    <w:rsid w:val="007E71FA"/>
    <w:rsid w:val="007E729D"/>
    <w:rsid w:val="007F0095"/>
    <w:rsid w:val="007F03E8"/>
    <w:rsid w:val="007F049C"/>
    <w:rsid w:val="007F09F3"/>
    <w:rsid w:val="007F0E68"/>
    <w:rsid w:val="007F1C44"/>
    <w:rsid w:val="007F1DB3"/>
    <w:rsid w:val="007F2AC0"/>
    <w:rsid w:val="007F383C"/>
    <w:rsid w:val="007F3D6A"/>
    <w:rsid w:val="007F4142"/>
    <w:rsid w:val="007F5C3B"/>
    <w:rsid w:val="007F6C5D"/>
    <w:rsid w:val="007F70F6"/>
    <w:rsid w:val="00800A30"/>
    <w:rsid w:val="00800D5A"/>
    <w:rsid w:val="00801682"/>
    <w:rsid w:val="00801F91"/>
    <w:rsid w:val="00801FAE"/>
    <w:rsid w:val="008024B7"/>
    <w:rsid w:val="00804560"/>
    <w:rsid w:val="0080461F"/>
    <w:rsid w:val="00806557"/>
    <w:rsid w:val="00810149"/>
    <w:rsid w:val="008106FF"/>
    <w:rsid w:val="0081112D"/>
    <w:rsid w:val="0081190F"/>
    <w:rsid w:val="0081215D"/>
    <w:rsid w:val="00813AFF"/>
    <w:rsid w:val="00813DF9"/>
    <w:rsid w:val="00814003"/>
    <w:rsid w:val="008145ED"/>
    <w:rsid w:val="00815B0C"/>
    <w:rsid w:val="00816357"/>
    <w:rsid w:val="00816ADD"/>
    <w:rsid w:val="00816BB8"/>
    <w:rsid w:val="0081794A"/>
    <w:rsid w:val="00817D63"/>
    <w:rsid w:val="00820E7B"/>
    <w:rsid w:val="008211AF"/>
    <w:rsid w:val="00821242"/>
    <w:rsid w:val="0082161B"/>
    <w:rsid w:val="00823586"/>
    <w:rsid w:val="00823658"/>
    <w:rsid w:val="00824559"/>
    <w:rsid w:val="008245CB"/>
    <w:rsid w:val="008247B1"/>
    <w:rsid w:val="008248BC"/>
    <w:rsid w:val="00824963"/>
    <w:rsid w:val="0082497B"/>
    <w:rsid w:val="00826381"/>
    <w:rsid w:val="0083011A"/>
    <w:rsid w:val="008304EE"/>
    <w:rsid w:val="00831611"/>
    <w:rsid w:val="00831CC6"/>
    <w:rsid w:val="008322DE"/>
    <w:rsid w:val="00835989"/>
    <w:rsid w:val="00835D25"/>
    <w:rsid w:val="008363BF"/>
    <w:rsid w:val="00836B89"/>
    <w:rsid w:val="008376EB"/>
    <w:rsid w:val="00837CC2"/>
    <w:rsid w:val="00840317"/>
    <w:rsid w:val="00841908"/>
    <w:rsid w:val="00842BDA"/>
    <w:rsid w:val="0084340C"/>
    <w:rsid w:val="00844857"/>
    <w:rsid w:val="00846274"/>
    <w:rsid w:val="00846DCD"/>
    <w:rsid w:val="008475E1"/>
    <w:rsid w:val="008523AB"/>
    <w:rsid w:val="00853F80"/>
    <w:rsid w:val="00854AAF"/>
    <w:rsid w:val="0085563C"/>
    <w:rsid w:val="00855B71"/>
    <w:rsid w:val="008565D1"/>
    <w:rsid w:val="00856B04"/>
    <w:rsid w:val="00857590"/>
    <w:rsid w:val="0085797D"/>
    <w:rsid w:val="00857E3D"/>
    <w:rsid w:val="008609FB"/>
    <w:rsid w:val="00860AF4"/>
    <w:rsid w:val="00860E7D"/>
    <w:rsid w:val="00861E01"/>
    <w:rsid w:val="00862602"/>
    <w:rsid w:val="008626AD"/>
    <w:rsid w:val="0086286D"/>
    <w:rsid w:val="008628C5"/>
    <w:rsid w:val="00862A3E"/>
    <w:rsid w:val="00863C40"/>
    <w:rsid w:val="00865BAF"/>
    <w:rsid w:val="00866671"/>
    <w:rsid w:val="0086746B"/>
    <w:rsid w:val="008675B1"/>
    <w:rsid w:val="008713D6"/>
    <w:rsid w:val="0087228D"/>
    <w:rsid w:val="00872A7E"/>
    <w:rsid w:val="00873A67"/>
    <w:rsid w:val="00874A5C"/>
    <w:rsid w:val="00876568"/>
    <w:rsid w:val="00876873"/>
    <w:rsid w:val="0087769F"/>
    <w:rsid w:val="00877B70"/>
    <w:rsid w:val="008802C7"/>
    <w:rsid w:val="00880C84"/>
    <w:rsid w:val="00882370"/>
    <w:rsid w:val="00882A1E"/>
    <w:rsid w:val="008834F1"/>
    <w:rsid w:val="0088390A"/>
    <w:rsid w:val="00883BC2"/>
    <w:rsid w:val="00883BFB"/>
    <w:rsid w:val="00885F6A"/>
    <w:rsid w:val="00886B96"/>
    <w:rsid w:val="0088759F"/>
    <w:rsid w:val="00887CF7"/>
    <w:rsid w:val="0089042C"/>
    <w:rsid w:val="0089195F"/>
    <w:rsid w:val="00892027"/>
    <w:rsid w:val="0089249D"/>
    <w:rsid w:val="00892A91"/>
    <w:rsid w:val="00892AF0"/>
    <w:rsid w:val="008933B9"/>
    <w:rsid w:val="00894C4F"/>
    <w:rsid w:val="00896C11"/>
    <w:rsid w:val="00896EA4"/>
    <w:rsid w:val="008A2A64"/>
    <w:rsid w:val="008A4A17"/>
    <w:rsid w:val="008A4C26"/>
    <w:rsid w:val="008A545B"/>
    <w:rsid w:val="008A564A"/>
    <w:rsid w:val="008A63D4"/>
    <w:rsid w:val="008A6731"/>
    <w:rsid w:val="008A7C48"/>
    <w:rsid w:val="008B00B7"/>
    <w:rsid w:val="008B0B98"/>
    <w:rsid w:val="008B1BEA"/>
    <w:rsid w:val="008B34EE"/>
    <w:rsid w:val="008B38BF"/>
    <w:rsid w:val="008B4B59"/>
    <w:rsid w:val="008B5517"/>
    <w:rsid w:val="008B5890"/>
    <w:rsid w:val="008B58F4"/>
    <w:rsid w:val="008B5AB0"/>
    <w:rsid w:val="008B60DA"/>
    <w:rsid w:val="008B780E"/>
    <w:rsid w:val="008C0BAF"/>
    <w:rsid w:val="008C1C0C"/>
    <w:rsid w:val="008C2E73"/>
    <w:rsid w:val="008C3317"/>
    <w:rsid w:val="008C3C9B"/>
    <w:rsid w:val="008C3E28"/>
    <w:rsid w:val="008C47CF"/>
    <w:rsid w:val="008C62CC"/>
    <w:rsid w:val="008C752C"/>
    <w:rsid w:val="008C76C3"/>
    <w:rsid w:val="008D1808"/>
    <w:rsid w:val="008D2436"/>
    <w:rsid w:val="008D2D3A"/>
    <w:rsid w:val="008D416F"/>
    <w:rsid w:val="008D4684"/>
    <w:rsid w:val="008D4D46"/>
    <w:rsid w:val="008D4E59"/>
    <w:rsid w:val="008D6056"/>
    <w:rsid w:val="008D68F8"/>
    <w:rsid w:val="008D727C"/>
    <w:rsid w:val="008D782F"/>
    <w:rsid w:val="008D7952"/>
    <w:rsid w:val="008D7953"/>
    <w:rsid w:val="008D7F64"/>
    <w:rsid w:val="008E0F80"/>
    <w:rsid w:val="008E1EF5"/>
    <w:rsid w:val="008E4CD5"/>
    <w:rsid w:val="008E4D1C"/>
    <w:rsid w:val="008E4E5B"/>
    <w:rsid w:val="008E6214"/>
    <w:rsid w:val="008E66FE"/>
    <w:rsid w:val="008E6C86"/>
    <w:rsid w:val="008E73B7"/>
    <w:rsid w:val="008F31D2"/>
    <w:rsid w:val="008F4A42"/>
    <w:rsid w:val="008F54FC"/>
    <w:rsid w:val="008F6319"/>
    <w:rsid w:val="008F7209"/>
    <w:rsid w:val="008F7660"/>
    <w:rsid w:val="008F7D85"/>
    <w:rsid w:val="008F7E71"/>
    <w:rsid w:val="00902192"/>
    <w:rsid w:val="009025D7"/>
    <w:rsid w:val="00902E36"/>
    <w:rsid w:val="00903D85"/>
    <w:rsid w:val="00904749"/>
    <w:rsid w:val="00905018"/>
    <w:rsid w:val="0090623F"/>
    <w:rsid w:val="00906A48"/>
    <w:rsid w:val="00907609"/>
    <w:rsid w:val="00907738"/>
    <w:rsid w:val="00911AC4"/>
    <w:rsid w:val="00911B31"/>
    <w:rsid w:val="00911B6A"/>
    <w:rsid w:val="0091348A"/>
    <w:rsid w:val="00913B8F"/>
    <w:rsid w:val="00913CAA"/>
    <w:rsid w:val="00915494"/>
    <w:rsid w:val="009175D4"/>
    <w:rsid w:val="00917E63"/>
    <w:rsid w:val="00920217"/>
    <w:rsid w:val="00920E1B"/>
    <w:rsid w:val="009210E3"/>
    <w:rsid w:val="00921712"/>
    <w:rsid w:val="009218A9"/>
    <w:rsid w:val="00922121"/>
    <w:rsid w:val="009225BB"/>
    <w:rsid w:val="00924D3B"/>
    <w:rsid w:val="00925B19"/>
    <w:rsid w:val="00925DA0"/>
    <w:rsid w:val="00927F41"/>
    <w:rsid w:val="009307E1"/>
    <w:rsid w:val="00930C29"/>
    <w:rsid w:val="009318F9"/>
    <w:rsid w:val="00931DAE"/>
    <w:rsid w:val="0093257F"/>
    <w:rsid w:val="00932AC5"/>
    <w:rsid w:val="00933401"/>
    <w:rsid w:val="00933908"/>
    <w:rsid w:val="00933E53"/>
    <w:rsid w:val="00934E82"/>
    <w:rsid w:val="009356B1"/>
    <w:rsid w:val="00935868"/>
    <w:rsid w:val="009360AB"/>
    <w:rsid w:val="00936E59"/>
    <w:rsid w:val="0093718E"/>
    <w:rsid w:val="0094011B"/>
    <w:rsid w:val="009417C6"/>
    <w:rsid w:val="00941D12"/>
    <w:rsid w:val="00943BE6"/>
    <w:rsid w:val="00944AC8"/>
    <w:rsid w:val="00944C53"/>
    <w:rsid w:val="0094609F"/>
    <w:rsid w:val="0094708D"/>
    <w:rsid w:val="009472DC"/>
    <w:rsid w:val="0094737E"/>
    <w:rsid w:val="009473D5"/>
    <w:rsid w:val="00947533"/>
    <w:rsid w:val="00947D52"/>
    <w:rsid w:val="00950185"/>
    <w:rsid w:val="00950E9A"/>
    <w:rsid w:val="00951A58"/>
    <w:rsid w:val="00952BC6"/>
    <w:rsid w:val="00953234"/>
    <w:rsid w:val="00954CC1"/>
    <w:rsid w:val="0095523E"/>
    <w:rsid w:val="00955F88"/>
    <w:rsid w:val="00955FC5"/>
    <w:rsid w:val="009565ED"/>
    <w:rsid w:val="00956CCF"/>
    <w:rsid w:val="0095792A"/>
    <w:rsid w:val="009610D6"/>
    <w:rsid w:val="00961434"/>
    <w:rsid w:val="009615AA"/>
    <w:rsid w:val="009634BE"/>
    <w:rsid w:val="00963804"/>
    <w:rsid w:val="009639A8"/>
    <w:rsid w:val="0096468D"/>
    <w:rsid w:val="00964A86"/>
    <w:rsid w:val="00965CCF"/>
    <w:rsid w:val="00965D08"/>
    <w:rsid w:val="009661E3"/>
    <w:rsid w:val="00966E5E"/>
    <w:rsid w:val="009672B5"/>
    <w:rsid w:val="0097050B"/>
    <w:rsid w:val="00970B33"/>
    <w:rsid w:val="00971016"/>
    <w:rsid w:val="00972869"/>
    <w:rsid w:val="00972CDE"/>
    <w:rsid w:val="009741DE"/>
    <w:rsid w:val="00975841"/>
    <w:rsid w:val="00976031"/>
    <w:rsid w:val="009762F4"/>
    <w:rsid w:val="009774E8"/>
    <w:rsid w:val="0098006E"/>
    <w:rsid w:val="009802D0"/>
    <w:rsid w:val="00980F95"/>
    <w:rsid w:val="00981760"/>
    <w:rsid w:val="00983175"/>
    <w:rsid w:val="00983B73"/>
    <w:rsid w:val="009841C8"/>
    <w:rsid w:val="0098569B"/>
    <w:rsid w:val="00985D6A"/>
    <w:rsid w:val="009866F4"/>
    <w:rsid w:val="009900B9"/>
    <w:rsid w:val="00990353"/>
    <w:rsid w:val="009928D0"/>
    <w:rsid w:val="009932F7"/>
    <w:rsid w:val="00993301"/>
    <w:rsid w:val="0099399A"/>
    <w:rsid w:val="00993ECE"/>
    <w:rsid w:val="00994348"/>
    <w:rsid w:val="009951B8"/>
    <w:rsid w:val="009952AC"/>
    <w:rsid w:val="00995E79"/>
    <w:rsid w:val="00996509"/>
    <w:rsid w:val="0099669E"/>
    <w:rsid w:val="0099694B"/>
    <w:rsid w:val="00996E3E"/>
    <w:rsid w:val="009A0021"/>
    <w:rsid w:val="009A2434"/>
    <w:rsid w:val="009A3404"/>
    <w:rsid w:val="009A38F4"/>
    <w:rsid w:val="009A3BE2"/>
    <w:rsid w:val="009A55BB"/>
    <w:rsid w:val="009A68D4"/>
    <w:rsid w:val="009A772B"/>
    <w:rsid w:val="009A78A3"/>
    <w:rsid w:val="009B0228"/>
    <w:rsid w:val="009B0666"/>
    <w:rsid w:val="009B24D4"/>
    <w:rsid w:val="009B2A9C"/>
    <w:rsid w:val="009B3417"/>
    <w:rsid w:val="009B37BA"/>
    <w:rsid w:val="009B37EF"/>
    <w:rsid w:val="009B395C"/>
    <w:rsid w:val="009B3D40"/>
    <w:rsid w:val="009B577C"/>
    <w:rsid w:val="009B62DE"/>
    <w:rsid w:val="009B661A"/>
    <w:rsid w:val="009B7A98"/>
    <w:rsid w:val="009C0A81"/>
    <w:rsid w:val="009C0CB3"/>
    <w:rsid w:val="009C1206"/>
    <w:rsid w:val="009C1E06"/>
    <w:rsid w:val="009C30D8"/>
    <w:rsid w:val="009C4ACA"/>
    <w:rsid w:val="009C4B14"/>
    <w:rsid w:val="009C4C71"/>
    <w:rsid w:val="009C5A92"/>
    <w:rsid w:val="009C60AB"/>
    <w:rsid w:val="009C619E"/>
    <w:rsid w:val="009C6CE6"/>
    <w:rsid w:val="009C70D6"/>
    <w:rsid w:val="009C79A5"/>
    <w:rsid w:val="009D045E"/>
    <w:rsid w:val="009D08CD"/>
    <w:rsid w:val="009D150A"/>
    <w:rsid w:val="009D155C"/>
    <w:rsid w:val="009D28D5"/>
    <w:rsid w:val="009D42EC"/>
    <w:rsid w:val="009D45E4"/>
    <w:rsid w:val="009D50FF"/>
    <w:rsid w:val="009D5F35"/>
    <w:rsid w:val="009D736C"/>
    <w:rsid w:val="009D747B"/>
    <w:rsid w:val="009D772B"/>
    <w:rsid w:val="009D7768"/>
    <w:rsid w:val="009E002E"/>
    <w:rsid w:val="009E1041"/>
    <w:rsid w:val="009E132F"/>
    <w:rsid w:val="009E1DA2"/>
    <w:rsid w:val="009E2431"/>
    <w:rsid w:val="009E2A74"/>
    <w:rsid w:val="009E367C"/>
    <w:rsid w:val="009E3EA5"/>
    <w:rsid w:val="009E49F6"/>
    <w:rsid w:val="009E4D7A"/>
    <w:rsid w:val="009E56BE"/>
    <w:rsid w:val="009F0ABC"/>
    <w:rsid w:val="009F0C2C"/>
    <w:rsid w:val="009F1406"/>
    <w:rsid w:val="009F3D69"/>
    <w:rsid w:val="009F4758"/>
    <w:rsid w:val="009F5007"/>
    <w:rsid w:val="009F580D"/>
    <w:rsid w:val="009F62D2"/>
    <w:rsid w:val="009F708D"/>
    <w:rsid w:val="009F715C"/>
    <w:rsid w:val="009F7388"/>
    <w:rsid w:val="009F7808"/>
    <w:rsid w:val="00A00A53"/>
    <w:rsid w:val="00A00AF6"/>
    <w:rsid w:val="00A02D09"/>
    <w:rsid w:val="00A03248"/>
    <w:rsid w:val="00A03B98"/>
    <w:rsid w:val="00A03BC1"/>
    <w:rsid w:val="00A03F4D"/>
    <w:rsid w:val="00A042FD"/>
    <w:rsid w:val="00A050C9"/>
    <w:rsid w:val="00A0510D"/>
    <w:rsid w:val="00A055C5"/>
    <w:rsid w:val="00A06099"/>
    <w:rsid w:val="00A07492"/>
    <w:rsid w:val="00A10C2A"/>
    <w:rsid w:val="00A10EA6"/>
    <w:rsid w:val="00A1226C"/>
    <w:rsid w:val="00A1272D"/>
    <w:rsid w:val="00A134E8"/>
    <w:rsid w:val="00A1362C"/>
    <w:rsid w:val="00A1396D"/>
    <w:rsid w:val="00A13C5A"/>
    <w:rsid w:val="00A15082"/>
    <w:rsid w:val="00A15333"/>
    <w:rsid w:val="00A167C9"/>
    <w:rsid w:val="00A16EB3"/>
    <w:rsid w:val="00A201B9"/>
    <w:rsid w:val="00A20668"/>
    <w:rsid w:val="00A20C21"/>
    <w:rsid w:val="00A239A4"/>
    <w:rsid w:val="00A242F0"/>
    <w:rsid w:val="00A24542"/>
    <w:rsid w:val="00A25B1C"/>
    <w:rsid w:val="00A26025"/>
    <w:rsid w:val="00A262B9"/>
    <w:rsid w:val="00A26A9C"/>
    <w:rsid w:val="00A26FF6"/>
    <w:rsid w:val="00A32B84"/>
    <w:rsid w:val="00A33D34"/>
    <w:rsid w:val="00A3478C"/>
    <w:rsid w:val="00A34882"/>
    <w:rsid w:val="00A35420"/>
    <w:rsid w:val="00A37358"/>
    <w:rsid w:val="00A37E45"/>
    <w:rsid w:val="00A40A0A"/>
    <w:rsid w:val="00A40CB0"/>
    <w:rsid w:val="00A41DB9"/>
    <w:rsid w:val="00A41FAB"/>
    <w:rsid w:val="00A426D8"/>
    <w:rsid w:val="00A43B6F"/>
    <w:rsid w:val="00A43F09"/>
    <w:rsid w:val="00A46A23"/>
    <w:rsid w:val="00A46A7A"/>
    <w:rsid w:val="00A46F79"/>
    <w:rsid w:val="00A474D2"/>
    <w:rsid w:val="00A475AE"/>
    <w:rsid w:val="00A479EF"/>
    <w:rsid w:val="00A515A0"/>
    <w:rsid w:val="00A515D1"/>
    <w:rsid w:val="00A516A6"/>
    <w:rsid w:val="00A535BE"/>
    <w:rsid w:val="00A53BD6"/>
    <w:rsid w:val="00A54AC8"/>
    <w:rsid w:val="00A55F4B"/>
    <w:rsid w:val="00A56EA8"/>
    <w:rsid w:val="00A57D21"/>
    <w:rsid w:val="00A57E98"/>
    <w:rsid w:val="00A60D26"/>
    <w:rsid w:val="00A61F9A"/>
    <w:rsid w:val="00A622FB"/>
    <w:rsid w:val="00A63BC9"/>
    <w:rsid w:val="00A63C4C"/>
    <w:rsid w:val="00A64205"/>
    <w:rsid w:val="00A64267"/>
    <w:rsid w:val="00A64290"/>
    <w:rsid w:val="00A646A5"/>
    <w:rsid w:val="00A6487C"/>
    <w:rsid w:val="00A6594B"/>
    <w:rsid w:val="00A66626"/>
    <w:rsid w:val="00A6679F"/>
    <w:rsid w:val="00A66E3B"/>
    <w:rsid w:val="00A67847"/>
    <w:rsid w:val="00A701FD"/>
    <w:rsid w:val="00A70815"/>
    <w:rsid w:val="00A72DDA"/>
    <w:rsid w:val="00A7647B"/>
    <w:rsid w:val="00A77E37"/>
    <w:rsid w:val="00A80312"/>
    <w:rsid w:val="00A8039D"/>
    <w:rsid w:val="00A80FFF"/>
    <w:rsid w:val="00A850A8"/>
    <w:rsid w:val="00A8533D"/>
    <w:rsid w:val="00A856C8"/>
    <w:rsid w:val="00A86351"/>
    <w:rsid w:val="00A87042"/>
    <w:rsid w:val="00A87AD2"/>
    <w:rsid w:val="00A90061"/>
    <w:rsid w:val="00A911EA"/>
    <w:rsid w:val="00A9244B"/>
    <w:rsid w:val="00A93E65"/>
    <w:rsid w:val="00A9488A"/>
    <w:rsid w:val="00A95341"/>
    <w:rsid w:val="00A96936"/>
    <w:rsid w:val="00A97DC6"/>
    <w:rsid w:val="00AA0B1D"/>
    <w:rsid w:val="00AA1ADE"/>
    <w:rsid w:val="00AA2192"/>
    <w:rsid w:val="00AA311E"/>
    <w:rsid w:val="00AA6FA1"/>
    <w:rsid w:val="00AA6FDD"/>
    <w:rsid w:val="00AB080F"/>
    <w:rsid w:val="00AB158E"/>
    <w:rsid w:val="00AB23F0"/>
    <w:rsid w:val="00AB2969"/>
    <w:rsid w:val="00AB4254"/>
    <w:rsid w:val="00AB494A"/>
    <w:rsid w:val="00AB52DC"/>
    <w:rsid w:val="00AB52F4"/>
    <w:rsid w:val="00AB5C4A"/>
    <w:rsid w:val="00AB7CED"/>
    <w:rsid w:val="00AC052D"/>
    <w:rsid w:val="00AC0981"/>
    <w:rsid w:val="00AC140E"/>
    <w:rsid w:val="00AC1B74"/>
    <w:rsid w:val="00AC2A0F"/>
    <w:rsid w:val="00AC2A96"/>
    <w:rsid w:val="00AC38A6"/>
    <w:rsid w:val="00AC45EF"/>
    <w:rsid w:val="00AC4B78"/>
    <w:rsid w:val="00AC4CDF"/>
    <w:rsid w:val="00AC53AD"/>
    <w:rsid w:val="00AC5CB2"/>
    <w:rsid w:val="00AC644C"/>
    <w:rsid w:val="00AC693C"/>
    <w:rsid w:val="00AC6E6C"/>
    <w:rsid w:val="00AD16E5"/>
    <w:rsid w:val="00AD172A"/>
    <w:rsid w:val="00AD2DEF"/>
    <w:rsid w:val="00AD3D9F"/>
    <w:rsid w:val="00AD454E"/>
    <w:rsid w:val="00AD6E6E"/>
    <w:rsid w:val="00AD77D4"/>
    <w:rsid w:val="00AE06A5"/>
    <w:rsid w:val="00AE0803"/>
    <w:rsid w:val="00AE144F"/>
    <w:rsid w:val="00AE1983"/>
    <w:rsid w:val="00AE2A05"/>
    <w:rsid w:val="00AE33BF"/>
    <w:rsid w:val="00AE36DF"/>
    <w:rsid w:val="00AE3AE3"/>
    <w:rsid w:val="00AE3DF1"/>
    <w:rsid w:val="00AE4281"/>
    <w:rsid w:val="00AE4B2F"/>
    <w:rsid w:val="00AE4DD4"/>
    <w:rsid w:val="00AE5345"/>
    <w:rsid w:val="00AE7154"/>
    <w:rsid w:val="00AE7BE3"/>
    <w:rsid w:val="00AF0301"/>
    <w:rsid w:val="00AF0899"/>
    <w:rsid w:val="00AF0DEE"/>
    <w:rsid w:val="00AF1280"/>
    <w:rsid w:val="00AF2CF8"/>
    <w:rsid w:val="00AF3AD1"/>
    <w:rsid w:val="00AF432B"/>
    <w:rsid w:val="00AF52B6"/>
    <w:rsid w:val="00AF58C0"/>
    <w:rsid w:val="00AF6CEA"/>
    <w:rsid w:val="00AF7C7F"/>
    <w:rsid w:val="00B012FE"/>
    <w:rsid w:val="00B0142A"/>
    <w:rsid w:val="00B01F4E"/>
    <w:rsid w:val="00B02DB4"/>
    <w:rsid w:val="00B0401B"/>
    <w:rsid w:val="00B042DF"/>
    <w:rsid w:val="00B0456C"/>
    <w:rsid w:val="00B04F8C"/>
    <w:rsid w:val="00B0543B"/>
    <w:rsid w:val="00B05C29"/>
    <w:rsid w:val="00B0640F"/>
    <w:rsid w:val="00B06A6A"/>
    <w:rsid w:val="00B06A81"/>
    <w:rsid w:val="00B06C17"/>
    <w:rsid w:val="00B073C5"/>
    <w:rsid w:val="00B078DB"/>
    <w:rsid w:val="00B07CFE"/>
    <w:rsid w:val="00B10970"/>
    <w:rsid w:val="00B11CCE"/>
    <w:rsid w:val="00B11E46"/>
    <w:rsid w:val="00B1305A"/>
    <w:rsid w:val="00B1393E"/>
    <w:rsid w:val="00B141D3"/>
    <w:rsid w:val="00B14D1F"/>
    <w:rsid w:val="00B152EA"/>
    <w:rsid w:val="00B153EB"/>
    <w:rsid w:val="00B162B3"/>
    <w:rsid w:val="00B167E0"/>
    <w:rsid w:val="00B16FF6"/>
    <w:rsid w:val="00B20937"/>
    <w:rsid w:val="00B21945"/>
    <w:rsid w:val="00B2288C"/>
    <w:rsid w:val="00B22951"/>
    <w:rsid w:val="00B22A54"/>
    <w:rsid w:val="00B23593"/>
    <w:rsid w:val="00B23BA9"/>
    <w:rsid w:val="00B2409D"/>
    <w:rsid w:val="00B24ECE"/>
    <w:rsid w:val="00B25262"/>
    <w:rsid w:val="00B25E28"/>
    <w:rsid w:val="00B2665A"/>
    <w:rsid w:val="00B2684B"/>
    <w:rsid w:val="00B31127"/>
    <w:rsid w:val="00B318EC"/>
    <w:rsid w:val="00B31B75"/>
    <w:rsid w:val="00B320F9"/>
    <w:rsid w:val="00B3235C"/>
    <w:rsid w:val="00B33520"/>
    <w:rsid w:val="00B33855"/>
    <w:rsid w:val="00B34B8A"/>
    <w:rsid w:val="00B350AD"/>
    <w:rsid w:val="00B354D7"/>
    <w:rsid w:val="00B357D9"/>
    <w:rsid w:val="00B36618"/>
    <w:rsid w:val="00B37F73"/>
    <w:rsid w:val="00B40CD2"/>
    <w:rsid w:val="00B427D9"/>
    <w:rsid w:val="00B42C6D"/>
    <w:rsid w:val="00B42D0A"/>
    <w:rsid w:val="00B432C0"/>
    <w:rsid w:val="00B43964"/>
    <w:rsid w:val="00B4480F"/>
    <w:rsid w:val="00B44C4B"/>
    <w:rsid w:val="00B454EC"/>
    <w:rsid w:val="00B45C82"/>
    <w:rsid w:val="00B46151"/>
    <w:rsid w:val="00B46D7C"/>
    <w:rsid w:val="00B500AF"/>
    <w:rsid w:val="00B5029A"/>
    <w:rsid w:val="00B50A73"/>
    <w:rsid w:val="00B50C24"/>
    <w:rsid w:val="00B53834"/>
    <w:rsid w:val="00B53F5D"/>
    <w:rsid w:val="00B54A3E"/>
    <w:rsid w:val="00B55AE0"/>
    <w:rsid w:val="00B56ABB"/>
    <w:rsid w:val="00B57FC5"/>
    <w:rsid w:val="00B61136"/>
    <w:rsid w:val="00B62E2D"/>
    <w:rsid w:val="00B63114"/>
    <w:rsid w:val="00B66D32"/>
    <w:rsid w:val="00B703E4"/>
    <w:rsid w:val="00B7386A"/>
    <w:rsid w:val="00B75339"/>
    <w:rsid w:val="00B75B79"/>
    <w:rsid w:val="00B75EF0"/>
    <w:rsid w:val="00B76029"/>
    <w:rsid w:val="00B76BA9"/>
    <w:rsid w:val="00B76CD2"/>
    <w:rsid w:val="00B77C5D"/>
    <w:rsid w:val="00B80145"/>
    <w:rsid w:val="00B82E5A"/>
    <w:rsid w:val="00B833CC"/>
    <w:rsid w:val="00B834DA"/>
    <w:rsid w:val="00B8385A"/>
    <w:rsid w:val="00B84595"/>
    <w:rsid w:val="00B845B9"/>
    <w:rsid w:val="00B84A5F"/>
    <w:rsid w:val="00B84BA4"/>
    <w:rsid w:val="00B856FD"/>
    <w:rsid w:val="00B85BA9"/>
    <w:rsid w:val="00B86FA8"/>
    <w:rsid w:val="00B87A83"/>
    <w:rsid w:val="00B87CA7"/>
    <w:rsid w:val="00B94080"/>
    <w:rsid w:val="00B946F4"/>
    <w:rsid w:val="00B95AA0"/>
    <w:rsid w:val="00B95DFE"/>
    <w:rsid w:val="00B9648B"/>
    <w:rsid w:val="00B969C2"/>
    <w:rsid w:val="00B9769D"/>
    <w:rsid w:val="00B976F4"/>
    <w:rsid w:val="00BA16BC"/>
    <w:rsid w:val="00BA245C"/>
    <w:rsid w:val="00BA5181"/>
    <w:rsid w:val="00BA5551"/>
    <w:rsid w:val="00BA57B9"/>
    <w:rsid w:val="00BA6DC0"/>
    <w:rsid w:val="00BB0876"/>
    <w:rsid w:val="00BB0C01"/>
    <w:rsid w:val="00BB1413"/>
    <w:rsid w:val="00BB191F"/>
    <w:rsid w:val="00BB23FF"/>
    <w:rsid w:val="00BB3C23"/>
    <w:rsid w:val="00BB4409"/>
    <w:rsid w:val="00BB4D21"/>
    <w:rsid w:val="00BB4E66"/>
    <w:rsid w:val="00BB535F"/>
    <w:rsid w:val="00BB5559"/>
    <w:rsid w:val="00BB55CE"/>
    <w:rsid w:val="00BB58DE"/>
    <w:rsid w:val="00BB6FA7"/>
    <w:rsid w:val="00BC0D30"/>
    <w:rsid w:val="00BC19BA"/>
    <w:rsid w:val="00BC2337"/>
    <w:rsid w:val="00BC2F03"/>
    <w:rsid w:val="00BC3B79"/>
    <w:rsid w:val="00BC48FB"/>
    <w:rsid w:val="00BC5669"/>
    <w:rsid w:val="00BC6C19"/>
    <w:rsid w:val="00BD0759"/>
    <w:rsid w:val="00BD0949"/>
    <w:rsid w:val="00BD1A82"/>
    <w:rsid w:val="00BD3016"/>
    <w:rsid w:val="00BD3CCD"/>
    <w:rsid w:val="00BD462F"/>
    <w:rsid w:val="00BD4F62"/>
    <w:rsid w:val="00BD55A3"/>
    <w:rsid w:val="00BD5A6A"/>
    <w:rsid w:val="00BD5D0B"/>
    <w:rsid w:val="00BD682A"/>
    <w:rsid w:val="00BD6846"/>
    <w:rsid w:val="00BD68A8"/>
    <w:rsid w:val="00BD7401"/>
    <w:rsid w:val="00BD76EF"/>
    <w:rsid w:val="00BD78B0"/>
    <w:rsid w:val="00BD7E23"/>
    <w:rsid w:val="00BE0683"/>
    <w:rsid w:val="00BE1FEE"/>
    <w:rsid w:val="00BE3160"/>
    <w:rsid w:val="00BE3AFA"/>
    <w:rsid w:val="00BE3D7B"/>
    <w:rsid w:val="00BE63D7"/>
    <w:rsid w:val="00BE6E5E"/>
    <w:rsid w:val="00BE715F"/>
    <w:rsid w:val="00BF0520"/>
    <w:rsid w:val="00BF0ABE"/>
    <w:rsid w:val="00BF0FCC"/>
    <w:rsid w:val="00BF104A"/>
    <w:rsid w:val="00BF1B5E"/>
    <w:rsid w:val="00BF1DE9"/>
    <w:rsid w:val="00BF1E36"/>
    <w:rsid w:val="00BF2CB8"/>
    <w:rsid w:val="00BF316B"/>
    <w:rsid w:val="00BF4400"/>
    <w:rsid w:val="00BF5BEC"/>
    <w:rsid w:val="00BF5C84"/>
    <w:rsid w:val="00BF6410"/>
    <w:rsid w:val="00BF6888"/>
    <w:rsid w:val="00BF78C2"/>
    <w:rsid w:val="00C003DF"/>
    <w:rsid w:val="00C00E41"/>
    <w:rsid w:val="00C01553"/>
    <w:rsid w:val="00C02275"/>
    <w:rsid w:val="00C02CDE"/>
    <w:rsid w:val="00C04F96"/>
    <w:rsid w:val="00C055F2"/>
    <w:rsid w:val="00C0638E"/>
    <w:rsid w:val="00C06B98"/>
    <w:rsid w:val="00C075DA"/>
    <w:rsid w:val="00C1003C"/>
    <w:rsid w:val="00C10827"/>
    <w:rsid w:val="00C12D52"/>
    <w:rsid w:val="00C146CD"/>
    <w:rsid w:val="00C14B77"/>
    <w:rsid w:val="00C152B9"/>
    <w:rsid w:val="00C15AFD"/>
    <w:rsid w:val="00C16131"/>
    <w:rsid w:val="00C165AD"/>
    <w:rsid w:val="00C16DBA"/>
    <w:rsid w:val="00C1724C"/>
    <w:rsid w:val="00C17C55"/>
    <w:rsid w:val="00C20556"/>
    <w:rsid w:val="00C20D07"/>
    <w:rsid w:val="00C21BAE"/>
    <w:rsid w:val="00C21D1E"/>
    <w:rsid w:val="00C23734"/>
    <w:rsid w:val="00C23885"/>
    <w:rsid w:val="00C23925"/>
    <w:rsid w:val="00C24389"/>
    <w:rsid w:val="00C24EB5"/>
    <w:rsid w:val="00C25D9A"/>
    <w:rsid w:val="00C305DF"/>
    <w:rsid w:val="00C30AD7"/>
    <w:rsid w:val="00C31659"/>
    <w:rsid w:val="00C31968"/>
    <w:rsid w:val="00C32725"/>
    <w:rsid w:val="00C327F6"/>
    <w:rsid w:val="00C32BC9"/>
    <w:rsid w:val="00C32ED7"/>
    <w:rsid w:val="00C33573"/>
    <w:rsid w:val="00C342DE"/>
    <w:rsid w:val="00C34492"/>
    <w:rsid w:val="00C347E0"/>
    <w:rsid w:val="00C34ECE"/>
    <w:rsid w:val="00C34FEE"/>
    <w:rsid w:val="00C402CD"/>
    <w:rsid w:val="00C40BC6"/>
    <w:rsid w:val="00C41EFC"/>
    <w:rsid w:val="00C4260F"/>
    <w:rsid w:val="00C437B1"/>
    <w:rsid w:val="00C43E5B"/>
    <w:rsid w:val="00C43ED7"/>
    <w:rsid w:val="00C44A0F"/>
    <w:rsid w:val="00C45767"/>
    <w:rsid w:val="00C467E8"/>
    <w:rsid w:val="00C4786E"/>
    <w:rsid w:val="00C500A1"/>
    <w:rsid w:val="00C50142"/>
    <w:rsid w:val="00C50FF7"/>
    <w:rsid w:val="00C51414"/>
    <w:rsid w:val="00C51636"/>
    <w:rsid w:val="00C52458"/>
    <w:rsid w:val="00C52720"/>
    <w:rsid w:val="00C527AC"/>
    <w:rsid w:val="00C548CD"/>
    <w:rsid w:val="00C54C27"/>
    <w:rsid w:val="00C552E3"/>
    <w:rsid w:val="00C55A48"/>
    <w:rsid w:val="00C55A97"/>
    <w:rsid w:val="00C6145E"/>
    <w:rsid w:val="00C61AB8"/>
    <w:rsid w:val="00C624C3"/>
    <w:rsid w:val="00C62AC5"/>
    <w:rsid w:val="00C650AA"/>
    <w:rsid w:val="00C65235"/>
    <w:rsid w:val="00C6540A"/>
    <w:rsid w:val="00C65459"/>
    <w:rsid w:val="00C664CE"/>
    <w:rsid w:val="00C66529"/>
    <w:rsid w:val="00C665F0"/>
    <w:rsid w:val="00C6737F"/>
    <w:rsid w:val="00C702AB"/>
    <w:rsid w:val="00C70E44"/>
    <w:rsid w:val="00C70F7E"/>
    <w:rsid w:val="00C71756"/>
    <w:rsid w:val="00C725FD"/>
    <w:rsid w:val="00C72F5B"/>
    <w:rsid w:val="00C736F1"/>
    <w:rsid w:val="00C73F95"/>
    <w:rsid w:val="00C75F1E"/>
    <w:rsid w:val="00C766A8"/>
    <w:rsid w:val="00C77F8A"/>
    <w:rsid w:val="00C77FED"/>
    <w:rsid w:val="00C8061E"/>
    <w:rsid w:val="00C80692"/>
    <w:rsid w:val="00C80DA8"/>
    <w:rsid w:val="00C81121"/>
    <w:rsid w:val="00C8359D"/>
    <w:rsid w:val="00C8369B"/>
    <w:rsid w:val="00C849E1"/>
    <w:rsid w:val="00C85743"/>
    <w:rsid w:val="00C87C72"/>
    <w:rsid w:val="00C90280"/>
    <w:rsid w:val="00C90C2C"/>
    <w:rsid w:val="00C9256A"/>
    <w:rsid w:val="00C927A3"/>
    <w:rsid w:val="00C92929"/>
    <w:rsid w:val="00C9449E"/>
    <w:rsid w:val="00C94CCC"/>
    <w:rsid w:val="00C94D43"/>
    <w:rsid w:val="00C95699"/>
    <w:rsid w:val="00C95CDB"/>
    <w:rsid w:val="00C96495"/>
    <w:rsid w:val="00C978A9"/>
    <w:rsid w:val="00CA11C6"/>
    <w:rsid w:val="00CA1F59"/>
    <w:rsid w:val="00CA23D9"/>
    <w:rsid w:val="00CA36FF"/>
    <w:rsid w:val="00CA3C49"/>
    <w:rsid w:val="00CA4DCA"/>
    <w:rsid w:val="00CA5C19"/>
    <w:rsid w:val="00CA6987"/>
    <w:rsid w:val="00CA6B06"/>
    <w:rsid w:val="00CA6F5C"/>
    <w:rsid w:val="00CA7D46"/>
    <w:rsid w:val="00CB01FD"/>
    <w:rsid w:val="00CB04EB"/>
    <w:rsid w:val="00CB2390"/>
    <w:rsid w:val="00CB2C0E"/>
    <w:rsid w:val="00CB3814"/>
    <w:rsid w:val="00CB3863"/>
    <w:rsid w:val="00CB4760"/>
    <w:rsid w:val="00CB6879"/>
    <w:rsid w:val="00CB6CC1"/>
    <w:rsid w:val="00CB70B2"/>
    <w:rsid w:val="00CB7928"/>
    <w:rsid w:val="00CB7E89"/>
    <w:rsid w:val="00CC055F"/>
    <w:rsid w:val="00CC07C3"/>
    <w:rsid w:val="00CC09BF"/>
    <w:rsid w:val="00CC10F3"/>
    <w:rsid w:val="00CC2730"/>
    <w:rsid w:val="00CC2827"/>
    <w:rsid w:val="00CC303D"/>
    <w:rsid w:val="00CC39BE"/>
    <w:rsid w:val="00CC3CE4"/>
    <w:rsid w:val="00CC668F"/>
    <w:rsid w:val="00CC7135"/>
    <w:rsid w:val="00CC7824"/>
    <w:rsid w:val="00CD18B4"/>
    <w:rsid w:val="00CD28AF"/>
    <w:rsid w:val="00CD28C0"/>
    <w:rsid w:val="00CD4C70"/>
    <w:rsid w:val="00CD4C7B"/>
    <w:rsid w:val="00CD5703"/>
    <w:rsid w:val="00CD78B8"/>
    <w:rsid w:val="00CE0662"/>
    <w:rsid w:val="00CE14D3"/>
    <w:rsid w:val="00CE15D1"/>
    <w:rsid w:val="00CE2AF6"/>
    <w:rsid w:val="00CE30D8"/>
    <w:rsid w:val="00CE3F18"/>
    <w:rsid w:val="00CE516A"/>
    <w:rsid w:val="00CE5AAC"/>
    <w:rsid w:val="00CE619F"/>
    <w:rsid w:val="00CE7756"/>
    <w:rsid w:val="00CF02BF"/>
    <w:rsid w:val="00CF03C5"/>
    <w:rsid w:val="00CF0FCC"/>
    <w:rsid w:val="00CF1514"/>
    <w:rsid w:val="00CF23AC"/>
    <w:rsid w:val="00CF3657"/>
    <w:rsid w:val="00CF3DC0"/>
    <w:rsid w:val="00CF40F4"/>
    <w:rsid w:val="00CF41BA"/>
    <w:rsid w:val="00CF45F2"/>
    <w:rsid w:val="00CF506C"/>
    <w:rsid w:val="00CF6F92"/>
    <w:rsid w:val="00CF6F9C"/>
    <w:rsid w:val="00CF70B9"/>
    <w:rsid w:val="00CF7E1A"/>
    <w:rsid w:val="00D00B3E"/>
    <w:rsid w:val="00D00D5F"/>
    <w:rsid w:val="00D01B86"/>
    <w:rsid w:val="00D02206"/>
    <w:rsid w:val="00D0387A"/>
    <w:rsid w:val="00D03AD8"/>
    <w:rsid w:val="00D04842"/>
    <w:rsid w:val="00D04B72"/>
    <w:rsid w:val="00D0533E"/>
    <w:rsid w:val="00D0560E"/>
    <w:rsid w:val="00D05691"/>
    <w:rsid w:val="00D10527"/>
    <w:rsid w:val="00D10F94"/>
    <w:rsid w:val="00D11B89"/>
    <w:rsid w:val="00D11C76"/>
    <w:rsid w:val="00D12407"/>
    <w:rsid w:val="00D1406E"/>
    <w:rsid w:val="00D144A2"/>
    <w:rsid w:val="00D14A1A"/>
    <w:rsid w:val="00D1571D"/>
    <w:rsid w:val="00D15B54"/>
    <w:rsid w:val="00D16380"/>
    <w:rsid w:val="00D168F4"/>
    <w:rsid w:val="00D170CB"/>
    <w:rsid w:val="00D202AC"/>
    <w:rsid w:val="00D2060C"/>
    <w:rsid w:val="00D218B4"/>
    <w:rsid w:val="00D219D2"/>
    <w:rsid w:val="00D22C11"/>
    <w:rsid w:val="00D234B2"/>
    <w:rsid w:val="00D2466C"/>
    <w:rsid w:val="00D24C54"/>
    <w:rsid w:val="00D24D2F"/>
    <w:rsid w:val="00D24EF3"/>
    <w:rsid w:val="00D24F50"/>
    <w:rsid w:val="00D25AAA"/>
    <w:rsid w:val="00D27250"/>
    <w:rsid w:val="00D27C06"/>
    <w:rsid w:val="00D27F09"/>
    <w:rsid w:val="00D302D1"/>
    <w:rsid w:val="00D305EA"/>
    <w:rsid w:val="00D30694"/>
    <w:rsid w:val="00D31CD9"/>
    <w:rsid w:val="00D31D71"/>
    <w:rsid w:val="00D3385A"/>
    <w:rsid w:val="00D3483D"/>
    <w:rsid w:val="00D365E0"/>
    <w:rsid w:val="00D368A9"/>
    <w:rsid w:val="00D36909"/>
    <w:rsid w:val="00D37226"/>
    <w:rsid w:val="00D42976"/>
    <w:rsid w:val="00D44586"/>
    <w:rsid w:val="00D45544"/>
    <w:rsid w:val="00D45E01"/>
    <w:rsid w:val="00D46826"/>
    <w:rsid w:val="00D46A4A"/>
    <w:rsid w:val="00D47E3B"/>
    <w:rsid w:val="00D47F68"/>
    <w:rsid w:val="00D515F2"/>
    <w:rsid w:val="00D5213C"/>
    <w:rsid w:val="00D52261"/>
    <w:rsid w:val="00D5241F"/>
    <w:rsid w:val="00D52650"/>
    <w:rsid w:val="00D52BA7"/>
    <w:rsid w:val="00D53D01"/>
    <w:rsid w:val="00D54501"/>
    <w:rsid w:val="00D574A9"/>
    <w:rsid w:val="00D57F4B"/>
    <w:rsid w:val="00D606F0"/>
    <w:rsid w:val="00D60879"/>
    <w:rsid w:val="00D60B56"/>
    <w:rsid w:val="00D60BE9"/>
    <w:rsid w:val="00D61131"/>
    <w:rsid w:val="00D625E4"/>
    <w:rsid w:val="00D634B9"/>
    <w:rsid w:val="00D64327"/>
    <w:rsid w:val="00D652BA"/>
    <w:rsid w:val="00D654AC"/>
    <w:rsid w:val="00D658CC"/>
    <w:rsid w:val="00D66626"/>
    <w:rsid w:val="00D66C54"/>
    <w:rsid w:val="00D67157"/>
    <w:rsid w:val="00D67E8F"/>
    <w:rsid w:val="00D72085"/>
    <w:rsid w:val="00D726C8"/>
    <w:rsid w:val="00D743C0"/>
    <w:rsid w:val="00D7561F"/>
    <w:rsid w:val="00D75F54"/>
    <w:rsid w:val="00D7615B"/>
    <w:rsid w:val="00D7689E"/>
    <w:rsid w:val="00D76EEC"/>
    <w:rsid w:val="00D77508"/>
    <w:rsid w:val="00D77635"/>
    <w:rsid w:val="00D77669"/>
    <w:rsid w:val="00D8026D"/>
    <w:rsid w:val="00D8033F"/>
    <w:rsid w:val="00D805A7"/>
    <w:rsid w:val="00D80943"/>
    <w:rsid w:val="00D80C1D"/>
    <w:rsid w:val="00D8108A"/>
    <w:rsid w:val="00D810AC"/>
    <w:rsid w:val="00D8126B"/>
    <w:rsid w:val="00D82478"/>
    <w:rsid w:val="00D838BF"/>
    <w:rsid w:val="00D879DA"/>
    <w:rsid w:val="00D908B8"/>
    <w:rsid w:val="00D90C67"/>
    <w:rsid w:val="00D90CF3"/>
    <w:rsid w:val="00D92EE1"/>
    <w:rsid w:val="00D93A79"/>
    <w:rsid w:val="00D93E1B"/>
    <w:rsid w:val="00D95464"/>
    <w:rsid w:val="00D95707"/>
    <w:rsid w:val="00D95E9D"/>
    <w:rsid w:val="00D96403"/>
    <w:rsid w:val="00D9644D"/>
    <w:rsid w:val="00D96E88"/>
    <w:rsid w:val="00D977ED"/>
    <w:rsid w:val="00D97EE9"/>
    <w:rsid w:val="00DA118F"/>
    <w:rsid w:val="00DA12B7"/>
    <w:rsid w:val="00DA245E"/>
    <w:rsid w:val="00DA2BD6"/>
    <w:rsid w:val="00DA39A3"/>
    <w:rsid w:val="00DA3F1D"/>
    <w:rsid w:val="00DA64BD"/>
    <w:rsid w:val="00DA728D"/>
    <w:rsid w:val="00DA7E01"/>
    <w:rsid w:val="00DA7E7B"/>
    <w:rsid w:val="00DB075F"/>
    <w:rsid w:val="00DB0B17"/>
    <w:rsid w:val="00DB1A5D"/>
    <w:rsid w:val="00DB2CAD"/>
    <w:rsid w:val="00DB379F"/>
    <w:rsid w:val="00DB4166"/>
    <w:rsid w:val="00DB477C"/>
    <w:rsid w:val="00DB5EBA"/>
    <w:rsid w:val="00DC0AFC"/>
    <w:rsid w:val="00DC108D"/>
    <w:rsid w:val="00DC18FE"/>
    <w:rsid w:val="00DC2E58"/>
    <w:rsid w:val="00DC31CB"/>
    <w:rsid w:val="00DC3955"/>
    <w:rsid w:val="00DC41FF"/>
    <w:rsid w:val="00DC483D"/>
    <w:rsid w:val="00DC50BA"/>
    <w:rsid w:val="00DC53BF"/>
    <w:rsid w:val="00DC5A46"/>
    <w:rsid w:val="00DC7FA9"/>
    <w:rsid w:val="00DD15C3"/>
    <w:rsid w:val="00DD346B"/>
    <w:rsid w:val="00DD37CF"/>
    <w:rsid w:val="00DD39ED"/>
    <w:rsid w:val="00DD3BB0"/>
    <w:rsid w:val="00DD56D1"/>
    <w:rsid w:val="00DD5A94"/>
    <w:rsid w:val="00DD6D52"/>
    <w:rsid w:val="00DD7B01"/>
    <w:rsid w:val="00DE0C3F"/>
    <w:rsid w:val="00DE126B"/>
    <w:rsid w:val="00DE15F5"/>
    <w:rsid w:val="00DE168A"/>
    <w:rsid w:val="00DE1A57"/>
    <w:rsid w:val="00DE2942"/>
    <w:rsid w:val="00DE34A8"/>
    <w:rsid w:val="00DE4E70"/>
    <w:rsid w:val="00DE57D2"/>
    <w:rsid w:val="00DE5E40"/>
    <w:rsid w:val="00DE62E8"/>
    <w:rsid w:val="00DE6C34"/>
    <w:rsid w:val="00DE6F65"/>
    <w:rsid w:val="00DE77EC"/>
    <w:rsid w:val="00DE7822"/>
    <w:rsid w:val="00DE7858"/>
    <w:rsid w:val="00DF0477"/>
    <w:rsid w:val="00DF4760"/>
    <w:rsid w:val="00DF491E"/>
    <w:rsid w:val="00DF7860"/>
    <w:rsid w:val="00DF79FC"/>
    <w:rsid w:val="00E004BF"/>
    <w:rsid w:val="00E008AD"/>
    <w:rsid w:val="00E009C8"/>
    <w:rsid w:val="00E00E34"/>
    <w:rsid w:val="00E02218"/>
    <w:rsid w:val="00E02289"/>
    <w:rsid w:val="00E023A3"/>
    <w:rsid w:val="00E02983"/>
    <w:rsid w:val="00E03868"/>
    <w:rsid w:val="00E03BE2"/>
    <w:rsid w:val="00E04072"/>
    <w:rsid w:val="00E04A3C"/>
    <w:rsid w:val="00E04C16"/>
    <w:rsid w:val="00E06080"/>
    <w:rsid w:val="00E06BEB"/>
    <w:rsid w:val="00E07020"/>
    <w:rsid w:val="00E07030"/>
    <w:rsid w:val="00E10496"/>
    <w:rsid w:val="00E113CC"/>
    <w:rsid w:val="00E119D3"/>
    <w:rsid w:val="00E12042"/>
    <w:rsid w:val="00E1302E"/>
    <w:rsid w:val="00E13189"/>
    <w:rsid w:val="00E1322F"/>
    <w:rsid w:val="00E14912"/>
    <w:rsid w:val="00E14BDA"/>
    <w:rsid w:val="00E15307"/>
    <w:rsid w:val="00E1558C"/>
    <w:rsid w:val="00E16045"/>
    <w:rsid w:val="00E170AD"/>
    <w:rsid w:val="00E17C31"/>
    <w:rsid w:val="00E17CF0"/>
    <w:rsid w:val="00E17F0E"/>
    <w:rsid w:val="00E21174"/>
    <w:rsid w:val="00E21606"/>
    <w:rsid w:val="00E217C5"/>
    <w:rsid w:val="00E218CE"/>
    <w:rsid w:val="00E21E26"/>
    <w:rsid w:val="00E21ECA"/>
    <w:rsid w:val="00E23F9D"/>
    <w:rsid w:val="00E25A04"/>
    <w:rsid w:val="00E274F8"/>
    <w:rsid w:val="00E27F8D"/>
    <w:rsid w:val="00E30670"/>
    <w:rsid w:val="00E30681"/>
    <w:rsid w:val="00E30D8E"/>
    <w:rsid w:val="00E31BDA"/>
    <w:rsid w:val="00E332A9"/>
    <w:rsid w:val="00E33593"/>
    <w:rsid w:val="00E337C8"/>
    <w:rsid w:val="00E33D79"/>
    <w:rsid w:val="00E33DD4"/>
    <w:rsid w:val="00E34148"/>
    <w:rsid w:val="00E35104"/>
    <w:rsid w:val="00E35958"/>
    <w:rsid w:val="00E35B56"/>
    <w:rsid w:val="00E36D0A"/>
    <w:rsid w:val="00E3710E"/>
    <w:rsid w:val="00E40326"/>
    <w:rsid w:val="00E40735"/>
    <w:rsid w:val="00E41291"/>
    <w:rsid w:val="00E4191D"/>
    <w:rsid w:val="00E4270F"/>
    <w:rsid w:val="00E42C1A"/>
    <w:rsid w:val="00E44798"/>
    <w:rsid w:val="00E453D9"/>
    <w:rsid w:val="00E45D41"/>
    <w:rsid w:val="00E462ED"/>
    <w:rsid w:val="00E47627"/>
    <w:rsid w:val="00E5013E"/>
    <w:rsid w:val="00E518E1"/>
    <w:rsid w:val="00E5208B"/>
    <w:rsid w:val="00E53431"/>
    <w:rsid w:val="00E55FAF"/>
    <w:rsid w:val="00E56FC3"/>
    <w:rsid w:val="00E607E3"/>
    <w:rsid w:val="00E624A9"/>
    <w:rsid w:val="00E62927"/>
    <w:rsid w:val="00E62A6F"/>
    <w:rsid w:val="00E62ADD"/>
    <w:rsid w:val="00E632E8"/>
    <w:rsid w:val="00E6360F"/>
    <w:rsid w:val="00E63C22"/>
    <w:rsid w:val="00E63CBD"/>
    <w:rsid w:val="00E64C14"/>
    <w:rsid w:val="00E64D20"/>
    <w:rsid w:val="00E64FC6"/>
    <w:rsid w:val="00E650DC"/>
    <w:rsid w:val="00E65288"/>
    <w:rsid w:val="00E66016"/>
    <w:rsid w:val="00E662D5"/>
    <w:rsid w:val="00E663B2"/>
    <w:rsid w:val="00E671D6"/>
    <w:rsid w:val="00E67384"/>
    <w:rsid w:val="00E7068F"/>
    <w:rsid w:val="00E712A8"/>
    <w:rsid w:val="00E713AF"/>
    <w:rsid w:val="00E72077"/>
    <w:rsid w:val="00E7368C"/>
    <w:rsid w:val="00E738B5"/>
    <w:rsid w:val="00E73EDC"/>
    <w:rsid w:val="00E7457E"/>
    <w:rsid w:val="00E761CC"/>
    <w:rsid w:val="00E77BBE"/>
    <w:rsid w:val="00E8127C"/>
    <w:rsid w:val="00E81464"/>
    <w:rsid w:val="00E82A5E"/>
    <w:rsid w:val="00E84E03"/>
    <w:rsid w:val="00E8635D"/>
    <w:rsid w:val="00E86521"/>
    <w:rsid w:val="00E86D68"/>
    <w:rsid w:val="00E86E5C"/>
    <w:rsid w:val="00E90596"/>
    <w:rsid w:val="00E906EA"/>
    <w:rsid w:val="00E9293D"/>
    <w:rsid w:val="00E92BFE"/>
    <w:rsid w:val="00E95629"/>
    <w:rsid w:val="00E95B9C"/>
    <w:rsid w:val="00E96288"/>
    <w:rsid w:val="00E96887"/>
    <w:rsid w:val="00E9779F"/>
    <w:rsid w:val="00E977F9"/>
    <w:rsid w:val="00EA0C22"/>
    <w:rsid w:val="00EA25EF"/>
    <w:rsid w:val="00EA28AD"/>
    <w:rsid w:val="00EA3BE4"/>
    <w:rsid w:val="00EA4E1B"/>
    <w:rsid w:val="00EA5022"/>
    <w:rsid w:val="00EA78BF"/>
    <w:rsid w:val="00EB0019"/>
    <w:rsid w:val="00EB0B13"/>
    <w:rsid w:val="00EB0BB4"/>
    <w:rsid w:val="00EB16CB"/>
    <w:rsid w:val="00EB37FB"/>
    <w:rsid w:val="00EB47F8"/>
    <w:rsid w:val="00EB4B20"/>
    <w:rsid w:val="00EB4C6C"/>
    <w:rsid w:val="00EB64E3"/>
    <w:rsid w:val="00EB698B"/>
    <w:rsid w:val="00EB70FC"/>
    <w:rsid w:val="00EB7D52"/>
    <w:rsid w:val="00EC054B"/>
    <w:rsid w:val="00EC063F"/>
    <w:rsid w:val="00EC0EA3"/>
    <w:rsid w:val="00EC22F2"/>
    <w:rsid w:val="00EC32A7"/>
    <w:rsid w:val="00EC35DE"/>
    <w:rsid w:val="00EC3A9C"/>
    <w:rsid w:val="00EC4233"/>
    <w:rsid w:val="00EC457B"/>
    <w:rsid w:val="00EC464C"/>
    <w:rsid w:val="00EC57F8"/>
    <w:rsid w:val="00EC690E"/>
    <w:rsid w:val="00EC6975"/>
    <w:rsid w:val="00EC76C0"/>
    <w:rsid w:val="00EC7CD6"/>
    <w:rsid w:val="00EC7E26"/>
    <w:rsid w:val="00EC7EB0"/>
    <w:rsid w:val="00EC7FFE"/>
    <w:rsid w:val="00ED016C"/>
    <w:rsid w:val="00ED0288"/>
    <w:rsid w:val="00ED0AB3"/>
    <w:rsid w:val="00ED1268"/>
    <w:rsid w:val="00ED1429"/>
    <w:rsid w:val="00ED1863"/>
    <w:rsid w:val="00ED18EF"/>
    <w:rsid w:val="00ED1DD6"/>
    <w:rsid w:val="00ED2008"/>
    <w:rsid w:val="00ED32F2"/>
    <w:rsid w:val="00ED35A6"/>
    <w:rsid w:val="00ED37BC"/>
    <w:rsid w:val="00ED4BDD"/>
    <w:rsid w:val="00ED6616"/>
    <w:rsid w:val="00ED7109"/>
    <w:rsid w:val="00ED736E"/>
    <w:rsid w:val="00EE03D2"/>
    <w:rsid w:val="00EE2095"/>
    <w:rsid w:val="00EE29F5"/>
    <w:rsid w:val="00EE35E2"/>
    <w:rsid w:val="00EE3B07"/>
    <w:rsid w:val="00EE3E2C"/>
    <w:rsid w:val="00EE505A"/>
    <w:rsid w:val="00EE68A9"/>
    <w:rsid w:val="00EE6CAD"/>
    <w:rsid w:val="00EE7066"/>
    <w:rsid w:val="00EE74EE"/>
    <w:rsid w:val="00EE7B06"/>
    <w:rsid w:val="00EF0F58"/>
    <w:rsid w:val="00EF1CEB"/>
    <w:rsid w:val="00EF2455"/>
    <w:rsid w:val="00EF288A"/>
    <w:rsid w:val="00EF3212"/>
    <w:rsid w:val="00EF500F"/>
    <w:rsid w:val="00EF6900"/>
    <w:rsid w:val="00EF7562"/>
    <w:rsid w:val="00F00414"/>
    <w:rsid w:val="00F00BAA"/>
    <w:rsid w:val="00F010E8"/>
    <w:rsid w:val="00F013A4"/>
    <w:rsid w:val="00F029E5"/>
    <w:rsid w:val="00F03230"/>
    <w:rsid w:val="00F04145"/>
    <w:rsid w:val="00F04755"/>
    <w:rsid w:val="00F05BCB"/>
    <w:rsid w:val="00F06107"/>
    <w:rsid w:val="00F062D4"/>
    <w:rsid w:val="00F06BB2"/>
    <w:rsid w:val="00F07035"/>
    <w:rsid w:val="00F070B0"/>
    <w:rsid w:val="00F071A6"/>
    <w:rsid w:val="00F07CF4"/>
    <w:rsid w:val="00F07E1E"/>
    <w:rsid w:val="00F1147E"/>
    <w:rsid w:val="00F1296B"/>
    <w:rsid w:val="00F130D7"/>
    <w:rsid w:val="00F13A70"/>
    <w:rsid w:val="00F13DD4"/>
    <w:rsid w:val="00F145F1"/>
    <w:rsid w:val="00F14CAF"/>
    <w:rsid w:val="00F14CF9"/>
    <w:rsid w:val="00F14E6B"/>
    <w:rsid w:val="00F15626"/>
    <w:rsid w:val="00F15869"/>
    <w:rsid w:val="00F1699C"/>
    <w:rsid w:val="00F16DBA"/>
    <w:rsid w:val="00F176EF"/>
    <w:rsid w:val="00F20AED"/>
    <w:rsid w:val="00F22096"/>
    <w:rsid w:val="00F22976"/>
    <w:rsid w:val="00F23AD7"/>
    <w:rsid w:val="00F23C31"/>
    <w:rsid w:val="00F24DAB"/>
    <w:rsid w:val="00F253B3"/>
    <w:rsid w:val="00F2663A"/>
    <w:rsid w:val="00F26B12"/>
    <w:rsid w:val="00F309D4"/>
    <w:rsid w:val="00F30FF6"/>
    <w:rsid w:val="00F3172D"/>
    <w:rsid w:val="00F31B2B"/>
    <w:rsid w:val="00F31D56"/>
    <w:rsid w:val="00F32122"/>
    <w:rsid w:val="00F32362"/>
    <w:rsid w:val="00F32A3E"/>
    <w:rsid w:val="00F33235"/>
    <w:rsid w:val="00F3339F"/>
    <w:rsid w:val="00F3400A"/>
    <w:rsid w:val="00F342B6"/>
    <w:rsid w:val="00F3435E"/>
    <w:rsid w:val="00F359D9"/>
    <w:rsid w:val="00F37198"/>
    <w:rsid w:val="00F37714"/>
    <w:rsid w:val="00F4034B"/>
    <w:rsid w:val="00F40CBC"/>
    <w:rsid w:val="00F42198"/>
    <w:rsid w:val="00F4263A"/>
    <w:rsid w:val="00F432B0"/>
    <w:rsid w:val="00F469C0"/>
    <w:rsid w:val="00F46EB8"/>
    <w:rsid w:val="00F5095D"/>
    <w:rsid w:val="00F512A5"/>
    <w:rsid w:val="00F519C4"/>
    <w:rsid w:val="00F51EF1"/>
    <w:rsid w:val="00F51F42"/>
    <w:rsid w:val="00F54BE6"/>
    <w:rsid w:val="00F558CC"/>
    <w:rsid w:val="00F55A7A"/>
    <w:rsid w:val="00F56333"/>
    <w:rsid w:val="00F57E47"/>
    <w:rsid w:val="00F635C2"/>
    <w:rsid w:val="00F6486F"/>
    <w:rsid w:val="00F65184"/>
    <w:rsid w:val="00F65DC5"/>
    <w:rsid w:val="00F70EB2"/>
    <w:rsid w:val="00F72090"/>
    <w:rsid w:val="00F72DEA"/>
    <w:rsid w:val="00F72DFA"/>
    <w:rsid w:val="00F738AC"/>
    <w:rsid w:val="00F74986"/>
    <w:rsid w:val="00F74D8F"/>
    <w:rsid w:val="00F750F0"/>
    <w:rsid w:val="00F758E2"/>
    <w:rsid w:val="00F75E79"/>
    <w:rsid w:val="00F7618C"/>
    <w:rsid w:val="00F76590"/>
    <w:rsid w:val="00F76C06"/>
    <w:rsid w:val="00F7733E"/>
    <w:rsid w:val="00F80295"/>
    <w:rsid w:val="00F805F5"/>
    <w:rsid w:val="00F80A8F"/>
    <w:rsid w:val="00F80B6E"/>
    <w:rsid w:val="00F81759"/>
    <w:rsid w:val="00F81AC7"/>
    <w:rsid w:val="00F82956"/>
    <w:rsid w:val="00F82E55"/>
    <w:rsid w:val="00F82EF5"/>
    <w:rsid w:val="00F8321E"/>
    <w:rsid w:val="00F83788"/>
    <w:rsid w:val="00F840C4"/>
    <w:rsid w:val="00F84CC0"/>
    <w:rsid w:val="00F85779"/>
    <w:rsid w:val="00F85FE4"/>
    <w:rsid w:val="00F876C4"/>
    <w:rsid w:val="00F87F78"/>
    <w:rsid w:val="00F903B3"/>
    <w:rsid w:val="00F90FF4"/>
    <w:rsid w:val="00F918FD"/>
    <w:rsid w:val="00F92AF7"/>
    <w:rsid w:val="00F9303B"/>
    <w:rsid w:val="00F95976"/>
    <w:rsid w:val="00F9650A"/>
    <w:rsid w:val="00F96682"/>
    <w:rsid w:val="00F97590"/>
    <w:rsid w:val="00FA0D9F"/>
    <w:rsid w:val="00FA2BBD"/>
    <w:rsid w:val="00FA2D62"/>
    <w:rsid w:val="00FA2E6E"/>
    <w:rsid w:val="00FA3D4A"/>
    <w:rsid w:val="00FA44FF"/>
    <w:rsid w:val="00FA4593"/>
    <w:rsid w:val="00FA49D8"/>
    <w:rsid w:val="00FA4AE7"/>
    <w:rsid w:val="00FA4C81"/>
    <w:rsid w:val="00FA5D1F"/>
    <w:rsid w:val="00FA5E76"/>
    <w:rsid w:val="00FA61CE"/>
    <w:rsid w:val="00FA6970"/>
    <w:rsid w:val="00FA7685"/>
    <w:rsid w:val="00FA77DC"/>
    <w:rsid w:val="00FA7C85"/>
    <w:rsid w:val="00FB04B8"/>
    <w:rsid w:val="00FB0E54"/>
    <w:rsid w:val="00FB19AC"/>
    <w:rsid w:val="00FB1DCF"/>
    <w:rsid w:val="00FB2C08"/>
    <w:rsid w:val="00FB3A3F"/>
    <w:rsid w:val="00FB4FF3"/>
    <w:rsid w:val="00FB6B9D"/>
    <w:rsid w:val="00FB6D13"/>
    <w:rsid w:val="00FB75E9"/>
    <w:rsid w:val="00FB7708"/>
    <w:rsid w:val="00FB7833"/>
    <w:rsid w:val="00FB7C15"/>
    <w:rsid w:val="00FB7CA8"/>
    <w:rsid w:val="00FC06B9"/>
    <w:rsid w:val="00FC255F"/>
    <w:rsid w:val="00FC277D"/>
    <w:rsid w:val="00FC2FC8"/>
    <w:rsid w:val="00FC3704"/>
    <w:rsid w:val="00FC3AB4"/>
    <w:rsid w:val="00FC3D4E"/>
    <w:rsid w:val="00FC4AC8"/>
    <w:rsid w:val="00FC5200"/>
    <w:rsid w:val="00FC5205"/>
    <w:rsid w:val="00FC6605"/>
    <w:rsid w:val="00FC6E39"/>
    <w:rsid w:val="00FD0A45"/>
    <w:rsid w:val="00FD10CC"/>
    <w:rsid w:val="00FD15AE"/>
    <w:rsid w:val="00FD1ABA"/>
    <w:rsid w:val="00FD2341"/>
    <w:rsid w:val="00FD39C6"/>
    <w:rsid w:val="00FD46C3"/>
    <w:rsid w:val="00FD50CB"/>
    <w:rsid w:val="00FD618F"/>
    <w:rsid w:val="00FD62D4"/>
    <w:rsid w:val="00FD711F"/>
    <w:rsid w:val="00FD7C6E"/>
    <w:rsid w:val="00FD7E39"/>
    <w:rsid w:val="00FE01C7"/>
    <w:rsid w:val="00FE1F20"/>
    <w:rsid w:val="00FE2034"/>
    <w:rsid w:val="00FE22EC"/>
    <w:rsid w:val="00FE2A42"/>
    <w:rsid w:val="00FE2A46"/>
    <w:rsid w:val="00FE3541"/>
    <w:rsid w:val="00FE3680"/>
    <w:rsid w:val="00FE3AB0"/>
    <w:rsid w:val="00FE3D7E"/>
    <w:rsid w:val="00FE429E"/>
    <w:rsid w:val="00FE4C8A"/>
    <w:rsid w:val="00FE5C9A"/>
    <w:rsid w:val="00FE60D7"/>
    <w:rsid w:val="00FE67ED"/>
    <w:rsid w:val="00FE6B12"/>
    <w:rsid w:val="00FE7BCE"/>
    <w:rsid w:val="00FF02CF"/>
    <w:rsid w:val="00FF186C"/>
    <w:rsid w:val="00FF1D18"/>
    <w:rsid w:val="00FF2660"/>
    <w:rsid w:val="00FF2839"/>
    <w:rsid w:val="00FF2DF0"/>
    <w:rsid w:val="00FF2F16"/>
    <w:rsid w:val="00FF2FA9"/>
    <w:rsid w:val="00FF555C"/>
    <w:rsid w:val="00FF59D4"/>
    <w:rsid w:val="00FF5A0E"/>
    <w:rsid w:val="00FF5D76"/>
    <w:rsid w:val="00FF69ED"/>
    <w:rsid w:val="00FF6C41"/>
    <w:rsid w:val="00FF7093"/>
    <w:rsid w:val="02470E23"/>
    <w:rsid w:val="06B05B52"/>
    <w:rsid w:val="07486876"/>
    <w:rsid w:val="081B2585"/>
    <w:rsid w:val="0CBC50F4"/>
    <w:rsid w:val="0FB5772A"/>
    <w:rsid w:val="165466A9"/>
    <w:rsid w:val="16625621"/>
    <w:rsid w:val="1C3C02A0"/>
    <w:rsid w:val="1CFD6188"/>
    <w:rsid w:val="21296546"/>
    <w:rsid w:val="213C3C77"/>
    <w:rsid w:val="24262DDA"/>
    <w:rsid w:val="24D0291B"/>
    <w:rsid w:val="27FD7D19"/>
    <w:rsid w:val="2C8C5A27"/>
    <w:rsid w:val="2F401A39"/>
    <w:rsid w:val="33915CD0"/>
    <w:rsid w:val="34610250"/>
    <w:rsid w:val="34CE55F6"/>
    <w:rsid w:val="3DE03DCB"/>
    <w:rsid w:val="4082678C"/>
    <w:rsid w:val="48FC0332"/>
    <w:rsid w:val="4ACD6BF8"/>
    <w:rsid w:val="54293388"/>
    <w:rsid w:val="57776F42"/>
    <w:rsid w:val="57BC3EBC"/>
    <w:rsid w:val="60CD3D58"/>
    <w:rsid w:val="615C4989"/>
    <w:rsid w:val="668D6CDE"/>
    <w:rsid w:val="67900263"/>
    <w:rsid w:val="6BDD334B"/>
    <w:rsid w:val="6DB64601"/>
    <w:rsid w:val="6EDF6449"/>
    <w:rsid w:val="768B3612"/>
    <w:rsid w:val="7C5A7BA3"/>
    <w:rsid w:val="7E636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7"/>
    <w:qFormat/>
    <w:uiPriority w:val="0"/>
    <w:pPr>
      <w:keepNext/>
      <w:keepLines/>
      <w:spacing w:before="120" w:after="120" w:line="360" w:lineRule="auto"/>
      <w:jc w:val="center"/>
      <w:outlineLvl w:val="0"/>
    </w:pPr>
    <w:rPr>
      <w:b/>
      <w:bCs/>
      <w:kern w:val="44"/>
      <w:sz w:val="30"/>
      <w:szCs w:val="44"/>
    </w:rPr>
  </w:style>
  <w:style w:type="paragraph" w:styleId="4">
    <w:name w:val="heading 2"/>
    <w:basedOn w:val="1"/>
    <w:next w:val="1"/>
    <w:link w:val="32"/>
    <w:qFormat/>
    <w:uiPriority w:val="0"/>
    <w:pPr>
      <w:keepNext/>
      <w:keepLines/>
      <w:widowControl/>
      <w:spacing w:before="260" w:after="260" w:line="416" w:lineRule="auto"/>
      <w:ind w:firstLine="200" w:firstLineChars="200"/>
      <w:jc w:val="left"/>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Calibri" w:hAnsi="Calibri"/>
    </w:rPr>
  </w:style>
  <w:style w:type="paragraph" w:styleId="6">
    <w:name w:val="Normal Indent"/>
    <w:basedOn w:val="1"/>
    <w:link w:val="41"/>
    <w:qFormat/>
    <w:uiPriority w:val="0"/>
    <w:pPr>
      <w:ind w:firstLine="420" w:firstLineChars="200"/>
    </w:pPr>
  </w:style>
  <w:style w:type="paragraph" w:styleId="7">
    <w:name w:val="annotation text"/>
    <w:basedOn w:val="1"/>
    <w:link w:val="39"/>
    <w:qFormat/>
    <w:uiPriority w:val="0"/>
    <w:pPr>
      <w:jc w:val="left"/>
    </w:pPr>
    <w:rPr>
      <w:szCs w:val="20"/>
    </w:rPr>
  </w:style>
  <w:style w:type="paragraph" w:styleId="8">
    <w:name w:val="Body Text"/>
    <w:basedOn w:val="1"/>
    <w:qFormat/>
    <w:uiPriority w:val="0"/>
    <w:pPr>
      <w:widowControl/>
      <w:overflowPunct w:val="0"/>
      <w:autoSpaceDE w:val="0"/>
      <w:autoSpaceDN w:val="0"/>
      <w:adjustRightInd w:val="0"/>
      <w:spacing w:after="240" w:line="240" w:lineRule="atLeast"/>
      <w:ind w:firstLine="360"/>
      <w:textAlignment w:val="baseline"/>
    </w:pPr>
    <w:rPr>
      <w:rFonts w:ascii="Garamond" w:hAnsi="Garamond"/>
      <w:kern w:val="0"/>
      <w:sz w:val="22"/>
      <w:szCs w:val="20"/>
    </w:rPr>
  </w:style>
  <w:style w:type="paragraph" w:styleId="9">
    <w:name w:val="Plain Text"/>
    <w:basedOn w:val="1"/>
    <w:qFormat/>
    <w:uiPriority w:val="0"/>
    <w:rPr>
      <w:rFonts w:ascii="宋体" w:hAnsi="Courier New" w:eastAsiaTheme="minorEastAsia" w:cstheme="minorBidi"/>
      <w:szCs w:val="22"/>
    </w:rPr>
  </w:style>
  <w:style w:type="paragraph" w:styleId="10">
    <w:name w:val="Body Text Indent 2"/>
    <w:basedOn w:val="1"/>
    <w:link w:val="38"/>
    <w:qFormat/>
    <w:uiPriority w:val="0"/>
    <w:pPr>
      <w:spacing w:after="120" w:line="480" w:lineRule="auto"/>
      <w:ind w:left="420" w:leftChars="200"/>
    </w:pPr>
  </w:style>
  <w:style w:type="paragraph" w:styleId="11">
    <w:name w:val="Balloon Text"/>
    <w:basedOn w:val="1"/>
    <w:semiHidden/>
    <w:qFormat/>
    <w:uiPriority w:val="0"/>
    <w:rPr>
      <w:sz w:val="18"/>
      <w:szCs w:val="18"/>
    </w:rPr>
  </w:style>
  <w:style w:type="paragraph" w:styleId="12">
    <w:name w:val="footer"/>
    <w:basedOn w:val="1"/>
    <w:link w:val="36"/>
    <w:qFormat/>
    <w:uiPriority w:val="99"/>
    <w:pPr>
      <w:tabs>
        <w:tab w:val="center" w:pos="4153"/>
        <w:tab w:val="right" w:pos="8306"/>
      </w:tabs>
      <w:snapToGrid w:val="0"/>
      <w:jc w:val="left"/>
    </w:pPr>
    <w:rPr>
      <w:sz w:val="18"/>
      <w:szCs w:val="18"/>
    </w:rPr>
  </w:style>
  <w:style w:type="paragraph" w:styleId="13">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0"/>
    <w:pPr>
      <w:spacing w:line="320" w:lineRule="exact"/>
      <w:ind w:firstLine="480" w:firstLineChars="200"/>
    </w:pPr>
    <w:rPr>
      <w:rFonts w:ascii="黑体" w:hAnsi="宋体" w:eastAsia="黑体"/>
      <w:bCs/>
      <w:sz w:val="24"/>
      <w:szCs w:val="20"/>
    </w:rPr>
  </w:style>
  <w:style w:type="paragraph" w:styleId="15">
    <w:name w:val="Subtitle"/>
    <w:basedOn w:val="1"/>
    <w:next w:val="1"/>
    <w:link w:val="42"/>
    <w:qFormat/>
    <w:uiPriority w:val="0"/>
    <w:pPr>
      <w:spacing w:before="240" w:after="60" w:line="312" w:lineRule="auto"/>
      <w:jc w:val="center"/>
      <w:outlineLvl w:val="1"/>
    </w:pPr>
    <w:rPr>
      <w:rFonts w:ascii="Cambria" w:hAnsi="Cambria"/>
      <w:b/>
      <w:bCs/>
      <w:kern w:val="28"/>
      <w:sz w:val="32"/>
      <w:szCs w:val="32"/>
    </w:rPr>
  </w:style>
  <w:style w:type="paragraph" w:styleId="16">
    <w:name w:val="HTML Preformatted"/>
    <w:basedOn w:val="1"/>
    <w:link w:val="4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7">
    <w:name w:val="Normal (Web)"/>
    <w:basedOn w:val="1"/>
    <w:link w:val="37"/>
    <w:qFormat/>
    <w:uiPriority w:val="0"/>
    <w:pPr>
      <w:widowControl/>
      <w:spacing w:before="100" w:beforeAutospacing="1" w:after="100" w:afterAutospacing="1"/>
      <w:jc w:val="left"/>
    </w:pPr>
    <w:rPr>
      <w:rFonts w:ascii="宋体" w:hAnsi="宋体"/>
      <w:kern w:val="0"/>
      <w:sz w:val="24"/>
    </w:rPr>
  </w:style>
  <w:style w:type="paragraph" w:styleId="18">
    <w:name w:val="annotation subject"/>
    <w:basedOn w:val="7"/>
    <w:next w:val="7"/>
    <w:link w:val="45"/>
    <w:qFormat/>
    <w:uiPriority w:val="0"/>
    <w:rPr>
      <w:b/>
      <w:bCs/>
      <w:szCs w:val="24"/>
    </w:rPr>
  </w:style>
  <w:style w:type="paragraph" w:styleId="19">
    <w:name w:val="Body Text First Indent"/>
    <w:basedOn w:val="8"/>
    <w:qFormat/>
    <w:uiPriority w:val="0"/>
    <w:pPr>
      <w:ind w:firstLine="420" w:firstLineChars="100"/>
    </w:p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0"/>
    <w:rPr>
      <w:b/>
      <w:bCs/>
    </w:rPr>
  </w:style>
  <w:style w:type="character" w:styleId="24">
    <w:name w:val="page number"/>
    <w:basedOn w:val="22"/>
    <w:qFormat/>
    <w:uiPriority w:val="0"/>
  </w:style>
  <w:style w:type="character" w:styleId="25">
    <w:name w:val="FollowedHyperlink"/>
    <w:basedOn w:val="22"/>
    <w:semiHidden/>
    <w:unhideWhenUsed/>
    <w:qFormat/>
    <w:uiPriority w:val="0"/>
    <w:rPr>
      <w:color w:val="800080"/>
      <w:u w:val="none"/>
    </w:rPr>
  </w:style>
  <w:style w:type="character" w:styleId="26">
    <w:name w:val="Hyperlink"/>
    <w:basedOn w:val="22"/>
    <w:qFormat/>
    <w:uiPriority w:val="0"/>
    <w:rPr>
      <w:color w:val="0000FF"/>
      <w:u w:val="single"/>
    </w:rPr>
  </w:style>
  <w:style w:type="character" w:styleId="27">
    <w:name w:val="annotation reference"/>
    <w:basedOn w:val="22"/>
    <w:qFormat/>
    <w:uiPriority w:val="0"/>
    <w:rPr>
      <w:sz w:val="21"/>
      <w:szCs w:val="21"/>
    </w:rPr>
  </w:style>
  <w:style w:type="paragraph" w:customStyle="1" w:styleId="28">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kern w:val="0"/>
      <w:sz w:val="24"/>
    </w:rPr>
  </w:style>
  <w:style w:type="paragraph" w:customStyle="1" w:styleId="29">
    <w:name w:val="Char"/>
    <w:basedOn w:val="1"/>
    <w:qFormat/>
    <w:uiPriority w:val="0"/>
    <w:pPr>
      <w:tabs>
        <w:tab w:val="left" w:pos="360"/>
      </w:tabs>
    </w:pPr>
    <w:rPr>
      <w:sz w:val="24"/>
    </w:rPr>
  </w:style>
  <w:style w:type="paragraph" w:customStyle="1" w:styleId="30">
    <w:name w:val="Char Char Char"/>
    <w:basedOn w:val="1"/>
    <w:qFormat/>
    <w:uiPriority w:val="0"/>
    <w:rPr>
      <w:szCs w:val="20"/>
    </w:rPr>
  </w:style>
  <w:style w:type="paragraph" w:customStyle="1" w:styleId="31">
    <w:name w:val="Char2 Char Char Char Char Char Char Char"/>
    <w:basedOn w:val="1"/>
    <w:qFormat/>
    <w:uiPriority w:val="0"/>
    <w:rPr>
      <w:rFonts w:ascii="Tahoma" w:hAnsi="Tahoma"/>
      <w:sz w:val="24"/>
      <w:szCs w:val="20"/>
    </w:rPr>
  </w:style>
  <w:style w:type="character" w:customStyle="1" w:styleId="32">
    <w:name w:val="标题 2 Char"/>
    <w:link w:val="4"/>
    <w:qFormat/>
    <w:uiPriority w:val="0"/>
    <w:rPr>
      <w:rFonts w:ascii="Arial" w:hAnsi="Arial" w:eastAsia="黑体"/>
      <w:b/>
      <w:bCs/>
      <w:kern w:val="2"/>
      <w:sz w:val="32"/>
      <w:szCs w:val="32"/>
    </w:rPr>
  </w:style>
  <w:style w:type="paragraph" w:styleId="33">
    <w:name w:val="List Paragraph"/>
    <w:basedOn w:val="1"/>
    <w:link w:val="43"/>
    <w:qFormat/>
    <w:uiPriority w:val="34"/>
    <w:pPr>
      <w:ind w:firstLine="420" w:firstLineChars="200"/>
    </w:pPr>
  </w:style>
  <w:style w:type="paragraph" w:customStyle="1" w:styleId="34">
    <w:name w:val="1_0"/>
    <w:basedOn w:val="1"/>
    <w:next w:val="1"/>
    <w:qFormat/>
    <w:uiPriority w:val="0"/>
    <w:rPr>
      <w:rFonts w:ascii="宋体" w:hAnsi="Courier New"/>
      <w:szCs w:val="20"/>
    </w:rPr>
  </w:style>
  <w:style w:type="character" w:customStyle="1" w:styleId="35">
    <w:name w:val="页眉 Char"/>
    <w:link w:val="13"/>
    <w:qFormat/>
    <w:uiPriority w:val="99"/>
    <w:rPr>
      <w:kern w:val="2"/>
      <w:sz w:val="18"/>
      <w:szCs w:val="18"/>
    </w:rPr>
  </w:style>
  <w:style w:type="character" w:customStyle="1" w:styleId="36">
    <w:name w:val="页脚 Char"/>
    <w:link w:val="12"/>
    <w:qFormat/>
    <w:uiPriority w:val="99"/>
    <w:rPr>
      <w:kern w:val="2"/>
      <w:sz w:val="18"/>
      <w:szCs w:val="18"/>
    </w:rPr>
  </w:style>
  <w:style w:type="character" w:customStyle="1" w:styleId="37">
    <w:name w:val="普通(网站) Char"/>
    <w:link w:val="17"/>
    <w:qFormat/>
    <w:uiPriority w:val="0"/>
    <w:rPr>
      <w:rFonts w:ascii="宋体" w:hAnsi="宋体" w:cs="宋体"/>
      <w:sz w:val="24"/>
      <w:szCs w:val="24"/>
    </w:rPr>
  </w:style>
  <w:style w:type="character" w:customStyle="1" w:styleId="38">
    <w:name w:val="正文文本缩进 2 Char"/>
    <w:basedOn w:val="22"/>
    <w:link w:val="10"/>
    <w:qFormat/>
    <w:uiPriority w:val="0"/>
    <w:rPr>
      <w:kern w:val="2"/>
      <w:sz w:val="21"/>
      <w:szCs w:val="24"/>
    </w:rPr>
  </w:style>
  <w:style w:type="character" w:customStyle="1" w:styleId="39">
    <w:name w:val="批注文字 Char1"/>
    <w:basedOn w:val="22"/>
    <w:link w:val="7"/>
    <w:qFormat/>
    <w:uiPriority w:val="99"/>
    <w:rPr>
      <w:kern w:val="2"/>
      <w:sz w:val="21"/>
    </w:rPr>
  </w:style>
  <w:style w:type="character" w:customStyle="1" w:styleId="40">
    <w:name w:val="批注文字 Char"/>
    <w:qFormat/>
    <w:uiPriority w:val="0"/>
    <w:rPr>
      <w:kern w:val="2"/>
      <w:sz w:val="21"/>
    </w:rPr>
  </w:style>
  <w:style w:type="character" w:customStyle="1" w:styleId="41">
    <w:name w:val="正文缩进 Char"/>
    <w:link w:val="6"/>
    <w:qFormat/>
    <w:uiPriority w:val="0"/>
    <w:rPr>
      <w:kern w:val="2"/>
      <w:sz w:val="21"/>
      <w:szCs w:val="24"/>
    </w:rPr>
  </w:style>
  <w:style w:type="character" w:customStyle="1" w:styleId="42">
    <w:name w:val="副标题 Char"/>
    <w:basedOn w:val="22"/>
    <w:link w:val="15"/>
    <w:qFormat/>
    <w:uiPriority w:val="0"/>
    <w:rPr>
      <w:rFonts w:ascii="Cambria" w:hAnsi="Cambria"/>
      <w:b/>
      <w:bCs/>
      <w:kern w:val="28"/>
      <w:sz w:val="32"/>
      <w:szCs w:val="32"/>
    </w:rPr>
  </w:style>
  <w:style w:type="character" w:customStyle="1" w:styleId="43">
    <w:name w:val="列出段落 Char"/>
    <w:link w:val="33"/>
    <w:qFormat/>
    <w:locked/>
    <w:uiPriority w:val="34"/>
    <w:rPr>
      <w:kern w:val="2"/>
      <w:sz w:val="21"/>
      <w:szCs w:val="24"/>
    </w:rPr>
  </w:style>
  <w:style w:type="paragraph" w:customStyle="1" w:styleId="44">
    <w:name w:val="纯文本1"/>
    <w:basedOn w:val="1"/>
    <w:qFormat/>
    <w:uiPriority w:val="0"/>
    <w:rPr>
      <w:rFonts w:ascii="宋体" w:hAnsi="Courier New" w:cs="Courier New"/>
      <w:szCs w:val="21"/>
    </w:rPr>
  </w:style>
  <w:style w:type="character" w:customStyle="1" w:styleId="45">
    <w:name w:val="批注主题 Char"/>
    <w:basedOn w:val="39"/>
    <w:link w:val="18"/>
    <w:qFormat/>
    <w:uiPriority w:val="0"/>
    <w:rPr>
      <w:b/>
      <w:bCs/>
      <w:kern w:val="2"/>
      <w:sz w:val="21"/>
      <w:szCs w:val="24"/>
    </w:rPr>
  </w:style>
  <w:style w:type="character" w:customStyle="1" w:styleId="46">
    <w:name w:val="HTML 预设格式 Char"/>
    <w:basedOn w:val="22"/>
    <w:link w:val="16"/>
    <w:qFormat/>
    <w:uiPriority w:val="99"/>
    <w:rPr>
      <w:rFonts w:ascii="宋体" w:hAnsi="宋体" w:cs="宋体"/>
      <w:sz w:val="24"/>
      <w:szCs w:val="24"/>
    </w:rPr>
  </w:style>
  <w:style w:type="character" w:customStyle="1" w:styleId="47">
    <w:name w:val="标题 1 Char"/>
    <w:basedOn w:val="22"/>
    <w:link w:val="3"/>
    <w:qFormat/>
    <w:uiPriority w:val="0"/>
    <w:rPr>
      <w:b/>
      <w:bCs/>
      <w:kern w:val="44"/>
      <w:sz w:val="30"/>
      <w:szCs w:val="44"/>
    </w:rPr>
  </w:style>
  <w:style w:type="character" w:customStyle="1" w:styleId="48">
    <w:name w:val="textcontents"/>
    <w:basedOn w:val="22"/>
    <w:qFormat/>
    <w:uiPriority w:val="0"/>
  </w:style>
  <w:style w:type="paragraph" w:customStyle="1" w:styleId="49">
    <w:name w:val="系统一级标题"/>
    <w:basedOn w:val="1"/>
    <w:qFormat/>
    <w:uiPriority w:val="0"/>
    <w:pPr>
      <w:spacing w:line="480" w:lineRule="auto"/>
    </w:pPr>
    <w:rPr>
      <w:rFonts w:ascii="隶书" w:hAnsi="宋体" w:eastAsia="隶书"/>
      <w:sz w:val="28"/>
      <w:szCs w:val="20"/>
    </w:rPr>
  </w:style>
  <w:style w:type="paragraph" w:customStyle="1" w:styleId="50">
    <w:name w:val="系统正文"/>
    <w:basedOn w:val="1"/>
    <w:qFormat/>
    <w:uiPriority w:val="0"/>
    <w:pPr>
      <w:spacing w:line="420" w:lineRule="exact"/>
      <w:ind w:firstLine="420" w:firstLineChars="200"/>
    </w:pPr>
    <w:rPr>
      <w:rFonts w:ascii="宋体" w:hAnsi="宋体"/>
      <w:szCs w:val="20"/>
    </w:rPr>
  </w:style>
  <w:style w:type="paragraph" w:customStyle="1" w:styleId="51">
    <w:name w:val="正文2"/>
    <w:qFormat/>
    <w:uiPriority w:val="0"/>
    <w:pPr>
      <w:jc w:val="both"/>
    </w:pPr>
    <w:rPr>
      <w:rFonts w:ascii="Calibri" w:hAnsi="Calibri" w:eastAsia="宋体" w:cs="宋体"/>
      <w:kern w:val="2"/>
      <w:sz w:val="21"/>
      <w:szCs w:val="21"/>
      <w:lang w:val="en-US" w:eastAsia="zh-CN" w:bidi="ar-SA"/>
    </w:rPr>
  </w:style>
  <w:style w:type="paragraph" w:customStyle="1" w:styleId="52">
    <w:name w:val="正文_0"/>
    <w:next w:val="19"/>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67</Pages>
  <Words>30835</Words>
  <Characters>32383</Characters>
  <Lines>264</Lines>
  <Paragraphs>74</Paragraphs>
  <TotalTime>3</TotalTime>
  <ScaleCrop>false</ScaleCrop>
  <LinksUpToDate>false</LinksUpToDate>
  <CharactersWithSpaces>34721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2022-09-13T03:10:00Z</dcterms:created>
  <dc:creator>Administrator</dc:creator>
  <cp:lastModifiedBy>Amanda</cp:lastModifiedBy>
  <cp:lastPrinted>2022-10-25T07:03:23Z</cp:lastPrinted>
  <dcterms:modified xsi:type="dcterms:W3CDTF">2022-10-25T07:03:28Z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EC1A3A111988439C9BD88B4FA0E62F88</vt:lpwstr>
  </property>
</Properties>
</file>