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
        <w:jc w:val="center"/>
        <w:rPr>
          <w:rFonts w:hint="eastAsia" w:ascii="楷体_GB2312" w:eastAsia="宋体"/>
          <w:b/>
          <w:sz w:val="96"/>
          <w:lang w:eastAsia="zh-CN"/>
        </w:rPr>
      </w:pPr>
      <w:r>
        <w:rPr>
          <w:rFonts w:hint="eastAsia"/>
          <w:b/>
          <w:bCs/>
          <w:sz w:val="40"/>
          <w:szCs w:val="28"/>
          <w:lang w:eastAsia="zh-CN"/>
        </w:rPr>
        <w:t>孝感市老澴河水生态综合治理（一期）PPP项目—长征、玉泉、王家湾片区范围内雨污分流收集系统建设工程全过程造价咨询项目</w:t>
      </w:r>
    </w:p>
    <w:p>
      <w:pPr>
        <w:ind w:right="-1"/>
        <w:jc w:val="center"/>
        <w:rPr>
          <w:rFonts w:ascii="楷体_GB2312"/>
          <w:b/>
          <w:sz w:val="96"/>
        </w:rPr>
      </w:pPr>
    </w:p>
    <w:p>
      <w:pPr>
        <w:ind w:right="-821" w:rightChars="-391"/>
        <w:rPr>
          <w:rFonts w:ascii="楷体_GB2312"/>
          <w:b/>
          <w:sz w:val="72"/>
        </w:rPr>
      </w:pPr>
    </w:p>
    <w:p>
      <w:pPr>
        <w:pStyle w:val="72"/>
        <w:rPr>
          <w:color w:val="auto"/>
        </w:rPr>
      </w:pPr>
    </w:p>
    <w:p>
      <w:pPr>
        <w:pStyle w:val="72"/>
        <w:rPr>
          <w:color w:val="auto"/>
        </w:rPr>
      </w:pPr>
    </w:p>
    <w:p>
      <w:pPr>
        <w:jc w:val="center"/>
        <w:rPr>
          <w:rFonts w:ascii="楷体_GB2312"/>
          <w:b/>
          <w:sz w:val="100"/>
        </w:rPr>
      </w:pPr>
      <w:r>
        <w:rPr>
          <w:rFonts w:hint="eastAsia" w:ascii="楷体_GB2312"/>
          <w:b/>
          <w:sz w:val="100"/>
        </w:rPr>
        <w:t>竞争性磋商文件</w:t>
      </w:r>
    </w:p>
    <w:p>
      <w:pPr>
        <w:rPr>
          <w:rFonts w:ascii="楷体_GB2312"/>
          <w:sz w:val="36"/>
        </w:rPr>
      </w:pPr>
    </w:p>
    <w:p>
      <w:pPr>
        <w:rPr>
          <w:rFonts w:ascii="楷体_GB2312"/>
          <w:sz w:val="36"/>
        </w:rPr>
      </w:pPr>
    </w:p>
    <w:p>
      <w:pPr>
        <w:tabs>
          <w:tab w:val="left" w:pos="2520"/>
          <w:tab w:val="left" w:pos="3060"/>
        </w:tabs>
        <w:rPr>
          <w:rFonts w:ascii="楷体_GB2312"/>
          <w:sz w:val="32"/>
          <w:szCs w:val="32"/>
        </w:rPr>
      </w:pPr>
    </w:p>
    <w:p>
      <w:pPr>
        <w:tabs>
          <w:tab w:val="left" w:pos="2520"/>
          <w:tab w:val="left" w:pos="3060"/>
        </w:tabs>
        <w:rPr>
          <w:rFonts w:ascii="楷体_GB2312"/>
          <w:sz w:val="32"/>
          <w:szCs w:val="32"/>
        </w:rPr>
      </w:pPr>
    </w:p>
    <w:p/>
    <w:p>
      <w:pPr>
        <w:tabs>
          <w:tab w:val="left" w:pos="2520"/>
          <w:tab w:val="left" w:pos="3060"/>
        </w:tabs>
        <w:rPr>
          <w:rFonts w:ascii="楷体_GB2312"/>
          <w:sz w:val="32"/>
          <w:szCs w:val="32"/>
        </w:rPr>
      </w:pPr>
    </w:p>
    <w:p>
      <w:pPr>
        <w:tabs>
          <w:tab w:val="left" w:pos="2520"/>
          <w:tab w:val="left" w:pos="3060"/>
        </w:tabs>
        <w:rPr>
          <w:rFonts w:ascii="楷体_GB2312"/>
          <w:sz w:val="32"/>
          <w:szCs w:val="32"/>
        </w:rPr>
      </w:pPr>
    </w:p>
    <w:p>
      <w:pPr>
        <w:tabs>
          <w:tab w:val="left" w:pos="2520"/>
          <w:tab w:val="left" w:pos="3060"/>
        </w:tabs>
        <w:rPr>
          <w:rFonts w:hint="eastAsia" w:ascii="楷体_GB2312" w:eastAsia="宋体"/>
          <w:sz w:val="32"/>
          <w:szCs w:val="32"/>
          <w:lang w:val="zh-CN" w:eastAsia="zh-CN"/>
        </w:rPr>
      </w:pPr>
      <w:r>
        <w:rPr>
          <w:rFonts w:hint="eastAsia" w:ascii="楷体_GB2312"/>
          <w:sz w:val="32"/>
          <w:szCs w:val="32"/>
        </w:rPr>
        <w:t xml:space="preserve">    采   购  人：</w:t>
      </w:r>
      <w:r>
        <w:rPr>
          <w:rFonts w:hint="eastAsia" w:ascii="楷体_GB2312"/>
          <w:bCs/>
          <w:sz w:val="32"/>
          <w:szCs w:val="32"/>
          <w:lang w:eastAsia="zh-CN"/>
        </w:rPr>
        <w:t>孝感源之清环境综合治理开发有限公司</w:t>
      </w:r>
    </w:p>
    <w:p>
      <w:pPr>
        <w:tabs>
          <w:tab w:val="left" w:pos="2520"/>
          <w:tab w:val="left" w:pos="3060"/>
        </w:tabs>
        <w:rPr>
          <w:rFonts w:ascii="楷体_GB2312"/>
          <w:sz w:val="32"/>
          <w:szCs w:val="32"/>
        </w:rPr>
      </w:pPr>
    </w:p>
    <w:p>
      <w:pPr>
        <w:tabs>
          <w:tab w:val="left" w:pos="2520"/>
          <w:tab w:val="left" w:pos="3060"/>
        </w:tabs>
        <w:rPr>
          <w:rFonts w:ascii="楷体_GB2312"/>
          <w:sz w:val="32"/>
          <w:szCs w:val="32"/>
          <w:lang w:val="zh-CN"/>
        </w:rPr>
      </w:pPr>
      <w:r>
        <w:rPr>
          <w:rFonts w:hint="eastAsia" w:ascii="楷体_GB2312"/>
          <w:sz w:val="32"/>
          <w:szCs w:val="32"/>
        </w:rPr>
        <w:t xml:space="preserve">    采购代理机构：湖北天喜工程咨询有限公司</w:t>
      </w:r>
    </w:p>
    <w:p>
      <w:pPr>
        <w:pStyle w:val="11"/>
        <w:ind w:left="0" w:leftChars="0"/>
      </w:pPr>
    </w:p>
    <w:p>
      <w:pPr>
        <w:pStyle w:val="11"/>
        <w:ind w:left="0" w:leftChars="0"/>
        <w:jc w:val="center"/>
      </w:pPr>
      <w:r>
        <w:rPr>
          <w:rFonts w:hint="eastAsia"/>
        </w:rPr>
        <w:t>二○二</w:t>
      </w:r>
      <w:r>
        <w:rPr>
          <w:rFonts w:hint="eastAsia"/>
          <w:lang w:val="en-US" w:eastAsia="zh-CN"/>
        </w:rPr>
        <w:t>二</w:t>
      </w:r>
      <w:r>
        <w:rPr>
          <w:rFonts w:hint="eastAsia"/>
        </w:rPr>
        <w:t>年十月</w:t>
      </w:r>
    </w:p>
    <w:p>
      <w:pPr>
        <w:pStyle w:val="15"/>
        <w:rPr>
          <w:sz w:val="44"/>
          <w:szCs w:val="44"/>
        </w:rPr>
      </w:pPr>
      <w:r>
        <w:rPr>
          <w:rFonts w:hint="eastAsia"/>
          <w:sz w:val="44"/>
          <w:szCs w:val="44"/>
        </w:rPr>
        <w:br w:type="page"/>
      </w:r>
      <w:r>
        <w:rPr>
          <w:rFonts w:hint="eastAsia"/>
          <w:sz w:val="44"/>
          <w:szCs w:val="44"/>
        </w:rPr>
        <w:t>目录</w:t>
      </w:r>
    </w:p>
    <w:p>
      <w:pPr>
        <w:pStyle w:val="15"/>
        <w:tabs>
          <w:tab w:val="right" w:leader="dot" w:pos="9638"/>
          <w:tab w:val="clear" w:pos="8296"/>
        </w:tabs>
      </w:pPr>
      <w:r>
        <w:rPr>
          <w:rFonts w:ascii="宋体" w:hAnsi="宋体" w:cs="仿宋_GB2312"/>
          <w:b/>
          <w:sz w:val="30"/>
          <w:szCs w:val="30"/>
        </w:rPr>
        <w:fldChar w:fldCharType="begin"/>
      </w:r>
      <w:r>
        <w:rPr>
          <w:rFonts w:ascii="宋体" w:hAnsi="宋体" w:cs="仿宋_GB2312"/>
          <w:b/>
          <w:sz w:val="30"/>
          <w:szCs w:val="30"/>
        </w:rPr>
        <w:instrText xml:space="preserve"> TOC \o "1-1" \h \z \u \t "标题 2,1"</w:instrText>
      </w:r>
      <w:r>
        <w:rPr>
          <w:rFonts w:ascii="宋体" w:hAnsi="宋体" w:cs="仿宋_GB2312"/>
          <w:b/>
          <w:sz w:val="30"/>
          <w:szCs w:val="30"/>
        </w:rPr>
        <w:fldChar w:fldCharType="separate"/>
      </w:r>
      <w:r>
        <w:fldChar w:fldCharType="begin"/>
      </w:r>
      <w:r>
        <w:instrText xml:space="preserve"> HYPERLINK \l "_Toc23910" </w:instrText>
      </w:r>
      <w:r>
        <w:fldChar w:fldCharType="separate"/>
      </w:r>
      <w:r>
        <w:rPr>
          <w:rFonts w:hint="eastAsia"/>
        </w:rPr>
        <w:t>第一章竞争性磋商采购公告</w:t>
      </w:r>
      <w:r>
        <w:tab/>
      </w:r>
      <w:r>
        <w:fldChar w:fldCharType="begin"/>
      </w:r>
      <w:r>
        <w:instrText xml:space="preserve"> PAGEREF _Toc23910 \h </w:instrText>
      </w:r>
      <w:r>
        <w:fldChar w:fldCharType="separate"/>
      </w:r>
      <w:r>
        <w:t>4</w:t>
      </w:r>
      <w:r>
        <w:fldChar w:fldCharType="end"/>
      </w:r>
      <w:r>
        <w:fldChar w:fldCharType="end"/>
      </w:r>
    </w:p>
    <w:p>
      <w:pPr>
        <w:pStyle w:val="15"/>
        <w:tabs>
          <w:tab w:val="right" w:leader="dot" w:pos="9638"/>
          <w:tab w:val="clear" w:pos="8296"/>
        </w:tabs>
      </w:pPr>
      <w:r>
        <w:fldChar w:fldCharType="begin"/>
      </w:r>
      <w:r>
        <w:instrText xml:space="preserve"> HYPERLINK \l "_Toc6329" </w:instrText>
      </w:r>
      <w:r>
        <w:fldChar w:fldCharType="separate"/>
      </w:r>
      <w:r>
        <w:rPr>
          <w:rFonts w:hint="eastAsia"/>
        </w:rPr>
        <w:t>第二章供应商须知</w:t>
      </w:r>
      <w:r>
        <w:tab/>
      </w:r>
      <w:r>
        <w:fldChar w:fldCharType="begin"/>
      </w:r>
      <w:r>
        <w:instrText xml:space="preserve"> PAGEREF _Toc6329 \h </w:instrText>
      </w:r>
      <w:r>
        <w:fldChar w:fldCharType="separate"/>
      </w:r>
      <w:r>
        <w:t>7</w:t>
      </w:r>
      <w:r>
        <w:fldChar w:fldCharType="end"/>
      </w:r>
      <w:r>
        <w:fldChar w:fldCharType="end"/>
      </w:r>
    </w:p>
    <w:p>
      <w:pPr>
        <w:pStyle w:val="15"/>
        <w:tabs>
          <w:tab w:val="right" w:leader="dot" w:pos="9638"/>
          <w:tab w:val="clear" w:pos="8296"/>
        </w:tabs>
      </w:pPr>
      <w:r>
        <w:fldChar w:fldCharType="begin"/>
      </w:r>
      <w:r>
        <w:instrText xml:space="preserve"> HYPERLINK \l "_Toc5717" </w:instrText>
      </w:r>
      <w:r>
        <w:fldChar w:fldCharType="separate"/>
      </w:r>
      <w:r>
        <w:rPr>
          <w:rFonts w:hint="eastAsia"/>
        </w:rPr>
        <w:t>《供应商须知前附表》</w:t>
      </w:r>
      <w:r>
        <w:tab/>
      </w:r>
      <w:r>
        <w:fldChar w:fldCharType="begin"/>
      </w:r>
      <w:r>
        <w:instrText xml:space="preserve"> PAGEREF _Toc5717 \h </w:instrText>
      </w:r>
      <w:r>
        <w:fldChar w:fldCharType="separate"/>
      </w:r>
      <w:r>
        <w:t>7</w:t>
      </w:r>
      <w:r>
        <w:fldChar w:fldCharType="end"/>
      </w:r>
      <w:r>
        <w:fldChar w:fldCharType="end"/>
      </w:r>
    </w:p>
    <w:p>
      <w:pPr>
        <w:pStyle w:val="15"/>
        <w:tabs>
          <w:tab w:val="right" w:leader="dot" w:pos="9638"/>
          <w:tab w:val="clear" w:pos="8296"/>
        </w:tabs>
      </w:pPr>
      <w:r>
        <w:fldChar w:fldCharType="begin"/>
      </w:r>
      <w:r>
        <w:instrText xml:space="preserve"> HYPERLINK \l "_Toc10228" </w:instrText>
      </w:r>
      <w:r>
        <w:fldChar w:fldCharType="separate"/>
      </w:r>
      <w:r>
        <w:rPr>
          <w:rFonts w:hint="eastAsia"/>
          <w:szCs w:val="30"/>
        </w:rPr>
        <w:t>供应商须知</w:t>
      </w:r>
      <w:r>
        <w:tab/>
      </w:r>
      <w:r>
        <w:fldChar w:fldCharType="begin"/>
      </w:r>
      <w:r>
        <w:instrText xml:space="preserve"> PAGEREF _Toc10228 \h </w:instrText>
      </w:r>
      <w:r>
        <w:fldChar w:fldCharType="separate"/>
      </w:r>
      <w:r>
        <w:t>9</w:t>
      </w:r>
      <w:r>
        <w:fldChar w:fldCharType="end"/>
      </w:r>
      <w:r>
        <w:fldChar w:fldCharType="end"/>
      </w:r>
    </w:p>
    <w:p>
      <w:pPr>
        <w:pStyle w:val="15"/>
        <w:tabs>
          <w:tab w:val="right" w:leader="dot" w:pos="9638"/>
          <w:tab w:val="clear" w:pos="8296"/>
        </w:tabs>
      </w:pPr>
      <w:r>
        <w:fldChar w:fldCharType="begin"/>
      </w:r>
      <w:r>
        <w:instrText xml:space="preserve"> HYPERLINK \l "_Toc18481" </w:instrText>
      </w:r>
      <w:r>
        <w:fldChar w:fldCharType="separate"/>
      </w:r>
      <w:r>
        <w:rPr>
          <w:rFonts w:hint="eastAsia"/>
        </w:rPr>
        <w:t>一、总则</w:t>
      </w:r>
      <w:r>
        <w:tab/>
      </w:r>
      <w:r>
        <w:fldChar w:fldCharType="begin"/>
      </w:r>
      <w:r>
        <w:instrText xml:space="preserve"> PAGEREF _Toc18481 \h </w:instrText>
      </w:r>
      <w:r>
        <w:fldChar w:fldCharType="separate"/>
      </w:r>
      <w:r>
        <w:t>9</w:t>
      </w:r>
      <w:r>
        <w:fldChar w:fldCharType="end"/>
      </w:r>
      <w:r>
        <w:fldChar w:fldCharType="end"/>
      </w:r>
    </w:p>
    <w:p>
      <w:pPr>
        <w:pStyle w:val="15"/>
        <w:tabs>
          <w:tab w:val="right" w:leader="dot" w:pos="9638"/>
          <w:tab w:val="clear" w:pos="8296"/>
        </w:tabs>
      </w:pPr>
      <w:r>
        <w:fldChar w:fldCharType="begin"/>
      </w:r>
      <w:r>
        <w:instrText xml:space="preserve"> HYPERLINK \l "_Toc19168" </w:instrText>
      </w:r>
      <w:r>
        <w:fldChar w:fldCharType="separate"/>
      </w:r>
      <w:r>
        <w:rPr>
          <w:rFonts w:hint="eastAsia"/>
        </w:rPr>
        <w:t>二、竞争性磋商采购文件</w:t>
      </w:r>
      <w:r>
        <w:tab/>
      </w:r>
      <w:r>
        <w:fldChar w:fldCharType="begin"/>
      </w:r>
      <w:r>
        <w:instrText xml:space="preserve"> PAGEREF _Toc19168 \h </w:instrText>
      </w:r>
      <w:r>
        <w:fldChar w:fldCharType="separate"/>
      </w:r>
      <w:r>
        <w:t>10</w:t>
      </w:r>
      <w:r>
        <w:fldChar w:fldCharType="end"/>
      </w:r>
      <w:r>
        <w:fldChar w:fldCharType="end"/>
      </w:r>
    </w:p>
    <w:p>
      <w:pPr>
        <w:pStyle w:val="15"/>
        <w:tabs>
          <w:tab w:val="right" w:leader="dot" w:pos="9638"/>
          <w:tab w:val="clear" w:pos="8296"/>
        </w:tabs>
      </w:pPr>
      <w:r>
        <w:fldChar w:fldCharType="begin"/>
      </w:r>
      <w:r>
        <w:instrText xml:space="preserve"> HYPERLINK \l "_Toc12435" </w:instrText>
      </w:r>
      <w:r>
        <w:fldChar w:fldCharType="separate"/>
      </w:r>
      <w:r>
        <w:rPr>
          <w:rFonts w:hint="eastAsia"/>
        </w:rPr>
        <w:t>三、竞争性磋商响应文件</w:t>
      </w:r>
      <w:r>
        <w:tab/>
      </w:r>
      <w:r>
        <w:fldChar w:fldCharType="begin"/>
      </w:r>
      <w:r>
        <w:instrText xml:space="preserve"> PAGEREF _Toc12435 \h </w:instrText>
      </w:r>
      <w:r>
        <w:fldChar w:fldCharType="separate"/>
      </w:r>
      <w:r>
        <w:t>11</w:t>
      </w:r>
      <w:r>
        <w:fldChar w:fldCharType="end"/>
      </w:r>
      <w:r>
        <w:fldChar w:fldCharType="end"/>
      </w:r>
    </w:p>
    <w:p>
      <w:pPr>
        <w:pStyle w:val="15"/>
        <w:tabs>
          <w:tab w:val="right" w:leader="dot" w:pos="9638"/>
          <w:tab w:val="clear" w:pos="8296"/>
        </w:tabs>
      </w:pPr>
      <w:r>
        <w:fldChar w:fldCharType="begin"/>
      </w:r>
      <w:r>
        <w:instrText xml:space="preserve"> HYPERLINK \l "_Toc11880" </w:instrText>
      </w:r>
      <w:r>
        <w:fldChar w:fldCharType="separate"/>
      </w:r>
      <w:r>
        <w:rPr>
          <w:rFonts w:hint="eastAsia"/>
        </w:rPr>
        <w:t>四、竞争性磋商响应文件的递交</w:t>
      </w:r>
      <w:r>
        <w:tab/>
      </w:r>
      <w:r>
        <w:fldChar w:fldCharType="begin"/>
      </w:r>
      <w:r>
        <w:instrText xml:space="preserve"> PAGEREF _Toc11880 \h </w:instrText>
      </w:r>
      <w:r>
        <w:fldChar w:fldCharType="separate"/>
      </w:r>
      <w:r>
        <w:t>14</w:t>
      </w:r>
      <w:r>
        <w:fldChar w:fldCharType="end"/>
      </w:r>
      <w:r>
        <w:fldChar w:fldCharType="end"/>
      </w:r>
    </w:p>
    <w:p>
      <w:pPr>
        <w:pStyle w:val="15"/>
        <w:tabs>
          <w:tab w:val="right" w:leader="dot" w:pos="9638"/>
          <w:tab w:val="clear" w:pos="8296"/>
        </w:tabs>
      </w:pPr>
      <w:r>
        <w:fldChar w:fldCharType="begin"/>
      </w:r>
      <w:r>
        <w:instrText xml:space="preserve"> HYPERLINK \l "_Toc32652" </w:instrText>
      </w:r>
      <w:r>
        <w:fldChar w:fldCharType="separate"/>
      </w:r>
      <w:r>
        <w:rPr>
          <w:rFonts w:hint="eastAsia"/>
        </w:rPr>
        <w:t>五、磋商程序及步骤</w:t>
      </w:r>
      <w:r>
        <w:tab/>
      </w:r>
      <w:r>
        <w:fldChar w:fldCharType="begin"/>
      </w:r>
      <w:r>
        <w:instrText xml:space="preserve"> PAGEREF _Toc32652 \h </w:instrText>
      </w:r>
      <w:r>
        <w:fldChar w:fldCharType="separate"/>
      </w:r>
      <w:r>
        <w:t>15</w:t>
      </w:r>
      <w:r>
        <w:fldChar w:fldCharType="end"/>
      </w:r>
      <w:r>
        <w:fldChar w:fldCharType="end"/>
      </w:r>
    </w:p>
    <w:p>
      <w:pPr>
        <w:pStyle w:val="15"/>
        <w:tabs>
          <w:tab w:val="right" w:leader="dot" w:pos="9638"/>
          <w:tab w:val="clear" w:pos="8296"/>
        </w:tabs>
      </w:pPr>
      <w:r>
        <w:fldChar w:fldCharType="begin"/>
      </w:r>
      <w:r>
        <w:instrText xml:space="preserve"> HYPERLINK \l "_Toc26089" </w:instrText>
      </w:r>
      <w:r>
        <w:fldChar w:fldCharType="separate"/>
      </w:r>
      <w:r>
        <w:rPr>
          <w:rFonts w:hint="eastAsia"/>
        </w:rPr>
        <w:t>六、中标与签订合同</w:t>
      </w:r>
      <w:r>
        <w:tab/>
      </w:r>
      <w:r>
        <w:fldChar w:fldCharType="begin"/>
      </w:r>
      <w:r>
        <w:instrText xml:space="preserve"> PAGEREF _Toc26089 \h </w:instrText>
      </w:r>
      <w:r>
        <w:fldChar w:fldCharType="separate"/>
      </w:r>
      <w:r>
        <w:t>17</w:t>
      </w:r>
      <w:r>
        <w:fldChar w:fldCharType="end"/>
      </w:r>
      <w:r>
        <w:fldChar w:fldCharType="end"/>
      </w:r>
    </w:p>
    <w:p>
      <w:pPr>
        <w:pStyle w:val="15"/>
        <w:tabs>
          <w:tab w:val="right" w:leader="dot" w:pos="9638"/>
          <w:tab w:val="clear" w:pos="8296"/>
        </w:tabs>
      </w:pPr>
      <w:r>
        <w:fldChar w:fldCharType="begin"/>
      </w:r>
      <w:r>
        <w:instrText xml:space="preserve"> HYPERLINK \l "_Toc14440" </w:instrText>
      </w:r>
      <w:r>
        <w:fldChar w:fldCharType="separate"/>
      </w:r>
      <w:r>
        <w:rPr>
          <w:rFonts w:hint="eastAsia"/>
        </w:rPr>
        <w:t>七、质疑投诉</w:t>
      </w:r>
      <w:r>
        <w:tab/>
      </w:r>
      <w:r>
        <w:fldChar w:fldCharType="begin"/>
      </w:r>
      <w:r>
        <w:instrText xml:space="preserve"> PAGEREF _Toc14440 \h </w:instrText>
      </w:r>
      <w:r>
        <w:fldChar w:fldCharType="separate"/>
      </w:r>
      <w:r>
        <w:t>18</w:t>
      </w:r>
      <w:r>
        <w:fldChar w:fldCharType="end"/>
      </w:r>
      <w:r>
        <w:fldChar w:fldCharType="end"/>
      </w:r>
    </w:p>
    <w:p>
      <w:pPr>
        <w:pStyle w:val="15"/>
        <w:tabs>
          <w:tab w:val="right" w:leader="dot" w:pos="9638"/>
          <w:tab w:val="clear" w:pos="8296"/>
        </w:tabs>
      </w:pPr>
      <w:r>
        <w:fldChar w:fldCharType="begin"/>
      </w:r>
      <w:r>
        <w:instrText xml:space="preserve"> HYPERLINK \l "_Toc14162" </w:instrText>
      </w:r>
      <w:r>
        <w:fldChar w:fldCharType="separate"/>
      </w:r>
      <w:r>
        <w:rPr>
          <w:rFonts w:hint="eastAsia"/>
        </w:rPr>
        <w:t>八、其他要求</w:t>
      </w:r>
      <w:r>
        <w:tab/>
      </w:r>
      <w:r>
        <w:fldChar w:fldCharType="begin"/>
      </w:r>
      <w:r>
        <w:instrText xml:space="preserve"> PAGEREF _Toc14162 \h </w:instrText>
      </w:r>
      <w:r>
        <w:fldChar w:fldCharType="separate"/>
      </w:r>
      <w:r>
        <w:t>18</w:t>
      </w:r>
      <w:r>
        <w:fldChar w:fldCharType="end"/>
      </w:r>
      <w:r>
        <w:fldChar w:fldCharType="end"/>
      </w:r>
    </w:p>
    <w:p>
      <w:pPr>
        <w:pStyle w:val="15"/>
        <w:tabs>
          <w:tab w:val="right" w:leader="dot" w:pos="9638"/>
          <w:tab w:val="clear" w:pos="8296"/>
        </w:tabs>
      </w:pPr>
      <w:r>
        <w:fldChar w:fldCharType="begin"/>
      </w:r>
      <w:r>
        <w:instrText xml:space="preserve"> HYPERLINK \l "_Toc461" </w:instrText>
      </w:r>
      <w:r>
        <w:fldChar w:fldCharType="separate"/>
      </w:r>
      <w:r>
        <w:rPr>
          <w:rFonts w:hint="eastAsia"/>
        </w:rPr>
        <w:t>九、适用法律</w:t>
      </w:r>
      <w:r>
        <w:tab/>
      </w:r>
      <w:r>
        <w:fldChar w:fldCharType="begin"/>
      </w:r>
      <w:r>
        <w:instrText xml:space="preserve"> PAGEREF _Toc461 \h </w:instrText>
      </w:r>
      <w:r>
        <w:fldChar w:fldCharType="separate"/>
      </w:r>
      <w:r>
        <w:t>19</w:t>
      </w:r>
      <w:r>
        <w:fldChar w:fldCharType="end"/>
      </w:r>
      <w:r>
        <w:fldChar w:fldCharType="end"/>
      </w:r>
    </w:p>
    <w:p>
      <w:pPr>
        <w:pStyle w:val="15"/>
        <w:tabs>
          <w:tab w:val="right" w:leader="dot" w:pos="9638"/>
          <w:tab w:val="clear" w:pos="8296"/>
        </w:tabs>
      </w:pPr>
      <w:r>
        <w:fldChar w:fldCharType="begin"/>
      </w:r>
      <w:r>
        <w:instrText xml:space="preserve"> HYPERLINK \l "_Toc3427" </w:instrText>
      </w:r>
      <w:r>
        <w:fldChar w:fldCharType="separate"/>
      </w:r>
      <w:r>
        <w:rPr>
          <w:rFonts w:hint="eastAsia"/>
        </w:rPr>
        <w:t>第三章项目需求</w:t>
      </w:r>
      <w:r>
        <w:tab/>
      </w:r>
      <w:r>
        <w:fldChar w:fldCharType="begin"/>
      </w:r>
      <w:r>
        <w:instrText xml:space="preserve"> PAGEREF _Toc3427 \h </w:instrText>
      </w:r>
      <w:r>
        <w:fldChar w:fldCharType="separate"/>
      </w:r>
      <w:r>
        <w:t>20</w:t>
      </w:r>
      <w:r>
        <w:fldChar w:fldCharType="end"/>
      </w:r>
      <w:r>
        <w:fldChar w:fldCharType="end"/>
      </w:r>
    </w:p>
    <w:p>
      <w:pPr>
        <w:pStyle w:val="15"/>
        <w:tabs>
          <w:tab w:val="right" w:leader="dot" w:pos="9638"/>
          <w:tab w:val="clear" w:pos="8296"/>
        </w:tabs>
      </w:pPr>
      <w:r>
        <w:fldChar w:fldCharType="begin"/>
      </w:r>
      <w:r>
        <w:instrText xml:space="preserve"> HYPERLINK \l "_Toc10111" </w:instrText>
      </w:r>
      <w:r>
        <w:fldChar w:fldCharType="separate"/>
      </w:r>
      <w:r>
        <w:rPr>
          <w:rFonts w:hint="eastAsia"/>
        </w:rPr>
        <w:t>第一部分项目概况</w:t>
      </w:r>
      <w:r>
        <w:tab/>
      </w:r>
      <w:r>
        <w:fldChar w:fldCharType="begin"/>
      </w:r>
      <w:r>
        <w:instrText xml:space="preserve"> PAGEREF _Toc10111 \h </w:instrText>
      </w:r>
      <w:r>
        <w:fldChar w:fldCharType="separate"/>
      </w:r>
      <w:r>
        <w:t>20</w:t>
      </w:r>
      <w:r>
        <w:fldChar w:fldCharType="end"/>
      </w:r>
      <w:r>
        <w:fldChar w:fldCharType="end"/>
      </w:r>
    </w:p>
    <w:p>
      <w:pPr>
        <w:pStyle w:val="15"/>
        <w:tabs>
          <w:tab w:val="right" w:leader="dot" w:pos="9638"/>
          <w:tab w:val="clear" w:pos="8296"/>
        </w:tabs>
      </w:pPr>
      <w:r>
        <w:fldChar w:fldCharType="begin"/>
      </w:r>
      <w:r>
        <w:instrText xml:space="preserve"> HYPERLINK \l "_Toc26822" </w:instrText>
      </w:r>
      <w:r>
        <w:fldChar w:fldCharType="separate"/>
      </w:r>
      <w:r>
        <w:t>第二部分其他要求</w:t>
      </w:r>
      <w:r>
        <w:tab/>
      </w:r>
      <w:r>
        <w:fldChar w:fldCharType="begin"/>
      </w:r>
      <w:r>
        <w:instrText xml:space="preserve"> PAGEREF _Toc26822 \h </w:instrText>
      </w:r>
      <w:r>
        <w:fldChar w:fldCharType="separate"/>
      </w:r>
      <w:r>
        <w:t>22</w:t>
      </w:r>
      <w:r>
        <w:fldChar w:fldCharType="end"/>
      </w:r>
      <w:r>
        <w:fldChar w:fldCharType="end"/>
      </w:r>
    </w:p>
    <w:p>
      <w:pPr>
        <w:pStyle w:val="15"/>
        <w:tabs>
          <w:tab w:val="right" w:leader="dot" w:pos="9638"/>
          <w:tab w:val="clear" w:pos="8296"/>
        </w:tabs>
      </w:pPr>
      <w:r>
        <w:fldChar w:fldCharType="begin"/>
      </w:r>
      <w:r>
        <w:instrText xml:space="preserve"> HYPERLINK \l "_Toc25484" </w:instrText>
      </w:r>
      <w:r>
        <w:fldChar w:fldCharType="separate"/>
      </w:r>
      <w:r>
        <w:rPr>
          <w:rFonts w:hint="eastAsia"/>
        </w:rPr>
        <w:t>第四章评定办法</w:t>
      </w:r>
      <w:r>
        <w:tab/>
      </w:r>
      <w:r>
        <w:fldChar w:fldCharType="begin"/>
      </w:r>
      <w:r>
        <w:instrText xml:space="preserve"> PAGEREF _Toc25484 \h </w:instrText>
      </w:r>
      <w:r>
        <w:fldChar w:fldCharType="separate"/>
      </w:r>
      <w:r>
        <w:t>24</w:t>
      </w:r>
      <w:r>
        <w:fldChar w:fldCharType="end"/>
      </w:r>
      <w:r>
        <w:fldChar w:fldCharType="end"/>
      </w:r>
    </w:p>
    <w:p>
      <w:pPr>
        <w:pStyle w:val="15"/>
        <w:tabs>
          <w:tab w:val="right" w:leader="dot" w:pos="9638"/>
          <w:tab w:val="clear" w:pos="8296"/>
        </w:tabs>
      </w:pPr>
      <w:r>
        <w:fldChar w:fldCharType="begin"/>
      </w:r>
      <w:r>
        <w:instrText xml:space="preserve"> HYPERLINK \l "_Toc12059" </w:instrText>
      </w:r>
      <w:r>
        <w:fldChar w:fldCharType="separate"/>
      </w:r>
      <w:r>
        <w:rPr>
          <w:rFonts w:hint="eastAsia"/>
        </w:rPr>
        <w:t>一、评定办法前附表</w:t>
      </w:r>
      <w:r>
        <w:tab/>
      </w:r>
      <w:r>
        <w:fldChar w:fldCharType="begin"/>
      </w:r>
      <w:r>
        <w:instrText xml:space="preserve"> PAGEREF _Toc12059 \h </w:instrText>
      </w:r>
      <w:r>
        <w:fldChar w:fldCharType="separate"/>
      </w:r>
      <w:r>
        <w:t>24</w:t>
      </w:r>
      <w:r>
        <w:fldChar w:fldCharType="end"/>
      </w:r>
      <w:r>
        <w:fldChar w:fldCharType="end"/>
      </w:r>
    </w:p>
    <w:p>
      <w:pPr>
        <w:pStyle w:val="15"/>
        <w:tabs>
          <w:tab w:val="right" w:leader="dot" w:pos="9638"/>
          <w:tab w:val="clear" w:pos="8296"/>
        </w:tabs>
      </w:pPr>
      <w:r>
        <w:fldChar w:fldCharType="begin"/>
      </w:r>
      <w:r>
        <w:instrText xml:space="preserve"> HYPERLINK \l "_Toc29114" </w:instrText>
      </w:r>
      <w:r>
        <w:fldChar w:fldCharType="separate"/>
      </w:r>
      <w:r>
        <w:rPr>
          <w:rFonts w:hint="eastAsia"/>
        </w:rPr>
        <w:t>二、计算办法</w:t>
      </w:r>
      <w:r>
        <w:tab/>
      </w:r>
      <w:r>
        <w:fldChar w:fldCharType="begin"/>
      </w:r>
      <w:r>
        <w:instrText xml:space="preserve"> PAGEREF _Toc29114 \h </w:instrText>
      </w:r>
      <w:r>
        <w:fldChar w:fldCharType="separate"/>
      </w:r>
      <w:r>
        <w:t>25</w:t>
      </w:r>
      <w:r>
        <w:fldChar w:fldCharType="end"/>
      </w:r>
      <w:r>
        <w:fldChar w:fldCharType="end"/>
      </w:r>
    </w:p>
    <w:p>
      <w:pPr>
        <w:pStyle w:val="15"/>
        <w:tabs>
          <w:tab w:val="right" w:leader="dot" w:pos="9638"/>
          <w:tab w:val="clear" w:pos="8296"/>
        </w:tabs>
      </w:pPr>
      <w:r>
        <w:fldChar w:fldCharType="begin"/>
      </w:r>
      <w:r>
        <w:instrText xml:space="preserve"> HYPERLINK \l "_Toc28459" </w:instrText>
      </w:r>
      <w:r>
        <w:fldChar w:fldCharType="separate"/>
      </w:r>
      <w:r>
        <w:rPr>
          <w:rFonts w:hint="eastAsia"/>
        </w:rPr>
        <w:t>三、评分细则</w:t>
      </w:r>
      <w:r>
        <w:tab/>
      </w:r>
      <w:r>
        <w:fldChar w:fldCharType="begin"/>
      </w:r>
      <w:r>
        <w:instrText xml:space="preserve"> PAGEREF _Toc28459 \h </w:instrText>
      </w:r>
      <w:r>
        <w:fldChar w:fldCharType="separate"/>
      </w:r>
      <w:r>
        <w:t>25</w:t>
      </w:r>
      <w:r>
        <w:fldChar w:fldCharType="end"/>
      </w:r>
      <w:r>
        <w:fldChar w:fldCharType="end"/>
      </w:r>
    </w:p>
    <w:p>
      <w:pPr>
        <w:pStyle w:val="15"/>
        <w:tabs>
          <w:tab w:val="right" w:leader="dot" w:pos="9638"/>
          <w:tab w:val="clear" w:pos="8296"/>
        </w:tabs>
      </w:pPr>
      <w:r>
        <w:fldChar w:fldCharType="begin"/>
      </w:r>
      <w:r>
        <w:instrText xml:space="preserve"> HYPERLINK \l "_Toc18272" </w:instrText>
      </w:r>
      <w:r>
        <w:fldChar w:fldCharType="separate"/>
      </w:r>
      <w:r>
        <w:rPr>
          <w:rFonts w:hint="eastAsia"/>
        </w:rPr>
        <w:t>四、评定办法</w:t>
      </w:r>
      <w:r>
        <w:tab/>
      </w:r>
      <w:r>
        <w:fldChar w:fldCharType="begin"/>
      </w:r>
      <w:r>
        <w:instrText xml:space="preserve"> PAGEREF _Toc18272 \h </w:instrText>
      </w:r>
      <w:r>
        <w:fldChar w:fldCharType="separate"/>
      </w:r>
      <w:r>
        <w:t>27</w:t>
      </w:r>
      <w:r>
        <w:fldChar w:fldCharType="end"/>
      </w:r>
      <w:r>
        <w:fldChar w:fldCharType="end"/>
      </w:r>
    </w:p>
    <w:p>
      <w:pPr>
        <w:pStyle w:val="15"/>
        <w:tabs>
          <w:tab w:val="right" w:leader="dot" w:pos="9638"/>
          <w:tab w:val="clear" w:pos="8296"/>
        </w:tabs>
      </w:pPr>
      <w:r>
        <w:fldChar w:fldCharType="begin"/>
      </w:r>
      <w:r>
        <w:instrText xml:space="preserve"> HYPERLINK \l "_Toc11224" </w:instrText>
      </w:r>
      <w:r>
        <w:fldChar w:fldCharType="separate"/>
      </w:r>
      <w:r>
        <w:rPr>
          <w:rFonts w:hint="eastAsia"/>
        </w:rPr>
        <w:t>第五章合同书</w:t>
      </w:r>
      <w:r>
        <w:rPr>
          <w:rFonts w:hint="eastAsia" w:ascii="宋体" w:hAnsi="宋体" w:cs="宋体"/>
        </w:rPr>
        <w:t>(参考）</w:t>
      </w:r>
      <w:r>
        <w:tab/>
      </w:r>
      <w:r>
        <w:fldChar w:fldCharType="begin"/>
      </w:r>
      <w:r>
        <w:instrText xml:space="preserve"> PAGEREF _Toc11224 \h </w:instrText>
      </w:r>
      <w:r>
        <w:fldChar w:fldCharType="separate"/>
      </w:r>
      <w:r>
        <w:t>29</w:t>
      </w:r>
      <w:r>
        <w:fldChar w:fldCharType="end"/>
      </w:r>
      <w:r>
        <w:fldChar w:fldCharType="end"/>
      </w:r>
    </w:p>
    <w:p>
      <w:pPr>
        <w:pStyle w:val="15"/>
        <w:tabs>
          <w:tab w:val="right" w:leader="dot" w:pos="9638"/>
          <w:tab w:val="clear" w:pos="8296"/>
        </w:tabs>
      </w:pPr>
      <w:r>
        <w:fldChar w:fldCharType="begin"/>
      </w:r>
      <w:r>
        <w:instrText xml:space="preserve"> HYPERLINK \l "_Toc23320" </w:instrText>
      </w:r>
      <w:r>
        <w:fldChar w:fldCharType="separate"/>
      </w:r>
      <w:r>
        <w:rPr>
          <w:rFonts w:hint="eastAsia"/>
        </w:rPr>
        <w:t>第六章竞争性磋商响应文件格式</w:t>
      </w:r>
      <w:r>
        <w:tab/>
      </w:r>
      <w:r>
        <w:fldChar w:fldCharType="begin"/>
      </w:r>
      <w:r>
        <w:instrText xml:space="preserve"> PAGEREF _Toc23320 \h </w:instrText>
      </w:r>
      <w:r>
        <w:fldChar w:fldCharType="separate"/>
      </w:r>
      <w:r>
        <w:t>30</w:t>
      </w:r>
      <w:r>
        <w:fldChar w:fldCharType="end"/>
      </w:r>
      <w:r>
        <w:fldChar w:fldCharType="end"/>
      </w:r>
    </w:p>
    <w:p>
      <w:pPr>
        <w:pStyle w:val="15"/>
        <w:tabs>
          <w:tab w:val="right" w:leader="dot" w:pos="9638"/>
          <w:tab w:val="clear" w:pos="8296"/>
        </w:tabs>
      </w:pPr>
      <w:r>
        <w:fldChar w:fldCharType="begin"/>
      </w:r>
      <w:r>
        <w:instrText xml:space="preserve"> HYPERLINK \l "_Toc2960" </w:instrText>
      </w:r>
      <w:r>
        <w:fldChar w:fldCharType="separate"/>
      </w:r>
      <w:r>
        <w:rPr>
          <w:rFonts w:hint="eastAsia"/>
        </w:rPr>
        <w:t>封面：</w:t>
      </w:r>
      <w:r>
        <w:tab/>
      </w:r>
      <w:r>
        <w:fldChar w:fldCharType="begin"/>
      </w:r>
      <w:r>
        <w:instrText xml:space="preserve"> PAGEREF _Toc2960 \h </w:instrText>
      </w:r>
      <w:r>
        <w:fldChar w:fldCharType="separate"/>
      </w:r>
      <w:r>
        <w:t>30</w:t>
      </w:r>
      <w:r>
        <w:fldChar w:fldCharType="end"/>
      </w:r>
      <w:r>
        <w:fldChar w:fldCharType="end"/>
      </w:r>
    </w:p>
    <w:p>
      <w:pPr>
        <w:pStyle w:val="15"/>
        <w:tabs>
          <w:tab w:val="right" w:leader="dot" w:pos="9638"/>
          <w:tab w:val="clear" w:pos="8296"/>
        </w:tabs>
      </w:pPr>
      <w:r>
        <w:fldChar w:fldCharType="begin"/>
      </w:r>
      <w:r>
        <w:instrText xml:space="preserve"> HYPERLINK \l "_Toc746" </w:instrText>
      </w:r>
      <w:r>
        <w:fldChar w:fldCharType="separate"/>
      </w:r>
      <w:r>
        <w:rPr>
          <w:rFonts w:hint="eastAsia"/>
        </w:rPr>
        <w:t>响应文件目录</w:t>
      </w:r>
      <w:r>
        <w:tab/>
      </w:r>
      <w:r>
        <w:fldChar w:fldCharType="begin"/>
      </w:r>
      <w:r>
        <w:instrText xml:space="preserve"> PAGEREF _Toc746 \h </w:instrText>
      </w:r>
      <w:r>
        <w:fldChar w:fldCharType="separate"/>
      </w:r>
      <w:r>
        <w:t>31</w:t>
      </w:r>
      <w:r>
        <w:fldChar w:fldCharType="end"/>
      </w:r>
      <w:r>
        <w:fldChar w:fldCharType="end"/>
      </w:r>
    </w:p>
    <w:p>
      <w:pPr>
        <w:pStyle w:val="15"/>
        <w:tabs>
          <w:tab w:val="right" w:leader="dot" w:pos="9638"/>
          <w:tab w:val="clear" w:pos="8296"/>
        </w:tabs>
      </w:pPr>
      <w:r>
        <w:fldChar w:fldCharType="begin"/>
      </w:r>
      <w:r>
        <w:instrText xml:space="preserve"> HYPERLINK \l "_Toc30792" </w:instrText>
      </w:r>
      <w:r>
        <w:fldChar w:fldCharType="separate"/>
      </w:r>
      <w:r>
        <w:rPr>
          <w:rFonts w:hint="eastAsia"/>
        </w:rPr>
        <w:t>响应文件导读表</w:t>
      </w:r>
      <w:r>
        <w:tab/>
      </w:r>
      <w:r>
        <w:fldChar w:fldCharType="begin"/>
      </w:r>
      <w:r>
        <w:instrText xml:space="preserve"> PAGEREF _Toc30792 \h </w:instrText>
      </w:r>
      <w:r>
        <w:fldChar w:fldCharType="separate"/>
      </w:r>
      <w:r>
        <w:t>32</w:t>
      </w:r>
      <w:r>
        <w:fldChar w:fldCharType="end"/>
      </w:r>
      <w:r>
        <w:fldChar w:fldCharType="end"/>
      </w:r>
    </w:p>
    <w:p>
      <w:pPr>
        <w:pStyle w:val="15"/>
        <w:tabs>
          <w:tab w:val="right" w:leader="dot" w:pos="9638"/>
          <w:tab w:val="clear" w:pos="8296"/>
        </w:tabs>
      </w:pPr>
      <w:r>
        <w:fldChar w:fldCharType="begin"/>
      </w:r>
      <w:r>
        <w:instrText xml:space="preserve"> HYPERLINK \l "_Toc25820" </w:instrText>
      </w:r>
      <w:r>
        <w:fldChar w:fldCharType="separate"/>
      </w:r>
      <w:r>
        <w:rPr>
          <w:rFonts w:hint="eastAsia"/>
          <w:szCs w:val="21"/>
        </w:rPr>
        <w:t>附件一：投标函</w:t>
      </w:r>
      <w:r>
        <w:tab/>
      </w:r>
      <w:r>
        <w:fldChar w:fldCharType="begin"/>
      </w:r>
      <w:r>
        <w:instrText xml:space="preserve"> PAGEREF _Toc25820 \h </w:instrText>
      </w:r>
      <w:r>
        <w:fldChar w:fldCharType="separate"/>
      </w:r>
      <w:r>
        <w:t>33</w:t>
      </w:r>
      <w:r>
        <w:fldChar w:fldCharType="end"/>
      </w:r>
      <w:r>
        <w:fldChar w:fldCharType="end"/>
      </w:r>
    </w:p>
    <w:p>
      <w:pPr>
        <w:pStyle w:val="15"/>
        <w:tabs>
          <w:tab w:val="right" w:leader="dot" w:pos="9638"/>
          <w:tab w:val="clear" w:pos="8296"/>
        </w:tabs>
      </w:pPr>
      <w:r>
        <w:fldChar w:fldCharType="begin"/>
      </w:r>
      <w:r>
        <w:instrText xml:space="preserve"> HYPERLINK \l "_Toc23620" </w:instrText>
      </w:r>
      <w:r>
        <w:fldChar w:fldCharType="separate"/>
      </w:r>
      <w:r>
        <w:rPr>
          <w:rFonts w:hint="eastAsia"/>
        </w:rPr>
        <w:t>附件二：</w:t>
      </w:r>
      <w:r>
        <w:rPr>
          <w:rFonts w:hint="eastAsia"/>
          <w:szCs w:val="21"/>
        </w:rPr>
        <w:t>报价一览表</w:t>
      </w:r>
      <w:r>
        <w:tab/>
      </w:r>
      <w:r>
        <w:fldChar w:fldCharType="begin"/>
      </w:r>
      <w:r>
        <w:instrText xml:space="preserve"> PAGEREF _Toc23620 \h </w:instrText>
      </w:r>
      <w:r>
        <w:fldChar w:fldCharType="separate"/>
      </w:r>
      <w:r>
        <w:t>34</w:t>
      </w:r>
      <w:r>
        <w:fldChar w:fldCharType="end"/>
      </w:r>
      <w:r>
        <w:fldChar w:fldCharType="end"/>
      </w:r>
    </w:p>
    <w:p>
      <w:pPr>
        <w:pStyle w:val="15"/>
        <w:tabs>
          <w:tab w:val="right" w:leader="dot" w:pos="9638"/>
          <w:tab w:val="clear" w:pos="8296"/>
        </w:tabs>
      </w:pPr>
      <w:r>
        <w:fldChar w:fldCharType="begin"/>
      </w:r>
      <w:r>
        <w:instrText xml:space="preserve"> HYPERLINK \l "_Toc5397" </w:instrText>
      </w:r>
      <w:r>
        <w:fldChar w:fldCharType="separate"/>
      </w:r>
      <w:r>
        <w:rPr>
          <w:rFonts w:hint="eastAsia" w:ascii="宋体"/>
        </w:rPr>
        <w:t>附件三：</w:t>
      </w:r>
      <w:r>
        <w:rPr>
          <w:rFonts w:hint="eastAsia"/>
        </w:rPr>
        <w:t>法定代表人身份证明</w:t>
      </w:r>
      <w:r>
        <w:tab/>
      </w:r>
      <w:r>
        <w:fldChar w:fldCharType="begin"/>
      </w:r>
      <w:r>
        <w:instrText xml:space="preserve"> PAGEREF _Toc5397 \h </w:instrText>
      </w:r>
      <w:r>
        <w:fldChar w:fldCharType="separate"/>
      </w:r>
      <w:r>
        <w:t>35</w:t>
      </w:r>
      <w:r>
        <w:fldChar w:fldCharType="end"/>
      </w:r>
      <w:r>
        <w:fldChar w:fldCharType="end"/>
      </w:r>
    </w:p>
    <w:p>
      <w:pPr>
        <w:pStyle w:val="15"/>
        <w:tabs>
          <w:tab w:val="right" w:leader="dot" w:pos="9638"/>
          <w:tab w:val="clear" w:pos="8296"/>
        </w:tabs>
      </w:pPr>
      <w:r>
        <w:fldChar w:fldCharType="begin"/>
      </w:r>
      <w:r>
        <w:instrText xml:space="preserve"> HYPERLINK \l "_Toc19003" </w:instrText>
      </w:r>
      <w:r>
        <w:fldChar w:fldCharType="separate"/>
      </w:r>
      <w:r>
        <w:rPr>
          <w:rFonts w:hint="eastAsia"/>
        </w:rPr>
        <w:t>附件四：法定代表人授权委托书</w:t>
      </w:r>
      <w:r>
        <w:tab/>
      </w:r>
      <w:r>
        <w:fldChar w:fldCharType="begin"/>
      </w:r>
      <w:r>
        <w:instrText xml:space="preserve"> PAGEREF _Toc19003 \h </w:instrText>
      </w:r>
      <w:r>
        <w:fldChar w:fldCharType="separate"/>
      </w:r>
      <w:r>
        <w:t>36</w:t>
      </w:r>
      <w:r>
        <w:fldChar w:fldCharType="end"/>
      </w:r>
      <w:r>
        <w:fldChar w:fldCharType="end"/>
      </w:r>
    </w:p>
    <w:p>
      <w:pPr>
        <w:pStyle w:val="15"/>
        <w:tabs>
          <w:tab w:val="right" w:leader="dot" w:pos="9638"/>
          <w:tab w:val="clear" w:pos="8296"/>
        </w:tabs>
      </w:pPr>
      <w:r>
        <w:fldChar w:fldCharType="begin"/>
      </w:r>
      <w:r>
        <w:instrText xml:space="preserve"> HYPERLINK \l "_Toc5612" </w:instrText>
      </w:r>
      <w:r>
        <w:fldChar w:fldCharType="separate"/>
      </w:r>
      <w:r>
        <w:rPr>
          <w:rFonts w:hint="eastAsia"/>
        </w:rPr>
        <w:t>附件五：清单（明细）报价表（如有）</w:t>
      </w:r>
      <w:r>
        <w:tab/>
      </w:r>
      <w:r>
        <w:fldChar w:fldCharType="begin"/>
      </w:r>
      <w:r>
        <w:instrText xml:space="preserve"> PAGEREF _Toc5612 \h </w:instrText>
      </w:r>
      <w:r>
        <w:fldChar w:fldCharType="separate"/>
      </w:r>
      <w:r>
        <w:t>37</w:t>
      </w:r>
      <w:r>
        <w:fldChar w:fldCharType="end"/>
      </w:r>
      <w:r>
        <w:fldChar w:fldCharType="end"/>
      </w:r>
    </w:p>
    <w:p>
      <w:pPr>
        <w:pStyle w:val="15"/>
        <w:tabs>
          <w:tab w:val="right" w:leader="dot" w:pos="9638"/>
          <w:tab w:val="clear" w:pos="8296"/>
        </w:tabs>
      </w:pPr>
      <w:r>
        <w:fldChar w:fldCharType="begin"/>
      </w:r>
      <w:r>
        <w:instrText xml:space="preserve"> HYPERLINK \l "_Toc5024" </w:instrText>
      </w:r>
      <w:r>
        <w:fldChar w:fldCharType="separate"/>
      </w:r>
      <w:r>
        <w:rPr>
          <w:rFonts w:hint="eastAsia"/>
        </w:rPr>
        <w:t>附件六：资格证明资料</w:t>
      </w:r>
      <w:r>
        <w:tab/>
      </w:r>
      <w:r>
        <w:fldChar w:fldCharType="begin"/>
      </w:r>
      <w:r>
        <w:instrText xml:space="preserve"> PAGEREF _Toc5024 \h </w:instrText>
      </w:r>
      <w:r>
        <w:fldChar w:fldCharType="separate"/>
      </w:r>
      <w:r>
        <w:t>38</w:t>
      </w:r>
      <w:r>
        <w:fldChar w:fldCharType="end"/>
      </w:r>
      <w:r>
        <w:fldChar w:fldCharType="end"/>
      </w:r>
    </w:p>
    <w:p>
      <w:pPr>
        <w:pStyle w:val="15"/>
        <w:tabs>
          <w:tab w:val="right" w:leader="dot" w:pos="9638"/>
          <w:tab w:val="clear" w:pos="8296"/>
        </w:tabs>
      </w:pPr>
      <w:r>
        <w:fldChar w:fldCharType="begin"/>
      </w:r>
      <w:r>
        <w:instrText xml:space="preserve"> HYPERLINK \l "_Toc20891" </w:instrText>
      </w:r>
      <w:r>
        <w:fldChar w:fldCharType="separate"/>
      </w:r>
      <w:r>
        <w:rPr>
          <w:rFonts w:hint="eastAsia" w:hAnsi="宋体"/>
        </w:rPr>
        <w:t>附件七：</w:t>
      </w:r>
      <w:r>
        <w:rPr>
          <w:rFonts w:hint="eastAsia"/>
        </w:rPr>
        <w:t>技术部分</w:t>
      </w:r>
      <w:r>
        <w:tab/>
      </w:r>
      <w:r>
        <w:fldChar w:fldCharType="begin"/>
      </w:r>
      <w:r>
        <w:instrText xml:space="preserve"> PAGEREF _Toc20891 \h </w:instrText>
      </w:r>
      <w:r>
        <w:fldChar w:fldCharType="separate"/>
      </w:r>
      <w:r>
        <w:t>39</w:t>
      </w:r>
      <w:r>
        <w:fldChar w:fldCharType="end"/>
      </w:r>
      <w:r>
        <w:fldChar w:fldCharType="end"/>
      </w:r>
    </w:p>
    <w:p>
      <w:pPr>
        <w:pStyle w:val="15"/>
        <w:tabs>
          <w:tab w:val="right" w:leader="dot" w:pos="9638"/>
          <w:tab w:val="clear" w:pos="8296"/>
        </w:tabs>
      </w:pPr>
      <w:r>
        <w:fldChar w:fldCharType="begin"/>
      </w:r>
      <w:r>
        <w:instrText xml:space="preserve"> HYPERLINK \l "_Toc9743" </w:instrText>
      </w:r>
      <w:r>
        <w:fldChar w:fldCharType="separate"/>
      </w:r>
      <w:r>
        <w:rPr>
          <w:rFonts w:hint="eastAsia"/>
        </w:rPr>
        <w:t>附件八：商务部分</w:t>
      </w:r>
      <w:r>
        <w:tab/>
      </w:r>
      <w:r>
        <w:fldChar w:fldCharType="begin"/>
      </w:r>
      <w:r>
        <w:instrText xml:space="preserve"> PAGEREF _Toc9743 \h </w:instrText>
      </w:r>
      <w:r>
        <w:fldChar w:fldCharType="separate"/>
      </w:r>
      <w:r>
        <w:t>40</w:t>
      </w:r>
      <w:r>
        <w:fldChar w:fldCharType="end"/>
      </w:r>
      <w:r>
        <w:fldChar w:fldCharType="end"/>
      </w:r>
    </w:p>
    <w:p>
      <w:pPr>
        <w:pStyle w:val="15"/>
        <w:tabs>
          <w:tab w:val="right" w:leader="dot" w:pos="9638"/>
          <w:tab w:val="clear" w:pos="8296"/>
        </w:tabs>
      </w:pPr>
      <w:r>
        <w:fldChar w:fldCharType="begin"/>
      </w:r>
      <w:r>
        <w:instrText xml:space="preserve"> HYPERLINK \l "_Toc8823" </w:instrText>
      </w:r>
      <w:r>
        <w:fldChar w:fldCharType="separate"/>
      </w:r>
      <w:r>
        <w:rPr>
          <w:rFonts w:hint="eastAsia"/>
        </w:rPr>
        <w:t>附件九：评分标准中要求的其他资料</w:t>
      </w:r>
      <w:r>
        <w:tab/>
      </w:r>
      <w:r>
        <w:fldChar w:fldCharType="begin"/>
      </w:r>
      <w:r>
        <w:instrText xml:space="preserve"> PAGEREF _Toc8823 \h </w:instrText>
      </w:r>
      <w:r>
        <w:fldChar w:fldCharType="separate"/>
      </w:r>
      <w:r>
        <w:t>41</w:t>
      </w:r>
      <w:r>
        <w:fldChar w:fldCharType="end"/>
      </w:r>
      <w:r>
        <w:fldChar w:fldCharType="end"/>
      </w:r>
    </w:p>
    <w:p>
      <w:pPr>
        <w:pStyle w:val="15"/>
        <w:tabs>
          <w:tab w:val="right" w:leader="dot" w:pos="9638"/>
          <w:tab w:val="clear" w:pos="8296"/>
        </w:tabs>
      </w:pPr>
      <w:r>
        <w:fldChar w:fldCharType="begin"/>
      </w:r>
      <w:r>
        <w:instrText xml:space="preserve"> HYPERLINK \l "_Toc4392" </w:instrText>
      </w:r>
      <w:r>
        <w:fldChar w:fldCharType="separate"/>
      </w:r>
      <w:r>
        <w:rPr>
          <w:rFonts w:hint="eastAsia"/>
        </w:rPr>
        <w:t>附件十、无重大违法记录声明</w:t>
      </w:r>
      <w:r>
        <w:tab/>
      </w:r>
      <w:r>
        <w:fldChar w:fldCharType="begin"/>
      </w:r>
      <w:r>
        <w:instrText xml:space="preserve"> PAGEREF _Toc4392 \h </w:instrText>
      </w:r>
      <w:r>
        <w:fldChar w:fldCharType="separate"/>
      </w:r>
      <w:r>
        <w:t>42</w:t>
      </w:r>
      <w:r>
        <w:fldChar w:fldCharType="end"/>
      </w:r>
      <w:r>
        <w:fldChar w:fldCharType="end"/>
      </w:r>
    </w:p>
    <w:p>
      <w:pPr>
        <w:pStyle w:val="15"/>
        <w:tabs>
          <w:tab w:val="right" w:leader="dot" w:pos="9638"/>
          <w:tab w:val="clear" w:pos="8296"/>
        </w:tabs>
      </w:pPr>
      <w:r>
        <w:fldChar w:fldCharType="begin"/>
      </w:r>
      <w:r>
        <w:instrText xml:space="preserve"> HYPERLINK \l "_Toc26060" </w:instrText>
      </w:r>
      <w:r>
        <w:fldChar w:fldCharType="separate"/>
      </w:r>
      <w:r>
        <w:rPr>
          <w:rFonts w:hint="eastAsia"/>
        </w:rPr>
        <w:t>附件十一、参加本次采购活动前3年内发生诉讼及仲裁情况表</w:t>
      </w:r>
      <w:r>
        <w:tab/>
      </w:r>
      <w:r>
        <w:fldChar w:fldCharType="begin"/>
      </w:r>
      <w:r>
        <w:instrText xml:space="preserve"> PAGEREF _Toc26060 \h </w:instrText>
      </w:r>
      <w:r>
        <w:fldChar w:fldCharType="separate"/>
      </w:r>
      <w:r>
        <w:t>43</w:t>
      </w:r>
      <w:r>
        <w:fldChar w:fldCharType="end"/>
      </w:r>
      <w:r>
        <w:fldChar w:fldCharType="end"/>
      </w:r>
    </w:p>
    <w:p>
      <w:pPr>
        <w:pStyle w:val="15"/>
        <w:tabs>
          <w:tab w:val="right" w:leader="dot" w:pos="9638"/>
          <w:tab w:val="clear" w:pos="8296"/>
        </w:tabs>
      </w:pPr>
      <w:r>
        <w:fldChar w:fldCharType="begin"/>
      </w:r>
      <w:r>
        <w:instrText xml:space="preserve"> HYPERLINK \l "_Toc24683" </w:instrText>
      </w:r>
      <w:r>
        <w:fldChar w:fldCharType="separate"/>
      </w:r>
      <w:r>
        <w:rPr>
          <w:rFonts w:hint="eastAsia"/>
        </w:rPr>
        <w:t>附件十二、其他材料</w:t>
      </w:r>
      <w:r>
        <w:tab/>
      </w:r>
      <w:r>
        <w:fldChar w:fldCharType="begin"/>
      </w:r>
      <w:r>
        <w:instrText xml:space="preserve"> PAGEREF _Toc24683 \h </w:instrText>
      </w:r>
      <w:r>
        <w:fldChar w:fldCharType="separate"/>
      </w:r>
      <w:r>
        <w:t>44</w:t>
      </w:r>
      <w:r>
        <w:fldChar w:fldCharType="end"/>
      </w:r>
      <w:r>
        <w:fldChar w:fldCharType="end"/>
      </w:r>
    </w:p>
    <w:p>
      <w:pPr>
        <w:pStyle w:val="3"/>
      </w:pPr>
      <w:r>
        <w:rPr>
          <w:rFonts w:ascii="宋体" w:hAnsi="宋体" w:cs="仿宋_GB2312"/>
          <w:kern w:val="0"/>
          <w:szCs w:val="30"/>
        </w:rPr>
        <w:fldChar w:fldCharType="end"/>
      </w:r>
      <w:bookmarkStart w:id="0" w:name="_Toc23910"/>
      <w:r>
        <w:rPr>
          <w:rFonts w:hint="eastAsia" w:ascii="宋体" w:hAnsi="宋体" w:cs="仿宋_GB2312"/>
          <w:kern w:val="0"/>
          <w:sz w:val="30"/>
          <w:szCs w:val="30"/>
        </w:rPr>
        <w:br w:type="page"/>
      </w:r>
      <w:bookmarkStart w:id="1" w:name="_Toc36458028"/>
      <w:r>
        <w:rPr>
          <w:rFonts w:hint="eastAsia"/>
        </w:rPr>
        <w:t>第一章竞争性磋商采购公告</w:t>
      </w:r>
      <w:bookmarkEnd w:id="0"/>
      <w:bookmarkEnd w:id="1"/>
    </w:p>
    <w:p>
      <w:pPr>
        <w:pStyle w:val="18"/>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480" w:lineRule="auto"/>
        <w:ind w:left="0" w:leftChars="0" w:right="105" w:rightChars="50" w:firstLine="0" w:firstLineChars="0"/>
        <w:rPr>
          <w:sz w:val="21"/>
          <w:szCs w:val="21"/>
        </w:rPr>
      </w:pPr>
      <w:r>
        <w:rPr>
          <w:rFonts w:hint="eastAsia" w:ascii="宋体" w:hAnsi="宋体" w:eastAsia="宋体" w:cs="宋体"/>
          <w:color w:val="383838"/>
          <w:sz w:val="21"/>
          <w:szCs w:val="21"/>
          <w:shd w:val="clear" w:color="auto" w:fill="FFFFFF"/>
        </w:rPr>
        <w:t>项目概况</w:t>
      </w:r>
    </w:p>
    <w:p>
      <w:pPr>
        <w:pStyle w:val="18"/>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480" w:lineRule="auto"/>
        <w:ind w:left="0" w:leftChars="0" w:right="105" w:rightChars="50" w:firstLine="0" w:firstLineChars="0"/>
        <w:rPr>
          <w:sz w:val="21"/>
          <w:szCs w:val="21"/>
        </w:rPr>
      </w:pPr>
      <w:r>
        <w:rPr>
          <w:rFonts w:hint="eastAsia" w:ascii="宋体" w:hAnsi="宋体" w:eastAsia="宋体" w:cs="宋体"/>
          <w:color w:val="383838"/>
          <w:sz w:val="21"/>
          <w:szCs w:val="21"/>
          <w:shd w:val="clear" w:color="auto" w:fill="FFFFFF"/>
        </w:rPr>
        <w:t>孝感市老澴河水生态综合治理（一期）PPP项目—长征、玉泉、王家湾片区范围内雨污分流收集系统建设工程全过程造价咨询项目采购项目的潜在供应商应在孝感市西湖明珠清风苑4号楼2单元5楼506室获取采购文件，并于2022年11月07日15点00分（北京时间）前提交响应文件。</w:t>
      </w:r>
    </w:p>
    <w:p>
      <w:pPr>
        <w:pStyle w:val="18"/>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480" w:lineRule="auto"/>
        <w:ind w:left="0" w:leftChars="0" w:right="105" w:rightChars="50" w:firstLine="0" w:firstLineChars="0"/>
        <w:rPr>
          <w:sz w:val="21"/>
          <w:szCs w:val="21"/>
        </w:rPr>
      </w:pPr>
      <w:r>
        <w:rPr>
          <w:rStyle w:val="24"/>
          <w:rFonts w:hint="eastAsia" w:ascii="微软雅黑" w:hAnsi="微软雅黑" w:eastAsia="微软雅黑" w:cs="微软雅黑"/>
          <w:b/>
          <w:bCs/>
          <w:color w:val="383838"/>
          <w:sz w:val="21"/>
          <w:szCs w:val="21"/>
          <w:shd w:val="clear" w:color="auto" w:fill="FFFFFF"/>
        </w:rPr>
        <w:t>一、项目基本情况</w:t>
      </w:r>
    </w:p>
    <w:p>
      <w:pPr>
        <w:pStyle w:val="18"/>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480" w:lineRule="auto"/>
        <w:ind w:left="0" w:leftChars="0" w:right="105" w:rightChars="50" w:firstLine="0" w:firstLineChars="0"/>
        <w:rPr>
          <w:sz w:val="21"/>
          <w:szCs w:val="21"/>
        </w:rPr>
      </w:pPr>
      <w:r>
        <w:rPr>
          <w:rFonts w:hint="eastAsia" w:ascii="微软雅黑" w:hAnsi="微软雅黑" w:eastAsia="微软雅黑" w:cs="微软雅黑"/>
          <w:color w:val="383838"/>
          <w:sz w:val="21"/>
          <w:szCs w:val="21"/>
          <w:shd w:val="clear" w:color="auto" w:fill="FFFFFF"/>
        </w:rPr>
        <w:t>项目编号：HBTXZFCG-磋-2022-1021</w:t>
      </w:r>
    </w:p>
    <w:p>
      <w:pPr>
        <w:pStyle w:val="18"/>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480" w:lineRule="auto"/>
        <w:ind w:left="0" w:leftChars="0" w:right="105" w:rightChars="50" w:firstLine="0" w:firstLineChars="0"/>
        <w:rPr>
          <w:sz w:val="21"/>
          <w:szCs w:val="21"/>
        </w:rPr>
      </w:pPr>
      <w:r>
        <w:rPr>
          <w:rFonts w:hint="eastAsia" w:ascii="微软雅黑" w:hAnsi="微软雅黑" w:eastAsia="微软雅黑" w:cs="微软雅黑"/>
          <w:color w:val="383838"/>
          <w:sz w:val="21"/>
          <w:szCs w:val="21"/>
          <w:shd w:val="clear" w:color="auto" w:fill="FFFFFF"/>
        </w:rPr>
        <w:t>项目名称：孝感市老澴河水生态综合治理（一期）PPP项目—长征、玉泉、王家湾片区范围内雨污分流收集系统建设工程全过程造价咨询项目</w:t>
      </w:r>
    </w:p>
    <w:p>
      <w:pPr>
        <w:pStyle w:val="18"/>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480" w:lineRule="auto"/>
        <w:ind w:left="0" w:leftChars="0" w:right="105" w:rightChars="50" w:firstLine="0" w:firstLineChars="0"/>
        <w:rPr>
          <w:sz w:val="21"/>
          <w:szCs w:val="21"/>
        </w:rPr>
      </w:pPr>
      <w:r>
        <w:rPr>
          <w:rFonts w:hint="eastAsia" w:ascii="微软雅黑" w:hAnsi="微软雅黑" w:eastAsia="微软雅黑" w:cs="微软雅黑"/>
          <w:color w:val="383838"/>
          <w:sz w:val="21"/>
          <w:szCs w:val="21"/>
          <w:shd w:val="clear" w:color="auto" w:fill="FFFFFF"/>
        </w:rPr>
        <w:t>采购方式：竞争性磋商</w:t>
      </w:r>
    </w:p>
    <w:p>
      <w:pPr>
        <w:pStyle w:val="18"/>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480" w:lineRule="auto"/>
        <w:ind w:left="0" w:leftChars="0" w:right="105" w:rightChars="50" w:firstLine="0" w:firstLineChars="0"/>
        <w:rPr>
          <w:sz w:val="21"/>
          <w:szCs w:val="21"/>
        </w:rPr>
      </w:pPr>
      <w:r>
        <w:rPr>
          <w:rFonts w:hint="eastAsia" w:ascii="微软雅黑" w:hAnsi="微软雅黑" w:eastAsia="微软雅黑" w:cs="微软雅黑"/>
          <w:color w:val="383838"/>
          <w:sz w:val="21"/>
          <w:szCs w:val="21"/>
          <w:shd w:val="clear" w:color="auto" w:fill="FFFFFF"/>
        </w:rPr>
        <w:t>预算金额：84.7479000万元（人民币）</w:t>
      </w:r>
    </w:p>
    <w:p>
      <w:pPr>
        <w:pStyle w:val="18"/>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480" w:lineRule="auto"/>
        <w:ind w:left="0" w:leftChars="0" w:right="105" w:rightChars="50" w:firstLine="0" w:firstLineChars="0"/>
        <w:rPr>
          <w:sz w:val="21"/>
          <w:szCs w:val="21"/>
        </w:rPr>
      </w:pPr>
      <w:r>
        <w:rPr>
          <w:rFonts w:hint="eastAsia" w:ascii="微软雅黑" w:hAnsi="微软雅黑" w:eastAsia="微软雅黑" w:cs="微软雅黑"/>
          <w:color w:val="383838"/>
          <w:sz w:val="21"/>
          <w:szCs w:val="21"/>
          <w:shd w:val="clear" w:color="auto" w:fill="FFFFFF"/>
        </w:rPr>
        <w:t>最高限价（如有）：84.7479000万元（人民币）</w:t>
      </w:r>
    </w:p>
    <w:p>
      <w:pPr>
        <w:pStyle w:val="18"/>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480" w:lineRule="auto"/>
        <w:ind w:left="0" w:leftChars="0" w:right="105" w:rightChars="50" w:firstLine="0" w:firstLineChars="0"/>
        <w:rPr>
          <w:sz w:val="21"/>
          <w:szCs w:val="21"/>
        </w:rPr>
      </w:pPr>
      <w:r>
        <w:rPr>
          <w:rFonts w:hint="eastAsia" w:ascii="微软雅黑" w:hAnsi="微软雅黑" w:eastAsia="微软雅黑" w:cs="微软雅黑"/>
          <w:color w:val="383838"/>
          <w:sz w:val="21"/>
          <w:szCs w:val="21"/>
          <w:shd w:val="clear" w:color="auto" w:fill="FFFFFF"/>
        </w:rPr>
        <w:t>采购需求：</w:t>
      </w:r>
    </w:p>
    <w:p>
      <w:pPr>
        <w:pStyle w:val="18"/>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480" w:lineRule="auto"/>
        <w:ind w:left="0" w:leftChars="0" w:right="105" w:rightChars="50" w:firstLine="0" w:firstLineChars="0"/>
        <w:rPr>
          <w:sz w:val="21"/>
          <w:szCs w:val="21"/>
        </w:rPr>
      </w:pPr>
      <w:r>
        <w:rPr>
          <w:rFonts w:hint="eastAsia" w:ascii="微软雅黑" w:hAnsi="微软雅黑" w:eastAsia="微软雅黑" w:cs="微软雅黑"/>
          <w:color w:val="383838"/>
          <w:sz w:val="21"/>
          <w:szCs w:val="21"/>
          <w:shd w:val="clear" w:color="auto" w:fill="FFFFFF"/>
        </w:rPr>
        <w:t>详见竞争性磋商文件第三章</w:t>
      </w:r>
    </w:p>
    <w:p>
      <w:pPr>
        <w:pStyle w:val="18"/>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480" w:lineRule="auto"/>
        <w:ind w:left="0" w:leftChars="0" w:right="105" w:rightChars="50" w:firstLine="0" w:firstLineChars="0"/>
        <w:rPr>
          <w:rFonts w:hint="eastAsia" w:eastAsia="微软雅黑"/>
          <w:sz w:val="21"/>
          <w:szCs w:val="21"/>
          <w:lang w:eastAsia="zh-CN"/>
        </w:rPr>
      </w:pPr>
      <w:r>
        <w:rPr>
          <w:rFonts w:hint="eastAsia" w:ascii="微软雅黑" w:hAnsi="微软雅黑" w:eastAsia="微软雅黑" w:cs="微软雅黑"/>
          <w:color w:val="383838"/>
          <w:sz w:val="21"/>
          <w:szCs w:val="21"/>
          <w:shd w:val="clear" w:color="auto" w:fill="FFFFFF"/>
        </w:rPr>
        <w:t>合同履行期限：自签订合同之日起，至完成本项目招标范围所约定的全部造价咨询内容，经审计单位结算审核完毕并出具结算审计报告后结束。</w:t>
      </w:r>
    </w:p>
    <w:p>
      <w:pPr>
        <w:pStyle w:val="18"/>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480" w:lineRule="auto"/>
        <w:ind w:left="0" w:leftChars="0" w:right="105" w:rightChars="50" w:firstLine="0" w:firstLineChars="0"/>
        <w:rPr>
          <w:sz w:val="21"/>
          <w:szCs w:val="21"/>
        </w:rPr>
      </w:pPr>
      <w:r>
        <w:rPr>
          <w:rFonts w:hint="eastAsia" w:ascii="微软雅黑" w:hAnsi="微软雅黑" w:eastAsia="微软雅黑" w:cs="微软雅黑"/>
          <w:color w:val="383838"/>
          <w:sz w:val="21"/>
          <w:szCs w:val="21"/>
          <w:shd w:val="clear" w:color="auto" w:fill="FFFFFF"/>
        </w:rPr>
        <w:t>本项目( 不接受 )联合体投标。</w:t>
      </w:r>
    </w:p>
    <w:p>
      <w:pPr>
        <w:pStyle w:val="18"/>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480" w:lineRule="auto"/>
        <w:ind w:left="0" w:leftChars="0" w:right="105" w:rightChars="50" w:firstLine="0" w:firstLineChars="0"/>
        <w:rPr>
          <w:sz w:val="21"/>
          <w:szCs w:val="21"/>
        </w:rPr>
      </w:pPr>
      <w:r>
        <w:rPr>
          <w:rStyle w:val="24"/>
          <w:rFonts w:hint="eastAsia" w:ascii="微软雅黑" w:hAnsi="微软雅黑" w:eastAsia="微软雅黑" w:cs="微软雅黑"/>
          <w:b/>
          <w:bCs/>
          <w:color w:val="383838"/>
          <w:sz w:val="21"/>
          <w:szCs w:val="21"/>
          <w:shd w:val="clear" w:color="auto" w:fill="FFFFFF"/>
        </w:rPr>
        <w:t>二、申请人的资格要求：</w:t>
      </w:r>
    </w:p>
    <w:p>
      <w:pPr>
        <w:pStyle w:val="18"/>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480" w:lineRule="auto"/>
        <w:ind w:left="0" w:leftChars="0" w:right="105" w:rightChars="50" w:firstLine="0" w:firstLineChars="0"/>
        <w:rPr>
          <w:sz w:val="21"/>
          <w:szCs w:val="21"/>
        </w:rPr>
      </w:pPr>
      <w:r>
        <w:rPr>
          <w:rFonts w:hint="eastAsia" w:ascii="微软雅黑" w:hAnsi="微软雅黑" w:eastAsia="微软雅黑" w:cs="微软雅黑"/>
          <w:color w:val="383838"/>
          <w:sz w:val="21"/>
          <w:szCs w:val="21"/>
          <w:shd w:val="clear" w:color="auto" w:fill="FFFFFF"/>
        </w:rPr>
        <w:t>1.满足《中华人民共和国政府采购法》第二十二条规定；</w:t>
      </w:r>
    </w:p>
    <w:p>
      <w:pPr>
        <w:pStyle w:val="18"/>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480" w:lineRule="auto"/>
        <w:ind w:left="0" w:leftChars="0" w:right="105" w:rightChars="50" w:firstLine="0" w:firstLineChars="0"/>
        <w:rPr>
          <w:sz w:val="21"/>
          <w:szCs w:val="21"/>
        </w:rPr>
      </w:pPr>
      <w:r>
        <w:rPr>
          <w:rFonts w:hint="eastAsia" w:ascii="微软雅黑" w:hAnsi="微软雅黑" w:eastAsia="微软雅黑" w:cs="微软雅黑"/>
          <w:color w:val="383838"/>
          <w:sz w:val="21"/>
          <w:szCs w:val="21"/>
          <w:shd w:val="clear" w:color="auto" w:fill="FFFFFF"/>
        </w:rPr>
        <w:t>2.落实政府采购政策需满足的资格要求：/</w:t>
      </w:r>
    </w:p>
    <w:p>
      <w:pPr>
        <w:pStyle w:val="18"/>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480" w:lineRule="auto"/>
        <w:ind w:left="0" w:leftChars="0" w:right="105" w:rightChars="50" w:firstLine="0" w:firstLineChars="0"/>
        <w:rPr>
          <w:rFonts w:hint="eastAsia" w:ascii="微软雅黑" w:hAnsi="微软雅黑" w:eastAsia="微软雅黑" w:cs="微软雅黑"/>
          <w:color w:val="383838"/>
          <w:sz w:val="21"/>
          <w:szCs w:val="21"/>
          <w:shd w:val="clear" w:color="auto" w:fill="FFFFFF"/>
          <w:lang w:eastAsia="zh-CN"/>
        </w:rPr>
      </w:pPr>
      <w:r>
        <w:rPr>
          <w:rFonts w:hint="eastAsia" w:ascii="微软雅黑" w:hAnsi="微软雅黑" w:eastAsia="微软雅黑" w:cs="微软雅黑"/>
          <w:color w:val="383838"/>
          <w:sz w:val="21"/>
          <w:szCs w:val="21"/>
          <w:shd w:val="clear" w:color="auto" w:fill="FFFFFF"/>
        </w:rPr>
        <w:t>3.本项目的特定资格要求：1）供应商拟派的项目负责人须取得一级造价工程师注册证书。</w:t>
      </w:r>
    </w:p>
    <w:p>
      <w:pPr>
        <w:pStyle w:val="18"/>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480" w:lineRule="auto"/>
        <w:ind w:left="0" w:leftChars="0" w:right="105" w:rightChars="50" w:firstLine="0" w:firstLineChars="0"/>
        <w:rPr>
          <w:sz w:val="21"/>
          <w:szCs w:val="21"/>
        </w:rPr>
      </w:pPr>
      <w:r>
        <w:rPr>
          <w:rFonts w:hint="eastAsia" w:ascii="微软雅黑" w:hAnsi="微软雅黑" w:eastAsia="微软雅黑" w:cs="微软雅黑"/>
          <w:color w:val="383838"/>
          <w:sz w:val="21"/>
          <w:szCs w:val="21"/>
          <w:shd w:val="clear" w:color="auto" w:fill="FFFFFF"/>
        </w:rPr>
        <w:t>2）供应商未被列入“信用中国”网站(www.creditchina.gov.cn)失信被执行人、重大税收违法失信主体、政府采购严重违法失信行为记录名单和“中国政府采购”网站（www.ccgp.gov.cn）政府采购严重违法失信行为记录名单（以开标当天采购代理机构查询结果为准）。</w:t>
      </w:r>
    </w:p>
    <w:p>
      <w:pPr>
        <w:pStyle w:val="18"/>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480" w:lineRule="auto"/>
        <w:ind w:left="0" w:leftChars="0" w:right="105" w:rightChars="50" w:firstLine="0" w:firstLineChars="0"/>
        <w:rPr>
          <w:sz w:val="21"/>
          <w:szCs w:val="21"/>
        </w:rPr>
      </w:pPr>
      <w:r>
        <w:rPr>
          <w:rStyle w:val="24"/>
          <w:rFonts w:hint="eastAsia" w:ascii="微软雅黑" w:hAnsi="微软雅黑" w:eastAsia="微软雅黑" w:cs="微软雅黑"/>
          <w:b/>
          <w:bCs/>
          <w:color w:val="383838"/>
          <w:sz w:val="21"/>
          <w:szCs w:val="21"/>
          <w:shd w:val="clear" w:color="auto" w:fill="FFFFFF"/>
        </w:rPr>
        <w:t>三、获取采购文件</w:t>
      </w:r>
    </w:p>
    <w:p>
      <w:pPr>
        <w:pStyle w:val="18"/>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480" w:lineRule="auto"/>
        <w:ind w:left="0" w:leftChars="0" w:right="105" w:rightChars="50" w:firstLine="0" w:firstLineChars="0"/>
        <w:rPr>
          <w:sz w:val="21"/>
          <w:szCs w:val="21"/>
        </w:rPr>
      </w:pPr>
      <w:r>
        <w:rPr>
          <w:rFonts w:hint="eastAsia" w:ascii="微软雅黑" w:hAnsi="微软雅黑" w:eastAsia="微软雅黑" w:cs="微软雅黑"/>
          <w:color w:val="383838"/>
          <w:sz w:val="21"/>
          <w:szCs w:val="21"/>
          <w:shd w:val="clear" w:color="auto" w:fill="FFFFFF"/>
        </w:rPr>
        <w:t>时间：2022年10月26日至2022年11月01日，每天上午8:30至12:00，下午14:30至17:30（北京时间，法定节假日除外）</w:t>
      </w:r>
    </w:p>
    <w:p>
      <w:pPr>
        <w:pStyle w:val="18"/>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480" w:lineRule="auto"/>
        <w:ind w:left="0" w:leftChars="0" w:right="105" w:rightChars="50" w:firstLine="0" w:firstLineChars="0"/>
        <w:rPr>
          <w:sz w:val="21"/>
          <w:szCs w:val="21"/>
        </w:rPr>
      </w:pPr>
      <w:r>
        <w:rPr>
          <w:rFonts w:hint="eastAsia" w:ascii="微软雅黑" w:hAnsi="微软雅黑" w:eastAsia="微软雅黑" w:cs="微软雅黑"/>
          <w:color w:val="383838"/>
          <w:sz w:val="21"/>
          <w:szCs w:val="21"/>
          <w:shd w:val="clear" w:color="auto" w:fill="FFFFFF"/>
        </w:rPr>
        <w:t>地点：孝感市西湖明珠清风苑4号楼2单元5楼506室</w:t>
      </w:r>
    </w:p>
    <w:p>
      <w:pPr>
        <w:pStyle w:val="18"/>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480" w:lineRule="auto"/>
        <w:ind w:left="0" w:leftChars="0" w:right="105" w:rightChars="50" w:firstLine="0" w:firstLineChars="0"/>
        <w:rPr>
          <w:sz w:val="21"/>
          <w:szCs w:val="21"/>
        </w:rPr>
      </w:pPr>
      <w:r>
        <w:rPr>
          <w:rFonts w:hint="eastAsia" w:ascii="微软雅黑" w:hAnsi="微软雅黑" w:eastAsia="微软雅黑" w:cs="微软雅黑"/>
          <w:color w:val="383838"/>
          <w:sz w:val="21"/>
          <w:szCs w:val="21"/>
          <w:shd w:val="clear" w:color="auto" w:fill="FFFFFF"/>
        </w:rPr>
        <w:t>方式：①现场获取，②供应商需提供以下资料复印件加盖公章，未加盖公章的报名资料视为无效报名：1）法定代表人资格证明文件和本人身份证或法人授权委托书和被授权委托人的身份证；2）法人或者其他组织的营业执照；3）供应商报名登记表（自行下载附件）</w:t>
      </w:r>
    </w:p>
    <w:p>
      <w:pPr>
        <w:pStyle w:val="18"/>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480" w:lineRule="auto"/>
        <w:ind w:left="0" w:leftChars="0" w:right="105" w:rightChars="50" w:firstLine="0" w:firstLineChars="0"/>
        <w:rPr>
          <w:sz w:val="21"/>
          <w:szCs w:val="21"/>
        </w:rPr>
      </w:pPr>
      <w:r>
        <w:rPr>
          <w:rFonts w:hint="eastAsia" w:ascii="微软雅黑" w:hAnsi="微软雅黑" w:eastAsia="微软雅黑" w:cs="微软雅黑"/>
          <w:color w:val="383838"/>
          <w:sz w:val="21"/>
          <w:szCs w:val="21"/>
          <w:shd w:val="clear" w:color="auto" w:fill="FFFFFF"/>
        </w:rPr>
        <w:t>售价：￥0.0元（人民币）</w:t>
      </w:r>
    </w:p>
    <w:p>
      <w:pPr>
        <w:pStyle w:val="18"/>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480" w:lineRule="auto"/>
        <w:ind w:left="0" w:leftChars="0" w:right="105" w:rightChars="50" w:firstLine="0" w:firstLineChars="0"/>
        <w:rPr>
          <w:sz w:val="21"/>
          <w:szCs w:val="21"/>
        </w:rPr>
      </w:pPr>
      <w:r>
        <w:rPr>
          <w:rStyle w:val="24"/>
          <w:rFonts w:hint="eastAsia" w:ascii="微软雅黑" w:hAnsi="微软雅黑" w:eastAsia="微软雅黑" w:cs="微软雅黑"/>
          <w:b/>
          <w:bCs/>
          <w:color w:val="383838"/>
          <w:sz w:val="21"/>
          <w:szCs w:val="21"/>
          <w:shd w:val="clear" w:color="auto" w:fill="FFFFFF"/>
        </w:rPr>
        <w:t>四、响应文件提交</w:t>
      </w:r>
    </w:p>
    <w:p>
      <w:pPr>
        <w:pStyle w:val="18"/>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480" w:lineRule="auto"/>
        <w:ind w:left="0" w:leftChars="0" w:right="105" w:rightChars="50" w:firstLine="0" w:firstLineChars="0"/>
        <w:rPr>
          <w:sz w:val="21"/>
          <w:szCs w:val="21"/>
        </w:rPr>
      </w:pPr>
      <w:r>
        <w:rPr>
          <w:rFonts w:hint="eastAsia" w:ascii="微软雅黑" w:hAnsi="微软雅黑" w:eastAsia="微软雅黑" w:cs="微软雅黑"/>
          <w:color w:val="383838"/>
          <w:sz w:val="21"/>
          <w:szCs w:val="21"/>
          <w:shd w:val="clear" w:color="auto" w:fill="FFFFFF"/>
        </w:rPr>
        <w:t>截止时间：2022年11月07日15点00分（北京时间）</w:t>
      </w:r>
    </w:p>
    <w:p>
      <w:pPr>
        <w:pStyle w:val="18"/>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480" w:lineRule="auto"/>
        <w:ind w:left="0" w:leftChars="0" w:right="105" w:rightChars="50" w:firstLine="0" w:firstLineChars="0"/>
        <w:rPr>
          <w:sz w:val="21"/>
          <w:szCs w:val="21"/>
        </w:rPr>
      </w:pPr>
      <w:r>
        <w:rPr>
          <w:rFonts w:hint="eastAsia" w:ascii="微软雅黑" w:hAnsi="微软雅黑" w:eastAsia="微软雅黑" w:cs="微软雅黑"/>
          <w:color w:val="383838"/>
          <w:sz w:val="21"/>
          <w:szCs w:val="21"/>
          <w:shd w:val="clear" w:color="auto" w:fill="FFFFFF"/>
        </w:rPr>
        <w:t>地点：孝感市西湖明珠清风苑4号楼2单元5楼505室</w:t>
      </w:r>
    </w:p>
    <w:p>
      <w:pPr>
        <w:pStyle w:val="18"/>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480" w:lineRule="auto"/>
        <w:ind w:left="0" w:leftChars="0" w:right="105" w:rightChars="50" w:firstLine="0" w:firstLineChars="0"/>
        <w:rPr>
          <w:sz w:val="21"/>
          <w:szCs w:val="21"/>
        </w:rPr>
      </w:pPr>
      <w:r>
        <w:rPr>
          <w:rStyle w:val="24"/>
          <w:rFonts w:hint="eastAsia" w:ascii="微软雅黑" w:hAnsi="微软雅黑" w:eastAsia="微软雅黑" w:cs="微软雅黑"/>
          <w:b/>
          <w:bCs/>
          <w:color w:val="383838"/>
          <w:sz w:val="21"/>
          <w:szCs w:val="21"/>
          <w:shd w:val="clear" w:color="auto" w:fill="FFFFFF"/>
        </w:rPr>
        <w:t>五、开启</w:t>
      </w:r>
    </w:p>
    <w:p>
      <w:pPr>
        <w:pStyle w:val="18"/>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480" w:lineRule="auto"/>
        <w:ind w:left="0" w:leftChars="0" w:right="105" w:rightChars="50" w:firstLine="0" w:firstLineChars="0"/>
        <w:rPr>
          <w:sz w:val="21"/>
          <w:szCs w:val="21"/>
        </w:rPr>
      </w:pPr>
      <w:r>
        <w:rPr>
          <w:rFonts w:hint="eastAsia" w:ascii="微软雅黑" w:hAnsi="微软雅黑" w:eastAsia="微软雅黑" w:cs="微软雅黑"/>
          <w:color w:val="383838"/>
          <w:sz w:val="21"/>
          <w:szCs w:val="21"/>
          <w:shd w:val="clear" w:color="auto" w:fill="FFFFFF"/>
        </w:rPr>
        <w:t>时间：2022年11月07日15点00分（北京时间）</w:t>
      </w:r>
    </w:p>
    <w:p>
      <w:pPr>
        <w:pStyle w:val="18"/>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480" w:lineRule="auto"/>
        <w:ind w:left="0" w:leftChars="0" w:right="105" w:rightChars="50" w:firstLine="0" w:firstLineChars="0"/>
        <w:rPr>
          <w:sz w:val="21"/>
          <w:szCs w:val="21"/>
        </w:rPr>
      </w:pPr>
      <w:r>
        <w:rPr>
          <w:rFonts w:hint="eastAsia" w:ascii="微软雅黑" w:hAnsi="微软雅黑" w:eastAsia="微软雅黑" w:cs="微软雅黑"/>
          <w:color w:val="383838"/>
          <w:sz w:val="21"/>
          <w:szCs w:val="21"/>
          <w:shd w:val="clear" w:color="auto" w:fill="FFFFFF"/>
        </w:rPr>
        <w:t>地点：孝感市西湖明珠清风苑4号楼2单元5楼505室</w:t>
      </w:r>
    </w:p>
    <w:p>
      <w:pPr>
        <w:pStyle w:val="18"/>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480" w:lineRule="auto"/>
        <w:ind w:left="0" w:leftChars="0" w:right="105" w:rightChars="50" w:firstLine="0" w:firstLineChars="0"/>
        <w:rPr>
          <w:sz w:val="21"/>
          <w:szCs w:val="21"/>
        </w:rPr>
      </w:pPr>
      <w:r>
        <w:rPr>
          <w:rStyle w:val="24"/>
          <w:rFonts w:hint="eastAsia" w:ascii="微软雅黑" w:hAnsi="微软雅黑" w:eastAsia="微软雅黑" w:cs="微软雅黑"/>
          <w:b/>
          <w:bCs/>
          <w:color w:val="383838"/>
          <w:sz w:val="21"/>
          <w:szCs w:val="21"/>
          <w:shd w:val="clear" w:color="auto" w:fill="FFFFFF"/>
        </w:rPr>
        <w:t>六、公告期限</w:t>
      </w:r>
    </w:p>
    <w:p>
      <w:pPr>
        <w:pStyle w:val="18"/>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480" w:lineRule="auto"/>
        <w:ind w:left="0" w:leftChars="0" w:right="105" w:rightChars="50" w:firstLine="0" w:firstLineChars="0"/>
        <w:rPr>
          <w:sz w:val="21"/>
          <w:szCs w:val="21"/>
        </w:rPr>
      </w:pPr>
      <w:r>
        <w:rPr>
          <w:rFonts w:hint="eastAsia" w:ascii="微软雅黑" w:hAnsi="微软雅黑" w:eastAsia="微软雅黑" w:cs="微软雅黑"/>
          <w:color w:val="383838"/>
          <w:sz w:val="21"/>
          <w:szCs w:val="21"/>
          <w:shd w:val="clear" w:color="auto" w:fill="FFFFFF"/>
        </w:rPr>
        <w:t>自本公告发布之日起3个工作日。</w:t>
      </w:r>
    </w:p>
    <w:p>
      <w:pPr>
        <w:pStyle w:val="18"/>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480" w:lineRule="auto"/>
        <w:ind w:left="0" w:leftChars="0" w:right="105" w:rightChars="50" w:firstLine="0" w:firstLineChars="0"/>
        <w:rPr>
          <w:sz w:val="21"/>
          <w:szCs w:val="21"/>
        </w:rPr>
      </w:pPr>
      <w:r>
        <w:rPr>
          <w:rStyle w:val="24"/>
          <w:rFonts w:hint="eastAsia" w:ascii="微软雅黑" w:hAnsi="微软雅黑" w:eastAsia="微软雅黑" w:cs="微软雅黑"/>
          <w:b/>
          <w:bCs/>
          <w:color w:val="383838"/>
          <w:sz w:val="21"/>
          <w:szCs w:val="21"/>
          <w:shd w:val="clear" w:color="auto" w:fill="FFFFFF"/>
        </w:rPr>
        <w:t>七、其他补充事宜</w:t>
      </w:r>
    </w:p>
    <w:p>
      <w:pPr>
        <w:pStyle w:val="18"/>
        <w:keepNext w:val="0"/>
        <w:keepLines w:val="0"/>
        <w:pageBreakBefore w:val="0"/>
        <w:widowControl/>
        <w:suppressLineNumbers w:val="0"/>
        <w:shd w:val="clear" w:color="auto" w:fill="FFFFFF"/>
        <w:kinsoku/>
        <w:wordWrap/>
        <w:overflowPunct/>
        <w:topLinePunct w:val="0"/>
        <w:autoSpaceDE/>
        <w:autoSpaceDN/>
        <w:bidi w:val="0"/>
        <w:adjustRightInd/>
        <w:snapToGrid/>
        <w:spacing w:before="20" w:beforeAutospacing="0" w:after="20" w:afterAutospacing="0" w:line="480" w:lineRule="auto"/>
        <w:ind w:left="0" w:leftChars="0" w:right="105" w:rightChars="50" w:firstLine="0" w:firstLineChars="0"/>
        <w:jc w:val="left"/>
        <w:textAlignment w:val="baseline"/>
        <w:rPr>
          <w:sz w:val="21"/>
          <w:szCs w:val="21"/>
        </w:rPr>
      </w:pPr>
      <w:r>
        <w:rPr>
          <w:rFonts w:hint="eastAsia" w:ascii="微软雅黑" w:hAnsi="微软雅黑" w:eastAsia="微软雅黑" w:cs="微软雅黑"/>
          <w:color w:val="383838"/>
          <w:sz w:val="21"/>
          <w:szCs w:val="21"/>
          <w:shd w:val="clear" w:color="auto" w:fill="FFFFFF"/>
          <w:vertAlign w:val="baseline"/>
        </w:rPr>
        <w:t>1、报名注意：不符合报名条件的供应商将被采购代理机构拒绝，采购代理机构对报名资料的审验并不作为供应商资格条件的最终认定，供应商应对资料的真实性、合规性负责；开标后，仍将由评审委员会对供应商的资格证明材料进行资格审核，不符合项目资格条件的供应商的投标将被拒绝。（因受疫情影响，请报名人员佩戴口罩及防护用品，凭绿码入场，需携带24小时核酸检测报告）。</w:t>
      </w:r>
    </w:p>
    <w:p>
      <w:pPr>
        <w:pStyle w:val="18"/>
        <w:keepNext w:val="0"/>
        <w:keepLines w:val="0"/>
        <w:pageBreakBefore w:val="0"/>
        <w:widowControl/>
        <w:suppressLineNumbers w:val="0"/>
        <w:shd w:val="clear" w:color="auto" w:fill="FFFFFF"/>
        <w:kinsoku/>
        <w:wordWrap/>
        <w:overflowPunct/>
        <w:topLinePunct w:val="0"/>
        <w:autoSpaceDE/>
        <w:autoSpaceDN/>
        <w:bidi w:val="0"/>
        <w:adjustRightInd/>
        <w:snapToGrid/>
        <w:spacing w:before="20" w:beforeAutospacing="0" w:after="20" w:afterAutospacing="0" w:line="480" w:lineRule="auto"/>
        <w:ind w:left="0" w:leftChars="0" w:right="105" w:rightChars="50" w:firstLine="0" w:firstLineChars="0"/>
        <w:jc w:val="left"/>
        <w:textAlignment w:val="baseline"/>
        <w:rPr>
          <w:sz w:val="21"/>
          <w:szCs w:val="21"/>
        </w:rPr>
      </w:pPr>
      <w:r>
        <w:rPr>
          <w:rFonts w:hint="eastAsia" w:ascii="微软雅黑" w:hAnsi="微软雅黑" w:eastAsia="微软雅黑" w:cs="微软雅黑"/>
          <w:color w:val="383838"/>
          <w:sz w:val="21"/>
          <w:szCs w:val="21"/>
          <w:shd w:val="clear" w:color="auto" w:fill="FFFFFF"/>
          <w:vertAlign w:val="baseline"/>
        </w:rPr>
        <w:t>2、参加开标会要求：届时请参加磋商的授权代表携授权委托书、本人二代身份证原件及响应文件出席磋商会议。（因受疫情影响，原则上一家供应商只允许一人参加磋商会议，请参会人员佩戴口罩及防护用品，凭绿码入场，需携带24小时核酸检测报告）。</w:t>
      </w:r>
    </w:p>
    <w:p>
      <w:pPr>
        <w:pStyle w:val="18"/>
        <w:keepNext w:val="0"/>
        <w:keepLines w:val="0"/>
        <w:pageBreakBefore w:val="0"/>
        <w:widowControl/>
        <w:suppressLineNumbers w:val="0"/>
        <w:shd w:val="clear" w:color="auto" w:fill="FFFFFF"/>
        <w:kinsoku/>
        <w:wordWrap/>
        <w:overflowPunct/>
        <w:topLinePunct w:val="0"/>
        <w:autoSpaceDE/>
        <w:autoSpaceDN/>
        <w:bidi w:val="0"/>
        <w:adjustRightInd/>
        <w:snapToGrid/>
        <w:spacing w:before="20" w:beforeAutospacing="0" w:after="20" w:afterAutospacing="0" w:line="480" w:lineRule="auto"/>
        <w:ind w:left="0" w:leftChars="0" w:right="105" w:rightChars="50" w:firstLine="0" w:firstLineChars="0"/>
        <w:jc w:val="left"/>
        <w:textAlignment w:val="baseline"/>
        <w:rPr>
          <w:sz w:val="21"/>
          <w:szCs w:val="21"/>
        </w:rPr>
      </w:pPr>
      <w:r>
        <w:rPr>
          <w:rFonts w:hint="eastAsia" w:ascii="微软雅黑" w:hAnsi="微软雅黑" w:eastAsia="微软雅黑" w:cs="微软雅黑"/>
          <w:color w:val="383838"/>
          <w:sz w:val="21"/>
          <w:szCs w:val="21"/>
          <w:shd w:val="clear" w:color="auto" w:fill="FFFFFF"/>
          <w:vertAlign w:val="baseline"/>
        </w:rPr>
        <w:t>3、信息发布媒体：《中国政府采购网》（网址：http://www.ccgp.gov.cn/）</w:t>
      </w:r>
    </w:p>
    <w:p>
      <w:pPr>
        <w:pStyle w:val="18"/>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480" w:lineRule="auto"/>
        <w:ind w:left="0" w:leftChars="0" w:right="105" w:rightChars="50" w:firstLine="0" w:firstLineChars="0"/>
        <w:rPr>
          <w:sz w:val="21"/>
          <w:szCs w:val="21"/>
        </w:rPr>
      </w:pPr>
      <w:r>
        <w:rPr>
          <w:rStyle w:val="24"/>
          <w:rFonts w:hint="eastAsia" w:ascii="微软雅黑" w:hAnsi="微软雅黑" w:eastAsia="微软雅黑" w:cs="微软雅黑"/>
          <w:b/>
          <w:bCs/>
          <w:color w:val="383838"/>
          <w:sz w:val="21"/>
          <w:szCs w:val="21"/>
          <w:shd w:val="clear" w:color="auto" w:fill="FFFFFF"/>
        </w:rPr>
        <w:t>八、凡对本次采购提出询问，请按以下方式联系。</w:t>
      </w:r>
    </w:p>
    <w:p>
      <w:pPr>
        <w:pStyle w:val="18"/>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480" w:lineRule="auto"/>
        <w:ind w:left="0" w:leftChars="0" w:right="105" w:rightChars="50" w:firstLine="0" w:firstLineChars="0"/>
        <w:rPr>
          <w:sz w:val="21"/>
          <w:szCs w:val="21"/>
        </w:rPr>
      </w:pPr>
      <w:r>
        <w:rPr>
          <w:rFonts w:hint="eastAsia" w:ascii="微软雅黑" w:hAnsi="微软雅黑" w:eastAsia="微软雅黑" w:cs="微软雅黑"/>
          <w:color w:val="383838"/>
          <w:sz w:val="21"/>
          <w:szCs w:val="21"/>
          <w:shd w:val="clear" w:color="auto" w:fill="FFFFFF"/>
        </w:rPr>
        <w:t>1.采购人信息</w:t>
      </w:r>
    </w:p>
    <w:p>
      <w:pPr>
        <w:pStyle w:val="18"/>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480" w:lineRule="auto"/>
        <w:ind w:left="0" w:leftChars="0" w:right="105" w:rightChars="50" w:firstLine="0" w:firstLineChars="0"/>
        <w:rPr>
          <w:rFonts w:hint="eastAsia" w:eastAsia="微软雅黑"/>
          <w:sz w:val="21"/>
          <w:szCs w:val="21"/>
          <w:lang w:eastAsia="zh-CN"/>
        </w:rPr>
      </w:pPr>
      <w:r>
        <w:rPr>
          <w:rFonts w:hint="eastAsia" w:ascii="微软雅黑" w:hAnsi="微软雅黑" w:eastAsia="微软雅黑" w:cs="微软雅黑"/>
          <w:color w:val="383838"/>
          <w:sz w:val="21"/>
          <w:szCs w:val="21"/>
          <w:shd w:val="clear" w:color="auto" w:fill="FFFFFF"/>
        </w:rPr>
        <w:t>名称：孝感源之清环境综合治理开发有限公司</w:t>
      </w:r>
    </w:p>
    <w:p>
      <w:pPr>
        <w:pStyle w:val="18"/>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480" w:lineRule="auto"/>
        <w:ind w:left="0" w:leftChars="0" w:right="105" w:rightChars="50" w:firstLine="0" w:firstLineChars="0"/>
        <w:rPr>
          <w:rFonts w:hint="eastAsia" w:eastAsia="微软雅黑"/>
          <w:sz w:val="21"/>
          <w:szCs w:val="21"/>
          <w:lang w:eastAsia="zh-CN"/>
        </w:rPr>
      </w:pPr>
      <w:r>
        <w:rPr>
          <w:rFonts w:hint="eastAsia" w:ascii="微软雅黑" w:hAnsi="微软雅黑" w:eastAsia="微软雅黑" w:cs="微软雅黑"/>
          <w:color w:val="383838"/>
          <w:sz w:val="21"/>
          <w:szCs w:val="21"/>
          <w:shd w:val="clear" w:color="auto" w:fill="FFFFFF"/>
        </w:rPr>
        <w:t>地址：孝感市付冲路7号</w:t>
      </w:r>
    </w:p>
    <w:p>
      <w:pPr>
        <w:pStyle w:val="18"/>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480" w:lineRule="auto"/>
        <w:ind w:left="0" w:leftChars="0" w:right="105" w:rightChars="50" w:firstLine="0" w:firstLineChars="0"/>
        <w:rPr>
          <w:rFonts w:hint="eastAsia" w:eastAsia="微软雅黑"/>
          <w:sz w:val="21"/>
          <w:szCs w:val="21"/>
          <w:lang w:eastAsia="zh-CN"/>
        </w:rPr>
      </w:pPr>
      <w:r>
        <w:rPr>
          <w:rFonts w:hint="eastAsia" w:ascii="微软雅黑" w:hAnsi="微软雅黑" w:eastAsia="微软雅黑" w:cs="微软雅黑"/>
          <w:color w:val="383838"/>
          <w:sz w:val="21"/>
          <w:szCs w:val="21"/>
          <w:shd w:val="clear" w:color="auto" w:fill="FFFFFF"/>
        </w:rPr>
        <w:t>联系方式：赵祯0712-2281278</w:t>
      </w:r>
    </w:p>
    <w:p>
      <w:pPr>
        <w:pStyle w:val="18"/>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480" w:lineRule="auto"/>
        <w:ind w:left="0" w:leftChars="0" w:right="105" w:rightChars="50" w:firstLine="0" w:firstLineChars="0"/>
        <w:rPr>
          <w:sz w:val="21"/>
          <w:szCs w:val="21"/>
        </w:rPr>
      </w:pPr>
      <w:r>
        <w:rPr>
          <w:rFonts w:hint="eastAsia" w:ascii="微软雅黑" w:hAnsi="微软雅黑" w:eastAsia="微软雅黑" w:cs="微软雅黑"/>
          <w:color w:val="383838"/>
          <w:sz w:val="21"/>
          <w:szCs w:val="21"/>
          <w:shd w:val="clear" w:color="auto" w:fill="FFFFFF"/>
        </w:rPr>
        <w:t>2.采购代理机构信息</w:t>
      </w:r>
    </w:p>
    <w:p>
      <w:pPr>
        <w:pStyle w:val="18"/>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480" w:lineRule="auto"/>
        <w:ind w:left="0" w:leftChars="0" w:right="105" w:rightChars="50" w:firstLine="0" w:firstLineChars="0"/>
        <w:rPr>
          <w:rFonts w:hint="eastAsia" w:eastAsia="微软雅黑"/>
          <w:sz w:val="21"/>
          <w:szCs w:val="21"/>
          <w:lang w:eastAsia="zh-CN"/>
        </w:rPr>
      </w:pPr>
      <w:r>
        <w:rPr>
          <w:rFonts w:hint="eastAsia" w:ascii="微软雅黑" w:hAnsi="微软雅黑" w:eastAsia="微软雅黑" w:cs="微软雅黑"/>
          <w:color w:val="383838"/>
          <w:sz w:val="21"/>
          <w:szCs w:val="21"/>
          <w:shd w:val="clear" w:color="auto" w:fill="FFFFFF"/>
        </w:rPr>
        <w:t>名称：湖北天喜工程咨询有限公司</w:t>
      </w:r>
    </w:p>
    <w:p>
      <w:pPr>
        <w:pStyle w:val="18"/>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480" w:lineRule="auto"/>
        <w:ind w:left="0" w:leftChars="0" w:right="105" w:rightChars="50" w:firstLine="0" w:firstLineChars="0"/>
        <w:rPr>
          <w:rFonts w:hint="eastAsia" w:eastAsia="微软雅黑"/>
          <w:sz w:val="21"/>
          <w:szCs w:val="21"/>
          <w:lang w:eastAsia="zh-CN"/>
        </w:rPr>
      </w:pPr>
      <w:r>
        <w:rPr>
          <w:rFonts w:hint="eastAsia" w:ascii="微软雅黑" w:hAnsi="微软雅黑" w:eastAsia="微软雅黑" w:cs="微软雅黑"/>
          <w:color w:val="383838"/>
          <w:sz w:val="21"/>
          <w:szCs w:val="21"/>
          <w:shd w:val="clear" w:color="auto" w:fill="FFFFFF"/>
        </w:rPr>
        <w:t>地址：孝感市西湖明珠清风苑4号楼2单元5楼506室</w:t>
      </w:r>
    </w:p>
    <w:p>
      <w:pPr>
        <w:pStyle w:val="18"/>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480" w:lineRule="auto"/>
        <w:ind w:left="0" w:leftChars="0" w:right="105" w:rightChars="50" w:firstLine="0" w:firstLineChars="0"/>
        <w:rPr>
          <w:rFonts w:hint="eastAsia" w:eastAsia="微软雅黑"/>
          <w:sz w:val="21"/>
          <w:szCs w:val="21"/>
          <w:lang w:eastAsia="zh-CN"/>
        </w:rPr>
      </w:pPr>
      <w:r>
        <w:rPr>
          <w:rFonts w:hint="eastAsia" w:ascii="微软雅黑" w:hAnsi="微软雅黑" w:eastAsia="微软雅黑" w:cs="微软雅黑"/>
          <w:color w:val="383838"/>
          <w:sz w:val="21"/>
          <w:szCs w:val="21"/>
          <w:shd w:val="clear" w:color="auto" w:fill="FFFFFF"/>
        </w:rPr>
        <w:t>联系方式：江淑君15971229293</w:t>
      </w:r>
    </w:p>
    <w:p>
      <w:pPr>
        <w:pStyle w:val="18"/>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480" w:lineRule="auto"/>
        <w:ind w:left="0" w:leftChars="0" w:right="105" w:rightChars="50" w:firstLine="0" w:firstLineChars="0"/>
        <w:rPr>
          <w:sz w:val="21"/>
          <w:szCs w:val="21"/>
        </w:rPr>
      </w:pPr>
      <w:r>
        <w:rPr>
          <w:rFonts w:hint="eastAsia" w:ascii="微软雅黑" w:hAnsi="微软雅黑" w:eastAsia="微软雅黑" w:cs="微软雅黑"/>
          <w:color w:val="383838"/>
          <w:sz w:val="21"/>
          <w:szCs w:val="21"/>
          <w:shd w:val="clear" w:color="auto" w:fill="FFFFFF"/>
        </w:rPr>
        <w:t>3.项目联系方式</w:t>
      </w:r>
    </w:p>
    <w:p>
      <w:pPr>
        <w:pStyle w:val="18"/>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480" w:lineRule="auto"/>
        <w:ind w:left="0" w:leftChars="0" w:right="105" w:rightChars="50" w:firstLine="0" w:firstLineChars="0"/>
        <w:rPr>
          <w:sz w:val="21"/>
          <w:szCs w:val="21"/>
        </w:rPr>
      </w:pPr>
      <w:r>
        <w:rPr>
          <w:rFonts w:hint="eastAsia" w:ascii="微软雅黑" w:hAnsi="微软雅黑" w:eastAsia="微软雅黑" w:cs="微软雅黑"/>
          <w:color w:val="383838"/>
          <w:sz w:val="21"/>
          <w:szCs w:val="21"/>
          <w:shd w:val="clear" w:color="auto" w:fill="FFFFFF"/>
        </w:rPr>
        <w:t>项目联系人：赵祯</w:t>
      </w:r>
    </w:p>
    <w:p>
      <w:pPr>
        <w:pStyle w:val="18"/>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480" w:lineRule="auto"/>
        <w:ind w:left="0" w:leftChars="0" w:right="105" w:rightChars="50" w:firstLine="0" w:firstLineChars="0"/>
        <w:rPr>
          <w:sz w:val="21"/>
          <w:szCs w:val="21"/>
        </w:rPr>
      </w:pPr>
      <w:r>
        <w:rPr>
          <w:rFonts w:hint="eastAsia" w:ascii="微软雅黑" w:hAnsi="微软雅黑" w:eastAsia="微软雅黑" w:cs="微软雅黑"/>
          <w:color w:val="383838"/>
          <w:sz w:val="21"/>
          <w:szCs w:val="21"/>
          <w:shd w:val="clear" w:color="auto" w:fill="FFFFFF"/>
        </w:rPr>
        <w:t>电话：0712-2281278</w:t>
      </w:r>
    </w:p>
    <w:p>
      <w:pPr>
        <w:keepNext w:val="0"/>
        <w:keepLines w:val="0"/>
        <w:pageBreakBefore w:val="0"/>
        <w:kinsoku/>
        <w:wordWrap/>
        <w:overflowPunct/>
        <w:topLinePunct w:val="0"/>
        <w:autoSpaceDE/>
        <w:autoSpaceDN/>
        <w:bidi w:val="0"/>
        <w:adjustRightInd/>
        <w:snapToGrid/>
        <w:spacing w:before="20" w:after="20" w:line="480" w:lineRule="auto"/>
        <w:ind w:left="0" w:leftChars="0" w:right="105" w:rightChars="50" w:firstLine="0" w:firstLineChars="0"/>
      </w:pPr>
    </w:p>
    <w:p/>
    <w:p>
      <w:pPr>
        <w:widowControl/>
        <w:jc w:val="left"/>
        <w:rPr>
          <w:rFonts w:ascii="Calibri" w:hAnsi="Calibri"/>
          <w:b/>
          <w:bCs/>
          <w:kern w:val="44"/>
          <w:sz w:val="32"/>
          <w:szCs w:val="44"/>
          <w:lang w:val="zh-CN"/>
        </w:rPr>
      </w:pPr>
      <w:bookmarkStart w:id="2" w:name="_Toc6329"/>
      <w:bookmarkStart w:id="3" w:name="_Toc36458029"/>
      <w:r>
        <w:br w:type="page"/>
      </w:r>
    </w:p>
    <w:p>
      <w:pPr>
        <w:pStyle w:val="3"/>
      </w:pPr>
      <w:r>
        <w:rPr>
          <w:rFonts w:hint="eastAsia"/>
        </w:rPr>
        <w:t>第二章供应商须知</w:t>
      </w:r>
      <w:bookmarkEnd w:id="2"/>
      <w:bookmarkEnd w:id="3"/>
    </w:p>
    <w:p>
      <w:pPr>
        <w:pStyle w:val="2"/>
        <w:rPr>
          <w:kern w:val="0"/>
        </w:rPr>
      </w:pPr>
      <w:bookmarkStart w:id="4" w:name="_Toc5717"/>
      <w:r>
        <w:rPr>
          <w:rFonts w:hint="eastAsia"/>
          <w:kern w:val="0"/>
        </w:rPr>
        <w:t>《供应商须知前附表》</w:t>
      </w:r>
      <w:bookmarkEnd w:id="4"/>
    </w:p>
    <w:tbl>
      <w:tblPr>
        <w:tblStyle w:val="21"/>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560"/>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widowControl/>
              <w:spacing w:line="360" w:lineRule="auto"/>
              <w:jc w:val="center"/>
              <w:rPr>
                <w:rFonts w:ascii="宋体" w:hAnsi="宋体" w:cs="仿宋_GB2312"/>
                <w:b/>
                <w:kern w:val="0"/>
                <w:szCs w:val="21"/>
              </w:rPr>
            </w:pPr>
            <w:r>
              <w:rPr>
                <w:rFonts w:hint="eastAsia" w:ascii="宋体" w:hAnsi="宋体" w:cs="仿宋_GB2312"/>
                <w:b/>
                <w:kern w:val="0"/>
                <w:szCs w:val="21"/>
              </w:rPr>
              <w:t>条款号</w:t>
            </w:r>
          </w:p>
        </w:tc>
        <w:tc>
          <w:tcPr>
            <w:tcW w:w="1560" w:type="dxa"/>
          </w:tcPr>
          <w:p>
            <w:pPr>
              <w:widowControl/>
              <w:spacing w:line="360" w:lineRule="auto"/>
              <w:jc w:val="left"/>
              <w:rPr>
                <w:rFonts w:ascii="宋体" w:hAnsi="宋体" w:cs="仿宋_GB2312"/>
                <w:b/>
                <w:kern w:val="0"/>
                <w:szCs w:val="21"/>
              </w:rPr>
            </w:pPr>
            <w:r>
              <w:rPr>
                <w:rFonts w:hint="eastAsia" w:ascii="宋体" w:hAnsi="宋体" w:cs="仿宋_GB2312"/>
                <w:b/>
                <w:kern w:val="0"/>
                <w:szCs w:val="21"/>
              </w:rPr>
              <w:t>条款名称</w:t>
            </w:r>
          </w:p>
        </w:tc>
        <w:tc>
          <w:tcPr>
            <w:tcW w:w="7371" w:type="dxa"/>
            <w:vAlign w:val="center"/>
          </w:tcPr>
          <w:p>
            <w:pPr>
              <w:widowControl/>
              <w:spacing w:line="360" w:lineRule="auto"/>
              <w:rPr>
                <w:rFonts w:ascii="宋体" w:hAnsi="宋体" w:cs="仿宋_GB2312"/>
                <w:b/>
                <w:kern w:val="0"/>
                <w:szCs w:val="21"/>
              </w:rPr>
            </w:pPr>
            <w:r>
              <w:rPr>
                <w:rFonts w:hint="eastAsia" w:ascii="宋体" w:hAnsi="宋体" w:cs="仿宋_GB2312"/>
                <w:b/>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widowControl/>
              <w:numPr>
                <w:ilvl w:val="0"/>
                <w:numId w:val="1"/>
              </w:numPr>
              <w:spacing w:line="360" w:lineRule="auto"/>
              <w:jc w:val="center"/>
              <w:rPr>
                <w:rFonts w:ascii="宋体" w:hAnsi="宋体" w:cs="仿宋_GB2312"/>
                <w:b/>
                <w:kern w:val="0"/>
                <w:szCs w:val="21"/>
              </w:rPr>
            </w:pPr>
          </w:p>
        </w:tc>
        <w:tc>
          <w:tcPr>
            <w:tcW w:w="1560" w:type="dxa"/>
          </w:tcPr>
          <w:p>
            <w:pPr>
              <w:widowControl/>
              <w:spacing w:line="360" w:lineRule="auto"/>
              <w:rPr>
                <w:rFonts w:ascii="宋体" w:hAnsi="宋体" w:cs="仿宋_GB2312"/>
                <w:b/>
                <w:kern w:val="0"/>
                <w:szCs w:val="21"/>
              </w:rPr>
            </w:pPr>
            <w:r>
              <w:rPr>
                <w:rFonts w:hint="eastAsia" w:ascii="宋体" w:hAnsi="宋体" w:cs="仿宋_GB2312"/>
                <w:kern w:val="0"/>
                <w:szCs w:val="21"/>
              </w:rPr>
              <w:t>采购人</w:t>
            </w:r>
          </w:p>
        </w:tc>
        <w:tc>
          <w:tcPr>
            <w:tcW w:w="7371" w:type="dxa"/>
          </w:tcPr>
          <w:p>
            <w:pPr>
              <w:widowControl/>
              <w:spacing w:line="360" w:lineRule="auto"/>
              <w:rPr>
                <w:rFonts w:hint="eastAsia" w:ascii="宋体" w:hAnsi="宋体" w:eastAsia="宋体" w:cs="仿宋_GB2312"/>
                <w:b/>
                <w:kern w:val="0"/>
                <w:szCs w:val="21"/>
                <w:lang w:eastAsia="zh-CN"/>
              </w:rPr>
            </w:pPr>
            <w:r>
              <w:rPr>
                <w:rFonts w:hint="eastAsia" w:ascii="宋体" w:hAnsi="宋体" w:cs="仿宋_GB2312"/>
                <w:kern w:val="0"/>
                <w:szCs w:val="21"/>
                <w:lang w:eastAsia="zh-CN"/>
              </w:rPr>
              <w:t>孝感源之清环境综合治理开发有限公司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widowControl/>
              <w:numPr>
                <w:ilvl w:val="0"/>
                <w:numId w:val="1"/>
              </w:numPr>
              <w:spacing w:line="360" w:lineRule="auto"/>
              <w:jc w:val="center"/>
              <w:rPr>
                <w:rFonts w:ascii="宋体" w:hAnsi="宋体" w:cs="仿宋_GB2312"/>
                <w:b/>
                <w:kern w:val="0"/>
                <w:szCs w:val="21"/>
              </w:rPr>
            </w:pPr>
          </w:p>
        </w:tc>
        <w:tc>
          <w:tcPr>
            <w:tcW w:w="1560" w:type="dxa"/>
          </w:tcPr>
          <w:p>
            <w:pPr>
              <w:widowControl/>
              <w:spacing w:line="360" w:lineRule="auto"/>
              <w:rPr>
                <w:rFonts w:ascii="宋体" w:hAnsi="宋体" w:cs="仿宋_GB2312"/>
                <w:b/>
                <w:kern w:val="0"/>
                <w:szCs w:val="21"/>
              </w:rPr>
            </w:pPr>
            <w:r>
              <w:rPr>
                <w:rFonts w:hint="eastAsia" w:ascii="宋体" w:hAnsi="宋体" w:cs="仿宋_GB2312"/>
                <w:kern w:val="0"/>
                <w:szCs w:val="21"/>
              </w:rPr>
              <w:t>监管部门</w:t>
            </w:r>
          </w:p>
        </w:tc>
        <w:tc>
          <w:tcPr>
            <w:tcW w:w="7371" w:type="dxa"/>
          </w:tcPr>
          <w:p>
            <w:pPr>
              <w:widowControl/>
              <w:spacing w:line="360" w:lineRule="auto"/>
              <w:rPr>
                <w:rFonts w:ascii="宋体" w:hAnsi="宋体" w:cs="仿宋_GB2312"/>
                <w:b/>
                <w:kern w:val="0"/>
                <w:szCs w:val="21"/>
              </w:rPr>
            </w:pPr>
            <w:r>
              <w:rPr>
                <w:rFonts w:hint="eastAsia" w:ascii="宋体" w:hAnsi="宋体" w:cs="仿宋_GB2312"/>
                <w:b/>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widowControl/>
              <w:numPr>
                <w:ilvl w:val="0"/>
                <w:numId w:val="1"/>
              </w:numPr>
              <w:spacing w:line="360" w:lineRule="auto"/>
              <w:jc w:val="center"/>
              <w:rPr>
                <w:rFonts w:ascii="宋体" w:hAnsi="宋体" w:cs="仿宋_GB2312"/>
                <w:b/>
                <w:kern w:val="0"/>
                <w:szCs w:val="21"/>
              </w:rPr>
            </w:pPr>
          </w:p>
        </w:tc>
        <w:tc>
          <w:tcPr>
            <w:tcW w:w="1560" w:type="dxa"/>
          </w:tcPr>
          <w:p>
            <w:pPr>
              <w:widowControl/>
              <w:spacing w:line="360" w:lineRule="auto"/>
              <w:rPr>
                <w:rFonts w:ascii="宋体" w:hAnsi="宋体" w:cs="仿宋_GB2312"/>
                <w:b/>
                <w:kern w:val="0"/>
                <w:szCs w:val="21"/>
              </w:rPr>
            </w:pPr>
            <w:r>
              <w:rPr>
                <w:rFonts w:hint="eastAsia" w:ascii="宋体" w:hAnsi="宋体" w:cs="仿宋_GB2312"/>
                <w:kern w:val="0"/>
                <w:szCs w:val="21"/>
              </w:rPr>
              <w:t>采购代理机构</w:t>
            </w:r>
          </w:p>
        </w:tc>
        <w:tc>
          <w:tcPr>
            <w:tcW w:w="7371" w:type="dxa"/>
          </w:tcPr>
          <w:p>
            <w:pPr>
              <w:widowControl/>
              <w:spacing w:line="360" w:lineRule="auto"/>
              <w:rPr>
                <w:rFonts w:ascii="宋体" w:hAnsi="宋体" w:cs="仿宋_GB2312"/>
                <w:b/>
                <w:kern w:val="0"/>
                <w:szCs w:val="21"/>
              </w:rPr>
            </w:pPr>
            <w:r>
              <w:rPr>
                <w:rFonts w:hint="eastAsia" w:ascii="宋体" w:hAnsi="宋体" w:cs="仿宋_GB2312"/>
                <w:kern w:val="0"/>
                <w:szCs w:val="21"/>
              </w:rPr>
              <w:t>湖北天喜工程咨询有限公司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widowControl/>
              <w:numPr>
                <w:ilvl w:val="0"/>
                <w:numId w:val="1"/>
              </w:numPr>
              <w:spacing w:line="360" w:lineRule="auto"/>
              <w:jc w:val="center"/>
              <w:rPr>
                <w:rFonts w:ascii="宋体" w:hAnsi="宋体" w:cs="仿宋_GB2312"/>
                <w:b/>
                <w:kern w:val="0"/>
                <w:szCs w:val="21"/>
              </w:rPr>
            </w:pPr>
          </w:p>
        </w:tc>
        <w:tc>
          <w:tcPr>
            <w:tcW w:w="1560" w:type="dxa"/>
          </w:tcPr>
          <w:p>
            <w:pPr>
              <w:widowControl/>
              <w:spacing w:line="360" w:lineRule="auto"/>
              <w:rPr>
                <w:rFonts w:ascii="宋体" w:hAnsi="宋体" w:cs="仿宋_GB2312"/>
                <w:kern w:val="0"/>
                <w:szCs w:val="21"/>
              </w:rPr>
            </w:pPr>
            <w:r>
              <w:rPr>
                <w:rFonts w:hint="eastAsia" w:ascii="宋体" w:hAnsi="宋体" w:cs="仿宋_GB2312"/>
                <w:kern w:val="0"/>
                <w:szCs w:val="21"/>
              </w:rPr>
              <w:t>成交服务费</w:t>
            </w:r>
          </w:p>
        </w:tc>
        <w:tc>
          <w:tcPr>
            <w:tcW w:w="7371" w:type="dxa"/>
          </w:tcPr>
          <w:p>
            <w:pPr>
              <w:widowControl/>
              <w:spacing w:line="360" w:lineRule="auto"/>
              <w:rPr>
                <w:rFonts w:ascii="宋体" w:hAnsi="宋体" w:cs="仿宋_GB2312"/>
                <w:kern w:val="0"/>
                <w:szCs w:val="21"/>
              </w:rPr>
            </w:pPr>
            <w:r>
              <w:rPr>
                <w:rFonts w:hint="eastAsia" w:ascii="宋体" w:hAnsi="宋体" w:cs="仿宋_GB2312"/>
                <w:kern w:val="0"/>
                <w:szCs w:val="21"/>
              </w:rPr>
              <w:t>递交方式：成交服务费由采购人向采购代理机构支付。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tcPr>
          <w:p>
            <w:pPr>
              <w:widowControl/>
              <w:numPr>
                <w:ilvl w:val="0"/>
                <w:numId w:val="1"/>
              </w:numPr>
              <w:spacing w:line="360" w:lineRule="auto"/>
              <w:jc w:val="center"/>
              <w:rPr>
                <w:rFonts w:ascii="宋体" w:hAnsi="宋体" w:cs="仿宋_GB2312"/>
                <w:b/>
                <w:kern w:val="0"/>
                <w:szCs w:val="21"/>
              </w:rPr>
            </w:pPr>
          </w:p>
        </w:tc>
        <w:tc>
          <w:tcPr>
            <w:tcW w:w="1560" w:type="dxa"/>
          </w:tcPr>
          <w:p>
            <w:pPr>
              <w:widowControl/>
              <w:spacing w:line="360" w:lineRule="auto"/>
              <w:rPr>
                <w:rFonts w:ascii="宋体" w:hAnsi="宋体" w:cs="仿宋_GB2312"/>
                <w:kern w:val="0"/>
                <w:szCs w:val="21"/>
              </w:rPr>
            </w:pPr>
            <w:r>
              <w:rPr>
                <w:rFonts w:hint="eastAsia" w:ascii="宋体" w:hAnsi="宋体" w:cs="仿宋_GB2312"/>
                <w:kern w:val="0"/>
                <w:szCs w:val="21"/>
              </w:rPr>
              <w:t>联合体磋商</w:t>
            </w:r>
          </w:p>
        </w:tc>
        <w:tc>
          <w:tcPr>
            <w:tcW w:w="7371" w:type="dxa"/>
          </w:tcPr>
          <w:p>
            <w:pPr>
              <w:widowControl/>
              <w:spacing w:line="360" w:lineRule="auto"/>
              <w:rPr>
                <w:rFonts w:ascii="宋体" w:hAnsi="宋体" w:cs="仿宋_GB2312"/>
                <w:kern w:val="0"/>
                <w:szCs w:val="21"/>
              </w:rPr>
            </w:pPr>
            <w:r>
              <w:rPr>
                <w:rFonts w:hint="eastAsia" w:ascii="宋体" w:hAnsi="宋体" w:cs="仿宋_GB2312"/>
                <w:kern w:val="0"/>
                <w:szCs w:val="21"/>
              </w:rPr>
              <w:t>本项目</w:t>
            </w:r>
            <w:r>
              <w:rPr>
                <w:rFonts w:hint="eastAsia" w:ascii="宋体" w:hAnsi="宋体" w:cs="仿宋_GB2312"/>
                <w:kern w:val="0"/>
                <w:szCs w:val="21"/>
                <w:u w:val="single"/>
              </w:rPr>
              <w:t>不接受</w:t>
            </w:r>
            <w:r>
              <w:rPr>
                <w:rFonts w:hint="eastAsia" w:ascii="宋体" w:hAnsi="宋体" w:cs="仿宋_GB2312"/>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widowControl/>
              <w:numPr>
                <w:ilvl w:val="0"/>
                <w:numId w:val="1"/>
              </w:numPr>
              <w:spacing w:line="360" w:lineRule="auto"/>
              <w:jc w:val="center"/>
              <w:rPr>
                <w:rFonts w:ascii="宋体" w:hAnsi="宋体" w:cs="仿宋_GB2312"/>
                <w:b/>
                <w:kern w:val="0"/>
                <w:szCs w:val="21"/>
              </w:rPr>
            </w:pPr>
          </w:p>
        </w:tc>
        <w:tc>
          <w:tcPr>
            <w:tcW w:w="1560" w:type="dxa"/>
          </w:tcPr>
          <w:p>
            <w:pPr>
              <w:widowControl/>
              <w:spacing w:line="360" w:lineRule="auto"/>
              <w:rPr>
                <w:rFonts w:ascii="宋体" w:hAnsi="宋体" w:cs="仿宋_GB2312"/>
                <w:kern w:val="0"/>
                <w:szCs w:val="21"/>
              </w:rPr>
            </w:pPr>
            <w:r>
              <w:rPr>
                <w:rFonts w:hint="eastAsia" w:ascii="宋体" w:hAnsi="宋体" w:cs="仿宋_GB2312"/>
                <w:kern w:val="0"/>
                <w:szCs w:val="21"/>
              </w:rPr>
              <w:t>应提交的资格证明文件</w:t>
            </w:r>
          </w:p>
        </w:tc>
        <w:tc>
          <w:tcPr>
            <w:tcW w:w="7371" w:type="dxa"/>
          </w:tcPr>
          <w:p>
            <w:pPr>
              <w:widowControl/>
              <w:spacing w:line="360" w:lineRule="auto"/>
              <w:rPr>
                <w:rFonts w:ascii="宋体" w:hAnsi="宋体" w:cs="仿宋_GB2312"/>
                <w:szCs w:val="21"/>
              </w:rPr>
            </w:pPr>
            <w:r>
              <w:rPr>
                <w:rFonts w:hint="eastAsia" w:ascii="宋体" w:hAnsi="宋体" w:cs="仿宋_GB2312"/>
                <w:kern w:val="0"/>
                <w:szCs w:val="21"/>
              </w:rPr>
              <w:t>资格证明文件：</w:t>
            </w:r>
          </w:p>
          <w:p>
            <w:pPr>
              <w:widowControl/>
              <w:spacing w:line="360" w:lineRule="auto"/>
              <w:rPr>
                <w:rFonts w:ascii="宋体" w:hAnsi="宋体" w:cs="仿宋_GB2312"/>
                <w:kern w:val="0"/>
                <w:szCs w:val="21"/>
              </w:rPr>
            </w:pPr>
            <w:r>
              <w:rPr>
                <w:rFonts w:ascii="宋体" w:hAnsi="宋体" w:cs="仿宋_GB2312"/>
                <w:kern w:val="0"/>
                <w:szCs w:val="21"/>
              </w:rPr>
              <w:t>1.1具有独立承担民事责任的能力：供应商须提供法人或者其他组织的营业执照等证明文件（提供证</w:t>
            </w:r>
            <w:r>
              <w:rPr>
                <w:rFonts w:hint="eastAsia" w:ascii="宋体" w:hAnsi="宋体" w:cs="仿宋_GB2312"/>
                <w:kern w:val="0"/>
                <w:szCs w:val="21"/>
              </w:rPr>
              <w:t>件</w:t>
            </w:r>
            <w:r>
              <w:rPr>
                <w:rFonts w:ascii="宋体" w:hAnsi="宋体" w:cs="仿宋_GB2312"/>
                <w:kern w:val="0"/>
                <w:szCs w:val="21"/>
              </w:rPr>
              <w:t>照复印件）；</w:t>
            </w:r>
          </w:p>
          <w:p>
            <w:pPr>
              <w:widowControl/>
              <w:spacing w:line="360" w:lineRule="auto"/>
              <w:rPr>
                <w:rFonts w:ascii="宋体" w:hAnsi="宋体" w:cs="仿宋_GB2312"/>
                <w:kern w:val="0"/>
                <w:szCs w:val="21"/>
              </w:rPr>
            </w:pPr>
            <w:r>
              <w:rPr>
                <w:rFonts w:ascii="宋体" w:hAnsi="宋体" w:cs="仿宋_GB2312"/>
                <w:kern w:val="0"/>
                <w:szCs w:val="21"/>
              </w:rPr>
              <w:t>1.2具有良好的商业信誉和健全的财务会计制度：供应商须提供财务会计制度相关资料（如上年度经审计的财务报告复印件或其他资料的复印件：供应商是法人的，应提供</w:t>
            </w:r>
            <w:r>
              <w:rPr>
                <w:rFonts w:hint="eastAsia" w:ascii="宋体" w:hAnsi="宋体" w:cs="仿宋_GB2312"/>
                <w:kern w:val="0"/>
                <w:szCs w:val="21"/>
              </w:rPr>
              <w:t>上一年度</w:t>
            </w:r>
            <w:r>
              <w:rPr>
                <w:rFonts w:ascii="宋体" w:hAnsi="宋体" w:cs="仿宋_GB2312"/>
                <w:kern w:val="0"/>
                <w:szCs w:val="21"/>
              </w:rPr>
              <w:t>经审计的财务报告或财务报表或银行出具的资信证明等财务会计制度证明材料；其他组织和自然人，没有经审计的财务报告，提供银行出具的资信证明。）</w:t>
            </w:r>
          </w:p>
          <w:p>
            <w:pPr>
              <w:widowControl/>
              <w:spacing w:line="360" w:lineRule="auto"/>
              <w:rPr>
                <w:rFonts w:ascii="宋体" w:hAnsi="宋体" w:cs="仿宋_GB2312"/>
                <w:kern w:val="0"/>
                <w:szCs w:val="21"/>
              </w:rPr>
            </w:pPr>
            <w:r>
              <w:rPr>
                <w:rFonts w:ascii="宋体" w:hAnsi="宋体" w:cs="仿宋_GB2312"/>
                <w:kern w:val="0"/>
                <w:szCs w:val="21"/>
              </w:rPr>
              <w:t>1.3具有履行合同所必须的设备和专业技术能力：供应商须提供履行合同所必须的设备和专业技术能力相关证明材料；</w:t>
            </w:r>
          </w:p>
          <w:p>
            <w:pPr>
              <w:widowControl/>
              <w:spacing w:line="360" w:lineRule="auto"/>
              <w:rPr>
                <w:rFonts w:ascii="宋体" w:hAnsi="宋体" w:cs="仿宋_GB2312"/>
                <w:kern w:val="0"/>
                <w:szCs w:val="21"/>
              </w:rPr>
            </w:pPr>
            <w:r>
              <w:rPr>
                <w:rFonts w:ascii="宋体" w:hAnsi="宋体" w:cs="仿宋_GB2312"/>
                <w:kern w:val="0"/>
                <w:szCs w:val="21"/>
              </w:rPr>
              <w:t>1.4有依法缴纳税收和社会保障资金的良好记录：供应商须提供</w:t>
            </w:r>
            <w:r>
              <w:rPr>
                <w:rFonts w:hint="eastAsia" w:ascii="宋体" w:hAnsi="宋体" w:cs="仿宋_GB2312"/>
                <w:kern w:val="0"/>
                <w:szCs w:val="21"/>
              </w:rPr>
              <w:t>202</w:t>
            </w:r>
            <w:r>
              <w:rPr>
                <w:rFonts w:hint="eastAsia" w:ascii="宋体" w:hAnsi="宋体" w:cs="仿宋_GB2312"/>
                <w:kern w:val="0"/>
                <w:szCs w:val="21"/>
                <w:lang w:val="en-US" w:eastAsia="zh-CN"/>
              </w:rPr>
              <w:t>2</w:t>
            </w:r>
            <w:r>
              <w:rPr>
                <w:rFonts w:hint="eastAsia" w:ascii="宋体" w:hAnsi="宋体" w:cs="仿宋_GB2312"/>
                <w:kern w:val="0"/>
                <w:szCs w:val="21"/>
              </w:rPr>
              <w:t>年</w:t>
            </w:r>
            <w:r>
              <w:rPr>
                <w:rFonts w:ascii="宋体" w:hAnsi="宋体" w:cs="仿宋_GB2312"/>
                <w:kern w:val="0"/>
                <w:szCs w:val="21"/>
              </w:rPr>
              <w:t>任意三个月依法缴纳税收和社会保障资金的相关记录材料的复印件（供应商缴纳税收的证明材料主要是指供应商税务登记证〔国税、地税）（三证合一后提供加载统一社会信用代码的营业执照即可）和参加采购活动前一段时间内缴纳税收的凭据。供应商缴纳社会保障资金的证明材料主要是指参加政府釆购活动前一段时间内缴纳社会保险的凭据〈专用收据或社会保险缴纳清单〕，其他组织和自然人也需要提供缴纳税收的凭据和缴纳社会保险的凭据。依法免税或不需要缴纳社会保障资金的供应商，应提供相应文件证明其依法免税或不需要缴纳社会保障资金。）</w:t>
            </w:r>
          </w:p>
          <w:p>
            <w:pPr>
              <w:widowControl/>
              <w:spacing w:line="360" w:lineRule="auto"/>
              <w:rPr>
                <w:rFonts w:ascii="宋体" w:hAnsi="宋体" w:cs="仿宋_GB2312"/>
                <w:kern w:val="0"/>
                <w:szCs w:val="21"/>
              </w:rPr>
            </w:pPr>
            <w:r>
              <w:rPr>
                <w:rFonts w:ascii="宋体" w:hAnsi="宋体" w:cs="仿宋_GB2312"/>
                <w:kern w:val="0"/>
                <w:szCs w:val="21"/>
              </w:rPr>
              <w:t>1.5参加本次采购活动前三年内，在经营活动中没有重大违法记录：供应商须提供参加采购活动前3年内在经营活动中没有重大违法记录的书面声明；</w:t>
            </w:r>
          </w:p>
          <w:p>
            <w:pPr>
              <w:widowControl/>
              <w:spacing w:line="360" w:lineRule="auto"/>
              <w:rPr>
                <w:rFonts w:ascii="宋体" w:hAnsi="宋体" w:cs="仿宋_GB2312"/>
                <w:kern w:val="0"/>
                <w:szCs w:val="21"/>
              </w:rPr>
            </w:pPr>
            <w:r>
              <w:rPr>
                <w:rFonts w:ascii="宋体" w:hAnsi="宋体" w:cs="仿宋_GB2312"/>
                <w:kern w:val="0"/>
                <w:szCs w:val="21"/>
              </w:rPr>
              <w:t>1.6法律、行政法规规定的其他条件。</w:t>
            </w:r>
          </w:p>
          <w:p>
            <w:pPr>
              <w:widowControl/>
              <w:spacing w:line="480" w:lineRule="auto"/>
              <w:rPr>
                <w:rFonts w:hint="eastAsia" w:ascii="宋体" w:hAnsi="宋体" w:eastAsia="宋体" w:cs="仿宋_GB2312"/>
                <w:kern w:val="0"/>
                <w:szCs w:val="21"/>
                <w:lang w:eastAsia="zh-CN"/>
              </w:rPr>
            </w:pPr>
            <w:r>
              <w:rPr>
                <w:rFonts w:hint="eastAsia" w:ascii="宋体" w:hAnsi="宋体" w:cs="仿宋_GB2312"/>
                <w:kern w:val="0"/>
                <w:szCs w:val="21"/>
              </w:rPr>
              <w:t>2</w:t>
            </w:r>
            <w:r>
              <w:rPr>
                <w:rFonts w:hint="eastAsia" w:ascii="宋体" w:hAnsi="宋体" w:cs="仿宋_GB2312"/>
                <w:kern w:val="0"/>
                <w:szCs w:val="21"/>
                <w:lang w:eastAsia="zh-CN"/>
              </w:rPr>
              <w:t>、</w:t>
            </w:r>
            <w:r>
              <w:rPr>
                <w:rFonts w:hint="eastAsia" w:ascii="宋体" w:hAnsi="宋体" w:cs="仿宋_GB2312"/>
                <w:kern w:val="0"/>
                <w:szCs w:val="21"/>
              </w:rPr>
              <w:t>供应商拟派的项目负责人须取得一级造价工程师注册证书。</w:t>
            </w:r>
          </w:p>
          <w:p>
            <w:pPr>
              <w:widowControl/>
              <w:spacing w:line="480" w:lineRule="auto"/>
              <w:rPr>
                <w:rFonts w:ascii="宋体" w:hAnsi="宋体" w:cs="仿宋_GB2312"/>
                <w:kern w:val="0"/>
                <w:szCs w:val="21"/>
              </w:rPr>
            </w:pPr>
            <w:r>
              <w:rPr>
                <w:rFonts w:hint="eastAsia" w:ascii="宋体" w:hAnsi="宋体" w:cs="仿宋_GB2312"/>
                <w:kern w:val="0"/>
                <w:szCs w:val="21"/>
                <w:lang w:val="en-US" w:eastAsia="zh-CN"/>
              </w:rPr>
              <w:t>3、</w:t>
            </w:r>
            <w:r>
              <w:rPr>
                <w:rFonts w:hint="eastAsia" w:ascii="宋体" w:hAnsi="宋体" w:cs="仿宋_GB2312"/>
                <w:kern w:val="0"/>
                <w:szCs w:val="21"/>
              </w:rPr>
              <w:t>供应商未被列入“信用中国”网站(www.creditchina.gov.cn)失信被执行人、重大税收违法失信主体、政府采购严重违法失信行为记录名单和“中国政府采购”网站（www.ccgp.gov.cn）政府采购严重违法失信行为记录名单（以开标当天采购代理机构查询结果为准）。</w:t>
            </w:r>
          </w:p>
          <w:p>
            <w:pPr>
              <w:widowControl/>
              <w:spacing w:line="360" w:lineRule="auto"/>
              <w:rPr>
                <w:rFonts w:ascii="宋体" w:hAnsi="宋体" w:cs="仿宋_GB2312"/>
                <w:szCs w:val="21"/>
              </w:rPr>
            </w:pPr>
            <w:r>
              <w:rPr>
                <w:rFonts w:hint="eastAsia" w:ascii="宋体" w:hAnsi="宋体" w:cs="仿宋_GB2312"/>
                <w:kern w:val="0"/>
                <w:szCs w:val="21"/>
              </w:rPr>
              <w:t>资格证明文件应为原件的扫描件或复印件，副本可用正本的复印件。</w:t>
            </w:r>
            <w:r>
              <w:rPr>
                <w:rFonts w:hint="eastAsia" w:ascii="宋体" w:hAnsi="宋体" w:cs="仿宋_GB2312"/>
                <w:b/>
                <w:kern w:val="0"/>
                <w:szCs w:val="21"/>
              </w:rPr>
              <w:t>所有证明材料须清晰可辨认，如因证明材料模糊无法辨认，缺条款号、条款名称、编列内容页、漏页导致无法进行评审认定的责任由供应商自负。如发现弄虚作假将按照有关规定严肃处理。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widowControl/>
              <w:numPr>
                <w:ilvl w:val="0"/>
                <w:numId w:val="1"/>
              </w:numPr>
              <w:spacing w:line="360" w:lineRule="auto"/>
              <w:jc w:val="center"/>
              <w:rPr>
                <w:rFonts w:ascii="宋体" w:hAnsi="宋体" w:cs="仿宋_GB2312"/>
                <w:b/>
                <w:kern w:val="0"/>
                <w:szCs w:val="21"/>
              </w:rPr>
            </w:pPr>
          </w:p>
        </w:tc>
        <w:tc>
          <w:tcPr>
            <w:tcW w:w="1560" w:type="dxa"/>
          </w:tcPr>
          <w:p>
            <w:pPr>
              <w:widowControl/>
              <w:spacing w:line="360" w:lineRule="auto"/>
              <w:rPr>
                <w:rFonts w:ascii="宋体" w:hAnsi="宋体" w:cs="仿宋_GB2312"/>
                <w:szCs w:val="21"/>
              </w:rPr>
            </w:pPr>
            <w:r>
              <w:rPr>
                <w:rFonts w:hint="eastAsia" w:ascii="宋体" w:hAnsi="宋体" w:cs="仿宋_GB2312"/>
                <w:kern w:val="0"/>
                <w:szCs w:val="21"/>
              </w:rPr>
              <w:t>磋商保证金</w:t>
            </w:r>
          </w:p>
        </w:tc>
        <w:tc>
          <w:tcPr>
            <w:tcW w:w="7371" w:type="dxa"/>
          </w:tcPr>
          <w:p>
            <w:pPr>
              <w:widowControl/>
              <w:spacing w:line="360" w:lineRule="auto"/>
              <w:rPr>
                <w:rFonts w:ascii="宋体" w:hAnsi="宋体" w:cs="仿宋_GB2312"/>
                <w:kern w:val="0"/>
                <w:szCs w:val="21"/>
              </w:rPr>
            </w:pPr>
            <w:r>
              <w:rPr>
                <w:rFonts w:hint="eastAsia" w:ascii="宋体" w:hAnsi="宋体" w:cs="仿宋_GB2312"/>
                <w:kern w:val="0"/>
                <w:szCs w:val="21"/>
              </w:rPr>
              <w:t>本项目无需缴纳磋商保证金。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widowControl/>
              <w:numPr>
                <w:ilvl w:val="0"/>
                <w:numId w:val="1"/>
              </w:numPr>
              <w:spacing w:line="360" w:lineRule="auto"/>
              <w:jc w:val="center"/>
              <w:rPr>
                <w:rFonts w:ascii="宋体" w:hAnsi="宋体" w:cs="仿宋_GB2312"/>
                <w:b/>
                <w:kern w:val="0"/>
                <w:szCs w:val="21"/>
              </w:rPr>
            </w:pPr>
          </w:p>
        </w:tc>
        <w:tc>
          <w:tcPr>
            <w:tcW w:w="1560" w:type="dxa"/>
          </w:tcPr>
          <w:p>
            <w:pPr>
              <w:widowControl/>
              <w:spacing w:line="360" w:lineRule="auto"/>
              <w:rPr>
                <w:rFonts w:ascii="宋体" w:hAnsi="宋体" w:cs="仿宋_GB2312"/>
                <w:kern w:val="0"/>
                <w:szCs w:val="21"/>
              </w:rPr>
            </w:pPr>
            <w:r>
              <w:rPr>
                <w:rFonts w:hint="eastAsia" w:ascii="宋体" w:hAnsi="宋体" w:cs="仿宋_GB2312"/>
                <w:kern w:val="0"/>
                <w:szCs w:val="21"/>
              </w:rPr>
              <w:t>磋商有效期</w:t>
            </w:r>
          </w:p>
        </w:tc>
        <w:tc>
          <w:tcPr>
            <w:tcW w:w="7371" w:type="dxa"/>
          </w:tcPr>
          <w:p>
            <w:pPr>
              <w:widowControl/>
              <w:spacing w:line="360" w:lineRule="auto"/>
              <w:rPr>
                <w:rFonts w:ascii="宋体" w:hAnsi="宋体" w:cs="仿宋_GB2312"/>
                <w:kern w:val="0"/>
                <w:szCs w:val="21"/>
              </w:rPr>
            </w:pPr>
            <w:r>
              <w:rPr>
                <w:rFonts w:hint="eastAsia" w:ascii="宋体" w:hAnsi="宋体" w:cs="仿宋_GB2312"/>
                <w:kern w:val="0"/>
                <w:szCs w:val="21"/>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widowControl/>
              <w:numPr>
                <w:ilvl w:val="0"/>
                <w:numId w:val="1"/>
              </w:numPr>
              <w:spacing w:line="360" w:lineRule="auto"/>
              <w:jc w:val="center"/>
              <w:rPr>
                <w:rFonts w:ascii="宋体" w:hAnsi="宋体" w:cs="仿宋_GB2312"/>
                <w:b/>
                <w:kern w:val="0"/>
                <w:szCs w:val="21"/>
              </w:rPr>
            </w:pPr>
          </w:p>
        </w:tc>
        <w:tc>
          <w:tcPr>
            <w:tcW w:w="1560" w:type="dxa"/>
          </w:tcPr>
          <w:p>
            <w:pPr>
              <w:widowControl/>
              <w:spacing w:line="360" w:lineRule="auto"/>
              <w:rPr>
                <w:rFonts w:ascii="宋体" w:hAnsi="宋体" w:cs="仿宋_GB2312"/>
                <w:szCs w:val="21"/>
              </w:rPr>
            </w:pPr>
            <w:r>
              <w:rPr>
                <w:rFonts w:hint="eastAsia" w:ascii="宋体" w:hAnsi="宋体" w:cs="仿宋_GB2312"/>
                <w:kern w:val="0"/>
                <w:szCs w:val="21"/>
              </w:rPr>
              <w:t>竞争性磋商响应文件正、副本数量</w:t>
            </w:r>
          </w:p>
        </w:tc>
        <w:tc>
          <w:tcPr>
            <w:tcW w:w="7371" w:type="dxa"/>
          </w:tcPr>
          <w:p>
            <w:pPr>
              <w:widowControl/>
              <w:spacing w:line="360" w:lineRule="auto"/>
              <w:rPr>
                <w:rFonts w:ascii="宋体" w:hAnsi="宋体" w:cs="仿宋_GB2312"/>
                <w:szCs w:val="21"/>
              </w:rPr>
            </w:pPr>
            <w:r>
              <w:rPr>
                <w:rFonts w:hint="eastAsia" w:ascii="宋体" w:hAnsi="宋体" w:cs="仿宋_GB2312"/>
                <w:kern w:val="0"/>
                <w:szCs w:val="21"/>
              </w:rPr>
              <w:t>本次采购项目响应文件正本一份，副本</w:t>
            </w:r>
            <w:r>
              <w:rPr>
                <w:rFonts w:hint="eastAsia" w:ascii="宋体" w:hAnsi="宋体" w:cs="仿宋_GB2312"/>
                <w:kern w:val="0"/>
                <w:szCs w:val="21"/>
                <w:lang w:val="en-US" w:eastAsia="zh-CN"/>
              </w:rPr>
              <w:t>一</w:t>
            </w:r>
            <w:r>
              <w:rPr>
                <w:rFonts w:hint="eastAsia" w:ascii="宋体" w:hAnsi="宋体" w:cs="仿宋_GB2312"/>
                <w:kern w:val="0"/>
                <w:szCs w:val="21"/>
              </w:rPr>
              <w:t>份，电子文档一份（电子文档需为加盖单位公章及法定代表人签字（或盖章）或委托代理人签字的扫描件），所有响应文件概不退还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widowControl/>
              <w:numPr>
                <w:ilvl w:val="0"/>
                <w:numId w:val="1"/>
              </w:numPr>
              <w:spacing w:line="360" w:lineRule="auto"/>
              <w:jc w:val="center"/>
              <w:rPr>
                <w:rFonts w:ascii="宋体" w:hAnsi="宋体" w:cs="仿宋_GB2312"/>
                <w:b/>
                <w:kern w:val="0"/>
                <w:szCs w:val="21"/>
              </w:rPr>
            </w:pPr>
          </w:p>
        </w:tc>
        <w:tc>
          <w:tcPr>
            <w:tcW w:w="1560" w:type="dxa"/>
          </w:tcPr>
          <w:p>
            <w:pPr>
              <w:widowControl/>
              <w:spacing w:line="360" w:lineRule="auto"/>
              <w:rPr>
                <w:rFonts w:ascii="宋体" w:hAnsi="宋体" w:cs="仿宋_GB2312"/>
                <w:szCs w:val="21"/>
              </w:rPr>
            </w:pPr>
            <w:r>
              <w:rPr>
                <w:rFonts w:hint="eastAsia" w:ascii="宋体" w:hAnsi="宋体" w:cs="仿宋_GB2312"/>
                <w:kern w:val="0"/>
                <w:szCs w:val="21"/>
              </w:rPr>
              <w:t>磋商时间及地点</w:t>
            </w:r>
          </w:p>
        </w:tc>
        <w:tc>
          <w:tcPr>
            <w:tcW w:w="7371" w:type="dxa"/>
          </w:tcPr>
          <w:p>
            <w:pPr>
              <w:spacing w:line="480" w:lineRule="auto"/>
              <w:ind w:firstLine="33" w:firstLineChars="16"/>
            </w:pPr>
            <w:r>
              <w:rPr>
                <w:rFonts w:hint="eastAsia"/>
              </w:rPr>
              <w:t>磋商时间：2022年</w:t>
            </w:r>
            <w:r>
              <w:rPr>
                <w:rFonts w:hint="eastAsia"/>
                <w:lang w:val="en-US" w:eastAsia="zh-CN"/>
              </w:rPr>
              <w:t>11</w:t>
            </w:r>
            <w:r>
              <w:rPr>
                <w:rFonts w:hint="eastAsia"/>
              </w:rPr>
              <w:t>月</w:t>
            </w:r>
            <w:r>
              <w:rPr>
                <w:rFonts w:hint="eastAsia"/>
                <w:lang w:val="en-US" w:eastAsia="zh-CN"/>
              </w:rPr>
              <w:t>07</w:t>
            </w:r>
            <w:r>
              <w:rPr>
                <w:rFonts w:hint="eastAsia"/>
              </w:rPr>
              <w:t>日</w:t>
            </w:r>
            <w:r>
              <w:rPr>
                <w:rFonts w:hint="eastAsia"/>
                <w:lang w:val="en-US" w:eastAsia="zh-CN"/>
              </w:rPr>
              <w:t>15</w:t>
            </w:r>
            <w:r>
              <w:rPr>
                <w:rFonts w:hint="eastAsia"/>
              </w:rPr>
              <w:t>点</w:t>
            </w:r>
            <w:r>
              <w:rPr>
                <w:rFonts w:hint="eastAsia"/>
                <w:lang w:val="en-US" w:eastAsia="zh-CN"/>
              </w:rPr>
              <w:t>00</w:t>
            </w:r>
            <w:r>
              <w:rPr>
                <w:rFonts w:hint="eastAsia"/>
              </w:rPr>
              <w:t>分（北京时间）</w:t>
            </w:r>
          </w:p>
          <w:p>
            <w:pPr>
              <w:spacing w:line="480" w:lineRule="auto"/>
              <w:ind w:firstLine="33" w:firstLineChars="16"/>
            </w:pPr>
            <w:r>
              <w:rPr>
                <w:rFonts w:hint="eastAsia"/>
              </w:rPr>
              <w:t>磋商地点：孝感市西湖明珠清风苑4号楼2单元5楼505室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51" w:type="dxa"/>
          </w:tcPr>
          <w:p>
            <w:pPr>
              <w:widowControl/>
              <w:numPr>
                <w:ilvl w:val="0"/>
                <w:numId w:val="1"/>
              </w:numPr>
              <w:spacing w:line="360" w:lineRule="auto"/>
              <w:jc w:val="center"/>
              <w:rPr>
                <w:rFonts w:ascii="宋体" w:hAnsi="宋体" w:cs="仿宋_GB2312"/>
                <w:b/>
                <w:kern w:val="0"/>
                <w:szCs w:val="21"/>
              </w:rPr>
            </w:pPr>
          </w:p>
        </w:tc>
        <w:tc>
          <w:tcPr>
            <w:tcW w:w="1560" w:type="dxa"/>
          </w:tcPr>
          <w:p>
            <w:pPr>
              <w:widowControl/>
              <w:spacing w:line="360" w:lineRule="auto"/>
              <w:rPr>
                <w:rFonts w:ascii="宋体" w:hAnsi="宋体" w:cs="仿宋_GB2312"/>
                <w:kern w:val="0"/>
                <w:szCs w:val="21"/>
              </w:rPr>
            </w:pPr>
            <w:r>
              <w:rPr>
                <w:rFonts w:hint="eastAsia" w:ascii="宋体" w:hAnsi="宋体" w:cs="仿宋_GB2312"/>
                <w:kern w:val="0"/>
                <w:szCs w:val="21"/>
              </w:rPr>
              <w:t>磋商小组人数</w:t>
            </w:r>
          </w:p>
        </w:tc>
        <w:tc>
          <w:tcPr>
            <w:tcW w:w="7371" w:type="dxa"/>
          </w:tcPr>
          <w:p>
            <w:pPr>
              <w:widowControl/>
              <w:spacing w:line="360" w:lineRule="auto"/>
              <w:rPr>
                <w:rFonts w:ascii="宋体" w:hAnsi="宋体" w:cs="仿宋_GB2312"/>
                <w:kern w:val="0"/>
                <w:szCs w:val="21"/>
              </w:rPr>
            </w:pPr>
            <w:r>
              <w:rPr>
                <w:rFonts w:hint="eastAsia" w:ascii="宋体" w:hAnsi="宋体" w:cs="仿宋_GB2312"/>
                <w:kern w:val="0"/>
                <w:szCs w:val="21"/>
              </w:rPr>
              <w:t>3人及以上单数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tcPr>
          <w:p>
            <w:pPr>
              <w:widowControl/>
              <w:numPr>
                <w:ilvl w:val="0"/>
                <w:numId w:val="1"/>
              </w:numPr>
              <w:spacing w:line="360" w:lineRule="auto"/>
              <w:jc w:val="center"/>
              <w:rPr>
                <w:rFonts w:ascii="宋体" w:hAnsi="宋体" w:cs="仿宋_GB2312"/>
                <w:b/>
                <w:kern w:val="0"/>
                <w:szCs w:val="21"/>
              </w:rPr>
            </w:pPr>
          </w:p>
        </w:tc>
        <w:tc>
          <w:tcPr>
            <w:tcW w:w="1560" w:type="dxa"/>
          </w:tcPr>
          <w:p>
            <w:pPr>
              <w:widowControl/>
              <w:spacing w:line="360" w:lineRule="auto"/>
              <w:rPr>
                <w:rFonts w:ascii="宋体" w:hAnsi="宋体" w:cs="仿宋_GB2312"/>
                <w:szCs w:val="21"/>
              </w:rPr>
            </w:pPr>
            <w:r>
              <w:rPr>
                <w:rFonts w:hint="eastAsia" w:ascii="宋体" w:hAnsi="宋体" w:cs="仿宋_GB2312"/>
                <w:kern w:val="0"/>
                <w:szCs w:val="21"/>
              </w:rPr>
              <w:t>最后报价供应商的确定方式</w:t>
            </w:r>
          </w:p>
        </w:tc>
        <w:tc>
          <w:tcPr>
            <w:tcW w:w="7371" w:type="dxa"/>
          </w:tcPr>
          <w:p>
            <w:pPr>
              <w:widowControl/>
              <w:spacing w:line="360" w:lineRule="auto"/>
              <w:rPr>
                <w:rFonts w:ascii="宋体" w:hAnsi="宋体" w:cs="仿宋_GB2312"/>
                <w:szCs w:val="21"/>
              </w:rPr>
            </w:pPr>
            <w:r>
              <w:rPr>
                <w:rFonts w:hint="eastAsia" w:ascii="宋体" w:hAnsi="宋体" w:cs="仿宋_GB2312"/>
                <w:kern w:val="0"/>
                <w:szCs w:val="21"/>
              </w:rPr>
              <w:t>资格性及符合性审查通过的供应商在指定的时间内提交满足要求的最后报价。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widowControl/>
              <w:numPr>
                <w:ilvl w:val="0"/>
                <w:numId w:val="1"/>
              </w:numPr>
              <w:spacing w:line="360" w:lineRule="auto"/>
              <w:jc w:val="center"/>
              <w:rPr>
                <w:rFonts w:ascii="宋体" w:hAnsi="宋体" w:cs="仿宋_GB2312"/>
                <w:b/>
                <w:kern w:val="0"/>
                <w:szCs w:val="21"/>
              </w:rPr>
            </w:pPr>
          </w:p>
        </w:tc>
        <w:tc>
          <w:tcPr>
            <w:tcW w:w="1560" w:type="dxa"/>
          </w:tcPr>
          <w:p>
            <w:pPr>
              <w:widowControl/>
              <w:spacing w:line="360" w:lineRule="auto"/>
              <w:rPr>
                <w:rFonts w:ascii="宋体" w:hAnsi="宋体" w:cs="仿宋_GB2312"/>
                <w:kern w:val="0"/>
                <w:szCs w:val="21"/>
              </w:rPr>
            </w:pPr>
            <w:r>
              <w:rPr>
                <w:rFonts w:hint="eastAsia" w:ascii="宋体" w:hAnsi="宋体" w:cs="仿宋_GB2312"/>
                <w:kern w:val="0"/>
                <w:szCs w:val="21"/>
              </w:rPr>
              <w:t>履约保证金</w:t>
            </w:r>
          </w:p>
        </w:tc>
        <w:tc>
          <w:tcPr>
            <w:tcW w:w="7371" w:type="dxa"/>
          </w:tcPr>
          <w:p>
            <w:pPr>
              <w:widowControl/>
              <w:spacing w:line="360" w:lineRule="auto"/>
              <w:rPr>
                <w:rFonts w:ascii="宋体" w:hAnsi="宋体" w:cs="仿宋_GB2312"/>
                <w:kern w:val="0"/>
                <w:szCs w:val="21"/>
              </w:rPr>
            </w:pPr>
            <w:r>
              <w:rPr>
                <w:rFonts w:hint="eastAsia" w:ascii="宋体" w:hAnsi="宋体" w:cs="仿宋_GB2312"/>
                <w:kern w:val="0"/>
                <w:szCs w:val="21"/>
              </w:rPr>
              <w:t>由供需双方在签订合同时商订。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widowControl/>
              <w:numPr>
                <w:ilvl w:val="0"/>
                <w:numId w:val="1"/>
              </w:numPr>
              <w:spacing w:line="360" w:lineRule="auto"/>
              <w:jc w:val="center"/>
              <w:rPr>
                <w:rFonts w:ascii="宋体" w:hAnsi="宋体" w:cs="仿宋_GB2312"/>
                <w:b/>
                <w:kern w:val="0"/>
                <w:szCs w:val="21"/>
              </w:rPr>
            </w:pPr>
          </w:p>
        </w:tc>
        <w:tc>
          <w:tcPr>
            <w:tcW w:w="1560" w:type="dxa"/>
          </w:tcPr>
          <w:p>
            <w:pPr>
              <w:widowControl/>
              <w:spacing w:line="360" w:lineRule="auto"/>
              <w:rPr>
                <w:rFonts w:ascii="宋体" w:hAnsi="宋体" w:cs="仿宋_GB2312"/>
                <w:szCs w:val="21"/>
              </w:rPr>
            </w:pPr>
            <w:r>
              <w:rPr>
                <w:rFonts w:hint="eastAsia" w:ascii="宋体" w:hAnsi="宋体" w:cs="仿宋_GB2312"/>
                <w:kern w:val="0"/>
                <w:szCs w:val="21"/>
              </w:rPr>
              <w:t>接收质疑函的方式</w:t>
            </w:r>
          </w:p>
        </w:tc>
        <w:tc>
          <w:tcPr>
            <w:tcW w:w="7371" w:type="dxa"/>
          </w:tcPr>
          <w:p>
            <w:pPr>
              <w:widowControl/>
              <w:spacing w:line="360" w:lineRule="auto"/>
              <w:rPr>
                <w:rFonts w:ascii="宋体" w:hAnsi="宋体" w:cs="仿宋_GB2312"/>
                <w:szCs w:val="21"/>
              </w:rPr>
            </w:pPr>
            <w:r>
              <w:rPr>
                <w:rFonts w:hint="eastAsia" w:ascii="宋体" w:hAnsi="宋体" w:cs="仿宋_GB2312"/>
                <w:kern w:val="0"/>
                <w:szCs w:val="21"/>
              </w:rPr>
              <w:t>接收质疑函的方式:加盖公章的纸质文件并注明联系人及联系方式（如时间较紧张，可以先将其PDF版文件发至代理机构联系人邮箱并将其纸质文件随后送达，代理机构接收质疑文件时间以纸质文件或PDF版文件先送达时间为准）。供应商在法定质疑期内应一次性提出针对同一采购程序环节的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widowControl/>
              <w:numPr>
                <w:ilvl w:val="0"/>
                <w:numId w:val="1"/>
              </w:numPr>
              <w:spacing w:line="360" w:lineRule="auto"/>
              <w:jc w:val="center"/>
              <w:rPr>
                <w:rFonts w:ascii="宋体" w:hAnsi="宋体" w:cs="仿宋_GB2312"/>
                <w:b/>
                <w:kern w:val="0"/>
                <w:szCs w:val="21"/>
              </w:rPr>
            </w:pPr>
          </w:p>
        </w:tc>
        <w:tc>
          <w:tcPr>
            <w:tcW w:w="1560" w:type="dxa"/>
          </w:tcPr>
          <w:p>
            <w:pPr>
              <w:widowControl/>
              <w:spacing w:line="360" w:lineRule="auto"/>
              <w:rPr>
                <w:rFonts w:ascii="宋体" w:hAnsi="宋体" w:cs="仿宋_GB2312"/>
                <w:kern w:val="0"/>
                <w:szCs w:val="21"/>
              </w:rPr>
            </w:pPr>
            <w:r>
              <w:rPr>
                <w:rFonts w:hint="eastAsia" w:ascii="宋体" w:hAnsi="宋体" w:cs="仿宋_GB2312"/>
                <w:kern w:val="0"/>
                <w:szCs w:val="21"/>
              </w:rPr>
              <w:t>其他要求</w:t>
            </w:r>
          </w:p>
        </w:tc>
        <w:tc>
          <w:tcPr>
            <w:tcW w:w="7371" w:type="dxa"/>
          </w:tcPr>
          <w:p>
            <w:pPr>
              <w:widowControl/>
              <w:spacing w:line="360" w:lineRule="auto"/>
              <w:rPr>
                <w:rFonts w:ascii="宋体" w:hAnsi="宋体" w:cs="仿宋_GB2312"/>
                <w:szCs w:val="21"/>
              </w:rPr>
            </w:pPr>
            <w:r>
              <w:rPr>
                <w:rFonts w:hint="eastAsia" w:ascii="宋体" w:hAnsi="宋体" w:cs="仿宋_GB2312"/>
                <w:szCs w:val="21"/>
              </w:rPr>
              <w:t>/</w:t>
            </w:r>
          </w:p>
        </w:tc>
      </w:tr>
    </w:tbl>
    <w:p>
      <w:pPr>
        <w:pStyle w:val="2"/>
        <w:rPr>
          <w:szCs w:val="30"/>
        </w:rPr>
      </w:pPr>
      <w:r>
        <w:rPr>
          <w:kern w:val="0"/>
        </w:rPr>
        <w:br w:type="page"/>
      </w:r>
      <w:bookmarkStart w:id="5" w:name="_Toc10228"/>
      <w:r>
        <w:rPr>
          <w:rFonts w:hint="eastAsia"/>
          <w:szCs w:val="30"/>
        </w:rPr>
        <w:t>供应商须知</w:t>
      </w:r>
      <w:bookmarkEnd w:id="5"/>
    </w:p>
    <w:p>
      <w:pPr>
        <w:pStyle w:val="2"/>
      </w:pPr>
      <w:bookmarkStart w:id="6" w:name="_Toc18481"/>
      <w:r>
        <w:rPr>
          <w:rFonts w:hint="eastAsia"/>
        </w:rPr>
        <w:t>一、总则</w:t>
      </w:r>
      <w:bookmarkEnd w:id="6"/>
    </w:p>
    <w:p>
      <w:pPr>
        <w:ind w:firstLine="422" w:firstLineChars="200"/>
        <w:rPr>
          <w:b/>
        </w:rPr>
      </w:pPr>
      <w:r>
        <w:rPr>
          <w:rFonts w:hint="eastAsia"/>
          <w:b/>
          <w:kern w:val="0"/>
        </w:rPr>
        <w:t>1、适用法律及范围</w:t>
      </w:r>
    </w:p>
    <w:p>
      <w:pPr>
        <w:widowControl/>
        <w:spacing w:line="480" w:lineRule="auto"/>
        <w:ind w:firstLine="420" w:firstLineChars="200"/>
        <w:jc w:val="left"/>
        <w:rPr>
          <w:rFonts w:ascii="宋体" w:hAnsi="宋体" w:cs="仿宋_GB2312"/>
          <w:szCs w:val="21"/>
        </w:rPr>
      </w:pPr>
      <w:r>
        <w:rPr>
          <w:rFonts w:hint="eastAsia" w:ascii="宋体" w:hAnsi="宋体" w:cs="仿宋_GB2312"/>
          <w:kern w:val="0"/>
          <w:szCs w:val="21"/>
        </w:rPr>
        <w:t>1.1本竞争性磋商采购文件仅适用于本次竞争性磋商中所述的项目的采购。</w:t>
      </w:r>
    </w:p>
    <w:p>
      <w:pPr>
        <w:ind w:firstLine="422" w:firstLineChars="200"/>
        <w:rPr>
          <w:b/>
        </w:rPr>
      </w:pPr>
      <w:r>
        <w:rPr>
          <w:rFonts w:hint="eastAsia"/>
          <w:b/>
          <w:kern w:val="0"/>
        </w:rPr>
        <w:t>2、定义</w:t>
      </w:r>
    </w:p>
    <w:p>
      <w:pPr>
        <w:widowControl/>
        <w:spacing w:line="480" w:lineRule="auto"/>
        <w:ind w:firstLine="420" w:firstLineChars="200"/>
        <w:jc w:val="left"/>
        <w:rPr>
          <w:rFonts w:ascii="宋体" w:hAnsi="宋体" w:cs="仿宋_GB2312"/>
          <w:szCs w:val="21"/>
        </w:rPr>
      </w:pPr>
      <w:r>
        <w:rPr>
          <w:rFonts w:hint="eastAsia" w:ascii="宋体" w:hAnsi="宋体" w:cs="仿宋_GB2312"/>
          <w:kern w:val="0"/>
          <w:szCs w:val="21"/>
        </w:rPr>
        <w:t>2.1“采购人”：本次磋商的采购人见《供应商须知前附表》。</w:t>
      </w:r>
    </w:p>
    <w:p>
      <w:pPr>
        <w:widowControl/>
        <w:spacing w:line="480" w:lineRule="auto"/>
        <w:ind w:firstLine="420" w:firstLineChars="200"/>
        <w:jc w:val="left"/>
        <w:rPr>
          <w:rFonts w:ascii="宋体" w:hAnsi="宋体" w:cs="仿宋_GB2312"/>
          <w:szCs w:val="21"/>
        </w:rPr>
      </w:pPr>
      <w:r>
        <w:rPr>
          <w:rFonts w:hint="eastAsia" w:ascii="宋体" w:hAnsi="宋体" w:cs="仿宋_GB2312"/>
          <w:kern w:val="0"/>
          <w:szCs w:val="21"/>
        </w:rPr>
        <w:t>2.2“监管部门”：本次磋商的监管部门见《供应商须知前附表》。</w:t>
      </w:r>
    </w:p>
    <w:p>
      <w:pPr>
        <w:widowControl/>
        <w:spacing w:line="480" w:lineRule="auto"/>
        <w:ind w:firstLine="420" w:firstLineChars="200"/>
        <w:jc w:val="left"/>
        <w:rPr>
          <w:rFonts w:ascii="宋体" w:hAnsi="宋体" w:cs="仿宋_GB2312"/>
          <w:szCs w:val="21"/>
        </w:rPr>
      </w:pPr>
      <w:r>
        <w:rPr>
          <w:rFonts w:hint="eastAsia" w:ascii="宋体" w:hAnsi="宋体" w:cs="仿宋_GB2312"/>
          <w:kern w:val="0"/>
          <w:szCs w:val="21"/>
        </w:rPr>
        <w:t>2.3“采购代理机构”：本次磋商的采购代理机构见《供应商须知前附表》。</w:t>
      </w:r>
    </w:p>
    <w:p>
      <w:pPr>
        <w:widowControl/>
        <w:spacing w:line="480" w:lineRule="auto"/>
        <w:ind w:firstLine="420" w:firstLineChars="200"/>
        <w:jc w:val="left"/>
        <w:rPr>
          <w:rFonts w:ascii="宋体" w:hAnsi="宋体" w:cs="仿宋_GB2312"/>
          <w:szCs w:val="21"/>
        </w:rPr>
      </w:pPr>
      <w:r>
        <w:rPr>
          <w:rFonts w:hint="eastAsia" w:ascii="宋体" w:hAnsi="宋体" w:cs="仿宋_GB2312"/>
          <w:kern w:val="0"/>
          <w:szCs w:val="21"/>
        </w:rPr>
        <w:t>2.4“供应商”是指获取本竞争性磋商采购文件的法人、其他组织或者自然人。</w:t>
      </w:r>
    </w:p>
    <w:p>
      <w:pPr>
        <w:widowControl/>
        <w:spacing w:line="480" w:lineRule="auto"/>
        <w:ind w:firstLine="420" w:firstLineChars="200"/>
        <w:jc w:val="left"/>
        <w:rPr>
          <w:rFonts w:ascii="宋体" w:hAnsi="宋体" w:cs="仿宋_GB2312"/>
          <w:szCs w:val="21"/>
        </w:rPr>
      </w:pPr>
      <w:r>
        <w:rPr>
          <w:rFonts w:hint="eastAsia" w:ascii="宋体" w:hAnsi="宋体" w:cs="仿宋_GB2312"/>
          <w:kern w:val="0"/>
          <w:szCs w:val="21"/>
        </w:rPr>
        <w:t>2.5“成交供应商”是指经评审委员会评审推荐，采购人授予合同的供应商。</w:t>
      </w:r>
    </w:p>
    <w:p>
      <w:pPr>
        <w:ind w:firstLine="422" w:firstLineChars="200"/>
        <w:rPr>
          <w:b/>
        </w:rPr>
      </w:pPr>
      <w:r>
        <w:rPr>
          <w:rFonts w:hint="eastAsia"/>
          <w:b/>
          <w:kern w:val="0"/>
        </w:rPr>
        <w:t>3、工程、货物及服务</w:t>
      </w:r>
    </w:p>
    <w:p>
      <w:pPr>
        <w:widowControl/>
        <w:spacing w:line="480" w:lineRule="auto"/>
        <w:ind w:firstLine="420" w:firstLineChars="200"/>
        <w:jc w:val="left"/>
        <w:rPr>
          <w:rFonts w:ascii="宋体" w:hAnsi="宋体" w:cs="仿宋_GB2312"/>
          <w:szCs w:val="21"/>
        </w:rPr>
      </w:pPr>
      <w:r>
        <w:rPr>
          <w:rFonts w:hint="eastAsia" w:ascii="宋体" w:hAnsi="宋体" w:cs="仿宋_GB2312"/>
          <w:kern w:val="0"/>
          <w:szCs w:val="21"/>
        </w:rPr>
        <w:t>3.1“工程”是指建设工程，包括建筑物和构筑物的新建、改建、扩建及其相关的装修、拆除、修缮等。</w:t>
      </w:r>
    </w:p>
    <w:p>
      <w:pPr>
        <w:widowControl/>
        <w:spacing w:line="480" w:lineRule="auto"/>
        <w:ind w:firstLine="420" w:firstLineChars="200"/>
        <w:jc w:val="left"/>
        <w:rPr>
          <w:rFonts w:ascii="宋体" w:hAnsi="宋体" w:cs="仿宋_GB2312"/>
          <w:szCs w:val="21"/>
        </w:rPr>
      </w:pPr>
      <w:r>
        <w:rPr>
          <w:rFonts w:hint="eastAsia" w:ascii="宋体" w:hAnsi="宋体" w:cs="仿宋_GB2312"/>
          <w:kern w:val="0"/>
          <w:szCs w:val="21"/>
        </w:rPr>
        <w:t>3.2“货物”是指各种形态和种类的物品，包括原材料、燃料、设备、产品等。</w:t>
      </w:r>
    </w:p>
    <w:p>
      <w:pPr>
        <w:widowControl/>
        <w:spacing w:line="480" w:lineRule="auto"/>
        <w:ind w:firstLine="420" w:firstLineChars="200"/>
        <w:jc w:val="left"/>
        <w:rPr>
          <w:rFonts w:ascii="宋体" w:hAnsi="宋体" w:cs="仿宋_GB2312"/>
          <w:szCs w:val="21"/>
        </w:rPr>
      </w:pPr>
      <w:r>
        <w:rPr>
          <w:rFonts w:hint="eastAsia" w:ascii="宋体" w:hAnsi="宋体" w:cs="仿宋_GB2312"/>
          <w:kern w:val="0"/>
          <w:szCs w:val="21"/>
        </w:rPr>
        <w:t>3.3“服务”是指除货物（指各种形态和种类的物品，包括原材料、燃料、设备、产品等）和工程（指建设工程，包括建筑物和构筑物的新建、改建、扩建及其相关的装修、拆除、修缮等）以外的其他采购对象。</w:t>
      </w:r>
    </w:p>
    <w:p>
      <w:pPr>
        <w:ind w:firstLine="422" w:firstLineChars="200"/>
        <w:rPr>
          <w:b/>
        </w:rPr>
      </w:pPr>
      <w:r>
        <w:rPr>
          <w:rFonts w:hint="eastAsia"/>
          <w:b/>
          <w:kern w:val="0"/>
        </w:rPr>
        <w:t>4、费用</w:t>
      </w:r>
    </w:p>
    <w:p>
      <w:pPr>
        <w:widowControl/>
        <w:spacing w:line="480" w:lineRule="auto"/>
        <w:ind w:firstLine="420" w:firstLineChars="200"/>
        <w:jc w:val="left"/>
        <w:rPr>
          <w:rFonts w:ascii="宋体" w:hAnsi="宋体" w:cs="仿宋_GB2312"/>
          <w:szCs w:val="21"/>
        </w:rPr>
      </w:pPr>
      <w:r>
        <w:rPr>
          <w:rFonts w:hint="eastAsia" w:ascii="宋体" w:hAnsi="宋体" w:cs="仿宋_GB2312"/>
          <w:kern w:val="0"/>
          <w:szCs w:val="21"/>
        </w:rPr>
        <w:t>4.1供应商应承担所有与准备和参加磋商有关的费用，不论磋商的结果如何，采购人和采购代理机构均无义务和责任承担这些费用。</w:t>
      </w:r>
    </w:p>
    <w:p>
      <w:pPr>
        <w:widowControl/>
        <w:spacing w:line="480" w:lineRule="auto"/>
        <w:ind w:firstLine="420" w:firstLineChars="200"/>
        <w:jc w:val="left"/>
        <w:rPr>
          <w:rFonts w:ascii="宋体" w:hAnsi="宋体" w:cs="仿宋_GB2312"/>
          <w:kern w:val="0"/>
          <w:szCs w:val="21"/>
        </w:rPr>
      </w:pPr>
      <w:r>
        <w:rPr>
          <w:rFonts w:hint="eastAsia" w:ascii="宋体" w:hAnsi="宋体" w:cs="仿宋_GB2312"/>
          <w:kern w:val="0"/>
          <w:szCs w:val="21"/>
        </w:rPr>
        <w:t>4.2成交服务费：采购人向采购代理机构支付成交服务费及评审费等相关费用。</w:t>
      </w:r>
    </w:p>
    <w:p>
      <w:pPr>
        <w:widowControl/>
        <w:spacing w:line="480" w:lineRule="auto"/>
        <w:ind w:firstLine="420" w:firstLineChars="200"/>
        <w:jc w:val="left"/>
        <w:rPr>
          <w:rFonts w:ascii="宋体" w:hAnsi="宋体" w:cs="仿宋_GB2312"/>
          <w:szCs w:val="21"/>
        </w:rPr>
      </w:pPr>
      <w:r>
        <w:rPr>
          <w:rFonts w:hint="eastAsia" w:ascii="宋体" w:hAnsi="宋体" w:cs="仿宋_GB2312"/>
          <w:szCs w:val="21"/>
        </w:rPr>
        <w:t>招标代理服务收费标准</w:t>
      </w:r>
    </w:p>
    <w:p>
      <w:pPr>
        <w:pStyle w:val="72"/>
        <w:rPr>
          <w:color w:val="auto"/>
        </w:rPr>
      </w:pPr>
    </w:p>
    <w:p>
      <w:pPr>
        <w:pStyle w:val="72"/>
        <w:rPr>
          <w:color w:val="auto"/>
        </w:rPr>
      </w:pPr>
    </w:p>
    <w:p>
      <w:pPr>
        <w:pStyle w:val="72"/>
        <w:rPr>
          <w:color w:val="auto"/>
        </w:rPr>
      </w:pPr>
    </w:p>
    <w:p>
      <w:pPr>
        <w:pStyle w:val="72"/>
        <w:rPr>
          <w:color w:val="auto"/>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2126"/>
        <w:gridCol w:w="2377"/>
        <w:gridCol w:w="2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160" w:type="dxa"/>
          </w:tcPr>
          <w:p>
            <w:pPr>
              <w:widowControl/>
              <w:spacing w:line="480" w:lineRule="auto"/>
              <w:ind w:firstLine="420" w:firstLineChars="200"/>
              <w:jc w:val="left"/>
              <w:rPr>
                <w:rFonts w:ascii="宋体" w:hAnsi="宋体" w:cs="仿宋_GB2312"/>
                <w:bCs/>
                <w:szCs w:val="21"/>
              </w:rPr>
            </w:pPr>
            <w:r>
              <w:rPr>
                <w:rFonts w:hint="eastAsia" w:ascii="宋体" w:hAnsi="宋体" w:cs="仿宋_GB2312"/>
                <w:bCs/>
                <w:szCs w:val="21"/>
              </w:rPr>
              <w:t>中标金额（万元）</w:t>
            </w:r>
          </w:p>
        </w:tc>
        <w:tc>
          <w:tcPr>
            <w:tcW w:w="2126" w:type="dxa"/>
            <w:vAlign w:val="center"/>
          </w:tcPr>
          <w:p>
            <w:pPr>
              <w:widowControl/>
              <w:spacing w:line="480" w:lineRule="auto"/>
              <w:ind w:firstLine="420" w:firstLineChars="200"/>
              <w:jc w:val="left"/>
              <w:rPr>
                <w:rFonts w:ascii="宋体" w:hAnsi="宋体" w:cs="仿宋_GB2312"/>
                <w:bCs/>
                <w:szCs w:val="21"/>
              </w:rPr>
            </w:pPr>
            <w:r>
              <w:rPr>
                <w:rFonts w:hint="eastAsia" w:ascii="宋体" w:hAnsi="宋体" w:cs="仿宋_GB2312"/>
                <w:bCs/>
                <w:szCs w:val="21"/>
              </w:rPr>
              <w:t>工程招标费率</w:t>
            </w:r>
          </w:p>
        </w:tc>
        <w:tc>
          <w:tcPr>
            <w:tcW w:w="2377" w:type="dxa"/>
          </w:tcPr>
          <w:p>
            <w:pPr>
              <w:widowControl/>
              <w:spacing w:line="480" w:lineRule="auto"/>
              <w:ind w:firstLine="420" w:firstLineChars="200"/>
              <w:jc w:val="left"/>
              <w:rPr>
                <w:rFonts w:ascii="宋体" w:hAnsi="宋体" w:cs="仿宋_GB2312"/>
                <w:bCs/>
                <w:szCs w:val="21"/>
              </w:rPr>
            </w:pPr>
            <w:r>
              <w:rPr>
                <w:rFonts w:hint="eastAsia" w:ascii="宋体" w:hAnsi="宋体" w:cs="仿宋_GB2312"/>
                <w:bCs/>
                <w:szCs w:val="21"/>
              </w:rPr>
              <w:t>货物类招标费率</w:t>
            </w:r>
          </w:p>
        </w:tc>
        <w:tc>
          <w:tcPr>
            <w:tcW w:w="2301" w:type="dxa"/>
            <w:vAlign w:val="center"/>
          </w:tcPr>
          <w:p>
            <w:pPr>
              <w:widowControl/>
              <w:spacing w:line="480" w:lineRule="auto"/>
              <w:ind w:firstLine="420" w:firstLineChars="200"/>
              <w:jc w:val="left"/>
              <w:rPr>
                <w:rFonts w:ascii="宋体" w:hAnsi="宋体" w:cs="仿宋_GB2312"/>
                <w:bCs/>
                <w:szCs w:val="21"/>
              </w:rPr>
            </w:pPr>
            <w:r>
              <w:rPr>
                <w:rFonts w:hint="eastAsia" w:ascii="宋体" w:hAnsi="宋体" w:cs="仿宋_GB2312"/>
                <w:bCs/>
                <w:szCs w:val="21"/>
              </w:rPr>
              <w:t>服务类招标费率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160" w:type="dxa"/>
          </w:tcPr>
          <w:p>
            <w:pPr>
              <w:widowControl/>
              <w:spacing w:line="480" w:lineRule="auto"/>
              <w:ind w:firstLine="420" w:firstLineChars="200"/>
              <w:jc w:val="left"/>
              <w:rPr>
                <w:rFonts w:ascii="宋体" w:hAnsi="宋体" w:cs="仿宋_GB2312"/>
                <w:bCs/>
                <w:szCs w:val="21"/>
              </w:rPr>
            </w:pPr>
            <w:r>
              <w:rPr>
                <w:rFonts w:hint="eastAsia" w:ascii="宋体" w:hAnsi="宋体" w:cs="仿宋_GB2312"/>
                <w:bCs/>
                <w:szCs w:val="21"/>
              </w:rPr>
              <w:t>100以下</w:t>
            </w:r>
          </w:p>
        </w:tc>
        <w:tc>
          <w:tcPr>
            <w:tcW w:w="2126" w:type="dxa"/>
            <w:vAlign w:val="center"/>
          </w:tcPr>
          <w:p>
            <w:pPr>
              <w:widowControl/>
              <w:spacing w:line="480" w:lineRule="auto"/>
              <w:ind w:firstLine="420" w:firstLineChars="200"/>
              <w:jc w:val="left"/>
              <w:rPr>
                <w:rFonts w:ascii="宋体" w:hAnsi="宋体" w:cs="仿宋_GB2312"/>
                <w:bCs/>
                <w:szCs w:val="21"/>
              </w:rPr>
            </w:pPr>
            <w:r>
              <w:rPr>
                <w:rFonts w:hint="eastAsia" w:ascii="宋体" w:hAnsi="宋体" w:cs="仿宋_GB2312"/>
                <w:bCs/>
                <w:szCs w:val="21"/>
              </w:rPr>
              <w:t>1.0％</w:t>
            </w:r>
          </w:p>
        </w:tc>
        <w:tc>
          <w:tcPr>
            <w:tcW w:w="2377" w:type="dxa"/>
            <w:vAlign w:val="center"/>
          </w:tcPr>
          <w:p>
            <w:pPr>
              <w:widowControl/>
              <w:spacing w:line="480" w:lineRule="auto"/>
              <w:ind w:firstLine="420" w:firstLineChars="200"/>
              <w:jc w:val="left"/>
              <w:rPr>
                <w:rFonts w:ascii="宋体" w:hAnsi="宋体" w:cs="仿宋_GB2312"/>
                <w:bCs/>
                <w:szCs w:val="21"/>
              </w:rPr>
            </w:pPr>
            <w:r>
              <w:rPr>
                <w:rFonts w:hint="eastAsia" w:ascii="宋体" w:hAnsi="宋体" w:cs="仿宋_GB2312"/>
                <w:bCs/>
                <w:szCs w:val="21"/>
              </w:rPr>
              <w:t>1.5％</w:t>
            </w:r>
          </w:p>
        </w:tc>
        <w:tc>
          <w:tcPr>
            <w:tcW w:w="2301" w:type="dxa"/>
            <w:vAlign w:val="center"/>
          </w:tcPr>
          <w:p>
            <w:pPr>
              <w:widowControl/>
              <w:spacing w:line="480" w:lineRule="auto"/>
              <w:ind w:firstLine="420" w:firstLineChars="200"/>
              <w:jc w:val="left"/>
              <w:rPr>
                <w:rFonts w:ascii="宋体" w:hAnsi="宋体" w:cs="仿宋_GB2312"/>
                <w:szCs w:val="21"/>
              </w:rPr>
            </w:pPr>
            <w:r>
              <w:rPr>
                <w:rFonts w:hint="eastAsia" w:ascii="宋体" w:hAnsi="宋体" w:cs="仿宋_GB2312"/>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2160" w:type="dxa"/>
          </w:tcPr>
          <w:p>
            <w:pPr>
              <w:widowControl/>
              <w:spacing w:line="480" w:lineRule="auto"/>
              <w:ind w:firstLine="420" w:firstLineChars="200"/>
              <w:jc w:val="left"/>
              <w:rPr>
                <w:rFonts w:ascii="宋体" w:hAnsi="宋体" w:cs="仿宋_GB2312"/>
                <w:bCs/>
                <w:szCs w:val="21"/>
              </w:rPr>
            </w:pPr>
            <w:r>
              <w:rPr>
                <w:rFonts w:hint="eastAsia" w:ascii="宋体" w:hAnsi="宋体" w:cs="仿宋_GB2312"/>
                <w:bCs/>
                <w:szCs w:val="21"/>
              </w:rPr>
              <w:t>100～500</w:t>
            </w:r>
          </w:p>
        </w:tc>
        <w:tc>
          <w:tcPr>
            <w:tcW w:w="2126" w:type="dxa"/>
            <w:vAlign w:val="center"/>
          </w:tcPr>
          <w:p>
            <w:pPr>
              <w:widowControl/>
              <w:spacing w:line="480" w:lineRule="auto"/>
              <w:ind w:firstLine="420" w:firstLineChars="200"/>
              <w:jc w:val="left"/>
              <w:rPr>
                <w:rFonts w:ascii="宋体" w:hAnsi="宋体" w:cs="仿宋_GB2312"/>
                <w:bCs/>
                <w:szCs w:val="21"/>
              </w:rPr>
            </w:pPr>
            <w:r>
              <w:rPr>
                <w:rFonts w:hint="eastAsia" w:ascii="宋体" w:hAnsi="宋体" w:cs="仿宋_GB2312"/>
                <w:bCs/>
                <w:szCs w:val="21"/>
              </w:rPr>
              <w:t>0.70％</w:t>
            </w:r>
          </w:p>
        </w:tc>
        <w:tc>
          <w:tcPr>
            <w:tcW w:w="2377" w:type="dxa"/>
            <w:vAlign w:val="center"/>
          </w:tcPr>
          <w:p>
            <w:pPr>
              <w:widowControl/>
              <w:spacing w:line="480" w:lineRule="auto"/>
              <w:ind w:firstLine="420" w:firstLineChars="200"/>
              <w:jc w:val="left"/>
              <w:rPr>
                <w:rFonts w:ascii="宋体" w:hAnsi="宋体" w:cs="仿宋_GB2312"/>
                <w:bCs/>
                <w:szCs w:val="21"/>
              </w:rPr>
            </w:pPr>
            <w:r>
              <w:rPr>
                <w:rFonts w:hint="eastAsia" w:ascii="宋体" w:hAnsi="宋体" w:cs="仿宋_GB2312"/>
                <w:bCs/>
                <w:szCs w:val="21"/>
              </w:rPr>
              <w:t>1.1％</w:t>
            </w:r>
          </w:p>
        </w:tc>
        <w:tc>
          <w:tcPr>
            <w:tcW w:w="2301" w:type="dxa"/>
            <w:vAlign w:val="center"/>
          </w:tcPr>
          <w:p>
            <w:pPr>
              <w:widowControl/>
              <w:spacing w:line="480" w:lineRule="auto"/>
              <w:ind w:firstLine="420" w:firstLineChars="200"/>
              <w:jc w:val="left"/>
              <w:rPr>
                <w:rFonts w:ascii="宋体" w:hAnsi="宋体" w:cs="仿宋_GB2312"/>
                <w:szCs w:val="21"/>
              </w:rPr>
            </w:pPr>
            <w:r>
              <w:rPr>
                <w:rFonts w:hint="eastAsia" w:ascii="宋体" w:hAnsi="宋体" w:cs="仿宋_GB2312"/>
                <w:szCs w:val="21"/>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160" w:type="dxa"/>
          </w:tcPr>
          <w:p>
            <w:pPr>
              <w:widowControl/>
              <w:spacing w:line="480" w:lineRule="auto"/>
              <w:ind w:firstLine="420" w:firstLineChars="200"/>
              <w:jc w:val="left"/>
              <w:rPr>
                <w:rFonts w:ascii="宋体" w:hAnsi="宋体" w:cs="仿宋_GB2312"/>
                <w:bCs/>
                <w:szCs w:val="21"/>
              </w:rPr>
            </w:pPr>
            <w:r>
              <w:rPr>
                <w:rFonts w:hint="eastAsia" w:ascii="宋体" w:hAnsi="宋体" w:cs="仿宋_GB2312"/>
                <w:bCs/>
                <w:szCs w:val="21"/>
              </w:rPr>
              <w:t>500～1000</w:t>
            </w:r>
          </w:p>
        </w:tc>
        <w:tc>
          <w:tcPr>
            <w:tcW w:w="2126" w:type="dxa"/>
            <w:vAlign w:val="center"/>
          </w:tcPr>
          <w:p>
            <w:pPr>
              <w:widowControl/>
              <w:spacing w:line="480" w:lineRule="auto"/>
              <w:ind w:firstLine="420" w:firstLineChars="200"/>
              <w:jc w:val="left"/>
              <w:rPr>
                <w:rFonts w:ascii="宋体" w:hAnsi="宋体" w:cs="仿宋_GB2312"/>
                <w:bCs/>
                <w:szCs w:val="21"/>
              </w:rPr>
            </w:pPr>
            <w:r>
              <w:rPr>
                <w:rFonts w:hint="eastAsia" w:ascii="宋体" w:hAnsi="宋体" w:cs="仿宋_GB2312"/>
                <w:bCs/>
                <w:szCs w:val="21"/>
              </w:rPr>
              <w:t>0.55％</w:t>
            </w:r>
          </w:p>
        </w:tc>
        <w:tc>
          <w:tcPr>
            <w:tcW w:w="2377" w:type="dxa"/>
            <w:vAlign w:val="center"/>
          </w:tcPr>
          <w:p>
            <w:pPr>
              <w:widowControl/>
              <w:spacing w:line="480" w:lineRule="auto"/>
              <w:ind w:firstLine="420" w:firstLineChars="200"/>
              <w:jc w:val="left"/>
              <w:rPr>
                <w:rFonts w:ascii="宋体" w:hAnsi="宋体" w:cs="仿宋_GB2312"/>
                <w:bCs/>
                <w:szCs w:val="21"/>
              </w:rPr>
            </w:pPr>
            <w:r>
              <w:rPr>
                <w:rFonts w:hint="eastAsia" w:ascii="宋体" w:hAnsi="宋体" w:cs="仿宋_GB2312"/>
                <w:bCs/>
                <w:szCs w:val="21"/>
              </w:rPr>
              <w:t>0.8％</w:t>
            </w:r>
          </w:p>
        </w:tc>
        <w:tc>
          <w:tcPr>
            <w:tcW w:w="2301" w:type="dxa"/>
            <w:vAlign w:val="center"/>
          </w:tcPr>
          <w:p>
            <w:pPr>
              <w:widowControl/>
              <w:spacing w:line="480" w:lineRule="auto"/>
              <w:ind w:firstLine="420" w:firstLineChars="200"/>
              <w:jc w:val="left"/>
              <w:rPr>
                <w:rFonts w:ascii="宋体" w:hAnsi="宋体" w:cs="仿宋_GB2312"/>
                <w:szCs w:val="21"/>
              </w:rPr>
            </w:pPr>
            <w:r>
              <w:rPr>
                <w:rFonts w:hint="eastAsia" w:ascii="宋体" w:hAnsi="宋体" w:cs="仿宋_GB2312"/>
                <w:szCs w:val="21"/>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160" w:type="dxa"/>
          </w:tcPr>
          <w:p>
            <w:pPr>
              <w:widowControl/>
              <w:spacing w:line="480" w:lineRule="auto"/>
              <w:ind w:firstLine="420" w:firstLineChars="200"/>
              <w:jc w:val="left"/>
              <w:rPr>
                <w:rFonts w:ascii="宋体" w:hAnsi="宋体" w:cs="仿宋_GB2312"/>
                <w:bCs/>
                <w:szCs w:val="21"/>
              </w:rPr>
            </w:pPr>
            <w:r>
              <w:rPr>
                <w:rFonts w:hint="eastAsia" w:ascii="宋体" w:hAnsi="宋体" w:cs="仿宋_GB2312"/>
                <w:bCs/>
                <w:szCs w:val="21"/>
              </w:rPr>
              <w:t>1000～5000</w:t>
            </w:r>
          </w:p>
        </w:tc>
        <w:tc>
          <w:tcPr>
            <w:tcW w:w="2126" w:type="dxa"/>
            <w:vAlign w:val="center"/>
          </w:tcPr>
          <w:p>
            <w:pPr>
              <w:widowControl/>
              <w:spacing w:line="480" w:lineRule="auto"/>
              <w:ind w:firstLine="420" w:firstLineChars="200"/>
              <w:jc w:val="left"/>
              <w:rPr>
                <w:rFonts w:ascii="宋体" w:hAnsi="宋体" w:cs="仿宋_GB2312"/>
                <w:bCs/>
                <w:szCs w:val="21"/>
              </w:rPr>
            </w:pPr>
            <w:r>
              <w:rPr>
                <w:rFonts w:hint="eastAsia" w:ascii="宋体" w:hAnsi="宋体" w:cs="仿宋_GB2312"/>
                <w:bCs/>
                <w:szCs w:val="21"/>
              </w:rPr>
              <w:t>0.35％</w:t>
            </w:r>
          </w:p>
        </w:tc>
        <w:tc>
          <w:tcPr>
            <w:tcW w:w="2377" w:type="dxa"/>
            <w:vAlign w:val="center"/>
          </w:tcPr>
          <w:p>
            <w:pPr>
              <w:widowControl/>
              <w:spacing w:line="480" w:lineRule="auto"/>
              <w:ind w:firstLine="420" w:firstLineChars="200"/>
              <w:jc w:val="left"/>
              <w:rPr>
                <w:rFonts w:ascii="宋体" w:hAnsi="宋体" w:cs="仿宋_GB2312"/>
                <w:bCs/>
                <w:szCs w:val="21"/>
              </w:rPr>
            </w:pPr>
            <w:r>
              <w:rPr>
                <w:rFonts w:hint="eastAsia" w:ascii="宋体" w:hAnsi="宋体" w:cs="仿宋_GB2312"/>
                <w:bCs/>
                <w:szCs w:val="21"/>
              </w:rPr>
              <w:t>0.5％</w:t>
            </w:r>
          </w:p>
        </w:tc>
        <w:tc>
          <w:tcPr>
            <w:tcW w:w="2301" w:type="dxa"/>
            <w:vAlign w:val="center"/>
          </w:tcPr>
          <w:p>
            <w:pPr>
              <w:widowControl/>
              <w:spacing w:line="480" w:lineRule="auto"/>
              <w:ind w:firstLine="420" w:firstLineChars="200"/>
              <w:jc w:val="left"/>
              <w:rPr>
                <w:rFonts w:ascii="宋体" w:hAnsi="宋体" w:cs="仿宋_GB2312"/>
                <w:szCs w:val="21"/>
              </w:rPr>
            </w:pPr>
            <w:r>
              <w:rPr>
                <w:rFonts w:hint="eastAsia" w:ascii="宋体" w:hAnsi="宋体" w:cs="仿宋_GB2312"/>
                <w:szCs w:val="21"/>
              </w:rPr>
              <w:t>0.25％</w:t>
            </w:r>
          </w:p>
        </w:tc>
      </w:tr>
    </w:tbl>
    <w:p>
      <w:pPr>
        <w:pStyle w:val="2"/>
      </w:pPr>
      <w:bookmarkStart w:id="7" w:name="_Toc19168"/>
      <w:r>
        <w:rPr>
          <w:rFonts w:hint="eastAsia"/>
        </w:rPr>
        <w:t>二、竞争性磋商采购文件</w:t>
      </w:r>
      <w:bookmarkEnd w:id="7"/>
    </w:p>
    <w:p>
      <w:pPr>
        <w:ind w:firstLine="422" w:firstLineChars="200"/>
        <w:rPr>
          <w:b/>
        </w:rPr>
      </w:pPr>
      <w:r>
        <w:rPr>
          <w:rFonts w:hint="eastAsia"/>
          <w:b/>
          <w:kern w:val="0"/>
        </w:rPr>
        <w:t>5、竞争性磋商采购文件的构成</w:t>
      </w:r>
    </w:p>
    <w:p>
      <w:pPr>
        <w:widowControl/>
        <w:spacing w:line="480" w:lineRule="auto"/>
        <w:ind w:firstLine="420" w:firstLineChars="200"/>
        <w:jc w:val="left"/>
        <w:rPr>
          <w:rFonts w:ascii="宋体" w:hAnsi="宋体" w:cs="仿宋_GB2312"/>
          <w:szCs w:val="21"/>
        </w:rPr>
      </w:pPr>
      <w:r>
        <w:rPr>
          <w:rFonts w:hint="eastAsia" w:ascii="宋体" w:hAnsi="宋体" w:cs="仿宋_GB2312"/>
          <w:kern w:val="0"/>
          <w:szCs w:val="21"/>
        </w:rPr>
        <w:t>5.1本竞争性磋商采购文件包括：</w:t>
      </w:r>
    </w:p>
    <w:p>
      <w:pPr>
        <w:widowControl/>
        <w:spacing w:line="480" w:lineRule="auto"/>
        <w:ind w:firstLine="420" w:firstLineChars="200"/>
        <w:jc w:val="left"/>
        <w:rPr>
          <w:rFonts w:ascii="宋体" w:hAnsi="宋体" w:cs="仿宋_GB2312"/>
          <w:szCs w:val="21"/>
        </w:rPr>
      </w:pPr>
      <w:r>
        <w:rPr>
          <w:rFonts w:hint="eastAsia" w:ascii="宋体" w:hAnsi="宋体" w:cs="仿宋_GB2312"/>
          <w:kern w:val="0"/>
          <w:szCs w:val="21"/>
        </w:rPr>
        <w:t>1）磋商公告</w:t>
      </w:r>
    </w:p>
    <w:p>
      <w:pPr>
        <w:widowControl/>
        <w:spacing w:line="480" w:lineRule="auto"/>
        <w:ind w:firstLine="420" w:firstLineChars="200"/>
        <w:jc w:val="left"/>
        <w:rPr>
          <w:rFonts w:ascii="宋体" w:hAnsi="宋体" w:cs="仿宋_GB2312"/>
          <w:szCs w:val="21"/>
        </w:rPr>
      </w:pPr>
      <w:r>
        <w:rPr>
          <w:rFonts w:hint="eastAsia" w:ascii="宋体" w:hAnsi="宋体" w:cs="仿宋_GB2312"/>
          <w:kern w:val="0"/>
          <w:szCs w:val="21"/>
        </w:rPr>
        <w:t>2）供应商须知</w:t>
      </w:r>
    </w:p>
    <w:p>
      <w:pPr>
        <w:widowControl/>
        <w:spacing w:line="480" w:lineRule="auto"/>
        <w:ind w:firstLine="420" w:firstLineChars="200"/>
        <w:jc w:val="left"/>
        <w:rPr>
          <w:rFonts w:ascii="宋体" w:hAnsi="宋体" w:cs="仿宋_GB2312"/>
          <w:szCs w:val="21"/>
        </w:rPr>
      </w:pPr>
      <w:r>
        <w:rPr>
          <w:rFonts w:hint="eastAsia" w:ascii="宋体" w:hAnsi="宋体" w:cs="仿宋_GB2312"/>
          <w:kern w:val="0"/>
          <w:szCs w:val="21"/>
        </w:rPr>
        <w:t>3）采购需求</w:t>
      </w:r>
    </w:p>
    <w:p>
      <w:pPr>
        <w:widowControl/>
        <w:spacing w:line="480" w:lineRule="auto"/>
        <w:ind w:firstLine="420" w:firstLineChars="200"/>
        <w:jc w:val="left"/>
        <w:rPr>
          <w:rFonts w:ascii="宋体" w:hAnsi="宋体" w:cs="仿宋_GB2312"/>
          <w:szCs w:val="21"/>
        </w:rPr>
      </w:pPr>
      <w:r>
        <w:rPr>
          <w:rFonts w:hint="eastAsia" w:ascii="宋体" w:hAnsi="宋体" w:cs="仿宋_GB2312"/>
          <w:kern w:val="0"/>
          <w:szCs w:val="21"/>
        </w:rPr>
        <w:t>4）竞争性磋商采购评定办法</w:t>
      </w:r>
    </w:p>
    <w:p>
      <w:pPr>
        <w:widowControl/>
        <w:spacing w:line="480" w:lineRule="auto"/>
        <w:ind w:firstLine="420" w:firstLineChars="200"/>
        <w:jc w:val="left"/>
        <w:rPr>
          <w:rFonts w:ascii="宋体" w:hAnsi="宋体" w:cs="仿宋_GB2312"/>
          <w:szCs w:val="21"/>
        </w:rPr>
      </w:pPr>
      <w:r>
        <w:rPr>
          <w:rFonts w:hint="eastAsia" w:ascii="宋体" w:hAnsi="宋体" w:cs="仿宋_GB2312"/>
          <w:kern w:val="0"/>
          <w:szCs w:val="21"/>
        </w:rPr>
        <w:t>5）合同书格式</w:t>
      </w:r>
    </w:p>
    <w:p>
      <w:pPr>
        <w:widowControl/>
        <w:spacing w:line="480" w:lineRule="auto"/>
        <w:ind w:firstLine="420" w:firstLineChars="200"/>
        <w:jc w:val="left"/>
        <w:rPr>
          <w:rFonts w:ascii="宋体" w:hAnsi="宋体" w:cs="仿宋_GB2312"/>
          <w:szCs w:val="21"/>
        </w:rPr>
      </w:pPr>
      <w:r>
        <w:rPr>
          <w:rFonts w:hint="eastAsia" w:ascii="宋体" w:hAnsi="宋体" w:cs="仿宋_GB2312"/>
          <w:kern w:val="0"/>
          <w:szCs w:val="21"/>
        </w:rPr>
        <w:t>6）竞争性磋商响应文件格式</w:t>
      </w:r>
    </w:p>
    <w:p>
      <w:pPr>
        <w:widowControl/>
        <w:spacing w:line="480" w:lineRule="auto"/>
        <w:ind w:firstLine="420" w:firstLineChars="200"/>
        <w:jc w:val="left"/>
        <w:rPr>
          <w:rFonts w:ascii="宋体" w:hAnsi="宋体" w:cs="仿宋_GB2312"/>
          <w:szCs w:val="21"/>
        </w:rPr>
      </w:pPr>
      <w:r>
        <w:rPr>
          <w:rFonts w:hint="eastAsia" w:ascii="宋体" w:hAnsi="宋体" w:cs="仿宋_GB2312"/>
          <w:kern w:val="0"/>
          <w:szCs w:val="21"/>
        </w:rPr>
        <w:t>7）采购过程中由采购代理机构发出的澄清和修正文件（如有）</w:t>
      </w:r>
    </w:p>
    <w:p>
      <w:pPr>
        <w:widowControl/>
        <w:spacing w:line="480" w:lineRule="auto"/>
        <w:ind w:firstLine="420" w:firstLineChars="200"/>
        <w:jc w:val="left"/>
        <w:rPr>
          <w:rFonts w:ascii="宋体" w:hAnsi="宋体" w:cs="仿宋_GB2312"/>
          <w:szCs w:val="21"/>
        </w:rPr>
      </w:pPr>
      <w:r>
        <w:rPr>
          <w:rFonts w:hint="eastAsia" w:ascii="宋体" w:hAnsi="宋体" w:cs="仿宋_GB2312"/>
          <w:kern w:val="0"/>
          <w:szCs w:val="21"/>
        </w:rPr>
        <w:t>8）评审委员会在磋商过程中发出的对本磋商文件的实质性变动（如有）</w:t>
      </w:r>
    </w:p>
    <w:p>
      <w:pPr>
        <w:rPr>
          <w:b/>
        </w:rPr>
      </w:pPr>
      <w:r>
        <w:rPr>
          <w:rFonts w:hint="eastAsia"/>
          <w:b/>
          <w:kern w:val="0"/>
        </w:rPr>
        <w:t>6、竞争性磋商采购文件的澄清</w:t>
      </w:r>
    </w:p>
    <w:p>
      <w:pPr>
        <w:widowControl/>
        <w:spacing w:line="480" w:lineRule="auto"/>
        <w:ind w:firstLine="420" w:firstLineChars="200"/>
        <w:jc w:val="left"/>
        <w:rPr>
          <w:rFonts w:ascii="宋体" w:hAnsi="宋体" w:cs="仿宋_GB2312"/>
          <w:szCs w:val="21"/>
        </w:rPr>
      </w:pPr>
      <w:r>
        <w:rPr>
          <w:rFonts w:hint="eastAsia" w:ascii="宋体" w:hAnsi="宋体" w:cs="仿宋_GB2312"/>
          <w:kern w:val="0"/>
          <w:szCs w:val="21"/>
        </w:rPr>
        <w:t>6.1供应商获取竞争性磋商采购文件后，应认真检查，如发现页数不全、附件缺失、印刷模糊等，应通知采购代理机构补全或更换，否则风险自负。</w:t>
      </w:r>
    </w:p>
    <w:p>
      <w:pPr>
        <w:widowControl/>
        <w:spacing w:line="480" w:lineRule="auto"/>
        <w:ind w:firstLine="420" w:firstLineChars="200"/>
        <w:jc w:val="left"/>
        <w:rPr>
          <w:rFonts w:ascii="宋体" w:hAnsi="宋体" w:cs="仿宋_GB2312"/>
          <w:szCs w:val="21"/>
        </w:rPr>
      </w:pPr>
      <w:r>
        <w:rPr>
          <w:rFonts w:hint="eastAsia" w:ascii="宋体" w:hAnsi="宋体" w:cs="仿宋_GB2312"/>
          <w:kern w:val="0"/>
          <w:szCs w:val="21"/>
        </w:rPr>
        <w:t>6.2</w:t>
      </w:r>
      <w:r>
        <w:rPr>
          <w:rFonts w:hint="eastAsia" w:ascii="宋体" w:hAnsi="宋体"/>
          <w:szCs w:val="21"/>
        </w:rPr>
        <w:t>任何要求对招标文件进行澄清的供应商，均应以书面形式或以扫描件形式（须加盖供应商公章）</w:t>
      </w:r>
      <w:r>
        <w:fldChar w:fldCharType="begin"/>
      </w:r>
      <w:r>
        <w:instrText xml:space="preserve"> HYPERLINK "mailto:发送至275699007@qq.com的邮箱在投标文件递交截止时间前6" </w:instrText>
      </w:r>
      <w:r>
        <w:fldChar w:fldCharType="separate"/>
      </w:r>
      <w:r>
        <w:rPr>
          <w:rStyle w:val="32"/>
          <w:rFonts w:hint="eastAsia" w:ascii="宋体" w:hAnsi="宋体"/>
          <w:color w:val="auto"/>
          <w:szCs w:val="21"/>
        </w:rPr>
        <w:t>发送至372148387@qq.com的邮箱在投标文件递交截止时间前3</w:t>
      </w:r>
      <w:r>
        <w:rPr>
          <w:rStyle w:val="32"/>
          <w:rFonts w:hint="eastAsia" w:ascii="宋体" w:hAnsi="宋体"/>
          <w:color w:val="auto"/>
          <w:szCs w:val="21"/>
        </w:rPr>
        <w:fldChar w:fldCharType="end"/>
      </w:r>
      <w:r>
        <w:rPr>
          <w:rFonts w:hint="eastAsia" w:ascii="宋体" w:hAnsi="宋体"/>
          <w:szCs w:val="21"/>
        </w:rPr>
        <w:t>日以前通知采购代理机构或采购人。采购代理机构将组织采购人对供应商所要求澄清的内容均以书面形式或以扫描件形式（须加盖采购人公章）在投标截止时间前2日前发送至各供应商邮箱予以答复，供应商自行查询。</w:t>
      </w:r>
    </w:p>
    <w:p>
      <w:pPr>
        <w:widowControl/>
        <w:spacing w:line="480" w:lineRule="auto"/>
        <w:ind w:firstLine="420" w:firstLineChars="200"/>
        <w:jc w:val="left"/>
        <w:rPr>
          <w:rFonts w:ascii="宋体" w:hAnsi="宋体" w:cs="仿宋_GB2312"/>
          <w:szCs w:val="21"/>
        </w:rPr>
      </w:pPr>
      <w:r>
        <w:rPr>
          <w:rFonts w:hint="eastAsia" w:ascii="宋体" w:hAnsi="宋体" w:cs="仿宋_GB2312"/>
          <w:kern w:val="0"/>
          <w:szCs w:val="21"/>
        </w:rPr>
        <w:t>6.3澄清的内容是本竞争性磋商采购文件的组成部分，当竞争性磋商采购文件、澄清文件对同一内容的表述不一致时，以最后发出的书面文件为准。</w:t>
      </w:r>
    </w:p>
    <w:p>
      <w:pPr>
        <w:rPr>
          <w:b/>
        </w:rPr>
      </w:pPr>
      <w:r>
        <w:rPr>
          <w:rFonts w:hint="eastAsia"/>
          <w:b/>
          <w:kern w:val="0"/>
        </w:rPr>
        <w:t>7、竞争性磋商采购文件的修改</w:t>
      </w:r>
    </w:p>
    <w:p>
      <w:pPr>
        <w:widowControl/>
        <w:spacing w:line="480" w:lineRule="auto"/>
        <w:ind w:firstLine="420" w:firstLineChars="200"/>
        <w:jc w:val="left"/>
        <w:rPr>
          <w:rFonts w:ascii="宋体" w:hAnsi="宋体" w:cs="仿宋_GB2312"/>
          <w:szCs w:val="21"/>
        </w:rPr>
      </w:pPr>
      <w:r>
        <w:rPr>
          <w:rFonts w:hint="eastAsia" w:ascii="宋体" w:hAnsi="宋体" w:cs="仿宋_GB2312"/>
          <w:kern w:val="0"/>
          <w:szCs w:val="21"/>
        </w:rPr>
        <w:t>7.1提交首次响应文件截止之日前，采购人、采购代理机构可以对本竞争性磋商采购文件进行必要的修改，修改的内容是磋商文件的组成部分，采购代理机构将以书面形式通知所有接受磋商文件的供应商，供应商自行查询。</w:t>
      </w:r>
    </w:p>
    <w:p>
      <w:pPr>
        <w:widowControl/>
        <w:spacing w:line="480" w:lineRule="auto"/>
        <w:ind w:firstLine="420" w:firstLineChars="200"/>
        <w:jc w:val="left"/>
        <w:rPr>
          <w:rFonts w:ascii="宋体" w:hAnsi="宋体" w:cs="仿宋_GB2312"/>
          <w:szCs w:val="21"/>
        </w:rPr>
      </w:pPr>
      <w:r>
        <w:rPr>
          <w:rFonts w:hint="eastAsia" w:ascii="宋体" w:hAnsi="宋体" w:cs="仿宋_GB2312"/>
          <w:kern w:val="0"/>
          <w:szCs w:val="21"/>
        </w:rPr>
        <w:t>7.2当磋商文件、修改文件对同一内容的表述不一致时，以最后发出的书面文件为准。</w:t>
      </w:r>
    </w:p>
    <w:p>
      <w:pPr>
        <w:widowControl/>
        <w:spacing w:line="480" w:lineRule="auto"/>
        <w:ind w:firstLine="420" w:firstLineChars="200"/>
        <w:jc w:val="left"/>
        <w:rPr>
          <w:rFonts w:ascii="宋体" w:hAnsi="宋体" w:cs="仿宋_GB2312"/>
          <w:kern w:val="0"/>
          <w:szCs w:val="21"/>
        </w:rPr>
      </w:pPr>
      <w:r>
        <w:rPr>
          <w:rFonts w:hint="eastAsia" w:ascii="宋体" w:hAnsi="宋体" w:cs="仿宋_GB2312"/>
          <w:kern w:val="0"/>
          <w:szCs w:val="21"/>
        </w:rPr>
        <w:t>7.3修改的内容可能影响响应文件编制的，修改文件应当在提交首次响应文件截止之日5日前发出，不足5日的，采购人、采购代理机构将顺延提交首次响应文件截止之日。</w:t>
      </w:r>
    </w:p>
    <w:p>
      <w:pPr>
        <w:pStyle w:val="2"/>
      </w:pPr>
      <w:bookmarkStart w:id="8" w:name="_Toc12435"/>
      <w:r>
        <w:rPr>
          <w:rFonts w:hint="eastAsia"/>
        </w:rPr>
        <w:t>三、竞争性磋商响应文件</w:t>
      </w:r>
      <w:bookmarkEnd w:id="8"/>
    </w:p>
    <w:p>
      <w:pPr>
        <w:ind w:firstLine="422" w:firstLineChars="200"/>
        <w:rPr>
          <w:b/>
        </w:rPr>
      </w:pPr>
      <w:r>
        <w:rPr>
          <w:rFonts w:hint="eastAsia"/>
          <w:b/>
          <w:kern w:val="0"/>
        </w:rPr>
        <w:t>8、语言和计量单位</w:t>
      </w:r>
    </w:p>
    <w:p>
      <w:pPr>
        <w:widowControl/>
        <w:spacing w:line="480" w:lineRule="auto"/>
        <w:ind w:firstLine="420" w:firstLineChars="200"/>
        <w:jc w:val="left"/>
        <w:rPr>
          <w:rFonts w:ascii="宋体" w:hAnsi="宋体" w:cs="仿宋_GB2312"/>
          <w:szCs w:val="21"/>
        </w:rPr>
      </w:pPr>
      <w:r>
        <w:rPr>
          <w:rFonts w:hint="eastAsia" w:ascii="宋体" w:hAnsi="宋体" w:cs="仿宋_GB2312"/>
          <w:kern w:val="0"/>
          <w:szCs w:val="21"/>
        </w:rPr>
        <w:t>8.1供应商提交的竞争性磋商响应文件以及供应商与采购代理机构或采购人就有关磋商的所有来往函电均应使用中文。供应商提交的支持文件或印刷的文献可以用另一种语言，但相应内容应附有中文翻译本，在解释竞争性磋商响应文件时以中文翻译本为准。</w:t>
      </w:r>
    </w:p>
    <w:p>
      <w:pPr>
        <w:widowControl/>
        <w:spacing w:line="480" w:lineRule="auto"/>
        <w:ind w:firstLine="420" w:firstLineChars="200"/>
        <w:jc w:val="left"/>
        <w:rPr>
          <w:rFonts w:ascii="宋体" w:hAnsi="宋体" w:cs="仿宋_GB2312"/>
          <w:szCs w:val="21"/>
        </w:rPr>
      </w:pPr>
      <w:r>
        <w:rPr>
          <w:rFonts w:hint="eastAsia" w:ascii="宋体" w:hAnsi="宋体" w:cs="仿宋_GB2312"/>
          <w:kern w:val="0"/>
          <w:szCs w:val="21"/>
        </w:rPr>
        <w:t>8.2除非竞争性磋商采购文件中另有规定，计量单位均采用中华人民共和国法定的计量单位。</w:t>
      </w:r>
    </w:p>
    <w:p>
      <w:pPr>
        <w:ind w:firstLine="422" w:firstLineChars="200"/>
        <w:rPr>
          <w:b/>
        </w:rPr>
      </w:pPr>
      <w:r>
        <w:rPr>
          <w:rFonts w:hint="eastAsia"/>
          <w:b/>
          <w:kern w:val="0"/>
        </w:rPr>
        <w:t>9、竞争性磋商响应文件的构成</w:t>
      </w:r>
    </w:p>
    <w:p>
      <w:pPr>
        <w:widowControl/>
        <w:spacing w:line="480" w:lineRule="auto"/>
        <w:ind w:firstLine="420" w:firstLineChars="200"/>
        <w:jc w:val="left"/>
        <w:rPr>
          <w:rFonts w:ascii="宋体" w:hAnsi="宋体" w:cs="仿宋_GB2312"/>
          <w:szCs w:val="21"/>
        </w:rPr>
      </w:pPr>
      <w:r>
        <w:rPr>
          <w:rFonts w:hint="eastAsia" w:ascii="宋体" w:hAnsi="宋体" w:cs="仿宋_GB2312"/>
          <w:kern w:val="0"/>
          <w:szCs w:val="21"/>
        </w:rPr>
        <w:t>9.1供应商编制的竞争性磋商响应文件应包括的内容详见本文件第六章要求。注：响应文件目录及内容每页须顺序编写页码。</w:t>
      </w:r>
    </w:p>
    <w:p>
      <w:pPr>
        <w:ind w:firstLine="422" w:firstLineChars="200"/>
        <w:rPr>
          <w:b/>
        </w:rPr>
      </w:pPr>
      <w:r>
        <w:rPr>
          <w:rFonts w:hint="eastAsia"/>
          <w:b/>
          <w:kern w:val="0"/>
        </w:rPr>
        <w:t>10、竞争性磋商响应文件的编制</w:t>
      </w:r>
    </w:p>
    <w:p>
      <w:pPr>
        <w:widowControl/>
        <w:spacing w:line="480" w:lineRule="auto"/>
        <w:ind w:firstLine="420" w:firstLineChars="200"/>
        <w:jc w:val="left"/>
        <w:rPr>
          <w:rFonts w:ascii="宋体" w:hAnsi="宋体" w:cs="仿宋_GB2312"/>
          <w:szCs w:val="21"/>
        </w:rPr>
      </w:pPr>
      <w:r>
        <w:rPr>
          <w:rFonts w:hint="eastAsia" w:ascii="宋体" w:hAnsi="宋体" w:cs="仿宋_GB2312"/>
          <w:kern w:val="0"/>
          <w:szCs w:val="21"/>
        </w:rPr>
        <w:t>10.1供应商应当按照本采购文件的要求编制响应文件，并对其提交的响应文件及全部资料的真实性、合法性承担法律责任。</w:t>
      </w:r>
    </w:p>
    <w:p>
      <w:pPr>
        <w:widowControl/>
        <w:spacing w:line="480" w:lineRule="auto"/>
        <w:ind w:firstLine="420" w:firstLineChars="200"/>
        <w:jc w:val="left"/>
        <w:rPr>
          <w:rFonts w:ascii="宋体" w:hAnsi="宋体" w:cs="仿宋_GB2312"/>
          <w:szCs w:val="21"/>
        </w:rPr>
      </w:pPr>
      <w:r>
        <w:rPr>
          <w:rFonts w:hint="eastAsia" w:ascii="宋体" w:hAnsi="宋体" w:cs="仿宋_GB2312"/>
          <w:kern w:val="0"/>
          <w:szCs w:val="21"/>
        </w:rPr>
        <w:t>10.2供应商应认真阅读本采购文件中的所有内容，并对本采购文件提出的要求和条件作出实质性响应。如供应商没有按照本采购文件的要求提交全部资料，或者没有对本采购文件在各方面都做出实质性响应的，其响应文件将被视为无效文件。</w:t>
      </w:r>
    </w:p>
    <w:p>
      <w:pPr>
        <w:widowControl/>
        <w:spacing w:line="480" w:lineRule="auto"/>
        <w:ind w:firstLine="420" w:firstLineChars="200"/>
        <w:jc w:val="left"/>
        <w:rPr>
          <w:rFonts w:ascii="宋体" w:hAnsi="宋体" w:cs="仿宋_GB2312"/>
          <w:szCs w:val="21"/>
        </w:rPr>
      </w:pPr>
      <w:r>
        <w:rPr>
          <w:rFonts w:hint="eastAsia" w:ascii="宋体" w:hAnsi="宋体" w:cs="仿宋_GB2312"/>
          <w:kern w:val="0"/>
          <w:szCs w:val="21"/>
        </w:rPr>
        <w:t>10.3供应商应完整地按本采购文件的要求提交所有资料并按要求的格式填写规定的所有内容，无相应内容可填项的，应填写“无”、“未测试”、“没有相应指标”等明确的回答文字。如未规定格式的，相关格式由供应商自定。</w:t>
      </w:r>
    </w:p>
    <w:p>
      <w:pPr>
        <w:ind w:firstLine="422" w:firstLineChars="200"/>
        <w:rPr>
          <w:b/>
        </w:rPr>
      </w:pPr>
      <w:r>
        <w:rPr>
          <w:rFonts w:hint="eastAsia"/>
          <w:b/>
          <w:kern w:val="0"/>
        </w:rPr>
        <w:t>11、磋商报价</w:t>
      </w:r>
    </w:p>
    <w:p>
      <w:pPr>
        <w:widowControl/>
        <w:spacing w:line="480" w:lineRule="auto"/>
        <w:ind w:firstLine="420" w:firstLineChars="200"/>
        <w:jc w:val="left"/>
        <w:rPr>
          <w:rFonts w:ascii="宋体" w:hAnsi="宋体" w:cs="仿宋_GB2312"/>
          <w:szCs w:val="21"/>
        </w:rPr>
      </w:pPr>
      <w:r>
        <w:rPr>
          <w:rFonts w:hint="eastAsia" w:ascii="宋体" w:hAnsi="宋体" w:cs="仿宋_GB2312"/>
          <w:kern w:val="0"/>
          <w:szCs w:val="21"/>
        </w:rPr>
        <w:t>11.1磋商报价包括供应商在首次提交的响应文件中的报价、磋商过程中的报价和最后报价。供应商的报价均应以人民币报价。</w:t>
      </w:r>
    </w:p>
    <w:p>
      <w:pPr>
        <w:widowControl/>
        <w:spacing w:line="480" w:lineRule="auto"/>
        <w:ind w:firstLine="420" w:firstLineChars="200"/>
        <w:jc w:val="left"/>
        <w:rPr>
          <w:rFonts w:ascii="宋体" w:hAnsi="宋体" w:cs="仿宋_GB2312"/>
          <w:szCs w:val="21"/>
        </w:rPr>
      </w:pPr>
      <w:r>
        <w:rPr>
          <w:rFonts w:hint="eastAsia" w:ascii="宋体" w:hAnsi="宋体" w:cs="仿宋_GB2312"/>
          <w:kern w:val="0"/>
          <w:szCs w:val="21"/>
        </w:rPr>
        <w:t>11.2供应商应按照本采购文件规定的采购需求及合同条款进行报价，并按竞争性磋商采购文件确定的格式报出。报价中也不得缺漏竞争性磋商采购文件所要求的内容，否则，其响应文件将被视为无效文件。</w:t>
      </w:r>
    </w:p>
    <w:p>
      <w:pPr>
        <w:widowControl/>
        <w:spacing w:line="480" w:lineRule="auto"/>
        <w:ind w:firstLine="420" w:firstLineChars="200"/>
        <w:jc w:val="left"/>
        <w:rPr>
          <w:rFonts w:ascii="宋体" w:hAnsi="宋体" w:cs="仿宋_GB2312"/>
          <w:kern w:val="0"/>
          <w:szCs w:val="21"/>
        </w:rPr>
      </w:pPr>
      <w:r>
        <w:rPr>
          <w:rFonts w:hint="eastAsia" w:ascii="宋体" w:hAnsi="宋体" w:cs="仿宋_GB2312"/>
          <w:kern w:val="0"/>
          <w:szCs w:val="21"/>
        </w:rPr>
        <w:t>11.3供应商应的报价应包含完成本采购文件采购需求全部内容的所有费用，所有根据本采购文件或其他原因应由供应商支付的税款和其他应交纳的费用都应包括在报价中。</w:t>
      </w:r>
    </w:p>
    <w:p>
      <w:pPr>
        <w:widowControl/>
        <w:spacing w:line="480" w:lineRule="auto"/>
        <w:ind w:firstLine="420" w:firstLineChars="200"/>
        <w:jc w:val="left"/>
        <w:rPr>
          <w:rFonts w:ascii="宋体" w:hAnsi="宋体" w:cs="仿宋_GB2312"/>
          <w:szCs w:val="21"/>
        </w:rPr>
      </w:pPr>
      <w:r>
        <w:rPr>
          <w:rFonts w:hint="eastAsia" w:ascii="宋体" w:hAnsi="宋体" w:cs="仿宋_GB2312"/>
          <w:kern w:val="0"/>
          <w:szCs w:val="21"/>
        </w:rPr>
        <w:t>11.4供应商在响应文件中注明免费的项目将视为包含在报价中。</w:t>
      </w:r>
    </w:p>
    <w:p>
      <w:pPr>
        <w:widowControl/>
        <w:spacing w:line="480" w:lineRule="auto"/>
        <w:ind w:firstLine="420" w:firstLineChars="200"/>
        <w:jc w:val="left"/>
        <w:rPr>
          <w:rFonts w:ascii="宋体" w:hAnsi="宋体" w:cs="仿宋_GB2312"/>
          <w:szCs w:val="21"/>
        </w:rPr>
      </w:pPr>
      <w:r>
        <w:rPr>
          <w:rFonts w:hint="eastAsia" w:ascii="宋体" w:hAnsi="宋体" w:cs="仿宋_GB2312"/>
          <w:kern w:val="0"/>
          <w:szCs w:val="21"/>
        </w:rPr>
        <w:t>11.5每一种采购内容只允许有一个报价，否则其响应文件将被视为无效文件。</w:t>
      </w:r>
    </w:p>
    <w:p>
      <w:pPr>
        <w:widowControl/>
        <w:spacing w:line="480" w:lineRule="auto"/>
        <w:ind w:firstLine="420" w:firstLineChars="200"/>
        <w:jc w:val="left"/>
        <w:rPr>
          <w:rFonts w:ascii="宋体" w:hAnsi="宋体" w:cs="仿宋_GB2312"/>
          <w:kern w:val="0"/>
          <w:szCs w:val="21"/>
        </w:rPr>
      </w:pPr>
      <w:r>
        <w:rPr>
          <w:rFonts w:hint="eastAsia" w:ascii="宋体" w:hAnsi="宋体" w:cs="仿宋_GB2312"/>
          <w:kern w:val="0"/>
          <w:szCs w:val="21"/>
        </w:rPr>
        <w:t>11.6成交供应商的报价在合同执行过程中是固定不变的，不得以任何理由予以变更。（根据相关法律法规可以进行调价的除外）</w:t>
      </w:r>
    </w:p>
    <w:p>
      <w:pPr>
        <w:widowControl/>
        <w:spacing w:line="480" w:lineRule="auto"/>
        <w:ind w:firstLine="420" w:firstLineChars="200"/>
        <w:jc w:val="left"/>
        <w:rPr>
          <w:rFonts w:ascii="宋体" w:hAnsi="宋体" w:cs="仿宋_GB2312"/>
          <w:b/>
          <w:bCs/>
          <w:kern w:val="0"/>
          <w:szCs w:val="21"/>
        </w:rPr>
      </w:pPr>
      <w:r>
        <w:rPr>
          <w:rFonts w:hint="eastAsia" w:ascii="宋体" w:hAnsi="宋体" w:cs="仿宋_GB2312"/>
          <w:kern w:val="0"/>
          <w:szCs w:val="21"/>
        </w:rPr>
        <w:t>11.7</w:t>
      </w:r>
      <w:r>
        <w:rPr>
          <w:rFonts w:hint="eastAsia" w:ascii="宋体" w:hAnsi="宋体" w:cs="仿宋_GB2312"/>
          <w:b/>
          <w:bCs/>
          <w:kern w:val="0"/>
          <w:szCs w:val="21"/>
        </w:rPr>
        <w:t>本项目工程量清单中若有暂列金或专业工程暂估价，则该项报价按工程量清单中规定的暂列金或专业工程暂估价报价，不予变动，否则视为无效投标（如有）。</w:t>
      </w:r>
    </w:p>
    <w:p>
      <w:pPr>
        <w:widowControl/>
        <w:spacing w:line="480" w:lineRule="auto"/>
        <w:ind w:firstLine="420" w:firstLineChars="200"/>
        <w:jc w:val="left"/>
        <w:rPr>
          <w:rFonts w:ascii="宋体" w:hAnsi="宋体" w:cs="仿宋_GB2312"/>
          <w:b/>
          <w:bCs/>
          <w:kern w:val="0"/>
          <w:szCs w:val="21"/>
        </w:rPr>
      </w:pPr>
      <w:r>
        <w:rPr>
          <w:rFonts w:hint="eastAsia" w:ascii="宋体" w:hAnsi="宋体" w:cs="仿宋_GB2312"/>
          <w:kern w:val="0"/>
          <w:szCs w:val="21"/>
        </w:rPr>
        <w:t>11.8拆标时，投标文件中投标报价一览表内容与投标磋商书内容不一致的，以投标报价一览表为准。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ind w:firstLine="422" w:firstLineChars="200"/>
        <w:rPr>
          <w:b/>
        </w:rPr>
      </w:pPr>
      <w:r>
        <w:rPr>
          <w:rFonts w:hint="eastAsia"/>
          <w:b/>
          <w:kern w:val="0"/>
        </w:rPr>
        <w:t>12、备选方案</w:t>
      </w:r>
    </w:p>
    <w:p>
      <w:pPr>
        <w:widowControl/>
        <w:spacing w:line="480" w:lineRule="auto"/>
        <w:ind w:firstLine="420" w:firstLineChars="200"/>
        <w:jc w:val="left"/>
        <w:rPr>
          <w:rFonts w:ascii="宋体" w:hAnsi="宋体" w:cs="仿宋_GB2312"/>
          <w:szCs w:val="21"/>
        </w:rPr>
      </w:pPr>
      <w:r>
        <w:rPr>
          <w:rFonts w:hint="eastAsia" w:ascii="宋体" w:hAnsi="宋体" w:cs="仿宋_GB2312"/>
          <w:kern w:val="0"/>
          <w:szCs w:val="21"/>
        </w:rPr>
        <w:t>12.1本项目不允许有备选方案的，若在响应文件中提交了备选方案，其响应文件将被视为无效文件。</w:t>
      </w:r>
    </w:p>
    <w:p>
      <w:pPr>
        <w:ind w:firstLine="422" w:firstLineChars="200"/>
        <w:rPr>
          <w:b/>
        </w:rPr>
      </w:pPr>
      <w:r>
        <w:rPr>
          <w:rFonts w:hint="eastAsia"/>
          <w:b/>
          <w:kern w:val="0"/>
        </w:rPr>
        <w:t>13、联合体</w:t>
      </w:r>
    </w:p>
    <w:p>
      <w:pPr>
        <w:widowControl/>
        <w:spacing w:line="480" w:lineRule="auto"/>
        <w:ind w:firstLine="420" w:firstLineChars="200"/>
        <w:jc w:val="left"/>
        <w:rPr>
          <w:rFonts w:ascii="宋体" w:hAnsi="宋体" w:cs="仿宋_GB2312"/>
          <w:szCs w:val="21"/>
        </w:rPr>
      </w:pPr>
      <w:r>
        <w:rPr>
          <w:rFonts w:hint="eastAsia" w:ascii="宋体" w:hAnsi="宋体" w:cs="仿宋_GB2312"/>
          <w:kern w:val="0"/>
          <w:szCs w:val="21"/>
        </w:rPr>
        <w:t>13.1本项目不允许联合体投标。</w:t>
      </w:r>
    </w:p>
    <w:p>
      <w:pPr>
        <w:ind w:firstLine="422" w:firstLineChars="200"/>
        <w:rPr>
          <w:b/>
        </w:rPr>
      </w:pPr>
      <w:r>
        <w:rPr>
          <w:rFonts w:hint="eastAsia"/>
          <w:b/>
          <w:kern w:val="0"/>
        </w:rPr>
        <w:t>14、供应商资格证明文件</w:t>
      </w:r>
    </w:p>
    <w:p>
      <w:pPr>
        <w:widowControl/>
        <w:spacing w:line="480" w:lineRule="auto"/>
        <w:ind w:firstLine="420" w:firstLineChars="200"/>
        <w:jc w:val="left"/>
        <w:rPr>
          <w:rFonts w:ascii="宋体" w:hAnsi="宋体" w:cs="仿宋_GB2312"/>
          <w:szCs w:val="21"/>
        </w:rPr>
      </w:pPr>
      <w:r>
        <w:rPr>
          <w:rFonts w:hint="eastAsia" w:ascii="宋体" w:hAnsi="宋体" w:cs="仿宋_GB2312"/>
          <w:kern w:val="0"/>
          <w:szCs w:val="21"/>
        </w:rPr>
        <w:t>14.1供应商应在响应文件提交证明其有资格参加磋商的证明文件，证明文件详见供应商须知前附表；</w:t>
      </w:r>
    </w:p>
    <w:p>
      <w:pPr>
        <w:widowControl/>
        <w:spacing w:line="480" w:lineRule="auto"/>
        <w:ind w:firstLine="420" w:firstLineChars="200"/>
        <w:jc w:val="left"/>
        <w:rPr>
          <w:rFonts w:ascii="宋体" w:hAnsi="宋体" w:cs="仿宋_GB2312"/>
          <w:szCs w:val="21"/>
        </w:rPr>
      </w:pPr>
      <w:r>
        <w:rPr>
          <w:rFonts w:hint="eastAsia" w:ascii="宋体" w:hAnsi="宋体" w:cs="仿宋_GB2312"/>
          <w:kern w:val="0"/>
          <w:szCs w:val="21"/>
        </w:rPr>
        <w:t>14.2除本须知14.1要求的资格证明文件外，如国家法律法规对市场准入有要求的还应提交相关资格证明文件。</w:t>
      </w:r>
    </w:p>
    <w:p>
      <w:pPr>
        <w:widowControl/>
        <w:spacing w:line="480" w:lineRule="auto"/>
        <w:ind w:firstLine="420" w:firstLineChars="200"/>
        <w:jc w:val="left"/>
        <w:rPr>
          <w:rFonts w:ascii="宋体" w:hAnsi="宋体" w:cs="仿宋_GB2312"/>
          <w:szCs w:val="21"/>
        </w:rPr>
      </w:pPr>
      <w:r>
        <w:rPr>
          <w:rFonts w:hint="eastAsia" w:ascii="宋体" w:hAnsi="宋体" w:cs="仿宋_GB2312"/>
          <w:kern w:val="0"/>
          <w:szCs w:val="21"/>
        </w:rPr>
        <w:t>14.3证明材料仅限于供应商单位本身，母公司、股东单位和子公司的材料不能作为证明材料。采用复印件的必须加盖单位印章。</w:t>
      </w:r>
    </w:p>
    <w:p>
      <w:pPr>
        <w:ind w:firstLine="422" w:firstLineChars="200"/>
        <w:rPr>
          <w:b/>
        </w:rPr>
      </w:pPr>
      <w:r>
        <w:rPr>
          <w:rFonts w:hint="eastAsia"/>
          <w:b/>
          <w:kern w:val="0"/>
        </w:rPr>
        <w:t>15、磋商保证金</w:t>
      </w:r>
    </w:p>
    <w:p>
      <w:pPr>
        <w:widowControl/>
        <w:spacing w:line="480" w:lineRule="auto"/>
        <w:ind w:firstLine="420" w:firstLineChars="200"/>
        <w:jc w:val="left"/>
        <w:rPr>
          <w:rFonts w:ascii="宋体" w:hAnsi="宋体" w:cs="仿宋_GB2312"/>
          <w:szCs w:val="21"/>
        </w:rPr>
      </w:pPr>
      <w:r>
        <w:rPr>
          <w:rFonts w:hint="eastAsia" w:ascii="宋体" w:hAnsi="宋体" w:cs="仿宋_GB2312"/>
          <w:kern w:val="0"/>
          <w:szCs w:val="21"/>
        </w:rPr>
        <w:t>15.1本项目无需缴纳磋商保证金。</w:t>
      </w:r>
    </w:p>
    <w:p>
      <w:pPr>
        <w:ind w:firstLine="422" w:firstLineChars="200"/>
        <w:rPr>
          <w:b/>
        </w:rPr>
      </w:pPr>
      <w:r>
        <w:rPr>
          <w:rFonts w:hint="eastAsia"/>
          <w:b/>
          <w:kern w:val="0"/>
        </w:rPr>
        <w:t>16、磋商有效期</w:t>
      </w:r>
    </w:p>
    <w:p>
      <w:pPr>
        <w:widowControl/>
        <w:spacing w:line="480" w:lineRule="auto"/>
        <w:ind w:firstLine="420" w:firstLineChars="200"/>
        <w:jc w:val="left"/>
        <w:rPr>
          <w:rFonts w:ascii="宋体" w:hAnsi="宋体" w:cs="仿宋_GB2312"/>
          <w:szCs w:val="21"/>
        </w:rPr>
      </w:pPr>
      <w:r>
        <w:rPr>
          <w:rFonts w:hint="eastAsia" w:ascii="宋体" w:hAnsi="宋体" w:cs="仿宋_GB2312"/>
          <w:kern w:val="0"/>
          <w:szCs w:val="21"/>
        </w:rPr>
        <w:t>16.1磋商有效期从磋商结束之日起计算，本次采购磋商有效期见《供应商须知前附表》，供应商承诺的磋商有效期不足的，其响应文件将被视为无效文件。</w:t>
      </w:r>
    </w:p>
    <w:p>
      <w:pPr>
        <w:widowControl/>
        <w:spacing w:line="480" w:lineRule="auto"/>
        <w:ind w:firstLine="420" w:firstLineChars="200"/>
        <w:jc w:val="left"/>
        <w:rPr>
          <w:rFonts w:ascii="宋体" w:hAnsi="宋体" w:cs="仿宋_GB2312"/>
          <w:szCs w:val="21"/>
        </w:rPr>
      </w:pPr>
      <w:r>
        <w:rPr>
          <w:rFonts w:hint="eastAsia" w:ascii="宋体" w:hAnsi="宋体" w:cs="仿宋_GB2312"/>
          <w:kern w:val="0"/>
          <w:szCs w:val="21"/>
        </w:rPr>
        <w:t>16.2特殊情况下，在原磋商有效期截止之前，采购代理机构或采购人可要求供应商延长磋商有效期。需要延长磋商有效期时，采购代理机构或采购人将以书面形式通知所有供应商，供应商应以书面形式答复是否同意延长磋商有效期。供应商同意延长的，不得要求或被允许修改或撤销其响应文件；供应商拒绝延长的，其响应文件在原磋商有效期满后将不再有效。</w:t>
      </w:r>
    </w:p>
    <w:p>
      <w:pPr>
        <w:ind w:firstLine="422" w:firstLineChars="200"/>
        <w:rPr>
          <w:b/>
        </w:rPr>
      </w:pPr>
      <w:r>
        <w:rPr>
          <w:rFonts w:hint="eastAsia"/>
          <w:b/>
          <w:kern w:val="0"/>
        </w:rPr>
        <w:t>17、竞争性磋商响应文件的装订、签署和数量</w:t>
      </w:r>
    </w:p>
    <w:p>
      <w:pPr>
        <w:widowControl/>
        <w:spacing w:line="480" w:lineRule="auto"/>
        <w:ind w:firstLine="420" w:firstLineChars="200"/>
        <w:jc w:val="left"/>
        <w:rPr>
          <w:rFonts w:ascii="宋体" w:hAnsi="宋体" w:cs="仿宋_GB2312"/>
          <w:szCs w:val="21"/>
        </w:rPr>
      </w:pPr>
      <w:r>
        <w:rPr>
          <w:rFonts w:hint="eastAsia" w:ascii="宋体" w:hAnsi="宋体" w:cs="仿宋_GB2312"/>
          <w:kern w:val="0"/>
          <w:szCs w:val="21"/>
        </w:rPr>
        <w:t>17.1供应商提交的响应文件应包括正本、副本、完整的电子文档及单独提供的法定代表人授权委托书（或法定代表人身份证明书）、报价一览表、优惠声明（如有）。本次供应商提交响应文件正、副本和电子文档的数量见《供应商须知前附表》。每套响应文件须清楚地标明“正本”、“副本”，响应文件的副本可采用正本的复印件，若副本与正本不符，以正本为准；如单独提供的法定代表人授权委托书（或法定代表人身份证明书）、报价一览表、优惠声明（如有）与响应文件正本不符，以正本为准。电子文档与纸质文件不符，以纸质文件为准。</w:t>
      </w:r>
    </w:p>
    <w:p>
      <w:pPr>
        <w:widowControl/>
        <w:spacing w:line="480" w:lineRule="auto"/>
        <w:ind w:firstLine="420" w:firstLineChars="200"/>
        <w:jc w:val="left"/>
        <w:rPr>
          <w:rFonts w:ascii="宋体" w:hAnsi="宋体" w:cs="仿宋_GB2312"/>
          <w:szCs w:val="21"/>
        </w:rPr>
      </w:pPr>
      <w:r>
        <w:rPr>
          <w:rFonts w:hint="eastAsia" w:ascii="宋体" w:hAnsi="宋体" w:cs="仿宋_GB2312"/>
          <w:kern w:val="0"/>
          <w:szCs w:val="21"/>
        </w:rPr>
        <w:t>17.2正本需打印或用不褪色墨水书写，并按响应文件格式要求由法定代表人或授权代表签字并加盖公章。由授权代表签字的，响应文件中应提交《法定代表人授权书》。供应商为自然人的，由供应商本人签字并附身份证明。</w:t>
      </w:r>
    </w:p>
    <w:p>
      <w:pPr>
        <w:widowControl/>
        <w:spacing w:line="480" w:lineRule="auto"/>
        <w:ind w:firstLine="420" w:firstLineChars="200"/>
        <w:jc w:val="left"/>
        <w:rPr>
          <w:rFonts w:ascii="宋体" w:hAnsi="宋体" w:cs="仿宋_GB2312"/>
          <w:szCs w:val="21"/>
        </w:rPr>
      </w:pPr>
      <w:r>
        <w:rPr>
          <w:rFonts w:hint="eastAsia" w:ascii="宋体" w:hAnsi="宋体" w:cs="仿宋_GB2312"/>
          <w:kern w:val="0"/>
          <w:szCs w:val="21"/>
        </w:rPr>
        <w:t>17.3竞争性磋商响应文件中的任何行间插字、涂改和增删，必须由法定代表人或授权代表在旁边签字才有效。</w:t>
      </w:r>
    </w:p>
    <w:p>
      <w:pPr>
        <w:widowControl/>
        <w:spacing w:line="480" w:lineRule="auto"/>
        <w:ind w:firstLine="420" w:firstLineChars="200"/>
        <w:jc w:val="left"/>
        <w:rPr>
          <w:rFonts w:ascii="宋体" w:hAnsi="宋体" w:cs="仿宋_GB2312"/>
          <w:szCs w:val="21"/>
        </w:rPr>
      </w:pPr>
      <w:r>
        <w:rPr>
          <w:rFonts w:hint="eastAsia" w:ascii="宋体" w:hAnsi="宋体" w:cs="仿宋_GB2312"/>
          <w:kern w:val="0"/>
          <w:szCs w:val="21"/>
        </w:rPr>
        <w:t>17.4响应文件应当采用不可拆卸的方法的装订，对未经装订的竞争性磋商响应文件可能发生的文件散落或缺损及由此产生的后果由供应商承担。</w:t>
      </w:r>
    </w:p>
    <w:p>
      <w:pPr>
        <w:pStyle w:val="2"/>
      </w:pPr>
      <w:bookmarkStart w:id="9" w:name="_Toc11880"/>
      <w:r>
        <w:rPr>
          <w:rFonts w:hint="eastAsia"/>
        </w:rPr>
        <w:t>四、竞争性磋商响应文件的递交</w:t>
      </w:r>
      <w:bookmarkEnd w:id="9"/>
    </w:p>
    <w:p>
      <w:pPr>
        <w:ind w:firstLine="422" w:firstLineChars="200"/>
        <w:rPr>
          <w:b/>
        </w:rPr>
      </w:pPr>
      <w:r>
        <w:rPr>
          <w:rFonts w:hint="eastAsia"/>
          <w:b/>
          <w:kern w:val="0"/>
        </w:rPr>
        <w:t>18、竞争性磋商响应文件的密封和标记</w:t>
      </w:r>
    </w:p>
    <w:p>
      <w:pPr>
        <w:spacing w:before="100" w:beforeAutospacing="1" w:after="100" w:afterAutospacing="1" w:line="360" w:lineRule="auto"/>
        <w:ind w:left="623" w:leftChars="200" w:hanging="203" w:hangingChars="97"/>
        <w:rPr>
          <w:rFonts w:ascii="宋体" w:hAnsi="宋体"/>
          <w:szCs w:val="21"/>
        </w:rPr>
      </w:pPr>
      <w:r>
        <w:rPr>
          <w:rFonts w:hint="eastAsia" w:ascii="宋体" w:hAnsi="宋体" w:cs="仿宋_GB2312"/>
          <w:kern w:val="0"/>
          <w:szCs w:val="21"/>
        </w:rPr>
        <w:t>18.1</w:t>
      </w:r>
      <w:r>
        <w:rPr>
          <w:rFonts w:hint="eastAsia" w:ascii="宋体" w:hAnsi="宋体"/>
          <w:szCs w:val="21"/>
        </w:rPr>
        <w:t>密封件之一：将装订好的响应文件正本一份与副本二份（响应文件封面应写明“正本”及“副本”字样）装在一个包装袋内，密封完好；</w:t>
      </w:r>
    </w:p>
    <w:p>
      <w:pPr>
        <w:spacing w:before="100" w:beforeAutospacing="1" w:after="100" w:afterAutospacing="1" w:line="360" w:lineRule="auto"/>
        <w:ind w:left="625" w:leftChars="270" w:hanging="58" w:hangingChars="28"/>
        <w:rPr>
          <w:rFonts w:ascii="宋体" w:hAnsi="宋体"/>
          <w:szCs w:val="21"/>
        </w:rPr>
      </w:pPr>
      <w:r>
        <w:rPr>
          <w:rFonts w:hint="eastAsia" w:ascii="宋体" w:hAnsi="宋体"/>
          <w:szCs w:val="21"/>
        </w:rPr>
        <w:t>密封件之二：将电子版响应文件（U盘）（</w:t>
      </w:r>
      <w:r>
        <w:rPr>
          <w:rFonts w:hint="eastAsia" w:ascii="宋体" w:hAnsi="宋体" w:cs="仿宋_GB2312"/>
          <w:kern w:val="0"/>
          <w:szCs w:val="21"/>
        </w:rPr>
        <w:t>电子文档需为加盖单位公章及法定代表人签字或委托代理人签字的扫描件</w:t>
      </w:r>
      <w:r>
        <w:rPr>
          <w:rFonts w:hint="eastAsia" w:ascii="宋体" w:hAnsi="宋体"/>
          <w:szCs w:val="21"/>
        </w:rPr>
        <w:t>）密封在一个封包内，密封完好；</w:t>
      </w:r>
    </w:p>
    <w:p>
      <w:pPr>
        <w:widowControl/>
        <w:spacing w:line="480" w:lineRule="auto"/>
        <w:ind w:firstLine="420" w:firstLineChars="200"/>
        <w:jc w:val="left"/>
        <w:rPr>
          <w:rFonts w:ascii="宋体" w:hAnsi="宋体" w:cs="仿宋_GB2312"/>
          <w:szCs w:val="21"/>
        </w:rPr>
      </w:pPr>
      <w:r>
        <w:rPr>
          <w:rFonts w:hint="eastAsia" w:ascii="宋体" w:hAnsi="宋体" w:cs="仿宋_GB2312"/>
          <w:kern w:val="0"/>
          <w:szCs w:val="21"/>
        </w:rPr>
        <w:t>18.2，每一密封包装上应注明项目编号、项目名称、供应商名称及“（磋商时间）前不得启封”的字样。</w:t>
      </w:r>
    </w:p>
    <w:p>
      <w:pPr>
        <w:widowControl/>
        <w:spacing w:line="480" w:lineRule="auto"/>
        <w:ind w:firstLine="420" w:firstLineChars="200"/>
        <w:jc w:val="left"/>
        <w:rPr>
          <w:rFonts w:ascii="宋体" w:hAnsi="宋体" w:cs="仿宋_GB2312"/>
          <w:szCs w:val="21"/>
        </w:rPr>
      </w:pPr>
      <w:r>
        <w:rPr>
          <w:rFonts w:hint="eastAsia" w:ascii="宋体" w:hAnsi="宋体" w:cs="仿宋_GB2312"/>
          <w:kern w:val="0"/>
          <w:szCs w:val="21"/>
        </w:rPr>
        <w:t>18.3未按要求密封和加写标记的响应文件为无效文件，采购人、采购代理机构将拒收。</w:t>
      </w:r>
    </w:p>
    <w:p>
      <w:pPr>
        <w:ind w:firstLine="422" w:firstLineChars="200"/>
        <w:rPr>
          <w:b/>
        </w:rPr>
      </w:pPr>
      <w:r>
        <w:rPr>
          <w:rFonts w:hint="eastAsia"/>
          <w:b/>
          <w:kern w:val="0"/>
        </w:rPr>
        <w:t>19、竞争性磋商响应文件的送达地点及截止时间</w:t>
      </w:r>
    </w:p>
    <w:p>
      <w:pPr>
        <w:widowControl/>
        <w:spacing w:line="480" w:lineRule="auto"/>
        <w:ind w:firstLine="422" w:firstLineChars="200"/>
        <w:jc w:val="left"/>
        <w:rPr>
          <w:rFonts w:ascii="宋体" w:hAnsi="宋体" w:cs="仿宋_GB2312"/>
          <w:szCs w:val="21"/>
        </w:rPr>
      </w:pPr>
      <w:r>
        <w:rPr>
          <w:rFonts w:hint="eastAsia" w:ascii="宋体" w:hAnsi="宋体" w:cs="仿宋_GB2312"/>
          <w:b/>
          <w:kern w:val="0"/>
          <w:szCs w:val="21"/>
        </w:rPr>
        <w:t>19.1</w:t>
      </w:r>
      <w:r>
        <w:rPr>
          <w:rFonts w:hint="eastAsia" w:ascii="宋体" w:hAnsi="宋体" w:cs="仿宋_GB2312"/>
          <w:kern w:val="0"/>
          <w:szCs w:val="21"/>
        </w:rPr>
        <w:t>截止时间是</w:t>
      </w:r>
      <w:r>
        <w:rPr>
          <w:rFonts w:hint="eastAsia" w:ascii="宋体" w:hAnsi="宋体" w:cs="仿宋_GB2312"/>
          <w:b/>
          <w:kern w:val="0"/>
          <w:szCs w:val="21"/>
        </w:rPr>
        <w:t>竞争性磋商文件</w:t>
      </w:r>
      <w:r>
        <w:rPr>
          <w:rFonts w:hint="eastAsia" w:ascii="宋体" w:hAnsi="宋体" w:cs="仿宋_GB2312"/>
          <w:kern w:val="0"/>
          <w:szCs w:val="21"/>
        </w:rPr>
        <w:t>中规定的首次送达、提交响应文件的最后时间。本次磋商响应文件的送达地点及截止时间见《供应商须知前附表》。</w:t>
      </w:r>
    </w:p>
    <w:p>
      <w:pPr>
        <w:ind w:firstLine="422" w:firstLineChars="200"/>
        <w:rPr>
          <w:b/>
        </w:rPr>
      </w:pPr>
      <w:r>
        <w:rPr>
          <w:rFonts w:hint="eastAsia"/>
          <w:b/>
          <w:kern w:val="0"/>
        </w:rPr>
        <w:t>20、迟交的竞争性磋商响应文件</w:t>
      </w:r>
    </w:p>
    <w:p>
      <w:pPr>
        <w:widowControl/>
        <w:spacing w:line="480" w:lineRule="auto"/>
        <w:ind w:firstLine="420" w:firstLineChars="200"/>
        <w:jc w:val="left"/>
        <w:rPr>
          <w:rFonts w:ascii="宋体" w:hAnsi="宋体" w:cs="仿宋_GB2312"/>
          <w:szCs w:val="21"/>
        </w:rPr>
      </w:pPr>
      <w:r>
        <w:rPr>
          <w:rFonts w:hint="eastAsia" w:ascii="宋体" w:hAnsi="宋体" w:cs="仿宋_GB2312"/>
          <w:kern w:val="0"/>
          <w:szCs w:val="21"/>
        </w:rPr>
        <w:t>20.1在本次磋商递交响应文件的截止时间以后送达的响应文件，不论何种原因，采购代理机构将拒收。</w:t>
      </w:r>
    </w:p>
    <w:p>
      <w:pPr>
        <w:widowControl/>
        <w:spacing w:line="480" w:lineRule="auto"/>
        <w:ind w:firstLine="422" w:firstLineChars="200"/>
        <w:jc w:val="left"/>
        <w:rPr>
          <w:rFonts w:ascii="宋体" w:hAnsi="宋体" w:cs="仿宋_GB2312"/>
          <w:szCs w:val="21"/>
        </w:rPr>
      </w:pPr>
      <w:r>
        <w:rPr>
          <w:rFonts w:hint="eastAsia" w:ascii="宋体" w:hAnsi="宋体" w:cs="仿宋_GB2312"/>
          <w:b/>
          <w:kern w:val="0"/>
          <w:szCs w:val="21"/>
        </w:rPr>
        <w:t>21、竞争性磋商响应文件的补充、修改或者撤回</w:t>
      </w:r>
    </w:p>
    <w:p>
      <w:pPr>
        <w:widowControl/>
        <w:spacing w:line="480" w:lineRule="auto"/>
        <w:ind w:firstLine="420" w:firstLineChars="200"/>
        <w:jc w:val="left"/>
        <w:rPr>
          <w:rFonts w:ascii="宋体" w:hAnsi="宋体" w:cs="仿宋_GB2312"/>
          <w:szCs w:val="21"/>
        </w:rPr>
      </w:pPr>
      <w:r>
        <w:rPr>
          <w:rFonts w:hint="eastAsia" w:ascii="宋体" w:hAnsi="宋体" w:cs="仿宋_GB2312"/>
          <w:kern w:val="0"/>
          <w:szCs w:val="21"/>
        </w:rPr>
        <w:t>21.1在提交响应文件截止时间前，供应商可以对已提交的响应文件进行补充、修改或者撤回。供应商需要补充、修改或者撤回响应文件时，应以书面形式通知采购人、采购代理机构。补充、修改的内容是响应文件的组成部分，补充、修改的内容与响应文件不一致的，以补充、修改的内容为准。</w:t>
      </w:r>
    </w:p>
    <w:p>
      <w:pPr>
        <w:widowControl/>
        <w:spacing w:line="480" w:lineRule="auto"/>
        <w:ind w:firstLine="420" w:firstLineChars="200"/>
        <w:jc w:val="left"/>
        <w:rPr>
          <w:rFonts w:ascii="宋体" w:hAnsi="宋体" w:cs="仿宋_GB2312"/>
          <w:szCs w:val="21"/>
        </w:rPr>
      </w:pPr>
      <w:r>
        <w:rPr>
          <w:rFonts w:hint="eastAsia" w:ascii="宋体" w:hAnsi="宋体" w:cs="仿宋_GB2312"/>
          <w:kern w:val="0"/>
          <w:szCs w:val="21"/>
        </w:rPr>
        <w:t>21.2从提交响应文件截止时间至磋商有效期期满这段时间，供应商不得修改或撤销其响应文件。</w:t>
      </w:r>
    </w:p>
    <w:p>
      <w:pPr>
        <w:widowControl/>
        <w:spacing w:line="480" w:lineRule="auto"/>
        <w:ind w:firstLine="420" w:firstLineChars="200"/>
        <w:jc w:val="left"/>
        <w:rPr>
          <w:rFonts w:ascii="宋体" w:hAnsi="宋体" w:cs="仿宋_GB2312"/>
          <w:szCs w:val="21"/>
        </w:rPr>
      </w:pPr>
      <w:r>
        <w:rPr>
          <w:rFonts w:hint="eastAsia" w:ascii="宋体" w:hAnsi="宋体" w:cs="仿宋_GB2312"/>
          <w:kern w:val="0"/>
          <w:szCs w:val="21"/>
        </w:rPr>
        <w:t>21.3供应商所提交的响应文件在磋商结束后，无论成交与否都不退还。</w:t>
      </w:r>
    </w:p>
    <w:p>
      <w:pPr>
        <w:pStyle w:val="2"/>
      </w:pPr>
      <w:bookmarkStart w:id="10" w:name="_Toc32652"/>
      <w:r>
        <w:rPr>
          <w:rFonts w:hint="eastAsia"/>
        </w:rPr>
        <w:t>五、磋商程序及步骤</w:t>
      </w:r>
      <w:bookmarkEnd w:id="10"/>
    </w:p>
    <w:p>
      <w:pPr>
        <w:widowControl/>
        <w:spacing w:line="480" w:lineRule="auto"/>
        <w:ind w:firstLine="422" w:firstLineChars="200"/>
        <w:jc w:val="left"/>
        <w:rPr>
          <w:rFonts w:ascii="宋体" w:hAnsi="宋体" w:cs="仿宋_GB2312"/>
          <w:szCs w:val="21"/>
        </w:rPr>
      </w:pPr>
      <w:r>
        <w:rPr>
          <w:rFonts w:hint="eastAsia" w:ascii="宋体" w:hAnsi="宋体" w:cs="仿宋_GB2312"/>
          <w:b/>
          <w:kern w:val="0"/>
          <w:szCs w:val="21"/>
        </w:rPr>
        <w:t>22、竞争性磋商小组</w:t>
      </w:r>
    </w:p>
    <w:p>
      <w:pPr>
        <w:widowControl/>
        <w:spacing w:line="480" w:lineRule="auto"/>
        <w:ind w:firstLine="420" w:firstLineChars="200"/>
        <w:jc w:val="left"/>
        <w:rPr>
          <w:rFonts w:ascii="宋体" w:hAnsi="宋体" w:cs="仿宋_GB2312"/>
          <w:szCs w:val="21"/>
        </w:rPr>
      </w:pPr>
      <w:r>
        <w:rPr>
          <w:rFonts w:hint="eastAsia" w:ascii="宋体" w:hAnsi="宋体" w:cs="仿宋_GB2312"/>
          <w:kern w:val="0"/>
          <w:szCs w:val="21"/>
        </w:rPr>
        <w:t>22.1采购人依照相关法律法规组建磋商小组，磋商小组由3人以上单数组成。</w:t>
      </w:r>
    </w:p>
    <w:p>
      <w:pPr>
        <w:widowControl/>
        <w:spacing w:line="480" w:lineRule="auto"/>
        <w:ind w:firstLine="420" w:firstLineChars="200"/>
        <w:jc w:val="left"/>
        <w:rPr>
          <w:rFonts w:ascii="宋体" w:hAnsi="宋体" w:cs="仿宋_GB2312"/>
          <w:szCs w:val="21"/>
        </w:rPr>
      </w:pPr>
      <w:r>
        <w:rPr>
          <w:rFonts w:hint="eastAsia" w:ascii="宋体" w:hAnsi="宋体" w:cs="仿宋_GB2312"/>
          <w:kern w:val="0"/>
          <w:szCs w:val="21"/>
        </w:rPr>
        <w:t>22.2磋商小组中的评审专家人数不少于磋商小组成员总数的2/3。评审专家从政府采购评审专家库中随机抽取。</w:t>
      </w:r>
    </w:p>
    <w:p>
      <w:pPr>
        <w:widowControl/>
        <w:spacing w:line="480" w:lineRule="auto"/>
        <w:ind w:firstLine="420" w:firstLineChars="200"/>
        <w:jc w:val="left"/>
        <w:rPr>
          <w:rFonts w:ascii="宋体" w:hAnsi="宋体" w:cs="仿宋_GB2312"/>
          <w:kern w:val="0"/>
          <w:szCs w:val="21"/>
        </w:rPr>
      </w:pPr>
      <w:r>
        <w:rPr>
          <w:rFonts w:hint="eastAsia" w:ascii="宋体" w:hAnsi="宋体" w:cs="仿宋_GB2312"/>
          <w:kern w:val="0"/>
          <w:szCs w:val="21"/>
        </w:rPr>
        <w:t>22.3磋商小组所有成员按事先抽取的磋商顺序，集中与供应商分别进行磋商，并给予所有参加磋商的供应商平等的磋商机会。</w:t>
      </w:r>
    </w:p>
    <w:p>
      <w:pPr>
        <w:widowControl/>
        <w:spacing w:line="480" w:lineRule="auto"/>
        <w:ind w:firstLine="420" w:firstLineChars="200"/>
        <w:jc w:val="left"/>
        <w:rPr>
          <w:rFonts w:ascii="宋体" w:hAnsi="宋体" w:cs="仿宋_GB2312"/>
          <w:kern w:val="0"/>
          <w:szCs w:val="21"/>
        </w:rPr>
      </w:pPr>
      <w:r>
        <w:rPr>
          <w:rFonts w:hint="eastAsia" w:ascii="宋体" w:hAnsi="宋体" w:cs="仿宋_GB2312"/>
          <w:kern w:val="0"/>
          <w:szCs w:val="21"/>
        </w:rPr>
        <w:t>22.4竞争性磋商事务由竞争性磋商小组负责，并独立履行下列职责：</w:t>
      </w:r>
    </w:p>
    <w:p>
      <w:pPr>
        <w:widowControl/>
        <w:spacing w:line="480" w:lineRule="auto"/>
        <w:ind w:firstLine="420" w:firstLineChars="200"/>
        <w:jc w:val="left"/>
        <w:rPr>
          <w:rFonts w:ascii="宋体" w:hAnsi="宋体" w:cs="仿宋_GB2312"/>
          <w:kern w:val="0"/>
          <w:szCs w:val="21"/>
        </w:rPr>
      </w:pPr>
      <w:r>
        <w:rPr>
          <w:rFonts w:hint="eastAsia" w:ascii="宋体" w:hAnsi="宋体" w:cs="仿宋_GB2312"/>
          <w:kern w:val="0"/>
          <w:szCs w:val="21"/>
        </w:rPr>
        <w:t>（一）审查投标文件是否符合本文件要求，并作出评价；</w:t>
      </w:r>
    </w:p>
    <w:p>
      <w:pPr>
        <w:widowControl/>
        <w:spacing w:line="480" w:lineRule="auto"/>
        <w:ind w:firstLine="420" w:firstLineChars="200"/>
        <w:jc w:val="left"/>
        <w:rPr>
          <w:rFonts w:ascii="宋体" w:hAnsi="宋体" w:cs="仿宋_GB2312"/>
          <w:kern w:val="0"/>
          <w:szCs w:val="21"/>
        </w:rPr>
      </w:pPr>
      <w:r>
        <w:rPr>
          <w:rFonts w:hint="eastAsia" w:ascii="宋体" w:hAnsi="宋体" w:cs="仿宋_GB2312"/>
          <w:kern w:val="0"/>
          <w:szCs w:val="21"/>
        </w:rPr>
        <w:t>（二）要求供应商对投标文件有关事项作出澄清或答复；</w:t>
      </w:r>
    </w:p>
    <w:p>
      <w:pPr>
        <w:widowControl/>
        <w:spacing w:line="480" w:lineRule="auto"/>
        <w:ind w:firstLine="420" w:firstLineChars="200"/>
        <w:jc w:val="left"/>
        <w:rPr>
          <w:rFonts w:ascii="宋体" w:hAnsi="宋体" w:cs="仿宋_GB2312"/>
          <w:kern w:val="0"/>
          <w:szCs w:val="21"/>
        </w:rPr>
      </w:pPr>
      <w:r>
        <w:rPr>
          <w:rFonts w:hint="eastAsia" w:ascii="宋体" w:hAnsi="宋体" w:cs="仿宋_GB2312"/>
          <w:kern w:val="0"/>
          <w:szCs w:val="21"/>
        </w:rPr>
        <w:t>（三）推荐中标候选人排序；</w:t>
      </w:r>
    </w:p>
    <w:p>
      <w:pPr>
        <w:widowControl/>
        <w:spacing w:line="480" w:lineRule="auto"/>
        <w:ind w:firstLine="420" w:firstLineChars="200"/>
        <w:jc w:val="left"/>
        <w:rPr>
          <w:rFonts w:ascii="宋体" w:hAnsi="宋体" w:cs="仿宋_GB2312"/>
          <w:kern w:val="0"/>
          <w:szCs w:val="21"/>
        </w:rPr>
      </w:pPr>
      <w:r>
        <w:rPr>
          <w:rFonts w:hint="eastAsia" w:ascii="宋体" w:hAnsi="宋体" w:cs="仿宋_GB2312"/>
          <w:kern w:val="0"/>
          <w:szCs w:val="21"/>
        </w:rPr>
        <w:t>（四）向招标采购单位或者有关部门报告非法干预评标工作的行为。</w:t>
      </w:r>
    </w:p>
    <w:p>
      <w:pPr>
        <w:widowControl/>
        <w:spacing w:line="480" w:lineRule="auto"/>
        <w:ind w:firstLine="420" w:firstLineChars="200"/>
        <w:jc w:val="left"/>
        <w:rPr>
          <w:rFonts w:ascii="宋体" w:hAnsi="宋体" w:cs="仿宋_GB2312"/>
          <w:kern w:val="0"/>
          <w:szCs w:val="21"/>
        </w:rPr>
      </w:pPr>
      <w:r>
        <w:rPr>
          <w:rFonts w:hint="eastAsia" w:ascii="宋体" w:hAnsi="宋体" w:cs="仿宋_GB2312"/>
          <w:kern w:val="0"/>
          <w:szCs w:val="21"/>
        </w:rPr>
        <w:t>22.5竞争性磋商小组成员的义务</w:t>
      </w:r>
    </w:p>
    <w:p>
      <w:pPr>
        <w:widowControl/>
        <w:spacing w:line="480" w:lineRule="auto"/>
        <w:ind w:firstLine="420" w:firstLineChars="200"/>
        <w:jc w:val="left"/>
        <w:rPr>
          <w:rFonts w:ascii="宋体" w:hAnsi="宋体" w:cs="仿宋_GB2312"/>
          <w:kern w:val="0"/>
          <w:szCs w:val="21"/>
        </w:rPr>
      </w:pPr>
      <w:r>
        <w:rPr>
          <w:rFonts w:hint="eastAsia" w:ascii="宋体" w:hAnsi="宋体" w:cs="仿宋_GB2312"/>
          <w:kern w:val="0"/>
          <w:szCs w:val="21"/>
        </w:rPr>
        <w:t>（一）遵纪守法，客观、公正、廉洁地履行职责；</w:t>
      </w:r>
    </w:p>
    <w:p>
      <w:pPr>
        <w:widowControl/>
        <w:spacing w:line="480" w:lineRule="auto"/>
        <w:ind w:firstLine="420" w:firstLineChars="200"/>
        <w:jc w:val="left"/>
        <w:rPr>
          <w:rFonts w:ascii="宋体" w:hAnsi="宋体" w:cs="仿宋_GB2312"/>
          <w:kern w:val="0"/>
          <w:szCs w:val="21"/>
        </w:rPr>
      </w:pPr>
      <w:r>
        <w:rPr>
          <w:rFonts w:hint="eastAsia" w:ascii="宋体" w:hAnsi="宋体" w:cs="仿宋_GB2312"/>
          <w:kern w:val="0"/>
          <w:szCs w:val="21"/>
        </w:rPr>
        <w:t>（二）按照竞争性磋商文件规定的竞争性磋商方法和标准进行竞争性磋商，对评审意见承担个人责任；</w:t>
      </w:r>
    </w:p>
    <w:p>
      <w:pPr>
        <w:widowControl/>
        <w:spacing w:line="480" w:lineRule="auto"/>
        <w:ind w:firstLine="420" w:firstLineChars="200"/>
        <w:jc w:val="left"/>
        <w:rPr>
          <w:rFonts w:ascii="宋体" w:hAnsi="宋体" w:cs="仿宋_GB2312"/>
          <w:kern w:val="0"/>
          <w:szCs w:val="21"/>
        </w:rPr>
      </w:pPr>
      <w:r>
        <w:rPr>
          <w:rFonts w:hint="eastAsia" w:ascii="宋体" w:hAnsi="宋体" w:cs="仿宋_GB2312"/>
          <w:kern w:val="0"/>
          <w:szCs w:val="21"/>
        </w:rPr>
        <w:t>（三）对竞争性磋商过程和结果，以及供应商的商业秘密保密；</w:t>
      </w:r>
    </w:p>
    <w:p>
      <w:pPr>
        <w:widowControl/>
        <w:spacing w:line="480" w:lineRule="auto"/>
        <w:ind w:firstLine="420" w:firstLineChars="200"/>
        <w:jc w:val="left"/>
        <w:rPr>
          <w:rFonts w:ascii="宋体" w:hAnsi="宋体" w:cs="仿宋_GB2312"/>
          <w:kern w:val="0"/>
          <w:szCs w:val="21"/>
        </w:rPr>
      </w:pPr>
      <w:r>
        <w:rPr>
          <w:rFonts w:hint="eastAsia" w:ascii="宋体" w:hAnsi="宋体" w:cs="仿宋_GB2312"/>
          <w:kern w:val="0"/>
          <w:szCs w:val="21"/>
        </w:rPr>
        <w:t>（四）参与评标报告的起草；</w:t>
      </w:r>
    </w:p>
    <w:p>
      <w:pPr>
        <w:widowControl/>
        <w:spacing w:line="480" w:lineRule="auto"/>
        <w:ind w:firstLine="420" w:firstLineChars="200"/>
        <w:jc w:val="left"/>
        <w:rPr>
          <w:rFonts w:ascii="宋体" w:hAnsi="宋体" w:cs="仿宋_GB2312"/>
          <w:kern w:val="0"/>
          <w:szCs w:val="21"/>
        </w:rPr>
      </w:pPr>
      <w:r>
        <w:rPr>
          <w:rFonts w:hint="eastAsia" w:ascii="宋体" w:hAnsi="宋体" w:cs="仿宋_GB2312"/>
          <w:kern w:val="0"/>
          <w:szCs w:val="21"/>
        </w:rPr>
        <w:t>（五）配合招标采购单位答复供应商提出的质疑。</w:t>
      </w:r>
    </w:p>
    <w:p>
      <w:pPr>
        <w:widowControl/>
        <w:spacing w:line="480" w:lineRule="auto"/>
        <w:ind w:firstLine="422" w:firstLineChars="200"/>
        <w:jc w:val="left"/>
        <w:rPr>
          <w:rFonts w:ascii="宋体" w:hAnsi="宋体" w:cs="仿宋_GB2312"/>
          <w:szCs w:val="21"/>
        </w:rPr>
      </w:pPr>
      <w:r>
        <w:rPr>
          <w:rFonts w:hint="eastAsia" w:ascii="宋体" w:hAnsi="宋体" w:cs="仿宋_GB2312"/>
          <w:b/>
          <w:kern w:val="0"/>
          <w:szCs w:val="21"/>
        </w:rPr>
        <w:t>23、磋商代表</w:t>
      </w:r>
    </w:p>
    <w:p>
      <w:pPr>
        <w:widowControl/>
        <w:spacing w:line="480" w:lineRule="auto"/>
        <w:ind w:firstLine="422" w:firstLineChars="200"/>
        <w:jc w:val="left"/>
        <w:rPr>
          <w:rFonts w:ascii="宋体" w:hAnsi="宋体" w:cs="仿宋_GB2312"/>
          <w:szCs w:val="21"/>
        </w:rPr>
      </w:pPr>
      <w:r>
        <w:rPr>
          <w:rFonts w:hint="eastAsia" w:ascii="宋体" w:hAnsi="宋体" w:cs="仿宋_GB2312"/>
          <w:b/>
          <w:kern w:val="0"/>
          <w:szCs w:val="21"/>
        </w:rPr>
        <w:t>23.1</w:t>
      </w:r>
      <w:r>
        <w:rPr>
          <w:rFonts w:hint="eastAsia" w:ascii="宋体" w:hAnsi="宋体" w:cs="仿宋_GB2312"/>
          <w:kern w:val="0"/>
          <w:szCs w:val="21"/>
        </w:rPr>
        <w:t>供应商法定代表人或授权代表应携带本人身份证明参加磋商，授权代表参加磋商的，还应携带法定代表人授权书原件。磋商代表经磋商小组核对身份后，方可参加磋商。</w:t>
      </w:r>
    </w:p>
    <w:p>
      <w:pPr>
        <w:widowControl/>
        <w:spacing w:line="480" w:lineRule="auto"/>
        <w:ind w:firstLine="422" w:firstLineChars="200"/>
        <w:jc w:val="left"/>
        <w:rPr>
          <w:rFonts w:ascii="宋体" w:hAnsi="宋体" w:cs="仿宋_GB2312"/>
          <w:szCs w:val="21"/>
        </w:rPr>
      </w:pPr>
      <w:r>
        <w:rPr>
          <w:rFonts w:hint="eastAsia" w:ascii="宋体" w:hAnsi="宋体" w:cs="仿宋_GB2312"/>
          <w:b/>
          <w:kern w:val="0"/>
          <w:szCs w:val="21"/>
        </w:rPr>
        <w:t>24、资格审查和符合性审查</w:t>
      </w:r>
    </w:p>
    <w:p>
      <w:pPr>
        <w:widowControl/>
        <w:spacing w:line="480" w:lineRule="auto"/>
        <w:ind w:firstLine="420" w:firstLineChars="200"/>
        <w:jc w:val="left"/>
        <w:rPr>
          <w:rFonts w:ascii="宋体" w:hAnsi="宋体" w:cs="仿宋_GB2312"/>
          <w:szCs w:val="21"/>
        </w:rPr>
      </w:pPr>
      <w:r>
        <w:rPr>
          <w:rFonts w:hint="eastAsia" w:ascii="宋体" w:hAnsi="宋体" w:cs="仿宋_GB2312"/>
          <w:kern w:val="0"/>
          <w:szCs w:val="21"/>
        </w:rPr>
        <w:t>24.1在正式磋商前，按本磋商文件第四章规定的程序和方法，对供应商进行资格性审查和符合性审查，通过资格性审查和符合性审查，实质性响应磋商文件的供应商方可进入磋商程序。</w:t>
      </w:r>
    </w:p>
    <w:p>
      <w:pPr>
        <w:widowControl/>
        <w:spacing w:line="480" w:lineRule="auto"/>
        <w:ind w:firstLine="422" w:firstLineChars="200"/>
        <w:jc w:val="left"/>
        <w:rPr>
          <w:rFonts w:ascii="宋体" w:hAnsi="宋体" w:cs="仿宋_GB2312"/>
          <w:szCs w:val="21"/>
        </w:rPr>
      </w:pPr>
      <w:r>
        <w:rPr>
          <w:rFonts w:hint="eastAsia" w:ascii="宋体" w:hAnsi="宋体" w:cs="仿宋_GB2312"/>
          <w:b/>
          <w:kern w:val="0"/>
          <w:szCs w:val="21"/>
        </w:rPr>
        <w:t>25、磋商</w:t>
      </w:r>
    </w:p>
    <w:p>
      <w:pPr>
        <w:widowControl/>
        <w:spacing w:line="480" w:lineRule="auto"/>
        <w:ind w:firstLine="420" w:firstLineChars="200"/>
        <w:jc w:val="left"/>
        <w:rPr>
          <w:rFonts w:ascii="宋体" w:hAnsi="宋体" w:cs="仿宋_GB2312"/>
          <w:szCs w:val="21"/>
        </w:rPr>
      </w:pPr>
      <w:r>
        <w:rPr>
          <w:rFonts w:hint="eastAsia" w:ascii="宋体" w:hAnsi="宋体" w:cs="仿宋_GB2312"/>
          <w:kern w:val="0"/>
          <w:szCs w:val="21"/>
        </w:rPr>
        <w:t>25.1磋商小组将根据本磋商文件第四章规定的程序和方法进行磋商。在磋商中，磋商的任何一方不得透露与磋商有关的其他供应商的技术资料、价格和其他信息。</w:t>
      </w:r>
    </w:p>
    <w:p>
      <w:pPr>
        <w:widowControl/>
        <w:spacing w:line="480" w:lineRule="auto"/>
        <w:ind w:firstLine="420" w:firstLineChars="200"/>
        <w:jc w:val="left"/>
        <w:rPr>
          <w:rFonts w:ascii="宋体" w:hAnsi="宋体" w:cs="仿宋_GB2312"/>
          <w:szCs w:val="21"/>
        </w:rPr>
      </w:pPr>
      <w:r>
        <w:rPr>
          <w:rFonts w:hint="eastAsia" w:ascii="宋体" w:hAnsi="宋体" w:cs="仿宋_GB2312"/>
          <w:kern w:val="0"/>
          <w:szCs w:val="21"/>
        </w:rPr>
        <w:t>25.2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以书面形式同时通知所有供应商，并提供必要的修正时间。</w:t>
      </w:r>
    </w:p>
    <w:p>
      <w:pPr>
        <w:widowControl/>
        <w:spacing w:line="480" w:lineRule="auto"/>
        <w:ind w:firstLine="420" w:firstLineChars="200"/>
        <w:jc w:val="left"/>
        <w:rPr>
          <w:rFonts w:ascii="宋体" w:hAnsi="宋体" w:cs="仿宋_GB2312"/>
          <w:szCs w:val="21"/>
        </w:rPr>
      </w:pPr>
      <w:r>
        <w:rPr>
          <w:rFonts w:hint="eastAsia" w:ascii="宋体" w:hAnsi="宋体" w:cs="仿宋_GB2312"/>
          <w:kern w:val="0"/>
          <w:szCs w:val="21"/>
        </w:rPr>
        <w:t>25.3供应商应当按照磋商文件的变动情况和磋商小组的要求重新提交响应文件，对原响应文件进行技术、商务、价格修正，重新提交的响应文件应实质性响应本磋商文件及对磋商文件作出的实质性变动，并按本采购文件的规定进行签署。重新提交的响应文件与原响应文件不一致的，以重新提交的响应文件为准。不按要求签署或逾时不提交响应文件的，视同放弃磋商。</w:t>
      </w:r>
    </w:p>
    <w:p>
      <w:pPr>
        <w:widowControl/>
        <w:spacing w:line="480" w:lineRule="auto"/>
        <w:ind w:firstLine="420" w:firstLineChars="200"/>
        <w:jc w:val="left"/>
        <w:rPr>
          <w:rFonts w:ascii="宋体" w:hAnsi="宋体" w:cs="仿宋_GB2312"/>
          <w:szCs w:val="21"/>
        </w:rPr>
      </w:pPr>
      <w:r>
        <w:rPr>
          <w:rFonts w:hint="eastAsia" w:ascii="宋体" w:hAnsi="宋体" w:cs="仿宋_GB2312"/>
          <w:kern w:val="0"/>
          <w:szCs w:val="21"/>
        </w:rPr>
        <w:t>25.4最后报价</w:t>
      </w:r>
    </w:p>
    <w:p>
      <w:pPr>
        <w:widowControl/>
        <w:spacing w:line="480" w:lineRule="auto"/>
        <w:ind w:firstLine="420" w:firstLineChars="200"/>
        <w:jc w:val="left"/>
        <w:rPr>
          <w:rFonts w:ascii="宋体" w:hAnsi="宋体" w:cs="仿宋_GB2312"/>
          <w:kern w:val="0"/>
          <w:szCs w:val="21"/>
        </w:rPr>
      </w:pPr>
      <w:r>
        <w:rPr>
          <w:rFonts w:hint="eastAsia" w:ascii="宋体" w:hAnsi="宋体" w:cs="仿宋_GB2312"/>
          <w:kern w:val="0"/>
          <w:szCs w:val="21"/>
        </w:rPr>
        <w:t>采购代理机构将最后报价表发放至通过初步审查的供应商，要求供应商在指定的时间内提交最后报价，</w:t>
      </w:r>
      <w:r>
        <w:rPr>
          <w:rFonts w:hint="eastAsia" w:ascii="宋体" w:hAnsi="宋体"/>
          <w:szCs w:val="21"/>
        </w:rPr>
        <w:t>供应商最后报价当众拆封，当众宣布，并由供应商签字确认。</w:t>
      </w:r>
      <w:r>
        <w:rPr>
          <w:rFonts w:hint="eastAsia" w:ascii="宋体" w:hAnsi="宋体" w:cs="仿宋_GB2312"/>
          <w:kern w:val="0"/>
          <w:szCs w:val="21"/>
        </w:rPr>
        <w:t>最后报价为本次竞争性磋商不可变动的最终价格。</w:t>
      </w:r>
    </w:p>
    <w:p>
      <w:pPr>
        <w:widowControl/>
        <w:spacing w:line="480" w:lineRule="auto"/>
        <w:ind w:firstLine="420" w:firstLineChars="200"/>
        <w:jc w:val="left"/>
        <w:rPr>
          <w:rFonts w:ascii="宋体" w:hAnsi="宋体" w:cs="仿宋_GB2312"/>
          <w:szCs w:val="21"/>
        </w:rPr>
      </w:pPr>
      <w:r>
        <w:rPr>
          <w:rFonts w:hint="eastAsia" w:ascii="宋体" w:hAnsi="宋体" w:cs="仿宋_GB2312"/>
          <w:kern w:val="0"/>
          <w:szCs w:val="21"/>
        </w:rPr>
        <w:t>磋商文件能够详细列明采购标的的技术、服务要求的，磋商结束后，磋商小组应当要求所有继续参加磋商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widowControl/>
        <w:spacing w:line="480" w:lineRule="auto"/>
        <w:ind w:firstLine="420" w:firstLineChars="200"/>
        <w:jc w:val="left"/>
        <w:rPr>
          <w:rFonts w:ascii="宋体" w:hAnsi="宋体" w:cs="仿宋_GB2312"/>
          <w:kern w:val="0"/>
          <w:szCs w:val="21"/>
        </w:rPr>
      </w:pPr>
      <w:r>
        <w:rPr>
          <w:rFonts w:hint="eastAsia" w:ascii="宋体" w:hAnsi="宋体" w:cs="仿宋_GB2312"/>
          <w:kern w:val="0"/>
          <w:szCs w:val="21"/>
        </w:rPr>
        <w:t>25.5如有需要，磋商小组可进行多轮磋商，直至最终确定竞争性磋商采购文件采购需求中的技术、服务要求以及合同草案条款。如竞争性磋商采购文件无需修改，可直接要求供应商提交最后报价。</w:t>
      </w:r>
    </w:p>
    <w:p>
      <w:pPr>
        <w:pStyle w:val="72"/>
        <w:spacing w:line="480" w:lineRule="auto"/>
        <w:ind w:firstLine="420" w:firstLineChars="200"/>
        <w:rPr>
          <w:rFonts w:ascii="宋体" w:hAnsi="宋体" w:eastAsia="宋体" w:cs="仿宋_GB2312"/>
          <w:color w:val="auto"/>
          <w:sz w:val="21"/>
          <w:szCs w:val="21"/>
        </w:rPr>
      </w:pPr>
      <w:r>
        <w:rPr>
          <w:rFonts w:hint="eastAsia" w:ascii="宋体" w:hAnsi="宋体" w:eastAsia="宋体" w:cs="仿宋_GB2312"/>
          <w:color w:val="auto"/>
          <w:sz w:val="21"/>
          <w:szCs w:val="21"/>
        </w:rPr>
        <w:t>25.6 磋商小组认为成交候选人投标价或某些分项报价明显不合理或低于成本，有可能影响商品质量和不能诚信履约的，可要求其在规定期限内提供书面文件及相关证明材料解释说明；否则，可取消其候选资格，按排名顺序递补候选人，以此类推。</w:t>
      </w:r>
    </w:p>
    <w:p>
      <w:pPr>
        <w:widowControl/>
        <w:spacing w:line="480" w:lineRule="auto"/>
        <w:ind w:firstLine="420" w:firstLineChars="200"/>
        <w:jc w:val="left"/>
        <w:rPr>
          <w:rFonts w:ascii="宋体" w:hAnsi="宋体" w:cs="仿宋_GB2312"/>
          <w:szCs w:val="21"/>
        </w:rPr>
      </w:pPr>
      <w:r>
        <w:rPr>
          <w:rFonts w:hint="eastAsia" w:ascii="宋体" w:hAnsi="宋体" w:cs="仿宋_GB2312"/>
          <w:kern w:val="0"/>
          <w:szCs w:val="21"/>
        </w:rPr>
        <w:t>25.7磋商小组审核完最终报价后，根据竞争性磋商采购文件规定的评定办法推荐成交候选人或根据采购人的书面授权直接确定成交供应商。</w:t>
      </w:r>
    </w:p>
    <w:p>
      <w:pPr>
        <w:widowControl/>
        <w:spacing w:line="480" w:lineRule="auto"/>
        <w:ind w:firstLine="420" w:firstLineChars="200"/>
        <w:jc w:val="left"/>
        <w:rPr>
          <w:rFonts w:ascii="宋体" w:hAnsi="宋体" w:cs="仿宋_GB2312"/>
          <w:szCs w:val="21"/>
        </w:rPr>
      </w:pPr>
      <w:r>
        <w:rPr>
          <w:rFonts w:hint="eastAsia" w:ascii="宋体" w:hAnsi="宋体" w:cs="仿宋_GB2312"/>
          <w:kern w:val="0"/>
          <w:szCs w:val="21"/>
        </w:rPr>
        <w:t>25.8磋商小组对磋商过程和重要磋商内容进行记录，磋商双方在记录上签字确认。</w:t>
      </w:r>
    </w:p>
    <w:p>
      <w:pPr>
        <w:widowControl/>
        <w:spacing w:line="480" w:lineRule="auto"/>
        <w:ind w:firstLine="422" w:firstLineChars="200"/>
        <w:jc w:val="left"/>
        <w:rPr>
          <w:rFonts w:ascii="宋体" w:hAnsi="宋体" w:cs="仿宋_GB2312"/>
          <w:szCs w:val="21"/>
        </w:rPr>
      </w:pPr>
      <w:r>
        <w:rPr>
          <w:rFonts w:hint="eastAsia" w:ascii="宋体" w:hAnsi="宋体" w:cs="仿宋_GB2312"/>
          <w:b/>
          <w:kern w:val="0"/>
          <w:szCs w:val="21"/>
        </w:rPr>
        <w:t>26、保密</w:t>
      </w:r>
    </w:p>
    <w:p>
      <w:pPr>
        <w:widowControl/>
        <w:spacing w:line="480" w:lineRule="auto"/>
        <w:ind w:firstLine="420" w:firstLineChars="200"/>
        <w:jc w:val="left"/>
        <w:rPr>
          <w:rFonts w:ascii="宋体" w:hAnsi="宋体" w:cs="仿宋_GB2312"/>
          <w:szCs w:val="21"/>
        </w:rPr>
      </w:pPr>
      <w:r>
        <w:rPr>
          <w:rFonts w:hint="eastAsia" w:ascii="宋体" w:hAnsi="宋体" w:cs="仿宋_GB2312"/>
          <w:kern w:val="0"/>
          <w:szCs w:val="21"/>
        </w:rPr>
        <w:t>26.1凡是属于审查、澄清、评价和比较的有关资料以及授标意向等，采购人、采购代理机构、监管人员、磋商小组及有关工作人员均不得向供应商或其他无关的人员透露。</w:t>
      </w:r>
    </w:p>
    <w:p>
      <w:pPr>
        <w:pStyle w:val="2"/>
      </w:pPr>
      <w:bookmarkStart w:id="11" w:name="_Toc26089"/>
      <w:r>
        <w:rPr>
          <w:rFonts w:hint="eastAsia"/>
        </w:rPr>
        <w:t>六、中标与签订合同</w:t>
      </w:r>
      <w:bookmarkEnd w:id="11"/>
    </w:p>
    <w:p>
      <w:pPr>
        <w:widowControl/>
        <w:spacing w:line="480" w:lineRule="auto"/>
        <w:ind w:firstLine="422" w:firstLineChars="200"/>
        <w:jc w:val="left"/>
        <w:rPr>
          <w:rFonts w:ascii="宋体" w:hAnsi="宋体" w:cs="仿宋_GB2312"/>
          <w:szCs w:val="21"/>
        </w:rPr>
      </w:pPr>
      <w:r>
        <w:rPr>
          <w:rFonts w:hint="eastAsia" w:ascii="宋体" w:hAnsi="宋体" w:cs="仿宋_GB2312"/>
          <w:b/>
          <w:kern w:val="0"/>
          <w:szCs w:val="21"/>
        </w:rPr>
        <w:t>27、</w:t>
      </w:r>
      <w:r>
        <w:rPr>
          <w:rFonts w:hint="eastAsia" w:ascii="宋体" w:hAnsi="宋体" w:cs="仿宋_GB2312"/>
          <w:b/>
          <w:bCs/>
          <w:kern w:val="0"/>
          <w:szCs w:val="21"/>
        </w:rPr>
        <w:t>中标通知</w:t>
      </w:r>
    </w:p>
    <w:p>
      <w:pPr>
        <w:spacing w:before="100" w:beforeAutospacing="1" w:after="100" w:afterAutospacing="1" w:line="360" w:lineRule="auto"/>
        <w:ind w:left="625" w:leftChars="203" w:hanging="199" w:hangingChars="95"/>
        <w:rPr>
          <w:rFonts w:ascii="宋体" w:hAnsi="宋体"/>
          <w:szCs w:val="21"/>
        </w:rPr>
      </w:pPr>
      <w:r>
        <w:rPr>
          <w:rFonts w:hint="eastAsia" w:ascii="宋体" w:hAnsi="宋体"/>
          <w:szCs w:val="21"/>
        </w:rPr>
        <w:t>27.1评标结束，确定成交供应商后，采购代理机构将中国政府采购网上公示中标结果公告。</w:t>
      </w:r>
    </w:p>
    <w:p>
      <w:pPr>
        <w:spacing w:before="100" w:beforeAutospacing="1" w:after="100" w:afterAutospacing="1" w:line="360" w:lineRule="auto"/>
        <w:ind w:left="625" w:leftChars="203" w:hanging="199" w:hangingChars="95"/>
        <w:rPr>
          <w:rFonts w:ascii="宋体" w:hAnsi="宋体"/>
          <w:szCs w:val="21"/>
        </w:rPr>
      </w:pPr>
      <w:r>
        <w:rPr>
          <w:rFonts w:hint="eastAsia" w:ascii="宋体" w:hAnsi="宋体"/>
          <w:szCs w:val="21"/>
        </w:rPr>
        <w:t>27.2采购代理机构不向落标的供应商解释落标原因，不退还投标文件。</w:t>
      </w:r>
    </w:p>
    <w:p>
      <w:pPr>
        <w:spacing w:before="100" w:beforeAutospacing="1" w:after="100" w:afterAutospacing="1" w:line="360" w:lineRule="auto"/>
        <w:ind w:left="625" w:leftChars="203" w:hanging="199" w:hangingChars="95"/>
        <w:rPr>
          <w:rFonts w:ascii="宋体" w:hAnsi="宋体"/>
          <w:szCs w:val="21"/>
        </w:rPr>
      </w:pPr>
      <w:r>
        <w:rPr>
          <w:rFonts w:hint="eastAsia" w:ascii="宋体" w:hAnsi="宋体"/>
          <w:szCs w:val="21"/>
        </w:rPr>
        <w:t>27.3供应商对中标结果有异议的，按规定质疑、投诉规定办理。</w:t>
      </w:r>
    </w:p>
    <w:p>
      <w:pPr>
        <w:widowControl/>
        <w:spacing w:line="480" w:lineRule="auto"/>
        <w:ind w:firstLine="422" w:firstLineChars="200"/>
        <w:jc w:val="left"/>
        <w:rPr>
          <w:rFonts w:ascii="宋体" w:hAnsi="宋体" w:cs="仿宋_GB2312"/>
          <w:szCs w:val="21"/>
        </w:rPr>
      </w:pPr>
      <w:r>
        <w:rPr>
          <w:rFonts w:hint="eastAsia" w:ascii="宋体" w:hAnsi="宋体" w:cs="仿宋_GB2312"/>
          <w:b/>
          <w:kern w:val="0"/>
          <w:szCs w:val="21"/>
        </w:rPr>
        <w:t>28、签订合同</w:t>
      </w:r>
    </w:p>
    <w:p>
      <w:pPr>
        <w:widowControl/>
        <w:spacing w:line="480" w:lineRule="auto"/>
        <w:ind w:firstLine="420" w:firstLineChars="200"/>
        <w:jc w:val="left"/>
        <w:rPr>
          <w:rFonts w:ascii="宋体" w:hAnsi="宋体" w:cs="仿宋_GB2312"/>
          <w:kern w:val="0"/>
          <w:szCs w:val="21"/>
        </w:rPr>
      </w:pPr>
      <w:r>
        <w:rPr>
          <w:rFonts w:hint="eastAsia" w:ascii="宋体" w:hAnsi="宋体" w:cs="仿宋_GB2312"/>
          <w:kern w:val="0"/>
          <w:szCs w:val="21"/>
        </w:rPr>
        <w:t>28.1竞争性磋商采购文件对履约保证金有规定的，成交供应商应按规定在签订合同前缴纳履约保证金。</w:t>
      </w:r>
    </w:p>
    <w:p>
      <w:pPr>
        <w:spacing w:before="100" w:beforeAutospacing="1" w:after="100" w:afterAutospacing="1" w:line="360" w:lineRule="auto"/>
        <w:ind w:firstLine="424" w:firstLineChars="202"/>
        <w:rPr>
          <w:rFonts w:ascii="宋体" w:hAnsi="宋体"/>
          <w:szCs w:val="21"/>
        </w:rPr>
      </w:pPr>
      <w:r>
        <w:rPr>
          <w:rFonts w:hint="eastAsia" w:ascii="宋体" w:hAnsi="宋体"/>
          <w:szCs w:val="21"/>
        </w:rPr>
        <w:t>28.1签订合同前，采购人可对成交人的投标文件（含答复、补充文件）和投标产品技术参数进行真实性查验，凡有虚假的，其中标无效，并依据有关规定给予违法违规处理。</w:t>
      </w:r>
    </w:p>
    <w:p>
      <w:pPr>
        <w:spacing w:before="100" w:beforeAutospacing="1" w:after="100" w:afterAutospacing="1" w:line="360" w:lineRule="auto"/>
        <w:ind w:firstLine="424" w:firstLineChars="202"/>
        <w:rPr>
          <w:rFonts w:ascii="宋体" w:hAnsi="宋体"/>
          <w:b/>
          <w:szCs w:val="21"/>
        </w:rPr>
      </w:pPr>
      <w:r>
        <w:rPr>
          <w:rFonts w:hint="eastAsia" w:ascii="宋体" w:hAnsi="宋体" w:cs="仿宋_GB2312"/>
          <w:kern w:val="0"/>
          <w:szCs w:val="21"/>
        </w:rPr>
        <w:t>28.2采购人在中标通知书发出之日起30日内，</w:t>
      </w:r>
      <w:r>
        <w:rPr>
          <w:rFonts w:hint="eastAsia" w:ascii="宋体" w:hAnsi="宋体"/>
          <w:szCs w:val="21"/>
        </w:rPr>
        <w:t>与成交供应商按相关规定并签订合同。</w:t>
      </w:r>
      <w:r>
        <w:rPr>
          <w:rFonts w:hint="eastAsia" w:ascii="宋体" w:hAnsi="宋体"/>
          <w:b/>
          <w:szCs w:val="21"/>
        </w:rPr>
        <w:t>合同有关单价等按成交人最终报价与第1轮次报价的变动比例作相应调整</w:t>
      </w:r>
      <w:r>
        <w:rPr>
          <w:rFonts w:hint="eastAsia" w:ascii="宋体" w:hAnsi="宋体" w:cs="仿宋_GB2312"/>
          <w:kern w:val="0"/>
          <w:szCs w:val="21"/>
        </w:rPr>
        <w:t>。</w:t>
      </w:r>
    </w:p>
    <w:p>
      <w:pPr>
        <w:widowControl/>
        <w:spacing w:line="480" w:lineRule="auto"/>
        <w:ind w:firstLine="420" w:firstLineChars="200"/>
        <w:jc w:val="left"/>
        <w:rPr>
          <w:rFonts w:ascii="宋体" w:hAnsi="宋体" w:cs="仿宋_GB2312"/>
          <w:szCs w:val="21"/>
        </w:rPr>
      </w:pPr>
      <w:r>
        <w:rPr>
          <w:rFonts w:hint="eastAsia" w:ascii="宋体" w:hAnsi="宋体" w:cs="仿宋_GB2312"/>
          <w:kern w:val="0"/>
          <w:szCs w:val="21"/>
        </w:rPr>
        <w:t>28.3采购人与成交供应商应按竞争性磋商采购文件要求和成交供应商的竞争性磋商响应文件承诺订立书面合同，不得超出竞争性磋商采购文件和成交供应商竞争性磋商响应文件的范围，也不得再行订立背离合同实质性内容的其他协议。</w:t>
      </w:r>
    </w:p>
    <w:p>
      <w:pPr>
        <w:widowControl/>
        <w:spacing w:line="480" w:lineRule="auto"/>
        <w:ind w:firstLine="420" w:firstLineChars="200"/>
        <w:jc w:val="left"/>
        <w:rPr>
          <w:rFonts w:ascii="宋体" w:hAnsi="宋体" w:cs="仿宋_GB2312"/>
          <w:szCs w:val="21"/>
        </w:rPr>
      </w:pPr>
      <w:r>
        <w:rPr>
          <w:rFonts w:hint="eastAsia" w:ascii="宋体" w:hAnsi="宋体" w:cs="仿宋_GB2312"/>
          <w:kern w:val="0"/>
          <w:szCs w:val="21"/>
        </w:rPr>
        <w:t>28.4除不可抗力等因素外，成交通知书发出后，采购人改变成交结果，或者成交供应商拒绝签订合同的，应当承担相应的法律责任。成交供应商拒绝签订合同的，采购人可以按照相关规定的原则确定其他供应商作为成交供应商并签订合同，也可以重新开展采购活动。拒绝签订合同的成交供应商不得参加对该项目重新开展的采购活动。</w:t>
      </w:r>
    </w:p>
    <w:p>
      <w:pPr>
        <w:pStyle w:val="2"/>
      </w:pPr>
      <w:bookmarkStart w:id="12" w:name="_Toc14440"/>
      <w:r>
        <w:rPr>
          <w:rFonts w:hint="eastAsia"/>
        </w:rPr>
        <w:t>七、质疑投诉</w:t>
      </w:r>
      <w:bookmarkEnd w:id="12"/>
    </w:p>
    <w:p>
      <w:pPr>
        <w:widowControl/>
        <w:spacing w:line="480" w:lineRule="auto"/>
        <w:ind w:firstLine="420" w:firstLineChars="200"/>
        <w:jc w:val="left"/>
        <w:rPr>
          <w:rFonts w:ascii="宋体" w:hAnsi="宋体" w:cs="仿宋_GB2312"/>
          <w:szCs w:val="21"/>
        </w:rPr>
      </w:pPr>
      <w:r>
        <w:rPr>
          <w:rFonts w:hint="eastAsia" w:ascii="宋体" w:hAnsi="宋体" w:cs="仿宋_GB2312"/>
          <w:kern w:val="0"/>
          <w:szCs w:val="21"/>
        </w:rPr>
        <w:t>供应商认为采购文件、采购过程、中标或者成交结果使自己的权益受到损害的，可以在知道或者应知其权益受到损害之日起7个工作日内，以书面形式向采购人、采购代理机构提出质疑。质疑供应商应当在法定质疑期内一次性提出针对同一采购程序环节的质疑。采购人、采购代理机构在收到质疑函后7个工作日内作出答复。</w:t>
      </w:r>
    </w:p>
    <w:p>
      <w:pPr>
        <w:pStyle w:val="2"/>
      </w:pPr>
      <w:bookmarkStart w:id="13" w:name="_Toc14162"/>
      <w:r>
        <w:rPr>
          <w:rFonts w:hint="eastAsia"/>
        </w:rPr>
        <w:t>八、其他要求</w:t>
      </w:r>
      <w:bookmarkEnd w:id="13"/>
    </w:p>
    <w:p>
      <w:pPr>
        <w:widowControl/>
        <w:spacing w:line="480" w:lineRule="auto"/>
        <w:ind w:firstLine="424" w:firstLineChars="201"/>
        <w:jc w:val="left"/>
        <w:rPr>
          <w:rFonts w:ascii="宋体" w:hAnsi="宋体" w:cs="仿宋_GB2312"/>
          <w:b/>
          <w:kern w:val="0"/>
          <w:szCs w:val="21"/>
        </w:rPr>
      </w:pPr>
      <w:r>
        <w:rPr>
          <w:rFonts w:hint="eastAsia" w:ascii="宋体" w:hAnsi="宋体" w:cs="仿宋_GB2312"/>
          <w:b/>
          <w:kern w:val="0"/>
          <w:szCs w:val="21"/>
        </w:rPr>
        <w:t>29知识产权及版权的说明</w:t>
      </w:r>
    </w:p>
    <w:p>
      <w:pPr>
        <w:widowControl/>
        <w:spacing w:line="480" w:lineRule="auto"/>
        <w:ind w:firstLine="420" w:firstLineChars="200"/>
        <w:jc w:val="left"/>
        <w:rPr>
          <w:rFonts w:ascii="宋体" w:hAnsi="宋体" w:cs="仿宋_GB2312"/>
          <w:bCs/>
          <w:kern w:val="0"/>
          <w:szCs w:val="21"/>
        </w:rPr>
      </w:pPr>
      <w:r>
        <w:rPr>
          <w:rFonts w:hint="eastAsia" w:ascii="宋体" w:hAnsi="宋体" w:cs="仿宋_GB2312"/>
          <w:bCs/>
          <w:kern w:val="0"/>
          <w:szCs w:val="21"/>
        </w:rPr>
        <w:t>29.1供应商应保证，采购人在中华人民共和国接受其所提供的服务或服务的任何一部分时，采购人和采购代理机构免受第三方提出侵犯其专利权、商标权或其它知识产权的起诉。供应商应作出相关承诺。</w:t>
      </w:r>
    </w:p>
    <w:p>
      <w:pPr>
        <w:widowControl/>
        <w:spacing w:line="480" w:lineRule="auto"/>
        <w:ind w:firstLine="420" w:firstLineChars="200"/>
        <w:jc w:val="left"/>
        <w:rPr>
          <w:rFonts w:ascii="宋体" w:hAnsi="宋体" w:cs="仿宋_GB2312"/>
          <w:bCs/>
          <w:kern w:val="0"/>
          <w:szCs w:val="21"/>
        </w:rPr>
      </w:pPr>
      <w:r>
        <w:rPr>
          <w:rFonts w:hint="eastAsia" w:ascii="宋体" w:hAnsi="宋体" w:cs="仿宋_GB2312"/>
          <w:bCs/>
          <w:kern w:val="0"/>
          <w:szCs w:val="21"/>
        </w:rPr>
        <w:t>29.2投标总价应包括所有设备费用、运输费用、安装费用及售后服务培训、指导等相关费用。</w:t>
      </w:r>
    </w:p>
    <w:p>
      <w:pPr>
        <w:widowControl/>
        <w:spacing w:line="480" w:lineRule="auto"/>
        <w:ind w:firstLine="420" w:firstLineChars="200"/>
        <w:jc w:val="left"/>
        <w:rPr>
          <w:rFonts w:ascii="宋体" w:hAnsi="宋体" w:cs="仿宋_GB2312"/>
          <w:bCs/>
          <w:kern w:val="0"/>
          <w:szCs w:val="21"/>
        </w:rPr>
      </w:pPr>
      <w:r>
        <w:rPr>
          <w:rFonts w:hint="eastAsia" w:ascii="宋体" w:hAnsi="宋体" w:cs="仿宋_GB2312"/>
          <w:bCs/>
          <w:kern w:val="0"/>
          <w:szCs w:val="21"/>
        </w:rPr>
        <w:t>29.3验收标准：需通过行政主管部门组织有关部门代表和有关专家组成的专家组的评审。</w:t>
      </w:r>
    </w:p>
    <w:p>
      <w:pPr>
        <w:widowControl/>
        <w:spacing w:line="480" w:lineRule="auto"/>
        <w:ind w:firstLine="420" w:firstLineChars="200"/>
        <w:jc w:val="left"/>
        <w:rPr>
          <w:rFonts w:ascii="宋体" w:hAnsi="宋体" w:cs="仿宋_GB2312"/>
          <w:bCs/>
          <w:kern w:val="0"/>
          <w:szCs w:val="21"/>
        </w:rPr>
      </w:pPr>
      <w:r>
        <w:rPr>
          <w:rFonts w:hint="eastAsia" w:ascii="宋体" w:hAnsi="宋体" w:cs="仿宋_GB2312"/>
          <w:bCs/>
          <w:kern w:val="0"/>
          <w:szCs w:val="21"/>
        </w:rPr>
        <w:t>29.3供应商在保证质量的前提下，应能按时完成所有工作内容。</w:t>
      </w:r>
    </w:p>
    <w:p>
      <w:pPr>
        <w:widowControl/>
        <w:spacing w:line="480" w:lineRule="auto"/>
        <w:ind w:firstLine="420" w:firstLineChars="200"/>
        <w:jc w:val="left"/>
        <w:rPr>
          <w:rFonts w:ascii="宋体" w:hAnsi="宋体" w:cs="仿宋_GB2312"/>
          <w:szCs w:val="21"/>
        </w:rPr>
      </w:pPr>
      <w:r>
        <w:rPr>
          <w:rFonts w:hint="eastAsia" w:ascii="宋体" w:hAnsi="宋体" w:cs="仿宋_GB2312"/>
          <w:bCs/>
          <w:kern w:val="0"/>
          <w:szCs w:val="21"/>
        </w:rPr>
        <w:t>29.4在中标后的整个作业期间，供应商若发生人身伤亡、财物或其它损失，无论何种原因所致，采购人和采购代理机构均不负责。</w:t>
      </w:r>
    </w:p>
    <w:p>
      <w:pPr>
        <w:pStyle w:val="2"/>
      </w:pPr>
      <w:bookmarkStart w:id="14" w:name="_Toc461"/>
      <w:r>
        <w:rPr>
          <w:rFonts w:hint="eastAsia"/>
        </w:rPr>
        <w:t>九、适用法律</w:t>
      </w:r>
      <w:bookmarkEnd w:id="14"/>
    </w:p>
    <w:p>
      <w:pPr>
        <w:widowControl/>
        <w:spacing w:line="480" w:lineRule="auto"/>
        <w:ind w:firstLine="420" w:firstLineChars="200"/>
        <w:jc w:val="left"/>
        <w:rPr>
          <w:rFonts w:ascii="宋体" w:hAnsi="宋体" w:cs="仿宋_GB2312"/>
          <w:szCs w:val="21"/>
        </w:rPr>
      </w:pPr>
      <w:r>
        <w:rPr>
          <w:rFonts w:hint="eastAsia" w:ascii="宋体" w:hAnsi="宋体" w:cs="仿宋_GB2312"/>
          <w:kern w:val="0"/>
          <w:szCs w:val="21"/>
        </w:rPr>
        <w:t>采购人、采购代理机构及供应商的一切招标投标活动均适用于相关规定</w:t>
      </w:r>
    </w:p>
    <w:p>
      <w:pPr>
        <w:widowControl/>
        <w:spacing w:line="360" w:lineRule="auto"/>
        <w:jc w:val="left"/>
        <w:rPr>
          <w:rFonts w:ascii="宋体" w:hAnsi="宋体" w:cs="仿宋_GB2312"/>
          <w:sz w:val="24"/>
        </w:rPr>
        <w:sectPr>
          <w:headerReference r:id="rId3" w:type="default"/>
          <w:footerReference r:id="rId4" w:type="default"/>
          <w:footerReference r:id="rId5" w:type="even"/>
          <w:pgSz w:w="11906" w:h="16838"/>
          <w:pgMar w:top="1100" w:right="1134" w:bottom="1560" w:left="1134" w:header="709" w:footer="992" w:gutter="0"/>
          <w:cols w:space="720" w:num="1"/>
          <w:docGrid w:type="lines" w:linePitch="312" w:charSpace="0"/>
        </w:sectPr>
      </w:pPr>
    </w:p>
    <w:p>
      <w:pPr>
        <w:widowControl/>
        <w:spacing w:line="360" w:lineRule="auto"/>
        <w:jc w:val="left"/>
        <w:rPr>
          <w:rFonts w:ascii="宋体" w:hAnsi="宋体" w:cs="仿宋_GB2312"/>
          <w:sz w:val="24"/>
        </w:rPr>
      </w:pPr>
    </w:p>
    <w:p>
      <w:pPr>
        <w:pStyle w:val="3"/>
        <w:rPr>
          <w:kern w:val="0"/>
        </w:rPr>
      </w:pPr>
      <w:bookmarkStart w:id="15" w:name="_Toc36458030"/>
      <w:bookmarkStart w:id="16" w:name="_Toc3427"/>
      <w:r>
        <w:rPr>
          <w:rFonts w:hint="eastAsia"/>
          <w:kern w:val="0"/>
        </w:rPr>
        <w:t>第三章</w:t>
      </w:r>
      <w:bookmarkEnd w:id="15"/>
      <w:r>
        <w:rPr>
          <w:rFonts w:hint="eastAsia"/>
          <w:kern w:val="0"/>
        </w:rPr>
        <w:t>项目需求</w:t>
      </w:r>
      <w:bookmarkEnd w:id="16"/>
    </w:p>
    <w:p>
      <w:pPr>
        <w:pStyle w:val="2"/>
      </w:pPr>
      <w:bookmarkStart w:id="17" w:name="_Toc10111"/>
      <w:bookmarkStart w:id="18" w:name="_Toc36633335"/>
      <w:r>
        <w:rPr>
          <w:rFonts w:hint="eastAsia"/>
        </w:rPr>
        <w:t>第一部分项目概况</w:t>
      </w:r>
      <w:bookmarkEnd w:id="17"/>
      <w:bookmarkEnd w:id="18"/>
    </w:p>
    <w:p>
      <w:pPr>
        <w:widowControl/>
        <w:spacing w:line="480" w:lineRule="auto"/>
        <w:ind w:left="-4" w:leftChars="-2" w:firstLine="422" w:firstLineChars="200"/>
        <w:jc w:val="left"/>
        <w:rPr>
          <w:rFonts w:hint="eastAsia" w:ascii="宋体" w:hAnsi="宋体" w:cs="仿宋_GB2312"/>
          <w:kern w:val="0"/>
          <w:szCs w:val="21"/>
        </w:rPr>
      </w:pPr>
      <w:r>
        <w:rPr>
          <w:rFonts w:hint="eastAsia" w:ascii="宋体" w:hAnsi="宋体" w:cs="仿宋_GB2312"/>
          <w:b/>
          <w:bCs/>
          <w:kern w:val="0"/>
          <w:szCs w:val="21"/>
        </w:rPr>
        <w:t>建设规模</w:t>
      </w:r>
      <w:r>
        <w:rPr>
          <w:rFonts w:hint="eastAsia" w:ascii="宋体" w:hAnsi="宋体" w:cs="仿宋_GB2312"/>
          <w:kern w:val="0"/>
          <w:szCs w:val="21"/>
        </w:rPr>
        <w:t>：西起老澴河泵站，沿老澴河北岸及沿河北路往东敷设污水干管，全长约6.7km。</w:t>
      </w:r>
    </w:p>
    <w:p>
      <w:pPr>
        <w:widowControl/>
        <w:spacing w:line="480" w:lineRule="auto"/>
        <w:ind w:left="-4" w:leftChars="-2" w:firstLine="422" w:firstLineChars="200"/>
        <w:jc w:val="left"/>
        <w:rPr>
          <w:rFonts w:ascii="宋体" w:hAnsi="宋体" w:cs="仿宋_GB2312"/>
          <w:kern w:val="0"/>
          <w:szCs w:val="21"/>
        </w:rPr>
      </w:pPr>
      <w:r>
        <w:rPr>
          <w:rFonts w:hint="eastAsia" w:ascii="宋体" w:hAnsi="宋体" w:cs="仿宋_GB2312"/>
          <w:b/>
          <w:bCs/>
          <w:kern w:val="0"/>
          <w:szCs w:val="21"/>
        </w:rPr>
        <w:t>工程总投资额：</w:t>
      </w:r>
      <w:r>
        <w:rPr>
          <w:rFonts w:hint="eastAsia" w:ascii="宋体" w:hAnsi="宋体" w:cs="仿宋_GB2312"/>
          <w:kern w:val="0"/>
          <w:szCs w:val="21"/>
        </w:rPr>
        <w:t>21953.75万元。</w:t>
      </w:r>
    </w:p>
    <w:p>
      <w:pPr>
        <w:widowControl/>
        <w:spacing w:line="480" w:lineRule="auto"/>
        <w:ind w:left="-4" w:leftChars="-2" w:firstLine="422" w:firstLineChars="200"/>
        <w:jc w:val="left"/>
        <w:rPr>
          <w:rFonts w:ascii="宋体" w:hAnsi="宋体" w:cs="仿宋_GB2312"/>
          <w:kern w:val="0"/>
          <w:szCs w:val="21"/>
        </w:rPr>
      </w:pPr>
      <w:r>
        <w:rPr>
          <w:rFonts w:hint="eastAsia" w:ascii="宋体" w:hAnsi="宋体" w:cs="仿宋_GB2312"/>
          <w:b/>
          <w:bCs/>
          <w:kern w:val="0"/>
          <w:szCs w:val="21"/>
        </w:rPr>
        <w:t>建设地点：</w:t>
      </w:r>
      <w:r>
        <w:rPr>
          <w:rFonts w:hint="eastAsia" w:ascii="宋体" w:hAnsi="宋体" w:cs="仿宋_GB2312"/>
          <w:kern w:val="0"/>
          <w:szCs w:val="21"/>
        </w:rPr>
        <w:t>老澴河北岸</w:t>
      </w:r>
    </w:p>
    <w:p>
      <w:pPr>
        <w:widowControl/>
        <w:spacing w:line="480" w:lineRule="auto"/>
        <w:ind w:left="-4" w:leftChars="-2" w:firstLine="422" w:firstLineChars="200"/>
        <w:jc w:val="left"/>
        <w:rPr>
          <w:rFonts w:ascii="宋体" w:hAnsi="宋体" w:cs="仿宋_GB2312"/>
          <w:b/>
          <w:bCs/>
          <w:kern w:val="0"/>
          <w:szCs w:val="21"/>
        </w:rPr>
      </w:pPr>
      <w:r>
        <w:rPr>
          <w:rFonts w:hint="eastAsia" w:ascii="宋体" w:hAnsi="宋体" w:cs="仿宋_GB2312"/>
          <w:b/>
          <w:bCs/>
          <w:kern w:val="0"/>
          <w:szCs w:val="21"/>
        </w:rPr>
        <w:t>工作内容：</w:t>
      </w:r>
    </w:p>
    <w:p>
      <w:pPr>
        <w:widowControl/>
        <w:spacing w:line="480" w:lineRule="auto"/>
        <w:ind w:left="-4" w:leftChars="-2" w:firstLine="422" w:firstLineChars="200"/>
        <w:jc w:val="left"/>
      </w:pPr>
      <w:r>
        <w:rPr>
          <w:rFonts w:hint="eastAsia" w:ascii="宋体" w:hAnsi="宋体" w:cs="仿宋_GB2312"/>
          <w:b/>
          <w:bCs/>
          <w:kern w:val="0"/>
          <w:szCs w:val="21"/>
        </w:rPr>
        <w:t>1、</w:t>
      </w:r>
      <w:r>
        <w:rPr>
          <w:rFonts w:hint="eastAsia" w:ascii="宋体" w:hAnsi="宋体" w:cs="仿宋_GB2312"/>
          <w:kern w:val="0"/>
          <w:szCs w:val="21"/>
        </w:rPr>
        <w:t>工程量清单及</w:t>
      </w:r>
      <w:r>
        <w:rPr>
          <w:rFonts w:hint="eastAsia" w:ascii="宋体" w:hAnsi="宋体" w:cs="仿宋_GB2312"/>
          <w:kern w:val="0"/>
          <w:szCs w:val="21"/>
          <w:lang w:val="en-US" w:eastAsia="zh-CN"/>
        </w:rPr>
        <w:t>招标控制价编制</w:t>
      </w:r>
      <w:r>
        <w:rPr>
          <w:rFonts w:hint="eastAsia" w:ascii="宋体" w:hAnsi="宋体" w:cs="仿宋_GB2312"/>
          <w:kern w:val="0"/>
          <w:szCs w:val="21"/>
        </w:rPr>
        <w:t>；</w:t>
      </w:r>
    </w:p>
    <w:p>
      <w:pPr>
        <w:widowControl/>
        <w:spacing w:line="480" w:lineRule="auto"/>
        <w:ind w:left="-4" w:leftChars="-2" w:firstLine="420" w:firstLineChars="200"/>
        <w:jc w:val="left"/>
      </w:pPr>
      <w:r>
        <w:rPr>
          <w:rFonts w:hint="eastAsia"/>
        </w:rPr>
        <w:t>2</w:t>
      </w:r>
      <w:r>
        <w:t>、</w:t>
      </w:r>
      <w:r>
        <w:rPr>
          <w:rFonts w:hint="eastAsia"/>
          <w:lang w:val="en-US" w:eastAsia="zh-CN"/>
        </w:rPr>
        <w:t>施工阶段全过程工程造价控制</w:t>
      </w:r>
      <w:r>
        <w:rPr>
          <w:rFonts w:hint="eastAsia"/>
        </w:rPr>
        <w:t>：</w:t>
      </w:r>
    </w:p>
    <w:p>
      <w:pPr>
        <w:widowControl/>
        <w:spacing w:line="480" w:lineRule="auto"/>
        <w:ind w:left="-4" w:leftChars="-2" w:firstLine="420" w:firstLineChars="200"/>
        <w:jc w:val="left"/>
      </w:pPr>
      <w:r>
        <w:t>（1）确定工程造价控制目标，制定控制实施细则；</w:t>
      </w:r>
    </w:p>
    <w:p>
      <w:pPr>
        <w:widowControl/>
        <w:spacing w:line="480" w:lineRule="auto"/>
        <w:ind w:left="-4" w:leftChars="-2" w:firstLine="420" w:firstLineChars="200"/>
        <w:jc w:val="left"/>
      </w:pPr>
      <w:r>
        <w:t>（2）负责对施工单位上报的月完成量月报进行审核</w:t>
      </w:r>
      <w:bookmarkStart w:id="74" w:name="_GoBack"/>
      <w:bookmarkEnd w:id="74"/>
      <w:r>
        <w:t>，并提出当月付款建议书；</w:t>
      </w:r>
    </w:p>
    <w:p>
      <w:pPr>
        <w:widowControl/>
        <w:spacing w:line="480" w:lineRule="auto"/>
        <w:ind w:left="-4" w:leftChars="-2" w:firstLine="420" w:firstLineChars="200"/>
        <w:jc w:val="left"/>
      </w:pPr>
      <w:r>
        <w:t>（</w:t>
      </w:r>
      <w:r>
        <w:rPr>
          <w:rFonts w:hint="eastAsia"/>
        </w:rPr>
        <w:t>3</w:t>
      </w:r>
      <w:r>
        <w:t>）审核设计变更、现场签证、隐蔽工程记录等发生及费用，对所发生的设计变更（工程洽商单、工作联系函）涉及造价变动的要编制明细表，计算费用变动情况，存档备查；</w:t>
      </w:r>
    </w:p>
    <w:p>
      <w:pPr>
        <w:widowControl/>
        <w:spacing w:line="480" w:lineRule="auto"/>
        <w:ind w:left="-4" w:leftChars="-2" w:firstLine="420" w:firstLineChars="200"/>
        <w:jc w:val="left"/>
      </w:pPr>
      <w:r>
        <w:t>（</w:t>
      </w:r>
      <w:r>
        <w:rPr>
          <w:rFonts w:hint="eastAsia"/>
        </w:rPr>
        <w:t>4</w:t>
      </w:r>
      <w:r>
        <w:t>）会同建设、代建、监理等单位到施工现场核定工程量（含现场需签证的工程量或工作量）；</w:t>
      </w:r>
    </w:p>
    <w:p>
      <w:pPr>
        <w:widowControl/>
        <w:spacing w:line="480" w:lineRule="auto"/>
        <w:ind w:left="-4" w:leftChars="-2" w:firstLine="420" w:firstLineChars="200"/>
        <w:jc w:val="left"/>
      </w:pPr>
      <w:r>
        <w:t>（</w:t>
      </w:r>
      <w:r>
        <w:rPr>
          <w:rFonts w:hint="eastAsia"/>
        </w:rPr>
        <w:t>5</w:t>
      </w:r>
      <w:r>
        <w:t>）及时核定分阶段完工的分部工程结算；提供整套结算报告及各项费用汇总表交业主归档；</w:t>
      </w:r>
    </w:p>
    <w:p>
      <w:pPr>
        <w:widowControl/>
        <w:spacing w:line="480" w:lineRule="auto"/>
        <w:ind w:left="-4" w:leftChars="-2" w:firstLine="420" w:firstLineChars="200"/>
        <w:jc w:val="left"/>
      </w:pPr>
      <w:r>
        <w:t>（</w:t>
      </w:r>
      <w:r>
        <w:rPr>
          <w:rFonts w:hint="eastAsia"/>
        </w:rPr>
        <w:t>6</w:t>
      </w:r>
      <w:r>
        <w:t>）提供涉及委托咨询工程项目的人工、材料、设备等造价信息和与工程造价控制相关的其他服务；</w:t>
      </w:r>
    </w:p>
    <w:p>
      <w:pPr>
        <w:widowControl/>
        <w:spacing w:line="480" w:lineRule="auto"/>
        <w:ind w:left="-4" w:leftChars="-2" w:firstLine="420" w:firstLineChars="200"/>
        <w:jc w:val="left"/>
      </w:pPr>
      <w:r>
        <w:t>（</w:t>
      </w:r>
      <w:r>
        <w:rPr>
          <w:rFonts w:hint="eastAsia"/>
        </w:rPr>
        <w:t>7</w:t>
      </w:r>
      <w:r>
        <w:t>）按要求参加工程例会（监理例会），对工程建设过程中涉及造价变动的不规范行为提出具体的意见或建议。</w:t>
      </w:r>
    </w:p>
    <w:p>
      <w:pPr>
        <w:widowControl/>
        <w:spacing w:line="480" w:lineRule="auto"/>
        <w:ind w:left="-4" w:leftChars="-2" w:firstLine="420" w:firstLineChars="200"/>
        <w:jc w:val="left"/>
      </w:pPr>
      <w:r>
        <w:t>（</w:t>
      </w:r>
      <w:r>
        <w:rPr>
          <w:rFonts w:hint="eastAsia"/>
        </w:rPr>
        <w:t>8</w:t>
      </w:r>
      <w:r>
        <w:t>）安排相关专业的造价工程师全过程在建设单位指定的项目现场办公室办公，建设单位只负责提供办公室，办公设施设备、生活用品及用餐由造价咨询企业自行承担。</w:t>
      </w:r>
    </w:p>
    <w:p>
      <w:pPr>
        <w:widowControl/>
        <w:spacing w:line="480" w:lineRule="auto"/>
        <w:ind w:left="-4" w:leftChars="-2" w:firstLine="420" w:firstLineChars="200"/>
        <w:jc w:val="left"/>
      </w:pPr>
      <w:r>
        <w:t>（</w:t>
      </w:r>
      <w:r>
        <w:rPr>
          <w:rFonts w:hint="eastAsia"/>
        </w:rPr>
        <w:t>9</w:t>
      </w:r>
      <w:r>
        <w:t>）对以专业工程暂估价列入总承包合同的，需要进行招标的，负责该专业工程招标控制价的编制，并与审计单位对接，取得审核意见后交建设单位。</w:t>
      </w:r>
    </w:p>
    <w:p>
      <w:pPr>
        <w:widowControl/>
        <w:spacing w:line="480" w:lineRule="auto"/>
        <w:ind w:left="-4" w:leftChars="-2" w:firstLine="420" w:firstLineChars="200"/>
        <w:jc w:val="left"/>
      </w:pPr>
      <w:r>
        <w:t>（</w:t>
      </w:r>
      <w:r>
        <w:rPr>
          <w:rFonts w:hint="eastAsia"/>
        </w:rPr>
        <w:t>10</w:t>
      </w:r>
      <w:r>
        <w:t>）对以材料、设备暂估价列入总承包合同的，需要进行询价的，负责该材料、设备的询价，并协助建设单位定价。</w:t>
      </w:r>
    </w:p>
    <w:p>
      <w:pPr>
        <w:widowControl/>
        <w:spacing w:line="480" w:lineRule="auto"/>
        <w:ind w:left="-4" w:leftChars="-2" w:firstLine="420" w:firstLineChars="200"/>
        <w:jc w:val="left"/>
      </w:pPr>
      <w:r>
        <w:rPr>
          <w:rFonts w:hint="eastAsia"/>
        </w:rPr>
        <w:t>3</w:t>
      </w:r>
      <w:r>
        <w:t>、竣工结算审核：</w:t>
      </w:r>
    </w:p>
    <w:p>
      <w:pPr>
        <w:widowControl/>
        <w:spacing w:line="480" w:lineRule="auto"/>
        <w:ind w:left="-4" w:leftChars="-2" w:firstLine="420" w:firstLineChars="200"/>
        <w:jc w:val="left"/>
      </w:pPr>
      <w:r>
        <w:t>（1）对施工单位报送的结算报告进行审核，并出具审核意见,，完成竣工结算报告书；</w:t>
      </w:r>
    </w:p>
    <w:p>
      <w:pPr>
        <w:spacing w:line="480" w:lineRule="auto"/>
        <w:ind w:firstLine="420" w:firstLineChars="200"/>
      </w:pPr>
      <w:r>
        <w:t>（2）配合业主完成审计部门的工程造价审计工作。</w:t>
      </w:r>
    </w:p>
    <w:p>
      <w:pPr>
        <w:widowControl/>
        <w:spacing w:line="480" w:lineRule="auto"/>
        <w:ind w:left="-4" w:leftChars="-2" w:firstLine="420" w:firstLineChars="200"/>
        <w:jc w:val="left"/>
      </w:pPr>
      <w:r>
        <w:rPr>
          <w:rFonts w:hint="eastAsia"/>
        </w:rPr>
        <w:t>4</w:t>
      </w:r>
      <w:r>
        <w:t>、未涉及的服务内容参照《建设项目全过程造价咨询规程（CECA/GC4—2009）实施手册》。</w:t>
      </w:r>
    </w:p>
    <w:p>
      <w:pPr>
        <w:spacing w:line="480" w:lineRule="auto"/>
        <w:ind w:firstLine="420" w:firstLineChars="200"/>
        <w:rPr>
          <w:rFonts w:hint="eastAsia"/>
        </w:rPr>
      </w:pPr>
      <w:r>
        <w:rPr>
          <w:rFonts w:hint="eastAsia"/>
        </w:rPr>
        <w:t>5、竣工结算审核约定：</w:t>
      </w:r>
    </w:p>
    <w:p>
      <w:pPr>
        <w:spacing w:line="480" w:lineRule="auto"/>
        <w:ind w:firstLine="420" w:firstLineChars="200"/>
        <w:rPr>
          <w:rFonts w:hint="eastAsia" w:eastAsia="宋体"/>
          <w:lang w:eastAsia="zh-CN"/>
        </w:rPr>
      </w:pPr>
      <w:r>
        <w:rPr>
          <w:rFonts w:hint="eastAsia"/>
          <w:lang w:eastAsia="zh-CN"/>
        </w:rPr>
        <w:t>（</w:t>
      </w:r>
      <w:r>
        <w:rPr>
          <w:rFonts w:hint="eastAsia"/>
          <w:lang w:val="en-US" w:eastAsia="zh-CN"/>
        </w:rPr>
        <w:t>1</w:t>
      </w:r>
      <w:r>
        <w:rPr>
          <w:rFonts w:hint="eastAsia"/>
          <w:lang w:eastAsia="zh-CN"/>
        </w:rPr>
        <w:t>）</w:t>
      </w:r>
      <w:r>
        <w:rPr>
          <w:rFonts w:hint="eastAsia"/>
        </w:rPr>
        <w:t>承包单位申报的结算报告经过咨询人审核后，审减率（│审减率=审减额/承包单位申报总金额│）在5%以内（含5%），咨询人的竣工结算审核费用全部由发包人支付；审减率在5%以上（不含5%），咨询人的竣工结算审核费用，由委托人和承包人分别支付，支付方式为：审减率5%以内（含5%）审核费用全部由委托人支付【承包单位申报总金额X5%X5%】，审减率超过5%以上（不含5%）部分审核费用由承包人支付【（（承包单位申报总金额-咨询人审定总金额）-承包单位申报总金额X5%）X5%】。（上述结算审核费，如应由委托人承担的，该笔费用已包含在合同总价内，不再另行支付）</w:t>
      </w:r>
      <w:r>
        <w:rPr>
          <w:rFonts w:hint="eastAsia"/>
          <w:lang w:eastAsia="zh-CN"/>
        </w:rPr>
        <w:t>。</w:t>
      </w:r>
    </w:p>
    <w:p>
      <w:pPr>
        <w:spacing w:line="480" w:lineRule="auto"/>
        <w:ind w:firstLine="420" w:firstLineChars="200"/>
      </w:pPr>
      <w:r>
        <w:rPr>
          <w:rFonts w:hint="eastAsia"/>
        </w:rPr>
        <w:t>（</w:t>
      </w:r>
      <w:r>
        <w:rPr>
          <w:rFonts w:hint="eastAsia"/>
          <w:lang w:val="en-US" w:eastAsia="zh-CN"/>
        </w:rPr>
        <w:t>2</w:t>
      </w:r>
      <w:r>
        <w:rPr>
          <w:rFonts w:hint="eastAsia"/>
        </w:rPr>
        <w:t>）</w:t>
      </w:r>
      <w:r>
        <w:t>服务酬金支付时间：</w:t>
      </w:r>
    </w:p>
    <w:tbl>
      <w:tblPr>
        <w:tblStyle w:val="22"/>
        <w:tblW w:w="96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0"/>
        <w:gridCol w:w="2750"/>
        <w:gridCol w:w="5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vAlign w:val="center"/>
          </w:tcPr>
          <w:p>
            <w:pPr>
              <w:spacing w:line="480" w:lineRule="auto"/>
              <w:jc w:val="center"/>
              <w:rPr>
                <w:vertAlign w:val="baseline"/>
              </w:rPr>
            </w:pPr>
            <w:r>
              <w:rPr>
                <w:rFonts w:hint="eastAsia"/>
                <w:vertAlign w:val="baseline"/>
              </w:rPr>
              <w:t>支付次数</w:t>
            </w:r>
          </w:p>
        </w:tc>
        <w:tc>
          <w:tcPr>
            <w:tcW w:w="2750" w:type="dxa"/>
            <w:vAlign w:val="center"/>
          </w:tcPr>
          <w:p>
            <w:pPr>
              <w:spacing w:line="480" w:lineRule="auto"/>
              <w:jc w:val="center"/>
              <w:rPr>
                <w:vertAlign w:val="baseline"/>
              </w:rPr>
            </w:pPr>
            <w:r>
              <w:rPr>
                <w:rFonts w:hint="eastAsia"/>
                <w:vertAlign w:val="baseline"/>
              </w:rPr>
              <w:t>支付时间</w:t>
            </w:r>
          </w:p>
        </w:tc>
        <w:tc>
          <w:tcPr>
            <w:tcW w:w="5750" w:type="dxa"/>
            <w:vAlign w:val="center"/>
          </w:tcPr>
          <w:p>
            <w:pPr>
              <w:spacing w:line="480" w:lineRule="auto"/>
              <w:jc w:val="center"/>
              <w:rPr>
                <w:vertAlign w:val="baseline"/>
              </w:rPr>
            </w:pPr>
            <w:r>
              <w:rPr>
                <w:rFonts w:hint="eastAsia"/>
                <w:vertAlign w:val="baseline"/>
              </w:rPr>
              <w:t>支付比例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vMerge w:val="restart"/>
            <w:vAlign w:val="center"/>
          </w:tcPr>
          <w:p>
            <w:pPr>
              <w:spacing w:line="480" w:lineRule="auto"/>
              <w:jc w:val="center"/>
              <w:rPr>
                <w:vertAlign w:val="baseline"/>
              </w:rPr>
            </w:pPr>
            <w:r>
              <w:rPr>
                <w:rFonts w:hint="eastAsia"/>
                <w:vertAlign w:val="baseline"/>
              </w:rPr>
              <w:t>四次</w:t>
            </w:r>
          </w:p>
        </w:tc>
        <w:tc>
          <w:tcPr>
            <w:tcW w:w="2750" w:type="dxa"/>
            <w:vAlign w:val="center"/>
          </w:tcPr>
          <w:p>
            <w:pPr>
              <w:spacing w:line="480" w:lineRule="auto"/>
              <w:jc w:val="center"/>
              <w:rPr>
                <w:vertAlign w:val="baseline"/>
              </w:rPr>
            </w:pPr>
            <w:r>
              <w:rPr>
                <w:rFonts w:hint="eastAsia"/>
                <w:vertAlign w:val="baseline"/>
              </w:rPr>
              <w:t>经市财政评审中心审核并出具财政投资评审报告后</w:t>
            </w:r>
          </w:p>
        </w:tc>
        <w:tc>
          <w:tcPr>
            <w:tcW w:w="5750" w:type="dxa"/>
            <w:vAlign w:val="center"/>
          </w:tcPr>
          <w:p>
            <w:pPr>
              <w:spacing w:line="480" w:lineRule="auto"/>
              <w:jc w:val="center"/>
              <w:rPr>
                <w:vertAlign w:val="baseline"/>
              </w:rPr>
            </w:pPr>
            <w:r>
              <w:rPr>
                <w:rFonts w:hint="eastAsia"/>
                <w:vertAlign w:val="baseline"/>
              </w:rPr>
              <w:t>支付工程量清单及控制价编制价款的100%；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vMerge w:val="continue"/>
            <w:vAlign w:val="center"/>
          </w:tcPr>
          <w:p>
            <w:pPr>
              <w:spacing w:line="480" w:lineRule="auto"/>
              <w:jc w:val="center"/>
              <w:rPr>
                <w:rFonts w:hint="eastAsia"/>
                <w:vertAlign w:val="baseline"/>
              </w:rPr>
            </w:pPr>
          </w:p>
        </w:tc>
        <w:tc>
          <w:tcPr>
            <w:tcW w:w="2750" w:type="dxa"/>
            <w:vAlign w:val="center"/>
          </w:tcPr>
          <w:p>
            <w:pPr>
              <w:spacing w:line="480" w:lineRule="auto"/>
              <w:jc w:val="center"/>
              <w:rPr>
                <w:rFonts w:hint="eastAsia"/>
                <w:vertAlign w:val="baseline"/>
              </w:rPr>
            </w:pPr>
            <w:r>
              <w:rPr>
                <w:rFonts w:hint="eastAsia"/>
                <w:vertAlign w:val="baseline"/>
              </w:rPr>
              <w:t>施工方累计完成产值达到施工中标价的50%时</w:t>
            </w:r>
          </w:p>
        </w:tc>
        <w:tc>
          <w:tcPr>
            <w:tcW w:w="5750" w:type="dxa"/>
            <w:vAlign w:val="center"/>
          </w:tcPr>
          <w:p>
            <w:pPr>
              <w:spacing w:line="480" w:lineRule="auto"/>
              <w:jc w:val="center"/>
              <w:rPr>
                <w:rFonts w:hint="eastAsia"/>
                <w:vertAlign w:val="baseline"/>
              </w:rPr>
            </w:pPr>
            <w:r>
              <w:rPr>
                <w:rFonts w:hint="eastAsia"/>
                <w:vertAlign w:val="baseline"/>
              </w:rPr>
              <w:t>支付施工阶段全过程工程造价控制总价款的50%；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vMerge w:val="continue"/>
            <w:vAlign w:val="center"/>
          </w:tcPr>
          <w:p>
            <w:pPr>
              <w:spacing w:line="480" w:lineRule="auto"/>
              <w:jc w:val="center"/>
              <w:rPr>
                <w:rFonts w:hint="eastAsia"/>
                <w:vertAlign w:val="baseline"/>
              </w:rPr>
            </w:pPr>
          </w:p>
        </w:tc>
        <w:tc>
          <w:tcPr>
            <w:tcW w:w="2750" w:type="dxa"/>
            <w:vAlign w:val="center"/>
          </w:tcPr>
          <w:p>
            <w:pPr>
              <w:spacing w:line="480" w:lineRule="auto"/>
              <w:jc w:val="center"/>
              <w:rPr>
                <w:rFonts w:hint="eastAsia"/>
                <w:vertAlign w:val="baseline"/>
              </w:rPr>
            </w:pPr>
            <w:r>
              <w:rPr>
                <w:rFonts w:hint="eastAsia"/>
                <w:vertAlign w:val="baseline"/>
              </w:rPr>
              <w:t>工程竣工验收后</w:t>
            </w:r>
          </w:p>
        </w:tc>
        <w:tc>
          <w:tcPr>
            <w:tcW w:w="5750" w:type="dxa"/>
            <w:vAlign w:val="center"/>
          </w:tcPr>
          <w:p>
            <w:pPr>
              <w:spacing w:line="480" w:lineRule="auto"/>
              <w:jc w:val="center"/>
              <w:rPr>
                <w:rFonts w:hint="eastAsia"/>
                <w:vertAlign w:val="baseline"/>
              </w:rPr>
            </w:pPr>
            <w:r>
              <w:rPr>
                <w:rFonts w:hint="eastAsia"/>
                <w:vertAlign w:val="baseline"/>
              </w:rPr>
              <w:t>支付至施工阶段全过程工程造价控制总价款的80%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vMerge w:val="continue"/>
            <w:vAlign w:val="center"/>
          </w:tcPr>
          <w:p>
            <w:pPr>
              <w:spacing w:line="480" w:lineRule="auto"/>
              <w:jc w:val="center"/>
              <w:rPr>
                <w:rFonts w:hint="eastAsia"/>
                <w:vertAlign w:val="baseline"/>
              </w:rPr>
            </w:pPr>
          </w:p>
        </w:tc>
        <w:tc>
          <w:tcPr>
            <w:tcW w:w="2750" w:type="dxa"/>
            <w:vAlign w:val="center"/>
          </w:tcPr>
          <w:p>
            <w:pPr>
              <w:spacing w:line="480" w:lineRule="auto"/>
              <w:jc w:val="center"/>
              <w:rPr>
                <w:rFonts w:hint="eastAsia"/>
                <w:vertAlign w:val="baseline"/>
              </w:rPr>
            </w:pPr>
            <w:r>
              <w:rPr>
                <w:rFonts w:hint="eastAsia"/>
                <w:vertAlign w:val="baseline"/>
              </w:rPr>
              <w:t>结算审计完成后</w:t>
            </w:r>
          </w:p>
        </w:tc>
        <w:tc>
          <w:tcPr>
            <w:tcW w:w="5750" w:type="dxa"/>
            <w:vAlign w:val="center"/>
          </w:tcPr>
          <w:p>
            <w:pPr>
              <w:spacing w:line="480" w:lineRule="auto"/>
              <w:jc w:val="center"/>
              <w:rPr>
                <w:rFonts w:hint="eastAsia"/>
                <w:vertAlign w:val="baseline"/>
              </w:rPr>
            </w:pPr>
            <w:r>
              <w:rPr>
                <w:rFonts w:hint="eastAsia"/>
                <w:vertAlign w:val="baseline"/>
              </w:rPr>
              <w:t>支付至施工阶段全过程工程造价控制总价款的100%</w:t>
            </w:r>
          </w:p>
        </w:tc>
      </w:tr>
    </w:tbl>
    <w:p>
      <w:pPr>
        <w:spacing w:line="480" w:lineRule="auto"/>
        <w:ind w:firstLine="420" w:firstLineChars="200"/>
        <w:rPr>
          <w:rFonts w:hint="default" w:eastAsia="宋体"/>
          <w:lang w:val="en-US" w:eastAsia="zh-CN"/>
        </w:rPr>
      </w:pPr>
    </w:p>
    <w:p>
      <w:pPr>
        <w:spacing w:line="480" w:lineRule="auto"/>
        <w:ind w:firstLine="420" w:firstLineChars="200"/>
      </w:pPr>
    </w:p>
    <w:p>
      <w:pPr>
        <w:pStyle w:val="2"/>
      </w:pPr>
      <w:bookmarkStart w:id="19" w:name="_Toc26822"/>
      <w:bookmarkStart w:id="20" w:name="_Toc36633336"/>
      <w:bookmarkStart w:id="21" w:name="_Toc36458031"/>
      <w:bookmarkStart w:id="22" w:name="_Toc25484"/>
      <w:r>
        <w:t>第二部分其他要求</w:t>
      </w:r>
      <w:bookmarkEnd w:id="19"/>
      <w:bookmarkEnd w:id="20"/>
    </w:p>
    <w:p>
      <w:pPr>
        <w:numPr>
          <w:ilvl w:val="0"/>
          <w:numId w:val="2"/>
        </w:numPr>
        <w:spacing w:before="100" w:beforeAutospacing="1" w:after="100" w:afterAutospacing="1" w:line="360" w:lineRule="auto"/>
        <w:rPr>
          <w:kern w:val="0"/>
          <w:szCs w:val="21"/>
        </w:rPr>
      </w:pPr>
      <w:r>
        <w:rPr>
          <w:rFonts w:hint="eastAsia"/>
          <w:b/>
          <w:kern w:val="0"/>
          <w:szCs w:val="21"/>
        </w:rPr>
        <w:t>预算金额</w:t>
      </w:r>
      <w:r>
        <w:rPr>
          <w:szCs w:val="21"/>
        </w:rPr>
        <w:t>：</w:t>
      </w:r>
      <w:r>
        <w:rPr>
          <w:rFonts w:hint="eastAsia"/>
          <w:szCs w:val="21"/>
          <w:lang w:val="en-US" w:eastAsia="zh-CN"/>
        </w:rPr>
        <w:t>84.7479</w:t>
      </w:r>
      <w:r>
        <w:rPr>
          <w:szCs w:val="21"/>
        </w:rPr>
        <w:t>万元</w:t>
      </w:r>
      <w:r>
        <w:rPr>
          <w:kern w:val="0"/>
          <w:szCs w:val="21"/>
        </w:rPr>
        <w:t>，超过</w:t>
      </w:r>
      <w:r>
        <w:rPr>
          <w:rFonts w:hint="eastAsia"/>
          <w:kern w:val="0"/>
          <w:szCs w:val="21"/>
        </w:rPr>
        <w:t>预算金额</w:t>
      </w:r>
      <w:r>
        <w:rPr>
          <w:kern w:val="0"/>
          <w:szCs w:val="21"/>
        </w:rPr>
        <w:t>视为无效投标。</w:t>
      </w:r>
    </w:p>
    <w:p>
      <w:pPr>
        <w:widowControl/>
        <w:numPr>
          <w:ilvl w:val="0"/>
          <w:numId w:val="2"/>
        </w:numPr>
        <w:spacing w:line="480" w:lineRule="auto"/>
        <w:jc w:val="left"/>
        <w:rPr>
          <w:rFonts w:hint="eastAsia" w:ascii="宋体" w:hAnsi="宋体" w:cs="仿宋_GB2312"/>
          <w:kern w:val="0"/>
          <w:szCs w:val="21"/>
        </w:rPr>
      </w:pPr>
      <w:r>
        <w:rPr>
          <w:rFonts w:hint="eastAsia" w:ascii="宋体" w:hAnsi="宋体" w:cs="仿宋_GB2312"/>
          <w:b/>
          <w:kern w:val="0"/>
          <w:szCs w:val="21"/>
        </w:rPr>
        <w:t>合同履约期限</w:t>
      </w:r>
      <w:r>
        <w:rPr>
          <w:rFonts w:hint="eastAsia" w:ascii="宋体" w:hAnsi="宋体" w:cs="仿宋_GB2312"/>
          <w:kern w:val="0"/>
          <w:szCs w:val="21"/>
        </w:rPr>
        <w:t>：</w:t>
      </w:r>
      <w:r>
        <w:rPr>
          <w:rFonts w:hint="eastAsia" w:ascii="宋体" w:hAnsi="宋体" w:cs="仿宋_GB2312"/>
          <w:kern w:val="0"/>
          <w:szCs w:val="21"/>
          <w:lang w:val="en-US" w:eastAsia="zh-CN"/>
        </w:rPr>
        <w:t xml:space="preserve">自签订合同之日起，至完成本项目招标范围所约定的全部造价咨询内容，经审计单位结算审核完毕并出具结算审计报告后结束。 </w:t>
      </w:r>
    </w:p>
    <w:p>
      <w:pPr>
        <w:widowControl/>
        <w:numPr>
          <w:ilvl w:val="0"/>
          <w:numId w:val="2"/>
        </w:numPr>
        <w:spacing w:line="480" w:lineRule="auto"/>
        <w:jc w:val="left"/>
        <w:rPr>
          <w:rFonts w:ascii="宋体" w:hAnsi="宋体" w:cs="仿宋_GB2312"/>
          <w:szCs w:val="21"/>
        </w:rPr>
      </w:pPr>
      <w:r>
        <w:rPr>
          <w:rFonts w:hint="eastAsia" w:ascii="宋体" w:hAnsi="宋体" w:cs="仿宋_GB2312"/>
          <w:b/>
          <w:kern w:val="0"/>
          <w:szCs w:val="21"/>
        </w:rPr>
        <w:t>付款方式</w:t>
      </w:r>
    </w:p>
    <w:p>
      <w:pPr>
        <w:widowControl/>
        <w:spacing w:line="480" w:lineRule="auto"/>
        <w:ind w:left="-4" w:leftChars="-2" w:firstLine="420" w:firstLineChars="200"/>
        <w:jc w:val="left"/>
        <w:rPr>
          <w:rFonts w:ascii="宋体" w:hAnsi="宋体" w:cs="仿宋_GB2312"/>
          <w:kern w:val="0"/>
          <w:szCs w:val="21"/>
        </w:rPr>
      </w:pPr>
      <w:r>
        <w:rPr>
          <w:rFonts w:hint="eastAsia" w:ascii="宋体" w:hAnsi="宋体" w:cs="仿宋_GB2312"/>
          <w:kern w:val="0"/>
          <w:szCs w:val="21"/>
        </w:rPr>
        <w:t>由采购人与成交供应商在签订合同时具体协商，审减方面合同另行约定。</w:t>
      </w:r>
    </w:p>
    <w:p>
      <w:pPr>
        <w:widowControl/>
        <w:numPr>
          <w:ilvl w:val="0"/>
          <w:numId w:val="2"/>
        </w:numPr>
        <w:spacing w:line="480" w:lineRule="auto"/>
        <w:jc w:val="left"/>
        <w:rPr>
          <w:rFonts w:ascii="宋体" w:hAnsi="宋体" w:cs="仿宋_GB2312"/>
          <w:szCs w:val="21"/>
        </w:rPr>
      </w:pPr>
      <w:r>
        <w:rPr>
          <w:rFonts w:hint="eastAsia" w:ascii="宋体" w:hAnsi="宋体" w:cs="仿宋_GB2312"/>
          <w:b/>
          <w:kern w:val="0"/>
          <w:szCs w:val="21"/>
        </w:rPr>
        <w:t>报价需知</w:t>
      </w:r>
    </w:p>
    <w:p>
      <w:pPr>
        <w:widowControl/>
        <w:spacing w:line="480" w:lineRule="auto"/>
        <w:ind w:left="-4" w:leftChars="-2" w:firstLine="420" w:firstLineChars="200"/>
        <w:jc w:val="left"/>
        <w:rPr>
          <w:rFonts w:ascii="宋体" w:hAnsi="宋体" w:cs="仿宋_GB2312"/>
          <w:kern w:val="0"/>
          <w:szCs w:val="21"/>
        </w:rPr>
      </w:pPr>
      <w:r>
        <w:rPr>
          <w:rFonts w:hint="eastAsia" w:ascii="宋体" w:hAnsi="宋体" w:cs="仿宋_GB2312"/>
          <w:kern w:val="0"/>
          <w:szCs w:val="21"/>
        </w:rPr>
        <w:t>本项目由成交供应商负责</w:t>
      </w:r>
      <w:r>
        <w:rPr>
          <w:rFonts w:hint="eastAsia" w:ascii="宋体" w:hAnsi="宋体" w:cs="仿宋_GB2312"/>
          <w:kern w:val="0"/>
          <w:szCs w:val="21"/>
          <w:lang w:eastAsia="zh-CN"/>
        </w:rPr>
        <w:t>孝感市老澴河水生态综合治理（一期）PPP项目—长征、玉泉、王家湾片区范围内雨污分流收集系统建设工程全过程造价咨询项目</w:t>
      </w:r>
      <w:r>
        <w:rPr>
          <w:rFonts w:hint="eastAsia" w:ascii="宋体" w:hAnsi="宋体" w:cs="仿宋_GB2312"/>
          <w:kern w:val="0"/>
          <w:szCs w:val="21"/>
        </w:rPr>
        <w:t>全部相关工作，故供应商投标报价应包含以上全部工作所需的一切费用，对在合同实施过程中可能发生的其它费用，采购人概不负责。</w:t>
      </w:r>
    </w:p>
    <w:p>
      <w:pPr>
        <w:widowControl/>
        <w:numPr>
          <w:ilvl w:val="0"/>
          <w:numId w:val="2"/>
        </w:numPr>
        <w:spacing w:line="480" w:lineRule="auto"/>
        <w:jc w:val="left"/>
        <w:rPr>
          <w:rFonts w:ascii="宋体" w:hAnsi="宋体" w:cs="仿宋_GB2312"/>
          <w:szCs w:val="21"/>
        </w:rPr>
      </w:pPr>
      <w:r>
        <w:rPr>
          <w:rFonts w:hint="eastAsia" w:ascii="宋体" w:hAnsi="宋体" w:cs="仿宋_GB2312"/>
          <w:b/>
          <w:kern w:val="0"/>
          <w:szCs w:val="21"/>
        </w:rPr>
        <w:t>验收</w:t>
      </w:r>
    </w:p>
    <w:p>
      <w:pPr>
        <w:widowControl/>
        <w:spacing w:line="480" w:lineRule="auto"/>
        <w:ind w:firstLine="420" w:firstLineChars="200"/>
        <w:jc w:val="left"/>
        <w:rPr>
          <w:rFonts w:ascii="宋体" w:hAnsi="宋体" w:cs="仿宋_GB2312"/>
          <w:kern w:val="0"/>
          <w:szCs w:val="21"/>
        </w:rPr>
      </w:pPr>
      <w:r>
        <w:rPr>
          <w:rFonts w:hint="eastAsia" w:ascii="宋体" w:hAnsi="宋体" w:cs="仿宋_GB2312"/>
          <w:kern w:val="0"/>
          <w:szCs w:val="21"/>
        </w:rPr>
        <w:t>验收标准</w:t>
      </w:r>
      <w:r>
        <w:rPr>
          <w:kern w:val="0"/>
          <w:szCs w:val="21"/>
        </w:rPr>
        <w:t>：</w:t>
      </w:r>
      <w:r>
        <w:rPr>
          <w:rFonts w:hint="eastAsia"/>
          <w:kern w:val="0"/>
          <w:szCs w:val="21"/>
        </w:rPr>
        <w:t>符合国家相关标准</w:t>
      </w:r>
      <w:r>
        <w:rPr>
          <w:kern w:val="0"/>
          <w:szCs w:val="21"/>
        </w:rPr>
        <w:t>。</w:t>
      </w:r>
    </w:p>
    <w:p>
      <w:pPr>
        <w:widowControl/>
        <w:spacing w:line="480" w:lineRule="auto"/>
        <w:ind w:firstLine="420" w:firstLineChars="200"/>
        <w:jc w:val="left"/>
        <w:rPr>
          <w:rFonts w:ascii="宋体" w:hAnsi="宋体" w:cs="仿宋_GB2312"/>
          <w:kern w:val="0"/>
          <w:szCs w:val="21"/>
        </w:rPr>
      </w:pPr>
      <w:r>
        <w:rPr>
          <w:rFonts w:hint="eastAsia" w:ascii="宋体" w:hAnsi="宋体" w:cs="仿宋_GB2312"/>
          <w:kern w:val="0"/>
          <w:szCs w:val="21"/>
        </w:rPr>
        <w:t>采购人将组织相关单位对采购项目进行验收，验收意见作为验收书的参考资料存档备查，验收将严格按照采购文件的规定和供应商响应文件的响应及承诺执行，验收不合格的将根据合同有关条款进行处理。供应商可在售后服务方案中自行填报验收方案、奖惩处罚措施及承诺。</w:t>
      </w:r>
    </w:p>
    <w:p>
      <w:pPr>
        <w:widowControl/>
        <w:spacing w:line="480" w:lineRule="auto"/>
        <w:ind w:firstLine="420" w:firstLineChars="200"/>
        <w:jc w:val="left"/>
        <w:rPr>
          <w:rFonts w:ascii="宋体" w:hAnsi="宋体" w:cs="仿宋_GB2312"/>
          <w:kern w:val="0"/>
          <w:szCs w:val="21"/>
        </w:rPr>
      </w:pPr>
      <w:r>
        <w:rPr>
          <w:rFonts w:hint="eastAsia" w:ascii="宋体" w:hAnsi="宋体" w:cs="仿宋_GB2312"/>
          <w:kern w:val="0"/>
          <w:szCs w:val="21"/>
        </w:rPr>
        <w:t>在验收过程中发现质量问题，供应商应负责按照采购人的要求妥善处理，并承担由此发生的一切费用和损失。</w:t>
      </w:r>
    </w:p>
    <w:p>
      <w:pPr>
        <w:widowControl/>
        <w:numPr>
          <w:ilvl w:val="0"/>
          <w:numId w:val="2"/>
        </w:numPr>
        <w:spacing w:line="480" w:lineRule="auto"/>
        <w:jc w:val="left"/>
        <w:rPr>
          <w:rFonts w:ascii="宋体" w:hAnsi="宋体" w:cs="仿宋_GB2312"/>
          <w:szCs w:val="21"/>
        </w:rPr>
      </w:pPr>
      <w:r>
        <w:rPr>
          <w:rFonts w:hint="eastAsia" w:ascii="宋体" w:hAnsi="宋体" w:cs="仿宋_GB2312"/>
          <w:b/>
          <w:kern w:val="0"/>
          <w:szCs w:val="21"/>
        </w:rPr>
        <w:t>其他要求</w:t>
      </w:r>
    </w:p>
    <w:p>
      <w:pPr>
        <w:spacing w:line="480" w:lineRule="auto"/>
        <w:ind w:firstLine="420" w:firstLineChars="200"/>
      </w:pPr>
      <w:r>
        <w:t>时间要求：成交供应商必须遵照投标文件的承诺，按照招标人要求，组织业务熟悉、综合素质高的专业审计人员参与项目工作，确保按期完成审计项目。</w:t>
      </w:r>
    </w:p>
    <w:p>
      <w:pPr>
        <w:spacing w:line="480" w:lineRule="auto"/>
        <w:ind w:firstLine="420" w:firstLineChars="200"/>
      </w:pPr>
      <w:r>
        <w:t>质量要求：成交供应商应遵照有关法律法规，客观公正、实事求是地进行审计工作，保证审计工作质量和内容，确保审计依据充分、程序严谨、结果公正。造价咨询质量接受审计机关监督。</w:t>
      </w:r>
    </w:p>
    <w:p>
      <w:pPr>
        <w:spacing w:line="480" w:lineRule="auto"/>
        <w:ind w:firstLine="420" w:firstLineChars="200"/>
      </w:pPr>
      <w:r>
        <w:t>保密要求：成交供应商对有关工程项目的一切内容负有保密责任，不得自行对外披露审计计划、审计内容和审计结果，也不得向第三方泄漏被审计单位(项目)的商业秘密等。如违反上述规定，将根据国家有关法律、法规追究相关单位及个人的法律责任。</w:t>
      </w:r>
    </w:p>
    <w:p>
      <w:pPr>
        <w:spacing w:line="480" w:lineRule="auto"/>
        <w:ind w:firstLine="420" w:firstLineChars="200"/>
      </w:pPr>
      <w:r>
        <w:t>其他要求：讲究原则，独立工作，不受外在因素影响。</w:t>
      </w:r>
    </w:p>
    <w:p>
      <w:pPr>
        <w:sectPr>
          <w:pgSz w:w="11906" w:h="16838"/>
          <w:pgMar w:top="1100" w:right="1134" w:bottom="1560" w:left="1134" w:header="709" w:footer="992" w:gutter="0"/>
          <w:cols w:space="720" w:num="1"/>
          <w:docGrid w:type="lines" w:linePitch="312" w:charSpace="0"/>
        </w:sectPr>
      </w:pPr>
    </w:p>
    <w:p>
      <w:pPr>
        <w:pStyle w:val="3"/>
      </w:pPr>
      <w:r>
        <w:rPr>
          <w:rFonts w:hint="eastAsia"/>
        </w:rPr>
        <w:t>第四章评定办法</w:t>
      </w:r>
      <w:bookmarkEnd w:id="21"/>
      <w:bookmarkEnd w:id="22"/>
    </w:p>
    <w:p>
      <w:pPr>
        <w:pStyle w:val="2"/>
        <w:rPr>
          <w:kern w:val="0"/>
        </w:rPr>
      </w:pPr>
      <w:bookmarkStart w:id="23" w:name="_Toc12059"/>
      <w:r>
        <w:rPr>
          <w:rFonts w:hint="eastAsia"/>
          <w:kern w:val="0"/>
        </w:rPr>
        <w:t>一、评定办法前附表</w:t>
      </w:r>
      <w:bookmarkEnd w:id="23"/>
    </w:p>
    <w:tbl>
      <w:tblPr>
        <w:tblStyle w:val="21"/>
        <w:tblW w:w="1020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709"/>
        <w:gridCol w:w="1417"/>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gridSpan w:val="2"/>
          </w:tcPr>
          <w:p>
            <w:pPr>
              <w:widowControl/>
              <w:spacing w:line="360" w:lineRule="auto"/>
              <w:jc w:val="center"/>
              <w:rPr>
                <w:rFonts w:ascii="宋体" w:hAnsi="宋体" w:cs="仿宋_GB2312"/>
                <w:b/>
                <w:kern w:val="0"/>
                <w:szCs w:val="21"/>
              </w:rPr>
            </w:pPr>
            <w:r>
              <w:rPr>
                <w:rFonts w:hint="eastAsia" w:ascii="宋体" w:hAnsi="宋体" w:cs="仿宋_GB2312"/>
                <w:b/>
                <w:kern w:val="0"/>
                <w:szCs w:val="21"/>
              </w:rPr>
              <w:t>条款号</w:t>
            </w:r>
          </w:p>
        </w:tc>
        <w:tc>
          <w:tcPr>
            <w:tcW w:w="1417" w:type="dxa"/>
          </w:tcPr>
          <w:p>
            <w:pPr>
              <w:widowControl/>
              <w:spacing w:line="360" w:lineRule="auto"/>
              <w:jc w:val="center"/>
              <w:rPr>
                <w:rFonts w:ascii="宋体" w:hAnsi="宋体" w:cs="仿宋_GB2312"/>
                <w:b/>
                <w:kern w:val="0"/>
                <w:szCs w:val="21"/>
              </w:rPr>
            </w:pPr>
            <w:r>
              <w:rPr>
                <w:rFonts w:hint="eastAsia" w:ascii="宋体" w:hAnsi="宋体" w:cs="仿宋_GB2312"/>
                <w:b/>
                <w:kern w:val="0"/>
                <w:szCs w:val="21"/>
              </w:rPr>
              <w:t>评审因素</w:t>
            </w:r>
          </w:p>
        </w:tc>
        <w:tc>
          <w:tcPr>
            <w:tcW w:w="7513" w:type="dxa"/>
          </w:tcPr>
          <w:p>
            <w:pPr>
              <w:widowControl/>
              <w:spacing w:line="360" w:lineRule="auto"/>
              <w:jc w:val="center"/>
              <w:rPr>
                <w:rFonts w:ascii="宋体" w:hAnsi="宋体" w:cs="仿宋_GB2312"/>
                <w:b/>
                <w:kern w:val="0"/>
                <w:szCs w:val="21"/>
              </w:rPr>
            </w:pPr>
            <w:r>
              <w:rPr>
                <w:rFonts w:hint="eastAsia" w:ascii="宋体" w:hAnsi="宋体" w:cs="仿宋_GB2312"/>
                <w:b/>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restart"/>
            <w:vAlign w:val="center"/>
          </w:tcPr>
          <w:p>
            <w:pPr>
              <w:widowControl/>
              <w:spacing w:line="360" w:lineRule="auto"/>
              <w:jc w:val="center"/>
              <w:rPr>
                <w:rFonts w:ascii="宋体" w:hAnsi="宋体" w:cs="仿宋_GB2312"/>
                <w:b/>
                <w:kern w:val="0"/>
                <w:szCs w:val="21"/>
              </w:rPr>
            </w:pPr>
            <w:r>
              <w:rPr>
                <w:rFonts w:hint="eastAsia" w:ascii="宋体" w:hAnsi="宋体" w:cs="仿宋_GB2312"/>
                <w:kern w:val="0"/>
                <w:szCs w:val="21"/>
              </w:rPr>
              <w:t>1.1</w:t>
            </w:r>
          </w:p>
        </w:tc>
        <w:tc>
          <w:tcPr>
            <w:tcW w:w="709" w:type="dxa"/>
            <w:vMerge w:val="restart"/>
            <w:vAlign w:val="center"/>
          </w:tcPr>
          <w:p>
            <w:pPr>
              <w:widowControl/>
              <w:spacing w:line="360" w:lineRule="auto"/>
              <w:jc w:val="center"/>
              <w:rPr>
                <w:rFonts w:ascii="宋体" w:hAnsi="宋体" w:cs="仿宋_GB2312"/>
                <w:b/>
                <w:kern w:val="0"/>
                <w:szCs w:val="21"/>
              </w:rPr>
            </w:pPr>
            <w:r>
              <w:rPr>
                <w:rFonts w:hint="eastAsia" w:ascii="宋体" w:hAnsi="宋体" w:cs="仿宋_GB2312"/>
                <w:kern w:val="0"/>
                <w:szCs w:val="21"/>
              </w:rPr>
              <w:t>资格性审查标准</w:t>
            </w:r>
          </w:p>
        </w:tc>
        <w:tc>
          <w:tcPr>
            <w:tcW w:w="1417" w:type="dxa"/>
            <w:vAlign w:val="center"/>
          </w:tcPr>
          <w:p>
            <w:pPr>
              <w:widowControl/>
              <w:spacing w:line="360" w:lineRule="auto"/>
              <w:jc w:val="center"/>
              <w:rPr>
                <w:rFonts w:ascii="宋体" w:hAnsi="宋体" w:cs="仿宋_GB2312"/>
                <w:b/>
                <w:kern w:val="0"/>
                <w:szCs w:val="21"/>
              </w:rPr>
            </w:pPr>
            <w:r>
              <w:rPr>
                <w:rFonts w:hint="eastAsia" w:ascii="宋体" w:hAnsi="宋体" w:cs="仿宋_GB2312"/>
                <w:kern w:val="0"/>
                <w:szCs w:val="21"/>
              </w:rPr>
              <w:t>资格要求</w:t>
            </w:r>
          </w:p>
        </w:tc>
        <w:tc>
          <w:tcPr>
            <w:tcW w:w="7513" w:type="dxa"/>
            <w:vAlign w:val="center"/>
          </w:tcPr>
          <w:p>
            <w:pPr>
              <w:spacing w:line="480" w:lineRule="auto"/>
              <w:ind w:firstLine="12" w:firstLineChars="6"/>
            </w:pPr>
            <w:r>
              <w:rPr>
                <w:rFonts w:hint="eastAsia"/>
              </w:rPr>
              <w:t>1、满足条件：</w:t>
            </w:r>
          </w:p>
          <w:p>
            <w:pPr>
              <w:spacing w:line="480" w:lineRule="auto"/>
              <w:ind w:firstLine="12" w:firstLineChars="6"/>
            </w:pPr>
            <w:r>
              <w:rPr>
                <w:rFonts w:hint="eastAsia"/>
              </w:rPr>
              <w:t>（1）具有独立承担民事责任的能力；</w:t>
            </w:r>
          </w:p>
          <w:p>
            <w:pPr>
              <w:spacing w:line="480" w:lineRule="auto"/>
              <w:ind w:firstLine="12" w:firstLineChars="6"/>
            </w:pPr>
            <w:r>
              <w:rPr>
                <w:rFonts w:hint="eastAsia"/>
              </w:rPr>
              <w:t>（2）具有良好的商业信誉和健全的财务会计制度；</w:t>
            </w:r>
          </w:p>
          <w:p>
            <w:pPr>
              <w:spacing w:line="480" w:lineRule="auto"/>
              <w:ind w:firstLine="12" w:firstLineChars="6"/>
            </w:pPr>
            <w:r>
              <w:rPr>
                <w:rFonts w:hint="eastAsia"/>
              </w:rPr>
              <w:t>（3）具有履行合同所必需的设备和专业技术能力；</w:t>
            </w:r>
          </w:p>
          <w:p>
            <w:pPr>
              <w:spacing w:line="480" w:lineRule="auto"/>
              <w:ind w:firstLine="12" w:firstLineChars="6"/>
            </w:pPr>
            <w:r>
              <w:rPr>
                <w:rFonts w:hint="eastAsia"/>
              </w:rPr>
              <w:t>（4）有依法缴纳税收和社会保障资金的良好记录；</w:t>
            </w:r>
          </w:p>
          <w:p>
            <w:pPr>
              <w:spacing w:line="480" w:lineRule="auto"/>
              <w:ind w:firstLine="12" w:firstLineChars="6"/>
            </w:pPr>
            <w:r>
              <w:rPr>
                <w:rFonts w:hint="eastAsia"/>
              </w:rPr>
              <w:t>（5）参加采购活动前三年内，在经营活动中没有重大违法记录；</w:t>
            </w:r>
          </w:p>
          <w:p>
            <w:pPr>
              <w:spacing w:line="480" w:lineRule="auto"/>
              <w:ind w:firstLine="12" w:firstLineChars="6"/>
            </w:pPr>
            <w:r>
              <w:rPr>
                <w:rFonts w:hint="eastAsia"/>
              </w:rPr>
              <w:t>（6）法律、行政法规规定的其他条件。</w:t>
            </w:r>
          </w:p>
          <w:p>
            <w:pPr>
              <w:widowControl/>
              <w:spacing w:line="480" w:lineRule="auto"/>
              <w:rPr>
                <w:rFonts w:hint="eastAsia" w:ascii="宋体" w:hAnsi="宋体" w:eastAsia="宋体" w:cs="仿宋_GB2312"/>
                <w:kern w:val="0"/>
                <w:szCs w:val="21"/>
                <w:lang w:eastAsia="zh-CN"/>
              </w:rPr>
            </w:pPr>
            <w:r>
              <w:rPr>
                <w:rFonts w:hint="eastAsia" w:ascii="宋体" w:hAnsi="宋体" w:cs="仿宋_GB2312"/>
                <w:kern w:val="0"/>
                <w:szCs w:val="21"/>
              </w:rPr>
              <w:t>2</w:t>
            </w:r>
            <w:r>
              <w:rPr>
                <w:rFonts w:hint="eastAsia" w:ascii="宋体" w:hAnsi="宋体" w:cs="仿宋_GB2312"/>
                <w:kern w:val="0"/>
                <w:szCs w:val="21"/>
                <w:lang w:eastAsia="zh-CN"/>
              </w:rPr>
              <w:t>、</w:t>
            </w:r>
            <w:r>
              <w:rPr>
                <w:rFonts w:hint="eastAsia" w:ascii="宋体" w:hAnsi="宋体" w:cs="仿宋_GB2312"/>
                <w:kern w:val="0"/>
                <w:szCs w:val="21"/>
              </w:rPr>
              <w:t>供应商拟派的项目负责人须取得一级造价工程师注册证书。</w:t>
            </w:r>
          </w:p>
          <w:p>
            <w:pPr>
              <w:widowControl/>
              <w:spacing w:line="480" w:lineRule="auto"/>
            </w:pPr>
            <w:r>
              <w:rPr>
                <w:rFonts w:hint="eastAsia" w:ascii="宋体" w:hAnsi="宋体" w:cs="仿宋_GB2312"/>
                <w:kern w:val="0"/>
                <w:szCs w:val="21"/>
                <w:lang w:val="en-US" w:eastAsia="zh-CN"/>
              </w:rPr>
              <w:t>3、</w:t>
            </w:r>
            <w:r>
              <w:rPr>
                <w:rFonts w:hint="eastAsia" w:ascii="宋体" w:hAnsi="宋体" w:cs="仿宋_GB2312"/>
                <w:kern w:val="0"/>
                <w:szCs w:val="21"/>
              </w:rPr>
              <w:t>供应商未被列入“信用中国”网站(www.creditchina.gov.cn)失信被执行人、重大税收违法失信主体、政府采购严重违法失信行为记录名单和“中国政府采购”网站（www.ccgp.gov.cn）政府采购严重违法失信行为记录名单（以开标当天采购代理机构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continue"/>
            <w:vAlign w:val="center"/>
          </w:tcPr>
          <w:p>
            <w:pPr>
              <w:widowControl/>
              <w:spacing w:line="360" w:lineRule="auto"/>
              <w:jc w:val="center"/>
              <w:rPr>
                <w:rFonts w:ascii="宋体" w:hAnsi="宋体" w:cs="仿宋_GB2312"/>
                <w:b/>
                <w:kern w:val="0"/>
                <w:szCs w:val="21"/>
              </w:rPr>
            </w:pPr>
          </w:p>
        </w:tc>
        <w:tc>
          <w:tcPr>
            <w:tcW w:w="709" w:type="dxa"/>
            <w:vMerge w:val="continue"/>
            <w:vAlign w:val="center"/>
          </w:tcPr>
          <w:p>
            <w:pPr>
              <w:widowControl/>
              <w:spacing w:line="360" w:lineRule="auto"/>
              <w:jc w:val="center"/>
              <w:rPr>
                <w:rFonts w:ascii="宋体" w:hAnsi="宋体" w:cs="仿宋_GB2312"/>
                <w:b/>
                <w:kern w:val="0"/>
                <w:szCs w:val="21"/>
              </w:rPr>
            </w:pPr>
          </w:p>
        </w:tc>
        <w:tc>
          <w:tcPr>
            <w:tcW w:w="1417" w:type="dxa"/>
            <w:vAlign w:val="center"/>
          </w:tcPr>
          <w:p>
            <w:pPr>
              <w:widowControl/>
              <w:spacing w:line="360" w:lineRule="auto"/>
              <w:jc w:val="center"/>
              <w:rPr>
                <w:rFonts w:ascii="宋体" w:hAnsi="宋体" w:cs="仿宋_GB2312"/>
                <w:b/>
                <w:kern w:val="0"/>
                <w:szCs w:val="21"/>
              </w:rPr>
            </w:pPr>
            <w:r>
              <w:rPr>
                <w:rFonts w:hint="eastAsia" w:ascii="宋体" w:hAnsi="宋体" w:cs="仿宋_GB2312"/>
                <w:kern w:val="0"/>
                <w:szCs w:val="21"/>
              </w:rPr>
              <w:t>其他要求</w:t>
            </w:r>
          </w:p>
        </w:tc>
        <w:tc>
          <w:tcPr>
            <w:tcW w:w="7513" w:type="dxa"/>
            <w:vAlign w:val="center"/>
          </w:tcPr>
          <w:p>
            <w:pPr>
              <w:widowControl/>
              <w:spacing w:line="360" w:lineRule="auto"/>
              <w:rPr>
                <w:rFonts w:ascii="宋体" w:hAnsi="宋体" w:cs="仿宋_GB2312"/>
                <w:b/>
                <w:kern w:val="0"/>
                <w:szCs w:val="21"/>
              </w:rPr>
            </w:pPr>
            <w:r>
              <w:rPr>
                <w:rFonts w:hint="eastAsia" w:ascii="宋体" w:hAnsi="宋体" w:cs="仿宋_GB2312"/>
                <w:kern w:val="0"/>
                <w:szCs w:val="21"/>
              </w:rPr>
              <w:t>是否符合磋商文件规定的其他要求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restart"/>
            <w:vAlign w:val="center"/>
          </w:tcPr>
          <w:p>
            <w:pPr>
              <w:widowControl/>
              <w:spacing w:line="360" w:lineRule="auto"/>
              <w:jc w:val="center"/>
              <w:rPr>
                <w:rFonts w:ascii="宋体" w:hAnsi="宋体" w:cs="仿宋_GB2312"/>
                <w:szCs w:val="21"/>
              </w:rPr>
            </w:pPr>
            <w:r>
              <w:rPr>
                <w:rFonts w:hint="eastAsia" w:ascii="宋体" w:hAnsi="宋体" w:cs="仿宋_GB2312"/>
                <w:kern w:val="0"/>
                <w:szCs w:val="21"/>
              </w:rPr>
              <w:t>1.2</w:t>
            </w:r>
          </w:p>
          <w:p>
            <w:pPr>
              <w:widowControl/>
              <w:spacing w:line="360" w:lineRule="auto"/>
              <w:jc w:val="center"/>
              <w:rPr>
                <w:rFonts w:ascii="宋体" w:hAnsi="宋体" w:cs="仿宋_GB2312"/>
                <w:b/>
                <w:kern w:val="0"/>
                <w:szCs w:val="21"/>
              </w:rPr>
            </w:pPr>
          </w:p>
        </w:tc>
        <w:tc>
          <w:tcPr>
            <w:tcW w:w="709" w:type="dxa"/>
            <w:vMerge w:val="restart"/>
            <w:vAlign w:val="center"/>
          </w:tcPr>
          <w:p>
            <w:pPr>
              <w:widowControl/>
              <w:spacing w:line="360" w:lineRule="auto"/>
              <w:jc w:val="center"/>
              <w:rPr>
                <w:rFonts w:ascii="宋体" w:hAnsi="宋体" w:cs="仿宋_GB2312"/>
                <w:szCs w:val="21"/>
              </w:rPr>
            </w:pPr>
            <w:r>
              <w:rPr>
                <w:rFonts w:hint="eastAsia" w:ascii="宋体" w:hAnsi="宋体" w:cs="仿宋_GB2312"/>
                <w:kern w:val="0"/>
                <w:szCs w:val="21"/>
              </w:rPr>
              <w:t>符合性审查标准</w:t>
            </w:r>
          </w:p>
        </w:tc>
        <w:tc>
          <w:tcPr>
            <w:tcW w:w="1417" w:type="dxa"/>
            <w:vAlign w:val="center"/>
          </w:tcPr>
          <w:p>
            <w:pPr>
              <w:widowControl/>
              <w:spacing w:line="360" w:lineRule="auto"/>
              <w:jc w:val="center"/>
              <w:rPr>
                <w:rFonts w:ascii="宋体" w:hAnsi="宋体" w:cs="仿宋_GB2312"/>
                <w:b/>
                <w:kern w:val="0"/>
                <w:szCs w:val="21"/>
              </w:rPr>
            </w:pPr>
            <w:r>
              <w:rPr>
                <w:rFonts w:hint="eastAsia" w:ascii="宋体" w:hAnsi="宋体" w:cs="仿宋_GB2312"/>
                <w:kern w:val="0"/>
                <w:szCs w:val="21"/>
              </w:rPr>
              <w:t>格式要求</w:t>
            </w:r>
          </w:p>
        </w:tc>
        <w:tc>
          <w:tcPr>
            <w:tcW w:w="7513" w:type="dxa"/>
            <w:vAlign w:val="center"/>
          </w:tcPr>
          <w:p>
            <w:pPr>
              <w:widowControl/>
              <w:spacing w:line="360" w:lineRule="auto"/>
              <w:rPr>
                <w:rFonts w:ascii="宋体" w:hAnsi="宋体" w:cs="仿宋_GB2312"/>
                <w:kern w:val="0"/>
                <w:szCs w:val="21"/>
              </w:rPr>
            </w:pPr>
            <w:r>
              <w:rPr>
                <w:rFonts w:hint="eastAsia" w:ascii="宋体" w:hAnsi="宋体" w:cs="仿宋_GB2312"/>
                <w:kern w:val="0"/>
                <w:szCs w:val="21"/>
              </w:rPr>
              <w:t>按照磋商文件编制及格式要求编制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continue"/>
            <w:vAlign w:val="center"/>
          </w:tcPr>
          <w:p>
            <w:pPr>
              <w:widowControl/>
              <w:spacing w:line="360" w:lineRule="auto"/>
              <w:jc w:val="center"/>
              <w:rPr>
                <w:rFonts w:ascii="宋体" w:hAnsi="宋体" w:cs="仿宋_GB2312"/>
                <w:kern w:val="0"/>
                <w:szCs w:val="21"/>
              </w:rPr>
            </w:pPr>
          </w:p>
        </w:tc>
        <w:tc>
          <w:tcPr>
            <w:tcW w:w="709" w:type="dxa"/>
            <w:vMerge w:val="continue"/>
            <w:vAlign w:val="center"/>
          </w:tcPr>
          <w:p>
            <w:pPr>
              <w:widowControl/>
              <w:spacing w:line="360" w:lineRule="auto"/>
              <w:jc w:val="center"/>
              <w:rPr>
                <w:rFonts w:ascii="宋体" w:hAnsi="宋体" w:cs="仿宋_GB2312"/>
                <w:kern w:val="0"/>
                <w:szCs w:val="21"/>
              </w:rPr>
            </w:pPr>
          </w:p>
        </w:tc>
        <w:tc>
          <w:tcPr>
            <w:tcW w:w="1417" w:type="dxa"/>
            <w:vMerge w:val="restart"/>
            <w:vAlign w:val="center"/>
          </w:tcPr>
          <w:p>
            <w:pPr>
              <w:spacing w:line="360" w:lineRule="auto"/>
              <w:jc w:val="center"/>
              <w:rPr>
                <w:rFonts w:ascii="宋体" w:hAnsi="宋体" w:cs="仿宋_GB2312"/>
                <w:kern w:val="0"/>
                <w:szCs w:val="21"/>
              </w:rPr>
            </w:pPr>
            <w:r>
              <w:rPr>
                <w:rFonts w:hint="eastAsia" w:ascii="宋体" w:hAnsi="宋体" w:cs="仿宋_GB2312"/>
                <w:kern w:val="0"/>
                <w:szCs w:val="21"/>
              </w:rPr>
              <w:t>报价</w:t>
            </w:r>
          </w:p>
        </w:tc>
        <w:tc>
          <w:tcPr>
            <w:tcW w:w="7513" w:type="dxa"/>
            <w:vAlign w:val="center"/>
          </w:tcPr>
          <w:p>
            <w:pPr>
              <w:widowControl/>
              <w:spacing w:line="360" w:lineRule="auto"/>
              <w:rPr>
                <w:rFonts w:ascii="宋体" w:hAnsi="宋体" w:cs="仿宋_GB2312"/>
                <w:kern w:val="0"/>
                <w:szCs w:val="21"/>
              </w:rPr>
            </w:pPr>
            <w:r>
              <w:rPr>
                <w:rFonts w:ascii="宋体" w:hAnsi="宋体" w:cs="仿宋_GB2312"/>
                <w:kern w:val="0"/>
                <w:szCs w:val="21"/>
              </w:rPr>
              <w:t>投标报价没有严重缺漏项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continue"/>
            <w:vAlign w:val="center"/>
          </w:tcPr>
          <w:p>
            <w:pPr>
              <w:widowControl/>
              <w:spacing w:line="360" w:lineRule="auto"/>
              <w:jc w:val="center"/>
              <w:rPr>
                <w:rFonts w:ascii="宋体" w:hAnsi="宋体" w:cs="仿宋_GB2312"/>
                <w:kern w:val="0"/>
                <w:szCs w:val="21"/>
              </w:rPr>
            </w:pPr>
          </w:p>
        </w:tc>
        <w:tc>
          <w:tcPr>
            <w:tcW w:w="709" w:type="dxa"/>
            <w:vMerge w:val="continue"/>
            <w:vAlign w:val="center"/>
          </w:tcPr>
          <w:p>
            <w:pPr>
              <w:widowControl/>
              <w:spacing w:line="360" w:lineRule="auto"/>
              <w:jc w:val="center"/>
              <w:rPr>
                <w:rFonts w:ascii="宋体" w:hAnsi="宋体" w:cs="仿宋_GB2312"/>
                <w:kern w:val="0"/>
                <w:szCs w:val="21"/>
              </w:rPr>
            </w:pPr>
          </w:p>
        </w:tc>
        <w:tc>
          <w:tcPr>
            <w:tcW w:w="1417" w:type="dxa"/>
            <w:vMerge w:val="continue"/>
            <w:vAlign w:val="center"/>
          </w:tcPr>
          <w:p>
            <w:pPr>
              <w:widowControl/>
              <w:spacing w:line="360" w:lineRule="auto"/>
              <w:jc w:val="center"/>
              <w:rPr>
                <w:rFonts w:ascii="宋体" w:hAnsi="宋体" w:cs="仿宋_GB2312"/>
                <w:b/>
                <w:kern w:val="0"/>
                <w:szCs w:val="21"/>
              </w:rPr>
            </w:pPr>
          </w:p>
        </w:tc>
        <w:tc>
          <w:tcPr>
            <w:tcW w:w="7513" w:type="dxa"/>
            <w:vAlign w:val="center"/>
          </w:tcPr>
          <w:p>
            <w:pPr>
              <w:widowControl/>
              <w:spacing w:line="360" w:lineRule="auto"/>
              <w:rPr>
                <w:rFonts w:ascii="宋体" w:hAnsi="宋体" w:cs="仿宋_GB2312"/>
                <w:b/>
                <w:kern w:val="0"/>
                <w:szCs w:val="21"/>
              </w:rPr>
            </w:pPr>
            <w:r>
              <w:rPr>
                <w:rFonts w:hint="eastAsia" w:ascii="宋体" w:hAnsi="宋体" w:cs="仿宋_GB2312"/>
                <w:kern w:val="0"/>
                <w:szCs w:val="21"/>
              </w:rPr>
              <w:t>投标报价没有超过预算金额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continue"/>
            <w:vAlign w:val="center"/>
          </w:tcPr>
          <w:p>
            <w:pPr>
              <w:widowControl/>
              <w:spacing w:line="360" w:lineRule="auto"/>
              <w:jc w:val="center"/>
              <w:rPr>
                <w:rFonts w:ascii="宋体" w:hAnsi="宋体" w:cs="仿宋_GB2312"/>
                <w:b/>
                <w:kern w:val="0"/>
                <w:szCs w:val="21"/>
              </w:rPr>
            </w:pPr>
          </w:p>
        </w:tc>
        <w:tc>
          <w:tcPr>
            <w:tcW w:w="709" w:type="dxa"/>
            <w:vMerge w:val="continue"/>
            <w:vAlign w:val="center"/>
          </w:tcPr>
          <w:p>
            <w:pPr>
              <w:widowControl/>
              <w:spacing w:line="360" w:lineRule="auto"/>
              <w:jc w:val="center"/>
              <w:rPr>
                <w:rFonts w:ascii="宋体" w:hAnsi="宋体" w:cs="仿宋_GB2312"/>
                <w:b/>
                <w:kern w:val="0"/>
                <w:szCs w:val="21"/>
              </w:rPr>
            </w:pPr>
          </w:p>
        </w:tc>
        <w:tc>
          <w:tcPr>
            <w:tcW w:w="1417" w:type="dxa"/>
            <w:vAlign w:val="center"/>
          </w:tcPr>
          <w:p>
            <w:pPr>
              <w:widowControl/>
              <w:spacing w:line="360" w:lineRule="auto"/>
              <w:jc w:val="center"/>
              <w:rPr>
                <w:rFonts w:ascii="宋体" w:hAnsi="宋体" w:cs="仿宋_GB2312"/>
                <w:b/>
                <w:kern w:val="0"/>
                <w:szCs w:val="21"/>
              </w:rPr>
            </w:pPr>
            <w:r>
              <w:rPr>
                <w:rFonts w:hint="eastAsia" w:ascii="宋体" w:hAnsi="宋体" w:cs="仿宋_GB2312"/>
                <w:kern w:val="0"/>
                <w:szCs w:val="21"/>
              </w:rPr>
              <w:t>磋商书签字盖章</w:t>
            </w:r>
          </w:p>
        </w:tc>
        <w:tc>
          <w:tcPr>
            <w:tcW w:w="7513" w:type="dxa"/>
            <w:vAlign w:val="center"/>
          </w:tcPr>
          <w:p>
            <w:pPr>
              <w:widowControl/>
              <w:spacing w:line="360" w:lineRule="auto"/>
              <w:rPr>
                <w:rFonts w:ascii="宋体" w:hAnsi="宋体" w:cs="仿宋_GB2312"/>
                <w:b/>
                <w:kern w:val="0"/>
                <w:szCs w:val="21"/>
              </w:rPr>
            </w:pPr>
            <w:r>
              <w:rPr>
                <w:rFonts w:hint="eastAsia" w:ascii="宋体" w:hAnsi="宋体" w:cs="仿宋_GB2312"/>
                <w:kern w:val="0"/>
                <w:szCs w:val="21"/>
              </w:rPr>
              <w:t>磋商</w:t>
            </w:r>
            <w:r>
              <w:rPr>
                <w:rFonts w:ascii="宋体" w:hAnsi="宋体" w:cs="仿宋_GB2312"/>
                <w:kern w:val="0"/>
                <w:szCs w:val="21"/>
              </w:rPr>
              <w:t>文件中要求法人代表签字和加盖公章的文件有法人代表签字或公章的，或签字人有法人代表有效委托的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continue"/>
            <w:vAlign w:val="center"/>
          </w:tcPr>
          <w:p>
            <w:pPr>
              <w:widowControl/>
              <w:spacing w:line="360" w:lineRule="auto"/>
              <w:jc w:val="center"/>
              <w:rPr>
                <w:rFonts w:ascii="宋体" w:hAnsi="宋体" w:cs="仿宋_GB2312"/>
                <w:b/>
                <w:kern w:val="0"/>
                <w:szCs w:val="21"/>
              </w:rPr>
            </w:pPr>
          </w:p>
        </w:tc>
        <w:tc>
          <w:tcPr>
            <w:tcW w:w="709" w:type="dxa"/>
            <w:vMerge w:val="continue"/>
            <w:vAlign w:val="center"/>
          </w:tcPr>
          <w:p>
            <w:pPr>
              <w:widowControl/>
              <w:spacing w:line="360" w:lineRule="auto"/>
              <w:jc w:val="center"/>
              <w:rPr>
                <w:rFonts w:ascii="宋体" w:hAnsi="宋体" w:cs="仿宋_GB2312"/>
                <w:b/>
                <w:kern w:val="0"/>
                <w:szCs w:val="21"/>
              </w:rPr>
            </w:pPr>
          </w:p>
        </w:tc>
        <w:tc>
          <w:tcPr>
            <w:tcW w:w="1417" w:type="dxa"/>
            <w:vAlign w:val="center"/>
          </w:tcPr>
          <w:p>
            <w:pPr>
              <w:widowControl/>
              <w:spacing w:line="360" w:lineRule="auto"/>
              <w:jc w:val="center"/>
              <w:rPr>
                <w:rFonts w:ascii="宋体" w:hAnsi="宋体" w:cs="仿宋_GB2312"/>
                <w:b/>
                <w:kern w:val="0"/>
                <w:szCs w:val="21"/>
              </w:rPr>
            </w:pPr>
            <w:r>
              <w:rPr>
                <w:rFonts w:hint="eastAsia" w:ascii="宋体" w:hAnsi="宋体" w:cs="仿宋_GB2312"/>
                <w:kern w:val="0"/>
                <w:szCs w:val="21"/>
              </w:rPr>
              <w:t>磋商有效期</w:t>
            </w:r>
          </w:p>
        </w:tc>
        <w:tc>
          <w:tcPr>
            <w:tcW w:w="7513" w:type="dxa"/>
            <w:vAlign w:val="center"/>
          </w:tcPr>
          <w:p>
            <w:pPr>
              <w:widowControl/>
              <w:spacing w:line="360" w:lineRule="auto"/>
              <w:rPr>
                <w:rFonts w:ascii="宋体" w:hAnsi="宋体" w:cs="仿宋_GB2312"/>
                <w:b/>
                <w:kern w:val="0"/>
                <w:szCs w:val="21"/>
              </w:rPr>
            </w:pPr>
            <w:r>
              <w:rPr>
                <w:rFonts w:hint="eastAsia" w:ascii="宋体" w:hAnsi="宋体" w:cs="仿宋_GB2312"/>
                <w:kern w:val="0"/>
                <w:szCs w:val="21"/>
              </w:rPr>
              <w:t>磋商有效期是否满足采购文件要求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568" w:type="dxa"/>
            <w:vMerge w:val="continue"/>
            <w:vAlign w:val="center"/>
          </w:tcPr>
          <w:p>
            <w:pPr>
              <w:widowControl/>
              <w:spacing w:line="360" w:lineRule="auto"/>
              <w:jc w:val="center"/>
              <w:rPr>
                <w:rFonts w:ascii="宋体" w:hAnsi="宋体" w:cs="仿宋_GB2312"/>
                <w:b/>
                <w:kern w:val="0"/>
                <w:szCs w:val="21"/>
              </w:rPr>
            </w:pPr>
          </w:p>
        </w:tc>
        <w:tc>
          <w:tcPr>
            <w:tcW w:w="709" w:type="dxa"/>
            <w:vMerge w:val="continue"/>
            <w:vAlign w:val="center"/>
          </w:tcPr>
          <w:p>
            <w:pPr>
              <w:widowControl/>
              <w:spacing w:line="360" w:lineRule="auto"/>
              <w:jc w:val="center"/>
              <w:rPr>
                <w:rFonts w:ascii="宋体" w:hAnsi="宋体" w:cs="仿宋_GB2312"/>
                <w:b/>
                <w:kern w:val="0"/>
                <w:szCs w:val="21"/>
              </w:rPr>
            </w:pPr>
          </w:p>
        </w:tc>
        <w:tc>
          <w:tcPr>
            <w:tcW w:w="1417" w:type="dxa"/>
            <w:vAlign w:val="center"/>
          </w:tcPr>
          <w:p>
            <w:pPr>
              <w:widowControl/>
              <w:spacing w:line="360" w:lineRule="auto"/>
              <w:jc w:val="center"/>
              <w:rPr>
                <w:rFonts w:ascii="宋体" w:hAnsi="宋体" w:cs="仿宋_GB2312"/>
                <w:kern w:val="0"/>
                <w:szCs w:val="21"/>
              </w:rPr>
            </w:pPr>
            <w:r>
              <w:rPr>
                <w:rFonts w:hint="eastAsia" w:ascii="宋体" w:hAnsi="宋体" w:cs="仿宋_GB2312"/>
                <w:kern w:val="0"/>
                <w:szCs w:val="21"/>
              </w:rPr>
              <w:t>合同履行期限</w:t>
            </w:r>
          </w:p>
        </w:tc>
        <w:tc>
          <w:tcPr>
            <w:tcW w:w="7513" w:type="dxa"/>
            <w:vAlign w:val="center"/>
          </w:tcPr>
          <w:p>
            <w:pPr>
              <w:widowControl/>
              <w:spacing w:line="360" w:lineRule="auto"/>
              <w:rPr>
                <w:rFonts w:ascii="宋体" w:hAnsi="宋体" w:cs="仿宋_GB2312"/>
                <w:kern w:val="0"/>
                <w:szCs w:val="21"/>
              </w:rPr>
            </w:pPr>
            <w:r>
              <w:rPr>
                <w:rFonts w:hint="eastAsia" w:ascii="宋体" w:hAnsi="宋体" w:cs="仿宋_GB2312"/>
                <w:kern w:val="0"/>
                <w:szCs w:val="21"/>
              </w:rPr>
              <w:t>合同履行期限是否满足本文件要求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8" w:type="dxa"/>
            <w:vMerge w:val="continue"/>
            <w:vAlign w:val="center"/>
          </w:tcPr>
          <w:p>
            <w:pPr>
              <w:widowControl/>
              <w:spacing w:line="360" w:lineRule="auto"/>
              <w:jc w:val="center"/>
              <w:rPr>
                <w:rFonts w:ascii="宋体" w:hAnsi="宋体" w:cs="仿宋_GB2312"/>
                <w:b/>
                <w:kern w:val="0"/>
                <w:szCs w:val="21"/>
              </w:rPr>
            </w:pPr>
          </w:p>
        </w:tc>
        <w:tc>
          <w:tcPr>
            <w:tcW w:w="709" w:type="dxa"/>
            <w:vMerge w:val="continue"/>
            <w:vAlign w:val="center"/>
          </w:tcPr>
          <w:p>
            <w:pPr>
              <w:widowControl/>
              <w:spacing w:line="360" w:lineRule="auto"/>
              <w:jc w:val="center"/>
              <w:rPr>
                <w:rFonts w:ascii="宋体" w:hAnsi="宋体" w:cs="仿宋_GB2312"/>
                <w:b/>
                <w:kern w:val="0"/>
                <w:szCs w:val="21"/>
              </w:rPr>
            </w:pPr>
          </w:p>
        </w:tc>
        <w:tc>
          <w:tcPr>
            <w:tcW w:w="1417" w:type="dxa"/>
            <w:vAlign w:val="center"/>
          </w:tcPr>
          <w:p>
            <w:pPr>
              <w:widowControl/>
              <w:spacing w:line="360" w:lineRule="auto"/>
              <w:jc w:val="center"/>
              <w:rPr>
                <w:rFonts w:ascii="宋体" w:hAnsi="宋体" w:cs="仿宋_GB2312"/>
                <w:kern w:val="0"/>
                <w:szCs w:val="21"/>
              </w:rPr>
            </w:pPr>
            <w:r>
              <w:rPr>
                <w:rFonts w:hint="eastAsia" w:ascii="宋体" w:hAnsi="宋体" w:cs="仿宋_GB2312"/>
                <w:kern w:val="0"/>
                <w:szCs w:val="21"/>
              </w:rPr>
              <w:t>完整性</w:t>
            </w:r>
          </w:p>
        </w:tc>
        <w:tc>
          <w:tcPr>
            <w:tcW w:w="7513" w:type="dxa"/>
            <w:vAlign w:val="center"/>
          </w:tcPr>
          <w:p>
            <w:pPr>
              <w:widowControl/>
              <w:spacing w:line="360" w:lineRule="auto"/>
              <w:rPr>
                <w:rFonts w:ascii="宋体" w:hAnsi="宋体" w:cs="仿宋_GB2312"/>
                <w:kern w:val="0"/>
                <w:szCs w:val="21"/>
              </w:rPr>
            </w:pPr>
            <w:r>
              <w:rPr>
                <w:rFonts w:hint="eastAsia" w:ascii="宋体" w:hAnsi="宋体" w:cs="仿宋_GB2312"/>
                <w:kern w:val="0"/>
                <w:szCs w:val="21"/>
              </w:rPr>
              <w:t>投标文件完整性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68" w:type="dxa"/>
            <w:vMerge w:val="continue"/>
            <w:vAlign w:val="center"/>
          </w:tcPr>
          <w:p>
            <w:pPr>
              <w:widowControl/>
              <w:spacing w:line="360" w:lineRule="auto"/>
              <w:jc w:val="center"/>
              <w:rPr>
                <w:rFonts w:ascii="宋体" w:hAnsi="宋体" w:cs="仿宋_GB2312"/>
                <w:b/>
                <w:kern w:val="0"/>
                <w:szCs w:val="21"/>
              </w:rPr>
            </w:pPr>
          </w:p>
        </w:tc>
        <w:tc>
          <w:tcPr>
            <w:tcW w:w="709" w:type="dxa"/>
            <w:vMerge w:val="continue"/>
            <w:vAlign w:val="center"/>
          </w:tcPr>
          <w:p>
            <w:pPr>
              <w:widowControl/>
              <w:spacing w:line="360" w:lineRule="auto"/>
              <w:jc w:val="center"/>
              <w:rPr>
                <w:rFonts w:ascii="宋体" w:hAnsi="宋体" w:cs="仿宋_GB2312"/>
                <w:b/>
                <w:kern w:val="0"/>
                <w:szCs w:val="21"/>
              </w:rPr>
            </w:pPr>
          </w:p>
        </w:tc>
        <w:tc>
          <w:tcPr>
            <w:tcW w:w="1417" w:type="dxa"/>
            <w:vMerge w:val="restart"/>
            <w:vAlign w:val="center"/>
          </w:tcPr>
          <w:p>
            <w:pPr>
              <w:widowControl/>
              <w:spacing w:line="360" w:lineRule="auto"/>
              <w:jc w:val="center"/>
              <w:rPr>
                <w:rFonts w:ascii="宋体" w:hAnsi="宋体" w:cs="仿宋_GB2312"/>
                <w:b/>
                <w:kern w:val="0"/>
                <w:szCs w:val="21"/>
              </w:rPr>
            </w:pPr>
            <w:r>
              <w:rPr>
                <w:rFonts w:hint="eastAsia" w:ascii="宋体" w:hAnsi="宋体" w:cs="仿宋_GB2312"/>
                <w:kern w:val="0"/>
                <w:szCs w:val="21"/>
              </w:rPr>
              <w:t>投标响应</w:t>
            </w:r>
          </w:p>
        </w:tc>
        <w:tc>
          <w:tcPr>
            <w:tcW w:w="7513" w:type="dxa"/>
            <w:vAlign w:val="center"/>
          </w:tcPr>
          <w:p>
            <w:pPr>
              <w:widowControl/>
              <w:spacing w:line="360" w:lineRule="auto"/>
              <w:rPr>
                <w:rFonts w:ascii="宋体" w:hAnsi="宋体" w:cs="仿宋_GB2312"/>
                <w:b/>
                <w:kern w:val="0"/>
                <w:szCs w:val="21"/>
              </w:rPr>
            </w:pPr>
            <w:r>
              <w:rPr>
                <w:rFonts w:hint="eastAsia" w:ascii="宋体" w:hAnsi="宋体" w:cs="仿宋_GB2312"/>
                <w:kern w:val="0"/>
                <w:szCs w:val="21"/>
              </w:rPr>
              <w:t>是否实质性响应采购文件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continue"/>
            <w:vAlign w:val="center"/>
          </w:tcPr>
          <w:p>
            <w:pPr>
              <w:widowControl/>
              <w:spacing w:line="360" w:lineRule="auto"/>
              <w:jc w:val="center"/>
              <w:rPr>
                <w:rFonts w:ascii="宋体" w:hAnsi="宋体" w:cs="仿宋_GB2312"/>
                <w:b/>
                <w:kern w:val="0"/>
                <w:szCs w:val="21"/>
              </w:rPr>
            </w:pPr>
          </w:p>
        </w:tc>
        <w:tc>
          <w:tcPr>
            <w:tcW w:w="709" w:type="dxa"/>
            <w:vMerge w:val="continue"/>
            <w:vAlign w:val="center"/>
          </w:tcPr>
          <w:p>
            <w:pPr>
              <w:widowControl/>
              <w:spacing w:line="360" w:lineRule="auto"/>
              <w:jc w:val="center"/>
              <w:rPr>
                <w:rFonts w:ascii="宋体" w:hAnsi="宋体" w:cs="仿宋_GB2312"/>
                <w:b/>
                <w:kern w:val="0"/>
                <w:szCs w:val="21"/>
              </w:rPr>
            </w:pPr>
          </w:p>
        </w:tc>
        <w:tc>
          <w:tcPr>
            <w:tcW w:w="1417" w:type="dxa"/>
            <w:vMerge w:val="continue"/>
            <w:vAlign w:val="center"/>
          </w:tcPr>
          <w:p>
            <w:pPr>
              <w:widowControl/>
              <w:spacing w:line="360" w:lineRule="auto"/>
              <w:jc w:val="center"/>
              <w:rPr>
                <w:rFonts w:ascii="宋体" w:hAnsi="宋体" w:cs="仿宋_GB2312"/>
                <w:kern w:val="0"/>
                <w:szCs w:val="21"/>
              </w:rPr>
            </w:pPr>
          </w:p>
        </w:tc>
        <w:tc>
          <w:tcPr>
            <w:tcW w:w="7513" w:type="dxa"/>
            <w:vAlign w:val="center"/>
          </w:tcPr>
          <w:p>
            <w:pPr>
              <w:widowControl/>
              <w:spacing w:line="360" w:lineRule="auto"/>
              <w:rPr>
                <w:rFonts w:ascii="宋体" w:hAnsi="宋体" w:cs="仿宋_GB2312"/>
                <w:kern w:val="0"/>
                <w:szCs w:val="21"/>
              </w:rPr>
            </w:pPr>
            <w:r>
              <w:rPr>
                <w:rFonts w:hint="eastAsia" w:ascii="宋体" w:hAnsi="宋体" w:cs="仿宋_GB2312"/>
                <w:kern w:val="0"/>
                <w:szCs w:val="21"/>
              </w:rPr>
              <w:t>是否有提出采购人不能接受的合同条件的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widowControl/>
              <w:spacing w:line="360" w:lineRule="auto"/>
              <w:jc w:val="center"/>
              <w:rPr>
                <w:rFonts w:ascii="宋体" w:hAnsi="宋体" w:cs="仿宋_GB2312"/>
                <w:szCs w:val="21"/>
              </w:rPr>
            </w:pPr>
            <w:r>
              <w:rPr>
                <w:rFonts w:hint="eastAsia" w:ascii="宋体" w:hAnsi="宋体" w:cs="仿宋_GB2312"/>
                <w:kern w:val="0"/>
                <w:szCs w:val="21"/>
              </w:rPr>
              <w:t>2.</w:t>
            </w:r>
          </w:p>
        </w:tc>
        <w:tc>
          <w:tcPr>
            <w:tcW w:w="709" w:type="dxa"/>
            <w:vAlign w:val="center"/>
          </w:tcPr>
          <w:p>
            <w:pPr>
              <w:widowControl/>
              <w:spacing w:line="360" w:lineRule="auto"/>
              <w:jc w:val="center"/>
              <w:rPr>
                <w:rFonts w:ascii="宋体" w:hAnsi="宋体" w:cs="仿宋_GB2312"/>
                <w:szCs w:val="21"/>
              </w:rPr>
            </w:pPr>
            <w:r>
              <w:rPr>
                <w:rFonts w:hint="eastAsia" w:ascii="宋体" w:hAnsi="宋体" w:cs="仿宋_GB2312"/>
                <w:kern w:val="0"/>
                <w:szCs w:val="21"/>
              </w:rPr>
              <w:t>评定</w:t>
            </w:r>
          </w:p>
          <w:p>
            <w:pPr>
              <w:widowControl/>
              <w:spacing w:line="360" w:lineRule="auto"/>
              <w:jc w:val="center"/>
              <w:rPr>
                <w:rFonts w:ascii="宋体" w:hAnsi="宋体" w:cs="仿宋_GB2312"/>
                <w:b/>
                <w:kern w:val="0"/>
                <w:szCs w:val="21"/>
              </w:rPr>
            </w:pPr>
            <w:r>
              <w:rPr>
                <w:rFonts w:hint="eastAsia" w:ascii="宋体" w:hAnsi="宋体" w:cs="仿宋_GB2312"/>
                <w:kern w:val="0"/>
                <w:szCs w:val="21"/>
              </w:rPr>
              <w:t>办法</w:t>
            </w:r>
          </w:p>
        </w:tc>
        <w:tc>
          <w:tcPr>
            <w:tcW w:w="1417" w:type="dxa"/>
            <w:vAlign w:val="center"/>
          </w:tcPr>
          <w:p>
            <w:pPr>
              <w:widowControl/>
              <w:spacing w:line="360" w:lineRule="auto"/>
              <w:jc w:val="center"/>
              <w:rPr>
                <w:rFonts w:ascii="宋体" w:hAnsi="宋体" w:cs="仿宋_GB2312"/>
                <w:szCs w:val="21"/>
              </w:rPr>
            </w:pPr>
            <w:r>
              <w:rPr>
                <w:rFonts w:hint="eastAsia" w:ascii="宋体" w:hAnsi="宋体" w:cs="仿宋_GB2312"/>
                <w:kern w:val="0"/>
                <w:szCs w:val="21"/>
              </w:rPr>
              <w:t>综合评分法</w:t>
            </w:r>
          </w:p>
        </w:tc>
        <w:tc>
          <w:tcPr>
            <w:tcW w:w="7513" w:type="dxa"/>
            <w:vAlign w:val="center"/>
          </w:tcPr>
          <w:p>
            <w:pPr>
              <w:widowControl/>
              <w:spacing w:line="360" w:lineRule="auto"/>
              <w:rPr>
                <w:rFonts w:ascii="宋体" w:hAnsi="宋体" w:cs="仿宋_GB2312"/>
                <w:szCs w:val="21"/>
              </w:rPr>
            </w:pPr>
            <w:r>
              <w:rPr>
                <w:rFonts w:hint="eastAsia" w:ascii="宋体" w:hAnsi="宋体" w:cs="仿宋_GB2312"/>
                <w:kern w:val="0"/>
                <w:szCs w:val="21"/>
              </w:rPr>
              <w:t>各供应商的最终得分为各评委所评定分数的算术平均值。磋商小组将根据供应商最终得分由高到低的顺序推荐3名成交候选人</w:t>
            </w:r>
          </w:p>
        </w:tc>
      </w:tr>
    </w:tbl>
    <w:p>
      <w:pPr>
        <w:pStyle w:val="2"/>
        <w:rPr>
          <w:kern w:val="0"/>
        </w:rPr>
      </w:pPr>
      <w:bookmarkStart w:id="24" w:name="_Toc29114"/>
      <w:r>
        <w:rPr>
          <w:rFonts w:hint="eastAsia"/>
          <w:kern w:val="0"/>
        </w:rPr>
        <w:t>二、计算办法</w:t>
      </w:r>
      <w:bookmarkEnd w:id="24"/>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0"/>
        <w:gridCol w:w="7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0" w:type="dxa"/>
          </w:tcPr>
          <w:p>
            <w:pPr>
              <w:widowControl/>
              <w:spacing w:line="360" w:lineRule="auto"/>
              <w:jc w:val="center"/>
              <w:rPr>
                <w:rFonts w:ascii="宋体" w:hAnsi="宋体" w:cs="仿宋_GB2312"/>
                <w:b/>
                <w:kern w:val="0"/>
                <w:szCs w:val="21"/>
              </w:rPr>
            </w:pPr>
            <w:r>
              <w:rPr>
                <w:rFonts w:hint="eastAsia" w:ascii="宋体" w:hAnsi="宋体" w:cs="仿宋_GB2312"/>
                <w:b/>
                <w:kern w:val="0"/>
                <w:szCs w:val="21"/>
              </w:rPr>
              <w:t>条款内容</w:t>
            </w:r>
          </w:p>
        </w:tc>
        <w:tc>
          <w:tcPr>
            <w:tcW w:w="7249" w:type="dxa"/>
          </w:tcPr>
          <w:p>
            <w:pPr>
              <w:widowControl/>
              <w:spacing w:line="360" w:lineRule="auto"/>
              <w:jc w:val="center"/>
              <w:rPr>
                <w:rFonts w:ascii="宋体" w:hAnsi="宋体" w:cs="仿宋_GB2312"/>
                <w:b/>
                <w:kern w:val="0"/>
                <w:szCs w:val="21"/>
              </w:rPr>
            </w:pPr>
            <w:r>
              <w:rPr>
                <w:rFonts w:hint="eastAsia" w:ascii="宋体" w:hAnsi="宋体" w:cs="仿宋_GB2312"/>
                <w:b/>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0" w:type="dxa"/>
          </w:tcPr>
          <w:p>
            <w:pPr>
              <w:widowControl/>
              <w:spacing w:line="360" w:lineRule="auto"/>
              <w:jc w:val="center"/>
              <w:rPr>
                <w:rFonts w:ascii="宋体" w:hAnsi="宋体" w:cs="仿宋_GB2312"/>
                <w:b/>
                <w:kern w:val="0"/>
                <w:szCs w:val="21"/>
              </w:rPr>
            </w:pPr>
            <w:r>
              <w:rPr>
                <w:rFonts w:hint="eastAsia" w:ascii="宋体" w:hAnsi="宋体" w:cs="仿宋_GB2312"/>
                <w:kern w:val="0"/>
                <w:szCs w:val="21"/>
              </w:rPr>
              <w:t>分值构成(总分100分)</w:t>
            </w:r>
          </w:p>
        </w:tc>
        <w:tc>
          <w:tcPr>
            <w:tcW w:w="7249" w:type="dxa"/>
            <w:vAlign w:val="center"/>
          </w:tcPr>
          <w:p>
            <w:pPr>
              <w:widowControl/>
              <w:spacing w:line="360" w:lineRule="auto"/>
              <w:rPr>
                <w:rFonts w:ascii="宋体" w:hAnsi="宋体" w:cs="仿宋_GB2312"/>
                <w:kern w:val="0"/>
                <w:szCs w:val="21"/>
              </w:rPr>
            </w:pPr>
            <w:r>
              <w:rPr>
                <w:rFonts w:hint="eastAsia" w:ascii="宋体" w:hAnsi="宋体" w:cs="仿宋_GB2312"/>
                <w:kern w:val="0"/>
                <w:szCs w:val="21"/>
              </w:rPr>
              <w:t>详见评分细则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0" w:type="dxa"/>
          </w:tcPr>
          <w:p>
            <w:pPr>
              <w:widowControl/>
              <w:spacing w:line="360" w:lineRule="auto"/>
              <w:jc w:val="center"/>
              <w:rPr>
                <w:rFonts w:ascii="宋体" w:hAnsi="宋体" w:cs="仿宋_GB2312"/>
                <w:b/>
                <w:kern w:val="0"/>
                <w:szCs w:val="21"/>
              </w:rPr>
            </w:pPr>
            <w:r>
              <w:rPr>
                <w:rFonts w:hint="eastAsia" w:ascii="宋体" w:hAnsi="宋体" w:cs="仿宋_GB2312"/>
                <w:kern w:val="0"/>
                <w:szCs w:val="21"/>
              </w:rPr>
              <w:t>评标基准价计算方法</w:t>
            </w:r>
          </w:p>
        </w:tc>
        <w:tc>
          <w:tcPr>
            <w:tcW w:w="7249" w:type="dxa"/>
          </w:tcPr>
          <w:p>
            <w:pPr>
              <w:widowControl/>
              <w:spacing w:line="360" w:lineRule="auto"/>
              <w:jc w:val="left"/>
              <w:rPr>
                <w:rFonts w:ascii="宋体" w:hAnsi="宋体" w:cs="仿宋_GB2312"/>
                <w:b/>
                <w:kern w:val="0"/>
                <w:szCs w:val="21"/>
              </w:rPr>
            </w:pPr>
            <w:r>
              <w:rPr>
                <w:rFonts w:hint="eastAsia" w:ascii="宋体" w:hAnsi="宋体" w:cs="仿宋_GB2312"/>
                <w:kern w:val="0"/>
                <w:szCs w:val="21"/>
              </w:rPr>
              <w:t>满足采购文件要求且报价最低的投标报价为评标基准价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0" w:type="dxa"/>
          </w:tcPr>
          <w:p>
            <w:pPr>
              <w:widowControl/>
              <w:spacing w:line="360" w:lineRule="auto"/>
              <w:jc w:val="center"/>
              <w:rPr>
                <w:rFonts w:ascii="宋体" w:hAnsi="宋体" w:cs="仿宋_GB2312"/>
                <w:b/>
                <w:kern w:val="0"/>
                <w:szCs w:val="21"/>
              </w:rPr>
            </w:pPr>
            <w:r>
              <w:rPr>
                <w:rFonts w:hint="eastAsia" w:ascii="宋体" w:hAnsi="宋体" w:cs="仿宋_GB2312"/>
                <w:b/>
                <w:kern w:val="0"/>
                <w:szCs w:val="21"/>
              </w:rPr>
              <w:t>评分因素</w:t>
            </w:r>
          </w:p>
        </w:tc>
        <w:tc>
          <w:tcPr>
            <w:tcW w:w="7249" w:type="dxa"/>
          </w:tcPr>
          <w:p>
            <w:pPr>
              <w:widowControl/>
              <w:spacing w:line="360" w:lineRule="auto"/>
              <w:jc w:val="center"/>
              <w:rPr>
                <w:rFonts w:ascii="宋体" w:hAnsi="宋体" w:cs="仿宋_GB2312"/>
                <w:b/>
                <w:kern w:val="0"/>
                <w:szCs w:val="21"/>
              </w:rPr>
            </w:pPr>
            <w:r>
              <w:rPr>
                <w:rFonts w:hint="eastAsia" w:ascii="宋体" w:hAnsi="宋体" w:cs="仿宋_GB2312"/>
                <w:b/>
                <w:kern w:val="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0" w:type="dxa"/>
          </w:tcPr>
          <w:p>
            <w:pPr>
              <w:widowControl/>
              <w:spacing w:line="360" w:lineRule="auto"/>
              <w:jc w:val="center"/>
              <w:rPr>
                <w:rFonts w:ascii="宋体" w:hAnsi="宋体" w:cs="仿宋_GB2312"/>
                <w:b/>
                <w:kern w:val="0"/>
                <w:szCs w:val="21"/>
              </w:rPr>
            </w:pPr>
            <w:r>
              <w:rPr>
                <w:rFonts w:hint="eastAsia" w:ascii="宋体" w:hAnsi="宋体" w:cs="仿宋_GB2312"/>
                <w:kern w:val="0"/>
                <w:szCs w:val="21"/>
              </w:rPr>
              <w:t>技术部分评分标准</w:t>
            </w:r>
          </w:p>
        </w:tc>
        <w:tc>
          <w:tcPr>
            <w:tcW w:w="7249" w:type="dxa"/>
          </w:tcPr>
          <w:p>
            <w:pPr>
              <w:widowControl/>
              <w:spacing w:line="360" w:lineRule="auto"/>
              <w:jc w:val="left"/>
              <w:rPr>
                <w:rFonts w:ascii="宋体" w:hAnsi="宋体" w:cs="仿宋_GB2312"/>
                <w:b/>
                <w:kern w:val="0"/>
                <w:szCs w:val="21"/>
              </w:rPr>
            </w:pPr>
            <w:r>
              <w:rPr>
                <w:rFonts w:hint="eastAsia" w:ascii="宋体" w:hAnsi="宋体" w:cs="仿宋_GB2312"/>
                <w:kern w:val="0"/>
                <w:szCs w:val="21"/>
              </w:rPr>
              <w:t>详见评分细则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0" w:type="dxa"/>
          </w:tcPr>
          <w:p>
            <w:pPr>
              <w:widowControl/>
              <w:spacing w:line="360" w:lineRule="auto"/>
              <w:jc w:val="center"/>
              <w:rPr>
                <w:rFonts w:ascii="宋体" w:hAnsi="宋体" w:cs="仿宋_GB2312"/>
                <w:b/>
                <w:kern w:val="0"/>
                <w:szCs w:val="21"/>
              </w:rPr>
            </w:pPr>
            <w:r>
              <w:rPr>
                <w:rFonts w:hint="eastAsia" w:ascii="宋体" w:hAnsi="宋体" w:cs="仿宋_GB2312"/>
                <w:kern w:val="0"/>
                <w:szCs w:val="21"/>
              </w:rPr>
              <w:t>商务部分评分标准</w:t>
            </w:r>
          </w:p>
        </w:tc>
        <w:tc>
          <w:tcPr>
            <w:tcW w:w="7249" w:type="dxa"/>
          </w:tcPr>
          <w:p>
            <w:pPr>
              <w:widowControl/>
              <w:spacing w:line="360" w:lineRule="auto"/>
              <w:jc w:val="left"/>
              <w:rPr>
                <w:rFonts w:ascii="宋体" w:hAnsi="宋体" w:cs="仿宋_GB2312"/>
                <w:b/>
                <w:kern w:val="0"/>
                <w:szCs w:val="21"/>
              </w:rPr>
            </w:pPr>
            <w:r>
              <w:rPr>
                <w:rFonts w:hint="eastAsia" w:ascii="宋体" w:hAnsi="宋体" w:cs="仿宋_GB2312"/>
                <w:kern w:val="0"/>
                <w:szCs w:val="21"/>
              </w:rPr>
              <w:t>详见评分细则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0" w:type="dxa"/>
          </w:tcPr>
          <w:p>
            <w:pPr>
              <w:widowControl/>
              <w:spacing w:line="360" w:lineRule="auto"/>
              <w:jc w:val="center"/>
              <w:rPr>
                <w:rFonts w:ascii="宋体" w:hAnsi="宋体" w:cs="仿宋_GB2312"/>
                <w:b/>
                <w:kern w:val="0"/>
                <w:szCs w:val="21"/>
              </w:rPr>
            </w:pPr>
            <w:r>
              <w:rPr>
                <w:rFonts w:hint="eastAsia" w:ascii="宋体" w:hAnsi="宋体" w:cs="仿宋_GB2312"/>
                <w:kern w:val="0"/>
                <w:szCs w:val="21"/>
              </w:rPr>
              <w:t>投标报价评分标准</w:t>
            </w:r>
          </w:p>
        </w:tc>
        <w:tc>
          <w:tcPr>
            <w:tcW w:w="7249" w:type="dxa"/>
          </w:tcPr>
          <w:p>
            <w:pPr>
              <w:widowControl/>
              <w:spacing w:line="360" w:lineRule="auto"/>
              <w:jc w:val="left"/>
              <w:rPr>
                <w:rFonts w:ascii="宋体" w:hAnsi="宋体" w:cs="仿宋_GB2312"/>
                <w:b/>
                <w:kern w:val="0"/>
                <w:szCs w:val="21"/>
              </w:rPr>
            </w:pPr>
            <w:r>
              <w:rPr>
                <w:rFonts w:hint="eastAsia" w:ascii="宋体" w:hAnsi="宋体" w:cs="仿宋_GB2312"/>
                <w:kern w:val="0"/>
                <w:szCs w:val="21"/>
              </w:rPr>
              <w:t>详见评分细则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0" w:type="dxa"/>
          </w:tcPr>
          <w:p>
            <w:pPr>
              <w:widowControl/>
              <w:spacing w:line="360" w:lineRule="auto"/>
              <w:jc w:val="center"/>
              <w:rPr>
                <w:rFonts w:ascii="宋体" w:hAnsi="宋体" w:cs="仿宋_GB2312"/>
                <w:kern w:val="0"/>
                <w:szCs w:val="21"/>
              </w:rPr>
            </w:pPr>
            <w:r>
              <w:rPr>
                <w:rFonts w:hint="eastAsia" w:ascii="宋体" w:hAnsi="宋体" w:cs="仿宋_GB2312"/>
                <w:b/>
                <w:kern w:val="0"/>
                <w:szCs w:val="21"/>
              </w:rPr>
              <w:t>条款内容</w:t>
            </w:r>
          </w:p>
        </w:tc>
        <w:tc>
          <w:tcPr>
            <w:tcW w:w="7249" w:type="dxa"/>
          </w:tcPr>
          <w:p>
            <w:pPr>
              <w:widowControl/>
              <w:spacing w:line="360" w:lineRule="auto"/>
              <w:jc w:val="center"/>
              <w:rPr>
                <w:rFonts w:ascii="宋体" w:hAnsi="宋体" w:cs="仿宋_GB2312"/>
                <w:kern w:val="0"/>
                <w:szCs w:val="21"/>
              </w:rPr>
            </w:pPr>
            <w:r>
              <w:rPr>
                <w:rFonts w:hint="eastAsia" w:ascii="宋体" w:hAnsi="宋体" w:cs="仿宋_GB2312"/>
                <w:b/>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0" w:type="dxa"/>
          </w:tcPr>
          <w:p>
            <w:pPr>
              <w:widowControl/>
              <w:spacing w:line="360" w:lineRule="auto"/>
              <w:jc w:val="center"/>
              <w:rPr>
                <w:rFonts w:ascii="宋体" w:hAnsi="宋体" w:cs="仿宋_GB2312"/>
                <w:szCs w:val="21"/>
              </w:rPr>
            </w:pPr>
            <w:r>
              <w:rPr>
                <w:rFonts w:hint="eastAsia" w:ascii="宋体" w:hAnsi="宋体" w:cs="仿宋_GB2312"/>
                <w:kern w:val="0"/>
                <w:szCs w:val="21"/>
              </w:rPr>
              <w:t>各供应商的最终得分计算</w:t>
            </w:r>
          </w:p>
          <w:p>
            <w:pPr>
              <w:widowControl/>
              <w:spacing w:line="360" w:lineRule="auto"/>
              <w:jc w:val="center"/>
              <w:rPr>
                <w:rFonts w:ascii="宋体" w:hAnsi="宋体" w:cs="仿宋_GB2312"/>
                <w:kern w:val="0"/>
                <w:szCs w:val="21"/>
              </w:rPr>
            </w:pPr>
            <w:r>
              <w:rPr>
                <w:rFonts w:hint="eastAsia" w:ascii="宋体" w:hAnsi="宋体" w:cs="仿宋_GB2312"/>
                <w:kern w:val="0"/>
                <w:szCs w:val="21"/>
              </w:rPr>
              <w:t>办法</w:t>
            </w:r>
          </w:p>
        </w:tc>
        <w:tc>
          <w:tcPr>
            <w:tcW w:w="7249" w:type="dxa"/>
            <w:vAlign w:val="center"/>
          </w:tcPr>
          <w:p>
            <w:pPr>
              <w:widowControl/>
              <w:spacing w:line="360" w:lineRule="auto"/>
              <w:rPr>
                <w:rFonts w:ascii="宋体" w:hAnsi="宋体" w:cs="仿宋_GB2312"/>
                <w:kern w:val="0"/>
                <w:szCs w:val="21"/>
              </w:rPr>
            </w:pPr>
            <w:r>
              <w:rPr>
                <w:rFonts w:hint="eastAsia" w:ascii="宋体" w:hAnsi="宋体" w:cs="仿宋_GB2312"/>
                <w:kern w:val="0"/>
                <w:szCs w:val="21"/>
              </w:rPr>
              <w:t>所有评委评分的算术平均值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0" w:type="dxa"/>
          </w:tcPr>
          <w:p>
            <w:pPr>
              <w:widowControl/>
              <w:spacing w:line="360" w:lineRule="auto"/>
              <w:jc w:val="center"/>
              <w:rPr>
                <w:rFonts w:ascii="宋体" w:hAnsi="宋体" w:cs="仿宋_GB2312"/>
                <w:szCs w:val="21"/>
              </w:rPr>
            </w:pPr>
            <w:r>
              <w:rPr>
                <w:rFonts w:hint="eastAsia" w:ascii="宋体" w:hAnsi="宋体" w:cs="仿宋_GB2312"/>
                <w:kern w:val="0"/>
                <w:szCs w:val="21"/>
              </w:rPr>
              <w:t>供应商最后得分相同时对</w:t>
            </w:r>
          </w:p>
          <w:p>
            <w:pPr>
              <w:widowControl/>
              <w:spacing w:line="360" w:lineRule="auto"/>
              <w:jc w:val="center"/>
              <w:rPr>
                <w:rFonts w:ascii="宋体" w:hAnsi="宋体" w:cs="仿宋_GB2312"/>
                <w:kern w:val="0"/>
                <w:szCs w:val="21"/>
              </w:rPr>
            </w:pPr>
            <w:r>
              <w:rPr>
                <w:rFonts w:hint="eastAsia" w:ascii="宋体" w:hAnsi="宋体" w:cs="仿宋_GB2312"/>
                <w:kern w:val="0"/>
                <w:szCs w:val="21"/>
              </w:rPr>
              <w:t>供应商进行排序的方法</w:t>
            </w:r>
          </w:p>
        </w:tc>
        <w:tc>
          <w:tcPr>
            <w:tcW w:w="7249" w:type="dxa"/>
            <w:vAlign w:val="center"/>
          </w:tcPr>
          <w:p>
            <w:pPr>
              <w:widowControl/>
              <w:spacing w:line="360" w:lineRule="auto"/>
              <w:rPr>
                <w:rFonts w:ascii="宋体" w:hAnsi="宋体" w:cs="仿宋_GB2312"/>
                <w:kern w:val="0"/>
                <w:szCs w:val="21"/>
              </w:rPr>
            </w:pPr>
            <w:r>
              <w:rPr>
                <w:rFonts w:hint="eastAsia" w:ascii="宋体" w:hAnsi="宋体" w:cs="仿宋_GB2312"/>
                <w:kern w:val="0"/>
                <w:szCs w:val="21"/>
              </w:rPr>
              <w:t>得分相同的供应商，按投标报价由低到高顺序排列。得分且报价相同的，按技术部分优劣顺序排列。</w:t>
            </w:r>
          </w:p>
        </w:tc>
      </w:tr>
    </w:tbl>
    <w:p>
      <w:pPr>
        <w:pStyle w:val="2"/>
        <w:rPr>
          <w:color w:val="FF0000"/>
          <w:kern w:val="0"/>
        </w:rPr>
      </w:pPr>
      <w:bookmarkStart w:id="25" w:name="_Toc28459"/>
      <w:r>
        <w:rPr>
          <w:rFonts w:hint="eastAsia"/>
          <w:color w:val="FF0000"/>
          <w:kern w:val="0"/>
        </w:rPr>
        <w:t>三、评分细则</w:t>
      </w:r>
      <w:bookmarkEnd w:id="25"/>
    </w:p>
    <w:tbl>
      <w:tblPr>
        <w:tblStyle w:val="21"/>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118"/>
        <w:gridCol w:w="639"/>
        <w:gridCol w:w="7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blHeader/>
          <w:jc w:val="center"/>
        </w:trPr>
        <w:tc>
          <w:tcPr>
            <w:tcW w:w="867" w:type="dxa"/>
            <w:noWrap/>
            <w:vAlign w:val="center"/>
          </w:tcPr>
          <w:p>
            <w:pPr>
              <w:spacing w:line="360" w:lineRule="auto"/>
              <w:jc w:val="center"/>
              <w:rPr>
                <w:rFonts w:ascii="宋体" w:hAnsi="宋体"/>
                <w:b/>
                <w:szCs w:val="21"/>
              </w:rPr>
            </w:pPr>
            <w:r>
              <w:rPr>
                <w:rFonts w:hint="eastAsia" w:ascii="宋体" w:hAnsi="宋体"/>
                <w:b/>
                <w:szCs w:val="21"/>
              </w:rPr>
              <w:t>评分项</w:t>
            </w:r>
          </w:p>
        </w:tc>
        <w:tc>
          <w:tcPr>
            <w:tcW w:w="1118" w:type="dxa"/>
            <w:noWrap/>
            <w:vAlign w:val="center"/>
          </w:tcPr>
          <w:p>
            <w:pPr>
              <w:spacing w:line="360" w:lineRule="auto"/>
              <w:jc w:val="center"/>
              <w:rPr>
                <w:rFonts w:ascii="宋体" w:hAnsi="宋体"/>
                <w:b/>
                <w:szCs w:val="21"/>
              </w:rPr>
            </w:pPr>
            <w:r>
              <w:rPr>
                <w:rFonts w:hint="eastAsia" w:ascii="宋体" w:hAnsi="宋体"/>
                <w:b/>
                <w:szCs w:val="21"/>
              </w:rPr>
              <w:t>评分细目</w:t>
            </w:r>
          </w:p>
        </w:tc>
        <w:tc>
          <w:tcPr>
            <w:tcW w:w="639" w:type="dxa"/>
            <w:noWrap/>
            <w:vAlign w:val="center"/>
          </w:tcPr>
          <w:p>
            <w:pPr>
              <w:spacing w:line="360" w:lineRule="auto"/>
              <w:jc w:val="center"/>
              <w:rPr>
                <w:rFonts w:ascii="宋体" w:hAnsi="宋体"/>
                <w:b/>
                <w:szCs w:val="21"/>
              </w:rPr>
            </w:pPr>
            <w:r>
              <w:rPr>
                <w:rFonts w:hint="eastAsia" w:ascii="宋体" w:hAnsi="宋体"/>
                <w:b/>
                <w:szCs w:val="21"/>
              </w:rPr>
              <w:t>分值</w:t>
            </w:r>
          </w:p>
        </w:tc>
        <w:tc>
          <w:tcPr>
            <w:tcW w:w="7441" w:type="dxa"/>
            <w:noWrap/>
            <w:vAlign w:val="center"/>
          </w:tcPr>
          <w:p>
            <w:pPr>
              <w:spacing w:line="360" w:lineRule="auto"/>
              <w:jc w:val="center"/>
              <w:rPr>
                <w:rFonts w:ascii="宋体" w:hAnsi="宋体"/>
                <w:b/>
                <w:szCs w:val="21"/>
              </w:rPr>
            </w:pPr>
            <w:r>
              <w:rPr>
                <w:rFonts w:hint="eastAsia" w:ascii="宋体" w:hAnsi="宋体"/>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867" w:type="dxa"/>
            <w:noWrap/>
            <w:vAlign w:val="center"/>
          </w:tcPr>
          <w:p>
            <w:pPr>
              <w:spacing w:line="360" w:lineRule="auto"/>
              <w:jc w:val="center"/>
              <w:rPr>
                <w:rFonts w:ascii="宋体" w:hAnsi="宋体"/>
                <w:szCs w:val="21"/>
              </w:rPr>
            </w:pPr>
            <w:r>
              <w:rPr>
                <w:rFonts w:hint="eastAsia" w:ascii="宋体" w:hAnsi="宋体"/>
                <w:szCs w:val="21"/>
              </w:rPr>
              <w:t>投标报价（10）</w:t>
            </w:r>
          </w:p>
        </w:tc>
        <w:tc>
          <w:tcPr>
            <w:tcW w:w="1118" w:type="dxa"/>
            <w:noWrap/>
            <w:vAlign w:val="center"/>
          </w:tcPr>
          <w:p>
            <w:pPr>
              <w:spacing w:line="360" w:lineRule="auto"/>
              <w:jc w:val="center"/>
              <w:rPr>
                <w:rFonts w:ascii="宋体" w:hAnsi="宋体"/>
                <w:szCs w:val="21"/>
              </w:rPr>
            </w:pPr>
            <w:r>
              <w:rPr>
                <w:rFonts w:hint="eastAsia" w:ascii="宋体" w:hAnsi="宋体"/>
                <w:szCs w:val="21"/>
              </w:rPr>
              <w:t>投标报价</w:t>
            </w:r>
          </w:p>
        </w:tc>
        <w:tc>
          <w:tcPr>
            <w:tcW w:w="639" w:type="dxa"/>
            <w:noWrap/>
            <w:vAlign w:val="center"/>
          </w:tcPr>
          <w:p>
            <w:pPr>
              <w:spacing w:line="360" w:lineRule="auto"/>
              <w:jc w:val="center"/>
              <w:rPr>
                <w:rFonts w:ascii="宋体" w:hAnsi="宋体"/>
                <w:szCs w:val="21"/>
              </w:rPr>
            </w:pPr>
            <w:r>
              <w:rPr>
                <w:rFonts w:hint="eastAsia" w:ascii="宋体" w:hAnsi="宋体"/>
                <w:szCs w:val="21"/>
              </w:rPr>
              <w:t>10</w:t>
            </w:r>
          </w:p>
        </w:tc>
        <w:tc>
          <w:tcPr>
            <w:tcW w:w="7441" w:type="dxa"/>
            <w:noWrap/>
            <w:vAlign w:val="center"/>
          </w:tcPr>
          <w:p>
            <w:pPr>
              <w:spacing w:line="360" w:lineRule="auto"/>
              <w:rPr>
                <w:rFonts w:ascii="宋体" w:hAnsi="宋体"/>
                <w:szCs w:val="21"/>
              </w:rPr>
            </w:pPr>
            <w:r>
              <w:rPr>
                <w:rFonts w:hint="eastAsia" w:ascii="宋体" w:hAnsi="宋体"/>
                <w:szCs w:val="21"/>
              </w:rPr>
              <w:t>满足磋商文件要求且投标价格最低的投标报价为评标基准价，其价格分为满分。其他供应商的价格分统一按照下列公式计算：投标报价得分=（评标基准价/投标报价）×</w:t>
            </w:r>
            <w:r>
              <w:rPr>
                <w:rFonts w:hint="eastAsia" w:ascii="宋体" w:hAnsi="宋体"/>
                <w:szCs w:val="21"/>
                <w:lang w:val="en-US" w:eastAsia="zh-CN"/>
              </w:rPr>
              <w:t>10%</w:t>
            </w:r>
            <w:r>
              <w:rPr>
                <w:rFonts w:hint="eastAsia" w:ascii="宋体" w:hAnsi="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67" w:type="dxa"/>
            <w:vMerge w:val="restart"/>
            <w:noWrap/>
            <w:vAlign w:val="center"/>
          </w:tcPr>
          <w:p>
            <w:pPr>
              <w:spacing w:line="360" w:lineRule="auto"/>
              <w:jc w:val="center"/>
              <w:rPr>
                <w:rFonts w:ascii="宋体" w:hAnsi="宋体"/>
                <w:szCs w:val="21"/>
              </w:rPr>
            </w:pPr>
            <w:r>
              <w:rPr>
                <w:rFonts w:hint="eastAsia" w:ascii="宋体" w:hAnsi="宋体"/>
                <w:szCs w:val="21"/>
              </w:rPr>
              <w:t>商务部分（30）</w:t>
            </w:r>
          </w:p>
        </w:tc>
        <w:tc>
          <w:tcPr>
            <w:tcW w:w="1118" w:type="dxa"/>
            <w:noWrap/>
            <w:vAlign w:val="center"/>
          </w:tcPr>
          <w:p>
            <w:pPr>
              <w:adjustRightInd w:val="0"/>
              <w:snapToGrid w:val="0"/>
              <w:spacing w:line="360" w:lineRule="auto"/>
              <w:jc w:val="center"/>
              <w:rPr>
                <w:rFonts w:ascii="宋体" w:hAnsi="宋体"/>
                <w:szCs w:val="21"/>
              </w:rPr>
            </w:pPr>
            <w:r>
              <w:rPr>
                <w:rFonts w:hint="eastAsia" w:ascii="宋体" w:hAnsi="宋体"/>
                <w:szCs w:val="21"/>
              </w:rPr>
              <w:t>类似业绩</w:t>
            </w:r>
          </w:p>
        </w:tc>
        <w:tc>
          <w:tcPr>
            <w:tcW w:w="639" w:type="dxa"/>
            <w:noWrap/>
            <w:vAlign w:val="center"/>
          </w:tcPr>
          <w:p>
            <w:pPr>
              <w:adjustRightInd w:val="0"/>
              <w:snapToGrid w:val="0"/>
              <w:spacing w:line="360" w:lineRule="auto"/>
              <w:jc w:val="center"/>
              <w:rPr>
                <w:rFonts w:ascii="宋体" w:hAnsi="宋体"/>
                <w:szCs w:val="21"/>
              </w:rPr>
            </w:pPr>
            <w:r>
              <w:rPr>
                <w:rFonts w:hint="eastAsia" w:ascii="宋体" w:hAnsi="宋体"/>
                <w:szCs w:val="21"/>
              </w:rPr>
              <w:t>15</w:t>
            </w:r>
          </w:p>
        </w:tc>
        <w:tc>
          <w:tcPr>
            <w:tcW w:w="7441" w:type="dxa"/>
            <w:noWrap/>
            <w:vAlign w:val="center"/>
          </w:tcPr>
          <w:p>
            <w:pPr>
              <w:adjustRightInd w:val="0"/>
              <w:snapToGrid w:val="0"/>
              <w:spacing w:line="360" w:lineRule="auto"/>
              <w:jc w:val="left"/>
              <w:rPr>
                <w:rFonts w:ascii="宋体" w:hAnsi="宋体"/>
                <w:szCs w:val="21"/>
              </w:rPr>
            </w:pPr>
            <w:r>
              <w:rPr>
                <w:rFonts w:hint="eastAsia" w:ascii="宋体" w:hAnsi="宋体"/>
                <w:szCs w:val="21"/>
              </w:rPr>
              <w:t>供应商近三年（</w:t>
            </w:r>
            <w:r>
              <w:rPr>
                <w:rFonts w:hint="eastAsia" w:ascii="宋体" w:hAnsi="宋体"/>
                <w:szCs w:val="21"/>
                <w:lang w:val="en-US" w:eastAsia="zh-CN"/>
              </w:rPr>
              <w:t>2019</w:t>
            </w:r>
            <w:r>
              <w:rPr>
                <w:rFonts w:hint="eastAsia" w:ascii="宋体" w:hAnsi="宋体"/>
                <w:szCs w:val="21"/>
              </w:rPr>
              <w:t>年</w:t>
            </w:r>
            <w:r>
              <w:rPr>
                <w:rFonts w:hint="eastAsia" w:ascii="宋体" w:hAnsi="宋体"/>
                <w:szCs w:val="21"/>
                <w:lang w:val="en-US" w:eastAsia="zh-CN"/>
              </w:rPr>
              <w:t>10</w:t>
            </w:r>
            <w:r>
              <w:rPr>
                <w:rFonts w:hint="eastAsia" w:ascii="宋体" w:hAnsi="宋体"/>
                <w:szCs w:val="21"/>
              </w:rPr>
              <w:t>月1日至开标截止日），提供类似全过程造价咨询业绩，每个业绩得3分，此项最高得15分。（提供中标通知书或合同复印件等证明材料）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867" w:type="dxa"/>
            <w:vMerge w:val="continue"/>
            <w:noWrap/>
            <w:vAlign w:val="center"/>
          </w:tcPr>
          <w:p>
            <w:pPr>
              <w:spacing w:line="360" w:lineRule="auto"/>
              <w:jc w:val="center"/>
              <w:rPr>
                <w:rFonts w:ascii="宋体" w:hAnsi="宋体"/>
                <w:szCs w:val="21"/>
              </w:rPr>
            </w:pPr>
          </w:p>
        </w:tc>
        <w:tc>
          <w:tcPr>
            <w:tcW w:w="1118" w:type="dxa"/>
            <w:noWrap/>
            <w:vAlign w:val="center"/>
          </w:tcPr>
          <w:p>
            <w:pPr>
              <w:spacing w:line="360" w:lineRule="auto"/>
              <w:jc w:val="center"/>
              <w:rPr>
                <w:rFonts w:ascii="宋体" w:hAnsi="宋体"/>
                <w:szCs w:val="21"/>
                <w:lang w:val="zh-CN"/>
              </w:rPr>
            </w:pPr>
            <w:r>
              <w:rPr>
                <w:rFonts w:hint="eastAsia" w:ascii="宋体" w:hAnsi="宋体"/>
                <w:szCs w:val="21"/>
              </w:rPr>
              <w:t>项目负责人</w:t>
            </w:r>
          </w:p>
        </w:tc>
        <w:tc>
          <w:tcPr>
            <w:tcW w:w="639" w:type="dxa"/>
            <w:noWrap/>
            <w:vAlign w:val="center"/>
          </w:tcPr>
          <w:p>
            <w:pPr>
              <w:spacing w:line="360" w:lineRule="auto"/>
              <w:jc w:val="center"/>
              <w:rPr>
                <w:rFonts w:ascii="宋体" w:hAnsi="宋体"/>
                <w:szCs w:val="21"/>
              </w:rPr>
            </w:pPr>
            <w:r>
              <w:rPr>
                <w:rFonts w:hint="eastAsia" w:ascii="宋体" w:hAnsi="宋体"/>
                <w:szCs w:val="21"/>
              </w:rPr>
              <w:t>5</w:t>
            </w:r>
          </w:p>
        </w:tc>
        <w:tc>
          <w:tcPr>
            <w:tcW w:w="7441" w:type="dxa"/>
            <w:noWrap/>
            <w:vAlign w:val="center"/>
          </w:tcPr>
          <w:p>
            <w:pPr>
              <w:pStyle w:val="64"/>
              <w:spacing w:line="360" w:lineRule="auto"/>
              <w:ind w:firstLine="0" w:firstLineChars="0"/>
              <w:rPr>
                <w:rFonts w:ascii="宋体" w:hAnsi="宋体" w:cs="宋体"/>
                <w:kern w:val="0"/>
                <w:szCs w:val="21"/>
                <w:lang w:val="en-US"/>
              </w:rPr>
            </w:pPr>
            <w:r>
              <w:rPr>
                <w:rFonts w:hint="eastAsia" w:ascii="宋体" w:hAnsi="宋体" w:cs="宋体"/>
                <w:kern w:val="0"/>
                <w:szCs w:val="21"/>
                <w:lang w:val="en-US"/>
              </w:rPr>
              <w:t>1、拟派项目负责人具有中级</w:t>
            </w:r>
            <w:r>
              <w:rPr>
                <w:rFonts w:hint="eastAsia" w:ascii="宋体" w:hAnsi="宋体" w:cs="宋体"/>
                <w:kern w:val="0"/>
                <w:szCs w:val="21"/>
                <w:lang w:val="en-US" w:eastAsia="zh-CN"/>
              </w:rPr>
              <w:t>及以上</w:t>
            </w:r>
            <w:r>
              <w:rPr>
                <w:rFonts w:hint="eastAsia" w:ascii="宋体" w:hAnsi="宋体" w:cs="宋体"/>
                <w:kern w:val="0"/>
                <w:szCs w:val="21"/>
                <w:lang w:val="en-US"/>
              </w:rPr>
              <w:t>工程师职称得2分；</w:t>
            </w:r>
          </w:p>
          <w:p>
            <w:pPr>
              <w:pStyle w:val="64"/>
              <w:spacing w:line="360" w:lineRule="auto"/>
              <w:ind w:firstLine="0" w:firstLineChars="0"/>
              <w:rPr>
                <w:rFonts w:ascii="宋体" w:hAnsi="宋体" w:cs="宋体"/>
                <w:kern w:val="0"/>
                <w:szCs w:val="21"/>
                <w:lang w:val="en-US"/>
              </w:rPr>
            </w:pPr>
            <w:r>
              <w:rPr>
                <w:rFonts w:hint="eastAsia" w:ascii="宋体" w:hAnsi="宋体" w:cs="宋体"/>
                <w:kern w:val="0"/>
                <w:szCs w:val="21"/>
                <w:lang w:val="en-US"/>
              </w:rPr>
              <w:t>2、拟派项目负责人具备10年以上工作经验，得</w:t>
            </w:r>
            <w:r>
              <w:rPr>
                <w:rFonts w:hint="eastAsia" w:ascii="宋体" w:hAnsi="宋体" w:cs="宋体"/>
                <w:kern w:val="0"/>
                <w:szCs w:val="21"/>
                <w:lang w:val="en-US" w:eastAsia="zh-CN"/>
              </w:rPr>
              <w:t>3</w:t>
            </w:r>
            <w:r>
              <w:rPr>
                <w:rFonts w:hint="eastAsia" w:ascii="宋体" w:hAnsi="宋体" w:cs="宋体"/>
                <w:kern w:val="0"/>
                <w:szCs w:val="21"/>
                <w:lang w:val="en-US"/>
              </w:rPr>
              <w:t>分,5-10（含10年）年得</w:t>
            </w:r>
            <w:r>
              <w:rPr>
                <w:rFonts w:hint="eastAsia" w:ascii="宋体" w:hAnsi="宋体" w:cs="宋体"/>
                <w:kern w:val="0"/>
                <w:szCs w:val="21"/>
                <w:lang w:val="en-US" w:eastAsia="zh-CN"/>
              </w:rPr>
              <w:t>2</w:t>
            </w:r>
            <w:r>
              <w:rPr>
                <w:rFonts w:hint="eastAsia" w:ascii="宋体" w:hAnsi="宋体" w:cs="宋体"/>
                <w:kern w:val="0"/>
                <w:szCs w:val="21"/>
                <w:lang w:val="en-US"/>
              </w:rPr>
              <w:t>分，5年以内得0分。</w:t>
            </w:r>
          </w:p>
          <w:p>
            <w:pPr>
              <w:spacing w:line="360" w:lineRule="auto"/>
              <w:rPr>
                <w:rFonts w:ascii="宋体" w:hAnsi="宋体"/>
                <w:szCs w:val="21"/>
                <w:lang w:val="zh-CN"/>
              </w:rPr>
            </w:pPr>
            <w:r>
              <w:rPr>
                <w:rFonts w:hint="eastAsia" w:ascii="宋体" w:hAnsi="宋体" w:cs="宋体"/>
                <w:kern w:val="0"/>
                <w:szCs w:val="21"/>
              </w:rPr>
              <w:t>注：须提供项目负责人相关证件及</w:t>
            </w:r>
            <w:r>
              <w:rPr>
                <w:rFonts w:hint="eastAsia" w:ascii="宋体" w:hAnsi="宋体" w:cs="宋体"/>
                <w:kern w:val="0"/>
                <w:szCs w:val="21"/>
                <w:lang w:eastAsia="zh-CN"/>
              </w:rPr>
              <w:t>2022年任意三个月</w:t>
            </w:r>
            <w:r>
              <w:rPr>
                <w:rFonts w:hint="eastAsia" w:ascii="宋体" w:hAnsi="宋体" w:cs="宋体"/>
                <w:kern w:val="0"/>
                <w:szCs w:val="21"/>
              </w:rPr>
              <w:t>社保证明材料或劳动合同，未提供不得分。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867" w:type="dxa"/>
            <w:vMerge w:val="continue"/>
            <w:noWrap/>
            <w:vAlign w:val="center"/>
          </w:tcPr>
          <w:p>
            <w:pPr>
              <w:spacing w:line="360" w:lineRule="auto"/>
              <w:jc w:val="center"/>
              <w:rPr>
                <w:rFonts w:ascii="宋体" w:hAnsi="宋体"/>
                <w:szCs w:val="21"/>
              </w:rPr>
            </w:pPr>
          </w:p>
        </w:tc>
        <w:tc>
          <w:tcPr>
            <w:tcW w:w="1118" w:type="dxa"/>
            <w:noWrap/>
            <w:vAlign w:val="center"/>
          </w:tcPr>
          <w:p>
            <w:pPr>
              <w:spacing w:line="360" w:lineRule="auto"/>
              <w:jc w:val="center"/>
              <w:rPr>
                <w:rFonts w:ascii="宋体" w:hAnsi="宋体"/>
                <w:szCs w:val="21"/>
              </w:rPr>
            </w:pPr>
            <w:r>
              <w:rPr>
                <w:rFonts w:hint="eastAsia" w:ascii="宋体" w:hAnsi="宋体"/>
                <w:szCs w:val="21"/>
              </w:rPr>
              <w:t>拟投入人员</w:t>
            </w:r>
          </w:p>
        </w:tc>
        <w:tc>
          <w:tcPr>
            <w:tcW w:w="639" w:type="dxa"/>
            <w:noWrap/>
            <w:vAlign w:val="center"/>
          </w:tcPr>
          <w:p>
            <w:pPr>
              <w:spacing w:line="360" w:lineRule="auto"/>
              <w:jc w:val="center"/>
              <w:rPr>
                <w:rFonts w:ascii="宋体" w:hAnsi="宋体"/>
                <w:szCs w:val="21"/>
              </w:rPr>
            </w:pPr>
            <w:r>
              <w:rPr>
                <w:rFonts w:hint="eastAsia" w:ascii="宋体" w:hAnsi="宋体"/>
                <w:szCs w:val="21"/>
              </w:rPr>
              <w:t>10</w:t>
            </w:r>
          </w:p>
        </w:tc>
        <w:tc>
          <w:tcPr>
            <w:tcW w:w="7441" w:type="dxa"/>
            <w:noWrap/>
            <w:vAlign w:val="center"/>
          </w:tcPr>
          <w:p>
            <w:pPr>
              <w:spacing w:line="360" w:lineRule="auto"/>
              <w:rPr>
                <w:rFonts w:ascii="宋体" w:hAnsi="宋体"/>
                <w:szCs w:val="21"/>
              </w:rPr>
            </w:pPr>
            <w:r>
              <w:rPr>
                <w:rFonts w:hint="eastAsia" w:ascii="宋体" w:hAnsi="宋体"/>
                <w:szCs w:val="21"/>
              </w:rPr>
              <w:t>1、拟派项目人员具备一级注册造价师资格的（除项目负责人外），每人得2分，本项最多得4分。</w:t>
            </w:r>
          </w:p>
          <w:p>
            <w:pPr>
              <w:spacing w:line="360" w:lineRule="auto"/>
              <w:rPr>
                <w:rFonts w:ascii="宋体" w:hAnsi="宋体"/>
                <w:szCs w:val="21"/>
                <w:lang w:val="zh-CN"/>
              </w:rPr>
            </w:pPr>
            <w:r>
              <w:rPr>
                <w:rFonts w:hint="eastAsia" w:ascii="宋体" w:hAnsi="宋体"/>
                <w:szCs w:val="21"/>
              </w:rPr>
              <w:t>2、拟派的一级注册造价师中（除项目负责人外）具有中级及以上工程师职称的，每有1个得2分，最多得6分。注：以上人员需提供相关证件及</w:t>
            </w:r>
            <w:r>
              <w:rPr>
                <w:rFonts w:hint="eastAsia" w:ascii="宋体" w:hAnsi="宋体"/>
                <w:szCs w:val="21"/>
                <w:lang w:eastAsia="zh-CN"/>
              </w:rPr>
              <w:t>2022年任意三个月</w:t>
            </w:r>
            <w:r>
              <w:rPr>
                <w:rFonts w:hint="eastAsia" w:ascii="宋体" w:hAnsi="宋体"/>
                <w:szCs w:val="21"/>
              </w:rPr>
              <w:t>的社保证明或劳动合同，证明材料不一致不得分。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867" w:type="dxa"/>
            <w:vMerge w:val="restart"/>
            <w:noWrap/>
            <w:vAlign w:val="center"/>
          </w:tcPr>
          <w:p>
            <w:pPr>
              <w:spacing w:line="360" w:lineRule="auto"/>
              <w:jc w:val="center"/>
              <w:rPr>
                <w:rFonts w:ascii="宋体" w:hAnsi="宋体"/>
                <w:szCs w:val="21"/>
              </w:rPr>
            </w:pPr>
            <w:r>
              <w:rPr>
                <w:rFonts w:hint="eastAsia" w:ascii="宋体" w:hAnsi="宋体"/>
                <w:szCs w:val="21"/>
              </w:rPr>
              <w:t>技术部分（60）</w:t>
            </w:r>
          </w:p>
        </w:tc>
        <w:tc>
          <w:tcPr>
            <w:tcW w:w="1118" w:type="dxa"/>
            <w:noWrap/>
            <w:vAlign w:val="center"/>
          </w:tcPr>
          <w:p>
            <w:pPr>
              <w:spacing w:line="360" w:lineRule="auto"/>
              <w:rPr>
                <w:rFonts w:ascii="宋体" w:hAnsi="宋体" w:cs="宋体"/>
                <w:kern w:val="0"/>
                <w:szCs w:val="21"/>
              </w:rPr>
            </w:pPr>
            <w:r>
              <w:rPr>
                <w:rFonts w:hint="eastAsia" w:ascii="宋体" w:hAnsi="宋体" w:cs="宋体"/>
                <w:kern w:val="0"/>
                <w:szCs w:val="21"/>
              </w:rPr>
              <w:t>技术服务方案</w:t>
            </w:r>
          </w:p>
        </w:tc>
        <w:tc>
          <w:tcPr>
            <w:tcW w:w="639" w:type="dxa"/>
            <w:noWrap/>
            <w:vAlign w:val="center"/>
          </w:tcPr>
          <w:p>
            <w:pPr>
              <w:spacing w:line="360" w:lineRule="auto"/>
              <w:jc w:val="center"/>
              <w:rPr>
                <w:rFonts w:ascii="宋体" w:hAnsi="宋体" w:cs="宋体"/>
                <w:kern w:val="0"/>
                <w:szCs w:val="21"/>
              </w:rPr>
            </w:pPr>
            <w:r>
              <w:rPr>
                <w:rFonts w:hint="eastAsia" w:ascii="宋体" w:hAnsi="宋体" w:cs="宋体"/>
                <w:kern w:val="0"/>
                <w:szCs w:val="21"/>
              </w:rPr>
              <w:t>10</w:t>
            </w:r>
          </w:p>
        </w:tc>
        <w:tc>
          <w:tcPr>
            <w:tcW w:w="7441" w:type="dxa"/>
            <w:noWrap/>
            <w:vAlign w:val="center"/>
          </w:tcPr>
          <w:p>
            <w:pPr>
              <w:spacing w:line="360" w:lineRule="auto"/>
              <w:rPr>
                <w:rFonts w:ascii="宋体" w:hAnsi="宋体" w:cs="宋体"/>
                <w:kern w:val="0"/>
                <w:szCs w:val="21"/>
              </w:rPr>
            </w:pPr>
            <w:r>
              <w:rPr>
                <w:rFonts w:hint="eastAsia" w:ascii="宋体" w:hAnsi="宋体" w:cs="宋体"/>
                <w:kern w:val="0"/>
                <w:szCs w:val="21"/>
              </w:rPr>
              <w:t>根据供应商制定的项目咨询技术服务方案的详细程度、科学性、具体合理性、规范性：科学合理可行的得</w:t>
            </w:r>
            <w:r>
              <w:rPr>
                <w:rFonts w:hint="eastAsia" w:ascii="宋体" w:hAnsi="宋体" w:cs="宋体"/>
                <w:kern w:val="0"/>
                <w:szCs w:val="21"/>
                <w:lang w:val="en-US" w:eastAsia="zh-CN"/>
              </w:rPr>
              <w:t>10</w:t>
            </w:r>
            <w:r>
              <w:rPr>
                <w:rFonts w:hint="eastAsia" w:ascii="宋体" w:hAnsi="宋体" w:cs="宋体"/>
                <w:kern w:val="0"/>
                <w:szCs w:val="21"/>
              </w:rPr>
              <w:t>分；合理可行的得7；基本可行的得</w:t>
            </w:r>
            <w:r>
              <w:rPr>
                <w:rFonts w:hint="eastAsia" w:ascii="宋体" w:hAnsi="宋体" w:cs="宋体"/>
                <w:kern w:val="0"/>
                <w:szCs w:val="21"/>
                <w:lang w:val="en-US" w:eastAsia="zh-CN"/>
              </w:rPr>
              <w:t>5</w:t>
            </w:r>
            <w:r>
              <w:rPr>
                <w:rFonts w:hint="eastAsia" w:ascii="宋体" w:hAnsi="宋体" w:cs="宋体"/>
                <w:kern w:val="0"/>
                <w:szCs w:val="21"/>
              </w:rPr>
              <w:t>；</w:t>
            </w:r>
            <w:r>
              <w:rPr>
                <w:rFonts w:hint="eastAsia" w:ascii="宋体" w:hAnsi="宋体" w:cs="宋体"/>
                <w:kern w:val="0"/>
                <w:szCs w:val="21"/>
                <w:lang w:val="en-US" w:eastAsia="zh-CN"/>
              </w:rPr>
              <w:t>其余的得3分；未提供</w:t>
            </w:r>
            <w:r>
              <w:rPr>
                <w:rFonts w:hint="eastAsia" w:ascii="宋体" w:hAnsi="宋体" w:cs="宋体"/>
                <w:kern w:val="0"/>
                <w:szCs w:val="21"/>
              </w:rPr>
              <w:t>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67" w:type="dxa"/>
            <w:vMerge w:val="continue"/>
            <w:noWrap/>
            <w:vAlign w:val="center"/>
          </w:tcPr>
          <w:p>
            <w:pPr>
              <w:spacing w:line="360" w:lineRule="auto"/>
              <w:jc w:val="center"/>
              <w:rPr>
                <w:rFonts w:ascii="宋体" w:hAnsi="宋体"/>
                <w:szCs w:val="21"/>
              </w:rPr>
            </w:pPr>
          </w:p>
        </w:tc>
        <w:tc>
          <w:tcPr>
            <w:tcW w:w="1118" w:type="dxa"/>
            <w:noWrap/>
            <w:vAlign w:val="center"/>
          </w:tcPr>
          <w:p>
            <w:pPr>
              <w:spacing w:line="360" w:lineRule="auto"/>
              <w:jc w:val="center"/>
              <w:rPr>
                <w:rFonts w:ascii="宋体" w:hAnsi="宋体" w:cs="宋体"/>
                <w:kern w:val="0"/>
                <w:szCs w:val="21"/>
              </w:rPr>
            </w:pPr>
            <w:r>
              <w:rPr>
                <w:rFonts w:hint="eastAsia" w:ascii="宋体" w:hAnsi="宋体" w:cs="宋体"/>
                <w:kern w:val="0"/>
                <w:szCs w:val="21"/>
              </w:rPr>
              <w:t>质量控制措施</w:t>
            </w:r>
          </w:p>
        </w:tc>
        <w:tc>
          <w:tcPr>
            <w:tcW w:w="639" w:type="dxa"/>
            <w:noWrap/>
            <w:vAlign w:val="center"/>
          </w:tcPr>
          <w:p>
            <w:pPr>
              <w:spacing w:line="360" w:lineRule="auto"/>
              <w:jc w:val="center"/>
              <w:rPr>
                <w:rFonts w:ascii="宋体" w:hAnsi="宋体" w:cs="宋体"/>
                <w:kern w:val="0"/>
                <w:szCs w:val="21"/>
              </w:rPr>
            </w:pPr>
            <w:r>
              <w:rPr>
                <w:rFonts w:hint="eastAsia" w:ascii="宋体" w:hAnsi="宋体" w:cs="宋体"/>
                <w:kern w:val="0"/>
                <w:szCs w:val="21"/>
              </w:rPr>
              <w:t>10</w:t>
            </w:r>
          </w:p>
        </w:tc>
        <w:tc>
          <w:tcPr>
            <w:tcW w:w="7441" w:type="dxa"/>
            <w:noWrap/>
            <w:vAlign w:val="center"/>
          </w:tcPr>
          <w:p>
            <w:pPr>
              <w:pStyle w:val="64"/>
              <w:spacing w:line="360" w:lineRule="auto"/>
              <w:ind w:left="10" w:hanging="10" w:firstLineChars="0"/>
              <w:rPr>
                <w:rFonts w:ascii="宋体" w:hAnsi="宋体" w:cs="宋体"/>
                <w:kern w:val="0"/>
                <w:szCs w:val="21"/>
                <w:lang w:val="en-US"/>
              </w:rPr>
            </w:pPr>
            <w:r>
              <w:rPr>
                <w:rFonts w:hint="eastAsia" w:ascii="宋体" w:hAnsi="宋体" w:cs="宋体"/>
                <w:kern w:val="0"/>
                <w:szCs w:val="21"/>
                <w:lang w:val="en-US"/>
              </w:rPr>
              <w:t>根据供应商制定的质量控制措施及目标的明确性、合理科学性</w:t>
            </w:r>
            <w:r>
              <w:rPr>
                <w:rFonts w:hint="eastAsia" w:ascii="宋体" w:hAnsi="宋体" w:cs="宋体"/>
                <w:kern w:val="0"/>
                <w:szCs w:val="21"/>
                <w:lang w:val="en-US" w:eastAsia="zh-CN"/>
              </w:rPr>
              <w:t>：</w:t>
            </w:r>
            <w:r>
              <w:rPr>
                <w:rFonts w:hint="eastAsia" w:ascii="宋体" w:hAnsi="宋体" w:cs="宋体"/>
                <w:kern w:val="0"/>
                <w:szCs w:val="21"/>
              </w:rPr>
              <w:t>科学合理可行的得</w:t>
            </w:r>
            <w:r>
              <w:rPr>
                <w:rFonts w:hint="eastAsia" w:ascii="宋体" w:hAnsi="宋体" w:cs="宋体"/>
                <w:kern w:val="0"/>
                <w:szCs w:val="21"/>
                <w:lang w:val="en-US" w:eastAsia="zh-CN"/>
              </w:rPr>
              <w:t>10</w:t>
            </w:r>
            <w:r>
              <w:rPr>
                <w:rFonts w:hint="eastAsia" w:ascii="宋体" w:hAnsi="宋体" w:cs="宋体"/>
                <w:kern w:val="0"/>
                <w:szCs w:val="21"/>
              </w:rPr>
              <w:t>分；合理可行的得7；基本可行的得</w:t>
            </w:r>
            <w:r>
              <w:rPr>
                <w:rFonts w:hint="eastAsia" w:ascii="宋体" w:hAnsi="宋体" w:cs="宋体"/>
                <w:kern w:val="0"/>
                <w:szCs w:val="21"/>
                <w:lang w:val="en-US" w:eastAsia="zh-CN"/>
              </w:rPr>
              <w:t>5</w:t>
            </w:r>
            <w:r>
              <w:rPr>
                <w:rFonts w:hint="eastAsia" w:ascii="宋体" w:hAnsi="宋体" w:cs="宋体"/>
                <w:kern w:val="0"/>
                <w:szCs w:val="21"/>
              </w:rPr>
              <w:t>；</w:t>
            </w:r>
            <w:r>
              <w:rPr>
                <w:rFonts w:hint="eastAsia" w:ascii="宋体" w:hAnsi="宋体" w:cs="宋体"/>
                <w:kern w:val="0"/>
                <w:szCs w:val="21"/>
                <w:lang w:val="en-US" w:eastAsia="zh-CN"/>
              </w:rPr>
              <w:t>其余的得3分；未提供</w:t>
            </w:r>
            <w:r>
              <w:rPr>
                <w:rFonts w:hint="eastAsia" w:ascii="宋体" w:hAnsi="宋体" w:cs="宋体"/>
                <w:kern w:val="0"/>
                <w:szCs w:val="21"/>
              </w:rPr>
              <w:t>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jc w:val="center"/>
        </w:trPr>
        <w:tc>
          <w:tcPr>
            <w:tcW w:w="867" w:type="dxa"/>
            <w:vMerge w:val="continue"/>
            <w:noWrap/>
            <w:vAlign w:val="center"/>
          </w:tcPr>
          <w:p>
            <w:pPr>
              <w:spacing w:line="360" w:lineRule="auto"/>
              <w:jc w:val="center"/>
              <w:rPr>
                <w:rFonts w:ascii="宋体" w:hAnsi="宋体"/>
                <w:szCs w:val="21"/>
              </w:rPr>
            </w:pPr>
          </w:p>
        </w:tc>
        <w:tc>
          <w:tcPr>
            <w:tcW w:w="1118" w:type="dxa"/>
            <w:noWrap/>
            <w:vAlign w:val="center"/>
          </w:tcPr>
          <w:p>
            <w:pPr>
              <w:spacing w:line="360" w:lineRule="auto"/>
              <w:jc w:val="center"/>
              <w:rPr>
                <w:rFonts w:ascii="宋体" w:hAnsi="宋体" w:cs="宋体"/>
                <w:kern w:val="0"/>
                <w:szCs w:val="21"/>
              </w:rPr>
            </w:pPr>
            <w:r>
              <w:rPr>
                <w:rFonts w:hint="eastAsia" w:ascii="宋体" w:hAnsi="宋体" w:cs="宋体"/>
                <w:kern w:val="0"/>
                <w:szCs w:val="21"/>
              </w:rPr>
              <w:t>进度控制措施</w:t>
            </w:r>
          </w:p>
        </w:tc>
        <w:tc>
          <w:tcPr>
            <w:tcW w:w="639" w:type="dxa"/>
            <w:noWrap/>
            <w:vAlign w:val="center"/>
          </w:tcPr>
          <w:p>
            <w:pPr>
              <w:spacing w:line="360" w:lineRule="auto"/>
              <w:jc w:val="center"/>
              <w:rPr>
                <w:rFonts w:ascii="宋体" w:hAnsi="宋体" w:cs="宋体"/>
                <w:kern w:val="0"/>
                <w:szCs w:val="21"/>
              </w:rPr>
            </w:pPr>
            <w:r>
              <w:rPr>
                <w:rFonts w:ascii="宋体" w:hAnsi="宋体" w:cs="宋体"/>
                <w:kern w:val="0"/>
                <w:szCs w:val="21"/>
              </w:rPr>
              <w:t>10</w:t>
            </w:r>
          </w:p>
        </w:tc>
        <w:tc>
          <w:tcPr>
            <w:tcW w:w="7441" w:type="dxa"/>
            <w:noWrap/>
            <w:vAlign w:val="center"/>
          </w:tcPr>
          <w:p>
            <w:pPr>
              <w:spacing w:line="360" w:lineRule="auto"/>
              <w:rPr>
                <w:rFonts w:ascii="宋体" w:hAnsi="宋体" w:cs="仿宋"/>
                <w:szCs w:val="21"/>
              </w:rPr>
            </w:pPr>
            <w:r>
              <w:rPr>
                <w:rFonts w:hint="eastAsia" w:ascii="宋体" w:hAnsi="宋体" w:cs="宋体"/>
                <w:kern w:val="0"/>
                <w:szCs w:val="21"/>
              </w:rPr>
              <w:t>根据供应商制定的进度控制措施及目标的明确性、合理科学性：科学合理可行的得</w:t>
            </w:r>
            <w:r>
              <w:rPr>
                <w:rFonts w:hint="eastAsia" w:ascii="宋体" w:hAnsi="宋体" w:cs="宋体"/>
                <w:kern w:val="0"/>
                <w:szCs w:val="21"/>
                <w:lang w:val="en-US" w:eastAsia="zh-CN"/>
              </w:rPr>
              <w:t>10</w:t>
            </w:r>
            <w:r>
              <w:rPr>
                <w:rFonts w:hint="eastAsia" w:ascii="宋体" w:hAnsi="宋体" w:cs="宋体"/>
                <w:kern w:val="0"/>
                <w:szCs w:val="21"/>
              </w:rPr>
              <w:t>分；合理可行的得7；基本可行的得</w:t>
            </w:r>
            <w:r>
              <w:rPr>
                <w:rFonts w:hint="eastAsia" w:ascii="宋体" w:hAnsi="宋体" w:cs="宋体"/>
                <w:kern w:val="0"/>
                <w:szCs w:val="21"/>
                <w:lang w:val="en-US" w:eastAsia="zh-CN"/>
              </w:rPr>
              <w:t>5</w:t>
            </w:r>
            <w:r>
              <w:rPr>
                <w:rFonts w:hint="eastAsia" w:ascii="宋体" w:hAnsi="宋体" w:cs="宋体"/>
                <w:kern w:val="0"/>
                <w:szCs w:val="21"/>
              </w:rPr>
              <w:t>；</w:t>
            </w:r>
            <w:r>
              <w:rPr>
                <w:rFonts w:hint="eastAsia" w:ascii="宋体" w:hAnsi="宋体" w:cs="宋体"/>
                <w:kern w:val="0"/>
                <w:szCs w:val="21"/>
                <w:lang w:val="en-US" w:eastAsia="zh-CN"/>
              </w:rPr>
              <w:t>其余的得3分；未提供</w:t>
            </w:r>
            <w:r>
              <w:rPr>
                <w:rFonts w:hint="eastAsia" w:ascii="宋体" w:hAnsi="宋体" w:cs="宋体"/>
                <w:kern w:val="0"/>
                <w:szCs w:val="21"/>
              </w:rPr>
              <w:t>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867" w:type="dxa"/>
            <w:vMerge w:val="continue"/>
            <w:noWrap/>
            <w:vAlign w:val="center"/>
          </w:tcPr>
          <w:p>
            <w:pPr>
              <w:spacing w:line="360" w:lineRule="auto"/>
              <w:jc w:val="center"/>
              <w:rPr>
                <w:rFonts w:ascii="宋体" w:hAnsi="宋体"/>
                <w:szCs w:val="21"/>
              </w:rPr>
            </w:pPr>
          </w:p>
        </w:tc>
        <w:tc>
          <w:tcPr>
            <w:tcW w:w="1118" w:type="dxa"/>
            <w:noWrap/>
            <w:vAlign w:val="center"/>
          </w:tcPr>
          <w:p>
            <w:pPr>
              <w:spacing w:line="360" w:lineRule="auto"/>
              <w:jc w:val="center"/>
              <w:rPr>
                <w:rFonts w:ascii="宋体" w:hAnsi="宋体" w:cs="宋体"/>
                <w:kern w:val="0"/>
                <w:szCs w:val="21"/>
              </w:rPr>
            </w:pPr>
            <w:r>
              <w:rPr>
                <w:rFonts w:hint="eastAsia" w:ascii="宋体" w:hAnsi="宋体" w:cs="宋体"/>
                <w:kern w:val="0"/>
                <w:szCs w:val="21"/>
              </w:rPr>
              <w:t>组织协调方案</w:t>
            </w:r>
          </w:p>
        </w:tc>
        <w:tc>
          <w:tcPr>
            <w:tcW w:w="639" w:type="dxa"/>
            <w:noWrap/>
            <w:vAlign w:val="center"/>
          </w:tcPr>
          <w:p>
            <w:pPr>
              <w:spacing w:line="360" w:lineRule="auto"/>
              <w:jc w:val="center"/>
              <w:rPr>
                <w:rFonts w:ascii="宋体" w:hAnsi="宋体" w:cs="宋体"/>
                <w:kern w:val="0"/>
                <w:szCs w:val="21"/>
              </w:rPr>
            </w:pPr>
            <w:r>
              <w:rPr>
                <w:rFonts w:hint="eastAsia" w:ascii="宋体" w:hAnsi="宋体" w:cs="宋体"/>
                <w:kern w:val="0"/>
                <w:szCs w:val="21"/>
              </w:rPr>
              <w:t>10</w:t>
            </w:r>
          </w:p>
        </w:tc>
        <w:tc>
          <w:tcPr>
            <w:tcW w:w="7441" w:type="dxa"/>
            <w:noWrap/>
            <w:vAlign w:val="center"/>
          </w:tcPr>
          <w:p>
            <w:pPr>
              <w:spacing w:line="360" w:lineRule="auto"/>
              <w:rPr>
                <w:rFonts w:ascii="宋体" w:hAnsi="宋体" w:cs="宋体"/>
                <w:kern w:val="0"/>
                <w:szCs w:val="21"/>
              </w:rPr>
            </w:pPr>
            <w:r>
              <w:rPr>
                <w:rFonts w:hint="eastAsia" w:ascii="宋体" w:hAnsi="宋体" w:cs="宋体"/>
                <w:kern w:val="0"/>
                <w:szCs w:val="21"/>
              </w:rPr>
              <w:t>根据供应商制定的组织协调方案和措施的合理科学性：科学合理可行的得</w:t>
            </w:r>
            <w:r>
              <w:rPr>
                <w:rFonts w:hint="eastAsia" w:ascii="宋体" w:hAnsi="宋体" w:cs="宋体"/>
                <w:kern w:val="0"/>
                <w:szCs w:val="21"/>
                <w:lang w:val="en-US" w:eastAsia="zh-CN"/>
              </w:rPr>
              <w:t>10</w:t>
            </w:r>
            <w:r>
              <w:rPr>
                <w:rFonts w:hint="eastAsia" w:ascii="宋体" w:hAnsi="宋体" w:cs="宋体"/>
                <w:kern w:val="0"/>
                <w:szCs w:val="21"/>
              </w:rPr>
              <w:t>分；合理可行的得7；基本可行的得</w:t>
            </w:r>
            <w:r>
              <w:rPr>
                <w:rFonts w:hint="eastAsia" w:ascii="宋体" w:hAnsi="宋体" w:cs="宋体"/>
                <w:kern w:val="0"/>
                <w:szCs w:val="21"/>
                <w:lang w:val="en-US" w:eastAsia="zh-CN"/>
              </w:rPr>
              <w:t>5</w:t>
            </w:r>
            <w:r>
              <w:rPr>
                <w:rFonts w:hint="eastAsia" w:ascii="宋体" w:hAnsi="宋体" w:cs="宋体"/>
                <w:kern w:val="0"/>
                <w:szCs w:val="21"/>
              </w:rPr>
              <w:t>；</w:t>
            </w:r>
            <w:r>
              <w:rPr>
                <w:rFonts w:hint="eastAsia" w:ascii="宋体" w:hAnsi="宋体" w:cs="宋体"/>
                <w:kern w:val="0"/>
                <w:szCs w:val="21"/>
                <w:lang w:val="en-US" w:eastAsia="zh-CN"/>
              </w:rPr>
              <w:t>其余的得3分；未提供</w:t>
            </w:r>
            <w:r>
              <w:rPr>
                <w:rFonts w:hint="eastAsia" w:ascii="宋体" w:hAnsi="宋体" w:cs="宋体"/>
                <w:kern w:val="0"/>
                <w:szCs w:val="21"/>
              </w:rPr>
              <w:t>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867" w:type="dxa"/>
            <w:vMerge w:val="continue"/>
            <w:noWrap/>
            <w:vAlign w:val="center"/>
          </w:tcPr>
          <w:p>
            <w:pPr>
              <w:spacing w:line="360" w:lineRule="auto"/>
              <w:jc w:val="center"/>
              <w:rPr>
                <w:rFonts w:ascii="宋体" w:hAnsi="宋体"/>
                <w:szCs w:val="21"/>
              </w:rPr>
            </w:pPr>
          </w:p>
        </w:tc>
        <w:tc>
          <w:tcPr>
            <w:tcW w:w="1118" w:type="dxa"/>
            <w:noWrap/>
            <w:vAlign w:val="center"/>
          </w:tcPr>
          <w:p>
            <w:pPr>
              <w:spacing w:line="360" w:lineRule="auto"/>
              <w:jc w:val="center"/>
              <w:rPr>
                <w:rFonts w:ascii="宋体" w:hAnsi="宋体" w:cs="宋体"/>
                <w:kern w:val="0"/>
                <w:szCs w:val="21"/>
              </w:rPr>
            </w:pPr>
            <w:r>
              <w:rPr>
                <w:rFonts w:hint="eastAsia" w:ascii="宋体" w:hAnsi="宋体" w:cs="宋体"/>
                <w:kern w:val="0"/>
                <w:szCs w:val="21"/>
              </w:rPr>
              <w:t>合理化建议</w:t>
            </w:r>
          </w:p>
        </w:tc>
        <w:tc>
          <w:tcPr>
            <w:tcW w:w="639" w:type="dxa"/>
            <w:noWrap/>
            <w:vAlign w:val="center"/>
          </w:tcPr>
          <w:p>
            <w:pPr>
              <w:spacing w:line="360" w:lineRule="auto"/>
              <w:jc w:val="center"/>
              <w:rPr>
                <w:rFonts w:ascii="宋体" w:hAnsi="宋体" w:cs="宋体"/>
                <w:kern w:val="0"/>
                <w:szCs w:val="21"/>
              </w:rPr>
            </w:pPr>
            <w:r>
              <w:rPr>
                <w:rFonts w:hint="eastAsia" w:ascii="宋体" w:hAnsi="宋体" w:cs="宋体"/>
                <w:kern w:val="0"/>
                <w:szCs w:val="21"/>
              </w:rPr>
              <w:t>10</w:t>
            </w:r>
          </w:p>
        </w:tc>
        <w:tc>
          <w:tcPr>
            <w:tcW w:w="7441" w:type="dxa"/>
            <w:noWrap/>
            <w:vAlign w:val="center"/>
          </w:tcPr>
          <w:p>
            <w:pPr>
              <w:spacing w:line="360" w:lineRule="auto"/>
              <w:rPr>
                <w:rFonts w:ascii="宋体" w:hAnsi="宋体" w:cs="宋体"/>
                <w:kern w:val="0"/>
                <w:szCs w:val="21"/>
              </w:rPr>
            </w:pPr>
            <w:r>
              <w:rPr>
                <w:rFonts w:hint="eastAsia" w:ascii="宋体" w:hAnsi="宋体" w:cs="宋体"/>
                <w:kern w:val="0"/>
                <w:szCs w:val="21"/>
              </w:rPr>
              <w:t>根据供应商对技术服务质量、针对项目重难点问题提出的合理化建议和措施：科学合理可行的得</w:t>
            </w:r>
            <w:r>
              <w:rPr>
                <w:rFonts w:hint="eastAsia" w:ascii="宋体" w:hAnsi="宋体" w:cs="宋体"/>
                <w:kern w:val="0"/>
                <w:szCs w:val="21"/>
                <w:lang w:val="en-US" w:eastAsia="zh-CN"/>
              </w:rPr>
              <w:t>10</w:t>
            </w:r>
            <w:r>
              <w:rPr>
                <w:rFonts w:hint="eastAsia" w:ascii="宋体" w:hAnsi="宋体" w:cs="宋体"/>
                <w:kern w:val="0"/>
                <w:szCs w:val="21"/>
              </w:rPr>
              <w:t>分；合理可行的得7；基本可行的得</w:t>
            </w:r>
            <w:r>
              <w:rPr>
                <w:rFonts w:hint="eastAsia" w:ascii="宋体" w:hAnsi="宋体" w:cs="宋体"/>
                <w:kern w:val="0"/>
                <w:szCs w:val="21"/>
                <w:lang w:val="en-US" w:eastAsia="zh-CN"/>
              </w:rPr>
              <w:t>5</w:t>
            </w:r>
            <w:r>
              <w:rPr>
                <w:rFonts w:hint="eastAsia" w:ascii="宋体" w:hAnsi="宋体" w:cs="宋体"/>
                <w:kern w:val="0"/>
                <w:szCs w:val="21"/>
              </w:rPr>
              <w:t>；</w:t>
            </w:r>
            <w:r>
              <w:rPr>
                <w:rFonts w:hint="eastAsia" w:ascii="宋体" w:hAnsi="宋体" w:cs="宋体"/>
                <w:kern w:val="0"/>
                <w:szCs w:val="21"/>
                <w:lang w:val="en-US" w:eastAsia="zh-CN"/>
              </w:rPr>
              <w:t>其余的得3分；未提供</w:t>
            </w:r>
            <w:r>
              <w:rPr>
                <w:rFonts w:hint="eastAsia" w:ascii="宋体" w:hAnsi="宋体" w:cs="宋体"/>
                <w:kern w:val="0"/>
                <w:szCs w:val="21"/>
              </w:rPr>
              <w:t>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867" w:type="dxa"/>
            <w:vMerge w:val="continue"/>
            <w:noWrap/>
            <w:vAlign w:val="center"/>
          </w:tcPr>
          <w:p>
            <w:pPr>
              <w:spacing w:line="360" w:lineRule="auto"/>
              <w:jc w:val="center"/>
              <w:rPr>
                <w:rFonts w:ascii="宋体" w:hAnsi="宋体"/>
                <w:szCs w:val="21"/>
              </w:rPr>
            </w:pPr>
          </w:p>
        </w:tc>
        <w:tc>
          <w:tcPr>
            <w:tcW w:w="1118" w:type="dxa"/>
            <w:noWrap/>
            <w:vAlign w:val="center"/>
          </w:tcPr>
          <w:p>
            <w:pPr>
              <w:spacing w:line="360" w:lineRule="auto"/>
              <w:jc w:val="center"/>
              <w:rPr>
                <w:rFonts w:ascii="宋体" w:hAnsi="宋体" w:cs="宋体"/>
                <w:kern w:val="0"/>
                <w:szCs w:val="21"/>
              </w:rPr>
            </w:pPr>
            <w:r>
              <w:rPr>
                <w:rFonts w:hint="eastAsia" w:ascii="宋体" w:hAnsi="宋体" w:cs="宋体"/>
                <w:kern w:val="0"/>
                <w:szCs w:val="21"/>
              </w:rPr>
              <w:t>执业操守及承诺</w:t>
            </w:r>
          </w:p>
        </w:tc>
        <w:tc>
          <w:tcPr>
            <w:tcW w:w="639" w:type="dxa"/>
            <w:noWrap/>
            <w:vAlign w:val="center"/>
          </w:tcPr>
          <w:p>
            <w:pPr>
              <w:spacing w:line="360" w:lineRule="auto"/>
              <w:jc w:val="center"/>
              <w:rPr>
                <w:rFonts w:ascii="宋体" w:hAnsi="宋体" w:cs="宋体"/>
                <w:kern w:val="0"/>
                <w:szCs w:val="21"/>
              </w:rPr>
            </w:pPr>
            <w:r>
              <w:rPr>
                <w:rFonts w:hint="eastAsia" w:ascii="宋体" w:hAnsi="宋体" w:cs="宋体"/>
                <w:kern w:val="0"/>
                <w:szCs w:val="21"/>
              </w:rPr>
              <w:t>5</w:t>
            </w:r>
          </w:p>
        </w:tc>
        <w:tc>
          <w:tcPr>
            <w:tcW w:w="7441" w:type="dxa"/>
            <w:noWrap/>
            <w:vAlign w:val="center"/>
          </w:tcPr>
          <w:p>
            <w:pPr>
              <w:spacing w:line="360" w:lineRule="auto"/>
              <w:rPr>
                <w:rFonts w:ascii="宋体" w:hAnsi="宋体" w:cs="宋体"/>
                <w:kern w:val="0"/>
                <w:szCs w:val="21"/>
              </w:rPr>
            </w:pPr>
            <w:r>
              <w:rPr>
                <w:rFonts w:ascii="宋体" w:hAnsi="宋体" w:cs="宋体"/>
                <w:kern w:val="0"/>
                <w:szCs w:val="21"/>
              </w:rPr>
              <w:t>廉政工作建设及执业中的廉洁制度落实相关措施合理、有效，得3分；未提供者得0分。有承担法律责任和经济损失的书面承诺，得2分；未提供者得0分。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67" w:type="dxa"/>
            <w:vMerge w:val="continue"/>
            <w:noWrap/>
            <w:vAlign w:val="center"/>
          </w:tcPr>
          <w:p>
            <w:pPr>
              <w:spacing w:line="360" w:lineRule="auto"/>
              <w:jc w:val="center"/>
              <w:rPr>
                <w:rFonts w:ascii="宋体" w:hAnsi="宋体"/>
                <w:szCs w:val="21"/>
              </w:rPr>
            </w:pPr>
          </w:p>
        </w:tc>
        <w:tc>
          <w:tcPr>
            <w:tcW w:w="1118" w:type="dxa"/>
            <w:noWrap/>
            <w:vAlign w:val="center"/>
          </w:tcPr>
          <w:p>
            <w:pPr>
              <w:spacing w:line="360" w:lineRule="auto"/>
              <w:jc w:val="center"/>
              <w:rPr>
                <w:rFonts w:ascii="宋体" w:hAnsi="宋体" w:cs="宋体"/>
                <w:kern w:val="0"/>
                <w:szCs w:val="21"/>
              </w:rPr>
            </w:pPr>
            <w:r>
              <w:rPr>
                <w:rFonts w:hint="eastAsia" w:ascii="宋体" w:hAnsi="宋体" w:cs="宋体"/>
                <w:kern w:val="0"/>
                <w:szCs w:val="21"/>
              </w:rPr>
              <w:t>服务效率</w:t>
            </w:r>
          </w:p>
        </w:tc>
        <w:tc>
          <w:tcPr>
            <w:tcW w:w="639" w:type="dxa"/>
            <w:noWrap/>
            <w:vAlign w:val="center"/>
          </w:tcPr>
          <w:p>
            <w:pPr>
              <w:spacing w:line="360" w:lineRule="auto"/>
              <w:jc w:val="center"/>
              <w:rPr>
                <w:rFonts w:ascii="宋体" w:hAnsi="宋体" w:cs="宋体"/>
                <w:kern w:val="0"/>
                <w:szCs w:val="21"/>
              </w:rPr>
            </w:pPr>
            <w:r>
              <w:rPr>
                <w:rFonts w:hint="eastAsia" w:ascii="宋体" w:hAnsi="宋体" w:cs="宋体"/>
                <w:kern w:val="0"/>
                <w:szCs w:val="21"/>
              </w:rPr>
              <w:t>5</w:t>
            </w:r>
          </w:p>
        </w:tc>
        <w:tc>
          <w:tcPr>
            <w:tcW w:w="7441" w:type="dxa"/>
            <w:noWrap/>
            <w:vAlign w:val="center"/>
          </w:tcPr>
          <w:p>
            <w:pPr>
              <w:spacing w:line="360" w:lineRule="auto"/>
              <w:rPr>
                <w:rFonts w:ascii="宋体" w:hAnsi="宋体" w:cs="宋体"/>
                <w:kern w:val="0"/>
                <w:szCs w:val="21"/>
              </w:rPr>
            </w:pPr>
            <w:r>
              <w:rPr>
                <w:rFonts w:ascii="宋体" w:hAnsi="宋体" w:cs="宋体"/>
                <w:kern w:val="0"/>
                <w:szCs w:val="21"/>
              </w:rPr>
              <w:t>为确保项目实施进度，确保服务质量，根据</w:t>
            </w:r>
            <w:r>
              <w:rPr>
                <w:rFonts w:hint="eastAsia" w:ascii="宋体" w:hAnsi="宋体" w:cs="宋体"/>
                <w:kern w:val="0"/>
                <w:szCs w:val="21"/>
              </w:rPr>
              <w:t>供应商</w:t>
            </w:r>
            <w:r>
              <w:rPr>
                <w:rFonts w:ascii="宋体" w:hAnsi="宋体" w:cs="宋体"/>
                <w:kern w:val="0"/>
                <w:szCs w:val="21"/>
              </w:rPr>
              <w:t>提供的服务效率承诺、服务响应时间等相关内容，接到采购人通知30分钟内能到达现场的，得5分；30分钟至1小时内能到达现场的，得3分；1小时至2小时内能到达现场的，得1分；其余不得分。（需提供相关证明文件）</w:t>
            </w:r>
          </w:p>
        </w:tc>
      </w:tr>
    </w:tbl>
    <w:p>
      <w:pPr>
        <w:rPr>
          <w:kern w:val="0"/>
        </w:rPr>
      </w:pPr>
    </w:p>
    <w:p>
      <w:pPr>
        <w:pStyle w:val="2"/>
      </w:pPr>
      <w:bookmarkStart w:id="26" w:name="_Toc18272"/>
      <w:r>
        <w:rPr>
          <w:rFonts w:hint="eastAsia"/>
          <w:kern w:val="0"/>
        </w:rPr>
        <w:t>四、评定办法</w:t>
      </w:r>
      <w:bookmarkEnd w:id="26"/>
    </w:p>
    <w:p>
      <w:pPr>
        <w:widowControl/>
        <w:spacing w:line="480" w:lineRule="auto"/>
        <w:jc w:val="left"/>
        <w:rPr>
          <w:rFonts w:ascii="宋体" w:hAnsi="宋体" w:cs="仿宋_GB2312"/>
          <w:szCs w:val="21"/>
        </w:rPr>
      </w:pPr>
      <w:r>
        <w:rPr>
          <w:rFonts w:hint="eastAsia" w:ascii="宋体" w:hAnsi="宋体" w:cs="仿宋_GB2312"/>
          <w:kern w:val="0"/>
          <w:szCs w:val="21"/>
        </w:rPr>
        <w:t>1、初步审查标准</w:t>
      </w:r>
    </w:p>
    <w:p>
      <w:pPr>
        <w:widowControl/>
        <w:spacing w:line="480" w:lineRule="auto"/>
        <w:jc w:val="left"/>
        <w:rPr>
          <w:rFonts w:ascii="宋体" w:hAnsi="宋体" w:cs="仿宋_GB2312"/>
          <w:szCs w:val="21"/>
        </w:rPr>
      </w:pPr>
      <w:r>
        <w:rPr>
          <w:rFonts w:hint="eastAsia" w:ascii="宋体" w:hAnsi="宋体" w:cs="仿宋_GB2312"/>
          <w:kern w:val="0"/>
          <w:szCs w:val="21"/>
        </w:rPr>
        <w:t>1.1资格性审查标准：见评定办法前附表。</w:t>
      </w:r>
    </w:p>
    <w:p>
      <w:pPr>
        <w:widowControl/>
        <w:spacing w:line="480" w:lineRule="auto"/>
        <w:jc w:val="left"/>
        <w:rPr>
          <w:rFonts w:ascii="宋体" w:hAnsi="宋体" w:cs="仿宋_GB2312"/>
          <w:szCs w:val="21"/>
        </w:rPr>
      </w:pPr>
      <w:r>
        <w:rPr>
          <w:rFonts w:hint="eastAsia" w:ascii="宋体" w:hAnsi="宋体" w:cs="仿宋_GB2312"/>
          <w:kern w:val="0"/>
          <w:szCs w:val="21"/>
        </w:rPr>
        <w:t>1.2符合性审查标准：见评定办法前附表。</w:t>
      </w:r>
    </w:p>
    <w:p>
      <w:pPr>
        <w:widowControl/>
        <w:spacing w:line="480" w:lineRule="auto"/>
        <w:jc w:val="left"/>
        <w:rPr>
          <w:rFonts w:ascii="宋体" w:hAnsi="宋体" w:cs="仿宋_GB2312"/>
          <w:szCs w:val="21"/>
        </w:rPr>
      </w:pPr>
      <w:r>
        <w:rPr>
          <w:rFonts w:hint="eastAsia" w:ascii="宋体" w:hAnsi="宋体" w:cs="仿宋_GB2312"/>
          <w:kern w:val="0"/>
          <w:szCs w:val="21"/>
        </w:rPr>
        <w:t>1.3确定供应商进行最后报价：见评定办法前附表。</w:t>
      </w:r>
    </w:p>
    <w:p>
      <w:pPr>
        <w:widowControl/>
        <w:spacing w:line="480" w:lineRule="auto"/>
        <w:jc w:val="left"/>
        <w:rPr>
          <w:rFonts w:ascii="宋体" w:hAnsi="宋体" w:cs="仿宋_GB2312"/>
          <w:szCs w:val="21"/>
        </w:rPr>
      </w:pPr>
      <w:r>
        <w:rPr>
          <w:rFonts w:hint="eastAsia" w:ascii="宋体" w:hAnsi="宋体" w:cs="仿宋_GB2312"/>
          <w:kern w:val="0"/>
          <w:szCs w:val="21"/>
        </w:rPr>
        <w:t>2、评定办法：见评定办法前附表。</w:t>
      </w:r>
    </w:p>
    <w:p>
      <w:pPr>
        <w:widowControl/>
        <w:spacing w:line="480" w:lineRule="auto"/>
        <w:jc w:val="left"/>
        <w:rPr>
          <w:rFonts w:ascii="宋体" w:hAnsi="宋体" w:cs="仿宋_GB2312"/>
          <w:szCs w:val="21"/>
        </w:rPr>
      </w:pPr>
      <w:r>
        <w:rPr>
          <w:rFonts w:hint="eastAsia" w:ascii="宋体" w:hAnsi="宋体" w:cs="仿宋_GB2312"/>
          <w:kern w:val="0"/>
          <w:szCs w:val="21"/>
        </w:rPr>
        <w:t>2.2.1分值构成</w:t>
      </w:r>
    </w:p>
    <w:p>
      <w:pPr>
        <w:widowControl/>
        <w:spacing w:line="480" w:lineRule="auto"/>
        <w:jc w:val="left"/>
        <w:rPr>
          <w:rFonts w:ascii="宋体" w:hAnsi="宋体" w:cs="仿宋_GB2312"/>
          <w:szCs w:val="21"/>
        </w:rPr>
      </w:pPr>
      <w:r>
        <w:rPr>
          <w:rFonts w:hint="eastAsia" w:ascii="宋体" w:hAnsi="宋体" w:cs="仿宋_GB2312"/>
          <w:kern w:val="0"/>
          <w:szCs w:val="21"/>
        </w:rPr>
        <w:t>（1）技术部分：见评标办法前附表；</w:t>
      </w:r>
    </w:p>
    <w:p>
      <w:pPr>
        <w:widowControl/>
        <w:spacing w:line="480" w:lineRule="auto"/>
        <w:jc w:val="left"/>
        <w:rPr>
          <w:rFonts w:ascii="宋体" w:hAnsi="宋体" w:cs="仿宋_GB2312"/>
          <w:szCs w:val="21"/>
        </w:rPr>
      </w:pPr>
      <w:r>
        <w:rPr>
          <w:rFonts w:hint="eastAsia" w:ascii="宋体" w:hAnsi="宋体" w:cs="仿宋_GB2312"/>
          <w:kern w:val="0"/>
          <w:szCs w:val="21"/>
        </w:rPr>
        <w:t>（2）商务部分：见评标办法前附表；</w:t>
      </w:r>
    </w:p>
    <w:p>
      <w:pPr>
        <w:widowControl/>
        <w:spacing w:line="480" w:lineRule="auto"/>
        <w:jc w:val="left"/>
        <w:rPr>
          <w:rFonts w:ascii="宋体" w:hAnsi="宋体" w:cs="仿宋_GB2312"/>
          <w:szCs w:val="21"/>
        </w:rPr>
      </w:pPr>
      <w:r>
        <w:rPr>
          <w:rFonts w:hint="eastAsia" w:ascii="宋体" w:hAnsi="宋体" w:cs="仿宋_GB2312"/>
          <w:kern w:val="0"/>
          <w:szCs w:val="21"/>
        </w:rPr>
        <w:t>（3）竞标报价：见评标办法前附表。</w:t>
      </w:r>
    </w:p>
    <w:p>
      <w:pPr>
        <w:widowControl/>
        <w:spacing w:line="480" w:lineRule="auto"/>
        <w:jc w:val="left"/>
        <w:rPr>
          <w:rFonts w:ascii="宋体" w:hAnsi="宋体" w:cs="仿宋_GB2312"/>
          <w:szCs w:val="21"/>
        </w:rPr>
      </w:pPr>
      <w:r>
        <w:rPr>
          <w:rFonts w:hint="eastAsia" w:ascii="宋体" w:hAnsi="宋体" w:cs="仿宋_GB2312"/>
          <w:kern w:val="0"/>
          <w:szCs w:val="21"/>
        </w:rPr>
        <w:t>2.2.2评标基准价计算</w:t>
      </w:r>
    </w:p>
    <w:p>
      <w:pPr>
        <w:widowControl/>
        <w:spacing w:line="480" w:lineRule="auto"/>
        <w:jc w:val="left"/>
        <w:rPr>
          <w:rFonts w:ascii="宋体" w:hAnsi="宋体" w:cs="仿宋_GB2312"/>
          <w:szCs w:val="21"/>
        </w:rPr>
      </w:pPr>
      <w:r>
        <w:rPr>
          <w:rFonts w:hint="eastAsia" w:ascii="宋体" w:hAnsi="宋体" w:cs="仿宋_GB2312"/>
          <w:kern w:val="0"/>
          <w:szCs w:val="21"/>
        </w:rPr>
        <w:t>评标基准价计算方法：见评标办法前附表。</w:t>
      </w:r>
    </w:p>
    <w:p>
      <w:pPr>
        <w:widowControl/>
        <w:spacing w:line="480" w:lineRule="auto"/>
        <w:jc w:val="left"/>
        <w:rPr>
          <w:rFonts w:ascii="宋体" w:hAnsi="宋体" w:cs="仿宋_GB2312"/>
          <w:szCs w:val="21"/>
        </w:rPr>
      </w:pPr>
      <w:r>
        <w:rPr>
          <w:rFonts w:hint="eastAsia" w:ascii="宋体" w:hAnsi="宋体" w:cs="仿宋_GB2312"/>
          <w:kern w:val="0"/>
          <w:szCs w:val="21"/>
        </w:rPr>
        <w:t>2.2.3评分标准</w:t>
      </w:r>
    </w:p>
    <w:p>
      <w:pPr>
        <w:widowControl/>
        <w:spacing w:line="480" w:lineRule="auto"/>
        <w:jc w:val="left"/>
        <w:rPr>
          <w:rFonts w:ascii="宋体" w:hAnsi="宋体" w:cs="仿宋_GB2312"/>
          <w:szCs w:val="21"/>
        </w:rPr>
      </w:pPr>
      <w:r>
        <w:rPr>
          <w:rFonts w:hint="eastAsia" w:ascii="宋体" w:hAnsi="宋体" w:cs="仿宋_GB2312"/>
          <w:kern w:val="0"/>
          <w:szCs w:val="21"/>
        </w:rPr>
        <w:t>（1）技术部分评分标准：见评标办法前附表；</w:t>
      </w:r>
    </w:p>
    <w:p>
      <w:pPr>
        <w:widowControl/>
        <w:spacing w:line="480" w:lineRule="auto"/>
        <w:jc w:val="left"/>
        <w:rPr>
          <w:rFonts w:ascii="宋体" w:hAnsi="宋体" w:cs="仿宋_GB2312"/>
          <w:szCs w:val="21"/>
        </w:rPr>
      </w:pPr>
      <w:r>
        <w:rPr>
          <w:rFonts w:hint="eastAsia" w:ascii="宋体" w:hAnsi="宋体" w:cs="仿宋_GB2312"/>
          <w:kern w:val="0"/>
          <w:szCs w:val="21"/>
        </w:rPr>
        <w:t>（2）商务部分评分标准：见评标办法前附表；</w:t>
      </w:r>
    </w:p>
    <w:p>
      <w:pPr>
        <w:widowControl/>
        <w:spacing w:line="480" w:lineRule="auto"/>
        <w:jc w:val="left"/>
        <w:rPr>
          <w:rFonts w:ascii="宋体" w:hAnsi="宋体" w:cs="仿宋_GB2312"/>
          <w:szCs w:val="21"/>
        </w:rPr>
      </w:pPr>
      <w:r>
        <w:rPr>
          <w:rFonts w:hint="eastAsia" w:ascii="宋体" w:hAnsi="宋体" w:cs="仿宋_GB2312"/>
          <w:kern w:val="0"/>
          <w:szCs w:val="21"/>
        </w:rPr>
        <w:t>（3）竞标报价评分标准：见评标办法前附表。</w:t>
      </w:r>
    </w:p>
    <w:p>
      <w:pPr>
        <w:widowControl/>
        <w:spacing w:line="480" w:lineRule="auto"/>
        <w:jc w:val="left"/>
        <w:rPr>
          <w:rFonts w:ascii="宋体" w:hAnsi="宋体" w:cs="仿宋_GB2312"/>
          <w:szCs w:val="21"/>
        </w:rPr>
      </w:pPr>
      <w:r>
        <w:rPr>
          <w:rFonts w:hint="eastAsia" w:ascii="宋体" w:hAnsi="宋体" w:cs="仿宋_GB2312"/>
          <w:kern w:val="0"/>
          <w:szCs w:val="21"/>
        </w:rPr>
        <w:t>3、评定结果</w:t>
      </w:r>
    </w:p>
    <w:p>
      <w:pPr>
        <w:widowControl/>
        <w:spacing w:line="480" w:lineRule="auto"/>
        <w:jc w:val="left"/>
        <w:rPr>
          <w:rFonts w:ascii="宋体" w:hAnsi="宋体" w:cs="仿宋_GB2312"/>
          <w:szCs w:val="21"/>
        </w:rPr>
      </w:pPr>
      <w:r>
        <w:rPr>
          <w:rFonts w:hint="eastAsia" w:ascii="宋体" w:hAnsi="宋体" w:cs="仿宋_GB2312"/>
          <w:kern w:val="0"/>
          <w:szCs w:val="21"/>
        </w:rPr>
        <w:t>3.1磋商小组严格按照本章要求对最终报价进行评定。</w:t>
      </w:r>
    </w:p>
    <w:p>
      <w:pPr>
        <w:widowControl/>
        <w:spacing w:line="480" w:lineRule="auto"/>
        <w:jc w:val="left"/>
        <w:rPr>
          <w:rFonts w:ascii="宋体" w:hAnsi="宋体" w:cs="仿宋_GB2312"/>
          <w:szCs w:val="21"/>
        </w:rPr>
      </w:pPr>
      <w:r>
        <w:rPr>
          <w:rFonts w:hint="eastAsia" w:ascii="宋体" w:hAnsi="宋体" w:cs="仿宋_GB2312"/>
          <w:kern w:val="0"/>
          <w:szCs w:val="21"/>
        </w:rPr>
        <w:t>3.2完成评定后，磋商小组须在评审结果推荐意见上共同签字。</w:t>
      </w:r>
    </w:p>
    <w:p>
      <w:pPr>
        <w:widowControl/>
        <w:spacing w:line="480" w:lineRule="auto"/>
        <w:jc w:val="left"/>
        <w:rPr>
          <w:rFonts w:ascii="宋体" w:hAnsi="宋体" w:cs="仿宋_GB2312"/>
          <w:szCs w:val="21"/>
        </w:rPr>
      </w:pPr>
      <w:r>
        <w:rPr>
          <w:rFonts w:hint="eastAsia" w:ascii="宋体" w:hAnsi="宋体" w:cs="仿宋_GB2312"/>
          <w:kern w:val="0"/>
          <w:szCs w:val="21"/>
        </w:rPr>
        <w:t>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widowControl/>
        <w:spacing w:line="480" w:lineRule="auto"/>
        <w:jc w:val="left"/>
        <w:rPr>
          <w:rFonts w:ascii="宋体" w:hAnsi="宋体" w:cs="仿宋_GB2312"/>
          <w:szCs w:val="21"/>
        </w:rPr>
      </w:pPr>
      <w:r>
        <w:rPr>
          <w:rFonts w:hint="eastAsia" w:ascii="宋体" w:hAnsi="宋体" w:cs="仿宋_GB2312"/>
          <w:kern w:val="0"/>
          <w:szCs w:val="21"/>
        </w:rPr>
        <w:t>4、其他</w:t>
      </w:r>
    </w:p>
    <w:p>
      <w:pPr>
        <w:widowControl/>
        <w:spacing w:line="480" w:lineRule="auto"/>
        <w:jc w:val="left"/>
        <w:rPr>
          <w:rFonts w:ascii="宋体" w:hAnsi="宋体" w:cs="仿宋_GB2312"/>
          <w:szCs w:val="21"/>
        </w:rPr>
      </w:pPr>
      <w:r>
        <w:rPr>
          <w:rFonts w:hint="eastAsia" w:ascii="宋体" w:hAnsi="宋体" w:cs="仿宋_GB2312"/>
          <w:kern w:val="0"/>
          <w:szCs w:val="21"/>
        </w:rPr>
        <w:t>供应商的最终报价均超过了采购预算，采购人不能支付的，磋商活动终止；终止后，采购人需要采取调整采购预算或项目配置标准等，或采取其他采购方式的，应当在采购活动开始前获得相关部门批准。</w:t>
      </w:r>
    </w:p>
    <w:p>
      <w:pPr>
        <w:pStyle w:val="3"/>
      </w:pPr>
      <w:r>
        <w:rPr>
          <w:rFonts w:ascii="宋体" w:hAnsi="宋体" w:cs="仿宋_GB2312"/>
          <w:sz w:val="24"/>
        </w:rPr>
        <w:br w:type="page"/>
      </w:r>
      <w:bookmarkStart w:id="27" w:name="_Toc36458032"/>
      <w:bookmarkStart w:id="28" w:name="_Toc11224"/>
      <w:r>
        <w:rPr>
          <w:rFonts w:hint="eastAsia"/>
          <w:kern w:val="0"/>
        </w:rPr>
        <w:t>第五章合同书</w:t>
      </w:r>
      <w:bookmarkEnd w:id="27"/>
      <w:bookmarkEnd w:id="28"/>
    </w:p>
    <w:p>
      <w:pPr>
        <w:spacing w:line="360" w:lineRule="auto"/>
        <w:ind w:firstLine="480" w:firstLineChars="200"/>
        <w:rPr>
          <w:rFonts w:ascii="宋体" w:hAnsi="宋体" w:cs="宋体"/>
          <w:szCs w:val="21"/>
        </w:rPr>
      </w:pPr>
      <w:r>
        <w:rPr>
          <w:rFonts w:hint="eastAsia"/>
          <w:sz w:val="24"/>
        </w:rPr>
        <w:t>（</w:t>
      </w:r>
      <w:r>
        <w:rPr>
          <w:rFonts w:hint="eastAsia" w:ascii="宋体" w:hAnsi="宋体" w:cs="宋体"/>
          <w:szCs w:val="21"/>
        </w:rPr>
        <w:t>根据《民法典》等相关规定，采购人和成交供应商之间的权利和义务，应当按照平等、自愿的原则以合同方式自行约定。）</w:t>
      </w:r>
    </w:p>
    <w:p>
      <w:pPr>
        <w:widowControl/>
        <w:spacing w:line="360" w:lineRule="auto"/>
        <w:jc w:val="left"/>
        <w:rPr>
          <w:rFonts w:ascii="宋体" w:hAnsi="宋体" w:cs="仿宋_GB2312"/>
          <w:kern w:val="0"/>
          <w:sz w:val="24"/>
        </w:rPr>
      </w:pPr>
    </w:p>
    <w:p>
      <w:pPr>
        <w:pStyle w:val="3"/>
      </w:pPr>
      <w:r>
        <w:rPr>
          <w:rFonts w:ascii="宋体" w:hAnsi="宋体" w:cs="仿宋_GB2312"/>
          <w:kern w:val="0"/>
          <w:sz w:val="24"/>
        </w:rPr>
        <w:br w:type="page"/>
      </w:r>
      <w:bookmarkStart w:id="29" w:name="_Toc36458033"/>
      <w:bookmarkStart w:id="30" w:name="_Toc23320"/>
      <w:r>
        <w:rPr>
          <w:rFonts w:hint="eastAsia"/>
          <w:kern w:val="0"/>
        </w:rPr>
        <w:t>第六章竞争性磋商响应文件格式</w:t>
      </w:r>
      <w:bookmarkEnd w:id="29"/>
      <w:bookmarkEnd w:id="30"/>
    </w:p>
    <w:p>
      <w:pPr>
        <w:pStyle w:val="2"/>
      </w:pPr>
      <w:bookmarkStart w:id="31" w:name="_Toc2960"/>
      <w:r>
        <w:rPr>
          <w:rFonts w:hint="eastAsia"/>
          <w:kern w:val="0"/>
        </w:rPr>
        <w:t>封面：</w:t>
      </w:r>
      <w:bookmarkEnd w:id="31"/>
    </w:p>
    <w:p>
      <w:pPr>
        <w:widowControl/>
        <w:spacing w:line="360" w:lineRule="auto"/>
        <w:jc w:val="center"/>
        <w:rPr>
          <w:rFonts w:ascii="宋体" w:hAnsi="宋体" w:cs="仿宋_GB2312"/>
          <w:kern w:val="0"/>
          <w:sz w:val="24"/>
        </w:rPr>
      </w:pPr>
    </w:p>
    <w:p>
      <w:pPr>
        <w:widowControl/>
        <w:spacing w:line="360" w:lineRule="auto"/>
        <w:jc w:val="center"/>
        <w:rPr>
          <w:rFonts w:ascii="宋体" w:hAnsi="宋体" w:cs="仿宋_GB2312"/>
          <w:b/>
          <w:kern w:val="0"/>
          <w:sz w:val="24"/>
        </w:rPr>
      </w:pPr>
    </w:p>
    <w:p>
      <w:pPr>
        <w:widowControl/>
        <w:spacing w:line="360" w:lineRule="auto"/>
        <w:jc w:val="center"/>
        <w:rPr>
          <w:rFonts w:ascii="宋体" w:hAnsi="宋体" w:cs="仿宋_GB2312"/>
          <w:sz w:val="84"/>
          <w:szCs w:val="84"/>
        </w:rPr>
      </w:pPr>
      <w:r>
        <w:rPr>
          <w:rFonts w:hint="eastAsia" w:ascii="宋体" w:hAnsi="宋体" w:cs="仿宋_GB2312"/>
          <w:b/>
          <w:kern w:val="0"/>
          <w:sz w:val="84"/>
          <w:szCs w:val="84"/>
        </w:rPr>
        <w:t>响应文件</w:t>
      </w:r>
    </w:p>
    <w:p>
      <w:pPr>
        <w:widowControl/>
        <w:spacing w:line="360" w:lineRule="auto"/>
        <w:jc w:val="center"/>
        <w:rPr>
          <w:rFonts w:ascii="宋体" w:hAnsi="宋体" w:cs="仿宋_GB2312"/>
          <w:sz w:val="24"/>
        </w:rPr>
      </w:pPr>
      <w:r>
        <w:rPr>
          <w:rFonts w:hint="eastAsia" w:ascii="宋体" w:hAnsi="宋体" w:cs="仿宋_GB2312"/>
          <w:kern w:val="0"/>
          <w:sz w:val="24"/>
        </w:rPr>
        <w:t>（正本/副本）</w:t>
      </w:r>
    </w:p>
    <w:p>
      <w:pPr>
        <w:widowControl/>
        <w:spacing w:line="360" w:lineRule="auto"/>
        <w:jc w:val="left"/>
        <w:rPr>
          <w:rFonts w:ascii="宋体" w:hAnsi="宋体" w:cs="仿宋_GB2312"/>
          <w:b/>
          <w:kern w:val="0"/>
          <w:sz w:val="24"/>
        </w:rPr>
      </w:pPr>
    </w:p>
    <w:p>
      <w:pPr>
        <w:widowControl/>
        <w:spacing w:line="360" w:lineRule="auto"/>
        <w:jc w:val="left"/>
        <w:rPr>
          <w:rFonts w:ascii="宋体" w:hAnsi="宋体" w:cs="仿宋_GB2312"/>
          <w:b/>
          <w:kern w:val="0"/>
          <w:sz w:val="24"/>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6"/>
        <w:gridCol w:w="6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7" w:hRule="exact"/>
          <w:jc w:val="center"/>
        </w:trPr>
        <w:tc>
          <w:tcPr>
            <w:tcW w:w="2066" w:type="dxa"/>
            <w:vAlign w:val="center"/>
          </w:tcPr>
          <w:p>
            <w:pPr>
              <w:spacing w:line="900" w:lineRule="exact"/>
              <w:rPr>
                <w:rFonts w:ascii="宋体" w:hAnsi="宋体"/>
                <w:sz w:val="24"/>
              </w:rPr>
            </w:pPr>
            <w:r>
              <w:rPr>
                <w:rFonts w:hint="eastAsia" w:ascii="宋体" w:hAnsi="宋体"/>
                <w:sz w:val="24"/>
              </w:rPr>
              <w:t>项目编号：</w:t>
            </w:r>
          </w:p>
          <w:p>
            <w:pPr>
              <w:spacing w:line="900" w:lineRule="exact"/>
              <w:rPr>
                <w:rFonts w:ascii="宋体" w:hAnsi="宋体"/>
                <w:sz w:val="24"/>
              </w:rPr>
            </w:pPr>
          </w:p>
        </w:tc>
        <w:tc>
          <w:tcPr>
            <w:tcW w:w="6492" w:type="dxa"/>
            <w:tcBorders>
              <w:top w:val="single" w:color="auto" w:sz="4" w:space="0"/>
              <w:bottom w:val="single" w:color="auto" w:sz="4" w:space="0"/>
            </w:tcBorders>
            <w:vAlign w:val="center"/>
          </w:tcPr>
          <w:p>
            <w:pPr>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2066" w:type="dxa"/>
            <w:vAlign w:val="center"/>
          </w:tcPr>
          <w:p>
            <w:pPr>
              <w:spacing w:line="900" w:lineRule="exact"/>
              <w:rPr>
                <w:rFonts w:ascii="宋体" w:hAnsi="宋体"/>
                <w:sz w:val="24"/>
              </w:rPr>
            </w:pPr>
            <w:r>
              <w:rPr>
                <w:rFonts w:ascii="宋体" w:hAnsi="宋体"/>
                <w:sz w:val="24"/>
              </w:rPr>
              <w:t>项目名称：</w:t>
            </w:r>
          </w:p>
        </w:tc>
        <w:tc>
          <w:tcPr>
            <w:tcW w:w="6492" w:type="dxa"/>
            <w:tcBorders>
              <w:top w:val="single" w:color="auto" w:sz="4" w:space="0"/>
              <w:bottom w:val="single" w:color="auto" w:sz="4" w:space="0"/>
            </w:tcBorders>
            <w:vAlign w:val="center"/>
          </w:tcPr>
          <w:p>
            <w:pPr>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2066" w:type="dxa"/>
            <w:vAlign w:val="center"/>
          </w:tcPr>
          <w:p>
            <w:pPr>
              <w:spacing w:line="900" w:lineRule="exact"/>
              <w:rPr>
                <w:rFonts w:ascii="宋体" w:hAnsi="宋体"/>
                <w:sz w:val="24"/>
              </w:rPr>
            </w:pPr>
            <w:r>
              <w:rPr>
                <w:rFonts w:hint="eastAsia" w:ascii="宋体" w:hAnsi="宋体"/>
                <w:sz w:val="24"/>
              </w:rPr>
              <w:t>供应商名称：</w:t>
            </w:r>
          </w:p>
          <w:p>
            <w:pPr>
              <w:spacing w:line="900" w:lineRule="exact"/>
              <w:rPr>
                <w:rFonts w:ascii="宋体" w:hAnsi="宋体"/>
                <w:sz w:val="24"/>
              </w:rPr>
            </w:pPr>
          </w:p>
        </w:tc>
        <w:tc>
          <w:tcPr>
            <w:tcW w:w="6492" w:type="dxa"/>
            <w:tcBorders>
              <w:top w:val="single" w:color="auto" w:sz="4" w:space="0"/>
              <w:bottom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2066" w:type="dxa"/>
            <w:vAlign w:val="center"/>
          </w:tcPr>
          <w:p>
            <w:pPr>
              <w:spacing w:line="900" w:lineRule="exact"/>
              <w:rPr>
                <w:rFonts w:ascii="宋体" w:hAnsi="宋体"/>
                <w:sz w:val="24"/>
              </w:rPr>
            </w:pPr>
            <w:r>
              <w:rPr>
                <w:rFonts w:hint="eastAsia" w:ascii="宋体" w:hAnsi="宋体"/>
                <w:sz w:val="24"/>
              </w:rPr>
              <w:t>日期：</w:t>
            </w:r>
          </w:p>
        </w:tc>
        <w:tc>
          <w:tcPr>
            <w:tcW w:w="6492" w:type="dxa"/>
            <w:tcBorders>
              <w:top w:val="single" w:color="auto" w:sz="4" w:space="0"/>
              <w:bottom w:val="single" w:color="auto" w:sz="4" w:space="0"/>
            </w:tcBorders>
            <w:vAlign w:val="center"/>
          </w:tcPr>
          <w:p>
            <w:pPr>
              <w:jc w:val="center"/>
              <w:rPr>
                <w:rFonts w:ascii="宋体" w:hAnsi="宋体"/>
                <w:sz w:val="24"/>
              </w:rPr>
            </w:pPr>
          </w:p>
        </w:tc>
      </w:tr>
    </w:tbl>
    <w:p>
      <w:pPr>
        <w:widowControl/>
        <w:spacing w:line="360" w:lineRule="auto"/>
        <w:jc w:val="left"/>
        <w:rPr>
          <w:rFonts w:ascii="宋体" w:hAnsi="宋体" w:cs="仿宋_GB2312"/>
          <w:b/>
          <w:kern w:val="0"/>
          <w:sz w:val="24"/>
        </w:rPr>
      </w:pPr>
    </w:p>
    <w:p>
      <w:pPr>
        <w:widowControl/>
        <w:spacing w:line="360" w:lineRule="auto"/>
        <w:jc w:val="left"/>
        <w:rPr>
          <w:rFonts w:ascii="宋体" w:hAnsi="宋体" w:cs="仿宋_GB2312"/>
          <w:kern w:val="0"/>
          <w:sz w:val="24"/>
        </w:rPr>
      </w:pPr>
    </w:p>
    <w:p>
      <w:pPr>
        <w:widowControl/>
        <w:spacing w:line="360" w:lineRule="auto"/>
        <w:jc w:val="left"/>
        <w:rPr>
          <w:rFonts w:ascii="宋体" w:hAnsi="宋体" w:cs="仿宋_GB2312"/>
          <w:kern w:val="0"/>
          <w:sz w:val="24"/>
        </w:rPr>
      </w:pPr>
    </w:p>
    <w:p>
      <w:pPr>
        <w:widowControl/>
        <w:spacing w:line="360" w:lineRule="auto"/>
        <w:jc w:val="left"/>
        <w:rPr>
          <w:rFonts w:ascii="宋体" w:hAnsi="宋体" w:cs="仿宋_GB2312"/>
          <w:kern w:val="0"/>
          <w:sz w:val="24"/>
        </w:rPr>
      </w:pPr>
    </w:p>
    <w:p>
      <w:pPr>
        <w:widowControl/>
        <w:spacing w:line="360" w:lineRule="auto"/>
        <w:jc w:val="center"/>
        <w:rPr>
          <w:rFonts w:ascii="宋体" w:hAnsi="宋体" w:cs="仿宋_GB2312"/>
          <w:kern w:val="0"/>
          <w:sz w:val="32"/>
          <w:szCs w:val="32"/>
        </w:rPr>
      </w:pPr>
    </w:p>
    <w:p>
      <w:pPr>
        <w:widowControl/>
        <w:spacing w:line="360" w:lineRule="auto"/>
        <w:jc w:val="center"/>
        <w:rPr>
          <w:rFonts w:ascii="宋体" w:hAnsi="宋体" w:cs="仿宋_GB2312"/>
          <w:b/>
          <w:kern w:val="0"/>
          <w:sz w:val="32"/>
          <w:szCs w:val="32"/>
        </w:rPr>
      </w:pPr>
    </w:p>
    <w:p>
      <w:pPr>
        <w:widowControl/>
        <w:spacing w:line="360" w:lineRule="auto"/>
        <w:jc w:val="center"/>
        <w:rPr>
          <w:rFonts w:ascii="宋体" w:hAnsi="宋体" w:cs="仿宋_GB2312"/>
          <w:b/>
          <w:kern w:val="0"/>
          <w:sz w:val="24"/>
        </w:rPr>
      </w:pPr>
    </w:p>
    <w:p>
      <w:pPr>
        <w:pStyle w:val="2"/>
      </w:pPr>
      <w:r>
        <w:rPr>
          <w:rFonts w:ascii="宋体" w:hAnsi="宋体" w:cs="仿宋_GB2312"/>
          <w:kern w:val="0"/>
          <w:sz w:val="24"/>
        </w:rPr>
        <w:br w:type="page"/>
      </w:r>
      <w:bookmarkStart w:id="32" w:name="_Toc746"/>
      <w:r>
        <w:rPr>
          <w:rFonts w:hint="eastAsia"/>
          <w:kern w:val="0"/>
        </w:rPr>
        <w:t>响应文件目录</w:t>
      </w:r>
      <w:bookmarkEnd w:id="32"/>
    </w:p>
    <w:p>
      <w:pPr>
        <w:widowControl/>
        <w:spacing w:line="360" w:lineRule="auto"/>
        <w:ind w:firstLine="420" w:firstLineChars="200"/>
        <w:jc w:val="left"/>
        <w:rPr>
          <w:rFonts w:ascii="宋体" w:hAnsi="宋体" w:cs="仿宋_GB2312"/>
          <w:sz w:val="24"/>
        </w:rPr>
      </w:pPr>
      <w:r>
        <w:rPr>
          <w:rFonts w:hint="eastAsia" w:ascii="宋体" w:hAnsi="宋体" w:cs="仿宋_GB2312"/>
          <w:kern w:val="0"/>
          <w:szCs w:val="21"/>
        </w:rPr>
        <w:t>根据磋商文件第六章提供的格式编写目录，目录须标注页码，同时为方便评审，须在目录前填写响应文件导读表，目录和导读表便于评委在评审时有效查找响应文件的响应情况，请各供应商认真编写填报</w:t>
      </w:r>
      <w:r>
        <w:rPr>
          <w:rFonts w:hint="eastAsia" w:ascii="宋体" w:hAnsi="宋体" w:cs="仿宋_GB2312"/>
          <w:kern w:val="0"/>
          <w:sz w:val="24"/>
        </w:rPr>
        <w:t>。</w:t>
      </w:r>
    </w:p>
    <w:p>
      <w:pPr>
        <w:widowControl/>
        <w:spacing w:line="360" w:lineRule="auto"/>
        <w:jc w:val="left"/>
        <w:rPr>
          <w:rFonts w:ascii="宋体" w:hAnsi="宋体" w:cs="仿宋_GB2312"/>
          <w:b/>
          <w:kern w:val="0"/>
          <w:sz w:val="24"/>
        </w:rPr>
      </w:pPr>
    </w:p>
    <w:p>
      <w:pPr>
        <w:widowControl/>
        <w:spacing w:line="360" w:lineRule="auto"/>
        <w:jc w:val="left"/>
        <w:rPr>
          <w:rFonts w:ascii="宋体" w:hAnsi="宋体" w:cs="仿宋_GB2312"/>
          <w:b/>
          <w:kern w:val="0"/>
          <w:sz w:val="24"/>
        </w:rPr>
      </w:pPr>
    </w:p>
    <w:p>
      <w:pPr>
        <w:widowControl/>
        <w:spacing w:line="360" w:lineRule="auto"/>
        <w:jc w:val="left"/>
        <w:rPr>
          <w:rFonts w:ascii="宋体" w:hAnsi="宋体" w:cs="仿宋_GB2312"/>
          <w:b/>
          <w:kern w:val="0"/>
          <w:sz w:val="24"/>
        </w:rPr>
      </w:pPr>
    </w:p>
    <w:p>
      <w:pPr>
        <w:widowControl/>
        <w:spacing w:line="360" w:lineRule="auto"/>
        <w:jc w:val="left"/>
        <w:rPr>
          <w:rFonts w:ascii="宋体" w:hAnsi="宋体" w:cs="仿宋_GB2312"/>
          <w:b/>
          <w:kern w:val="0"/>
          <w:sz w:val="24"/>
        </w:rPr>
      </w:pPr>
    </w:p>
    <w:p>
      <w:pPr>
        <w:widowControl/>
        <w:spacing w:line="360" w:lineRule="auto"/>
        <w:jc w:val="left"/>
        <w:rPr>
          <w:rFonts w:ascii="宋体" w:hAnsi="宋体" w:cs="仿宋_GB2312"/>
          <w:b/>
          <w:kern w:val="0"/>
          <w:sz w:val="24"/>
        </w:rPr>
      </w:pPr>
    </w:p>
    <w:p>
      <w:pPr>
        <w:widowControl/>
        <w:spacing w:line="360" w:lineRule="auto"/>
        <w:jc w:val="left"/>
        <w:rPr>
          <w:rFonts w:ascii="宋体" w:hAnsi="宋体" w:cs="仿宋_GB2312"/>
          <w:b/>
          <w:kern w:val="0"/>
          <w:sz w:val="24"/>
        </w:rPr>
      </w:pPr>
    </w:p>
    <w:p>
      <w:pPr>
        <w:widowControl/>
        <w:spacing w:line="360" w:lineRule="auto"/>
        <w:jc w:val="left"/>
        <w:rPr>
          <w:rFonts w:ascii="宋体" w:hAnsi="宋体" w:cs="仿宋_GB2312"/>
          <w:b/>
          <w:kern w:val="0"/>
          <w:sz w:val="24"/>
        </w:rPr>
      </w:pPr>
    </w:p>
    <w:p>
      <w:pPr>
        <w:widowControl/>
        <w:spacing w:line="360" w:lineRule="auto"/>
        <w:jc w:val="left"/>
        <w:rPr>
          <w:rFonts w:ascii="宋体" w:hAnsi="宋体" w:cs="仿宋_GB2312"/>
          <w:b/>
          <w:kern w:val="0"/>
          <w:sz w:val="24"/>
        </w:rPr>
      </w:pPr>
    </w:p>
    <w:p>
      <w:pPr>
        <w:widowControl/>
        <w:spacing w:line="360" w:lineRule="auto"/>
        <w:jc w:val="left"/>
        <w:rPr>
          <w:rFonts w:ascii="宋体" w:hAnsi="宋体" w:cs="仿宋_GB2312"/>
          <w:b/>
          <w:kern w:val="0"/>
          <w:sz w:val="24"/>
        </w:rPr>
      </w:pPr>
    </w:p>
    <w:p>
      <w:pPr>
        <w:widowControl/>
        <w:spacing w:line="360" w:lineRule="auto"/>
        <w:jc w:val="left"/>
        <w:rPr>
          <w:rFonts w:ascii="宋体" w:hAnsi="宋体" w:cs="仿宋_GB2312"/>
          <w:b/>
          <w:kern w:val="0"/>
          <w:sz w:val="24"/>
        </w:rPr>
      </w:pPr>
    </w:p>
    <w:p>
      <w:pPr>
        <w:widowControl/>
        <w:spacing w:line="360" w:lineRule="auto"/>
        <w:jc w:val="left"/>
        <w:rPr>
          <w:rFonts w:ascii="宋体" w:hAnsi="宋体" w:cs="仿宋_GB2312"/>
          <w:b/>
          <w:kern w:val="0"/>
          <w:sz w:val="24"/>
        </w:rPr>
      </w:pPr>
    </w:p>
    <w:p>
      <w:pPr>
        <w:widowControl/>
        <w:spacing w:line="360" w:lineRule="auto"/>
        <w:jc w:val="left"/>
        <w:rPr>
          <w:rFonts w:ascii="宋体" w:hAnsi="宋体" w:cs="仿宋_GB2312"/>
          <w:b/>
          <w:kern w:val="0"/>
          <w:sz w:val="24"/>
        </w:rPr>
      </w:pPr>
    </w:p>
    <w:p>
      <w:pPr>
        <w:widowControl/>
        <w:spacing w:line="360" w:lineRule="auto"/>
        <w:jc w:val="left"/>
        <w:rPr>
          <w:rFonts w:ascii="宋体" w:hAnsi="宋体" w:cs="仿宋_GB2312"/>
          <w:b/>
          <w:kern w:val="0"/>
          <w:sz w:val="24"/>
        </w:rPr>
      </w:pPr>
    </w:p>
    <w:p>
      <w:pPr>
        <w:widowControl/>
        <w:spacing w:line="360" w:lineRule="auto"/>
        <w:jc w:val="left"/>
        <w:rPr>
          <w:rFonts w:ascii="宋体" w:hAnsi="宋体" w:cs="仿宋_GB2312"/>
          <w:b/>
          <w:kern w:val="0"/>
          <w:sz w:val="24"/>
        </w:rPr>
      </w:pPr>
    </w:p>
    <w:p>
      <w:pPr>
        <w:widowControl/>
        <w:spacing w:line="360" w:lineRule="auto"/>
        <w:jc w:val="left"/>
        <w:rPr>
          <w:rFonts w:ascii="宋体" w:hAnsi="宋体" w:cs="仿宋_GB2312"/>
          <w:b/>
          <w:kern w:val="0"/>
          <w:sz w:val="24"/>
        </w:rPr>
      </w:pPr>
    </w:p>
    <w:p>
      <w:pPr>
        <w:widowControl/>
        <w:spacing w:line="360" w:lineRule="auto"/>
        <w:jc w:val="left"/>
        <w:rPr>
          <w:rFonts w:ascii="宋体" w:hAnsi="宋体" w:cs="仿宋_GB2312"/>
          <w:b/>
          <w:kern w:val="0"/>
          <w:sz w:val="24"/>
        </w:rPr>
      </w:pPr>
    </w:p>
    <w:p>
      <w:pPr>
        <w:widowControl/>
        <w:spacing w:line="360" w:lineRule="auto"/>
        <w:jc w:val="left"/>
        <w:rPr>
          <w:rFonts w:ascii="宋体" w:hAnsi="宋体" w:cs="仿宋_GB2312"/>
          <w:b/>
          <w:kern w:val="0"/>
          <w:sz w:val="24"/>
        </w:rPr>
      </w:pPr>
    </w:p>
    <w:p>
      <w:pPr>
        <w:widowControl/>
        <w:spacing w:line="360" w:lineRule="auto"/>
        <w:jc w:val="left"/>
        <w:rPr>
          <w:rFonts w:ascii="宋体" w:hAnsi="宋体" w:cs="仿宋_GB2312"/>
          <w:b/>
          <w:kern w:val="0"/>
          <w:sz w:val="24"/>
        </w:rPr>
      </w:pPr>
    </w:p>
    <w:p>
      <w:pPr>
        <w:widowControl/>
        <w:spacing w:line="360" w:lineRule="auto"/>
        <w:jc w:val="left"/>
        <w:rPr>
          <w:rFonts w:ascii="宋体" w:hAnsi="宋体" w:cs="仿宋_GB2312"/>
          <w:b/>
          <w:kern w:val="0"/>
          <w:sz w:val="24"/>
        </w:rPr>
      </w:pPr>
    </w:p>
    <w:p>
      <w:pPr>
        <w:widowControl/>
        <w:spacing w:line="360" w:lineRule="auto"/>
        <w:jc w:val="left"/>
        <w:rPr>
          <w:rFonts w:ascii="宋体" w:hAnsi="宋体" w:cs="仿宋_GB2312"/>
          <w:b/>
          <w:kern w:val="0"/>
          <w:sz w:val="24"/>
        </w:rPr>
      </w:pPr>
    </w:p>
    <w:p>
      <w:pPr>
        <w:widowControl/>
        <w:spacing w:line="360" w:lineRule="auto"/>
        <w:jc w:val="left"/>
        <w:rPr>
          <w:rFonts w:ascii="宋体" w:hAnsi="宋体" w:cs="仿宋_GB2312"/>
          <w:b/>
          <w:kern w:val="0"/>
          <w:sz w:val="24"/>
        </w:rPr>
      </w:pPr>
    </w:p>
    <w:p>
      <w:pPr>
        <w:widowControl/>
        <w:spacing w:line="360" w:lineRule="auto"/>
        <w:jc w:val="left"/>
        <w:rPr>
          <w:rFonts w:ascii="宋体" w:hAnsi="宋体" w:cs="仿宋_GB2312"/>
          <w:b/>
          <w:kern w:val="0"/>
          <w:sz w:val="24"/>
        </w:rPr>
      </w:pPr>
    </w:p>
    <w:p>
      <w:pPr>
        <w:widowControl/>
        <w:spacing w:line="360" w:lineRule="auto"/>
        <w:jc w:val="left"/>
        <w:rPr>
          <w:rFonts w:ascii="宋体" w:hAnsi="宋体" w:cs="仿宋_GB2312"/>
          <w:b/>
          <w:kern w:val="0"/>
          <w:sz w:val="24"/>
        </w:rPr>
      </w:pPr>
    </w:p>
    <w:p>
      <w:pPr>
        <w:pStyle w:val="2"/>
        <w:rPr>
          <w:kern w:val="0"/>
        </w:rPr>
      </w:pPr>
      <w:r>
        <w:rPr>
          <w:kern w:val="0"/>
          <w:sz w:val="24"/>
        </w:rPr>
        <w:br w:type="page"/>
      </w:r>
      <w:bookmarkStart w:id="33" w:name="_Toc30792"/>
      <w:r>
        <w:rPr>
          <w:rFonts w:hint="eastAsia"/>
          <w:kern w:val="0"/>
        </w:rPr>
        <w:t>响应文件导读表</w:t>
      </w:r>
      <w:bookmarkEnd w:id="33"/>
    </w:p>
    <w:p>
      <w:pPr>
        <w:widowControl/>
        <w:spacing w:line="360" w:lineRule="auto"/>
        <w:jc w:val="center"/>
        <w:rPr>
          <w:rFonts w:ascii="宋体" w:hAnsi="宋体" w:cs="仿宋_GB2312"/>
          <w:b/>
          <w:kern w:val="0"/>
          <w:sz w:val="24"/>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widowControl/>
              <w:spacing w:line="360" w:lineRule="auto"/>
              <w:jc w:val="center"/>
              <w:rPr>
                <w:rFonts w:ascii="宋体" w:hAnsi="宋体" w:cs="仿宋_GB2312"/>
                <w:b/>
                <w:kern w:val="0"/>
                <w:szCs w:val="21"/>
              </w:rPr>
            </w:pPr>
            <w:r>
              <w:rPr>
                <w:rFonts w:hint="eastAsia" w:ascii="宋体" w:hAnsi="宋体" w:cs="仿宋_GB2312"/>
                <w:kern w:val="0"/>
                <w:szCs w:val="21"/>
              </w:rPr>
              <w:t>磋商文件要求</w:t>
            </w:r>
          </w:p>
        </w:tc>
        <w:tc>
          <w:tcPr>
            <w:tcW w:w="2130" w:type="dxa"/>
          </w:tcPr>
          <w:p>
            <w:pPr>
              <w:widowControl/>
              <w:spacing w:line="360" w:lineRule="auto"/>
              <w:jc w:val="center"/>
              <w:rPr>
                <w:rFonts w:ascii="宋体" w:hAnsi="宋体" w:cs="仿宋_GB2312"/>
                <w:b/>
                <w:kern w:val="0"/>
                <w:szCs w:val="21"/>
              </w:rPr>
            </w:pPr>
            <w:r>
              <w:rPr>
                <w:rFonts w:hint="eastAsia" w:ascii="宋体" w:hAnsi="宋体" w:cs="仿宋_GB2312"/>
                <w:kern w:val="0"/>
                <w:szCs w:val="21"/>
              </w:rPr>
              <w:t>响应文件响应</w:t>
            </w:r>
          </w:p>
        </w:tc>
        <w:tc>
          <w:tcPr>
            <w:tcW w:w="2131" w:type="dxa"/>
          </w:tcPr>
          <w:p>
            <w:pPr>
              <w:widowControl/>
              <w:spacing w:line="360" w:lineRule="auto"/>
              <w:jc w:val="center"/>
              <w:rPr>
                <w:rFonts w:ascii="宋体" w:hAnsi="宋体" w:cs="仿宋_GB2312"/>
                <w:b/>
                <w:kern w:val="0"/>
                <w:szCs w:val="21"/>
              </w:rPr>
            </w:pPr>
            <w:r>
              <w:rPr>
                <w:rFonts w:hint="eastAsia" w:ascii="宋体" w:hAnsi="宋体" w:cs="仿宋_GB2312"/>
                <w:kern w:val="0"/>
                <w:szCs w:val="21"/>
              </w:rPr>
              <w:t>响应情况</w:t>
            </w:r>
          </w:p>
        </w:tc>
        <w:tc>
          <w:tcPr>
            <w:tcW w:w="2789" w:type="dxa"/>
          </w:tcPr>
          <w:p>
            <w:pPr>
              <w:widowControl/>
              <w:spacing w:line="360" w:lineRule="auto"/>
              <w:jc w:val="center"/>
              <w:rPr>
                <w:rFonts w:ascii="宋体" w:hAnsi="宋体" w:cs="仿宋_GB2312"/>
                <w:b/>
                <w:kern w:val="0"/>
                <w:szCs w:val="21"/>
              </w:rPr>
            </w:pPr>
            <w:r>
              <w:rPr>
                <w:rFonts w:hint="eastAsia" w:ascii="宋体" w:hAnsi="宋体" w:cs="仿宋_GB2312"/>
                <w:kern w:val="0"/>
                <w:szCs w:val="21"/>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widowControl/>
              <w:spacing w:line="360" w:lineRule="auto"/>
              <w:jc w:val="center"/>
              <w:rPr>
                <w:rFonts w:ascii="宋体" w:hAnsi="宋体" w:cs="仿宋_GB2312"/>
                <w:kern w:val="0"/>
                <w:szCs w:val="21"/>
              </w:rPr>
            </w:pPr>
          </w:p>
        </w:tc>
        <w:tc>
          <w:tcPr>
            <w:tcW w:w="2130" w:type="dxa"/>
          </w:tcPr>
          <w:p>
            <w:pPr>
              <w:widowControl/>
              <w:spacing w:line="360" w:lineRule="auto"/>
              <w:jc w:val="center"/>
              <w:rPr>
                <w:rFonts w:ascii="宋体" w:hAnsi="宋体" w:cs="仿宋_GB2312"/>
                <w:kern w:val="0"/>
                <w:szCs w:val="21"/>
              </w:rPr>
            </w:pPr>
          </w:p>
        </w:tc>
        <w:tc>
          <w:tcPr>
            <w:tcW w:w="2131" w:type="dxa"/>
          </w:tcPr>
          <w:p>
            <w:pPr>
              <w:widowControl/>
              <w:spacing w:line="360" w:lineRule="auto"/>
              <w:jc w:val="center"/>
              <w:rPr>
                <w:rFonts w:ascii="宋体" w:hAnsi="宋体" w:cs="仿宋_GB2312"/>
                <w:kern w:val="0"/>
                <w:szCs w:val="21"/>
              </w:rPr>
            </w:pPr>
          </w:p>
        </w:tc>
        <w:tc>
          <w:tcPr>
            <w:tcW w:w="2789" w:type="dxa"/>
          </w:tcPr>
          <w:p>
            <w:pPr>
              <w:widowControl/>
              <w:spacing w:line="360" w:lineRule="auto"/>
              <w:jc w:val="center"/>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widowControl/>
              <w:spacing w:line="360" w:lineRule="auto"/>
              <w:jc w:val="center"/>
              <w:rPr>
                <w:rFonts w:ascii="宋体" w:hAnsi="宋体" w:cs="仿宋_GB2312"/>
                <w:kern w:val="0"/>
                <w:szCs w:val="21"/>
              </w:rPr>
            </w:pPr>
          </w:p>
        </w:tc>
        <w:tc>
          <w:tcPr>
            <w:tcW w:w="2130" w:type="dxa"/>
          </w:tcPr>
          <w:p>
            <w:pPr>
              <w:widowControl/>
              <w:spacing w:line="360" w:lineRule="auto"/>
              <w:jc w:val="center"/>
              <w:rPr>
                <w:rFonts w:ascii="宋体" w:hAnsi="宋体" w:cs="仿宋_GB2312"/>
                <w:kern w:val="0"/>
                <w:szCs w:val="21"/>
              </w:rPr>
            </w:pPr>
          </w:p>
        </w:tc>
        <w:tc>
          <w:tcPr>
            <w:tcW w:w="2131" w:type="dxa"/>
          </w:tcPr>
          <w:p>
            <w:pPr>
              <w:widowControl/>
              <w:spacing w:line="360" w:lineRule="auto"/>
              <w:jc w:val="center"/>
              <w:rPr>
                <w:rFonts w:ascii="宋体" w:hAnsi="宋体" w:cs="仿宋_GB2312"/>
                <w:kern w:val="0"/>
                <w:szCs w:val="21"/>
              </w:rPr>
            </w:pPr>
          </w:p>
        </w:tc>
        <w:tc>
          <w:tcPr>
            <w:tcW w:w="2789" w:type="dxa"/>
          </w:tcPr>
          <w:p>
            <w:pPr>
              <w:widowControl/>
              <w:spacing w:line="360" w:lineRule="auto"/>
              <w:jc w:val="center"/>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widowControl/>
              <w:spacing w:line="360" w:lineRule="auto"/>
              <w:jc w:val="center"/>
              <w:rPr>
                <w:rFonts w:ascii="宋体" w:hAnsi="宋体" w:cs="仿宋_GB2312"/>
                <w:kern w:val="0"/>
                <w:szCs w:val="21"/>
              </w:rPr>
            </w:pPr>
          </w:p>
        </w:tc>
        <w:tc>
          <w:tcPr>
            <w:tcW w:w="2130" w:type="dxa"/>
          </w:tcPr>
          <w:p>
            <w:pPr>
              <w:widowControl/>
              <w:spacing w:line="360" w:lineRule="auto"/>
              <w:jc w:val="center"/>
              <w:rPr>
                <w:rFonts w:ascii="宋体" w:hAnsi="宋体" w:cs="仿宋_GB2312"/>
                <w:kern w:val="0"/>
                <w:szCs w:val="21"/>
              </w:rPr>
            </w:pPr>
          </w:p>
        </w:tc>
        <w:tc>
          <w:tcPr>
            <w:tcW w:w="2131" w:type="dxa"/>
          </w:tcPr>
          <w:p>
            <w:pPr>
              <w:widowControl/>
              <w:spacing w:line="360" w:lineRule="auto"/>
              <w:jc w:val="center"/>
              <w:rPr>
                <w:rFonts w:ascii="宋体" w:hAnsi="宋体" w:cs="仿宋_GB2312"/>
                <w:kern w:val="0"/>
                <w:szCs w:val="21"/>
              </w:rPr>
            </w:pPr>
          </w:p>
        </w:tc>
        <w:tc>
          <w:tcPr>
            <w:tcW w:w="2789" w:type="dxa"/>
          </w:tcPr>
          <w:p>
            <w:pPr>
              <w:widowControl/>
              <w:spacing w:line="360" w:lineRule="auto"/>
              <w:jc w:val="center"/>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widowControl/>
              <w:spacing w:line="360" w:lineRule="auto"/>
              <w:jc w:val="center"/>
              <w:rPr>
                <w:rFonts w:ascii="宋体" w:hAnsi="宋体" w:cs="仿宋_GB2312"/>
                <w:kern w:val="0"/>
                <w:szCs w:val="21"/>
              </w:rPr>
            </w:pPr>
          </w:p>
        </w:tc>
        <w:tc>
          <w:tcPr>
            <w:tcW w:w="2130" w:type="dxa"/>
          </w:tcPr>
          <w:p>
            <w:pPr>
              <w:widowControl/>
              <w:spacing w:line="360" w:lineRule="auto"/>
              <w:jc w:val="center"/>
              <w:rPr>
                <w:rFonts w:ascii="宋体" w:hAnsi="宋体" w:cs="仿宋_GB2312"/>
                <w:kern w:val="0"/>
                <w:szCs w:val="21"/>
              </w:rPr>
            </w:pPr>
          </w:p>
        </w:tc>
        <w:tc>
          <w:tcPr>
            <w:tcW w:w="2131" w:type="dxa"/>
          </w:tcPr>
          <w:p>
            <w:pPr>
              <w:widowControl/>
              <w:spacing w:line="360" w:lineRule="auto"/>
              <w:jc w:val="center"/>
              <w:rPr>
                <w:rFonts w:ascii="宋体" w:hAnsi="宋体" w:cs="仿宋_GB2312"/>
                <w:kern w:val="0"/>
                <w:szCs w:val="21"/>
              </w:rPr>
            </w:pPr>
          </w:p>
        </w:tc>
        <w:tc>
          <w:tcPr>
            <w:tcW w:w="2789" w:type="dxa"/>
          </w:tcPr>
          <w:p>
            <w:pPr>
              <w:widowControl/>
              <w:spacing w:line="360" w:lineRule="auto"/>
              <w:jc w:val="center"/>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widowControl/>
              <w:spacing w:line="360" w:lineRule="auto"/>
              <w:jc w:val="center"/>
              <w:rPr>
                <w:rFonts w:ascii="宋体" w:hAnsi="宋体" w:cs="仿宋_GB2312"/>
                <w:kern w:val="0"/>
                <w:szCs w:val="21"/>
              </w:rPr>
            </w:pPr>
          </w:p>
        </w:tc>
        <w:tc>
          <w:tcPr>
            <w:tcW w:w="2130" w:type="dxa"/>
          </w:tcPr>
          <w:p>
            <w:pPr>
              <w:widowControl/>
              <w:spacing w:line="360" w:lineRule="auto"/>
              <w:jc w:val="center"/>
              <w:rPr>
                <w:rFonts w:ascii="宋体" w:hAnsi="宋体" w:cs="仿宋_GB2312"/>
                <w:kern w:val="0"/>
                <w:szCs w:val="21"/>
              </w:rPr>
            </w:pPr>
          </w:p>
        </w:tc>
        <w:tc>
          <w:tcPr>
            <w:tcW w:w="2131" w:type="dxa"/>
          </w:tcPr>
          <w:p>
            <w:pPr>
              <w:widowControl/>
              <w:spacing w:line="360" w:lineRule="auto"/>
              <w:jc w:val="center"/>
              <w:rPr>
                <w:rFonts w:ascii="宋体" w:hAnsi="宋体" w:cs="仿宋_GB2312"/>
                <w:kern w:val="0"/>
                <w:szCs w:val="21"/>
              </w:rPr>
            </w:pPr>
          </w:p>
        </w:tc>
        <w:tc>
          <w:tcPr>
            <w:tcW w:w="2789" w:type="dxa"/>
          </w:tcPr>
          <w:p>
            <w:pPr>
              <w:widowControl/>
              <w:spacing w:line="360" w:lineRule="auto"/>
              <w:jc w:val="center"/>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widowControl/>
              <w:spacing w:line="360" w:lineRule="auto"/>
              <w:jc w:val="center"/>
              <w:rPr>
                <w:rFonts w:ascii="宋体" w:hAnsi="宋体" w:cs="仿宋_GB2312"/>
                <w:kern w:val="0"/>
                <w:szCs w:val="21"/>
              </w:rPr>
            </w:pPr>
          </w:p>
        </w:tc>
        <w:tc>
          <w:tcPr>
            <w:tcW w:w="2130" w:type="dxa"/>
          </w:tcPr>
          <w:p>
            <w:pPr>
              <w:widowControl/>
              <w:spacing w:line="360" w:lineRule="auto"/>
              <w:jc w:val="center"/>
              <w:rPr>
                <w:rFonts w:ascii="宋体" w:hAnsi="宋体" w:cs="仿宋_GB2312"/>
                <w:kern w:val="0"/>
                <w:szCs w:val="21"/>
              </w:rPr>
            </w:pPr>
          </w:p>
        </w:tc>
        <w:tc>
          <w:tcPr>
            <w:tcW w:w="2131" w:type="dxa"/>
          </w:tcPr>
          <w:p>
            <w:pPr>
              <w:widowControl/>
              <w:spacing w:line="360" w:lineRule="auto"/>
              <w:jc w:val="center"/>
              <w:rPr>
                <w:rFonts w:ascii="宋体" w:hAnsi="宋体" w:cs="仿宋_GB2312"/>
                <w:kern w:val="0"/>
                <w:szCs w:val="21"/>
              </w:rPr>
            </w:pPr>
          </w:p>
        </w:tc>
        <w:tc>
          <w:tcPr>
            <w:tcW w:w="2789" w:type="dxa"/>
          </w:tcPr>
          <w:p>
            <w:pPr>
              <w:widowControl/>
              <w:spacing w:line="360" w:lineRule="auto"/>
              <w:jc w:val="center"/>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widowControl/>
              <w:spacing w:line="360" w:lineRule="auto"/>
              <w:jc w:val="center"/>
              <w:rPr>
                <w:rFonts w:ascii="宋体" w:hAnsi="宋体" w:cs="仿宋_GB2312"/>
                <w:kern w:val="0"/>
                <w:szCs w:val="21"/>
              </w:rPr>
            </w:pPr>
          </w:p>
        </w:tc>
        <w:tc>
          <w:tcPr>
            <w:tcW w:w="2130" w:type="dxa"/>
          </w:tcPr>
          <w:p>
            <w:pPr>
              <w:widowControl/>
              <w:spacing w:line="360" w:lineRule="auto"/>
              <w:jc w:val="center"/>
              <w:rPr>
                <w:rFonts w:ascii="宋体" w:hAnsi="宋体" w:cs="仿宋_GB2312"/>
                <w:kern w:val="0"/>
                <w:szCs w:val="21"/>
              </w:rPr>
            </w:pPr>
          </w:p>
        </w:tc>
        <w:tc>
          <w:tcPr>
            <w:tcW w:w="2131" w:type="dxa"/>
          </w:tcPr>
          <w:p>
            <w:pPr>
              <w:widowControl/>
              <w:spacing w:line="360" w:lineRule="auto"/>
              <w:jc w:val="center"/>
              <w:rPr>
                <w:rFonts w:ascii="宋体" w:hAnsi="宋体" w:cs="仿宋_GB2312"/>
                <w:kern w:val="0"/>
                <w:szCs w:val="21"/>
              </w:rPr>
            </w:pPr>
          </w:p>
        </w:tc>
        <w:tc>
          <w:tcPr>
            <w:tcW w:w="2789" w:type="dxa"/>
          </w:tcPr>
          <w:p>
            <w:pPr>
              <w:widowControl/>
              <w:spacing w:line="360" w:lineRule="auto"/>
              <w:jc w:val="center"/>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widowControl/>
              <w:spacing w:line="360" w:lineRule="auto"/>
              <w:jc w:val="center"/>
              <w:rPr>
                <w:rFonts w:ascii="宋体" w:hAnsi="宋体" w:cs="仿宋_GB2312"/>
                <w:kern w:val="0"/>
                <w:szCs w:val="21"/>
              </w:rPr>
            </w:pPr>
          </w:p>
        </w:tc>
        <w:tc>
          <w:tcPr>
            <w:tcW w:w="2130" w:type="dxa"/>
          </w:tcPr>
          <w:p>
            <w:pPr>
              <w:widowControl/>
              <w:spacing w:line="360" w:lineRule="auto"/>
              <w:jc w:val="center"/>
              <w:rPr>
                <w:rFonts w:ascii="宋体" w:hAnsi="宋体" w:cs="仿宋_GB2312"/>
                <w:kern w:val="0"/>
                <w:szCs w:val="21"/>
              </w:rPr>
            </w:pPr>
          </w:p>
        </w:tc>
        <w:tc>
          <w:tcPr>
            <w:tcW w:w="2131" w:type="dxa"/>
          </w:tcPr>
          <w:p>
            <w:pPr>
              <w:widowControl/>
              <w:spacing w:line="360" w:lineRule="auto"/>
              <w:jc w:val="center"/>
              <w:rPr>
                <w:rFonts w:ascii="宋体" w:hAnsi="宋体" w:cs="仿宋_GB2312"/>
                <w:kern w:val="0"/>
                <w:szCs w:val="21"/>
              </w:rPr>
            </w:pPr>
          </w:p>
        </w:tc>
        <w:tc>
          <w:tcPr>
            <w:tcW w:w="2789" w:type="dxa"/>
          </w:tcPr>
          <w:p>
            <w:pPr>
              <w:widowControl/>
              <w:spacing w:line="360" w:lineRule="auto"/>
              <w:jc w:val="center"/>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widowControl/>
              <w:spacing w:line="360" w:lineRule="auto"/>
              <w:jc w:val="center"/>
              <w:rPr>
                <w:rFonts w:ascii="宋体" w:hAnsi="宋体" w:cs="仿宋_GB2312"/>
                <w:kern w:val="0"/>
                <w:szCs w:val="21"/>
              </w:rPr>
            </w:pPr>
          </w:p>
        </w:tc>
        <w:tc>
          <w:tcPr>
            <w:tcW w:w="2130" w:type="dxa"/>
          </w:tcPr>
          <w:p>
            <w:pPr>
              <w:widowControl/>
              <w:spacing w:line="360" w:lineRule="auto"/>
              <w:jc w:val="center"/>
              <w:rPr>
                <w:rFonts w:ascii="宋体" w:hAnsi="宋体" w:cs="仿宋_GB2312"/>
                <w:kern w:val="0"/>
                <w:szCs w:val="21"/>
              </w:rPr>
            </w:pPr>
          </w:p>
        </w:tc>
        <w:tc>
          <w:tcPr>
            <w:tcW w:w="2131" w:type="dxa"/>
          </w:tcPr>
          <w:p>
            <w:pPr>
              <w:widowControl/>
              <w:spacing w:line="360" w:lineRule="auto"/>
              <w:jc w:val="center"/>
              <w:rPr>
                <w:rFonts w:ascii="宋体" w:hAnsi="宋体" w:cs="仿宋_GB2312"/>
                <w:kern w:val="0"/>
                <w:szCs w:val="21"/>
              </w:rPr>
            </w:pPr>
          </w:p>
        </w:tc>
        <w:tc>
          <w:tcPr>
            <w:tcW w:w="2789" w:type="dxa"/>
          </w:tcPr>
          <w:p>
            <w:pPr>
              <w:widowControl/>
              <w:spacing w:line="360" w:lineRule="auto"/>
              <w:jc w:val="center"/>
              <w:rPr>
                <w:rFonts w:ascii="宋体" w:hAnsi="宋体" w:cs="仿宋_GB2312"/>
                <w:kern w:val="0"/>
                <w:szCs w:val="21"/>
              </w:rPr>
            </w:pPr>
          </w:p>
        </w:tc>
      </w:tr>
    </w:tbl>
    <w:p>
      <w:pPr>
        <w:widowControl/>
        <w:spacing w:line="360" w:lineRule="auto"/>
        <w:jc w:val="center"/>
        <w:rPr>
          <w:rFonts w:ascii="宋体" w:hAnsi="宋体" w:cs="仿宋_GB2312"/>
          <w:b/>
          <w:kern w:val="0"/>
          <w:sz w:val="24"/>
        </w:rPr>
      </w:pPr>
    </w:p>
    <w:p>
      <w:pPr>
        <w:widowControl/>
        <w:spacing w:line="360" w:lineRule="auto"/>
        <w:jc w:val="left"/>
        <w:rPr>
          <w:rFonts w:ascii="宋体" w:hAnsi="宋体" w:cs="仿宋_GB2312"/>
          <w:sz w:val="24"/>
        </w:rPr>
      </w:pPr>
    </w:p>
    <w:p>
      <w:pPr>
        <w:widowControl/>
        <w:spacing w:line="360" w:lineRule="auto"/>
        <w:jc w:val="left"/>
        <w:rPr>
          <w:rFonts w:ascii="宋体" w:hAnsi="宋体" w:cs="仿宋_GB2312"/>
          <w:sz w:val="24"/>
        </w:rPr>
      </w:pPr>
    </w:p>
    <w:p>
      <w:pPr>
        <w:widowControl/>
        <w:spacing w:line="360" w:lineRule="auto"/>
        <w:jc w:val="left"/>
        <w:rPr>
          <w:rFonts w:ascii="宋体" w:hAnsi="宋体" w:cs="仿宋_GB2312"/>
          <w:sz w:val="24"/>
        </w:rPr>
      </w:pPr>
    </w:p>
    <w:p>
      <w:pPr>
        <w:widowControl/>
        <w:spacing w:line="360" w:lineRule="auto"/>
        <w:jc w:val="left"/>
        <w:rPr>
          <w:rFonts w:ascii="宋体" w:hAnsi="宋体" w:cs="仿宋_GB2312"/>
          <w:sz w:val="24"/>
        </w:rPr>
      </w:pPr>
    </w:p>
    <w:p>
      <w:pPr>
        <w:widowControl/>
        <w:spacing w:line="360" w:lineRule="auto"/>
        <w:jc w:val="left"/>
        <w:rPr>
          <w:rFonts w:ascii="宋体" w:hAnsi="宋体" w:cs="仿宋_GB2312"/>
          <w:sz w:val="24"/>
        </w:rPr>
      </w:pPr>
    </w:p>
    <w:p>
      <w:pPr>
        <w:widowControl/>
        <w:spacing w:line="360" w:lineRule="auto"/>
        <w:jc w:val="left"/>
        <w:rPr>
          <w:rFonts w:ascii="宋体" w:hAnsi="宋体" w:cs="仿宋_GB2312"/>
          <w:kern w:val="0"/>
          <w:sz w:val="24"/>
        </w:rPr>
      </w:pPr>
    </w:p>
    <w:p>
      <w:pPr>
        <w:widowControl/>
        <w:spacing w:line="360" w:lineRule="auto"/>
        <w:jc w:val="left"/>
        <w:rPr>
          <w:rFonts w:ascii="宋体" w:hAnsi="宋体" w:cs="仿宋_GB2312"/>
          <w:kern w:val="0"/>
          <w:sz w:val="24"/>
        </w:rPr>
      </w:pPr>
    </w:p>
    <w:p>
      <w:pPr>
        <w:widowControl/>
        <w:spacing w:line="360" w:lineRule="auto"/>
        <w:jc w:val="left"/>
        <w:rPr>
          <w:rFonts w:ascii="宋体" w:hAnsi="宋体" w:cs="仿宋_GB2312"/>
          <w:kern w:val="0"/>
          <w:sz w:val="24"/>
        </w:rPr>
      </w:pPr>
    </w:p>
    <w:p>
      <w:pPr>
        <w:widowControl/>
        <w:spacing w:line="360" w:lineRule="auto"/>
        <w:jc w:val="left"/>
        <w:rPr>
          <w:rFonts w:ascii="宋体" w:hAnsi="宋体" w:cs="仿宋_GB2312"/>
          <w:kern w:val="0"/>
          <w:sz w:val="24"/>
        </w:rPr>
      </w:pPr>
    </w:p>
    <w:p>
      <w:pPr>
        <w:widowControl/>
        <w:spacing w:line="360" w:lineRule="auto"/>
        <w:jc w:val="left"/>
        <w:rPr>
          <w:rFonts w:ascii="宋体" w:hAnsi="宋体" w:cs="仿宋_GB2312"/>
          <w:kern w:val="0"/>
          <w:sz w:val="24"/>
        </w:rPr>
      </w:pPr>
    </w:p>
    <w:p>
      <w:pPr>
        <w:widowControl/>
        <w:spacing w:line="360" w:lineRule="auto"/>
        <w:jc w:val="left"/>
        <w:rPr>
          <w:rFonts w:ascii="宋体" w:hAnsi="宋体" w:cs="仿宋_GB2312"/>
          <w:kern w:val="0"/>
          <w:sz w:val="24"/>
        </w:rPr>
      </w:pPr>
    </w:p>
    <w:p>
      <w:pPr>
        <w:pStyle w:val="2"/>
        <w:rPr>
          <w:szCs w:val="21"/>
        </w:rPr>
      </w:pPr>
      <w:r>
        <w:rPr>
          <w:rFonts w:cs="仿宋_GB2312"/>
          <w:kern w:val="0"/>
          <w:sz w:val="24"/>
        </w:rPr>
        <w:br w:type="page"/>
      </w:r>
      <w:bookmarkStart w:id="34" w:name="_Toc25820"/>
      <w:r>
        <w:rPr>
          <w:rFonts w:hint="eastAsia"/>
          <w:szCs w:val="21"/>
        </w:rPr>
        <w:t>附件一：投标函</w:t>
      </w:r>
      <w:bookmarkEnd w:id="34"/>
    </w:p>
    <w:p>
      <w:pPr>
        <w:adjustRightInd w:val="0"/>
        <w:snapToGrid w:val="0"/>
        <w:spacing w:line="300" w:lineRule="auto"/>
        <w:jc w:val="center"/>
        <w:rPr>
          <w:rFonts w:ascii="宋体" w:hAnsi="宋体"/>
          <w:b/>
          <w:bCs/>
          <w:szCs w:val="21"/>
        </w:rPr>
      </w:pPr>
    </w:p>
    <w:p>
      <w:pPr>
        <w:pStyle w:val="10"/>
        <w:adjustRightInd w:val="0"/>
        <w:snapToGrid w:val="0"/>
        <w:spacing w:line="360" w:lineRule="auto"/>
        <w:rPr>
          <w:rFonts w:hAnsi="宋体"/>
          <w:color w:val="auto"/>
        </w:rPr>
      </w:pPr>
      <w:r>
        <w:rPr>
          <w:rFonts w:hint="eastAsia" w:hAnsi="宋体"/>
          <w:color w:val="auto"/>
        </w:rPr>
        <w:t>致：</w:t>
      </w:r>
      <w:r>
        <w:rPr>
          <w:rFonts w:hint="eastAsia" w:hAnsi="宋体"/>
          <w:color w:val="auto"/>
          <w:u w:val="single"/>
        </w:rPr>
        <w:t>(采购人</w:t>
      </w:r>
      <w:r>
        <w:rPr>
          <w:rFonts w:hAnsi="宋体"/>
          <w:color w:val="auto"/>
          <w:u w:val="single"/>
        </w:rPr>
        <w:t>)</w:t>
      </w:r>
    </w:p>
    <w:p>
      <w:pPr>
        <w:pStyle w:val="10"/>
        <w:adjustRightInd w:val="0"/>
        <w:snapToGrid w:val="0"/>
        <w:spacing w:line="360" w:lineRule="auto"/>
        <w:ind w:firstLine="480"/>
        <w:rPr>
          <w:rFonts w:hAnsi="宋体"/>
          <w:color w:val="auto"/>
        </w:rPr>
      </w:pPr>
      <w:r>
        <w:rPr>
          <w:rFonts w:hint="eastAsia" w:hAnsi="宋体"/>
          <w:color w:val="auto"/>
        </w:rPr>
        <w:t>根据贵方</w:t>
      </w:r>
      <w:r>
        <w:rPr>
          <w:rFonts w:hint="eastAsia" w:hAnsi="宋体"/>
          <w:color w:val="auto"/>
          <w:u w:val="single"/>
        </w:rPr>
        <w:t>（项目名称）</w:t>
      </w:r>
      <w:r>
        <w:rPr>
          <w:rFonts w:hint="eastAsia" w:hAnsi="宋体"/>
          <w:color w:val="auto"/>
        </w:rPr>
        <w:t>的投标邀请，我方代表（</w:t>
      </w:r>
      <w:r>
        <w:rPr>
          <w:rFonts w:hint="eastAsia" w:hAnsi="宋体"/>
          <w:color w:val="auto"/>
          <w:u w:val="single"/>
        </w:rPr>
        <w:t>姓名和职务</w:t>
      </w:r>
      <w:r>
        <w:rPr>
          <w:rFonts w:hAnsi="宋体"/>
          <w:color w:val="auto"/>
          <w:u w:val="single"/>
        </w:rPr>
        <w:t>）</w:t>
      </w:r>
      <w:r>
        <w:rPr>
          <w:rFonts w:hint="eastAsia" w:hAnsi="宋体"/>
          <w:color w:val="auto"/>
        </w:rPr>
        <w:t>经正式授权并代表供应商</w:t>
      </w:r>
      <w:r>
        <w:rPr>
          <w:rFonts w:hint="eastAsia" w:hAnsi="宋体"/>
          <w:color w:val="auto"/>
          <w:u w:val="single"/>
        </w:rPr>
        <w:t>（供应商名称、地址）</w:t>
      </w:r>
      <w:r>
        <w:rPr>
          <w:rFonts w:hint="eastAsia" w:hAnsi="宋体"/>
          <w:color w:val="auto"/>
        </w:rPr>
        <w:t>提交下述文件正本壹份，副本壹份。</w:t>
      </w:r>
    </w:p>
    <w:p>
      <w:pPr>
        <w:pStyle w:val="10"/>
        <w:adjustRightInd w:val="0"/>
        <w:snapToGrid w:val="0"/>
        <w:spacing w:line="360" w:lineRule="auto"/>
        <w:ind w:firstLine="480"/>
        <w:rPr>
          <w:rFonts w:hAnsi="宋体"/>
          <w:b/>
          <w:color w:val="auto"/>
        </w:rPr>
      </w:pPr>
      <w:r>
        <w:rPr>
          <w:rFonts w:hint="eastAsia" w:hAnsi="宋体"/>
          <w:b/>
          <w:color w:val="auto"/>
        </w:rPr>
        <w:t>（下述文件为通用部分，具体内容及排序均以项目竞争性磋商文件相关规定为主）</w:t>
      </w:r>
    </w:p>
    <w:p>
      <w:pPr>
        <w:spacing w:before="100" w:beforeAutospacing="1" w:after="100" w:afterAutospacing="1"/>
        <w:ind w:firstLine="570"/>
        <w:rPr>
          <w:rFonts w:ascii="宋体" w:hAnsi="宋体"/>
          <w:szCs w:val="21"/>
        </w:rPr>
      </w:pPr>
      <w:r>
        <w:rPr>
          <w:rFonts w:ascii="宋体" w:hAnsi="宋体"/>
          <w:szCs w:val="21"/>
        </w:rPr>
        <w:t>1、投标函</w:t>
      </w:r>
      <w:r>
        <w:rPr>
          <w:rFonts w:hint="eastAsia" w:ascii="宋体" w:hAnsi="宋体"/>
          <w:szCs w:val="21"/>
        </w:rPr>
        <w:t>；</w:t>
      </w:r>
    </w:p>
    <w:p>
      <w:pPr>
        <w:spacing w:before="100" w:beforeAutospacing="1" w:after="100" w:afterAutospacing="1"/>
        <w:ind w:firstLine="570"/>
        <w:rPr>
          <w:rFonts w:ascii="宋体" w:hAnsi="宋体"/>
          <w:szCs w:val="21"/>
        </w:rPr>
      </w:pPr>
      <w:r>
        <w:rPr>
          <w:rFonts w:hint="eastAsia" w:ascii="宋体" w:hAnsi="宋体"/>
          <w:szCs w:val="21"/>
        </w:rPr>
        <w:t>2、报价一览表</w:t>
      </w:r>
    </w:p>
    <w:p>
      <w:pPr>
        <w:spacing w:before="100" w:beforeAutospacing="1" w:after="100" w:afterAutospacing="1"/>
        <w:ind w:firstLine="570"/>
        <w:rPr>
          <w:rFonts w:ascii="宋体" w:hAnsi="宋体"/>
          <w:szCs w:val="21"/>
        </w:rPr>
      </w:pPr>
      <w:r>
        <w:rPr>
          <w:rFonts w:hint="eastAsia" w:ascii="宋体" w:hAnsi="宋体"/>
          <w:szCs w:val="21"/>
        </w:rPr>
        <w:t>3</w:t>
      </w:r>
      <w:r>
        <w:rPr>
          <w:rFonts w:ascii="宋体" w:hAnsi="宋体"/>
          <w:szCs w:val="21"/>
        </w:rPr>
        <w:t>、法定代表人资格证明</w:t>
      </w:r>
      <w:r>
        <w:rPr>
          <w:rFonts w:hint="eastAsia" w:ascii="宋体" w:hAnsi="宋体"/>
          <w:szCs w:val="21"/>
        </w:rPr>
        <w:t>书；</w:t>
      </w:r>
    </w:p>
    <w:p>
      <w:pPr>
        <w:spacing w:before="100" w:beforeAutospacing="1" w:after="100" w:afterAutospacing="1"/>
        <w:ind w:firstLine="570"/>
        <w:rPr>
          <w:rFonts w:ascii="宋体" w:hAnsi="宋体"/>
          <w:szCs w:val="21"/>
        </w:rPr>
      </w:pPr>
      <w:r>
        <w:rPr>
          <w:rFonts w:hint="eastAsia" w:ascii="宋体" w:hAnsi="宋体"/>
          <w:szCs w:val="21"/>
        </w:rPr>
        <w:t>4</w:t>
      </w:r>
      <w:r>
        <w:rPr>
          <w:rFonts w:ascii="宋体" w:hAnsi="宋体"/>
          <w:szCs w:val="21"/>
        </w:rPr>
        <w:t>、法定代表人授权委托书（如有授权）</w:t>
      </w:r>
      <w:r>
        <w:rPr>
          <w:rFonts w:hint="eastAsia" w:ascii="宋体" w:hAnsi="宋体"/>
          <w:szCs w:val="21"/>
        </w:rPr>
        <w:t>；</w:t>
      </w:r>
    </w:p>
    <w:p>
      <w:pPr>
        <w:spacing w:before="100" w:beforeAutospacing="1" w:after="100" w:afterAutospacing="1"/>
        <w:ind w:firstLine="508" w:firstLineChars="242"/>
        <w:rPr>
          <w:rFonts w:ascii="宋体" w:hAnsi="宋体"/>
          <w:szCs w:val="21"/>
        </w:rPr>
      </w:pPr>
      <w:r>
        <w:rPr>
          <w:rFonts w:hint="eastAsia" w:ascii="宋体" w:hAnsi="宋体"/>
          <w:szCs w:val="21"/>
        </w:rPr>
        <w:t>5</w:t>
      </w:r>
      <w:r>
        <w:rPr>
          <w:rFonts w:ascii="宋体" w:hAnsi="宋体"/>
          <w:szCs w:val="21"/>
        </w:rPr>
        <w:t>、</w:t>
      </w:r>
      <w:r>
        <w:rPr>
          <w:rFonts w:hint="eastAsia" w:ascii="宋体" w:hAnsi="宋体"/>
          <w:szCs w:val="21"/>
        </w:rPr>
        <w:t>清单（明细）报价表</w:t>
      </w:r>
      <w:r>
        <w:rPr>
          <w:rFonts w:hint="eastAsia" w:ascii="宋体" w:hAnsi="宋体"/>
          <w:szCs w:val="21"/>
          <w:lang w:eastAsia="zh-CN"/>
        </w:rPr>
        <w:t>（</w:t>
      </w:r>
      <w:r>
        <w:rPr>
          <w:rFonts w:hint="eastAsia" w:ascii="宋体" w:hAnsi="宋体"/>
          <w:szCs w:val="21"/>
          <w:lang w:val="en-US" w:eastAsia="zh-CN"/>
        </w:rPr>
        <w:t>如有</w:t>
      </w:r>
      <w:r>
        <w:rPr>
          <w:rFonts w:hint="eastAsia" w:ascii="宋体" w:hAnsi="宋体"/>
          <w:szCs w:val="21"/>
          <w:lang w:eastAsia="zh-CN"/>
        </w:rPr>
        <w:t>）</w:t>
      </w:r>
      <w:r>
        <w:rPr>
          <w:rFonts w:hint="eastAsia" w:ascii="宋体" w:hAnsi="宋体"/>
          <w:szCs w:val="21"/>
        </w:rPr>
        <w:t>；</w:t>
      </w:r>
    </w:p>
    <w:p>
      <w:pPr>
        <w:spacing w:before="100" w:beforeAutospacing="1" w:after="100" w:afterAutospacing="1"/>
        <w:ind w:firstLine="525" w:firstLineChars="250"/>
        <w:rPr>
          <w:rFonts w:ascii="宋体" w:hAnsi="宋体"/>
          <w:szCs w:val="21"/>
        </w:rPr>
      </w:pPr>
      <w:r>
        <w:rPr>
          <w:rFonts w:hint="eastAsia" w:ascii="宋体" w:hAnsi="宋体"/>
          <w:szCs w:val="21"/>
        </w:rPr>
        <w:t>6、资格证明资料；</w:t>
      </w:r>
    </w:p>
    <w:p>
      <w:pPr>
        <w:spacing w:before="100" w:beforeAutospacing="1" w:after="100" w:afterAutospacing="1"/>
        <w:ind w:firstLine="525" w:firstLineChars="250"/>
        <w:rPr>
          <w:rFonts w:ascii="宋体" w:hAnsi="宋体"/>
          <w:szCs w:val="21"/>
        </w:rPr>
      </w:pPr>
      <w:r>
        <w:rPr>
          <w:rFonts w:hint="eastAsia" w:ascii="宋体" w:hAnsi="宋体"/>
          <w:szCs w:val="21"/>
        </w:rPr>
        <w:t>7、技术部分；</w:t>
      </w:r>
    </w:p>
    <w:p>
      <w:pPr>
        <w:spacing w:before="100" w:beforeAutospacing="1" w:after="100" w:afterAutospacing="1"/>
        <w:ind w:firstLine="525" w:firstLineChars="250"/>
        <w:rPr>
          <w:rFonts w:ascii="宋体" w:hAnsi="宋体"/>
          <w:szCs w:val="21"/>
        </w:rPr>
      </w:pPr>
      <w:r>
        <w:rPr>
          <w:rFonts w:hint="eastAsia" w:ascii="宋体" w:hAnsi="宋体"/>
          <w:szCs w:val="21"/>
        </w:rPr>
        <w:t>8、商务部分；</w:t>
      </w:r>
    </w:p>
    <w:p>
      <w:pPr>
        <w:spacing w:before="100" w:beforeAutospacing="1" w:after="100" w:afterAutospacing="1"/>
        <w:ind w:firstLine="525" w:firstLineChars="250"/>
        <w:rPr>
          <w:rFonts w:ascii="宋体" w:hAnsi="宋体"/>
          <w:szCs w:val="21"/>
        </w:rPr>
      </w:pPr>
      <w:r>
        <w:rPr>
          <w:rFonts w:hint="eastAsia" w:ascii="宋体" w:hAnsi="宋体"/>
          <w:szCs w:val="21"/>
        </w:rPr>
        <w:t>9、评标标准中要求的其他资料</w:t>
      </w:r>
    </w:p>
    <w:p>
      <w:pPr>
        <w:spacing w:before="100" w:beforeAutospacing="1" w:after="100" w:afterAutospacing="1"/>
        <w:ind w:firstLine="525" w:firstLineChars="250"/>
        <w:rPr>
          <w:rFonts w:ascii="宋体" w:hAnsi="宋体"/>
          <w:szCs w:val="21"/>
        </w:rPr>
      </w:pPr>
      <w:r>
        <w:rPr>
          <w:rFonts w:hint="eastAsia" w:ascii="宋体" w:hAnsi="宋体"/>
          <w:szCs w:val="21"/>
        </w:rPr>
        <w:t>10、其他资料</w:t>
      </w:r>
    </w:p>
    <w:p>
      <w:pPr>
        <w:pStyle w:val="10"/>
        <w:adjustRightInd w:val="0"/>
        <w:snapToGrid w:val="0"/>
        <w:spacing w:line="360" w:lineRule="auto"/>
        <w:rPr>
          <w:rFonts w:hAnsi="宋体"/>
          <w:color w:val="auto"/>
        </w:rPr>
      </w:pPr>
      <w:r>
        <w:rPr>
          <w:rFonts w:hint="eastAsia" w:hAnsi="宋体"/>
          <w:color w:val="auto"/>
        </w:rPr>
        <w:t>据此函，签字代表宣布同意如下：</w:t>
      </w:r>
    </w:p>
    <w:p>
      <w:pPr>
        <w:pStyle w:val="10"/>
        <w:adjustRightInd w:val="0"/>
        <w:snapToGrid w:val="0"/>
        <w:spacing w:line="360" w:lineRule="auto"/>
        <w:rPr>
          <w:rFonts w:hAnsi="宋体"/>
          <w:color w:val="auto"/>
        </w:rPr>
      </w:pPr>
      <w:r>
        <w:rPr>
          <w:rFonts w:hint="eastAsia" w:hAnsi="宋体"/>
          <w:color w:val="auto"/>
        </w:rPr>
        <w:t>1．供应商将按竞争性磋商文件的规定履行协议的责任和义务。</w:t>
      </w:r>
    </w:p>
    <w:p>
      <w:pPr>
        <w:pStyle w:val="10"/>
        <w:adjustRightInd w:val="0"/>
        <w:snapToGrid w:val="0"/>
        <w:spacing w:line="360" w:lineRule="auto"/>
        <w:rPr>
          <w:rFonts w:hAnsi="宋体"/>
          <w:color w:val="auto"/>
        </w:rPr>
      </w:pPr>
      <w:r>
        <w:rPr>
          <w:rFonts w:hint="eastAsia" w:hAnsi="宋体"/>
          <w:color w:val="auto"/>
        </w:rPr>
        <w:t>2．供应商己详细审核全部竞争性磋商文件，包括竞争性磋商文件补遗书（如果有的话）。</w:t>
      </w:r>
    </w:p>
    <w:p>
      <w:pPr>
        <w:pStyle w:val="10"/>
        <w:adjustRightInd w:val="0"/>
        <w:snapToGrid w:val="0"/>
        <w:spacing w:line="360" w:lineRule="auto"/>
        <w:rPr>
          <w:rFonts w:hAnsi="宋体"/>
          <w:color w:val="auto"/>
        </w:rPr>
      </w:pPr>
      <w:r>
        <w:rPr>
          <w:rFonts w:hint="eastAsia" w:hAnsi="宋体"/>
          <w:color w:val="auto"/>
        </w:rPr>
        <w:t>3．本投标有效期为自开标日起</w:t>
      </w:r>
      <w:r>
        <w:rPr>
          <w:rFonts w:hint="eastAsia" w:hAnsi="宋体"/>
          <w:color w:val="auto"/>
          <w:u w:val="single"/>
        </w:rPr>
        <w:t>90</w:t>
      </w:r>
      <w:r>
        <w:rPr>
          <w:rFonts w:hint="eastAsia" w:hAnsi="宋体"/>
          <w:color w:val="auto"/>
        </w:rPr>
        <w:t>个日历天。</w:t>
      </w:r>
    </w:p>
    <w:p>
      <w:pPr>
        <w:pStyle w:val="10"/>
        <w:adjustRightInd w:val="0"/>
        <w:snapToGrid w:val="0"/>
        <w:spacing w:line="360" w:lineRule="auto"/>
        <w:rPr>
          <w:rFonts w:hAnsi="宋体"/>
          <w:color w:val="auto"/>
        </w:rPr>
      </w:pPr>
      <w:r>
        <w:rPr>
          <w:rFonts w:hint="eastAsia" w:hAnsi="宋体"/>
          <w:color w:val="auto"/>
        </w:rPr>
        <w:t>4．供应商同意提供按照贵方可能要求的与其投标有关的一切数据或资料。</w:t>
      </w:r>
    </w:p>
    <w:p>
      <w:pPr>
        <w:pStyle w:val="10"/>
        <w:adjustRightInd w:val="0"/>
        <w:snapToGrid w:val="0"/>
        <w:spacing w:line="360" w:lineRule="auto"/>
        <w:rPr>
          <w:rFonts w:hAnsi="宋体"/>
          <w:color w:val="auto"/>
        </w:rPr>
      </w:pPr>
      <w:r>
        <w:rPr>
          <w:rFonts w:hint="eastAsia" w:hAnsi="宋体"/>
          <w:color w:val="auto"/>
        </w:rPr>
        <w:t>5．与本投标有关的一切正式往来信函请寄：</w:t>
      </w:r>
    </w:p>
    <w:p>
      <w:pPr>
        <w:pStyle w:val="10"/>
        <w:adjustRightInd w:val="0"/>
        <w:snapToGrid w:val="0"/>
        <w:spacing w:line="360" w:lineRule="auto"/>
        <w:ind w:firstLine="420" w:firstLineChars="200"/>
        <w:rPr>
          <w:rFonts w:hAnsi="宋体"/>
          <w:color w:val="auto"/>
          <w:u w:val="single"/>
        </w:rPr>
      </w:pPr>
      <w:r>
        <w:rPr>
          <w:rFonts w:hint="eastAsia" w:hAnsi="宋体"/>
          <w:color w:val="auto"/>
        </w:rPr>
        <w:t>地址：              传真：</w:t>
      </w:r>
    </w:p>
    <w:p>
      <w:pPr>
        <w:pStyle w:val="10"/>
        <w:adjustRightInd w:val="0"/>
        <w:snapToGrid w:val="0"/>
        <w:spacing w:line="360" w:lineRule="auto"/>
        <w:ind w:firstLine="420" w:firstLineChars="200"/>
        <w:rPr>
          <w:rFonts w:hAnsi="宋体"/>
          <w:color w:val="auto"/>
          <w:u w:val="single"/>
        </w:rPr>
      </w:pPr>
      <w:r>
        <w:rPr>
          <w:rFonts w:hint="eastAsia" w:hAnsi="宋体"/>
          <w:color w:val="auto"/>
        </w:rPr>
        <w:t>电话：              电子邮件：</w:t>
      </w:r>
    </w:p>
    <w:p>
      <w:pPr>
        <w:pStyle w:val="10"/>
        <w:adjustRightInd w:val="0"/>
        <w:snapToGrid w:val="0"/>
        <w:spacing w:line="360" w:lineRule="auto"/>
        <w:ind w:firstLine="420" w:firstLineChars="200"/>
        <w:rPr>
          <w:rFonts w:hAnsi="宋体"/>
          <w:color w:val="auto"/>
          <w:u w:val="single"/>
        </w:rPr>
      </w:pPr>
      <w:r>
        <w:rPr>
          <w:rFonts w:hint="eastAsia" w:hAnsi="宋体"/>
          <w:color w:val="auto"/>
        </w:rPr>
        <w:t xml:space="preserve">开户行：            </w:t>
      </w:r>
      <w:r>
        <w:rPr>
          <w:rFonts w:hint="eastAsia" w:hAnsi="宋体"/>
          <w:color w:val="auto"/>
          <w:lang w:val="en-US" w:eastAsia="zh-CN"/>
        </w:rPr>
        <w:t>账</w:t>
      </w:r>
      <w:r>
        <w:rPr>
          <w:rFonts w:hint="eastAsia" w:hAnsi="宋体"/>
          <w:color w:val="auto"/>
        </w:rPr>
        <w:t>号：</w:t>
      </w:r>
    </w:p>
    <w:p>
      <w:pPr>
        <w:pStyle w:val="10"/>
        <w:adjustRightInd w:val="0"/>
        <w:snapToGrid w:val="0"/>
        <w:spacing w:line="360" w:lineRule="auto"/>
        <w:rPr>
          <w:rFonts w:hAnsi="宋体"/>
          <w:color w:val="auto"/>
          <w:u w:val="single"/>
        </w:rPr>
      </w:pPr>
      <w:r>
        <w:rPr>
          <w:rFonts w:hint="eastAsia" w:hAnsi="宋体"/>
          <w:color w:val="auto"/>
        </w:rPr>
        <w:t>供应商名称：</w:t>
      </w:r>
    </w:p>
    <w:p>
      <w:pPr>
        <w:pStyle w:val="10"/>
        <w:adjustRightInd w:val="0"/>
        <w:snapToGrid w:val="0"/>
        <w:spacing w:line="360" w:lineRule="auto"/>
        <w:rPr>
          <w:rFonts w:hAnsi="宋体"/>
          <w:color w:val="auto"/>
          <w:u w:val="single"/>
        </w:rPr>
      </w:pPr>
      <w:r>
        <w:rPr>
          <w:rFonts w:hint="eastAsia" w:hAnsi="宋体"/>
          <w:color w:val="auto"/>
        </w:rPr>
        <w:t>供应商代表签字：</w:t>
      </w:r>
    </w:p>
    <w:p>
      <w:pPr>
        <w:pStyle w:val="10"/>
        <w:adjustRightInd w:val="0"/>
        <w:snapToGrid w:val="0"/>
        <w:spacing w:line="360" w:lineRule="auto"/>
        <w:rPr>
          <w:rFonts w:hAnsi="宋体"/>
          <w:color w:val="auto"/>
          <w:u w:val="single"/>
        </w:rPr>
      </w:pPr>
      <w:r>
        <w:rPr>
          <w:rFonts w:hint="eastAsia" w:hAnsi="宋体"/>
          <w:color w:val="auto"/>
        </w:rPr>
        <w:t>供应商公章：</w:t>
      </w:r>
    </w:p>
    <w:p>
      <w:pPr>
        <w:pStyle w:val="10"/>
        <w:adjustRightInd w:val="0"/>
        <w:snapToGrid w:val="0"/>
        <w:spacing w:line="360" w:lineRule="auto"/>
        <w:ind w:firstLine="420" w:firstLineChars="200"/>
        <w:rPr>
          <w:rFonts w:ascii="仿宋" w:hAnsi="仿宋" w:eastAsia="仿宋"/>
          <w:color w:val="auto"/>
          <w:sz w:val="24"/>
        </w:rPr>
      </w:pPr>
      <w:r>
        <w:rPr>
          <w:rFonts w:hint="eastAsia" w:hAnsi="宋体"/>
          <w:color w:val="auto"/>
        </w:rPr>
        <w:t>日期： 年 月  日</w:t>
      </w:r>
    </w:p>
    <w:p>
      <w:pPr>
        <w:pStyle w:val="2"/>
      </w:pPr>
      <w:bookmarkStart w:id="35" w:name="_Toc23620"/>
      <w:r>
        <w:rPr>
          <w:rFonts w:hint="eastAsia"/>
        </w:rPr>
        <w:t>附件二：</w:t>
      </w:r>
      <w:r>
        <w:rPr>
          <w:rFonts w:hint="eastAsia"/>
          <w:szCs w:val="21"/>
        </w:rPr>
        <w:t>报价一览表</w:t>
      </w:r>
      <w:bookmarkEnd w:id="35"/>
    </w:p>
    <w:p>
      <w:pPr>
        <w:adjustRightInd w:val="0"/>
        <w:snapToGrid w:val="0"/>
        <w:spacing w:line="300" w:lineRule="auto"/>
        <w:ind w:firstLine="2319" w:firstLineChars="1100"/>
        <w:rPr>
          <w:rFonts w:ascii="宋体" w:hAnsi="宋体"/>
          <w:b/>
          <w:bCs/>
          <w:szCs w:val="21"/>
        </w:rPr>
      </w:pPr>
    </w:p>
    <w:tbl>
      <w:tblPr>
        <w:tblStyle w:val="21"/>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3240" w:type="dxa"/>
            <w:vAlign w:val="center"/>
          </w:tcPr>
          <w:p>
            <w:pPr>
              <w:adjustRightInd w:val="0"/>
              <w:snapToGrid w:val="0"/>
              <w:spacing w:line="300" w:lineRule="auto"/>
              <w:ind w:left="-38"/>
              <w:jc w:val="center"/>
              <w:rPr>
                <w:rFonts w:ascii="宋体" w:hAnsi="宋体"/>
                <w:szCs w:val="21"/>
              </w:rPr>
            </w:pPr>
            <w:r>
              <w:rPr>
                <w:rFonts w:hint="eastAsia" w:ascii="宋体" w:hAnsi="宋体"/>
                <w:szCs w:val="21"/>
              </w:rPr>
              <w:t>项目名称</w:t>
            </w:r>
          </w:p>
        </w:tc>
        <w:tc>
          <w:tcPr>
            <w:tcW w:w="6300" w:type="dxa"/>
            <w:vAlign w:val="center"/>
          </w:tcPr>
          <w:p>
            <w:pPr>
              <w:adjustRightInd w:val="0"/>
              <w:snapToGrid w:val="0"/>
              <w:spacing w:line="300" w:lineRule="auto"/>
              <w:ind w:left="-38"/>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3240" w:type="dxa"/>
            <w:vAlign w:val="center"/>
          </w:tcPr>
          <w:p>
            <w:pPr>
              <w:adjustRightInd w:val="0"/>
              <w:snapToGrid w:val="0"/>
              <w:spacing w:line="300" w:lineRule="auto"/>
              <w:ind w:left="-38"/>
              <w:jc w:val="center"/>
              <w:rPr>
                <w:rFonts w:ascii="宋体" w:hAnsi="宋体"/>
                <w:szCs w:val="21"/>
              </w:rPr>
            </w:pPr>
            <w:r>
              <w:rPr>
                <w:rFonts w:hint="eastAsia" w:ascii="宋体" w:hAnsi="宋体"/>
                <w:szCs w:val="21"/>
              </w:rPr>
              <w:t>项目编号</w:t>
            </w:r>
          </w:p>
        </w:tc>
        <w:tc>
          <w:tcPr>
            <w:tcW w:w="6300" w:type="dxa"/>
            <w:vAlign w:val="center"/>
          </w:tcPr>
          <w:p>
            <w:pPr>
              <w:adjustRightInd w:val="0"/>
              <w:snapToGrid w:val="0"/>
              <w:spacing w:line="300" w:lineRule="auto"/>
              <w:ind w:left="-38"/>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2" w:hRule="atLeast"/>
        </w:trPr>
        <w:tc>
          <w:tcPr>
            <w:tcW w:w="3240" w:type="dxa"/>
            <w:vAlign w:val="center"/>
          </w:tcPr>
          <w:p>
            <w:pPr>
              <w:adjustRightInd w:val="0"/>
              <w:snapToGrid w:val="0"/>
              <w:spacing w:line="300" w:lineRule="auto"/>
              <w:ind w:left="-38"/>
              <w:jc w:val="center"/>
              <w:rPr>
                <w:rFonts w:ascii="宋体" w:hAnsi="宋体"/>
                <w:szCs w:val="21"/>
              </w:rPr>
            </w:pPr>
            <w:r>
              <w:rPr>
                <w:rFonts w:hint="eastAsia" w:ascii="宋体" w:hAnsi="宋体"/>
                <w:szCs w:val="21"/>
              </w:rPr>
              <w:t>投标总报价</w:t>
            </w:r>
          </w:p>
        </w:tc>
        <w:tc>
          <w:tcPr>
            <w:tcW w:w="6300" w:type="dxa"/>
            <w:vAlign w:val="center"/>
          </w:tcPr>
          <w:p>
            <w:pPr>
              <w:adjustRightInd w:val="0"/>
              <w:snapToGrid w:val="0"/>
              <w:spacing w:line="300" w:lineRule="auto"/>
              <w:jc w:val="left"/>
              <w:rPr>
                <w:rFonts w:ascii="宋体" w:hAnsi="宋体"/>
                <w:szCs w:val="21"/>
              </w:rPr>
            </w:pPr>
            <w:r>
              <w:rPr>
                <w:rFonts w:hint="eastAsia" w:ascii="宋体" w:hAnsi="宋体"/>
                <w:szCs w:val="21"/>
              </w:rPr>
              <w:t>小写：</w:t>
            </w:r>
          </w:p>
          <w:p>
            <w:pPr>
              <w:adjustRightInd w:val="0"/>
              <w:snapToGrid w:val="0"/>
              <w:spacing w:line="300" w:lineRule="auto"/>
              <w:jc w:val="left"/>
              <w:rPr>
                <w:rFonts w:ascii="宋体" w:hAnsi="宋体"/>
                <w:szCs w:val="21"/>
              </w:rPr>
            </w:pPr>
          </w:p>
          <w:p>
            <w:pPr>
              <w:adjustRightInd w:val="0"/>
              <w:snapToGrid w:val="0"/>
              <w:spacing w:line="300" w:lineRule="auto"/>
              <w:jc w:val="left"/>
              <w:rPr>
                <w:rFonts w:ascii="宋体" w:hAnsi="宋体"/>
                <w:szCs w:val="21"/>
              </w:rPr>
            </w:pPr>
            <w:r>
              <w:rPr>
                <w:rFonts w:hint="eastAsia" w:ascii="宋体" w:hAnsi="宋体"/>
                <w:szCs w:val="21"/>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3240" w:type="dxa"/>
            <w:vAlign w:val="center"/>
          </w:tcPr>
          <w:p>
            <w:pPr>
              <w:adjustRightInd w:val="0"/>
              <w:snapToGrid w:val="0"/>
              <w:spacing w:line="300" w:lineRule="auto"/>
              <w:ind w:left="-38"/>
              <w:jc w:val="center"/>
              <w:rPr>
                <w:rFonts w:ascii="宋体" w:hAnsi="宋体"/>
                <w:szCs w:val="21"/>
              </w:rPr>
            </w:pPr>
            <w:r>
              <w:rPr>
                <w:rFonts w:hint="eastAsia" w:ascii="宋体" w:hAnsi="宋体"/>
                <w:szCs w:val="21"/>
              </w:rPr>
              <w:t>合同履行期限</w:t>
            </w:r>
          </w:p>
        </w:tc>
        <w:tc>
          <w:tcPr>
            <w:tcW w:w="6300" w:type="dxa"/>
            <w:vAlign w:val="center"/>
          </w:tcPr>
          <w:p>
            <w:pPr>
              <w:adjustRightInd w:val="0"/>
              <w:snapToGrid w:val="0"/>
              <w:spacing w:line="30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9" w:hRule="atLeast"/>
        </w:trPr>
        <w:tc>
          <w:tcPr>
            <w:tcW w:w="3240" w:type="dxa"/>
            <w:vAlign w:val="center"/>
          </w:tcPr>
          <w:p>
            <w:pPr>
              <w:adjustRightInd w:val="0"/>
              <w:snapToGrid w:val="0"/>
              <w:spacing w:line="300" w:lineRule="auto"/>
              <w:ind w:left="-38"/>
              <w:jc w:val="center"/>
              <w:rPr>
                <w:rFonts w:ascii="宋体" w:hAnsi="宋体"/>
                <w:szCs w:val="21"/>
              </w:rPr>
            </w:pPr>
            <w:r>
              <w:rPr>
                <w:rFonts w:hint="eastAsia" w:ascii="宋体" w:hAnsi="宋体"/>
                <w:szCs w:val="21"/>
              </w:rPr>
              <w:t>备注</w:t>
            </w:r>
          </w:p>
        </w:tc>
        <w:tc>
          <w:tcPr>
            <w:tcW w:w="6300" w:type="dxa"/>
            <w:vAlign w:val="center"/>
          </w:tcPr>
          <w:p>
            <w:pPr>
              <w:adjustRightInd w:val="0"/>
              <w:snapToGrid w:val="0"/>
              <w:spacing w:line="300" w:lineRule="auto"/>
              <w:jc w:val="center"/>
              <w:rPr>
                <w:rFonts w:ascii="宋体" w:hAnsi="宋体"/>
                <w:szCs w:val="21"/>
              </w:rPr>
            </w:pPr>
          </w:p>
        </w:tc>
      </w:tr>
    </w:tbl>
    <w:p>
      <w:pPr>
        <w:adjustRightInd w:val="0"/>
        <w:snapToGrid w:val="0"/>
        <w:spacing w:line="360" w:lineRule="auto"/>
        <w:rPr>
          <w:rFonts w:ascii="宋体" w:hAnsi="宋体"/>
          <w:szCs w:val="21"/>
        </w:rPr>
      </w:pPr>
      <w:r>
        <w:rPr>
          <w:rFonts w:hint="eastAsia" w:ascii="宋体" w:hAnsi="宋体"/>
          <w:szCs w:val="21"/>
        </w:rPr>
        <w:t>注：1.本表为开标所用，其内容、金额必须与投标文件内容一致；</w:t>
      </w:r>
    </w:p>
    <w:p>
      <w:pPr>
        <w:adjustRightInd w:val="0"/>
        <w:snapToGrid w:val="0"/>
        <w:spacing w:line="360" w:lineRule="auto"/>
        <w:ind w:firstLine="480"/>
        <w:rPr>
          <w:rFonts w:ascii="宋体" w:hAnsi="宋体"/>
          <w:szCs w:val="21"/>
        </w:rPr>
      </w:pPr>
      <w:r>
        <w:rPr>
          <w:rFonts w:hint="eastAsia" w:ascii="宋体" w:hAnsi="宋体"/>
          <w:szCs w:val="21"/>
        </w:rPr>
        <w:t>2．本表中投标总报价为合同结算价，招标方不再支付其它任何费用；</w:t>
      </w:r>
    </w:p>
    <w:p>
      <w:pPr>
        <w:adjustRightInd w:val="0"/>
        <w:snapToGrid w:val="0"/>
        <w:spacing w:line="360" w:lineRule="auto"/>
        <w:ind w:left="676" w:leftChars="172" w:hanging="315" w:hangingChars="150"/>
        <w:rPr>
          <w:rFonts w:ascii="宋体" w:hAnsi="宋体"/>
          <w:szCs w:val="21"/>
        </w:rPr>
      </w:pPr>
      <w:r>
        <w:rPr>
          <w:rFonts w:hint="eastAsia" w:ascii="宋体" w:hAnsi="宋体"/>
          <w:szCs w:val="21"/>
        </w:rPr>
        <w:t>3.本表必须按要求由供应商本项目法人授权代表签字，并加盖供应商公章，否则将被视为非响应性投标而作废标处理。</w:t>
      </w:r>
    </w:p>
    <w:p>
      <w:pPr>
        <w:adjustRightInd w:val="0"/>
        <w:snapToGrid w:val="0"/>
        <w:spacing w:line="360" w:lineRule="auto"/>
        <w:ind w:left="676" w:leftChars="172" w:hanging="315" w:hangingChars="150"/>
        <w:rPr>
          <w:rFonts w:ascii="宋体" w:hAnsi="宋体"/>
          <w:szCs w:val="21"/>
        </w:rPr>
      </w:pPr>
    </w:p>
    <w:p>
      <w:pPr>
        <w:adjustRightInd w:val="0"/>
        <w:snapToGrid w:val="0"/>
        <w:spacing w:line="360" w:lineRule="auto"/>
        <w:ind w:left="676" w:leftChars="172" w:hanging="315" w:hangingChars="150"/>
        <w:rPr>
          <w:rFonts w:ascii="宋体" w:hAnsi="宋体"/>
          <w:szCs w:val="21"/>
        </w:rPr>
      </w:pPr>
      <w:r>
        <w:rPr>
          <w:rFonts w:hint="eastAsia" w:ascii="宋体" w:hAnsi="宋体"/>
          <w:szCs w:val="21"/>
        </w:rPr>
        <w:t>供应商全称（加盖公章）：</w:t>
      </w:r>
    </w:p>
    <w:p>
      <w:pPr>
        <w:adjustRightInd w:val="0"/>
        <w:snapToGrid w:val="0"/>
        <w:spacing w:line="360" w:lineRule="auto"/>
        <w:ind w:left="676" w:leftChars="172" w:hanging="315" w:hangingChars="150"/>
        <w:rPr>
          <w:rFonts w:ascii="宋体" w:hAnsi="宋体"/>
          <w:szCs w:val="21"/>
        </w:rPr>
      </w:pPr>
      <w:r>
        <w:rPr>
          <w:rFonts w:hint="eastAsia" w:ascii="宋体" w:hAnsi="宋体"/>
          <w:szCs w:val="21"/>
        </w:rPr>
        <w:t>法定代表人或授权代表签字：</w:t>
      </w:r>
    </w:p>
    <w:p>
      <w:pPr>
        <w:adjustRightInd w:val="0"/>
        <w:snapToGrid w:val="0"/>
        <w:spacing w:line="360" w:lineRule="auto"/>
        <w:ind w:left="676" w:leftChars="172" w:hanging="315" w:hangingChars="150"/>
        <w:rPr>
          <w:rFonts w:ascii="宋体" w:hAnsi="宋体"/>
          <w:szCs w:val="21"/>
        </w:rPr>
      </w:pPr>
      <w:r>
        <w:rPr>
          <w:rFonts w:hint="eastAsia" w:ascii="宋体" w:hAnsi="宋体"/>
          <w:szCs w:val="21"/>
        </w:rPr>
        <w:t>日期：</w:t>
      </w:r>
    </w:p>
    <w:p>
      <w:pPr>
        <w:pStyle w:val="7"/>
        <w:rPr>
          <w:rFonts w:ascii="宋体" w:hAnsi="宋体"/>
          <w:b/>
          <w:bCs/>
          <w:szCs w:val="21"/>
        </w:rPr>
      </w:pPr>
    </w:p>
    <w:p>
      <w:pPr>
        <w:spacing w:line="480" w:lineRule="exact"/>
        <w:rPr>
          <w:rFonts w:ascii="宋体" w:hAnsi="宋体"/>
          <w:b/>
          <w:bCs/>
          <w:szCs w:val="21"/>
        </w:rPr>
      </w:pPr>
    </w:p>
    <w:p>
      <w:pPr>
        <w:pStyle w:val="7"/>
        <w:rPr>
          <w:rFonts w:ascii="宋体" w:hAnsi="宋体"/>
          <w:b/>
          <w:bCs/>
          <w:szCs w:val="21"/>
        </w:rPr>
      </w:pPr>
    </w:p>
    <w:p>
      <w:pPr>
        <w:pStyle w:val="7"/>
        <w:rPr>
          <w:rFonts w:ascii="宋体" w:hAnsi="宋体"/>
          <w:b/>
          <w:bCs/>
          <w:szCs w:val="21"/>
        </w:rPr>
      </w:pPr>
    </w:p>
    <w:p>
      <w:pPr>
        <w:pStyle w:val="7"/>
        <w:rPr>
          <w:rFonts w:ascii="宋体" w:hAnsi="宋体"/>
          <w:b/>
          <w:bCs/>
          <w:szCs w:val="21"/>
        </w:rPr>
      </w:pPr>
    </w:p>
    <w:p>
      <w:pPr>
        <w:pStyle w:val="7"/>
        <w:rPr>
          <w:rFonts w:ascii="宋体" w:hAnsi="宋体"/>
          <w:b/>
          <w:bCs/>
          <w:szCs w:val="21"/>
        </w:rPr>
      </w:pPr>
    </w:p>
    <w:p>
      <w:pPr>
        <w:pStyle w:val="7"/>
        <w:rPr>
          <w:rFonts w:ascii="宋体" w:hAnsi="宋体"/>
          <w:b/>
          <w:bCs/>
          <w:szCs w:val="21"/>
        </w:rPr>
      </w:pPr>
    </w:p>
    <w:p>
      <w:pPr>
        <w:pStyle w:val="7"/>
        <w:rPr>
          <w:rFonts w:ascii="宋体" w:hAnsi="宋体"/>
          <w:b/>
          <w:bCs/>
          <w:szCs w:val="21"/>
        </w:rPr>
      </w:pPr>
    </w:p>
    <w:p>
      <w:pPr>
        <w:pStyle w:val="7"/>
        <w:rPr>
          <w:rFonts w:ascii="宋体" w:hAnsi="宋体"/>
          <w:b/>
          <w:bCs/>
          <w:szCs w:val="21"/>
        </w:rPr>
      </w:pPr>
    </w:p>
    <w:p>
      <w:pPr>
        <w:pStyle w:val="7"/>
        <w:rPr>
          <w:rFonts w:ascii="宋体" w:hAnsi="宋体"/>
          <w:b/>
          <w:bCs/>
          <w:szCs w:val="21"/>
        </w:rPr>
      </w:pPr>
    </w:p>
    <w:p>
      <w:pPr>
        <w:pStyle w:val="2"/>
        <w:rPr>
          <w:rFonts w:ascii="宋体"/>
        </w:rPr>
      </w:pPr>
      <w:bookmarkStart w:id="36" w:name="_Toc5397"/>
      <w:bookmarkStart w:id="37" w:name="_Toc364948824"/>
      <w:bookmarkStart w:id="38" w:name="_Toc23798"/>
      <w:bookmarkStart w:id="39" w:name="_Toc27788"/>
      <w:bookmarkStart w:id="40" w:name="_Toc186913965"/>
      <w:bookmarkStart w:id="41" w:name="_Toc186914150"/>
      <w:bookmarkStart w:id="42" w:name="_Toc186914346"/>
      <w:bookmarkStart w:id="43" w:name="_Toc186914056"/>
      <w:r>
        <w:rPr>
          <w:rFonts w:hint="eastAsia" w:ascii="宋体"/>
        </w:rPr>
        <w:t>附件三：</w:t>
      </w:r>
      <w:r>
        <w:rPr>
          <w:rFonts w:hint="eastAsia"/>
        </w:rPr>
        <w:t>法定代表人身份证明</w:t>
      </w:r>
      <w:bookmarkEnd w:id="36"/>
    </w:p>
    <w:bookmarkEnd w:id="37"/>
    <w:bookmarkEnd w:id="38"/>
    <w:bookmarkEnd w:id="39"/>
    <w:bookmarkEnd w:id="40"/>
    <w:bookmarkEnd w:id="41"/>
    <w:bookmarkEnd w:id="42"/>
    <w:bookmarkEnd w:id="43"/>
    <w:p/>
    <w:p>
      <w:pPr>
        <w:spacing w:line="720" w:lineRule="exact"/>
        <w:rPr>
          <w:rFonts w:hAnsi="宋体"/>
          <w:szCs w:val="21"/>
        </w:rPr>
      </w:pPr>
    </w:p>
    <w:p>
      <w:pPr>
        <w:spacing w:line="720" w:lineRule="exact"/>
        <w:ind w:firstLine="420" w:firstLineChars="200"/>
        <w:rPr>
          <w:rFonts w:hAnsi="宋体"/>
          <w:szCs w:val="21"/>
          <w:u w:val="single"/>
        </w:rPr>
      </w:pPr>
      <w:r>
        <w:rPr>
          <w:rFonts w:hint="eastAsia" w:hAnsi="宋体"/>
          <w:szCs w:val="21"/>
        </w:rPr>
        <w:t>供应商名称：</w:t>
      </w:r>
    </w:p>
    <w:p>
      <w:pPr>
        <w:spacing w:line="720" w:lineRule="exact"/>
        <w:ind w:firstLine="420" w:firstLineChars="200"/>
        <w:rPr>
          <w:rFonts w:hAnsi="宋体"/>
          <w:szCs w:val="21"/>
          <w:u w:val="single"/>
        </w:rPr>
      </w:pPr>
      <w:r>
        <w:rPr>
          <w:rFonts w:hint="eastAsia" w:hAnsi="宋体"/>
          <w:szCs w:val="21"/>
        </w:rPr>
        <w:t>单位性质：</w:t>
      </w:r>
    </w:p>
    <w:p>
      <w:pPr>
        <w:spacing w:line="720" w:lineRule="exact"/>
        <w:ind w:firstLine="420" w:firstLineChars="200"/>
        <w:rPr>
          <w:rFonts w:hAnsi="宋体"/>
          <w:szCs w:val="21"/>
          <w:u w:val="single"/>
        </w:rPr>
      </w:pPr>
      <w:r>
        <w:rPr>
          <w:rFonts w:hint="eastAsia" w:hAnsi="宋体"/>
          <w:szCs w:val="21"/>
        </w:rPr>
        <w:t>地址：</w:t>
      </w:r>
    </w:p>
    <w:p>
      <w:pPr>
        <w:spacing w:line="720" w:lineRule="exact"/>
        <w:ind w:firstLine="420" w:firstLineChars="200"/>
        <w:rPr>
          <w:rFonts w:hAnsi="宋体"/>
          <w:szCs w:val="21"/>
        </w:rPr>
      </w:pPr>
      <w:r>
        <w:rPr>
          <w:rFonts w:hint="eastAsia" w:hAnsi="宋体"/>
          <w:szCs w:val="21"/>
        </w:rPr>
        <w:t>成立时间：年  月   日</w:t>
      </w:r>
    </w:p>
    <w:p>
      <w:pPr>
        <w:spacing w:line="720" w:lineRule="exact"/>
        <w:ind w:firstLine="420" w:firstLineChars="200"/>
        <w:rPr>
          <w:rFonts w:hAnsi="宋体"/>
          <w:szCs w:val="21"/>
          <w:u w:val="single"/>
        </w:rPr>
      </w:pPr>
      <w:r>
        <w:rPr>
          <w:rFonts w:hint="eastAsia" w:hAnsi="宋体"/>
          <w:szCs w:val="21"/>
        </w:rPr>
        <w:t xml:space="preserve">经营期限： </w:t>
      </w:r>
    </w:p>
    <w:p>
      <w:pPr>
        <w:spacing w:line="720" w:lineRule="exact"/>
        <w:ind w:firstLine="420" w:firstLineChars="200"/>
        <w:rPr>
          <w:rFonts w:hAnsi="宋体"/>
          <w:szCs w:val="21"/>
          <w:u w:val="single"/>
        </w:rPr>
      </w:pPr>
      <w:r>
        <w:rPr>
          <w:rFonts w:hint="eastAsia" w:hAnsi="宋体"/>
          <w:szCs w:val="21"/>
        </w:rPr>
        <w:t>姓名：    性别：    年龄：       职务：</w:t>
      </w:r>
    </w:p>
    <w:p>
      <w:pPr>
        <w:spacing w:line="720" w:lineRule="exact"/>
        <w:rPr>
          <w:rFonts w:hAnsi="宋体"/>
          <w:szCs w:val="21"/>
        </w:rPr>
      </w:pPr>
      <w:r>
        <w:rPr>
          <w:rFonts w:hint="eastAsia" w:hAnsi="宋体"/>
          <w:szCs w:val="21"/>
        </w:rPr>
        <w:t>系（供应商名称）          的法定代表人。</w:t>
      </w:r>
    </w:p>
    <w:p>
      <w:pPr>
        <w:spacing w:line="720" w:lineRule="exact"/>
        <w:ind w:firstLine="525" w:firstLineChars="250"/>
        <w:rPr>
          <w:rFonts w:hAnsi="宋体"/>
          <w:szCs w:val="21"/>
        </w:rPr>
      </w:pPr>
    </w:p>
    <w:p>
      <w:pPr>
        <w:spacing w:line="720" w:lineRule="exact"/>
        <w:ind w:firstLine="525" w:firstLineChars="250"/>
        <w:rPr>
          <w:rFonts w:hAnsi="宋体"/>
          <w:szCs w:val="21"/>
        </w:rPr>
      </w:pPr>
      <w:r>
        <w:rPr>
          <w:rFonts w:hint="eastAsia" w:hAnsi="宋体"/>
          <w:szCs w:val="21"/>
        </w:rPr>
        <w:t>特此证明。</w:t>
      </w:r>
    </w:p>
    <w:p>
      <w:pPr>
        <w:spacing w:line="720" w:lineRule="exact"/>
        <w:ind w:firstLine="1680" w:firstLineChars="800"/>
        <w:rPr>
          <w:rFonts w:hAnsi="宋体"/>
          <w:szCs w:val="21"/>
        </w:rPr>
      </w:pPr>
    </w:p>
    <w:p>
      <w:pPr>
        <w:spacing w:line="720" w:lineRule="exact"/>
        <w:ind w:firstLine="1680" w:firstLineChars="800"/>
        <w:rPr>
          <w:rFonts w:hAnsi="宋体"/>
          <w:szCs w:val="21"/>
        </w:rPr>
      </w:pPr>
    </w:p>
    <w:p>
      <w:pPr>
        <w:spacing w:line="720" w:lineRule="exact"/>
        <w:ind w:firstLine="1995" w:firstLineChars="950"/>
        <w:rPr>
          <w:rFonts w:hAnsi="宋体"/>
          <w:szCs w:val="21"/>
        </w:rPr>
      </w:pPr>
      <w:r>
        <w:rPr>
          <w:rFonts w:hint="eastAsia" w:hAnsi="宋体"/>
          <w:szCs w:val="21"/>
        </w:rPr>
        <w:t>供应商：（盖单位章）</w:t>
      </w:r>
    </w:p>
    <w:p>
      <w:pPr>
        <w:spacing w:line="720" w:lineRule="exact"/>
        <w:ind w:firstLine="3360" w:firstLineChars="1600"/>
        <w:rPr>
          <w:rFonts w:ascii="仿宋_GB2312" w:hAnsi="华文仿宋" w:eastAsia="仿宋_GB2312"/>
          <w:szCs w:val="21"/>
          <w:u w:val="single"/>
        </w:rPr>
      </w:pPr>
    </w:p>
    <w:p>
      <w:pPr>
        <w:spacing w:line="720" w:lineRule="exact"/>
        <w:ind w:firstLine="3360" w:firstLineChars="1600"/>
        <w:rPr>
          <w:rFonts w:ascii="仿宋_GB2312" w:hAnsi="华文仿宋" w:eastAsia="仿宋_GB2312"/>
          <w:szCs w:val="21"/>
          <w:u w:val="single"/>
        </w:rPr>
      </w:pPr>
    </w:p>
    <w:p>
      <w:pPr>
        <w:spacing w:line="720" w:lineRule="exact"/>
        <w:ind w:firstLine="3675" w:firstLineChars="1750"/>
        <w:rPr>
          <w:rFonts w:hAnsi="宋体"/>
          <w:szCs w:val="21"/>
        </w:rPr>
      </w:pPr>
      <w:r>
        <w:rPr>
          <w:rFonts w:hint="eastAsia" w:hAnsi="宋体"/>
          <w:szCs w:val="21"/>
        </w:rPr>
        <w:t>年   月    日</w:t>
      </w:r>
    </w:p>
    <w:p>
      <w:pPr>
        <w:spacing w:line="720" w:lineRule="exact"/>
        <w:ind w:firstLine="3675" w:firstLineChars="1750"/>
        <w:rPr>
          <w:rFonts w:hAnsi="宋体"/>
          <w:szCs w:val="21"/>
        </w:rPr>
      </w:pPr>
    </w:p>
    <w:p/>
    <w:p>
      <w:pPr>
        <w:pStyle w:val="2"/>
      </w:pPr>
      <w:bookmarkStart w:id="44" w:name="_Toc19003"/>
      <w:r>
        <w:rPr>
          <w:rFonts w:hint="eastAsia"/>
        </w:rPr>
        <w:t>附件四：法定代表人授权委托书</w:t>
      </w:r>
      <w:bookmarkEnd w:id="44"/>
    </w:p>
    <w:p>
      <w:pPr>
        <w:spacing w:line="500" w:lineRule="exact"/>
        <w:jc w:val="center"/>
        <w:rPr>
          <w:rFonts w:ascii="宋体" w:hAnsi="宋体"/>
          <w:b/>
          <w:szCs w:val="21"/>
        </w:rPr>
      </w:pPr>
    </w:p>
    <w:p>
      <w:pPr>
        <w:spacing w:line="500" w:lineRule="exact"/>
        <w:ind w:right="560"/>
        <w:jc w:val="center"/>
        <w:rPr>
          <w:rFonts w:ascii="宋体" w:hAnsi="宋体"/>
          <w:szCs w:val="21"/>
        </w:rPr>
      </w:pPr>
    </w:p>
    <w:p>
      <w:pPr>
        <w:adjustRightInd w:val="0"/>
        <w:snapToGrid w:val="0"/>
        <w:spacing w:line="300" w:lineRule="auto"/>
        <w:ind w:left="676" w:leftChars="172" w:hanging="315" w:hangingChars="150"/>
        <w:rPr>
          <w:rFonts w:ascii="宋体" w:hAnsi="宋体"/>
          <w:szCs w:val="21"/>
        </w:rPr>
      </w:pPr>
      <w:r>
        <w:rPr>
          <w:rFonts w:hint="eastAsia" w:ascii="宋体" w:hAnsi="宋体"/>
          <w:szCs w:val="21"/>
        </w:rPr>
        <w:t>（采购人）：</w:t>
      </w:r>
    </w:p>
    <w:p>
      <w:pPr>
        <w:adjustRightInd w:val="0"/>
        <w:snapToGrid w:val="0"/>
        <w:spacing w:line="300" w:lineRule="auto"/>
        <w:rPr>
          <w:rFonts w:ascii="宋体" w:hAnsi="宋体"/>
          <w:szCs w:val="21"/>
          <w:u w:val="single"/>
        </w:rPr>
      </w:pPr>
    </w:p>
    <w:p>
      <w:pPr>
        <w:adjustRightInd w:val="0"/>
        <w:snapToGrid w:val="0"/>
        <w:spacing w:line="300" w:lineRule="auto"/>
        <w:ind w:firstLine="420" w:firstLineChars="200"/>
        <w:rPr>
          <w:rFonts w:ascii="宋体" w:hAnsi="宋体"/>
          <w:szCs w:val="21"/>
        </w:rPr>
      </w:pPr>
      <w:r>
        <w:rPr>
          <w:rFonts w:hint="eastAsia" w:ascii="宋体" w:hAnsi="宋体"/>
          <w:szCs w:val="21"/>
          <w:u w:val="single"/>
        </w:rPr>
        <w:t>（供应商名称）</w:t>
      </w:r>
      <w:r>
        <w:rPr>
          <w:rFonts w:hint="eastAsia" w:ascii="宋体" w:hAnsi="宋体"/>
          <w:szCs w:val="21"/>
        </w:rPr>
        <w:t>在下面签字的</w:t>
      </w:r>
      <w:r>
        <w:rPr>
          <w:rFonts w:hint="eastAsia" w:ascii="宋体" w:hAnsi="宋体"/>
          <w:szCs w:val="21"/>
          <w:u w:val="single"/>
        </w:rPr>
        <w:t>（法定代表人姓名、职务）</w:t>
      </w:r>
      <w:r>
        <w:rPr>
          <w:rFonts w:hint="eastAsia" w:ascii="宋体" w:hAnsi="宋体"/>
          <w:szCs w:val="21"/>
        </w:rPr>
        <w:t>代表本公司授权（单位名称）的下面签字的</w:t>
      </w:r>
      <w:r>
        <w:rPr>
          <w:rFonts w:hint="eastAsia" w:ascii="宋体" w:hAnsi="宋体"/>
          <w:szCs w:val="21"/>
          <w:u w:val="single"/>
        </w:rPr>
        <w:t>（被授权代表的姓名、职务）</w:t>
      </w:r>
      <w:r>
        <w:rPr>
          <w:rFonts w:hint="eastAsia" w:ascii="宋体" w:hAnsi="宋体"/>
          <w:szCs w:val="21"/>
        </w:rPr>
        <w:t>为本公司的合法代理人，就</w:t>
      </w:r>
      <w:r>
        <w:rPr>
          <w:rFonts w:hint="eastAsia" w:ascii="宋体" w:hAnsi="宋体"/>
          <w:szCs w:val="21"/>
          <w:u w:val="single"/>
        </w:rPr>
        <w:t>（项目名称）</w:t>
      </w:r>
      <w:r>
        <w:rPr>
          <w:rFonts w:hint="eastAsia" w:ascii="宋体" w:hAnsi="宋体"/>
          <w:szCs w:val="21"/>
        </w:rPr>
        <w:t>的投标，以本公司的名义处理一切与之有关的事务。</w:t>
      </w:r>
    </w:p>
    <w:p>
      <w:pPr>
        <w:adjustRightInd w:val="0"/>
        <w:snapToGrid w:val="0"/>
        <w:spacing w:line="300" w:lineRule="auto"/>
        <w:ind w:left="676" w:leftChars="172" w:hanging="315" w:hangingChars="150"/>
        <w:rPr>
          <w:rFonts w:ascii="宋体" w:hAnsi="宋体"/>
          <w:szCs w:val="21"/>
        </w:rPr>
      </w:pPr>
      <w:r>
        <w:rPr>
          <w:rFonts w:hint="eastAsia" w:ascii="宋体" w:hAnsi="宋体"/>
          <w:szCs w:val="21"/>
        </w:rPr>
        <w:t>本授权书自_____年___月___日至_____年___月___日签字有效，特此声明。</w:t>
      </w:r>
    </w:p>
    <w:p>
      <w:pPr>
        <w:adjustRightInd w:val="0"/>
        <w:snapToGrid w:val="0"/>
        <w:spacing w:line="300" w:lineRule="auto"/>
        <w:ind w:left="676" w:leftChars="172" w:hanging="315" w:hangingChars="150"/>
        <w:rPr>
          <w:rFonts w:ascii="宋体" w:hAnsi="宋体"/>
          <w:szCs w:val="21"/>
        </w:rPr>
      </w:pPr>
    </w:p>
    <w:p>
      <w:pPr>
        <w:adjustRightInd w:val="0"/>
        <w:snapToGrid w:val="0"/>
        <w:spacing w:line="300" w:lineRule="auto"/>
        <w:ind w:left="676" w:leftChars="172" w:hanging="315" w:hangingChars="150"/>
        <w:rPr>
          <w:rFonts w:ascii="宋体" w:hAnsi="宋体"/>
          <w:szCs w:val="21"/>
        </w:rPr>
      </w:pPr>
      <w:r>
        <w:rPr>
          <w:rFonts w:hint="eastAsia" w:ascii="宋体" w:hAnsi="宋体"/>
          <w:szCs w:val="21"/>
        </w:rPr>
        <w:t>供应商名称（公章）：___________被授权人（签字）：___________</w:t>
      </w:r>
    </w:p>
    <w:p>
      <w:pPr>
        <w:adjustRightInd w:val="0"/>
        <w:snapToGrid w:val="0"/>
        <w:spacing w:line="300" w:lineRule="auto"/>
        <w:ind w:left="676" w:leftChars="172" w:hanging="315" w:hangingChars="150"/>
        <w:rPr>
          <w:rFonts w:ascii="宋体" w:hAnsi="宋体"/>
          <w:szCs w:val="21"/>
        </w:rPr>
      </w:pPr>
      <w:r>
        <w:rPr>
          <w:rFonts w:hint="eastAsia" w:ascii="宋体" w:hAnsi="宋体"/>
          <w:szCs w:val="21"/>
        </w:rPr>
        <w:t>法定代表人（签字或盖章）：___________身份证号码：_______________</w:t>
      </w:r>
    </w:p>
    <w:p>
      <w:pPr>
        <w:spacing w:line="500" w:lineRule="exact"/>
        <w:ind w:right="560" w:firstLine="525"/>
        <w:rPr>
          <w:rFonts w:ascii="宋体" w:hAnsi="宋体"/>
          <w:szCs w:val="21"/>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720" w:type="dxa"/>
          </w:tcPr>
          <w:p>
            <w:pPr>
              <w:adjustRightInd w:val="0"/>
              <w:snapToGrid w:val="0"/>
              <w:spacing w:line="300" w:lineRule="auto"/>
              <w:rPr>
                <w:rFonts w:ascii="宋体" w:hAnsi="宋体"/>
                <w:szCs w:val="21"/>
              </w:rPr>
            </w:pPr>
            <w:r>
              <w:rPr>
                <w:rFonts w:hint="eastAsia" w:ascii="宋体" w:hAnsi="宋体"/>
                <w:szCs w:val="21"/>
              </w:rPr>
              <w:t>粘贴：1、法定代表人身份证（复印件）</w:t>
            </w:r>
          </w:p>
          <w:p>
            <w:pPr>
              <w:adjustRightInd w:val="0"/>
              <w:snapToGrid w:val="0"/>
              <w:spacing w:line="300" w:lineRule="auto"/>
              <w:ind w:firstLine="630" w:firstLineChars="300"/>
              <w:rPr>
                <w:rFonts w:ascii="宋体" w:hAnsi="宋体"/>
                <w:szCs w:val="21"/>
              </w:rPr>
            </w:pPr>
            <w:r>
              <w:rPr>
                <w:rFonts w:hint="eastAsia" w:ascii="宋体" w:hAnsi="宋体"/>
                <w:szCs w:val="21"/>
              </w:rPr>
              <w:t>2、被授权人身份证（复印件）</w:t>
            </w:r>
          </w:p>
          <w:p>
            <w:pPr>
              <w:spacing w:line="500" w:lineRule="exact"/>
              <w:ind w:right="560" w:firstLine="630" w:firstLineChars="300"/>
              <w:rPr>
                <w:rFonts w:ascii="宋体" w:hAnsi="宋体"/>
                <w:szCs w:val="21"/>
              </w:rPr>
            </w:pPr>
          </w:p>
          <w:p>
            <w:pPr>
              <w:spacing w:line="500" w:lineRule="exact"/>
              <w:ind w:right="560" w:firstLine="630" w:firstLineChars="300"/>
              <w:rPr>
                <w:rFonts w:ascii="宋体" w:hAnsi="宋体"/>
                <w:szCs w:val="21"/>
              </w:rPr>
            </w:pPr>
          </w:p>
          <w:p>
            <w:pPr>
              <w:spacing w:line="500" w:lineRule="exact"/>
              <w:ind w:right="560" w:firstLine="630" w:firstLineChars="300"/>
              <w:rPr>
                <w:rFonts w:ascii="宋体" w:hAnsi="宋体"/>
                <w:szCs w:val="21"/>
              </w:rPr>
            </w:pPr>
          </w:p>
          <w:p>
            <w:pPr>
              <w:spacing w:line="500" w:lineRule="exact"/>
              <w:ind w:right="560" w:firstLine="630" w:firstLineChars="300"/>
              <w:rPr>
                <w:rFonts w:ascii="宋体" w:hAnsi="宋体"/>
                <w:szCs w:val="21"/>
              </w:rPr>
            </w:pPr>
          </w:p>
          <w:p>
            <w:pPr>
              <w:spacing w:line="500" w:lineRule="exact"/>
              <w:ind w:right="560" w:firstLine="630" w:firstLineChars="300"/>
              <w:rPr>
                <w:rFonts w:ascii="宋体" w:hAnsi="宋体"/>
                <w:szCs w:val="21"/>
              </w:rPr>
            </w:pPr>
          </w:p>
        </w:tc>
      </w:tr>
    </w:tbl>
    <w:p>
      <w:pPr>
        <w:spacing w:line="500" w:lineRule="exact"/>
        <w:rPr>
          <w:rFonts w:ascii="宋体" w:hAnsi="宋体"/>
          <w:szCs w:val="21"/>
        </w:rPr>
      </w:pPr>
    </w:p>
    <w:p>
      <w:pPr>
        <w:adjustRightInd w:val="0"/>
        <w:snapToGrid w:val="0"/>
        <w:spacing w:line="300" w:lineRule="auto"/>
        <w:rPr>
          <w:rFonts w:ascii="宋体" w:hAnsi="宋体"/>
          <w:szCs w:val="21"/>
        </w:rPr>
      </w:pPr>
      <w:r>
        <w:rPr>
          <w:rFonts w:hint="eastAsia" w:ascii="宋体" w:hAnsi="宋体"/>
          <w:szCs w:val="21"/>
        </w:rPr>
        <w:t>注：本授权委托书应单独另附一份，供开标现场专用。</w:t>
      </w:r>
    </w:p>
    <w:p>
      <w:pPr>
        <w:spacing w:line="520" w:lineRule="exact"/>
        <w:rPr>
          <w:rFonts w:ascii="宋体" w:hAnsi="宋体"/>
          <w:szCs w:val="21"/>
        </w:rPr>
      </w:pPr>
    </w:p>
    <w:p>
      <w:pPr>
        <w:pStyle w:val="7"/>
        <w:rPr>
          <w:rFonts w:ascii="宋体" w:hAnsi="宋体"/>
          <w:szCs w:val="21"/>
        </w:rPr>
      </w:pPr>
    </w:p>
    <w:p>
      <w:pPr>
        <w:pStyle w:val="7"/>
        <w:rPr>
          <w:rFonts w:ascii="宋体" w:hAnsi="宋体"/>
          <w:szCs w:val="21"/>
        </w:rPr>
      </w:pPr>
    </w:p>
    <w:p>
      <w:pPr>
        <w:pStyle w:val="7"/>
        <w:rPr>
          <w:rFonts w:ascii="宋体" w:hAnsi="宋体"/>
          <w:szCs w:val="21"/>
        </w:rPr>
      </w:pPr>
    </w:p>
    <w:p>
      <w:pPr>
        <w:pStyle w:val="7"/>
        <w:rPr>
          <w:rFonts w:ascii="宋体" w:hAnsi="宋体"/>
          <w:szCs w:val="21"/>
        </w:rPr>
      </w:pPr>
    </w:p>
    <w:p>
      <w:pPr>
        <w:pStyle w:val="7"/>
        <w:rPr>
          <w:rFonts w:ascii="宋体" w:hAnsi="宋体"/>
          <w:szCs w:val="21"/>
        </w:rPr>
      </w:pPr>
    </w:p>
    <w:p>
      <w:pPr>
        <w:pStyle w:val="7"/>
        <w:rPr>
          <w:rFonts w:ascii="宋体" w:hAnsi="宋体"/>
          <w:szCs w:val="21"/>
        </w:rPr>
      </w:pPr>
    </w:p>
    <w:p>
      <w:pPr>
        <w:pStyle w:val="7"/>
        <w:rPr>
          <w:rFonts w:ascii="宋体" w:hAnsi="宋体"/>
          <w:szCs w:val="21"/>
        </w:rPr>
      </w:pPr>
    </w:p>
    <w:p>
      <w:pPr>
        <w:pStyle w:val="7"/>
        <w:rPr>
          <w:rFonts w:ascii="宋体" w:hAnsi="宋体"/>
          <w:szCs w:val="21"/>
        </w:rPr>
      </w:pPr>
    </w:p>
    <w:p>
      <w:pPr>
        <w:pStyle w:val="7"/>
        <w:rPr>
          <w:rFonts w:ascii="宋体" w:hAnsi="宋体"/>
          <w:szCs w:val="21"/>
        </w:rPr>
      </w:pPr>
    </w:p>
    <w:p>
      <w:pPr>
        <w:pStyle w:val="2"/>
      </w:pPr>
      <w:bookmarkStart w:id="45" w:name="_Toc5612"/>
      <w:r>
        <w:rPr>
          <w:rFonts w:hint="eastAsia"/>
        </w:rPr>
        <w:t>附件五：清单（明细）报价表（如有）</w:t>
      </w:r>
      <w:bookmarkEnd w:id="45"/>
    </w:p>
    <w:p>
      <w:pPr>
        <w:spacing w:line="400" w:lineRule="exact"/>
        <w:rPr>
          <w:rFonts w:ascii="宋体" w:hAnsi="宋体"/>
          <w:szCs w:val="21"/>
        </w:rPr>
      </w:pPr>
      <w:r>
        <w:rPr>
          <w:rFonts w:hint="eastAsia" w:ascii="宋体" w:hAnsi="宋体"/>
          <w:szCs w:val="21"/>
        </w:rPr>
        <w:t>项目名称:</w:t>
      </w:r>
    </w:p>
    <w:p>
      <w:pPr>
        <w:spacing w:line="400" w:lineRule="exact"/>
        <w:rPr>
          <w:rFonts w:ascii="宋体" w:hAnsi="宋体"/>
          <w:szCs w:val="21"/>
        </w:rPr>
      </w:pPr>
    </w:p>
    <w:p>
      <w:pPr>
        <w:adjustRightInd w:val="0"/>
        <w:snapToGrid w:val="0"/>
        <w:spacing w:line="400" w:lineRule="exact"/>
        <w:ind w:left="-88" w:leftChars="-42" w:firstLine="140"/>
        <w:rPr>
          <w:rFonts w:ascii="宋体" w:hAnsi="宋体"/>
          <w:szCs w:val="21"/>
        </w:rPr>
      </w:pPr>
    </w:p>
    <w:p>
      <w:pPr>
        <w:adjustRightInd w:val="0"/>
        <w:snapToGrid w:val="0"/>
        <w:spacing w:line="400" w:lineRule="exact"/>
        <w:ind w:left="-88" w:leftChars="-42" w:firstLine="140"/>
        <w:rPr>
          <w:rFonts w:ascii="宋体" w:hAnsi="宋体"/>
          <w:szCs w:val="21"/>
        </w:rPr>
      </w:pPr>
    </w:p>
    <w:p>
      <w:pPr>
        <w:adjustRightInd w:val="0"/>
        <w:snapToGrid w:val="0"/>
        <w:spacing w:line="400" w:lineRule="exact"/>
        <w:ind w:left="-88" w:leftChars="-42" w:firstLine="140"/>
        <w:rPr>
          <w:rFonts w:ascii="宋体" w:hAnsi="宋体"/>
          <w:szCs w:val="21"/>
        </w:rPr>
      </w:pPr>
    </w:p>
    <w:p>
      <w:pPr>
        <w:adjustRightInd w:val="0"/>
        <w:snapToGrid w:val="0"/>
        <w:spacing w:line="400" w:lineRule="exact"/>
        <w:ind w:left="-88" w:leftChars="-42" w:firstLine="140"/>
        <w:rPr>
          <w:rFonts w:ascii="宋体" w:hAnsi="宋体"/>
          <w:szCs w:val="21"/>
        </w:rPr>
      </w:pPr>
    </w:p>
    <w:p>
      <w:pPr>
        <w:adjustRightInd w:val="0"/>
        <w:snapToGrid w:val="0"/>
        <w:spacing w:line="400" w:lineRule="exact"/>
        <w:ind w:left="-88" w:leftChars="-42" w:firstLine="140"/>
        <w:rPr>
          <w:rFonts w:ascii="宋体" w:hAnsi="宋体"/>
          <w:szCs w:val="21"/>
        </w:rPr>
      </w:pPr>
    </w:p>
    <w:p>
      <w:pPr>
        <w:adjustRightInd w:val="0"/>
        <w:snapToGrid w:val="0"/>
        <w:spacing w:line="400" w:lineRule="exact"/>
        <w:ind w:left="-88" w:leftChars="-42" w:firstLine="140"/>
        <w:rPr>
          <w:rFonts w:ascii="宋体" w:hAnsi="宋体"/>
          <w:szCs w:val="21"/>
        </w:rPr>
      </w:pPr>
    </w:p>
    <w:p>
      <w:pPr>
        <w:adjustRightInd w:val="0"/>
        <w:snapToGrid w:val="0"/>
        <w:spacing w:line="400" w:lineRule="exact"/>
        <w:ind w:left="-88" w:leftChars="-42" w:firstLine="140"/>
        <w:rPr>
          <w:rFonts w:ascii="宋体" w:hAnsi="宋体"/>
          <w:szCs w:val="21"/>
        </w:rPr>
      </w:pPr>
    </w:p>
    <w:p>
      <w:pPr>
        <w:adjustRightInd w:val="0"/>
        <w:snapToGrid w:val="0"/>
        <w:spacing w:line="400" w:lineRule="exact"/>
        <w:ind w:left="-88" w:leftChars="-42" w:firstLine="140"/>
        <w:rPr>
          <w:rFonts w:ascii="宋体" w:hAnsi="宋体"/>
          <w:szCs w:val="21"/>
        </w:rPr>
      </w:pPr>
    </w:p>
    <w:p>
      <w:pPr>
        <w:adjustRightInd w:val="0"/>
        <w:snapToGrid w:val="0"/>
        <w:spacing w:line="400" w:lineRule="exact"/>
        <w:ind w:left="-88" w:leftChars="-42" w:firstLine="140"/>
        <w:rPr>
          <w:rFonts w:ascii="宋体" w:hAnsi="宋体"/>
          <w:szCs w:val="21"/>
        </w:rPr>
      </w:pPr>
    </w:p>
    <w:p>
      <w:pPr>
        <w:widowControl/>
        <w:spacing w:line="360" w:lineRule="auto"/>
        <w:jc w:val="left"/>
        <w:rPr>
          <w:rFonts w:ascii="宋体" w:hAnsi="宋体" w:cs="仿宋_GB2312"/>
          <w:szCs w:val="21"/>
        </w:rPr>
      </w:pPr>
      <w:r>
        <w:rPr>
          <w:rFonts w:hint="eastAsia" w:ascii="宋体" w:hAnsi="宋体" w:cs="仿宋_GB2312"/>
          <w:kern w:val="0"/>
          <w:szCs w:val="21"/>
        </w:rPr>
        <w:t>说明：</w:t>
      </w:r>
    </w:p>
    <w:p>
      <w:pPr>
        <w:widowControl/>
        <w:spacing w:line="360" w:lineRule="auto"/>
        <w:jc w:val="left"/>
        <w:rPr>
          <w:rFonts w:ascii="宋体" w:hAnsi="宋体" w:cs="仿宋_GB2312"/>
          <w:szCs w:val="21"/>
        </w:rPr>
      </w:pPr>
      <w:r>
        <w:rPr>
          <w:rFonts w:hint="eastAsia" w:ascii="宋体" w:hAnsi="宋体" w:cs="仿宋_GB2312"/>
          <w:kern w:val="0"/>
          <w:szCs w:val="21"/>
        </w:rPr>
        <w:t>1.所有价格按照“供应商须知”要求执行。</w:t>
      </w:r>
    </w:p>
    <w:p>
      <w:pPr>
        <w:widowControl/>
        <w:spacing w:line="360" w:lineRule="auto"/>
        <w:jc w:val="left"/>
        <w:rPr>
          <w:rFonts w:ascii="宋体" w:hAnsi="宋体" w:cs="仿宋_GB2312"/>
          <w:szCs w:val="21"/>
        </w:rPr>
      </w:pPr>
      <w:r>
        <w:rPr>
          <w:rFonts w:hint="eastAsia" w:ascii="宋体" w:hAnsi="宋体" w:cs="仿宋_GB2312"/>
          <w:kern w:val="0"/>
          <w:szCs w:val="21"/>
        </w:rPr>
        <w:t>2.分项报价总计价格必须与《报价一览表》报价一致。</w:t>
      </w:r>
    </w:p>
    <w:p>
      <w:pPr>
        <w:widowControl/>
        <w:spacing w:line="360" w:lineRule="auto"/>
        <w:jc w:val="left"/>
        <w:rPr>
          <w:rFonts w:ascii="宋体" w:hAnsi="宋体" w:cs="仿宋_GB2312"/>
          <w:szCs w:val="21"/>
        </w:rPr>
      </w:pPr>
      <w:r>
        <w:rPr>
          <w:rFonts w:hint="eastAsia" w:ascii="宋体" w:hAnsi="宋体" w:cs="仿宋_GB2312"/>
          <w:szCs w:val="21"/>
        </w:rPr>
        <w:t>3.供应商必须详细填写此表，以便评委对投标总价的构成进行分析判断，未如实填写或填写不详细</w:t>
      </w:r>
      <w:r>
        <w:rPr>
          <w:rFonts w:hint="eastAsia" w:ascii="宋体" w:hAnsi="宋体" w:cs="仿宋_GB2312"/>
          <w:kern w:val="0"/>
          <w:szCs w:val="21"/>
        </w:rPr>
        <w:t>将被视为没有实质性响应磋商文件，</w:t>
      </w:r>
      <w:r>
        <w:rPr>
          <w:rFonts w:hint="eastAsia" w:ascii="宋体" w:hAnsi="宋体" w:cs="仿宋_GB2312"/>
          <w:szCs w:val="21"/>
        </w:rPr>
        <w:t>导致投标被拒绝。</w:t>
      </w:r>
    </w:p>
    <w:p>
      <w:pPr>
        <w:widowControl/>
        <w:spacing w:line="360" w:lineRule="auto"/>
        <w:jc w:val="left"/>
        <w:rPr>
          <w:rFonts w:ascii="宋体" w:hAnsi="宋体" w:cs="仿宋_GB2312"/>
          <w:szCs w:val="21"/>
        </w:rPr>
      </w:pPr>
      <w:r>
        <w:rPr>
          <w:rFonts w:hint="eastAsia" w:ascii="宋体" w:hAnsi="宋体" w:cs="仿宋_GB2312"/>
          <w:szCs w:val="21"/>
        </w:rPr>
        <w:t>4.供应商应按照“第三章”中的各不同工程量分别报出单价和合价（如有）。</w:t>
      </w:r>
    </w:p>
    <w:p>
      <w:pPr>
        <w:widowControl/>
        <w:spacing w:line="360" w:lineRule="auto"/>
        <w:jc w:val="left"/>
        <w:rPr>
          <w:rFonts w:ascii="宋体" w:hAnsi="宋体" w:cs="仿宋_GB2312"/>
          <w:szCs w:val="21"/>
        </w:rPr>
      </w:pPr>
      <w:r>
        <w:rPr>
          <w:rFonts w:hint="eastAsia" w:ascii="宋体" w:hAnsi="宋体" w:cs="仿宋_GB2312"/>
          <w:szCs w:val="21"/>
        </w:rPr>
        <w:t>5.投标总报价须包括文件所要求的全部内容，单价要求合理。投标报价表中费用缺漏项或没有填报单价的，其投标无效（★）。</w:t>
      </w:r>
    </w:p>
    <w:p>
      <w:pPr>
        <w:widowControl/>
        <w:spacing w:line="360" w:lineRule="auto"/>
        <w:jc w:val="left"/>
        <w:rPr>
          <w:rFonts w:ascii="宋体" w:hAnsi="宋体" w:cs="仿宋_GB2312"/>
          <w:szCs w:val="21"/>
        </w:rPr>
      </w:pPr>
      <w:r>
        <w:rPr>
          <w:rFonts w:hint="eastAsia" w:ascii="宋体" w:hAnsi="宋体" w:cs="仿宋_GB2312"/>
          <w:szCs w:val="21"/>
        </w:rPr>
        <w:t>6.其他费用是指供应商认为不可缺少，而竞争性磋商文件中未提及的费用。对于本文件中未列明，而竞争性磋商供应商认为必需的费用也需列入总报价。在合同实施时，采购人将不予支付成交供应商没有列入的项目费用，并认为此项目的费用已包括在总报价中。成交供应商负责本项目所需服务等全部工作.</w:t>
      </w:r>
    </w:p>
    <w:p>
      <w:pPr>
        <w:adjustRightInd w:val="0"/>
        <w:snapToGrid w:val="0"/>
        <w:spacing w:line="400" w:lineRule="exact"/>
        <w:ind w:left="-88" w:leftChars="-42" w:firstLine="140"/>
        <w:jc w:val="right"/>
        <w:rPr>
          <w:rFonts w:ascii="宋体" w:hAnsi="宋体"/>
          <w:szCs w:val="21"/>
        </w:rPr>
      </w:pPr>
      <w:r>
        <w:rPr>
          <w:rFonts w:hint="eastAsia" w:ascii="宋体" w:hAnsi="宋体"/>
          <w:szCs w:val="21"/>
        </w:rPr>
        <w:t>供应商全称（加盖公章）：</w:t>
      </w:r>
    </w:p>
    <w:p>
      <w:pPr>
        <w:adjustRightInd w:val="0"/>
        <w:snapToGrid w:val="0"/>
        <w:spacing w:line="360" w:lineRule="auto"/>
        <w:ind w:firstLine="321" w:firstLineChars="153"/>
        <w:jc w:val="right"/>
        <w:rPr>
          <w:rFonts w:ascii="宋体" w:hAnsi="宋体"/>
          <w:szCs w:val="21"/>
        </w:rPr>
      </w:pPr>
      <w:r>
        <w:rPr>
          <w:rFonts w:hint="eastAsia" w:ascii="宋体" w:hAnsi="宋体"/>
          <w:szCs w:val="21"/>
        </w:rPr>
        <w:t>法定代表人或授权代表签字：</w:t>
      </w:r>
    </w:p>
    <w:p>
      <w:pPr>
        <w:adjustRightInd w:val="0"/>
        <w:snapToGrid w:val="0"/>
        <w:spacing w:line="360" w:lineRule="auto"/>
        <w:ind w:firstLine="321" w:firstLineChars="153"/>
        <w:jc w:val="right"/>
        <w:rPr>
          <w:rFonts w:ascii="宋体" w:hAnsi="宋体"/>
          <w:szCs w:val="21"/>
        </w:rPr>
      </w:pPr>
      <w:r>
        <w:rPr>
          <w:rFonts w:hint="eastAsia" w:ascii="宋体" w:hAnsi="宋体"/>
          <w:szCs w:val="21"/>
        </w:rPr>
        <w:t>日期：</w:t>
      </w:r>
    </w:p>
    <w:p>
      <w:pPr>
        <w:pStyle w:val="2"/>
      </w:pPr>
      <w:r>
        <w:rPr>
          <w:rFonts w:ascii="宋体"/>
          <w:szCs w:val="21"/>
        </w:rPr>
        <w:br w:type="page"/>
      </w:r>
      <w:bookmarkStart w:id="46" w:name="_Toc5024"/>
      <w:r>
        <w:rPr>
          <w:rFonts w:hint="eastAsia"/>
        </w:rPr>
        <w:t>附件六：资格证明资料</w:t>
      </w:r>
      <w:bookmarkEnd w:id="46"/>
    </w:p>
    <w:p>
      <w:pPr>
        <w:pStyle w:val="10"/>
        <w:adjustRightInd w:val="0"/>
        <w:snapToGrid w:val="0"/>
        <w:spacing w:line="300" w:lineRule="auto"/>
        <w:jc w:val="center"/>
        <w:rPr>
          <w:rFonts w:hAnsi="宋体"/>
          <w:b/>
          <w:color w:val="auto"/>
        </w:rPr>
      </w:pPr>
    </w:p>
    <w:p>
      <w:pPr>
        <w:pStyle w:val="10"/>
        <w:adjustRightInd w:val="0"/>
        <w:snapToGrid w:val="0"/>
        <w:spacing w:line="300" w:lineRule="auto"/>
        <w:jc w:val="center"/>
        <w:rPr>
          <w:rFonts w:hAnsi="宋体"/>
          <w:b/>
          <w:color w:val="auto"/>
        </w:rPr>
      </w:pPr>
    </w:p>
    <w:p>
      <w:pPr>
        <w:pStyle w:val="10"/>
        <w:adjustRightInd w:val="0"/>
        <w:snapToGrid w:val="0"/>
        <w:spacing w:line="300" w:lineRule="auto"/>
        <w:jc w:val="center"/>
        <w:rPr>
          <w:rFonts w:hAnsi="宋体"/>
          <w:b/>
          <w:color w:val="auto"/>
        </w:rPr>
      </w:pPr>
    </w:p>
    <w:p>
      <w:pPr>
        <w:pStyle w:val="10"/>
        <w:adjustRightInd w:val="0"/>
        <w:snapToGrid w:val="0"/>
        <w:spacing w:line="300" w:lineRule="auto"/>
        <w:jc w:val="center"/>
        <w:rPr>
          <w:rFonts w:hAnsi="宋体"/>
          <w:b/>
          <w:color w:val="auto"/>
        </w:rPr>
      </w:pPr>
    </w:p>
    <w:p>
      <w:pPr>
        <w:pStyle w:val="10"/>
        <w:adjustRightInd w:val="0"/>
        <w:snapToGrid w:val="0"/>
        <w:spacing w:line="300" w:lineRule="auto"/>
        <w:jc w:val="center"/>
        <w:rPr>
          <w:rFonts w:hAnsi="宋体"/>
          <w:b/>
          <w:color w:val="auto"/>
        </w:rPr>
      </w:pPr>
    </w:p>
    <w:p>
      <w:pPr>
        <w:pStyle w:val="10"/>
        <w:adjustRightInd w:val="0"/>
        <w:snapToGrid w:val="0"/>
        <w:spacing w:line="300" w:lineRule="auto"/>
        <w:jc w:val="center"/>
        <w:rPr>
          <w:rFonts w:hAnsi="宋体"/>
          <w:b/>
          <w:color w:val="auto"/>
        </w:rPr>
      </w:pPr>
    </w:p>
    <w:p>
      <w:pPr>
        <w:pStyle w:val="10"/>
        <w:adjustRightInd w:val="0"/>
        <w:snapToGrid w:val="0"/>
        <w:spacing w:line="300" w:lineRule="auto"/>
        <w:jc w:val="center"/>
        <w:rPr>
          <w:rFonts w:hAnsi="宋体"/>
          <w:b/>
          <w:color w:val="auto"/>
        </w:rPr>
      </w:pPr>
    </w:p>
    <w:p>
      <w:pPr>
        <w:pStyle w:val="10"/>
        <w:adjustRightInd w:val="0"/>
        <w:snapToGrid w:val="0"/>
        <w:spacing w:line="300" w:lineRule="auto"/>
        <w:jc w:val="center"/>
        <w:rPr>
          <w:rFonts w:hAnsi="宋体"/>
          <w:b/>
          <w:color w:val="auto"/>
        </w:rPr>
      </w:pPr>
    </w:p>
    <w:p>
      <w:pPr>
        <w:pStyle w:val="10"/>
        <w:adjustRightInd w:val="0"/>
        <w:snapToGrid w:val="0"/>
        <w:spacing w:line="300" w:lineRule="auto"/>
        <w:jc w:val="center"/>
        <w:rPr>
          <w:rFonts w:hAnsi="宋体"/>
          <w:b/>
          <w:color w:val="auto"/>
        </w:rPr>
      </w:pPr>
    </w:p>
    <w:p>
      <w:pPr>
        <w:pStyle w:val="10"/>
        <w:adjustRightInd w:val="0"/>
        <w:snapToGrid w:val="0"/>
        <w:spacing w:line="300" w:lineRule="auto"/>
        <w:jc w:val="center"/>
        <w:rPr>
          <w:rFonts w:hAnsi="宋体"/>
          <w:b/>
          <w:color w:val="auto"/>
        </w:rPr>
      </w:pPr>
    </w:p>
    <w:p>
      <w:pPr>
        <w:pStyle w:val="10"/>
        <w:adjustRightInd w:val="0"/>
        <w:snapToGrid w:val="0"/>
        <w:spacing w:line="300" w:lineRule="auto"/>
        <w:jc w:val="center"/>
        <w:rPr>
          <w:rFonts w:hAnsi="宋体"/>
          <w:b/>
          <w:color w:val="auto"/>
        </w:rPr>
      </w:pPr>
    </w:p>
    <w:p>
      <w:pPr>
        <w:pStyle w:val="10"/>
        <w:adjustRightInd w:val="0"/>
        <w:snapToGrid w:val="0"/>
        <w:spacing w:line="300" w:lineRule="auto"/>
        <w:jc w:val="center"/>
        <w:rPr>
          <w:rFonts w:hAnsi="宋体"/>
          <w:b/>
          <w:color w:val="auto"/>
        </w:rPr>
      </w:pPr>
    </w:p>
    <w:p>
      <w:pPr>
        <w:pStyle w:val="10"/>
        <w:adjustRightInd w:val="0"/>
        <w:snapToGrid w:val="0"/>
        <w:spacing w:line="300" w:lineRule="auto"/>
        <w:jc w:val="center"/>
        <w:rPr>
          <w:rFonts w:hAnsi="宋体"/>
          <w:b/>
          <w:color w:val="auto"/>
        </w:rPr>
      </w:pPr>
    </w:p>
    <w:p>
      <w:pPr>
        <w:pStyle w:val="10"/>
        <w:adjustRightInd w:val="0"/>
        <w:snapToGrid w:val="0"/>
        <w:spacing w:line="300" w:lineRule="auto"/>
        <w:jc w:val="center"/>
        <w:rPr>
          <w:rFonts w:hAnsi="宋体"/>
          <w:b/>
          <w:color w:val="auto"/>
        </w:rPr>
      </w:pPr>
    </w:p>
    <w:p>
      <w:pPr>
        <w:pStyle w:val="10"/>
        <w:adjustRightInd w:val="0"/>
        <w:snapToGrid w:val="0"/>
        <w:spacing w:line="300" w:lineRule="auto"/>
        <w:jc w:val="center"/>
        <w:rPr>
          <w:rFonts w:hAnsi="宋体"/>
          <w:b/>
          <w:color w:val="auto"/>
        </w:rPr>
      </w:pPr>
    </w:p>
    <w:p>
      <w:pPr>
        <w:pStyle w:val="10"/>
        <w:adjustRightInd w:val="0"/>
        <w:snapToGrid w:val="0"/>
        <w:spacing w:line="300" w:lineRule="auto"/>
        <w:jc w:val="center"/>
        <w:rPr>
          <w:rFonts w:hAnsi="宋体"/>
          <w:b/>
          <w:color w:val="auto"/>
        </w:rPr>
      </w:pPr>
    </w:p>
    <w:p>
      <w:pPr>
        <w:pStyle w:val="10"/>
        <w:adjustRightInd w:val="0"/>
        <w:snapToGrid w:val="0"/>
        <w:spacing w:line="300" w:lineRule="auto"/>
        <w:jc w:val="center"/>
        <w:rPr>
          <w:rFonts w:hAnsi="宋体"/>
          <w:b/>
          <w:color w:val="auto"/>
        </w:rPr>
      </w:pPr>
    </w:p>
    <w:p>
      <w:pPr>
        <w:pStyle w:val="10"/>
        <w:adjustRightInd w:val="0"/>
        <w:snapToGrid w:val="0"/>
        <w:spacing w:line="300" w:lineRule="auto"/>
        <w:jc w:val="center"/>
        <w:rPr>
          <w:rFonts w:hAnsi="宋体"/>
          <w:b/>
          <w:color w:val="auto"/>
        </w:rPr>
      </w:pPr>
    </w:p>
    <w:p>
      <w:pPr>
        <w:pStyle w:val="10"/>
        <w:adjustRightInd w:val="0"/>
        <w:snapToGrid w:val="0"/>
        <w:spacing w:line="300" w:lineRule="auto"/>
        <w:jc w:val="center"/>
        <w:rPr>
          <w:rFonts w:hAnsi="宋体"/>
          <w:b/>
          <w:color w:val="auto"/>
        </w:rPr>
      </w:pPr>
    </w:p>
    <w:p>
      <w:pPr>
        <w:pStyle w:val="10"/>
        <w:adjustRightInd w:val="0"/>
        <w:snapToGrid w:val="0"/>
        <w:spacing w:line="300" w:lineRule="auto"/>
        <w:jc w:val="center"/>
        <w:rPr>
          <w:rFonts w:hAnsi="宋体"/>
          <w:b/>
          <w:color w:val="auto"/>
        </w:rPr>
      </w:pPr>
    </w:p>
    <w:p>
      <w:pPr>
        <w:pStyle w:val="10"/>
        <w:adjustRightInd w:val="0"/>
        <w:snapToGrid w:val="0"/>
        <w:spacing w:line="300" w:lineRule="auto"/>
        <w:jc w:val="center"/>
        <w:rPr>
          <w:rFonts w:hAnsi="宋体"/>
          <w:b/>
          <w:color w:val="auto"/>
        </w:rPr>
      </w:pPr>
    </w:p>
    <w:p>
      <w:pPr>
        <w:pStyle w:val="10"/>
        <w:adjustRightInd w:val="0"/>
        <w:snapToGrid w:val="0"/>
        <w:spacing w:line="300" w:lineRule="auto"/>
        <w:jc w:val="center"/>
        <w:rPr>
          <w:rFonts w:hAnsi="宋体"/>
          <w:b/>
          <w:color w:val="auto"/>
        </w:rPr>
      </w:pPr>
    </w:p>
    <w:p>
      <w:pPr>
        <w:pStyle w:val="10"/>
        <w:adjustRightInd w:val="0"/>
        <w:snapToGrid w:val="0"/>
        <w:spacing w:line="300" w:lineRule="auto"/>
        <w:jc w:val="center"/>
        <w:rPr>
          <w:rFonts w:hAnsi="宋体"/>
          <w:b/>
          <w:color w:val="auto"/>
        </w:rPr>
      </w:pPr>
    </w:p>
    <w:p>
      <w:pPr>
        <w:pStyle w:val="10"/>
        <w:adjustRightInd w:val="0"/>
        <w:snapToGrid w:val="0"/>
        <w:spacing w:line="300" w:lineRule="auto"/>
        <w:jc w:val="center"/>
        <w:rPr>
          <w:rFonts w:hAnsi="宋体"/>
          <w:b/>
          <w:color w:val="auto"/>
        </w:rPr>
      </w:pPr>
    </w:p>
    <w:p>
      <w:pPr>
        <w:pStyle w:val="10"/>
        <w:adjustRightInd w:val="0"/>
        <w:snapToGrid w:val="0"/>
        <w:spacing w:line="300" w:lineRule="auto"/>
        <w:jc w:val="center"/>
        <w:rPr>
          <w:rFonts w:hAnsi="宋体"/>
          <w:b/>
          <w:color w:val="auto"/>
        </w:rPr>
      </w:pPr>
    </w:p>
    <w:p>
      <w:pPr>
        <w:pStyle w:val="10"/>
        <w:adjustRightInd w:val="0"/>
        <w:snapToGrid w:val="0"/>
        <w:spacing w:line="300" w:lineRule="auto"/>
        <w:jc w:val="center"/>
        <w:rPr>
          <w:rFonts w:hAnsi="宋体"/>
          <w:b/>
          <w:color w:val="auto"/>
        </w:rPr>
      </w:pPr>
    </w:p>
    <w:p>
      <w:pPr>
        <w:pStyle w:val="10"/>
        <w:adjustRightInd w:val="0"/>
        <w:snapToGrid w:val="0"/>
        <w:spacing w:line="300" w:lineRule="auto"/>
        <w:jc w:val="center"/>
        <w:rPr>
          <w:rFonts w:hAnsi="宋体"/>
          <w:b/>
          <w:color w:val="auto"/>
        </w:rPr>
      </w:pPr>
    </w:p>
    <w:p>
      <w:pPr>
        <w:pStyle w:val="10"/>
        <w:adjustRightInd w:val="0"/>
        <w:snapToGrid w:val="0"/>
        <w:spacing w:line="300" w:lineRule="auto"/>
        <w:jc w:val="center"/>
        <w:rPr>
          <w:rFonts w:hAnsi="宋体"/>
          <w:b/>
          <w:color w:val="auto"/>
        </w:rPr>
      </w:pPr>
    </w:p>
    <w:p>
      <w:pPr>
        <w:pStyle w:val="10"/>
        <w:adjustRightInd w:val="0"/>
        <w:snapToGrid w:val="0"/>
        <w:spacing w:line="300" w:lineRule="auto"/>
        <w:jc w:val="center"/>
        <w:rPr>
          <w:rFonts w:hAnsi="宋体"/>
          <w:b/>
          <w:color w:val="auto"/>
        </w:rPr>
      </w:pPr>
    </w:p>
    <w:p>
      <w:pPr>
        <w:pStyle w:val="10"/>
        <w:adjustRightInd w:val="0"/>
        <w:snapToGrid w:val="0"/>
        <w:spacing w:line="300" w:lineRule="auto"/>
        <w:jc w:val="center"/>
        <w:rPr>
          <w:rFonts w:hAnsi="宋体"/>
          <w:b/>
          <w:color w:val="auto"/>
        </w:rPr>
      </w:pPr>
    </w:p>
    <w:p>
      <w:pPr>
        <w:pStyle w:val="10"/>
        <w:adjustRightInd w:val="0"/>
        <w:snapToGrid w:val="0"/>
        <w:spacing w:line="300" w:lineRule="auto"/>
        <w:jc w:val="center"/>
        <w:rPr>
          <w:rFonts w:hAnsi="宋体"/>
          <w:b/>
          <w:color w:val="auto"/>
        </w:rPr>
      </w:pPr>
    </w:p>
    <w:p>
      <w:pPr>
        <w:pStyle w:val="10"/>
        <w:adjustRightInd w:val="0"/>
        <w:snapToGrid w:val="0"/>
        <w:spacing w:line="300" w:lineRule="auto"/>
        <w:jc w:val="center"/>
        <w:rPr>
          <w:rFonts w:hAnsi="宋体"/>
          <w:b/>
          <w:color w:val="auto"/>
        </w:rPr>
      </w:pPr>
    </w:p>
    <w:p>
      <w:pPr>
        <w:pStyle w:val="10"/>
        <w:adjustRightInd w:val="0"/>
        <w:snapToGrid w:val="0"/>
        <w:spacing w:line="300" w:lineRule="auto"/>
        <w:jc w:val="center"/>
        <w:rPr>
          <w:rFonts w:hAnsi="宋体"/>
          <w:b/>
          <w:color w:val="auto"/>
        </w:rPr>
      </w:pPr>
    </w:p>
    <w:p>
      <w:pPr>
        <w:pStyle w:val="10"/>
        <w:adjustRightInd w:val="0"/>
        <w:snapToGrid w:val="0"/>
        <w:spacing w:line="300" w:lineRule="auto"/>
        <w:jc w:val="center"/>
        <w:rPr>
          <w:rFonts w:hAnsi="宋体"/>
          <w:b/>
          <w:color w:val="auto"/>
        </w:rPr>
      </w:pPr>
    </w:p>
    <w:p>
      <w:pPr>
        <w:pStyle w:val="2"/>
        <w:rPr>
          <w:rFonts w:hAnsi="宋体"/>
        </w:rPr>
      </w:pPr>
      <w:bookmarkStart w:id="47" w:name="_Toc398494735"/>
      <w:bookmarkStart w:id="48" w:name="_Toc186914358"/>
      <w:bookmarkStart w:id="49" w:name="_Toc15337"/>
      <w:bookmarkStart w:id="50" w:name="_Toc324147722"/>
      <w:bookmarkStart w:id="51" w:name="_Toc186914068"/>
      <w:bookmarkStart w:id="52" w:name="_Toc186913976"/>
      <w:bookmarkStart w:id="53" w:name="_Toc186914162"/>
      <w:bookmarkStart w:id="54" w:name="_Toc364948836"/>
      <w:bookmarkStart w:id="55" w:name="_Toc7313"/>
      <w:bookmarkStart w:id="56" w:name="_Toc32122"/>
      <w:r>
        <w:br w:type="page"/>
      </w:r>
      <w:bookmarkEnd w:id="47"/>
      <w:bookmarkStart w:id="57" w:name="_Toc36633353"/>
      <w:bookmarkStart w:id="58" w:name="_Toc20891"/>
      <w:r>
        <w:rPr>
          <w:rFonts w:hint="eastAsia" w:hAnsi="宋体"/>
        </w:rPr>
        <w:t>附件七：</w:t>
      </w:r>
      <w:bookmarkEnd w:id="57"/>
      <w:r>
        <w:rPr>
          <w:rFonts w:hint="eastAsia"/>
        </w:rPr>
        <w:t>技术部分</w:t>
      </w:r>
      <w:bookmarkEnd w:id="58"/>
    </w:p>
    <w:p>
      <w:pPr>
        <w:pStyle w:val="2"/>
      </w:pPr>
      <w:r>
        <w:br w:type="page"/>
      </w:r>
      <w:bookmarkEnd w:id="48"/>
      <w:bookmarkEnd w:id="49"/>
      <w:bookmarkEnd w:id="50"/>
      <w:bookmarkEnd w:id="51"/>
      <w:bookmarkEnd w:id="52"/>
      <w:bookmarkEnd w:id="53"/>
      <w:bookmarkEnd w:id="54"/>
      <w:bookmarkEnd w:id="55"/>
      <w:bookmarkEnd w:id="56"/>
      <w:bookmarkStart w:id="59" w:name="_Toc36633354"/>
      <w:bookmarkStart w:id="60" w:name="_Toc9743"/>
      <w:bookmarkStart w:id="61" w:name="_Toc186914072"/>
      <w:bookmarkStart w:id="62" w:name="_Toc186913980"/>
      <w:bookmarkStart w:id="63" w:name="_Toc364948839"/>
      <w:bookmarkStart w:id="64" w:name="_Toc186914361"/>
      <w:bookmarkStart w:id="65" w:name="_Toc186914165"/>
      <w:bookmarkStart w:id="66" w:name="_Toc30952"/>
      <w:bookmarkStart w:id="67" w:name="_Toc16331"/>
      <w:bookmarkStart w:id="68" w:name="_Toc11358"/>
      <w:bookmarkStart w:id="69" w:name="_Toc324147726"/>
      <w:r>
        <w:rPr>
          <w:rFonts w:hint="eastAsia"/>
        </w:rPr>
        <w:t>附件八：</w:t>
      </w:r>
      <w:bookmarkEnd w:id="59"/>
      <w:r>
        <w:rPr>
          <w:rFonts w:hint="eastAsia"/>
        </w:rPr>
        <w:t>商务部分</w:t>
      </w:r>
      <w:bookmarkEnd w:id="60"/>
    </w:p>
    <w:p/>
    <w:p>
      <w:pPr>
        <w:pStyle w:val="2"/>
      </w:pPr>
      <w:r>
        <w:br w:type="page"/>
      </w:r>
      <w:bookmarkStart w:id="70" w:name="_Toc8823"/>
      <w:r>
        <w:rPr>
          <w:rFonts w:hint="eastAsia"/>
        </w:rPr>
        <w:t>附件九：评分标准中要求的其他资料</w:t>
      </w:r>
      <w:bookmarkEnd w:id="70"/>
    </w:p>
    <w:bookmarkEnd w:id="61"/>
    <w:bookmarkEnd w:id="62"/>
    <w:bookmarkEnd w:id="63"/>
    <w:bookmarkEnd w:id="64"/>
    <w:bookmarkEnd w:id="65"/>
    <w:bookmarkEnd w:id="66"/>
    <w:bookmarkEnd w:id="67"/>
    <w:bookmarkEnd w:id="68"/>
    <w:bookmarkEnd w:id="69"/>
    <w:p/>
    <w:p>
      <w:pPr>
        <w:rPr>
          <w:snapToGrid w:val="0"/>
          <w:kern w:val="0"/>
        </w:rPr>
      </w:pPr>
    </w:p>
    <w:p>
      <w:pPr>
        <w:tabs>
          <w:tab w:val="left" w:pos="3255"/>
          <w:tab w:val="left" w:pos="3465"/>
        </w:tabs>
        <w:spacing w:line="480" w:lineRule="auto"/>
        <w:ind w:firstLine="1680" w:firstLineChars="800"/>
        <w:rPr>
          <w:szCs w:val="21"/>
        </w:rPr>
      </w:pPr>
    </w:p>
    <w:p>
      <w:pPr>
        <w:tabs>
          <w:tab w:val="left" w:pos="3255"/>
          <w:tab w:val="left" w:pos="3465"/>
        </w:tabs>
        <w:spacing w:line="480" w:lineRule="auto"/>
        <w:ind w:firstLine="1680" w:firstLineChars="800"/>
        <w:rPr>
          <w:szCs w:val="21"/>
        </w:rPr>
      </w:pPr>
    </w:p>
    <w:p>
      <w:pPr>
        <w:tabs>
          <w:tab w:val="left" w:pos="3255"/>
          <w:tab w:val="left" w:pos="3465"/>
        </w:tabs>
        <w:spacing w:line="480" w:lineRule="auto"/>
        <w:ind w:firstLine="1680" w:firstLineChars="800"/>
        <w:rPr>
          <w:szCs w:val="21"/>
        </w:rPr>
      </w:pPr>
    </w:p>
    <w:p>
      <w:pPr>
        <w:jc w:val="left"/>
        <w:outlineLvl w:val="1"/>
        <w:rPr>
          <w:szCs w:val="21"/>
        </w:rPr>
        <w:sectPr>
          <w:pgSz w:w="11906" w:h="16838"/>
          <w:pgMar w:top="1100" w:right="1134" w:bottom="1560" w:left="1134" w:header="709" w:footer="992" w:gutter="0"/>
          <w:cols w:space="720" w:num="1"/>
          <w:docGrid w:type="lines" w:linePitch="312" w:charSpace="0"/>
        </w:sectPr>
      </w:pPr>
    </w:p>
    <w:p>
      <w:pPr>
        <w:pStyle w:val="2"/>
      </w:pPr>
      <w:bookmarkStart w:id="71" w:name="_Toc4392"/>
      <w:r>
        <w:rPr>
          <w:rFonts w:hint="eastAsia"/>
        </w:rPr>
        <w:t>附件十、无重大违法记录声明</w:t>
      </w:r>
      <w:bookmarkEnd w:id="71"/>
    </w:p>
    <w:p>
      <w:pPr>
        <w:widowControl/>
        <w:spacing w:line="360" w:lineRule="auto"/>
        <w:jc w:val="left"/>
        <w:rPr>
          <w:rFonts w:ascii="宋体" w:hAnsi="宋体" w:cs="仿宋_GB2312"/>
          <w:szCs w:val="21"/>
        </w:rPr>
      </w:pPr>
      <w:r>
        <w:rPr>
          <w:rFonts w:hint="eastAsia" w:ascii="宋体" w:hAnsi="宋体" w:cs="仿宋_GB2312"/>
          <w:kern w:val="0"/>
          <w:szCs w:val="21"/>
        </w:rPr>
        <w:t>采购人和采购代理机构：</w:t>
      </w:r>
    </w:p>
    <w:p>
      <w:pPr>
        <w:widowControl/>
        <w:spacing w:line="360" w:lineRule="auto"/>
        <w:jc w:val="left"/>
        <w:rPr>
          <w:rFonts w:ascii="宋体" w:hAnsi="宋体" w:cs="仿宋_GB2312"/>
          <w:szCs w:val="21"/>
        </w:rPr>
      </w:pPr>
      <w:r>
        <w:rPr>
          <w:rFonts w:hint="eastAsia" w:ascii="宋体" w:hAnsi="宋体" w:cs="仿宋_GB2312"/>
          <w:kern w:val="0"/>
          <w:szCs w:val="21"/>
        </w:rPr>
        <w:t>我方在此声明，我方在参加本次采购活动前三年内，在经营活动中没有以下重大违法记录：</w:t>
      </w:r>
    </w:p>
    <w:p>
      <w:pPr>
        <w:widowControl/>
        <w:spacing w:line="360" w:lineRule="auto"/>
        <w:jc w:val="left"/>
        <w:rPr>
          <w:rFonts w:ascii="宋体" w:hAnsi="宋体" w:cs="仿宋_GB2312"/>
          <w:szCs w:val="21"/>
        </w:rPr>
      </w:pPr>
      <w:r>
        <w:rPr>
          <w:rFonts w:hint="eastAsia" w:ascii="宋体" w:hAnsi="宋体" w:cs="仿宋_GB2312"/>
          <w:kern w:val="0"/>
          <w:szCs w:val="21"/>
        </w:rPr>
        <w:t>1.我方因违法经营被追究过刑事责任；</w:t>
      </w:r>
    </w:p>
    <w:p>
      <w:pPr>
        <w:widowControl/>
        <w:spacing w:line="360" w:lineRule="auto"/>
        <w:jc w:val="left"/>
        <w:rPr>
          <w:rFonts w:ascii="宋体" w:hAnsi="宋体" w:cs="仿宋_GB2312"/>
          <w:szCs w:val="21"/>
        </w:rPr>
      </w:pPr>
      <w:r>
        <w:rPr>
          <w:rFonts w:hint="eastAsia" w:ascii="宋体" w:hAnsi="宋体" w:cs="仿宋_GB2312"/>
          <w:kern w:val="0"/>
          <w:szCs w:val="21"/>
        </w:rPr>
        <w:t>2.我方因违法经营被责令停产停业、吊销许可证或者执照；</w:t>
      </w:r>
    </w:p>
    <w:p>
      <w:pPr>
        <w:widowControl/>
        <w:spacing w:line="360" w:lineRule="auto"/>
        <w:jc w:val="left"/>
        <w:rPr>
          <w:rFonts w:ascii="宋体" w:hAnsi="宋体" w:cs="仿宋_GB2312"/>
          <w:szCs w:val="21"/>
        </w:rPr>
      </w:pPr>
      <w:r>
        <w:rPr>
          <w:rFonts w:hint="eastAsia" w:ascii="宋体" w:hAnsi="宋体" w:cs="仿宋_GB2312"/>
          <w:kern w:val="0"/>
          <w:szCs w:val="21"/>
        </w:rPr>
        <w:t>3.我方因违法经营被处以较大数额罚款等行政处罚。</w:t>
      </w:r>
    </w:p>
    <w:p>
      <w:pPr>
        <w:widowControl/>
        <w:spacing w:line="360" w:lineRule="auto"/>
        <w:jc w:val="left"/>
        <w:rPr>
          <w:rFonts w:ascii="宋体" w:hAnsi="宋体" w:cs="仿宋_GB2312"/>
          <w:szCs w:val="21"/>
        </w:rPr>
      </w:pPr>
      <w:r>
        <w:rPr>
          <w:rFonts w:hint="eastAsia" w:ascii="宋体" w:hAnsi="宋体" w:cs="仿宋_GB2312"/>
          <w:kern w:val="0"/>
          <w:szCs w:val="21"/>
        </w:rPr>
        <w:t>随本声明附上我方参加本次采购活动前3年内发生的诉讼及仲裁情况表以及相关的法律证明文件供贵方核验。我方保证上述信息的完整、客观、真实、准确，并愿意承担我方因提供虚假材料谋骗取中标、成交所引起的一切法律后果。</w:t>
      </w:r>
    </w:p>
    <w:p>
      <w:pPr>
        <w:widowControl/>
        <w:spacing w:line="360" w:lineRule="auto"/>
        <w:jc w:val="left"/>
        <w:rPr>
          <w:rFonts w:ascii="宋体" w:hAnsi="宋体" w:cs="仿宋_GB2312"/>
          <w:kern w:val="0"/>
          <w:szCs w:val="21"/>
        </w:rPr>
      </w:pPr>
      <w:r>
        <w:rPr>
          <w:rFonts w:hint="eastAsia" w:ascii="宋体" w:hAnsi="宋体" w:cs="仿宋_GB2312"/>
          <w:kern w:val="0"/>
          <w:szCs w:val="21"/>
        </w:rPr>
        <w:t>特此声明！</w:t>
      </w:r>
    </w:p>
    <w:p>
      <w:pPr>
        <w:widowControl/>
        <w:spacing w:line="360" w:lineRule="auto"/>
        <w:jc w:val="left"/>
        <w:rPr>
          <w:rFonts w:ascii="宋体" w:hAnsi="宋体" w:cs="仿宋_GB2312"/>
          <w:kern w:val="0"/>
          <w:szCs w:val="21"/>
        </w:rPr>
      </w:pPr>
    </w:p>
    <w:p>
      <w:pPr>
        <w:widowControl/>
        <w:spacing w:line="360" w:lineRule="auto"/>
        <w:jc w:val="left"/>
        <w:rPr>
          <w:rFonts w:ascii="宋体" w:hAnsi="宋体" w:cs="仿宋_GB2312"/>
          <w:kern w:val="0"/>
          <w:szCs w:val="21"/>
        </w:rPr>
      </w:pPr>
    </w:p>
    <w:p>
      <w:pPr>
        <w:widowControl/>
        <w:spacing w:line="360" w:lineRule="auto"/>
        <w:jc w:val="left"/>
        <w:rPr>
          <w:rFonts w:ascii="宋体" w:hAnsi="宋体" w:cs="仿宋_GB2312"/>
          <w:szCs w:val="21"/>
        </w:rPr>
      </w:pPr>
      <w:r>
        <w:rPr>
          <w:rFonts w:hint="eastAsia" w:ascii="宋体" w:hAnsi="宋体" w:cs="仿宋_GB2312"/>
          <w:kern w:val="0"/>
          <w:szCs w:val="21"/>
        </w:rPr>
        <w:t>供应商法定代表人或授权代表签字：</w:t>
      </w:r>
    </w:p>
    <w:p>
      <w:pPr>
        <w:widowControl/>
        <w:spacing w:line="360" w:lineRule="auto"/>
        <w:jc w:val="left"/>
        <w:rPr>
          <w:rFonts w:ascii="宋体" w:hAnsi="宋体" w:cs="仿宋_GB2312"/>
          <w:szCs w:val="21"/>
        </w:rPr>
      </w:pPr>
      <w:r>
        <w:rPr>
          <w:rFonts w:hint="eastAsia" w:ascii="宋体" w:hAnsi="宋体" w:cs="仿宋_GB2312"/>
          <w:kern w:val="0"/>
          <w:szCs w:val="21"/>
        </w:rPr>
        <w:t>供应商名称（签章）：</w:t>
      </w:r>
    </w:p>
    <w:p>
      <w:pPr>
        <w:widowControl/>
        <w:spacing w:line="360" w:lineRule="auto"/>
        <w:jc w:val="left"/>
        <w:rPr>
          <w:rFonts w:ascii="宋体" w:hAnsi="宋体" w:cs="仿宋_GB2312"/>
          <w:kern w:val="0"/>
          <w:szCs w:val="21"/>
        </w:rPr>
      </w:pPr>
      <w:r>
        <w:rPr>
          <w:rFonts w:hint="eastAsia" w:ascii="宋体" w:hAnsi="宋体" w:cs="仿宋_GB2312"/>
          <w:kern w:val="0"/>
          <w:szCs w:val="21"/>
        </w:rPr>
        <w:t>时间：年月日</w:t>
      </w:r>
    </w:p>
    <w:p>
      <w:pPr>
        <w:widowControl/>
        <w:spacing w:line="360" w:lineRule="auto"/>
        <w:jc w:val="left"/>
        <w:rPr>
          <w:rFonts w:ascii="宋体" w:hAnsi="宋体" w:cs="仿宋_GB2312"/>
          <w:kern w:val="0"/>
          <w:szCs w:val="21"/>
        </w:rPr>
      </w:pPr>
    </w:p>
    <w:p>
      <w:pPr>
        <w:widowControl/>
        <w:spacing w:line="360" w:lineRule="auto"/>
        <w:jc w:val="left"/>
        <w:rPr>
          <w:rFonts w:ascii="宋体" w:hAnsi="宋体" w:cs="仿宋_GB2312"/>
          <w:kern w:val="0"/>
          <w:sz w:val="24"/>
        </w:rPr>
      </w:pPr>
    </w:p>
    <w:p>
      <w:pPr>
        <w:widowControl/>
        <w:spacing w:line="360" w:lineRule="auto"/>
        <w:jc w:val="left"/>
        <w:rPr>
          <w:rFonts w:ascii="宋体" w:hAnsi="宋体" w:cs="仿宋_GB2312"/>
          <w:kern w:val="0"/>
          <w:sz w:val="24"/>
        </w:rPr>
      </w:pPr>
    </w:p>
    <w:p>
      <w:pPr>
        <w:widowControl/>
        <w:spacing w:line="360" w:lineRule="auto"/>
        <w:jc w:val="left"/>
        <w:rPr>
          <w:rFonts w:ascii="宋体" w:hAnsi="宋体" w:cs="仿宋_GB2312"/>
          <w:kern w:val="0"/>
          <w:sz w:val="24"/>
        </w:rPr>
      </w:pPr>
    </w:p>
    <w:p>
      <w:pPr>
        <w:widowControl/>
        <w:spacing w:line="360" w:lineRule="auto"/>
        <w:jc w:val="left"/>
        <w:rPr>
          <w:rFonts w:ascii="宋体" w:hAnsi="宋体" w:cs="仿宋_GB2312"/>
          <w:kern w:val="0"/>
          <w:sz w:val="24"/>
        </w:rPr>
      </w:pPr>
    </w:p>
    <w:p>
      <w:pPr>
        <w:widowControl/>
        <w:spacing w:line="360" w:lineRule="auto"/>
        <w:jc w:val="left"/>
        <w:rPr>
          <w:rFonts w:ascii="宋体" w:hAnsi="宋体" w:cs="仿宋_GB2312"/>
          <w:kern w:val="0"/>
          <w:sz w:val="24"/>
        </w:rPr>
      </w:pPr>
    </w:p>
    <w:p>
      <w:pPr>
        <w:widowControl/>
        <w:spacing w:line="360" w:lineRule="auto"/>
        <w:jc w:val="left"/>
        <w:rPr>
          <w:rFonts w:ascii="宋体" w:hAnsi="宋体" w:cs="仿宋_GB2312"/>
          <w:kern w:val="0"/>
          <w:sz w:val="24"/>
        </w:rPr>
      </w:pPr>
    </w:p>
    <w:p>
      <w:pPr>
        <w:widowControl/>
        <w:spacing w:line="360" w:lineRule="auto"/>
        <w:jc w:val="left"/>
        <w:rPr>
          <w:rFonts w:ascii="宋体" w:hAnsi="宋体" w:cs="仿宋_GB2312"/>
          <w:kern w:val="0"/>
          <w:sz w:val="24"/>
        </w:rPr>
      </w:pPr>
    </w:p>
    <w:p>
      <w:pPr>
        <w:widowControl/>
        <w:spacing w:line="360" w:lineRule="auto"/>
        <w:jc w:val="left"/>
        <w:rPr>
          <w:rFonts w:ascii="宋体" w:hAnsi="宋体" w:cs="仿宋_GB2312"/>
          <w:kern w:val="0"/>
          <w:sz w:val="24"/>
        </w:rPr>
      </w:pPr>
    </w:p>
    <w:p>
      <w:pPr>
        <w:widowControl/>
        <w:spacing w:line="360" w:lineRule="auto"/>
        <w:jc w:val="left"/>
        <w:rPr>
          <w:rFonts w:ascii="宋体" w:hAnsi="宋体" w:cs="仿宋_GB2312"/>
          <w:kern w:val="0"/>
          <w:sz w:val="24"/>
        </w:rPr>
      </w:pPr>
    </w:p>
    <w:p>
      <w:pPr>
        <w:pStyle w:val="2"/>
      </w:pPr>
      <w:r>
        <w:rPr>
          <w:kern w:val="0"/>
        </w:rPr>
        <w:br w:type="page"/>
      </w:r>
      <w:bookmarkStart w:id="72" w:name="_Toc26060"/>
      <w:r>
        <w:rPr>
          <w:rFonts w:hint="eastAsia"/>
          <w:kern w:val="0"/>
        </w:rPr>
        <w:t>附件十一、参加本次采购活动前3年内发生诉讼及仲裁情况表</w:t>
      </w:r>
      <w:bookmarkEnd w:id="72"/>
    </w:p>
    <w:p>
      <w:pPr>
        <w:widowControl/>
        <w:spacing w:line="360" w:lineRule="auto"/>
        <w:jc w:val="left"/>
        <w:rPr>
          <w:rFonts w:ascii="宋体" w:hAnsi="宋体" w:cs="仿宋_GB2312"/>
          <w:kern w:val="0"/>
          <w:sz w:val="24"/>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50"/>
        <w:gridCol w:w="1418"/>
        <w:gridCol w:w="3590"/>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widowControl/>
              <w:spacing w:line="360" w:lineRule="auto"/>
              <w:jc w:val="center"/>
              <w:rPr>
                <w:rFonts w:ascii="宋体" w:hAnsi="宋体" w:cs="仿宋_GB2312"/>
                <w:kern w:val="0"/>
                <w:szCs w:val="21"/>
              </w:rPr>
            </w:pPr>
            <w:r>
              <w:rPr>
                <w:rFonts w:hint="eastAsia" w:ascii="宋体" w:hAnsi="宋体" w:cs="仿宋_GB2312"/>
                <w:kern w:val="0"/>
                <w:szCs w:val="21"/>
              </w:rPr>
              <w:t>类别</w:t>
            </w:r>
          </w:p>
        </w:tc>
        <w:tc>
          <w:tcPr>
            <w:tcW w:w="850" w:type="dxa"/>
          </w:tcPr>
          <w:p>
            <w:pPr>
              <w:widowControl/>
              <w:spacing w:line="360" w:lineRule="auto"/>
              <w:jc w:val="center"/>
              <w:rPr>
                <w:rFonts w:ascii="宋体" w:hAnsi="宋体" w:cs="仿宋_GB2312"/>
                <w:kern w:val="0"/>
                <w:szCs w:val="21"/>
              </w:rPr>
            </w:pPr>
            <w:r>
              <w:rPr>
                <w:rFonts w:hint="eastAsia" w:ascii="宋体" w:hAnsi="宋体" w:cs="仿宋_GB2312"/>
                <w:kern w:val="0"/>
                <w:szCs w:val="21"/>
              </w:rPr>
              <w:t>序号</w:t>
            </w:r>
          </w:p>
        </w:tc>
        <w:tc>
          <w:tcPr>
            <w:tcW w:w="1418" w:type="dxa"/>
          </w:tcPr>
          <w:p>
            <w:pPr>
              <w:widowControl/>
              <w:spacing w:line="360" w:lineRule="auto"/>
              <w:jc w:val="center"/>
              <w:rPr>
                <w:rFonts w:ascii="宋体" w:hAnsi="宋体" w:cs="仿宋_GB2312"/>
                <w:kern w:val="0"/>
                <w:szCs w:val="21"/>
              </w:rPr>
            </w:pPr>
            <w:r>
              <w:rPr>
                <w:rFonts w:hint="eastAsia" w:ascii="宋体" w:hAnsi="宋体" w:cs="仿宋_GB2312"/>
                <w:kern w:val="0"/>
                <w:szCs w:val="21"/>
              </w:rPr>
              <w:t>发生时间</w:t>
            </w:r>
          </w:p>
        </w:tc>
        <w:tc>
          <w:tcPr>
            <w:tcW w:w="3590" w:type="dxa"/>
          </w:tcPr>
          <w:p>
            <w:pPr>
              <w:widowControl/>
              <w:spacing w:line="360" w:lineRule="auto"/>
              <w:jc w:val="center"/>
              <w:rPr>
                <w:rFonts w:ascii="宋体" w:hAnsi="宋体" w:cs="仿宋_GB2312"/>
                <w:kern w:val="0"/>
                <w:szCs w:val="21"/>
              </w:rPr>
            </w:pPr>
            <w:r>
              <w:rPr>
                <w:rFonts w:hint="eastAsia" w:ascii="宋体" w:hAnsi="宋体" w:cs="仿宋_GB2312"/>
                <w:kern w:val="0"/>
                <w:szCs w:val="21"/>
              </w:rPr>
              <w:t>情况简介</w:t>
            </w:r>
          </w:p>
        </w:tc>
        <w:tc>
          <w:tcPr>
            <w:tcW w:w="1705" w:type="dxa"/>
          </w:tcPr>
          <w:p>
            <w:pPr>
              <w:widowControl/>
              <w:spacing w:line="360" w:lineRule="auto"/>
              <w:jc w:val="center"/>
              <w:rPr>
                <w:rFonts w:ascii="宋体" w:hAnsi="宋体" w:cs="仿宋_GB2312"/>
                <w:kern w:val="0"/>
                <w:szCs w:val="21"/>
              </w:rPr>
            </w:pPr>
            <w:r>
              <w:rPr>
                <w:rFonts w:hint="eastAsia" w:ascii="宋体" w:hAnsi="宋体" w:cs="仿宋_GB2312"/>
                <w:kern w:val="0"/>
                <w:szCs w:val="21"/>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vAlign w:val="center"/>
          </w:tcPr>
          <w:p>
            <w:pPr>
              <w:widowControl/>
              <w:spacing w:line="360" w:lineRule="auto"/>
              <w:jc w:val="center"/>
              <w:rPr>
                <w:rFonts w:ascii="宋体" w:hAnsi="宋体" w:cs="仿宋_GB2312"/>
                <w:szCs w:val="21"/>
              </w:rPr>
            </w:pPr>
            <w:r>
              <w:rPr>
                <w:rFonts w:hint="eastAsia" w:ascii="宋体" w:hAnsi="宋体" w:cs="仿宋_GB2312"/>
                <w:kern w:val="0"/>
                <w:szCs w:val="21"/>
              </w:rPr>
              <w:t>诉</w:t>
            </w:r>
          </w:p>
          <w:p>
            <w:pPr>
              <w:widowControl/>
              <w:spacing w:line="360" w:lineRule="auto"/>
              <w:jc w:val="center"/>
              <w:rPr>
                <w:rFonts w:ascii="宋体" w:hAnsi="宋体" w:cs="仿宋_GB2312"/>
                <w:szCs w:val="21"/>
              </w:rPr>
            </w:pPr>
            <w:r>
              <w:rPr>
                <w:rFonts w:hint="eastAsia" w:ascii="宋体" w:hAnsi="宋体" w:cs="仿宋_GB2312"/>
                <w:kern w:val="0"/>
                <w:szCs w:val="21"/>
              </w:rPr>
              <w:t>讼</w:t>
            </w:r>
          </w:p>
          <w:p>
            <w:pPr>
              <w:widowControl/>
              <w:spacing w:line="360" w:lineRule="auto"/>
              <w:jc w:val="center"/>
              <w:rPr>
                <w:rFonts w:ascii="宋体" w:hAnsi="宋体" w:cs="仿宋_GB2312"/>
                <w:szCs w:val="21"/>
              </w:rPr>
            </w:pPr>
            <w:r>
              <w:rPr>
                <w:rFonts w:hint="eastAsia" w:ascii="宋体" w:hAnsi="宋体" w:cs="仿宋_GB2312"/>
                <w:kern w:val="0"/>
                <w:szCs w:val="21"/>
              </w:rPr>
              <w:t>情</w:t>
            </w:r>
          </w:p>
          <w:p>
            <w:pPr>
              <w:widowControl/>
              <w:spacing w:line="360" w:lineRule="auto"/>
              <w:jc w:val="center"/>
              <w:rPr>
                <w:rFonts w:ascii="宋体" w:hAnsi="宋体" w:cs="仿宋_GB2312"/>
                <w:szCs w:val="21"/>
              </w:rPr>
            </w:pPr>
            <w:r>
              <w:rPr>
                <w:rFonts w:hint="eastAsia" w:ascii="宋体" w:hAnsi="宋体" w:cs="仿宋_GB2312"/>
                <w:kern w:val="0"/>
                <w:szCs w:val="21"/>
              </w:rPr>
              <w:t>况</w:t>
            </w:r>
          </w:p>
        </w:tc>
        <w:tc>
          <w:tcPr>
            <w:tcW w:w="850" w:type="dxa"/>
          </w:tcPr>
          <w:p>
            <w:pPr>
              <w:widowControl/>
              <w:spacing w:line="360" w:lineRule="auto"/>
              <w:jc w:val="left"/>
              <w:rPr>
                <w:rFonts w:ascii="宋体" w:hAnsi="宋体" w:cs="仿宋_GB2312"/>
                <w:kern w:val="0"/>
                <w:szCs w:val="21"/>
              </w:rPr>
            </w:pPr>
          </w:p>
        </w:tc>
        <w:tc>
          <w:tcPr>
            <w:tcW w:w="1418" w:type="dxa"/>
          </w:tcPr>
          <w:p>
            <w:pPr>
              <w:widowControl/>
              <w:spacing w:line="360" w:lineRule="auto"/>
              <w:jc w:val="left"/>
              <w:rPr>
                <w:rFonts w:ascii="宋体" w:hAnsi="宋体" w:cs="仿宋_GB2312"/>
                <w:kern w:val="0"/>
                <w:szCs w:val="21"/>
              </w:rPr>
            </w:pPr>
          </w:p>
        </w:tc>
        <w:tc>
          <w:tcPr>
            <w:tcW w:w="3590" w:type="dxa"/>
          </w:tcPr>
          <w:p>
            <w:pPr>
              <w:widowControl/>
              <w:spacing w:line="360" w:lineRule="auto"/>
              <w:jc w:val="left"/>
              <w:rPr>
                <w:rFonts w:ascii="宋体" w:hAnsi="宋体" w:cs="仿宋_GB2312"/>
                <w:kern w:val="0"/>
                <w:szCs w:val="21"/>
              </w:rPr>
            </w:pPr>
          </w:p>
        </w:tc>
        <w:tc>
          <w:tcPr>
            <w:tcW w:w="1705" w:type="dxa"/>
          </w:tcPr>
          <w:p>
            <w:pPr>
              <w:widowControl/>
              <w:spacing w:line="360" w:lineRule="auto"/>
              <w:jc w:val="left"/>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widowControl/>
              <w:spacing w:line="360" w:lineRule="auto"/>
              <w:jc w:val="center"/>
              <w:rPr>
                <w:rFonts w:ascii="宋体" w:hAnsi="宋体" w:cs="仿宋_GB2312"/>
                <w:kern w:val="0"/>
                <w:szCs w:val="21"/>
              </w:rPr>
            </w:pPr>
          </w:p>
        </w:tc>
        <w:tc>
          <w:tcPr>
            <w:tcW w:w="850" w:type="dxa"/>
          </w:tcPr>
          <w:p>
            <w:pPr>
              <w:widowControl/>
              <w:spacing w:line="360" w:lineRule="auto"/>
              <w:jc w:val="left"/>
              <w:rPr>
                <w:rFonts w:ascii="宋体" w:hAnsi="宋体" w:cs="仿宋_GB2312"/>
                <w:kern w:val="0"/>
                <w:szCs w:val="21"/>
              </w:rPr>
            </w:pPr>
          </w:p>
        </w:tc>
        <w:tc>
          <w:tcPr>
            <w:tcW w:w="1418" w:type="dxa"/>
          </w:tcPr>
          <w:p>
            <w:pPr>
              <w:widowControl/>
              <w:spacing w:line="360" w:lineRule="auto"/>
              <w:jc w:val="left"/>
              <w:rPr>
                <w:rFonts w:ascii="宋体" w:hAnsi="宋体" w:cs="仿宋_GB2312"/>
                <w:kern w:val="0"/>
                <w:szCs w:val="21"/>
              </w:rPr>
            </w:pPr>
          </w:p>
        </w:tc>
        <w:tc>
          <w:tcPr>
            <w:tcW w:w="3590" w:type="dxa"/>
          </w:tcPr>
          <w:p>
            <w:pPr>
              <w:widowControl/>
              <w:spacing w:line="360" w:lineRule="auto"/>
              <w:jc w:val="left"/>
              <w:rPr>
                <w:rFonts w:ascii="宋体" w:hAnsi="宋体" w:cs="仿宋_GB2312"/>
                <w:kern w:val="0"/>
                <w:szCs w:val="21"/>
              </w:rPr>
            </w:pPr>
          </w:p>
        </w:tc>
        <w:tc>
          <w:tcPr>
            <w:tcW w:w="1705" w:type="dxa"/>
          </w:tcPr>
          <w:p>
            <w:pPr>
              <w:widowControl/>
              <w:spacing w:line="360" w:lineRule="auto"/>
              <w:jc w:val="left"/>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widowControl/>
              <w:spacing w:line="360" w:lineRule="auto"/>
              <w:jc w:val="center"/>
              <w:rPr>
                <w:rFonts w:ascii="宋体" w:hAnsi="宋体" w:cs="仿宋_GB2312"/>
                <w:kern w:val="0"/>
                <w:szCs w:val="21"/>
              </w:rPr>
            </w:pPr>
          </w:p>
        </w:tc>
        <w:tc>
          <w:tcPr>
            <w:tcW w:w="850" w:type="dxa"/>
          </w:tcPr>
          <w:p>
            <w:pPr>
              <w:widowControl/>
              <w:spacing w:line="360" w:lineRule="auto"/>
              <w:jc w:val="left"/>
              <w:rPr>
                <w:rFonts w:ascii="宋体" w:hAnsi="宋体" w:cs="仿宋_GB2312"/>
                <w:kern w:val="0"/>
                <w:szCs w:val="21"/>
              </w:rPr>
            </w:pPr>
          </w:p>
        </w:tc>
        <w:tc>
          <w:tcPr>
            <w:tcW w:w="1418" w:type="dxa"/>
          </w:tcPr>
          <w:p>
            <w:pPr>
              <w:widowControl/>
              <w:spacing w:line="360" w:lineRule="auto"/>
              <w:jc w:val="left"/>
              <w:rPr>
                <w:rFonts w:ascii="宋体" w:hAnsi="宋体" w:cs="仿宋_GB2312"/>
                <w:kern w:val="0"/>
                <w:szCs w:val="21"/>
              </w:rPr>
            </w:pPr>
          </w:p>
        </w:tc>
        <w:tc>
          <w:tcPr>
            <w:tcW w:w="3590" w:type="dxa"/>
          </w:tcPr>
          <w:p>
            <w:pPr>
              <w:widowControl/>
              <w:spacing w:line="360" w:lineRule="auto"/>
              <w:jc w:val="left"/>
              <w:rPr>
                <w:rFonts w:ascii="宋体" w:hAnsi="宋体" w:cs="仿宋_GB2312"/>
                <w:kern w:val="0"/>
                <w:szCs w:val="21"/>
              </w:rPr>
            </w:pPr>
          </w:p>
        </w:tc>
        <w:tc>
          <w:tcPr>
            <w:tcW w:w="1705" w:type="dxa"/>
          </w:tcPr>
          <w:p>
            <w:pPr>
              <w:widowControl/>
              <w:spacing w:line="360" w:lineRule="auto"/>
              <w:jc w:val="left"/>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widowControl/>
              <w:spacing w:line="360" w:lineRule="auto"/>
              <w:jc w:val="center"/>
              <w:rPr>
                <w:rFonts w:ascii="宋体" w:hAnsi="宋体" w:cs="仿宋_GB2312"/>
                <w:kern w:val="0"/>
                <w:szCs w:val="21"/>
              </w:rPr>
            </w:pPr>
          </w:p>
        </w:tc>
        <w:tc>
          <w:tcPr>
            <w:tcW w:w="850" w:type="dxa"/>
          </w:tcPr>
          <w:p>
            <w:pPr>
              <w:widowControl/>
              <w:spacing w:line="360" w:lineRule="auto"/>
              <w:jc w:val="left"/>
              <w:rPr>
                <w:rFonts w:ascii="宋体" w:hAnsi="宋体" w:cs="仿宋_GB2312"/>
                <w:kern w:val="0"/>
                <w:szCs w:val="21"/>
              </w:rPr>
            </w:pPr>
          </w:p>
        </w:tc>
        <w:tc>
          <w:tcPr>
            <w:tcW w:w="1418" w:type="dxa"/>
          </w:tcPr>
          <w:p>
            <w:pPr>
              <w:widowControl/>
              <w:spacing w:line="360" w:lineRule="auto"/>
              <w:jc w:val="left"/>
              <w:rPr>
                <w:rFonts w:ascii="宋体" w:hAnsi="宋体" w:cs="仿宋_GB2312"/>
                <w:kern w:val="0"/>
                <w:szCs w:val="21"/>
              </w:rPr>
            </w:pPr>
          </w:p>
        </w:tc>
        <w:tc>
          <w:tcPr>
            <w:tcW w:w="3590" w:type="dxa"/>
          </w:tcPr>
          <w:p>
            <w:pPr>
              <w:widowControl/>
              <w:spacing w:line="360" w:lineRule="auto"/>
              <w:jc w:val="left"/>
              <w:rPr>
                <w:rFonts w:ascii="宋体" w:hAnsi="宋体" w:cs="仿宋_GB2312"/>
                <w:kern w:val="0"/>
                <w:szCs w:val="21"/>
              </w:rPr>
            </w:pPr>
          </w:p>
        </w:tc>
        <w:tc>
          <w:tcPr>
            <w:tcW w:w="1705" w:type="dxa"/>
          </w:tcPr>
          <w:p>
            <w:pPr>
              <w:widowControl/>
              <w:spacing w:line="360" w:lineRule="auto"/>
              <w:jc w:val="left"/>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widowControl/>
              <w:spacing w:line="360" w:lineRule="auto"/>
              <w:jc w:val="center"/>
              <w:rPr>
                <w:rFonts w:ascii="宋体" w:hAnsi="宋体" w:cs="仿宋_GB2312"/>
                <w:kern w:val="0"/>
                <w:szCs w:val="21"/>
              </w:rPr>
            </w:pPr>
          </w:p>
        </w:tc>
        <w:tc>
          <w:tcPr>
            <w:tcW w:w="850" w:type="dxa"/>
          </w:tcPr>
          <w:p>
            <w:pPr>
              <w:widowControl/>
              <w:spacing w:line="360" w:lineRule="auto"/>
              <w:jc w:val="left"/>
              <w:rPr>
                <w:rFonts w:ascii="宋体" w:hAnsi="宋体" w:cs="仿宋_GB2312"/>
                <w:kern w:val="0"/>
                <w:szCs w:val="21"/>
              </w:rPr>
            </w:pPr>
          </w:p>
        </w:tc>
        <w:tc>
          <w:tcPr>
            <w:tcW w:w="1418" w:type="dxa"/>
          </w:tcPr>
          <w:p>
            <w:pPr>
              <w:widowControl/>
              <w:spacing w:line="360" w:lineRule="auto"/>
              <w:jc w:val="left"/>
              <w:rPr>
                <w:rFonts w:ascii="宋体" w:hAnsi="宋体" w:cs="仿宋_GB2312"/>
                <w:kern w:val="0"/>
                <w:szCs w:val="21"/>
              </w:rPr>
            </w:pPr>
          </w:p>
        </w:tc>
        <w:tc>
          <w:tcPr>
            <w:tcW w:w="3590" w:type="dxa"/>
          </w:tcPr>
          <w:p>
            <w:pPr>
              <w:widowControl/>
              <w:spacing w:line="360" w:lineRule="auto"/>
              <w:jc w:val="left"/>
              <w:rPr>
                <w:rFonts w:ascii="宋体" w:hAnsi="宋体" w:cs="仿宋_GB2312"/>
                <w:kern w:val="0"/>
                <w:szCs w:val="21"/>
              </w:rPr>
            </w:pPr>
          </w:p>
        </w:tc>
        <w:tc>
          <w:tcPr>
            <w:tcW w:w="1705" w:type="dxa"/>
          </w:tcPr>
          <w:p>
            <w:pPr>
              <w:widowControl/>
              <w:spacing w:line="360" w:lineRule="auto"/>
              <w:jc w:val="left"/>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widowControl/>
              <w:spacing w:line="360" w:lineRule="auto"/>
              <w:jc w:val="center"/>
              <w:rPr>
                <w:rFonts w:ascii="宋体" w:hAnsi="宋体" w:cs="仿宋_GB2312"/>
                <w:kern w:val="0"/>
                <w:szCs w:val="21"/>
              </w:rPr>
            </w:pPr>
          </w:p>
        </w:tc>
        <w:tc>
          <w:tcPr>
            <w:tcW w:w="850" w:type="dxa"/>
          </w:tcPr>
          <w:p>
            <w:pPr>
              <w:widowControl/>
              <w:spacing w:line="360" w:lineRule="auto"/>
              <w:jc w:val="left"/>
              <w:rPr>
                <w:rFonts w:ascii="宋体" w:hAnsi="宋体" w:cs="仿宋_GB2312"/>
                <w:kern w:val="0"/>
                <w:szCs w:val="21"/>
              </w:rPr>
            </w:pPr>
          </w:p>
        </w:tc>
        <w:tc>
          <w:tcPr>
            <w:tcW w:w="1418" w:type="dxa"/>
          </w:tcPr>
          <w:p>
            <w:pPr>
              <w:widowControl/>
              <w:spacing w:line="360" w:lineRule="auto"/>
              <w:jc w:val="left"/>
              <w:rPr>
                <w:rFonts w:ascii="宋体" w:hAnsi="宋体" w:cs="仿宋_GB2312"/>
                <w:kern w:val="0"/>
                <w:szCs w:val="21"/>
              </w:rPr>
            </w:pPr>
          </w:p>
        </w:tc>
        <w:tc>
          <w:tcPr>
            <w:tcW w:w="3590" w:type="dxa"/>
          </w:tcPr>
          <w:p>
            <w:pPr>
              <w:widowControl/>
              <w:spacing w:line="360" w:lineRule="auto"/>
              <w:jc w:val="left"/>
              <w:rPr>
                <w:rFonts w:ascii="宋体" w:hAnsi="宋体" w:cs="仿宋_GB2312"/>
                <w:kern w:val="0"/>
                <w:szCs w:val="21"/>
              </w:rPr>
            </w:pPr>
          </w:p>
        </w:tc>
        <w:tc>
          <w:tcPr>
            <w:tcW w:w="1705" w:type="dxa"/>
          </w:tcPr>
          <w:p>
            <w:pPr>
              <w:widowControl/>
              <w:spacing w:line="360" w:lineRule="auto"/>
              <w:jc w:val="left"/>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vAlign w:val="center"/>
          </w:tcPr>
          <w:p>
            <w:pPr>
              <w:widowControl/>
              <w:spacing w:line="360" w:lineRule="auto"/>
              <w:jc w:val="center"/>
              <w:rPr>
                <w:rFonts w:ascii="宋体" w:hAnsi="宋体" w:cs="仿宋_GB2312"/>
                <w:szCs w:val="21"/>
              </w:rPr>
            </w:pPr>
            <w:r>
              <w:rPr>
                <w:rFonts w:hint="eastAsia" w:ascii="宋体" w:hAnsi="宋体" w:cs="仿宋_GB2312"/>
                <w:kern w:val="0"/>
                <w:szCs w:val="21"/>
              </w:rPr>
              <w:t>仲</w:t>
            </w:r>
          </w:p>
          <w:p>
            <w:pPr>
              <w:widowControl/>
              <w:spacing w:line="360" w:lineRule="auto"/>
              <w:jc w:val="center"/>
              <w:rPr>
                <w:rFonts w:ascii="宋体" w:hAnsi="宋体" w:cs="仿宋_GB2312"/>
                <w:szCs w:val="21"/>
              </w:rPr>
            </w:pPr>
            <w:r>
              <w:rPr>
                <w:rFonts w:hint="eastAsia" w:ascii="宋体" w:hAnsi="宋体" w:cs="仿宋_GB2312"/>
                <w:kern w:val="0"/>
                <w:szCs w:val="21"/>
              </w:rPr>
              <w:t>裁</w:t>
            </w:r>
          </w:p>
          <w:p>
            <w:pPr>
              <w:widowControl/>
              <w:spacing w:line="360" w:lineRule="auto"/>
              <w:jc w:val="center"/>
              <w:rPr>
                <w:rFonts w:ascii="宋体" w:hAnsi="宋体" w:cs="仿宋_GB2312"/>
                <w:szCs w:val="21"/>
              </w:rPr>
            </w:pPr>
            <w:r>
              <w:rPr>
                <w:rFonts w:hint="eastAsia" w:ascii="宋体" w:hAnsi="宋体" w:cs="仿宋_GB2312"/>
                <w:kern w:val="0"/>
                <w:szCs w:val="21"/>
              </w:rPr>
              <w:t>情</w:t>
            </w:r>
          </w:p>
          <w:p>
            <w:pPr>
              <w:widowControl/>
              <w:spacing w:line="360" w:lineRule="auto"/>
              <w:jc w:val="center"/>
              <w:rPr>
                <w:rFonts w:ascii="宋体" w:hAnsi="宋体" w:cs="仿宋_GB2312"/>
                <w:kern w:val="0"/>
                <w:szCs w:val="21"/>
              </w:rPr>
            </w:pPr>
            <w:r>
              <w:rPr>
                <w:rFonts w:hint="eastAsia" w:ascii="宋体" w:hAnsi="宋体" w:cs="仿宋_GB2312"/>
                <w:kern w:val="0"/>
                <w:szCs w:val="21"/>
              </w:rPr>
              <w:t>况</w:t>
            </w:r>
          </w:p>
        </w:tc>
        <w:tc>
          <w:tcPr>
            <w:tcW w:w="850" w:type="dxa"/>
          </w:tcPr>
          <w:p>
            <w:pPr>
              <w:widowControl/>
              <w:spacing w:line="360" w:lineRule="auto"/>
              <w:jc w:val="left"/>
              <w:rPr>
                <w:rFonts w:ascii="宋体" w:hAnsi="宋体" w:cs="仿宋_GB2312"/>
                <w:kern w:val="0"/>
                <w:szCs w:val="21"/>
              </w:rPr>
            </w:pPr>
          </w:p>
        </w:tc>
        <w:tc>
          <w:tcPr>
            <w:tcW w:w="1418" w:type="dxa"/>
          </w:tcPr>
          <w:p>
            <w:pPr>
              <w:widowControl/>
              <w:spacing w:line="360" w:lineRule="auto"/>
              <w:jc w:val="left"/>
              <w:rPr>
                <w:rFonts w:ascii="宋体" w:hAnsi="宋体" w:cs="仿宋_GB2312"/>
                <w:kern w:val="0"/>
                <w:szCs w:val="21"/>
              </w:rPr>
            </w:pPr>
          </w:p>
        </w:tc>
        <w:tc>
          <w:tcPr>
            <w:tcW w:w="3590" w:type="dxa"/>
          </w:tcPr>
          <w:p>
            <w:pPr>
              <w:widowControl/>
              <w:spacing w:line="360" w:lineRule="auto"/>
              <w:jc w:val="left"/>
              <w:rPr>
                <w:rFonts w:ascii="宋体" w:hAnsi="宋体" w:cs="仿宋_GB2312"/>
                <w:kern w:val="0"/>
                <w:szCs w:val="21"/>
              </w:rPr>
            </w:pPr>
          </w:p>
        </w:tc>
        <w:tc>
          <w:tcPr>
            <w:tcW w:w="1705" w:type="dxa"/>
          </w:tcPr>
          <w:p>
            <w:pPr>
              <w:widowControl/>
              <w:spacing w:line="360" w:lineRule="auto"/>
              <w:jc w:val="left"/>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Pr>
          <w:p>
            <w:pPr>
              <w:widowControl/>
              <w:spacing w:line="360" w:lineRule="auto"/>
              <w:jc w:val="left"/>
              <w:rPr>
                <w:rFonts w:ascii="宋体" w:hAnsi="宋体" w:cs="仿宋_GB2312"/>
                <w:kern w:val="0"/>
                <w:szCs w:val="21"/>
              </w:rPr>
            </w:pPr>
          </w:p>
        </w:tc>
        <w:tc>
          <w:tcPr>
            <w:tcW w:w="850" w:type="dxa"/>
          </w:tcPr>
          <w:p>
            <w:pPr>
              <w:widowControl/>
              <w:spacing w:line="360" w:lineRule="auto"/>
              <w:jc w:val="left"/>
              <w:rPr>
                <w:rFonts w:ascii="宋体" w:hAnsi="宋体" w:cs="仿宋_GB2312"/>
                <w:kern w:val="0"/>
                <w:szCs w:val="21"/>
              </w:rPr>
            </w:pPr>
          </w:p>
        </w:tc>
        <w:tc>
          <w:tcPr>
            <w:tcW w:w="1418" w:type="dxa"/>
          </w:tcPr>
          <w:p>
            <w:pPr>
              <w:widowControl/>
              <w:spacing w:line="360" w:lineRule="auto"/>
              <w:jc w:val="left"/>
              <w:rPr>
                <w:rFonts w:ascii="宋体" w:hAnsi="宋体" w:cs="仿宋_GB2312"/>
                <w:kern w:val="0"/>
                <w:szCs w:val="21"/>
              </w:rPr>
            </w:pPr>
          </w:p>
        </w:tc>
        <w:tc>
          <w:tcPr>
            <w:tcW w:w="3590" w:type="dxa"/>
          </w:tcPr>
          <w:p>
            <w:pPr>
              <w:widowControl/>
              <w:spacing w:line="360" w:lineRule="auto"/>
              <w:jc w:val="left"/>
              <w:rPr>
                <w:rFonts w:ascii="宋体" w:hAnsi="宋体" w:cs="仿宋_GB2312"/>
                <w:kern w:val="0"/>
                <w:szCs w:val="21"/>
              </w:rPr>
            </w:pPr>
          </w:p>
        </w:tc>
        <w:tc>
          <w:tcPr>
            <w:tcW w:w="1705" w:type="dxa"/>
          </w:tcPr>
          <w:p>
            <w:pPr>
              <w:widowControl/>
              <w:spacing w:line="360" w:lineRule="auto"/>
              <w:jc w:val="left"/>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Pr>
          <w:p>
            <w:pPr>
              <w:widowControl/>
              <w:spacing w:line="360" w:lineRule="auto"/>
              <w:jc w:val="left"/>
              <w:rPr>
                <w:rFonts w:ascii="宋体" w:hAnsi="宋体" w:cs="仿宋_GB2312"/>
                <w:kern w:val="0"/>
                <w:szCs w:val="21"/>
              </w:rPr>
            </w:pPr>
          </w:p>
        </w:tc>
        <w:tc>
          <w:tcPr>
            <w:tcW w:w="850" w:type="dxa"/>
          </w:tcPr>
          <w:p>
            <w:pPr>
              <w:widowControl/>
              <w:spacing w:line="360" w:lineRule="auto"/>
              <w:jc w:val="left"/>
              <w:rPr>
                <w:rFonts w:ascii="宋体" w:hAnsi="宋体" w:cs="仿宋_GB2312"/>
                <w:kern w:val="0"/>
                <w:szCs w:val="21"/>
              </w:rPr>
            </w:pPr>
          </w:p>
        </w:tc>
        <w:tc>
          <w:tcPr>
            <w:tcW w:w="1418" w:type="dxa"/>
          </w:tcPr>
          <w:p>
            <w:pPr>
              <w:widowControl/>
              <w:spacing w:line="360" w:lineRule="auto"/>
              <w:jc w:val="left"/>
              <w:rPr>
                <w:rFonts w:ascii="宋体" w:hAnsi="宋体" w:cs="仿宋_GB2312"/>
                <w:kern w:val="0"/>
                <w:szCs w:val="21"/>
              </w:rPr>
            </w:pPr>
          </w:p>
        </w:tc>
        <w:tc>
          <w:tcPr>
            <w:tcW w:w="3590" w:type="dxa"/>
          </w:tcPr>
          <w:p>
            <w:pPr>
              <w:widowControl/>
              <w:spacing w:line="360" w:lineRule="auto"/>
              <w:jc w:val="left"/>
              <w:rPr>
                <w:rFonts w:ascii="宋体" w:hAnsi="宋体" w:cs="仿宋_GB2312"/>
                <w:kern w:val="0"/>
                <w:szCs w:val="21"/>
              </w:rPr>
            </w:pPr>
          </w:p>
        </w:tc>
        <w:tc>
          <w:tcPr>
            <w:tcW w:w="1705" w:type="dxa"/>
          </w:tcPr>
          <w:p>
            <w:pPr>
              <w:widowControl/>
              <w:spacing w:line="360" w:lineRule="auto"/>
              <w:jc w:val="left"/>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Pr>
          <w:p>
            <w:pPr>
              <w:widowControl/>
              <w:spacing w:line="360" w:lineRule="auto"/>
              <w:jc w:val="left"/>
              <w:rPr>
                <w:rFonts w:ascii="宋体" w:hAnsi="宋体" w:cs="仿宋_GB2312"/>
                <w:kern w:val="0"/>
                <w:szCs w:val="21"/>
              </w:rPr>
            </w:pPr>
          </w:p>
        </w:tc>
        <w:tc>
          <w:tcPr>
            <w:tcW w:w="850" w:type="dxa"/>
          </w:tcPr>
          <w:p>
            <w:pPr>
              <w:widowControl/>
              <w:spacing w:line="360" w:lineRule="auto"/>
              <w:jc w:val="left"/>
              <w:rPr>
                <w:rFonts w:ascii="宋体" w:hAnsi="宋体" w:cs="仿宋_GB2312"/>
                <w:kern w:val="0"/>
                <w:szCs w:val="21"/>
              </w:rPr>
            </w:pPr>
          </w:p>
        </w:tc>
        <w:tc>
          <w:tcPr>
            <w:tcW w:w="1418" w:type="dxa"/>
          </w:tcPr>
          <w:p>
            <w:pPr>
              <w:widowControl/>
              <w:spacing w:line="360" w:lineRule="auto"/>
              <w:jc w:val="left"/>
              <w:rPr>
                <w:rFonts w:ascii="宋体" w:hAnsi="宋体" w:cs="仿宋_GB2312"/>
                <w:kern w:val="0"/>
                <w:szCs w:val="21"/>
              </w:rPr>
            </w:pPr>
          </w:p>
        </w:tc>
        <w:tc>
          <w:tcPr>
            <w:tcW w:w="3590" w:type="dxa"/>
          </w:tcPr>
          <w:p>
            <w:pPr>
              <w:widowControl/>
              <w:spacing w:line="360" w:lineRule="auto"/>
              <w:jc w:val="left"/>
              <w:rPr>
                <w:rFonts w:ascii="宋体" w:hAnsi="宋体" w:cs="仿宋_GB2312"/>
                <w:kern w:val="0"/>
                <w:szCs w:val="21"/>
              </w:rPr>
            </w:pPr>
          </w:p>
        </w:tc>
        <w:tc>
          <w:tcPr>
            <w:tcW w:w="1705" w:type="dxa"/>
          </w:tcPr>
          <w:p>
            <w:pPr>
              <w:widowControl/>
              <w:spacing w:line="360" w:lineRule="auto"/>
              <w:jc w:val="left"/>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Pr>
          <w:p>
            <w:pPr>
              <w:widowControl/>
              <w:spacing w:line="360" w:lineRule="auto"/>
              <w:jc w:val="left"/>
              <w:rPr>
                <w:rFonts w:ascii="宋体" w:hAnsi="宋体" w:cs="仿宋_GB2312"/>
                <w:kern w:val="0"/>
                <w:szCs w:val="21"/>
              </w:rPr>
            </w:pPr>
          </w:p>
        </w:tc>
        <w:tc>
          <w:tcPr>
            <w:tcW w:w="850" w:type="dxa"/>
          </w:tcPr>
          <w:p>
            <w:pPr>
              <w:widowControl/>
              <w:spacing w:line="360" w:lineRule="auto"/>
              <w:jc w:val="left"/>
              <w:rPr>
                <w:rFonts w:ascii="宋体" w:hAnsi="宋体" w:cs="仿宋_GB2312"/>
                <w:kern w:val="0"/>
                <w:szCs w:val="21"/>
              </w:rPr>
            </w:pPr>
          </w:p>
        </w:tc>
        <w:tc>
          <w:tcPr>
            <w:tcW w:w="1418" w:type="dxa"/>
          </w:tcPr>
          <w:p>
            <w:pPr>
              <w:widowControl/>
              <w:spacing w:line="360" w:lineRule="auto"/>
              <w:jc w:val="left"/>
              <w:rPr>
                <w:rFonts w:ascii="宋体" w:hAnsi="宋体" w:cs="仿宋_GB2312"/>
                <w:kern w:val="0"/>
                <w:szCs w:val="21"/>
              </w:rPr>
            </w:pPr>
          </w:p>
        </w:tc>
        <w:tc>
          <w:tcPr>
            <w:tcW w:w="3590" w:type="dxa"/>
          </w:tcPr>
          <w:p>
            <w:pPr>
              <w:widowControl/>
              <w:spacing w:line="360" w:lineRule="auto"/>
              <w:jc w:val="left"/>
              <w:rPr>
                <w:rFonts w:ascii="宋体" w:hAnsi="宋体" w:cs="仿宋_GB2312"/>
                <w:kern w:val="0"/>
                <w:szCs w:val="21"/>
              </w:rPr>
            </w:pPr>
          </w:p>
        </w:tc>
        <w:tc>
          <w:tcPr>
            <w:tcW w:w="1705" w:type="dxa"/>
          </w:tcPr>
          <w:p>
            <w:pPr>
              <w:widowControl/>
              <w:spacing w:line="360" w:lineRule="auto"/>
              <w:jc w:val="left"/>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Pr>
          <w:p>
            <w:pPr>
              <w:widowControl/>
              <w:spacing w:line="360" w:lineRule="auto"/>
              <w:jc w:val="left"/>
              <w:rPr>
                <w:rFonts w:ascii="宋体" w:hAnsi="宋体" w:cs="仿宋_GB2312"/>
                <w:kern w:val="0"/>
                <w:szCs w:val="21"/>
              </w:rPr>
            </w:pPr>
          </w:p>
        </w:tc>
        <w:tc>
          <w:tcPr>
            <w:tcW w:w="850" w:type="dxa"/>
          </w:tcPr>
          <w:p>
            <w:pPr>
              <w:widowControl/>
              <w:spacing w:line="360" w:lineRule="auto"/>
              <w:jc w:val="left"/>
              <w:rPr>
                <w:rFonts w:ascii="宋体" w:hAnsi="宋体" w:cs="仿宋_GB2312"/>
                <w:kern w:val="0"/>
                <w:szCs w:val="21"/>
              </w:rPr>
            </w:pPr>
          </w:p>
        </w:tc>
        <w:tc>
          <w:tcPr>
            <w:tcW w:w="1418" w:type="dxa"/>
          </w:tcPr>
          <w:p>
            <w:pPr>
              <w:widowControl/>
              <w:spacing w:line="360" w:lineRule="auto"/>
              <w:jc w:val="left"/>
              <w:rPr>
                <w:rFonts w:ascii="宋体" w:hAnsi="宋体" w:cs="仿宋_GB2312"/>
                <w:kern w:val="0"/>
                <w:szCs w:val="21"/>
              </w:rPr>
            </w:pPr>
          </w:p>
        </w:tc>
        <w:tc>
          <w:tcPr>
            <w:tcW w:w="3590" w:type="dxa"/>
          </w:tcPr>
          <w:p>
            <w:pPr>
              <w:widowControl/>
              <w:spacing w:line="360" w:lineRule="auto"/>
              <w:jc w:val="left"/>
              <w:rPr>
                <w:rFonts w:ascii="宋体" w:hAnsi="宋体" w:cs="仿宋_GB2312"/>
                <w:kern w:val="0"/>
                <w:szCs w:val="21"/>
              </w:rPr>
            </w:pPr>
          </w:p>
        </w:tc>
        <w:tc>
          <w:tcPr>
            <w:tcW w:w="1705" w:type="dxa"/>
          </w:tcPr>
          <w:p>
            <w:pPr>
              <w:widowControl/>
              <w:spacing w:line="360" w:lineRule="auto"/>
              <w:jc w:val="left"/>
              <w:rPr>
                <w:rFonts w:ascii="宋体" w:hAnsi="宋体" w:cs="仿宋_GB2312"/>
                <w:kern w:val="0"/>
                <w:szCs w:val="21"/>
              </w:rPr>
            </w:pPr>
          </w:p>
        </w:tc>
      </w:tr>
    </w:tbl>
    <w:p>
      <w:pPr>
        <w:widowControl/>
        <w:spacing w:line="360" w:lineRule="auto"/>
        <w:jc w:val="left"/>
        <w:rPr>
          <w:rFonts w:ascii="宋体" w:hAnsi="宋体" w:cs="仿宋_GB2312"/>
          <w:sz w:val="24"/>
        </w:rPr>
      </w:pPr>
    </w:p>
    <w:p>
      <w:pPr>
        <w:widowControl/>
        <w:spacing w:line="360" w:lineRule="auto"/>
        <w:jc w:val="left"/>
        <w:rPr>
          <w:rFonts w:ascii="宋体" w:hAnsi="宋体" w:cs="仿宋_GB2312"/>
          <w:sz w:val="24"/>
        </w:rPr>
      </w:pPr>
    </w:p>
    <w:p>
      <w:pPr>
        <w:widowControl/>
        <w:spacing w:line="360" w:lineRule="auto"/>
        <w:jc w:val="left"/>
        <w:rPr>
          <w:rFonts w:ascii="宋体" w:hAnsi="宋体" w:cs="仿宋_GB2312"/>
          <w:szCs w:val="21"/>
        </w:rPr>
      </w:pPr>
      <w:r>
        <w:rPr>
          <w:rFonts w:hint="eastAsia" w:ascii="宋体" w:hAnsi="宋体" w:cs="仿宋_GB2312"/>
          <w:kern w:val="0"/>
          <w:szCs w:val="21"/>
        </w:rPr>
        <w:t>注：发生的诉讼和仲裁情况仅限于供应商败诉的，且与经营活动有关的案件，不包括调解结案的案件。与经营活动有关，但尚未裁决或终审判决的案件请单独另附《情况说明》（说明内容：案件当事人、基本案情）。</w:t>
      </w:r>
    </w:p>
    <w:p>
      <w:pPr>
        <w:widowControl/>
        <w:spacing w:line="360" w:lineRule="auto"/>
        <w:jc w:val="left"/>
        <w:rPr>
          <w:rFonts w:ascii="宋体" w:hAnsi="宋体" w:cs="仿宋_GB2312"/>
          <w:szCs w:val="21"/>
        </w:rPr>
      </w:pPr>
    </w:p>
    <w:p>
      <w:pPr>
        <w:spacing w:line="360" w:lineRule="auto"/>
        <w:rPr>
          <w:rFonts w:ascii="宋体" w:hAnsi="宋体" w:cs="仿宋_GB2312"/>
          <w:sz w:val="24"/>
        </w:rPr>
      </w:pPr>
    </w:p>
    <w:p>
      <w:pPr>
        <w:pStyle w:val="2"/>
      </w:pPr>
      <w:r>
        <w:rPr>
          <w:rFonts w:hAnsi="宋体"/>
          <w:b w:val="0"/>
          <w:szCs w:val="21"/>
        </w:rPr>
        <w:br w:type="page"/>
      </w:r>
      <w:bookmarkStart w:id="73" w:name="_Toc24683"/>
      <w:r>
        <w:rPr>
          <w:rFonts w:hint="eastAsia"/>
        </w:rPr>
        <w:t>附件十二、其他材料</w:t>
      </w:r>
      <w:bookmarkEnd w:id="73"/>
    </w:p>
    <w:p>
      <w:pPr>
        <w:jc w:val="center"/>
        <w:outlineLvl w:val="1"/>
        <w:rPr>
          <w:rFonts w:hAnsi="宋体"/>
          <w:b/>
          <w:szCs w:val="21"/>
        </w:rPr>
      </w:pPr>
    </w:p>
    <w:p>
      <w:pPr>
        <w:rPr>
          <w:snapToGrid w:val="0"/>
          <w:kern w:val="0"/>
        </w:rPr>
      </w:pPr>
    </w:p>
    <w:p>
      <w:pPr>
        <w:spacing w:line="360" w:lineRule="auto"/>
        <w:rPr>
          <w:rFonts w:ascii="宋体" w:hAnsi="宋体" w:cs="仿宋_GB2312"/>
          <w:sz w:val="24"/>
        </w:rPr>
      </w:pPr>
    </w:p>
    <w:sectPr>
      <w:footerReference r:id="rId6"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Courier New"/>
    <w:panose1 w:val="00000000000000000000"/>
    <w:charset w:val="00"/>
    <w:family w:val="auto"/>
    <w:pitch w:val="default"/>
    <w:sig w:usb0="00000000" w:usb1="00000000" w:usb2="00000000" w:usb3="00000000" w:csb0="00000001" w:csb1="00000000"/>
  </w:font>
  <w:font w:name="..">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5"/>
      </w:rPr>
    </w:pPr>
    <w:r>
      <w:fldChar w:fldCharType="begin"/>
    </w:r>
    <w:r>
      <w:rPr>
        <w:rStyle w:val="25"/>
      </w:rPr>
      <w:instrText xml:space="preserve">PAGE  </w:instrText>
    </w:r>
    <w:r>
      <w:fldChar w:fldCharType="separate"/>
    </w:r>
    <w:r>
      <w:rPr>
        <w:rStyle w:val="25"/>
      </w:rPr>
      <w:t>1</w:t>
    </w:r>
    <w: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5"/>
      </w:rPr>
    </w:pPr>
    <w:r>
      <w:fldChar w:fldCharType="begin"/>
    </w:r>
    <w:r>
      <w:rPr>
        <w:rStyle w:val="25"/>
      </w:rPr>
      <w:instrText xml:space="preserve">PAGE  </w:instrText>
    </w:r>
    <w:r>
      <w:fldChar w:fldCharType="separate"/>
    </w:r>
    <w:r>
      <w:rPr>
        <w:rStyle w:val="25"/>
      </w:rPr>
      <w:t>3</w:t>
    </w:r>
    <w: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t>44</w:t>
    </w:r>
    <w: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EF3D56"/>
    <w:multiLevelType w:val="multilevel"/>
    <w:tmpl w:val="35EF3D56"/>
    <w:lvl w:ilvl="0" w:tentative="0">
      <w:start w:val="1"/>
      <w:numFmt w:val="decimal"/>
      <w:lvlText w:val="%1."/>
      <w:lvlJc w:val="left"/>
      <w:pPr>
        <w:ind w:left="420" w:hanging="420"/>
      </w:pPr>
    </w:lvl>
    <w:lvl w:ilvl="1" w:tentative="0">
      <w:start w:val="1"/>
      <w:numFmt w:val="lowerLetter"/>
      <w:lvlText w:val="%2)"/>
      <w:lvlJc w:val="left"/>
      <w:pPr>
        <w:ind w:left="847" w:hanging="420"/>
      </w:pPr>
    </w:lvl>
    <w:lvl w:ilvl="2" w:tentative="0">
      <w:start w:val="1"/>
      <w:numFmt w:val="lowerRoman"/>
      <w:lvlText w:val="%3."/>
      <w:lvlJc w:val="right"/>
      <w:pPr>
        <w:ind w:left="1267" w:hanging="420"/>
      </w:pPr>
    </w:lvl>
    <w:lvl w:ilvl="3" w:tentative="0">
      <w:start w:val="1"/>
      <w:numFmt w:val="decimal"/>
      <w:lvlText w:val="%4."/>
      <w:lvlJc w:val="left"/>
      <w:pPr>
        <w:ind w:left="1687" w:hanging="420"/>
      </w:pPr>
    </w:lvl>
    <w:lvl w:ilvl="4" w:tentative="0">
      <w:start w:val="1"/>
      <w:numFmt w:val="lowerLetter"/>
      <w:lvlText w:val="%5)"/>
      <w:lvlJc w:val="left"/>
      <w:pPr>
        <w:ind w:left="2107" w:hanging="420"/>
      </w:pPr>
    </w:lvl>
    <w:lvl w:ilvl="5" w:tentative="0">
      <w:start w:val="1"/>
      <w:numFmt w:val="lowerRoman"/>
      <w:lvlText w:val="%6."/>
      <w:lvlJc w:val="right"/>
      <w:pPr>
        <w:ind w:left="2527" w:hanging="420"/>
      </w:pPr>
    </w:lvl>
    <w:lvl w:ilvl="6" w:tentative="0">
      <w:start w:val="1"/>
      <w:numFmt w:val="decimal"/>
      <w:lvlText w:val="%7."/>
      <w:lvlJc w:val="left"/>
      <w:pPr>
        <w:ind w:left="2947" w:hanging="420"/>
      </w:pPr>
    </w:lvl>
    <w:lvl w:ilvl="7" w:tentative="0">
      <w:start w:val="1"/>
      <w:numFmt w:val="lowerLetter"/>
      <w:lvlText w:val="%8)"/>
      <w:lvlJc w:val="left"/>
      <w:pPr>
        <w:ind w:left="3367" w:hanging="420"/>
      </w:pPr>
    </w:lvl>
    <w:lvl w:ilvl="8" w:tentative="0">
      <w:start w:val="1"/>
      <w:numFmt w:val="lowerRoman"/>
      <w:lvlText w:val="%9."/>
      <w:lvlJc w:val="right"/>
      <w:pPr>
        <w:ind w:left="3787" w:hanging="420"/>
      </w:pPr>
    </w:lvl>
  </w:abstractNum>
  <w:abstractNum w:abstractNumId="1">
    <w:nsid w:val="47635474"/>
    <w:multiLevelType w:val="multilevel"/>
    <w:tmpl w:val="4763547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wNDQwYjk2M2JiMTI2NGUwMzdkZjJjZjE1MGQ0ZDEifQ=="/>
  </w:docVars>
  <w:rsids>
    <w:rsidRoot w:val="00C9631C"/>
    <w:rsid w:val="00001E6F"/>
    <w:rsid w:val="00020BEC"/>
    <w:rsid w:val="00031304"/>
    <w:rsid w:val="0003661D"/>
    <w:rsid w:val="000412F2"/>
    <w:rsid w:val="00043A59"/>
    <w:rsid w:val="00045FCB"/>
    <w:rsid w:val="00047AD5"/>
    <w:rsid w:val="000505CE"/>
    <w:rsid w:val="000572CC"/>
    <w:rsid w:val="00074435"/>
    <w:rsid w:val="00077200"/>
    <w:rsid w:val="00085484"/>
    <w:rsid w:val="000867C5"/>
    <w:rsid w:val="00090805"/>
    <w:rsid w:val="00090C81"/>
    <w:rsid w:val="00091CEF"/>
    <w:rsid w:val="00095888"/>
    <w:rsid w:val="00095C90"/>
    <w:rsid w:val="000A21F1"/>
    <w:rsid w:val="000A313B"/>
    <w:rsid w:val="000A6E3A"/>
    <w:rsid w:val="000B2EAF"/>
    <w:rsid w:val="000B3004"/>
    <w:rsid w:val="000B3D60"/>
    <w:rsid w:val="000B41D7"/>
    <w:rsid w:val="000C2BF7"/>
    <w:rsid w:val="000D4295"/>
    <w:rsid w:val="000D4E0E"/>
    <w:rsid w:val="000D5BA7"/>
    <w:rsid w:val="000E28CD"/>
    <w:rsid w:val="000E62BB"/>
    <w:rsid w:val="000E6447"/>
    <w:rsid w:val="000F188A"/>
    <w:rsid w:val="000F7AB4"/>
    <w:rsid w:val="001141A8"/>
    <w:rsid w:val="00114AA3"/>
    <w:rsid w:val="00114ACD"/>
    <w:rsid w:val="00115B13"/>
    <w:rsid w:val="001220B7"/>
    <w:rsid w:val="001222CD"/>
    <w:rsid w:val="00123370"/>
    <w:rsid w:val="00126E4E"/>
    <w:rsid w:val="0012721D"/>
    <w:rsid w:val="00133E3D"/>
    <w:rsid w:val="0013488E"/>
    <w:rsid w:val="0013610F"/>
    <w:rsid w:val="00141776"/>
    <w:rsid w:val="001505AC"/>
    <w:rsid w:val="00151D52"/>
    <w:rsid w:val="00156982"/>
    <w:rsid w:val="001606A0"/>
    <w:rsid w:val="00164735"/>
    <w:rsid w:val="00164B74"/>
    <w:rsid w:val="0016646F"/>
    <w:rsid w:val="001741CA"/>
    <w:rsid w:val="0017559A"/>
    <w:rsid w:val="00186912"/>
    <w:rsid w:val="00190A57"/>
    <w:rsid w:val="001A1C56"/>
    <w:rsid w:val="001A1D49"/>
    <w:rsid w:val="001A77E6"/>
    <w:rsid w:val="001A7B1B"/>
    <w:rsid w:val="001B02DA"/>
    <w:rsid w:val="001B057C"/>
    <w:rsid w:val="001B05BD"/>
    <w:rsid w:val="001B1EBE"/>
    <w:rsid w:val="001B6175"/>
    <w:rsid w:val="001C7DC5"/>
    <w:rsid w:val="001D0091"/>
    <w:rsid w:val="001D25E2"/>
    <w:rsid w:val="001D296F"/>
    <w:rsid w:val="001E496E"/>
    <w:rsid w:val="001F0732"/>
    <w:rsid w:val="001F5250"/>
    <w:rsid w:val="00202C80"/>
    <w:rsid w:val="00216F54"/>
    <w:rsid w:val="00220110"/>
    <w:rsid w:val="002215DE"/>
    <w:rsid w:val="002234E5"/>
    <w:rsid w:val="0022383B"/>
    <w:rsid w:val="002260AA"/>
    <w:rsid w:val="00231050"/>
    <w:rsid w:val="002334D8"/>
    <w:rsid w:val="00235FCC"/>
    <w:rsid w:val="00236631"/>
    <w:rsid w:val="0024284F"/>
    <w:rsid w:val="00252AF8"/>
    <w:rsid w:val="00252EA3"/>
    <w:rsid w:val="002600B7"/>
    <w:rsid w:val="002720BD"/>
    <w:rsid w:val="002723E8"/>
    <w:rsid w:val="002765D8"/>
    <w:rsid w:val="00277C58"/>
    <w:rsid w:val="00281853"/>
    <w:rsid w:val="0028537C"/>
    <w:rsid w:val="00291500"/>
    <w:rsid w:val="00295F4A"/>
    <w:rsid w:val="002A2C2A"/>
    <w:rsid w:val="002A5E1C"/>
    <w:rsid w:val="002A77CC"/>
    <w:rsid w:val="002B0C91"/>
    <w:rsid w:val="002C714E"/>
    <w:rsid w:val="002D4CAE"/>
    <w:rsid w:val="002E0931"/>
    <w:rsid w:val="002E535B"/>
    <w:rsid w:val="002E53CC"/>
    <w:rsid w:val="002F2A45"/>
    <w:rsid w:val="002F7313"/>
    <w:rsid w:val="00303255"/>
    <w:rsid w:val="00305538"/>
    <w:rsid w:val="00305C64"/>
    <w:rsid w:val="003066B4"/>
    <w:rsid w:val="003158D6"/>
    <w:rsid w:val="00323B59"/>
    <w:rsid w:val="0032710C"/>
    <w:rsid w:val="00332095"/>
    <w:rsid w:val="003338B9"/>
    <w:rsid w:val="003362B4"/>
    <w:rsid w:val="00347351"/>
    <w:rsid w:val="00347BCB"/>
    <w:rsid w:val="003506FC"/>
    <w:rsid w:val="00350F74"/>
    <w:rsid w:val="003537CA"/>
    <w:rsid w:val="0036200E"/>
    <w:rsid w:val="00362023"/>
    <w:rsid w:val="003826A9"/>
    <w:rsid w:val="00385879"/>
    <w:rsid w:val="00387E6E"/>
    <w:rsid w:val="00392CAD"/>
    <w:rsid w:val="003A18ED"/>
    <w:rsid w:val="003A31AA"/>
    <w:rsid w:val="003A4A58"/>
    <w:rsid w:val="003A6D46"/>
    <w:rsid w:val="003B6A7D"/>
    <w:rsid w:val="003C066E"/>
    <w:rsid w:val="003D42A0"/>
    <w:rsid w:val="003D6EAE"/>
    <w:rsid w:val="003E058A"/>
    <w:rsid w:val="004027E0"/>
    <w:rsid w:val="004153CB"/>
    <w:rsid w:val="00421DDA"/>
    <w:rsid w:val="00430B3F"/>
    <w:rsid w:val="00430D1E"/>
    <w:rsid w:val="00431182"/>
    <w:rsid w:val="004421E3"/>
    <w:rsid w:val="00445406"/>
    <w:rsid w:val="004470F8"/>
    <w:rsid w:val="004526C7"/>
    <w:rsid w:val="004536B4"/>
    <w:rsid w:val="00455C23"/>
    <w:rsid w:val="00455D2E"/>
    <w:rsid w:val="00460399"/>
    <w:rsid w:val="0046492E"/>
    <w:rsid w:val="00465A9A"/>
    <w:rsid w:val="00471A6A"/>
    <w:rsid w:val="00475855"/>
    <w:rsid w:val="0047714B"/>
    <w:rsid w:val="0048040A"/>
    <w:rsid w:val="00480DDE"/>
    <w:rsid w:val="00481717"/>
    <w:rsid w:val="00481BB5"/>
    <w:rsid w:val="00483C95"/>
    <w:rsid w:val="004849D9"/>
    <w:rsid w:val="004862CC"/>
    <w:rsid w:val="004873A7"/>
    <w:rsid w:val="004B1CA1"/>
    <w:rsid w:val="004B4D59"/>
    <w:rsid w:val="004B5BE7"/>
    <w:rsid w:val="004B5F97"/>
    <w:rsid w:val="004B6BF9"/>
    <w:rsid w:val="004C246A"/>
    <w:rsid w:val="004C335F"/>
    <w:rsid w:val="004D548E"/>
    <w:rsid w:val="004E79A3"/>
    <w:rsid w:val="004F4E82"/>
    <w:rsid w:val="0050220F"/>
    <w:rsid w:val="00504466"/>
    <w:rsid w:val="005052BC"/>
    <w:rsid w:val="005222D6"/>
    <w:rsid w:val="00522565"/>
    <w:rsid w:val="00532E30"/>
    <w:rsid w:val="005341BF"/>
    <w:rsid w:val="00536571"/>
    <w:rsid w:val="00536956"/>
    <w:rsid w:val="0053696D"/>
    <w:rsid w:val="0054015D"/>
    <w:rsid w:val="0054285B"/>
    <w:rsid w:val="00544209"/>
    <w:rsid w:val="00544312"/>
    <w:rsid w:val="00551D41"/>
    <w:rsid w:val="00555121"/>
    <w:rsid w:val="00566B7E"/>
    <w:rsid w:val="0057684D"/>
    <w:rsid w:val="00580986"/>
    <w:rsid w:val="0058599B"/>
    <w:rsid w:val="00594640"/>
    <w:rsid w:val="00595B7D"/>
    <w:rsid w:val="005A0A23"/>
    <w:rsid w:val="005A19F9"/>
    <w:rsid w:val="005B296C"/>
    <w:rsid w:val="005C5BAB"/>
    <w:rsid w:val="005C7C66"/>
    <w:rsid w:val="005D2A64"/>
    <w:rsid w:val="005E0469"/>
    <w:rsid w:val="005E206C"/>
    <w:rsid w:val="006075E4"/>
    <w:rsid w:val="006127A4"/>
    <w:rsid w:val="00613C46"/>
    <w:rsid w:val="00622913"/>
    <w:rsid w:val="0062354A"/>
    <w:rsid w:val="006270FA"/>
    <w:rsid w:val="00627BA2"/>
    <w:rsid w:val="0063446B"/>
    <w:rsid w:val="00635DFD"/>
    <w:rsid w:val="006410C3"/>
    <w:rsid w:val="0064139F"/>
    <w:rsid w:val="00641CEE"/>
    <w:rsid w:val="00646AA3"/>
    <w:rsid w:val="00653372"/>
    <w:rsid w:val="00655D3A"/>
    <w:rsid w:val="006646BD"/>
    <w:rsid w:val="00664816"/>
    <w:rsid w:val="006670C5"/>
    <w:rsid w:val="006726E9"/>
    <w:rsid w:val="00673012"/>
    <w:rsid w:val="00685459"/>
    <w:rsid w:val="006857B2"/>
    <w:rsid w:val="006967F3"/>
    <w:rsid w:val="006A1631"/>
    <w:rsid w:val="006B2A78"/>
    <w:rsid w:val="006B6C9F"/>
    <w:rsid w:val="006C076E"/>
    <w:rsid w:val="006C5E1C"/>
    <w:rsid w:val="006E0F27"/>
    <w:rsid w:val="006E6EAB"/>
    <w:rsid w:val="006E751A"/>
    <w:rsid w:val="006F57E4"/>
    <w:rsid w:val="00702CFE"/>
    <w:rsid w:val="00705CD7"/>
    <w:rsid w:val="00717A53"/>
    <w:rsid w:val="00717D3F"/>
    <w:rsid w:val="007248FF"/>
    <w:rsid w:val="00724FFB"/>
    <w:rsid w:val="0072648B"/>
    <w:rsid w:val="00727AD6"/>
    <w:rsid w:val="00736E49"/>
    <w:rsid w:val="00740637"/>
    <w:rsid w:val="007570B8"/>
    <w:rsid w:val="007645F6"/>
    <w:rsid w:val="0077635B"/>
    <w:rsid w:val="00792BE4"/>
    <w:rsid w:val="007965A6"/>
    <w:rsid w:val="007A1738"/>
    <w:rsid w:val="007A6D15"/>
    <w:rsid w:val="007B571C"/>
    <w:rsid w:val="007B7B84"/>
    <w:rsid w:val="007C425B"/>
    <w:rsid w:val="007C5BBD"/>
    <w:rsid w:val="007D1392"/>
    <w:rsid w:val="007D1CA7"/>
    <w:rsid w:val="007D54B8"/>
    <w:rsid w:val="007E4C2C"/>
    <w:rsid w:val="007E7C65"/>
    <w:rsid w:val="007F27E8"/>
    <w:rsid w:val="008071FD"/>
    <w:rsid w:val="00807B0F"/>
    <w:rsid w:val="00814079"/>
    <w:rsid w:val="00816472"/>
    <w:rsid w:val="00825E5B"/>
    <w:rsid w:val="00827D01"/>
    <w:rsid w:val="00837F24"/>
    <w:rsid w:val="008410F4"/>
    <w:rsid w:val="00841600"/>
    <w:rsid w:val="00846ACA"/>
    <w:rsid w:val="00847469"/>
    <w:rsid w:val="00857887"/>
    <w:rsid w:val="00865390"/>
    <w:rsid w:val="008724D0"/>
    <w:rsid w:val="0087392F"/>
    <w:rsid w:val="00887410"/>
    <w:rsid w:val="00891A63"/>
    <w:rsid w:val="00891D26"/>
    <w:rsid w:val="008A16C7"/>
    <w:rsid w:val="008B3B03"/>
    <w:rsid w:val="008C5BF8"/>
    <w:rsid w:val="008C5F5D"/>
    <w:rsid w:val="008D570A"/>
    <w:rsid w:val="008D5E47"/>
    <w:rsid w:val="008E3E96"/>
    <w:rsid w:val="008E4D08"/>
    <w:rsid w:val="008E7FEF"/>
    <w:rsid w:val="008F5BF5"/>
    <w:rsid w:val="008F72B7"/>
    <w:rsid w:val="00900EB7"/>
    <w:rsid w:val="00906B08"/>
    <w:rsid w:val="0090727F"/>
    <w:rsid w:val="00910F77"/>
    <w:rsid w:val="0091262E"/>
    <w:rsid w:val="0092137B"/>
    <w:rsid w:val="009224EC"/>
    <w:rsid w:val="00926307"/>
    <w:rsid w:val="00926B71"/>
    <w:rsid w:val="009319CC"/>
    <w:rsid w:val="00932850"/>
    <w:rsid w:val="00932E16"/>
    <w:rsid w:val="00944D73"/>
    <w:rsid w:val="00946003"/>
    <w:rsid w:val="00947B1D"/>
    <w:rsid w:val="00951D45"/>
    <w:rsid w:val="009553E7"/>
    <w:rsid w:val="00960958"/>
    <w:rsid w:val="00965D85"/>
    <w:rsid w:val="0097171C"/>
    <w:rsid w:val="00973E38"/>
    <w:rsid w:val="009834AA"/>
    <w:rsid w:val="00991F34"/>
    <w:rsid w:val="009947C6"/>
    <w:rsid w:val="009A124C"/>
    <w:rsid w:val="009A5320"/>
    <w:rsid w:val="009A6CDA"/>
    <w:rsid w:val="009B51B0"/>
    <w:rsid w:val="009B6089"/>
    <w:rsid w:val="009C1DDE"/>
    <w:rsid w:val="009C2CAD"/>
    <w:rsid w:val="009D4330"/>
    <w:rsid w:val="009E7FAD"/>
    <w:rsid w:val="009F384D"/>
    <w:rsid w:val="00A058DF"/>
    <w:rsid w:val="00A108C2"/>
    <w:rsid w:val="00A1249E"/>
    <w:rsid w:val="00A153D8"/>
    <w:rsid w:val="00A34CD1"/>
    <w:rsid w:val="00A40807"/>
    <w:rsid w:val="00A4211C"/>
    <w:rsid w:val="00A43AE9"/>
    <w:rsid w:val="00A46258"/>
    <w:rsid w:val="00A52594"/>
    <w:rsid w:val="00A56FF5"/>
    <w:rsid w:val="00A60B95"/>
    <w:rsid w:val="00A6703E"/>
    <w:rsid w:val="00A7028A"/>
    <w:rsid w:val="00A7029A"/>
    <w:rsid w:val="00A71718"/>
    <w:rsid w:val="00A738E6"/>
    <w:rsid w:val="00A75389"/>
    <w:rsid w:val="00A90B43"/>
    <w:rsid w:val="00A94C06"/>
    <w:rsid w:val="00AA245D"/>
    <w:rsid w:val="00AB3CA3"/>
    <w:rsid w:val="00AB4879"/>
    <w:rsid w:val="00AC06CC"/>
    <w:rsid w:val="00AC2A39"/>
    <w:rsid w:val="00AE26B2"/>
    <w:rsid w:val="00AE54E5"/>
    <w:rsid w:val="00AE6B4B"/>
    <w:rsid w:val="00AE74ED"/>
    <w:rsid w:val="00AF0FC1"/>
    <w:rsid w:val="00AF7F72"/>
    <w:rsid w:val="00B06324"/>
    <w:rsid w:val="00B102B6"/>
    <w:rsid w:val="00B1524E"/>
    <w:rsid w:val="00B16B8E"/>
    <w:rsid w:val="00B17F22"/>
    <w:rsid w:val="00B2264F"/>
    <w:rsid w:val="00B26B8E"/>
    <w:rsid w:val="00B303BD"/>
    <w:rsid w:val="00B30802"/>
    <w:rsid w:val="00B50C10"/>
    <w:rsid w:val="00B5695C"/>
    <w:rsid w:val="00B62514"/>
    <w:rsid w:val="00B632CC"/>
    <w:rsid w:val="00B759E3"/>
    <w:rsid w:val="00B82B63"/>
    <w:rsid w:val="00B9273D"/>
    <w:rsid w:val="00B972E0"/>
    <w:rsid w:val="00BA63D1"/>
    <w:rsid w:val="00BB04E0"/>
    <w:rsid w:val="00BB1922"/>
    <w:rsid w:val="00BC19BD"/>
    <w:rsid w:val="00BC3DD2"/>
    <w:rsid w:val="00BC729A"/>
    <w:rsid w:val="00BC7F5F"/>
    <w:rsid w:val="00BD4845"/>
    <w:rsid w:val="00BE0F36"/>
    <w:rsid w:val="00BE160D"/>
    <w:rsid w:val="00BE263D"/>
    <w:rsid w:val="00BE7019"/>
    <w:rsid w:val="00BF2478"/>
    <w:rsid w:val="00C01804"/>
    <w:rsid w:val="00C0276B"/>
    <w:rsid w:val="00C144B6"/>
    <w:rsid w:val="00C17A46"/>
    <w:rsid w:val="00C24A3C"/>
    <w:rsid w:val="00C35068"/>
    <w:rsid w:val="00C37EA0"/>
    <w:rsid w:val="00C4375E"/>
    <w:rsid w:val="00C45C86"/>
    <w:rsid w:val="00C4701B"/>
    <w:rsid w:val="00C55258"/>
    <w:rsid w:val="00C62B31"/>
    <w:rsid w:val="00C678B6"/>
    <w:rsid w:val="00C75600"/>
    <w:rsid w:val="00C7771B"/>
    <w:rsid w:val="00C82026"/>
    <w:rsid w:val="00C83177"/>
    <w:rsid w:val="00C84BF1"/>
    <w:rsid w:val="00C949D1"/>
    <w:rsid w:val="00C9631C"/>
    <w:rsid w:val="00C96E5E"/>
    <w:rsid w:val="00CA0969"/>
    <w:rsid w:val="00CA1228"/>
    <w:rsid w:val="00CB550B"/>
    <w:rsid w:val="00CB7072"/>
    <w:rsid w:val="00CC1E6D"/>
    <w:rsid w:val="00CC228E"/>
    <w:rsid w:val="00CC6FB8"/>
    <w:rsid w:val="00CD384C"/>
    <w:rsid w:val="00CD6FFD"/>
    <w:rsid w:val="00CF2CFE"/>
    <w:rsid w:val="00CF4D5C"/>
    <w:rsid w:val="00D13A94"/>
    <w:rsid w:val="00D154B0"/>
    <w:rsid w:val="00D15500"/>
    <w:rsid w:val="00D2299B"/>
    <w:rsid w:val="00D258DD"/>
    <w:rsid w:val="00D505B2"/>
    <w:rsid w:val="00D543EC"/>
    <w:rsid w:val="00D54CD3"/>
    <w:rsid w:val="00D66446"/>
    <w:rsid w:val="00D723FB"/>
    <w:rsid w:val="00D76E5C"/>
    <w:rsid w:val="00D85241"/>
    <w:rsid w:val="00D87E53"/>
    <w:rsid w:val="00DA05AD"/>
    <w:rsid w:val="00DA33F2"/>
    <w:rsid w:val="00DB085E"/>
    <w:rsid w:val="00DB475E"/>
    <w:rsid w:val="00DB6CD9"/>
    <w:rsid w:val="00DB724B"/>
    <w:rsid w:val="00DC0D2E"/>
    <w:rsid w:val="00DC6D51"/>
    <w:rsid w:val="00DC75BA"/>
    <w:rsid w:val="00DD1432"/>
    <w:rsid w:val="00DD7228"/>
    <w:rsid w:val="00DE021C"/>
    <w:rsid w:val="00DE3CF6"/>
    <w:rsid w:val="00DF2096"/>
    <w:rsid w:val="00DF4F67"/>
    <w:rsid w:val="00DF5111"/>
    <w:rsid w:val="00E00729"/>
    <w:rsid w:val="00E26733"/>
    <w:rsid w:val="00E316A3"/>
    <w:rsid w:val="00E35FA1"/>
    <w:rsid w:val="00E40731"/>
    <w:rsid w:val="00E433BC"/>
    <w:rsid w:val="00E43CF7"/>
    <w:rsid w:val="00E454CA"/>
    <w:rsid w:val="00E50A84"/>
    <w:rsid w:val="00E53206"/>
    <w:rsid w:val="00E55F28"/>
    <w:rsid w:val="00E70B6B"/>
    <w:rsid w:val="00E70BFC"/>
    <w:rsid w:val="00E756BB"/>
    <w:rsid w:val="00E80094"/>
    <w:rsid w:val="00E83054"/>
    <w:rsid w:val="00E8769E"/>
    <w:rsid w:val="00E95D23"/>
    <w:rsid w:val="00E97CCA"/>
    <w:rsid w:val="00E97F0E"/>
    <w:rsid w:val="00EA3447"/>
    <w:rsid w:val="00EA5B3F"/>
    <w:rsid w:val="00EA6C80"/>
    <w:rsid w:val="00EB050A"/>
    <w:rsid w:val="00EB0D66"/>
    <w:rsid w:val="00EC0FCD"/>
    <w:rsid w:val="00ED1A8F"/>
    <w:rsid w:val="00ED75CB"/>
    <w:rsid w:val="00ED79B2"/>
    <w:rsid w:val="00EE2DB9"/>
    <w:rsid w:val="00EF0508"/>
    <w:rsid w:val="00EF302E"/>
    <w:rsid w:val="00EF7FB3"/>
    <w:rsid w:val="00F06008"/>
    <w:rsid w:val="00F205EC"/>
    <w:rsid w:val="00F219A7"/>
    <w:rsid w:val="00F33AA9"/>
    <w:rsid w:val="00F41F67"/>
    <w:rsid w:val="00F44B1E"/>
    <w:rsid w:val="00F51F2E"/>
    <w:rsid w:val="00F528C8"/>
    <w:rsid w:val="00F54B81"/>
    <w:rsid w:val="00F55542"/>
    <w:rsid w:val="00F65093"/>
    <w:rsid w:val="00F66966"/>
    <w:rsid w:val="00F67F85"/>
    <w:rsid w:val="00F700F5"/>
    <w:rsid w:val="00F87485"/>
    <w:rsid w:val="00F87B3A"/>
    <w:rsid w:val="00F90E61"/>
    <w:rsid w:val="00F92CFB"/>
    <w:rsid w:val="00FA6828"/>
    <w:rsid w:val="00FB23DD"/>
    <w:rsid w:val="00FB291D"/>
    <w:rsid w:val="00FB6CEE"/>
    <w:rsid w:val="00FC7371"/>
    <w:rsid w:val="00FD0355"/>
    <w:rsid w:val="00FE0AFF"/>
    <w:rsid w:val="00FE46A3"/>
    <w:rsid w:val="015D791E"/>
    <w:rsid w:val="01E17E2E"/>
    <w:rsid w:val="02453D27"/>
    <w:rsid w:val="02F73573"/>
    <w:rsid w:val="037D0188"/>
    <w:rsid w:val="05D0189F"/>
    <w:rsid w:val="07715E6C"/>
    <w:rsid w:val="097E4A26"/>
    <w:rsid w:val="0B335B00"/>
    <w:rsid w:val="0B67404C"/>
    <w:rsid w:val="0CB01D2B"/>
    <w:rsid w:val="0DB21C4A"/>
    <w:rsid w:val="0E207DD8"/>
    <w:rsid w:val="0F6A5769"/>
    <w:rsid w:val="0FC272E6"/>
    <w:rsid w:val="0FEA3A32"/>
    <w:rsid w:val="10792BC2"/>
    <w:rsid w:val="112B610C"/>
    <w:rsid w:val="11B01D56"/>
    <w:rsid w:val="1261697B"/>
    <w:rsid w:val="13150416"/>
    <w:rsid w:val="18C27C49"/>
    <w:rsid w:val="196A0115"/>
    <w:rsid w:val="1BEB11F7"/>
    <w:rsid w:val="1C4028A9"/>
    <w:rsid w:val="1C697D1D"/>
    <w:rsid w:val="1D632896"/>
    <w:rsid w:val="1EA61252"/>
    <w:rsid w:val="1F0910B8"/>
    <w:rsid w:val="1F5E7BB7"/>
    <w:rsid w:val="220952FE"/>
    <w:rsid w:val="23FD23BD"/>
    <w:rsid w:val="25231CA2"/>
    <w:rsid w:val="254F47F0"/>
    <w:rsid w:val="25A52913"/>
    <w:rsid w:val="26612F41"/>
    <w:rsid w:val="268428AC"/>
    <w:rsid w:val="29C1470B"/>
    <w:rsid w:val="2A730A55"/>
    <w:rsid w:val="2CA06676"/>
    <w:rsid w:val="2DF341C5"/>
    <w:rsid w:val="2F6F535C"/>
    <w:rsid w:val="308B7311"/>
    <w:rsid w:val="311301A5"/>
    <w:rsid w:val="31502175"/>
    <w:rsid w:val="3294472F"/>
    <w:rsid w:val="32AD2393"/>
    <w:rsid w:val="3394255D"/>
    <w:rsid w:val="35A633F6"/>
    <w:rsid w:val="3BD81D24"/>
    <w:rsid w:val="3E6B5841"/>
    <w:rsid w:val="3EAE1E72"/>
    <w:rsid w:val="4092427E"/>
    <w:rsid w:val="419F731F"/>
    <w:rsid w:val="43F5538F"/>
    <w:rsid w:val="448F656D"/>
    <w:rsid w:val="44A669AB"/>
    <w:rsid w:val="452F327A"/>
    <w:rsid w:val="453C0B92"/>
    <w:rsid w:val="45763AFB"/>
    <w:rsid w:val="46045875"/>
    <w:rsid w:val="466B2380"/>
    <w:rsid w:val="46C06025"/>
    <w:rsid w:val="46C84D06"/>
    <w:rsid w:val="46F87FBE"/>
    <w:rsid w:val="47E06AF4"/>
    <w:rsid w:val="482F3942"/>
    <w:rsid w:val="486B1EDE"/>
    <w:rsid w:val="490E65B8"/>
    <w:rsid w:val="49DF51B7"/>
    <w:rsid w:val="4CC10295"/>
    <w:rsid w:val="4E6F4AC2"/>
    <w:rsid w:val="4F011B31"/>
    <w:rsid w:val="50DA4152"/>
    <w:rsid w:val="51885E4B"/>
    <w:rsid w:val="5195006E"/>
    <w:rsid w:val="52173429"/>
    <w:rsid w:val="530E5D55"/>
    <w:rsid w:val="538A1DFF"/>
    <w:rsid w:val="53F54B51"/>
    <w:rsid w:val="55443E49"/>
    <w:rsid w:val="562A54ED"/>
    <w:rsid w:val="57C52B76"/>
    <w:rsid w:val="57C66537"/>
    <w:rsid w:val="59C47743"/>
    <w:rsid w:val="5A851133"/>
    <w:rsid w:val="5C2C29AD"/>
    <w:rsid w:val="5C396268"/>
    <w:rsid w:val="5D3279AE"/>
    <w:rsid w:val="5DF972CE"/>
    <w:rsid w:val="5F29112D"/>
    <w:rsid w:val="5F8E5770"/>
    <w:rsid w:val="5FB87416"/>
    <w:rsid w:val="600D6BCB"/>
    <w:rsid w:val="603E7DDD"/>
    <w:rsid w:val="60C765DF"/>
    <w:rsid w:val="612253A6"/>
    <w:rsid w:val="61A52E95"/>
    <w:rsid w:val="62AB2480"/>
    <w:rsid w:val="63597F2F"/>
    <w:rsid w:val="64317CA4"/>
    <w:rsid w:val="65570D19"/>
    <w:rsid w:val="66ED1FA3"/>
    <w:rsid w:val="67FA7D34"/>
    <w:rsid w:val="68DD207B"/>
    <w:rsid w:val="691F398C"/>
    <w:rsid w:val="69BB01E7"/>
    <w:rsid w:val="6A2A15C4"/>
    <w:rsid w:val="6E410CC1"/>
    <w:rsid w:val="6EE47719"/>
    <w:rsid w:val="6FD76DCE"/>
    <w:rsid w:val="701C776B"/>
    <w:rsid w:val="71843792"/>
    <w:rsid w:val="73536669"/>
    <w:rsid w:val="73A535C5"/>
    <w:rsid w:val="7475110C"/>
    <w:rsid w:val="75B24B7F"/>
    <w:rsid w:val="76BA123F"/>
    <w:rsid w:val="78800CE3"/>
    <w:rsid w:val="7963024A"/>
    <w:rsid w:val="79C0782B"/>
    <w:rsid w:val="7B2B7C41"/>
    <w:rsid w:val="7BAA3CFB"/>
    <w:rsid w:val="7C5406F4"/>
    <w:rsid w:val="7E9B0DBB"/>
    <w:rsid w:val="7F044C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7"/>
    <w:qFormat/>
    <w:uiPriority w:val="0"/>
    <w:pPr>
      <w:keepNext/>
      <w:keepLines/>
      <w:spacing w:before="100" w:after="90" w:line="578" w:lineRule="auto"/>
      <w:jc w:val="center"/>
      <w:outlineLvl w:val="0"/>
    </w:pPr>
    <w:rPr>
      <w:rFonts w:ascii="Calibri" w:hAnsi="Calibri"/>
      <w:b/>
      <w:bCs/>
      <w:kern w:val="44"/>
      <w:sz w:val="32"/>
      <w:szCs w:val="44"/>
      <w:lang w:val="zh-CN"/>
    </w:rPr>
  </w:style>
  <w:style w:type="paragraph" w:styleId="2">
    <w:name w:val="heading 2"/>
    <w:basedOn w:val="1"/>
    <w:next w:val="1"/>
    <w:link w:val="51"/>
    <w:qFormat/>
    <w:uiPriority w:val="0"/>
    <w:pPr>
      <w:keepNext/>
      <w:keepLines/>
      <w:spacing w:line="416" w:lineRule="auto"/>
      <w:outlineLvl w:val="1"/>
    </w:pPr>
    <w:rPr>
      <w:rFonts w:ascii="Cambria" w:hAnsi="Cambria"/>
      <w:b/>
      <w:bCs/>
      <w:szCs w:val="32"/>
      <w:lang w:val="zh-CN"/>
    </w:rPr>
  </w:style>
  <w:style w:type="paragraph" w:styleId="4">
    <w:name w:val="heading 3"/>
    <w:basedOn w:val="1"/>
    <w:next w:val="1"/>
    <w:link w:val="56"/>
    <w:qFormat/>
    <w:uiPriority w:val="0"/>
    <w:pPr>
      <w:keepNext/>
      <w:keepLines/>
      <w:spacing w:before="260" w:after="260" w:line="416" w:lineRule="auto"/>
      <w:outlineLvl w:val="2"/>
    </w:pPr>
    <w:rPr>
      <w:rFonts w:ascii="Calibri" w:hAnsi="Calibri"/>
      <w:b/>
      <w:bCs/>
      <w:sz w:val="32"/>
      <w:szCs w:val="32"/>
      <w:lang w:val="zh-CN"/>
    </w:rPr>
  </w:style>
  <w:style w:type="character" w:default="1" w:styleId="23">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49"/>
    <w:qFormat/>
    <w:uiPriority w:val="0"/>
    <w:rPr>
      <w:rFonts w:ascii="宋体"/>
      <w:sz w:val="18"/>
      <w:szCs w:val="18"/>
      <w:lang w:val="zh-CN"/>
    </w:rPr>
  </w:style>
  <w:style w:type="paragraph" w:styleId="6">
    <w:name w:val="annotation text"/>
    <w:basedOn w:val="1"/>
    <w:link w:val="47"/>
    <w:qFormat/>
    <w:uiPriority w:val="0"/>
    <w:pPr>
      <w:jc w:val="left"/>
    </w:pPr>
    <w:rPr>
      <w:lang w:val="zh-CN"/>
    </w:rPr>
  </w:style>
  <w:style w:type="paragraph" w:styleId="7">
    <w:name w:val="Body Text"/>
    <w:basedOn w:val="1"/>
    <w:link w:val="54"/>
    <w:qFormat/>
    <w:uiPriority w:val="0"/>
    <w:pPr>
      <w:spacing w:after="120"/>
    </w:pPr>
    <w:rPr>
      <w:lang w:val="zh-CN"/>
    </w:rPr>
  </w:style>
  <w:style w:type="paragraph" w:styleId="8">
    <w:name w:val="Body Text Indent"/>
    <w:basedOn w:val="1"/>
    <w:qFormat/>
    <w:uiPriority w:val="0"/>
    <w:pPr>
      <w:spacing w:after="120"/>
      <w:ind w:left="420" w:leftChars="200"/>
    </w:pPr>
  </w:style>
  <w:style w:type="paragraph" w:styleId="9">
    <w:name w:val="toc 3"/>
    <w:basedOn w:val="1"/>
    <w:next w:val="1"/>
    <w:unhideWhenUsed/>
    <w:qFormat/>
    <w:uiPriority w:val="39"/>
    <w:pPr>
      <w:widowControl/>
      <w:spacing w:after="100" w:line="276" w:lineRule="auto"/>
      <w:ind w:left="440"/>
      <w:jc w:val="left"/>
    </w:pPr>
    <w:rPr>
      <w:rFonts w:ascii="Calibri" w:hAnsi="Calibri"/>
      <w:kern w:val="0"/>
      <w:sz w:val="22"/>
      <w:szCs w:val="22"/>
    </w:rPr>
  </w:style>
  <w:style w:type="paragraph" w:styleId="10">
    <w:name w:val="Plain Text"/>
    <w:basedOn w:val="1"/>
    <w:link w:val="48"/>
    <w:qFormat/>
    <w:uiPriority w:val="0"/>
    <w:rPr>
      <w:rFonts w:ascii="宋体" w:hAnsi="Courier New"/>
      <w:color w:val="000000"/>
      <w:kern w:val="0"/>
      <w:szCs w:val="21"/>
      <w:lang w:val="zh-CN"/>
    </w:rPr>
  </w:style>
  <w:style w:type="paragraph" w:styleId="11">
    <w:name w:val="Date"/>
    <w:basedOn w:val="1"/>
    <w:next w:val="1"/>
    <w:qFormat/>
    <w:uiPriority w:val="0"/>
    <w:pPr>
      <w:ind w:left="100" w:leftChars="2500"/>
    </w:pPr>
    <w:rPr>
      <w:rFonts w:ascii="楷体_GB2312"/>
      <w:sz w:val="36"/>
    </w:rPr>
  </w:style>
  <w:style w:type="paragraph" w:styleId="12">
    <w:name w:val="Balloon Text"/>
    <w:basedOn w:val="1"/>
    <w:link w:val="42"/>
    <w:qFormat/>
    <w:uiPriority w:val="0"/>
    <w:rPr>
      <w:rFonts w:ascii="Calibri" w:hAnsi="Calibri"/>
      <w:sz w:val="18"/>
      <w:szCs w:val="18"/>
      <w:lang w:val="zh-CN"/>
    </w:rPr>
  </w:style>
  <w:style w:type="paragraph" w:styleId="13">
    <w:name w:val="footer"/>
    <w:basedOn w:val="1"/>
    <w:link w:val="61"/>
    <w:uiPriority w:val="0"/>
    <w:pPr>
      <w:tabs>
        <w:tab w:val="center" w:pos="4153"/>
        <w:tab w:val="right" w:pos="8306"/>
      </w:tabs>
      <w:snapToGrid w:val="0"/>
      <w:jc w:val="left"/>
    </w:pPr>
    <w:rPr>
      <w:rFonts w:ascii="Calibri" w:hAnsi="Calibri"/>
      <w:sz w:val="18"/>
      <w:szCs w:val="18"/>
      <w:lang w:val="zh-CN"/>
    </w:rPr>
  </w:style>
  <w:style w:type="paragraph" w:styleId="14">
    <w:name w:val="header"/>
    <w:basedOn w:val="1"/>
    <w:link w:val="39"/>
    <w:uiPriority w:val="0"/>
    <w:pPr>
      <w:pBdr>
        <w:bottom w:val="single" w:color="auto" w:sz="6" w:space="1"/>
      </w:pBdr>
      <w:tabs>
        <w:tab w:val="center" w:pos="4153"/>
        <w:tab w:val="right" w:pos="8306"/>
      </w:tabs>
      <w:snapToGrid w:val="0"/>
      <w:jc w:val="center"/>
    </w:pPr>
    <w:rPr>
      <w:rFonts w:ascii="Calibri" w:hAnsi="Calibri"/>
      <w:sz w:val="18"/>
      <w:szCs w:val="18"/>
      <w:lang w:val="zh-CN"/>
    </w:rPr>
  </w:style>
  <w:style w:type="paragraph" w:styleId="15">
    <w:name w:val="toc 1"/>
    <w:basedOn w:val="1"/>
    <w:next w:val="1"/>
    <w:unhideWhenUsed/>
    <w:qFormat/>
    <w:uiPriority w:val="39"/>
    <w:pPr>
      <w:widowControl/>
      <w:tabs>
        <w:tab w:val="right" w:leader="dot" w:pos="8296"/>
      </w:tabs>
      <w:spacing w:after="100" w:line="276" w:lineRule="auto"/>
      <w:jc w:val="center"/>
    </w:pPr>
    <w:rPr>
      <w:rFonts w:ascii="Calibri" w:hAnsi="Calibri"/>
      <w:kern w:val="0"/>
      <w:sz w:val="22"/>
      <w:szCs w:val="22"/>
    </w:rPr>
  </w:style>
  <w:style w:type="paragraph" w:styleId="16">
    <w:name w:val="toc 2"/>
    <w:basedOn w:val="1"/>
    <w:next w:val="1"/>
    <w:unhideWhenUsed/>
    <w:qFormat/>
    <w:uiPriority w:val="39"/>
    <w:pPr>
      <w:widowControl/>
      <w:spacing w:after="100" w:line="276" w:lineRule="auto"/>
      <w:ind w:left="220"/>
      <w:jc w:val="left"/>
    </w:pPr>
    <w:rPr>
      <w:rFonts w:ascii="Calibri" w:hAnsi="Calibri"/>
      <w:kern w:val="0"/>
      <w:sz w:val="22"/>
      <w:szCs w:val="22"/>
    </w:rPr>
  </w:style>
  <w:style w:type="paragraph" w:styleId="17">
    <w:name w:val="Body Text 2"/>
    <w:basedOn w:val="1"/>
    <w:link w:val="62"/>
    <w:uiPriority w:val="0"/>
    <w:pPr>
      <w:spacing w:after="120" w:line="480" w:lineRule="auto"/>
    </w:pPr>
    <w:rPr>
      <w:lang w:val="zh-CN"/>
    </w:rPr>
  </w:style>
  <w:style w:type="paragraph" w:styleId="18">
    <w:name w:val="Normal (Web)"/>
    <w:basedOn w:val="1"/>
    <w:qFormat/>
    <w:uiPriority w:val="99"/>
    <w:pPr>
      <w:widowControl/>
      <w:spacing w:line="300" w:lineRule="atLeast"/>
    </w:pPr>
    <w:rPr>
      <w:rFonts w:ascii="宋体" w:hAnsi="宋体"/>
      <w:kern w:val="0"/>
      <w:sz w:val="24"/>
    </w:rPr>
  </w:style>
  <w:style w:type="paragraph" w:styleId="19">
    <w:name w:val="Title"/>
    <w:basedOn w:val="1"/>
    <w:next w:val="1"/>
    <w:link w:val="43"/>
    <w:qFormat/>
    <w:uiPriority w:val="0"/>
    <w:pPr>
      <w:spacing w:before="240" w:after="60"/>
      <w:jc w:val="center"/>
      <w:outlineLvl w:val="0"/>
    </w:pPr>
    <w:rPr>
      <w:rFonts w:ascii="Cambria" w:hAnsi="Cambria"/>
      <w:b/>
      <w:bCs/>
      <w:sz w:val="32"/>
      <w:szCs w:val="32"/>
      <w:lang w:val="zh-CN"/>
    </w:rPr>
  </w:style>
  <w:style w:type="paragraph" w:styleId="20">
    <w:name w:val="annotation subject"/>
    <w:basedOn w:val="6"/>
    <w:next w:val="6"/>
    <w:link w:val="41"/>
    <w:uiPriority w:val="0"/>
    <w:rPr>
      <w:b/>
      <w:bCs/>
    </w:rPr>
  </w:style>
  <w:style w:type="table" w:styleId="22">
    <w:name w:val="Table Grid"/>
    <w:basedOn w:val="21"/>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22"/>
  </w:style>
  <w:style w:type="character" w:styleId="25">
    <w:name w:val="page number"/>
    <w:basedOn w:val="23"/>
    <w:uiPriority w:val="0"/>
  </w:style>
  <w:style w:type="character" w:styleId="26">
    <w:name w:val="FollowedHyperlink"/>
    <w:basedOn w:val="23"/>
    <w:qFormat/>
    <w:uiPriority w:val="0"/>
    <w:rPr>
      <w:color w:val="800080"/>
      <w:u w:val="none"/>
    </w:rPr>
  </w:style>
  <w:style w:type="character" w:styleId="27">
    <w:name w:val="Emphasis"/>
    <w:qFormat/>
    <w:uiPriority w:val="0"/>
  </w:style>
  <w:style w:type="character" w:styleId="28">
    <w:name w:val="HTML Definition"/>
    <w:qFormat/>
    <w:uiPriority w:val="0"/>
  </w:style>
  <w:style w:type="character" w:styleId="29">
    <w:name w:val="HTML Typewriter"/>
    <w:basedOn w:val="23"/>
    <w:qFormat/>
    <w:uiPriority w:val="0"/>
    <w:rPr>
      <w:rFonts w:hint="default" w:ascii="monospace" w:hAnsi="monospace" w:eastAsia="monospace" w:cs="monospace"/>
      <w:sz w:val="20"/>
    </w:rPr>
  </w:style>
  <w:style w:type="character" w:styleId="30">
    <w:name w:val="HTML Acronym"/>
    <w:basedOn w:val="23"/>
    <w:qFormat/>
    <w:uiPriority w:val="0"/>
  </w:style>
  <w:style w:type="character" w:styleId="31">
    <w:name w:val="HTML Variable"/>
    <w:uiPriority w:val="0"/>
  </w:style>
  <w:style w:type="character" w:styleId="32">
    <w:name w:val="Hyperlink"/>
    <w:unhideWhenUsed/>
    <w:uiPriority w:val="99"/>
    <w:rPr>
      <w:color w:val="0000FF"/>
      <w:u w:val="none"/>
    </w:rPr>
  </w:style>
  <w:style w:type="character" w:styleId="33">
    <w:name w:val="HTML Code"/>
    <w:uiPriority w:val="0"/>
    <w:rPr>
      <w:rFonts w:ascii="Courier New" w:hAnsi="Courier New"/>
      <w:sz w:val="20"/>
    </w:rPr>
  </w:style>
  <w:style w:type="character" w:styleId="34">
    <w:name w:val="annotation reference"/>
    <w:qFormat/>
    <w:uiPriority w:val="0"/>
    <w:rPr>
      <w:sz w:val="21"/>
      <w:szCs w:val="21"/>
    </w:rPr>
  </w:style>
  <w:style w:type="character" w:styleId="35">
    <w:name w:val="HTML Cite"/>
    <w:qFormat/>
    <w:uiPriority w:val="0"/>
  </w:style>
  <w:style w:type="character" w:styleId="36">
    <w:name w:val="HTML Keyboard"/>
    <w:basedOn w:val="23"/>
    <w:qFormat/>
    <w:uiPriority w:val="0"/>
    <w:rPr>
      <w:rFonts w:hint="default" w:ascii="monospace" w:hAnsi="monospace" w:eastAsia="monospace" w:cs="monospace"/>
      <w:sz w:val="20"/>
    </w:rPr>
  </w:style>
  <w:style w:type="character" w:styleId="37">
    <w:name w:val="HTML Sample"/>
    <w:basedOn w:val="23"/>
    <w:qFormat/>
    <w:uiPriority w:val="0"/>
    <w:rPr>
      <w:rFonts w:ascii="monospace" w:hAnsi="monospace" w:eastAsia="monospace" w:cs="monospace"/>
    </w:rPr>
  </w:style>
  <w:style w:type="character" w:customStyle="1" w:styleId="38">
    <w:name w:val="legal"/>
    <w:basedOn w:val="23"/>
    <w:qFormat/>
    <w:uiPriority w:val="0"/>
  </w:style>
  <w:style w:type="character" w:customStyle="1" w:styleId="39">
    <w:name w:val="页眉 Char"/>
    <w:link w:val="14"/>
    <w:qFormat/>
    <w:uiPriority w:val="0"/>
    <w:rPr>
      <w:rFonts w:ascii="Calibri" w:hAnsi="Calibri"/>
      <w:kern w:val="2"/>
      <w:sz w:val="18"/>
      <w:szCs w:val="18"/>
    </w:rPr>
  </w:style>
  <w:style w:type="character" w:customStyle="1" w:styleId="40">
    <w:name w:val="ggzy"/>
    <w:basedOn w:val="23"/>
    <w:qFormat/>
    <w:uiPriority w:val="0"/>
  </w:style>
  <w:style w:type="character" w:customStyle="1" w:styleId="41">
    <w:name w:val="批注主题 Char"/>
    <w:link w:val="20"/>
    <w:qFormat/>
    <w:uiPriority w:val="0"/>
    <w:rPr>
      <w:b/>
      <w:bCs/>
      <w:kern w:val="2"/>
      <w:sz w:val="21"/>
      <w:szCs w:val="24"/>
    </w:rPr>
  </w:style>
  <w:style w:type="character" w:customStyle="1" w:styleId="42">
    <w:name w:val="批注框文本 Char"/>
    <w:link w:val="12"/>
    <w:qFormat/>
    <w:uiPriority w:val="0"/>
    <w:rPr>
      <w:rFonts w:ascii="Calibri" w:hAnsi="Calibri"/>
      <w:kern w:val="2"/>
      <w:sz w:val="18"/>
      <w:szCs w:val="18"/>
    </w:rPr>
  </w:style>
  <w:style w:type="character" w:customStyle="1" w:styleId="43">
    <w:name w:val="标题 Char"/>
    <w:link w:val="19"/>
    <w:uiPriority w:val="0"/>
    <w:rPr>
      <w:rFonts w:ascii="Cambria" w:hAnsi="Cambria"/>
      <w:b/>
      <w:bCs/>
      <w:kern w:val="2"/>
      <w:sz w:val="32"/>
      <w:szCs w:val="32"/>
    </w:rPr>
  </w:style>
  <w:style w:type="character" w:customStyle="1" w:styleId="44">
    <w:name w:val="personal"/>
    <w:basedOn w:val="23"/>
    <w:qFormat/>
    <w:uiPriority w:val="0"/>
  </w:style>
  <w:style w:type="character" w:customStyle="1" w:styleId="45">
    <w:name w:val="标题 Char1"/>
    <w:qFormat/>
    <w:uiPriority w:val="0"/>
    <w:rPr>
      <w:rFonts w:ascii="Cambria" w:hAnsi="Cambria" w:cs="Times New Roman"/>
      <w:b/>
      <w:bCs/>
      <w:kern w:val="2"/>
      <w:sz w:val="32"/>
      <w:szCs w:val="32"/>
    </w:rPr>
  </w:style>
  <w:style w:type="character" w:customStyle="1" w:styleId="46">
    <w:name w:val="interaction"/>
    <w:basedOn w:val="23"/>
    <w:qFormat/>
    <w:uiPriority w:val="0"/>
  </w:style>
  <w:style w:type="character" w:customStyle="1" w:styleId="47">
    <w:name w:val="批注文字 Char"/>
    <w:link w:val="6"/>
    <w:qFormat/>
    <w:uiPriority w:val="0"/>
    <w:rPr>
      <w:kern w:val="2"/>
      <w:sz w:val="21"/>
      <w:szCs w:val="24"/>
    </w:rPr>
  </w:style>
  <w:style w:type="character" w:customStyle="1" w:styleId="48">
    <w:name w:val="纯文本 Char"/>
    <w:link w:val="10"/>
    <w:qFormat/>
    <w:uiPriority w:val="0"/>
    <w:rPr>
      <w:rFonts w:ascii="宋体" w:hAnsi="Courier New"/>
      <w:color w:val="000000"/>
      <w:sz w:val="21"/>
      <w:szCs w:val="21"/>
    </w:rPr>
  </w:style>
  <w:style w:type="character" w:customStyle="1" w:styleId="49">
    <w:name w:val="文档结构图 Char"/>
    <w:link w:val="5"/>
    <w:qFormat/>
    <w:uiPriority w:val="0"/>
    <w:rPr>
      <w:rFonts w:ascii="宋体"/>
      <w:kern w:val="2"/>
      <w:sz w:val="18"/>
      <w:szCs w:val="18"/>
    </w:rPr>
  </w:style>
  <w:style w:type="character" w:customStyle="1" w:styleId="50">
    <w:name w:val="已访问的超链接1"/>
    <w:qFormat/>
    <w:uiPriority w:val="0"/>
    <w:rPr>
      <w:color w:val="800080"/>
      <w:u w:val="none"/>
    </w:rPr>
  </w:style>
  <w:style w:type="character" w:customStyle="1" w:styleId="51">
    <w:name w:val="标题 2 Char"/>
    <w:link w:val="2"/>
    <w:qFormat/>
    <w:uiPriority w:val="0"/>
    <w:rPr>
      <w:rFonts w:ascii="Cambria" w:hAnsi="Cambria"/>
      <w:b/>
      <w:bCs/>
      <w:kern w:val="2"/>
      <w:sz w:val="21"/>
      <w:szCs w:val="32"/>
    </w:rPr>
  </w:style>
  <w:style w:type="character" w:customStyle="1" w:styleId="52">
    <w:name w:val="font41"/>
    <w:qFormat/>
    <w:uiPriority w:val="0"/>
    <w:rPr>
      <w:rFonts w:hint="eastAsia" w:ascii="楷体" w:hAnsi="楷体" w:eastAsia="楷体" w:cs="楷体"/>
      <w:color w:val="000000"/>
      <w:sz w:val="22"/>
      <w:szCs w:val="22"/>
      <w:u w:val="none"/>
    </w:rPr>
  </w:style>
  <w:style w:type="character" w:customStyle="1" w:styleId="53">
    <w:name w:val="纯文本 Char1"/>
    <w:qFormat/>
    <w:uiPriority w:val="0"/>
    <w:rPr>
      <w:rFonts w:ascii="宋体" w:hAnsi="Courier New" w:cs="Courier New"/>
      <w:kern w:val="2"/>
      <w:sz w:val="21"/>
      <w:szCs w:val="21"/>
    </w:rPr>
  </w:style>
  <w:style w:type="character" w:customStyle="1" w:styleId="54">
    <w:name w:val="正文文本 Char"/>
    <w:link w:val="7"/>
    <w:qFormat/>
    <w:uiPriority w:val="0"/>
    <w:rPr>
      <w:kern w:val="2"/>
      <w:sz w:val="21"/>
      <w:szCs w:val="24"/>
    </w:rPr>
  </w:style>
  <w:style w:type="character" w:customStyle="1" w:styleId="55">
    <w:name w:val="news"/>
    <w:basedOn w:val="23"/>
    <w:qFormat/>
    <w:uiPriority w:val="0"/>
  </w:style>
  <w:style w:type="character" w:customStyle="1" w:styleId="56">
    <w:name w:val="标题 3 Char"/>
    <w:link w:val="4"/>
    <w:qFormat/>
    <w:uiPriority w:val="0"/>
    <w:rPr>
      <w:rFonts w:ascii="Calibri" w:hAnsi="Calibri"/>
      <w:b/>
      <w:bCs/>
      <w:kern w:val="2"/>
      <w:sz w:val="32"/>
      <w:szCs w:val="32"/>
    </w:rPr>
  </w:style>
  <w:style w:type="character" w:customStyle="1" w:styleId="57">
    <w:name w:val="标题 1 Char"/>
    <w:link w:val="3"/>
    <w:qFormat/>
    <w:uiPriority w:val="0"/>
    <w:rPr>
      <w:rFonts w:ascii="Calibri" w:hAnsi="Calibri"/>
      <w:b/>
      <w:bCs/>
      <w:kern w:val="44"/>
      <w:sz w:val="32"/>
      <w:szCs w:val="44"/>
    </w:rPr>
  </w:style>
  <w:style w:type="character" w:customStyle="1" w:styleId="58">
    <w:name w:val="99-标书-正文 Char"/>
    <w:link w:val="59"/>
    <w:qFormat/>
    <w:uiPriority w:val="0"/>
    <w:rPr>
      <w:rFonts w:ascii="宋体" w:hAnsi="宋体"/>
      <w:color w:val="000000"/>
      <w:sz w:val="24"/>
      <w:szCs w:val="21"/>
      <w:lang w:val="en-US" w:eastAsia="zh-CN" w:bidi="ar-SA"/>
    </w:rPr>
  </w:style>
  <w:style w:type="paragraph" w:customStyle="1" w:styleId="59">
    <w:name w:val="99-标书-正文"/>
    <w:link w:val="58"/>
    <w:qFormat/>
    <w:uiPriority w:val="0"/>
    <w:pPr>
      <w:spacing w:line="360" w:lineRule="auto"/>
      <w:ind w:firstLine="480" w:firstLineChars="200"/>
      <w:jc w:val="both"/>
    </w:pPr>
    <w:rPr>
      <w:rFonts w:ascii="宋体" w:hAnsi="宋体" w:eastAsia="宋体" w:cs="Times New Roman"/>
      <w:color w:val="000000"/>
      <w:sz w:val="24"/>
      <w:szCs w:val="21"/>
      <w:lang w:val="en-US" w:eastAsia="zh-CN" w:bidi="ar-SA"/>
    </w:rPr>
  </w:style>
  <w:style w:type="character" w:customStyle="1" w:styleId="60">
    <w:name w:val="xyhb"/>
    <w:basedOn w:val="23"/>
    <w:qFormat/>
    <w:uiPriority w:val="0"/>
  </w:style>
  <w:style w:type="character" w:customStyle="1" w:styleId="61">
    <w:name w:val="页脚 Char"/>
    <w:link w:val="13"/>
    <w:qFormat/>
    <w:uiPriority w:val="0"/>
    <w:rPr>
      <w:rFonts w:ascii="Calibri" w:hAnsi="Calibri"/>
      <w:kern w:val="2"/>
      <w:sz w:val="18"/>
      <w:szCs w:val="18"/>
    </w:rPr>
  </w:style>
  <w:style w:type="character" w:customStyle="1" w:styleId="62">
    <w:name w:val="正文文本 2 Char"/>
    <w:link w:val="17"/>
    <w:qFormat/>
    <w:uiPriority w:val="0"/>
    <w:rPr>
      <w:kern w:val="2"/>
      <w:sz w:val="21"/>
      <w:szCs w:val="24"/>
    </w:rPr>
  </w:style>
  <w:style w:type="character" w:customStyle="1" w:styleId="63">
    <w:name w:val="列出段落 Char"/>
    <w:link w:val="64"/>
    <w:qFormat/>
    <w:uiPriority w:val="0"/>
    <w:rPr>
      <w:kern w:val="2"/>
      <w:sz w:val="21"/>
      <w:szCs w:val="24"/>
    </w:rPr>
  </w:style>
  <w:style w:type="paragraph" w:styleId="64">
    <w:name w:val="List Paragraph"/>
    <w:basedOn w:val="65"/>
    <w:link w:val="63"/>
    <w:qFormat/>
    <w:uiPriority w:val="0"/>
    <w:pPr>
      <w:ind w:firstLine="420" w:firstLineChars="200"/>
    </w:pPr>
    <w:rPr>
      <w:lang w:val="zh-CN"/>
    </w:rPr>
  </w:style>
  <w:style w:type="paragraph" w:customStyle="1" w:styleId="65">
    <w:name w:val="Normal_2"/>
    <w:next w:val="66"/>
    <w:qFormat/>
    <w:uiPriority w:val="0"/>
    <w:pPr>
      <w:widowControl w:val="0"/>
      <w:jc w:val="both"/>
    </w:pPr>
    <w:rPr>
      <w:rFonts w:ascii="Calibri" w:hAnsi="Calibri" w:eastAsia="宋体" w:cs="Times New Roman"/>
      <w:kern w:val="2"/>
      <w:sz w:val="21"/>
      <w:szCs w:val="22"/>
      <w:lang w:val="en-US" w:eastAsia="zh-CN" w:bidi="ar-SA"/>
    </w:rPr>
  </w:style>
  <w:style w:type="paragraph" w:customStyle="1" w:styleId="66">
    <w:name w:val="Body Text First Indent_0"/>
    <w:basedOn w:val="67"/>
    <w:unhideWhenUsed/>
    <w:qFormat/>
    <w:uiPriority w:val="99"/>
    <w:pPr>
      <w:ind w:firstLine="420" w:firstLineChars="100"/>
    </w:pPr>
  </w:style>
  <w:style w:type="paragraph" w:customStyle="1" w:styleId="67">
    <w:name w:val="Body Text_0"/>
    <w:basedOn w:val="65"/>
    <w:qFormat/>
    <w:uiPriority w:val="0"/>
    <w:pPr>
      <w:spacing w:after="120"/>
    </w:pPr>
    <w:rPr>
      <w:szCs w:val="24"/>
    </w:rPr>
  </w:style>
  <w:style w:type="character" w:customStyle="1" w:styleId="68">
    <w:name w:val="正文文本 Char1"/>
    <w:uiPriority w:val="0"/>
    <w:rPr>
      <w:rFonts w:ascii="Calibri" w:hAnsi="Calibri"/>
      <w:kern w:val="2"/>
      <w:sz w:val="21"/>
      <w:szCs w:val="24"/>
    </w:rPr>
  </w:style>
  <w:style w:type="character" w:customStyle="1" w:styleId="69">
    <w:name w:val="font01"/>
    <w:basedOn w:val="23"/>
    <w:qFormat/>
    <w:uiPriority w:val="0"/>
    <w:rPr>
      <w:rFonts w:hint="default" w:ascii="Times New Roman" w:hAnsi="Times New Roman" w:cs="Times New Roman"/>
      <w:b/>
      <w:color w:val="000000"/>
      <w:sz w:val="21"/>
      <w:szCs w:val="21"/>
      <w:u w:val="none"/>
    </w:rPr>
  </w:style>
  <w:style w:type="paragraph" w:customStyle="1" w:styleId="70">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71">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
    <w:name w:val="Default"/>
    <w:qFormat/>
    <w:uiPriority w:val="0"/>
    <w:pPr>
      <w:widowControl w:val="0"/>
      <w:autoSpaceDE w:val="0"/>
      <w:autoSpaceDN w:val="0"/>
      <w:adjustRightInd w:val="0"/>
    </w:pPr>
    <w:rPr>
      <w:rFonts w:ascii=".." w:hAnsi="Times New Roman" w:eastAsia=".." w:cs="Times New Roman"/>
      <w:color w:val="000000"/>
      <w:sz w:val="24"/>
      <w:szCs w:val="24"/>
      <w:lang w:val="en-US" w:eastAsia="zh-CN" w:bidi="ar-SA"/>
    </w:rPr>
  </w:style>
  <w:style w:type="paragraph" w:customStyle="1" w:styleId="73">
    <w:name w:val="Table Paragraph"/>
    <w:basedOn w:val="1"/>
    <w:qFormat/>
    <w:uiPriority w:val="1"/>
    <w:pPr>
      <w:autoSpaceDE w:val="0"/>
      <w:autoSpaceDN w:val="0"/>
      <w:adjustRightInd w:val="0"/>
      <w:jc w:val="left"/>
    </w:pPr>
    <w:rPr>
      <w:kern w:val="0"/>
      <w:sz w:val="24"/>
    </w:rPr>
  </w:style>
  <w:style w:type="paragraph" w:customStyle="1" w:styleId="74">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75">
    <w:name w:val="Body Text Indent 21"/>
    <w:basedOn w:val="1"/>
    <w:qFormat/>
    <w:uiPriority w:val="0"/>
    <w:pPr>
      <w:spacing w:line="640" w:lineRule="exact"/>
      <w:ind w:firstLine="645"/>
    </w:pPr>
    <w:rPr>
      <w:rFonts w:ascii="楷体_GB2312" w:eastAsia="楷体_GB231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45</Pages>
  <Words>15955</Words>
  <Characters>16777</Characters>
  <Lines>34</Lines>
  <Paragraphs>41</Paragraphs>
  <TotalTime>1</TotalTime>
  <ScaleCrop>false</ScaleCrop>
  <LinksUpToDate>false</LinksUpToDate>
  <CharactersWithSpaces>16947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2022-01-04T01:33:00Z</dcterms:created>
  <dc:creator>Administrator</dc:creator>
  <cp:lastModifiedBy>WPS_1661863024</cp:lastModifiedBy>
  <cp:lastPrinted>2022-01-07T08:19:00Z</cp:lastPrinted>
  <dcterms:modified xsi:type="dcterms:W3CDTF">2022-10-25T08:44:17Z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BCE44A7A16DC476E8F26350425D2755C</vt:lpwstr>
  </property>
</Properties>
</file>