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rPr>
          <w:rFonts w:hint="eastAsia"/>
        </w:rPr>
        <w:t>询价邀请/询价邀请书</w:t>
      </w:r>
    </w:p>
    <w:p>
      <w:pPr>
        <w:pStyle w:val="15"/>
        <w:widowControl/>
        <w:spacing w:beforeAutospacing="1" w:afterAutospacing="1"/>
        <w:jc w:val="center"/>
      </w:pPr>
      <w:r>
        <w:rPr>
          <w:rStyle w:val="20"/>
          <w:rFonts w:hint="eastAsia" w:ascii="宋体" w:hAnsi="宋体" w:cs="宋体"/>
          <w:sz w:val="36"/>
          <w:szCs w:val="36"/>
        </w:rPr>
        <w:t>询价邀请</w:t>
      </w:r>
    </w:p>
    <w:p>
      <w:pPr>
        <w:spacing w:line="400" w:lineRule="exact"/>
        <w:ind w:right="-218" w:rightChars="-104"/>
        <w:jc w:val="center"/>
        <w:rPr>
          <w:rFonts w:asciiTheme="minorEastAsia" w:hAnsiTheme="minorEastAsia" w:eastAsiaTheme="minorEastAsia" w:cstheme="minorEastAsia"/>
          <w:sz w:val="24"/>
          <w:szCs w:val="24"/>
          <w:u w:val="single"/>
        </w:rPr>
      </w:pPr>
      <w:r>
        <w:rPr>
          <w:rStyle w:val="20"/>
          <w:rFonts w:hint="eastAsia" w:ascii="宋体" w:hAnsi="宋体" w:cs="宋体"/>
          <w:sz w:val="36"/>
          <w:szCs w:val="36"/>
        </w:rPr>
        <w:t>（适用于发布公告方式邀请供应商）</w:t>
      </w:r>
    </w:p>
    <w:p>
      <w:pPr>
        <w:spacing w:line="400" w:lineRule="exact"/>
        <w:ind w:right="-218" w:rightChars="-104" w:firstLine="480" w:firstLineChars="200"/>
        <w:rPr>
          <w:rFonts w:asciiTheme="minorEastAsia" w:hAnsiTheme="minorEastAsia" w:eastAsiaTheme="minorEastAsia" w:cstheme="minorEastAsia"/>
          <w:sz w:val="24"/>
          <w:szCs w:val="24"/>
          <w:u w:val="single"/>
        </w:rPr>
      </w:pPr>
    </w:p>
    <w:p>
      <w:pPr>
        <w:spacing w:line="400" w:lineRule="exact"/>
        <w:ind w:right="-218" w:rightChars="-104"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福建省广厦工程咨询有限公司</w:t>
      </w:r>
      <w:r>
        <w:rPr>
          <w:rFonts w:hint="eastAsia" w:asciiTheme="minorEastAsia" w:hAnsiTheme="minorEastAsia" w:eastAsiaTheme="minorEastAsia" w:cstheme="minorEastAsia"/>
          <w:szCs w:val="21"/>
        </w:rPr>
        <w:t>受</w:t>
      </w:r>
      <w:r>
        <w:rPr>
          <w:rFonts w:hint="eastAsia" w:asciiTheme="minorEastAsia" w:hAnsiTheme="minorEastAsia" w:eastAsiaTheme="minorEastAsia" w:cstheme="minorEastAsia"/>
          <w:szCs w:val="21"/>
          <w:u w:val="single"/>
        </w:rPr>
        <w:t>三明市沙县区</w:t>
      </w:r>
      <w:r>
        <w:rPr>
          <w:rFonts w:hint="eastAsia" w:asciiTheme="minorEastAsia" w:hAnsiTheme="minorEastAsia" w:eastAsiaTheme="minorEastAsia" w:cstheme="minorEastAsia"/>
          <w:szCs w:val="21"/>
          <w:u w:val="single"/>
          <w:lang w:eastAsia="zh-CN"/>
        </w:rPr>
        <w:t>水利局</w:t>
      </w:r>
      <w:r>
        <w:rPr>
          <w:rFonts w:hint="eastAsia" w:asciiTheme="minorEastAsia" w:hAnsiTheme="minorEastAsia" w:eastAsiaTheme="minorEastAsia" w:cstheme="minorEastAsia"/>
          <w:szCs w:val="21"/>
        </w:rPr>
        <w:t>委托，采用</w:t>
      </w:r>
      <w:r>
        <w:rPr>
          <w:rFonts w:hint="eastAsia" w:asciiTheme="minorEastAsia" w:hAnsiTheme="minorEastAsia" w:eastAsiaTheme="minorEastAsia" w:cstheme="minorEastAsia"/>
          <w:szCs w:val="21"/>
          <w:u w:val="single"/>
        </w:rPr>
        <w:t>询价采购</w:t>
      </w:r>
      <w:r>
        <w:rPr>
          <w:rFonts w:hint="eastAsia" w:asciiTheme="minorEastAsia" w:hAnsiTheme="minorEastAsia" w:eastAsiaTheme="minorEastAsia" w:cstheme="minorEastAsia"/>
          <w:szCs w:val="21"/>
        </w:rPr>
        <w:t>方式组织</w:t>
      </w:r>
      <w:r>
        <w:rPr>
          <w:rFonts w:hint="eastAsia" w:asciiTheme="minorEastAsia" w:hAnsiTheme="minorEastAsia" w:eastAsiaTheme="minorEastAsia" w:cstheme="minorEastAsia"/>
          <w:szCs w:val="21"/>
          <w:highlight w:val="none"/>
          <w:u w:val="single"/>
          <w:lang w:eastAsia="zh-CN"/>
        </w:rPr>
        <w:t>电站水库雨水情项目</w:t>
      </w:r>
      <w:r>
        <w:rPr>
          <w:rFonts w:hint="eastAsia" w:asciiTheme="minorEastAsia" w:hAnsiTheme="minorEastAsia" w:eastAsiaTheme="minorEastAsia" w:cstheme="minorEastAsia"/>
          <w:szCs w:val="21"/>
        </w:rPr>
        <w:t>（以下简称：“本项目”）</w:t>
      </w:r>
      <w:r>
        <w:rPr>
          <w:rFonts w:hint="eastAsia" w:ascii="宋体" w:hAnsi="宋体" w:cs="宋体"/>
          <w:szCs w:val="21"/>
        </w:rPr>
        <w:t>的采购活动</w:t>
      </w:r>
      <w:r>
        <w:rPr>
          <w:rFonts w:hint="eastAsia" w:asciiTheme="minorEastAsia" w:hAnsiTheme="minorEastAsia" w:eastAsiaTheme="minorEastAsia" w:cstheme="minorEastAsia"/>
          <w:szCs w:val="21"/>
        </w:rPr>
        <w:t>，现采用发布公告方式，邀请供应商参加报价。</w:t>
      </w:r>
    </w:p>
    <w:p>
      <w:pPr>
        <w:spacing w:line="400" w:lineRule="exact"/>
        <w:ind w:right="-218" w:rightChars="-104"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一、项目编号：广厦招2022沙0</w:t>
      </w:r>
      <w:r>
        <w:rPr>
          <w:rFonts w:hint="eastAsia" w:asciiTheme="minorEastAsia" w:hAnsiTheme="minorEastAsia" w:eastAsiaTheme="minorEastAsia" w:cstheme="minorEastAsia"/>
          <w:b/>
          <w:szCs w:val="21"/>
          <w:lang w:val="en-US" w:eastAsia="zh-CN"/>
        </w:rPr>
        <w:t>40</w:t>
      </w:r>
      <w:r>
        <w:rPr>
          <w:rFonts w:hint="eastAsia" w:asciiTheme="minorEastAsia" w:hAnsiTheme="minorEastAsia" w:eastAsiaTheme="minorEastAsia" w:cstheme="minorEastAsia"/>
          <w:b/>
          <w:szCs w:val="21"/>
        </w:rPr>
        <w:t>号</w:t>
      </w:r>
    </w:p>
    <w:p>
      <w:pPr>
        <w:spacing w:line="400" w:lineRule="exact"/>
        <w:ind w:right="-218" w:rightChars="-104" w:firstLine="422" w:firstLineChars="200"/>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rPr>
        <w:t>二、项目名称：</w:t>
      </w:r>
      <w:r>
        <w:rPr>
          <w:rFonts w:hint="eastAsia" w:asciiTheme="minorEastAsia" w:hAnsiTheme="minorEastAsia" w:eastAsiaTheme="minorEastAsia" w:cstheme="minorEastAsia"/>
          <w:b/>
          <w:szCs w:val="21"/>
          <w:lang w:eastAsia="zh-CN"/>
        </w:rPr>
        <w:t>电站水库雨水情项目</w:t>
      </w:r>
    </w:p>
    <w:p>
      <w:pPr>
        <w:spacing w:line="400" w:lineRule="exact"/>
        <w:ind w:right="-218" w:rightChars="-104"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三、预算金额、最高限价：</w:t>
      </w:r>
      <w:r>
        <w:rPr>
          <w:rFonts w:hint="eastAsia" w:asciiTheme="minorEastAsia" w:hAnsiTheme="minorEastAsia" w:eastAsiaTheme="minorEastAsia" w:cstheme="minorEastAsia"/>
          <w:szCs w:val="21"/>
        </w:rPr>
        <w:t>详见《采购标的一览表》。</w:t>
      </w:r>
    </w:p>
    <w:p>
      <w:pPr>
        <w:spacing w:line="400" w:lineRule="exact"/>
        <w:ind w:right="-218" w:rightChars="-104"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四、询价内容及要求：详见附件2《采购标的一览表》及询价通知书第四章。</w:t>
      </w:r>
    </w:p>
    <w:p>
      <w:pPr>
        <w:numPr>
          <w:ilvl w:val="255"/>
          <w:numId w:val="0"/>
        </w:numPr>
        <w:spacing w:line="400" w:lineRule="exact"/>
        <w:ind w:right="-218" w:rightChars="-104"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五、供应商的资格要求：</w:t>
      </w:r>
    </w:p>
    <w:p>
      <w:pPr>
        <w:numPr>
          <w:ilvl w:val="255"/>
          <w:numId w:val="0"/>
        </w:numPr>
        <w:spacing w:line="400" w:lineRule="exact"/>
        <w:ind w:right="-218" w:rightChars="-104"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5.1法定条件</w:t>
      </w:r>
      <w:r>
        <w:rPr>
          <w:rFonts w:hint="eastAsia" w:asciiTheme="minorEastAsia" w:hAnsiTheme="minorEastAsia" w:eastAsiaTheme="minorEastAsia" w:cstheme="minorEastAsia"/>
          <w:szCs w:val="21"/>
        </w:rPr>
        <w:t>：符合《中华人民共和国政府采购法》第二十二条第一款规定的条件。</w:t>
      </w:r>
    </w:p>
    <w:p>
      <w:pPr>
        <w:pStyle w:val="16"/>
        <w:spacing w:after="0" w:line="400" w:lineRule="exact"/>
        <w:ind w:left="420" w:firstLine="482"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5.1.1具有独立承担民事责任的能力；提供加盖供应商公章的合格有效的法人营业执照副本复印件和税务登记证副本复印件（若三证合一，仅需提供有“统一社会信用代码”的营业执照副本复印件）。</w:t>
      </w:r>
    </w:p>
    <w:p>
      <w:pPr>
        <w:pStyle w:val="16"/>
        <w:tabs>
          <w:tab w:val="left" w:pos="929"/>
        </w:tabs>
        <w:spacing w:after="0" w:line="400" w:lineRule="exact"/>
        <w:ind w:left="420" w:firstLine="482" w:firstLineChars="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t>5.1.2具有良好的商业信誉和健全的财务会计制度；提供在开标时间前六个月内基本开户银行出具的资信证明文件的复印件或财务审计报告（2020年度或2021年度）的复印件。</w:t>
      </w:r>
    </w:p>
    <w:p>
      <w:pPr>
        <w:pStyle w:val="16"/>
        <w:spacing w:after="0" w:line="400" w:lineRule="exact"/>
        <w:ind w:left="420" w:firstLine="482"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5.1.3具有履行合同所必需的设备和专业技术能力；以具有相关的设备及专业技术能力的证明材料或书面声明，若声明不真实，视为提供虚假材料。</w:t>
      </w:r>
    </w:p>
    <w:p>
      <w:pPr>
        <w:pStyle w:val="16"/>
        <w:spacing w:after="0" w:line="400" w:lineRule="exact"/>
        <w:ind w:left="420" w:firstLine="482"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5.1.4有依法缴纳税收和社会保障资金的良好记录；递交投标文件截止时间前六个月内任意一个月的依法纳税缴款凭证及依法缴纳社会保障资金的缴款凭证；（注：依法免税或不需要缴纳社会保障资金的投标单位，应提供相应文件证明其依法免税或不需要缴纳社会保障资金。）</w:t>
      </w:r>
    </w:p>
    <w:p>
      <w:pPr>
        <w:pStyle w:val="16"/>
        <w:spacing w:after="0" w:line="400" w:lineRule="exact"/>
        <w:ind w:left="420" w:firstLine="482"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5.1.5参加政府采购活动前3年内，在经营活动中没有重大违法记录；</w:t>
      </w:r>
    </w:p>
    <w:p>
      <w:pPr>
        <w:pStyle w:val="16"/>
        <w:spacing w:after="0" w:line="400" w:lineRule="exact"/>
        <w:ind w:left="420" w:firstLine="482"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供应商须提供无行贿犯罪书面声明函。</w:t>
      </w:r>
    </w:p>
    <w:p>
      <w:pPr>
        <w:pStyle w:val="16"/>
        <w:spacing w:after="0" w:line="400" w:lineRule="exact"/>
        <w:ind w:left="0" w:leftChars="0"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5.2</w:t>
      </w:r>
      <w:r>
        <w:rPr>
          <w:rFonts w:hint="eastAsia" w:asciiTheme="minorEastAsia" w:hAnsiTheme="minorEastAsia" w:eastAsiaTheme="minorEastAsia" w:cstheme="minorEastAsia"/>
          <w:sz w:val="21"/>
          <w:szCs w:val="21"/>
        </w:rPr>
        <w:t>截至投标截止时间前,经“信用中国”网（www.creditchina.gov.cn）、“中国政府采购网”网站（www.ccgp.gov.cn）查询，被列入失信被执行人、重大税收违法案件当事人名单、政府采购严重违法失信行为记录名单的不得参加本采购项目。(提供带网址及版权信息的查询页面网页，查询时间为购买询价通知书之日至开标前一天的任意时间，供应商须提供查询记录并加盖公章。）</w:t>
      </w:r>
    </w:p>
    <w:p>
      <w:pPr>
        <w:pStyle w:val="16"/>
        <w:spacing w:after="0" w:line="400" w:lineRule="exact"/>
        <w:ind w:left="0" w:leftChars="0" w:firstLine="48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5.3本次招标采用资格后审，本项目</w:t>
      </w:r>
      <w:r>
        <w:rPr>
          <w:rFonts w:hint="eastAsia" w:asciiTheme="minorEastAsia" w:hAnsiTheme="minorEastAsia" w:eastAsiaTheme="minorEastAsia" w:cstheme="minorEastAsia"/>
          <w:b/>
          <w:bCs/>
          <w:color w:val="0000FF"/>
          <w:sz w:val="21"/>
          <w:szCs w:val="21"/>
        </w:rPr>
        <w:t>（不接受）</w:t>
      </w:r>
      <w:r>
        <w:rPr>
          <w:rFonts w:hint="eastAsia" w:asciiTheme="minorEastAsia" w:hAnsiTheme="minorEastAsia" w:eastAsiaTheme="minorEastAsia" w:cstheme="minorEastAsia"/>
          <w:sz w:val="21"/>
          <w:szCs w:val="21"/>
        </w:rPr>
        <w:t>联合体参与投标。</w:t>
      </w:r>
    </w:p>
    <w:p>
      <w:pPr>
        <w:spacing w:line="400" w:lineRule="exact"/>
        <w:ind w:right="-218" w:rightChars="-104"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六、询价通知书的领取</w:t>
      </w:r>
    </w:p>
    <w:p>
      <w:pPr>
        <w:numPr>
          <w:ilvl w:val="255"/>
          <w:numId w:val="0"/>
        </w:numPr>
        <w:spacing w:line="400" w:lineRule="exact"/>
        <w:ind w:left="420" w:leftChars="200" w:right="-218" w:rightChars="-104" w:firstLine="52" w:firstLineChars="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1、询价通知书的领取时间：2022年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09</w:t>
      </w:r>
      <w:r>
        <w:rPr>
          <w:rFonts w:hint="eastAsia" w:asciiTheme="minorEastAsia" w:hAnsiTheme="minorEastAsia" w:eastAsiaTheme="minorEastAsia" w:cstheme="minorEastAsia"/>
          <w:szCs w:val="21"/>
        </w:rPr>
        <w:t>日至2022年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 xml:space="preserve">11 </w:t>
      </w:r>
      <w:r>
        <w:rPr>
          <w:rFonts w:hint="eastAsia" w:asciiTheme="minorEastAsia" w:hAnsiTheme="minorEastAsia" w:eastAsiaTheme="minorEastAsia" w:cstheme="minorEastAsia"/>
          <w:szCs w:val="21"/>
        </w:rPr>
        <w:t>日上午8:30-11:30，下午14:30-17:30(双休日及法定节假日</w:t>
      </w:r>
      <w:r>
        <w:rPr>
          <w:rFonts w:hint="eastAsia" w:asciiTheme="minorEastAsia" w:hAnsiTheme="minorEastAsia" w:eastAsiaTheme="minorEastAsia" w:cstheme="minorEastAsia"/>
          <w:szCs w:val="21"/>
          <w:lang w:eastAsia="zh-CN"/>
        </w:rPr>
        <w:t>休息</w:t>
      </w:r>
      <w:r>
        <w:rPr>
          <w:rFonts w:hint="eastAsia" w:asciiTheme="minorEastAsia" w:hAnsiTheme="minorEastAsia" w:eastAsiaTheme="minorEastAsia" w:cstheme="minorEastAsia"/>
          <w:szCs w:val="21"/>
        </w:rPr>
        <w:t xml:space="preserve">)。 </w:t>
      </w:r>
    </w:p>
    <w:p>
      <w:pPr>
        <w:numPr>
          <w:ilvl w:val="255"/>
          <w:numId w:val="0"/>
        </w:numPr>
        <w:spacing w:line="400" w:lineRule="exact"/>
        <w:ind w:left="420" w:leftChars="200" w:right="-218" w:rightChars="-104" w:firstLine="52" w:firstLineChars="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2、询价通知书的领取地址：福建省广厦工程咨询有限公司（福建省三明市沙县区金明西路256号电子商务产业园西侧204室）。</w:t>
      </w:r>
    </w:p>
    <w:p>
      <w:pPr>
        <w:numPr>
          <w:ilvl w:val="255"/>
          <w:numId w:val="0"/>
        </w:numPr>
        <w:spacing w:line="400" w:lineRule="exact"/>
        <w:ind w:right="-218" w:rightChars="-104"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3、询价通知书的获取方式：现场领售。</w:t>
      </w:r>
    </w:p>
    <w:p>
      <w:pPr>
        <w:numPr>
          <w:ilvl w:val="255"/>
          <w:numId w:val="0"/>
        </w:numPr>
        <w:spacing w:line="400" w:lineRule="exact"/>
        <w:ind w:right="-218" w:rightChars="-104"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4、询价通知书的售价：人民币</w:t>
      </w:r>
      <w:r>
        <w:rPr>
          <w:rFonts w:hint="eastAsia" w:asciiTheme="minorEastAsia" w:hAnsiTheme="minorEastAsia" w:eastAsiaTheme="minorEastAsia" w:cstheme="minorEastAsia"/>
          <w:szCs w:val="21"/>
          <w:lang w:val="en-US" w:eastAsia="zh-CN"/>
        </w:rPr>
        <w:t>200</w:t>
      </w:r>
      <w:r>
        <w:rPr>
          <w:rFonts w:hint="eastAsia" w:asciiTheme="minorEastAsia" w:hAnsiTheme="minorEastAsia" w:eastAsiaTheme="minorEastAsia" w:cstheme="minorEastAsia"/>
          <w:szCs w:val="21"/>
        </w:rPr>
        <w:t>元/本（现金缴纳，售后不退)。</w:t>
      </w:r>
    </w:p>
    <w:p>
      <w:pPr>
        <w:numPr>
          <w:ilvl w:val="255"/>
          <w:numId w:val="0"/>
        </w:numPr>
        <w:spacing w:line="400" w:lineRule="exact"/>
        <w:ind w:left="420" w:leftChars="200" w:right="-218" w:rightChars="-104" w:firstLine="52" w:firstLineChars="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购买采购文件时须携带以下材料：①、法人或者其他组织的营业执照等主体证明文件；②、法定代表人（或非法人组织负责人）身份证明书；③、授权委托书复印件（法定代表人、非法人组织负责人购买采购文件的无需提供）。以上材料需携带复印件加盖公章，装订整齐。</w:t>
      </w:r>
    </w:p>
    <w:p>
      <w:pPr>
        <w:spacing w:line="400" w:lineRule="exact"/>
        <w:ind w:right="-218" w:rightChars="-104"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七、投标保证金：</w:t>
      </w:r>
    </w:p>
    <w:p>
      <w:pPr>
        <w:numPr>
          <w:ilvl w:val="255"/>
          <w:numId w:val="0"/>
        </w:numPr>
        <w:spacing w:line="400" w:lineRule="exact"/>
        <w:ind w:right="-218" w:rightChars="-104"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1、提交金额：</w:t>
      </w:r>
      <w:r>
        <w:rPr>
          <w:rFonts w:hint="eastAsia" w:asciiTheme="minorEastAsia" w:hAnsiTheme="minorEastAsia" w:eastAsiaTheme="minorEastAsia" w:cstheme="minorEastAsia"/>
          <w:szCs w:val="21"/>
          <w:lang w:val="en-US" w:eastAsia="zh-CN"/>
        </w:rPr>
        <w:t>人民币柒仟圆整</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7000</w:t>
      </w:r>
      <w:r>
        <w:rPr>
          <w:rFonts w:hint="eastAsia" w:asciiTheme="minorEastAsia" w:hAnsiTheme="minorEastAsia" w:eastAsiaTheme="minorEastAsia" w:cstheme="minorEastAsia"/>
          <w:szCs w:val="21"/>
        </w:rPr>
        <w:t>元）。</w:t>
      </w:r>
    </w:p>
    <w:p>
      <w:pPr>
        <w:numPr>
          <w:ilvl w:val="255"/>
          <w:numId w:val="0"/>
        </w:numPr>
        <w:spacing w:line="400" w:lineRule="exact"/>
        <w:ind w:left="420" w:leftChars="200" w:right="-218" w:rightChars="-104" w:firstLine="52" w:firstLineChars="25"/>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2、提交方式：投标人将投标保证金汇入指定账户。（见附1）</w:t>
      </w:r>
    </w:p>
    <w:p>
      <w:pPr>
        <w:pStyle w:val="26"/>
        <w:ind w:firstLine="525" w:firstLineChars="25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3、投标保证金提交时间：2022年</w:t>
      </w:r>
      <w:r>
        <w:rPr>
          <w:rFonts w:hint="eastAsia" w:asciiTheme="minorEastAsia" w:hAnsiTheme="minorEastAsia" w:eastAsiaTheme="minorEastAsia" w:cstheme="minorEastAsia"/>
          <w:kern w:val="2"/>
          <w:sz w:val="21"/>
          <w:szCs w:val="21"/>
          <w:lang w:val="en-US" w:eastAsia="zh-CN"/>
        </w:rPr>
        <w:t>11</w:t>
      </w:r>
      <w:r>
        <w:rPr>
          <w:rFonts w:hint="eastAsia" w:asciiTheme="minorEastAsia" w:hAnsiTheme="minorEastAsia" w:eastAsiaTheme="minorEastAsia" w:cstheme="minorEastAsia"/>
          <w:kern w:val="2"/>
          <w:sz w:val="21"/>
          <w:szCs w:val="21"/>
        </w:rPr>
        <w:t>月</w:t>
      </w:r>
      <w:r>
        <w:rPr>
          <w:rFonts w:hint="eastAsia" w:asciiTheme="minorEastAsia" w:hAnsiTheme="minorEastAsia" w:eastAsiaTheme="minorEastAsia" w:cstheme="minorEastAsia"/>
          <w:kern w:val="2"/>
          <w:sz w:val="21"/>
          <w:szCs w:val="21"/>
          <w:lang w:val="en-US" w:eastAsia="zh-CN"/>
        </w:rPr>
        <w:t>16</w:t>
      </w:r>
      <w:r>
        <w:rPr>
          <w:rFonts w:hint="eastAsia" w:asciiTheme="minorEastAsia" w:hAnsiTheme="minorEastAsia" w:eastAsiaTheme="minorEastAsia" w:cstheme="minorEastAsia"/>
          <w:kern w:val="2"/>
          <w:sz w:val="21"/>
          <w:szCs w:val="21"/>
        </w:rPr>
        <w:t>日</w:t>
      </w:r>
      <w:r>
        <w:rPr>
          <w:rFonts w:hint="eastAsia" w:asciiTheme="minorEastAsia" w:hAnsiTheme="minorEastAsia" w:eastAsiaTheme="minorEastAsia" w:cstheme="minorEastAsia"/>
          <w:kern w:val="2"/>
          <w:sz w:val="21"/>
          <w:szCs w:val="21"/>
          <w:lang w:val="en-US" w:eastAsia="zh-CN"/>
        </w:rPr>
        <w:t>12</w:t>
      </w:r>
      <w:r>
        <w:rPr>
          <w:rFonts w:hint="eastAsia" w:asciiTheme="minorEastAsia" w:hAnsiTheme="minorEastAsia" w:eastAsiaTheme="minorEastAsia" w:cstheme="minorEastAsia"/>
          <w:kern w:val="2"/>
          <w:sz w:val="21"/>
          <w:szCs w:val="21"/>
        </w:rPr>
        <w:t>：00：00前</w:t>
      </w:r>
    </w:p>
    <w:p>
      <w:pPr>
        <w:spacing w:line="400" w:lineRule="exact"/>
        <w:ind w:right="-218" w:rightChars="-104"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八、提交投标文件截止时间、开标时间和地点</w:t>
      </w:r>
    </w:p>
    <w:p>
      <w:pPr>
        <w:numPr>
          <w:ilvl w:val="0"/>
          <w:numId w:val="2"/>
        </w:numPr>
        <w:spacing w:line="400" w:lineRule="exact"/>
        <w:ind w:right="-218" w:rightChars="-10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提交投标文件截止时间和开标时间：</w:t>
      </w:r>
      <w:r>
        <w:rPr>
          <w:rFonts w:hint="eastAsia" w:asciiTheme="minorEastAsia" w:hAnsiTheme="minorEastAsia" w:eastAsiaTheme="minorEastAsia" w:cstheme="minorEastAsia"/>
          <w:color w:val="0000FF"/>
          <w:szCs w:val="21"/>
        </w:rPr>
        <w:t>2022年</w:t>
      </w:r>
      <w:r>
        <w:rPr>
          <w:rFonts w:hint="eastAsia" w:asciiTheme="minorEastAsia" w:hAnsiTheme="minorEastAsia" w:eastAsiaTheme="minorEastAsia" w:cstheme="minorEastAsia"/>
          <w:color w:val="0000FF"/>
          <w:szCs w:val="21"/>
          <w:lang w:val="en-US" w:eastAsia="zh-CN"/>
        </w:rPr>
        <w:t>11</w:t>
      </w:r>
      <w:r>
        <w:rPr>
          <w:rFonts w:hint="eastAsia" w:asciiTheme="minorEastAsia" w:hAnsiTheme="minorEastAsia" w:eastAsiaTheme="minorEastAsia" w:cstheme="minorEastAsia"/>
          <w:color w:val="0000FF"/>
          <w:szCs w:val="21"/>
        </w:rPr>
        <w:t>月</w:t>
      </w:r>
      <w:r>
        <w:rPr>
          <w:rFonts w:hint="eastAsia" w:asciiTheme="minorEastAsia" w:hAnsiTheme="minorEastAsia" w:eastAsiaTheme="minorEastAsia" w:cstheme="minorEastAsia"/>
          <w:color w:val="0000FF"/>
          <w:szCs w:val="21"/>
          <w:lang w:val="en-US" w:eastAsia="zh-CN"/>
        </w:rPr>
        <w:t>17</w:t>
      </w:r>
      <w:r>
        <w:rPr>
          <w:rFonts w:hint="eastAsia" w:asciiTheme="minorEastAsia" w:hAnsiTheme="minorEastAsia" w:eastAsiaTheme="minorEastAsia" w:cstheme="minorEastAsia"/>
          <w:color w:val="0000FF"/>
          <w:szCs w:val="21"/>
        </w:rPr>
        <w:t>日</w:t>
      </w:r>
      <w:r>
        <w:rPr>
          <w:rFonts w:hint="eastAsia" w:asciiTheme="minorEastAsia" w:hAnsiTheme="minorEastAsia" w:eastAsiaTheme="minorEastAsia" w:cstheme="minorEastAsia"/>
          <w:color w:val="0000FF"/>
          <w:szCs w:val="21"/>
          <w:lang w:val="en-US" w:eastAsia="zh-CN"/>
        </w:rPr>
        <w:t>09</w:t>
      </w:r>
      <w:r>
        <w:rPr>
          <w:rFonts w:hint="eastAsia" w:asciiTheme="minorEastAsia" w:hAnsiTheme="minorEastAsia" w:eastAsiaTheme="minorEastAsia" w:cstheme="minorEastAsia"/>
          <w:color w:val="0000FF"/>
          <w:szCs w:val="21"/>
        </w:rPr>
        <w:t>点</w:t>
      </w:r>
      <w:r>
        <w:rPr>
          <w:rFonts w:hint="eastAsia" w:asciiTheme="minorEastAsia" w:hAnsiTheme="minorEastAsia" w:eastAsiaTheme="minorEastAsia" w:cstheme="minorEastAsia"/>
          <w:color w:val="0000FF"/>
          <w:szCs w:val="21"/>
          <w:lang w:val="en-US" w:eastAsia="zh-CN"/>
        </w:rPr>
        <w:t>00</w:t>
      </w:r>
      <w:r>
        <w:rPr>
          <w:rFonts w:hint="eastAsia" w:asciiTheme="minorEastAsia" w:hAnsiTheme="minorEastAsia" w:eastAsiaTheme="minorEastAsia" w:cstheme="minorEastAsia"/>
          <w:color w:val="0000FF"/>
          <w:szCs w:val="21"/>
        </w:rPr>
        <w:t>分</w:t>
      </w:r>
      <w:r>
        <w:rPr>
          <w:rFonts w:hint="eastAsia" w:asciiTheme="minorEastAsia" w:hAnsiTheme="minorEastAsia" w:eastAsiaTheme="minorEastAsia" w:cstheme="minorEastAsia"/>
          <w:szCs w:val="21"/>
        </w:rPr>
        <w:t>（北京时间）。</w:t>
      </w:r>
    </w:p>
    <w:p>
      <w:pPr>
        <w:numPr>
          <w:ilvl w:val="0"/>
          <w:numId w:val="2"/>
        </w:numPr>
        <w:spacing w:line="400" w:lineRule="exact"/>
        <w:ind w:right="-218" w:rightChars="-10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投标和开标地点：</w:t>
      </w:r>
      <w:r>
        <w:rPr>
          <w:rFonts w:hint="eastAsia" w:ascii="宋体" w:hAnsi="宋体" w:cs="宋体"/>
          <w:b/>
          <w:bCs/>
          <w:color w:val="122AE2"/>
          <w:szCs w:val="21"/>
          <w:highlight w:val="yellow"/>
        </w:rPr>
        <w:t>沙县区公共资源交易中心第二交易厅（新华都4楼）。</w:t>
      </w:r>
    </w:p>
    <w:p>
      <w:pPr>
        <w:numPr>
          <w:ilvl w:val="0"/>
          <w:numId w:val="3"/>
        </w:numPr>
        <w:spacing w:line="400" w:lineRule="exact"/>
        <w:ind w:right="-218" w:rightChars="-104"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评标方法：</w:t>
      </w:r>
      <w:r>
        <w:rPr>
          <w:rFonts w:hint="eastAsia" w:asciiTheme="minorEastAsia" w:hAnsiTheme="minorEastAsia" w:eastAsiaTheme="minorEastAsia" w:cstheme="minorEastAsia"/>
          <w:b/>
          <w:bCs/>
          <w:color w:val="FF0000"/>
          <w:szCs w:val="21"/>
        </w:rPr>
        <w:t>最低评标价法</w:t>
      </w:r>
      <w:r>
        <w:rPr>
          <w:rFonts w:hint="eastAsia" w:asciiTheme="minorEastAsia" w:hAnsiTheme="minorEastAsia" w:eastAsiaTheme="minorEastAsia" w:cstheme="minorEastAsia"/>
          <w:b/>
          <w:bCs/>
          <w:szCs w:val="21"/>
        </w:rPr>
        <w:t>。</w:t>
      </w:r>
    </w:p>
    <w:p>
      <w:pPr>
        <w:numPr>
          <w:ilvl w:val="0"/>
          <w:numId w:val="3"/>
        </w:numPr>
        <w:spacing w:line="400" w:lineRule="exact"/>
        <w:ind w:right="-218" w:rightChars="-104"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以上如有变更，福建省广厦工程咨询有限公司将在中国政府采购网（http://www.ccgp.gov.cn）发布本项目的采购公告、更改通知、答疑纪要、招标结果等信息，请投标人及时关注，投标人若自己没有在以上网站上查询相关更改通知和答疑纪要等信息而影响投标的，投标人自行承担相关责任。</w:t>
      </w:r>
    </w:p>
    <w:p>
      <w:pPr>
        <w:numPr>
          <w:ilvl w:val="0"/>
          <w:numId w:val="3"/>
        </w:numPr>
        <w:spacing w:line="400" w:lineRule="exact"/>
        <w:ind w:right="-218" w:rightChars="-104"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采购人、采购代理机构的名称、地址和联系方式</w:t>
      </w:r>
    </w:p>
    <w:p>
      <w:pPr>
        <w:pStyle w:val="11"/>
        <w:snapToGrid w:val="0"/>
        <w:spacing w:line="40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采购人：三明市沙县区</w:t>
      </w:r>
      <w:r>
        <w:rPr>
          <w:rFonts w:hint="eastAsia" w:asciiTheme="minorEastAsia" w:hAnsiTheme="minorEastAsia" w:eastAsiaTheme="minorEastAsia" w:cstheme="minorEastAsia"/>
          <w:sz w:val="21"/>
          <w:szCs w:val="21"/>
          <w:lang w:eastAsia="zh-CN"/>
        </w:rPr>
        <w:t>水利局</w:t>
      </w:r>
    </w:p>
    <w:p>
      <w:pPr>
        <w:pStyle w:val="11"/>
        <w:snapToGrid w:val="0"/>
        <w:spacing w:line="400" w:lineRule="exact"/>
        <w:ind w:firstLine="420" w:firstLineChars="200"/>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sz w:val="21"/>
          <w:szCs w:val="21"/>
          <w:lang w:eastAsia="zh-CN"/>
        </w:rPr>
        <w:t>三明市沙县区长泰南路</w:t>
      </w:r>
      <w:r>
        <w:rPr>
          <w:rFonts w:hint="eastAsia" w:asciiTheme="minorEastAsia" w:hAnsiTheme="minorEastAsia" w:eastAsiaTheme="minorEastAsia" w:cstheme="minorEastAsia"/>
          <w:sz w:val="21"/>
          <w:szCs w:val="21"/>
          <w:lang w:val="en-US" w:eastAsia="zh-CN"/>
        </w:rPr>
        <w:t>15号禹德大厦</w:t>
      </w:r>
      <w:r>
        <w:rPr>
          <w:rFonts w:hint="eastAsia" w:asciiTheme="minorEastAsia" w:hAnsiTheme="minorEastAsia" w:eastAsiaTheme="minorEastAsia" w:cstheme="minorEastAsia"/>
          <w:sz w:val="21"/>
          <w:szCs w:val="21"/>
        </w:rPr>
        <w:t>，邮编：</w:t>
      </w:r>
      <w:bookmarkStart w:id="0" w:name="EBebccb9107ade4a54a076515edc5db09b"/>
      <w:r>
        <w:rPr>
          <w:rFonts w:hint="eastAsia" w:asciiTheme="minorEastAsia" w:hAnsiTheme="minorEastAsia" w:eastAsiaTheme="minorEastAsia" w:cstheme="minorEastAsia"/>
          <w:sz w:val="21"/>
          <w:szCs w:val="21"/>
        </w:rPr>
        <w:t>365050</w:t>
      </w:r>
      <w:bookmarkEnd w:id="0"/>
    </w:p>
    <w:p>
      <w:pPr>
        <w:pStyle w:val="11"/>
        <w:snapToGrid w:val="0"/>
        <w:spacing w:line="400" w:lineRule="exact"/>
        <w:ind w:firstLine="420" w:firstLineChars="200"/>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电话：</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0598-5865180</w:t>
      </w:r>
      <w:r>
        <w:rPr>
          <w:rFonts w:hint="eastAsia" w:asciiTheme="minorEastAsia" w:hAnsiTheme="minorEastAsia" w:eastAsiaTheme="minorEastAsia" w:cstheme="minorEastAsia"/>
          <w:color w:val="000000" w:themeColor="text1"/>
          <w:sz w:val="21"/>
          <w:szCs w:val="21"/>
          <w14:textFill>
            <w14:solidFill>
              <w14:schemeClr w14:val="tx1"/>
            </w14:solidFill>
          </w14:textFill>
        </w:rPr>
        <w:t>，联系人</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：林女士</w:t>
      </w:r>
    </w:p>
    <w:p>
      <w:pPr>
        <w:pStyle w:val="11"/>
        <w:snapToGrid w:val="0"/>
        <w:spacing w:line="400" w:lineRule="exact"/>
        <w:ind w:firstLine="420" w:firstLineChars="200"/>
        <w:rPr>
          <w:rFonts w:asciiTheme="minorEastAsia" w:hAnsiTheme="minorEastAsia" w:eastAsiaTheme="minorEastAsia" w:cstheme="minorEastAsia"/>
          <w:color w:val="FF0000"/>
          <w:sz w:val="21"/>
          <w:szCs w:val="21"/>
        </w:rPr>
      </w:pPr>
    </w:p>
    <w:p>
      <w:pPr>
        <w:pStyle w:val="11"/>
        <w:snapToGrid w:val="0"/>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招标代理机构：福建省广厦工程咨询有限公司</w:t>
      </w:r>
    </w:p>
    <w:p>
      <w:pPr>
        <w:pStyle w:val="11"/>
        <w:snapToGrid w:val="0"/>
        <w:spacing w:line="400" w:lineRule="exact"/>
        <w:ind w:firstLine="420" w:firstLineChars="200"/>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地址：沙县区金明西路256号电子商务产业园2期204室，邮编：</w:t>
      </w:r>
      <w:bookmarkStart w:id="1" w:name="EBdc9e2190ff124ec48411c7afc8860a09"/>
      <w:r>
        <w:rPr>
          <w:rFonts w:hint="eastAsia" w:asciiTheme="minorEastAsia" w:hAnsiTheme="minorEastAsia" w:eastAsiaTheme="minorEastAsia" w:cstheme="minorEastAsia"/>
          <w:sz w:val="21"/>
          <w:szCs w:val="21"/>
        </w:rPr>
        <w:t>365050</w:t>
      </w:r>
      <w:bookmarkEnd w:id="1"/>
    </w:p>
    <w:p>
      <w:pPr>
        <w:pStyle w:val="11"/>
        <w:snapToGrid w:val="0"/>
        <w:spacing w:line="400" w:lineRule="exact"/>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电话：0598-5858268，联系人：</w:t>
      </w:r>
      <w:r>
        <w:rPr>
          <w:rFonts w:hint="eastAsia" w:asciiTheme="minorEastAsia" w:hAnsiTheme="minorEastAsia" w:eastAsiaTheme="minorEastAsia" w:cstheme="minorEastAsia"/>
          <w:sz w:val="21"/>
          <w:szCs w:val="21"/>
          <w:lang w:eastAsia="zh-CN"/>
        </w:rPr>
        <w:t>黄先生</w:t>
      </w:r>
    </w:p>
    <w:p>
      <w:pPr>
        <w:numPr>
          <w:ilvl w:val="255"/>
          <w:numId w:val="0"/>
        </w:numPr>
        <w:spacing w:line="400" w:lineRule="exact"/>
        <w:ind w:right="-218" w:rightChars="-104"/>
        <w:rPr>
          <w:rFonts w:asciiTheme="minorEastAsia" w:hAnsiTheme="minorEastAsia" w:eastAsiaTheme="minorEastAsia" w:cstheme="minorEastAsia"/>
          <w:b/>
          <w:bCs/>
          <w:szCs w:val="21"/>
        </w:rPr>
      </w:pPr>
    </w:p>
    <w:p>
      <w:pPr>
        <w:pStyle w:val="16"/>
        <w:ind w:left="420" w:firstLine="422"/>
        <w:rPr>
          <w:rFonts w:cs="宋体"/>
          <w:b/>
          <w:bCs/>
          <w:sz w:val="21"/>
          <w:szCs w:val="21"/>
        </w:rPr>
      </w:pPr>
    </w:p>
    <w:p>
      <w:pPr>
        <w:pStyle w:val="16"/>
        <w:ind w:left="0" w:leftChars="0" w:firstLine="0" w:firstLineChars="0"/>
        <w:rPr>
          <w:rFonts w:cs="宋体"/>
          <w:b/>
          <w:bCs/>
          <w:sz w:val="21"/>
          <w:szCs w:val="21"/>
        </w:rPr>
      </w:pPr>
    </w:p>
    <w:p>
      <w:pPr>
        <w:pStyle w:val="15"/>
        <w:widowControl/>
        <w:spacing w:before="75" w:after="75"/>
        <w:rPr>
          <w:rFonts w:hint="eastAsia" w:ascii="宋体" w:hAnsi="宋体" w:cs="宋体"/>
          <w:sz w:val="21"/>
          <w:szCs w:val="21"/>
        </w:rPr>
      </w:pPr>
      <w:bookmarkStart w:id="2" w:name="_GoBack"/>
      <w:bookmarkEnd w:id="2"/>
    </w:p>
    <w:p>
      <w:pPr>
        <w:pStyle w:val="15"/>
        <w:widowControl/>
        <w:spacing w:before="75" w:after="75"/>
        <w:ind w:firstLine="420" w:firstLineChars="200"/>
        <w:rPr>
          <w:sz w:val="21"/>
          <w:szCs w:val="21"/>
        </w:rPr>
      </w:pPr>
      <w:r>
        <w:rPr>
          <w:rFonts w:hint="eastAsia" w:ascii="宋体" w:hAnsi="宋体" w:cs="宋体"/>
          <w:sz w:val="21"/>
          <w:szCs w:val="21"/>
        </w:rPr>
        <w:t>附1：账户信息</w:t>
      </w:r>
    </w:p>
    <w:tbl>
      <w:tblPr>
        <w:tblStyle w:val="1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8231" w:type="dxa"/>
            <w:shd w:val="clear" w:color="auto" w:fill="auto"/>
            <w:tcMar>
              <w:top w:w="0" w:type="dxa"/>
              <w:left w:w="105" w:type="dxa"/>
              <w:bottom w:w="0" w:type="dxa"/>
              <w:right w:w="105" w:type="dxa"/>
            </w:tcMar>
            <w:vAlign w:val="center"/>
          </w:tcPr>
          <w:p>
            <w:pPr>
              <w:pStyle w:val="15"/>
              <w:widowControl/>
              <w:jc w:val="center"/>
              <w:rPr>
                <w:sz w:val="21"/>
                <w:szCs w:val="21"/>
              </w:rPr>
            </w:pPr>
            <w:r>
              <w:rPr>
                <w:rStyle w:val="20"/>
                <w:rFonts w:hint="eastAsia" w:ascii="宋体" w:hAnsi="宋体" w:cs="宋体"/>
                <w:bCs/>
                <w:sz w:val="21"/>
                <w:szCs w:val="21"/>
              </w:rPr>
              <w:t>投标保证金指定账户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0" w:hRule="atLeast"/>
          <w:jc w:val="center"/>
        </w:trPr>
        <w:tc>
          <w:tcPr>
            <w:tcW w:w="8231" w:type="dxa"/>
            <w:shd w:val="clear" w:color="auto" w:fill="auto"/>
            <w:tcMar>
              <w:top w:w="0" w:type="dxa"/>
              <w:left w:w="105" w:type="dxa"/>
              <w:bottom w:w="0" w:type="dxa"/>
              <w:right w:w="105" w:type="dxa"/>
            </w:tcMar>
            <w:vAlign w:val="center"/>
          </w:tcPr>
          <w:p>
            <w:pPr>
              <w:pStyle w:val="15"/>
              <w:widowControl/>
              <w:rPr>
                <w:rFonts w:ascii="宋体" w:hAnsi="宋体" w:cs="宋体"/>
                <w:sz w:val="21"/>
                <w:szCs w:val="21"/>
                <w:shd w:val="clear" w:color="auto" w:fill="FFFFFF"/>
              </w:rPr>
            </w:pPr>
            <w:r>
              <w:rPr>
                <w:rFonts w:hint="eastAsia" w:ascii="宋体" w:hAnsi="宋体" w:cs="宋体"/>
                <w:sz w:val="21"/>
                <w:szCs w:val="21"/>
              </w:rPr>
              <w:t>开户名称：</w:t>
            </w:r>
            <w:r>
              <w:rPr>
                <w:rFonts w:hint="eastAsia" w:ascii="宋体" w:hAnsi="宋体" w:cs="宋体"/>
                <w:sz w:val="21"/>
                <w:szCs w:val="21"/>
                <w:shd w:val="clear" w:color="auto" w:fill="FFFFFF"/>
              </w:rPr>
              <w:t>福建省广厦工程咨询有限公司沙县分公司</w:t>
            </w:r>
          </w:p>
          <w:p>
            <w:pPr>
              <w:pStyle w:val="15"/>
              <w:widowControl/>
              <w:rPr>
                <w:rFonts w:ascii="宋体" w:hAnsi="宋体" w:cs="宋体"/>
                <w:sz w:val="21"/>
                <w:szCs w:val="21"/>
                <w:shd w:val="clear" w:color="auto" w:fill="FFFFFF"/>
              </w:rPr>
            </w:pPr>
            <w:r>
              <w:rPr>
                <w:rFonts w:hint="eastAsia" w:ascii="宋体" w:hAnsi="宋体" w:cs="宋体"/>
                <w:sz w:val="21"/>
                <w:szCs w:val="21"/>
                <w:shd w:val="clear" w:color="auto" w:fill="FFFFFF"/>
              </w:rPr>
              <w:t>开户银行：中国工商银行沙县支行</w:t>
            </w:r>
          </w:p>
          <w:p>
            <w:pPr>
              <w:pStyle w:val="15"/>
              <w:widowControl/>
              <w:rPr>
                <w:rFonts w:ascii="宋体" w:hAnsi="宋体" w:cs="宋体"/>
                <w:sz w:val="21"/>
                <w:szCs w:val="21"/>
                <w:u w:val="single"/>
                <w:shd w:val="clear" w:color="auto" w:fill="FFFFFF"/>
              </w:rPr>
            </w:pPr>
            <w:r>
              <w:rPr>
                <w:rFonts w:hint="eastAsia" w:ascii="宋体" w:hAnsi="宋体" w:cs="宋体"/>
                <w:sz w:val="21"/>
                <w:szCs w:val="21"/>
                <w:shd w:val="clear" w:color="auto" w:fill="FFFFFF"/>
              </w:rPr>
              <w:t>银行账号：1404041909009202042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8231" w:type="dxa"/>
            <w:shd w:val="clear" w:color="auto" w:fill="auto"/>
            <w:tcMar>
              <w:top w:w="0" w:type="dxa"/>
              <w:left w:w="105" w:type="dxa"/>
              <w:bottom w:w="0" w:type="dxa"/>
              <w:right w:w="105" w:type="dxa"/>
            </w:tcMar>
            <w:vAlign w:val="center"/>
          </w:tcPr>
          <w:p>
            <w:pPr>
              <w:pStyle w:val="15"/>
              <w:widowControl/>
              <w:jc w:val="center"/>
              <w:rPr>
                <w:sz w:val="21"/>
                <w:szCs w:val="21"/>
              </w:rPr>
            </w:pPr>
            <w:r>
              <w:rPr>
                <w:rStyle w:val="20"/>
                <w:rFonts w:hint="eastAsia" w:ascii="宋体" w:hAnsi="宋体" w:cs="宋体"/>
                <w:bCs/>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231" w:type="dxa"/>
            <w:shd w:val="clear" w:color="auto" w:fill="auto"/>
            <w:tcMar>
              <w:top w:w="0" w:type="dxa"/>
              <w:left w:w="105" w:type="dxa"/>
              <w:bottom w:w="0" w:type="dxa"/>
              <w:right w:w="105" w:type="dxa"/>
            </w:tcMar>
          </w:tcPr>
          <w:p>
            <w:pPr>
              <w:pStyle w:val="15"/>
              <w:widowControl/>
              <w:rPr>
                <w:sz w:val="21"/>
                <w:szCs w:val="21"/>
              </w:rPr>
            </w:pPr>
            <w:r>
              <w:rPr>
                <w:rFonts w:hint="eastAsia" w:ascii="宋体" w:hAnsi="宋体" w:cs="宋体"/>
                <w:sz w:val="21"/>
                <w:szCs w:val="21"/>
              </w:rPr>
              <w:t>1、投标人应认真核对账户信息，将投标保证金汇入以上账户，并自行承担因汇错投标保证金而产生的一切后果。</w:t>
            </w:r>
          </w:p>
          <w:p>
            <w:pPr>
              <w:pStyle w:val="15"/>
              <w:widowControl/>
              <w:rPr>
                <w:rFonts w:ascii="宋体" w:hAnsi="宋体" w:cs="宋体"/>
                <w:sz w:val="21"/>
                <w:szCs w:val="21"/>
              </w:rPr>
            </w:pPr>
            <w:r>
              <w:rPr>
                <w:rFonts w:hint="eastAsia" w:ascii="宋体" w:hAnsi="宋体" w:cs="宋体"/>
                <w:sz w:val="21"/>
                <w:szCs w:val="21"/>
              </w:rPr>
              <w:t>2、投标人在转账或电汇的凭证上应按照以下格式注明，以便核对：“（项目编号：广厦招2022沙0</w:t>
            </w:r>
            <w:r>
              <w:rPr>
                <w:rFonts w:hint="eastAsia" w:ascii="宋体" w:hAnsi="宋体" w:cs="宋体"/>
                <w:sz w:val="21"/>
                <w:szCs w:val="21"/>
                <w:lang w:val="en-US" w:eastAsia="zh-CN"/>
              </w:rPr>
              <w:t>40</w:t>
            </w:r>
            <w:r>
              <w:rPr>
                <w:rFonts w:hint="eastAsia" w:ascii="宋体" w:hAnsi="宋体" w:cs="宋体"/>
                <w:sz w:val="21"/>
                <w:szCs w:val="21"/>
              </w:rPr>
              <w:t>号）的投标保证金”。</w:t>
            </w:r>
          </w:p>
          <w:p>
            <w:pPr>
              <w:pStyle w:val="15"/>
              <w:widowControl/>
              <w:rPr>
                <w:rFonts w:ascii="宋体" w:hAnsi="宋体" w:cs="宋体"/>
                <w:sz w:val="21"/>
                <w:szCs w:val="21"/>
              </w:rPr>
            </w:pPr>
            <w:r>
              <w:rPr>
                <w:rFonts w:hint="eastAsia" w:ascii="宋体" w:hAnsi="宋体" w:cs="宋体"/>
                <w:sz w:val="21"/>
                <w:szCs w:val="21"/>
              </w:rPr>
              <w:t>3、投标保证金应以电汇、转帐等公对公、非现金形式于</w:t>
            </w:r>
            <w:r>
              <w:rPr>
                <w:rFonts w:hint="eastAsia" w:asciiTheme="minorEastAsia" w:hAnsiTheme="minorEastAsia" w:eastAsiaTheme="minorEastAsia" w:cstheme="minorEastAsia"/>
                <w:kern w:val="2"/>
                <w:sz w:val="21"/>
                <w:szCs w:val="21"/>
              </w:rPr>
              <w:t>2022年</w:t>
            </w:r>
            <w:r>
              <w:rPr>
                <w:rFonts w:hint="eastAsia" w:asciiTheme="minorEastAsia" w:hAnsiTheme="minorEastAsia" w:eastAsiaTheme="minorEastAsia" w:cstheme="minorEastAsia"/>
                <w:kern w:val="2"/>
                <w:sz w:val="21"/>
                <w:szCs w:val="21"/>
                <w:lang w:val="en-US" w:eastAsia="zh-CN"/>
              </w:rPr>
              <w:t>11</w:t>
            </w:r>
            <w:r>
              <w:rPr>
                <w:rFonts w:hint="eastAsia" w:asciiTheme="minorEastAsia" w:hAnsiTheme="minorEastAsia" w:eastAsiaTheme="minorEastAsia" w:cstheme="minorEastAsia"/>
                <w:kern w:val="2"/>
                <w:sz w:val="21"/>
                <w:szCs w:val="21"/>
              </w:rPr>
              <w:t>月</w:t>
            </w:r>
            <w:r>
              <w:rPr>
                <w:rFonts w:hint="eastAsia" w:asciiTheme="minorEastAsia" w:hAnsiTheme="minorEastAsia" w:eastAsiaTheme="minorEastAsia" w:cstheme="minorEastAsia"/>
                <w:kern w:val="2"/>
                <w:sz w:val="21"/>
                <w:szCs w:val="21"/>
                <w:lang w:val="en-US" w:eastAsia="zh-CN"/>
              </w:rPr>
              <w:t>16</w:t>
            </w:r>
            <w:r>
              <w:rPr>
                <w:rFonts w:hint="eastAsia" w:asciiTheme="minorEastAsia" w:hAnsiTheme="minorEastAsia" w:eastAsiaTheme="minorEastAsia" w:cstheme="minorEastAsia"/>
                <w:kern w:val="2"/>
                <w:sz w:val="21"/>
                <w:szCs w:val="21"/>
              </w:rPr>
              <w:t>日</w:t>
            </w:r>
            <w:r>
              <w:rPr>
                <w:rFonts w:hint="eastAsia" w:asciiTheme="minorEastAsia" w:hAnsiTheme="minorEastAsia" w:eastAsiaTheme="minorEastAsia" w:cstheme="minorEastAsia"/>
                <w:kern w:val="2"/>
                <w:sz w:val="21"/>
                <w:szCs w:val="21"/>
                <w:lang w:val="en-US" w:eastAsia="zh-CN"/>
              </w:rPr>
              <w:t>12</w:t>
            </w:r>
            <w:r>
              <w:rPr>
                <w:rFonts w:hint="eastAsia" w:asciiTheme="minorEastAsia" w:hAnsiTheme="minorEastAsia" w:eastAsiaTheme="minorEastAsia" w:cstheme="minorEastAsia"/>
                <w:kern w:val="2"/>
                <w:sz w:val="21"/>
                <w:szCs w:val="21"/>
              </w:rPr>
              <w:t>：00：00</w:t>
            </w:r>
            <w:r>
              <w:rPr>
                <w:rFonts w:hint="eastAsia" w:ascii="宋体" w:hAnsi="宋体" w:cs="宋体"/>
                <w:sz w:val="21"/>
                <w:szCs w:val="21"/>
              </w:rPr>
              <w:t>前缴纳至指定的账号，以款到帐户为准。投标人在缴纳保证金时必须以公司的帐户或公司的名称缴纳，不得以投标代表个人的名称缴纳。</w:t>
            </w:r>
          </w:p>
        </w:tc>
      </w:tr>
    </w:tbl>
    <w:p>
      <w:pPr>
        <w:spacing w:line="400" w:lineRule="exact"/>
        <w:ind w:right="-218" w:rightChars="-104" w:firstLine="420" w:firstLineChars="200"/>
        <w:rPr>
          <w:rFonts w:ascii="宋体" w:hAnsi="宋体" w:cs="宋体"/>
          <w:szCs w:val="21"/>
        </w:rPr>
      </w:pPr>
    </w:p>
    <w:p>
      <w:pPr>
        <w:spacing w:line="360" w:lineRule="auto"/>
        <w:rPr>
          <w:rFonts w:ascii="宋体" w:hAnsi="宋体" w:cs="宋体"/>
          <w:b/>
          <w:bCs/>
          <w:szCs w:val="21"/>
        </w:rPr>
      </w:pPr>
    </w:p>
    <w:p>
      <w:pPr>
        <w:pStyle w:val="16"/>
        <w:ind w:left="420"/>
        <w:rPr>
          <w:sz w:val="21"/>
          <w:szCs w:val="21"/>
        </w:rPr>
      </w:pPr>
    </w:p>
    <w:p>
      <w:pPr>
        <w:pStyle w:val="15"/>
        <w:widowControl/>
        <w:spacing w:before="75" w:after="75"/>
        <w:ind w:firstLine="420" w:firstLineChars="200"/>
        <w:rPr>
          <w:sz w:val="21"/>
          <w:szCs w:val="21"/>
        </w:rPr>
      </w:pPr>
      <w:r>
        <w:rPr>
          <w:rFonts w:hint="eastAsia" w:ascii="宋体" w:hAnsi="宋体" w:cs="宋体"/>
          <w:sz w:val="21"/>
          <w:szCs w:val="21"/>
        </w:rPr>
        <w:t>附2：采购标的一览表</w:t>
      </w:r>
    </w:p>
    <w:p>
      <w:pPr>
        <w:pStyle w:val="16"/>
        <w:spacing w:after="0" w:line="400" w:lineRule="exact"/>
        <w:ind w:left="420" w:firstLine="6300" w:firstLineChars="30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金额单位：人民币元</w:t>
      </w:r>
    </w:p>
    <w:tbl>
      <w:tblPr>
        <w:tblStyle w:val="18"/>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288"/>
        <w:gridCol w:w="746"/>
        <w:gridCol w:w="241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41" w:type="dxa"/>
            <w:vAlign w:val="center"/>
          </w:tcPr>
          <w:p>
            <w:pPr>
              <w:pStyle w:val="16"/>
              <w:spacing w:after="0" w:line="400" w:lineRule="exact"/>
              <w:ind w:left="0" w:leftChars="0"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w:t>
            </w:r>
          </w:p>
        </w:tc>
        <w:tc>
          <w:tcPr>
            <w:tcW w:w="2288" w:type="dxa"/>
            <w:vAlign w:val="center"/>
          </w:tcPr>
          <w:p>
            <w:pPr>
              <w:pStyle w:val="16"/>
              <w:spacing w:after="0" w:line="400" w:lineRule="exact"/>
              <w:ind w:left="0" w:leftChars="0"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采购标的</w:t>
            </w:r>
          </w:p>
        </w:tc>
        <w:tc>
          <w:tcPr>
            <w:tcW w:w="746" w:type="dxa"/>
            <w:vAlign w:val="center"/>
          </w:tcPr>
          <w:p>
            <w:pPr>
              <w:pStyle w:val="16"/>
              <w:spacing w:after="0" w:line="400" w:lineRule="exact"/>
              <w:ind w:left="0" w:leftChars="0"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2410" w:type="dxa"/>
            <w:vAlign w:val="center"/>
          </w:tcPr>
          <w:p>
            <w:pPr>
              <w:pStyle w:val="16"/>
              <w:spacing w:after="0" w:line="400" w:lineRule="exact"/>
              <w:ind w:left="0" w:leftChars="0"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预算金额（最高限价）</w:t>
            </w:r>
          </w:p>
        </w:tc>
        <w:tc>
          <w:tcPr>
            <w:tcW w:w="1793" w:type="dxa"/>
            <w:vAlign w:val="center"/>
          </w:tcPr>
          <w:p>
            <w:pPr>
              <w:pStyle w:val="16"/>
              <w:spacing w:after="0" w:line="400" w:lineRule="exact"/>
              <w:ind w:left="0" w:leftChars="0"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41" w:type="dxa"/>
            <w:vAlign w:val="center"/>
          </w:tcPr>
          <w:p>
            <w:pPr>
              <w:pStyle w:val="16"/>
              <w:spacing w:after="0" w:line="400" w:lineRule="exact"/>
              <w:ind w:left="0" w:leftChars="0"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p>
        </w:tc>
        <w:tc>
          <w:tcPr>
            <w:tcW w:w="2288" w:type="dxa"/>
            <w:vAlign w:val="center"/>
          </w:tcPr>
          <w:p>
            <w:pPr>
              <w:pStyle w:val="16"/>
              <w:spacing w:after="0" w:line="400" w:lineRule="exact"/>
              <w:ind w:left="0" w:leftChars="0"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电站水库雨水情项目</w:t>
            </w:r>
          </w:p>
        </w:tc>
        <w:tc>
          <w:tcPr>
            <w:tcW w:w="746" w:type="dxa"/>
            <w:vAlign w:val="center"/>
          </w:tcPr>
          <w:p>
            <w:pPr>
              <w:pStyle w:val="16"/>
              <w:spacing w:after="0" w:line="400" w:lineRule="exact"/>
              <w:ind w:left="0" w:leftChars="0"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1批</w:t>
            </w:r>
          </w:p>
        </w:tc>
        <w:tc>
          <w:tcPr>
            <w:tcW w:w="2410" w:type="dxa"/>
            <w:vAlign w:val="center"/>
          </w:tcPr>
          <w:p>
            <w:pPr>
              <w:pStyle w:val="16"/>
              <w:spacing w:after="0" w:line="400" w:lineRule="exact"/>
              <w:ind w:left="0" w:leftChars="0"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371512 </w:t>
            </w:r>
            <w:r>
              <w:rPr>
                <w:rFonts w:hint="eastAsia" w:asciiTheme="minorEastAsia" w:hAnsiTheme="minorEastAsia" w:eastAsiaTheme="minorEastAsia" w:cstheme="minorEastAsia"/>
                <w:sz w:val="21"/>
                <w:szCs w:val="21"/>
              </w:rPr>
              <w:t>元</w:t>
            </w:r>
          </w:p>
        </w:tc>
        <w:tc>
          <w:tcPr>
            <w:tcW w:w="1793" w:type="dxa"/>
            <w:vAlign w:val="center"/>
          </w:tcPr>
          <w:p>
            <w:pPr>
              <w:pStyle w:val="16"/>
              <w:spacing w:after="0" w:line="400" w:lineRule="exact"/>
              <w:ind w:left="0" w:leftChars="0"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否</w:t>
            </w:r>
          </w:p>
        </w:tc>
      </w:tr>
    </w:tbl>
    <w:p>
      <w:pPr>
        <w:pStyle w:val="16"/>
        <w:spacing w:after="0" w:line="400" w:lineRule="exact"/>
        <w:ind w:left="420" w:firstLine="422"/>
        <w:rPr>
          <w:rStyle w:val="27"/>
          <w:b/>
          <w:sz w:val="21"/>
          <w:szCs w:val="21"/>
        </w:rPr>
      </w:pPr>
    </w:p>
    <w:p>
      <w:pPr>
        <w:pStyle w:val="16"/>
        <w:spacing w:after="0" w:line="400" w:lineRule="exact"/>
        <w:ind w:left="420" w:firstLine="422"/>
        <w:rPr>
          <w:rFonts w:asciiTheme="minorEastAsia" w:hAnsiTheme="minorEastAsia" w:cstheme="minorEastAsia"/>
          <w:sz w:val="21"/>
          <w:szCs w:val="21"/>
        </w:rPr>
      </w:pPr>
      <w:r>
        <w:rPr>
          <w:rStyle w:val="27"/>
          <w:b/>
          <w:sz w:val="21"/>
          <w:szCs w:val="21"/>
        </w:rPr>
        <w:t>注：投标人按合同包投标，不得仅对合同包中的部分服务内容进行投标，否则其投标将被拒绝。评标与授标以合同包为单位。</w:t>
      </w:r>
      <w:r>
        <w:rPr>
          <w:rStyle w:val="27"/>
          <w:rFonts w:hint="eastAsia"/>
          <w:b/>
          <w:sz w:val="21"/>
          <w:szCs w:val="21"/>
        </w:rPr>
        <w:t>投标报价不得超过最高限价，否则为无效报价</w:t>
      </w:r>
      <w:r>
        <w:rPr>
          <w:rStyle w:val="27"/>
          <w:rFonts w:hint="eastAsia"/>
          <w:b/>
          <w:sz w:val="21"/>
          <w:szCs w:val="21"/>
          <w:lang w:eastAsia="zh-CN"/>
        </w:rPr>
        <w:t>，预算金额含税</w:t>
      </w:r>
      <w:r>
        <w:rPr>
          <w:rStyle w:val="27"/>
          <w:rFonts w:hint="eastAsia"/>
          <w:b/>
          <w:sz w:val="21"/>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G Times">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7BA65"/>
    <w:multiLevelType w:val="singleLevel"/>
    <w:tmpl w:val="ADD7BA65"/>
    <w:lvl w:ilvl="0" w:tentative="0">
      <w:start w:val="1"/>
      <w:numFmt w:val="decimal"/>
      <w:suff w:val="nothing"/>
      <w:lvlText w:val="%1、"/>
      <w:lvlJc w:val="left"/>
      <w:pPr>
        <w:ind w:left="480" w:firstLine="0"/>
      </w:pPr>
    </w:lvl>
  </w:abstractNum>
  <w:abstractNum w:abstractNumId="1">
    <w:nsid w:val="D801E25B"/>
    <w:multiLevelType w:val="multilevel"/>
    <w:tmpl w:val="D801E25B"/>
    <w:lvl w:ilvl="0" w:tentative="0">
      <w:start w:val="1"/>
      <w:numFmt w:val="chineseCountingThousand"/>
      <w:suff w:val="nothing"/>
      <w:lvlText w:val="第%1部分"/>
      <w:lvlJc w:val="left"/>
      <w:pPr>
        <w:ind w:left="1800" w:firstLine="0"/>
      </w:pPr>
      <w:rPr>
        <w:rFonts w:hint="eastAsia" w:ascii="黑体" w:eastAsia="黑体"/>
        <w:sz w:val="32"/>
      </w:rPr>
    </w:lvl>
    <w:lvl w:ilvl="1" w:tentative="0">
      <w:start w:val="1"/>
      <w:numFmt w:val="upperLetter"/>
      <w:suff w:val="nothing"/>
      <w:lvlText w:val="%2"/>
      <w:lvlJc w:val="left"/>
      <w:pPr>
        <w:ind w:left="360" w:firstLine="0"/>
      </w:pPr>
      <w:rPr>
        <w:rFonts w:hint="eastAsia" w:ascii="CG Times" w:hAnsi="CG Times"/>
        <w:b/>
        <w:i w:val="0"/>
        <w:sz w:val="28"/>
      </w:rPr>
    </w:lvl>
    <w:lvl w:ilvl="2" w:tentative="0">
      <w:start w:val="1"/>
      <w:numFmt w:val="decimal"/>
      <w:lvlRestart w:val="0"/>
      <w:pStyle w:val="24"/>
      <w:suff w:val="nothing"/>
      <w:lvlText w:val="%3"/>
      <w:lvlJc w:val="left"/>
      <w:pPr>
        <w:ind w:left="0" w:firstLine="0"/>
      </w:pPr>
      <w:rPr>
        <w:rFonts w:hint="eastAsia" w:ascii="宋体" w:eastAsia="宋体"/>
        <w:b/>
        <w:i w:val="0"/>
        <w:sz w:val="28"/>
      </w:rPr>
    </w:lvl>
    <w:lvl w:ilvl="3" w:tentative="0">
      <w:start w:val="1"/>
      <w:numFmt w:val="none"/>
      <w:pStyle w:val="2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F41BE32B"/>
    <w:multiLevelType w:val="singleLevel"/>
    <w:tmpl w:val="F41BE32B"/>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ZDNiZjJkZTZkZTc4ZTEyOGY0YTI4ZjdkZTY2YmIifQ=="/>
  </w:docVars>
  <w:rsids>
    <w:rsidRoot w:val="00000000"/>
    <w:rsid w:val="00FE0F6B"/>
    <w:rsid w:val="0565486D"/>
    <w:rsid w:val="18421301"/>
    <w:rsid w:val="1D620739"/>
    <w:rsid w:val="1DF9115C"/>
    <w:rsid w:val="23EB109F"/>
    <w:rsid w:val="2535505F"/>
    <w:rsid w:val="276C3BF5"/>
    <w:rsid w:val="28AE1A3E"/>
    <w:rsid w:val="2B0F52C8"/>
    <w:rsid w:val="2DE53155"/>
    <w:rsid w:val="3FA37677"/>
    <w:rsid w:val="470F640B"/>
    <w:rsid w:val="4EDB0D19"/>
    <w:rsid w:val="4FCC36B3"/>
    <w:rsid w:val="58DF2701"/>
    <w:rsid w:val="5A90500F"/>
    <w:rsid w:val="60DA293B"/>
    <w:rsid w:val="62D663D6"/>
    <w:rsid w:val="7434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
    <w:qFormat/>
    <w:uiPriority w:val="0"/>
    <w:pPr>
      <w:keepNext/>
      <w:keepLines/>
      <w:spacing w:before="60" w:after="60" w:line="360" w:lineRule="auto"/>
      <w:jc w:val="center"/>
      <w:outlineLvl w:val="0"/>
    </w:pPr>
    <w:rPr>
      <w:rFonts w:ascii="Calibri" w:hAnsi="Calibri" w:eastAsia="华文中宋" w:cs="Times New Roman"/>
      <w:b/>
      <w:bCs/>
      <w:kern w:val="44"/>
      <w:sz w:val="36"/>
      <w:szCs w:val="32"/>
    </w:rPr>
  </w:style>
  <w:style w:type="paragraph" w:styleId="4">
    <w:name w:val="heading 2"/>
    <w:basedOn w:val="1"/>
    <w:next w:val="1"/>
    <w:link w:val="22"/>
    <w:semiHidden/>
    <w:unhideWhenUsed/>
    <w:qFormat/>
    <w:uiPriority w:val="0"/>
    <w:pPr>
      <w:keepNext/>
      <w:keepLines/>
      <w:spacing w:line="360" w:lineRule="auto"/>
      <w:ind w:left="0"/>
      <w:jc w:val="center"/>
      <w:outlineLvl w:val="1"/>
    </w:pPr>
    <w:rPr>
      <w:rFonts w:ascii="CG Times" w:hAnsi="CG Times" w:eastAsia="宋体"/>
      <w:b/>
      <w:color w:val="000000"/>
      <w:sz w:val="30"/>
      <w:szCs w:val="20"/>
    </w:rPr>
  </w:style>
  <w:style w:type="paragraph" w:styleId="5">
    <w:name w:val="heading 3"/>
    <w:basedOn w:val="1"/>
    <w:next w:val="1"/>
    <w:link w:val="23"/>
    <w:semiHidden/>
    <w:unhideWhenUsed/>
    <w:qFormat/>
    <w:uiPriority w:val="0"/>
    <w:pPr>
      <w:keepNext/>
      <w:keepLines/>
      <w:spacing w:line="360" w:lineRule="auto"/>
      <w:jc w:val="center"/>
      <w:outlineLvl w:val="2"/>
    </w:pPr>
    <w:rPr>
      <w:rFonts w:ascii="Times New Roman" w:hAnsi="Times New Roman" w:eastAsia="华文仿宋" w:cs="Times New Roman"/>
      <w:b/>
      <w:bCs/>
      <w:sz w:val="32"/>
      <w:szCs w:val="32"/>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19">
    <w:name w:val="Default Paragraph Font"/>
    <w:semiHidden/>
    <w:qFormat/>
    <w:uiPriority w:val="99"/>
  </w:style>
  <w:style w:type="table" w:default="1" w:styleId="17">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11">
    <w:name w:val="Normal Indent"/>
    <w:basedOn w:val="1"/>
    <w:next w:val="12"/>
    <w:qFormat/>
    <w:uiPriority w:val="0"/>
    <w:pPr>
      <w:spacing w:line="480" w:lineRule="exact"/>
      <w:ind w:firstLine="560"/>
    </w:pPr>
    <w:rPr>
      <w:rFonts w:ascii="宋体" w:hAnsi="宋体"/>
      <w:sz w:val="28"/>
      <w:szCs w:val="24"/>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Indent"/>
    <w:basedOn w:val="1"/>
    <w:next w:val="14"/>
    <w:qFormat/>
    <w:uiPriority w:val="0"/>
    <w:pPr>
      <w:spacing w:line="280" w:lineRule="exact"/>
      <w:ind w:firstLine="360" w:firstLineChars="200"/>
      <w:jc w:val="left"/>
    </w:pPr>
    <w:rPr>
      <w:rFonts w:ascii="宋体" w:hAnsi="宋体"/>
      <w:color w:val="000000"/>
      <w:sz w:val="18"/>
      <w:szCs w:val="24"/>
    </w:rPr>
  </w:style>
  <w:style w:type="paragraph" w:styleId="14">
    <w:name w:val="envelope return"/>
    <w:basedOn w:val="1"/>
    <w:qFormat/>
    <w:uiPriority w:val="0"/>
    <w:pPr>
      <w:snapToGrid w:val="0"/>
    </w:pPr>
    <w:rPr>
      <w:rFonts w:ascii="Arial" w:hAnsi="Arial"/>
    </w:rPr>
  </w:style>
  <w:style w:type="paragraph" w:styleId="15">
    <w:name w:val="Normal (Web)"/>
    <w:basedOn w:val="1"/>
    <w:qFormat/>
    <w:uiPriority w:val="0"/>
    <w:pPr>
      <w:spacing w:line="300" w:lineRule="auto"/>
    </w:pPr>
    <w:rPr>
      <w:sz w:val="24"/>
    </w:rPr>
  </w:style>
  <w:style w:type="paragraph" w:styleId="16">
    <w:name w:val="Body Text First Indent 2"/>
    <w:basedOn w:val="13"/>
    <w:qFormat/>
    <w:uiPriority w:val="0"/>
    <w:pPr>
      <w:spacing w:after="120"/>
      <w:ind w:left="200" w:leftChars="200" w:firstLine="420"/>
    </w:pPr>
  </w:style>
  <w:style w:type="table" w:styleId="18">
    <w:name w:val="Table Grid"/>
    <w:basedOn w:val="1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customStyle="1" w:styleId="21">
    <w:name w:val="Heading 1 Char"/>
    <w:basedOn w:val="19"/>
    <w:link w:val="3"/>
    <w:qFormat/>
    <w:locked/>
    <w:uiPriority w:val="99"/>
    <w:rPr>
      <w:rFonts w:ascii="Calibri" w:hAnsi="Calibri" w:eastAsia="华文中宋" w:cs="Times New Roman"/>
      <w:b/>
      <w:spacing w:val="-2"/>
      <w:kern w:val="0"/>
      <w:sz w:val="52"/>
      <w:szCs w:val="20"/>
    </w:rPr>
  </w:style>
  <w:style w:type="character" w:customStyle="1" w:styleId="22">
    <w:name w:val="Heading 2 Char"/>
    <w:basedOn w:val="19"/>
    <w:link w:val="4"/>
    <w:qFormat/>
    <w:locked/>
    <w:uiPriority w:val="99"/>
    <w:rPr>
      <w:rFonts w:ascii="CG Times" w:hAnsi="CG Times" w:cs="Times New Roman" w:eastAsiaTheme="majorEastAsia"/>
      <w:b/>
      <w:color w:val="000000"/>
      <w:sz w:val="36"/>
      <w:szCs w:val="20"/>
    </w:rPr>
  </w:style>
  <w:style w:type="character" w:customStyle="1" w:styleId="23">
    <w:name w:val="Heading 3 Char"/>
    <w:basedOn w:val="19"/>
    <w:link w:val="5"/>
    <w:qFormat/>
    <w:locked/>
    <w:uiPriority w:val="99"/>
    <w:rPr>
      <w:rFonts w:ascii="Times New Roman" w:hAnsi="Times New Roman" w:eastAsia="华文仿宋" w:cs="Times New Roman"/>
      <w:b/>
      <w:bCs/>
      <w:sz w:val="32"/>
      <w:szCs w:val="32"/>
    </w:rPr>
  </w:style>
  <w:style w:type="paragraph" w:customStyle="1" w:styleId="24">
    <w:name w:val="样式7"/>
    <w:basedOn w:val="1"/>
    <w:qFormat/>
    <w:uiPriority w:val="0"/>
    <w:pPr>
      <w:numPr>
        <w:ilvl w:val="2"/>
        <w:numId w:val="1"/>
      </w:numPr>
    </w:pPr>
  </w:style>
  <w:style w:type="paragraph" w:customStyle="1" w:styleId="25">
    <w:name w:val="样式 标题 3C Sub-Sub/Italich3 sub headingHead 3Head 31Head 32C..."/>
    <w:basedOn w:val="1"/>
    <w:qFormat/>
    <w:uiPriority w:val="0"/>
    <w:pPr>
      <w:numPr>
        <w:ilvl w:val="3"/>
        <w:numId w:val="1"/>
      </w:numPr>
    </w:pPr>
  </w:style>
  <w:style w:type="paragraph" w:customStyle="1" w:styleId="26">
    <w:name w:val="BodyText"/>
    <w:basedOn w:val="1"/>
    <w:next w:val="1"/>
    <w:qFormat/>
    <w:uiPriority w:val="0"/>
    <w:rPr>
      <w:rFonts w:ascii="楷体_GB2312" w:hAnsi="Arial" w:eastAsia="楷体_GB2312"/>
      <w:kern w:val="0"/>
      <w:sz w:val="28"/>
    </w:rPr>
  </w:style>
  <w:style w:type="character" w:customStyle="1" w:styleId="2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1932</Words>
  <Characters>2148</Characters>
  <Lines>0</Lines>
  <Paragraphs>0</Paragraphs>
  <TotalTime>0</TotalTime>
  <ScaleCrop>false</ScaleCrop>
  <LinksUpToDate>false</LinksUpToDate>
  <CharactersWithSpaces>2154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2020-12-04T08:11:00Z</dcterms:created>
  <dc:creator>Administrator</dc:creator>
  <cp:lastModifiedBy>WPS_fjgxsx</cp:lastModifiedBy>
  <dcterms:modified xsi:type="dcterms:W3CDTF">2022-11-08T01:22:58Z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06363F96CB9240E3816ACBA5FEF7A2D6</vt:lpwstr>
  </property>
</Properties>
</file>