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spacing w:line="240" w:lineRule="auto"/>
        <w:ind w:firstLine="200" w:firstLineChars="0"/>
        <w:jc w:val="center"/>
        <w:outlineLvl w:val="0"/>
        <w:rPr>
          <w:rFonts w:ascii="仿宋" w:hAnsi="仿宋" w:eastAsia="黑体" w:cs="Times New Roman"/>
          <w:b/>
          <w:kern w:val="44"/>
          <w:sz w:val="32"/>
          <w:szCs w:val="48"/>
          <w:highlight w:val="none"/>
          <w:lang w:val="en-US" w:eastAsia="zh-CN" w:bidi="ar-SA"/>
        </w:rPr>
      </w:pPr>
      <w:bookmarkStart w:id="0" w:name="_Toc88748186"/>
      <w:r>
        <w:rPr>
          <w:rFonts w:hint="eastAsia" w:ascii="仿宋" w:hAnsi="仿宋" w:eastAsia="黑体" w:cs="Times New Roman"/>
          <w:b/>
          <w:kern w:val="44"/>
          <w:sz w:val="32"/>
          <w:szCs w:val="48"/>
          <w:highlight w:val="none"/>
          <w:lang w:val="en-US" w:eastAsia="zh-CN" w:bidi="ar-SA"/>
        </w:rPr>
        <w:t>磋商邀请</w:t>
      </w:r>
      <w:bookmarkEnd w:id="0"/>
    </w:p>
    <w:p>
      <w:pPr>
        <w:ind w:firstLine="482"/>
        <w:jc w:val="left"/>
        <w:rPr>
          <w:rFonts w:cs="Times New Roman"/>
        </w:rPr>
      </w:pPr>
      <w:r>
        <w:rPr>
          <w:rFonts w:hint="eastAsia" w:cs="Times New Roman"/>
          <w:b/>
          <w:highlight w:val="none"/>
          <w:lang w:eastAsia="zh-CN"/>
        </w:rPr>
        <w:t>四川锦恒招标代理有限公司</w:t>
      </w:r>
      <w:r>
        <w:rPr>
          <w:rFonts w:hint="eastAsia" w:cs="Times New Roman"/>
          <w:highlight w:val="none"/>
        </w:rPr>
        <w:t>受</w:t>
      </w:r>
      <w:r>
        <w:rPr>
          <w:rFonts w:hint="eastAsia" w:cs="Times New Roman"/>
          <w:b/>
          <w:highlight w:val="none"/>
          <w:lang w:eastAsia="zh-CN"/>
        </w:rPr>
        <w:t>四川德阿发展实业有限公司</w:t>
      </w:r>
      <w:r>
        <w:rPr>
          <w:rFonts w:hint="eastAsia" w:cs="Times New Roman"/>
          <w:highlight w:val="none"/>
        </w:rPr>
        <w:t>委托，拟对</w:t>
      </w:r>
      <w:r>
        <w:rPr>
          <w:rFonts w:hint="eastAsia" w:cs="Times New Roman"/>
          <w:b/>
          <w:highlight w:val="none"/>
          <w:lang w:eastAsia="zh-CN"/>
        </w:rPr>
        <w:t>德阳阿坝生态经济产业园区污水处理厂在线设备维护服务采购项目</w:t>
      </w:r>
      <w:r>
        <w:rPr>
          <w:rFonts w:hint="eastAsia" w:cs="Times New Roman"/>
          <w:highlight w:val="none"/>
        </w:rPr>
        <w:t>采用</w:t>
      </w:r>
      <w:r>
        <w:rPr>
          <w:rFonts w:hint="eastAsia" w:cs="Times New Roman"/>
          <w:b/>
          <w:highlight w:val="none"/>
        </w:rPr>
        <w:t>竞争性磋商</w:t>
      </w:r>
      <w:r>
        <w:rPr>
          <w:rFonts w:hint="eastAsia" w:cs="Times New Roman"/>
          <w:highlight w:val="none"/>
        </w:rPr>
        <w:t>的采购方式进行采购，特邀请符合本次采购要求的供应商参加本项目的</w:t>
      </w:r>
      <w:r>
        <w:rPr>
          <w:rFonts w:hint="eastAsia" w:cs="Times New Roman"/>
        </w:rPr>
        <w:t>采购活动。</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 w:name="_Toc88748187"/>
      <w:bookmarkStart w:id="2" w:name="_Toc87641132"/>
      <w:r>
        <w:rPr>
          <w:rFonts w:hint="eastAsia" w:ascii="黑体" w:hAnsi="黑体" w:eastAsia="黑体" w:cs="Times New Roman"/>
          <w:bCs/>
          <w:kern w:val="2"/>
          <w:sz w:val="28"/>
          <w:szCs w:val="32"/>
          <w:lang w:val="en-US" w:eastAsia="zh-CN" w:bidi="ar-SA"/>
        </w:rPr>
        <w:t>采购项目基本情况</w:t>
      </w:r>
      <w:bookmarkEnd w:id="1"/>
      <w:bookmarkEnd w:id="2"/>
    </w:p>
    <w:p>
      <w:pPr>
        <w:widowControl w:val="0"/>
        <w:spacing w:line="360" w:lineRule="auto"/>
        <w:ind w:firstLine="0" w:firstLineChars="0"/>
        <w:jc w:val="left"/>
        <w:rPr>
          <w:rFonts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lang w:val="en-US" w:eastAsia="zh-CN" w:bidi="ar-SA"/>
        </w:rPr>
        <w:t>1</w:t>
      </w:r>
      <w:r>
        <w:rPr>
          <w:rFonts w:ascii="仿宋" w:hAnsi="仿宋" w:eastAsia="仿宋" w:cs="Times New Roman"/>
          <w:kern w:val="2"/>
          <w:sz w:val="24"/>
          <w:szCs w:val="21"/>
          <w:lang w:val="en-US" w:eastAsia="zh-CN" w:bidi="ar-SA"/>
        </w:rPr>
        <w:t>.</w:t>
      </w:r>
      <w:r>
        <w:rPr>
          <w:rFonts w:hint="eastAsia" w:ascii="仿宋" w:hAnsi="仿宋" w:eastAsia="仿宋" w:cs="Times New Roman"/>
          <w:kern w:val="2"/>
          <w:sz w:val="24"/>
          <w:szCs w:val="21"/>
          <w:lang w:val="en-US" w:eastAsia="zh-CN" w:bidi="ar-SA"/>
        </w:rPr>
        <w:t>项目编号：</w:t>
      </w:r>
      <w:r>
        <w:rPr>
          <w:rFonts w:hint="eastAsia" w:ascii="仿宋" w:hAnsi="仿宋" w:eastAsia="仿宋" w:cs="Times New Roman"/>
          <w:kern w:val="2"/>
          <w:sz w:val="24"/>
          <w:szCs w:val="21"/>
          <w:highlight w:val="none"/>
          <w:lang w:val="en-US" w:eastAsia="zh-CN" w:bidi="ar-SA"/>
        </w:rPr>
        <w:t>SCJH-2022-048。</w:t>
      </w:r>
    </w:p>
    <w:p>
      <w:pPr>
        <w:widowControl w:val="0"/>
        <w:spacing w:line="360" w:lineRule="auto"/>
        <w:ind w:firstLine="0" w:firstLineChars="0"/>
        <w:jc w:val="left"/>
        <w:rPr>
          <w:rFonts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highlight w:val="none"/>
          <w:lang w:val="en-US" w:eastAsia="zh-CN" w:bidi="ar-SA"/>
        </w:rPr>
        <w:t>2</w:t>
      </w:r>
      <w:r>
        <w:rPr>
          <w:rFonts w:ascii="仿宋" w:hAnsi="仿宋" w:eastAsia="仿宋" w:cs="Times New Roman"/>
          <w:kern w:val="2"/>
          <w:sz w:val="24"/>
          <w:szCs w:val="21"/>
          <w:highlight w:val="none"/>
          <w:lang w:val="en-US" w:eastAsia="zh-CN" w:bidi="ar-SA"/>
        </w:rPr>
        <w:t>.</w:t>
      </w:r>
      <w:r>
        <w:rPr>
          <w:rFonts w:hint="eastAsia" w:ascii="仿宋" w:hAnsi="仿宋" w:eastAsia="仿宋" w:cs="Times New Roman"/>
          <w:kern w:val="2"/>
          <w:sz w:val="24"/>
          <w:szCs w:val="21"/>
          <w:highlight w:val="none"/>
          <w:lang w:val="en-US" w:eastAsia="zh-CN" w:bidi="ar-SA"/>
        </w:rPr>
        <w:t>项目名称：德阳阿坝生态经济产业园区污水处理厂在线设备维护服务采购项目。</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highlight w:val="none"/>
          <w:lang w:val="en-US" w:eastAsia="zh-CN" w:bidi="ar-SA"/>
        </w:rPr>
      </w:pPr>
      <w:bookmarkStart w:id="3" w:name="_Toc87641133"/>
      <w:bookmarkStart w:id="4" w:name="_Toc88748188"/>
      <w:r>
        <w:rPr>
          <w:rFonts w:hint="eastAsia" w:ascii="黑体" w:hAnsi="黑体" w:eastAsia="黑体" w:cs="Times New Roman"/>
          <w:bCs/>
          <w:kern w:val="2"/>
          <w:sz w:val="28"/>
          <w:szCs w:val="32"/>
          <w:highlight w:val="none"/>
          <w:lang w:val="en-US" w:eastAsia="zh-CN" w:bidi="ar-SA"/>
        </w:rPr>
        <w:t>资金情况</w:t>
      </w:r>
      <w:bookmarkEnd w:id="3"/>
      <w:bookmarkEnd w:id="4"/>
    </w:p>
    <w:p>
      <w:pPr>
        <w:widowControl w:val="0"/>
        <w:spacing w:line="360" w:lineRule="auto"/>
        <w:ind w:firstLine="0" w:firstLineChars="0"/>
        <w:jc w:val="left"/>
        <w:rPr>
          <w:rFonts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highlight w:val="none"/>
          <w:lang w:val="en-US" w:eastAsia="zh-CN" w:bidi="ar-SA"/>
        </w:rPr>
        <w:t>资金来源：自筹资金。</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5" w:name="_Toc88748189"/>
      <w:bookmarkStart w:id="6" w:name="_Toc87641134"/>
      <w:r>
        <w:rPr>
          <w:rFonts w:hint="eastAsia" w:ascii="黑体" w:hAnsi="黑体" w:eastAsia="黑体" w:cs="Times New Roman"/>
          <w:bCs/>
          <w:kern w:val="2"/>
          <w:sz w:val="28"/>
          <w:szCs w:val="32"/>
          <w:lang w:val="en-US" w:eastAsia="zh-CN" w:bidi="ar-SA"/>
        </w:rPr>
        <w:t>项目简介</w:t>
      </w:r>
      <w:bookmarkEnd w:id="5"/>
      <w:bookmarkEnd w:id="6"/>
    </w:p>
    <w:tbl>
      <w:tblPr>
        <w:tblStyle w:val="6"/>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690"/>
        <w:gridCol w:w="2451"/>
        <w:gridCol w:w="2584"/>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95" w:type="dxa"/>
            <w:shd w:val="clear" w:color="auto" w:fill="auto"/>
            <w:vAlign w:val="center"/>
          </w:tcPr>
          <w:p>
            <w:pPr>
              <w:ind w:firstLine="0" w:firstLineChars="0"/>
              <w:jc w:val="center"/>
              <w:rPr>
                <w:rFonts w:cs="Times New Roman"/>
                <w:b/>
                <w:bCs/>
                <w:color w:val="000000"/>
              </w:rPr>
            </w:pPr>
            <w:r>
              <w:rPr>
                <w:rFonts w:hint="eastAsia" w:cs="Times New Roman"/>
                <w:b/>
                <w:bCs/>
                <w:color w:val="000000"/>
              </w:rPr>
              <w:t>分包号</w:t>
            </w:r>
          </w:p>
        </w:tc>
        <w:tc>
          <w:tcPr>
            <w:tcW w:w="1690" w:type="dxa"/>
            <w:shd w:val="clear" w:color="auto" w:fill="auto"/>
            <w:vAlign w:val="center"/>
          </w:tcPr>
          <w:p>
            <w:pPr>
              <w:ind w:firstLine="0" w:firstLineChars="0"/>
              <w:jc w:val="center"/>
              <w:rPr>
                <w:rFonts w:cs="Times New Roman"/>
                <w:b/>
                <w:bCs/>
                <w:color w:val="000000"/>
              </w:rPr>
            </w:pPr>
            <w:r>
              <w:rPr>
                <w:rFonts w:hint="eastAsia" w:cs="Times New Roman"/>
                <w:b/>
                <w:bCs/>
                <w:color w:val="000000"/>
              </w:rPr>
              <w:t>分包名称</w:t>
            </w:r>
          </w:p>
        </w:tc>
        <w:tc>
          <w:tcPr>
            <w:tcW w:w="2451" w:type="dxa"/>
            <w:shd w:val="clear" w:color="auto" w:fill="auto"/>
            <w:vAlign w:val="center"/>
          </w:tcPr>
          <w:p>
            <w:pPr>
              <w:ind w:firstLine="0" w:firstLineChars="0"/>
              <w:jc w:val="center"/>
              <w:rPr>
                <w:rFonts w:cs="Times New Roman"/>
                <w:b/>
                <w:bCs/>
                <w:color w:val="000000"/>
              </w:rPr>
            </w:pPr>
            <w:r>
              <w:rPr>
                <w:rFonts w:hint="eastAsia" w:cs="Times New Roman"/>
                <w:b/>
                <w:bCs/>
                <w:color w:val="000000"/>
              </w:rPr>
              <w:t>采购预算</w:t>
            </w:r>
          </w:p>
        </w:tc>
        <w:tc>
          <w:tcPr>
            <w:tcW w:w="2584" w:type="dxa"/>
            <w:shd w:val="clear" w:color="auto" w:fill="auto"/>
            <w:vAlign w:val="center"/>
          </w:tcPr>
          <w:p>
            <w:pPr>
              <w:ind w:firstLine="0" w:firstLineChars="0"/>
              <w:jc w:val="center"/>
              <w:rPr>
                <w:rFonts w:cs="Times New Roman"/>
                <w:b/>
                <w:bCs/>
                <w:color w:val="000000"/>
              </w:rPr>
            </w:pPr>
            <w:r>
              <w:rPr>
                <w:rFonts w:hint="eastAsia" w:cs="Times New Roman"/>
                <w:b/>
                <w:bCs/>
                <w:color w:val="000000"/>
              </w:rPr>
              <w:t>最高限价</w:t>
            </w:r>
          </w:p>
        </w:tc>
        <w:tc>
          <w:tcPr>
            <w:tcW w:w="2281" w:type="dxa"/>
            <w:shd w:val="clear" w:color="auto" w:fill="auto"/>
            <w:vAlign w:val="center"/>
          </w:tcPr>
          <w:p>
            <w:pPr>
              <w:ind w:firstLine="0" w:firstLineChars="0"/>
              <w:jc w:val="center"/>
              <w:rPr>
                <w:rFonts w:cs="Times New Roman"/>
                <w:b/>
                <w:bCs/>
                <w:color w:val="000000"/>
              </w:rPr>
            </w:pPr>
            <w:r>
              <w:rPr>
                <w:rFonts w:hint="eastAsia" w:cs="Times New Roman"/>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5" w:type="dxa"/>
            <w:shd w:val="clear" w:color="auto" w:fill="auto"/>
            <w:vAlign w:val="center"/>
          </w:tcPr>
          <w:p>
            <w:pPr>
              <w:ind w:firstLine="0" w:firstLineChars="0"/>
              <w:jc w:val="center"/>
              <w:rPr>
                <w:rFonts w:cs="Times New Roman"/>
                <w:bCs/>
                <w:color w:val="000000"/>
              </w:rPr>
            </w:pPr>
            <w:r>
              <w:rPr>
                <w:rFonts w:hint="eastAsia" w:cs="Times New Roman"/>
                <w:bCs/>
                <w:color w:val="000000"/>
              </w:rPr>
              <w:t>第一包</w:t>
            </w:r>
          </w:p>
        </w:tc>
        <w:tc>
          <w:tcPr>
            <w:tcW w:w="1690" w:type="dxa"/>
            <w:shd w:val="clear" w:color="auto" w:fill="auto"/>
            <w:vAlign w:val="center"/>
          </w:tcPr>
          <w:p>
            <w:pPr>
              <w:spacing w:line="240" w:lineRule="auto"/>
              <w:ind w:left="240" w:leftChars="100" w:right="240" w:rightChars="0" w:firstLine="0" w:firstLineChars="0"/>
              <w:jc w:val="left"/>
              <w:rPr>
                <w:rFonts w:hint="eastAsia" w:ascii="仿宋" w:hAnsi="仿宋" w:eastAsia="仿宋" w:cs="仿宋"/>
                <w:b w:val="0"/>
                <w:bCs w:val="0"/>
                <w:color w:val="auto"/>
                <w:highlight w:val="none"/>
                <w:lang w:eastAsia="zh-CN"/>
              </w:rPr>
            </w:pPr>
            <w:r>
              <w:rPr>
                <w:rFonts w:hint="eastAsia" w:cs="仿宋"/>
                <w:b w:val="0"/>
                <w:bCs w:val="0"/>
                <w:color w:val="auto"/>
                <w:highlight w:val="none"/>
                <w:lang w:eastAsia="zh-CN"/>
              </w:rPr>
              <w:t>在线设备维护服务采购项目</w:t>
            </w:r>
          </w:p>
        </w:tc>
        <w:tc>
          <w:tcPr>
            <w:tcW w:w="2451" w:type="dxa"/>
            <w:shd w:val="clear" w:color="auto" w:fill="auto"/>
            <w:vAlign w:val="center"/>
          </w:tcPr>
          <w:p>
            <w:pPr>
              <w:ind w:right="240" w:rightChars="0" w:firstLine="0" w:firstLineChars="0"/>
              <w:jc w:val="center"/>
              <w:rPr>
                <w:rFonts w:hint="default" w:ascii="仿宋" w:hAnsi="仿宋" w:eastAsia="仿宋" w:cs="仿宋"/>
                <w:b w:val="0"/>
                <w:bCs w:val="0"/>
                <w:color w:val="auto"/>
                <w:highlight w:val="none"/>
                <w:lang w:val="en-US"/>
              </w:rPr>
            </w:pPr>
            <w:r>
              <w:rPr>
                <w:rFonts w:hint="eastAsia" w:ascii="仿宋" w:hAnsi="仿宋" w:eastAsia="仿宋" w:cs="仿宋"/>
                <w:b w:val="0"/>
                <w:bCs w:val="0"/>
                <w:color w:val="auto"/>
                <w:highlight w:val="none"/>
                <w:lang w:val="en-US" w:eastAsia="zh-CN"/>
              </w:rPr>
              <w:t>251500.00元</w:t>
            </w:r>
            <w:r>
              <w:rPr>
                <w:rFonts w:hint="eastAsia" w:cs="仿宋"/>
                <w:b w:val="0"/>
                <w:bCs w:val="0"/>
                <w:color w:val="auto"/>
                <w:highlight w:val="none"/>
                <w:lang w:val="en-US" w:eastAsia="zh-CN"/>
              </w:rPr>
              <w:t>/年</w:t>
            </w:r>
          </w:p>
        </w:tc>
        <w:tc>
          <w:tcPr>
            <w:tcW w:w="2584" w:type="dxa"/>
            <w:shd w:val="clear" w:color="auto" w:fill="auto"/>
            <w:vAlign w:val="center"/>
          </w:tcPr>
          <w:p>
            <w:pPr>
              <w:ind w:right="240" w:rightChars="0" w:firstLine="0" w:firstLineChars="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251500.00元</w:t>
            </w:r>
            <w:r>
              <w:rPr>
                <w:rFonts w:hint="eastAsia" w:cs="仿宋"/>
                <w:b w:val="0"/>
                <w:bCs w:val="0"/>
                <w:color w:val="auto"/>
                <w:highlight w:val="none"/>
                <w:lang w:val="en-US" w:eastAsia="zh-CN"/>
              </w:rPr>
              <w:t>/年</w:t>
            </w:r>
          </w:p>
        </w:tc>
        <w:tc>
          <w:tcPr>
            <w:tcW w:w="2281" w:type="dxa"/>
            <w:shd w:val="clear" w:color="auto" w:fill="auto"/>
            <w:vAlign w:val="center"/>
          </w:tcPr>
          <w:p>
            <w:pPr>
              <w:ind w:firstLine="0" w:firstLineChars="0"/>
              <w:jc w:val="center"/>
              <w:rPr>
                <w:rFonts w:hint="default" w:eastAsia="仿宋" w:cs="Times New Roman"/>
                <w:bCs/>
                <w:color w:val="000000"/>
                <w:lang w:val="en-US" w:eastAsia="zh-CN"/>
              </w:rPr>
            </w:pPr>
            <w:r>
              <w:rPr>
                <w:rFonts w:hint="eastAsia" w:cs="Times New Roman"/>
                <w:bCs/>
                <w:color w:val="000000"/>
                <w:lang w:val="en-US" w:eastAsia="zh-CN"/>
              </w:rPr>
              <w:t>本项目服务期为三年，合同一年一签。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01" w:type="dxa"/>
            <w:gridSpan w:val="5"/>
            <w:shd w:val="clear" w:color="auto" w:fill="auto"/>
            <w:vAlign w:val="center"/>
          </w:tcPr>
          <w:p>
            <w:pPr>
              <w:ind w:firstLine="0" w:firstLineChars="0"/>
              <w:rPr>
                <w:rFonts w:cs="Times New Roman"/>
                <w:b/>
                <w:bCs/>
                <w:color w:val="000000"/>
              </w:rPr>
            </w:pPr>
            <w:r>
              <w:rPr>
                <w:rFonts w:hint="eastAsia" w:cs="Times New Roman"/>
                <w:b/>
                <w:bCs/>
                <w:color w:val="000000"/>
              </w:rPr>
              <w:t>具体采购内容详见本文件第四章。</w:t>
            </w:r>
          </w:p>
        </w:tc>
      </w:tr>
    </w:tbl>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7" w:name="_Toc88748190"/>
      <w:bookmarkStart w:id="8" w:name="_Toc87641135"/>
      <w:r>
        <w:rPr>
          <w:rFonts w:hint="eastAsia" w:ascii="黑体" w:hAnsi="黑体" w:eastAsia="黑体" w:cs="Times New Roman"/>
          <w:bCs/>
          <w:kern w:val="2"/>
          <w:sz w:val="28"/>
          <w:szCs w:val="32"/>
          <w:lang w:val="en-US" w:eastAsia="zh-CN" w:bidi="ar-SA"/>
        </w:rPr>
        <w:t>本项目是否接受联合体参与采购活动（实质性要求）：</w:t>
      </w:r>
      <w:r>
        <w:rPr>
          <w:rFonts w:ascii="黑体" w:hAnsi="黑体" w:eastAsia="黑体" w:cs="Times New Roman"/>
          <w:bCs/>
          <w:kern w:val="2"/>
          <w:sz w:val="28"/>
          <w:szCs w:val="32"/>
          <w:lang w:val="en-US" w:eastAsia="zh-CN" w:bidi="ar-SA"/>
        </w:rPr>
        <w:t>否</w:t>
      </w:r>
      <w:r>
        <w:rPr>
          <w:rFonts w:hint="eastAsia" w:ascii="黑体" w:hAnsi="黑体" w:eastAsia="黑体" w:cs="Times New Roman"/>
          <w:bCs/>
          <w:kern w:val="2"/>
          <w:sz w:val="28"/>
          <w:szCs w:val="32"/>
          <w:lang w:val="en-US" w:eastAsia="zh-CN" w:bidi="ar-SA"/>
        </w:rPr>
        <w:t>。</w:t>
      </w:r>
      <w:bookmarkEnd w:id="7"/>
      <w:bookmarkEnd w:id="8"/>
    </w:p>
    <w:p>
      <w:pPr>
        <w:ind w:right="210" w:firstLine="480"/>
        <w:textAlignment w:val="center"/>
        <w:rPr>
          <w:rFonts w:cs="Times New Roman"/>
        </w:rPr>
      </w:pPr>
      <w:r>
        <w:rPr>
          <w:rFonts w:hint="eastAsia" w:cs="宋体"/>
          <w:kern w:val="0"/>
        </w:rPr>
        <w:t>注：以联合体形式参与采购活动的，参加联合体的供应商均应当具备《中华人民共和国政府采购法》第二十二条规定的条件，并应当向采购人提交联合体协议，载明联合体各方承担的工作和义务。联合体各方应当共同与采购人签订采购合同，就采购合同约定的事项对采购人承担</w:t>
      </w:r>
      <w:r>
        <w:rPr>
          <w:rFonts w:cs="Times New Roman"/>
        </w:rPr>
        <w:fldChar w:fldCharType="begin"/>
      </w:r>
      <w:r>
        <w:rPr>
          <w:rFonts w:cs="Times New Roman"/>
        </w:rPr>
        <w:instrText xml:space="preserve"> HYPERLINK "http://www.lawtime.cn/info/minfa/liandaizeren/" \t "_blank" </w:instrText>
      </w:r>
      <w:r>
        <w:rPr>
          <w:rFonts w:cs="Times New Roman"/>
        </w:rPr>
        <w:fldChar w:fldCharType="separate"/>
      </w:r>
      <w:r>
        <w:rPr>
          <w:rFonts w:hint="eastAsia" w:cs="宋体"/>
          <w:kern w:val="0"/>
        </w:rPr>
        <w:t>连带责任</w:t>
      </w:r>
      <w:r>
        <w:rPr>
          <w:rFonts w:hint="eastAsia" w:cs="宋体"/>
          <w:kern w:val="0"/>
        </w:rPr>
        <w:fldChar w:fldCharType="end"/>
      </w:r>
      <w:r>
        <w:rPr>
          <w:rFonts w:hint="eastAsia" w:cs="宋体"/>
          <w:kern w:val="0"/>
        </w:rPr>
        <w:t>。</w:t>
      </w:r>
      <w:r>
        <w:rPr>
          <w:rFonts w:hint="eastAsia" w:cs="Times New Roman"/>
        </w:rPr>
        <w:t>联合体中有同类资质的供应商按照联合体分工承担相同工作的，应当按照资质等级较低的供应商确定资质等级。按照联合体分工承担相同工作的，应当同时满足采购文件规定的特定资格条件；按照联合体分工承担不同工作的，联合体各方不需同时具备采购文件规定的特定资格条件，但应当具备承担对应工作内容的特定资格条件。</w:t>
      </w:r>
      <w:r>
        <w:rPr>
          <w:rFonts w:cs="Times New Roman"/>
        </w:rPr>
        <w:t>以联合体形式参加政府采购活动的，联合体各方不得再单独参加或者与其他供应商另外组成联合体参加同一合同项下的政府采购活动。</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9" w:name="_Toc87641136"/>
      <w:bookmarkStart w:id="10" w:name="_Toc88748191"/>
      <w:r>
        <w:rPr>
          <w:rFonts w:hint="eastAsia" w:ascii="黑体" w:hAnsi="黑体" w:eastAsia="黑体" w:cs="Times New Roman"/>
          <w:bCs/>
          <w:kern w:val="2"/>
          <w:sz w:val="28"/>
          <w:szCs w:val="32"/>
          <w:lang w:val="en-US" w:eastAsia="zh-CN" w:bidi="ar-SA"/>
        </w:rPr>
        <w:t>供应商参加本次政府采购活动应具备下列条件（资格条件）</w:t>
      </w:r>
      <w:bookmarkEnd w:id="9"/>
      <w:bookmarkEnd w:id="10"/>
    </w:p>
    <w:p>
      <w:pPr>
        <w:ind w:right="-57" w:firstLine="720" w:firstLineChars="300"/>
        <w:rPr>
          <w:rFonts w:cs="Times New Roman"/>
        </w:rPr>
      </w:pPr>
      <w:r>
        <w:rPr>
          <w:rFonts w:hint="eastAsia" w:cs="Times New Roman"/>
        </w:rPr>
        <w:t>（一）满足《中华人民共和国政府采购法》第二十二条规定的条件：</w:t>
      </w:r>
    </w:p>
    <w:p>
      <w:pPr>
        <w:ind w:right="-57" w:firstLine="720" w:firstLineChars="300"/>
        <w:rPr>
          <w:rFonts w:cs="Times New Roman"/>
        </w:rPr>
      </w:pPr>
      <w:r>
        <w:rPr>
          <w:rFonts w:cs="Times New Roman"/>
        </w:rPr>
        <w:t>1.具有独立承担民事责任的能力；</w:t>
      </w:r>
    </w:p>
    <w:p>
      <w:pPr>
        <w:ind w:right="-57" w:firstLine="720" w:firstLineChars="300"/>
        <w:rPr>
          <w:rFonts w:cs="Times New Roman"/>
        </w:rPr>
      </w:pPr>
      <w:r>
        <w:rPr>
          <w:rFonts w:cs="Times New Roman"/>
        </w:rPr>
        <w:t>2.具有良好的商业信誉和健全的财务会计制度；</w:t>
      </w:r>
    </w:p>
    <w:p>
      <w:pPr>
        <w:ind w:right="-57" w:firstLine="720" w:firstLineChars="300"/>
        <w:rPr>
          <w:rFonts w:cs="Times New Roman"/>
        </w:rPr>
      </w:pPr>
      <w:r>
        <w:rPr>
          <w:rFonts w:cs="Times New Roman"/>
        </w:rPr>
        <w:t>3.具有履行合同所必需的设备和专业技术能力；</w:t>
      </w:r>
    </w:p>
    <w:p>
      <w:pPr>
        <w:ind w:right="-57" w:firstLine="720" w:firstLineChars="300"/>
        <w:rPr>
          <w:rFonts w:cs="Times New Roman"/>
        </w:rPr>
      </w:pPr>
      <w:r>
        <w:rPr>
          <w:rFonts w:cs="Times New Roman"/>
        </w:rPr>
        <w:t>4.有依法缴纳税收和社会保障资金的良好记录；</w:t>
      </w:r>
    </w:p>
    <w:p>
      <w:pPr>
        <w:ind w:right="-57" w:firstLine="720" w:firstLineChars="300"/>
        <w:rPr>
          <w:rFonts w:cs="Times New Roman"/>
        </w:rPr>
      </w:pPr>
      <w:r>
        <w:rPr>
          <w:rFonts w:cs="Times New Roman"/>
        </w:rPr>
        <w:t>5.参加政府采购活动前三年内，在经营活动中没有重大违法记录；</w:t>
      </w:r>
    </w:p>
    <w:p>
      <w:pPr>
        <w:ind w:right="-57" w:firstLine="720" w:firstLineChars="300"/>
        <w:rPr>
          <w:rFonts w:cs="Times New Roman"/>
        </w:rPr>
      </w:pPr>
      <w:r>
        <w:rPr>
          <w:rFonts w:cs="Times New Roman"/>
        </w:rPr>
        <w:t>6.法律、行政法规规定的其他条件。</w:t>
      </w:r>
    </w:p>
    <w:p>
      <w:pPr>
        <w:ind w:right="-57" w:firstLine="720" w:firstLineChars="300"/>
        <w:rPr>
          <w:rFonts w:cs="Times New Roman"/>
          <w:highlight w:val="none"/>
        </w:rPr>
      </w:pPr>
      <w:r>
        <w:rPr>
          <w:rFonts w:hint="eastAsia" w:cs="Times New Roman"/>
        </w:rPr>
        <w:t>（二）落实政府采购政策需满足的资格要求：本项目专门面向中小企业采购。[享受中小企业扶持政策的供应商应符合《政府采购促进中小企业发展管理办法》（财库〔2020</w:t>
      </w:r>
      <w:r>
        <w:rPr>
          <w:rFonts w:hint="eastAsia" w:cs="Times New Roman"/>
          <w:highlight w:val="none"/>
        </w:rPr>
        <w:t>〕46号）第二条、第四条的规定。]</w:t>
      </w:r>
    </w:p>
    <w:p>
      <w:pPr>
        <w:ind w:right="-57" w:firstLine="720" w:firstLineChars="300"/>
        <w:rPr>
          <w:rFonts w:hint="eastAsia" w:eastAsia="仿宋" w:cs="Times New Roman"/>
          <w:highlight w:val="none"/>
          <w:lang w:eastAsia="zh-CN"/>
        </w:rPr>
      </w:pPr>
      <w:r>
        <w:rPr>
          <w:rFonts w:hint="eastAsia" w:cs="Times New Roman"/>
          <w:highlight w:val="none"/>
        </w:rPr>
        <w:t>（三）本项目的特定资格条件：</w:t>
      </w:r>
      <w:r>
        <w:rPr>
          <w:rFonts w:cs="Times New Roman"/>
          <w:highlight w:val="none"/>
        </w:rPr>
        <w:t>无</w:t>
      </w:r>
      <w:r>
        <w:rPr>
          <w:rFonts w:hint="eastAsia" w:cs="Times New Roman"/>
          <w:highlight w:val="none"/>
          <w:lang w:eastAsia="zh-CN"/>
        </w:rPr>
        <w:t>。</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1" w:name="_Toc87641137"/>
      <w:bookmarkStart w:id="12" w:name="_Toc88748192"/>
      <w:r>
        <w:rPr>
          <w:rFonts w:hint="eastAsia" w:ascii="黑体" w:hAnsi="黑体" w:eastAsia="黑体" w:cs="Times New Roman"/>
          <w:bCs/>
          <w:kern w:val="2"/>
          <w:sz w:val="28"/>
          <w:szCs w:val="32"/>
          <w:lang w:val="en-US" w:eastAsia="zh-CN" w:bidi="ar-SA"/>
        </w:rPr>
        <w:t>磋商文件获取方式、时间及地点</w:t>
      </w:r>
      <w:bookmarkEnd w:id="11"/>
      <w:bookmarkEnd w:id="12"/>
    </w:p>
    <w:p>
      <w:pPr>
        <w:ind w:firstLine="480"/>
        <w:rPr>
          <w:rFonts w:hint="eastAsia" w:cs="Times New Roman"/>
          <w:szCs w:val="28"/>
        </w:rPr>
      </w:pPr>
      <w:r>
        <w:rPr>
          <w:rFonts w:hint="eastAsia" w:cs="Times New Roman"/>
          <w:szCs w:val="28"/>
        </w:rPr>
        <w:t>获取</w:t>
      </w:r>
      <w:r>
        <w:rPr>
          <w:rFonts w:hint="eastAsia" w:cs="Times New Roman"/>
          <w:szCs w:val="28"/>
          <w:lang w:val="en-US" w:eastAsia="zh-CN"/>
        </w:rPr>
        <w:t>磋商</w:t>
      </w:r>
      <w:r>
        <w:rPr>
          <w:rFonts w:hint="eastAsia" w:cs="Times New Roman"/>
          <w:szCs w:val="28"/>
        </w:rPr>
        <w:t>文件时间：自2022年</w:t>
      </w:r>
      <w:r>
        <w:rPr>
          <w:rFonts w:hint="eastAsia" w:cs="Times New Roman"/>
          <w:szCs w:val="28"/>
          <w:lang w:val="en-US" w:eastAsia="zh-CN"/>
        </w:rPr>
        <w:t>11</w:t>
      </w:r>
      <w:r>
        <w:rPr>
          <w:rFonts w:hint="eastAsia" w:cs="Times New Roman"/>
          <w:szCs w:val="28"/>
        </w:rPr>
        <w:t>月</w:t>
      </w:r>
      <w:r>
        <w:rPr>
          <w:rFonts w:hint="eastAsia" w:cs="Times New Roman"/>
          <w:szCs w:val="28"/>
          <w:lang w:val="en-US" w:eastAsia="zh-CN"/>
        </w:rPr>
        <w:t>9</w:t>
      </w:r>
      <w:r>
        <w:rPr>
          <w:rFonts w:hint="eastAsia" w:cs="Times New Roman"/>
          <w:szCs w:val="28"/>
        </w:rPr>
        <w:t>日至2022年</w:t>
      </w:r>
      <w:r>
        <w:rPr>
          <w:rFonts w:hint="eastAsia" w:cs="Times New Roman"/>
          <w:szCs w:val="28"/>
          <w:lang w:val="en-US" w:eastAsia="zh-CN"/>
        </w:rPr>
        <w:t>11</w:t>
      </w:r>
      <w:r>
        <w:rPr>
          <w:rFonts w:hint="eastAsia" w:cs="Times New Roman"/>
          <w:szCs w:val="28"/>
        </w:rPr>
        <w:t>月</w:t>
      </w:r>
      <w:r>
        <w:rPr>
          <w:rFonts w:hint="eastAsia" w:cs="Times New Roman"/>
          <w:szCs w:val="28"/>
          <w:lang w:val="en-US" w:eastAsia="zh-CN"/>
        </w:rPr>
        <w:t>15</w:t>
      </w:r>
      <w:r>
        <w:rPr>
          <w:rFonts w:hint="eastAsia" w:cs="Times New Roman"/>
          <w:szCs w:val="28"/>
        </w:rPr>
        <w:t>日00:00:00-23:59:59（法定节假日除外）。</w:t>
      </w:r>
    </w:p>
    <w:p>
      <w:pPr>
        <w:ind w:firstLine="480"/>
        <w:rPr>
          <w:rFonts w:hint="eastAsia" w:cs="Times New Roman"/>
          <w:szCs w:val="28"/>
        </w:rPr>
      </w:pPr>
      <w:r>
        <w:rPr>
          <w:rFonts w:hint="eastAsia" w:cs="Times New Roman"/>
          <w:szCs w:val="28"/>
          <w:lang w:val="en-US" w:eastAsia="zh-CN"/>
        </w:rPr>
        <w:t>磋商</w:t>
      </w:r>
      <w:r>
        <w:rPr>
          <w:rFonts w:hint="eastAsia" w:cs="Times New Roman"/>
          <w:szCs w:val="28"/>
        </w:rPr>
        <w:t>文件售价：人民币400元/份（磋商文件售后不退, 磋商资格不能转让）。</w:t>
      </w:r>
    </w:p>
    <w:p>
      <w:pPr>
        <w:ind w:firstLine="480"/>
        <w:rPr>
          <w:rFonts w:hint="eastAsia" w:cs="Times New Roman"/>
          <w:szCs w:val="28"/>
        </w:rPr>
      </w:pPr>
      <w:r>
        <w:rPr>
          <w:rFonts w:hint="eastAsia" w:cs="Times New Roman"/>
          <w:szCs w:val="28"/>
        </w:rPr>
        <w:t>发售方式：网上发售</w:t>
      </w:r>
      <w:r>
        <w:rPr>
          <w:rFonts w:hint="eastAsia" w:cs="Times New Roman"/>
          <w:szCs w:val="28"/>
          <w:lang w:val="en-US" w:eastAsia="zh-CN"/>
        </w:rPr>
        <w:t>或现场发售</w:t>
      </w:r>
      <w:r>
        <w:rPr>
          <w:rFonts w:hint="eastAsia" w:cs="Times New Roman"/>
          <w:szCs w:val="28"/>
        </w:rPr>
        <w:t>。</w:t>
      </w:r>
    </w:p>
    <w:p>
      <w:pPr>
        <w:ind w:firstLine="480"/>
        <w:rPr>
          <w:rFonts w:hint="eastAsia" w:cs="Times New Roman"/>
          <w:szCs w:val="28"/>
        </w:rPr>
      </w:pPr>
      <w:r>
        <w:rPr>
          <w:rFonts w:hint="eastAsia" w:cs="Times New Roman"/>
          <w:szCs w:val="28"/>
        </w:rPr>
        <w:t>获取</w:t>
      </w:r>
      <w:r>
        <w:rPr>
          <w:rFonts w:hint="eastAsia" w:cs="Times New Roman"/>
          <w:szCs w:val="28"/>
          <w:lang w:val="en-US" w:eastAsia="zh-CN"/>
        </w:rPr>
        <w:t>磋商</w:t>
      </w:r>
      <w:r>
        <w:rPr>
          <w:rFonts w:hint="eastAsia" w:cs="Times New Roman"/>
          <w:szCs w:val="28"/>
        </w:rPr>
        <w:t xml:space="preserve">文件途径：（1）供应商现场获取：获取磋商文件时须当场提交以下资料：①单位介绍信原件；②经办人身份证原件。以上①收原件，②查验原件收复印件，复印件加盖公章。 </w:t>
      </w:r>
    </w:p>
    <w:p>
      <w:pPr>
        <w:ind w:firstLine="480"/>
        <w:rPr>
          <w:rFonts w:cs="Times New Roman"/>
          <w:szCs w:val="28"/>
        </w:rPr>
      </w:pPr>
      <w:r>
        <w:rPr>
          <w:rFonts w:hint="eastAsia" w:cs="Times New Roman"/>
          <w:szCs w:val="28"/>
        </w:rPr>
        <w:t>（2）供应商远程获取：供应商自行下载公告中附件中报名资料，填写完整后将报名资料的扫描件（加盖单位公章的介绍信、加盖单位公章的经办人身份证、报名登记表、报名费支付凭证）发送至jinheng654321@163.com，代理机构收到并审核无误后方为报名成功，报名资料原件在开标当日递交至开标地点。</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3" w:name="_Toc88748193"/>
      <w:bookmarkStart w:id="14" w:name="_Toc87641138"/>
      <w:r>
        <w:rPr>
          <w:rFonts w:hint="eastAsia" w:ascii="黑体" w:hAnsi="黑体" w:eastAsia="黑体" w:cs="Times New Roman"/>
          <w:bCs/>
          <w:kern w:val="2"/>
          <w:sz w:val="28"/>
          <w:szCs w:val="32"/>
          <w:lang w:val="en-US" w:eastAsia="zh-CN" w:bidi="ar-SA"/>
        </w:rPr>
        <w:t>递交响应文件</w:t>
      </w:r>
      <w:bookmarkEnd w:id="13"/>
      <w:bookmarkEnd w:id="14"/>
    </w:p>
    <w:p>
      <w:pPr>
        <w:widowControl w:val="0"/>
        <w:spacing w:line="360" w:lineRule="auto"/>
        <w:ind w:firstLine="0" w:firstLineChars="0"/>
        <w:jc w:val="left"/>
        <w:rPr>
          <w:rFonts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1</w:t>
      </w:r>
      <w:r>
        <w:rPr>
          <w:rFonts w:ascii="仿宋" w:hAnsi="仿宋" w:eastAsia="仿宋" w:cs="Times New Roman"/>
          <w:kern w:val="2"/>
          <w:sz w:val="24"/>
          <w:szCs w:val="21"/>
          <w:lang w:val="en-US" w:eastAsia="zh-CN" w:bidi="ar-SA"/>
        </w:rPr>
        <w:t>.</w:t>
      </w:r>
      <w:r>
        <w:rPr>
          <w:rFonts w:hint="eastAsia" w:ascii="仿宋" w:hAnsi="仿宋" w:eastAsia="仿宋" w:cs="Times New Roman"/>
          <w:kern w:val="2"/>
          <w:sz w:val="24"/>
          <w:szCs w:val="21"/>
          <w:lang w:val="en-US" w:eastAsia="zh-CN" w:bidi="ar-SA"/>
        </w:rPr>
        <w:t>递交响应文件截止时间：</w:t>
      </w:r>
      <w:r>
        <w:rPr>
          <w:rFonts w:hint="eastAsia" w:ascii="仿宋" w:hAnsi="仿宋" w:eastAsia="仿宋" w:cs="Times New Roman"/>
          <w:kern w:val="2"/>
          <w:sz w:val="24"/>
          <w:szCs w:val="28"/>
          <w:lang w:val="en-US" w:eastAsia="zh-CN" w:bidi="ar-SA"/>
        </w:rPr>
        <w:t>2022年11月21日10:00</w:t>
      </w:r>
      <w:r>
        <w:rPr>
          <w:rFonts w:hint="eastAsia" w:ascii="仿宋" w:hAnsi="仿宋" w:eastAsia="仿宋" w:cs="Times New Roman"/>
          <w:kern w:val="2"/>
          <w:sz w:val="24"/>
          <w:szCs w:val="21"/>
          <w:lang w:val="en-US" w:eastAsia="zh-CN" w:bidi="ar-SA"/>
        </w:rPr>
        <w:t>。</w:t>
      </w:r>
    </w:p>
    <w:p>
      <w:pPr>
        <w:widowControl w:val="0"/>
        <w:spacing w:line="360" w:lineRule="auto"/>
        <w:ind w:firstLine="0" w:firstLineChars="0"/>
        <w:jc w:val="left"/>
        <w:rPr>
          <w:rFonts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2</w:t>
      </w:r>
      <w:r>
        <w:rPr>
          <w:rFonts w:ascii="仿宋" w:hAnsi="仿宋" w:eastAsia="仿宋" w:cs="Times New Roman"/>
          <w:kern w:val="2"/>
          <w:sz w:val="24"/>
          <w:szCs w:val="21"/>
          <w:lang w:val="en-US" w:eastAsia="zh-CN" w:bidi="ar-SA"/>
        </w:rPr>
        <w:t>.</w:t>
      </w:r>
      <w:r>
        <w:rPr>
          <w:rFonts w:hint="eastAsia" w:ascii="仿宋" w:hAnsi="仿宋" w:eastAsia="仿宋" w:cs="Times New Roman"/>
          <w:kern w:val="2"/>
          <w:sz w:val="24"/>
          <w:szCs w:val="21"/>
          <w:lang w:val="en-US" w:eastAsia="zh-CN" w:bidi="ar-SA"/>
        </w:rPr>
        <w:t>递交响应文件地点：德阳市旌阳区太湖路18号五楼</w:t>
      </w:r>
      <w:r>
        <w:rPr>
          <w:rFonts w:ascii="仿宋" w:hAnsi="仿宋" w:eastAsia="仿宋" w:cs="Times New Roman"/>
          <w:kern w:val="2"/>
          <w:sz w:val="24"/>
          <w:szCs w:val="21"/>
          <w:lang w:val="en-US" w:eastAsia="zh-CN" w:bidi="ar-SA"/>
        </w:rPr>
        <w:t>。</w:t>
      </w:r>
    </w:p>
    <w:p>
      <w:pPr>
        <w:ind w:firstLine="480"/>
        <w:rPr>
          <w:rFonts w:cs="Times New Roman"/>
        </w:rPr>
      </w:pPr>
      <w:r>
        <w:rPr>
          <w:rFonts w:hint="eastAsia" w:cs="Times New Roman"/>
        </w:rPr>
        <w:t>响应文件必须在递交响应文件截止时间前送达至递交响应文件地点。逾期送达或未按要求密封、标注的响应文件恕不接收，本项目不接收邮寄的响应文件。</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5" w:name="_Toc87641139"/>
      <w:bookmarkStart w:id="16" w:name="_Toc88748194"/>
      <w:r>
        <w:rPr>
          <w:rFonts w:hint="eastAsia" w:ascii="黑体" w:hAnsi="黑体" w:eastAsia="黑体" w:cs="Times New Roman"/>
          <w:bCs/>
          <w:kern w:val="2"/>
          <w:sz w:val="28"/>
          <w:szCs w:val="32"/>
          <w:lang w:val="en-US" w:eastAsia="zh-CN" w:bidi="ar-SA"/>
        </w:rPr>
        <w:t>响应文件开启</w:t>
      </w:r>
      <w:bookmarkEnd w:id="15"/>
      <w:bookmarkEnd w:id="16"/>
    </w:p>
    <w:p>
      <w:pPr>
        <w:widowControl w:val="0"/>
        <w:numPr>
          <w:ilvl w:val="1"/>
          <w:numId w:val="1"/>
        </w:numPr>
        <w:spacing w:line="360" w:lineRule="auto"/>
        <w:ind w:left="0" w:firstLine="0" w:firstLineChars="0"/>
        <w:jc w:val="left"/>
        <w:rPr>
          <w:rFonts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响应文件开启时间：</w:t>
      </w:r>
      <w:r>
        <w:rPr>
          <w:rFonts w:hint="eastAsia" w:ascii="仿宋" w:hAnsi="仿宋" w:eastAsia="仿宋" w:cs="Times New Roman"/>
          <w:kern w:val="2"/>
          <w:sz w:val="24"/>
          <w:szCs w:val="28"/>
          <w:lang w:val="en-US" w:eastAsia="zh-CN" w:bidi="ar-SA"/>
        </w:rPr>
        <w:t>2022年11月21日10:00。</w:t>
      </w:r>
    </w:p>
    <w:p>
      <w:pPr>
        <w:widowControl w:val="0"/>
        <w:numPr>
          <w:ilvl w:val="1"/>
          <w:numId w:val="1"/>
        </w:numPr>
        <w:spacing w:line="360" w:lineRule="auto"/>
        <w:ind w:left="0" w:firstLine="0" w:firstLineChars="0"/>
        <w:jc w:val="left"/>
        <w:rPr>
          <w:rFonts w:ascii="仿宋" w:hAnsi="仿宋" w:eastAsia="仿宋" w:cs="Times New Roman"/>
          <w:kern w:val="2"/>
          <w:sz w:val="24"/>
          <w:szCs w:val="21"/>
          <w:lang w:val="en-US" w:eastAsia="zh-CN" w:bidi="ar-SA"/>
        </w:rPr>
      </w:pPr>
      <w:r>
        <w:rPr>
          <w:rFonts w:ascii="仿宋" w:hAnsi="仿宋" w:eastAsia="仿宋" w:cs="Times New Roman"/>
          <w:kern w:val="2"/>
          <w:sz w:val="24"/>
          <w:szCs w:val="21"/>
          <w:lang w:val="en-US" w:eastAsia="zh-CN" w:bidi="ar-SA"/>
        </w:rPr>
        <w:t>响应文件开启地点：德阳市旌阳区太湖路18号五楼。</w:t>
      </w: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17" w:name="_Toc87641140"/>
      <w:bookmarkStart w:id="18" w:name="_Toc88748195"/>
      <w:r>
        <w:rPr>
          <w:rFonts w:hint="eastAsia" w:ascii="黑体" w:hAnsi="黑体" w:eastAsia="黑体" w:cs="Times New Roman"/>
          <w:bCs/>
          <w:kern w:val="2"/>
          <w:sz w:val="28"/>
          <w:szCs w:val="32"/>
          <w:lang w:val="en-US" w:eastAsia="zh-CN" w:bidi="ar-SA"/>
        </w:rPr>
        <w:t>采购组织单位联系方式</w:t>
      </w:r>
      <w:bookmarkEnd w:id="17"/>
      <w:bookmarkEnd w:id="18"/>
    </w:p>
    <w:p>
      <w:pPr>
        <w:ind w:right="240" w:firstLine="480"/>
        <w:rPr>
          <w:rFonts w:hint="eastAsia" w:eastAsia="仿宋" w:cs="Times New Roman"/>
          <w:bCs/>
          <w:highlight w:val="none"/>
          <w:lang w:eastAsia="zh-CN"/>
        </w:rPr>
      </w:pPr>
      <w:r>
        <w:rPr>
          <w:rFonts w:hint="eastAsia" w:cs="Times New Roman"/>
          <w:highlight w:val="none"/>
        </w:rPr>
        <w:t>采 购 人：</w:t>
      </w:r>
      <w:r>
        <w:rPr>
          <w:rFonts w:hint="eastAsia" w:cs="Times New Roman"/>
          <w:highlight w:val="none"/>
          <w:lang w:eastAsia="zh-CN"/>
        </w:rPr>
        <w:t>四川德阿发展实业有限公司</w:t>
      </w:r>
    </w:p>
    <w:p>
      <w:pPr>
        <w:ind w:right="240" w:firstLine="480"/>
        <w:rPr>
          <w:rFonts w:hint="eastAsia" w:eastAsia="仿宋" w:cs="Times New Roman"/>
          <w:highlight w:val="none"/>
          <w:lang w:eastAsia="zh-CN"/>
        </w:rPr>
      </w:pPr>
      <w:r>
        <w:rPr>
          <w:rFonts w:hint="eastAsia" w:cs="Times New Roman"/>
          <w:highlight w:val="none"/>
        </w:rPr>
        <w:t>通讯地址：</w:t>
      </w:r>
      <w:r>
        <w:rPr>
          <w:rFonts w:hint="eastAsia" w:cs="Times New Roman"/>
          <w:highlight w:val="none"/>
          <w:lang w:eastAsia="zh-CN"/>
        </w:rPr>
        <w:t>德阳市绵竹市汉旺镇滴翠路</w:t>
      </w:r>
    </w:p>
    <w:p>
      <w:pPr>
        <w:ind w:right="240" w:firstLine="480"/>
        <w:rPr>
          <w:rFonts w:hint="eastAsia" w:eastAsia="仿宋" w:cs="Times New Roman"/>
          <w:highlight w:val="none"/>
          <w:lang w:eastAsia="zh-CN"/>
        </w:rPr>
      </w:pPr>
      <w:r>
        <w:rPr>
          <w:rFonts w:hint="eastAsia" w:cs="Times New Roman"/>
          <w:highlight w:val="none"/>
        </w:rPr>
        <w:t>联 系 人：</w:t>
      </w:r>
      <w:r>
        <w:rPr>
          <w:rFonts w:hint="eastAsia" w:cs="Times New Roman"/>
          <w:highlight w:val="none"/>
          <w:lang w:eastAsia="zh-CN"/>
        </w:rPr>
        <w:t>卢老师</w:t>
      </w:r>
    </w:p>
    <w:p>
      <w:pPr>
        <w:ind w:right="240" w:firstLine="480"/>
        <w:rPr>
          <w:rFonts w:hint="eastAsia" w:eastAsia="仿宋" w:cs="Times New Roman"/>
          <w:highlight w:val="none"/>
          <w:lang w:eastAsia="zh-CN"/>
        </w:rPr>
      </w:pPr>
      <w:r>
        <w:rPr>
          <w:rFonts w:hint="eastAsia" w:cs="Times New Roman"/>
          <w:highlight w:val="none"/>
        </w:rPr>
        <w:t>联系电话：</w:t>
      </w:r>
      <w:r>
        <w:rPr>
          <w:rFonts w:hint="eastAsia" w:cs="Times New Roman"/>
          <w:highlight w:val="none"/>
          <w:lang w:eastAsia="zh-CN"/>
        </w:rPr>
        <w:t>0838-6300056</w:t>
      </w:r>
    </w:p>
    <w:p>
      <w:pPr>
        <w:ind w:right="240" w:firstLine="480"/>
        <w:rPr>
          <w:rFonts w:cs="Times New Roman"/>
        </w:rPr>
      </w:pPr>
    </w:p>
    <w:p>
      <w:pPr>
        <w:ind w:right="240" w:firstLine="465" w:firstLineChars="194"/>
        <w:rPr>
          <w:rFonts w:hint="eastAsia" w:eastAsia="仿宋" w:cs="宋体"/>
          <w:color w:val="000000"/>
          <w:kern w:val="0"/>
          <w:lang w:eastAsia="zh-CN"/>
        </w:rPr>
      </w:pPr>
      <w:r>
        <w:rPr>
          <w:rFonts w:hint="eastAsia" w:cs="宋体"/>
          <w:color w:val="000000"/>
          <w:kern w:val="0"/>
        </w:rPr>
        <w:t>采购代理机构：</w:t>
      </w:r>
      <w:r>
        <w:rPr>
          <w:rFonts w:hint="eastAsia" w:cs="宋体"/>
          <w:color w:val="000000"/>
          <w:kern w:val="0"/>
          <w:lang w:eastAsia="zh-CN"/>
        </w:rPr>
        <w:t>四川锦恒招标代理有限公司</w:t>
      </w:r>
    </w:p>
    <w:p>
      <w:pPr>
        <w:ind w:right="240" w:firstLine="465" w:firstLineChars="194"/>
        <w:rPr>
          <w:rFonts w:cs="宋体"/>
          <w:color w:val="000000"/>
          <w:kern w:val="0"/>
        </w:rPr>
      </w:pPr>
      <w:r>
        <w:rPr>
          <w:rFonts w:hint="eastAsia" w:cs="宋体"/>
          <w:color w:val="000000"/>
          <w:kern w:val="0"/>
        </w:rPr>
        <w:t>地址：德阳市旌阳区太湖路18号五楼</w:t>
      </w:r>
    </w:p>
    <w:p>
      <w:pPr>
        <w:ind w:right="240" w:firstLine="465" w:firstLineChars="194"/>
        <w:rPr>
          <w:rFonts w:hint="default" w:eastAsia="仿宋" w:cs="宋体"/>
          <w:color w:val="000000"/>
          <w:kern w:val="0"/>
          <w:lang w:val="en-US" w:eastAsia="zh-CN"/>
        </w:rPr>
      </w:pPr>
      <w:r>
        <w:rPr>
          <w:rFonts w:hint="eastAsia" w:cs="宋体"/>
          <w:color w:val="000000"/>
          <w:kern w:val="0"/>
        </w:rPr>
        <w:t>邮政编码：</w:t>
      </w:r>
      <w:r>
        <w:rPr>
          <w:rFonts w:hint="eastAsia" w:cs="宋体"/>
          <w:color w:val="000000"/>
          <w:kern w:val="0"/>
          <w:lang w:val="en-US" w:eastAsia="zh-CN"/>
        </w:rPr>
        <w:t>618000</w:t>
      </w:r>
    </w:p>
    <w:p>
      <w:pPr>
        <w:widowControl w:val="0"/>
        <w:spacing w:line="360" w:lineRule="auto"/>
        <w:ind w:right="240" w:firstLine="465" w:firstLineChars="194"/>
        <w:jc w:val="both"/>
        <w:rPr>
          <w:rFonts w:hint="eastAsia" w:ascii="仿宋" w:hAnsi="仿宋" w:eastAsia="仿宋" w:cs="宋体"/>
          <w:color w:val="000000"/>
          <w:kern w:val="0"/>
          <w:sz w:val="24"/>
          <w:szCs w:val="21"/>
          <w:highlight w:val="none"/>
          <w:lang w:val="en-US" w:eastAsia="zh-CN" w:bidi="ar-SA"/>
        </w:rPr>
      </w:pPr>
      <w:r>
        <w:rPr>
          <w:rFonts w:hint="eastAsia" w:ascii="仿宋" w:hAnsi="仿宋" w:eastAsia="仿宋" w:cs="宋体"/>
          <w:color w:val="000000"/>
          <w:kern w:val="0"/>
          <w:sz w:val="24"/>
          <w:szCs w:val="21"/>
          <w:lang w:val="en-US" w:eastAsia="zh-CN" w:bidi="ar-SA"/>
        </w:rPr>
        <w:t>联</w:t>
      </w:r>
      <w:r>
        <w:rPr>
          <w:rFonts w:hint="eastAsia" w:ascii="仿宋" w:hAnsi="仿宋" w:eastAsia="仿宋" w:cs="宋体"/>
          <w:color w:val="000000"/>
          <w:kern w:val="0"/>
          <w:sz w:val="24"/>
          <w:szCs w:val="21"/>
          <w:highlight w:val="none"/>
          <w:lang w:val="en-US" w:eastAsia="zh-CN" w:bidi="ar-SA"/>
        </w:rPr>
        <w:t>系人：熊先生</w:t>
      </w:r>
    </w:p>
    <w:p>
      <w:pPr>
        <w:rPr>
          <w:rFonts w:hint="eastAsia" w:ascii="仿宋" w:hAnsi="仿宋" w:eastAsia="仿宋" w:cs="宋体"/>
          <w:color w:val="000000"/>
          <w:kern w:val="0"/>
          <w:sz w:val="24"/>
          <w:szCs w:val="21"/>
          <w:lang w:val="en-US" w:eastAsia="zh-CN" w:bidi="ar-SA"/>
        </w:rPr>
      </w:pPr>
      <w:r>
        <w:rPr>
          <w:rFonts w:hint="eastAsia" w:ascii="仿宋" w:hAnsi="仿宋" w:eastAsia="仿宋" w:cs="宋体"/>
          <w:color w:val="000000"/>
          <w:kern w:val="0"/>
          <w:sz w:val="24"/>
          <w:szCs w:val="21"/>
          <w:highlight w:val="none"/>
          <w:lang w:val="en-US" w:eastAsia="zh-CN" w:bidi="ar-SA"/>
        </w:rPr>
        <w:t>电  话：0838-28223</w:t>
      </w:r>
      <w:r>
        <w:rPr>
          <w:rFonts w:hint="eastAsia" w:ascii="仿宋" w:hAnsi="仿宋" w:eastAsia="仿宋" w:cs="宋体"/>
          <w:color w:val="000000"/>
          <w:kern w:val="0"/>
          <w:sz w:val="24"/>
          <w:szCs w:val="21"/>
          <w:lang w:val="en-US" w:eastAsia="zh-CN" w:bidi="ar-SA"/>
        </w:rPr>
        <w:t>99</w:t>
      </w:r>
    </w:p>
    <w:p>
      <w:pPr>
        <w:pStyle w:val="2"/>
        <w:rPr>
          <w:rFonts w:hint="eastAsia" w:ascii="仿宋" w:hAnsi="仿宋" w:eastAsia="仿宋" w:cs="宋体"/>
          <w:color w:val="000000"/>
          <w:kern w:val="0"/>
          <w:sz w:val="24"/>
          <w:szCs w:val="21"/>
          <w:lang w:val="en-US" w:eastAsia="zh-CN" w:bidi="ar-SA"/>
        </w:rPr>
      </w:pPr>
    </w:p>
    <w:p>
      <w:r>
        <w:br w:type="page"/>
      </w:r>
    </w:p>
    <w:p>
      <w:pPr>
        <w:widowControl w:val="0"/>
        <w:numPr>
          <w:ilvl w:val="0"/>
          <w:numId w:val="1"/>
        </w:numPr>
        <w:spacing w:line="240" w:lineRule="auto"/>
        <w:ind w:firstLine="200" w:firstLineChars="0"/>
        <w:jc w:val="center"/>
        <w:outlineLvl w:val="0"/>
        <w:rPr>
          <w:rFonts w:ascii="仿宋" w:hAnsi="仿宋" w:eastAsia="黑体" w:cs="Times New Roman"/>
          <w:b/>
          <w:kern w:val="44"/>
          <w:sz w:val="32"/>
          <w:szCs w:val="48"/>
          <w:lang w:val="en-US" w:eastAsia="zh-CN" w:bidi="ar-SA"/>
        </w:rPr>
      </w:pPr>
      <w:bookmarkStart w:id="19" w:name="_Toc88748245"/>
      <w:r>
        <w:rPr>
          <w:rFonts w:hint="eastAsia" w:ascii="仿宋" w:hAnsi="仿宋" w:eastAsia="黑体" w:cs="Times New Roman"/>
          <w:b/>
          <w:kern w:val="44"/>
          <w:sz w:val="32"/>
          <w:szCs w:val="48"/>
          <w:lang w:val="en-US" w:eastAsia="zh-CN" w:bidi="ar-SA"/>
        </w:rPr>
        <w:t>采购项目技术、服务及商务及实质性要求</w:t>
      </w:r>
      <w:bookmarkEnd w:id="19"/>
    </w:p>
    <w:p>
      <w:pPr>
        <w:widowControl w:val="0"/>
        <w:numPr>
          <w:ilvl w:val="0"/>
          <w:numId w:val="3"/>
        </w:numPr>
        <w:spacing w:line="360" w:lineRule="auto"/>
        <w:ind w:left="0" w:firstLine="0" w:firstLineChars="0"/>
        <w:jc w:val="left"/>
        <w:outlineLvl w:val="1"/>
        <w:rPr>
          <w:rFonts w:ascii="黑体" w:hAnsi="黑体" w:eastAsia="黑体" w:cs="Times New Roman"/>
          <w:bCs/>
          <w:kern w:val="2"/>
          <w:sz w:val="28"/>
          <w:szCs w:val="32"/>
          <w:lang w:val="en-US" w:eastAsia="zh-CN" w:bidi="ar-SA"/>
        </w:rPr>
      </w:pPr>
      <w:bookmarkStart w:id="20" w:name="_Toc88748246"/>
      <w:r>
        <w:rPr>
          <w:rFonts w:hint="eastAsia" w:ascii="黑体" w:hAnsi="黑体" w:eastAsia="黑体" w:cs="Times New Roman"/>
          <w:bCs/>
          <w:kern w:val="2"/>
          <w:sz w:val="28"/>
          <w:szCs w:val="32"/>
          <w:lang w:val="en-US" w:eastAsia="zh-CN" w:bidi="ar-SA"/>
        </w:rPr>
        <w:t>项目概述</w:t>
      </w:r>
      <w:bookmarkEnd w:id="20"/>
    </w:p>
    <w:p>
      <w:pPr>
        <w:ind w:firstLine="0" w:firstLineChars="0"/>
        <w:rPr>
          <w:rFonts w:hint="eastAsia" w:eastAsia="仿宋" w:cs="Times New Roman"/>
          <w:lang w:eastAsia="zh-CN"/>
        </w:rPr>
      </w:pPr>
      <w:r>
        <w:rPr>
          <w:rFonts w:hint="eastAsia" w:cs="Times New Roman"/>
          <w:lang w:eastAsia="zh-CN"/>
        </w:rPr>
        <w:t>德阳阿坝生态经济产业园区污水处理厂在线设备维护服务采购项目。</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494"/>
        <w:gridCol w:w="181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vAlign w:val="center"/>
          </w:tcPr>
          <w:p>
            <w:pPr>
              <w:ind w:firstLine="0" w:firstLineChars="0"/>
              <w:jc w:val="center"/>
              <w:rPr>
                <w:rFonts w:ascii="仿宋" w:hAnsi="仿宋" w:eastAsia="仿宋" w:cs="Times New Roman"/>
                <w:b/>
                <w:bCs/>
                <w:szCs w:val="24"/>
                <w:highlight w:val="none"/>
              </w:rPr>
            </w:pPr>
            <w:bookmarkStart w:id="21" w:name="_Toc88748247"/>
            <w:r>
              <w:rPr>
                <w:rFonts w:hint="eastAsia" w:ascii="仿宋" w:hAnsi="仿宋" w:eastAsia="仿宋" w:cs="Times New Roman"/>
                <w:b/>
                <w:bCs/>
                <w:szCs w:val="24"/>
                <w:highlight w:val="none"/>
              </w:rPr>
              <w:t>序号</w:t>
            </w:r>
          </w:p>
        </w:tc>
        <w:tc>
          <w:tcPr>
            <w:tcW w:w="2050" w:type="pct"/>
            <w:vAlign w:val="center"/>
          </w:tcPr>
          <w:p>
            <w:pPr>
              <w:ind w:firstLine="0" w:firstLineChars="0"/>
              <w:jc w:val="center"/>
              <w:rPr>
                <w:rFonts w:ascii="仿宋" w:hAnsi="仿宋" w:eastAsia="仿宋" w:cs="Times New Roman"/>
                <w:b/>
                <w:bCs/>
                <w:szCs w:val="24"/>
                <w:highlight w:val="none"/>
              </w:rPr>
            </w:pPr>
            <w:r>
              <w:rPr>
                <w:rFonts w:ascii="仿宋" w:hAnsi="仿宋" w:eastAsia="仿宋" w:cs="Times New Roman"/>
                <w:b/>
                <w:bCs/>
                <w:szCs w:val="24"/>
                <w:highlight w:val="none"/>
              </w:rPr>
              <w:t>服务内容（</w:t>
            </w:r>
            <w:r>
              <w:rPr>
                <w:rFonts w:hint="eastAsia" w:ascii="仿宋" w:hAnsi="仿宋" w:eastAsia="仿宋" w:cs="Times New Roman"/>
                <w:b/>
                <w:bCs/>
                <w:szCs w:val="24"/>
                <w:highlight w:val="none"/>
              </w:rPr>
              <w:t>采购</w:t>
            </w:r>
            <w:r>
              <w:rPr>
                <w:rFonts w:ascii="仿宋" w:hAnsi="仿宋" w:eastAsia="仿宋" w:cs="Times New Roman"/>
                <w:b/>
                <w:bCs/>
                <w:szCs w:val="24"/>
                <w:highlight w:val="none"/>
              </w:rPr>
              <w:t>标的）</w:t>
            </w:r>
          </w:p>
        </w:tc>
        <w:tc>
          <w:tcPr>
            <w:tcW w:w="1062" w:type="pct"/>
            <w:vAlign w:val="center"/>
          </w:tcPr>
          <w:p>
            <w:pPr>
              <w:ind w:firstLine="0" w:firstLineChars="0"/>
              <w:jc w:val="center"/>
              <w:rPr>
                <w:rFonts w:ascii="仿宋" w:hAnsi="仿宋" w:eastAsia="仿宋" w:cs="Times New Roman"/>
                <w:b/>
                <w:bCs/>
                <w:szCs w:val="24"/>
                <w:highlight w:val="none"/>
              </w:rPr>
            </w:pPr>
            <w:r>
              <w:rPr>
                <w:rFonts w:hint="eastAsia" w:ascii="仿宋" w:hAnsi="仿宋" w:eastAsia="仿宋" w:cs="Times New Roman"/>
                <w:b/>
                <w:bCs/>
                <w:szCs w:val="24"/>
                <w:highlight w:val="none"/>
              </w:rPr>
              <w:t>数量</w:t>
            </w:r>
          </w:p>
        </w:tc>
        <w:tc>
          <w:tcPr>
            <w:tcW w:w="1250" w:type="pct"/>
            <w:vAlign w:val="center"/>
          </w:tcPr>
          <w:p>
            <w:pPr>
              <w:ind w:firstLine="0" w:firstLineChars="0"/>
              <w:jc w:val="center"/>
              <w:rPr>
                <w:rFonts w:ascii="仿宋" w:hAnsi="仿宋" w:eastAsia="仿宋" w:cs="Times New Roman"/>
                <w:b/>
                <w:bCs/>
                <w:szCs w:val="24"/>
                <w:highlight w:val="none"/>
              </w:rPr>
            </w:pPr>
            <w:r>
              <w:rPr>
                <w:rFonts w:hint="eastAsia" w:ascii="仿宋" w:hAnsi="仿宋" w:eastAsia="仿宋" w:cs="Times New Roman"/>
                <w:b/>
                <w:bCs/>
                <w:szCs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tcPr>
          <w:p>
            <w:pPr>
              <w:ind w:firstLine="0" w:firstLineChars="0"/>
              <w:jc w:val="center"/>
              <w:rPr>
                <w:rFonts w:ascii="仿宋" w:hAnsi="仿宋" w:eastAsia="仿宋" w:cs="Times New Roman"/>
                <w:b/>
                <w:bCs/>
                <w:szCs w:val="24"/>
                <w:highlight w:val="none"/>
              </w:rPr>
            </w:pPr>
            <w:r>
              <w:rPr>
                <w:rFonts w:hint="eastAsia" w:ascii="仿宋" w:hAnsi="仿宋" w:eastAsia="仿宋" w:cs="Times New Roman"/>
                <w:b/>
                <w:bCs/>
                <w:szCs w:val="24"/>
                <w:highlight w:val="none"/>
              </w:rPr>
              <w:t>1</w:t>
            </w:r>
          </w:p>
        </w:tc>
        <w:tc>
          <w:tcPr>
            <w:tcW w:w="2050" w:type="pct"/>
          </w:tcPr>
          <w:p>
            <w:pPr>
              <w:ind w:firstLine="0" w:firstLineChars="0"/>
              <w:rPr>
                <w:rFonts w:ascii="仿宋" w:hAnsi="仿宋" w:eastAsia="仿宋" w:cs="Times New Roman"/>
                <w:b/>
                <w:bCs/>
                <w:szCs w:val="24"/>
                <w:highlight w:val="none"/>
              </w:rPr>
            </w:pPr>
            <w:r>
              <w:rPr>
                <w:rFonts w:hint="eastAsia" w:ascii="仿宋" w:hAnsi="仿宋" w:eastAsia="仿宋" w:cs="Times New Roman"/>
                <w:b/>
                <w:bCs/>
                <w:szCs w:val="24"/>
                <w:highlight w:val="none"/>
              </w:rPr>
              <w:t>在线设备升级及维护服务</w:t>
            </w:r>
          </w:p>
        </w:tc>
        <w:tc>
          <w:tcPr>
            <w:tcW w:w="1062" w:type="pct"/>
          </w:tcPr>
          <w:p>
            <w:pPr>
              <w:ind w:firstLine="0" w:firstLineChars="0"/>
              <w:jc w:val="center"/>
              <w:rPr>
                <w:rFonts w:hint="default" w:ascii="仿宋" w:hAnsi="仿宋" w:eastAsia="仿宋" w:cs="Times New Roman"/>
                <w:b/>
                <w:bCs/>
                <w:szCs w:val="24"/>
                <w:highlight w:val="none"/>
                <w:lang w:val="en-US" w:eastAsia="zh-CN"/>
              </w:rPr>
            </w:pPr>
            <w:r>
              <w:rPr>
                <w:rFonts w:hint="eastAsia" w:ascii="仿宋" w:hAnsi="仿宋" w:eastAsia="仿宋" w:cs="Times New Roman"/>
                <w:b/>
                <w:bCs/>
                <w:szCs w:val="24"/>
                <w:highlight w:val="none"/>
                <w:lang w:val="en-US" w:eastAsia="zh-CN"/>
              </w:rPr>
              <w:t>1项</w:t>
            </w:r>
          </w:p>
        </w:tc>
        <w:tc>
          <w:tcPr>
            <w:tcW w:w="1250" w:type="pct"/>
          </w:tcPr>
          <w:p>
            <w:pPr>
              <w:ind w:firstLine="0" w:firstLineChars="0"/>
              <w:rPr>
                <w:rFonts w:hint="default" w:ascii="仿宋" w:hAnsi="仿宋" w:eastAsia="仿宋" w:cs="Times New Roman"/>
                <w:b/>
                <w:bCs/>
                <w:szCs w:val="24"/>
                <w:highlight w:val="none"/>
                <w:lang w:val="en-US" w:eastAsia="zh-CN"/>
              </w:rPr>
            </w:pPr>
            <w:r>
              <w:rPr>
                <w:rFonts w:hint="eastAsia" w:cs="Times New Roman"/>
                <w:b/>
                <w:bCs/>
                <w:szCs w:val="24"/>
                <w:highlight w:val="none"/>
                <w:lang w:val="en-US" w:eastAsia="zh-CN"/>
              </w:rPr>
              <w:t>其他未列明行业</w:t>
            </w:r>
          </w:p>
        </w:tc>
      </w:tr>
    </w:tbl>
    <w:p>
      <w:pPr>
        <w:widowControl w:val="0"/>
        <w:numPr>
          <w:ilvl w:val="0"/>
          <w:numId w:val="0"/>
        </w:numPr>
        <w:spacing w:line="360" w:lineRule="auto"/>
        <w:ind w:leftChars="0" w:firstLine="200" w:firstLineChars="0"/>
        <w:jc w:val="left"/>
        <w:outlineLvl w:val="1"/>
        <w:rPr>
          <w:rFonts w:ascii="黑体" w:hAnsi="黑体" w:eastAsia="黑体" w:cs="Times New Roman"/>
          <w:bCs/>
          <w:kern w:val="2"/>
          <w:sz w:val="28"/>
          <w:szCs w:val="32"/>
          <w:lang w:val="en-US" w:eastAsia="zh-CN" w:bidi="ar-SA"/>
        </w:rPr>
      </w:pPr>
    </w:p>
    <w:p>
      <w:pPr>
        <w:widowControl w:val="0"/>
        <w:numPr>
          <w:ilvl w:val="0"/>
          <w:numId w:val="3"/>
        </w:numPr>
        <w:spacing w:line="360" w:lineRule="auto"/>
        <w:ind w:left="0" w:firstLine="0" w:firstLineChars="0"/>
        <w:jc w:val="left"/>
        <w:outlineLvl w:val="1"/>
        <w:rPr>
          <w:rFonts w:ascii="黑体" w:hAnsi="黑体" w:eastAsia="黑体" w:cs="Times New Roman"/>
          <w:bCs/>
          <w:kern w:val="2"/>
          <w:sz w:val="28"/>
          <w:szCs w:val="32"/>
          <w:lang w:val="en-US" w:eastAsia="zh-CN" w:bidi="ar-SA"/>
        </w:rPr>
      </w:pPr>
      <w:r>
        <w:rPr>
          <w:rFonts w:hint="eastAsia" w:ascii="黑体" w:hAnsi="黑体" w:eastAsia="黑体" w:cs="Times New Roman"/>
          <w:bCs/>
          <w:kern w:val="2"/>
          <w:sz w:val="28"/>
          <w:szCs w:val="32"/>
          <w:lang w:val="en-US" w:eastAsia="zh-CN" w:bidi="ar-SA"/>
        </w:rPr>
        <w:t>服务要求</w:t>
      </w:r>
      <w:bookmarkEnd w:id="21"/>
    </w:p>
    <w:p>
      <w:pPr>
        <w:ind w:firstLine="480"/>
        <w:rPr>
          <w:rFonts w:hint="default" w:eastAsia="仿宋" w:cs="Times New Roman"/>
          <w:b/>
          <w:bCs/>
          <w:lang w:val="en-US" w:eastAsia="zh-CN"/>
        </w:rPr>
      </w:pPr>
      <w:r>
        <w:rPr>
          <w:rFonts w:hint="eastAsia" w:cs="Times New Roman"/>
          <w:b/>
          <w:bCs/>
          <w:lang w:eastAsia="zh-CN"/>
        </w:rPr>
        <w:t>（</w:t>
      </w:r>
      <w:r>
        <w:rPr>
          <w:rFonts w:hint="eastAsia" w:cs="Times New Roman"/>
          <w:b/>
          <w:bCs/>
          <w:lang w:val="en-US" w:eastAsia="zh-CN"/>
        </w:rPr>
        <w:t>1</w:t>
      </w:r>
      <w:r>
        <w:rPr>
          <w:rFonts w:hint="eastAsia" w:cs="Times New Roman"/>
          <w:b/>
          <w:bCs/>
          <w:lang w:eastAsia="zh-CN"/>
        </w:rPr>
        <w:t>）</w:t>
      </w:r>
      <w:r>
        <w:rPr>
          <w:rFonts w:hint="eastAsia" w:cs="Times New Roman"/>
          <w:b/>
          <w:bCs/>
          <w:lang w:val="en-US" w:eastAsia="zh-CN"/>
        </w:rPr>
        <w:t>基本服务要求</w:t>
      </w:r>
    </w:p>
    <w:p>
      <w:pPr>
        <w:ind w:firstLine="480"/>
        <w:rPr>
          <w:rFonts w:hint="eastAsia" w:cs="Times New Roman"/>
        </w:rPr>
      </w:pPr>
      <w:r>
        <w:rPr>
          <w:rFonts w:hint="eastAsia" w:cs="Times New Roman"/>
        </w:rPr>
        <w:t xml:space="preserve">1.定期维护巡检：日常巡检应至少每月进行一次，包括检查项目、被检项目运行状态等内容，每次巡检结果应有记录并归档。日常巡检规程应包含该系统运行状况、工作状况、系统辅助设备运行状况、各主要部件的运行状况、各分析仪的校准工作等必检项目和记录，以及仪器使用说明书中规定的其他检查项目和记录。每次巡检必须填定设备巡检记录。 </w:t>
      </w:r>
    </w:p>
    <w:p>
      <w:pPr>
        <w:ind w:firstLine="480"/>
        <w:rPr>
          <w:rFonts w:hint="eastAsia" w:cs="Times New Roman"/>
        </w:rPr>
      </w:pPr>
      <w:r>
        <w:rPr>
          <w:rFonts w:hint="eastAsia" w:cs="Times New Roman"/>
        </w:rPr>
        <w:t>2.维护保养：及时对水质在线监测站耗材进行更换。每周对设备进行一次维护保养应检查耗材的污染损耗情况，各易损件的使用情况，管路通畅情况等，必要时进行清洗更换。每次保养情况应有记录并归档。每次进行备件或材料更换时应对更换的备件或材料的品名、规格、数量等进行记录并归档。如更换标准物质还需记录新标准物质的来源、有效期和浓度等信息。每次维护保养必须填写设备保养记录。</w:t>
      </w:r>
    </w:p>
    <w:p>
      <w:pPr>
        <w:ind w:firstLine="480"/>
        <w:rPr>
          <w:rFonts w:hint="eastAsia" w:cs="Times New Roman"/>
        </w:rPr>
      </w:pPr>
      <w:r>
        <w:rPr>
          <w:rFonts w:hint="eastAsia" w:cs="Times New Roman"/>
        </w:rPr>
        <w:t xml:space="preserve">3.每月对废液进行回收，并做好安全工作。 </w:t>
      </w:r>
    </w:p>
    <w:p>
      <w:pPr>
        <w:ind w:firstLine="480"/>
        <w:rPr>
          <w:rFonts w:hint="eastAsia" w:cs="Times New Roman"/>
        </w:rPr>
      </w:pPr>
      <w:r>
        <w:rPr>
          <w:rFonts w:hint="eastAsia" w:cs="Times New Roman"/>
        </w:rPr>
        <w:t>4.其他预防性维护：</w:t>
      </w:r>
    </w:p>
    <w:p>
      <w:pPr>
        <w:ind w:firstLine="480"/>
        <w:rPr>
          <w:rFonts w:hint="eastAsia" w:cs="Times New Roman"/>
        </w:rPr>
      </w:pPr>
      <w:r>
        <w:rPr>
          <w:rFonts w:hint="eastAsia" w:cs="Times New Roman"/>
        </w:rPr>
        <w:t xml:space="preserve">4.1保持机房、监测用房的清洁，保持设备的清洁。 </w:t>
      </w:r>
    </w:p>
    <w:p>
      <w:pPr>
        <w:ind w:firstLine="480"/>
        <w:rPr>
          <w:rFonts w:hint="eastAsia" w:cs="Times New Roman"/>
        </w:rPr>
      </w:pPr>
      <w:r>
        <w:rPr>
          <w:rFonts w:hint="eastAsia" w:cs="Times New Roman"/>
        </w:rPr>
        <w:t xml:space="preserve">4.2操作人员在对系统进行日常维护时，作好相关记录。 </w:t>
      </w:r>
    </w:p>
    <w:p>
      <w:pPr>
        <w:ind w:firstLine="480"/>
        <w:rPr>
          <w:rFonts w:hint="eastAsia" w:cs="Times New Roman"/>
        </w:rPr>
      </w:pPr>
      <w:r>
        <w:rPr>
          <w:rFonts w:hint="eastAsia" w:cs="Times New Roman"/>
        </w:rPr>
        <w:t>4.3此处未提及的维护内容，参照相关仪器说明书要求执行。</w:t>
      </w:r>
    </w:p>
    <w:p>
      <w:pPr>
        <w:ind w:firstLine="480"/>
        <w:rPr>
          <w:rFonts w:hint="default" w:cs="Times New Roman"/>
          <w:b/>
          <w:bCs/>
          <w:lang w:val="en-US" w:eastAsia="zh-CN"/>
        </w:rPr>
      </w:pPr>
      <w:r>
        <w:rPr>
          <w:rFonts w:hint="eastAsia" w:cs="Times New Roman"/>
          <w:b/>
          <w:bCs/>
          <w:lang w:eastAsia="zh-CN"/>
        </w:rPr>
        <w:t>（</w:t>
      </w:r>
      <w:r>
        <w:rPr>
          <w:rFonts w:hint="eastAsia" w:cs="Times New Roman"/>
          <w:b/>
          <w:bCs/>
          <w:lang w:val="en-US" w:eastAsia="zh-CN"/>
        </w:rPr>
        <w:t>2</w:t>
      </w:r>
      <w:r>
        <w:rPr>
          <w:rFonts w:hint="eastAsia" w:cs="Times New Roman"/>
          <w:b/>
          <w:bCs/>
          <w:lang w:eastAsia="zh-CN"/>
        </w:rPr>
        <w:t>）</w:t>
      </w:r>
      <w:r>
        <w:rPr>
          <w:rFonts w:hint="eastAsia" w:cs="Times New Roman"/>
          <w:b/>
          <w:bCs/>
          <w:lang w:val="en-US" w:eastAsia="zh-CN"/>
        </w:rPr>
        <w:t>具体要求</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696"/>
        <w:gridCol w:w="1520"/>
        <w:gridCol w:w="1176"/>
        <w:gridCol w:w="696"/>
        <w:gridCol w:w="696"/>
        <w:gridCol w:w="3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6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序号</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产品名称</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产品型号</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单位</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数量</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4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1</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COD运维服务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vMerge w:val="restart"/>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1、现场巡查、水泵滤网清洗、标液及试剂更换、易损件更换等。</w:t>
            </w:r>
            <w:r>
              <w:rPr>
                <w:rFonts w:hint="eastAsia" w:ascii="仿宋" w:hAnsi="仿宋" w:eastAsia="仿宋" w:cs="仿宋"/>
                <w:color w:val="000000"/>
                <w:sz w:val="24"/>
                <w:szCs w:val="24"/>
                <w:highlight w:val="none"/>
                <w:lang w:val="en-US" w:eastAsia="zh-CN" w:bidi="ar-SA"/>
              </w:rPr>
              <w:br w:type="textWrapping"/>
            </w:r>
            <w:r>
              <w:rPr>
                <w:rFonts w:hint="eastAsia" w:ascii="仿宋" w:hAnsi="仿宋" w:eastAsia="仿宋" w:cs="仿宋"/>
                <w:color w:val="000000"/>
                <w:sz w:val="24"/>
                <w:szCs w:val="24"/>
                <w:highlight w:val="none"/>
                <w:lang w:val="en-US" w:eastAsia="zh-CN" w:bidi="ar-SA"/>
              </w:rPr>
              <w:t>2、电路系统、通讯系统检查与维护，系统升级等。</w:t>
            </w:r>
            <w:r>
              <w:rPr>
                <w:rFonts w:hint="eastAsia" w:ascii="仿宋" w:hAnsi="仿宋" w:eastAsia="仿宋" w:cs="仿宋"/>
                <w:color w:val="000000"/>
                <w:sz w:val="24"/>
                <w:szCs w:val="24"/>
                <w:highlight w:val="none"/>
                <w:lang w:val="en-US" w:eastAsia="zh-CN" w:bidi="ar-SA"/>
              </w:rPr>
              <w:br w:type="textWrapping"/>
            </w:r>
            <w:r>
              <w:rPr>
                <w:rFonts w:hint="eastAsia" w:ascii="仿宋" w:hAnsi="仿宋" w:eastAsia="仿宋" w:cs="仿宋"/>
                <w:color w:val="000000"/>
                <w:sz w:val="24"/>
                <w:szCs w:val="24"/>
                <w:highlight w:val="none"/>
                <w:lang w:val="en-US" w:eastAsia="zh-CN" w:bidi="ar-SA"/>
              </w:rPr>
              <w:t>3、管路检修、取样瓶清洗及更换。</w:t>
            </w:r>
            <w:r>
              <w:rPr>
                <w:rFonts w:hint="eastAsia" w:ascii="仿宋" w:hAnsi="仿宋" w:eastAsia="仿宋" w:cs="仿宋"/>
                <w:color w:val="000000"/>
                <w:sz w:val="24"/>
                <w:szCs w:val="24"/>
                <w:highlight w:val="none"/>
                <w:lang w:val="en-US" w:eastAsia="zh-CN" w:bidi="ar-SA"/>
              </w:rPr>
              <w:br w:type="textWrapping"/>
            </w:r>
            <w:r>
              <w:rPr>
                <w:rFonts w:hint="eastAsia" w:ascii="仿宋" w:hAnsi="仿宋" w:eastAsia="仿宋" w:cs="仿宋"/>
                <w:color w:val="000000"/>
                <w:sz w:val="24"/>
                <w:szCs w:val="24"/>
                <w:highlight w:val="none"/>
                <w:lang w:val="en-US" w:eastAsia="zh-CN" w:bidi="ar-SA"/>
              </w:rPr>
              <w:t>4、配合第三方比对。配合环保检查。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4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氨氮运维服务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vMerge w:val="continue"/>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4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3</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总磷运维服务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vMerge w:val="continue"/>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9"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4</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总氮运维服务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1</w:t>
            </w:r>
          </w:p>
        </w:tc>
        <w:tc>
          <w:tcPr>
            <w:tcW w:w="0" w:type="auto"/>
            <w:vMerge w:val="continue"/>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5</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采样器运维服务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定期清洗管路，检查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0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6</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数采仪运维服务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1、通讯系统检查与维护；</w:t>
            </w:r>
          </w:p>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2、系统升级等；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7</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PH计运维服务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2</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定期校准、更换pH探头等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8</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浊度运维服务</w:t>
            </w:r>
          </w:p>
        </w:tc>
        <w:tc>
          <w:tcPr>
            <w:tcW w:w="0" w:type="auto"/>
            <w:tcBorders>
              <w:tl2br w:val="nil"/>
              <w:tr2bl w:val="nil"/>
            </w:tcBorders>
            <w:shd w:val="clear" w:color="auto" w:fill="FFFFFF"/>
            <w:noWrap/>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套</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1</w:t>
            </w:r>
          </w:p>
        </w:tc>
        <w:tc>
          <w:tcPr>
            <w:tcW w:w="0" w:type="auto"/>
            <w:tcBorders>
              <w:tl2br w:val="nil"/>
              <w:tr2bl w:val="nil"/>
            </w:tcBorders>
            <w:shd w:val="clear" w:color="auto" w:fill="FFFFFF"/>
            <w:vAlign w:val="center"/>
          </w:tcPr>
          <w:p>
            <w:pPr>
              <w:widowControl w:val="0"/>
              <w:autoSpaceDE w:val="0"/>
              <w:autoSpaceDN w:val="0"/>
              <w:adjustRightInd w:val="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定期校准、清洗等</w:t>
            </w:r>
          </w:p>
        </w:tc>
      </w:tr>
    </w:tbl>
    <w:p>
      <w:pPr>
        <w:widowControl w:val="0"/>
        <w:autoSpaceDE w:val="0"/>
        <w:autoSpaceDN w:val="0"/>
        <w:adjustRightInd w:val="0"/>
        <w:rPr>
          <w:rFonts w:hint="eastAsia" w:ascii="......." w:hAnsi="......." w:eastAsia="......." w:cs="......."/>
          <w:color w:val="000000"/>
          <w:sz w:val="24"/>
          <w:szCs w:val="24"/>
          <w:lang w:val="en-US" w:eastAsia="zh-CN" w:bidi="ar-SA"/>
        </w:rPr>
      </w:pPr>
    </w:p>
    <w:p>
      <w:pPr>
        <w:rPr>
          <w:rFonts w:cs="Times New Roman"/>
          <w:szCs w:val="24"/>
        </w:rPr>
      </w:pPr>
    </w:p>
    <w:p>
      <w:pPr>
        <w:widowControl w:val="0"/>
        <w:numPr>
          <w:ilvl w:val="0"/>
          <w:numId w:val="2"/>
        </w:numPr>
        <w:spacing w:line="360" w:lineRule="auto"/>
        <w:ind w:firstLine="200" w:firstLineChars="0"/>
        <w:jc w:val="left"/>
        <w:outlineLvl w:val="1"/>
        <w:rPr>
          <w:rFonts w:ascii="黑体" w:hAnsi="黑体" w:eastAsia="黑体" w:cs="Times New Roman"/>
          <w:bCs/>
          <w:kern w:val="2"/>
          <w:sz w:val="28"/>
          <w:szCs w:val="32"/>
          <w:lang w:val="en-US" w:eastAsia="zh-CN" w:bidi="ar-SA"/>
        </w:rPr>
      </w:pPr>
      <w:bookmarkStart w:id="22" w:name="_Toc88748249"/>
      <w:r>
        <w:rPr>
          <w:rFonts w:ascii="黑体" w:hAnsi="黑体" w:eastAsia="黑体" w:cs="Times New Roman"/>
          <w:bCs/>
          <w:kern w:val="2"/>
          <w:sz w:val="28"/>
          <w:szCs w:val="32"/>
          <w:lang w:val="en-US" w:eastAsia="zh-CN" w:bidi="ar-SA"/>
        </w:rPr>
        <w:t>商务要求</w:t>
      </w:r>
      <w:bookmarkEnd w:id="22"/>
      <w:r>
        <w:rPr>
          <w:rFonts w:hint="eastAsia" w:ascii="黑体" w:hAnsi="黑体" w:eastAsia="黑体" w:cs="Times New Roman"/>
          <w:bCs/>
          <w:kern w:val="2"/>
          <w:sz w:val="28"/>
          <w:szCs w:val="32"/>
          <w:lang w:val="en-US" w:eastAsia="zh-CN" w:bidi="ar-SA"/>
        </w:rPr>
        <w:t>★</w:t>
      </w:r>
    </w:p>
    <w:p>
      <w:pPr>
        <w:ind w:firstLine="482"/>
        <w:rPr>
          <w:rFonts w:cs="Times New Roman"/>
          <w:b/>
          <w:bCs/>
          <w:highlight w:val="none"/>
          <w:u w:val="single"/>
        </w:rPr>
      </w:pPr>
      <w:r>
        <w:rPr>
          <w:rFonts w:hint="eastAsia" w:cs="Times New Roman"/>
          <w:b/>
          <w:bCs/>
          <w:highlight w:val="none"/>
        </w:rPr>
        <w:t>1、</w:t>
      </w:r>
      <w:r>
        <w:rPr>
          <w:rFonts w:cs="Times New Roman"/>
          <w:b/>
          <w:bCs/>
          <w:highlight w:val="none"/>
        </w:rPr>
        <w:t>履约期限：</w:t>
      </w:r>
      <w:r>
        <w:rPr>
          <w:rFonts w:hint="eastAsia" w:cs="Times New Roman"/>
          <w:b/>
          <w:bCs/>
          <w:highlight w:val="none"/>
        </w:rPr>
        <w:t>自采购合同签订生效之日起</w:t>
      </w:r>
      <w:r>
        <w:rPr>
          <w:rFonts w:hint="eastAsia" w:cs="Times New Roman"/>
          <w:b/>
          <w:bCs/>
          <w:highlight w:val="none"/>
          <w:lang w:val="en-US" w:eastAsia="zh-CN"/>
        </w:rPr>
        <w:t>3年，合同一年一签</w:t>
      </w:r>
      <w:r>
        <w:rPr>
          <w:rFonts w:hint="eastAsia" w:cs="Times New Roman"/>
          <w:b/>
          <w:bCs/>
          <w:highlight w:val="none"/>
        </w:rPr>
        <w:t>。</w:t>
      </w:r>
    </w:p>
    <w:p>
      <w:pPr>
        <w:ind w:firstLine="482"/>
        <w:rPr>
          <w:rFonts w:cs="Times New Roman"/>
          <w:b/>
          <w:bCs/>
          <w:highlight w:val="none"/>
        </w:rPr>
      </w:pPr>
      <w:r>
        <w:rPr>
          <w:rFonts w:hint="eastAsia" w:cs="Times New Roman"/>
          <w:b/>
          <w:bCs/>
          <w:highlight w:val="none"/>
        </w:rPr>
        <w:t>2、履约</w:t>
      </w:r>
      <w:r>
        <w:rPr>
          <w:rFonts w:cs="Times New Roman"/>
          <w:b/>
          <w:bCs/>
          <w:highlight w:val="none"/>
        </w:rPr>
        <w:t>地点：</w:t>
      </w:r>
      <w:r>
        <w:rPr>
          <w:rFonts w:hint="eastAsia" w:cs="Times New Roman"/>
          <w:b/>
          <w:bCs/>
          <w:highlight w:val="none"/>
        </w:rPr>
        <w:t>采购人指定地点。</w:t>
      </w:r>
    </w:p>
    <w:p>
      <w:pPr>
        <w:ind w:firstLine="482"/>
        <w:rPr>
          <w:rFonts w:cs="Times New Roman"/>
          <w:b/>
          <w:szCs w:val="24"/>
          <w:highlight w:val="none"/>
        </w:rPr>
      </w:pPr>
      <w:r>
        <w:rPr>
          <w:rFonts w:hint="eastAsia" w:cs="Times New Roman"/>
          <w:b/>
          <w:szCs w:val="24"/>
          <w:highlight w:val="none"/>
        </w:rPr>
        <w:t>3、</w:t>
      </w:r>
      <w:r>
        <w:rPr>
          <w:rFonts w:cs="Times New Roman"/>
          <w:b/>
          <w:szCs w:val="24"/>
          <w:highlight w:val="none"/>
        </w:rPr>
        <w:t>付款方式：</w:t>
      </w:r>
      <w:r>
        <w:rPr>
          <w:rFonts w:hint="eastAsia" w:cs="Times New Roman"/>
          <w:b/>
          <w:szCs w:val="24"/>
          <w:highlight w:val="none"/>
        </w:rPr>
        <w:t>签订合同后按照季度支付费用，供应商在收款前应提供等额的发票。</w:t>
      </w:r>
    </w:p>
    <w:p>
      <w:pPr>
        <w:ind w:firstLine="482"/>
        <w:rPr>
          <w:rFonts w:cs="Times New Roman"/>
          <w:b/>
          <w:bCs/>
          <w:highlight w:val="none"/>
        </w:rPr>
      </w:pPr>
      <w:r>
        <w:rPr>
          <w:rFonts w:cs="Times New Roman"/>
          <w:b/>
          <w:bCs/>
          <w:highlight w:val="none"/>
        </w:rPr>
        <w:t>4</w:t>
      </w:r>
      <w:r>
        <w:rPr>
          <w:rFonts w:hint="eastAsia" w:cs="Times New Roman"/>
          <w:b/>
          <w:bCs/>
          <w:highlight w:val="none"/>
        </w:rPr>
        <w:t>、</w:t>
      </w:r>
      <w:r>
        <w:rPr>
          <w:rFonts w:cs="Times New Roman"/>
          <w:b/>
          <w:bCs/>
          <w:highlight w:val="none"/>
        </w:rPr>
        <w:t>履约验收：</w:t>
      </w:r>
      <w:r>
        <w:rPr>
          <w:rFonts w:hint="eastAsia" w:cs="Times New Roman"/>
          <w:b/>
          <w:bCs/>
          <w:highlight w:val="none"/>
          <w:lang w:val="en-US" w:eastAsia="zh-CN"/>
        </w:rPr>
        <w:t>参照</w:t>
      </w:r>
      <w:r>
        <w:rPr>
          <w:rFonts w:cs="Times New Roman"/>
          <w:b/>
          <w:bCs/>
          <w:highlight w:val="none"/>
        </w:rPr>
        <w:t>《财政部关于进一步加强政府采购需求和履约验收</w:t>
      </w:r>
      <w:bookmarkStart w:id="23" w:name="_GoBack"/>
      <w:bookmarkEnd w:id="23"/>
      <w:r>
        <w:rPr>
          <w:rFonts w:hint="eastAsia" w:cs="Times New Roman"/>
          <w:b/>
          <w:bCs/>
          <w:highlight w:val="none"/>
        </w:rPr>
        <w:t>管理的指导意见》（财库〔</w:t>
      </w:r>
      <w:r>
        <w:rPr>
          <w:rFonts w:cs="Times New Roman"/>
          <w:b/>
          <w:bCs/>
          <w:highlight w:val="none"/>
        </w:rPr>
        <w:t>2016〕205 号）</w:t>
      </w:r>
      <w:r>
        <w:rPr>
          <w:rFonts w:hint="eastAsia" w:cs="Times New Roman"/>
          <w:b/>
          <w:bCs/>
          <w:highlight w:val="none"/>
        </w:rPr>
        <w:t>的规定，结合本项目</w:t>
      </w:r>
      <w:r>
        <w:rPr>
          <w:rFonts w:cs="Times New Roman"/>
          <w:b/>
          <w:bCs/>
          <w:highlight w:val="none"/>
        </w:rPr>
        <w:t>磋商文件、响应文件及</w:t>
      </w:r>
      <w:r>
        <w:rPr>
          <w:rFonts w:hint="eastAsia" w:cs="Times New Roman"/>
          <w:b/>
          <w:bCs/>
          <w:highlight w:val="none"/>
        </w:rPr>
        <w:t>采购</w:t>
      </w:r>
      <w:r>
        <w:rPr>
          <w:rFonts w:cs="Times New Roman"/>
          <w:b/>
          <w:bCs/>
          <w:highlight w:val="none"/>
        </w:rPr>
        <w:t>合同</w:t>
      </w:r>
      <w:r>
        <w:rPr>
          <w:rFonts w:hint="eastAsia" w:cs="Times New Roman"/>
          <w:b/>
          <w:bCs/>
          <w:highlight w:val="none"/>
        </w:rPr>
        <w:t>的要求</w:t>
      </w:r>
      <w:r>
        <w:rPr>
          <w:rFonts w:cs="Times New Roman"/>
          <w:b/>
          <w:bCs/>
          <w:highlight w:val="none"/>
        </w:rPr>
        <w:t>进行验收。采购人组织验收人员组成验收小组，成交供应商予以配合，所有</w:t>
      </w:r>
      <w:r>
        <w:rPr>
          <w:rFonts w:hint="eastAsia" w:cs="Times New Roman"/>
          <w:b/>
          <w:bCs/>
          <w:highlight w:val="none"/>
        </w:rPr>
        <w:t>技术（服务）要求</w:t>
      </w:r>
      <w:r>
        <w:rPr>
          <w:rFonts w:cs="Times New Roman"/>
          <w:b/>
          <w:bCs/>
          <w:highlight w:val="none"/>
        </w:rPr>
        <w:t>应</w:t>
      </w:r>
      <w:r>
        <w:rPr>
          <w:rFonts w:hint="eastAsia" w:cs="Times New Roman"/>
          <w:b/>
          <w:bCs/>
          <w:highlight w:val="none"/>
        </w:rPr>
        <w:t>满足本项目磋商文件、响应文件及采购合同的要求。</w:t>
      </w:r>
    </w:p>
    <w:p>
      <w:pPr>
        <w:ind w:firstLine="482"/>
        <w:rPr>
          <w:rFonts w:cs="Times New Roman"/>
          <w:b/>
          <w:bCs/>
        </w:rPr>
      </w:pPr>
    </w:p>
    <w:p>
      <w:pPr>
        <w:ind w:firstLine="482"/>
        <w:rPr>
          <w:rFonts w:cs="Times New Roman"/>
          <w:b/>
          <w:bCs/>
        </w:rPr>
      </w:pPr>
    </w:p>
    <w:p>
      <w:pPr>
        <w:ind w:right="240" w:firstLine="439" w:firstLineChars="182"/>
        <w:rPr>
          <w:rFonts w:cs="Times New Roman"/>
          <w:b/>
        </w:rPr>
      </w:pPr>
      <w:r>
        <w:rPr>
          <w:rFonts w:hint="eastAsia" w:cs="Times New Roman"/>
          <w:b/>
        </w:rPr>
        <w:t>注：</w:t>
      </w:r>
      <w:r>
        <w:rPr>
          <w:rFonts w:cs="Times New Roman"/>
          <w:b/>
        </w:rPr>
        <w:t>1.本章</w:t>
      </w:r>
      <w:r>
        <w:rPr>
          <w:rFonts w:hint="eastAsia" w:cs="Times New Roman"/>
          <w:b/>
          <w:lang w:eastAsia="zh-CN"/>
        </w:rPr>
        <w:t>★</w:t>
      </w:r>
      <w:r>
        <w:rPr>
          <w:rFonts w:cs="Times New Roman"/>
          <w:b/>
        </w:rPr>
        <w:t>号项内容为实质性要求，明确要求提供证明材料的，应当提供证明材料，未明确要求提供证明材料的，以响应或应答为准。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D5A5D"/>
    <w:multiLevelType w:val="multilevel"/>
    <w:tmpl w:val="55DD5A5D"/>
    <w:lvl w:ilvl="0" w:tentative="0">
      <w:start w:val="1"/>
      <w:numFmt w:val="chineseCountingThousand"/>
      <w:pStyle w:val="4"/>
      <w:suff w:val="space"/>
      <w:lvlText w:val="第%1章"/>
      <w:lvlJc w:val="left"/>
      <w:pPr>
        <w:ind w:left="0" w:firstLine="0"/>
      </w:pPr>
      <w:rPr>
        <w:rFonts w:hint="eastAsia"/>
      </w:rPr>
    </w:lvl>
    <w:lvl w:ilvl="1" w:tentative="0">
      <w:start w:val="1"/>
      <w:numFmt w:val="decimal"/>
      <w:suff w:val="nothing"/>
      <w:lvlText w:val="%2."/>
      <w:lvlJc w:val="left"/>
      <w:pPr>
        <w:ind w:left="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Restart w:val="1"/>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isLgl/>
      <w:suff w:val="space"/>
      <w:lvlText w:val="%3.%4.%5"/>
      <w:lvlJc w:val="left"/>
      <w:pPr>
        <w:ind w:left="0" w:firstLine="0"/>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78DB3430"/>
    <w:multiLevelType w:val="multilevel"/>
    <w:tmpl w:val="78DB3430"/>
    <w:lvl w:ilvl="0" w:tentative="0">
      <w:start w:val="1"/>
      <w:numFmt w:val="chineseCountingThousand"/>
      <w:pStyle w:val="5"/>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zE3NzBkOWNmYWRkMDJiYzY1ODI4M2FkYWRhZmUifQ=="/>
  </w:docVars>
  <w:rsids>
    <w:rsidRoot w:val="00000000"/>
    <w:rsid w:val="01C827AD"/>
    <w:rsid w:val="4AFF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 w:hAnsi="仿宋" w:eastAsia="仿宋" w:cstheme="minorBidi"/>
      <w:kern w:val="2"/>
      <w:sz w:val="24"/>
      <w:szCs w:val="21"/>
      <w:lang w:val="en-US" w:eastAsia="zh-CN" w:bidi="ar-SA"/>
    </w:rPr>
  </w:style>
  <w:style w:type="paragraph" w:styleId="4">
    <w:name w:val="heading 1"/>
    <w:basedOn w:val="1"/>
    <w:next w:val="1"/>
    <w:qFormat/>
    <w:uiPriority w:val="0"/>
    <w:pPr>
      <w:numPr>
        <w:ilvl w:val="0"/>
        <w:numId w:val="1"/>
      </w:numPr>
      <w:spacing w:line="240" w:lineRule="auto"/>
      <w:ind w:firstLineChars="0"/>
      <w:jc w:val="center"/>
      <w:outlineLvl w:val="0"/>
    </w:pPr>
    <w:rPr>
      <w:rFonts w:eastAsia="黑体"/>
      <w:b/>
      <w:kern w:val="44"/>
      <w:sz w:val="32"/>
      <w:szCs w:val="48"/>
    </w:rPr>
  </w:style>
  <w:style w:type="paragraph" w:styleId="5">
    <w:name w:val="heading 2"/>
    <w:basedOn w:val="1"/>
    <w:next w:val="1"/>
    <w:qFormat/>
    <w:uiPriority w:val="99"/>
    <w:pPr>
      <w:numPr>
        <w:ilvl w:val="0"/>
        <w:numId w:val="2"/>
      </w:numPr>
      <w:ind w:firstLineChars="0"/>
      <w:jc w:val="left"/>
      <w:outlineLvl w:val="1"/>
    </w:pPr>
    <w:rPr>
      <w:rFonts w:ascii="黑体" w:hAnsi="黑体" w:eastAsia="黑体" w:cstheme="majorBidi"/>
      <w:bCs/>
      <w:sz w:val="28"/>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
    <w:name w:val="toc 21"/>
    <w:next w:val="1"/>
    <w:qFormat/>
    <w:uiPriority w:val="0"/>
    <w:pPr>
      <w:wordWrap w:val="0"/>
      <w:ind w:left="425"/>
      <w:jc w:val="both"/>
    </w:pPr>
    <w:rPr>
      <w:rFonts w:ascii="Times New Roman" w:hAnsi="Times New Roman" w:eastAsia="宋体" w:cs="Times New Roman"/>
      <w:sz w:val="21"/>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不缩进）"/>
    <w:basedOn w:val="1"/>
    <w:qFormat/>
    <w:uiPriority w:val="0"/>
    <w:pPr>
      <w:ind w:firstLine="0" w:firstLineChars="0"/>
      <w:jc w:val="left"/>
    </w:pPr>
  </w:style>
  <w:style w:type="paragraph" w:customStyle="1" w:styleId="10">
    <w:name w:val="正文首行缩进两字符"/>
    <w:basedOn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1467</Words>
  <Characters>1604</Characters>
  <Lines>0</Lines>
  <Paragraphs>0</Paragraphs>
  <TotalTime>0</TotalTime>
  <ScaleCrop>false</ScaleCrop>
  <LinksUpToDate>false</LinksUpToDate>
  <CharactersWithSpaces>1612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2022-11-08T07:51:00Z</dcterms:created>
  <dc:creator>Administrator</dc:creator>
  <cp:lastModifiedBy>brzb</cp:lastModifiedBy>
  <dcterms:modified xsi:type="dcterms:W3CDTF">2022-11-08T08:08:18Z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9A005217820F439AA83878AFE58CA5E1</vt:lpwstr>
  </property>
</Properties>
</file>