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eastAsia" w:ascii="华文中宋" w:hAnsi="华文中宋" w:cs="华文中宋"/>
          <w:b/>
          <w:bCs/>
          <w:spacing w:val="-6"/>
          <w:sz w:val="40"/>
          <w:szCs w:val="40"/>
          <w:lang w:val="en-US" w:eastAsia="zh-CN"/>
        </w:rPr>
      </w:pPr>
      <w:r>
        <w:rPr>
          <w:rFonts w:hint="eastAsia" w:ascii="华文中宋" w:hAnsi="华文中宋" w:cs="华文中宋"/>
          <w:b/>
          <w:bCs/>
          <w:spacing w:val="-6"/>
          <w:sz w:val="40"/>
          <w:szCs w:val="40"/>
          <w:lang w:val="en-US" w:eastAsia="zh-CN"/>
        </w:rPr>
        <w:t>黄山市疾控中心2022年职业病危害因素监测仪器设备采购项目—采购需求</w:t>
      </w:r>
      <w:bookmarkStart w:id="13" w:name="_GoBack"/>
      <w:bookmarkEnd w:id="13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Calibri" w:hAnsi="Calibri"/>
          <w:kern w:val="2"/>
          <w:sz w:val="32"/>
          <w:szCs w:val="4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Calibri" w:hAnsi="Calibri"/>
          <w:kern w:val="2"/>
          <w:sz w:val="32"/>
          <w:szCs w:val="40"/>
        </w:rPr>
      </w:pPr>
      <w:r>
        <w:rPr>
          <w:rFonts w:hint="eastAsia" w:ascii="Calibri" w:hAnsi="Calibri"/>
          <w:kern w:val="2"/>
          <w:sz w:val="32"/>
          <w:szCs w:val="40"/>
        </w:rPr>
        <w:t>一、采购货物数量及技术参数要求</w:t>
      </w:r>
    </w:p>
    <w:p>
      <w:pPr>
        <w:pStyle w:val="15"/>
        <w:ind w:firstLine="0" w:firstLineChars="0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</w:rPr>
      </w:pPr>
      <w:bookmarkStart w:id="0" w:name="_Toc61533565"/>
      <w:bookmarkStart w:id="1" w:name="_Toc315867618"/>
      <w:bookmarkStart w:id="2" w:name="_Toc14137"/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个人噪声剂量计（10台）</w:t>
      </w:r>
    </w:p>
    <w:bookmarkEnd w:id="0"/>
    <w:bookmarkEnd w:id="1"/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 传声器前置放大器组合：</w:t>
      </w:r>
      <w:bookmarkStart w:id="3" w:name="_Hlk13646632"/>
      <w:r>
        <w:rPr>
          <w:rFonts w:hint="eastAsia" w:ascii="宋体" w:hAnsi="宋体" w:eastAsia="宋体" w:cs="宋体"/>
          <w:kern w:val="0"/>
          <w:sz w:val="24"/>
          <w:szCs w:val="24"/>
        </w:rPr>
        <w:t>预极化1/2〞自由场型测试电容传声器，整机标称灵敏度级为-51.0 dB</w:t>
      </w:r>
      <w:bookmarkEnd w:id="3"/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测量范围（1 kHz时）：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（1）声压级测量范围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：60 dBA-140 dBA；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（2）峰值C声级测量范围：70 dB-143 dB；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（3）声暴露测量范围：0.01 Pa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h到99.99 Pa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h；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（4）噪声剂量测量范围：0 %到9999 % 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 频率范围：20 Hz～12.5 kHz。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 频率计权：A、C、Z。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 时间计权：F、S、I、Peak。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符合标准：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（1）Q/AQV 0017—2020；（2）GB/T 15952—2010 / IEC 61252:2017。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测量指标：</w:t>
      </w:r>
      <w:r>
        <w:rPr>
          <w:rFonts w:hint="eastAsia" w:ascii="宋体" w:hAnsi="宋体" w:eastAsia="宋体" w:cs="宋体"/>
          <w:kern w:val="0"/>
          <w:sz w:val="24"/>
          <w:szCs w:val="24"/>
        </w:rPr>
        <w:t>L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</w:rPr>
        <w:t>p</w:t>
      </w:r>
      <w:r>
        <w:rPr>
          <w:rFonts w:hint="eastAsia" w:ascii="宋体" w:hAnsi="宋体" w:eastAsia="宋体" w:cs="宋体"/>
          <w:kern w:val="0"/>
          <w:sz w:val="24"/>
          <w:szCs w:val="24"/>
        </w:rPr>
        <w:t>、L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</w:rPr>
        <w:t>eq,T</w:t>
      </w:r>
      <w:r>
        <w:rPr>
          <w:rFonts w:hint="eastAsia" w:ascii="宋体" w:hAnsi="宋体" w:eastAsia="宋体" w:cs="宋体"/>
          <w:kern w:val="0"/>
          <w:sz w:val="24"/>
          <w:szCs w:val="24"/>
        </w:rPr>
        <w:t>、L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</w:rPr>
        <w:t>max</w:t>
      </w:r>
      <w:r>
        <w:rPr>
          <w:rFonts w:hint="eastAsia" w:ascii="宋体" w:hAnsi="宋体" w:eastAsia="宋体" w:cs="宋体"/>
          <w:kern w:val="0"/>
          <w:sz w:val="24"/>
          <w:szCs w:val="24"/>
        </w:rPr>
        <w:t>、L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</w:rPr>
        <w:t>min</w:t>
      </w:r>
      <w:r>
        <w:rPr>
          <w:rFonts w:hint="eastAsia" w:ascii="宋体" w:hAnsi="宋体" w:eastAsia="宋体" w:cs="宋体"/>
          <w:kern w:val="0"/>
          <w:sz w:val="24"/>
          <w:szCs w:val="24"/>
        </w:rPr>
        <w:t>、SEL、E、L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</w:rPr>
        <w:t>ex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subscript"/>
        </w:rPr>
        <w:t>,8h</w:t>
      </w:r>
      <w:r>
        <w:rPr>
          <w:rFonts w:hint="eastAsia" w:ascii="宋体" w:hAnsi="宋体" w:eastAsia="宋体" w:cs="宋体"/>
          <w:kern w:val="0"/>
          <w:sz w:val="24"/>
          <w:szCs w:val="24"/>
        </w:rPr>
        <w:t>、DOSE、L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</w:rPr>
        <w:t>Cpeak</w:t>
      </w:r>
      <w:r>
        <w:rPr>
          <w:rFonts w:hint="eastAsia" w:ascii="宋体" w:hAnsi="宋体" w:eastAsia="宋体" w:cs="宋体"/>
          <w:kern w:val="0"/>
          <w:sz w:val="24"/>
          <w:szCs w:val="24"/>
        </w:rPr>
        <w:t>、N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</w:rPr>
        <w:t>Lpeak&gt;120</w:t>
      </w:r>
      <w:r>
        <w:rPr>
          <w:rFonts w:hint="eastAsia" w:ascii="宋体" w:hAnsi="宋体" w:eastAsia="宋体" w:cs="宋体"/>
          <w:kern w:val="0"/>
          <w:sz w:val="24"/>
          <w:szCs w:val="24"/>
        </w:rPr>
        <w:t>、N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</w:rPr>
        <w:t>Lpeak&gt;130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、N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</w:rPr>
        <w:t>Lpeak&gt;140</w:t>
      </w:r>
      <w:r>
        <w:rPr>
          <w:rFonts w:hint="eastAsia" w:ascii="宋体" w:hAnsi="宋体" w:eastAsia="宋体" w:cs="宋体"/>
          <w:kern w:val="0"/>
          <w:sz w:val="24"/>
          <w:szCs w:val="24"/>
        </w:rPr>
        <w:t>等；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 存贮组数：16组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4" w:name="OLE_LINK15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 安全：本质安全型</w:t>
      </w:r>
      <w:bookmarkEnd w:id="4"/>
      <w:r>
        <w:rPr>
          <w:rFonts w:hint="eastAsia" w:ascii="宋体" w:hAnsi="宋体" w:eastAsia="宋体" w:cs="宋体"/>
          <w:color w:val="000000"/>
          <w:sz w:val="24"/>
          <w:szCs w:val="24"/>
        </w:rPr>
        <w:t>Ex ia IIC T3 Ga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个体空气采样器（2台）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 ★量程范围： 300 ~ 5500mL/min；（提供CPA证书复印件加盖公章）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 ★防爆等级：不低于Ex ibⅡC T5 Gb；（提供防爆证书复印件加盖公章）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 流量误差：优于</w:t>
      </w:r>
      <w:bookmarkStart w:id="5" w:name="_Hlk81730577"/>
      <w:r>
        <w:rPr>
          <w:rFonts w:hint="eastAsia" w:ascii="宋体" w:hAnsi="宋体" w:eastAsia="宋体" w:cs="宋体"/>
          <w:kern w:val="0"/>
          <w:sz w:val="24"/>
          <w:szCs w:val="24"/>
        </w:rPr>
        <w:t>±5%</w:t>
      </w:r>
      <w:bookmarkEnd w:id="5"/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 恒压恒流：流量不受电压波动和气阻变化影响，持续恒压恒流采样；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bookmarkStart w:id="6" w:name="_Hlk88836893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5. ★流量自动校准：手动和自动校准可选。可以通过蓝牙或数据线连接流量校准器进行流量自动校准； </w:t>
      </w:r>
    </w:p>
    <w:bookmarkEnd w:id="6"/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 流量分辨率：1mL/min；  调节步长：1mL，常用流量点可快速设置；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bookmarkStart w:id="7" w:name="_Hlk81731779"/>
      <w:r>
        <w:rPr>
          <w:rFonts w:hint="eastAsia" w:ascii="宋体" w:hAnsi="宋体" w:eastAsia="宋体" w:cs="宋体"/>
          <w:kern w:val="0"/>
          <w:sz w:val="24"/>
          <w:szCs w:val="24"/>
        </w:rPr>
        <w:t>7.</w:t>
      </w:r>
      <w:bookmarkEnd w:id="7"/>
      <w:r>
        <w:rPr>
          <w:rFonts w:hint="eastAsia" w:ascii="宋体" w:hAnsi="宋体" w:eastAsia="宋体" w:cs="宋体"/>
          <w:kern w:val="0"/>
          <w:sz w:val="24"/>
          <w:szCs w:val="24"/>
        </w:rPr>
        <w:t> 电池续航：&gt;30小时（2L/25Kpa）；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8. 充电方式：座充，同时支持一种数据线或插孔式充电；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9.采样时间：1~9999min；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10. ★历史记录：≥200组，支持蓝牙打印；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11. </w:t>
      </w:r>
      <w:bookmarkStart w:id="8" w:name="_Hlk90135024"/>
      <w:r>
        <w:rPr>
          <w:rFonts w:hint="eastAsia" w:ascii="宋体" w:hAnsi="宋体" w:eastAsia="宋体" w:cs="宋体"/>
          <w:kern w:val="0"/>
          <w:sz w:val="24"/>
          <w:szCs w:val="24"/>
        </w:rPr>
        <w:t>★温度、气压显示：仪器带有温度气压显示，可以参数校准；</w:t>
      </w:r>
      <w:bookmarkEnd w:id="8"/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12. 环境温度：-20</w:t>
      </w:r>
      <w:bookmarkStart w:id="9" w:name="_Hlk81732286"/>
      <w:r>
        <w:rPr>
          <w:rFonts w:hint="eastAsia" w:ascii="宋体" w:hAnsi="宋体" w:eastAsia="宋体" w:cs="宋体"/>
          <w:kern w:val="0"/>
          <w:sz w:val="24"/>
          <w:szCs w:val="24"/>
        </w:rPr>
        <w:t>℃</w:t>
      </w:r>
      <w:bookmarkEnd w:id="9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~60℃; </w:t>
      </w:r>
      <w:bookmarkStart w:id="10" w:name="_Hlk83553201"/>
      <w:r>
        <w:rPr>
          <w:rFonts w:hint="eastAsia" w:ascii="宋体" w:hAnsi="宋体" w:eastAsia="宋体" w:cs="宋体"/>
          <w:kern w:val="0"/>
          <w:sz w:val="24"/>
          <w:szCs w:val="24"/>
        </w:rPr>
        <w:t>湿度≤98%；</w:t>
      </w:r>
      <w:bookmarkEnd w:id="10"/>
      <w:r>
        <w:rPr>
          <w:rFonts w:hint="eastAsia" w:ascii="宋体" w:hAnsi="宋体" w:eastAsia="宋体" w:cs="宋体"/>
          <w:kern w:val="0"/>
          <w:sz w:val="24"/>
          <w:szCs w:val="24"/>
        </w:rPr>
        <w:t>(提供具有CNAS资质的第三方检测报告含高低温，高湿，盐雾测试)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13. ★防护等级不低于IP64；防摔不低于1.5米（三角架高度）；（</w:t>
      </w:r>
      <w:bookmarkStart w:id="11" w:name="_Hlk86245707"/>
      <w:r>
        <w:rPr>
          <w:rFonts w:hint="eastAsia" w:ascii="宋体" w:hAnsi="宋体" w:eastAsia="宋体" w:cs="宋体"/>
          <w:kern w:val="0"/>
          <w:sz w:val="24"/>
          <w:szCs w:val="24"/>
        </w:rPr>
        <w:t>提供具有CNAS资质的第三方检测报告</w:t>
      </w:r>
      <w:bookmarkEnd w:id="11"/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14. 整机重量：＜487g；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15.</w:t>
      </w:r>
      <w:bookmarkStart w:id="12" w:name="_Hlk8175166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大屏幕液晶屏显示（自带省电模式）：能显示瞬时流量、采样时长、采样进度、设定流量、温度、气压、标况体积、电池电量等</w:t>
      </w:r>
      <w:bookmarkEnd w:id="12"/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16. 采样模式：仪器能够定时、定容、定时间间隔循环采样；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17.气嘴防摔，采用内藏式或嵌入式气嘴，防止气嘴摔断；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18.负载能力： &gt;25kPa，能有效克服微孔滤膜的采样阻力；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19.配件清单：充电座、电源适配器、三角架、安全瓶、安全瓶支架、滤匣支架（含弯管）、仪器便携包、连接软管、测尘滤膜、充电数据线、出厂检验合格证书、说明书、仪器箱。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智能控温电热板（1台）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1.加热输出功率：2600W 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★2.板上测温，加热温度范围：室温-350℃ 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3.温度控制：PID数显  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4.加热温度控制精准度：±0.1  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5.板面各点温差：±2℃  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6.加热速度：6.9秒/℃  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★7.加热板材质：碳化硅、硬度大于维氏20（耐各种酸碱及腐蚀性空气，无损坏可重复使用）边框材质：ABS 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★8.两个热区：主加热区：300*400（mm）；副热区：300*60*2+510*60*2（mm）  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9.电压：220V  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10.工作频率：50Hz。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★11.如遇故障自动断电、报警 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12.安全：多层绝缘保护 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★13.配套调压电热板一台。</w:t>
      </w:r>
    </w:p>
    <w:p>
      <w:pPr>
        <w:spacing w:line="360" w:lineRule="auto"/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/>
          <w:b/>
          <w:bCs/>
          <w:lang w:val="en-US" w:eastAsia="zh-CN"/>
        </w:rPr>
        <w:t>注</w:t>
      </w:r>
      <w:r>
        <w:rPr>
          <w:rFonts w:hint="eastAsia"/>
          <w:b/>
          <w:bCs/>
        </w:rPr>
        <w:t>:所有</w:t>
      </w:r>
      <w:r>
        <w:rPr>
          <w:b/>
          <w:bCs/>
        </w:rPr>
        <w:t>仪器设备标</w:t>
      </w:r>
      <w:r>
        <w:rPr>
          <w:rFonts w:hint="eastAsia"/>
          <w:b/>
          <w:bCs/>
        </w:rPr>
        <w:t>“★”参数为重点体现仪器性能和先进性的核心参数，必须满足，</w:t>
      </w:r>
      <w:r>
        <w:rPr>
          <w:b/>
          <w:bCs/>
        </w:rPr>
        <w:t>有任一</w:t>
      </w:r>
      <w:r>
        <w:rPr>
          <w:rFonts w:hint="eastAsia"/>
          <w:b/>
          <w:bCs/>
        </w:rPr>
        <w:t>项</w:t>
      </w:r>
      <w:r>
        <w:rPr>
          <w:b/>
          <w:bCs/>
        </w:rPr>
        <w:t>不满足视为无效投标；</w:t>
      </w:r>
      <w:r>
        <w:rPr>
          <w:rFonts w:hint="eastAsia"/>
          <w:b/>
          <w:bCs/>
        </w:rPr>
        <w:t>其余</w:t>
      </w:r>
      <w:r>
        <w:rPr>
          <w:b/>
          <w:bCs/>
        </w:rPr>
        <w:t>参数为一般性参数，所有仪器设备累计</w:t>
      </w:r>
      <w:r>
        <w:rPr>
          <w:rFonts w:hint="eastAsia"/>
          <w:b/>
          <w:bCs/>
        </w:rPr>
        <w:t>达到3项</w:t>
      </w:r>
      <w:r>
        <w:rPr>
          <w:b/>
          <w:bCs/>
        </w:rPr>
        <w:t>不满足视为</w:t>
      </w:r>
      <w:r>
        <w:rPr>
          <w:rFonts w:hint="eastAsia"/>
          <w:b/>
          <w:bCs/>
        </w:rPr>
        <w:t>无效</w:t>
      </w:r>
      <w:r>
        <w:rPr>
          <w:b/>
          <w:bCs/>
        </w:rPr>
        <w:t>投标。</w:t>
      </w:r>
    </w:p>
    <w:p>
      <w:pPr>
        <w:pStyle w:val="9"/>
        <w:jc w:val="both"/>
        <w:rPr>
          <w:rFonts w:hint="eastAsia" w:ascii="Calibri" w:hAnsi="Calibri" w:eastAsia="宋体"/>
          <w:kern w:val="2"/>
          <w:sz w:val="24"/>
          <w:lang w:val="en-US" w:eastAsia="zh-CN"/>
        </w:rPr>
      </w:pPr>
    </w:p>
    <w:p>
      <w:pPr>
        <w:rPr>
          <w:rFonts w:hint="eastAsia" w:ascii="Calibri" w:hAnsi="Calibri"/>
          <w:kern w:val="2"/>
          <w:sz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Calibri" w:hAnsi="Calibri"/>
          <w:kern w:val="2"/>
          <w:sz w:val="32"/>
          <w:szCs w:val="4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Calibri" w:hAnsi="Calibri"/>
          <w:kern w:val="2"/>
          <w:sz w:val="32"/>
          <w:szCs w:val="4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Calibri" w:hAnsi="Calibri"/>
          <w:kern w:val="2"/>
          <w:sz w:val="32"/>
          <w:szCs w:val="40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17" w:right="1417" w:bottom="1417" w:left="1417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Calibri" w:hAnsi="Calibri"/>
          <w:kern w:val="2"/>
          <w:sz w:val="32"/>
          <w:szCs w:val="40"/>
        </w:rPr>
      </w:pPr>
      <w:r>
        <w:rPr>
          <w:rFonts w:hint="eastAsia" w:ascii="Calibri" w:hAnsi="Calibri"/>
          <w:kern w:val="2"/>
          <w:sz w:val="32"/>
          <w:szCs w:val="40"/>
        </w:rPr>
        <w:t>二、商务要求</w:t>
      </w:r>
      <w:bookmarkEnd w:id="2"/>
    </w:p>
    <w:tbl>
      <w:tblPr>
        <w:tblStyle w:val="11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14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序号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内容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1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合同签订地点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黄山市疾病预防控制中心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2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供货完成时限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成交供应商在签定供需合同后,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</w:rPr>
              <w:t>日内一次性供货。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3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货物包装运输要求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除合同另有规定外，成交人提供的全部货物均应按标准保护措施进行包装，涉及木质制品及木制包装材料的（含铺垫、支撑、加固设施设备等），禁止使用和调入松木及其制品。该包装应适应远距离运输、防潮、防震、防锈和防野蛮装卸，确保货物安全无损运抵现场。由于包装不善所引起的货物锈蚀、损坏和损失均由成交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4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货物售后服务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质保期≥2年，工程师定期上门进行现场维护，终身免费维修。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仪器使用过程中出现的问题，技术工程师会在2小时响应，并在12小时内给出初步解决方案。需要现场维护的，收到用户通知后</w:t>
            </w:r>
            <w:r>
              <w:rPr>
                <w:rFonts w:hint="eastAsia" w:ascii="宋体" w:hAnsi="宋体"/>
                <w:bCs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小时内到现场进行维修。</w:t>
            </w:r>
          </w:p>
          <w:p>
            <w:pPr>
              <w:spacing w:line="360" w:lineRule="auto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在安装完毕交付使用前，厂家</w:t>
            </w:r>
            <w:r>
              <w:rPr>
                <w:rFonts w:ascii="宋体" w:hAnsi="宋体"/>
                <w:szCs w:val="21"/>
              </w:rPr>
              <w:t>提供全套技术资料，包含</w:t>
            </w:r>
            <w:r>
              <w:rPr>
                <w:rFonts w:hint="eastAsia" w:ascii="宋体" w:hAnsi="宋体"/>
                <w:szCs w:val="21"/>
              </w:rPr>
              <w:t>使用说明书、操作手册、光盘资料、软件等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5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验收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合格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6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付款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付款人：黄山市疾病预防控制中心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付款方式：供货完毕后一次性支付合同价款。 </w:t>
            </w:r>
          </w:p>
        </w:tc>
      </w:tr>
    </w:tbl>
    <w:p>
      <w:pPr>
        <w:pStyle w:val="14"/>
        <w:jc w:val="center"/>
        <w:rPr>
          <w:rStyle w:val="16"/>
          <w:rFonts w:hint="eastAsia" w:cs="宋体"/>
          <w:color w:val="auto"/>
        </w:rPr>
      </w:pPr>
    </w:p>
    <w:p>
      <w:pPr>
        <w:pStyle w:val="14"/>
        <w:jc w:val="center"/>
        <w:rPr>
          <w:rStyle w:val="16"/>
          <w:rFonts w:hint="eastAsia" w:cs="宋体"/>
          <w:color w:val="auto"/>
        </w:rPr>
      </w:pPr>
    </w:p>
    <w:p>
      <w:pPr>
        <w:pStyle w:val="14"/>
        <w:jc w:val="center"/>
        <w:rPr>
          <w:rStyle w:val="16"/>
          <w:rFonts w:hint="eastAsia" w:cs="宋体"/>
          <w:color w:val="auto"/>
        </w:rPr>
      </w:pPr>
    </w:p>
    <w:p>
      <w:pPr>
        <w:pStyle w:val="14"/>
        <w:jc w:val="center"/>
        <w:rPr>
          <w:rStyle w:val="16"/>
          <w:rFonts w:hint="eastAsia" w:cs="宋体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Nzk5MmYxMTUwNmY2MTEzMTJiMDkzMWUwYTM1MWQifQ=="/>
  </w:docVars>
  <w:rsids>
    <w:rsidRoot w:val="00000000"/>
    <w:rsid w:val="2D6C2708"/>
    <w:rsid w:val="56FE6D2B"/>
    <w:rsid w:val="6179345E"/>
    <w:rsid w:val="6CA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宋体"/>
      <w:b/>
      <w:bCs/>
      <w:szCs w:val="32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 w:val="0"/>
      <w:spacing w:before="0" w:after="0"/>
      <w:ind w:left="69" w:leftChars="33" w:right="0" w:firstLine="420" w:firstLineChars="200"/>
      <w:jc w:val="both"/>
    </w:pPr>
    <w:rPr>
      <w:rFonts w:ascii="Arial Narrow" w:hAnsi="Arial Narrow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仿宋_GB2312"/>
      <w:spacing w:val="10"/>
      <w:sz w:val="28"/>
      <w:szCs w:val="28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  <w:pPr>
      <w:ind w:left="420" w:hanging="420"/>
    </w:pPr>
    <w:rPr>
      <w:rFonts w:ascii="Arial" w:hAnsi="Arial" w:eastAsia="楷体_GB2312"/>
      <w:sz w:val="2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H1"/>
    <w:basedOn w:val="10"/>
    <w:next w:val="15"/>
    <w:qFormat/>
    <w:uiPriority w:val="0"/>
    <w:pPr>
      <w:spacing w:line="600" w:lineRule="exact"/>
      <w:jc w:val="center"/>
    </w:pPr>
    <w:rPr>
      <w:rFonts w:ascii="宋体" w:hAnsi="宋体" w:eastAsia="黑体"/>
      <w:color w:val="000000"/>
      <w:sz w:val="32"/>
      <w:szCs w:val="21"/>
    </w:rPr>
  </w:style>
  <w:style w:type="paragraph" w:customStyle="1" w:styleId="15">
    <w:name w:val="GW-正文"/>
    <w:basedOn w:val="1"/>
    <w:qFormat/>
    <w:uiPriority w:val="0"/>
    <w:pPr>
      <w:spacing w:line="360" w:lineRule="auto"/>
      <w:ind w:firstLine="200" w:firstLineChars="200"/>
      <w:contextualSpacing/>
    </w:pPr>
    <w:rPr>
      <w:szCs w:val="24"/>
    </w:rPr>
  </w:style>
  <w:style w:type="character" w:customStyle="1" w:styleId="16">
    <w:name w:val="apple-converted-space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5127</Words>
  <Characters>5794</Characters>
  <Lines>0</Lines>
  <Paragraphs>0</Paragraphs>
  <TotalTime>0</TotalTime>
  <ScaleCrop>false</ScaleCrop>
  <LinksUpToDate>false</LinksUpToDate>
  <CharactersWithSpaces>5939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2022-10-20T06:47:00Z</dcterms:created>
  <dc:creator>Administrator</dc:creator>
  <cp:lastModifiedBy>qzuser</cp:lastModifiedBy>
  <dcterms:modified xsi:type="dcterms:W3CDTF">2022-11-02T06:13:39Z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EFC8A2EFF384444C8B9747EB982A7F2E</vt:lpwstr>
  </property>
</Properties>
</file>