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color w:val="auto"/>
          <w:sz w:val="44"/>
          <w:szCs w:val="44"/>
        </w:rPr>
      </w:pPr>
      <w:r>
        <w:rPr>
          <w:rFonts w:hint="eastAsia" w:cs="宋体"/>
          <w:color w:val="auto"/>
          <w:sz w:val="44"/>
          <w:szCs w:val="44"/>
        </w:rPr>
        <w:t xml:space="preserve"> </w:t>
      </w:r>
    </w:p>
    <w:p>
      <w:pPr>
        <w:spacing w:line="360" w:lineRule="auto"/>
        <w:rPr>
          <w:rFonts w:cs="宋体"/>
          <w:color w:val="auto"/>
          <w:sz w:val="44"/>
          <w:szCs w:val="44"/>
        </w:rPr>
      </w:pPr>
    </w:p>
    <w:p>
      <w:pPr>
        <w:spacing w:line="360" w:lineRule="auto"/>
        <w:rPr>
          <w:rFonts w:cs="宋体"/>
          <w:color w:val="auto"/>
          <w:sz w:val="44"/>
          <w:szCs w:val="44"/>
        </w:rPr>
      </w:pPr>
    </w:p>
    <w:p>
      <w:pPr>
        <w:spacing w:line="360" w:lineRule="auto"/>
        <w:rPr>
          <w:rFonts w:cs="宋体"/>
          <w:color w:val="auto"/>
          <w:sz w:val="44"/>
          <w:szCs w:val="44"/>
        </w:rPr>
      </w:pPr>
      <w:r>
        <w:rPr>
          <w:rFonts w:hint="eastAsia" w:cs="宋体"/>
          <w:color w:val="auto"/>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299085</wp:posOffset>
                </wp:positionV>
                <wp:extent cx="6057900" cy="0"/>
                <wp:effectExtent l="0" t="9525" r="0" b="9525"/>
                <wp:wrapNone/>
                <wp:docPr id="2" name="直接连接符 2"/>
                <wp:cNvGraphicFramePr/>
                <a:graphic xmlns:a="http://schemas.openxmlformats.org/drawingml/2006/main">
                  <a:graphicData uri="http://schemas.microsoft.com/office/word/2010/wordprocessingShape">
                    <wps:wsp>
                      <wps:cNvCnPr/>
                      <wps:spPr>
                        <a:xfrm flipV="1">
                          <a:off x="0" y="0"/>
                          <a:ext cx="6057900" cy="0"/>
                        </a:xfrm>
                        <a:prstGeom prst="line">
                          <a:avLst/>
                        </a:prstGeom>
                        <a:ln w="19050" cap="flat" cmpd="sng">
                          <a:solidFill>
                            <a:srgbClr val="00008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23.55pt;height:0pt;width:477pt;z-index:251661312;mso-width-relative:page;mso-height-relative:page;" filled="f" stroked="t" coordsize="21600,21600" o:gfxdata="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FbiMtYAAAAGAQAADwAAAAAAAAABACAAAAAiAAAAZHJzL2Rvd25yZXYueG1sUEsBAhQA&#10;FAAAAAgAh07iQFwpwTn0AQAA4wMAAA4AAAAAAAAAAQAgAAAAJQEAAGRycy9lMm9Eb2MueG1sUEsF&#10;BgAAAAAGAAYAWQEAAIsFAAAAAA==&#10;">
                <v:fill on="f" focussize="0,0"/>
                <v:stroke weight="1.5pt" color="#000080" joinstyle="round"/>
                <v:imagedata o:title=""/>
                <o:lock v:ext="edit" aspectratio="f"/>
              </v:line>
            </w:pict>
          </mc:Fallback>
        </mc:AlternateContent>
      </w:r>
    </w:p>
    <w:p>
      <w:pPr>
        <w:jc w:val="center"/>
        <w:rPr>
          <w:rFonts w:cs="宋体"/>
          <w:b/>
          <w:color w:val="auto"/>
          <w:sz w:val="18"/>
          <w:szCs w:val="18"/>
        </w:rPr>
      </w:pPr>
    </w:p>
    <w:p>
      <w:pPr>
        <w:spacing w:line="900" w:lineRule="exact"/>
        <w:jc w:val="center"/>
        <w:rPr>
          <w:rFonts w:cs="宋体"/>
          <w:b/>
          <w:color w:val="auto"/>
          <w:sz w:val="84"/>
          <w:szCs w:val="84"/>
        </w:rPr>
      </w:pPr>
      <w:r>
        <w:rPr>
          <w:rFonts w:hint="eastAsia" w:cs="宋体"/>
          <w:b/>
          <w:color w:val="auto"/>
          <w:sz w:val="84"/>
          <w:szCs w:val="84"/>
        </w:rPr>
        <w:t>竞争性磋商文件</w:t>
      </w:r>
    </w:p>
    <w:p>
      <w:pPr>
        <w:spacing w:line="900" w:lineRule="exact"/>
        <w:jc w:val="center"/>
        <w:rPr>
          <w:rFonts w:cs="宋体"/>
          <w:b/>
          <w:color w:val="auto"/>
          <w:szCs w:val="28"/>
        </w:rPr>
      </w:pPr>
      <w:r>
        <w:rPr>
          <w:rFonts w:hint="eastAsia" w:cs="宋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224790</wp:posOffset>
                </wp:positionV>
                <wp:extent cx="60579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00008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7.7pt;height:0pt;width:477pt;z-index:251662336;mso-width-relative:page;mso-height-relative:page;" filled="f" stroked="t" coordsize="21600,21600" o:gfxdata="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IoS&#10;x9UAAAAGAQAADwAAAAAAAAABACAAAAAiAAAAZHJzL2Rvd25yZXYueG1sUEsBAhQAFAAAAAgAh07i&#10;QLLQvhXsAQAA2QMAAA4AAAAAAAAAAQAgAAAAJAEAAGRycy9lMm9Eb2MueG1sUEsFBgAAAAAGAAYA&#10;WQEAAIIFAAAAAA==&#10;">
                <v:fill on="f" focussize="0,0"/>
                <v:stroke weight="1.5pt" color="#000080" joinstyle="round"/>
                <v:imagedata o:title=""/>
                <o:lock v:ext="edit" aspectratio="f"/>
              </v:line>
            </w:pict>
          </mc:Fallback>
        </mc:AlternateContent>
      </w:r>
    </w:p>
    <w:p>
      <w:pPr>
        <w:widowControl/>
        <w:jc w:val="both"/>
        <w:rPr>
          <w:rFonts w:cs="宋体"/>
          <w:b/>
          <w:color w:val="auto"/>
          <w:szCs w:val="28"/>
        </w:rPr>
      </w:pPr>
    </w:p>
    <w:p>
      <w:pPr>
        <w:keepNext w:val="0"/>
        <w:keepLines w:val="0"/>
        <w:pageBreakBefore w:val="0"/>
        <w:kinsoku/>
        <w:wordWrap/>
        <w:overflowPunct/>
        <w:topLinePunct w:val="0"/>
        <w:autoSpaceDE/>
        <w:autoSpaceDN/>
        <w:bidi w:val="0"/>
        <w:adjustRightInd w:val="0"/>
        <w:snapToGrid w:val="0"/>
        <w:spacing w:line="480" w:lineRule="auto"/>
        <w:ind w:firstLine="960" w:firstLineChars="300"/>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项目名称：宁夏体育运动训练管理中心科学化训练监控</w:t>
      </w:r>
    </w:p>
    <w:p>
      <w:pPr>
        <w:keepNext w:val="0"/>
        <w:keepLines w:val="0"/>
        <w:pageBreakBefore w:val="0"/>
        <w:kinsoku/>
        <w:wordWrap/>
        <w:overflowPunct/>
        <w:topLinePunct w:val="0"/>
        <w:autoSpaceDE/>
        <w:autoSpaceDN/>
        <w:bidi w:val="0"/>
        <w:adjustRightInd w:val="0"/>
        <w:snapToGrid w:val="0"/>
        <w:spacing w:line="480" w:lineRule="auto"/>
        <w:ind w:firstLine="2560" w:firstLineChars="800"/>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系统采购项目</w:t>
      </w:r>
    </w:p>
    <w:p>
      <w:pPr>
        <w:keepNext w:val="0"/>
        <w:keepLines w:val="0"/>
        <w:pageBreakBefore w:val="0"/>
        <w:kinsoku/>
        <w:wordWrap/>
        <w:overflowPunct/>
        <w:topLinePunct w:val="0"/>
        <w:autoSpaceDE/>
        <w:autoSpaceDN/>
        <w:bidi w:val="0"/>
        <w:adjustRightInd w:val="0"/>
        <w:snapToGrid w:val="0"/>
        <w:spacing w:line="480" w:lineRule="auto"/>
        <w:ind w:left="2463" w:leftChars="459" w:hanging="1500" w:hangingChars="469"/>
        <w:textAlignment w:val="auto"/>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lang w:eastAsia="zh-CN"/>
        </w:rPr>
        <w:t>项目编号</w:t>
      </w:r>
      <w:r>
        <w:rPr>
          <w:rFonts w:hint="eastAsia" w:ascii="宋体" w:hAnsi="宋体" w:eastAsia="宋体" w:cs="宋体"/>
          <w:b/>
          <w:color w:val="auto"/>
          <w:sz w:val="32"/>
          <w:szCs w:val="32"/>
        </w:rPr>
        <w:t>：</w:t>
      </w:r>
      <w:r>
        <w:rPr>
          <w:rFonts w:hint="eastAsia" w:ascii="宋体" w:hAnsi="宋体" w:eastAsia="宋体" w:cs="宋体"/>
          <w:b/>
          <w:bCs/>
          <w:color w:val="auto"/>
          <w:sz w:val="32"/>
          <w:szCs w:val="32"/>
        </w:rPr>
        <w:t>ZCJY2022</w:t>
      </w:r>
      <w:r>
        <w:rPr>
          <w:rFonts w:hint="eastAsia" w:ascii="宋体" w:hAnsi="宋体" w:cs="宋体"/>
          <w:b/>
          <w:bCs/>
          <w:color w:val="auto"/>
          <w:sz w:val="32"/>
          <w:szCs w:val="32"/>
          <w:lang w:val="en-US" w:eastAsia="zh-CN"/>
        </w:rPr>
        <w:t>1003</w:t>
      </w:r>
    </w:p>
    <w:p>
      <w:pPr>
        <w:pStyle w:val="2"/>
        <w:rPr>
          <w:color w:val="auto"/>
        </w:rPr>
      </w:pPr>
    </w:p>
    <w:p>
      <w:pPr>
        <w:widowControl/>
        <w:jc w:val="center"/>
        <w:rPr>
          <w:rFonts w:cs="宋体"/>
          <w:b/>
          <w:color w:val="auto"/>
          <w:szCs w:val="28"/>
        </w:rPr>
      </w:pPr>
    </w:p>
    <w:p>
      <w:pPr>
        <w:adjustRightInd w:val="0"/>
        <w:snapToGrid w:val="0"/>
        <w:spacing w:line="480" w:lineRule="auto"/>
        <w:ind w:firstLine="1764" w:firstLineChars="840"/>
        <w:rPr>
          <w:rFonts w:cs="宋体"/>
          <w:b/>
          <w:color w:val="auto"/>
          <w:szCs w:val="28"/>
        </w:rPr>
      </w:pPr>
    </w:p>
    <w:p>
      <w:pPr>
        <w:spacing w:line="900" w:lineRule="exact"/>
        <w:rPr>
          <w:rFonts w:cs="宋体"/>
          <w:b/>
          <w:bCs/>
          <w:color w:val="auto"/>
          <w:sz w:val="32"/>
          <w:szCs w:val="32"/>
        </w:rPr>
      </w:pPr>
    </w:p>
    <w:p>
      <w:pPr>
        <w:pStyle w:val="26"/>
        <w:ind w:left="0" w:leftChars="0" w:firstLine="0" w:firstLineChars="0"/>
        <w:rPr>
          <w:rFonts w:hint="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cs="宋体"/>
          <w:b/>
          <w:bCs/>
          <w:color w:val="auto"/>
          <w:sz w:val="32"/>
          <w:szCs w:val="32"/>
        </w:rPr>
      </w:pPr>
      <w:r>
        <w:rPr>
          <w:rFonts w:hint="eastAsia" w:cs="宋体"/>
          <w:b/>
          <w:bCs/>
          <w:color w:val="auto"/>
          <w:sz w:val="32"/>
          <w:szCs w:val="32"/>
        </w:rPr>
        <w:t>采 购 人：</w:t>
      </w:r>
      <w:r>
        <w:rPr>
          <w:rFonts w:hint="eastAsia" w:ascii="宋体" w:hAnsi="宋体" w:eastAsia="宋体" w:cs="宋体"/>
          <w:b/>
          <w:color w:val="auto"/>
          <w:sz w:val="32"/>
          <w:szCs w:val="32"/>
          <w:lang w:val="en-US" w:eastAsia="zh-CN"/>
        </w:rPr>
        <w:t>宁夏回族自治区体育运动训练管理中心</w:t>
      </w: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1280" w:firstLineChars="400"/>
        <w:textAlignment w:val="auto"/>
        <w:rPr>
          <w:rFonts w:cs="宋体"/>
          <w:b/>
          <w:bCs/>
          <w:color w:val="auto"/>
          <w:sz w:val="32"/>
          <w:szCs w:val="32"/>
        </w:rPr>
      </w:pPr>
      <w:r>
        <w:rPr>
          <w:rFonts w:hint="eastAsia" w:cs="宋体"/>
          <w:b/>
          <w:bCs/>
          <w:color w:val="auto"/>
          <w:sz w:val="32"/>
          <w:szCs w:val="32"/>
        </w:rPr>
        <w:t>招标代理：宁夏众诚嘉业招标咨询服务有限公司</w:t>
      </w:r>
    </w:p>
    <w:p>
      <w:pPr>
        <w:spacing w:line="900" w:lineRule="exact"/>
        <w:ind w:firstLine="3840" w:firstLineChars="1200"/>
        <w:rPr>
          <w:rFonts w:ascii="黑体" w:hAnsi="黑体" w:eastAsia="黑体" w:cs="黑体"/>
          <w:color w:val="auto"/>
          <w:sz w:val="32"/>
          <w:szCs w:val="32"/>
        </w:rPr>
      </w:pPr>
      <w:r>
        <w:rPr>
          <w:rFonts w:hint="eastAsia" w:ascii="宋体" w:hAnsi="宋体" w:cs="宋体"/>
          <w:b/>
          <w:bCs/>
          <w:color w:val="auto"/>
          <w:sz w:val="32"/>
          <w:szCs w:val="32"/>
        </w:rPr>
        <w:t>202</w:t>
      </w:r>
      <w:r>
        <w:rPr>
          <w:rFonts w:hint="eastAsia" w:ascii="宋体" w:hAnsi="宋体" w:cs="宋体"/>
          <w:b/>
          <w:bCs/>
          <w:color w:val="auto"/>
          <w:sz w:val="32"/>
          <w:szCs w:val="32"/>
          <w:lang w:val="en-US" w:eastAsia="zh-CN"/>
        </w:rPr>
        <w:t>2</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10</w:t>
      </w:r>
      <w:r>
        <w:rPr>
          <w:rFonts w:hint="eastAsia" w:ascii="宋体" w:hAnsi="宋体" w:cs="宋体"/>
          <w:b/>
          <w:bCs/>
          <w:color w:val="auto"/>
          <w:sz w:val="32"/>
          <w:szCs w:val="32"/>
        </w:rPr>
        <w:t>月</w:t>
      </w:r>
    </w:p>
    <w:p>
      <w:pPr>
        <w:spacing w:line="560" w:lineRule="exact"/>
        <w:jc w:val="center"/>
        <w:rPr>
          <w:rFonts w:ascii="黑体" w:hAnsi="黑体" w:eastAsia="黑体" w:cs="黑体"/>
          <w:color w:val="auto"/>
          <w:sz w:val="32"/>
          <w:szCs w:val="32"/>
        </w:rPr>
        <w:sectPr>
          <w:pgSz w:w="11906" w:h="16838"/>
          <w:pgMar w:top="1440" w:right="1080" w:bottom="1440" w:left="1080" w:header="851" w:footer="992" w:gutter="0"/>
          <w:pgNumType w:start="1"/>
          <w:cols w:space="720" w:num="1"/>
          <w:docGrid w:type="linesAndChars" w:linePitch="312" w:charSpace="0"/>
        </w:sectPr>
      </w:pPr>
    </w:p>
    <w:p>
      <w:pPr>
        <w:spacing w:line="560" w:lineRule="exact"/>
        <w:ind w:firstLine="4800" w:firstLineChars="1500"/>
        <w:rPr>
          <w:rFonts w:hint="eastAsia"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目录</w:t>
      </w:r>
    </w:p>
    <w:p>
      <w:pPr>
        <w:spacing w:line="560" w:lineRule="exact"/>
        <w:rPr>
          <w:rFonts w:asciiTheme="minorEastAsia" w:hAnsiTheme="minorEastAsia" w:eastAsiaTheme="minorEastAsia" w:cstheme="minorEastAsia"/>
          <w:color w:val="auto"/>
          <w:sz w:val="32"/>
          <w:szCs w:val="32"/>
        </w:rPr>
      </w:pPr>
    </w:p>
    <w:p>
      <w:pPr>
        <w:pStyle w:val="14"/>
        <w:tabs>
          <w:tab w:val="right" w:leader="dot" w:pos="9746"/>
        </w:tabs>
        <w:rPr>
          <w:rFonts w:hint="eastAsia" w:ascii="宋体" w:hAnsi="宋体" w:eastAsia="宋体" w:cs="宋体"/>
          <w:color w:val="auto"/>
        </w:rPr>
      </w:pPr>
    </w:p>
    <w:p>
      <w:pPr>
        <w:pStyle w:val="14"/>
        <w:tabs>
          <w:tab w:val="right" w:leader="dot" w:pos="9746"/>
        </w:tabs>
        <w:rPr>
          <w:rFonts w:hint="eastAsia" w:ascii="宋体" w:hAnsi="宋体" w:eastAsia="宋体" w:cs="宋体"/>
          <w:b/>
          <w:bCs w:val="0"/>
          <w:color w:val="auto"/>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TOC \o "1-1" \h \u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"_Toc20626"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第一章 磋商邀请</w:t>
      </w:r>
      <w:r>
        <w:rPr>
          <w:rFonts w:hint="eastAsia" w:ascii="宋体" w:hAnsi="宋体" w:eastAsia="宋体" w:cs="宋体"/>
          <w:b/>
          <w:bCs w:val="0"/>
          <w:color w:val="auto"/>
        </w:rPr>
        <w:tab/>
      </w: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PAGEREF _Toc20626 \h </w:instrText>
      </w:r>
      <w:r>
        <w:rPr>
          <w:rFonts w:hint="eastAsia" w:ascii="宋体" w:hAnsi="宋体" w:eastAsia="宋体" w:cs="宋体"/>
          <w:b/>
          <w:bCs w:val="0"/>
          <w:color w:val="auto"/>
        </w:rPr>
        <w:fldChar w:fldCharType="separate"/>
      </w:r>
      <w:r>
        <w:rPr>
          <w:rFonts w:hint="eastAsia" w:ascii="宋体" w:hAnsi="宋体" w:eastAsia="宋体" w:cs="宋体"/>
          <w:b/>
          <w:bCs w:val="0"/>
          <w:color w:val="auto"/>
        </w:rPr>
        <w:t>1</w:t>
      </w:r>
      <w:r>
        <w:rPr>
          <w:rFonts w:hint="eastAsia" w:ascii="宋体" w:hAnsi="宋体" w:eastAsia="宋体" w:cs="宋体"/>
          <w:b/>
          <w:bCs w:val="0"/>
          <w:color w:val="auto"/>
        </w:rPr>
        <w:fldChar w:fldCharType="end"/>
      </w:r>
      <w:r>
        <w:rPr>
          <w:rFonts w:hint="eastAsia" w:ascii="宋体" w:hAnsi="宋体" w:eastAsia="宋体" w:cs="宋体"/>
          <w:b/>
          <w:bCs w:val="0"/>
          <w:color w:val="auto"/>
        </w:rPr>
        <w:fldChar w:fldCharType="end"/>
      </w:r>
    </w:p>
    <w:p>
      <w:pPr>
        <w:pStyle w:val="14"/>
        <w:tabs>
          <w:tab w:val="right" w:leader="dot" w:pos="9746"/>
        </w:tabs>
        <w:rPr>
          <w:rFonts w:hint="eastAsia" w:ascii="宋体" w:hAnsi="宋体" w:eastAsia="宋体" w:cs="宋体"/>
          <w:b/>
          <w:bCs w:val="0"/>
          <w:color w:val="auto"/>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"_Toc25842"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 xml:space="preserve">第二章 </w:t>
      </w:r>
      <w:r>
        <w:rPr>
          <w:rFonts w:hint="eastAsia" w:ascii="宋体" w:hAnsi="宋体" w:cs="宋体"/>
          <w:b/>
          <w:bCs w:val="0"/>
          <w:color w:val="auto"/>
          <w:szCs w:val="32"/>
          <w:lang w:eastAsia="zh-CN"/>
        </w:rPr>
        <w:t>投标人</w:t>
      </w:r>
      <w:r>
        <w:rPr>
          <w:rFonts w:hint="eastAsia" w:ascii="宋体" w:hAnsi="宋体" w:eastAsia="宋体" w:cs="宋体"/>
          <w:b/>
          <w:bCs w:val="0"/>
          <w:color w:val="auto"/>
          <w:szCs w:val="32"/>
        </w:rPr>
        <w:t>须知前附表</w:t>
      </w:r>
      <w:r>
        <w:rPr>
          <w:rFonts w:hint="eastAsia" w:ascii="宋体" w:hAnsi="宋体" w:eastAsia="宋体" w:cs="宋体"/>
          <w:b/>
          <w:bCs w:val="0"/>
          <w:color w:val="auto"/>
        </w:rPr>
        <w:tab/>
      </w:r>
      <w:r>
        <w:rPr>
          <w:rFonts w:hint="eastAsia" w:ascii="宋体" w:hAnsi="宋体" w:cs="宋体"/>
          <w:b/>
          <w:bCs w:val="0"/>
          <w:color w:val="auto"/>
          <w:lang w:val="en-US" w:eastAsia="zh-CN"/>
        </w:rPr>
        <w:t>5</w:t>
      </w:r>
      <w:r>
        <w:rPr>
          <w:rFonts w:hint="eastAsia" w:ascii="宋体" w:hAnsi="宋体" w:eastAsia="宋体" w:cs="宋体"/>
          <w:b/>
          <w:bCs w:val="0"/>
          <w:color w:val="auto"/>
        </w:rPr>
        <w:fldChar w:fldCharType="end"/>
      </w:r>
    </w:p>
    <w:p>
      <w:pPr>
        <w:pStyle w:val="14"/>
        <w:tabs>
          <w:tab w:val="right" w:leader="dot" w:pos="9746"/>
        </w:tabs>
        <w:rPr>
          <w:rFonts w:hint="eastAsia" w:ascii="宋体" w:hAnsi="宋体" w:eastAsia="宋体" w:cs="宋体"/>
          <w:b/>
          <w:bCs w:val="0"/>
          <w:color w:val="auto"/>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"_Toc21768"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第</w:t>
      </w:r>
      <w:r>
        <w:rPr>
          <w:rFonts w:hint="eastAsia" w:ascii="宋体" w:hAnsi="宋体" w:eastAsia="宋体" w:cs="宋体"/>
          <w:b/>
          <w:bCs w:val="0"/>
          <w:color w:val="auto"/>
          <w:szCs w:val="32"/>
          <w:lang w:eastAsia="zh-CN"/>
        </w:rPr>
        <w:t>三</w:t>
      </w:r>
      <w:r>
        <w:rPr>
          <w:rFonts w:hint="eastAsia" w:ascii="宋体" w:hAnsi="宋体" w:eastAsia="宋体" w:cs="宋体"/>
          <w:b/>
          <w:bCs w:val="0"/>
          <w:color w:val="auto"/>
          <w:szCs w:val="32"/>
        </w:rPr>
        <w:t xml:space="preserve">章 </w:t>
      </w:r>
      <w:r>
        <w:rPr>
          <w:rFonts w:hint="eastAsia" w:ascii="宋体" w:hAnsi="宋体" w:cs="宋体"/>
          <w:b/>
          <w:bCs w:val="0"/>
          <w:color w:val="auto"/>
          <w:szCs w:val="32"/>
          <w:lang w:eastAsia="zh-CN"/>
        </w:rPr>
        <w:t>投标人</w:t>
      </w:r>
      <w:r>
        <w:rPr>
          <w:rFonts w:hint="eastAsia" w:ascii="宋体" w:hAnsi="宋体" w:eastAsia="宋体" w:cs="宋体"/>
          <w:b/>
          <w:bCs w:val="0"/>
          <w:color w:val="auto"/>
          <w:szCs w:val="32"/>
          <w:lang w:eastAsia="zh-CN"/>
        </w:rPr>
        <w:t>须知</w:t>
      </w:r>
      <w:r>
        <w:rPr>
          <w:rFonts w:hint="eastAsia" w:ascii="宋体" w:hAnsi="宋体" w:eastAsia="宋体" w:cs="宋体"/>
          <w:b/>
          <w:bCs w:val="0"/>
          <w:color w:val="auto"/>
        </w:rPr>
        <w:tab/>
      </w:r>
      <w:r>
        <w:rPr>
          <w:rFonts w:hint="eastAsia" w:ascii="宋体" w:hAnsi="宋体" w:cs="宋体"/>
          <w:b/>
          <w:bCs w:val="0"/>
          <w:color w:val="auto"/>
          <w:lang w:val="en-US" w:eastAsia="zh-CN"/>
        </w:rPr>
        <w:t>9</w:t>
      </w:r>
      <w:r>
        <w:rPr>
          <w:rFonts w:hint="eastAsia" w:ascii="宋体" w:hAnsi="宋体" w:eastAsia="宋体" w:cs="宋体"/>
          <w:b/>
          <w:bCs w:val="0"/>
          <w:color w:val="auto"/>
        </w:rPr>
        <w:fldChar w:fldCharType="end"/>
      </w:r>
    </w:p>
    <w:p>
      <w:pPr>
        <w:pStyle w:val="14"/>
        <w:tabs>
          <w:tab w:val="right" w:leader="dot" w:pos="9746"/>
        </w:tabs>
        <w:rPr>
          <w:rFonts w:hint="eastAsia" w:ascii="宋体" w:hAnsi="宋体" w:eastAsia="宋体" w:cs="宋体"/>
          <w:b/>
          <w:bCs w:val="0"/>
          <w:color w:val="auto"/>
          <w:lang w:val="en-US" w:eastAsia="zh-CN"/>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"_Toc21768"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第四章 项目说明和采购需求</w:t>
      </w:r>
      <w:r>
        <w:rPr>
          <w:rFonts w:hint="eastAsia" w:ascii="宋体" w:hAnsi="宋体" w:eastAsia="宋体" w:cs="宋体"/>
          <w:b/>
          <w:bCs w:val="0"/>
          <w:color w:val="auto"/>
        </w:rPr>
        <w:tab/>
      </w:r>
      <w:r>
        <w:rPr>
          <w:rFonts w:hint="eastAsia" w:ascii="宋体" w:hAnsi="宋体" w:cs="宋体"/>
          <w:b/>
          <w:bCs w:val="0"/>
          <w:color w:val="auto"/>
          <w:lang w:val="en-US" w:eastAsia="zh-CN"/>
        </w:rPr>
        <w:t>2</w:t>
      </w:r>
      <w:r>
        <w:rPr>
          <w:rFonts w:hint="eastAsia" w:ascii="宋体" w:hAnsi="宋体" w:eastAsia="宋体" w:cs="宋体"/>
          <w:b/>
          <w:bCs w:val="0"/>
          <w:color w:val="auto"/>
        </w:rPr>
        <w:fldChar w:fldCharType="end"/>
      </w:r>
      <w:r>
        <w:rPr>
          <w:rFonts w:hint="eastAsia" w:ascii="宋体" w:hAnsi="宋体" w:cs="宋体"/>
          <w:b/>
          <w:bCs w:val="0"/>
          <w:color w:val="auto"/>
          <w:lang w:val="en-US" w:eastAsia="zh-CN"/>
        </w:rPr>
        <w:t>1</w:t>
      </w:r>
    </w:p>
    <w:p>
      <w:pPr>
        <w:pStyle w:val="14"/>
        <w:tabs>
          <w:tab w:val="right" w:leader="dot" w:pos="9746"/>
        </w:tabs>
        <w:rPr>
          <w:rFonts w:hint="eastAsia" w:ascii="宋体" w:hAnsi="宋体" w:eastAsia="宋体" w:cs="宋体"/>
          <w:b/>
          <w:bCs w:val="0"/>
          <w:color w:val="auto"/>
          <w:lang w:val="en-US" w:eastAsia="zh-CN"/>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"_Toc1045"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第五章 政府采购合同范本</w:t>
      </w:r>
      <w:r>
        <w:rPr>
          <w:rFonts w:hint="eastAsia" w:ascii="宋体" w:hAnsi="宋体" w:eastAsia="宋体" w:cs="宋体"/>
          <w:b/>
          <w:bCs w:val="0"/>
          <w:color w:val="auto"/>
        </w:rPr>
        <w:tab/>
      </w:r>
      <w:r>
        <w:rPr>
          <w:rFonts w:hint="eastAsia" w:ascii="宋体" w:hAnsi="宋体" w:cs="宋体"/>
          <w:b/>
          <w:bCs w:val="0"/>
          <w:color w:val="auto"/>
          <w:lang w:val="en-US" w:eastAsia="zh-CN"/>
        </w:rPr>
        <w:t>2</w:t>
      </w:r>
      <w:r>
        <w:rPr>
          <w:rFonts w:hint="eastAsia" w:ascii="宋体" w:hAnsi="宋体" w:eastAsia="宋体" w:cs="宋体"/>
          <w:b/>
          <w:bCs w:val="0"/>
          <w:color w:val="auto"/>
        </w:rPr>
        <w:fldChar w:fldCharType="end"/>
      </w:r>
      <w:r>
        <w:rPr>
          <w:rFonts w:hint="eastAsia" w:ascii="宋体" w:hAnsi="宋体" w:cs="宋体"/>
          <w:b/>
          <w:bCs w:val="0"/>
          <w:color w:val="auto"/>
          <w:lang w:val="en-US" w:eastAsia="zh-CN"/>
        </w:rPr>
        <w:t>3</w:t>
      </w:r>
    </w:p>
    <w:p>
      <w:pPr>
        <w:pStyle w:val="14"/>
        <w:tabs>
          <w:tab w:val="right" w:leader="dot" w:pos="9746"/>
        </w:tabs>
        <w:rPr>
          <w:rFonts w:hint="eastAsia" w:ascii="宋体" w:hAnsi="宋体" w:eastAsia="宋体" w:cs="宋体"/>
          <w:b/>
          <w:bCs w:val="0"/>
          <w:color w:val="auto"/>
          <w:lang w:val="en-US" w:eastAsia="zh-CN"/>
        </w:rPr>
      </w:pPr>
      <w:r>
        <w:rPr>
          <w:rFonts w:hint="eastAsia" w:ascii="宋体" w:hAnsi="宋体" w:eastAsia="宋体" w:cs="宋体"/>
          <w:b/>
          <w:bCs w:val="0"/>
          <w:color w:val="auto"/>
        </w:rPr>
        <w:fldChar w:fldCharType="begin"/>
      </w:r>
      <w:r>
        <w:rPr>
          <w:rFonts w:hint="eastAsia" w:ascii="宋体" w:hAnsi="宋体" w:eastAsia="宋体" w:cs="宋体"/>
          <w:b/>
          <w:bCs w:val="0"/>
          <w:color w:val="auto"/>
        </w:rPr>
        <w:instrText xml:space="preserve"> HYPERLINK \l "_Toc9259" </w:instrText>
      </w:r>
      <w:r>
        <w:rPr>
          <w:rFonts w:hint="eastAsia" w:ascii="宋体" w:hAnsi="宋体" w:eastAsia="宋体" w:cs="宋体"/>
          <w:b/>
          <w:bCs w:val="0"/>
          <w:color w:val="auto"/>
        </w:rPr>
        <w:fldChar w:fldCharType="separate"/>
      </w:r>
      <w:r>
        <w:rPr>
          <w:rFonts w:hint="eastAsia" w:ascii="宋体" w:hAnsi="宋体" w:eastAsia="宋体" w:cs="宋体"/>
          <w:b/>
          <w:bCs w:val="0"/>
          <w:color w:val="auto"/>
          <w:szCs w:val="32"/>
        </w:rPr>
        <w:t>第六章 响应文件格式</w:t>
      </w:r>
      <w:r>
        <w:rPr>
          <w:rFonts w:hint="eastAsia" w:ascii="宋体" w:hAnsi="宋体" w:eastAsia="宋体" w:cs="宋体"/>
          <w:b/>
          <w:bCs w:val="0"/>
          <w:color w:val="auto"/>
        </w:rPr>
        <w:tab/>
      </w:r>
      <w:r>
        <w:rPr>
          <w:rFonts w:hint="eastAsia" w:ascii="宋体" w:hAnsi="宋体" w:cs="宋体"/>
          <w:b/>
          <w:bCs w:val="0"/>
          <w:color w:val="auto"/>
          <w:lang w:val="en-US" w:eastAsia="zh-CN"/>
        </w:rPr>
        <w:t>3</w:t>
      </w:r>
      <w:r>
        <w:rPr>
          <w:rFonts w:hint="eastAsia" w:ascii="宋体" w:hAnsi="宋体" w:eastAsia="宋体" w:cs="宋体"/>
          <w:b/>
          <w:bCs w:val="0"/>
          <w:color w:val="auto"/>
        </w:rPr>
        <w:fldChar w:fldCharType="end"/>
      </w:r>
      <w:r>
        <w:rPr>
          <w:rFonts w:hint="eastAsia" w:ascii="宋体" w:hAnsi="宋体" w:cs="宋体"/>
          <w:b/>
          <w:bCs w:val="0"/>
          <w:color w:val="auto"/>
          <w:lang w:val="en-US" w:eastAsia="zh-CN"/>
        </w:rPr>
        <w:t>0</w:t>
      </w:r>
    </w:p>
    <w:p>
      <w:pPr>
        <w:rPr>
          <w:color w:val="auto"/>
        </w:rPr>
      </w:pPr>
      <w:r>
        <w:rPr>
          <w:rFonts w:hint="eastAsia" w:ascii="宋体" w:hAnsi="宋体" w:eastAsia="宋体" w:cs="宋体"/>
          <w:b/>
          <w:bCs w:val="0"/>
          <w:color w:val="auto"/>
        </w:rPr>
        <w:fldChar w:fldCharType="end"/>
      </w:r>
    </w:p>
    <w:p>
      <w:pPr>
        <w:spacing w:line="840" w:lineRule="auto"/>
        <w:rPr>
          <w:rFonts w:asciiTheme="minorEastAsia" w:hAnsiTheme="minorEastAsia" w:eastAsiaTheme="minorEastAsia" w:cstheme="minorEastAsia"/>
          <w:b/>
          <w:bCs/>
          <w:color w:val="auto"/>
          <w:sz w:val="32"/>
          <w:szCs w:val="32"/>
        </w:rPr>
      </w:pPr>
      <w:r>
        <w:rPr>
          <w:rFonts w:hint="eastAsia" w:ascii="宋体" w:hAnsi="宋体" w:cs="宋体"/>
          <w:bCs/>
          <w:caps/>
          <w:color w:val="auto"/>
          <w:sz w:val="24"/>
        </w:rPr>
        <w:t xml:space="preserve">    </w:t>
      </w: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pPr>
    </w:p>
    <w:p>
      <w:pPr>
        <w:spacing w:line="560" w:lineRule="exact"/>
        <w:jc w:val="center"/>
        <w:rPr>
          <w:rFonts w:asciiTheme="minorEastAsia" w:hAnsiTheme="minorEastAsia" w:eastAsiaTheme="minorEastAsia" w:cstheme="minorEastAsia"/>
          <w:b/>
          <w:bCs/>
          <w:color w:val="auto"/>
          <w:sz w:val="32"/>
          <w:szCs w:val="32"/>
        </w:rPr>
        <w:sectPr>
          <w:footerReference r:id="rId4" w:type="default"/>
          <w:pgSz w:w="11906" w:h="16838"/>
          <w:pgMar w:top="1440" w:right="1080" w:bottom="1440" w:left="1080" w:header="851" w:footer="992" w:gutter="0"/>
          <w:pgNumType w:start="1"/>
          <w:cols w:space="720" w:num="1"/>
          <w:docGrid w:type="linesAndChars" w:linePitch="312" w:charSpace="0"/>
        </w:sectPr>
      </w:pPr>
    </w:p>
    <w:p>
      <w:pPr>
        <w:spacing w:line="560" w:lineRule="exact"/>
        <w:jc w:val="center"/>
        <w:outlineLvl w:val="0"/>
        <w:rPr>
          <w:rFonts w:asciiTheme="minorEastAsia" w:hAnsiTheme="minorEastAsia" w:eastAsiaTheme="minorEastAsia" w:cstheme="minorEastAsia"/>
          <w:b/>
          <w:bCs/>
          <w:color w:val="auto"/>
          <w:sz w:val="32"/>
          <w:szCs w:val="32"/>
        </w:rPr>
      </w:pPr>
      <w:bookmarkStart w:id="0" w:name="_Toc15072"/>
      <w:bookmarkStart w:id="1" w:name="_Toc20626"/>
      <w:r>
        <w:rPr>
          <w:rFonts w:hint="eastAsia" w:asciiTheme="minorEastAsia" w:hAnsiTheme="minorEastAsia" w:eastAsiaTheme="minorEastAsia" w:cstheme="minorEastAsia"/>
          <w:b/>
          <w:bCs/>
          <w:color w:val="auto"/>
          <w:sz w:val="32"/>
          <w:szCs w:val="32"/>
        </w:rPr>
        <w:t>第一章 磋商邀请</w:t>
      </w:r>
      <w:bookmarkEnd w:id="0"/>
      <w:bookmarkEnd w:id="1"/>
    </w:p>
    <w:p>
      <w:pPr>
        <w:spacing w:line="560" w:lineRule="exact"/>
        <w:rPr>
          <w:rFonts w:asciiTheme="minorEastAsia" w:hAnsiTheme="minorEastAsia" w:eastAsiaTheme="minorEastAsia" w:cstheme="minorEastAsia"/>
          <w:b/>
          <w:bCs/>
          <w:color w:val="auto"/>
          <w:sz w:val="32"/>
          <w:szCs w:val="32"/>
        </w:rPr>
      </w:pPr>
    </w:p>
    <w:p>
      <w:pPr>
        <w:spacing w:line="560" w:lineRule="exact"/>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宁夏体育运动训练管理中心科学化训练监控系统采购项目</w:t>
      </w:r>
    </w:p>
    <w:p>
      <w:pPr>
        <w:spacing w:line="560" w:lineRule="exact"/>
        <w:jc w:val="center"/>
        <w:rPr>
          <w:rFonts w:hint="eastAsia" w:ascii="宋体" w:hAnsi="宋体" w:cs="宋体"/>
          <w:b/>
          <w:bCs/>
          <w:color w:val="auto"/>
          <w:sz w:val="32"/>
          <w:szCs w:val="32"/>
        </w:rPr>
      </w:pPr>
      <w:r>
        <w:rPr>
          <w:rFonts w:hint="eastAsia" w:ascii="宋体" w:hAnsi="宋体" w:cs="宋体"/>
          <w:b/>
          <w:bCs/>
          <w:color w:val="auto"/>
          <w:sz w:val="32"/>
          <w:szCs w:val="32"/>
        </w:rPr>
        <w:t>竞争性磋商公告</w:t>
      </w:r>
    </w:p>
    <w:p>
      <w:pPr>
        <w:adjustRightInd w:val="0"/>
        <w:snapToGrid w:val="0"/>
        <w:spacing w:line="560" w:lineRule="exact"/>
        <w:jc w:val="center"/>
        <w:rPr>
          <w:rFonts w:asciiTheme="minorEastAsia" w:hAnsiTheme="minorEastAsia" w:eastAsiaTheme="minorEastAsia" w:cstheme="minorEastAsia"/>
          <w:b/>
          <w:bCs/>
          <w:vanish/>
          <w:color w:val="auto"/>
          <w:sz w:val="32"/>
          <w:szCs w:val="32"/>
        </w:rPr>
      </w:pPr>
      <w:r>
        <w:rPr>
          <w:rFonts w:hint="eastAsia" w:asciiTheme="minorEastAsia" w:hAnsiTheme="minorEastAsia" w:eastAsiaTheme="minorEastAsia" w:cstheme="minorEastAsia"/>
          <w:b/>
          <w:bCs/>
          <w:vanish/>
          <w:color w:val="auto"/>
          <w:sz w:val="32"/>
          <w:szCs w:val="32"/>
        </w:rPr>
        <w:t>公告概要：</w:t>
      </w:r>
    </w:p>
    <w:p>
      <w:pPr>
        <w:pStyle w:val="5"/>
        <w:numPr>
          <w:ilvl w:val="4"/>
          <w:numId w:val="0"/>
        </w:numPr>
        <w:tabs>
          <w:tab w:val="left" w:pos="0"/>
        </w:tabs>
        <w:adjustRightInd w:val="0"/>
        <w:snapToGrid w:val="0"/>
        <w:spacing w:before="0" w:after="0" w:line="560" w:lineRule="exact"/>
        <w:rPr>
          <w:rStyle w:val="23"/>
          <w:rFonts w:ascii="宋体" w:hAnsi="宋体" w:eastAsia="宋体" w:cs="宋体"/>
          <w:b/>
          <w:color w:val="auto"/>
          <w:sz w:val="24"/>
          <w:szCs w:val="24"/>
        </w:rPr>
      </w:pPr>
      <w:bookmarkStart w:id="2" w:name="_Toc1227"/>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Fonts w:ascii="宋体" w:hAnsi="宋体" w:eastAsia="宋体" w:cs="宋体"/>
          <w:b w:val="0"/>
          <w:color w:val="auto"/>
          <w:sz w:val="24"/>
          <w:szCs w:val="24"/>
        </w:rPr>
      </w:pPr>
      <w:r>
        <w:rPr>
          <w:rStyle w:val="23"/>
          <w:rFonts w:hint="eastAsia" w:ascii="宋体" w:hAnsi="宋体" w:eastAsia="宋体" w:cs="宋体"/>
          <w:b/>
          <w:color w:val="auto"/>
          <w:sz w:val="24"/>
          <w:szCs w:val="24"/>
        </w:rPr>
        <w:t>一、项目基本情况</w:t>
      </w:r>
      <w:bookmarkEnd w:id="2"/>
      <w:r>
        <w:rPr>
          <w:rFonts w:hint="eastAsia" w:ascii="宋体" w:hAnsi="宋体" w:eastAsia="宋体" w:cs="宋体"/>
          <w:b w:val="0"/>
          <w:color w:val="auto"/>
          <w:sz w:val="24"/>
          <w:szCs w:val="24"/>
        </w:rPr>
        <w:t xml:space="preserve">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ascii="宋体" w:hAnsi="宋体" w:cs="宋体"/>
          <w:b w:val="0"/>
          <w:bCs/>
          <w:color w:val="auto"/>
          <w:sz w:val="24"/>
        </w:rPr>
      </w:pPr>
      <w:r>
        <w:rPr>
          <w:rStyle w:val="23"/>
          <w:rFonts w:hint="eastAsia" w:ascii="宋体" w:hAnsi="宋体" w:cs="宋体"/>
          <w:b w:val="0"/>
          <w:bCs/>
          <w:color w:val="auto"/>
          <w:sz w:val="24"/>
        </w:rPr>
        <w:t>采购依据：会议纪要</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宋体" w:hAnsi="宋体" w:eastAsia="宋体" w:cs="宋体"/>
          <w:bCs/>
          <w:color w:val="auto"/>
          <w:sz w:val="24"/>
          <w:lang w:val="en-US" w:eastAsia="zh-CN"/>
        </w:rPr>
      </w:pPr>
      <w:r>
        <w:rPr>
          <w:rStyle w:val="23"/>
          <w:rFonts w:hint="eastAsia" w:ascii="宋体" w:hAnsi="宋体" w:cs="宋体"/>
          <w:b w:val="0"/>
          <w:bCs/>
          <w:color w:val="auto"/>
          <w:sz w:val="24"/>
        </w:rPr>
        <w:t>项目编号：ZCJY2022</w:t>
      </w:r>
      <w:r>
        <w:rPr>
          <w:rStyle w:val="23"/>
          <w:rFonts w:hint="eastAsia" w:ascii="宋体" w:hAnsi="宋体" w:cs="宋体"/>
          <w:b w:val="0"/>
          <w:bCs/>
          <w:color w:val="auto"/>
          <w:sz w:val="24"/>
          <w:lang w:val="en-US" w:eastAsia="zh-CN"/>
        </w:rPr>
        <w:t>1003</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ascii="宋体" w:hAnsi="宋体" w:cs="宋体"/>
          <w:b w:val="0"/>
          <w:bCs/>
          <w:color w:val="auto"/>
          <w:sz w:val="24"/>
        </w:rPr>
      </w:pPr>
      <w:r>
        <w:rPr>
          <w:rStyle w:val="23"/>
          <w:rFonts w:hint="eastAsia" w:ascii="宋体" w:hAnsi="宋体" w:cs="宋体"/>
          <w:b w:val="0"/>
          <w:bCs/>
          <w:color w:val="auto"/>
          <w:sz w:val="24"/>
        </w:rPr>
        <w:t>项目名称：</w:t>
      </w:r>
      <w:r>
        <w:rPr>
          <w:rStyle w:val="23"/>
          <w:rFonts w:hint="eastAsia" w:ascii="宋体" w:hAnsi="宋体" w:eastAsia="宋体" w:cs="宋体"/>
          <w:b w:val="0"/>
          <w:bCs/>
          <w:color w:val="auto"/>
          <w:sz w:val="24"/>
          <w:szCs w:val="24"/>
          <w:lang w:eastAsia="zh-CN"/>
        </w:rPr>
        <w:t>宁夏体育运动训练管理中心科学化训练监控系统采购项目</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Cs/>
          <w:color w:val="auto"/>
          <w:sz w:val="24"/>
        </w:rPr>
      </w:pPr>
      <w:r>
        <w:rPr>
          <w:rStyle w:val="23"/>
          <w:rFonts w:hint="eastAsia" w:ascii="宋体" w:hAnsi="宋体" w:cs="宋体"/>
          <w:b w:val="0"/>
          <w:bCs/>
          <w:color w:val="auto"/>
          <w:sz w:val="24"/>
        </w:rPr>
        <w:t>采购方式：竞争性磋商</w:t>
      </w:r>
      <w:r>
        <w:rPr>
          <w:rFonts w:hint="eastAsia" w:ascii="宋体" w:hAnsi="宋体" w:cs="宋体"/>
          <w:bCs/>
          <w:color w:val="auto"/>
          <w:sz w:val="24"/>
        </w:rPr>
        <w:t xml:space="preserve">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hint="eastAsia" w:ascii="宋体" w:hAnsi="宋体" w:eastAsia="宋体" w:cs="宋体"/>
          <w:b w:val="0"/>
          <w:bCs/>
          <w:color w:val="auto"/>
          <w:sz w:val="24"/>
          <w:szCs w:val="24"/>
          <w:lang w:eastAsia="zh-CN"/>
        </w:rPr>
      </w:pPr>
      <w:r>
        <w:rPr>
          <w:rStyle w:val="23"/>
          <w:rFonts w:hint="eastAsia" w:ascii="宋体" w:hAnsi="宋体" w:eastAsia="宋体" w:cs="宋体"/>
          <w:b w:val="0"/>
          <w:bCs/>
          <w:color w:val="auto"/>
          <w:sz w:val="24"/>
          <w:szCs w:val="24"/>
          <w:lang w:eastAsia="zh-CN"/>
        </w:rPr>
        <w:t>预算金额（元）：</w:t>
      </w:r>
      <w:r>
        <w:rPr>
          <w:rStyle w:val="23"/>
          <w:rFonts w:hint="eastAsia" w:ascii="宋体" w:hAnsi="宋体" w:cs="宋体"/>
          <w:b w:val="0"/>
          <w:bCs/>
          <w:color w:val="auto"/>
          <w:sz w:val="24"/>
          <w:szCs w:val="24"/>
          <w:lang w:eastAsia="zh-CN"/>
        </w:rPr>
        <w:t>肆拾伍万元整</w:t>
      </w:r>
      <w:r>
        <w:rPr>
          <w:rStyle w:val="23"/>
          <w:rFonts w:hint="eastAsia" w:ascii="宋体" w:hAnsi="宋体" w:eastAsia="宋体" w:cs="宋体"/>
          <w:b w:val="0"/>
          <w:bCs/>
          <w:color w:val="auto"/>
          <w:sz w:val="24"/>
          <w:szCs w:val="24"/>
          <w:lang w:val="en-US" w:eastAsia="zh-CN"/>
        </w:rPr>
        <w:t xml:space="preserve">  （¥</w:t>
      </w:r>
      <w:r>
        <w:rPr>
          <w:rStyle w:val="23"/>
          <w:rFonts w:hint="eastAsia" w:ascii="宋体" w:hAnsi="宋体" w:cs="宋体"/>
          <w:b w:val="0"/>
          <w:bCs/>
          <w:color w:val="auto"/>
          <w:sz w:val="24"/>
          <w:szCs w:val="24"/>
          <w:lang w:val="en-US" w:eastAsia="zh-CN"/>
        </w:rPr>
        <w:t>450000</w:t>
      </w:r>
      <w:r>
        <w:rPr>
          <w:rStyle w:val="23"/>
          <w:rFonts w:hint="eastAsia" w:ascii="宋体" w:hAnsi="宋体" w:eastAsia="宋体" w:cs="宋体"/>
          <w:b w:val="0"/>
          <w:bCs/>
          <w:color w:val="auto"/>
          <w:sz w:val="24"/>
          <w:szCs w:val="24"/>
          <w:lang w:val="en-US" w:eastAsia="zh-CN"/>
        </w:rPr>
        <w:t>.00）</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hint="eastAsia" w:ascii="宋体" w:hAnsi="宋体" w:eastAsia="宋体" w:cs="宋体"/>
          <w:b w:val="0"/>
          <w:bCs/>
          <w:color w:val="auto"/>
          <w:sz w:val="24"/>
          <w:szCs w:val="24"/>
          <w:lang w:eastAsia="zh-CN"/>
        </w:rPr>
      </w:pPr>
      <w:r>
        <w:rPr>
          <w:rStyle w:val="23"/>
          <w:rFonts w:hint="eastAsia" w:ascii="宋体" w:hAnsi="宋体" w:eastAsia="宋体" w:cs="宋体"/>
          <w:b w:val="0"/>
          <w:bCs/>
          <w:color w:val="auto"/>
          <w:sz w:val="24"/>
          <w:szCs w:val="24"/>
          <w:lang w:eastAsia="zh-CN"/>
        </w:rPr>
        <w:t>最高限价（如有）：</w:t>
      </w:r>
      <w:r>
        <w:rPr>
          <w:rStyle w:val="23"/>
          <w:rFonts w:hint="eastAsia" w:ascii="宋体" w:hAnsi="宋体" w:cs="宋体"/>
          <w:b w:val="0"/>
          <w:bCs/>
          <w:color w:val="auto"/>
          <w:sz w:val="24"/>
          <w:szCs w:val="24"/>
          <w:lang w:eastAsia="zh-CN"/>
        </w:rPr>
        <w:t>肆拾伍万元整</w:t>
      </w:r>
      <w:r>
        <w:rPr>
          <w:rStyle w:val="23"/>
          <w:rFonts w:hint="eastAsia" w:ascii="宋体" w:hAnsi="宋体" w:eastAsia="宋体" w:cs="宋体"/>
          <w:b w:val="0"/>
          <w:bCs/>
          <w:color w:val="auto"/>
          <w:sz w:val="24"/>
          <w:szCs w:val="24"/>
          <w:lang w:val="en-US" w:eastAsia="zh-CN"/>
        </w:rPr>
        <w:t xml:space="preserve">  （¥</w:t>
      </w:r>
      <w:r>
        <w:rPr>
          <w:rStyle w:val="23"/>
          <w:rFonts w:hint="eastAsia" w:ascii="宋体" w:hAnsi="宋体" w:cs="宋体"/>
          <w:b w:val="0"/>
          <w:bCs/>
          <w:color w:val="auto"/>
          <w:sz w:val="24"/>
          <w:szCs w:val="24"/>
          <w:lang w:val="en-US" w:eastAsia="zh-CN"/>
        </w:rPr>
        <w:t>450000</w:t>
      </w:r>
      <w:r>
        <w:rPr>
          <w:rStyle w:val="23"/>
          <w:rFonts w:hint="eastAsia" w:ascii="宋体" w:hAnsi="宋体" w:eastAsia="宋体" w:cs="宋体"/>
          <w:b w:val="0"/>
          <w:bCs/>
          <w:color w:val="auto"/>
          <w:sz w:val="24"/>
          <w:szCs w:val="24"/>
          <w:lang w:val="en-US" w:eastAsia="zh-CN"/>
        </w:rPr>
        <w:t>.00）</w:t>
      </w:r>
    </w:p>
    <w:p>
      <w:pPr>
        <w:pageBreakBefore w:val="0"/>
        <w:widowControl w:val="0"/>
        <w:kinsoku/>
        <w:wordWrap/>
        <w:overflowPunct/>
        <w:topLinePunct w:val="0"/>
        <w:autoSpaceDE/>
        <w:autoSpaceDN/>
        <w:bidi w:val="0"/>
        <w:spacing w:line="600" w:lineRule="exact"/>
        <w:ind w:firstLine="480" w:firstLineChars="200"/>
        <w:textAlignment w:val="auto"/>
        <w:rPr>
          <w:rStyle w:val="23"/>
          <w:rFonts w:ascii="宋体" w:hAnsi="宋体" w:cs="宋体"/>
          <w:b w:val="0"/>
          <w:bCs/>
          <w:color w:val="auto"/>
          <w:sz w:val="24"/>
        </w:rPr>
      </w:pPr>
      <w:r>
        <w:rPr>
          <w:rStyle w:val="23"/>
          <w:rFonts w:hint="eastAsia" w:ascii="宋体" w:hAnsi="宋体" w:cs="宋体"/>
          <w:b w:val="0"/>
          <w:bCs/>
          <w:color w:val="auto"/>
          <w:sz w:val="24"/>
        </w:rPr>
        <w:t>采购需求：</w:t>
      </w:r>
      <w:r>
        <w:rPr>
          <w:rStyle w:val="23"/>
          <w:rFonts w:hint="eastAsia" w:ascii="宋体" w:hAnsi="宋体" w:eastAsia="宋体" w:cs="宋体"/>
          <w:b w:val="0"/>
          <w:bCs/>
          <w:color w:val="auto"/>
          <w:sz w:val="24"/>
          <w:szCs w:val="24"/>
          <w:lang w:eastAsia="zh-CN"/>
        </w:rPr>
        <w:t>宁夏体育运动训练管理中心科学化训练监控系统采购项目</w:t>
      </w:r>
      <w:r>
        <w:rPr>
          <w:rStyle w:val="23"/>
          <w:rFonts w:hint="eastAsia" w:ascii="宋体" w:hAnsi="宋体" w:cs="宋体"/>
          <w:b w:val="0"/>
          <w:bCs/>
          <w:color w:val="auto"/>
          <w:sz w:val="24"/>
        </w:rPr>
        <w:t>（具体参数及要求详见《磋商文件》项目说明和采购需求）</w:t>
      </w:r>
    </w:p>
    <w:p>
      <w:pPr>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ascii="宋体" w:hAnsi="宋体" w:cs="宋体"/>
          <w:bCs/>
          <w:color w:val="auto"/>
          <w:sz w:val="24"/>
        </w:rPr>
      </w:pPr>
      <w:r>
        <w:rPr>
          <w:rStyle w:val="23"/>
          <w:rFonts w:hint="eastAsia" w:ascii="宋体" w:hAnsi="宋体" w:cs="宋体"/>
          <w:b w:val="0"/>
          <w:bCs/>
          <w:color w:val="auto"/>
          <w:sz w:val="24"/>
        </w:rPr>
        <w:t>合同履行期限：</w:t>
      </w:r>
      <w:r>
        <w:rPr>
          <w:rStyle w:val="23"/>
          <w:rFonts w:hint="eastAsia" w:ascii="宋体" w:hAnsi="宋体" w:cs="宋体"/>
          <w:b w:val="0"/>
          <w:bCs/>
          <w:color w:val="auto"/>
          <w:sz w:val="24"/>
          <w:szCs w:val="24"/>
          <w:lang w:val="en-US" w:eastAsia="zh-CN"/>
        </w:rPr>
        <w:t>30天</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Cs/>
          <w:color w:val="auto"/>
          <w:sz w:val="24"/>
        </w:rPr>
      </w:pPr>
      <w:r>
        <w:rPr>
          <w:rStyle w:val="23"/>
          <w:rFonts w:hint="eastAsia" w:ascii="宋体" w:hAnsi="宋体" w:cs="宋体"/>
          <w:b w:val="0"/>
          <w:bCs/>
          <w:color w:val="auto"/>
          <w:sz w:val="24"/>
        </w:rPr>
        <w:t>本项目接受联合体投标：</w:t>
      </w:r>
      <w:r>
        <w:rPr>
          <w:rFonts w:hint="eastAsia" w:ascii="宋体" w:hAnsi="宋体" w:cs="宋体"/>
          <w:bCs/>
          <w:color w:val="auto"/>
          <w:sz w:val="24"/>
        </w:rPr>
        <w:t>否</w:t>
      </w:r>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Style w:val="23"/>
          <w:rFonts w:ascii="宋体" w:hAnsi="宋体" w:eastAsia="宋体" w:cs="宋体"/>
          <w:b/>
          <w:color w:val="auto"/>
          <w:sz w:val="24"/>
          <w:szCs w:val="24"/>
        </w:rPr>
      </w:pPr>
      <w:bookmarkStart w:id="3" w:name="_Toc21571"/>
      <w:r>
        <w:rPr>
          <w:rStyle w:val="23"/>
          <w:rFonts w:hint="eastAsia" w:ascii="宋体" w:hAnsi="宋体" w:eastAsia="宋体" w:cs="宋体"/>
          <w:b/>
          <w:color w:val="auto"/>
          <w:sz w:val="24"/>
          <w:szCs w:val="24"/>
        </w:rPr>
        <w:t>二、申请人的资格要求</w:t>
      </w:r>
      <w:bookmarkEnd w:id="3"/>
      <w:r>
        <w:rPr>
          <w:rStyle w:val="23"/>
          <w:rFonts w:hint="eastAsia" w:ascii="宋体" w:hAnsi="宋体" w:eastAsia="宋体" w:cs="宋体"/>
          <w:b/>
          <w:color w:val="auto"/>
          <w:sz w:val="24"/>
          <w:szCs w:val="24"/>
        </w:rPr>
        <w:t xml:space="preserve">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ascii="宋体" w:hAnsi="宋体" w:cs="宋体"/>
          <w:b w:val="0"/>
          <w:bCs/>
          <w:color w:val="auto"/>
          <w:sz w:val="24"/>
        </w:rPr>
      </w:pPr>
      <w:r>
        <w:rPr>
          <w:rStyle w:val="23"/>
          <w:rFonts w:hint="eastAsia" w:ascii="宋体" w:hAnsi="宋体" w:cs="宋体"/>
          <w:b w:val="0"/>
          <w:bCs/>
          <w:color w:val="auto"/>
          <w:sz w:val="24"/>
        </w:rPr>
        <w:t>1.满足《中华人民共和国政府采购法》第二十二条规定；</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ascii="宋体" w:hAnsi="宋体" w:cs="宋体"/>
          <w:b w:val="0"/>
          <w:bCs/>
          <w:color w:val="auto"/>
          <w:sz w:val="24"/>
        </w:rPr>
      </w:pPr>
      <w:r>
        <w:rPr>
          <w:rStyle w:val="23"/>
          <w:rFonts w:hint="eastAsia" w:ascii="宋体" w:hAnsi="宋体" w:cs="宋体"/>
          <w:b w:val="0"/>
          <w:bCs/>
          <w:color w:val="auto"/>
          <w:sz w:val="24"/>
        </w:rPr>
        <w:t>2.落实政府采购政策需满足的资格要求：</w:t>
      </w:r>
      <w:r>
        <w:rPr>
          <w:rStyle w:val="23"/>
          <w:rFonts w:hint="eastAsia" w:ascii="宋体" w:hAnsi="宋体" w:cs="宋体"/>
          <w:b w:val="0"/>
          <w:bCs/>
          <w:color w:val="auto"/>
          <w:sz w:val="24"/>
          <w:lang w:eastAsia="zh-CN"/>
        </w:rPr>
        <w:t>本项目为</w:t>
      </w:r>
      <w:r>
        <w:rPr>
          <w:rStyle w:val="23"/>
          <w:rFonts w:hint="eastAsia" w:ascii="宋体" w:hAnsi="宋体" w:eastAsia="宋体" w:cs="宋体"/>
          <w:b w:val="0"/>
          <w:bCs/>
          <w:color w:val="auto"/>
          <w:sz w:val="24"/>
          <w:szCs w:val="24"/>
          <w:lang w:val="en-US" w:eastAsia="zh-CN"/>
        </w:rPr>
        <w:t>专门面向中小企业采购的项目</w:t>
      </w:r>
      <w:r>
        <w:rPr>
          <w:rStyle w:val="23"/>
          <w:rFonts w:hint="eastAsia" w:ascii="宋体" w:hAnsi="宋体" w:eastAsia="宋体" w:cs="宋体"/>
          <w:b w:val="0"/>
          <w:bCs/>
          <w:color w:val="auto"/>
          <w:sz w:val="24"/>
        </w:rPr>
        <w:t>，中小企业优惠、监狱企业优惠、残疾人企业优惠、节能产品、环境标志产品等政策</w:t>
      </w:r>
      <w:r>
        <w:rPr>
          <w:rStyle w:val="23"/>
          <w:rFonts w:hint="eastAsia" w:ascii="宋体" w:hAnsi="宋体" w:eastAsia="宋体" w:cs="宋体"/>
          <w:b w:val="0"/>
          <w:bCs/>
          <w:color w:val="auto"/>
          <w:sz w:val="24"/>
          <w:lang w:eastAsia="zh-CN"/>
        </w:rPr>
        <w:t>；</w:t>
      </w:r>
      <w:r>
        <w:rPr>
          <w:rStyle w:val="23"/>
          <w:rFonts w:hint="eastAsia" w:ascii="宋体" w:hAnsi="宋体" w:cs="宋体"/>
          <w:b w:val="0"/>
          <w:bCs/>
          <w:color w:val="auto"/>
          <w:sz w:val="24"/>
          <w:lang w:eastAsia="zh-CN"/>
        </w:rPr>
        <w:t>专门面向中小企业采购的项目，不再执行价格评审优惠的扶持政策；</w:t>
      </w:r>
    </w:p>
    <w:p>
      <w:pPr>
        <w:pageBreakBefore w:val="0"/>
        <w:widowControl w:val="0"/>
        <w:kinsoku/>
        <w:wordWrap/>
        <w:overflowPunct/>
        <w:topLinePunct w:val="0"/>
        <w:autoSpaceDE/>
        <w:autoSpaceDN/>
        <w:bidi w:val="0"/>
        <w:adjustRightInd w:val="0"/>
        <w:snapToGrid w:val="0"/>
        <w:spacing w:line="600" w:lineRule="exact"/>
        <w:ind w:left="279" w:leftChars="133" w:firstLine="240" w:firstLineChars="100"/>
        <w:textAlignment w:val="auto"/>
        <w:rPr>
          <w:rStyle w:val="23"/>
          <w:rFonts w:ascii="宋体" w:hAnsi="宋体" w:cs="宋体"/>
          <w:b w:val="0"/>
          <w:bCs/>
          <w:color w:val="auto"/>
          <w:sz w:val="24"/>
        </w:rPr>
      </w:pPr>
      <w:r>
        <w:rPr>
          <w:rStyle w:val="23"/>
          <w:rFonts w:hint="eastAsia" w:ascii="宋体" w:hAnsi="宋体" w:cs="宋体"/>
          <w:b w:val="0"/>
          <w:bCs/>
          <w:color w:val="auto"/>
          <w:sz w:val="24"/>
        </w:rPr>
        <w:t>3.本项目的特定资格要求：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rPr>
      </w:pPr>
      <w:bookmarkStart w:id="4" w:name="_Toc14565"/>
      <w:r>
        <w:rPr>
          <w:rStyle w:val="23"/>
          <w:rFonts w:hint="eastAsia" w:ascii="宋体" w:hAnsi="宋体" w:eastAsia="宋体" w:cs="宋体"/>
          <w:b w:val="0"/>
          <w:bCs/>
          <w:color w:val="auto"/>
          <w:sz w:val="24"/>
          <w:szCs w:val="24"/>
          <w:lang w:eastAsia="zh-CN"/>
        </w:rPr>
        <w:t>（</w:t>
      </w:r>
      <w:r>
        <w:rPr>
          <w:rStyle w:val="23"/>
          <w:rFonts w:hint="eastAsia" w:ascii="宋体" w:hAnsi="宋体" w:eastAsia="宋体" w:cs="宋体"/>
          <w:b w:val="0"/>
          <w:bCs/>
          <w:color w:val="auto"/>
          <w:sz w:val="24"/>
          <w:szCs w:val="24"/>
        </w:rPr>
        <w:t>1）</w:t>
      </w:r>
      <w:r>
        <w:rPr>
          <w:rStyle w:val="23"/>
          <w:rFonts w:hint="eastAsia" w:ascii="宋体" w:hAnsi="宋体" w:cs="宋体"/>
          <w:b w:val="0"/>
          <w:color w:val="auto"/>
          <w:sz w:val="24"/>
          <w:lang w:val="en-US" w:eastAsia="zh-CN"/>
        </w:rPr>
        <w:t>提</w:t>
      </w:r>
      <w:r>
        <w:rPr>
          <w:rFonts w:hint="eastAsia" w:ascii="宋体" w:hAnsi="宋体" w:cs="宋体"/>
          <w:color w:val="auto"/>
          <w:sz w:val="24"/>
        </w:rPr>
        <w:t>供在中华人民共和国境内注册的法人或其他组织的营业执照（或事业单位法人证书，或社会团体法人登记证书），如投标供应商为自然人的需提供自然人身份证明</w:t>
      </w:r>
      <w:r>
        <w:rPr>
          <w:rFonts w:hint="eastAsia" w:ascii="宋体" w:hAnsi="宋体" w:cs="宋体"/>
          <w:color w:val="auto"/>
          <w:sz w:val="24"/>
          <w:lang w:eastAsia="zh-CN"/>
        </w:rPr>
        <w:t>；</w:t>
      </w:r>
      <w:r>
        <w:rPr>
          <w:rStyle w:val="23"/>
          <w:rFonts w:hint="eastAsia" w:ascii="宋体" w:hAnsi="宋体" w:eastAsia="宋体" w:cs="宋体"/>
          <w:b w:val="0"/>
          <w:bCs/>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 xml:space="preserve">（2）法定代表人授权书及被授权人身份证（法定代表人直接投标可不提供，但须提供法定代表人身份证明）；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3</w:t>
      </w:r>
      <w:r>
        <w:rPr>
          <w:rStyle w:val="23"/>
          <w:rFonts w:hint="eastAsia" w:ascii="宋体" w:hAnsi="宋体" w:eastAsia="宋体" w:cs="宋体"/>
          <w:b w:val="0"/>
          <w:bCs/>
          <w:color w:val="auto"/>
          <w:sz w:val="24"/>
          <w:szCs w:val="24"/>
        </w:rPr>
        <w:t xml:space="preserve">）“信用中国”以及“中国政府采购网”查询，对列入失信被执行人、重大税收违法案件当事人名单、政府采购严重违法失信行为记录名单及其他不符合《中华人民共和国政府采购法》第二十二条规定条件的供应商，拒绝其参与政府采购活动（采购代理机构开标现场查询）；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4</w:t>
      </w:r>
      <w:r>
        <w:rPr>
          <w:rStyle w:val="23"/>
          <w:rFonts w:hint="eastAsia" w:ascii="宋体" w:hAnsi="宋体" w:eastAsia="宋体" w:cs="宋体"/>
          <w:b w:val="0"/>
          <w:bCs/>
          <w:color w:val="auto"/>
          <w:sz w:val="24"/>
          <w:szCs w:val="24"/>
        </w:rPr>
        <w:t xml:space="preserve">）具有良好的商业信誉和健全的财务会计制度承诺书（如不提供本承诺书须提供财务会计制度）；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5</w:t>
      </w:r>
      <w:r>
        <w:rPr>
          <w:rStyle w:val="23"/>
          <w:rFonts w:hint="eastAsia" w:ascii="宋体" w:hAnsi="宋体" w:eastAsia="宋体" w:cs="宋体"/>
          <w:b w:val="0"/>
          <w:bCs/>
          <w:color w:val="auto"/>
          <w:sz w:val="24"/>
          <w:szCs w:val="24"/>
        </w:rPr>
        <w:t>）依法缴纳社会保障资金的缴纳记录和税收的承诺书（如不提供本承诺书须提供202</w:t>
      </w:r>
      <w:r>
        <w:rPr>
          <w:rStyle w:val="23"/>
          <w:rFonts w:hint="eastAsia" w:ascii="宋体" w:hAnsi="宋体" w:cs="宋体"/>
          <w:b w:val="0"/>
          <w:bCs/>
          <w:color w:val="auto"/>
          <w:sz w:val="24"/>
          <w:szCs w:val="24"/>
          <w:lang w:val="en-US" w:eastAsia="zh-CN"/>
        </w:rPr>
        <w:t>2</w:t>
      </w:r>
      <w:r>
        <w:rPr>
          <w:rStyle w:val="23"/>
          <w:rFonts w:hint="eastAsia" w:ascii="宋体" w:hAnsi="宋体" w:eastAsia="宋体" w:cs="宋体"/>
          <w:b w:val="0"/>
          <w:bCs/>
          <w:color w:val="auto"/>
          <w:sz w:val="24"/>
          <w:szCs w:val="24"/>
        </w:rPr>
        <w:t xml:space="preserve">年1月至开标前任意一个月的依法纳税、养老和医疗缴费证明）；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Style w:val="23"/>
          <w:rFonts w:hint="eastAsia" w:ascii="宋体" w:hAnsi="宋体" w:eastAsia="宋体" w:cs="宋体"/>
          <w:b w:val="0"/>
          <w:bCs/>
          <w:color w:val="auto"/>
          <w:sz w:val="24"/>
          <w:szCs w:val="24"/>
          <w:lang w:eastAsia="zh-CN"/>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6</w:t>
      </w:r>
      <w:r>
        <w:rPr>
          <w:rStyle w:val="23"/>
          <w:rFonts w:hint="eastAsia" w:ascii="宋体" w:hAnsi="宋体" w:eastAsia="宋体" w:cs="宋体"/>
          <w:b w:val="0"/>
          <w:bCs/>
          <w:color w:val="auto"/>
          <w:sz w:val="24"/>
          <w:szCs w:val="24"/>
        </w:rPr>
        <w:t>）参加政府采购活动前3年内在经营活动中没有重大违法记录的承诺书</w:t>
      </w:r>
      <w:r>
        <w:rPr>
          <w:rStyle w:val="23"/>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80" w:firstLineChars="200"/>
        <w:textAlignment w:val="auto"/>
        <w:rPr>
          <w:rFonts w:hint="eastAsia" w:ascii="宋体" w:hAnsi="宋体" w:eastAsia="宋体" w:cs="宋体"/>
          <w:color w:val="auto"/>
          <w:lang w:val="en-US" w:eastAsia="zh-CN"/>
        </w:rPr>
      </w:pPr>
      <w:r>
        <w:rPr>
          <w:rStyle w:val="23"/>
          <w:rFonts w:hint="eastAsia" w:ascii="宋体" w:hAnsi="宋体" w:eastAsia="宋体" w:cs="宋体"/>
          <w:b w:val="0"/>
          <w:bCs/>
          <w:color w:val="auto"/>
          <w:sz w:val="24"/>
          <w:szCs w:val="24"/>
          <w:lang w:val="en-US" w:eastAsia="zh-CN"/>
        </w:rPr>
        <w:t>（</w:t>
      </w:r>
      <w:r>
        <w:rPr>
          <w:rStyle w:val="23"/>
          <w:rFonts w:hint="eastAsia" w:ascii="宋体" w:hAnsi="宋体" w:cs="宋体"/>
          <w:b w:val="0"/>
          <w:bCs/>
          <w:color w:val="auto"/>
          <w:sz w:val="24"/>
          <w:szCs w:val="24"/>
          <w:lang w:val="en-US" w:eastAsia="zh-CN"/>
        </w:rPr>
        <w:t>7</w:t>
      </w:r>
      <w:r>
        <w:rPr>
          <w:rStyle w:val="23"/>
          <w:rFonts w:hint="eastAsia" w:ascii="宋体" w:hAnsi="宋体" w:eastAsia="宋体" w:cs="宋体"/>
          <w:b w:val="0"/>
          <w:bCs/>
          <w:color w:val="auto"/>
          <w:sz w:val="24"/>
          <w:szCs w:val="24"/>
          <w:lang w:val="en-US" w:eastAsia="zh-CN"/>
        </w:rPr>
        <w:t>）具有履行合同所必需的设备和专业技术能力承诺书或相关证明材料</w:t>
      </w:r>
      <w:r>
        <w:rPr>
          <w:rStyle w:val="23"/>
          <w:rFonts w:hint="eastAsia" w:ascii="宋体" w:hAnsi="宋体" w:cs="宋体"/>
          <w:b w:val="0"/>
          <w:bCs/>
          <w:color w:val="auto"/>
          <w:sz w:val="24"/>
          <w:szCs w:val="24"/>
          <w:lang w:val="en-US" w:eastAsia="zh-CN"/>
        </w:rPr>
        <w:t>。</w:t>
      </w:r>
      <w:r>
        <w:rPr>
          <w:rStyle w:val="23"/>
          <w:rFonts w:hint="eastAsia" w:ascii="宋体" w:hAnsi="宋体" w:eastAsia="宋体" w:cs="宋体"/>
          <w:b w:val="0"/>
          <w:bCs/>
          <w:color w:val="auto"/>
          <w:sz w:val="24"/>
          <w:szCs w:val="24"/>
          <w:lang w:val="en-US" w:eastAsia="zh-CN"/>
        </w:rPr>
        <w:t>（投标人自行提供</w:t>
      </w:r>
      <w:r>
        <w:rPr>
          <w:rStyle w:val="23"/>
          <w:rFonts w:hint="eastAsia" w:ascii="宋体" w:hAnsi="宋体" w:cs="宋体"/>
          <w:b w:val="0"/>
          <w:bCs/>
          <w:color w:val="auto"/>
          <w:sz w:val="24"/>
          <w:szCs w:val="24"/>
          <w:lang w:val="en-US" w:eastAsia="zh-CN"/>
        </w:rPr>
        <w:t>承诺书</w:t>
      </w:r>
      <w:r>
        <w:rPr>
          <w:rStyle w:val="23"/>
          <w:rFonts w:hint="eastAsia" w:ascii="宋体" w:hAnsi="宋体" w:eastAsia="宋体" w:cs="宋体"/>
          <w:b w:val="0"/>
          <w:bCs/>
          <w:color w:val="auto"/>
          <w:sz w:val="24"/>
          <w:szCs w:val="24"/>
          <w:lang w:val="en-US" w:eastAsia="zh-CN"/>
        </w:rPr>
        <w:t>）</w:t>
      </w:r>
      <w:r>
        <w:rPr>
          <w:rStyle w:val="23"/>
          <w:rFonts w:hint="eastAsia" w:ascii="宋体" w:hAnsi="宋体" w:eastAsia="宋体" w:cs="宋体"/>
          <w:b w:val="0"/>
          <w:bCs/>
          <w:color w:val="auto"/>
          <w:sz w:val="24"/>
        </w:rPr>
        <w:t xml:space="preserve"> </w:t>
      </w:r>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Style w:val="23"/>
          <w:rFonts w:ascii="宋体" w:hAnsi="宋体" w:eastAsia="宋体" w:cs="宋体"/>
          <w:b/>
          <w:color w:val="auto"/>
          <w:sz w:val="24"/>
          <w:szCs w:val="24"/>
        </w:rPr>
      </w:pPr>
      <w:r>
        <w:rPr>
          <w:rStyle w:val="23"/>
          <w:rFonts w:hint="eastAsia" w:ascii="宋体" w:hAnsi="宋体" w:eastAsia="宋体" w:cs="宋体"/>
          <w:b/>
          <w:color w:val="auto"/>
          <w:sz w:val="24"/>
          <w:szCs w:val="24"/>
        </w:rPr>
        <w:t>三、获取采购文件</w:t>
      </w:r>
      <w:bookmarkEnd w:id="4"/>
      <w:r>
        <w:rPr>
          <w:rStyle w:val="23"/>
          <w:rFonts w:hint="eastAsia" w:ascii="宋体" w:hAnsi="宋体" w:eastAsia="宋体" w:cs="宋体"/>
          <w:b/>
          <w:color w:val="auto"/>
          <w:sz w:val="24"/>
          <w:szCs w:val="24"/>
        </w:rPr>
        <w:t xml:space="preserve"> </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color w:val="auto"/>
          <w:sz w:val="24"/>
        </w:rPr>
      </w:pPr>
      <w:r>
        <w:rPr>
          <w:rStyle w:val="23"/>
          <w:rFonts w:hint="eastAsia" w:ascii="宋体" w:hAnsi="宋体" w:cs="宋体"/>
          <w:color w:val="auto"/>
          <w:sz w:val="24"/>
        </w:rPr>
        <w:t>时间</w:t>
      </w:r>
      <w:r>
        <w:rPr>
          <w:rFonts w:hint="eastAsia" w:ascii="宋体" w:hAnsi="宋体" w:cs="宋体"/>
          <w:color w:val="auto"/>
          <w:sz w:val="24"/>
        </w:rPr>
        <w:t>：</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2</w:t>
      </w:r>
      <w:r>
        <w:rPr>
          <w:rFonts w:hint="eastAsia" w:ascii="宋体" w:hAnsi="宋体" w:eastAsia="宋体" w:cs="宋体"/>
          <w:color w:val="auto"/>
          <w:sz w:val="24"/>
        </w:rPr>
        <w:t>年</w:t>
      </w:r>
      <w:r>
        <w:rPr>
          <w:rFonts w:hint="eastAsia" w:ascii="宋体" w:hAnsi="宋体" w:cs="宋体"/>
          <w:color w:val="auto"/>
          <w:sz w:val="24"/>
          <w:u w:val="single"/>
          <w:lang w:val="en-US" w:eastAsia="zh-CN"/>
        </w:rPr>
        <w:t>10</w:t>
      </w:r>
      <w:r>
        <w:rPr>
          <w:rFonts w:hint="eastAsia" w:ascii="宋体" w:hAnsi="宋体" w:eastAsia="宋体" w:cs="宋体"/>
          <w:color w:val="auto"/>
          <w:sz w:val="24"/>
        </w:rPr>
        <w:t>月</w:t>
      </w:r>
      <w:r>
        <w:rPr>
          <w:rFonts w:hint="eastAsia" w:ascii="宋体" w:hAnsi="宋体" w:cs="宋体"/>
          <w:color w:val="auto"/>
          <w:sz w:val="24"/>
          <w:u w:val="single"/>
          <w:lang w:val="en-US" w:eastAsia="zh-CN"/>
        </w:rPr>
        <w:t>12</w:t>
      </w:r>
      <w:r>
        <w:rPr>
          <w:rFonts w:hint="eastAsia" w:ascii="宋体" w:hAnsi="宋体" w:eastAsia="宋体" w:cs="宋体"/>
          <w:color w:val="auto"/>
          <w:sz w:val="24"/>
        </w:rPr>
        <w:t>日至</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2</w:t>
      </w:r>
      <w:r>
        <w:rPr>
          <w:rFonts w:hint="eastAsia" w:ascii="宋体" w:hAnsi="宋体" w:eastAsia="宋体" w:cs="宋体"/>
          <w:color w:val="auto"/>
          <w:sz w:val="24"/>
        </w:rPr>
        <w:t>年</w:t>
      </w:r>
      <w:r>
        <w:rPr>
          <w:rFonts w:hint="eastAsia" w:ascii="宋体" w:hAnsi="宋体" w:cs="宋体"/>
          <w:color w:val="auto"/>
          <w:sz w:val="24"/>
          <w:u w:val="single"/>
          <w:lang w:val="en-US" w:eastAsia="zh-CN"/>
        </w:rPr>
        <w:t>10</w:t>
      </w:r>
      <w:r>
        <w:rPr>
          <w:rFonts w:hint="eastAsia" w:ascii="宋体" w:hAnsi="宋体" w:eastAsia="宋体" w:cs="宋体"/>
          <w:color w:val="auto"/>
          <w:sz w:val="24"/>
        </w:rPr>
        <w:t>月</w:t>
      </w:r>
      <w:r>
        <w:rPr>
          <w:rFonts w:hint="eastAsia" w:ascii="宋体" w:hAnsi="宋体" w:cs="宋体"/>
          <w:color w:val="auto"/>
          <w:sz w:val="24"/>
          <w:u w:val="single"/>
          <w:lang w:val="en-US" w:eastAsia="zh-CN"/>
        </w:rPr>
        <w:t>19</w:t>
      </w:r>
      <w:r>
        <w:rPr>
          <w:rFonts w:hint="eastAsia" w:ascii="宋体" w:hAnsi="宋体" w:eastAsia="宋体" w:cs="宋体"/>
          <w:color w:val="auto"/>
          <w:sz w:val="24"/>
        </w:rPr>
        <w:t>日</w:t>
      </w:r>
      <w:r>
        <w:rPr>
          <w:rFonts w:hint="eastAsia" w:ascii="宋体" w:hAnsi="宋体" w:cs="宋体"/>
          <w:color w:val="auto"/>
          <w:sz w:val="24"/>
        </w:rPr>
        <w:t>（磋商文件的发售期限自开始之日起不得少于5个工作日），每天上午09：00至12：00，下午14：00至17：30（北京时间，法定节假日除外）</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color w:val="auto"/>
          <w:sz w:val="24"/>
        </w:rPr>
      </w:pPr>
      <w:r>
        <w:rPr>
          <w:rStyle w:val="23"/>
          <w:rFonts w:hint="eastAsia" w:ascii="宋体" w:hAnsi="宋体" w:cs="宋体"/>
          <w:color w:val="auto"/>
          <w:sz w:val="24"/>
        </w:rPr>
        <w:t>地点</w:t>
      </w:r>
      <w:r>
        <w:rPr>
          <w:rFonts w:hint="eastAsia" w:ascii="宋体" w:hAnsi="宋体" w:cs="宋体"/>
          <w:color w:val="auto"/>
          <w:sz w:val="24"/>
        </w:rPr>
        <w:t>：宁夏众诚嘉业招标咨询服务有限公司</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color w:val="auto"/>
          <w:sz w:val="24"/>
        </w:rPr>
      </w:pPr>
      <w:r>
        <w:rPr>
          <w:rStyle w:val="23"/>
          <w:rFonts w:hint="eastAsia" w:ascii="宋体" w:hAnsi="宋体" w:cs="宋体"/>
          <w:color w:val="auto"/>
          <w:sz w:val="24"/>
        </w:rPr>
        <w:t>方式</w:t>
      </w:r>
      <w:r>
        <w:rPr>
          <w:rFonts w:hint="eastAsia" w:ascii="宋体" w:hAnsi="宋体" w:cs="宋体"/>
          <w:color w:val="auto"/>
          <w:sz w:val="24"/>
        </w:rPr>
        <w:t>：</w:t>
      </w:r>
      <w:r>
        <w:rPr>
          <w:rFonts w:hint="eastAsia" w:ascii="宋体" w:hAnsi="宋体" w:cs="宋体"/>
          <w:color w:val="auto"/>
          <w:sz w:val="24"/>
          <w:lang w:eastAsia="zh-CN"/>
        </w:rPr>
        <w:t>邮箱</w:t>
      </w:r>
      <w:r>
        <w:rPr>
          <w:rFonts w:hint="eastAsia" w:ascii="宋体" w:hAnsi="宋体" w:eastAsia="宋体" w:cs="宋体"/>
          <w:color w:val="auto"/>
          <w:sz w:val="24"/>
        </w:rPr>
        <w:t>获取</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color w:val="auto"/>
          <w:sz w:val="24"/>
        </w:rPr>
      </w:pPr>
      <w:r>
        <w:rPr>
          <w:rStyle w:val="23"/>
          <w:rFonts w:hint="eastAsia" w:ascii="宋体" w:hAnsi="宋体" w:cs="宋体"/>
          <w:color w:val="auto"/>
          <w:sz w:val="24"/>
        </w:rPr>
        <w:t>售价</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元</w:t>
      </w:r>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Style w:val="23"/>
          <w:rFonts w:ascii="宋体" w:hAnsi="宋体" w:eastAsia="宋体" w:cs="宋体"/>
          <w:b/>
          <w:color w:val="auto"/>
          <w:sz w:val="24"/>
          <w:szCs w:val="24"/>
        </w:rPr>
      </w:pPr>
      <w:bookmarkStart w:id="5" w:name="_Toc16846"/>
      <w:r>
        <w:rPr>
          <w:rStyle w:val="23"/>
          <w:rFonts w:hint="eastAsia" w:ascii="宋体" w:hAnsi="宋体" w:eastAsia="宋体" w:cs="宋体"/>
          <w:b/>
          <w:color w:val="auto"/>
          <w:sz w:val="24"/>
          <w:szCs w:val="24"/>
        </w:rPr>
        <w:t>四、响应文件提交</w:t>
      </w:r>
      <w:bookmarkEnd w:id="5"/>
      <w:r>
        <w:rPr>
          <w:rStyle w:val="23"/>
          <w:rFonts w:hint="eastAsia" w:ascii="宋体" w:hAnsi="宋体" w:eastAsia="宋体" w:cs="宋体"/>
          <w:b/>
          <w:color w:val="auto"/>
          <w:sz w:val="24"/>
          <w:szCs w:val="24"/>
        </w:rPr>
        <w:t xml:space="preserve">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2022</w:t>
      </w:r>
      <w:r>
        <w:rPr>
          <w:rFonts w:hint="eastAsia" w:ascii="宋体" w:hAnsi="宋体" w:cs="宋体"/>
          <w:color w:val="auto"/>
          <w:sz w:val="24"/>
        </w:rPr>
        <w:t>年</w:t>
      </w:r>
      <w:r>
        <w:rPr>
          <w:rFonts w:hint="eastAsia" w:ascii="宋体" w:hAnsi="宋体" w:cs="宋体"/>
          <w:color w:val="auto"/>
          <w:sz w:val="24"/>
          <w:u w:val="single"/>
          <w:lang w:val="en-US" w:eastAsia="zh-CN"/>
        </w:rPr>
        <w:t>10</w:t>
      </w:r>
      <w:r>
        <w:rPr>
          <w:rFonts w:hint="eastAsia" w:ascii="宋体" w:hAnsi="宋体" w:cs="宋体"/>
          <w:color w:val="auto"/>
          <w:sz w:val="24"/>
        </w:rPr>
        <w:t>月</w:t>
      </w:r>
      <w:r>
        <w:rPr>
          <w:rFonts w:hint="eastAsia" w:ascii="宋体" w:hAnsi="宋体" w:cs="宋体"/>
          <w:color w:val="auto"/>
          <w:sz w:val="24"/>
          <w:u w:val="single"/>
          <w:lang w:val="en-US" w:eastAsia="zh-CN"/>
        </w:rPr>
        <w:t>25</w:t>
      </w:r>
      <w:r>
        <w:rPr>
          <w:rFonts w:hint="eastAsia" w:ascii="宋体" w:hAnsi="宋体" w:cs="宋体"/>
          <w:color w:val="auto"/>
          <w:sz w:val="24"/>
        </w:rPr>
        <w:t>日</w:t>
      </w:r>
      <w:r>
        <w:rPr>
          <w:rFonts w:hint="eastAsia" w:ascii="宋体" w:hAnsi="宋体" w:cs="宋体"/>
          <w:color w:val="auto"/>
          <w:sz w:val="24"/>
          <w:lang w:eastAsia="zh-CN"/>
        </w:rPr>
        <w:t>上</w:t>
      </w:r>
      <w:r>
        <w:rPr>
          <w:rFonts w:hint="eastAsia" w:ascii="宋体" w:hAnsi="宋体" w:cs="宋体"/>
          <w:color w:val="auto"/>
          <w:sz w:val="24"/>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30分</w:t>
      </w:r>
      <w:r>
        <w:rPr>
          <w:rFonts w:hint="eastAsia" w:ascii="宋体" w:hAnsi="宋体" w:cs="宋体"/>
          <w:color w:val="auto"/>
          <w:sz w:val="24"/>
        </w:rPr>
        <w:t>；（北京时间）（从磋商文件发出之日起至投标人提交首次响应文件截止之日止不得少于10日）</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cs="宋体"/>
          <w:color w:val="auto"/>
          <w:sz w:val="24"/>
        </w:rPr>
      </w:pPr>
      <w:r>
        <w:rPr>
          <w:rStyle w:val="23"/>
          <w:rFonts w:hint="eastAsia" w:ascii="宋体" w:hAnsi="宋体" w:cs="宋体"/>
          <w:color w:val="auto"/>
          <w:sz w:val="24"/>
        </w:rPr>
        <w:t>地点</w:t>
      </w:r>
      <w:r>
        <w:rPr>
          <w:rFonts w:hint="eastAsia" w:ascii="宋体" w:hAnsi="宋体" w:cs="宋体"/>
          <w:color w:val="auto"/>
          <w:sz w:val="24"/>
        </w:rPr>
        <w:t>：</w:t>
      </w:r>
      <w:bookmarkStart w:id="6" w:name="_Toc13017"/>
      <w:r>
        <w:rPr>
          <w:rFonts w:hint="eastAsia" w:ascii="宋体" w:hAnsi="宋体" w:cs="宋体"/>
          <w:color w:val="auto"/>
          <w:sz w:val="24"/>
        </w:rPr>
        <w:t>宁夏众诚嘉业招标咨询服务有限公司会议室（银川市金凤区宁安南大街IBI育成中心一期8号楼310室）</w:t>
      </w:r>
    </w:p>
    <w:p>
      <w:pPr>
        <w:pageBreakBefore w:val="0"/>
        <w:widowControl w:val="0"/>
        <w:kinsoku/>
        <w:wordWrap/>
        <w:overflowPunct/>
        <w:topLinePunct w:val="0"/>
        <w:autoSpaceDE/>
        <w:autoSpaceDN/>
        <w:bidi w:val="0"/>
        <w:adjustRightInd w:val="0"/>
        <w:snapToGrid w:val="0"/>
        <w:spacing w:line="600" w:lineRule="exact"/>
        <w:textAlignment w:val="auto"/>
        <w:rPr>
          <w:rStyle w:val="23"/>
          <w:rFonts w:ascii="宋体" w:hAnsi="宋体" w:cs="宋体"/>
          <w:color w:val="auto"/>
          <w:sz w:val="24"/>
        </w:rPr>
      </w:pPr>
      <w:r>
        <w:rPr>
          <w:rStyle w:val="23"/>
          <w:rFonts w:hint="eastAsia" w:ascii="宋体" w:hAnsi="宋体" w:cs="宋体"/>
          <w:color w:val="auto"/>
          <w:sz w:val="24"/>
        </w:rPr>
        <w:t>五、开启</w:t>
      </w:r>
      <w:bookmarkEnd w:id="6"/>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rPr>
        <w:t>2022</w:t>
      </w:r>
      <w:r>
        <w:rPr>
          <w:rFonts w:hint="eastAsia" w:ascii="宋体" w:hAnsi="宋体" w:cs="宋体"/>
          <w:color w:val="auto"/>
          <w:sz w:val="24"/>
        </w:rPr>
        <w:t>年</w:t>
      </w:r>
      <w:r>
        <w:rPr>
          <w:rFonts w:hint="eastAsia" w:ascii="宋体" w:hAnsi="宋体" w:cs="宋体"/>
          <w:color w:val="auto"/>
          <w:sz w:val="24"/>
          <w:u w:val="single"/>
          <w:lang w:val="en-US" w:eastAsia="zh-CN"/>
        </w:rPr>
        <w:t>10</w:t>
      </w:r>
      <w:r>
        <w:rPr>
          <w:rFonts w:hint="eastAsia" w:ascii="宋体" w:hAnsi="宋体" w:cs="宋体"/>
          <w:color w:val="auto"/>
          <w:sz w:val="24"/>
        </w:rPr>
        <w:t>月</w:t>
      </w:r>
      <w:r>
        <w:rPr>
          <w:rFonts w:hint="eastAsia" w:ascii="宋体" w:hAnsi="宋体" w:cs="宋体"/>
          <w:color w:val="auto"/>
          <w:sz w:val="24"/>
          <w:u w:val="single"/>
          <w:lang w:val="en-US" w:eastAsia="zh-CN"/>
        </w:rPr>
        <w:t>25</w:t>
      </w:r>
      <w:r>
        <w:rPr>
          <w:rFonts w:hint="eastAsia" w:ascii="宋体" w:hAnsi="宋体" w:cs="宋体"/>
          <w:color w:val="auto"/>
          <w:sz w:val="24"/>
        </w:rPr>
        <w:t>日</w:t>
      </w:r>
      <w:r>
        <w:rPr>
          <w:rFonts w:hint="eastAsia" w:ascii="宋体" w:hAnsi="宋体" w:cs="宋体"/>
          <w:color w:val="auto"/>
          <w:sz w:val="24"/>
          <w:lang w:eastAsia="zh-CN"/>
        </w:rPr>
        <w:t>上</w:t>
      </w:r>
      <w:r>
        <w:rPr>
          <w:rFonts w:hint="eastAsia" w:ascii="宋体" w:hAnsi="宋体" w:cs="宋体"/>
          <w:color w:val="auto"/>
          <w:sz w:val="24"/>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30分</w:t>
      </w:r>
      <w:r>
        <w:rPr>
          <w:rFonts w:hint="eastAsia" w:ascii="宋体" w:hAnsi="宋体" w:cs="宋体"/>
          <w:color w:val="auto"/>
          <w:sz w:val="24"/>
        </w:rPr>
        <w:t>；（北京时间）</w:t>
      </w:r>
    </w:p>
    <w:p>
      <w:pPr>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ascii="宋体" w:hAnsi="宋体" w:cs="宋体"/>
          <w:color w:val="auto"/>
          <w:sz w:val="24"/>
        </w:rPr>
      </w:pPr>
      <w:r>
        <w:rPr>
          <w:rFonts w:hint="eastAsia" w:ascii="宋体" w:hAnsi="宋体" w:cs="宋体"/>
          <w:b/>
          <w:bCs/>
          <w:color w:val="auto"/>
          <w:sz w:val="24"/>
        </w:rPr>
        <w:t>地点：</w:t>
      </w:r>
      <w:r>
        <w:rPr>
          <w:rFonts w:hint="eastAsia" w:ascii="宋体" w:hAnsi="宋体" w:cs="宋体"/>
          <w:color w:val="auto"/>
          <w:sz w:val="24"/>
        </w:rPr>
        <w:t>宁夏众诚嘉业招标咨询服务有限公司会议室（银川市金凤区宁安南大街IBI育成中心一期8号楼310室）</w:t>
      </w:r>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Style w:val="23"/>
          <w:rFonts w:ascii="宋体" w:hAnsi="宋体" w:eastAsia="宋体" w:cs="宋体"/>
          <w:b/>
          <w:color w:val="auto"/>
          <w:sz w:val="24"/>
          <w:szCs w:val="24"/>
        </w:rPr>
      </w:pPr>
      <w:bookmarkStart w:id="7" w:name="_Toc27608"/>
      <w:r>
        <w:rPr>
          <w:rStyle w:val="23"/>
          <w:rFonts w:hint="eastAsia" w:ascii="宋体" w:hAnsi="宋体" w:eastAsia="宋体" w:cs="宋体"/>
          <w:b/>
          <w:color w:val="auto"/>
          <w:sz w:val="24"/>
          <w:szCs w:val="24"/>
        </w:rPr>
        <w:t>六、公告期限</w:t>
      </w:r>
      <w:bookmarkEnd w:id="7"/>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ascii="宋体" w:hAnsi="宋体" w:cs="宋体"/>
          <w:b w:val="0"/>
          <w:color w:val="auto"/>
          <w:sz w:val="24"/>
        </w:rPr>
      </w:pPr>
      <w:r>
        <w:rPr>
          <w:rStyle w:val="23"/>
          <w:rFonts w:hint="eastAsia" w:ascii="宋体" w:hAnsi="宋体" w:cs="宋体"/>
          <w:b w:val="0"/>
          <w:color w:val="auto"/>
          <w:sz w:val="24"/>
        </w:rPr>
        <w:t>自本公告发布之日起3个工作日。</w:t>
      </w:r>
    </w:p>
    <w:p>
      <w:pPr>
        <w:pStyle w:val="5"/>
        <w:pageBreakBefore w:val="0"/>
        <w:widowControl w:val="0"/>
        <w:numPr>
          <w:ilvl w:val="4"/>
          <w:numId w:val="0"/>
        </w:numPr>
        <w:tabs>
          <w:tab w:val="left" w:pos="0"/>
        </w:tabs>
        <w:kinsoku/>
        <w:wordWrap/>
        <w:overflowPunct/>
        <w:topLinePunct w:val="0"/>
        <w:autoSpaceDE/>
        <w:autoSpaceDN/>
        <w:bidi w:val="0"/>
        <w:adjustRightInd w:val="0"/>
        <w:snapToGrid w:val="0"/>
        <w:spacing w:before="0" w:after="0" w:line="600" w:lineRule="exact"/>
        <w:textAlignment w:val="auto"/>
        <w:rPr>
          <w:rStyle w:val="23"/>
          <w:rFonts w:ascii="宋体" w:hAnsi="宋体" w:eastAsia="宋体" w:cs="宋体"/>
          <w:b/>
          <w:color w:val="auto"/>
          <w:sz w:val="24"/>
          <w:szCs w:val="24"/>
        </w:rPr>
      </w:pPr>
      <w:bookmarkStart w:id="8" w:name="_Toc20010"/>
      <w:r>
        <w:rPr>
          <w:rStyle w:val="23"/>
          <w:rFonts w:hint="eastAsia" w:ascii="宋体" w:hAnsi="宋体" w:eastAsia="宋体" w:cs="宋体"/>
          <w:b/>
          <w:color w:val="auto"/>
          <w:sz w:val="24"/>
          <w:szCs w:val="24"/>
        </w:rPr>
        <w:t>七、其他补充事宜</w:t>
      </w:r>
      <w:bookmarkEnd w:id="8"/>
    </w:p>
    <w:p>
      <w:pPr>
        <w:pageBreakBefore w:val="0"/>
        <w:widowControl w:val="0"/>
        <w:kinsoku/>
        <w:wordWrap/>
        <w:overflowPunct/>
        <w:topLinePunct w:val="0"/>
        <w:autoSpaceDE/>
        <w:autoSpaceDN/>
        <w:bidi w:val="0"/>
        <w:spacing w:line="600" w:lineRule="exact"/>
        <w:ind w:firstLine="480" w:firstLineChars="200"/>
        <w:textAlignment w:val="auto"/>
        <w:rPr>
          <w:rStyle w:val="23"/>
          <w:rFonts w:ascii="宋体" w:hAnsi="宋体" w:cs="宋体"/>
          <w:b w:val="0"/>
          <w:color w:val="auto"/>
          <w:sz w:val="24"/>
        </w:rPr>
      </w:pPr>
      <w:bookmarkStart w:id="9" w:name="_Toc10809"/>
      <w:r>
        <w:rPr>
          <w:rStyle w:val="23"/>
          <w:rFonts w:hint="eastAsia" w:ascii="宋体" w:hAnsi="宋体" w:cs="宋体"/>
          <w:b w:val="0"/>
          <w:color w:val="auto"/>
          <w:sz w:val="24"/>
        </w:rPr>
        <w:t>本次招标公告在中国政府采购网。</w:t>
      </w:r>
    </w:p>
    <w:bookmarkEnd w:id="9"/>
    <w:p>
      <w:pPr>
        <w:pageBreakBefore w:val="0"/>
        <w:widowControl w:val="0"/>
        <w:kinsoku/>
        <w:wordWrap/>
        <w:overflowPunct/>
        <w:topLinePunct w:val="0"/>
        <w:autoSpaceDE/>
        <w:autoSpaceDN/>
        <w:bidi w:val="0"/>
        <w:spacing w:line="600" w:lineRule="exact"/>
        <w:ind w:firstLine="482" w:firstLineChars="200"/>
        <w:textAlignment w:val="auto"/>
        <w:rPr>
          <w:rFonts w:ascii="宋体" w:hAnsi="宋体" w:cs="宋体"/>
          <w:b/>
          <w:bCs/>
          <w:color w:val="auto"/>
          <w:kern w:val="0"/>
          <w:sz w:val="24"/>
          <w:shd w:val="clear" w:color="auto" w:fill="FFFFFF"/>
          <w:lang w:bidi="ar"/>
        </w:rPr>
      </w:pPr>
      <w:r>
        <w:rPr>
          <w:rFonts w:hint="eastAsia" w:ascii="宋体" w:hAnsi="宋体" w:cs="宋体"/>
          <w:b/>
          <w:bCs/>
          <w:color w:val="auto"/>
          <w:kern w:val="0"/>
          <w:sz w:val="24"/>
          <w:shd w:val="clear" w:color="auto" w:fill="FFFFFF"/>
          <w:lang w:bidi="ar"/>
        </w:rPr>
        <w:t>注：</w:t>
      </w:r>
      <w:r>
        <w:rPr>
          <w:rFonts w:hint="eastAsia" w:ascii="宋体" w:hAnsi="宋体" w:cs="宋体"/>
          <w:b/>
          <w:color w:val="auto"/>
          <w:kern w:val="0"/>
          <w:sz w:val="24"/>
        </w:rPr>
        <w:t>凡有意参加投标者，请</w:t>
      </w:r>
      <w:r>
        <w:rPr>
          <w:rFonts w:hint="eastAsia" w:ascii="宋体" w:hAnsi="宋体" w:cs="宋体"/>
          <w:b/>
          <w:color w:val="auto"/>
          <w:kern w:val="0"/>
          <w:sz w:val="24"/>
          <w:lang w:eastAsia="zh-CN"/>
        </w:rPr>
        <w:t>将</w:t>
      </w:r>
      <w:r>
        <w:rPr>
          <w:rFonts w:hint="eastAsia" w:ascii="宋体" w:hAnsi="宋体" w:cs="宋体"/>
          <w:b/>
          <w:color w:val="auto"/>
          <w:kern w:val="0"/>
          <w:sz w:val="24"/>
        </w:rPr>
        <w:t>报名资料（本项目的特定资格要求</w:t>
      </w:r>
      <w:r>
        <w:rPr>
          <w:rFonts w:hint="eastAsia" w:ascii="宋体" w:hAnsi="宋体" w:cs="宋体"/>
          <w:b/>
          <w:color w:val="auto"/>
          <w:kern w:val="0"/>
          <w:sz w:val="24"/>
          <w:lang w:eastAsia="zh-CN"/>
        </w:rPr>
        <w:t>加盖公章</w:t>
      </w:r>
      <w:r>
        <w:rPr>
          <w:rFonts w:hint="eastAsia" w:ascii="宋体" w:hAnsi="宋体" w:cs="宋体"/>
          <w:b/>
          <w:color w:val="auto"/>
          <w:kern w:val="0"/>
          <w:sz w:val="24"/>
        </w:rPr>
        <w:t>）在报名期限内</w:t>
      </w:r>
      <w:r>
        <w:rPr>
          <w:rFonts w:hint="eastAsia" w:ascii="宋体" w:hAnsi="宋体" w:cs="宋体"/>
          <w:b/>
          <w:color w:val="auto"/>
          <w:kern w:val="0"/>
          <w:sz w:val="24"/>
          <w:lang w:eastAsia="zh-CN"/>
        </w:rPr>
        <w:t>发至邮箱</w:t>
      </w:r>
      <w:r>
        <w:rPr>
          <w:rFonts w:hint="eastAsia" w:ascii="宋体" w:hAnsi="宋体" w:cs="宋体"/>
          <w:b/>
          <w:color w:val="auto"/>
          <w:kern w:val="0"/>
          <w:sz w:val="24"/>
          <w:lang w:val="en-US" w:eastAsia="zh-CN"/>
        </w:rPr>
        <w:t>80509696@qq.com进行报名</w:t>
      </w:r>
      <w:r>
        <w:rPr>
          <w:rFonts w:hint="eastAsia" w:ascii="宋体" w:hAnsi="宋体" w:cs="宋体"/>
          <w:b/>
          <w:color w:val="auto"/>
          <w:kern w:val="0"/>
          <w:sz w:val="24"/>
          <w:lang w:eastAsia="zh-CN"/>
        </w:rPr>
        <w:t>，并拨打代理公司电话确认报名是否成功，报名成功后邮箱发送招标文件</w:t>
      </w:r>
      <w:r>
        <w:rPr>
          <w:rStyle w:val="23"/>
          <w:rFonts w:hint="eastAsia" w:ascii="宋体" w:hAnsi="宋体" w:cs="宋体"/>
          <w:color w:val="auto"/>
          <w:sz w:val="24"/>
        </w:rPr>
        <w:t>。</w:t>
      </w:r>
    </w:p>
    <w:p>
      <w:pPr>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Style w:val="23"/>
          <w:rFonts w:hint="eastAsia" w:ascii="宋体" w:hAnsi="宋体" w:eastAsia="宋体" w:cs="宋体"/>
          <w:b/>
          <w:bCs/>
          <w:color w:val="auto"/>
          <w:sz w:val="24"/>
          <w:szCs w:val="24"/>
        </w:rPr>
      </w:pPr>
      <w:r>
        <w:rPr>
          <w:rStyle w:val="23"/>
          <w:rFonts w:hint="eastAsia" w:ascii="宋体" w:hAnsi="宋体" w:cs="宋体"/>
          <w:b/>
          <w:bCs/>
          <w:color w:val="auto"/>
          <w:sz w:val="24"/>
          <w:szCs w:val="24"/>
          <w:lang w:eastAsia="zh-CN"/>
        </w:rPr>
        <w:t>八</w:t>
      </w:r>
      <w:r>
        <w:rPr>
          <w:rStyle w:val="23"/>
          <w:rFonts w:hint="eastAsia" w:ascii="宋体" w:hAnsi="宋体" w:eastAsia="宋体" w:cs="宋体"/>
          <w:b/>
          <w:bCs/>
          <w:color w:val="auto"/>
          <w:sz w:val="24"/>
          <w:szCs w:val="24"/>
        </w:rPr>
        <w:t>、</w:t>
      </w:r>
      <w:r>
        <w:rPr>
          <w:rStyle w:val="23"/>
          <w:rFonts w:hint="eastAsia" w:ascii="宋体" w:hAnsi="宋体" w:eastAsia="宋体" w:cs="宋体"/>
          <w:b/>
          <w:bCs/>
          <w:color w:val="auto"/>
          <w:sz w:val="24"/>
          <w:szCs w:val="24"/>
          <w:lang w:eastAsia="zh-CN"/>
        </w:rPr>
        <w:t>对本次采购提出询问，请按以下方式联系</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1.采购人信息</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采购人：</w:t>
      </w:r>
      <w:r>
        <w:rPr>
          <w:rFonts w:hint="eastAsia" w:ascii="宋体" w:hAnsi="宋体" w:cs="宋体"/>
          <w:color w:val="auto"/>
          <w:sz w:val="24"/>
          <w:lang w:val="en-US" w:eastAsia="zh-CN"/>
        </w:rPr>
        <w:t>宁夏回族自治区体育运动训练管理中心</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kern w:val="2"/>
          <w:sz w:val="24"/>
          <w:szCs w:val="24"/>
          <w:lang w:val="en-US" w:eastAsia="zh-CN"/>
        </w:rPr>
        <w:t>地  址：</w:t>
      </w:r>
      <w:r>
        <w:rPr>
          <w:rFonts w:hint="eastAsia" w:ascii="宋体" w:hAnsi="宋体" w:cs="宋体"/>
          <w:color w:val="auto"/>
          <w:sz w:val="24"/>
          <w:lang w:eastAsia="zh-CN"/>
        </w:rPr>
        <w:t>银川市西夏区学院东路</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联系人：</w:t>
      </w:r>
      <w:r>
        <w:rPr>
          <w:rFonts w:hint="eastAsia" w:cs="宋体"/>
          <w:color w:val="auto"/>
          <w:kern w:val="0"/>
          <w:sz w:val="24"/>
        </w:rPr>
        <w:t>陈国斌</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电  话：</w:t>
      </w:r>
      <w:r>
        <w:rPr>
          <w:rFonts w:hint="eastAsia" w:ascii="宋体" w:hAnsi="宋体" w:cs="宋体"/>
          <w:color w:val="auto"/>
          <w:sz w:val="24"/>
        </w:rPr>
        <w:t>0951-3850080</w:t>
      </w:r>
      <w:r>
        <w:rPr>
          <w:rFonts w:hint="eastAsia" w:ascii="宋体" w:hAnsi="宋体" w:eastAsia="宋体" w:cs="宋体"/>
          <w:color w:val="auto"/>
          <w:sz w:val="24"/>
        </w:rPr>
        <w:t>　　</w:t>
      </w:r>
      <w:r>
        <w:rPr>
          <w:rFonts w:hint="eastAsia" w:ascii="宋体" w:hAnsi="宋体" w:eastAsia="宋体" w:cs="宋体"/>
          <w:color w:val="auto"/>
          <w:sz w:val="24"/>
          <w:szCs w:val="24"/>
          <w:lang w:eastAsia="zh-CN"/>
        </w:rPr>
        <w:t>　</w:t>
      </w:r>
      <w:r>
        <w:rPr>
          <w:rFonts w:hint="eastAsia" w:ascii="宋体" w:hAnsi="宋体" w:eastAsia="宋体" w:cs="宋体"/>
          <w:color w:val="auto"/>
          <w:sz w:val="24"/>
          <w:szCs w:val="24"/>
        </w:rPr>
        <w:t xml:space="preserve">　　　　　 </w:t>
      </w:r>
      <w:bookmarkStart w:id="10" w:name="_Toc28359009"/>
      <w:bookmarkStart w:id="11" w:name="_Toc28359086"/>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10"/>
      <w:bookmarkEnd w:id="11"/>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bookmarkStart w:id="12" w:name="_Toc28359010"/>
      <w:bookmarkStart w:id="13" w:name="_Toc28359087"/>
      <w:r>
        <w:rPr>
          <w:rFonts w:hint="eastAsia" w:ascii="宋体" w:hAnsi="宋体" w:eastAsia="宋体" w:cs="宋体"/>
          <w:color w:val="auto"/>
          <w:sz w:val="24"/>
          <w:szCs w:val="24"/>
        </w:rPr>
        <w:t>名称：</w:t>
      </w:r>
      <w:r>
        <w:rPr>
          <w:rFonts w:hint="eastAsia" w:ascii="宋体" w:hAnsi="宋体" w:cs="宋体"/>
          <w:color w:val="auto"/>
          <w:sz w:val="24"/>
        </w:rPr>
        <w:t>宁夏众诚嘉业招标咨询服务有限公司</w:t>
      </w:r>
      <w:r>
        <w:rPr>
          <w:rFonts w:hint="eastAsia" w:ascii="宋体" w:hAnsi="宋体" w:eastAsia="宋体" w:cs="宋体"/>
          <w:color w:val="auto"/>
          <w:sz w:val="24"/>
          <w:szCs w:val="24"/>
        </w:rPr>
        <w:t>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宋体"/>
          <w:color w:val="auto"/>
          <w:sz w:val="24"/>
        </w:rPr>
        <w:t>银川市金凤区宁安南大街IBI育成中心一期8号楼310室</w:t>
      </w:r>
      <w:r>
        <w:rPr>
          <w:rFonts w:hint="eastAsia" w:ascii="宋体" w:hAnsi="宋体" w:eastAsia="宋体" w:cs="宋体"/>
          <w:color w:val="auto"/>
          <w:sz w:val="24"/>
          <w:szCs w:val="24"/>
        </w:rPr>
        <w:t>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cs="宋体"/>
          <w:color w:val="auto"/>
          <w:sz w:val="24"/>
          <w:lang w:eastAsia="zh-CN"/>
        </w:rPr>
        <w:t>孙朝晖、赵文宏</w:t>
      </w:r>
      <w:r>
        <w:rPr>
          <w:rFonts w:hint="eastAsia" w:ascii="宋体" w:hAnsi="宋体" w:cs="宋体"/>
          <w:color w:val="auto"/>
          <w:sz w:val="24"/>
          <w:lang w:val="en-US" w:eastAsia="zh-CN"/>
        </w:rPr>
        <w:t xml:space="preserve">   </w:t>
      </w:r>
      <w:r>
        <w:rPr>
          <w:rFonts w:hint="eastAsia" w:ascii="宋体" w:hAnsi="宋体" w:cs="宋体"/>
          <w:color w:val="auto"/>
          <w:sz w:val="24"/>
        </w:rPr>
        <w:t xml:space="preserve"> 0951-8647500</w:t>
      </w:r>
      <w:r>
        <w:rPr>
          <w:rFonts w:hint="eastAsia" w:ascii="宋体" w:hAnsi="宋体" w:eastAsia="宋体" w:cs="宋体"/>
          <w:color w:val="auto"/>
          <w:sz w:val="24"/>
          <w:szCs w:val="24"/>
        </w:rPr>
        <w:t>　　　　　　　　　　　</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bookmarkEnd w:id="12"/>
      <w:bookmarkEnd w:id="13"/>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项目联系人：</w:t>
      </w:r>
      <w:r>
        <w:rPr>
          <w:rFonts w:hint="eastAsia" w:ascii="宋体" w:hAnsi="宋体" w:cs="宋体"/>
          <w:color w:val="auto"/>
          <w:sz w:val="24"/>
          <w:lang w:eastAsia="zh-CN"/>
        </w:rPr>
        <w:t>孙朝晖、赵文宏</w:t>
      </w:r>
    </w:p>
    <w:p>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Style w:val="23"/>
          <w:rFonts w:hint="eastAsia" w:asciiTheme="minorEastAsia" w:hAnsiTheme="minorEastAsia" w:eastAsiaTheme="minorEastAsia" w:cstheme="minorEastAsia"/>
          <w:color w:val="auto"/>
          <w:sz w:val="24"/>
        </w:rPr>
      </w:pPr>
      <w:r>
        <w:rPr>
          <w:rFonts w:hint="eastAsia" w:ascii="宋体" w:hAnsi="宋体" w:eastAsia="宋体" w:cs="宋体"/>
          <w:color w:val="auto"/>
          <w:sz w:val="24"/>
          <w:szCs w:val="24"/>
        </w:rPr>
        <w:t>电话：</w:t>
      </w:r>
      <w:r>
        <w:rPr>
          <w:rFonts w:hint="eastAsia" w:ascii="宋体" w:hAnsi="宋体" w:cs="宋体"/>
          <w:color w:val="auto"/>
          <w:sz w:val="24"/>
        </w:rPr>
        <w:t>0951-8647500　</w:t>
      </w:r>
      <w:r>
        <w:rPr>
          <w:rStyle w:val="23"/>
          <w:rFonts w:hint="eastAsia" w:asciiTheme="minorEastAsia" w:hAnsiTheme="minorEastAsia" w:eastAsiaTheme="minorEastAsia" w:cstheme="minorEastAsia"/>
          <w:color w:val="auto"/>
          <w:sz w:val="28"/>
          <w:szCs w:val="28"/>
        </w:rPr>
        <w:t xml:space="preserve">                         </w:t>
      </w:r>
      <w:r>
        <w:rPr>
          <w:rStyle w:val="23"/>
          <w:rFonts w:hint="eastAsia" w:asciiTheme="minorEastAsia" w:hAnsiTheme="minorEastAsia" w:eastAsiaTheme="minorEastAsia" w:cstheme="minorEastAsia"/>
          <w:color w:val="auto"/>
          <w:sz w:val="24"/>
        </w:rPr>
        <w:t xml:space="preserve"> </w:t>
      </w:r>
    </w:p>
    <w:p>
      <w:pPr>
        <w:pageBreakBefore w:val="0"/>
        <w:widowControl w:val="0"/>
        <w:kinsoku/>
        <w:wordWrap/>
        <w:overflowPunct/>
        <w:topLinePunct w:val="0"/>
        <w:autoSpaceDE/>
        <w:autoSpaceDN/>
        <w:bidi w:val="0"/>
        <w:adjustRightInd w:val="0"/>
        <w:snapToGrid w:val="0"/>
        <w:spacing w:line="560" w:lineRule="exact"/>
        <w:ind w:firstLine="482" w:firstLineChars="200"/>
        <w:textAlignment w:val="auto"/>
        <w:rPr>
          <w:rStyle w:val="23"/>
          <w:rFonts w:hint="eastAsia" w:asciiTheme="minorEastAsia" w:hAnsiTheme="minorEastAsia" w:eastAsiaTheme="minorEastAsia" w:cstheme="minorEastAsia"/>
          <w:color w:val="auto"/>
          <w:sz w:val="24"/>
        </w:rPr>
      </w:pPr>
      <w:r>
        <w:rPr>
          <w:rStyle w:val="23"/>
          <w:rFonts w:hint="eastAsia" w:asciiTheme="minorEastAsia" w:hAnsiTheme="minorEastAsia" w:eastAsiaTheme="minorEastAsia" w:cstheme="minorEastAsia"/>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23"/>
          <w:rFonts w:hint="eastAsia" w:ascii="宋体" w:hAnsi="宋体" w:eastAsia="宋体" w:cs="宋体"/>
          <w:b w:val="0"/>
          <w:bCs/>
          <w:color w:val="auto"/>
          <w:sz w:val="24"/>
          <w:szCs w:val="24"/>
        </w:rPr>
      </w:pPr>
      <w:r>
        <w:rPr>
          <w:rStyle w:val="23"/>
          <w:rFonts w:hint="eastAsia" w:asciiTheme="minorEastAsia" w:hAnsiTheme="minorEastAsia" w:eastAsiaTheme="minorEastAsia" w:cstheme="minorEastAsia"/>
          <w:color w:val="auto"/>
          <w:sz w:val="24"/>
          <w:lang w:val="en-US" w:eastAsia="zh-CN"/>
        </w:rPr>
        <w:t xml:space="preserve">                           </w:t>
      </w:r>
      <w:r>
        <w:rPr>
          <w:rStyle w:val="23"/>
          <w:rFonts w:hint="eastAsia" w:ascii="宋体" w:hAnsi="宋体" w:eastAsia="宋体" w:cs="宋体"/>
          <w:b w:val="0"/>
          <w:bCs/>
          <w:color w:val="auto"/>
          <w:sz w:val="24"/>
          <w:szCs w:val="24"/>
        </w:rPr>
        <w:t>代理机构：</w:t>
      </w:r>
      <w:r>
        <w:rPr>
          <w:rFonts w:hint="eastAsia" w:ascii="宋体" w:hAnsi="宋体" w:cs="宋体"/>
          <w:color w:val="auto"/>
          <w:sz w:val="24"/>
        </w:rPr>
        <w:t>宁夏众诚嘉业招标咨询服务有限公司</w:t>
      </w:r>
      <w:r>
        <w:rPr>
          <w:rStyle w:val="23"/>
          <w:rFonts w:hint="eastAsia" w:ascii="宋体" w:hAnsi="宋体" w:eastAsia="宋体" w:cs="宋体"/>
          <w:b w:val="0"/>
          <w:bCs/>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lang w:val="en-US" w:eastAsia="zh-CN"/>
        </w:rPr>
      </w:pPr>
      <w:r>
        <w:rPr>
          <w:rStyle w:val="23"/>
          <w:rFonts w:hint="eastAsia" w:ascii="宋体" w:hAnsi="宋体" w:eastAsia="宋体" w:cs="宋体"/>
          <w:b w:val="0"/>
          <w:bCs/>
          <w:color w:val="auto"/>
          <w:sz w:val="24"/>
          <w:szCs w:val="24"/>
        </w:rPr>
        <w:t xml:space="preserve">                   </w:t>
      </w:r>
      <w:r>
        <w:rPr>
          <w:rStyle w:val="23"/>
          <w:rFonts w:hint="eastAsia" w:ascii="宋体" w:hAnsi="宋体" w:eastAsia="宋体" w:cs="宋体"/>
          <w:b w:val="0"/>
          <w:bCs/>
          <w:color w:val="auto"/>
          <w:sz w:val="24"/>
          <w:szCs w:val="24"/>
          <w:lang w:val="en-US" w:eastAsia="zh-CN"/>
        </w:rPr>
        <w:t xml:space="preserve">           2022年</w:t>
      </w:r>
      <w:r>
        <w:rPr>
          <w:rStyle w:val="23"/>
          <w:rFonts w:hint="eastAsia" w:ascii="宋体" w:hAnsi="宋体" w:cs="宋体"/>
          <w:b w:val="0"/>
          <w:bCs/>
          <w:color w:val="auto"/>
          <w:sz w:val="24"/>
          <w:szCs w:val="24"/>
          <w:lang w:val="en-US" w:eastAsia="zh-CN"/>
        </w:rPr>
        <w:t>10</w:t>
      </w:r>
      <w:r>
        <w:rPr>
          <w:rStyle w:val="23"/>
          <w:rFonts w:hint="eastAsia" w:ascii="宋体" w:hAnsi="宋体" w:eastAsia="宋体" w:cs="宋体"/>
          <w:b w:val="0"/>
          <w:bCs/>
          <w:color w:val="auto"/>
          <w:sz w:val="24"/>
          <w:szCs w:val="24"/>
          <w:lang w:val="en-US" w:eastAsia="zh-CN"/>
        </w:rPr>
        <w:t>月</w:t>
      </w:r>
      <w:r>
        <w:rPr>
          <w:rStyle w:val="23"/>
          <w:rFonts w:hint="eastAsia" w:ascii="宋体" w:hAnsi="宋体" w:cs="宋体"/>
          <w:b w:val="0"/>
          <w:bCs/>
          <w:color w:val="auto"/>
          <w:sz w:val="24"/>
          <w:szCs w:val="24"/>
          <w:lang w:val="en-US" w:eastAsia="zh-CN"/>
        </w:rPr>
        <w:t>12</w:t>
      </w:r>
      <w:r>
        <w:rPr>
          <w:rStyle w:val="23"/>
          <w:rFonts w:hint="eastAsia" w:ascii="宋体" w:hAnsi="宋体" w:eastAsia="宋体" w:cs="宋体"/>
          <w:b w:val="0"/>
          <w:bCs/>
          <w:color w:val="auto"/>
          <w:sz w:val="24"/>
          <w:szCs w:val="24"/>
          <w:lang w:val="en-US" w:eastAsia="zh-CN"/>
        </w:rPr>
        <w:t>日</w:t>
      </w:r>
    </w:p>
    <w:p>
      <w:pPr>
        <w:ind w:firstLine="5040" w:firstLineChars="2400"/>
        <w:rPr>
          <w:color w:val="auto"/>
        </w:rPr>
      </w:pPr>
    </w:p>
    <w:p>
      <w:pPr>
        <w:spacing w:line="560" w:lineRule="exact"/>
        <w:ind w:firstLine="8995" w:firstLineChars="2800"/>
        <w:rPr>
          <w:rFonts w:asciiTheme="minorEastAsia" w:hAnsiTheme="minorEastAsia" w:eastAsiaTheme="minorEastAsia" w:cstheme="minorEastAsia"/>
          <w:color w:val="auto"/>
          <w:sz w:val="32"/>
          <w:szCs w:val="32"/>
        </w:rPr>
      </w:pPr>
      <w:r>
        <w:rPr>
          <w:rStyle w:val="23"/>
          <w:rFonts w:hint="eastAsia" w:asciiTheme="minorEastAsia" w:hAnsiTheme="minorEastAsia" w:eastAsiaTheme="minorEastAsia" w:cstheme="minorEastAsia"/>
          <w:color w:val="auto"/>
          <w:sz w:val="32"/>
          <w:szCs w:val="32"/>
        </w:rPr>
        <w:br w:type="page"/>
      </w:r>
    </w:p>
    <w:p>
      <w:pPr>
        <w:spacing w:line="560" w:lineRule="exact"/>
        <w:jc w:val="center"/>
        <w:outlineLvl w:val="0"/>
        <w:rPr>
          <w:rFonts w:asciiTheme="minorEastAsia" w:hAnsiTheme="minorEastAsia" w:eastAsiaTheme="minorEastAsia" w:cstheme="minorEastAsia"/>
          <w:b/>
          <w:bCs/>
          <w:color w:val="auto"/>
          <w:sz w:val="32"/>
          <w:szCs w:val="32"/>
        </w:rPr>
      </w:pPr>
      <w:bookmarkStart w:id="14" w:name="_Toc19496"/>
      <w:bookmarkStart w:id="15" w:name="_Toc25842"/>
      <w:r>
        <w:rPr>
          <w:rFonts w:hint="eastAsia" w:asciiTheme="minorEastAsia" w:hAnsiTheme="minorEastAsia" w:eastAsiaTheme="minorEastAsia" w:cstheme="minorEastAsia"/>
          <w:b/>
          <w:bCs/>
          <w:color w:val="auto"/>
          <w:sz w:val="32"/>
          <w:szCs w:val="32"/>
        </w:rPr>
        <w:t xml:space="preserve">第二章 </w:t>
      </w:r>
      <w:r>
        <w:rPr>
          <w:rFonts w:hint="eastAsia" w:asciiTheme="minorEastAsia" w:hAnsiTheme="minorEastAsia" w:eastAsiaTheme="minorEastAsia" w:cstheme="minorEastAsia"/>
          <w:b/>
          <w:bCs/>
          <w:color w:val="auto"/>
          <w:sz w:val="32"/>
          <w:szCs w:val="32"/>
          <w:lang w:eastAsia="zh-CN"/>
        </w:rPr>
        <w:t>投标人</w:t>
      </w:r>
      <w:r>
        <w:rPr>
          <w:rFonts w:hint="eastAsia" w:asciiTheme="minorEastAsia" w:hAnsiTheme="minorEastAsia" w:eastAsiaTheme="minorEastAsia" w:cstheme="minorEastAsia"/>
          <w:b/>
          <w:bCs/>
          <w:color w:val="auto"/>
          <w:sz w:val="32"/>
          <w:szCs w:val="32"/>
        </w:rPr>
        <w:t>须知前附表</w:t>
      </w:r>
      <w:bookmarkEnd w:id="14"/>
      <w:bookmarkEnd w:id="15"/>
    </w:p>
    <w:p>
      <w:pPr>
        <w:spacing w:line="560" w:lineRule="exact"/>
        <w:ind w:firstLine="360" w:firstLineChars="150"/>
        <w:rPr>
          <w:rFonts w:ascii="宋体" w:hAnsi="宋体" w:cs="宋体"/>
          <w:color w:val="auto"/>
          <w:sz w:val="24"/>
        </w:rPr>
      </w:pPr>
      <w:r>
        <w:rPr>
          <w:rFonts w:hint="eastAsia" w:ascii="宋体" w:hAnsi="宋体" w:cs="宋体"/>
          <w:color w:val="auto"/>
          <w:sz w:val="24"/>
        </w:rPr>
        <w:t xml:space="preserve"> 本表是本采购项目的具体资料，是对</w:t>
      </w:r>
      <w:r>
        <w:rPr>
          <w:rFonts w:hint="eastAsia" w:ascii="宋体" w:hAnsi="宋体" w:cs="宋体"/>
          <w:color w:val="auto"/>
          <w:sz w:val="24"/>
          <w:lang w:eastAsia="zh-CN"/>
        </w:rPr>
        <w:t>投标人</w:t>
      </w:r>
      <w:r>
        <w:rPr>
          <w:rFonts w:hint="eastAsia" w:ascii="宋体" w:hAnsi="宋体" w:cs="宋体"/>
          <w:color w:val="auto"/>
          <w:sz w:val="24"/>
        </w:rPr>
        <w:t>须知的具体补充和修改，如有矛盾，应以本表为准。</w:t>
      </w:r>
    </w:p>
    <w:tbl>
      <w:tblPr>
        <w:tblStyle w:val="21"/>
        <w:tblW w:w="9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spacing w:line="560" w:lineRule="exact"/>
              <w:jc w:val="center"/>
              <w:rPr>
                <w:rFonts w:ascii="宋体" w:hAnsi="宋体" w:cs="宋体"/>
                <w:color w:val="auto"/>
                <w:sz w:val="24"/>
              </w:rPr>
            </w:pPr>
            <w:r>
              <w:rPr>
                <w:rFonts w:hint="eastAsia" w:ascii="宋体" w:hAnsi="宋体" w:cs="宋体"/>
                <w:b/>
                <w:bCs/>
                <w:color w:val="auto"/>
                <w:sz w:val="24"/>
              </w:rPr>
              <w:t>序号</w:t>
            </w:r>
          </w:p>
        </w:tc>
        <w:tc>
          <w:tcPr>
            <w:tcW w:w="8887" w:type="dxa"/>
            <w:vAlign w:val="center"/>
          </w:tcPr>
          <w:p>
            <w:pPr>
              <w:spacing w:line="560" w:lineRule="exact"/>
              <w:ind w:left="-48" w:leftChars="-23" w:firstLine="50"/>
              <w:jc w:val="center"/>
              <w:rPr>
                <w:rFonts w:ascii="宋体" w:hAnsi="宋体" w:cs="宋体"/>
                <w:b/>
                <w:color w:val="auto"/>
                <w:sz w:val="24"/>
              </w:rPr>
            </w:pPr>
            <w:r>
              <w:rPr>
                <w:rFonts w:hint="eastAsia" w:ascii="宋体" w:hAnsi="宋体" w:cs="宋体"/>
                <w:b/>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spacing w:line="560" w:lineRule="exact"/>
              <w:jc w:val="center"/>
              <w:rPr>
                <w:rFonts w:ascii="宋体" w:hAnsi="宋体" w:cs="宋体"/>
                <w:color w:val="auto"/>
                <w:sz w:val="24"/>
              </w:rPr>
            </w:pPr>
            <w:r>
              <w:rPr>
                <w:rFonts w:hint="eastAsia" w:ascii="宋体" w:hAnsi="宋体" w:cs="宋体"/>
                <w:color w:val="auto"/>
                <w:sz w:val="24"/>
              </w:rPr>
              <w:t>1</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Style w:val="23"/>
                <w:rFonts w:ascii="宋体" w:hAnsi="宋体" w:cs="宋体"/>
                <w:b w:val="0"/>
                <w:bCs/>
                <w:color w:val="auto"/>
                <w:sz w:val="24"/>
              </w:rPr>
            </w:pPr>
            <w:r>
              <w:rPr>
                <w:rFonts w:hint="eastAsia" w:ascii="宋体" w:hAnsi="宋体" w:cs="宋体"/>
                <w:color w:val="auto"/>
                <w:sz w:val="24"/>
              </w:rPr>
              <w:t>项目名称：</w:t>
            </w:r>
            <w:r>
              <w:rPr>
                <w:rStyle w:val="23"/>
                <w:rFonts w:hint="eastAsia" w:ascii="宋体" w:hAnsi="宋体" w:eastAsia="宋体" w:cs="宋体"/>
                <w:b w:val="0"/>
                <w:bCs/>
                <w:color w:val="auto"/>
                <w:sz w:val="24"/>
                <w:szCs w:val="24"/>
                <w:lang w:eastAsia="zh-CN"/>
              </w:rPr>
              <w:t>宁夏体育运动训练管理中心科学化训练监控系统采购项目</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cs="宋体"/>
                <w:color w:val="auto"/>
                <w:sz w:val="24"/>
              </w:rPr>
              <w:t>采购需求：</w:t>
            </w:r>
            <w:r>
              <w:rPr>
                <w:rStyle w:val="23"/>
                <w:rFonts w:hint="eastAsia" w:ascii="宋体" w:hAnsi="宋体" w:cs="宋体"/>
                <w:b w:val="0"/>
                <w:bCs/>
                <w:color w:val="auto"/>
                <w:sz w:val="24"/>
              </w:rPr>
              <w:t>具体参数及要求详见《磋商文件》项目说明和采购需求</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eastAsia="宋体" w:cs="宋体"/>
                <w:color w:val="auto"/>
                <w:sz w:val="24"/>
                <w:szCs w:val="24"/>
                <w:lang w:eastAsia="zh-CN"/>
              </w:rPr>
              <w:t>合同履行期限：</w:t>
            </w:r>
            <w:r>
              <w:rPr>
                <w:rStyle w:val="23"/>
                <w:rFonts w:hint="eastAsia" w:ascii="宋体" w:hAnsi="宋体" w:cs="宋体"/>
                <w:b w:val="0"/>
                <w:bCs/>
                <w:color w:val="auto"/>
                <w:sz w:val="24"/>
                <w:szCs w:val="24"/>
                <w:lang w:val="en-US" w:eastAsia="zh-CN"/>
              </w:rPr>
              <w:t>30天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spacing w:line="560" w:lineRule="exact"/>
              <w:jc w:val="center"/>
              <w:rPr>
                <w:rFonts w:ascii="宋体" w:hAnsi="宋体" w:cs="宋体"/>
                <w:color w:val="auto"/>
                <w:sz w:val="24"/>
              </w:rPr>
            </w:pPr>
            <w:r>
              <w:rPr>
                <w:rFonts w:hint="eastAsia" w:ascii="宋体" w:hAnsi="宋体" w:cs="宋体"/>
                <w:color w:val="auto"/>
                <w:sz w:val="24"/>
              </w:rPr>
              <w:t>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r>
              <w:rPr>
                <w:rFonts w:hint="eastAsia" w:ascii="宋体" w:hAnsi="宋体" w:cs="宋体"/>
                <w:color w:val="auto"/>
                <w:sz w:val="24"/>
                <w:lang w:val="en-US" w:eastAsia="zh-CN"/>
              </w:rPr>
              <w:t>宁夏回族自治区体育运动训练管理中心</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联系地址：</w:t>
            </w:r>
            <w:r>
              <w:rPr>
                <w:rFonts w:hint="eastAsia" w:ascii="宋体" w:hAnsi="宋体" w:cs="宋体"/>
                <w:color w:val="auto"/>
                <w:sz w:val="24"/>
                <w:lang w:eastAsia="zh-CN"/>
              </w:rPr>
              <w:t>银川市西夏区学院东路</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eastAsia="宋体" w:cs="宋体"/>
                <w:color w:val="auto"/>
                <w:sz w:val="24"/>
                <w:szCs w:val="24"/>
                <w:lang w:eastAsia="zh-CN"/>
              </w:rPr>
              <w:t>联系方式：</w:t>
            </w:r>
            <w:r>
              <w:rPr>
                <w:rFonts w:hint="eastAsia" w:cs="宋体"/>
                <w:color w:val="auto"/>
                <w:kern w:val="0"/>
                <w:sz w:val="24"/>
              </w:rPr>
              <w:t>陈国斌</w:t>
            </w:r>
            <w:r>
              <w:rPr>
                <w:rFonts w:hint="eastAsia" w:ascii="宋体" w:hAnsi="宋体" w:eastAsia="宋体" w:cs="宋体"/>
                <w:b w:val="0"/>
                <w:bCs w:val="0"/>
                <w:color w:val="auto"/>
                <w:kern w:val="2"/>
                <w:sz w:val="24"/>
                <w:szCs w:val="24"/>
                <w:lang w:val="en-US" w:eastAsia="zh-CN"/>
              </w:rPr>
              <w:t xml:space="preserve">   </w:t>
            </w:r>
            <w:r>
              <w:rPr>
                <w:rFonts w:hint="eastAsia" w:ascii="宋体" w:hAnsi="宋体" w:cs="宋体"/>
                <w:color w:val="auto"/>
                <w:sz w:val="24"/>
              </w:rPr>
              <w:t>0951-3850080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699" w:type="dxa"/>
            <w:vAlign w:val="center"/>
          </w:tcPr>
          <w:p>
            <w:pPr>
              <w:spacing w:line="560" w:lineRule="exact"/>
              <w:jc w:val="center"/>
              <w:rPr>
                <w:rFonts w:ascii="宋体" w:hAnsi="宋体" w:cs="宋体"/>
                <w:color w:val="auto"/>
                <w:sz w:val="24"/>
              </w:rPr>
            </w:pPr>
            <w:r>
              <w:rPr>
                <w:rFonts w:hint="eastAsia" w:ascii="宋体" w:hAnsi="宋体" w:cs="宋体"/>
                <w:color w:val="auto"/>
                <w:sz w:val="24"/>
              </w:rPr>
              <w:t>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采购代理机构：</w:t>
            </w:r>
            <w:r>
              <w:rPr>
                <w:rFonts w:hint="eastAsia" w:ascii="宋体" w:hAnsi="宋体" w:cs="宋体"/>
                <w:color w:val="auto"/>
                <w:sz w:val="24"/>
              </w:rPr>
              <w:t>宁夏众诚嘉业招标咨询服务有限公司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cs="宋体"/>
                <w:color w:val="auto"/>
                <w:sz w:val="24"/>
              </w:rPr>
              <w:t>银川市金凤区宁安南大街IBI育成中心一期8号楼310室</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eastAsia="宋体" w:cs="宋体"/>
                <w:color w:val="auto"/>
                <w:sz w:val="24"/>
                <w:szCs w:val="24"/>
              </w:rPr>
              <w:t>业务联系人：</w:t>
            </w:r>
            <w:r>
              <w:rPr>
                <w:rFonts w:hint="eastAsia" w:ascii="宋体" w:hAnsi="宋体" w:cs="宋体"/>
                <w:color w:val="auto"/>
                <w:sz w:val="24"/>
                <w:lang w:eastAsia="zh-CN"/>
              </w:rPr>
              <w:t>孙朝晖、赵文宏</w:t>
            </w:r>
            <w:r>
              <w:rPr>
                <w:rFonts w:hint="eastAsia" w:ascii="宋体" w:hAnsi="宋体" w:cs="宋体"/>
                <w:color w:val="auto"/>
                <w:sz w:val="24"/>
                <w:lang w:val="en-US" w:eastAsia="zh-CN"/>
              </w:rPr>
              <w:t xml:space="preserve">   </w:t>
            </w:r>
            <w:r>
              <w:rPr>
                <w:rFonts w:hint="eastAsia" w:ascii="宋体" w:hAnsi="宋体" w:cs="宋体"/>
                <w:color w:val="auto"/>
                <w:sz w:val="24"/>
              </w:rPr>
              <w:t xml:space="preserve"> 0951-8647500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99" w:type="dxa"/>
            <w:vAlign w:val="center"/>
          </w:tcPr>
          <w:p>
            <w:pPr>
              <w:spacing w:line="560" w:lineRule="exact"/>
              <w:jc w:val="center"/>
              <w:rPr>
                <w:rFonts w:ascii="宋体" w:hAnsi="宋体" w:cs="宋体"/>
                <w:color w:val="auto"/>
                <w:sz w:val="24"/>
              </w:rPr>
            </w:pPr>
            <w:r>
              <w:rPr>
                <w:rFonts w:hint="eastAsia" w:ascii="宋体" w:hAnsi="宋体" w:cs="宋体"/>
                <w:color w:val="auto"/>
                <w:sz w:val="24"/>
              </w:rPr>
              <w:t>4</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合格</w:t>
            </w:r>
            <w:r>
              <w:rPr>
                <w:rFonts w:hint="eastAsia" w:ascii="宋体" w:hAnsi="宋体" w:cs="宋体"/>
                <w:color w:val="auto"/>
                <w:sz w:val="24"/>
                <w:lang w:eastAsia="zh-CN"/>
              </w:rPr>
              <w:t>投标人</w:t>
            </w:r>
            <w:r>
              <w:rPr>
                <w:rFonts w:hint="eastAsia" w:ascii="宋体" w:hAnsi="宋体" w:cs="宋体"/>
                <w:color w:val="auto"/>
                <w:sz w:val="24"/>
              </w:rPr>
              <w:t>的资格要求：</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lang w:eastAsia="zh-CN"/>
              </w:rPr>
              <w:t>（</w:t>
            </w:r>
            <w:r>
              <w:rPr>
                <w:rStyle w:val="23"/>
                <w:rFonts w:hint="eastAsia" w:ascii="宋体" w:hAnsi="宋体" w:eastAsia="宋体" w:cs="宋体"/>
                <w:b w:val="0"/>
                <w:bCs/>
                <w:color w:val="auto"/>
                <w:sz w:val="24"/>
                <w:szCs w:val="24"/>
              </w:rPr>
              <w:t>1）</w:t>
            </w:r>
            <w:r>
              <w:rPr>
                <w:rStyle w:val="23"/>
                <w:rFonts w:hint="eastAsia" w:ascii="宋体" w:hAnsi="宋体" w:cs="宋体"/>
                <w:b w:val="0"/>
                <w:color w:val="auto"/>
                <w:sz w:val="24"/>
                <w:lang w:val="en-US" w:eastAsia="zh-CN"/>
              </w:rPr>
              <w:t>提</w:t>
            </w:r>
            <w:r>
              <w:rPr>
                <w:rFonts w:hint="eastAsia" w:ascii="宋体" w:hAnsi="宋体" w:cs="宋体"/>
                <w:color w:val="auto"/>
                <w:sz w:val="24"/>
              </w:rPr>
              <w:t>供在中华人民共和国境内注册的法人或其他组织的营业执照（或事业单位法人证书，或社会团体法人登记证书），如投标供应商为自然人的需提供自然人身份证明</w:t>
            </w:r>
            <w:r>
              <w:rPr>
                <w:rFonts w:hint="eastAsia" w:ascii="宋体" w:hAnsi="宋体" w:cs="宋体"/>
                <w:color w:val="auto"/>
                <w:sz w:val="24"/>
                <w:lang w:eastAsia="zh-CN"/>
              </w:rPr>
              <w:t>；</w:t>
            </w:r>
            <w:r>
              <w:rPr>
                <w:rStyle w:val="23"/>
                <w:rFonts w:hint="eastAsia" w:ascii="宋体" w:hAnsi="宋体" w:eastAsia="宋体" w:cs="宋体"/>
                <w:b w:val="0"/>
                <w:bCs/>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 xml:space="preserve">（2）法定代表人授权书及被授权人身份证（法定代表人直接投标可不提供，但须提供法定代表人身份证明）；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3</w:t>
            </w:r>
            <w:r>
              <w:rPr>
                <w:rStyle w:val="23"/>
                <w:rFonts w:hint="eastAsia" w:ascii="宋体" w:hAnsi="宋体" w:eastAsia="宋体" w:cs="宋体"/>
                <w:b w:val="0"/>
                <w:bCs/>
                <w:color w:val="auto"/>
                <w:sz w:val="24"/>
                <w:szCs w:val="24"/>
              </w:rPr>
              <w:t xml:space="preserve">）“信用中国”以及“中国政府采购网”查询，对列入失信被执行人、重大税收违法案件当事人名单、政府采购严重违法失信行为记录名单及其他不符合《中华人民共和国政府采购法》第二十二条规定条件的供应商，拒绝其参与政府采购活动（采购代理机构开标现场查询）；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4</w:t>
            </w:r>
            <w:r>
              <w:rPr>
                <w:rStyle w:val="23"/>
                <w:rFonts w:hint="eastAsia" w:ascii="宋体" w:hAnsi="宋体" w:eastAsia="宋体" w:cs="宋体"/>
                <w:b w:val="0"/>
                <w:bCs/>
                <w:color w:val="auto"/>
                <w:sz w:val="24"/>
                <w:szCs w:val="24"/>
              </w:rPr>
              <w:t xml:space="preserve">）具有良好的商业信誉和健全的财务会计制度承诺书（如不提供本承诺书须提供财务会计制度）；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5</w:t>
            </w:r>
            <w:r>
              <w:rPr>
                <w:rStyle w:val="23"/>
                <w:rFonts w:hint="eastAsia" w:ascii="宋体" w:hAnsi="宋体" w:eastAsia="宋体" w:cs="宋体"/>
                <w:b w:val="0"/>
                <w:bCs/>
                <w:color w:val="auto"/>
                <w:sz w:val="24"/>
                <w:szCs w:val="24"/>
              </w:rPr>
              <w:t>）依法缴纳社会保障资金的缴纳记录和税收的承诺书（如不提供本承诺书须提供 202</w:t>
            </w:r>
            <w:r>
              <w:rPr>
                <w:rStyle w:val="23"/>
                <w:rFonts w:hint="eastAsia" w:ascii="宋体" w:hAnsi="宋体" w:cs="宋体"/>
                <w:b w:val="0"/>
                <w:bCs/>
                <w:color w:val="auto"/>
                <w:sz w:val="24"/>
                <w:szCs w:val="24"/>
                <w:lang w:val="en-US" w:eastAsia="zh-CN"/>
              </w:rPr>
              <w:t>2</w:t>
            </w:r>
            <w:r>
              <w:rPr>
                <w:rStyle w:val="23"/>
                <w:rFonts w:hint="eastAsia" w:ascii="宋体" w:hAnsi="宋体" w:eastAsia="宋体" w:cs="宋体"/>
                <w:b w:val="0"/>
                <w:bCs/>
                <w:color w:val="auto"/>
                <w:sz w:val="24"/>
                <w:szCs w:val="24"/>
              </w:rPr>
              <w:t xml:space="preserve">年1月至开标前任意一个月的依法纳税、养老和医疗缴费证明）；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hint="eastAsia" w:ascii="宋体" w:hAnsi="宋体" w:eastAsia="宋体" w:cs="宋体"/>
                <w:b w:val="0"/>
                <w:bCs/>
                <w:color w:val="auto"/>
                <w:sz w:val="24"/>
                <w:szCs w:val="24"/>
                <w:lang w:eastAsia="zh-CN"/>
              </w:rPr>
            </w:pPr>
            <w:r>
              <w:rPr>
                <w:rStyle w:val="23"/>
                <w:rFonts w:hint="eastAsia" w:ascii="宋体" w:hAnsi="宋体" w:eastAsia="宋体" w:cs="宋体"/>
                <w:b w:val="0"/>
                <w:bCs/>
                <w:color w:val="auto"/>
                <w:sz w:val="24"/>
                <w:szCs w:val="24"/>
              </w:rPr>
              <w:t>（</w:t>
            </w:r>
            <w:r>
              <w:rPr>
                <w:rStyle w:val="23"/>
                <w:rFonts w:hint="eastAsia" w:ascii="宋体" w:hAnsi="宋体" w:cs="宋体"/>
                <w:b w:val="0"/>
                <w:bCs/>
                <w:color w:val="auto"/>
                <w:sz w:val="24"/>
                <w:szCs w:val="24"/>
                <w:lang w:val="en-US" w:eastAsia="zh-CN"/>
              </w:rPr>
              <w:t>6</w:t>
            </w:r>
            <w:r>
              <w:rPr>
                <w:rStyle w:val="23"/>
                <w:rFonts w:hint="eastAsia" w:ascii="宋体" w:hAnsi="宋体" w:eastAsia="宋体" w:cs="宋体"/>
                <w:b w:val="0"/>
                <w:bCs/>
                <w:color w:val="auto"/>
                <w:sz w:val="24"/>
                <w:szCs w:val="24"/>
              </w:rPr>
              <w:t>）参加政府采购活动前3年内在经营活动中没有重大违法记录的承诺书</w:t>
            </w:r>
            <w:r>
              <w:rPr>
                <w:rStyle w:val="23"/>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lang w:val="en-US" w:eastAsia="zh-CN"/>
              </w:rPr>
            </w:pPr>
            <w:r>
              <w:rPr>
                <w:rStyle w:val="23"/>
                <w:rFonts w:hint="eastAsia" w:ascii="宋体" w:hAnsi="宋体" w:eastAsia="宋体" w:cs="宋体"/>
                <w:b w:val="0"/>
                <w:bCs/>
                <w:color w:val="auto"/>
                <w:sz w:val="24"/>
                <w:szCs w:val="24"/>
                <w:lang w:val="en-US" w:eastAsia="zh-CN"/>
              </w:rPr>
              <w:t>（</w:t>
            </w:r>
            <w:r>
              <w:rPr>
                <w:rStyle w:val="23"/>
                <w:rFonts w:hint="eastAsia" w:ascii="宋体" w:hAnsi="宋体" w:cs="宋体"/>
                <w:b w:val="0"/>
                <w:bCs/>
                <w:color w:val="auto"/>
                <w:sz w:val="24"/>
                <w:szCs w:val="24"/>
                <w:lang w:val="en-US" w:eastAsia="zh-CN"/>
              </w:rPr>
              <w:t>7</w:t>
            </w:r>
            <w:r>
              <w:rPr>
                <w:rStyle w:val="23"/>
                <w:rFonts w:hint="eastAsia" w:ascii="宋体" w:hAnsi="宋体" w:eastAsia="宋体" w:cs="宋体"/>
                <w:b w:val="0"/>
                <w:bCs/>
                <w:color w:val="auto"/>
                <w:sz w:val="24"/>
                <w:szCs w:val="24"/>
                <w:lang w:val="en-US" w:eastAsia="zh-CN"/>
              </w:rPr>
              <w:t>）具有履行合同所必需的设备和专业技术能力承诺书或相关证明材料（投标人自行提供</w:t>
            </w:r>
            <w:r>
              <w:rPr>
                <w:rStyle w:val="23"/>
                <w:rFonts w:hint="eastAsia" w:ascii="宋体" w:hAnsi="宋体" w:cs="宋体"/>
                <w:b w:val="0"/>
                <w:bCs/>
                <w:color w:val="auto"/>
                <w:sz w:val="24"/>
                <w:szCs w:val="24"/>
                <w:lang w:val="en-US" w:eastAsia="zh-CN"/>
              </w:rPr>
              <w:t>承诺书</w:t>
            </w:r>
            <w:r>
              <w:rPr>
                <w:rStyle w:val="23"/>
                <w:rFonts w:hint="eastAsia" w:ascii="宋体" w:hAnsi="宋体" w:eastAsia="宋体" w:cs="宋体"/>
                <w:b w:val="0"/>
                <w:bCs/>
                <w:color w:val="auto"/>
                <w:sz w:val="24"/>
                <w:szCs w:val="24"/>
                <w:lang w:val="en-US" w:eastAsia="zh-CN"/>
              </w:rPr>
              <w:t>）。</w:t>
            </w:r>
            <w:r>
              <w:rPr>
                <w:rStyle w:val="23"/>
                <w:rFonts w:hint="eastAsia" w:ascii="宋体" w:hAnsi="宋体" w:eastAsia="宋体" w:cs="宋体"/>
                <w:b w:val="0"/>
                <w:bCs/>
                <w:color w:val="auto"/>
                <w:sz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cs="宋体"/>
                <w:color w:val="auto"/>
                <w:sz w:val="24"/>
              </w:rPr>
            </w:pPr>
            <w:r>
              <w:rPr>
                <w:rFonts w:hint="eastAsia" w:ascii="宋体" w:hAnsi="宋体" w:cs="宋体"/>
                <w:b/>
                <w:bCs/>
                <w:color w:val="auto"/>
                <w:sz w:val="24"/>
                <w:szCs w:val="24"/>
                <w:lang w:val="zh-CN"/>
              </w:rPr>
              <w:t>注：以上文件须在</w:t>
            </w:r>
            <w:r>
              <w:rPr>
                <w:rFonts w:hint="eastAsia" w:cs="宋体"/>
                <w:b/>
                <w:bCs/>
                <w:color w:val="auto"/>
                <w:sz w:val="24"/>
                <w:szCs w:val="24"/>
                <w:lang w:val="zh-CN"/>
              </w:rPr>
              <w:t>响应文件</w:t>
            </w:r>
            <w:r>
              <w:rPr>
                <w:rFonts w:hint="eastAsia" w:ascii="宋体" w:hAnsi="宋体" w:cs="宋体"/>
                <w:b/>
                <w:bCs/>
                <w:color w:val="auto"/>
                <w:sz w:val="24"/>
                <w:szCs w:val="24"/>
                <w:lang w:val="zh-CN"/>
              </w:rPr>
              <w:t>中附复印件并加盖公章，不符合要求的资格审查不予通过。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合格</w:t>
            </w:r>
            <w:r>
              <w:rPr>
                <w:rFonts w:hint="eastAsia" w:ascii="宋体" w:hAnsi="宋体" w:cs="宋体"/>
                <w:color w:val="auto"/>
                <w:sz w:val="24"/>
                <w:lang w:eastAsia="zh-CN"/>
              </w:rPr>
              <w:t>投标人</w:t>
            </w:r>
            <w:r>
              <w:rPr>
                <w:rFonts w:hint="eastAsia" w:ascii="宋体" w:hAnsi="宋体" w:cs="宋体"/>
                <w:color w:val="auto"/>
                <w:sz w:val="24"/>
              </w:rPr>
              <w:t>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699" w:type="dxa"/>
            <w:vAlign w:val="center"/>
          </w:tcPr>
          <w:p>
            <w:pPr>
              <w:spacing w:line="5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eastAsia="宋体" w:cs="宋体"/>
                <w:color w:val="auto"/>
                <w:sz w:val="24"/>
                <w:szCs w:val="24"/>
              </w:rPr>
              <w:t>是否允许采购进口产品：</w:t>
            </w:r>
            <w:r>
              <w:rPr>
                <w:rFonts w:hint="eastAsia" w:ascii="宋体" w:hAnsi="宋体" w:eastAsia="宋体" w:cs="宋体"/>
                <w:color w:val="auto"/>
                <w:sz w:val="24"/>
                <w:szCs w:val="24"/>
                <w:u w:val="singl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是否为专门面向中小企业采购：</w:t>
            </w:r>
            <w:r>
              <w:rPr>
                <w:rFonts w:hint="eastAsia" w:ascii="宋体" w:hAnsi="宋体" w:cs="宋体"/>
                <w:color w:val="auto"/>
                <w:sz w:val="24"/>
                <w:szCs w:val="24"/>
                <w:u w:val="single"/>
                <w:lang w:eastAsia="zh-CN"/>
              </w:rPr>
              <w:t>是</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lang w:eastAsia="zh-CN"/>
              </w:rPr>
            </w:pPr>
            <w:r>
              <w:rPr>
                <w:rFonts w:hint="eastAsia" w:ascii="宋体" w:hAnsi="宋体" w:eastAsia="宋体" w:cs="宋体"/>
                <w:b/>
                <w:bCs/>
                <w:color w:val="auto"/>
                <w:sz w:val="24"/>
                <w:lang w:eastAsia="zh-CN"/>
              </w:rPr>
              <w:t>专门面向中小企业采购的项目，不再执行价格评审优惠的扶持政策；投标单位必须提供中小企业声明函；</w:t>
            </w:r>
            <w:r>
              <w:rPr>
                <w:rFonts w:hint="eastAsia" w:ascii="宋体" w:hAnsi="宋体" w:cs="宋体"/>
                <w:b/>
                <w:bCs/>
                <w:color w:val="auto"/>
                <w:sz w:val="24"/>
                <w:lang w:eastAsia="zh-CN"/>
              </w:rPr>
              <w:t>本项目所属行业为</w:t>
            </w:r>
            <w:r>
              <w:rPr>
                <w:rFonts w:hint="eastAsia" w:ascii="宋体" w:hAnsi="宋体" w:eastAsia="宋体" w:cs="宋体"/>
                <w:b/>
                <w:bCs/>
                <w:color w:val="auto"/>
                <w:sz w:val="24"/>
                <w:lang w:eastAsia="zh-CN"/>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是否允许联合体投标：</w:t>
            </w:r>
            <w:r>
              <w:rPr>
                <w:rFonts w:hint="eastAsia" w:ascii="宋体" w:hAnsi="宋体" w:cs="宋体"/>
                <w:color w:val="auto"/>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spacing w:line="5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eastAsia="宋体" w:cs="宋体"/>
                <w:color w:val="auto"/>
                <w:sz w:val="24"/>
                <w:szCs w:val="24"/>
              </w:rPr>
              <w:t>联合体的其他资格要求：</w:t>
            </w:r>
            <w:r>
              <w:rPr>
                <w:rFonts w:hint="eastAsia" w:ascii="宋体" w:hAnsi="宋体" w:eastAsia="宋体" w:cs="宋体"/>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响应文件</w:t>
            </w:r>
            <w:r>
              <w:rPr>
                <w:rFonts w:hint="eastAsia" w:ascii="宋体" w:hAnsi="宋体" w:cs="宋体"/>
                <w:color w:val="auto"/>
                <w:sz w:val="24"/>
              </w:rPr>
              <w:t>（纸质/电子）提交截止时间：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eastAsia="zh-CN"/>
              </w:rPr>
              <w:t>上</w:t>
            </w:r>
            <w:r>
              <w:rPr>
                <w:rFonts w:hint="eastAsia" w:ascii="宋体" w:hAnsi="宋体" w:cs="宋体"/>
                <w:color w:val="auto"/>
                <w:sz w:val="24"/>
                <w:u w:val="single"/>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分至202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eastAsia="zh-CN"/>
              </w:rPr>
              <w:t>上</w:t>
            </w:r>
            <w:r>
              <w:rPr>
                <w:rFonts w:hint="eastAsia" w:ascii="宋体" w:hAnsi="宋体" w:cs="宋体"/>
                <w:color w:val="auto"/>
                <w:sz w:val="24"/>
                <w:u w:val="single"/>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 xml:space="preserve">（2）响应文件份数：纸质版响应文件（左侧胶装，不得活页装订，双面打印）正本一份，副本三份，电子版一份（U盘，须为响应文件WPS版本及正本签字盖章后的PDF扫描件）；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封套信息： 项目名称：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5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项目编号：</w:t>
            </w:r>
            <w:r>
              <w:rPr>
                <w:rFonts w:hint="eastAsia" w:ascii="宋体" w:hAnsi="宋体" w:cs="宋体"/>
                <w:color w:val="auto"/>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投标人名称：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年    月    日   :  时之前不得启封</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（4）响应文件提交地点：宁夏众诚嘉业招标咨询服务有限公司会议室（银川市金凤区宁安南大街IBI育成中心一期8号楼310室）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888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Style w:val="23"/>
                <w:rFonts w:ascii="宋体" w:hAnsi="宋体" w:cs="宋体"/>
                <w:b w:val="0"/>
                <w:bCs/>
                <w:color w:val="auto"/>
                <w:sz w:val="24"/>
              </w:rPr>
            </w:pPr>
            <w:r>
              <w:rPr>
                <w:rStyle w:val="23"/>
                <w:rFonts w:hint="eastAsia" w:ascii="宋体" w:hAnsi="宋体" w:cs="宋体"/>
                <w:b w:val="0"/>
                <w:bCs/>
                <w:color w:val="auto"/>
                <w:sz w:val="24"/>
              </w:rPr>
              <w:t>项目预算金额（元）：</w:t>
            </w:r>
            <w:r>
              <w:rPr>
                <w:rStyle w:val="23"/>
                <w:rFonts w:hint="eastAsia" w:ascii="宋体" w:hAnsi="宋体" w:cs="宋体"/>
                <w:b w:val="0"/>
                <w:bCs/>
                <w:color w:val="auto"/>
                <w:sz w:val="24"/>
                <w:szCs w:val="24"/>
                <w:lang w:eastAsia="zh-CN"/>
              </w:rPr>
              <w:t>肆拾伍万元整</w:t>
            </w:r>
            <w:r>
              <w:rPr>
                <w:rStyle w:val="23"/>
                <w:rFonts w:hint="eastAsia" w:ascii="宋体" w:hAnsi="宋体" w:eastAsia="宋体" w:cs="宋体"/>
                <w:b w:val="0"/>
                <w:bCs/>
                <w:color w:val="auto"/>
                <w:sz w:val="24"/>
                <w:szCs w:val="24"/>
                <w:lang w:val="en-US" w:eastAsia="zh-CN"/>
              </w:rPr>
              <w:t xml:space="preserve">  （¥</w:t>
            </w:r>
            <w:r>
              <w:rPr>
                <w:rStyle w:val="23"/>
                <w:rFonts w:hint="eastAsia" w:ascii="宋体" w:hAnsi="宋体" w:cs="宋体"/>
                <w:b w:val="0"/>
                <w:bCs/>
                <w:color w:val="auto"/>
                <w:sz w:val="24"/>
                <w:szCs w:val="24"/>
                <w:lang w:val="en-US" w:eastAsia="zh-CN"/>
              </w:rPr>
              <w:t>450000</w:t>
            </w:r>
            <w:r>
              <w:rPr>
                <w:rStyle w:val="23"/>
                <w:rFonts w:hint="eastAsia" w:ascii="宋体" w:hAnsi="宋体" w:eastAsia="宋体" w:cs="宋体"/>
                <w:b w:val="0"/>
                <w:bCs/>
                <w:color w:val="auto"/>
                <w:sz w:val="24"/>
                <w:szCs w:val="24"/>
                <w:lang w:val="en-US" w:eastAsia="zh-CN"/>
              </w:rPr>
              <w:t>.00）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cs="宋体"/>
                <w:color w:val="auto"/>
                <w:sz w:val="24"/>
              </w:rPr>
            </w:pPr>
            <w:r>
              <w:rPr>
                <w:rStyle w:val="23"/>
                <w:rFonts w:hint="eastAsia" w:ascii="宋体" w:hAnsi="宋体" w:cs="宋体"/>
                <w:b w:val="0"/>
                <w:bCs/>
                <w:color w:val="auto"/>
                <w:sz w:val="24"/>
              </w:rPr>
              <w:t>最高限价（元）：</w:t>
            </w:r>
            <w:r>
              <w:rPr>
                <w:rStyle w:val="23"/>
                <w:rFonts w:hint="eastAsia" w:ascii="宋体" w:hAnsi="宋体" w:cs="宋体"/>
                <w:b w:val="0"/>
                <w:bCs/>
                <w:color w:val="auto"/>
                <w:sz w:val="24"/>
                <w:szCs w:val="24"/>
                <w:lang w:eastAsia="zh-CN"/>
              </w:rPr>
              <w:t>肆拾伍万元整</w:t>
            </w:r>
            <w:r>
              <w:rPr>
                <w:rStyle w:val="23"/>
                <w:rFonts w:hint="eastAsia" w:ascii="宋体" w:hAnsi="宋体" w:eastAsia="宋体" w:cs="宋体"/>
                <w:b w:val="0"/>
                <w:bCs/>
                <w:color w:val="auto"/>
                <w:sz w:val="24"/>
                <w:szCs w:val="24"/>
                <w:lang w:val="en-US" w:eastAsia="zh-CN"/>
              </w:rPr>
              <w:t xml:space="preserve">  （¥</w:t>
            </w:r>
            <w:r>
              <w:rPr>
                <w:rStyle w:val="23"/>
                <w:rFonts w:hint="eastAsia" w:ascii="宋体" w:hAnsi="宋体" w:cs="宋体"/>
                <w:b w:val="0"/>
                <w:bCs/>
                <w:color w:val="auto"/>
                <w:sz w:val="24"/>
                <w:szCs w:val="24"/>
                <w:lang w:val="en-US" w:eastAsia="zh-CN"/>
              </w:rPr>
              <w:t>450000</w:t>
            </w:r>
            <w:r>
              <w:rPr>
                <w:rStyle w:val="23"/>
                <w:rFonts w:hint="eastAsia" w:ascii="宋体" w:hAnsi="宋体" w:eastAsia="宋体" w:cs="宋体"/>
                <w:b w:val="0"/>
                <w:bCs/>
                <w:color w:val="auto"/>
                <w:sz w:val="24"/>
                <w:szCs w:val="24"/>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lang w:eastAsia="zh-CN"/>
              </w:rPr>
            </w:pPr>
            <w:r>
              <w:rPr>
                <w:rFonts w:hint="eastAsia" w:ascii="宋体" w:hAnsi="宋体" w:cs="宋体"/>
                <w:color w:val="auto"/>
                <w:sz w:val="24"/>
              </w:rPr>
              <w:t>保证金：</w:t>
            </w:r>
            <w:r>
              <w:rPr>
                <w:rStyle w:val="23"/>
                <w:rFonts w:hint="eastAsia" w:ascii="宋体" w:hAnsi="宋体" w:cs="宋体"/>
                <w:b w:val="0"/>
                <w:bCs/>
                <w:color w:val="auto"/>
                <w:sz w:val="24"/>
                <w:u w:val="single"/>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eastAsia="宋体" w:cs="宋体"/>
                <w:color w:val="auto"/>
                <w:sz w:val="24"/>
                <w:szCs w:val="24"/>
              </w:rPr>
              <w:t>是否需要提供样品：</w:t>
            </w:r>
            <w:r>
              <w:rPr>
                <w:rFonts w:hint="eastAsia" w:ascii="宋体" w:hAnsi="宋体" w:eastAsia="宋体" w:cs="宋体"/>
                <w:color w:val="auto"/>
                <w:sz w:val="24"/>
                <w:szCs w:val="24"/>
                <w:u w:val="singl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eastAsia="宋体"/>
                <w:color w:val="auto"/>
                <w:lang w:val="en-US" w:eastAsia="zh-CN"/>
              </w:rPr>
            </w:pPr>
            <w:r>
              <w:rPr>
                <w:rFonts w:hint="eastAsia" w:ascii="宋体" w:hAnsi="宋体" w:cs="宋体"/>
                <w:color w:val="auto"/>
                <w:sz w:val="24"/>
              </w:rPr>
              <w:t>是否组织现场考察或者召开答疑会：</w:t>
            </w:r>
            <w:r>
              <w:rPr>
                <w:rFonts w:hint="eastAsia" w:ascii="宋体" w:hAnsi="宋体" w:cs="宋体"/>
                <w:color w:val="auto"/>
                <w:sz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u w:val="single"/>
              </w:rPr>
            </w:pPr>
            <w:r>
              <w:rPr>
                <w:rFonts w:hint="eastAsia" w:ascii="宋体" w:hAnsi="宋体" w:cs="宋体"/>
                <w:color w:val="auto"/>
                <w:sz w:val="24"/>
                <w:lang w:eastAsia="zh-CN"/>
              </w:rPr>
              <w:t>投标</w:t>
            </w:r>
            <w:r>
              <w:rPr>
                <w:rFonts w:hint="eastAsia" w:ascii="宋体" w:hAnsi="宋体" w:cs="宋体"/>
                <w:color w:val="auto"/>
                <w:sz w:val="24"/>
              </w:rPr>
              <w:t>有效期：提交响应文件截止之日起</w:t>
            </w:r>
            <w:r>
              <w:rPr>
                <w:rFonts w:hint="eastAsia" w:ascii="宋体" w:hAnsi="宋体" w:cs="宋体"/>
                <w:color w:val="auto"/>
                <w:sz w:val="24"/>
                <w:u w:val="single"/>
              </w:rPr>
              <w:t>90个</w:t>
            </w:r>
            <w:r>
              <w:rPr>
                <w:rFonts w:hint="eastAsia" w:ascii="宋体" w:hAnsi="宋体" w:cs="宋体"/>
                <w:color w:val="auto"/>
                <w:sz w:val="24"/>
              </w:rPr>
              <w:t>自然日（日历日）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响应文件（电子/纸质）提交截止时间：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eastAsia="zh-CN"/>
              </w:rPr>
              <w:t>上</w:t>
            </w:r>
            <w:r>
              <w:rPr>
                <w:rFonts w:hint="eastAsia" w:ascii="宋体" w:hAnsi="宋体" w:cs="宋体"/>
                <w:color w:val="auto"/>
                <w:sz w:val="24"/>
                <w:u w:val="single"/>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w:t>
            </w:r>
            <w:r>
              <w:rPr>
                <w:rFonts w:hint="eastAsia" w:ascii="宋体" w:hAnsi="宋体" w:cs="宋体"/>
                <w:color w:val="auto"/>
                <w:sz w:val="24"/>
                <w:u w:val="single"/>
                <w:lang w:val="en-US" w:eastAsia="zh-CN"/>
              </w:rPr>
              <w:t>30</w:t>
            </w:r>
            <w:r>
              <w:rPr>
                <w:rFonts w:hint="eastAsia" w:ascii="宋体" w:hAnsi="宋体" w:cs="宋体"/>
                <w:color w:val="auto"/>
                <w:sz w:val="24"/>
                <w:u w:val="single"/>
              </w:rPr>
              <w:t>整</w:t>
            </w:r>
            <w:r>
              <w:rPr>
                <w:rFonts w:hint="eastAsia" w:ascii="宋体" w:hAnsi="宋体" w:cs="宋体"/>
                <w:color w:val="auto"/>
                <w:sz w:val="24"/>
              </w:rPr>
              <w:t>　　　　　　</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响应文件提交地点：宁夏众诚嘉业招标咨询服务有限公司会议室（银川市金凤区宁安南大街IBI育成中心一期8号楼310室）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7</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u w:val="single"/>
              </w:rPr>
            </w:pPr>
            <w:r>
              <w:rPr>
                <w:rFonts w:hint="eastAsia" w:ascii="宋体" w:hAnsi="宋体" w:cs="宋体"/>
                <w:color w:val="auto"/>
                <w:sz w:val="24"/>
              </w:rPr>
              <w:t>磋商时间：</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eastAsia="zh-CN"/>
              </w:rPr>
              <w:t>上</w:t>
            </w:r>
            <w:r>
              <w:rPr>
                <w:rFonts w:hint="eastAsia" w:ascii="宋体" w:hAnsi="宋体" w:cs="宋体"/>
                <w:color w:val="auto"/>
                <w:sz w:val="24"/>
                <w:u w:val="single"/>
              </w:rPr>
              <w:t>午</w:t>
            </w:r>
            <w:r>
              <w:rPr>
                <w:rFonts w:hint="eastAsia" w:ascii="宋体" w:hAnsi="宋体" w:cs="宋体"/>
                <w:color w:val="auto"/>
                <w:sz w:val="24"/>
                <w:u w:val="single"/>
                <w:lang w:val="en-US" w:eastAsia="zh-CN"/>
              </w:rPr>
              <w:t>09</w:t>
            </w:r>
            <w:r>
              <w:rPr>
                <w:rFonts w:hint="eastAsia" w:ascii="宋体" w:hAnsi="宋体" w:cs="宋体"/>
                <w:color w:val="auto"/>
                <w:sz w:val="24"/>
                <w:u w:val="single"/>
              </w:rPr>
              <w:t>：</w:t>
            </w:r>
            <w:r>
              <w:rPr>
                <w:rFonts w:hint="eastAsia" w:ascii="宋体" w:hAnsi="宋体" w:cs="宋体"/>
                <w:color w:val="auto"/>
                <w:sz w:val="24"/>
                <w:u w:val="single"/>
                <w:lang w:val="en-US" w:eastAsia="zh-CN"/>
              </w:rPr>
              <w:t>30</w:t>
            </w:r>
            <w:r>
              <w:rPr>
                <w:rFonts w:hint="eastAsia" w:ascii="宋体" w:hAnsi="宋体" w:cs="宋体"/>
                <w:color w:val="auto"/>
                <w:sz w:val="24"/>
                <w:u w:val="single"/>
              </w:rPr>
              <w:t>整</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磋商地点：宁夏众诚嘉业招标咨询服务有限公司会议室（银川市金凤区宁安南大街IBI育成中心一期8号楼310室）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信用查询时间：</w:t>
            </w:r>
            <w:r>
              <w:rPr>
                <w:rFonts w:hint="eastAsia" w:ascii="宋体" w:hAnsi="宋体" w:cs="宋体"/>
                <w:color w:val="auto"/>
                <w:sz w:val="24"/>
                <w:u w:val="single"/>
              </w:rPr>
              <w:t>投标截止时间</w:t>
            </w:r>
            <w:r>
              <w:rPr>
                <w:rFonts w:hint="eastAsia" w:ascii="宋体" w:hAnsi="宋体" w:cs="宋体"/>
                <w:color w:val="auto"/>
                <w:sz w:val="24"/>
              </w:rPr>
              <w:t>（如潜在</w:t>
            </w:r>
            <w:r>
              <w:rPr>
                <w:rFonts w:hint="eastAsia" w:ascii="宋体" w:hAnsi="宋体" w:cs="宋体"/>
                <w:color w:val="auto"/>
                <w:sz w:val="24"/>
                <w:lang w:eastAsia="zh-CN"/>
              </w:rPr>
              <w:t>投标人</w:t>
            </w:r>
            <w:r>
              <w:rPr>
                <w:rFonts w:hint="eastAsia" w:ascii="宋体" w:hAnsi="宋体" w:cs="宋体"/>
                <w:color w:val="auto"/>
                <w:sz w:val="24"/>
              </w:rPr>
              <w:t>较多时，建议设定查询时间为递交投标截止时间前一天至资格核对工作结束前；如潜在</w:t>
            </w:r>
            <w:r>
              <w:rPr>
                <w:rFonts w:hint="eastAsia" w:ascii="宋体" w:hAnsi="宋体" w:cs="宋体"/>
                <w:color w:val="auto"/>
                <w:sz w:val="24"/>
                <w:lang w:eastAsia="zh-CN"/>
              </w:rPr>
              <w:t>投标人</w:t>
            </w:r>
            <w:r>
              <w:rPr>
                <w:rFonts w:hint="eastAsia" w:ascii="宋体" w:hAnsi="宋体" w:cs="宋体"/>
                <w:color w:val="auto"/>
                <w:sz w:val="24"/>
              </w:rPr>
              <w:t>较少时，建议设定查询时间为递交投标截止时间后一个小时）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spacing w:line="5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eastAsia="宋体" w:cs="宋体"/>
                <w:color w:val="auto"/>
                <w:sz w:val="24"/>
                <w:szCs w:val="24"/>
                <w:u w:val="none"/>
              </w:rPr>
              <w:t>核心产品：</w:t>
            </w:r>
            <w:r>
              <w:rPr>
                <w:rFonts w:hint="eastAsia" w:ascii="宋体" w:hAnsi="宋体" w:cs="宋体"/>
                <w:color w:val="auto"/>
                <w:sz w:val="24"/>
                <w:szCs w:val="24"/>
                <w:u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cs="宋体"/>
                <w:color w:val="auto"/>
                <w:sz w:val="24"/>
              </w:rPr>
              <w:t>评标委员会组成：1+</w:t>
            </w:r>
            <w:r>
              <w:rPr>
                <w:rFonts w:hint="eastAsia" w:ascii="宋体" w:hAnsi="宋体" w:cs="宋体"/>
                <w:color w:val="auto"/>
                <w:sz w:val="24"/>
                <w:lang w:val="en-US" w:eastAsia="zh-CN"/>
              </w:rPr>
              <w:t>2</w:t>
            </w:r>
            <w:r>
              <w:rPr>
                <w:rFonts w:hint="eastAsia" w:ascii="宋体" w:hAnsi="宋体" w:cs="宋体"/>
                <w:color w:val="auto"/>
                <w:sz w:val="24"/>
              </w:rPr>
              <w:t>，采购方：1名，评委：</w:t>
            </w:r>
            <w:r>
              <w:rPr>
                <w:rFonts w:hint="eastAsia" w:ascii="宋体" w:hAnsi="宋体" w:cs="宋体"/>
                <w:color w:val="auto"/>
                <w:sz w:val="24"/>
                <w:lang w:val="en-US" w:eastAsia="zh-CN"/>
              </w:rPr>
              <w:t>2</w:t>
            </w:r>
            <w:r>
              <w:rPr>
                <w:rFonts w:hint="eastAsia" w:ascii="宋体" w:hAnsi="宋体" w:cs="宋体"/>
                <w:color w:val="auto"/>
                <w:sz w:val="24"/>
              </w:rPr>
              <w:t>名，评委从专家库中随机抽取。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cs="宋体"/>
                <w:color w:val="auto"/>
                <w:sz w:val="24"/>
              </w:rPr>
            </w:pPr>
            <w:r>
              <w:rPr>
                <w:rFonts w:hint="eastAsia" w:ascii="宋体" w:hAnsi="宋体" w:eastAsia="宋体" w:cs="宋体"/>
                <w:color w:val="auto"/>
                <w:sz w:val="24"/>
              </w:rPr>
              <w:t>评标方法：适用综合评分法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推荐成交候选人的数量：</w:t>
            </w:r>
            <w:r>
              <w:rPr>
                <w:rFonts w:hint="eastAsia" w:ascii="宋体" w:hAnsi="宋体" w:cs="宋体"/>
                <w:color w:val="auto"/>
                <w:sz w:val="24"/>
                <w:u w:val="single"/>
              </w:rPr>
              <w:t>3家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lang w:val="en-US" w:eastAsia="zh-CN"/>
              </w:rPr>
            </w:pPr>
            <w:r>
              <w:rPr>
                <w:rFonts w:hint="eastAsia" w:ascii="宋体" w:hAnsi="宋体" w:cs="宋体"/>
                <w:color w:val="auto"/>
                <w:sz w:val="24"/>
              </w:rPr>
              <w:t>采购人是否委托磋商小组直接确定成交</w:t>
            </w:r>
            <w:r>
              <w:rPr>
                <w:rFonts w:hint="eastAsia" w:ascii="宋体" w:hAnsi="宋体" w:cs="宋体"/>
                <w:color w:val="auto"/>
                <w:sz w:val="24"/>
                <w:lang w:eastAsia="zh-CN"/>
              </w:rPr>
              <w:t>投标人</w:t>
            </w:r>
            <w:r>
              <w:rPr>
                <w:rFonts w:hint="eastAsia" w:ascii="宋体" w:hAnsi="宋体" w:cs="宋体"/>
                <w:color w:val="auto"/>
                <w:sz w:val="24"/>
              </w:rPr>
              <w:t>：</w:t>
            </w:r>
            <w:r>
              <w:rPr>
                <w:rFonts w:hint="eastAsia" w:ascii="宋体" w:hAnsi="宋体" w:cs="宋体"/>
                <w:color w:val="auto"/>
                <w:sz w:val="24"/>
                <w:u w:val="single"/>
              </w:rPr>
              <w:t>是</w:t>
            </w:r>
            <w:r>
              <w:rPr>
                <w:rFonts w:hint="eastAsia" w:ascii="宋体" w:hAnsi="宋体" w:cs="宋体"/>
                <w:color w:val="auto"/>
                <w:sz w:val="24"/>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spacing w:line="5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是否提交履约保证金：</w:t>
            </w:r>
            <w:r>
              <w:rPr>
                <w:rFonts w:hint="eastAsia" w:ascii="宋体" w:hAnsi="宋体" w:cs="宋体"/>
                <w:color w:val="auto"/>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是否收取招标代理费：是</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缴纳招标代理费：</w:t>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招标代理费：</w:t>
            </w:r>
            <w:r>
              <w:rPr>
                <w:rFonts w:hint="eastAsia" w:ascii="宋体" w:hAnsi="宋体" w:cs="宋体"/>
                <w:color w:val="auto"/>
                <w:sz w:val="24"/>
                <w:lang w:eastAsia="zh-CN"/>
              </w:rPr>
              <w:t>以中标（成交）金额为计费基准价（无确切预算金额的，以项目估算价为准），100万元以内费率为1.5%，100—500万元费率为1.1%，500—1000万元费率为0.8%，1000—5000万元费率为0.5%计取。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lang w:eastAsia="zh-CN"/>
              </w:rPr>
            </w:pPr>
            <w:r>
              <w:rPr>
                <w:rFonts w:hint="eastAsia" w:ascii="宋体" w:hAnsi="宋体" w:eastAsia="宋体" w:cs="宋体"/>
                <w:color w:val="auto"/>
                <w:sz w:val="24"/>
                <w:szCs w:val="24"/>
                <w:lang w:eastAsia="zh-CN"/>
              </w:rPr>
              <w:t>收取形式：转账</w:t>
            </w:r>
          </w:p>
          <w:p>
            <w:pPr>
              <w:spacing w:line="560" w:lineRule="exact"/>
              <w:rPr>
                <w:rFonts w:ascii="宋体" w:hAnsi="宋体" w:cs="宋体"/>
                <w:color w:val="auto"/>
                <w:sz w:val="24"/>
              </w:rPr>
            </w:pPr>
            <w:r>
              <w:rPr>
                <w:rFonts w:hint="eastAsia" w:ascii="宋体" w:hAnsi="宋体" w:cs="宋体"/>
                <w:color w:val="auto"/>
                <w:sz w:val="24"/>
              </w:rPr>
              <w:t>收款单位：宁夏众诚嘉业招标咨询服务有限公司</w:t>
            </w:r>
          </w:p>
          <w:p>
            <w:pPr>
              <w:spacing w:line="560" w:lineRule="exact"/>
              <w:rPr>
                <w:rFonts w:ascii="宋体" w:hAnsi="宋体" w:cs="宋体"/>
                <w:color w:val="auto"/>
                <w:sz w:val="24"/>
              </w:rPr>
            </w:pPr>
            <w:r>
              <w:rPr>
                <w:rFonts w:hint="eastAsia" w:ascii="宋体" w:hAnsi="宋体" w:cs="宋体"/>
                <w:color w:val="auto"/>
                <w:sz w:val="24"/>
              </w:rPr>
              <w:t>开 户 行：</w:t>
            </w:r>
            <w:r>
              <w:rPr>
                <w:rFonts w:hint="eastAsia" w:ascii="宋体" w:hAnsi="宋体" w:eastAsia="宋体" w:cs="宋体"/>
                <w:color w:val="auto"/>
                <w:sz w:val="24"/>
              </w:rPr>
              <w:t>中国建设银行股份有限公司银川开发区支行</w:t>
            </w:r>
          </w:p>
          <w:p>
            <w:pPr>
              <w:spacing w:line="560" w:lineRule="exact"/>
              <w:rPr>
                <w:rFonts w:ascii="宋体" w:hAnsi="宋体" w:cs="宋体"/>
                <w:color w:val="auto"/>
                <w:sz w:val="24"/>
              </w:rPr>
            </w:pPr>
            <w:r>
              <w:rPr>
                <w:rFonts w:hint="eastAsia" w:ascii="宋体" w:hAnsi="宋体" w:cs="宋体"/>
                <w:color w:val="auto"/>
                <w:sz w:val="24"/>
              </w:rPr>
              <w:t>账    号：6405 0112 1500 0000 0226</w:t>
            </w:r>
          </w:p>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eastAsia="宋体" w:cs="宋体"/>
                <w:color w:val="auto"/>
                <w:sz w:val="24"/>
                <w:szCs w:val="24"/>
                <w:lang w:eastAsia="zh-CN"/>
              </w:rPr>
              <w:t>收取时间：中标通知书发出前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本项目是否属于政府采购合同线上信用融资管理规定办理融资业务的范围：</w:t>
            </w:r>
            <w:r>
              <w:rPr>
                <w:rFonts w:hint="eastAsia" w:ascii="宋体" w:hAnsi="宋体" w:cs="宋体"/>
                <w:color w:val="auto"/>
                <w:sz w:val="24"/>
                <w:u w:val="single"/>
              </w:rPr>
              <w:t>是</w:t>
            </w:r>
            <w:r>
              <w:rPr>
                <w:rFonts w:hint="eastAsia" w:ascii="宋体" w:hAnsi="宋体" w:cs="宋体"/>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7</w:t>
            </w:r>
          </w:p>
        </w:tc>
        <w:tc>
          <w:tcPr>
            <w:tcW w:w="8887" w:type="dxa"/>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cs="宋体"/>
                <w:color w:val="auto"/>
                <w:sz w:val="24"/>
              </w:rPr>
            </w:pPr>
            <w:r>
              <w:rPr>
                <w:rFonts w:hint="eastAsia" w:ascii="宋体" w:hAnsi="宋体" w:cs="宋体"/>
                <w:color w:val="auto"/>
                <w:sz w:val="24"/>
              </w:rPr>
              <w:t>针对同一采购程序环节的质疑次数及形式：</w:t>
            </w:r>
          </w:p>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cs="宋体"/>
                <w:color w:val="auto"/>
                <w:sz w:val="24"/>
              </w:rPr>
            </w:pPr>
            <w:r>
              <w:rPr>
                <w:rFonts w:hint="eastAsia" w:ascii="宋体" w:hAnsi="宋体" w:cs="宋体"/>
                <w:color w:val="auto"/>
                <w:sz w:val="24"/>
              </w:rPr>
              <w:t>■一次性提出</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宋体" w:hAnsi="宋体" w:cs="宋体"/>
                <w:color w:val="auto"/>
                <w:sz w:val="24"/>
              </w:rPr>
            </w:pPr>
            <w:r>
              <w:rPr>
                <w:rFonts w:hint="eastAsia" w:ascii="宋体" w:hAnsi="宋体" w:cs="宋体"/>
                <w:color w:val="auto"/>
                <w:sz w:val="24"/>
              </w:rPr>
              <w:t>质疑</w:t>
            </w:r>
            <w:r>
              <w:rPr>
                <w:rFonts w:hint="eastAsia" w:ascii="宋体" w:hAnsi="宋体" w:cs="宋体"/>
                <w:color w:val="auto"/>
                <w:sz w:val="24"/>
                <w:lang w:eastAsia="zh-CN"/>
              </w:rPr>
              <w:t>投标人</w:t>
            </w:r>
            <w:r>
              <w:rPr>
                <w:rFonts w:hint="eastAsia" w:ascii="宋体" w:hAnsi="宋体" w:cs="宋体"/>
                <w:color w:val="auto"/>
                <w:sz w:val="24"/>
              </w:rPr>
              <w:t>应在法定质疑期内通过递交纸质版质疑文件，</w:t>
            </w:r>
            <w:r>
              <w:rPr>
                <w:rFonts w:hint="eastAsia" w:ascii="宋体" w:hAnsi="宋体" w:eastAsia="宋体" w:cs="宋体"/>
                <w:color w:val="auto"/>
                <w:sz w:val="24"/>
              </w:rPr>
              <w:t>送达到</w:t>
            </w:r>
            <w:r>
              <w:rPr>
                <w:rFonts w:hint="eastAsia" w:ascii="宋体" w:hAnsi="宋体" w:cs="宋体"/>
                <w:color w:val="auto"/>
                <w:sz w:val="24"/>
              </w:rPr>
              <w:t>宁夏众诚嘉业招标咨询服务有限公司</w:t>
            </w:r>
            <w:r>
              <w:rPr>
                <w:rFonts w:hint="eastAsia" w:ascii="宋体" w:hAnsi="宋体" w:eastAsia="宋体" w:cs="宋体"/>
                <w:color w:val="auto"/>
                <w:sz w:val="24"/>
              </w:rPr>
              <w:t>提出质疑。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spacing w:line="560" w:lineRule="exact"/>
              <w:jc w:val="center"/>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8</w:t>
            </w:r>
          </w:p>
        </w:tc>
        <w:tc>
          <w:tcPr>
            <w:tcW w:w="8887" w:type="dxa"/>
            <w:vAlign w:val="center"/>
          </w:tcPr>
          <w:p>
            <w:pPr>
              <w:keepNext w:val="0"/>
              <w:keepLines w:val="0"/>
              <w:pageBreakBefore w:val="0"/>
              <w:widowControl w:val="0"/>
              <w:kinsoku/>
              <w:wordWrap/>
              <w:overflowPunct/>
              <w:topLinePunct w:val="0"/>
              <w:autoSpaceDE/>
              <w:autoSpaceDN/>
              <w:bidi w:val="0"/>
              <w:spacing w:line="560" w:lineRule="exact"/>
              <w:textAlignment w:val="auto"/>
              <w:rPr>
                <w:rFonts w:ascii="宋体" w:hAnsi="宋体" w:cs="宋体"/>
                <w:color w:val="auto"/>
                <w:sz w:val="24"/>
              </w:rPr>
            </w:pPr>
            <w:r>
              <w:rPr>
                <w:rFonts w:hint="eastAsia" w:ascii="宋体" w:hAnsi="宋体" w:cs="宋体"/>
                <w:color w:val="auto"/>
                <w:sz w:val="24"/>
              </w:rPr>
              <w:t>澄清或者修改时间：不影响</w:t>
            </w:r>
            <w:r>
              <w:rPr>
                <w:rFonts w:hint="eastAsia" w:ascii="宋体" w:hAnsi="宋体" w:cs="宋体"/>
                <w:color w:val="auto"/>
                <w:sz w:val="24"/>
                <w:lang w:eastAsia="zh-CN"/>
              </w:rPr>
              <w:t>响应文件</w:t>
            </w:r>
            <w:r>
              <w:rPr>
                <w:rFonts w:hint="eastAsia" w:ascii="宋体" w:hAnsi="宋体" w:cs="宋体"/>
                <w:color w:val="auto"/>
                <w:sz w:val="24"/>
              </w:rPr>
              <w:t>编制的在提交</w:t>
            </w:r>
            <w:r>
              <w:rPr>
                <w:rFonts w:hint="eastAsia" w:ascii="宋体" w:hAnsi="宋体" w:cs="宋体"/>
                <w:color w:val="auto"/>
                <w:sz w:val="24"/>
                <w:lang w:eastAsia="zh-CN"/>
              </w:rPr>
              <w:t>响应文件</w:t>
            </w:r>
            <w:r>
              <w:rPr>
                <w:rFonts w:hint="eastAsia" w:ascii="宋体" w:hAnsi="宋体" w:cs="宋体"/>
                <w:color w:val="auto"/>
                <w:sz w:val="24"/>
              </w:rPr>
              <w:t>截止时间前；可能影响</w:t>
            </w:r>
            <w:r>
              <w:rPr>
                <w:rFonts w:hint="eastAsia" w:ascii="宋体" w:hAnsi="宋体" w:cs="宋体"/>
                <w:color w:val="auto"/>
                <w:sz w:val="24"/>
                <w:lang w:eastAsia="zh-CN"/>
              </w:rPr>
              <w:t>响应文件</w:t>
            </w:r>
            <w:r>
              <w:rPr>
                <w:rFonts w:hint="eastAsia" w:ascii="宋体" w:hAnsi="宋体" w:cs="宋体"/>
                <w:color w:val="auto"/>
                <w:sz w:val="24"/>
              </w:rPr>
              <w:t>编制的在提交首次</w:t>
            </w:r>
            <w:r>
              <w:rPr>
                <w:rFonts w:hint="eastAsia" w:ascii="宋体" w:hAnsi="宋体" w:cs="宋体"/>
                <w:color w:val="auto"/>
                <w:sz w:val="24"/>
                <w:lang w:eastAsia="zh-CN"/>
              </w:rPr>
              <w:t>响应文件</w:t>
            </w:r>
            <w:r>
              <w:rPr>
                <w:rFonts w:hint="eastAsia" w:ascii="宋体" w:hAnsi="宋体" w:cs="宋体"/>
                <w:color w:val="auto"/>
                <w:sz w:val="24"/>
              </w:rPr>
              <w:t>截止时间5日前。</w:t>
            </w:r>
          </w:p>
        </w:tc>
      </w:tr>
    </w:tbl>
    <w:p>
      <w:pPr>
        <w:pageBreakBefore/>
        <w:spacing w:line="560" w:lineRule="exac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 xml:space="preserve">第三章 </w:t>
      </w:r>
      <w:r>
        <w:rPr>
          <w:rFonts w:hint="eastAsia" w:asciiTheme="minorEastAsia" w:hAnsiTheme="minorEastAsia" w:eastAsiaTheme="minorEastAsia" w:cstheme="minorEastAsia"/>
          <w:b/>
          <w:bCs/>
          <w:color w:val="auto"/>
          <w:sz w:val="32"/>
          <w:szCs w:val="32"/>
          <w:lang w:eastAsia="zh-CN"/>
        </w:rPr>
        <w:t>投标人</w:t>
      </w:r>
      <w:r>
        <w:rPr>
          <w:rFonts w:hint="eastAsia" w:asciiTheme="minorEastAsia" w:hAnsiTheme="minorEastAsia" w:eastAsiaTheme="minorEastAsia" w:cstheme="minorEastAsia"/>
          <w:b/>
          <w:bCs/>
          <w:color w:val="auto"/>
          <w:sz w:val="32"/>
          <w:szCs w:val="32"/>
        </w:rPr>
        <w:t>须知</w:t>
      </w:r>
      <w:bookmarkStart w:id="16" w:name="_Toc216582805"/>
      <w:bookmarkStart w:id="17" w:name="_Toc515647757"/>
      <w:bookmarkStart w:id="18" w:name="_Toc520356143"/>
      <w:bookmarkStart w:id="19" w:name="_Toc21015"/>
      <w:bookmarkStart w:id="20" w:name="_Toc2582263"/>
      <w:bookmarkStart w:id="21" w:name="_Toc21215"/>
      <w:bookmarkStart w:id="22" w:name="_Toc532473449"/>
    </w:p>
    <w:bookmarkEnd w:id="16"/>
    <w:bookmarkEnd w:id="17"/>
    <w:bookmarkEnd w:id="18"/>
    <w:p>
      <w:pPr>
        <w:keepNext/>
        <w:keepLines/>
        <w:spacing w:line="560" w:lineRule="exact"/>
        <w:jc w:val="center"/>
        <w:rPr>
          <w:rFonts w:ascii="宋体" w:hAnsi="宋体" w:cs="宋体"/>
          <w:color w:val="auto"/>
          <w:sz w:val="24"/>
        </w:rPr>
      </w:pPr>
    </w:p>
    <w:p>
      <w:pPr>
        <w:pStyle w:val="5"/>
        <w:spacing w:before="0" w:after="0" w:line="560" w:lineRule="exact"/>
        <w:jc w:val="center"/>
        <w:rPr>
          <w:rFonts w:ascii="宋体" w:hAnsi="宋体" w:eastAsia="宋体" w:cs="宋体"/>
          <w:color w:val="auto"/>
          <w:sz w:val="24"/>
          <w:szCs w:val="24"/>
        </w:rPr>
      </w:pPr>
      <w:bookmarkStart w:id="23" w:name="_Toc18035"/>
      <w:r>
        <w:rPr>
          <w:rFonts w:hint="eastAsia" w:ascii="宋体" w:hAnsi="宋体" w:eastAsia="宋体" w:cs="宋体"/>
          <w:color w:val="auto"/>
          <w:sz w:val="24"/>
          <w:szCs w:val="24"/>
        </w:rPr>
        <w:t>（一）总则</w:t>
      </w:r>
      <w:bookmarkEnd w:id="19"/>
      <w:bookmarkEnd w:id="20"/>
      <w:bookmarkEnd w:id="21"/>
      <w:bookmarkEnd w:id="22"/>
      <w:bookmarkEnd w:id="23"/>
    </w:p>
    <w:p>
      <w:pPr>
        <w:pStyle w:val="6"/>
        <w:spacing w:before="0" w:after="0" w:line="560" w:lineRule="exact"/>
        <w:rPr>
          <w:rFonts w:hint="eastAsia" w:hAnsi="宋体" w:eastAsia="宋体" w:cs="宋体"/>
          <w:color w:val="auto"/>
          <w:szCs w:val="24"/>
          <w:u w:val="none"/>
          <w:lang w:eastAsia="zh-CN"/>
        </w:rPr>
      </w:pPr>
      <w:bookmarkStart w:id="24" w:name="_Toc532473450"/>
      <w:bookmarkStart w:id="25" w:name="_Toc2582264"/>
      <w:bookmarkStart w:id="26" w:name="_Toc32189"/>
      <w:bookmarkStart w:id="27" w:name="_Toc32623"/>
      <w:bookmarkStart w:id="28" w:name="_Toc515647758"/>
      <w:bookmarkStart w:id="29" w:name="_Toc520356144"/>
      <w:r>
        <w:rPr>
          <w:rFonts w:hint="eastAsia" w:hAnsi="宋体" w:cs="宋体"/>
          <w:color w:val="auto"/>
          <w:szCs w:val="24"/>
          <w:u w:val="none"/>
        </w:rPr>
        <w:t>1.采购人、采购代理机构及</w:t>
      </w:r>
      <w:bookmarkEnd w:id="24"/>
      <w:bookmarkEnd w:id="25"/>
      <w:bookmarkEnd w:id="26"/>
      <w:bookmarkEnd w:id="27"/>
      <w:bookmarkEnd w:id="28"/>
      <w:bookmarkEnd w:id="29"/>
      <w:r>
        <w:rPr>
          <w:rFonts w:hint="eastAsia" w:hAnsi="宋体" w:cs="宋体"/>
          <w:color w:val="auto"/>
          <w:szCs w:val="24"/>
          <w:u w:val="none"/>
        </w:rPr>
        <w:t>磋商</w:t>
      </w:r>
      <w:r>
        <w:rPr>
          <w:rFonts w:hint="eastAsia" w:hAnsi="宋体" w:cs="宋体"/>
          <w:color w:val="auto"/>
          <w:szCs w:val="24"/>
          <w:u w:val="none"/>
          <w:lang w:eastAsia="zh-CN"/>
        </w:rPr>
        <w:t>投标人</w:t>
      </w:r>
    </w:p>
    <w:p>
      <w:pPr>
        <w:tabs>
          <w:tab w:val="left" w:pos="0"/>
        </w:tabs>
        <w:spacing w:line="560" w:lineRule="exact"/>
        <w:rPr>
          <w:rFonts w:ascii="宋体" w:hAnsi="宋体" w:cs="宋体"/>
          <w:color w:val="auto"/>
          <w:sz w:val="24"/>
        </w:rPr>
      </w:pPr>
      <w:r>
        <w:rPr>
          <w:rFonts w:hint="eastAsia" w:ascii="宋体" w:hAnsi="宋体" w:cs="宋体"/>
          <w:color w:val="auto"/>
          <w:sz w:val="24"/>
        </w:rPr>
        <w:t>1.1   采购人：</w:t>
      </w:r>
      <w:r>
        <w:rPr>
          <w:rFonts w:hint="eastAsia" w:ascii="宋体" w:hAnsi="宋体" w:cs="宋体"/>
          <w:color w:val="auto"/>
          <w:sz w:val="24"/>
          <w:lang w:val="en-US" w:eastAsia="zh-CN"/>
        </w:rPr>
        <w:t>宁夏回族自治区体育运动训练管理中心</w:t>
      </w:r>
      <w:r>
        <w:rPr>
          <w:rStyle w:val="23"/>
          <w:rFonts w:hint="eastAsia" w:ascii="宋体" w:hAnsi="宋体" w:cs="宋体"/>
          <w:b w:val="0"/>
          <w:bCs/>
          <w:color w:val="auto"/>
          <w:sz w:val="24"/>
          <w:lang w:val="en-US" w:eastAsia="zh-CN"/>
        </w:rPr>
        <w:t>。</w:t>
      </w:r>
    </w:p>
    <w:p>
      <w:pPr>
        <w:tabs>
          <w:tab w:val="left" w:pos="142"/>
        </w:tabs>
        <w:spacing w:line="560" w:lineRule="exact"/>
        <w:rPr>
          <w:rFonts w:ascii="宋体" w:hAnsi="宋体" w:cs="宋体"/>
          <w:color w:val="auto"/>
          <w:sz w:val="24"/>
        </w:rPr>
      </w:pPr>
      <w:r>
        <w:rPr>
          <w:rFonts w:hint="eastAsia" w:ascii="宋体" w:hAnsi="宋体" w:cs="宋体"/>
          <w:color w:val="auto"/>
          <w:sz w:val="24"/>
        </w:rPr>
        <w:t>1.2   采购代理机构：宁夏众诚嘉业招标咨询服务有限公司。</w:t>
      </w:r>
    </w:p>
    <w:p>
      <w:pPr>
        <w:tabs>
          <w:tab w:val="left" w:pos="142"/>
        </w:tabs>
        <w:spacing w:line="560" w:lineRule="exact"/>
        <w:rPr>
          <w:rFonts w:ascii="宋体" w:hAnsi="宋体" w:cs="宋体"/>
          <w:color w:val="auto"/>
          <w:sz w:val="24"/>
        </w:rPr>
      </w:pPr>
      <w:r>
        <w:rPr>
          <w:rFonts w:hint="eastAsia" w:ascii="宋体" w:hAnsi="宋体" w:cs="宋体"/>
          <w:color w:val="auto"/>
          <w:sz w:val="24"/>
        </w:rPr>
        <w:t>1.3   磋商</w:t>
      </w:r>
      <w:r>
        <w:rPr>
          <w:rFonts w:hint="eastAsia" w:ascii="宋体" w:hAnsi="宋体" w:cs="宋体"/>
          <w:color w:val="auto"/>
          <w:sz w:val="24"/>
          <w:lang w:eastAsia="zh-CN"/>
        </w:rPr>
        <w:t>投标人</w:t>
      </w:r>
      <w:r>
        <w:rPr>
          <w:rFonts w:hint="eastAsia" w:ascii="宋体" w:hAnsi="宋体" w:cs="宋体"/>
          <w:color w:val="auto"/>
          <w:sz w:val="24"/>
        </w:rPr>
        <w:t>：是指响应磋商文件的法人、非法人组织或者自然人。潜在磋商</w:t>
      </w:r>
      <w:r>
        <w:rPr>
          <w:rFonts w:hint="eastAsia" w:ascii="宋体" w:hAnsi="宋体" w:cs="宋体"/>
          <w:color w:val="auto"/>
          <w:sz w:val="24"/>
          <w:lang w:eastAsia="zh-CN"/>
        </w:rPr>
        <w:t>投标人</w:t>
      </w:r>
      <w:r>
        <w:rPr>
          <w:rFonts w:hint="eastAsia" w:ascii="宋体" w:hAnsi="宋体" w:cs="宋体"/>
          <w:color w:val="auto"/>
          <w:sz w:val="24"/>
        </w:rPr>
        <w:t>：以磋商文件规定的方式获取本项目磋商文件的法人、非法人组织或者自然人。</w:t>
      </w:r>
    </w:p>
    <w:p>
      <w:pPr>
        <w:spacing w:line="560" w:lineRule="exact"/>
        <w:rPr>
          <w:rFonts w:ascii="宋体" w:hAnsi="宋体" w:cs="宋体"/>
          <w:color w:val="auto"/>
          <w:sz w:val="24"/>
        </w:rPr>
      </w:pPr>
      <w:r>
        <w:rPr>
          <w:rFonts w:hint="eastAsia" w:ascii="宋体" w:hAnsi="宋体" w:cs="宋体"/>
          <w:color w:val="auto"/>
          <w:sz w:val="24"/>
        </w:rPr>
        <w:t xml:space="preserve">1.4   </w:t>
      </w:r>
      <w:r>
        <w:rPr>
          <w:rFonts w:hint="eastAsia" w:ascii="宋体" w:hAnsi="宋体" w:cs="宋体"/>
          <w:color w:val="auto"/>
          <w:sz w:val="24"/>
          <w:lang w:eastAsia="zh-CN"/>
        </w:rPr>
        <w:t>投标人</w:t>
      </w:r>
      <w:r>
        <w:rPr>
          <w:rFonts w:hint="eastAsia" w:ascii="宋体" w:hAnsi="宋体" w:cs="宋体"/>
          <w:color w:val="auto"/>
          <w:sz w:val="24"/>
        </w:rPr>
        <w:t>及其响应的货物须满足以下条件：</w:t>
      </w:r>
    </w:p>
    <w:p>
      <w:pPr>
        <w:spacing w:line="560" w:lineRule="exact"/>
        <w:rPr>
          <w:rFonts w:ascii="宋体" w:hAnsi="宋体" w:cs="宋体"/>
          <w:color w:val="auto"/>
          <w:sz w:val="24"/>
        </w:rPr>
      </w:pPr>
      <w:r>
        <w:rPr>
          <w:rFonts w:hint="eastAsia" w:ascii="宋体" w:hAnsi="宋体" w:cs="宋体"/>
          <w:color w:val="auto"/>
          <w:sz w:val="24"/>
        </w:rPr>
        <w:t>1.4.1 具备《中华人民共和国政府采购法》第二十二条关于</w:t>
      </w:r>
      <w:r>
        <w:rPr>
          <w:rFonts w:hint="eastAsia" w:ascii="宋体" w:hAnsi="宋体" w:cs="宋体"/>
          <w:color w:val="auto"/>
          <w:sz w:val="24"/>
          <w:lang w:eastAsia="zh-CN"/>
        </w:rPr>
        <w:t>投标人</w:t>
      </w:r>
      <w:r>
        <w:rPr>
          <w:rFonts w:hint="eastAsia" w:ascii="宋体" w:hAnsi="宋体" w:cs="宋体"/>
          <w:color w:val="auto"/>
          <w:sz w:val="24"/>
        </w:rPr>
        <w:t>条件的规定。</w:t>
      </w:r>
    </w:p>
    <w:p>
      <w:pPr>
        <w:spacing w:line="560" w:lineRule="exact"/>
        <w:rPr>
          <w:rFonts w:ascii="宋体" w:hAnsi="宋体" w:cs="宋体"/>
          <w:color w:val="auto"/>
          <w:sz w:val="24"/>
        </w:rPr>
      </w:pPr>
      <w:r>
        <w:rPr>
          <w:rFonts w:hint="eastAsia" w:ascii="宋体" w:hAnsi="宋体" w:cs="宋体"/>
          <w:color w:val="auto"/>
          <w:sz w:val="24"/>
        </w:rPr>
        <w:t>1.4.2 以磋商文件规定的方式获得了本项目的磋商文件。</w:t>
      </w:r>
    </w:p>
    <w:p>
      <w:pPr>
        <w:spacing w:line="560" w:lineRule="exact"/>
        <w:rPr>
          <w:rFonts w:ascii="宋体" w:hAnsi="宋体" w:cs="宋体"/>
          <w:color w:val="auto"/>
          <w:sz w:val="24"/>
        </w:rPr>
      </w:pPr>
      <w:r>
        <w:rPr>
          <w:rFonts w:hint="eastAsia" w:ascii="宋体" w:hAnsi="宋体" w:cs="宋体"/>
          <w:color w:val="auto"/>
          <w:sz w:val="24"/>
        </w:rPr>
        <w:t>1.4.3 符合本项目合格</w:t>
      </w:r>
      <w:r>
        <w:rPr>
          <w:rFonts w:hint="eastAsia" w:ascii="宋体" w:hAnsi="宋体" w:cs="宋体"/>
          <w:color w:val="auto"/>
          <w:sz w:val="24"/>
          <w:lang w:eastAsia="zh-CN"/>
        </w:rPr>
        <w:t>投标人</w:t>
      </w:r>
      <w:r>
        <w:rPr>
          <w:rFonts w:hint="eastAsia" w:ascii="宋体" w:hAnsi="宋体" w:cs="宋体"/>
          <w:color w:val="auto"/>
          <w:sz w:val="24"/>
        </w:rPr>
        <w:t>的其他资格要求。</w:t>
      </w:r>
    </w:p>
    <w:p>
      <w:pPr>
        <w:spacing w:line="560" w:lineRule="exact"/>
        <w:rPr>
          <w:rFonts w:ascii="宋体" w:hAnsi="宋体" w:cs="宋体"/>
          <w:color w:val="auto"/>
          <w:sz w:val="24"/>
        </w:rPr>
      </w:pPr>
      <w:r>
        <w:rPr>
          <w:rFonts w:hint="eastAsia" w:ascii="宋体" w:hAnsi="宋体" w:cs="宋体"/>
          <w:color w:val="auto"/>
          <w:sz w:val="24"/>
        </w:rPr>
        <w:t>1.4.4 若本项目专门面向中小企业采购的，如</w:t>
      </w:r>
      <w:r>
        <w:rPr>
          <w:rFonts w:hint="eastAsia" w:ascii="宋体" w:hAnsi="宋体" w:cs="宋体"/>
          <w:color w:val="auto"/>
          <w:sz w:val="24"/>
          <w:lang w:eastAsia="zh-CN"/>
        </w:rPr>
        <w:t>投标人</w:t>
      </w:r>
      <w:r>
        <w:rPr>
          <w:rFonts w:hint="eastAsia" w:ascii="宋体" w:hAnsi="宋体" w:cs="宋体"/>
          <w:color w:val="auto"/>
          <w:sz w:val="24"/>
        </w:rPr>
        <w:t>所投产品为非中小企业制造，其响应将被认定为响应</w:t>
      </w:r>
      <w:r>
        <w:rPr>
          <w:rFonts w:hint="eastAsia" w:ascii="宋体" w:hAnsi="宋体" w:cs="宋体"/>
          <w:b/>
          <w:bCs/>
          <w:color w:val="auto"/>
          <w:sz w:val="24"/>
        </w:rPr>
        <w:t>无效</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1.5   如本项目允许联合体投标，对联合体规定如下：</w:t>
      </w:r>
    </w:p>
    <w:p>
      <w:pPr>
        <w:spacing w:line="560" w:lineRule="exact"/>
        <w:rPr>
          <w:rFonts w:ascii="宋体" w:hAnsi="宋体" w:cs="宋体"/>
          <w:color w:val="auto"/>
          <w:sz w:val="24"/>
        </w:rPr>
      </w:pPr>
      <w:r>
        <w:rPr>
          <w:rFonts w:hint="eastAsia" w:ascii="宋体" w:hAnsi="宋体" w:cs="宋体"/>
          <w:color w:val="auto"/>
          <w:sz w:val="24"/>
        </w:rPr>
        <w:t>1.5.1 两个及以上</w:t>
      </w:r>
      <w:r>
        <w:rPr>
          <w:rFonts w:hint="eastAsia" w:ascii="宋体" w:hAnsi="宋体" w:cs="宋体"/>
          <w:color w:val="auto"/>
          <w:sz w:val="24"/>
          <w:lang w:eastAsia="zh-CN"/>
        </w:rPr>
        <w:t>投标人</w:t>
      </w:r>
      <w:r>
        <w:rPr>
          <w:rFonts w:hint="eastAsia" w:ascii="宋体" w:hAnsi="宋体" w:cs="宋体"/>
          <w:color w:val="auto"/>
          <w:sz w:val="24"/>
        </w:rPr>
        <w:t>可以组成一个响应联合体，以一个</w:t>
      </w:r>
      <w:r>
        <w:rPr>
          <w:rFonts w:hint="eastAsia" w:ascii="宋体" w:hAnsi="宋体" w:cs="宋体"/>
          <w:color w:val="auto"/>
          <w:sz w:val="24"/>
          <w:lang w:eastAsia="zh-CN"/>
        </w:rPr>
        <w:t>投标人</w:t>
      </w:r>
      <w:r>
        <w:rPr>
          <w:rFonts w:hint="eastAsia" w:ascii="宋体" w:hAnsi="宋体" w:cs="宋体"/>
          <w:color w:val="auto"/>
          <w:sz w:val="24"/>
        </w:rPr>
        <w:t>的身份投标。</w:t>
      </w:r>
    </w:p>
    <w:p>
      <w:pPr>
        <w:spacing w:line="560" w:lineRule="exact"/>
        <w:rPr>
          <w:rFonts w:ascii="宋体" w:hAnsi="宋体" w:cs="宋体"/>
          <w:color w:val="auto"/>
          <w:sz w:val="24"/>
        </w:rPr>
      </w:pPr>
      <w:r>
        <w:rPr>
          <w:rFonts w:hint="eastAsia" w:ascii="宋体" w:hAnsi="宋体" w:cs="宋体"/>
          <w:color w:val="auto"/>
          <w:sz w:val="24"/>
        </w:rPr>
        <w:t>1.5.2 联合体各方均应符合本须知1.4.1的规定。</w:t>
      </w:r>
    </w:p>
    <w:p>
      <w:pPr>
        <w:spacing w:line="560" w:lineRule="exact"/>
        <w:rPr>
          <w:rFonts w:ascii="宋体" w:hAnsi="宋体" w:cs="宋体"/>
          <w:color w:val="auto"/>
          <w:sz w:val="24"/>
        </w:rPr>
      </w:pPr>
      <w:r>
        <w:rPr>
          <w:rFonts w:hint="eastAsia" w:ascii="宋体" w:hAnsi="宋体" w:cs="宋体"/>
          <w:color w:val="auto"/>
          <w:sz w:val="24"/>
        </w:rPr>
        <w:t>1.5.3 采购人根据采购项目对投标人的特殊要求，联合体中至少应当有一方符合相关规定。</w:t>
      </w:r>
    </w:p>
    <w:p>
      <w:pPr>
        <w:spacing w:line="560" w:lineRule="exact"/>
        <w:rPr>
          <w:rFonts w:ascii="宋体" w:hAnsi="宋体" w:cs="宋体"/>
          <w:color w:val="auto"/>
          <w:sz w:val="24"/>
        </w:rPr>
      </w:pPr>
      <w:r>
        <w:rPr>
          <w:rFonts w:hint="eastAsia" w:ascii="宋体" w:hAnsi="宋体" w:cs="宋体"/>
          <w:color w:val="auto"/>
          <w:sz w:val="24"/>
        </w:rPr>
        <w:t>1.5.4 联合体各方应签订共同响应协议，明确约定联合体各方承担的工作和相应的责任，并将共同响应协议作为响应文件的内容提交。</w:t>
      </w:r>
    </w:p>
    <w:p>
      <w:pPr>
        <w:spacing w:line="560" w:lineRule="exact"/>
        <w:rPr>
          <w:rFonts w:ascii="宋体" w:hAnsi="宋体" w:cs="宋体"/>
          <w:color w:val="auto"/>
          <w:sz w:val="24"/>
        </w:rPr>
      </w:pPr>
      <w:r>
        <w:rPr>
          <w:rFonts w:hint="eastAsia" w:ascii="宋体" w:hAnsi="宋体" w:cs="宋体"/>
          <w:color w:val="auto"/>
          <w:sz w:val="24"/>
        </w:rPr>
        <w:t>1.5.5 大中型企业、其他自然人、法人或者非法人组织与小型、微型企业组成联合体共同参加的，共同响应协议中应写明小型、微型企业的协议合同金额占到共同响应协议投标总金额的比例。</w:t>
      </w:r>
    </w:p>
    <w:p>
      <w:pPr>
        <w:spacing w:line="560" w:lineRule="exact"/>
        <w:rPr>
          <w:rFonts w:ascii="宋体" w:hAnsi="宋体" w:cs="宋体"/>
          <w:color w:val="auto"/>
          <w:sz w:val="24"/>
        </w:rPr>
      </w:pPr>
      <w:r>
        <w:rPr>
          <w:rFonts w:hint="eastAsia" w:ascii="宋体" w:hAnsi="宋体" w:cs="宋体"/>
          <w:color w:val="auto"/>
          <w:sz w:val="24"/>
        </w:rPr>
        <w:t>1.5.6 以联合体形式参加政府采购活动的，联合体各方不得再单独参加或者与其他</w:t>
      </w:r>
      <w:r>
        <w:rPr>
          <w:rFonts w:hint="eastAsia" w:ascii="宋体" w:hAnsi="宋体" w:cs="宋体"/>
          <w:color w:val="auto"/>
          <w:sz w:val="24"/>
          <w:lang w:eastAsia="zh-CN"/>
        </w:rPr>
        <w:t>投标人</w:t>
      </w:r>
      <w:r>
        <w:rPr>
          <w:rFonts w:hint="eastAsia" w:ascii="宋体" w:hAnsi="宋体" w:cs="宋体"/>
          <w:color w:val="auto"/>
          <w:sz w:val="24"/>
        </w:rPr>
        <w:t>另外组成联合体参加本项目同一合同项下的响应，否则相关响应将被认定为响应</w:t>
      </w:r>
      <w:r>
        <w:rPr>
          <w:rFonts w:hint="eastAsia" w:ascii="宋体" w:hAnsi="宋体" w:cs="宋体"/>
          <w:b/>
          <w:color w:val="auto"/>
          <w:sz w:val="24"/>
        </w:rPr>
        <w:t>无效。</w:t>
      </w:r>
    </w:p>
    <w:p>
      <w:pPr>
        <w:spacing w:line="560" w:lineRule="exact"/>
        <w:rPr>
          <w:rFonts w:ascii="宋体" w:hAnsi="宋体" w:cs="宋体"/>
          <w:color w:val="auto"/>
          <w:sz w:val="24"/>
        </w:rPr>
      </w:pPr>
      <w:r>
        <w:rPr>
          <w:rFonts w:hint="eastAsia" w:ascii="宋体" w:hAnsi="宋体" w:cs="宋体"/>
          <w:color w:val="auto"/>
          <w:sz w:val="24"/>
        </w:rPr>
        <w:t>1.6   单位负责人为同一人或者存在直接控股、管理关系的不同</w:t>
      </w:r>
      <w:r>
        <w:rPr>
          <w:rFonts w:hint="eastAsia" w:ascii="宋体" w:hAnsi="宋体" w:cs="宋体"/>
          <w:color w:val="auto"/>
          <w:sz w:val="24"/>
          <w:lang w:eastAsia="zh-CN"/>
        </w:rPr>
        <w:t>投标人</w:t>
      </w:r>
      <w:r>
        <w:rPr>
          <w:rFonts w:hint="eastAsia" w:ascii="宋体" w:hAnsi="宋体" w:cs="宋体"/>
          <w:color w:val="auto"/>
          <w:sz w:val="24"/>
        </w:rPr>
        <w:t>参与本项目同一合同项下的响应的，其相关响应将被认定为响应</w:t>
      </w:r>
      <w:r>
        <w:rPr>
          <w:rFonts w:hint="eastAsia" w:ascii="宋体" w:hAnsi="宋体" w:cs="宋体"/>
          <w:b/>
          <w:color w:val="auto"/>
          <w:sz w:val="24"/>
        </w:rPr>
        <w:t>无效</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1.7   为本项目提供过整体设计、规范编制或者项目管理、监理、检测等服务的</w:t>
      </w:r>
      <w:r>
        <w:rPr>
          <w:rFonts w:hint="eastAsia" w:ascii="宋体" w:hAnsi="宋体" w:cs="宋体"/>
          <w:color w:val="auto"/>
          <w:sz w:val="24"/>
          <w:lang w:eastAsia="zh-CN"/>
        </w:rPr>
        <w:t>投标人</w:t>
      </w:r>
      <w:r>
        <w:rPr>
          <w:rFonts w:hint="eastAsia" w:ascii="宋体" w:hAnsi="宋体" w:cs="宋体"/>
          <w:color w:val="auto"/>
          <w:sz w:val="24"/>
        </w:rPr>
        <w:t>，不得再参加本项目上述服务以外的其他采购活动。否则其响应将被认定为响应</w:t>
      </w:r>
      <w:r>
        <w:rPr>
          <w:rFonts w:hint="eastAsia" w:ascii="宋体" w:hAnsi="宋体" w:cs="宋体"/>
          <w:b/>
          <w:bCs/>
          <w:color w:val="auto"/>
          <w:sz w:val="24"/>
        </w:rPr>
        <w:t>无效</w:t>
      </w:r>
      <w:r>
        <w:rPr>
          <w:rFonts w:hint="eastAsia" w:ascii="宋体" w:hAnsi="宋体" w:cs="宋体"/>
          <w:color w:val="auto"/>
          <w:sz w:val="24"/>
        </w:rPr>
        <w:t>。</w:t>
      </w:r>
    </w:p>
    <w:p>
      <w:pPr>
        <w:spacing w:line="560" w:lineRule="exact"/>
        <w:rPr>
          <w:rFonts w:ascii="宋体" w:hAnsi="宋体" w:cs="宋体"/>
          <w:bCs/>
          <w:color w:val="auto"/>
          <w:sz w:val="24"/>
        </w:rPr>
      </w:pPr>
      <w:r>
        <w:rPr>
          <w:rFonts w:hint="eastAsia" w:ascii="宋体" w:hAnsi="宋体" w:cs="宋体"/>
          <w:color w:val="auto"/>
          <w:sz w:val="24"/>
        </w:rPr>
        <w:t xml:space="preserve">1.8   </w:t>
      </w:r>
      <w:r>
        <w:rPr>
          <w:rFonts w:hint="eastAsia" w:ascii="宋体" w:hAnsi="宋体" w:cs="宋体"/>
          <w:bCs/>
          <w:color w:val="auto"/>
          <w:sz w:val="24"/>
        </w:rPr>
        <w:t>在政府采购活动中，采购人员及相关人员与</w:t>
      </w:r>
      <w:r>
        <w:rPr>
          <w:rFonts w:hint="eastAsia" w:ascii="宋体" w:hAnsi="宋体" w:cs="宋体"/>
          <w:bCs/>
          <w:color w:val="auto"/>
          <w:sz w:val="24"/>
          <w:lang w:eastAsia="zh-CN"/>
        </w:rPr>
        <w:t>投标人</w:t>
      </w:r>
      <w:r>
        <w:rPr>
          <w:rFonts w:hint="eastAsia" w:ascii="宋体" w:hAnsi="宋体" w:cs="宋体"/>
          <w:bCs/>
          <w:color w:val="auto"/>
          <w:sz w:val="24"/>
        </w:rPr>
        <w:t>有下列利害关系之一的，应当回避：</w:t>
      </w:r>
    </w:p>
    <w:p>
      <w:pPr>
        <w:spacing w:line="560" w:lineRule="exact"/>
        <w:rPr>
          <w:rFonts w:ascii="宋体" w:hAnsi="宋体" w:cs="宋体"/>
          <w:bCs/>
          <w:color w:val="auto"/>
          <w:sz w:val="24"/>
        </w:rPr>
      </w:pPr>
      <w:r>
        <w:rPr>
          <w:rFonts w:hint="eastAsia" w:ascii="宋体" w:hAnsi="宋体" w:cs="宋体"/>
          <w:bCs/>
          <w:color w:val="auto"/>
          <w:sz w:val="24"/>
        </w:rPr>
        <w:t>1.8.1 参加采购活动前3年内与</w:t>
      </w:r>
      <w:r>
        <w:rPr>
          <w:rFonts w:hint="eastAsia" w:ascii="宋体" w:hAnsi="宋体" w:cs="宋体"/>
          <w:bCs/>
          <w:color w:val="auto"/>
          <w:sz w:val="24"/>
          <w:lang w:eastAsia="zh-CN"/>
        </w:rPr>
        <w:t>投标人</w:t>
      </w:r>
      <w:r>
        <w:rPr>
          <w:rFonts w:hint="eastAsia" w:ascii="宋体" w:hAnsi="宋体" w:cs="宋体"/>
          <w:bCs/>
          <w:color w:val="auto"/>
          <w:sz w:val="24"/>
        </w:rPr>
        <w:t>存在劳动关系。</w:t>
      </w:r>
    </w:p>
    <w:p>
      <w:pPr>
        <w:spacing w:line="560" w:lineRule="exact"/>
        <w:rPr>
          <w:rFonts w:ascii="宋体" w:hAnsi="宋体" w:cs="宋体"/>
          <w:bCs/>
          <w:color w:val="auto"/>
          <w:sz w:val="24"/>
        </w:rPr>
      </w:pPr>
      <w:r>
        <w:rPr>
          <w:rFonts w:hint="eastAsia" w:ascii="宋体" w:hAnsi="宋体" w:cs="宋体"/>
          <w:bCs/>
          <w:color w:val="auto"/>
          <w:sz w:val="24"/>
        </w:rPr>
        <w:t>1.8.2 参加采购活动前3年内担任</w:t>
      </w:r>
      <w:r>
        <w:rPr>
          <w:rFonts w:hint="eastAsia" w:ascii="宋体" w:hAnsi="宋体" w:cs="宋体"/>
          <w:bCs/>
          <w:color w:val="auto"/>
          <w:sz w:val="24"/>
          <w:lang w:eastAsia="zh-CN"/>
        </w:rPr>
        <w:t>投标人</w:t>
      </w:r>
      <w:r>
        <w:rPr>
          <w:rFonts w:hint="eastAsia" w:ascii="宋体" w:hAnsi="宋体" w:cs="宋体"/>
          <w:bCs/>
          <w:color w:val="auto"/>
          <w:sz w:val="24"/>
        </w:rPr>
        <w:t>的董事、监事。</w:t>
      </w:r>
    </w:p>
    <w:p>
      <w:pPr>
        <w:spacing w:line="560" w:lineRule="exact"/>
        <w:rPr>
          <w:rFonts w:ascii="宋体" w:hAnsi="宋体" w:cs="宋体"/>
          <w:bCs/>
          <w:color w:val="auto"/>
          <w:sz w:val="24"/>
        </w:rPr>
      </w:pPr>
      <w:r>
        <w:rPr>
          <w:rFonts w:hint="eastAsia" w:ascii="宋体" w:hAnsi="宋体" w:cs="宋体"/>
          <w:bCs/>
          <w:color w:val="auto"/>
          <w:sz w:val="24"/>
        </w:rPr>
        <w:t>1.8.3 参加采购活动前3年内是</w:t>
      </w:r>
      <w:r>
        <w:rPr>
          <w:rFonts w:hint="eastAsia" w:ascii="宋体" w:hAnsi="宋体" w:cs="宋体"/>
          <w:bCs/>
          <w:color w:val="auto"/>
          <w:sz w:val="24"/>
          <w:lang w:eastAsia="zh-CN"/>
        </w:rPr>
        <w:t>投标人</w:t>
      </w:r>
      <w:r>
        <w:rPr>
          <w:rFonts w:hint="eastAsia" w:ascii="宋体" w:hAnsi="宋体" w:cs="宋体"/>
          <w:bCs/>
          <w:color w:val="auto"/>
          <w:sz w:val="24"/>
        </w:rPr>
        <w:t>的控股股东或者实际控制人。</w:t>
      </w:r>
    </w:p>
    <w:p>
      <w:pPr>
        <w:spacing w:line="560" w:lineRule="exact"/>
        <w:rPr>
          <w:rFonts w:ascii="宋体" w:hAnsi="宋体" w:cs="宋体"/>
          <w:bCs/>
          <w:color w:val="auto"/>
          <w:sz w:val="24"/>
        </w:rPr>
      </w:pPr>
      <w:r>
        <w:rPr>
          <w:rFonts w:hint="eastAsia" w:ascii="宋体" w:hAnsi="宋体" w:cs="宋体"/>
          <w:bCs/>
          <w:color w:val="auto"/>
          <w:sz w:val="24"/>
        </w:rPr>
        <w:t>1.8.4 与</w:t>
      </w:r>
      <w:r>
        <w:rPr>
          <w:rFonts w:hint="eastAsia" w:ascii="宋体" w:hAnsi="宋体" w:cs="宋体"/>
          <w:bCs/>
          <w:color w:val="auto"/>
          <w:sz w:val="24"/>
          <w:lang w:eastAsia="zh-CN"/>
        </w:rPr>
        <w:t>投标人</w:t>
      </w:r>
      <w:r>
        <w:rPr>
          <w:rFonts w:hint="eastAsia" w:ascii="宋体" w:hAnsi="宋体" w:cs="宋体"/>
          <w:bCs/>
          <w:color w:val="auto"/>
          <w:sz w:val="24"/>
        </w:rPr>
        <w:t>的法定代表人或者负责人有夫妻、直系血亲、三代以内旁系血亲或者近姻亲关系。</w:t>
      </w:r>
    </w:p>
    <w:p>
      <w:pPr>
        <w:spacing w:line="560" w:lineRule="exact"/>
        <w:rPr>
          <w:rFonts w:ascii="宋体" w:hAnsi="宋体" w:cs="宋体"/>
          <w:bCs/>
          <w:color w:val="auto"/>
          <w:sz w:val="24"/>
        </w:rPr>
      </w:pPr>
      <w:r>
        <w:rPr>
          <w:rFonts w:hint="eastAsia" w:ascii="宋体" w:hAnsi="宋体" w:cs="宋体"/>
          <w:bCs/>
          <w:color w:val="auto"/>
          <w:sz w:val="24"/>
        </w:rPr>
        <w:t>1.8.5 与</w:t>
      </w:r>
      <w:r>
        <w:rPr>
          <w:rFonts w:hint="eastAsia" w:ascii="宋体" w:hAnsi="宋体" w:cs="宋体"/>
          <w:bCs/>
          <w:color w:val="auto"/>
          <w:sz w:val="24"/>
          <w:lang w:eastAsia="zh-CN"/>
        </w:rPr>
        <w:t>投标人</w:t>
      </w:r>
      <w:r>
        <w:rPr>
          <w:rFonts w:hint="eastAsia" w:ascii="宋体" w:hAnsi="宋体" w:cs="宋体"/>
          <w:bCs/>
          <w:color w:val="auto"/>
          <w:sz w:val="24"/>
        </w:rPr>
        <w:t>有其他可能影响政府采购活动公平、公正进行的关系。</w:t>
      </w:r>
    </w:p>
    <w:p>
      <w:pPr>
        <w:spacing w:line="560" w:lineRule="exact"/>
        <w:rPr>
          <w:rFonts w:ascii="宋体" w:hAnsi="宋体" w:cs="宋体"/>
          <w:color w:val="auto"/>
          <w:sz w:val="24"/>
        </w:rPr>
      </w:pPr>
      <w:r>
        <w:rPr>
          <w:rFonts w:hint="eastAsia" w:ascii="宋体" w:hAnsi="宋体" w:cs="宋体"/>
          <w:bCs/>
          <w:color w:val="auto"/>
          <w:sz w:val="24"/>
        </w:rPr>
        <w:t xml:space="preserve">1.8.6 </w:t>
      </w:r>
      <w:r>
        <w:rPr>
          <w:rFonts w:hint="eastAsia" w:ascii="宋体" w:hAnsi="宋体" w:cs="宋体"/>
          <w:bCs/>
          <w:color w:val="auto"/>
          <w:sz w:val="24"/>
          <w:lang w:eastAsia="zh-CN"/>
        </w:rPr>
        <w:t>投标人</w:t>
      </w:r>
      <w:r>
        <w:rPr>
          <w:rFonts w:hint="eastAsia" w:ascii="宋体" w:hAnsi="宋体" w:cs="宋体"/>
          <w:bCs/>
          <w:color w:val="auto"/>
          <w:sz w:val="24"/>
        </w:rPr>
        <w:t>认为采购人员及相关人员与其他</w:t>
      </w:r>
      <w:r>
        <w:rPr>
          <w:rFonts w:hint="eastAsia" w:ascii="宋体" w:hAnsi="宋体" w:cs="宋体"/>
          <w:bCs/>
          <w:color w:val="auto"/>
          <w:sz w:val="24"/>
          <w:lang w:eastAsia="zh-CN"/>
        </w:rPr>
        <w:t>投标人</w:t>
      </w:r>
      <w:r>
        <w:rPr>
          <w:rFonts w:hint="eastAsia" w:ascii="宋体" w:hAnsi="宋体" w:cs="宋体"/>
          <w:bCs/>
          <w:color w:val="auto"/>
          <w:sz w:val="24"/>
        </w:rPr>
        <w:t>有利害关系的，可以向采购人或者采购代理机构书面提出回避申请，并说明理由。采购人或者采购代理机构应当及时询问被申请回避人员，有利害关系的被申请回避人员应当回避。</w:t>
      </w:r>
    </w:p>
    <w:p>
      <w:pPr>
        <w:pStyle w:val="6"/>
        <w:spacing w:before="0" w:after="0" w:line="560" w:lineRule="exact"/>
        <w:rPr>
          <w:rFonts w:hAnsi="宋体" w:cs="宋体"/>
          <w:color w:val="auto"/>
          <w:szCs w:val="24"/>
          <w:u w:val="none"/>
        </w:rPr>
      </w:pPr>
      <w:bookmarkStart w:id="30" w:name="_Toc515647759"/>
      <w:bookmarkStart w:id="31" w:name="_Toc12139"/>
      <w:bookmarkStart w:id="32" w:name="_Toc532473451"/>
      <w:bookmarkStart w:id="33" w:name="_Toc5286"/>
      <w:bookmarkStart w:id="34" w:name="_Toc2582265"/>
      <w:r>
        <w:rPr>
          <w:rFonts w:hint="eastAsia" w:hAnsi="宋体" w:cs="宋体"/>
          <w:color w:val="auto"/>
          <w:szCs w:val="24"/>
          <w:u w:val="none"/>
        </w:rPr>
        <w:t>2.资金来源</w:t>
      </w:r>
      <w:bookmarkEnd w:id="30"/>
      <w:bookmarkEnd w:id="31"/>
      <w:bookmarkEnd w:id="32"/>
      <w:bookmarkEnd w:id="33"/>
      <w:bookmarkEnd w:id="34"/>
    </w:p>
    <w:p>
      <w:pPr>
        <w:spacing w:line="560" w:lineRule="exact"/>
        <w:rPr>
          <w:rFonts w:ascii="宋体" w:hAnsi="宋体" w:cs="宋体"/>
          <w:color w:val="auto"/>
          <w:sz w:val="24"/>
        </w:rPr>
      </w:pPr>
      <w:r>
        <w:rPr>
          <w:rFonts w:hint="eastAsia" w:ascii="宋体" w:hAnsi="宋体" w:cs="宋体"/>
          <w:color w:val="auto"/>
          <w:sz w:val="24"/>
        </w:rPr>
        <w:t xml:space="preserve">     本项目的采购人已获得足以支付本次磋商后所签订的合同项下的资金。</w:t>
      </w:r>
    </w:p>
    <w:p>
      <w:pPr>
        <w:pStyle w:val="6"/>
        <w:spacing w:before="0" w:after="0" w:line="560" w:lineRule="exact"/>
        <w:rPr>
          <w:rFonts w:hAnsi="宋体" w:cs="宋体"/>
          <w:color w:val="auto"/>
          <w:szCs w:val="24"/>
          <w:u w:val="none"/>
        </w:rPr>
      </w:pPr>
      <w:bookmarkStart w:id="35" w:name="_Toc520356145"/>
      <w:bookmarkStart w:id="36" w:name="_Toc532473452"/>
      <w:bookmarkStart w:id="37" w:name="_Toc2582266"/>
      <w:bookmarkStart w:id="38" w:name="_Toc20526"/>
      <w:bookmarkStart w:id="39" w:name="_Toc15936"/>
      <w:bookmarkStart w:id="40" w:name="_Toc515647760"/>
      <w:r>
        <w:rPr>
          <w:rFonts w:hint="eastAsia" w:hAnsi="宋体" w:cs="宋体"/>
          <w:color w:val="auto"/>
          <w:szCs w:val="24"/>
          <w:u w:val="none"/>
        </w:rPr>
        <w:t>3.投标费用</w:t>
      </w:r>
      <w:bookmarkEnd w:id="35"/>
      <w:bookmarkEnd w:id="36"/>
      <w:bookmarkEnd w:id="37"/>
      <w:bookmarkEnd w:id="38"/>
      <w:bookmarkEnd w:id="39"/>
      <w:bookmarkEnd w:id="40"/>
    </w:p>
    <w:p>
      <w:pPr>
        <w:ind w:firstLine="480" w:firstLineChars="200"/>
        <w:rPr>
          <w:rFonts w:ascii="宋体" w:hAnsi="宋体" w:cs="宋体"/>
          <w:color w:val="auto"/>
          <w:sz w:val="24"/>
        </w:rPr>
      </w:pPr>
      <w:r>
        <w:rPr>
          <w:rFonts w:hint="eastAsia" w:ascii="宋体" w:hAnsi="宋体" w:cs="宋体"/>
          <w:color w:val="auto"/>
          <w:sz w:val="24"/>
        </w:rPr>
        <w:t>不论结果如何，</w:t>
      </w:r>
      <w:r>
        <w:rPr>
          <w:rFonts w:hint="eastAsia" w:ascii="宋体" w:hAnsi="宋体" w:cs="宋体"/>
          <w:color w:val="auto"/>
          <w:sz w:val="24"/>
          <w:lang w:eastAsia="zh-CN"/>
        </w:rPr>
        <w:t>投标人</w:t>
      </w:r>
      <w:r>
        <w:rPr>
          <w:rFonts w:hint="eastAsia" w:ascii="宋体" w:hAnsi="宋体" w:cs="宋体"/>
          <w:color w:val="auto"/>
          <w:sz w:val="24"/>
        </w:rPr>
        <w:t>应承担所有与磋商有关的费用。</w:t>
      </w:r>
      <w:bookmarkStart w:id="41" w:name="_Toc515647762"/>
      <w:bookmarkStart w:id="42" w:name="_Toc520356146"/>
      <w:bookmarkStart w:id="43" w:name="_Toc21566"/>
      <w:bookmarkStart w:id="44" w:name="_Toc216582806"/>
      <w:bookmarkStart w:id="45" w:name="_Toc4365"/>
      <w:bookmarkStart w:id="46" w:name="_Toc532473454"/>
      <w:bookmarkStart w:id="47" w:name="_Toc2582268"/>
    </w:p>
    <w:p>
      <w:pPr>
        <w:pStyle w:val="26"/>
        <w:ind w:firstLine="420"/>
        <w:rPr>
          <w:color w:val="auto"/>
        </w:rPr>
      </w:pPr>
    </w:p>
    <w:p>
      <w:pPr>
        <w:pStyle w:val="5"/>
        <w:spacing w:before="0" w:after="0" w:line="240" w:lineRule="auto"/>
        <w:jc w:val="center"/>
        <w:rPr>
          <w:rFonts w:ascii="宋体" w:hAnsi="宋体" w:eastAsia="宋体" w:cs="宋体"/>
          <w:color w:val="auto"/>
          <w:sz w:val="24"/>
          <w:szCs w:val="24"/>
        </w:rPr>
      </w:pPr>
      <w:bookmarkStart w:id="48" w:name="_Toc28670"/>
      <w:r>
        <w:rPr>
          <w:rFonts w:hint="eastAsia" w:ascii="宋体" w:hAnsi="宋体" w:eastAsia="宋体" w:cs="宋体"/>
          <w:color w:val="auto"/>
          <w:sz w:val="24"/>
          <w:szCs w:val="24"/>
        </w:rPr>
        <w:t>（二）磋商文件</w:t>
      </w:r>
      <w:bookmarkEnd w:id="41"/>
      <w:bookmarkEnd w:id="42"/>
      <w:bookmarkEnd w:id="43"/>
      <w:bookmarkEnd w:id="44"/>
      <w:bookmarkEnd w:id="45"/>
      <w:bookmarkEnd w:id="46"/>
      <w:bookmarkEnd w:id="47"/>
      <w:bookmarkEnd w:id="48"/>
    </w:p>
    <w:p>
      <w:pPr>
        <w:pStyle w:val="6"/>
        <w:spacing w:before="0" w:after="0" w:line="560" w:lineRule="exact"/>
        <w:rPr>
          <w:rFonts w:hAnsi="宋体" w:cs="宋体"/>
          <w:color w:val="auto"/>
          <w:szCs w:val="24"/>
          <w:u w:val="none"/>
        </w:rPr>
      </w:pPr>
      <w:bookmarkStart w:id="49" w:name="_Toc25743"/>
      <w:bookmarkStart w:id="50" w:name="_Toc515647763"/>
      <w:bookmarkStart w:id="51" w:name="_Toc2582269"/>
      <w:bookmarkStart w:id="52" w:name="_Toc520356147"/>
      <w:bookmarkStart w:id="53" w:name="_Toc14084"/>
      <w:bookmarkStart w:id="54" w:name="_Toc532473455"/>
      <w:r>
        <w:rPr>
          <w:rFonts w:hint="eastAsia" w:hAnsi="宋体" w:cs="宋体"/>
          <w:color w:val="auto"/>
          <w:szCs w:val="24"/>
          <w:u w:val="none"/>
        </w:rPr>
        <w:t>4.磋商文件构成</w:t>
      </w:r>
      <w:bookmarkEnd w:id="49"/>
      <w:bookmarkEnd w:id="50"/>
      <w:bookmarkEnd w:id="51"/>
      <w:bookmarkEnd w:id="52"/>
      <w:bookmarkEnd w:id="53"/>
      <w:bookmarkEnd w:id="54"/>
    </w:p>
    <w:p>
      <w:pPr>
        <w:spacing w:line="560" w:lineRule="exact"/>
        <w:rPr>
          <w:rFonts w:ascii="宋体" w:hAnsi="宋体" w:cs="宋体"/>
          <w:color w:val="auto"/>
          <w:sz w:val="24"/>
        </w:rPr>
      </w:pPr>
      <w:r>
        <w:rPr>
          <w:rFonts w:hint="eastAsia" w:ascii="宋体" w:hAnsi="宋体" w:cs="宋体"/>
          <w:color w:val="auto"/>
          <w:sz w:val="24"/>
        </w:rPr>
        <w:t>4.1   磋商邀请</w:t>
      </w:r>
    </w:p>
    <w:p>
      <w:pPr>
        <w:spacing w:line="560" w:lineRule="exact"/>
        <w:rPr>
          <w:rFonts w:ascii="宋体" w:hAnsi="宋体" w:cs="宋体"/>
          <w:color w:val="auto"/>
          <w:sz w:val="24"/>
        </w:rPr>
      </w:pPr>
      <w:r>
        <w:rPr>
          <w:rFonts w:hint="eastAsia" w:ascii="宋体" w:hAnsi="宋体" w:cs="宋体"/>
          <w:color w:val="auto"/>
          <w:sz w:val="24"/>
        </w:rPr>
        <w:t xml:space="preserve">4.2   </w:t>
      </w:r>
      <w:r>
        <w:rPr>
          <w:rFonts w:hint="eastAsia" w:ascii="宋体" w:hAnsi="宋体" w:cs="宋体"/>
          <w:color w:val="auto"/>
          <w:sz w:val="24"/>
          <w:lang w:eastAsia="zh-CN"/>
        </w:rPr>
        <w:t>投标人</w:t>
      </w:r>
      <w:r>
        <w:rPr>
          <w:rFonts w:hint="eastAsia" w:ascii="宋体" w:hAnsi="宋体" w:cs="宋体"/>
          <w:color w:val="auto"/>
          <w:sz w:val="24"/>
        </w:rPr>
        <w:t>须知前附表</w:t>
      </w:r>
    </w:p>
    <w:p>
      <w:pPr>
        <w:spacing w:line="560" w:lineRule="exact"/>
        <w:rPr>
          <w:rFonts w:ascii="宋体" w:hAnsi="宋体" w:cs="宋体"/>
          <w:color w:val="auto"/>
          <w:sz w:val="24"/>
        </w:rPr>
      </w:pPr>
      <w:r>
        <w:rPr>
          <w:rFonts w:hint="eastAsia" w:ascii="宋体" w:hAnsi="宋体" w:cs="宋体"/>
          <w:color w:val="auto"/>
          <w:sz w:val="24"/>
        </w:rPr>
        <w:t xml:space="preserve">4.3   </w:t>
      </w:r>
      <w:r>
        <w:rPr>
          <w:rFonts w:hint="eastAsia" w:ascii="宋体" w:hAnsi="宋体" w:cs="宋体"/>
          <w:color w:val="auto"/>
          <w:sz w:val="24"/>
          <w:lang w:eastAsia="zh-CN"/>
        </w:rPr>
        <w:t>投标人</w:t>
      </w:r>
      <w:r>
        <w:rPr>
          <w:rFonts w:hint="eastAsia" w:ascii="宋体" w:hAnsi="宋体" w:cs="宋体"/>
          <w:color w:val="auto"/>
          <w:sz w:val="24"/>
        </w:rPr>
        <w:t>须知</w:t>
      </w:r>
    </w:p>
    <w:p>
      <w:pPr>
        <w:spacing w:line="560" w:lineRule="exact"/>
        <w:rPr>
          <w:rFonts w:ascii="宋体" w:hAnsi="宋体" w:cs="宋体"/>
          <w:color w:val="auto"/>
          <w:sz w:val="24"/>
        </w:rPr>
      </w:pPr>
      <w:r>
        <w:rPr>
          <w:rFonts w:hint="eastAsia" w:ascii="宋体" w:hAnsi="宋体" w:cs="宋体"/>
          <w:color w:val="auto"/>
          <w:sz w:val="24"/>
        </w:rPr>
        <w:t>4.4   项目说明和采购需求</w:t>
      </w:r>
    </w:p>
    <w:p>
      <w:pPr>
        <w:pStyle w:val="9"/>
        <w:spacing w:line="560" w:lineRule="exact"/>
        <w:ind w:firstLine="0"/>
        <w:rPr>
          <w:rFonts w:ascii="宋体" w:hAnsi="宋体" w:cs="宋体"/>
          <w:color w:val="auto"/>
          <w:sz w:val="24"/>
        </w:rPr>
      </w:pPr>
      <w:r>
        <w:rPr>
          <w:rFonts w:hint="eastAsia" w:ascii="宋体" w:hAnsi="宋体" w:cs="宋体"/>
          <w:color w:val="auto"/>
          <w:sz w:val="24"/>
        </w:rPr>
        <w:t>4.5   政府采购合同范本</w:t>
      </w:r>
    </w:p>
    <w:p>
      <w:pPr>
        <w:pStyle w:val="9"/>
        <w:spacing w:line="560" w:lineRule="exact"/>
        <w:ind w:firstLine="0"/>
        <w:rPr>
          <w:rFonts w:ascii="宋体" w:hAnsi="宋体" w:cs="宋体"/>
          <w:color w:val="auto"/>
          <w:sz w:val="24"/>
        </w:rPr>
      </w:pPr>
      <w:r>
        <w:rPr>
          <w:rFonts w:hint="eastAsia" w:ascii="宋体" w:hAnsi="宋体" w:cs="宋体"/>
          <w:color w:val="auto"/>
          <w:sz w:val="24"/>
        </w:rPr>
        <w:t>4.6   响应文件格式</w:t>
      </w:r>
    </w:p>
    <w:p>
      <w:pPr>
        <w:pStyle w:val="6"/>
        <w:spacing w:before="0" w:after="0" w:line="560" w:lineRule="exact"/>
        <w:rPr>
          <w:rFonts w:hAnsi="宋体" w:cs="宋体"/>
          <w:color w:val="auto"/>
          <w:szCs w:val="24"/>
          <w:u w:val="none"/>
        </w:rPr>
      </w:pPr>
      <w:bookmarkStart w:id="55" w:name="_Toc515904805"/>
      <w:bookmarkStart w:id="56" w:name="_Toc520356148"/>
      <w:bookmarkStart w:id="57" w:name="_Toc26044"/>
      <w:bookmarkStart w:id="58" w:name="_Toc9232"/>
      <w:bookmarkStart w:id="59" w:name="_Toc2582270"/>
      <w:bookmarkStart w:id="60" w:name="_Toc532473456"/>
      <w:r>
        <w:rPr>
          <w:rFonts w:hint="eastAsia" w:hAnsi="宋体" w:cs="宋体"/>
          <w:color w:val="auto"/>
          <w:szCs w:val="24"/>
          <w:u w:val="none"/>
        </w:rPr>
        <w:t>5.磋商文件的澄清</w:t>
      </w:r>
      <w:bookmarkEnd w:id="55"/>
      <w:bookmarkEnd w:id="56"/>
      <w:r>
        <w:rPr>
          <w:rFonts w:hint="eastAsia" w:hAnsi="宋体" w:cs="宋体"/>
          <w:color w:val="auto"/>
          <w:szCs w:val="24"/>
          <w:u w:val="none"/>
        </w:rPr>
        <w:t>与修改</w:t>
      </w:r>
      <w:bookmarkEnd w:id="57"/>
      <w:bookmarkEnd w:id="58"/>
      <w:bookmarkEnd w:id="59"/>
      <w:bookmarkEnd w:id="60"/>
    </w:p>
    <w:p>
      <w:pPr>
        <w:spacing w:line="560" w:lineRule="exact"/>
        <w:rPr>
          <w:rFonts w:ascii="宋体" w:hAnsi="宋体" w:cs="宋体"/>
          <w:color w:val="auto"/>
          <w:sz w:val="24"/>
        </w:rPr>
      </w:pPr>
      <w:r>
        <w:rPr>
          <w:rFonts w:hint="eastAsia" w:ascii="宋体" w:hAnsi="宋体" w:cs="宋体"/>
          <w:color w:val="auto"/>
          <w:sz w:val="24"/>
        </w:rPr>
        <w:t>5.1   采购人、采购代理机构可以对已发出的磋商文件等进行必要的澄清或者修改。澄清或者修改的内容为磋商文件的组成部分。澄清或者修改应当在原公告发布媒体上发布澄清公告。</w:t>
      </w:r>
    </w:p>
    <w:p>
      <w:pPr>
        <w:spacing w:line="560" w:lineRule="exact"/>
        <w:rPr>
          <w:rFonts w:ascii="宋体" w:hAnsi="宋体" w:cs="宋体"/>
          <w:color w:val="auto"/>
          <w:sz w:val="24"/>
        </w:rPr>
      </w:pPr>
      <w:r>
        <w:rPr>
          <w:rFonts w:hint="eastAsia" w:ascii="宋体" w:hAnsi="宋体" w:cs="宋体"/>
          <w:color w:val="auto"/>
          <w:sz w:val="24"/>
        </w:rPr>
        <w:t>5.2   磋商文件中有不一致的，有澄清的部分以最终的澄清更正内容为准；未澄清的，以</w:t>
      </w:r>
      <w:r>
        <w:rPr>
          <w:rFonts w:hint="eastAsia" w:ascii="宋体" w:hAnsi="宋体" w:cs="宋体"/>
          <w:color w:val="auto"/>
          <w:sz w:val="24"/>
          <w:lang w:eastAsia="zh-CN"/>
        </w:rPr>
        <w:t>投标人</w:t>
      </w:r>
      <w:r>
        <w:rPr>
          <w:rFonts w:hint="eastAsia" w:ascii="宋体" w:hAnsi="宋体" w:cs="宋体"/>
          <w:color w:val="auto"/>
          <w:sz w:val="24"/>
        </w:rPr>
        <w:t>须知前附表为准；</w:t>
      </w:r>
      <w:r>
        <w:rPr>
          <w:rFonts w:hint="eastAsia" w:ascii="宋体" w:hAnsi="宋体" w:cs="宋体"/>
          <w:color w:val="auto"/>
          <w:sz w:val="24"/>
          <w:lang w:eastAsia="zh-CN"/>
        </w:rPr>
        <w:t>投标人</w:t>
      </w:r>
      <w:r>
        <w:rPr>
          <w:rFonts w:hint="eastAsia" w:ascii="宋体" w:hAnsi="宋体" w:cs="宋体"/>
          <w:color w:val="auto"/>
          <w:sz w:val="24"/>
        </w:rPr>
        <w:t>须知前附表不涉及的内容，以编排在后的最后描述为准。</w:t>
      </w:r>
    </w:p>
    <w:p>
      <w:pPr>
        <w:spacing w:line="560" w:lineRule="exact"/>
        <w:rPr>
          <w:rFonts w:ascii="宋体" w:hAnsi="宋体" w:cs="宋体"/>
          <w:color w:val="auto"/>
          <w:sz w:val="24"/>
        </w:rPr>
      </w:pPr>
      <w:r>
        <w:rPr>
          <w:rFonts w:hint="eastAsia" w:ascii="宋体" w:hAnsi="宋体" w:cs="宋体"/>
          <w:color w:val="auto"/>
          <w:sz w:val="24"/>
        </w:rPr>
        <w:t xml:space="preserve">5.3   </w:t>
      </w:r>
      <w:r>
        <w:rPr>
          <w:rFonts w:hint="eastAsia" w:ascii="宋体" w:hAnsi="宋体" w:cs="宋体"/>
          <w:color w:val="auto"/>
          <w:sz w:val="24"/>
          <w:lang w:eastAsia="zh-CN"/>
        </w:rPr>
        <w:t>投标人</w:t>
      </w:r>
      <w:r>
        <w:rPr>
          <w:rFonts w:hint="eastAsia" w:ascii="宋体" w:hAnsi="宋体" w:cs="宋体"/>
          <w:color w:val="auto"/>
          <w:sz w:val="24"/>
        </w:rPr>
        <w:t>应及时关注本项目原公告发布媒体上发布的澄清公告或修改内容并自行下载，采购人、采购代理机构不再另行通知。</w:t>
      </w:r>
    </w:p>
    <w:p>
      <w:pPr>
        <w:pStyle w:val="6"/>
        <w:tabs>
          <w:tab w:val="left" w:pos="900"/>
        </w:tabs>
        <w:spacing w:before="0" w:after="0" w:line="560" w:lineRule="exact"/>
        <w:rPr>
          <w:rFonts w:hAnsi="宋体" w:cs="宋体"/>
          <w:color w:val="auto"/>
          <w:szCs w:val="24"/>
          <w:u w:val="none"/>
        </w:rPr>
      </w:pPr>
      <w:bookmarkStart w:id="61" w:name="_Toc2582271"/>
      <w:bookmarkStart w:id="62" w:name="_Toc532473457"/>
      <w:bookmarkStart w:id="63" w:name="_Toc25635"/>
      <w:bookmarkStart w:id="64" w:name="_Toc14569"/>
      <w:r>
        <w:rPr>
          <w:rFonts w:hint="eastAsia" w:hAnsi="宋体" w:cs="宋体"/>
          <w:color w:val="auto"/>
          <w:szCs w:val="24"/>
          <w:u w:val="none"/>
        </w:rPr>
        <w:t>6.响应截止时间的顺延</w:t>
      </w:r>
      <w:bookmarkEnd w:id="61"/>
      <w:bookmarkEnd w:id="62"/>
      <w:bookmarkEnd w:id="63"/>
      <w:bookmarkEnd w:id="64"/>
    </w:p>
    <w:p>
      <w:pPr>
        <w:spacing w:line="560" w:lineRule="exact"/>
        <w:rPr>
          <w:rFonts w:ascii="宋体" w:hAnsi="宋体" w:cs="宋体"/>
          <w:color w:val="auto"/>
          <w:sz w:val="24"/>
        </w:rPr>
      </w:pPr>
      <w:r>
        <w:rPr>
          <w:rFonts w:hint="eastAsia" w:ascii="宋体" w:hAnsi="宋体" w:cs="宋体"/>
          <w:color w:val="auto"/>
          <w:sz w:val="24"/>
        </w:rPr>
        <w:t>6.1   为使</w:t>
      </w:r>
      <w:r>
        <w:rPr>
          <w:rFonts w:hint="eastAsia" w:ascii="宋体" w:hAnsi="宋体" w:cs="宋体"/>
          <w:color w:val="auto"/>
          <w:sz w:val="24"/>
          <w:lang w:eastAsia="zh-CN"/>
        </w:rPr>
        <w:t>投标人</w:t>
      </w:r>
      <w:r>
        <w:rPr>
          <w:rFonts w:hint="eastAsia" w:ascii="宋体" w:hAnsi="宋体" w:cs="宋体"/>
          <w:color w:val="auto"/>
          <w:sz w:val="24"/>
        </w:rPr>
        <w:t>有足够的时间对磋商文件的澄清或者修改部分进行研究而准备或因其他原因，采购人将依法决定是否顺延响应截止时间。顺延变更公告应当在原公告发布媒体上发布。</w:t>
      </w:r>
    </w:p>
    <w:p>
      <w:pPr>
        <w:spacing w:line="560" w:lineRule="exact"/>
        <w:rPr>
          <w:rFonts w:ascii="宋体" w:hAnsi="宋体" w:cs="宋体"/>
          <w:color w:val="auto"/>
          <w:sz w:val="24"/>
        </w:rPr>
      </w:pPr>
      <w:r>
        <w:rPr>
          <w:rFonts w:hint="eastAsia" w:ascii="宋体" w:hAnsi="宋体" w:cs="宋体"/>
          <w:color w:val="auto"/>
          <w:sz w:val="24"/>
        </w:rPr>
        <w:t xml:space="preserve">6.2   </w:t>
      </w:r>
      <w:r>
        <w:rPr>
          <w:rFonts w:hint="eastAsia" w:ascii="宋体" w:hAnsi="宋体" w:cs="宋体"/>
          <w:color w:val="auto"/>
          <w:sz w:val="24"/>
          <w:lang w:eastAsia="zh-CN"/>
        </w:rPr>
        <w:t>投标人</w:t>
      </w:r>
      <w:r>
        <w:rPr>
          <w:rFonts w:hint="eastAsia" w:ascii="宋体" w:hAnsi="宋体" w:cs="宋体"/>
          <w:color w:val="auto"/>
          <w:sz w:val="24"/>
        </w:rPr>
        <w:t>应及时关注本项目原公告发布媒体上发布的变更公告，采购人、采购代理机构不再另行通知。</w:t>
      </w:r>
    </w:p>
    <w:p>
      <w:pPr>
        <w:pStyle w:val="9"/>
        <w:spacing w:line="560" w:lineRule="exact"/>
        <w:ind w:firstLine="0"/>
        <w:rPr>
          <w:rFonts w:ascii="宋体" w:hAnsi="宋体" w:cs="宋体"/>
          <w:b/>
          <w:bCs/>
          <w:color w:val="auto"/>
          <w:sz w:val="24"/>
        </w:rPr>
      </w:pPr>
      <w:r>
        <w:rPr>
          <w:rFonts w:hint="eastAsia" w:ascii="宋体" w:hAnsi="宋体" w:cs="宋体"/>
          <w:b/>
          <w:bCs/>
          <w:color w:val="auto"/>
          <w:kern w:val="2"/>
          <w:sz w:val="24"/>
        </w:rPr>
        <w:t>7.其他事项</w:t>
      </w:r>
    </w:p>
    <w:p>
      <w:pPr>
        <w:spacing w:line="560" w:lineRule="exact"/>
        <w:rPr>
          <w:rFonts w:ascii="宋体" w:hAnsi="宋体" w:cs="宋体"/>
          <w:color w:val="auto"/>
          <w:sz w:val="24"/>
        </w:rPr>
      </w:pPr>
      <w:r>
        <w:rPr>
          <w:rFonts w:hint="eastAsia" w:ascii="宋体" w:hAnsi="宋体" w:cs="宋体"/>
          <w:color w:val="auto"/>
          <w:sz w:val="24"/>
        </w:rPr>
        <w:t xml:space="preserve">7.1   </w:t>
      </w:r>
      <w:r>
        <w:rPr>
          <w:rFonts w:hint="eastAsia" w:ascii="宋体" w:hAnsi="宋体" w:cs="宋体"/>
          <w:color w:val="auto"/>
          <w:sz w:val="24"/>
          <w:lang w:eastAsia="zh-CN"/>
        </w:rPr>
        <w:t>投标人</w:t>
      </w:r>
      <w:r>
        <w:rPr>
          <w:rFonts w:hint="eastAsia" w:ascii="宋体" w:hAnsi="宋体" w:cs="宋体"/>
          <w:color w:val="auto"/>
          <w:sz w:val="24"/>
        </w:rPr>
        <w:t>应认真阅读磋商文件所有的事项、格式、条款和技术规范等。如</w:t>
      </w:r>
      <w:r>
        <w:rPr>
          <w:rFonts w:hint="eastAsia" w:ascii="宋体" w:hAnsi="宋体" w:cs="宋体"/>
          <w:color w:val="auto"/>
          <w:sz w:val="24"/>
          <w:lang w:eastAsia="zh-CN"/>
        </w:rPr>
        <w:t>投标人</w:t>
      </w:r>
      <w:r>
        <w:rPr>
          <w:rFonts w:hint="eastAsia" w:ascii="宋体" w:hAnsi="宋体" w:cs="宋体"/>
          <w:color w:val="auto"/>
          <w:sz w:val="24"/>
        </w:rPr>
        <w:t>没有按照磋商文件要求提交全部资料，或者响应文件没有对磋商文件的实质性要求做出响应，其响应将被认定为响应</w:t>
      </w:r>
      <w:r>
        <w:rPr>
          <w:rFonts w:hint="eastAsia" w:ascii="宋体" w:hAnsi="宋体" w:cs="宋体"/>
          <w:b/>
          <w:bCs/>
          <w:color w:val="auto"/>
          <w:sz w:val="24"/>
        </w:rPr>
        <w:t>无效</w:t>
      </w:r>
      <w:r>
        <w:rPr>
          <w:rFonts w:hint="eastAsia" w:ascii="宋体" w:hAnsi="宋体" w:cs="宋体"/>
          <w:color w:val="auto"/>
          <w:sz w:val="24"/>
        </w:rPr>
        <w:t>。</w:t>
      </w:r>
    </w:p>
    <w:p>
      <w:pPr>
        <w:pStyle w:val="26"/>
        <w:ind w:firstLine="420"/>
        <w:rPr>
          <w:color w:val="auto"/>
        </w:rPr>
      </w:pPr>
    </w:p>
    <w:p>
      <w:pPr>
        <w:pStyle w:val="5"/>
        <w:tabs>
          <w:tab w:val="left" w:pos="900"/>
        </w:tabs>
        <w:spacing w:before="0" w:after="0" w:line="560" w:lineRule="exact"/>
        <w:jc w:val="center"/>
        <w:rPr>
          <w:rFonts w:ascii="宋体" w:hAnsi="宋体" w:eastAsia="宋体" w:cs="宋体"/>
          <w:color w:val="auto"/>
          <w:sz w:val="24"/>
          <w:szCs w:val="24"/>
        </w:rPr>
      </w:pPr>
      <w:bookmarkStart w:id="65" w:name="_Toc516367020"/>
      <w:bookmarkStart w:id="66" w:name="_Toc7636"/>
      <w:bookmarkStart w:id="67" w:name="_Toc515647766"/>
      <w:bookmarkStart w:id="68" w:name="_Toc16392"/>
      <w:bookmarkStart w:id="69" w:name="_Toc30808"/>
      <w:bookmarkStart w:id="70" w:name="_Toc520356150"/>
      <w:bookmarkStart w:id="71" w:name="_Toc2582272"/>
      <w:bookmarkStart w:id="72" w:name="_Toc216582807"/>
      <w:bookmarkStart w:id="73" w:name="_Toc532473458"/>
      <w:r>
        <w:rPr>
          <w:rFonts w:hint="eastAsia" w:ascii="宋体" w:hAnsi="宋体" w:eastAsia="宋体" w:cs="宋体"/>
          <w:color w:val="auto"/>
          <w:sz w:val="24"/>
          <w:szCs w:val="24"/>
        </w:rPr>
        <w:t>（三）响应文件</w:t>
      </w:r>
      <w:bookmarkEnd w:id="65"/>
      <w:r>
        <w:rPr>
          <w:rFonts w:hint="eastAsia" w:ascii="宋体" w:hAnsi="宋体" w:eastAsia="宋体" w:cs="宋体"/>
          <w:color w:val="auto"/>
          <w:sz w:val="24"/>
          <w:szCs w:val="24"/>
        </w:rPr>
        <w:t>的编制</w:t>
      </w:r>
      <w:bookmarkEnd w:id="66"/>
      <w:bookmarkEnd w:id="67"/>
      <w:bookmarkEnd w:id="68"/>
      <w:bookmarkEnd w:id="69"/>
      <w:bookmarkEnd w:id="70"/>
      <w:bookmarkEnd w:id="71"/>
      <w:bookmarkEnd w:id="72"/>
      <w:bookmarkEnd w:id="73"/>
    </w:p>
    <w:p>
      <w:pPr>
        <w:pStyle w:val="6"/>
        <w:tabs>
          <w:tab w:val="left" w:pos="900"/>
        </w:tabs>
        <w:spacing w:before="0" w:after="0" w:line="560" w:lineRule="exact"/>
        <w:rPr>
          <w:rFonts w:hAnsi="宋体" w:cs="宋体"/>
          <w:color w:val="auto"/>
          <w:szCs w:val="24"/>
        </w:rPr>
      </w:pPr>
      <w:bookmarkStart w:id="74" w:name="_Toc516367021"/>
      <w:bookmarkStart w:id="75" w:name="_Toc520356151"/>
      <w:bookmarkStart w:id="76" w:name="_Toc515647767"/>
      <w:bookmarkStart w:id="77" w:name="_Toc2582273"/>
      <w:bookmarkStart w:id="78" w:name="_Toc7786"/>
      <w:bookmarkStart w:id="79" w:name="_Toc3553"/>
      <w:bookmarkStart w:id="80" w:name="_Toc532473459"/>
      <w:r>
        <w:rPr>
          <w:rFonts w:hint="eastAsia" w:hAnsi="宋体" w:cs="宋体"/>
          <w:color w:val="auto"/>
          <w:szCs w:val="24"/>
          <w:u w:val="none"/>
        </w:rPr>
        <w:t>8.</w:t>
      </w:r>
      <w:bookmarkEnd w:id="74"/>
      <w:bookmarkEnd w:id="75"/>
      <w:bookmarkEnd w:id="76"/>
      <w:bookmarkEnd w:id="77"/>
      <w:bookmarkEnd w:id="78"/>
      <w:bookmarkEnd w:id="79"/>
      <w:bookmarkEnd w:id="80"/>
      <w:r>
        <w:rPr>
          <w:rFonts w:hint="eastAsia" w:hAnsi="宋体" w:cs="宋体"/>
          <w:color w:val="auto"/>
          <w:szCs w:val="24"/>
          <w:u w:val="none"/>
        </w:rPr>
        <w:t>响应范围及文字、计量单位要求</w:t>
      </w:r>
    </w:p>
    <w:p>
      <w:pPr>
        <w:spacing w:line="560" w:lineRule="exact"/>
        <w:rPr>
          <w:rFonts w:ascii="宋体" w:hAnsi="宋体" w:cs="宋体"/>
          <w:color w:val="auto"/>
          <w:sz w:val="24"/>
        </w:rPr>
      </w:pPr>
      <w:r>
        <w:rPr>
          <w:rFonts w:hint="eastAsia" w:ascii="宋体" w:hAnsi="宋体" w:cs="宋体"/>
          <w:color w:val="auto"/>
          <w:sz w:val="24"/>
        </w:rPr>
        <w:t xml:space="preserve">8.1   </w:t>
      </w:r>
      <w:r>
        <w:rPr>
          <w:rFonts w:hint="eastAsia" w:ascii="宋体" w:hAnsi="宋体" w:cs="宋体"/>
          <w:color w:val="auto"/>
          <w:sz w:val="24"/>
          <w:lang w:eastAsia="zh-CN"/>
        </w:rPr>
        <w:t>投标人</w:t>
      </w:r>
      <w:r>
        <w:rPr>
          <w:rFonts w:hint="eastAsia" w:ascii="宋体" w:hAnsi="宋体" w:cs="宋体"/>
          <w:color w:val="auto"/>
          <w:sz w:val="24"/>
        </w:rPr>
        <w:t>应当对磋商文件中所列的所有内容进行投标，如仅响应部分内容，其响应将被认定为响应无效。</w:t>
      </w:r>
    </w:p>
    <w:p>
      <w:pPr>
        <w:spacing w:line="560" w:lineRule="exact"/>
        <w:rPr>
          <w:rFonts w:ascii="宋体" w:hAnsi="宋体" w:cs="宋体"/>
          <w:color w:val="auto"/>
          <w:sz w:val="24"/>
        </w:rPr>
      </w:pPr>
      <w:r>
        <w:rPr>
          <w:rFonts w:hint="eastAsia" w:ascii="宋体" w:hAnsi="宋体" w:cs="宋体"/>
          <w:color w:val="auto"/>
          <w:sz w:val="24"/>
        </w:rPr>
        <w:t>8.2   无论磋商文件中是否要求，</w:t>
      </w:r>
      <w:r>
        <w:rPr>
          <w:rFonts w:hint="eastAsia" w:ascii="宋体" w:hAnsi="宋体" w:cs="宋体"/>
          <w:color w:val="auto"/>
          <w:sz w:val="24"/>
          <w:lang w:eastAsia="zh-CN"/>
        </w:rPr>
        <w:t>投标人</w:t>
      </w:r>
      <w:r>
        <w:rPr>
          <w:rFonts w:hint="eastAsia" w:ascii="宋体" w:hAnsi="宋体" w:cs="宋体"/>
          <w:color w:val="auto"/>
          <w:sz w:val="24"/>
        </w:rPr>
        <w:t>所投服务及伴随的货物和工程均应符合国家强制性标准。</w:t>
      </w:r>
    </w:p>
    <w:p>
      <w:pPr>
        <w:spacing w:line="560" w:lineRule="exact"/>
        <w:rPr>
          <w:rFonts w:ascii="宋体" w:hAnsi="宋体" w:cs="宋体"/>
          <w:color w:val="auto"/>
          <w:sz w:val="24"/>
        </w:rPr>
      </w:pPr>
      <w:r>
        <w:rPr>
          <w:rFonts w:hint="eastAsia" w:ascii="宋体" w:hAnsi="宋体" w:cs="宋体"/>
          <w:color w:val="auto"/>
          <w:sz w:val="24"/>
        </w:rPr>
        <w:t>8.3   响应文件应使用规范汉字书写(专有名词须加注中文解释)，并采用通用的图形符号，不得出现与常规书写格式不符的内容。</w:t>
      </w:r>
    </w:p>
    <w:p>
      <w:pPr>
        <w:spacing w:line="560" w:lineRule="exact"/>
        <w:rPr>
          <w:rFonts w:ascii="宋体" w:hAnsi="宋体" w:cs="宋体"/>
          <w:color w:val="auto"/>
          <w:sz w:val="24"/>
        </w:rPr>
      </w:pPr>
      <w:r>
        <w:rPr>
          <w:rFonts w:hint="eastAsia" w:ascii="宋体" w:hAnsi="宋体" w:cs="宋体"/>
          <w:color w:val="auto"/>
          <w:sz w:val="24"/>
        </w:rPr>
        <w:t>8.4   除磋商文件中有特殊要求外，响应文件中所使用的计量单位，应采用中华人民共和国法定计量单位。</w:t>
      </w:r>
    </w:p>
    <w:p>
      <w:pPr>
        <w:pStyle w:val="6"/>
        <w:tabs>
          <w:tab w:val="left" w:pos="900"/>
        </w:tabs>
        <w:spacing w:before="0" w:after="0" w:line="560" w:lineRule="exact"/>
        <w:rPr>
          <w:rFonts w:hAnsi="宋体" w:cs="宋体"/>
          <w:color w:val="auto"/>
          <w:szCs w:val="24"/>
          <w:u w:val="none"/>
        </w:rPr>
      </w:pPr>
      <w:bookmarkStart w:id="81" w:name="_Toc516367022"/>
      <w:bookmarkStart w:id="82" w:name="_Ref467306676"/>
      <w:bookmarkStart w:id="83" w:name="_Ref467306195"/>
      <w:bookmarkStart w:id="84" w:name="_Toc2582274"/>
      <w:bookmarkStart w:id="85" w:name="_Toc515647768"/>
      <w:bookmarkStart w:id="86" w:name="_Toc532473460"/>
      <w:bookmarkStart w:id="87" w:name="_Toc28307"/>
      <w:bookmarkStart w:id="88" w:name="_Toc520356152"/>
      <w:bookmarkStart w:id="89" w:name="_Toc10364"/>
      <w:r>
        <w:rPr>
          <w:rFonts w:hint="eastAsia" w:hAnsi="宋体" w:cs="宋体"/>
          <w:color w:val="auto"/>
          <w:szCs w:val="24"/>
          <w:u w:val="none"/>
        </w:rPr>
        <w:t>9.响应文件</w:t>
      </w:r>
      <w:bookmarkEnd w:id="81"/>
      <w:bookmarkEnd w:id="82"/>
      <w:bookmarkEnd w:id="83"/>
      <w:r>
        <w:rPr>
          <w:rFonts w:hint="eastAsia" w:hAnsi="宋体" w:cs="宋体"/>
          <w:color w:val="auto"/>
          <w:szCs w:val="24"/>
          <w:u w:val="none"/>
        </w:rPr>
        <w:t>的组成</w:t>
      </w:r>
      <w:bookmarkEnd w:id="84"/>
      <w:bookmarkEnd w:id="85"/>
      <w:bookmarkEnd w:id="86"/>
      <w:bookmarkEnd w:id="87"/>
      <w:bookmarkEnd w:id="88"/>
      <w:bookmarkEnd w:id="89"/>
    </w:p>
    <w:p>
      <w:pPr>
        <w:tabs>
          <w:tab w:val="left" w:pos="900"/>
          <w:tab w:val="left" w:pos="5580"/>
        </w:tabs>
        <w:spacing w:line="560" w:lineRule="exact"/>
        <w:rPr>
          <w:rFonts w:ascii="宋体" w:hAnsi="宋体" w:cs="宋体"/>
          <w:color w:val="auto"/>
          <w:sz w:val="24"/>
        </w:rPr>
      </w:pPr>
      <w:bookmarkStart w:id="90" w:name="_Ref467052588"/>
      <w:r>
        <w:rPr>
          <w:rFonts w:hint="eastAsia" w:ascii="宋体" w:hAnsi="宋体" w:cs="宋体"/>
          <w:color w:val="auto"/>
          <w:sz w:val="24"/>
        </w:rPr>
        <w:t xml:space="preserve">    </w:t>
      </w:r>
      <w:r>
        <w:rPr>
          <w:rFonts w:hint="eastAsia" w:ascii="宋体" w:hAnsi="宋体" w:cs="宋体"/>
          <w:color w:val="auto"/>
          <w:sz w:val="24"/>
          <w:lang w:eastAsia="zh-CN"/>
        </w:rPr>
        <w:t>投标人</w:t>
      </w:r>
      <w:r>
        <w:rPr>
          <w:rFonts w:hint="eastAsia" w:ascii="宋体" w:hAnsi="宋体" w:cs="宋体"/>
          <w:color w:val="auto"/>
          <w:sz w:val="24"/>
        </w:rPr>
        <w:t>应完整地按照磋商文件提供的响应文件格式及要求编写响应文件，对其响应文件的真实性与准确性负责，成交后，其响应文件将作为合同的组成部分。</w:t>
      </w:r>
    </w:p>
    <w:bookmarkEnd w:id="90"/>
    <w:p>
      <w:pPr>
        <w:pStyle w:val="6"/>
        <w:tabs>
          <w:tab w:val="left" w:pos="900"/>
        </w:tabs>
        <w:spacing w:before="0" w:after="0" w:line="560" w:lineRule="exact"/>
        <w:rPr>
          <w:rFonts w:hAnsi="宋体" w:cs="宋体"/>
          <w:color w:val="auto"/>
          <w:szCs w:val="24"/>
          <w:u w:val="none"/>
        </w:rPr>
      </w:pPr>
      <w:bookmarkStart w:id="91" w:name="_Toc516367023"/>
      <w:bookmarkStart w:id="92" w:name="_Toc520356153"/>
      <w:bookmarkStart w:id="93" w:name="_Toc2582275"/>
      <w:bookmarkStart w:id="94" w:name="_Toc515647769"/>
      <w:bookmarkStart w:id="95" w:name="_Toc532473461"/>
      <w:bookmarkStart w:id="96" w:name="_Toc10379"/>
      <w:bookmarkStart w:id="97" w:name="_Toc4601"/>
      <w:r>
        <w:rPr>
          <w:rFonts w:hint="eastAsia" w:hAnsi="宋体" w:cs="宋体"/>
          <w:color w:val="auto"/>
          <w:szCs w:val="24"/>
          <w:u w:val="none"/>
        </w:rPr>
        <w:t>10.证明响应标的的合格性和符合磋商文件规定的技术文件</w:t>
      </w:r>
      <w:bookmarkEnd w:id="91"/>
      <w:bookmarkEnd w:id="92"/>
      <w:bookmarkEnd w:id="93"/>
      <w:bookmarkEnd w:id="94"/>
      <w:bookmarkEnd w:id="95"/>
      <w:bookmarkEnd w:id="96"/>
      <w:bookmarkEnd w:id="97"/>
    </w:p>
    <w:p>
      <w:pPr>
        <w:spacing w:line="560" w:lineRule="exact"/>
        <w:rPr>
          <w:rFonts w:ascii="宋体" w:hAnsi="宋体" w:cs="宋体"/>
          <w:color w:val="auto"/>
          <w:sz w:val="24"/>
        </w:rPr>
      </w:pPr>
      <w:r>
        <w:rPr>
          <w:rFonts w:hint="eastAsia" w:ascii="宋体" w:hAnsi="宋体" w:cs="宋体"/>
          <w:color w:val="auto"/>
          <w:sz w:val="24"/>
        </w:rPr>
        <w:t xml:space="preserve">10.1   </w:t>
      </w:r>
      <w:r>
        <w:rPr>
          <w:rFonts w:hint="eastAsia" w:ascii="宋体" w:hAnsi="宋体" w:cs="宋体"/>
          <w:color w:val="auto"/>
          <w:sz w:val="24"/>
          <w:lang w:eastAsia="zh-CN"/>
        </w:rPr>
        <w:t>投标人</w:t>
      </w:r>
      <w:r>
        <w:rPr>
          <w:rFonts w:hint="eastAsia" w:ascii="宋体" w:hAnsi="宋体" w:cs="宋体"/>
          <w:color w:val="auto"/>
          <w:sz w:val="24"/>
        </w:rPr>
        <w:t>应提交证明文件，证明其响应标的符合磋商文件规定。该证明件是响应文件的技术文件。</w:t>
      </w:r>
    </w:p>
    <w:p>
      <w:pPr>
        <w:spacing w:line="560" w:lineRule="exact"/>
        <w:rPr>
          <w:rFonts w:ascii="宋体" w:hAnsi="宋体" w:cs="宋体"/>
          <w:color w:val="auto"/>
          <w:sz w:val="24"/>
        </w:rPr>
      </w:pPr>
      <w:bookmarkStart w:id="98" w:name="_Ref467306244"/>
      <w:r>
        <w:rPr>
          <w:rFonts w:hint="eastAsia" w:ascii="宋体" w:hAnsi="宋体" w:cs="宋体"/>
          <w:color w:val="auto"/>
          <w:sz w:val="24"/>
        </w:rPr>
        <w:t>10.2   上款所述的证明文件，可以是文字资料、图纸和数据</w:t>
      </w:r>
      <w:bookmarkEnd w:id="98"/>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10.3   本条所指证明文件不包括对磋商文件相关部分的文字、图标的复制。</w:t>
      </w:r>
    </w:p>
    <w:p>
      <w:pPr>
        <w:pStyle w:val="6"/>
        <w:spacing w:before="0" w:after="0" w:line="560" w:lineRule="exact"/>
        <w:rPr>
          <w:rFonts w:hAnsi="宋体" w:cs="宋体"/>
          <w:color w:val="auto"/>
          <w:szCs w:val="24"/>
          <w:u w:val="none"/>
        </w:rPr>
      </w:pPr>
      <w:bookmarkStart w:id="99" w:name="_Toc515647770"/>
      <w:bookmarkStart w:id="100" w:name="_Toc532473462"/>
      <w:bookmarkStart w:id="101" w:name="_Toc520356155"/>
      <w:bookmarkStart w:id="102" w:name="_Toc2582276"/>
      <w:bookmarkStart w:id="103" w:name="_Toc2248"/>
      <w:bookmarkStart w:id="104" w:name="_Toc23231"/>
      <w:r>
        <w:rPr>
          <w:rFonts w:hint="eastAsia" w:hAnsi="宋体" w:cs="宋体"/>
          <w:color w:val="auto"/>
          <w:szCs w:val="24"/>
          <w:u w:val="none"/>
        </w:rPr>
        <w:t>11.投标报价</w:t>
      </w:r>
      <w:bookmarkEnd w:id="99"/>
      <w:bookmarkEnd w:id="100"/>
      <w:bookmarkEnd w:id="101"/>
      <w:bookmarkEnd w:id="102"/>
      <w:bookmarkEnd w:id="103"/>
      <w:bookmarkEnd w:id="104"/>
    </w:p>
    <w:p>
      <w:pPr>
        <w:spacing w:line="560" w:lineRule="exact"/>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rPr>
        <w:tab/>
      </w:r>
      <w:r>
        <w:rPr>
          <w:rFonts w:hint="eastAsia" w:ascii="宋体" w:hAnsi="宋体" w:cs="宋体"/>
          <w:color w:val="auto"/>
          <w:sz w:val="24"/>
          <w:lang w:eastAsia="zh-CN"/>
        </w:rPr>
        <w:t>投标人</w:t>
      </w:r>
      <w:r>
        <w:rPr>
          <w:rFonts w:hint="eastAsia" w:ascii="宋体" w:hAnsi="宋体" w:cs="宋体"/>
          <w:color w:val="auto"/>
          <w:sz w:val="24"/>
        </w:rPr>
        <w:t>的报价应当包括满足本次磋商全部采购需求所应提供的服务，以及伴随的货物和工程。所有响应均应以人民币报价。</w:t>
      </w:r>
    </w:p>
    <w:p>
      <w:pPr>
        <w:spacing w:line="560" w:lineRule="exact"/>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rPr>
        <w:tab/>
      </w:r>
      <w:r>
        <w:rPr>
          <w:rFonts w:hint="eastAsia" w:ascii="宋体" w:hAnsi="宋体" w:cs="宋体"/>
          <w:color w:val="auto"/>
          <w:sz w:val="24"/>
          <w:lang w:eastAsia="zh-CN"/>
        </w:rPr>
        <w:t>投标人</w:t>
      </w:r>
      <w:r>
        <w:rPr>
          <w:rFonts w:hint="eastAsia" w:ascii="宋体" w:hAnsi="宋体" w:cs="宋体"/>
          <w:color w:val="auto"/>
          <w:sz w:val="24"/>
        </w:rPr>
        <w:t>应在价格明细表上标明响应服务及相关货物、工程（如适用）和总价，并由法定代表人或其授权代表签署。</w:t>
      </w:r>
    </w:p>
    <w:p>
      <w:pPr>
        <w:pStyle w:val="6"/>
        <w:spacing w:before="0" w:after="0" w:line="560" w:lineRule="exact"/>
        <w:rPr>
          <w:rFonts w:hAnsi="宋体" w:cs="宋体"/>
          <w:color w:val="auto"/>
          <w:szCs w:val="24"/>
          <w:u w:val="none"/>
        </w:rPr>
      </w:pPr>
      <w:bookmarkStart w:id="105" w:name="_Toc532473463"/>
      <w:bookmarkStart w:id="106" w:name="_Toc515647771"/>
      <w:bookmarkStart w:id="107" w:name="_Toc11514"/>
      <w:bookmarkStart w:id="108" w:name="_Toc17788"/>
      <w:bookmarkStart w:id="109" w:name="_Toc520356156"/>
      <w:bookmarkStart w:id="110" w:name="_Ref467306513"/>
      <w:bookmarkStart w:id="111" w:name="_Toc2582277"/>
      <w:r>
        <w:rPr>
          <w:rFonts w:hint="eastAsia" w:hAnsi="宋体" w:cs="宋体"/>
          <w:color w:val="auto"/>
          <w:szCs w:val="24"/>
          <w:u w:val="none"/>
        </w:rPr>
        <w:t>12.响应保证金</w:t>
      </w:r>
      <w:bookmarkEnd w:id="105"/>
      <w:bookmarkEnd w:id="106"/>
      <w:bookmarkEnd w:id="107"/>
      <w:bookmarkEnd w:id="108"/>
      <w:bookmarkEnd w:id="109"/>
      <w:bookmarkEnd w:id="110"/>
      <w:bookmarkEnd w:id="111"/>
    </w:p>
    <w:p>
      <w:pPr>
        <w:spacing w:line="560" w:lineRule="exact"/>
        <w:rPr>
          <w:rFonts w:ascii="宋体" w:hAnsi="宋体" w:cs="宋体"/>
          <w:color w:val="auto"/>
          <w:sz w:val="24"/>
        </w:rPr>
      </w:pPr>
      <w:bookmarkStart w:id="112" w:name="_Ref467306302"/>
      <w:r>
        <w:rPr>
          <w:rFonts w:hint="eastAsia" w:ascii="宋体" w:hAnsi="宋体" w:cs="宋体"/>
          <w:color w:val="auto"/>
          <w:sz w:val="24"/>
        </w:rPr>
        <w:t>12.1</w:t>
      </w:r>
      <w:r>
        <w:rPr>
          <w:rFonts w:hint="eastAsia" w:ascii="宋体" w:hAnsi="宋体" w:cs="宋体"/>
          <w:color w:val="auto"/>
          <w:sz w:val="24"/>
        </w:rPr>
        <w:tab/>
      </w:r>
      <w:r>
        <w:rPr>
          <w:rFonts w:hint="eastAsia" w:ascii="宋体" w:hAnsi="宋体" w:cs="宋体"/>
          <w:color w:val="auto"/>
          <w:sz w:val="24"/>
        </w:rPr>
        <w:t>保证金是磋商文件的组成部分。本项目要求</w:t>
      </w:r>
      <w:r>
        <w:rPr>
          <w:rFonts w:hint="eastAsia" w:ascii="宋体" w:hAnsi="宋体" w:cs="宋体"/>
          <w:color w:val="auto"/>
          <w:sz w:val="24"/>
          <w:lang w:eastAsia="zh-CN"/>
        </w:rPr>
        <w:t>投标人</w:t>
      </w:r>
      <w:r>
        <w:rPr>
          <w:rFonts w:hint="eastAsia" w:ascii="宋体" w:hAnsi="宋体" w:cs="宋体"/>
          <w:color w:val="auto"/>
          <w:sz w:val="24"/>
        </w:rPr>
        <w:t>提交响应保证金的，应当在磋商文件中明确保证金的数额及缴纳形式。</w:t>
      </w:r>
    </w:p>
    <w:p>
      <w:pPr>
        <w:spacing w:line="560" w:lineRule="exact"/>
        <w:rPr>
          <w:rFonts w:ascii="宋体" w:hAnsi="宋体" w:cs="宋体"/>
          <w:color w:val="auto"/>
          <w:sz w:val="24"/>
        </w:rPr>
      </w:pPr>
      <w:r>
        <w:rPr>
          <w:rFonts w:hint="eastAsia" w:ascii="宋体" w:hAnsi="宋体" w:cs="宋体"/>
          <w:color w:val="auto"/>
          <w:sz w:val="24"/>
        </w:rPr>
        <w:t xml:space="preserve">12.2   </w:t>
      </w:r>
      <w:r>
        <w:rPr>
          <w:rFonts w:hint="eastAsia" w:ascii="宋体" w:hAnsi="宋体" w:cs="宋体"/>
          <w:color w:val="auto"/>
          <w:sz w:val="24"/>
          <w:lang w:eastAsia="zh-CN"/>
        </w:rPr>
        <w:t>投标人</w:t>
      </w:r>
      <w:r>
        <w:rPr>
          <w:rFonts w:hint="eastAsia" w:ascii="宋体" w:hAnsi="宋体" w:cs="宋体"/>
          <w:color w:val="auto"/>
          <w:sz w:val="24"/>
        </w:rPr>
        <w:t>未在规定时间内缴纳保证金或保证金数额不足以及未按磋商文件规定交纳保证金的，其响应将被认定为响应无效。</w:t>
      </w:r>
    </w:p>
    <w:p>
      <w:pPr>
        <w:spacing w:line="560" w:lineRule="exact"/>
        <w:rPr>
          <w:rFonts w:ascii="宋体" w:hAnsi="宋体" w:cs="宋体"/>
          <w:color w:val="auto"/>
          <w:sz w:val="24"/>
        </w:rPr>
      </w:pPr>
      <w:r>
        <w:rPr>
          <w:rFonts w:hint="eastAsia" w:ascii="宋体" w:hAnsi="宋体" w:cs="宋体"/>
          <w:color w:val="auto"/>
          <w:sz w:val="24"/>
        </w:rPr>
        <w:t>12.3   采购人或者采购代理机构应当自成交通知书发出之日起5个工作日内退还未成交</w:t>
      </w:r>
      <w:r>
        <w:rPr>
          <w:rFonts w:hint="eastAsia" w:ascii="宋体" w:hAnsi="宋体" w:cs="宋体"/>
          <w:color w:val="auto"/>
          <w:sz w:val="24"/>
          <w:lang w:eastAsia="zh-CN"/>
        </w:rPr>
        <w:t>投标人</w:t>
      </w:r>
      <w:r>
        <w:rPr>
          <w:rFonts w:hint="eastAsia" w:ascii="宋体" w:hAnsi="宋体" w:cs="宋体"/>
          <w:color w:val="auto"/>
          <w:sz w:val="24"/>
        </w:rPr>
        <w:t>的响应保证金；自采购合同签订之日起5个工作日内退还成交</w:t>
      </w:r>
      <w:r>
        <w:rPr>
          <w:rFonts w:hint="eastAsia" w:ascii="宋体" w:hAnsi="宋体" w:cs="宋体"/>
          <w:color w:val="auto"/>
          <w:sz w:val="24"/>
          <w:lang w:eastAsia="zh-CN"/>
        </w:rPr>
        <w:t>投标人</w:t>
      </w:r>
      <w:r>
        <w:rPr>
          <w:rFonts w:hint="eastAsia" w:ascii="宋体" w:hAnsi="宋体" w:cs="宋体"/>
          <w:color w:val="auto"/>
          <w:sz w:val="24"/>
        </w:rPr>
        <w:t>的响应保证金。</w:t>
      </w:r>
    </w:p>
    <w:p>
      <w:pPr>
        <w:spacing w:line="560" w:lineRule="exact"/>
        <w:rPr>
          <w:rFonts w:ascii="宋体" w:hAnsi="宋体" w:cs="宋体"/>
          <w:color w:val="auto"/>
          <w:sz w:val="24"/>
        </w:rPr>
      </w:pPr>
      <w:r>
        <w:rPr>
          <w:rFonts w:hint="eastAsia" w:ascii="宋体" w:hAnsi="宋体" w:cs="宋体"/>
          <w:color w:val="auto"/>
          <w:sz w:val="24"/>
        </w:rPr>
        <w:t xml:space="preserve">12.4   </w:t>
      </w:r>
      <w:r>
        <w:rPr>
          <w:rFonts w:hint="eastAsia" w:ascii="宋体" w:hAnsi="宋体" w:cs="宋体"/>
          <w:color w:val="auto"/>
          <w:sz w:val="24"/>
          <w:lang w:eastAsia="zh-CN"/>
        </w:rPr>
        <w:t>投标人</w:t>
      </w:r>
      <w:r>
        <w:rPr>
          <w:rFonts w:hint="eastAsia" w:ascii="宋体" w:hAnsi="宋体" w:cs="宋体"/>
          <w:color w:val="auto"/>
          <w:sz w:val="24"/>
        </w:rPr>
        <w:t>有下列情形之一的，保证金不予退还：</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12.4.1</w:t>
      </w:r>
      <w:r>
        <w:rPr>
          <w:rFonts w:hint="eastAsia" w:ascii="宋体" w:hAnsi="宋体" w:cs="宋体"/>
          <w:color w:val="auto"/>
          <w:kern w:val="2"/>
          <w:sz w:val="24"/>
          <w:lang w:eastAsia="zh-CN"/>
        </w:rPr>
        <w:t>投标人</w:t>
      </w:r>
      <w:r>
        <w:rPr>
          <w:rFonts w:hint="eastAsia" w:ascii="宋体" w:hAnsi="宋体" w:cs="宋体"/>
          <w:color w:val="auto"/>
          <w:kern w:val="2"/>
          <w:sz w:val="24"/>
        </w:rPr>
        <w:t>在提交响应文件截止时间后撤回响应文件的；</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12.4.2</w:t>
      </w:r>
      <w:r>
        <w:rPr>
          <w:rFonts w:hint="eastAsia" w:ascii="宋体" w:hAnsi="宋体" w:cs="宋体"/>
          <w:color w:val="auto"/>
          <w:kern w:val="2"/>
          <w:sz w:val="24"/>
          <w:lang w:eastAsia="zh-CN"/>
        </w:rPr>
        <w:t>投标人</w:t>
      </w:r>
      <w:r>
        <w:rPr>
          <w:rFonts w:hint="eastAsia" w:ascii="宋体" w:hAnsi="宋体" w:cs="宋体"/>
          <w:color w:val="auto"/>
          <w:kern w:val="2"/>
          <w:sz w:val="24"/>
        </w:rPr>
        <w:t>在响应文件中提供虚假材料的；</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12.4.3除因不可抗力或磋商文件认可的情形之外，成交</w:t>
      </w:r>
      <w:r>
        <w:rPr>
          <w:rFonts w:hint="eastAsia" w:ascii="宋体" w:hAnsi="宋体" w:cs="宋体"/>
          <w:color w:val="auto"/>
          <w:kern w:val="2"/>
          <w:sz w:val="24"/>
          <w:lang w:eastAsia="zh-CN"/>
        </w:rPr>
        <w:t>投标人</w:t>
      </w:r>
      <w:r>
        <w:rPr>
          <w:rFonts w:hint="eastAsia" w:ascii="宋体" w:hAnsi="宋体" w:cs="宋体"/>
          <w:color w:val="auto"/>
          <w:kern w:val="2"/>
          <w:sz w:val="24"/>
        </w:rPr>
        <w:t>不与采购人签订合同的；</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12.4.4</w:t>
      </w:r>
      <w:r>
        <w:rPr>
          <w:rFonts w:hint="eastAsia" w:ascii="宋体" w:hAnsi="宋体" w:cs="宋体"/>
          <w:color w:val="auto"/>
          <w:kern w:val="2"/>
          <w:sz w:val="24"/>
          <w:lang w:eastAsia="zh-CN"/>
        </w:rPr>
        <w:t>投标人</w:t>
      </w:r>
      <w:r>
        <w:rPr>
          <w:rFonts w:hint="eastAsia" w:ascii="宋体" w:hAnsi="宋体" w:cs="宋体"/>
          <w:color w:val="auto"/>
          <w:kern w:val="2"/>
          <w:sz w:val="24"/>
        </w:rPr>
        <w:t>与采购人、其他</w:t>
      </w:r>
      <w:r>
        <w:rPr>
          <w:rFonts w:hint="eastAsia" w:ascii="宋体" w:hAnsi="宋体" w:cs="宋体"/>
          <w:color w:val="auto"/>
          <w:kern w:val="2"/>
          <w:sz w:val="24"/>
          <w:lang w:eastAsia="zh-CN"/>
        </w:rPr>
        <w:t>投标人</w:t>
      </w:r>
      <w:r>
        <w:rPr>
          <w:rFonts w:hint="eastAsia" w:ascii="宋体" w:hAnsi="宋体" w:cs="宋体"/>
          <w:color w:val="auto"/>
          <w:kern w:val="2"/>
          <w:sz w:val="24"/>
        </w:rPr>
        <w:t>或者采购代理机构恶意串通的；</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12.4.5</w:t>
      </w:r>
      <w:r>
        <w:rPr>
          <w:rFonts w:hint="eastAsia" w:ascii="宋体" w:hAnsi="宋体" w:cs="宋体"/>
          <w:color w:val="auto"/>
          <w:sz w:val="24"/>
        </w:rPr>
        <w:t>磋商</w:t>
      </w:r>
      <w:r>
        <w:rPr>
          <w:rFonts w:hint="eastAsia" w:ascii="宋体" w:hAnsi="宋体" w:cs="宋体"/>
          <w:color w:val="auto"/>
          <w:kern w:val="2"/>
          <w:sz w:val="24"/>
        </w:rPr>
        <w:t>文件规定的其他情形。</w:t>
      </w:r>
    </w:p>
    <w:bookmarkEnd w:id="112"/>
    <w:p>
      <w:pPr>
        <w:pStyle w:val="6"/>
        <w:spacing w:before="0" w:after="0" w:line="560" w:lineRule="exact"/>
        <w:rPr>
          <w:rFonts w:hAnsi="宋体" w:cs="宋体"/>
          <w:color w:val="auto"/>
          <w:szCs w:val="24"/>
          <w:u w:val="none"/>
        </w:rPr>
      </w:pPr>
      <w:bookmarkStart w:id="113" w:name="_Toc32569"/>
      <w:bookmarkStart w:id="114" w:name="_Toc2582278"/>
      <w:bookmarkStart w:id="115" w:name="_Toc532473464"/>
      <w:bookmarkStart w:id="116" w:name="_Toc520356157"/>
      <w:bookmarkStart w:id="117" w:name="_Toc515647772"/>
      <w:bookmarkStart w:id="118" w:name="_Toc23590"/>
      <w:r>
        <w:rPr>
          <w:rFonts w:hint="eastAsia" w:hAnsi="宋体" w:cs="宋体"/>
          <w:color w:val="auto"/>
          <w:szCs w:val="24"/>
          <w:u w:val="none"/>
        </w:rPr>
        <w:t>13.响应有效期</w:t>
      </w:r>
      <w:bookmarkEnd w:id="113"/>
      <w:bookmarkEnd w:id="114"/>
      <w:bookmarkEnd w:id="115"/>
      <w:bookmarkEnd w:id="116"/>
      <w:bookmarkEnd w:id="117"/>
      <w:bookmarkEnd w:id="118"/>
    </w:p>
    <w:p>
      <w:pPr>
        <w:spacing w:line="560" w:lineRule="exact"/>
        <w:rPr>
          <w:rFonts w:ascii="宋体" w:hAnsi="宋体" w:cs="宋体"/>
          <w:color w:val="auto"/>
          <w:sz w:val="24"/>
        </w:rPr>
      </w:pPr>
      <w:r>
        <w:rPr>
          <w:rFonts w:hint="eastAsia" w:ascii="宋体" w:hAnsi="宋体" w:cs="宋体"/>
          <w:color w:val="auto"/>
          <w:sz w:val="24"/>
        </w:rPr>
        <w:t>13.1 响应应在</w:t>
      </w:r>
      <w:r>
        <w:rPr>
          <w:rFonts w:hint="eastAsia" w:ascii="宋体" w:hAnsi="宋体" w:cs="宋体"/>
          <w:color w:val="auto"/>
          <w:sz w:val="24"/>
          <w:lang w:eastAsia="zh-CN"/>
        </w:rPr>
        <w:t>投标人</w:t>
      </w:r>
      <w:r>
        <w:rPr>
          <w:rFonts w:hint="eastAsia" w:ascii="宋体" w:hAnsi="宋体" w:cs="宋体"/>
          <w:color w:val="auto"/>
          <w:sz w:val="24"/>
        </w:rPr>
        <w:t>须知前附表中规定时间内保持有效。响应有效期不满足要求的响应，其响应将被认定为响应</w:t>
      </w:r>
      <w:r>
        <w:rPr>
          <w:rFonts w:hint="eastAsia" w:ascii="宋体" w:hAnsi="宋体" w:cs="宋体"/>
          <w:b/>
          <w:bCs/>
          <w:color w:val="auto"/>
          <w:sz w:val="24"/>
        </w:rPr>
        <w:t>无效</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13.2 因特殊原因，采购人或采购代理机构可在原响应有效期截止之前，要求</w:t>
      </w:r>
      <w:r>
        <w:rPr>
          <w:rFonts w:hint="eastAsia" w:ascii="宋体" w:hAnsi="宋体" w:cs="宋体"/>
          <w:color w:val="auto"/>
          <w:sz w:val="24"/>
          <w:lang w:eastAsia="zh-CN"/>
        </w:rPr>
        <w:t>投标人</w:t>
      </w:r>
      <w:r>
        <w:rPr>
          <w:rFonts w:hint="eastAsia" w:ascii="宋体" w:hAnsi="宋体" w:cs="宋体"/>
          <w:color w:val="auto"/>
          <w:sz w:val="24"/>
        </w:rPr>
        <w:t>延长响应文件的有效期。</w:t>
      </w:r>
      <w:r>
        <w:rPr>
          <w:rFonts w:hint="eastAsia" w:ascii="宋体" w:hAnsi="宋体" w:cs="宋体"/>
          <w:color w:val="auto"/>
          <w:sz w:val="24"/>
          <w:lang w:eastAsia="zh-CN"/>
        </w:rPr>
        <w:t>投标人</w:t>
      </w:r>
      <w:r>
        <w:rPr>
          <w:rFonts w:hint="eastAsia" w:ascii="宋体" w:hAnsi="宋体" w:cs="宋体"/>
          <w:color w:val="auto"/>
          <w:sz w:val="24"/>
        </w:rPr>
        <w:t>也可以拒绝延长响应有效期的要求，且不承担任何责任。</w:t>
      </w:r>
    </w:p>
    <w:p>
      <w:pPr>
        <w:pStyle w:val="6"/>
        <w:spacing w:before="0" w:after="0" w:line="560" w:lineRule="exact"/>
        <w:rPr>
          <w:rFonts w:hAnsi="宋体" w:cs="宋体"/>
          <w:color w:val="auto"/>
          <w:szCs w:val="24"/>
          <w:u w:val="none"/>
        </w:rPr>
      </w:pPr>
      <w:bookmarkStart w:id="119" w:name="_Toc493"/>
      <w:bookmarkStart w:id="120" w:name="_Toc532473465"/>
      <w:bookmarkStart w:id="121" w:name="_Toc520356158"/>
      <w:bookmarkStart w:id="122" w:name="_Toc17074"/>
      <w:bookmarkStart w:id="123" w:name="_Toc515647773"/>
      <w:bookmarkStart w:id="124" w:name="_Toc2582279"/>
      <w:r>
        <w:rPr>
          <w:rFonts w:hint="eastAsia" w:hAnsi="宋体" w:cs="宋体"/>
          <w:color w:val="auto"/>
          <w:szCs w:val="24"/>
          <w:u w:val="none"/>
        </w:rPr>
        <w:t>14.响应文件的</w:t>
      </w:r>
      <w:bookmarkEnd w:id="119"/>
      <w:bookmarkEnd w:id="120"/>
      <w:bookmarkEnd w:id="121"/>
      <w:bookmarkEnd w:id="122"/>
      <w:bookmarkEnd w:id="123"/>
      <w:r>
        <w:rPr>
          <w:rFonts w:hint="eastAsia" w:hAnsi="宋体" w:cs="宋体"/>
          <w:color w:val="auto"/>
          <w:szCs w:val="24"/>
          <w:u w:val="none"/>
        </w:rPr>
        <w:t>制作</w:t>
      </w:r>
      <w:bookmarkEnd w:id="124"/>
    </w:p>
    <w:p>
      <w:pPr>
        <w:widowControl/>
        <w:spacing w:line="560" w:lineRule="exact"/>
        <w:jc w:val="left"/>
        <w:rPr>
          <w:rFonts w:ascii="宋体" w:hAnsi="宋体" w:cs="宋体"/>
          <w:color w:val="auto"/>
          <w:sz w:val="24"/>
        </w:rPr>
      </w:pPr>
      <w:r>
        <w:rPr>
          <w:rFonts w:hint="eastAsia" w:ascii="宋体" w:hAnsi="宋体" w:cs="宋体"/>
          <w:color w:val="auto"/>
          <w:sz w:val="24"/>
        </w:rPr>
        <w:t>14.1</w:t>
      </w:r>
      <w:r>
        <w:rPr>
          <w:rFonts w:hint="eastAsia" w:ascii="宋体" w:hAnsi="宋体" w:cs="宋体"/>
          <w:color w:val="auto"/>
          <w:sz w:val="24"/>
        </w:rPr>
        <w:tab/>
      </w:r>
      <w:r>
        <w:rPr>
          <w:rFonts w:hint="eastAsia" w:ascii="宋体" w:hAnsi="宋体" w:cs="宋体"/>
          <w:color w:val="auto"/>
          <w:sz w:val="24"/>
          <w:lang w:eastAsia="zh-CN"/>
        </w:rPr>
        <w:t>投标人</w:t>
      </w:r>
      <w:r>
        <w:rPr>
          <w:rFonts w:hint="eastAsia" w:ascii="宋体" w:hAnsi="宋体" w:cs="宋体"/>
          <w:color w:val="auto"/>
          <w:sz w:val="24"/>
        </w:rPr>
        <w:t>应按</w:t>
      </w:r>
      <w:r>
        <w:rPr>
          <w:rFonts w:hint="eastAsia" w:ascii="宋体" w:hAnsi="宋体" w:cs="宋体"/>
          <w:color w:val="auto"/>
          <w:sz w:val="24"/>
          <w:lang w:eastAsia="zh-CN"/>
        </w:rPr>
        <w:t>投标人</w:t>
      </w:r>
      <w:r>
        <w:rPr>
          <w:rFonts w:hint="eastAsia" w:ascii="宋体" w:hAnsi="宋体" w:cs="宋体"/>
          <w:color w:val="auto"/>
          <w:sz w:val="24"/>
        </w:rPr>
        <w:t>须知前附表中的规定，准备和递交响应文件。</w:t>
      </w:r>
    </w:p>
    <w:p>
      <w:pPr>
        <w:spacing w:line="560" w:lineRule="exact"/>
        <w:rPr>
          <w:rFonts w:ascii="宋体" w:hAnsi="宋体" w:cs="宋体"/>
          <w:color w:val="auto"/>
          <w:sz w:val="24"/>
        </w:rPr>
      </w:pPr>
      <w:r>
        <w:rPr>
          <w:rFonts w:hint="eastAsia" w:ascii="宋体" w:hAnsi="宋体" w:cs="宋体"/>
          <w:color w:val="auto"/>
          <w:sz w:val="24"/>
        </w:rPr>
        <w:t>14.2</w:t>
      </w:r>
      <w:r>
        <w:rPr>
          <w:rFonts w:hint="eastAsia" w:ascii="宋体" w:hAnsi="宋体" w:cs="宋体"/>
          <w:color w:val="auto"/>
          <w:sz w:val="24"/>
        </w:rPr>
        <w:tab/>
      </w:r>
      <w:r>
        <w:rPr>
          <w:rFonts w:hint="eastAsia" w:ascii="宋体" w:hAnsi="宋体" w:cs="宋体"/>
          <w:color w:val="auto"/>
          <w:sz w:val="24"/>
        </w:rPr>
        <w:t>响应文件需由</w:t>
      </w:r>
      <w:r>
        <w:rPr>
          <w:rFonts w:hint="eastAsia" w:ascii="宋体" w:hAnsi="宋体" w:cs="宋体"/>
          <w:color w:val="auto"/>
          <w:sz w:val="24"/>
          <w:lang w:eastAsia="zh-CN"/>
        </w:rPr>
        <w:t>投标人</w:t>
      </w:r>
      <w:r>
        <w:rPr>
          <w:rFonts w:hint="eastAsia" w:ascii="宋体" w:hAnsi="宋体" w:cs="宋体"/>
          <w:color w:val="auto"/>
          <w:sz w:val="24"/>
        </w:rPr>
        <w:t>的法定代表人或经其正式委托代理人按磋商文件规定在响应文件上签字并加盖公章。委托代理人须持有书面的“法定代表人授权委托书”，并将其附在响应文件中。未按磋商文件要求签署和盖章的响应文件，其响应将被认定为响应</w:t>
      </w:r>
      <w:r>
        <w:rPr>
          <w:rFonts w:hint="eastAsia" w:ascii="宋体" w:hAnsi="宋体" w:cs="宋体"/>
          <w:b/>
          <w:color w:val="auto"/>
          <w:sz w:val="24"/>
        </w:rPr>
        <w:t>无效</w:t>
      </w:r>
      <w:r>
        <w:rPr>
          <w:rFonts w:hint="eastAsia" w:ascii="宋体" w:hAnsi="宋体" w:cs="宋体"/>
          <w:color w:val="auto"/>
          <w:sz w:val="24"/>
        </w:rPr>
        <w:t>。</w:t>
      </w:r>
      <w:bookmarkStart w:id="125" w:name="_Toc532473466"/>
      <w:bookmarkStart w:id="126" w:name="_Toc11179"/>
      <w:bookmarkStart w:id="127" w:name="_Toc16865"/>
      <w:bookmarkStart w:id="128" w:name="_Toc515647774"/>
      <w:bookmarkStart w:id="129" w:name="_Toc520356159"/>
      <w:bookmarkStart w:id="130" w:name="_Toc2582280"/>
      <w:bookmarkStart w:id="131" w:name="_Toc216582808"/>
    </w:p>
    <w:p>
      <w:pPr>
        <w:pStyle w:val="26"/>
        <w:ind w:firstLine="420"/>
        <w:rPr>
          <w:color w:val="auto"/>
        </w:rPr>
      </w:pPr>
    </w:p>
    <w:p>
      <w:pPr>
        <w:pStyle w:val="5"/>
        <w:spacing w:before="0" w:after="0" w:line="560" w:lineRule="exact"/>
        <w:jc w:val="center"/>
        <w:rPr>
          <w:rFonts w:ascii="宋体" w:hAnsi="宋体" w:eastAsia="宋体" w:cs="宋体"/>
          <w:color w:val="auto"/>
          <w:sz w:val="24"/>
          <w:szCs w:val="24"/>
        </w:rPr>
      </w:pPr>
      <w:bookmarkStart w:id="132" w:name="_Toc26653"/>
      <w:r>
        <w:rPr>
          <w:rFonts w:hint="eastAsia" w:ascii="宋体" w:hAnsi="宋体" w:eastAsia="宋体" w:cs="宋体"/>
          <w:color w:val="auto"/>
          <w:sz w:val="24"/>
          <w:szCs w:val="24"/>
        </w:rPr>
        <w:t>（四）响应文件的递交</w:t>
      </w:r>
      <w:bookmarkEnd w:id="125"/>
      <w:bookmarkEnd w:id="126"/>
      <w:bookmarkEnd w:id="127"/>
      <w:bookmarkEnd w:id="128"/>
      <w:bookmarkEnd w:id="129"/>
      <w:bookmarkEnd w:id="130"/>
      <w:bookmarkEnd w:id="131"/>
      <w:bookmarkEnd w:id="132"/>
    </w:p>
    <w:p>
      <w:pPr>
        <w:pStyle w:val="6"/>
        <w:spacing w:before="0" w:after="0" w:line="560" w:lineRule="exact"/>
        <w:rPr>
          <w:rFonts w:hAnsi="宋体" w:cs="宋体"/>
          <w:color w:val="auto"/>
          <w:szCs w:val="24"/>
          <w:u w:val="none"/>
        </w:rPr>
      </w:pPr>
      <w:bookmarkStart w:id="133" w:name="_Toc532473467"/>
      <w:bookmarkStart w:id="134" w:name="_Toc32337"/>
      <w:bookmarkStart w:id="135" w:name="_Toc2582281"/>
      <w:bookmarkStart w:id="136" w:name="_Toc520356160"/>
      <w:bookmarkStart w:id="137" w:name="_Toc515647775"/>
      <w:bookmarkStart w:id="138" w:name="_Toc21645"/>
      <w:r>
        <w:rPr>
          <w:rFonts w:hint="eastAsia" w:hAnsi="宋体" w:cs="宋体"/>
          <w:color w:val="auto"/>
          <w:szCs w:val="24"/>
          <w:u w:val="none"/>
        </w:rPr>
        <w:t>15.响应文件的密封和标记</w:t>
      </w:r>
      <w:bookmarkEnd w:id="133"/>
      <w:bookmarkEnd w:id="134"/>
      <w:bookmarkEnd w:id="135"/>
      <w:bookmarkEnd w:id="136"/>
      <w:bookmarkEnd w:id="137"/>
      <w:bookmarkEnd w:id="138"/>
    </w:p>
    <w:p>
      <w:pPr>
        <w:spacing w:line="560" w:lineRule="exact"/>
        <w:rPr>
          <w:rFonts w:ascii="宋体" w:hAnsi="宋体" w:cs="宋体"/>
          <w:color w:val="auto"/>
          <w:sz w:val="24"/>
        </w:rPr>
      </w:pPr>
      <w:r>
        <w:rPr>
          <w:rFonts w:hint="eastAsia" w:ascii="宋体" w:hAnsi="宋体" w:cs="宋体"/>
          <w:color w:val="auto"/>
          <w:sz w:val="24"/>
        </w:rPr>
        <w:t>15.1   响应文件的制作应按照磋商文件的要求进行制作并递交。响应文件应当用不能被他人知悉或更换响应文件内容的方式密封。</w:t>
      </w:r>
    </w:p>
    <w:p>
      <w:pPr>
        <w:spacing w:line="560" w:lineRule="exact"/>
        <w:rPr>
          <w:rFonts w:ascii="宋体" w:hAnsi="宋体" w:cs="宋体"/>
          <w:color w:val="auto"/>
          <w:sz w:val="24"/>
        </w:rPr>
      </w:pPr>
      <w:r>
        <w:rPr>
          <w:rFonts w:hint="eastAsia" w:ascii="宋体" w:hAnsi="宋体" w:cs="宋体"/>
          <w:color w:val="auto"/>
          <w:sz w:val="24"/>
        </w:rPr>
        <w:t>15.2   纸质响应文件密封和递交要求：采购人或者采购代理机构不得因响应文件装订、纸张、文件排序等非实质性的格式、形式问题限制和影响</w:t>
      </w:r>
      <w:r>
        <w:rPr>
          <w:rFonts w:hint="eastAsia" w:ascii="宋体" w:hAnsi="宋体" w:cs="宋体"/>
          <w:color w:val="auto"/>
          <w:sz w:val="24"/>
          <w:lang w:eastAsia="zh-CN"/>
        </w:rPr>
        <w:t>投标人</w:t>
      </w:r>
      <w:r>
        <w:rPr>
          <w:rFonts w:hint="eastAsia" w:ascii="宋体" w:hAnsi="宋体" w:cs="宋体"/>
          <w:color w:val="auto"/>
          <w:sz w:val="24"/>
        </w:rPr>
        <w:t>参与政府采购活动。</w:t>
      </w:r>
    </w:p>
    <w:p>
      <w:pPr>
        <w:spacing w:line="560" w:lineRule="exact"/>
        <w:rPr>
          <w:rFonts w:ascii="宋体" w:hAnsi="宋体" w:cs="宋体"/>
          <w:color w:val="auto"/>
          <w:sz w:val="24"/>
        </w:rPr>
      </w:pPr>
      <w:r>
        <w:rPr>
          <w:rFonts w:hint="eastAsia" w:ascii="宋体" w:hAnsi="宋体" w:cs="宋体"/>
          <w:color w:val="auto"/>
          <w:sz w:val="24"/>
        </w:rPr>
        <w:t xml:space="preserve">15.3   电子响应文件密封和递交要求：“电子版”单独装入一包并加贴“密封”封条，并在封条的封口处加盖投标人单位鲜章或由法定代表人或其授权的代理人签字。  </w:t>
      </w:r>
    </w:p>
    <w:p>
      <w:pPr>
        <w:pStyle w:val="6"/>
        <w:spacing w:before="0" w:after="0" w:line="560" w:lineRule="exact"/>
        <w:rPr>
          <w:rFonts w:hAnsi="宋体" w:cs="宋体"/>
          <w:color w:val="auto"/>
          <w:szCs w:val="24"/>
          <w:u w:val="none"/>
        </w:rPr>
      </w:pPr>
      <w:bookmarkStart w:id="139" w:name="_Toc2582282"/>
      <w:bookmarkStart w:id="140" w:name="_Toc9840"/>
      <w:bookmarkStart w:id="141" w:name="_Toc12751"/>
      <w:bookmarkStart w:id="142" w:name="_Toc515647776"/>
      <w:bookmarkStart w:id="143" w:name="_Toc532473468"/>
      <w:bookmarkStart w:id="144" w:name="_Toc520356161"/>
      <w:r>
        <w:rPr>
          <w:rFonts w:hint="eastAsia" w:hAnsi="宋体" w:cs="宋体"/>
          <w:color w:val="auto"/>
          <w:szCs w:val="24"/>
          <w:u w:val="none"/>
        </w:rPr>
        <w:t>16.响应截止</w:t>
      </w:r>
      <w:bookmarkEnd w:id="139"/>
      <w:bookmarkEnd w:id="140"/>
      <w:bookmarkEnd w:id="141"/>
      <w:bookmarkEnd w:id="142"/>
      <w:bookmarkEnd w:id="143"/>
      <w:bookmarkEnd w:id="144"/>
    </w:p>
    <w:p>
      <w:pPr>
        <w:spacing w:line="560" w:lineRule="exact"/>
        <w:rPr>
          <w:rFonts w:ascii="宋体" w:hAnsi="宋体" w:cs="宋体"/>
          <w:color w:val="auto"/>
          <w:sz w:val="24"/>
        </w:rPr>
      </w:pPr>
      <w:r>
        <w:rPr>
          <w:rFonts w:hint="eastAsia" w:ascii="宋体" w:hAnsi="宋体" w:cs="宋体"/>
          <w:color w:val="auto"/>
          <w:sz w:val="24"/>
        </w:rPr>
        <w:t>16.1</w:t>
      </w:r>
      <w:r>
        <w:rPr>
          <w:rFonts w:hint="eastAsia" w:ascii="宋体" w:hAnsi="宋体" w:cs="宋体"/>
          <w:color w:val="auto"/>
          <w:sz w:val="24"/>
        </w:rPr>
        <w:tab/>
      </w:r>
      <w:r>
        <w:rPr>
          <w:rFonts w:hint="eastAsia" w:ascii="宋体" w:hAnsi="宋体" w:cs="宋体"/>
          <w:color w:val="auto"/>
          <w:sz w:val="24"/>
          <w:lang w:eastAsia="zh-CN"/>
        </w:rPr>
        <w:t>投标人</w:t>
      </w:r>
      <w:r>
        <w:rPr>
          <w:rFonts w:hint="eastAsia" w:ascii="宋体" w:hAnsi="宋体" w:cs="宋体"/>
          <w:color w:val="auto"/>
          <w:sz w:val="24"/>
        </w:rPr>
        <w:t>应在</w:t>
      </w:r>
      <w:r>
        <w:rPr>
          <w:rFonts w:hint="eastAsia" w:ascii="宋体" w:hAnsi="宋体" w:cs="宋体"/>
          <w:color w:val="auto"/>
          <w:sz w:val="24"/>
          <w:lang w:eastAsia="zh-CN"/>
        </w:rPr>
        <w:t>投标人</w:t>
      </w:r>
      <w:r>
        <w:rPr>
          <w:rFonts w:hint="eastAsia" w:ascii="宋体" w:hAnsi="宋体" w:cs="宋体"/>
          <w:color w:val="auto"/>
          <w:sz w:val="24"/>
        </w:rPr>
        <w:t>须知前附表中规定的截止时间前，将响应文件递交到竞争性磋商公告中规定的地点。</w:t>
      </w:r>
    </w:p>
    <w:p>
      <w:pPr>
        <w:spacing w:line="560" w:lineRule="exact"/>
        <w:rPr>
          <w:rFonts w:ascii="宋体" w:hAnsi="宋体" w:cs="宋体"/>
          <w:color w:val="auto"/>
          <w:sz w:val="24"/>
        </w:rPr>
      </w:pPr>
      <w:r>
        <w:rPr>
          <w:rFonts w:hint="eastAsia" w:ascii="宋体" w:hAnsi="宋体" w:cs="宋体"/>
          <w:color w:val="auto"/>
          <w:sz w:val="24"/>
        </w:rPr>
        <w:t>16.2</w:t>
      </w:r>
      <w:r>
        <w:rPr>
          <w:rFonts w:hint="eastAsia" w:ascii="宋体" w:hAnsi="宋体" w:cs="宋体"/>
          <w:color w:val="auto"/>
          <w:sz w:val="24"/>
        </w:rPr>
        <w:tab/>
      </w:r>
      <w:r>
        <w:rPr>
          <w:rFonts w:hint="eastAsia" w:ascii="宋体" w:hAnsi="宋体" w:cs="宋体"/>
          <w:color w:val="auto"/>
          <w:sz w:val="24"/>
        </w:rPr>
        <w:t>采购人和采购代理机构将拒绝接收在响应截止时间后送达响应文件。</w:t>
      </w:r>
    </w:p>
    <w:p>
      <w:pPr>
        <w:pStyle w:val="6"/>
        <w:spacing w:before="0" w:after="0" w:line="560" w:lineRule="exact"/>
        <w:rPr>
          <w:rFonts w:hAnsi="宋体" w:cs="宋体"/>
          <w:color w:val="auto"/>
          <w:szCs w:val="24"/>
          <w:u w:val="none"/>
        </w:rPr>
      </w:pPr>
      <w:bookmarkStart w:id="145" w:name="_Toc2582283"/>
      <w:bookmarkStart w:id="146" w:name="_Toc24275"/>
      <w:bookmarkStart w:id="147" w:name="_Toc532473469"/>
      <w:bookmarkStart w:id="148" w:name="_Toc515647777"/>
      <w:bookmarkStart w:id="149" w:name="_Toc18537"/>
      <w:bookmarkStart w:id="150" w:name="_Toc520356162"/>
      <w:r>
        <w:rPr>
          <w:rFonts w:hint="eastAsia" w:hAnsi="宋体" w:cs="宋体"/>
          <w:color w:val="auto"/>
          <w:szCs w:val="24"/>
          <w:u w:val="none"/>
        </w:rPr>
        <w:t>17.响应文件的接收、修改与撤回</w:t>
      </w:r>
      <w:bookmarkEnd w:id="145"/>
      <w:bookmarkEnd w:id="146"/>
      <w:bookmarkEnd w:id="147"/>
      <w:bookmarkEnd w:id="148"/>
      <w:bookmarkEnd w:id="149"/>
      <w:bookmarkEnd w:id="150"/>
    </w:p>
    <w:p>
      <w:pPr>
        <w:spacing w:line="560" w:lineRule="exact"/>
        <w:rPr>
          <w:rFonts w:ascii="宋体" w:hAnsi="宋体" w:cs="宋体"/>
          <w:color w:val="auto"/>
          <w:sz w:val="24"/>
        </w:rPr>
      </w:pPr>
      <w:r>
        <w:rPr>
          <w:rFonts w:hint="eastAsia" w:ascii="宋体" w:hAnsi="宋体" w:cs="宋体"/>
          <w:color w:val="auto"/>
          <w:sz w:val="24"/>
        </w:rPr>
        <w:t>17.1</w:t>
      </w:r>
      <w:r>
        <w:rPr>
          <w:rFonts w:hint="eastAsia" w:ascii="宋体" w:hAnsi="宋体" w:cs="宋体"/>
          <w:color w:val="auto"/>
          <w:sz w:val="24"/>
        </w:rPr>
        <w:tab/>
      </w:r>
      <w:r>
        <w:rPr>
          <w:rFonts w:hint="eastAsia" w:ascii="宋体" w:hAnsi="宋体" w:cs="宋体"/>
          <w:color w:val="auto"/>
          <w:sz w:val="24"/>
        </w:rPr>
        <w:t>采购人和采购代理机构将按磋商文件规定的时间和地点接收响应文件。</w:t>
      </w:r>
    </w:p>
    <w:p>
      <w:pPr>
        <w:spacing w:line="560" w:lineRule="exact"/>
        <w:rPr>
          <w:rFonts w:ascii="宋体" w:hAnsi="宋体" w:cs="宋体"/>
          <w:color w:val="auto"/>
          <w:sz w:val="24"/>
        </w:rPr>
      </w:pPr>
      <w:r>
        <w:rPr>
          <w:rFonts w:hint="eastAsia" w:ascii="宋体" w:hAnsi="宋体" w:cs="宋体"/>
          <w:color w:val="auto"/>
          <w:sz w:val="24"/>
        </w:rPr>
        <w:t>17.2</w:t>
      </w:r>
      <w:r>
        <w:rPr>
          <w:rFonts w:hint="eastAsia" w:ascii="宋体" w:hAnsi="宋体" w:cs="宋体"/>
          <w:color w:val="auto"/>
          <w:sz w:val="24"/>
        </w:rPr>
        <w:tab/>
      </w:r>
      <w:r>
        <w:rPr>
          <w:rFonts w:hint="eastAsia" w:ascii="宋体" w:hAnsi="宋体" w:cs="宋体"/>
          <w:color w:val="auto"/>
          <w:sz w:val="24"/>
        </w:rPr>
        <w:t xml:space="preserve"> 递交响应文件以后，如果</w:t>
      </w:r>
      <w:r>
        <w:rPr>
          <w:rFonts w:hint="eastAsia" w:ascii="宋体" w:hAnsi="宋体" w:cs="宋体"/>
          <w:color w:val="auto"/>
          <w:sz w:val="24"/>
          <w:lang w:eastAsia="zh-CN"/>
        </w:rPr>
        <w:t>投标人</w:t>
      </w:r>
      <w:r>
        <w:rPr>
          <w:rFonts w:hint="eastAsia" w:ascii="宋体" w:hAnsi="宋体" w:cs="宋体"/>
          <w:color w:val="auto"/>
          <w:sz w:val="24"/>
        </w:rPr>
        <w:t>要进行修改，须在响应截止时间前提出申请，</w:t>
      </w:r>
      <w:r>
        <w:rPr>
          <w:rFonts w:hint="eastAsia" w:ascii="宋体" w:hAnsi="宋体" w:cs="宋体"/>
          <w:color w:val="auto"/>
          <w:sz w:val="24"/>
          <w:lang w:eastAsia="zh-CN"/>
        </w:rPr>
        <w:t>投标人</w:t>
      </w:r>
      <w:r>
        <w:rPr>
          <w:rFonts w:hint="eastAsia" w:ascii="宋体" w:hAnsi="宋体" w:cs="宋体"/>
          <w:color w:val="auto"/>
          <w:sz w:val="24"/>
        </w:rPr>
        <w:t>对响应文件的修改申请应按本须知规定编制、签署、密封。采购人和采购代理机构将予以接收，并视为响应文件的组成部分。递交响应文件以后，如果</w:t>
      </w:r>
      <w:r>
        <w:rPr>
          <w:rFonts w:hint="eastAsia" w:ascii="宋体" w:hAnsi="宋体" w:cs="宋体"/>
          <w:color w:val="auto"/>
          <w:sz w:val="24"/>
          <w:lang w:eastAsia="zh-CN"/>
        </w:rPr>
        <w:t>投标人</w:t>
      </w:r>
      <w:r>
        <w:rPr>
          <w:rFonts w:hint="eastAsia" w:ascii="宋体" w:hAnsi="宋体" w:cs="宋体"/>
          <w:color w:val="auto"/>
          <w:sz w:val="24"/>
        </w:rPr>
        <w:t>要进行撤回的，须在响应截止时间前提出申请，采购人和采购代理机构将予以接受。</w:t>
      </w:r>
    </w:p>
    <w:p>
      <w:pPr>
        <w:pStyle w:val="26"/>
        <w:ind w:firstLine="420"/>
        <w:rPr>
          <w:color w:val="auto"/>
        </w:rPr>
      </w:pPr>
    </w:p>
    <w:p>
      <w:pPr>
        <w:pStyle w:val="5"/>
        <w:spacing w:before="0" w:after="0" w:line="560" w:lineRule="exact"/>
        <w:jc w:val="center"/>
        <w:rPr>
          <w:rFonts w:ascii="宋体" w:hAnsi="宋体" w:eastAsia="宋体" w:cs="宋体"/>
          <w:color w:val="auto"/>
          <w:sz w:val="24"/>
          <w:szCs w:val="24"/>
        </w:rPr>
      </w:pPr>
      <w:bookmarkStart w:id="151" w:name="_Toc12436"/>
      <w:bookmarkStart w:id="152" w:name="_Toc520356163"/>
      <w:bookmarkStart w:id="153" w:name="_Toc515647778"/>
      <w:bookmarkStart w:id="154" w:name="_Toc28398"/>
      <w:bookmarkStart w:id="155" w:name="_Toc2582284"/>
      <w:bookmarkStart w:id="156" w:name="_Toc216582809"/>
      <w:bookmarkStart w:id="157" w:name="_Toc532473470"/>
      <w:bookmarkStart w:id="158" w:name="_Toc27830"/>
      <w:r>
        <w:rPr>
          <w:rFonts w:hint="eastAsia" w:ascii="宋体" w:hAnsi="宋体" w:eastAsia="宋体" w:cs="宋体"/>
          <w:color w:val="auto"/>
          <w:sz w:val="24"/>
          <w:szCs w:val="24"/>
        </w:rPr>
        <w:t>（五）</w:t>
      </w:r>
      <w:bookmarkEnd w:id="151"/>
      <w:bookmarkEnd w:id="152"/>
      <w:bookmarkEnd w:id="153"/>
      <w:bookmarkEnd w:id="154"/>
      <w:bookmarkEnd w:id="155"/>
      <w:bookmarkEnd w:id="156"/>
      <w:bookmarkEnd w:id="157"/>
      <w:r>
        <w:rPr>
          <w:rFonts w:hint="eastAsia" w:ascii="宋体" w:hAnsi="宋体" w:eastAsia="宋体" w:cs="宋体"/>
          <w:color w:val="auto"/>
          <w:sz w:val="24"/>
          <w:szCs w:val="24"/>
        </w:rPr>
        <w:t>磋商评审</w:t>
      </w:r>
      <w:bookmarkEnd w:id="158"/>
    </w:p>
    <w:p>
      <w:pPr>
        <w:pStyle w:val="6"/>
        <w:spacing w:before="0" w:after="0" w:line="560" w:lineRule="exact"/>
        <w:rPr>
          <w:rFonts w:hAnsi="宋体" w:cs="宋体"/>
          <w:color w:val="auto"/>
          <w:szCs w:val="24"/>
        </w:rPr>
      </w:pPr>
      <w:bookmarkStart w:id="159" w:name="_Toc520356164"/>
      <w:bookmarkStart w:id="160" w:name="_Toc7186"/>
      <w:bookmarkStart w:id="161" w:name="_Toc2582285"/>
      <w:bookmarkStart w:id="162" w:name="_Toc532473471"/>
      <w:bookmarkStart w:id="163" w:name="_Toc515647779"/>
      <w:bookmarkStart w:id="164" w:name="_Toc25345"/>
      <w:r>
        <w:rPr>
          <w:rFonts w:hint="eastAsia" w:hAnsi="宋体" w:cs="宋体"/>
          <w:color w:val="auto"/>
          <w:szCs w:val="24"/>
          <w:u w:val="none"/>
        </w:rPr>
        <w:t>18.</w:t>
      </w:r>
      <w:bookmarkEnd w:id="159"/>
      <w:bookmarkEnd w:id="160"/>
      <w:bookmarkEnd w:id="161"/>
      <w:bookmarkEnd w:id="162"/>
      <w:bookmarkEnd w:id="163"/>
      <w:bookmarkEnd w:id="164"/>
      <w:r>
        <w:rPr>
          <w:rFonts w:hint="eastAsia" w:hAnsi="宋体" w:cs="宋体"/>
          <w:color w:val="auto"/>
          <w:szCs w:val="24"/>
          <w:u w:val="none"/>
        </w:rPr>
        <w:t>成立磋商小组</w:t>
      </w:r>
    </w:p>
    <w:p>
      <w:pPr>
        <w:spacing w:line="560" w:lineRule="exact"/>
        <w:rPr>
          <w:rFonts w:ascii="宋体" w:hAnsi="宋体" w:cs="宋体"/>
          <w:color w:val="auto"/>
          <w:sz w:val="24"/>
        </w:rPr>
      </w:pPr>
      <w:r>
        <w:rPr>
          <w:rFonts w:hint="eastAsia" w:ascii="宋体" w:hAnsi="宋体" w:cs="宋体"/>
          <w:color w:val="auto"/>
          <w:sz w:val="24"/>
        </w:rPr>
        <w:t>18.1   磋商小组由采购人代表和评审专家共3人以上的单数组成，其中评审专家人数不得少于磋商小组成员总数的三分之二。</w:t>
      </w:r>
    </w:p>
    <w:p>
      <w:pPr>
        <w:spacing w:line="560" w:lineRule="exact"/>
        <w:rPr>
          <w:rFonts w:ascii="宋体" w:hAnsi="宋体" w:cs="宋体"/>
          <w:color w:val="auto"/>
          <w:sz w:val="24"/>
        </w:rPr>
      </w:pPr>
      <w:r>
        <w:rPr>
          <w:rFonts w:hint="eastAsia" w:ascii="宋体" w:hAnsi="宋体" w:cs="宋体"/>
          <w:color w:val="auto"/>
          <w:sz w:val="24"/>
        </w:rPr>
        <w:t>18.2   采购人、采购代理机构根据磋商文件规定的程序和标准对</w:t>
      </w:r>
      <w:r>
        <w:rPr>
          <w:rFonts w:hint="eastAsia" w:ascii="宋体" w:hAnsi="宋体" w:cs="宋体"/>
          <w:color w:val="auto"/>
          <w:sz w:val="24"/>
          <w:lang w:eastAsia="zh-CN"/>
        </w:rPr>
        <w:t>投标人</w:t>
      </w:r>
      <w:r>
        <w:rPr>
          <w:rFonts w:hint="eastAsia" w:ascii="宋体" w:hAnsi="宋体" w:cs="宋体"/>
          <w:color w:val="auto"/>
          <w:sz w:val="24"/>
        </w:rPr>
        <w:t>递交的响应文件进行资格性审查，确定</w:t>
      </w:r>
      <w:r>
        <w:rPr>
          <w:rFonts w:hint="eastAsia" w:ascii="宋体" w:hAnsi="宋体" w:cs="宋体"/>
          <w:color w:val="auto"/>
          <w:sz w:val="24"/>
          <w:lang w:eastAsia="zh-CN"/>
        </w:rPr>
        <w:t>投标人</w:t>
      </w:r>
      <w:r>
        <w:rPr>
          <w:rFonts w:hint="eastAsia" w:ascii="宋体" w:hAnsi="宋体" w:cs="宋体"/>
          <w:color w:val="auto"/>
          <w:sz w:val="24"/>
        </w:rPr>
        <w:t>是否具有参加磋商的资格。</w:t>
      </w:r>
    </w:p>
    <w:p>
      <w:pPr>
        <w:spacing w:line="560" w:lineRule="exact"/>
        <w:rPr>
          <w:rFonts w:ascii="宋体" w:hAnsi="宋体" w:cs="宋体"/>
          <w:color w:val="auto"/>
          <w:sz w:val="24"/>
        </w:rPr>
      </w:pPr>
      <w:r>
        <w:rPr>
          <w:rFonts w:hint="eastAsia" w:ascii="宋体" w:hAnsi="宋体" w:cs="宋体"/>
          <w:color w:val="auto"/>
          <w:sz w:val="24"/>
        </w:rPr>
        <w:t>18.3   采购人或采购代理机构将按</w:t>
      </w:r>
      <w:r>
        <w:rPr>
          <w:rFonts w:hint="eastAsia" w:ascii="宋体" w:hAnsi="宋体" w:cs="宋体"/>
          <w:color w:val="auto"/>
          <w:sz w:val="24"/>
          <w:lang w:eastAsia="zh-CN"/>
        </w:rPr>
        <w:t>投标人</w:t>
      </w:r>
      <w:r>
        <w:rPr>
          <w:rFonts w:hint="eastAsia" w:ascii="宋体" w:hAnsi="宋体" w:cs="宋体"/>
          <w:color w:val="auto"/>
          <w:sz w:val="24"/>
        </w:rPr>
        <w:t>须知前附表中规定的时间查询</w:t>
      </w:r>
      <w:r>
        <w:rPr>
          <w:rFonts w:hint="eastAsia" w:ascii="宋体" w:hAnsi="宋体" w:cs="宋体"/>
          <w:color w:val="auto"/>
          <w:sz w:val="24"/>
          <w:lang w:eastAsia="zh-CN"/>
        </w:rPr>
        <w:t>投标人</w:t>
      </w:r>
      <w:r>
        <w:rPr>
          <w:rFonts w:hint="eastAsia" w:ascii="宋体" w:hAnsi="宋体" w:cs="宋体"/>
          <w:color w:val="auto"/>
          <w:sz w:val="24"/>
        </w:rPr>
        <w:t>的信用记录。</w:t>
      </w:r>
    </w:p>
    <w:p>
      <w:pPr>
        <w:spacing w:line="560" w:lineRule="exact"/>
        <w:rPr>
          <w:rFonts w:ascii="宋体" w:hAnsi="宋体" w:cs="宋体"/>
          <w:color w:val="auto"/>
          <w:sz w:val="24"/>
        </w:rPr>
      </w:pPr>
      <w:r>
        <w:rPr>
          <w:rFonts w:hint="eastAsia" w:ascii="宋体" w:hAnsi="宋体" w:cs="宋体"/>
          <w:color w:val="auto"/>
          <w:sz w:val="24"/>
        </w:rPr>
        <w:t>18.3.1</w:t>
      </w:r>
      <w:r>
        <w:rPr>
          <w:rFonts w:hint="eastAsia" w:ascii="宋体" w:hAnsi="宋体" w:cs="宋体"/>
          <w:color w:val="auto"/>
          <w:sz w:val="24"/>
          <w:lang w:eastAsia="zh-CN"/>
        </w:rPr>
        <w:t>投标人</w:t>
      </w:r>
      <w:r>
        <w:rPr>
          <w:rFonts w:hint="eastAsia" w:ascii="宋体" w:hAnsi="宋体" w:cs="宋体"/>
          <w:color w:val="auto"/>
          <w:sz w:val="24"/>
        </w:rPr>
        <w:t>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w:t>
      </w:r>
      <w:r>
        <w:rPr>
          <w:rFonts w:hint="eastAsia" w:ascii="宋体" w:hAnsi="宋体" w:cs="宋体"/>
          <w:b/>
          <w:color w:val="auto"/>
          <w:sz w:val="24"/>
        </w:rPr>
        <w:t>无效</w:t>
      </w:r>
      <w:r>
        <w:rPr>
          <w:rFonts w:hint="eastAsia" w:ascii="宋体" w:hAnsi="宋体" w:cs="宋体"/>
          <w:color w:val="auto"/>
          <w:sz w:val="24"/>
        </w:rPr>
        <w:t>。以联合体形式参加投标的，联合体任何成员存在以上不良信用记录的，联合体响应将被认定为响应</w:t>
      </w:r>
      <w:r>
        <w:rPr>
          <w:rFonts w:hint="eastAsia" w:ascii="宋体" w:hAnsi="宋体" w:cs="宋体"/>
          <w:b/>
          <w:bCs/>
          <w:color w:val="auto"/>
          <w:sz w:val="24"/>
        </w:rPr>
        <w:t>无效</w:t>
      </w:r>
      <w:r>
        <w:rPr>
          <w:rFonts w:hint="eastAsia" w:ascii="宋体" w:hAnsi="宋体" w:cs="宋体"/>
          <w:color w:val="auto"/>
          <w:sz w:val="24"/>
        </w:rPr>
        <w:t>。</w:t>
      </w:r>
    </w:p>
    <w:p>
      <w:pPr>
        <w:pStyle w:val="9"/>
        <w:spacing w:line="560" w:lineRule="exact"/>
        <w:ind w:firstLine="0"/>
        <w:rPr>
          <w:rFonts w:ascii="宋体" w:hAnsi="宋体" w:cs="宋体"/>
          <w:color w:val="auto"/>
          <w:sz w:val="24"/>
        </w:rPr>
      </w:pPr>
      <w:r>
        <w:rPr>
          <w:rFonts w:hint="eastAsia" w:ascii="宋体" w:hAnsi="宋体" w:cs="宋体"/>
          <w:color w:val="auto"/>
          <w:sz w:val="24"/>
        </w:rPr>
        <w:t>18.3.2 采购人或采购代理机构经办人将查询网页存档备查。</w:t>
      </w:r>
      <w:r>
        <w:rPr>
          <w:rFonts w:hint="eastAsia" w:ascii="宋体" w:hAnsi="宋体" w:cs="宋体"/>
          <w:color w:val="auto"/>
          <w:sz w:val="24"/>
          <w:lang w:eastAsia="zh-CN"/>
        </w:rPr>
        <w:t>投标人</w:t>
      </w:r>
      <w:r>
        <w:rPr>
          <w:rFonts w:hint="eastAsia" w:ascii="宋体" w:hAnsi="宋体" w:cs="宋体"/>
          <w:color w:val="auto"/>
          <w:sz w:val="24"/>
        </w:rPr>
        <w:t>不良信用记录以采购人或采购代理机构查询结果为准。</w:t>
      </w:r>
      <w:r>
        <w:rPr>
          <w:rFonts w:hint="eastAsia" w:ascii="宋体" w:hAnsi="宋体" w:cs="宋体"/>
          <w:color w:val="auto"/>
          <w:sz w:val="24"/>
          <w:lang w:eastAsia="zh-CN"/>
        </w:rPr>
        <w:t>投标人</w:t>
      </w:r>
      <w:r>
        <w:rPr>
          <w:rFonts w:hint="eastAsia" w:ascii="宋体" w:hAnsi="宋体" w:cs="宋体"/>
          <w:color w:val="auto"/>
          <w:sz w:val="24"/>
        </w:rPr>
        <w:t>自行提供的与网站信息不一致的其他证明材料亦不作为资格审查依据。在本</w:t>
      </w:r>
      <w:r>
        <w:rPr>
          <w:rFonts w:hint="eastAsia" w:ascii="宋体" w:hAnsi="宋体" w:cs="宋体"/>
          <w:color w:val="auto"/>
          <w:kern w:val="2"/>
          <w:sz w:val="24"/>
        </w:rPr>
        <w:t>磋商</w:t>
      </w:r>
      <w:r>
        <w:rPr>
          <w:rFonts w:hint="eastAsia" w:ascii="宋体" w:hAnsi="宋体" w:cs="宋体"/>
          <w:color w:val="auto"/>
          <w:sz w:val="24"/>
        </w:rPr>
        <w:t>文件规定的查询时间之外，网站信息发生的任何变更均不作为资格审查依据。</w:t>
      </w:r>
    </w:p>
    <w:p>
      <w:pPr>
        <w:pStyle w:val="6"/>
        <w:spacing w:before="0" w:after="0" w:line="560" w:lineRule="exact"/>
        <w:rPr>
          <w:rFonts w:hAnsi="宋体" w:cs="宋体"/>
          <w:color w:val="auto"/>
          <w:szCs w:val="24"/>
          <w:u w:val="none"/>
        </w:rPr>
      </w:pPr>
      <w:r>
        <w:rPr>
          <w:rFonts w:hint="eastAsia" w:hAnsi="宋体" w:cs="宋体"/>
          <w:color w:val="auto"/>
          <w:szCs w:val="24"/>
          <w:u w:val="none"/>
        </w:rPr>
        <w:t>19.磋商</w:t>
      </w:r>
    </w:p>
    <w:p>
      <w:pPr>
        <w:widowControl/>
        <w:tabs>
          <w:tab w:val="left" w:pos="540"/>
        </w:tabs>
        <w:spacing w:line="560" w:lineRule="exact"/>
        <w:rPr>
          <w:rFonts w:ascii="宋体" w:hAnsi="宋体" w:cs="宋体"/>
          <w:color w:val="auto"/>
          <w:sz w:val="24"/>
        </w:rPr>
      </w:pPr>
      <w:r>
        <w:rPr>
          <w:rFonts w:hint="eastAsia" w:ascii="宋体" w:hAnsi="宋体" w:cs="宋体"/>
          <w:color w:val="auto"/>
          <w:sz w:val="24"/>
        </w:rPr>
        <w:t>19.1  磋商小组应当按照客观、公正、审慎的原则，根据磋商文件规定的评审程序、评审方法和评审标准进行独立评审。磋商小组应当集中与单一</w:t>
      </w:r>
      <w:r>
        <w:rPr>
          <w:rFonts w:hint="eastAsia" w:ascii="宋体" w:hAnsi="宋体" w:cs="宋体"/>
          <w:color w:val="auto"/>
          <w:sz w:val="24"/>
          <w:lang w:eastAsia="zh-CN"/>
        </w:rPr>
        <w:t>投标人</w:t>
      </w:r>
      <w:r>
        <w:rPr>
          <w:rFonts w:hint="eastAsia" w:ascii="宋体" w:hAnsi="宋体" w:cs="宋体"/>
          <w:color w:val="auto"/>
          <w:sz w:val="24"/>
        </w:rPr>
        <w:t>分别进行磋商，并了解其报价组成情况。磋商中，磋商的任何一方不得透露与磋商有关的其他</w:t>
      </w:r>
      <w:r>
        <w:rPr>
          <w:rFonts w:hint="eastAsia" w:ascii="宋体" w:hAnsi="宋体" w:cs="宋体"/>
          <w:color w:val="auto"/>
          <w:sz w:val="24"/>
          <w:lang w:eastAsia="zh-CN"/>
        </w:rPr>
        <w:t>投标人</w:t>
      </w:r>
      <w:r>
        <w:rPr>
          <w:rFonts w:hint="eastAsia" w:ascii="宋体" w:hAnsi="宋体" w:cs="宋体"/>
          <w:color w:val="auto"/>
          <w:sz w:val="24"/>
        </w:rPr>
        <w:t>的技术资料、价格和其他信息。未实质性响应磋商文件的响应文件按无效响应处理，磋商小组应当告知提交响应文件的</w:t>
      </w:r>
      <w:r>
        <w:rPr>
          <w:rFonts w:hint="eastAsia" w:ascii="宋体" w:hAnsi="宋体" w:cs="宋体"/>
          <w:color w:val="auto"/>
          <w:sz w:val="24"/>
          <w:lang w:eastAsia="zh-CN"/>
        </w:rPr>
        <w:t>投标人</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19.2  在磋商过程中，磋商文件内容违反国家有关强制性规定的，磋商小组应当停止评审并向采购人或者采购代理机构说明情况。</w:t>
      </w:r>
    </w:p>
    <w:p>
      <w:pPr>
        <w:spacing w:line="560" w:lineRule="exact"/>
        <w:rPr>
          <w:rFonts w:ascii="宋体" w:hAnsi="宋体" w:cs="宋体"/>
          <w:color w:val="auto"/>
          <w:sz w:val="24"/>
        </w:rPr>
      </w:pPr>
      <w:r>
        <w:rPr>
          <w:rFonts w:hint="eastAsia" w:ascii="宋体" w:hAnsi="宋体" w:cs="宋体"/>
          <w:color w:val="auto"/>
          <w:sz w:val="24"/>
        </w:rPr>
        <w:t>19.3  磋商小组在对响应文件的有效性、完整性和响应程度进行审查时，可以要求</w:t>
      </w:r>
      <w:r>
        <w:rPr>
          <w:rFonts w:hint="eastAsia" w:ascii="宋体" w:hAnsi="宋体" w:cs="宋体"/>
          <w:color w:val="auto"/>
          <w:sz w:val="24"/>
          <w:lang w:eastAsia="zh-CN"/>
        </w:rPr>
        <w:t>投标人</w:t>
      </w:r>
      <w:r>
        <w:rPr>
          <w:rFonts w:hint="eastAsia" w:ascii="宋体" w:hAnsi="宋体" w:cs="宋体"/>
          <w:color w:val="auto"/>
          <w:sz w:val="24"/>
        </w:rPr>
        <w:t>对响应文件中含义不明确、同类问题表述不一致或者由明显文字和计算错误的内容等作出必要的澄清、说明或者更正。</w:t>
      </w:r>
    </w:p>
    <w:p>
      <w:pPr>
        <w:spacing w:line="560" w:lineRule="exact"/>
        <w:rPr>
          <w:rFonts w:ascii="宋体" w:hAnsi="宋体" w:cs="宋体"/>
          <w:color w:val="auto"/>
          <w:sz w:val="24"/>
        </w:rPr>
      </w:pPr>
      <w:r>
        <w:rPr>
          <w:rFonts w:hint="eastAsia" w:ascii="宋体" w:hAnsi="宋体" w:cs="宋体"/>
          <w:color w:val="auto"/>
          <w:sz w:val="24"/>
        </w:rPr>
        <w:t xml:space="preserve">19.4  </w:t>
      </w:r>
      <w:r>
        <w:rPr>
          <w:rFonts w:hint="eastAsia" w:ascii="宋体" w:hAnsi="宋体" w:cs="宋体"/>
          <w:color w:val="auto"/>
          <w:sz w:val="24"/>
          <w:lang w:eastAsia="zh-CN"/>
        </w:rPr>
        <w:t>投标人</w:t>
      </w:r>
      <w:r>
        <w:rPr>
          <w:rFonts w:hint="eastAsia" w:ascii="宋体" w:hAnsi="宋体" w:cs="宋体"/>
          <w:color w:val="auto"/>
          <w:sz w:val="24"/>
        </w:rPr>
        <w:t>的澄清、说明或者更正不得超出响应文件的范围或者改变响应文件的实质性内容，应当由法定代表人或其授权代表签字或者加盖公章。</w:t>
      </w:r>
    </w:p>
    <w:p>
      <w:pPr>
        <w:widowControl/>
        <w:tabs>
          <w:tab w:val="left" w:pos="540"/>
        </w:tabs>
        <w:spacing w:line="560" w:lineRule="exact"/>
        <w:rPr>
          <w:rFonts w:ascii="宋体" w:hAnsi="宋体" w:cs="宋体"/>
          <w:color w:val="auto"/>
          <w:sz w:val="24"/>
        </w:rPr>
      </w:pPr>
      <w:r>
        <w:rPr>
          <w:rFonts w:hint="eastAsia" w:ascii="宋体" w:hAnsi="宋体" w:cs="宋体"/>
          <w:color w:val="auto"/>
          <w:sz w:val="24"/>
        </w:rPr>
        <w:t>19.5  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560" w:lineRule="exact"/>
        <w:rPr>
          <w:rFonts w:ascii="宋体" w:hAnsi="宋体" w:cs="宋体"/>
          <w:color w:val="auto"/>
          <w:sz w:val="24"/>
        </w:rPr>
      </w:pPr>
      <w:r>
        <w:rPr>
          <w:rFonts w:hint="eastAsia" w:ascii="宋体" w:hAnsi="宋体" w:cs="宋体"/>
          <w:color w:val="auto"/>
          <w:sz w:val="24"/>
        </w:rPr>
        <w:t>19.6  对磋商文件作出的实质性变动是磋商文件的有效组成部分, 应通知所参加磋商的</w:t>
      </w:r>
      <w:r>
        <w:rPr>
          <w:rFonts w:hint="eastAsia" w:ascii="宋体" w:hAnsi="宋体" w:cs="宋体"/>
          <w:color w:val="auto"/>
          <w:sz w:val="24"/>
          <w:lang w:eastAsia="zh-CN"/>
        </w:rPr>
        <w:t>投标人</w:t>
      </w:r>
      <w:r>
        <w:rPr>
          <w:rFonts w:hint="eastAsia" w:ascii="宋体" w:hAnsi="宋体" w:cs="宋体"/>
          <w:color w:val="auto"/>
          <w:sz w:val="24"/>
        </w:rPr>
        <w:t>,并给所有磋商</w:t>
      </w:r>
      <w:r>
        <w:rPr>
          <w:rFonts w:hint="eastAsia" w:ascii="宋体" w:hAnsi="宋体" w:cs="宋体"/>
          <w:color w:val="auto"/>
          <w:sz w:val="24"/>
          <w:lang w:eastAsia="zh-CN"/>
        </w:rPr>
        <w:t>投标人</w:t>
      </w:r>
      <w:r>
        <w:rPr>
          <w:rFonts w:hint="eastAsia" w:ascii="宋体" w:hAnsi="宋体" w:cs="宋体"/>
          <w:color w:val="auto"/>
          <w:sz w:val="24"/>
        </w:rPr>
        <w:t>提供较充分的修正时间。</w:t>
      </w:r>
      <w:r>
        <w:rPr>
          <w:rFonts w:hint="eastAsia" w:ascii="宋体" w:hAnsi="宋体" w:cs="宋体"/>
          <w:color w:val="auto"/>
          <w:sz w:val="24"/>
          <w:lang w:eastAsia="zh-CN"/>
        </w:rPr>
        <w:t>投标人</w:t>
      </w:r>
      <w:r>
        <w:rPr>
          <w:rFonts w:hint="eastAsia" w:ascii="宋体" w:hAnsi="宋体" w:cs="宋体"/>
          <w:color w:val="auto"/>
          <w:sz w:val="24"/>
        </w:rPr>
        <w:t>应当按照磋商文件的变动情况和磋商小组的要求重新提交响应文件，并由其法定代表人或授权代表签字或者加盖公章。</w:t>
      </w:r>
    </w:p>
    <w:p>
      <w:pPr>
        <w:spacing w:line="560" w:lineRule="exact"/>
        <w:rPr>
          <w:rFonts w:ascii="宋体" w:hAnsi="宋体" w:cs="宋体"/>
          <w:color w:val="auto"/>
          <w:sz w:val="24"/>
        </w:rPr>
      </w:pPr>
      <w:r>
        <w:rPr>
          <w:rFonts w:hint="eastAsia" w:ascii="宋体" w:hAnsi="宋体" w:cs="宋体"/>
          <w:color w:val="auto"/>
          <w:sz w:val="24"/>
        </w:rPr>
        <w:t>19.7  磋商文件能够详细列明采购标的的技术、服务要求的，磋商结束后，磋商小组应当要求所有实质性响应的</w:t>
      </w:r>
      <w:r>
        <w:rPr>
          <w:rFonts w:hint="eastAsia" w:ascii="宋体" w:hAnsi="宋体" w:cs="宋体"/>
          <w:color w:val="auto"/>
          <w:sz w:val="24"/>
          <w:lang w:eastAsia="zh-CN"/>
        </w:rPr>
        <w:t>投标人</w:t>
      </w:r>
      <w:r>
        <w:rPr>
          <w:rFonts w:hint="eastAsia" w:ascii="宋体" w:hAnsi="宋体" w:cs="宋体"/>
          <w:color w:val="auto"/>
          <w:sz w:val="24"/>
        </w:rPr>
        <w:t>在规定时间内提交最后报价，提交最后报价的</w:t>
      </w:r>
      <w:r>
        <w:rPr>
          <w:rFonts w:hint="eastAsia" w:ascii="宋体" w:hAnsi="宋体" w:cs="宋体"/>
          <w:color w:val="auto"/>
          <w:sz w:val="24"/>
          <w:lang w:eastAsia="zh-CN"/>
        </w:rPr>
        <w:t>投标人</w:t>
      </w:r>
      <w:r>
        <w:rPr>
          <w:rFonts w:hint="eastAsia" w:ascii="宋体" w:hAnsi="宋体" w:cs="宋体"/>
          <w:color w:val="auto"/>
          <w:sz w:val="24"/>
        </w:rPr>
        <w:t>不得少于3家。磋商文件不能详细列明采购标的的技术、服务要求的，需经磋商由</w:t>
      </w:r>
      <w:r>
        <w:rPr>
          <w:rFonts w:hint="eastAsia" w:ascii="宋体" w:hAnsi="宋体" w:cs="宋体"/>
          <w:color w:val="auto"/>
          <w:sz w:val="24"/>
          <w:lang w:eastAsia="zh-CN"/>
        </w:rPr>
        <w:t>投标人</w:t>
      </w:r>
      <w:r>
        <w:rPr>
          <w:rFonts w:hint="eastAsia" w:ascii="宋体" w:hAnsi="宋体" w:cs="宋体"/>
          <w:color w:val="auto"/>
          <w:sz w:val="24"/>
        </w:rPr>
        <w:t>提供最终设计方案或解决方案的，磋商结束后，磋商小组应当按照少数服从多数的原则投票推荐3家以上</w:t>
      </w:r>
      <w:r>
        <w:rPr>
          <w:rFonts w:hint="eastAsia" w:ascii="宋体" w:hAnsi="宋体" w:cs="宋体"/>
          <w:color w:val="auto"/>
          <w:sz w:val="24"/>
          <w:lang w:eastAsia="zh-CN"/>
        </w:rPr>
        <w:t>投标人</w:t>
      </w:r>
      <w:r>
        <w:rPr>
          <w:rFonts w:hint="eastAsia" w:ascii="宋体" w:hAnsi="宋体" w:cs="宋体"/>
          <w:color w:val="auto"/>
          <w:sz w:val="24"/>
        </w:rPr>
        <w:t>的设计方案或者解决方案，并要求其在规定时间内提交最后报价。最后报价是</w:t>
      </w:r>
      <w:r>
        <w:rPr>
          <w:rFonts w:hint="eastAsia" w:ascii="宋体" w:hAnsi="宋体" w:cs="宋体"/>
          <w:color w:val="auto"/>
          <w:sz w:val="24"/>
          <w:lang w:eastAsia="zh-CN"/>
        </w:rPr>
        <w:t>投标人</w:t>
      </w:r>
      <w:r>
        <w:rPr>
          <w:rFonts w:hint="eastAsia" w:ascii="宋体" w:hAnsi="宋体" w:cs="宋体"/>
          <w:color w:val="auto"/>
          <w:sz w:val="24"/>
        </w:rPr>
        <w:t>响应文件的有效组成文件。</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19.8  已提交响应文件的</w:t>
      </w:r>
      <w:r>
        <w:rPr>
          <w:rFonts w:hint="eastAsia" w:ascii="宋体" w:hAnsi="宋体" w:cs="宋体"/>
          <w:color w:val="auto"/>
          <w:kern w:val="2"/>
          <w:sz w:val="24"/>
          <w:lang w:eastAsia="zh-CN"/>
        </w:rPr>
        <w:t>投标人</w:t>
      </w:r>
      <w:r>
        <w:rPr>
          <w:rFonts w:hint="eastAsia" w:ascii="宋体" w:hAnsi="宋体" w:cs="宋体"/>
          <w:color w:val="auto"/>
          <w:kern w:val="2"/>
          <w:sz w:val="24"/>
        </w:rPr>
        <w:t>，在提交最后报价之前，可以根据磋商情况退出磋商。采购人、采购代理机构应当退还退出磋商的</w:t>
      </w:r>
      <w:r>
        <w:rPr>
          <w:rFonts w:hint="eastAsia" w:ascii="宋体" w:hAnsi="宋体" w:cs="宋体"/>
          <w:color w:val="auto"/>
          <w:kern w:val="2"/>
          <w:sz w:val="24"/>
          <w:lang w:eastAsia="zh-CN"/>
        </w:rPr>
        <w:t>投标人</w:t>
      </w:r>
      <w:r>
        <w:rPr>
          <w:rFonts w:hint="eastAsia" w:ascii="宋体" w:hAnsi="宋体" w:cs="宋体"/>
          <w:color w:val="auto"/>
          <w:kern w:val="2"/>
          <w:sz w:val="24"/>
        </w:rPr>
        <w:t>的保证金。</w:t>
      </w:r>
    </w:p>
    <w:p>
      <w:pPr>
        <w:pStyle w:val="9"/>
        <w:spacing w:line="560" w:lineRule="exact"/>
        <w:ind w:firstLine="0"/>
        <w:rPr>
          <w:rFonts w:ascii="宋体" w:hAnsi="宋体" w:cs="宋体"/>
          <w:color w:val="auto"/>
          <w:kern w:val="2"/>
          <w:sz w:val="24"/>
        </w:rPr>
      </w:pPr>
      <w:r>
        <w:rPr>
          <w:rFonts w:hint="eastAsia" w:ascii="宋体" w:hAnsi="宋体" w:cs="宋体"/>
          <w:color w:val="auto"/>
          <w:kern w:val="2"/>
          <w:sz w:val="24"/>
        </w:rPr>
        <w:t>19.9  经磋商确定最终采购需求和提交最后报价的</w:t>
      </w:r>
      <w:r>
        <w:rPr>
          <w:rFonts w:hint="eastAsia" w:ascii="宋体" w:hAnsi="宋体" w:cs="宋体"/>
          <w:color w:val="auto"/>
          <w:kern w:val="2"/>
          <w:sz w:val="24"/>
          <w:lang w:eastAsia="zh-CN"/>
        </w:rPr>
        <w:t>投标人</w:t>
      </w:r>
      <w:r>
        <w:rPr>
          <w:rFonts w:hint="eastAsia" w:ascii="宋体" w:hAnsi="宋体" w:cs="宋体"/>
          <w:color w:val="auto"/>
          <w:kern w:val="2"/>
          <w:sz w:val="24"/>
        </w:rPr>
        <w:t>后，由磋商小组采用综合评分法对提交最后报价的</w:t>
      </w:r>
      <w:r>
        <w:rPr>
          <w:rFonts w:hint="eastAsia" w:ascii="宋体" w:hAnsi="宋体" w:cs="宋体"/>
          <w:color w:val="auto"/>
          <w:kern w:val="2"/>
          <w:sz w:val="24"/>
          <w:lang w:eastAsia="zh-CN"/>
        </w:rPr>
        <w:t>投标人</w:t>
      </w:r>
      <w:r>
        <w:rPr>
          <w:rFonts w:hint="eastAsia" w:ascii="宋体" w:hAnsi="宋体" w:cs="宋体"/>
          <w:color w:val="auto"/>
          <w:kern w:val="2"/>
          <w:sz w:val="24"/>
        </w:rPr>
        <w:t>的响应文件和最后报价进行综合评分。综合评分法是指响应文件满足磋商文件全部实质性要求且按评审因素的量化指标评审得分最高的</w:t>
      </w:r>
      <w:r>
        <w:rPr>
          <w:rFonts w:hint="eastAsia" w:ascii="宋体" w:hAnsi="宋体" w:cs="宋体"/>
          <w:color w:val="auto"/>
          <w:kern w:val="2"/>
          <w:sz w:val="24"/>
          <w:lang w:eastAsia="zh-CN"/>
        </w:rPr>
        <w:t>投标人</w:t>
      </w:r>
      <w:r>
        <w:rPr>
          <w:rFonts w:hint="eastAsia" w:ascii="宋体" w:hAnsi="宋体" w:cs="宋体"/>
          <w:color w:val="auto"/>
          <w:kern w:val="2"/>
          <w:sz w:val="24"/>
        </w:rPr>
        <w:t>为成交候选</w:t>
      </w:r>
      <w:r>
        <w:rPr>
          <w:rFonts w:hint="eastAsia" w:ascii="宋体" w:hAnsi="宋体" w:cs="宋体"/>
          <w:color w:val="auto"/>
          <w:kern w:val="2"/>
          <w:sz w:val="24"/>
          <w:lang w:eastAsia="zh-CN"/>
        </w:rPr>
        <w:t>投标人</w:t>
      </w:r>
      <w:r>
        <w:rPr>
          <w:rFonts w:hint="eastAsia" w:ascii="宋体" w:hAnsi="宋体" w:cs="宋体"/>
          <w:color w:val="auto"/>
          <w:kern w:val="2"/>
          <w:sz w:val="24"/>
        </w:rPr>
        <w:t>的评审方法。</w:t>
      </w:r>
    </w:p>
    <w:p>
      <w:pPr>
        <w:pStyle w:val="11"/>
        <w:spacing w:line="560" w:lineRule="exact"/>
        <w:rPr>
          <w:rFonts w:hAnsi="宋体" w:cs="宋体"/>
          <w:color w:val="auto"/>
          <w:sz w:val="24"/>
          <w:szCs w:val="24"/>
        </w:rPr>
      </w:pPr>
      <w:r>
        <w:rPr>
          <w:rFonts w:hint="eastAsia" w:hAnsi="宋体" w:cs="宋体"/>
          <w:color w:val="auto"/>
          <w:sz w:val="24"/>
          <w:szCs w:val="24"/>
        </w:rPr>
        <w:t>19.10 根据《政府采购促进中小企业发展管理办法》（财库[2020]46号）、《财政部司法部关于政府采购支持监狱企业发展有关问题的通知》（财库〔2014〕68号）和《三部门联合发布关于促进残疾人就业政府采购政策的通知》（</w:t>
      </w:r>
      <w:bookmarkStart w:id="165" w:name="sendNo"/>
      <w:r>
        <w:rPr>
          <w:rFonts w:hint="eastAsia" w:hAnsi="宋体" w:cs="宋体"/>
          <w:bCs/>
          <w:color w:val="auto"/>
          <w:sz w:val="24"/>
          <w:szCs w:val="24"/>
        </w:rPr>
        <w:t>财库〔</w:t>
      </w:r>
      <w:bookmarkEnd w:id="165"/>
      <w:r>
        <w:rPr>
          <w:rFonts w:hint="eastAsia" w:hAnsi="宋体" w:cs="宋体"/>
          <w:bCs/>
          <w:color w:val="auto"/>
          <w:sz w:val="24"/>
          <w:szCs w:val="24"/>
        </w:rPr>
        <w:t>2017〕141号</w:t>
      </w:r>
      <w:r>
        <w:rPr>
          <w:rFonts w:hint="eastAsia" w:hAnsi="宋体" w:cs="宋体"/>
          <w:color w:val="auto"/>
          <w:sz w:val="24"/>
          <w:szCs w:val="24"/>
        </w:rPr>
        <w:t>）的规定，对满足价格扣除条件且在响应文件中提交了《中小企业声明函》、《残疾人福利性单位声明函》相关属于监狱企业的证明文件的</w:t>
      </w:r>
      <w:r>
        <w:rPr>
          <w:rFonts w:hint="eastAsia" w:hAnsi="宋体" w:cs="宋体"/>
          <w:color w:val="auto"/>
          <w:sz w:val="24"/>
          <w:szCs w:val="24"/>
          <w:lang w:eastAsia="zh-CN"/>
        </w:rPr>
        <w:t>投标人</w:t>
      </w:r>
      <w:r>
        <w:rPr>
          <w:rFonts w:hint="eastAsia" w:hAnsi="宋体" w:cs="宋体"/>
          <w:color w:val="auto"/>
          <w:sz w:val="24"/>
          <w:szCs w:val="24"/>
        </w:rPr>
        <w:t>，按照相关价格扣除规定和</w:t>
      </w:r>
      <w:r>
        <w:rPr>
          <w:rFonts w:hint="eastAsia" w:hAnsi="宋体" w:cs="宋体"/>
          <w:color w:val="auto"/>
          <w:sz w:val="24"/>
          <w:szCs w:val="24"/>
          <w:lang w:eastAsia="zh-CN"/>
        </w:rPr>
        <w:t>投标人</w:t>
      </w:r>
      <w:r>
        <w:rPr>
          <w:rFonts w:hint="eastAsia" w:hAnsi="宋体" w:cs="宋体"/>
          <w:color w:val="auto"/>
          <w:sz w:val="24"/>
          <w:szCs w:val="24"/>
        </w:rPr>
        <w:t>须知前附表要求执行。</w:t>
      </w:r>
    </w:p>
    <w:p>
      <w:pPr>
        <w:pStyle w:val="11"/>
        <w:spacing w:line="560" w:lineRule="exact"/>
        <w:rPr>
          <w:rFonts w:hAnsi="宋体" w:cs="宋体"/>
          <w:color w:val="auto"/>
          <w:sz w:val="24"/>
          <w:szCs w:val="24"/>
        </w:rPr>
      </w:pPr>
      <w:r>
        <w:rPr>
          <w:rFonts w:hint="eastAsia" w:hAnsi="宋体" w:cs="宋体"/>
          <w:color w:val="auto"/>
          <w:sz w:val="24"/>
          <w:szCs w:val="24"/>
        </w:rPr>
        <w:t>19.11落实其他政府采购政策条款，具体详见</w:t>
      </w:r>
      <w:r>
        <w:rPr>
          <w:rFonts w:hint="eastAsia" w:hAnsi="宋体" w:cs="宋体"/>
          <w:color w:val="auto"/>
          <w:sz w:val="24"/>
          <w:szCs w:val="24"/>
          <w:lang w:eastAsia="zh-CN"/>
        </w:rPr>
        <w:t>投标人</w:t>
      </w:r>
      <w:r>
        <w:rPr>
          <w:rFonts w:hint="eastAsia" w:hAnsi="宋体" w:cs="宋体"/>
          <w:color w:val="auto"/>
          <w:sz w:val="24"/>
          <w:szCs w:val="24"/>
        </w:rPr>
        <w:t>须知前附表。</w:t>
      </w:r>
    </w:p>
    <w:p>
      <w:pPr>
        <w:pStyle w:val="6"/>
        <w:spacing w:before="0" w:after="0" w:line="560" w:lineRule="exact"/>
        <w:rPr>
          <w:rFonts w:hAnsi="宋体" w:cs="宋体"/>
          <w:color w:val="auto"/>
          <w:szCs w:val="24"/>
          <w:u w:val="none"/>
        </w:rPr>
      </w:pPr>
      <w:bookmarkStart w:id="166" w:name="_Toc515647783"/>
      <w:bookmarkStart w:id="167" w:name="_Toc532473475"/>
      <w:bookmarkStart w:id="168" w:name="_Toc6092"/>
      <w:bookmarkStart w:id="169" w:name="_Toc2582289"/>
      <w:bookmarkStart w:id="170" w:name="_Toc4950"/>
      <w:bookmarkStart w:id="171" w:name="_Toc520356167"/>
      <w:r>
        <w:rPr>
          <w:rFonts w:hint="eastAsia" w:hAnsi="宋体" w:cs="宋体"/>
          <w:color w:val="auto"/>
          <w:szCs w:val="24"/>
          <w:u w:val="none"/>
        </w:rPr>
        <w:t>20.</w:t>
      </w:r>
      <w:bookmarkEnd w:id="166"/>
      <w:r>
        <w:rPr>
          <w:rFonts w:hint="eastAsia" w:hAnsi="宋体" w:cs="宋体"/>
          <w:color w:val="auto"/>
          <w:szCs w:val="24"/>
          <w:u w:val="none"/>
        </w:rPr>
        <w:t>响应无效</w:t>
      </w:r>
      <w:bookmarkEnd w:id="167"/>
      <w:bookmarkEnd w:id="168"/>
      <w:bookmarkEnd w:id="169"/>
      <w:bookmarkEnd w:id="170"/>
    </w:p>
    <w:p>
      <w:pPr>
        <w:spacing w:line="560" w:lineRule="exact"/>
        <w:ind w:left="900" w:hanging="900" w:hangingChars="375"/>
        <w:rPr>
          <w:rFonts w:ascii="宋体" w:hAnsi="宋体" w:cs="宋体"/>
          <w:color w:val="auto"/>
          <w:sz w:val="24"/>
        </w:rPr>
      </w:pPr>
      <w:r>
        <w:rPr>
          <w:rFonts w:hint="eastAsia" w:ascii="宋体" w:hAnsi="宋体" w:cs="宋体"/>
          <w:color w:val="auto"/>
          <w:sz w:val="24"/>
        </w:rPr>
        <w:t>20.1  如发现下列情况之一的，其响应将被认定为响应</w:t>
      </w:r>
      <w:r>
        <w:rPr>
          <w:rFonts w:hint="eastAsia" w:ascii="宋体" w:hAnsi="宋体" w:cs="宋体"/>
          <w:b/>
          <w:bCs/>
          <w:color w:val="auto"/>
          <w:sz w:val="24"/>
        </w:rPr>
        <w:t>无效</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20.1.1未按照磋商文件规定要求签署、盖章的；</w:t>
      </w:r>
    </w:p>
    <w:p>
      <w:pPr>
        <w:spacing w:line="560" w:lineRule="exact"/>
        <w:rPr>
          <w:rFonts w:ascii="宋体" w:hAnsi="宋体" w:cs="宋体"/>
          <w:color w:val="auto"/>
          <w:sz w:val="24"/>
        </w:rPr>
      </w:pPr>
      <w:r>
        <w:rPr>
          <w:rFonts w:hint="eastAsia" w:ascii="宋体" w:hAnsi="宋体" w:cs="宋体"/>
          <w:color w:val="auto"/>
          <w:sz w:val="24"/>
        </w:rPr>
        <w:t>20.1.2未满足响应文件中的实质性要求；</w:t>
      </w:r>
    </w:p>
    <w:p>
      <w:pPr>
        <w:spacing w:line="560" w:lineRule="exact"/>
        <w:rPr>
          <w:rFonts w:ascii="宋体" w:hAnsi="宋体" w:cs="宋体"/>
          <w:color w:val="auto"/>
          <w:sz w:val="24"/>
        </w:rPr>
      </w:pPr>
      <w:r>
        <w:rPr>
          <w:rFonts w:hint="eastAsia" w:ascii="宋体" w:hAnsi="宋体" w:cs="宋体"/>
          <w:color w:val="auto"/>
          <w:sz w:val="24"/>
        </w:rPr>
        <w:t>20.1.3属于串通投标，或者依法被视为串通投标；</w:t>
      </w:r>
    </w:p>
    <w:p>
      <w:pPr>
        <w:spacing w:line="560" w:lineRule="exact"/>
        <w:rPr>
          <w:rFonts w:ascii="宋体" w:hAnsi="宋体" w:cs="宋体"/>
          <w:color w:val="auto"/>
          <w:sz w:val="24"/>
        </w:rPr>
      </w:pPr>
      <w:r>
        <w:rPr>
          <w:rFonts w:hint="eastAsia" w:ascii="宋体" w:hAnsi="宋体" w:cs="宋体"/>
          <w:color w:val="auto"/>
          <w:sz w:val="24"/>
        </w:rPr>
        <w:t>20.1.4响应文件含有采购人不能接受的附加条件的；</w:t>
      </w:r>
    </w:p>
    <w:p>
      <w:pPr>
        <w:spacing w:line="560" w:lineRule="exact"/>
        <w:rPr>
          <w:rFonts w:ascii="宋体" w:hAnsi="宋体" w:cs="宋体"/>
          <w:color w:val="auto"/>
          <w:sz w:val="24"/>
        </w:rPr>
      </w:pPr>
      <w:r>
        <w:rPr>
          <w:rFonts w:hint="eastAsia" w:ascii="宋体" w:hAnsi="宋体" w:cs="宋体"/>
          <w:color w:val="auto"/>
          <w:sz w:val="24"/>
        </w:rPr>
        <w:t>20.1.5属于磋商文件规定的其他响应</w:t>
      </w:r>
      <w:r>
        <w:rPr>
          <w:rFonts w:hint="eastAsia" w:ascii="宋体" w:hAnsi="宋体" w:cs="宋体"/>
          <w:bCs/>
          <w:color w:val="auto"/>
          <w:sz w:val="24"/>
        </w:rPr>
        <w:t>无效</w:t>
      </w:r>
      <w:r>
        <w:rPr>
          <w:rFonts w:hint="eastAsia" w:ascii="宋体" w:hAnsi="宋体" w:cs="宋体"/>
          <w:color w:val="auto"/>
          <w:sz w:val="24"/>
        </w:rPr>
        <w:t>情形；</w:t>
      </w:r>
    </w:p>
    <w:p>
      <w:pPr>
        <w:tabs>
          <w:tab w:val="left" w:pos="0"/>
        </w:tabs>
        <w:spacing w:line="560" w:lineRule="exact"/>
        <w:rPr>
          <w:rFonts w:ascii="宋体" w:hAnsi="宋体" w:cs="宋体"/>
          <w:color w:val="auto"/>
          <w:sz w:val="24"/>
        </w:rPr>
      </w:pPr>
      <w:r>
        <w:rPr>
          <w:rFonts w:hint="eastAsia" w:ascii="宋体" w:hAnsi="宋体" w:cs="宋体"/>
          <w:color w:val="auto"/>
          <w:sz w:val="24"/>
        </w:rPr>
        <w:t>20.1.6不符合政府采购法律法规和磋商文件中规定的其他实质性要求的。</w:t>
      </w:r>
    </w:p>
    <w:bookmarkEnd w:id="171"/>
    <w:p>
      <w:pPr>
        <w:pStyle w:val="6"/>
        <w:spacing w:before="0" w:after="0" w:line="560" w:lineRule="exact"/>
        <w:rPr>
          <w:rFonts w:hAnsi="宋体" w:cs="宋体"/>
          <w:color w:val="auto"/>
          <w:szCs w:val="24"/>
          <w:u w:val="none"/>
        </w:rPr>
      </w:pPr>
      <w:bookmarkStart w:id="172" w:name="_Toc31289"/>
      <w:bookmarkStart w:id="173" w:name="_Toc515647786"/>
      <w:bookmarkStart w:id="174" w:name="_Toc24972"/>
      <w:bookmarkStart w:id="175" w:name="_Toc2582292"/>
      <w:bookmarkStart w:id="176" w:name="_Toc532473478"/>
      <w:bookmarkStart w:id="177" w:name="_Toc520356169"/>
      <w:r>
        <w:rPr>
          <w:rFonts w:hint="eastAsia" w:hAnsi="宋体" w:cs="宋体"/>
          <w:color w:val="auto"/>
          <w:szCs w:val="24"/>
          <w:u w:val="none"/>
        </w:rPr>
        <w:t>21.保密</w:t>
      </w:r>
      <w:bookmarkEnd w:id="172"/>
      <w:bookmarkEnd w:id="173"/>
      <w:bookmarkEnd w:id="174"/>
      <w:r>
        <w:rPr>
          <w:rFonts w:hint="eastAsia" w:hAnsi="宋体" w:cs="宋体"/>
          <w:color w:val="auto"/>
          <w:szCs w:val="24"/>
          <w:u w:val="none"/>
        </w:rPr>
        <w:t>要求</w:t>
      </w:r>
      <w:bookmarkEnd w:id="175"/>
      <w:bookmarkEnd w:id="176"/>
    </w:p>
    <w:p>
      <w:pPr>
        <w:spacing w:line="560" w:lineRule="exact"/>
        <w:ind w:left="900" w:hanging="900" w:hangingChars="375"/>
        <w:rPr>
          <w:rFonts w:ascii="宋体" w:hAnsi="宋体" w:cs="宋体"/>
          <w:color w:val="auto"/>
          <w:sz w:val="24"/>
        </w:rPr>
      </w:pPr>
      <w:r>
        <w:rPr>
          <w:rFonts w:hint="eastAsia" w:ascii="宋体" w:hAnsi="宋体" w:cs="宋体"/>
          <w:color w:val="auto"/>
          <w:sz w:val="24"/>
        </w:rPr>
        <w:t>21.1 磋商将在严格保密的情况下进行。</w:t>
      </w:r>
    </w:p>
    <w:p>
      <w:pPr>
        <w:spacing w:line="560" w:lineRule="exact"/>
        <w:rPr>
          <w:rFonts w:ascii="宋体" w:hAnsi="宋体" w:cs="宋体"/>
          <w:color w:val="auto"/>
          <w:sz w:val="24"/>
        </w:rPr>
      </w:pPr>
      <w:r>
        <w:rPr>
          <w:rFonts w:hint="eastAsia" w:ascii="宋体" w:hAnsi="宋体" w:cs="宋体"/>
          <w:color w:val="auto"/>
          <w:sz w:val="24"/>
        </w:rPr>
        <w:t>21.2 有关人员应当遵守评审工作纪律，不得泄露评审文件、评审情况和从评审中获悉的国家秘密、商业秘密。</w:t>
      </w:r>
    </w:p>
    <w:bookmarkEnd w:id="177"/>
    <w:p>
      <w:pPr>
        <w:pStyle w:val="5"/>
        <w:spacing w:before="0" w:after="0" w:line="560" w:lineRule="exact"/>
        <w:jc w:val="center"/>
        <w:rPr>
          <w:rFonts w:ascii="宋体" w:hAnsi="宋体" w:eastAsia="宋体" w:cs="宋体"/>
          <w:color w:val="auto"/>
          <w:sz w:val="24"/>
          <w:szCs w:val="24"/>
        </w:rPr>
      </w:pPr>
      <w:bookmarkStart w:id="178" w:name="_Toc23904"/>
      <w:bookmarkStart w:id="179" w:name="_Toc515647787"/>
      <w:bookmarkStart w:id="180" w:name="_Toc216582810"/>
      <w:bookmarkStart w:id="181" w:name="_Toc532473479"/>
      <w:bookmarkStart w:id="182" w:name="_Toc2582293"/>
      <w:bookmarkStart w:id="183" w:name="_Toc12143"/>
      <w:bookmarkStart w:id="184" w:name="_Toc22547"/>
      <w:r>
        <w:rPr>
          <w:rFonts w:hint="eastAsia" w:ascii="宋体" w:hAnsi="宋体" w:eastAsia="宋体" w:cs="宋体"/>
          <w:color w:val="auto"/>
          <w:sz w:val="24"/>
          <w:szCs w:val="24"/>
        </w:rPr>
        <w:t>（六）确定</w:t>
      </w:r>
      <w:bookmarkEnd w:id="178"/>
      <w:bookmarkEnd w:id="179"/>
      <w:bookmarkEnd w:id="180"/>
      <w:bookmarkEnd w:id="181"/>
      <w:bookmarkEnd w:id="182"/>
      <w:bookmarkEnd w:id="183"/>
      <w:r>
        <w:rPr>
          <w:rFonts w:hint="eastAsia" w:ascii="宋体" w:hAnsi="宋体" w:eastAsia="宋体" w:cs="宋体"/>
          <w:color w:val="auto"/>
          <w:sz w:val="24"/>
          <w:szCs w:val="24"/>
        </w:rPr>
        <w:t>成交</w:t>
      </w:r>
      <w:bookmarkEnd w:id="184"/>
    </w:p>
    <w:p>
      <w:pPr>
        <w:pStyle w:val="6"/>
        <w:spacing w:before="0" w:after="0" w:line="560" w:lineRule="exact"/>
        <w:rPr>
          <w:rFonts w:hAnsi="宋体" w:cs="宋体"/>
          <w:color w:val="auto"/>
          <w:szCs w:val="24"/>
          <w:u w:val="none"/>
        </w:rPr>
      </w:pPr>
      <w:bookmarkStart w:id="185" w:name="_Toc23617"/>
      <w:bookmarkStart w:id="186" w:name="_Toc515647788"/>
      <w:bookmarkStart w:id="187" w:name="_Toc532473480"/>
      <w:bookmarkStart w:id="188" w:name="_Toc2582294"/>
      <w:bookmarkStart w:id="189" w:name="_Ref467307010"/>
      <w:bookmarkStart w:id="190" w:name="_Toc23762"/>
      <w:bookmarkStart w:id="191" w:name="_Toc520356170"/>
      <w:r>
        <w:rPr>
          <w:rFonts w:hint="eastAsia" w:hAnsi="宋体" w:cs="宋体"/>
          <w:color w:val="auto"/>
          <w:szCs w:val="24"/>
          <w:u w:val="none"/>
        </w:rPr>
        <w:t>22.成交候选人的确定原则及标准</w:t>
      </w:r>
      <w:bookmarkEnd w:id="185"/>
      <w:bookmarkEnd w:id="186"/>
      <w:bookmarkEnd w:id="187"/>
      <w:bookmarkEnd w:id="188"/>
      <w:bookmarkEnd w:id="189"/>
      <w:bookmarkEnd w:id="190"/>
      <w:bookmarkEnd w:id="191"/>
    </w:p>
    <w:p>
      <w:pPr>
        <w:spacing w:line="560" w:lineRule="exact"/>
        <w:rPr>
          <w:rFonts w:ascii="宋体" w:hAnsi="宋体" w:cs="宋体"/>
          <w:color w:val="auto"/>
          <w:sz w:val="24"/>
        </w:rPr>
      </w:pPr>
      <w:r>
        <w:rPr>
          <w:rFonts w:hint="eastAsia" w:ascii="宋体" w:hAnsi="宋体" w:cs="宋体"/>
          <w:color w:val="auto"/>
          <w:sz w:val="24"/>
        </w:rPr>
        <w:t>22.1 除磋商小组受采购人委托直接确定成交</w:t>
      </w:r>
      <w:r>
        <w:rPr>
          <w:rFonts w:hint="eastAsia" w:ascii="宋体" w:hAnsi="宋体" w:cs="宋体"/>
          <w:color w:val="auto"/>
          <w:sz w:val="24"/>
          <w:lang w:eastAsia="zh-CN"/>
        </w:rPr>
        <w:t>投标人</w:t>
      </w:r>
      <w:r>
        <w:rPr>
          <w:rFonts w:hint="eastAsia" w:ascii="宋体" w:hAnsi="宋体" w:cs="宋体"/>
          <w:color w:val="auto"/>
          <w:sz w:val="24"/>
        </w:rPr>
        <w:t>的情形外，磋商小组应当根据综合评分情况，按照评审得分由高到低顺序推荐成交候选</w:t>
      </w:r>
      <w:r>
        <w:rPr>
          <w:rFonts w:hint="eastAsia" w:ascii="宋体" w:hAnsi="宋体" w:cs="宋体"/>
          <w:color w:val="auto"/>
          <w:sz w:val="24"/>
          <w:lang w:eastAsia="zh-CN"/>
        </w:rPr>
        <w:t>投标人</w:t>
      </w:r>
      <w:r>
        <w:rPr>
          <w:rFonts w:hint="eastAsia" w:ascii="宋体" w:hAnsi="宋体" w:cs="宋体"/>
          <w:color w:val="auto"/>
          <w:sz w:val="24"/>
        </w:rPr>
        <w:t>。</w:t>
      </w:r>
    </w:p>
    <w:p>
      <w:pPr>
        <w:spacing w:line="560" w:lineRule="exact"/>
        <w:rPr>
          <w:rFonts w:ascii="宋体" w:hAnsi="宋体" w:cs="宋体"/>
          <w:color w:val="auto"/>
          <w:sz w:val="24"/>
        </w:rPr>
      </w:pPr>
      <w:r>
        <w:rPr>
          <w:rFonts w:hint="eastAsia" w:ascii="宋体" w:hAnsi="宋体" w:cs="宋体"/>
          <w:color w:val="auto"/>
          <w:sz w:val="24"/>
        </w:rPr>
        <w:t xml:space="preserve">综合评分法评分细则： </w:t>
      </w:r>
    </w:p>
    <w:p>
      <w:pPr>
        <w:spacing w:line="560" w:lineRule="exact"/>
        <w:ind w:left="900" w:hanging="900" w:hangingChars="375"/>
        <w:rPr>
          <w:color w:val="auto"/>
        </w:rPr>
      </w:pPr>
      <w:r>
        <w:rPr>
          <w:rFonts w:hint="eastAsia" w:ascii="宋体" w:hAnsi="宋体" w:cs="宋体"/>
          <w:color w:val="auto"/>
          <w:sz w:val="24"/>
        </w:rPr>
        <w:t>总分：100 分。</w:t>
      </w:r>
      <w:r>
        <w:rPr>
          <w:rFonts w:hint="eastAsia" w:ascii="宋体" w:hAnsi="宋体" w:cs="宋体"/>
          <w:color w:val="auto"/>
          <w:kern w:val="0"/>
          <w:sz w:val="24"/>
          <w:lang w:bidi="ar"/>
        </w:rPr>
        <w:t xml:space="preserve"> </w:t>
      </w:r>
    </w:p>
    <w:tbl>
      <w:tblPr>
        <w:tblStyle w:val="21"/>
        <w:tblpPr w:leftFromText="180" w:rightFromText="180" w:vertAnchor="text" w:horzAnchor="page" w:tblpX="1317" w:tblpY="457"/>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6"/>
        <w:gridCol w:w="919"/>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85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91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标准分</w:t>
            </w:r>
          </w:p>
        </w:tc>
        <w:tc>
          <w:tcPr>
            <w:tcW w:w="704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7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p>
        </w:tc>
        <w:tc>
          <w:tcPr>
            <w:tcW w:w="85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9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704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i w:val="0"/>
                <w:caps w:val="0"/>
                <w:color w:val="auto"/>
                <w:spacing w:val="0"/>
                <w:sz w:val="24"/>
                <w:szCs w:val="24"/>
                <w:shd w:val="clear" w:color="auto" w:fill="FFFFFF"/>
                <w:lang w:val="en-US" w:eastAsia="zh-CN"/>
              </w:rPr>
            </w:pPr>
            <w:r>
              <w:rPr>
                <w:rFonts w:hint="eastAsia" w:ascii="宋体" w:hAnsi="宋体" w:eastAsia="宋体" w:cs="宋体"/>
                <w:color w:val="auto"/>
                <w:sz w:val="24"/>
                <w:szCs w:val="24"/>
              </w:rPr>
              <w:t>标人的价格分统一按下列公式计算：投标报价得分＝（评标基准价/</w:t>
            </w:r>
            <w:r>
              <w:rPr>
                <w:rFonts w:hint="eastAsia" w:ascii="宋体" w:hAnsi="宋体" w:eastAsia="宋体" w:cs="宋体"/>
                <w:color w:val="auto"/>
                <w:sz w:val="24"/>
                <w:szCs w:val="24"/>
                <w:lang w:eastAsia="zh-CN"/>
              </w:rPr>
              <w:t>最终</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。评标基准价是指满足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文件要求且投标价格</w:t>
            </w:r>
            <w:r>
              <w:rPr>
                <w:rFonts w:hint="eastAsia" w:ascii="宋体" w:hAnsi="宋体" w:eastAsia="宋体" w:cs="宋体"/>
                <w:color w:val="auto"/>
                <w:sz w:val="24"/>
                <w:szCs w:val="24"/>
                <w:lang w:eastAsia="zh-CN"/>
              </w:rPr>
              <w:t>最终</w:t>
            </w:r>
            <w:r>
              <w:rPr>
                <w:rFonts w:hint="eastAsia" w:ascii="宋体" w:hAnsi="宋体" w:eastAsia="宋体" w:cs="宋体"/>
                <w:color w:val="auto"/>
                <w:sz w:val="24"/>
                <w:szCs w:val="24"/>
              </w:rPr>
              <w:t>最低的投标报价（低于成本价除外），最低报价得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分。得分结果由高分到低分依次排列为各自最终得分。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85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类似业绩</w:t>
            </w:r>
          </w:p>
        </w:tc>
        <w:tc>
          <w:tcPr>
            <w:tcW w:w="9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047" w:type="dxa"/>
            <w:noWrap w:val="0"/>
            <w:vAlign w:val="top"/>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kern w:val="0"/>
                <w:sz w:val="24"/>
                <w:szCs w:val="24"/>
              </w:rPr>
              <w:t>每有一项</w:t>
            </w:r>
            <w:r>
              <w:rPr>
                <w:rFonts w:hint="eastAsia" w:ascii="宋体" w:hAnsi="宋体" w:eastAsia="宋体" w:cs="宋体"/>
                <w:b w:val="0"/>
                <w:bCs w:val="0"/>
                <w:color w:val="auto"/>
                <w:kern w:val="0"/>
                <w:sz w:val="24"/>
                <w:szCs w:val="24"/>
                <w:lang w:eastAsia="zh-CN"/>
              </w:rPr>
              <w:t>类似</w:t>
            </w:r>
            <w:r>
              <w:rPr>
                <w:rFonts w:hint="eastAsia" w:ascii="宋体" w:hAnsi="宋体" w:eastAsia="宋体" w:cs="宋体"/>
                <w:b w:val="0"/>
                <w:bCs w:val="0"/>
                <w:color w:val="auto"/>
                <w:kern w:val="0"/>
                <w:sz w:val="24"/>
                <w:szCs w:val="24"/>
              </w:rPr>
              <w:t>业绩的得</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分，得够标准分为止。（提供</w:t>
            </w:r>
            <w:r>
              <w:rPr>
                <w:rFonts w:hint="eastAsia" w:ascii="宋体" w:hAnsi="宋体" w:eastAsia="宋体" w:cs="宋体"/>
                <w:b w:val="0"/>
                <w:bCs w:val="0"/>
                <w:color w:val="auto"/>
                <w:kern w:val="0"/>
                <w:sz w:val="24"/>
                <w:szCs w:val="24"/>
                <w:lang w:eastAsia="zh-CN"/>
              </w:rPr>
              <w:t>合同复印件加盖公章</w:t>
            </w:r>
            <w:r>
              <w:rPr>
                <w:rFonts w:hint="eastAsia" w:ascii="宋体" w:hAnsi="宋体" w:eastAsia="宋体" w:cs="宋体"/>
                <w:b w:val="0"/>
                <w:bCs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5" w:type="dxa"/>
            <w:noWrap w:val="0"/>
            <w:vAlign w:val="center"/>
          </w:tcPr>
          <w:p>
            <w:pPr>
              <w:keepNext w:val="0"/>
              <w:keepLines w:val="0"/>
              <w:suppressLineNumbers w:val="0"/>
              <w:spacing w:before="0" w:beforeAutospacing="0" w:after="0" w:afterAutospacing="0" w:line="360" w:lineRule="auto"/>
              <w:ind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856"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rPr>
            </w:pPr>
            <w:r>
              <w:rPr>
                <w:rFonts w:hint="eastAsia" w:ascii="宋体" w:hAnsi="宋体" w:eastAsia="宋体" w:cs="宋体"/>
                <w:color w:val="auto"/>
                <w:kern w:val="0"/>
                <w:sz w:val="24"/>
              </w:rPr>
              <w:t>技术标响应情况（技术指标、参数）</w:t>
            </w:r>
          </w:p>
        </w:tc>
        <w:tc>
          <w:tcPr>
            <w:tcW w:w="9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kern w:val="2"/>
                <w:sz w:val="24"/>
                <w:szCs w:val="24"/>
                <w:lang w:val="en-US" w:eastAsia="zh-CN" w:bidi="ar"/>
              </w:rPr>
            </w:pPr>
            <w:bookmarkStart w:id="268" w:name="_GoBack"/>
            <w:r>
              <w:rPr>
                <w:rFonts w:hint="eastAsia" w:ascii="宋体" w:hAnsi="宋体" w:eastAsia="宋体" w:cs="宋体"/>
                <w:color w:val="auto"/>
                <w:kern w:val="2"/>
                <w:sz w:val="24"/>
                <w:szCs w:val="24"/>
                <w:lang w:val="en-US" w:eastAsia="zh-CN" w:bidi="ar"/>
              </w:rPr>
              <w:t>30分</w:t>
            </w:r>
            <w:bookmarkEnd w:id="268"/>
          </w:p>
        </w:tc>
        <w:tc>
          <w:tcPr>
            <w:tcW w:w="7047" w:type="dxa"/>
            <w:noWrap w:val="0"/>
            <w:vAlign w:val="top"/>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满足磋商文件重要技术指标及一般参数要求的得30分，以此为基础：磋商文件中带★的产品参数为重要技术参数，不能实质性满足磋商文件中重要技术指标，每一项减3分，扣完为止；</w:t>
            </w:r>
          </w:p>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投标人一般技术指标、参数低于磋商文件规定的相应技术指标、参数的，有一项减1分，扣完为止； </w:t>
            </w:r>
          </w:p>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注：★号技术参数需提供相关证明文件，不能提供证明的视为不响应（证明方式：提供产品检测报告、说明书、彩页要求加盖厂家公章）。</w:t>
            </w:r>
          </w:p>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 xml:space="preserve">各投标人虚假响应技术参数的，一经查实按无效标书处理；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7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85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实施方案</w:t>
            </w:r>
          </w:p>
        </w:tc>
        <w:tc>
          <w:tcPr>
            <w:tcW w:w="9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w:t>
            </w:r>
          </w:p>
        </w:tc>
        <w:tc>
          <w:tcPr>
            <w:tcW w:w="7047" w:type="dxa"/>
            <w:noWrap w:val="0"/>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投标人结合项目要求提供具体实施服务方案，方案中需包含总体目标、应急响应预案、安装、调试方案、验收方案等。</w:t>
            </w:r>
          </w:p>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
              </w:rPr>
              <w:t>提供方案内容齐全、描述详细清晰，满足采购需求，应急相应预案符合实际需求，安装调试内容明确的得</w:t>
            </w:r>
            <w:r>
              <w:rPr>
                <w:rFonts w:hint="eastAsia" w:ascii="宋体" w:hAnsi="宋体" w:cs="宋体"/>
                <w:color w:val="auto"/>
                <w:kern w:val="2"/>
                <w:sz w:val="24"/>
                <w:szCs w:val="24"/>
                <w:lang w:val="en-US" w:eastAsia="zh-CN" w:bidi="ar"/>
              </w:rPr>
              <w:t>12-15</w:t>
            </w:r>
            <w:r>
              <w:rPr>
                <w:rFonts w:hint="eastAsia" w:ascii="宋体" w:hAnsi="宋体" w:eastAsia="宋体" w:cs="宋体"/>
                <w:color w:val="auto"/>
                <w:kern w:val="2"/>
                <w:sz w:val="24"/>
                <w:szCs w:val="24"/>
                <w:lang w:val="en-US" w:eastAsia="zh-CN" w:bidi="ar"/>
              </w:rPr>
              <w:t>分；提供方案内容齐全、描述详细，应急相应预案能够满足采购需求得8</w:t>
            </w:r>
            <w:r>
              <w:rPr>
                <w:rFonts w:hint="eastAsia" w:ascii="宋体" w:hAnsi="宋体" w:cs="宋体"/>
                <w:color w:val="auto"/>
                <w:kern w:val="2"/>
                <w:sz w:val="24"/>
                <w:szCs w:val="24"/>
                <w:lang w:val="en-US" w:eastAsia="zh-CN" w:bidi="ar"/>
              </w:rPr>
              <w:t>-11</w:t>
            </w:r>
            <w:r>
              <w:rPr>
                <w:rFonts w:hint="eastAsia" w:ascii="宋体" w:hAnsi="宋体" w:eastAsia="宋体" w:cs="宋体"/>
                <w:color w:val="auto"/>
                <w:kern w:val="2"/>
                <w:sz w:val="24"/>
                <w:szCs w:val="24"/>
                <w:lang w:val="en-US" w:eastAsia="zh-CN" w:bidi="ar"/>
              </w:rPr>
              <w:t>分；提供应急相应预案、安装及调试方案，满足采购需求的得</w:t>
            </w:r>
            <w:r>
              <w:rPr>
                <w:rFonts w:hint="eastAsia" w:ascii="宋体" w:hAnsi="宋体" w:cs="宋体"/>
                <w:color w:val="auto"/>
                <w:kern w:val="2"/>
                <w:sz w:val="24"/>
                <w:szCs w:val="24"/>
                <w:lang w:val="en-US" w:eastAsia="zh-CN" w:bidi="ar"/>
              </w:rPr>
              <w:t>4-7</w:t>
            </w:r>
            <w:r>
              <w:rPr>
                <w:rFonts w:hint="eastAsia" w:ascii="宋体" w:hAnsi="宋体" w:eastAsia="宋体" w:cs="宋体"/>
                <w:color w:val="auto"/>
                <w:kern w:val="2"/>
                <w:sz w:val="24"/>
                <w:szCs w:val="24"/>
                <w:lang w:val="en-US" w:eastAsia="zh-CN" w:bidi="ar"/>
              </w:rPr>
              <w:t>分；提供以上内容存在缺漏且对需求理解欠缺、描述不准确的得</w:t>
            </w:r>
            <w:r>
              <w:rPr>
                <w:rFonts w:hint="eastAsia" w:ascii="宋体" w:hAnsi="宋体" w:cs="宋体"/>
                <w:color w:val="auto"/>
                <w:kern w:val="2"/>
                <w:sz w:val="24"/>
                <w:szCs w:val="24"/>
                <w:lang w:val="en-US" w:eastAsia="zh-CN" w:bidi="ar"/>
              </w:rPr>
              <w:t>1-3</w:t>
            </w:r>
            <w:r>
              <w:rPr>
                <w:rFonts w:hint="eastAsia" w:ascii="宋体" w:hAnsi="宋体" w:eastAsia="宋体" w:cs="宋体"/>
                <w:color w:val="auto"/>
                <w:kern w:val="2"/>
                <w:sz w:val="24"/>
                <w:szCs w:val="24"/>
                <w:lang w:val="en-US" w:eastAsia="zh-CN" w:bidi="ar"/>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7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85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培训方案</w:t>
            </w:r>
          </w:p>
        </w:tc>
        <w:tc>
          <w:tcPr>
            <w:tcW w:w="9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7047" w:type="dxa"/>
            <w:noWrap w:val="0"/>
            <w:vAlign w:val="top"/>
          </w:tcPr>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人员培训实施方案程序清晰、节点明确、方案完整满足采购人需求得</w:t>
            </w:r>
            <w:r>
              <w:rPr>
                <w:rFonts w:hint="eastAsia" w:ascii="宋体" w:hAnsi="宋体" w:cs="宋体"/>
                <w:color w:val="auto"/>
                <w:kern w:val="2"/>
                <w:sz w:val="24"/>
                <w:szCs w:val="24"/>
                <w:lang w:val="en-US" w:eastAsia="zh-CN" w:bidi="ar"/>
              </w:rPr>
              <w:t>4-5</w:t>
            </w:r>
            <w:r>
              <w:rPr>
                <w:rFonts w:hint="eastAsia" w:ascii="宋体" w:hAnsi="宋体" w:eastAsia="宋体" w:cs="宋体"/>
                <w:color w:val="auto"/>
                <w:kern w:val="2"/>
                <w:sz w:val="24"/>
                <w:szCs w:val="24"/>
                <w:lang w:val="en-US" w:eastAsia="zh-CN" w:bidi="ar"/>
              </w:rPr>
              <w:t>分；培训方案内容齐全、描述详细，基本满足采购需求的得</w:t>
            </w:r>
            <w:r>
              <w:rPr>
                <w:rFonts w:hint="eastAsia" w:ascii="宋体" w:hAnsi="宋体" w:cs="宋体"/>
                <w:color w:val="auto"/>
                <w:kern w:val="2"/>
                <w:sz w:val="24"/>
                <w:szCs w:val="24"/>
                <w:lang w:val="en-US" w:eastAsia="zh-CN" w:bidi="ar"/>
              </w:rPr>
              <w:t>2-3</w:t>
            </w:r>
            <w:r>
              <w:rPr>
                <w:rFonts w:hint="eastAsia" w:ascii="宋体" w:hAnsi="宋体" w:eastAsia="宋体" w:cs="宋体"/>
                <w:color w:val="auto"/>
                <w:kern w:val="2"/>
                <w:sz w:val="24"/>
                <w:szCs w:val="24"/>
                <w:lang w:val="en-US" w:eastAsia="zh-CN" w:bidi="ar"/>
              </w:rPr>
              <w:t>分；提供内容存在缺漏且对需求理解欠缺、描述不准确的得1分；不提供不得分。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67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85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售后服务</w:t>
            </w:r>
          </w:p>
        </w:tc>
        <w:tc>
          <w:tcPr>
            <w:tcW w:w="9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047" w:type="dxa"/>
            <w:noWrap w:val="0"/>
            <w:vAlign w:val="top"/>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
              </w:rPr>
              <w:t>有服务机构，售后服务承诺详细、具体，满足用户要求且优于其他投标人售后服务承诺，明确项目技术支持人员，故障处理时限，现场服务条件及到位时间的优得</w:t>
            </w:r>
            <w:r>
              <w:rPr>
                <w:rFonts w:hint="eastAsia" w:ascii="宋体" w:hAnsi="宋体" w:cs="宋体"/>
                <w:color w:val="auto"/>
                <w:kern w:val="2"/>
                <w:sz w:val="24"/>
                <w:szCs w:val="24"/>
                <w:lang w:val="en-US" w:eastAsia="zh-CN" w:bidi="ar"/>
              </w:rPr>
              <w:t>12-15</w:t>
            </w:r>
            <w:r>
              <w:rPr>
                <w:rFonts w:hint="eastAsia" w:ascii="宋体" w:hAnsi="宋体" w:eastAsia="宋体" w:cs="宋体"/>
                <w:color w:val="auto"/>
                <w:kern w:val="2"/>
                <w:sz w:val="24"/>
                <w:szCs w:val="24"/>
                <w:lang w:val="en-US" w:eastAsia="zh-CN" w:bidi="ar"/>
              </w:rPr>
              <w:t>分；有服务机构，售后服务周到，具有服务体系的良得8</w:t>
            </w:r>
            <w:r>
              <w:rPr>
                <w:rFonts w:hint="eastAsia" w:ascii="宋体" w:hAnsi="宋体" w:cs="宋体"/>
                <w:color w:val="auto"/>
                <w:kern w:val="2"/>
                <w:sz w:val="24"/>
                <w:szCs w:val="24"/>
                <w:lang w:val="en-US" w:eastAsia="zh-CN" w:bidi="ar"/>
              </w:rPr>
              <w:t>-11</w:t>
            </w:r>
            <w:r>
              <w:rPr>
                <w:rFonts w:hint="eastAsia" w:ascii="宋体" w:hAnsi="宋体" w:eastAsia="宋体" w:cs="宋体"/>
                <w:color w:val="auto"/>
                <w:kern w:val="2"/>
                <w:sz w:val="24"/>
                <w:szCs w:val="24"/>
                <w:lang w:val="en-US" w:eastAsia="zh-CN" w:bidi="ar"/>
              </w:rPr>
              <w:t>分；售后服务体系模糊不清，服务承诺具备采购人要求的得</w:t>
            </w:r>
            <w:r>
              <w:rPr>
                <w:rFonts w:hint="eastAsia" w:ascii="宋体" w:hAnsi="宋体" w:cs="宋体"/>
                <w:color w:val="auto"/>
                <w:kern w:val="2"/>
                <w:sz w:val="24"/>
                <w:szCs w:val="24"/>
                <w:lang w:val="en-US" w:eastAsia="zh-CN" w:bidi="ar"/>
              </w:rPr>
              <w:t>4-7</w:t>
            </w:r>
            <w:r>
              <w:rPr>
                <w:rFonts w:hint="eastAsia" w:ascii="宋体" w:hAnsi="宋体" w:eastAsia="宋体" w:cs="宋体"/>
                <w:color w:val="auto"/>
                <w:kern w:val="2"/>
                <w:sz w:val="24"/>
                <w:szCs w:val="24"/>
                <w:lang w:val="en-US" w:eastAsia="zh-CN" w:bidi="ar"/>
              </w:rPr>
              <w:t>分；售后服务体系欠缺，服务承诺不能完全满足要求的得</w:t>
            </w:r>
            <w:r>
              <w:rPr>
                <w:rFonts w:hint="eastAsia" w:ascii="宋体" w:hAnsi="宋体" w:cs="宋体"/>
                <w:color w:val="auto"/>
                <w:kern w:val="2"/>
                <w:sz w:val="24"/>
                <w:szCs w:val="24"/>
                <w:lang w:val="en-US" w:eastAsia="zh-CN" w:bidi="ar"/>
              </w:rPr>
              <w:t>1-3</w:t>
            </w:r>
            <w:r>
              <w:rPr>
                <w:rFonts w:hint="eastAsia" w:ascii="宋体" w:hAnsi="宋体" w:eastAsia="宋体" w:cs="宋体"/>
                <w:color w:val="auto"/>
                <w:kern w:val="2"/>
                <w:sz w:val="24"/>
                <w:szCs w:val="24"/>
                <w:lang w:val="en-US" w:eastAsia="zh-CN" w:bidi="ar"/>
              </w:rPr>
              <w:t>分；没有售后服务承诺此项不得分。</w:t>
            </w:r>
          </w:p>
        </w:tc>
      </w:tr>
    </w:tbl>
    <w:p>
      <w:pPr>
        <w:spacing w:line="560" w:lineRule="exact"/>
        <w:ind w:left="1050" w:hanging="1050" w:hangingChars="375"/>
        <w:rPr>
          <w:rFonts w:asciiTheme="minorEastAsia" w:hAnsiTheme="minorEastAsia" w:eastAsiaTheme="minorEastAsia" w:cstheme="minorEastAsia"/>
          <w:color w:val="auto"/>
          <w:sz w:val="28"/>
          <w:szCs w:val="28"/>
        </w:rPr>
      </w:pPr>
    </w:p>
    <w:p>
      <w:pPr>
        <w:pStyle w:val="6"/>
        <w:tabs>
          <w:tab w:val="left" w:pos="900"/>
        </w:tabs>
        <w:spacing w:before="0" w:after="0" w:line="560" w:lineRule="exact"/>
        <w:rPr>
          <w:rFonts w:hint="eastAsia" w:asciiTheme="minorEastAsia" w:hAnsiTheme="minorEastAsia" w:eastAsiaTheme="minorEastAsia" w:cstheme="minorEastAsia"/>
          <w:color w:val="auto"/>
          <w:szCs w:val="24"/>
          <w:u w:val="none"/>
          <w:lang w:eastAsia="zh-CN"/>
        </w:rPr>
      </w:pPr>
      <w:bookmarkStart w:id="192" w:name="_Toc520356171"/>
      <w:bookmarkStart w:id="193" w:name="_Toc9653"/>
      <w:bookmarkStart w:id="194" w:name="_Toc23951"/>
      <w:bookmarkStart w:id="195" w:name="_Toc532473481"/>
      <w:bookmarkStart w:id="196" w:name="_Toc2582295"/>
      <w:bookmarkStart w:id="197" w:name="_Toc515647789"/>
      <w:r>
        <w:rPr>
          <w:rFonts w:hint="eastAsia" w:asciiTheme="minorEastAsia" w:hAnsiTheme="minorEastAsia" w:eastAsiaTheme="minorEastAsia" w:cstheme="minorEastAsia"/>
          <w:color w:val="auto"/>
          <w:szCs w:val="24"/>
          <w:u w:val="none"/>
        </w:rPr>
        <w:t>2</w:t>
      </w:r>
      <w:bookmarkEnd w:id="192"/>
      <w:r>
        <w:rPr>
          <w:rFonts w:hint="eastAsia" w:asciiTheme="minorEastAsia" w:hAnsiTheme="minorEastAsia" w:eastAsiaTheme="minorEastAsia" w:cstheme="minorEastAsia"/>
          <w:color w:val="auto"/>
          <w:szCs w:val="24"/>
          <w:u w:val="none"/>
        </w:rPr>
        <w:t>3.确定成交候选人和</w:t>
      </w:r>
      <w:bookmarkEnd w:id="193"/>
      <w:bookmarkEnd w:id="194"/>
      <w:bookmarkEnd w:id="195"/>
      <w:bookmarkEnd w:id="196"/>
      <w:bookmarkEnd w:id="197"/>
      <w:r>
        <w:rPr>
          <w:rFonts w:hint="eastAsia" w:asciiTheme="minorEastAsia" w:hAnsiTheme="minorEastAsia" w:eastAsiaTheme="minorEastAsia" w:cstheme="minorEastAsia"/>
          <w:color w:val="auto"/>
          <w:szCs w:val="24"/>
          <w:u w:val="none"/>
        </w:rPr>
        <w:t>成交</w:t>
      </w:r>
      <w:r>
        <w:rPr>
          <w:rFonts w:hint="eastAsia" w:asciiTheme="minorEastAsia" w:hAnsiTheme="minorEastAsia" w:eastAsiaTheme="minorEastAsia" w:cstheme="minorEastAsia"/>
          <w:color w:val="auto"/>
          <w:szCs w:val="24"/>
          <w:u w:val="none"/>
          <w:lang w:eastAsia="zh-CN"/>
        </w:rPr>
        <w:t>投标人</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磋商小组按</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须知前附表中规定数量推荐成交候选</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，采购人在成交候选</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中按照排序由高到低的原则确定成交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   按</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须知前附表中规定，采购人书面授权磋商小组按照成交候选</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排序由高到低的原则直接确定成交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w:t>
      </w:r>
    </w:p>
    <w:p>
      <w:pPr>
        <w:pStyle w:val="6"/>
        <w:tabs>
          <w:tab w:val="left" w:pos="900"/>
        </w:tabs>
        <w:spacing w:before="0" w:after="0" w:line="560" w:lineRule="exact"/>
        <w:rPr>
          <w:rFonts w:asciiTheme="minorEastAsia" w:hAnsiTheme="minorEastAsia" w:eastAsiaTheme="minorEastAsia" w:cstheme="minorEastAsia"/>
          <w:color w:val="auto"/>
          <w:szCs w:val="24"/>
          <w:u w:val="none"/>
        </w:rPr>
      </w:pPr>
      <w:bookmarkStart w:id="198" w:name="_Toc2582296"/>
      <w:bookmarkStart w:id="199" w:name="_Toc520356174"/>
      <w:bookmarkStart w:id="200" w:name="_Toc30170"/>
      <w:bookmarkStart w:id="201" w:name="_Toc515647791"/>
      <w:bookmarkStart w:id="202" w:name="_Toc31099"/>
      <w:bookmarkStart w:id="203" w:name="_Toc532473483"/>
      <w:r>
        <w:rPr>
          <w:rFonts w:hint="eastAsia" w:asciiTheme="minorEastAsia" w:hAnsiTheme="minorEastAsia" w:eastAsiaTheme="minorEastAsia" w:cstheme="minorEastAsia"/>
          <w:color w:val="auto"/>
          <w:szCs w:val="24"/>
          <w:u w:val="none"/>
        </w:rPr>
        <w:t>24.发出成交通知书</w:t>
      </w:r>
      <w:bookmarkEnd w:id="198"/>
    </w:p>
    <w:p>
      <w:pPr>
        <w:spacing w:line="5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在响应有效期内，成交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确定后，采购人或者采购代理机构发布成交公告。在公告成交结果的同时，向成交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发出成交通知书，成交通知书是合同的组成部分。</w:t>
      </w:r>
      <w:bookmarkEnd w:id="199"/>
      <w:bookmarkEnd w:id="200"/>
      <w:bookmarkEnd w:id="201"/>
      <w:bookmarkEnd w:id="202"/>
      <w:bookmarkEnd w:id="203"/>
      <w:bookmarkStart w:id="204" w:name="_Ref467306377"/>
      <w:bookmarkStart w:id="205" w:name="_Toc520356175"/>
      <w:bookmarkStart w:id="206" w:name="_Toc2582298"/>
      <w:bookmarkStart w:id="207" w:name="_Toc532473484"/>
      <w:bookmarkStart w:id="208" w:name="_Ref467307204"/>
      <w:bookmarkStart w:id="209" w:name="_Ref467306978"/>
      <w:bookmarkStart w:id="210" w:name="_Toc790"/>
      <w:bookmarkStart w:id="211" w:name="_Toc7779"/>
      <w:bookmarkStart w:id="212" w:name="_Ref467307062"/>
      <w:bookmarkStart w:id="213" w:name="_Toc515647792"/>
    </w:p>
    <w:p>
      <w:pPr>
        <w:pStyle w:val="26"/>
        <w:ind w:firstLine="420"/>
        <w:rPr>
          <w:color w:val="auto"/>
        </w:rPr>
      </w:pPr>
    </w:p>
    <w:p>
      <w:pPr>
        <w:pStyle w:val="5"/>
        <w:spacing w:before="0" w:after="0" w:line="560" w:lineRule="exact"/>
        <w:jc w:val="center"/>
        <w:rPr>
          <w:rFonts w:asciiTheme="minorEastAsia" w:hAnsiTheme="minorEastAsia" w:eastAsiaTheme="minorEastAsia" w:cstheme="minorEastAsia"/>
          <w:color w:val="auto"/>
          <w:sz w:val="24"/>
          <w:szCs w:val="24"/>
        </w:rPr>
      </w:pPr>
      <w:bookmarkStart w:id="214" w:name="_Toc7029"/>
      <w:r>
        <w:rPr>
          <w:rFonts w:hint="eastAsia" w:asciiTheme="minorEastAsia" w:hAnsiTheme="minorEastAsia" w:eastAsiaTheme="minorEastAsia" w:cstheme="minorEastAsia"/>
          <w:color w:val="auto"/>
          <w:sz w:val="24"/>
          <w:szCs w:val="24"/>
        </w:rPr>
        <w:t>（七）合同及履约验收</w:t>
      </w:r>
      <w:bookmarkEnd w:id="214"/>
    </w:p>
    <w:p>
      <w:pPr>
        <w:pStyle w:val="6"/>
        <w:spacing w:before="0" w:after="0" w:line="560" w:lineRule="exact"/>
        <w:rPr>
          <w:rFonts w:asciiTheme="minorEastAsia" w:hAnsiTheme="minorEastAsia" w:eastAsiaTheme="minorEastAsia" w:cstheme="minorEastAsia"/>
          <w:color w:val="auto"/>
          <w:szCs w:val="24"/>
          <w:u w:val="none"/>
        </w:rPr>
      </w:pPr>
      <w:r>
        <w:rPr>
          <w:rFonts w:hint="eastAsia" w:asciiTheme="minorEastAsia" w:hAnsiTheme="minorEastAsia" w:eastAsiaTheme="minorEastAsia" w:cstheme="minorEastAsia"/>
          <w:color w:val="auto"/>
          <w:szCs w:val="24"/>
          <w:u w:val="none"/>
        </w:rPr>
        <w:t>25.签订合同</w:t>
      </w:r>
      <w:bookmarkEnd w:id="204"/>
      <w:bookmarkEnd w:id="205"/>
      <w:bookmarkEnd w:id="206"/>
      <w:bookmarkEnd w:id="207"/>
      <w:bookmarkEnd w:id="208"/>
      <w:bookmarkEnd w:id="209"/>
      <w:bookmarkEnd w:id="210"/>
      <w:bookmarkEnd w:id="211"/>
      <w:bookmarkEnd w:id="212"/>
      <w:bookmarkEnd w:id="213"/>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 采购人与成交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应当在成交通知书发出之日起三十日内，签订政府采购合同。</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w:t>
      </w:r>
      <w:bookmarkStart w:id="215" w:name="_Toc520356176"/>
      <w:bookmarkStart w:id="216" w:name="_Ref467306425"/>
      <w:bookmarkStart w:id="217" w:name="_Ref467307090"/>
      <w:r>
        <w:rPr>
          <w:rFonts w:hint="eastAsia" w:asciiTheme="minorEastAsia" w:hAnsiTheme="minorEastAsia" w:eastAsiaTheme="minorEastAsia" w:cstheme="minorEastAsia"/>
          <w:color w:val="auto"/>
          <w:sz w:val="24"/>
        </w:rPr>
        <w:t xml:space="preserve">  磋商文件、成交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的响应文件等均为签订合同的依据。采购人不得向成交人提出任何不合理的要求作为签订合同的条件。</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25.3  如成交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拒绝与采购人签订合同的，成交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须按响应函内容向采购人和采购代理机构支付赔偿；采购人可以按照评审报告推荐的成交候选人排序，确定下一成交候选人为成交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，也可以重新开展采购活动。拒绝签订政府采购合同的成交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不得参加对该项目重新开展的采购活动。</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25.4  当出现法律法规规定的成交无效或成交结果无效情形时，且合格的</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数量符合规定，采购人可与排名下一位的成交候选人另行签订合同，或依法重新开展采购活动。</w:t>
      </w:r>
    </w:p>
    <w:p>
      <w:pPr>
        <w:pStyle w:val="6"/>
        <w:spacing w:before="0" w:after="0" w:line="560" w:lineRule="exact"/>
        <w:rPr>
          <w:rFonts w:asciiTheme="minorEastAsia" w:hAnsiTheme="minorEastAsia" w:eastAsiaTheme="minorEastAsia" w:cstheme="minorEastAsia"/>
          <w:color w:val="auto"/>
          <w:szCs w:val="24"/>
          <w:u w:val="none"/>
        </w:rPr>
      </w:pPr>
      <w:bookmarkStart w:id="218" w:name="_Toc14080"/>
      <w:bookmarkStart w:id="219" w:name="_Toc532473485"/>
      <w:bookmarkStart w:id="220" w:name="_Toc515647793"/>
      <w:bookmarkStart w:id="221" w:name="_Toc22555"/>
      <w:bookmarkStart w:id="222" w:name="_Toc2582299"/>
      <w:r>
        <w:rPr>
          <w:rFonts w:hint="eastAsia" w:asciiTheme="minorEastAsia" w:hAnsiTheme="minorEastAsia" w:eastAsiaTheme="minorEastAsia" w:cstheme="minorEastAsia"/>
          <w:color w:val="auto"/>
          <w:szCs w:val="24"/>
          <w:u w:val="none"/>
        </w:rPr>
        <w:t>26.履约保证金</w:t>
      </w:r>
      <w:bookmarkEnd w:id="215"/>
      <w:bookmarkEnd w:id="216"/>
      <w:bookmarkEnd w:id="217"/>
      <w:bookmarkEnd w:id="218"/>
      <w:bookmarkEnd w:id="219"/>
      <w:bookmarkEnd w:id="220"/>
      <w:bookmarkEnd w:id="221"/>
      <w:bookmarkEnd w:id="222"/>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如果需要履约保证金，成交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应按照</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须知前附表规定向采购人提交履约保证金。</w:t>
      </w:r>
    </w:p>
    <w:p>
      <w:pPr>
        <w:pStyle w:val="6"/>
        <w:spacing w:before="0" w:after="0" w:line="560" w:lineRule="exact"/>
        <w:rPr>
          <w:rFonts w:asciiTheme="minorEastAsia" w:hAnsiTheme="minorEastAsia" w:eastAsiaTheme="minorEastAsia" w:cstheme="minorEastAsia"/>
          <w:color w:val="auto"/>
          <w:szCs w:val="24"/>
          <w:u w:val="none"/>
        </w:rPr>
      </w:pPr>
      <w:r>
        <w:rPr>
          <w:rFonts w:hint="eastAsia" w:asciiTheme="minorEastAsia" w:hAnsiTheme="minorEastAsia" w:eastAsiaTheme="minorEastAsia" w:cstheme="minorEastAsia"/>
          <w:color w:val="auto"/>
          <w:szCs w:val="24"/>
          <w:u w:val="none"/>
        </w:rPr>
        <w:t>27.履约验收</w:t>
      </w:r>
    </w:p>
    <w:p>
      <w:pPr>
        <w:widowControl/>
        <w:jc w:val="left"/>
        <w:rPr>
          <w:rFonts w:asciiTheme="minorEastAsia" w:hAnsiTheme="minorEastAsia" w:eastAsiaTheme="minorEastAsia" w:cstheme="minorEastAsia"/>
          <w:color w:val="auto"/>
          <w:sz w:val="24"/>
        </w:rPr>
      </w:pPr>
      <w:r>
        <w:rPr>
          <w:rFonts w:hint="eastAsia" w:ascii="宋体" w:hAnsi="宋体" w:eastAsia="宋体" w:cs="宋体"/>
          <w:b w:val="0"/>
          <w:bCs w:val="0"/>
          <w:color w:val="auto"/>
          <w:sz w:val="24"/>
          <w:szCs w:val="24"/>
          <w:lang w:val="en-US" w:eastAsia="zh-CN"/>
        </w:rPr>
        <w:t>根据宁夏回族自治区财政厅宁财规发[2022]10号文件执行</w:t>
      </w:r>
      <w:r>
        <w:rPr>
          <w:rFonts w:hint="eastAsia" w:asciiTheme="minorEastAsia" w:hAnsiTheme="minorEastAsia" w:eastAsiaTheme="minorEastAsia" w:cstheme="minorEastAsia"/>
          <w:color w:val="auto"/>
          <w:sz w:val="24"/>
        </w:rPr>
        <w:t>。</w:t>
      </w:r>
    </w:p>
    <w:p>
      <w:pPr>
        <w:pStyle w:val="6"/>
        <w:spacing w:before="0" w:after="0" w:line="560" w:lineRule="exact"/>
        <w:rPr>
          <w:rFonts w:asciiTheme="minorEastAsia" w:hAnsiTheme="minorEastAsia" w:eastAsiaTheme="minorEastAsia" w:cstheme="minorEastAsia"/>
          <w:color w:val="auto"/>
          <w:szCs w:val="24"/>
          <w:u w:val="none"/>
        </w:rPr>
      </w:pPr>
      <w:bookmarkStart w:id="223" w:name="_Toc2583659"/>
      <w:bookmarkStart w:id="224" w:name="_Toc515647794"/>
      <w:bookmarkStart w:id="225" w:name="_Toc2582300"/>
      <w:bookmarkStart w:id="226" w:name="_Toc532473486"/>
      <w:bookmarkStart w:id="227" w:name="_Toc3090"/>
      <w:bookmarkStart w:id="228" w:name="_Toc29408"/>
      <w:r>
        <w:rPr>
          <w:rFonts w:hint="eastAsia" w:asciiTheme="minorEastAsia" w:hAnsiTheme="minorEastAsia" w:eastAsiaTheme="minorEastAsia" w:cstheme="minorEastAsia"/>
          <w:color w:val="auto"/>
          <w:szCs w:val="24"/>
          <w:u w:val="none"/>
        </w:rPr>
        <w:t>28.招标代理费</w:t>
      </w:r>
      <w:bookmarkEnd w:id="223"/>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本项目是否由成交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向采购代理机构支付招标代理费及招标代理费标准，按照</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须知前附表规定执行。</w:t>
      </w:r>
    </w:p>
    <w:p>
      <w:pPr>
        <w:pStyle w:val="6"/>
        <w:spacing w:before="0" w:after="0" w:line="560" w:lineRule="exact"/>
        <w:rPr>
          <w:rFonts w:asciiTheme="minorEastAsia" w:hAnsiTheme="minorEastAsia" w:eastAsiaTheme="minorEastAsia" w:cstheme="minorEastAsia"/>
          <w:color w:val="auto"/>
          <w:szCs w:val="24"/>
          <w:u w:val="none"/>
        </w:rPr>
      </w:pPr>
      <w:bookmarkStart w:id="229" w:name="_Toc2583660"/>
      <w:bookmarkStart w:id="230" w:name="_Toc518923099"/>
      <w:r>
        <w:rPr>
          <w:rFonts w:hint="eastAsia" w:asciiTheme="minorEastAsia" w:hAnsiTheme="minorEastAsia" w:eastAsiaTheme="minorEastAsia" w:cstheme="minorEastAsia"/>
          <w:color w:val="auto"/>
          <w:szCs w:val="24"/>
          <w:u w:val="none"/>
        </w:rPr>
        <w:t>29.政府采购</w:t>
      </w:r>
      <w:bookmarkEnd w:id="229"/>
      <w:bookmarkEnd w:id="230"/>
      <w:r>
        <w:rPr>
          <w:rFonts w:hint="eastAsia" w:asciiTheme="minorEastAsia" w:hAnsiTheme="minorEastAsia" w:eastAsiaTheme="minorEastAsia" w:cstheme="minorEastAsia"/>
          <w:color w:val="auto"/>
          <w:szCs w:val="24"/>
          <w:u w:val="none"/>
        </w:rPr>
        <w:t>合同线上信用融资</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成交</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为中小微企业的，可以在取得成交通知书后，通过“政府采购合同线上信用融资系统”，向相关金融机构、担保机构申请政府采购融资服务。</w:t>
      </w:r>
    </w:p>
    <w:p>
      <w:pPr>
        <w:pStyle w:val="26"/>
        <w:ind w:firstLine="420"/>
        <w:rPr>
          <w:color w:val="auto"/>
        </w:rPr>
      </w:pPr>
    </w:p>
    <w:p>
      <w:pPr>
        <w:pStyle w:val="5"/>
        <w:spacing w:before="0" w:after="0" w:line="560" w:lineRule="exact"/>
        <w:jc w:val="center"/>
        <w:rPr>
          <w:rFonts w:asciiTheme="minorEastAsia" w:hAnsiTheme="minorEastAsia" w:eastAsiaTheme="minorEastAsia" w:cstheme="minorEastAsia"/>
          <w:color w:val="auto"/>
          <w:sz w:val="24"/>
          <w:szCs w:val="24"/>
        </w:rPr>
      </w:pPr>
      <w:bookmarkStart w:id="231" w:name="_Toc11794"/>
      <w:bookmarkStart w:id="232" w:name="_Toc2583663"/>
      <w:bookmarkStart w:id="233" w:name="_Toc518923102"/>
      <w:r>
        <w:rPr>
          <w:rFonts w:hint="eastAsia" w:asciiTheme="minorEastAsia" w:hAnsiTheme="minorEastAsia" w:eastAsiaTheme="minorEastAsia" w:cstheme="minorEastAsia"/>
          <w:color w:val="auto"/>
          <w:sz w:val="24"/>
          <w:szCs w:val="24"/>
        </w:rPr>
        <w:t>（八）质疑和投诉</w:t>
      </w:r>
      <w:bookmarkEnd w:id="231"/>
    </w:p>
    <w:p>
      <w:pPr>
        <w:pStyle w:val="6"/>
        <w:spacing w:before="0" w:after="0" w:line="560" w:lineRule="exact"/>
        <w:rPr>
          <w:rFonts w:asciiTheme="minorEastAsia" w:hAnsiTheme="minorEastAsia" w:eastAsiaTheme="minorEastAsia" w:cstheme="minorEastAsia"/>
          <w:color w:val="auto"/>
          <w:szCs w:val="24"/>
          <w:u w:val="none"/>
        </w:rPr>
      </w:pPr>
      <w:r>
        <w:rPr>
          <w:rFonts w:hint="eastAsia" w:asciiTheme="minorEastAsia" w:hAnsiTheme="minorEastAsia" w:eastAsiaTheme="minorEastAsia" w:cstheme="minorEastAsia"/>
          <w:color w:val="auto"/>
          <w:szCs w:val="24"/>
          <w:u w:val="none"/>
        </w:rPr>
        <w:t>30.质疑</w:t>
      </w:r>
      <w:bookmarkEnd w:id="232"/>
      <w:bookmarkEnd w:id="233"/>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30.1  </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认为采购文件、采购过程和成交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提出质疑。</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30.2  提出质疑的</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应当是参加所本项目采购活动的</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。依法获取可质疑采购文件的潜在</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也可以依法提出质疑。</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30.3  质疑</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应在法定质疑期内通过</w:t>
      </w:r>
      <w:r>
        <w:rPr>
          <w:rFonts w:hint="eastAsia" w:ascii="宋体" w:hAnsi="宋体" w:cs="宋体"/>
          <w:color w:val="auto"/>
          <w:sz w:val="24"/>
        </w:rPr>
        <w:t>递交纸质版质疑文件，送达到宁夏众诚嘉业招标咨询服务有限公司提出质疑</w:t>
      </w:r>
      <w:r>
        <w:rPr>
          <w:rFonts w:hint="eastAsia" w:asciiTheme="minorEastAsia" w:hAnsiTheme="minorEastAsia" w:eastAsiaTheme="minorEastAsia" w:cstheme="minorEastAsia"/>
          <w:color w:val="auto"/>
          <w:sz w:val="24"/>
        </w:rPr>
        <w:t>。针对同一采购程序环节的质疑次数应符合</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须知前附表的规定。超出法定质疑期提交的质疑将被拒绝。</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30.4  采购人、采购代理机构不得拒收质疑</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在法定质疑期内发出的质疑函，应当在收到质疑函7个工作日内作出答复，并通知质疑</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和相关</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w:t>
      </w:r>
    </w:p>
    <w:bookmarkEnd w:id="224"/>
    <w:bookmarkEnd w:id="225"/>
    <w:bookmarkEnd w:id="226"/>
    <w:bookmarkEnd w:id="227"/>
    <w:bookmarkEnd w:id="228"/>
    <w:p>
      <w:pPr>
        <w:pStyle w:val="6"/>
        <w:spacing w:before="0" w:after="0" w:line="560" w:lineRule="exact"/>
        <w:rPr>
          <w:rFonts w:asciiTheme="minorEastAsia" w:hAnsiTheme="minorEastAsia" w:eastAsiaTheme="minorEastAsia" w:cstheme="minorEastAsia"/>
          <w:color w:val="auto"/>
          <w:szCs w:val="24"/>
          <w:u w:val="none"/>
        </w:rPr>
      </w:pPr>
      <w:r>
        <w:rPr>
          <w:rFonts w:hint="eastAsia" w:asciiTheme="minorEastAsia" w:hAnsiTheme="minorEastAsia" w:eastAsiaTheme="minorEastAsia" w:cstheme="minorEastAsia"/>
          <w:color w:val="auto"/>
          <w:szCs w:val="24"/>
          <w:u w:val="none"/>
        </w:rPr>
        <w:t>31.投诉</w:t>
      </w: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  质疑</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对采购人、采购代理机构的答复不满意，或者采购人、采购代理机构未在规定时间内作出答复的，可以在答复期满后15个工作日内向同级财政部门提起投诉。</w:t>
      </w:r>
    </w:p>
    <w:p>
      <w:pPr>
        <w:pageBreakBefore/>
        <w:spacing w:line="560" w:lineRule="exact"/>
        <w:jc w:val="center"/>
        <w:outlineLvl w:val="0"/>
        <w:rPr>
          <w:rFonts w:asciiTheme="minorEastAsia" w:hAnsiTheme="minorEastAsia" w:eastAsiaTheme="minorEastAsia" w:cstheme="minorEastAsia"/>
          <w:b/>
          <w:bCs/>
          <w:color w:val="auto"/>
          <w:sz w:val="32"/>
          <w:szCs w:val="32"/>
        </w:rPr>
      </w:pPr>
      <w:bookmarkStart w:id="234" w:name="_Toc22626"/>
      <w:bookmarkStart w:id="235" w:name="_Toc21768"/>
      <w:r>
        <w:rPr>
          <w:rFonts w:hint="eastAsia" w:asciiTheme="minorEastAsia" w:hAnsiTheme="minorEastAsia" w:eastAsiaTheme="minorEastAsia" w:cstheme="minorEastAsia"/>
          <w:b/>
          <w:bCs/>
          <w:color w:val="auto"/>
          <w:sz w:val="32"/>
          <w:szCs w:val="32"/>
        </w:rPr>
        <w:t>第四章 项目说明和采购需求</w:t>
      </w:r>
      <w:bookmarkEnd w:id="234"/>
      <w:bookmarkEnd w:id="235"/>
    </w:p>
    <w:tbl>
      <w:tblPr>
        <w:tblStyle w:val="21"/>
        <w:tblpPr w:leftFromText="180" w:rightFromText="180" w:vertAnchor="text" w:horzAnchor="page" w:tblpX="1178" w:tblpY="225"/>
        <w:tblOverlap w:val="never"/>
        <w:tblW w:w="9788" w:type="dxa"/>
        <w:tblInd w:w="0" w:type="dxa"/>
        <w:tblLayout w:type="fixed"/>
        <w:tblCellMar>
          <w:top w:w="15" w:type="dxa"/>
          <w:left w:w="108" w:type="dxa"/>
          <w:bottom w:w="0" w:type="dxa"/>
          <w:right w:w="108" w:type="dxa"/>
        </w:tblCellMar>
      </w:tblPr>
      <w:tblGrid>
        <w:gridCol w:w="1182"/>
        <w:gridCol w:w="7800"/>
        <w:gridCol w:w="806"/>
      </w:tblGrid>
      <w:tr>
        <w:tblPrEx>
          <w:tblCellMar>
            <w:top w:w="15" w:type="dxa"/>
            <w:left w:w="108" w:type="dxa"/>
            <w:bottom w:w="0" w:type="dxa"/>
            <w:right w:w="108" w:type="dxa"/>
          </w:tblCellMar>
        </w:tblPrEx>
        <w:trPr>
          <w:trHeight w:val="361" w:hRule="atLeast"/>
        </w:trPr>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产品名称</w:t>
            </w:r>
          </w:p>
        </w:tc>
        <w:tc>
          <w:tcPr>
            <w:tcW w:w="78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参</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数</w:t>
            </w:r>
          </w:p>
        </w:tc>
        <w:tc>
          <w:tcPr>
            <w:tcW w:w="8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数量</w:t>
            </w:r>
          </w:p>
        </w:tc>
      </w:tr>
      <w:tr>
        <w:tblPrEx>
          <w:tblCellMar>
            <w:top w:w="15" w:type="dxa"/>
            <w:left w:w="108" w:type="dxa"/>
            <w:bottom w:w="0" w:type="dxa"/>
            <w:right w:w="108" w:type="dxa"/>
          </w:tblCellMar>
        </w:tblPrEx>
        <w:trPr>
          <w:trHeight w:val="3114" w:hRule="atLeast"/>
        </w:trPr>
        <w:tc>
          <w:tcPr>
            <w:tcW w:w="11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科学化训练监控系统</w:t>
            </w:r>
          </w:p>
        </w:tc>
        <w:tc>
          <w:tcPr>
            <w:tcW w:w="78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 ★系统可以评估伤病风险：确保运动员不在神经疲劳的状态下参加大强度训练课，不在适应状态差的情况下仅仅靠意志力坚持训练。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 ★系统可以评估单次训练课的目标完成情况：确保能力强的运动员不会过于轻松，能力弱的运动员不会太吃力，让每一个运动员都能达到教练制定的训练目标。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 ★系统可以评估运动员的体能短板：确保运动员在比赛中需要的心肺功能、无氧爆发力和意志品质都能在平时练到位，根据专项特点准确找到影响运动成绩的体能短板，避免在比赛中无法正常发挥或者出现一轮不如一轮的现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 ★系统可以评估运动能力变化：确保准确评估跑动、跳跃等运动表现数据与机体应激数据的相关性，进而评估运动员的运动能力变化，让教练做到心中有数。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 技术要求及配置：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 ★训练效果评估：数字化实时反馈不同运动员有氧运动能力和无氧运动能力的训练效果，级别≥50；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 ★竞技状态评估：数字化评估每一个运动员的竞技状态，精确度≤1%；</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8. 存储监测时间：≥144小时；9. 恢复测试时间：≤180秒；10. 数据容量：≥480小时；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11. 三维加速度计分辨率≥8bit,量程≥4G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12. ★扣式传感器数据种类：≥4种，包括但不限于HRV数据、三维加速度数据、三维磁力计数据、三维陀螺仪数据。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13. ★数据兼容：兼容Lifestyle分析软件，兼容ANT技术。</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14. ★可提供短期负荷与长期负荷比值ACWR，结合神经疲劳指数和既往伤病史有效降低运动员的伤病发生率。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15. 可监测心率变异性的时域和频域等指标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16. 可实时监测有氧运动效果比例和无氧运动效果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17. 有氧训练效果及无氧训练效果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18. 内置测试程序：YoYo (IR1 &amp; IR2), Beep, conconi等；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19. 专业报告种类：个人报告、团队报告、对比报告、图形报告、实时报告和基于云存储的分析及报告；</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20. 报警功能：可为每个运动员设定目标，当指标超出目标范围时自动报警；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21. 最大监测数量：≥40人；22. 传输标准：BlueRobin；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23. 分区锁定功能：设有6个不同心率区间，可分析运动员在每个区间所持续的时间；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24. ★提供的指标包括但不限于ACWR，ANTE，AETE，TRIMP,TRIMP/min,ML,ML/min,RR-I, HR, %HRmax, VO2, %VO2max, EPOC, Training Effect, RespR, Ventilation, EE, RMSSD, HF,LF,VLF, Recovery index等；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配置清单：</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扣式HR-9轴传感器 20套</w:t>
            </w:r>
            <w:r>
              <w:rPr>
                <w:rFonts w:hint="eastAsia" w:ascii="宋体" w:hAnsi="宋体" w:eastAsia="宋体" w:cs="宋体"/>
                <w:color w:val="auto"/>
                <w:kern w:val="0"/>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传感器固定带 20个</w:t>
            </w:r>
            <w:r>
              <w:rPr>
                <w:rFonts w:hint="eastAsia" w:ascii="宋体" w:hAnsi="宋体" w:eastAsia="宋体" w:cs="宋体"/>
                <w:color w:val="auto"/>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3.专业版三年数据库 20个</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4.神经疲劳分析软件模块、训练负荷实时分析软件模块、传感器专用存储袋、防水专用工程箱套装 1套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5.数据接收终端笔记本电脑5台 打印机</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台 平板电脑1台 移动硬盘</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个</w:t>
            </w:r>
          </w:p>
        </w:tc>
        <w:tc>
          <w:tcPr>
            <w:tcW w:w="80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一套</w:t>
            </w:r>
          </w:p>
        </w:tc>
      </w:tr>
    </w:tbl>
    <w:p>
      <w:pPr>
        <w:rPr>
          <w:rFonts w:asciiTheme="majorEastAsia" w:hAnsiTheme="majorEastAsia" w:eastAsiaTheme="majorEastAsia" w:cstheme="majorEastAsia"/>
          <w:color w:val="auto"/>
        </w:rPr>
      </w:pPr>
    </w:p>
    <w:p>
      <w:pPr>
        <w:rPr>
          <w:color w:val="auto"/>
        </w:rPr>
      </w:pPr>
    </w:p>
    <w:p>
      <w:pPr>
        <w:pageBreakBefore/>
        <w:spacing w:line="560" w:lineRule="exact"/>
        <w:jc w:val="center"/>
        <w:outlineLvl w:val="0"/>
        <w:rPr>
          <w:rFonts w:asciiTheme="minorEastAsia" w:hAnsiTheme="minorEastAsia" w:eastAsiaTheme="minorEastAsia" w:cstheme="minorEastAsia"/>
          <w:b/>
          <w:bCs/>
          <w:color w:val="auto"/>
          <w:sz w:val="32"/>
          <w:szCs w:val="32"/>
        </w:rPr>
      </w:pPr>
      <w:bookmarkStart w:id="236" w:name="_Toc1045"/>
      <w:bookmarkStart w:id="237" w:name="_Toc26024"/>
      <w:r>
        <w:rPr>
          <w:rFonts w:hint="eastAsia" w:asciiTheme="minorEastAsia" w:hAnsiTheme="minorEastAsia" w:eastAsiaTheme="minorEastAsia" w:cstheme="minorEastAsia"/>
          <w:b/>
          <w:bCs/>
          <w:color w:val="auto"/>
          <w:sz w:val="32"/>
          <w:szCs w:val="32"/>
        </w:rPr>
        <w:t>第五章 政府采购合同范本</w:t>
      </w:r>
      <w:bookmarkEnd w:id="236"/>
      <w:bookmarkEnd w:id="237"/>
    </w:p>
    <w:p>
      <w:pPr>
        <w:spacing w:line="560" w:lineRule="exact"/>
        <w:rPr>
          <w:rFonts w:asciiTheme="minorEastAsia" w:hAnsiTheme="minorEastAsia" w:eastAsiaTheme="minorEastAsia" w:cstheme="minorEastAsia"/>
          <w:color w:val="auto"/>
          <w:sz w:val="32"/>
          <w:szCs w:val="32"/>
        </w:rPr>
      </w:pP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（仅供参考，以实际签订合同为准）</w:t>
      </w: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spacing w:line="400" w:lineRule="exact"/>
        <w:ind w:firstLine="560" w:firstLineChars="200"/>
        <w:jc w:val="righ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本合同</w:t>
      </w:r>
      <w:r>
        <w:rPr>
          <w:rFonts w:hint="eastAsia" w:ascii="宋体" w:hAnsi="宋体" w:eastAsia="宋体" w:cs="宋体"/>
          <w:color w:val="auto"/>
          <w:sz w:val="28"/>
          <w:szCs w:val="28"/>
        </w:rPr>
        <w:t>□是/□否中小企业预留合同</w:t>
      </w:r>
    </w:p>
    <w:p>
      <w:pPr>
        <w:ind w:firstLine="560" w:firstLineChars="200"/>
        <w:jc w:val="center"/>
        <w:rPr>
          <w:rFonts w:hint="eastAsia" w:ascii="宋体" w:hAnsi="宋体" w:eastAsia="宋体" w:cs="宋体"/>
          <w:color w:val="auto"/>
          <w:sz w:val="28"/>
          <w:szCs w:val="28"/>
          <w:lang w:val="zh-CN"/>
        </w:rPr>
      </w:pPr>
    </w:p>
    <w:p>
      <w:pPr>
        <w:ind w:firstLine="560" w:firstLineChars="200"/>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政府采购合同（货物类示范参考文本）</w:t>
      </w:r>
    </w:p>
    <w:p>
      <w:pPr>
        <w:spacing w:line="400" w:lineRule="exact"/>
        <w:ind w:firstLine="560" w:firstLineChars="200"/>
        <w:rPr>
          <w:rFonts w:hint="eastAsia" w:ascii="宋体" w:hAnsi="宋体" w:eastAsia="宋体" w:cs="宋体"/>
          <w:color w:val="auto"/>
          <w:sz w:val="28"/>
          <w:szCs w:val="28"/>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合同编号：</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签 订 地： </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甲方（采购人）：</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住所地：</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乙方（中标人）：</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住 所 地：</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乙方于20</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年</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月</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日参加了</w:t>
      </w:r>
      <w:r>
        <w:rPr>
          <w:rFonts w:hint="eastAsia" w:ascii="宋体" w:hAnsi="宋体" w:eastAsia="宋体" w:cs="宋体"/>
          <w:color w:val="auto"/>
          <w:sz w:val="28"/>
          <w:szCs w:val="28"/>
          <w:u w:val="single"/>
          <w:lang w:val="zh-CN"/>
        </w:rPr>
        <w:t xml:space="preserve"> （采购代理机构）</w:t>
      </w:r>
      <w:r>
        <w:rPr>
          <w:rFonts w:hint="eastAsia" w:ascii="宋体" w:hAnsi="宋体" w:eastAsia="宋体" w:cs="宋体"/>
          <w:color w:val="auto"/>
          <w:sz w:val="28"/>
          <w:szCs w:val="28"/>
          <w:lang w:val="zh-CN"/>
        </w:rPr>
        <w:t xml:space="preserve"> 组织的“</w:t>
      </w:r>
      <w:r>
        <w:rPr>
          <w:rFonts w:hint="eastAsia" w:ascii="宋体" w:hAnsi="宋体" w:eastAsia="宋体" w:cs="宋体"/>
          <w:color w:val="auto"/>
          <w:sz w:val="28"/>
          <w:szCs w:val="28"/>
          <w:u w:val="single"/>
          <w:lang w:val="zh-CN"/>
        </w:rPr>
        <w:t xml:space="preserve"> （项目名称及项目编号） </w:t>
      </w:r>
      <w:r>
        <w:rPr>
          <w:rFonts w:hint="eastAsia" w:ascii="宋体" w:hAnsi="宋体" w:eastAsia="宋体" w:cs="宋体"/>
          <w:color w:val="auto"/>
          <w:sz w:val="28"/>
          <w:szCs w:val="28"/>
          <w:lang w:val="zh-CN"/>
        </w:rPr>
        <w:t>”政府采购活动，经评标委员会评审确定乙方为</w:t>
      </w:r>
      <w:r>
        <w:rPr>
          <w:rFonts w:hint="eastAsia" w:ascii="宋体" w:hAnsi="宋体" w:eastAsia="宋体" w:cs="宋体"/>
          <w:color w:val="auto"/>
          <w:sz w:val="28"/>
          <w:szCs w:val="28"/>
          <w:u w:val="single"/>
          <w:lang w:val="zh-CN"/>
        </w:rPr>
        <w:t xml:space="preserve"> （包及包名称） </w:t>
      </w:r>
      <w:r>
        <w:rPr>
          <w:rFonts w:hint="eastAsia" w:ascii="宋体" w:hAnsi="宋体" w:eastAsia="宋体" w:cs="宋体"/>
          <w:color w:val="auto"/>
          <w:sz w:val="28"/>
          <w:szCs w:val="28"/>
          <w:lang w:val="zh-CN"/>
        </w:rPr>
        <w:t>中标人，按照《中华人民共和国民法典》、《中华人民共和国政府采购法》和相关的法律法规规定，以及招标文件规定，经甲乙双方协商一致，签订本政府采购合同。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第一条  货物条款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乙方向甲方提供以下货物</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货物名称</w:t>
            </w:r>
          </w:p>
        </w:tc>
        <w:tc>
          <w:tcPr>
            <w:tcW w:w="5013" w:type="dxa"/>
            <w:vAlign w:val="center"/>
          </w:tcPr>
          <w:p>
            <w:pPr>
              <w:spacing w:line="440" w:lineRule="exact"/>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品牌、规格型号（技术参数）</w:t>
            </w:r>
          </w:p>
        </w:tc>
        <w:tc>
          <w:tcPr>
            <w:tcW w:w="884" w:type="dxa"/>
            <w:vAlign w:val="center"/>
          </w:tcPr>
          <w:p>
            <w:pPr>
              <w:spacing w:line="440" w:lineRule="exact"/>
              <w:ind w:firstLine="105"/>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单价</w:t>
            </w:r>
          </w:p>
        </w:tc>
        <w:tc>
          <w:tcPr>
            <w:tcW w:w="884" w:type="dxa"/>
            <w:vAlign w:val="center"/>
          </w:tcPr>
          <w:p>
            <w:pPr>
              <w:spacing w:line="440" w:lineRule="exact"/>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数量</w:t>
            </w:r>
          </w:p>
        </w:tc>
        <w:tc>
          <w:tcPr>
            <w:tcW w:w="1179" w:type="dxa"/>
            <w:vAlign w:val="center"/>
          </w:tcPr>
          <w:p>
            <w:pPr>
              <w:spacing w:line="440" w:lineRule="exact"/>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eastAsia" w:ascii="宋体" w:hAnsi="宋体" w:eastAsia="宋体" w:cs="宋体"/>
                <w:color w:val="auto"/>
                <w:sz w:val="28"/>
                <w:szCs w:val="28"/>
                <w:lang w:val="zh-CN"/>
              </w:rPr>
            </w:pPr>
          </w:p>
        </w:tc>
        <w:tc>
          <w:tcPr>
            <w:tcW w:w="5013" w:type="dxa"/>
            <w:vAlign w:val="center"/>
          </w:tcPr>
          <w:p>
            <w:pPr>
              <w:spacing w:line="440" w:lineRule="exact"/>
              <w:jc w:val="center"/>
              <w:rPr>
                <w:rFonts w:hint="eastAsia" w:ascii="宋体" w:hAnsi="宋体" w:eastAsia="宋体" w:cs="宋体"/>
                <w:color w:val="auto"/>
                <w:sz w:val="28"/>
                <w:szCs w:val="28"/>
                <w:lang w:val="zh-CN"/>
              </w:rPr>
            </w:pPr>
          </w:p>
        </w:tc>
        <w:tc>
          <w:tcPr>
            <w:tcW w:w="884" w:type="dxa"/>
            <w:vAlign w:val="center"/>
          </w:tcPr>
          <w:p>
            <w:pPr>
              <w:spacing w:line="440" w:lineRule="exact"/>
              <w:jc w:val="center"/>
              <w:rPr>
                <w:rFonts w:hint="eastAsia" w:ascii="宋体" w:hAnsi="宋体" w:eastAsia="宋体" w:cs="宋体"/>
                <w:color w:val="auto"/>
                <w:sz w:val="28"/>
                <w:szCs w:val="28"/>
                <w:lang w:val="zh-CN"/>
              </w:rPr>
            </w:pPr>
          </w:p>
        </w:tc>
        <w:tc>
          <w:tcPr>
            <w:tcW w:w="884" w:type="dxa"/>
            <w:vAlign w:val="center"/>
          </w:tcPr>
          <w:p>
            <w:pPr>
              <w:spacing w:line="440" w:lineRule="exact"/>
              <w:jc w:val="center"/>
              <w:rPr>
                <w:rFonts w:hint="eastAsia" w:ascii="宋体" w:hAnsi="宋体" w:eastAsia="宋体" w:cs="宋体"/>
                <w:color w:val="auto"/>
                <w:sz w:val="28"/>
                <w:szCs w:val="28"/>
                <w:lang w:val="zh-CN"/>
              </w:rPr>
            </w:pPr>
          </w:p>
        </w:tc>
        <w:tc>
          <w:tcPr>
            <w:tcW w:w="1179" w:type="dxa"/>
            <w:vAlign w:val="center"/>
          </w:tcPr>
          <w:p>
            <w:pPr>
              <w:spacing w:line="440" w:lineRule="exact"/>
              <w:jc w:val="center"/>
              <w:rPr>
                <w:rFonts w:hint="eastAsia" w:ascii="宋体" w:hAnsi="宋体" w:eastAsia="宋体" w:cs="宋体"/>
                <w:color w:val="auto"/>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440" w:lineRule="exact"/>
              <w:jc w:val="center"/>
              <w:rPr>
                <w:rFonts w:hint="eastAsia" w:ascii="宋体" w:hAnsi="宋体" w:eastAsia="宋体" w:cs="宋体"/>
                <w:color w:val="auto"/>
                <w:sz w:val="28"/>
                <w:szCs w:val="28"/>
                <w:lang w:val="zh-CN"/>
              </w:rPr>
            </w:pPr>
          </w:p>
        </w:tc>
        <w:tc>
          <w:tcPr>
            <w:tcW w:w="5013" w:type="dxa"/>
            <w:vAlign w:val="center"/>
          </w:tcPr>
          <w:p>
            <w:pPr>
              <w:spacing w:line="440" w:lineRule="exact"/>
              <w:jc w:val="center"/>
              <w:rPr>
                <w:rFonts w:hint="eastAsia" w:ascii="宋体" w:hAnsi="宋体" w:eastAsia="宋体" w:cs="宋体"/>
                <w:color w:val="auto"/>
                <w:sz w:val="28"/>
                <w:szCs w:val="28"/>
                <w:lang w:val="zh-CN"/>
              </w:rPr>
            </w:pPr>
          </w:p>
        </w:tc>
        <w:tc>
          <w:tcPr>
            <w:tcW w:w="884" w:type="dxa"/>
            <w:vAlign w:val="center"/>
          </w:tcPr>
          <w:p>
            <w:pPr>
              <w:spacing w:line="440" w:lineRule="exact"/>
              <w:jc w:val="center"/>
              <w:rPr>
                <w:rFonts w:hint="eastAsia" w:ascii="宋体" w:hAnsi="宋体" w:eastAsia="宋体" w:cs="宋体"/>
                <w:color w:val="auto"/>
                <w:sz w:val="28"/>
                <w:szCs w:val="28"/>
                <w:lang w:val="zh-CN"/>
              </w:rPr>
            </w:pPr>
          </w:p>
        </w:tc>
        <w:tc>
          <w:tcPr>
            <w:tcW w:w="884" w:type="dxa"/>
            <w:vAlign w:val="center"/>
          </w:tcPr>
          <w:p>
            <w:pPr>
              <w:spacing w:line="440" w:lineRule="exact"/>
              <w:jc w:val="center"/>
              <w:rPr>
                <w:rFonts w:hint="eastAsia" w:ascii="宋体" w:hAnsi="宋体" w:eastAsia="宋体" w:cs="宋体"/>
                <w:color w:val="auto"/>
                <w:sz w:val="28"/>
                <w:szCs w:val="28"/>
                <w:lang w:val="zh-CN"/>
              </w:rPr>
            </w:pPr>
          </w:p>
        </w:tc>
        <w:tc>
          <w:tcPr>
            <w:tcW w:w="1179" w:type="dxa"/>
            <w:vAlign w:val="center"/>
          </w:tcPr>
          <w:p>
            <w:pPr>
              <w:spacing w:line="440" w:lineRule="exact"/>
              <w:jc w:val="center"/>
              <w:rPr>
                <w:rFonts w:hint="eastAsia" w:ascii="宋体" w:hAnsi="宋体" w:eastAsia="宋体" w:cs="宋体"/>
                <w:color w:val="auto"/>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440" w:lineRule="exact"/>
              <w:jc w:val="center"/>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合     计</w:t>
            </w:r>
          </w:p>
        </w:tc>
        <w:tc>
          <w:tcPr>
            <w:tcW w:w="2947" w:type="dxa"/>
            <w:gridSpan w:val="3"/>
            <w:vAlign w:val="center"/>
          </w:tcPr>
          <w:p>
            <w:pPr>
              <w:spacing w:line="440" w:lineRule="exact"/>
              <w:jc w:val="center"/>
              <w:rPr>
                <w:rFonts w:hint="eastAsia" w:ascii="宋体" w:hAnsi="宋体" w:eastAsia="宋体" w:cs="宋体"/>
                <w:color w:val="auto"/>
                <w:sz w:val="28"/>
                <w:szCs w:val="28"/>
                <w:lang w:val="zh-CN"/>
              </w:rPr>
            </w:pPr>
          </w:p>
        </w:tc>
      </w:tr>
    </w:tbl>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color w:val="auto"/>
          <w:sz w:val="28"/>
          <w:szCs w:val="28"/>
          <w:lang w:val="zh-CN"/>
        </w:rPr>
        <w:sectPr>
          <w:footerReference r:id="rId5" w:type="default"/>
          <w:pgSz w:w="11906" w:h="16838"/>
          <w:pgMar w:top="1440" w:right="1080" w:bottom="1440" w:left="108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注：如上述表格不适用相关货物的，具体品牌、数量、规格型号（技术参数）及质保期等可用附件形式列明，作为本合同组成部分。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第二条  合同总金额</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合同总金额为人民币（大写）：</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第三条   质量要求及技术标准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1.货物原产地：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2.货物的质量要求：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3.货物的技术标准：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第四条  交货</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1.交货日期：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2.交货地点：</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第五条  包装、装运及运输</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1.乙方负责包装、装运和运输，由于不适当的包装、装运和运输造成货物有任何损坏均由乙方负责。</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2.包装费、运费及相关费用已包含在合同总金额内。</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3.</w:t>
      </w:r>
      <w:r>
        <w:rPr>
          <w:rFonts w:hint="eastAsia" w:ascii="宋体" w:hAnsi="宋体" w:eastAsia="宋体" w:cs="宋体"/>
          <w:color w:val="auto"/>
          <w:sz w:val="28"/>
          <w:szCs w:val="28"/>
        </w:rPr>
        <w:t>根据财政部等三部门《关于印发&lt;商品包装政府采购需求标准（试行）&gt;、&lt;快递包装政府采购需求标准（试行）&gt;的通知》规定，对乙方提出的具体包装要求：</w:t>
      </w:r>
      <w:r>
        <w:rPr>
          <w:rFonts w:hint="eastAsia" w:ascii="宋体" w:hAnsi="宋体" w:eastAsia="宋体" w:cs="宋体"/>
          <w:color w:val="auto"/>
          <w:sz w:val="28"/>
          <w:szCs w:val="28"/>
          <w:u w:val="single"/>
        </w:rPr>
        <w:t xml:space="preserve">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第六条  货款支付</w:t>
      </w:r>
    </w:p>
    <w:p>
      <w:pPr>
        <w:keepNext w:val="0"/>
        <w:keepLines w:val="0"/>
        <w:pageBreakBefore w:val="0"/>
        <w:widowControl w:val="0"/>
        <w:tabs>
          <w:tab w:val="left" w:pos="840"/>
        </w:tabs>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1.货物运到交货地点，经甲乙双方共同验收合格后由甲方负责办理货款支付手续。</w:t>
      </w:r>
    </w:p>
    <w:p>
      <w:pPr>
        <w:keepNext w:val="0"/>
        <w:keepLines w:val="0"/>
        <w:pageBreakBefore w:val="0"/>
        <w:widowControl w:val="0"/>
        <w:tabs>
          <w:tab w:val="left" w:pos="840"/>
        </w:tabs>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2.允许并鼓励乙方提供电子发票，甲方自收到发票之日起5个工作日内支付资金，并不得附加未经约定的其他条件。</w:t>
      </w:r>
    </w:p>
    <w:p>
      <w:pPr>
        <w:keepNext w:val="0"/>
        <w:keepLines w:val="0"/>
        <w:pageBreakBefore w:val="0"/>
        <w:widowControl w:val="0"/>
        <w:tabs>
          <w:tab w:val="left" w:pos="840"/>
        </w:tabs>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3.付款方式 </w:t>
      </w:r>
    </w:p>
    <w:p>
      <w:pPr>
        <w:keepNext w:val="0"/>
        <w:keepLines w:val="0"/>
        <w:pageBreakBefore w:val="0"/>
        <w:widowControl w:val="0"/>
        <w:tabs>
          <w:tab w:val="left" w:pos="840"/>
        </w:tabs>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3.1预付款比例：</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％，于政府采购合同签订生效并具备实施条件后 5 个工作日内支付。</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第七条  履约保证金</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如乙方履约诚信良好且在宁夏回族自治区政府采购网信用评价系统展示信用等级为A级的，免收履约保证金</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zh-CN" w:eastAsia="zh-CN"/>
        </w:rPr>
        <w:t>确需收取，由乙方以支票、本票、汇票或者金融机构、担保机构出具的保函等非现金形式提交，且履约保证金的数额不得超过政府采购合同金额的5%，项目验收结束后及时予以退还。乙方若违反政府采购相关规定给甲方造成损失的，甲方可按照合同约定要求乙方承担赔偿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第八条  售后服务及承诺</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1.乙方有完善的服务体系，有能力提供持续的、本地化售后服务。</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2.乙方负责系统安装和调试以及操作人员培训，并制定详细的培训计划，使操作人员能独立进行管理、操作、维护和故障处理等工作，做好相关记录及技术文档收集整理，待验收合格后移交给甲方。</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3.供货及服务范围：乙方负责货物的供应、运输、安装调试、免费培训、售后服务。</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第九条  验收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1.货物运抵现场后，采购人将对货物数量、质量、规格等进行检验。如发现货物和规格或者两者都与合同不符，采购人有权限根据检验结果要求中标人立即更换或者提出索赔要求。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2.开箱检查设备外观，如有损伤或质量缺陷，乙方应及时更换。</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3.依据合同设备清单，对设备品牌、规格型号（技术参数）、数量、质保书等必备附件进行检查。</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对大型或复杂的政府采购项目，以及特种设备，甲方应当邀请国家认可的质量检测机构参与验收工作，并出具验收报告，相关费用负担由甲乙双方约定，履约验收报告应当依法依规及时在漯河市政府采购网公开发布。</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6.根据财</w:t>
      </w:r>
      <w:r>
        <w:rPr>
          <w:rFonts w:hint="eastAsia" w:ascii="宋体" w:hAnsi="宋体" w:eastAsia="宋体" w:cs="宋体"/>
          <w:color w:val="auto"/>
          <w:sz w:val="28"/>
          <w:szCs w:val="28"/>
        </w:rPr>
        <w:t>政部等三部门《关于印发&lt;商品包装政府采购需求标准（试行）&gt;、&lt;快递包装政府采购需求标准（试行）&gt;的通知》规定,</w:t>
      </w:r>
      <w:r>
        <w:rPr>
          <w:rFonts w:hint="eastAsia" w:ascii="宋体" w:hAnsi="宋体" w:eastAsia="宋体" w:cs="宋体"/>
          <w:color w:val="auto"/>
          <w:sz w:val="28"/>
          <w:szCs w:val="28"/>
          <w:lang w:val="zh-CN"/>
        </w:rPr>
        <w:t>采购文件对商品包装和快递包装提出具体要求的，</w:t>
      </w:r>
      <w:r>
        <w:rPr>
          <w:rFonts w:hint="eastAsia" w:ascii="宋体" w:hAnsi="宋体" w:eastAsia="宋体" w:cs="宋体"/>
          <w:color w:val="auto"/>
          <w:sz w:val="28"/>
          <w:szCs w:val="28"/>
        </w:rPr>
        <w:t>对乙方所提供包装的履约验收要求（必要时要求乙方在履约验收环节出具检测报告）：</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第十条  知识产权</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2.乙方为执行本合同而提供的技术资料或者其他相关资料、软件等由甲方永久免费使用。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第十一条  甲方责任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1.及时办理付款手续。</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2.负责提供工作场地，协助乙方办理有关事宜。</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3.对合同条款及所知悉的乙方商业秘密负有保密义务。</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第十二条  乙方责任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1.保证所供货物均为投标文件承诺的货物，符合相关质量检测标准，具有该产品的出厂标准或国家鉴定证书,保证其全部部件为全新的未使用的且符合相关质量要求。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2.保证货物的售后服务，严格依据投标文件及相关承诺，对货物及系统进行保修、维护等服务。</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3.保证其所供货物不存在侵犯第三方知识产权的行为，否则由此产生的损失由乙方承担。</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第十三条  违约责任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1.甲乙双方任意一方无故终止合同的，违约方应当按照合同总金额的20%向守约方支付违约金。</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4.在质保期内产品出现质量问题，乙方必须在接到甲方通知后   小时内到达现场解决，否则甲方有权另请单位解决，由此产生的费用由乙方承担，甲方有权从质保金中扣除相关费用，产生的损失由乙方赔偿。</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6.甲方逾期支付资金的违约责任：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7.因甲方原因导致变更、中止或者终止政府采购合同的，甲方对供应商受到的损失予以赔偿或者补偿：            。</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8.甲乙双方违背其他合同条款，违约方赔偿对方损失。</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第十四条  不可抗力</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第十五条  保密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乙方违反本合同所规定的保密义务，应按照本合同总金额的10%支付违约金。</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第十六条  争议解决</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甲乙双方在合同履行中发生争议，应通过协商解决。如协商不成，可以向合同签订地法院提起诉讼。</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第十七条  合同生效及其它</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1.除招标文件规定且甲方事先书面同意外，乙方不得部分或者全部转让、分包履行其应履行的合同项下的义务。</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2.合同由甲、乙双方法定代表人（或者授权代表）签字并加盖单位公章，以最后一方签字日期为合同生效日期。</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3.本合同一式</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份，甲方</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份，乙方</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份。</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第十八条  本合同附件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1.中标通知书；</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2.政府采购招标文件（含招标文件的澄清、修改等）；</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3.乙方投标文件；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4.中标人在评标过程中做出的有关澄清、说明、承诺或者补正文件（材料）；</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甲    方：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乙    方：</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单位名称(公章)：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单位名称(公章)：</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法定代表人（授权代表）签字：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法定代表人（授权代表）签字：</w:t>
      </w:r>
    </w:p>
    <w:p>
      <w:pPr>
        <w:keepNext w:val="0"/>
        <w:keepLines w:val="0"/>
        <w:pageBreakBefore w:val="0"/>
        <w:widowControl w:val="0"/>
        <w:kinsoku/>
        <w:wordWrap/>
        <w:overflowPunct/>
        <w:topLinePunct w:val="0"/>
        <w:bidi w:val="0"/>
        <w:snapToGrid/>
        <w:spacing w:line="560" w:lineRule="exact"/>
        <w:ind w:firstLine="280" w:firstLineChars="1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电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 xml:space="preserve">话：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电    话：</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宋体" w:hAnsi="宋体" w:eastAsia="宋体" w:cs="宋体"/>
          <w:color w:val="auto"/>
          <w:sz w:val="28"/>
          <w:szCs w:val="28"/>
          <w:lang w:val="zh-CN"/>
        </w:rPr>
      </w:pPr>
    </w:p>
    <w:p>
      <w:pPr>
        <w:spacing w:line="44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lang w:val="zh-CN"/>
        </w:rPr>
        <w:t xml:space="preserve">年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 xml:space="preserve"> 月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 xml:space="preserve"> 日                      年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 xml:space="preserve">月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 xml:space="preserve"> 日 </w:t>
      </w:r>
    </w:p>
    <w:p>
      <w:pPr>
        <w:spacing w:line="560" w:lineRule="exact"/>
        <w:rPr>
          <w:rFonts w:asciiTheme="minorEastAsia" w:hAnsiTheme="minorEastAsia" w:eastAsiaTheme="minorEastAsia" w:cstheme="minorEastAsia"/>
          <w:color w:val="auto"/>
          <w:sz w:val="32"/>
          <w:szCs w:val="32"/>
        </w:rPr>
      </w:pPr>
    </w:p>
    <w:p>
      <w:pPr>
        <w:pageBreakBefore/>
        <w:spacing w:line="560" w:lineRule="exact"/>
        <w:jc w:val="center"/>
        <w:outlineLvl w:val="0"/>
        <w:rPr>
          <w:rFonts w:asciiTheme="minorEastAsia" w:hAnsiTheme="minorEastAsia" w:eastAsiaTheme="minorEastAsia" w:cstheme="minorEastAsia"/>
          <w:b/>
          <w:bCs/>
          <w:color w:val="auto"/>
          <w:sz w:val="32"/>
          <w:szCs w:val="32"/>
        </w:rPr>
      </w:pPr>
      <w:bookmarkStart w:id="238" w:name="_Toc4962"/>
      <w:bookmarkStart w:id="239" w:name="_Toc9259"/>
      <w:r>
        <w:rPr>
          <w:rFonts w:hint="eastAsia" w:asciiTheme="minorEastAsia" w:hAnsiTheme="minorEastAsia" w:eastAsiaTheme="minorEastAsia" w:cstheme="minorEastAsia"/>
          <w:b/>
          <w:bCs/>
          <w:color w:val="auto"/>
          <w:sz w:val="32"/>
          <w:szCs w:val="32"/>
        </w:rPr>
        <w:t>第六章 响应文件格式</w:t>
      </w:r>
      <w:bookmarkEnd w:id="238"/>
      <w:bookmarkEnd w:id="239"/>
    </w:p>
    <w:p>
      <w:pPr>
        <w:spacing w:line="560" w:lineRule="exact"/>
        <w:rPr>
          <w:rFonts w:asciiTheme="minorEastAsia" w:hAnsiTheme="minorEastAsia" w:eastAsiaTheme="minorEastAsia" w:cstheme="minorEastAsia"/>
          <w:color w:val="auto"/>
          <w:sz w:val="32"/>
          <w:szCs w:val="32"/>
        </w:rPr>
      </w:pPr>
    </w:p>
    <w:p>
      <w:pPr>
        <w:pStyle w:val="9"/>
        <w:rPr>
          <w:rFonts w:asciiTheme="minorEastAsia" w:hAnsiTheme="minorEastAsia" w:eastAsiaTheme="minorEastAsia" w:cstheme="minorEastAsia"/>
          <w:color w:val="auto"/>
        </w:rPr>
      </w:pPr>
    </w:p>
    <w:p>
      <w:pPr>
        <w:spacing w:line="560" w:lineRule="exac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32"/>
          <w:szCs w:val="32"/>
        </w:rPr>
        <w:t>（封  面）</w:t>
      </w:r>
    </w:p>
    <w:p>
      <w:pPr>
        <w:spacing w:line="560" w:lineRule="exact"/>
        <w:ind w:firstLine="3520" w:firstLineChars="1100"/>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before="312" w:beforeLines="100" w:after="312" w:afterLines="100"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响  应  文  件</w:t>
      </w:r>
    </w:p>
    <w:p>
      <w:pPr>
        <w:spacing w:line="560" w:lineRule="exact"/>
        <w:rPr>
          <w:rFonts w:asciiTheme="minorEastAsia" w:hAnsiTheme="minorEastAsia" w:eastAsiaTheme="minorEastAsia" w:cstheme="minorEastAsia"/>
          <w:bCs/>
          <w:color w:val="auto"/>
          <w:sz w:val="32"/>
          <w:szCs w:val="32"/>
        </w:rPr>
      </w:pPr>
    </w:p>
    <w:p>
      <w:pPr>
        <w:spacing w:line="560" w:lineRule="exact"/>
        <w:ind w:firstLine="2560" w:firstLineChars="800"/>
        <w:rPr>
          <w:rFonts w:hint="eastAsia" w:asciiTheme="minorEastAsia" w:hAnsiTheme="minorEastAsia" w:eastAsiaTheme="minorEastAsia" w:cstheme="minorEastAsia"/>
          <w:bCs/>
          <w:color w:val="auto"/>
          <w:sz w:val="32"/>
          <w:szCs w:val="32"/>
        </w:rPr>
      </w:pPr>
    </w:p>
    <w:p>
      <w:pPr>
        <w:spacing w:line="560" w:lineRule="exact"/>
        <w:ind w:firstLine="2560" w:firstLineChars="8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项目名称:</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 xml:space="preserve">       </w:t>
      </w:r>
    </w:p>
    <w:p>
      <w:pPr>
        <w:spacing w:line="560" w:lineRule="exact"/>
        <w:ind w:firstLine="2560" w:firstLineChars="800"/>
        <w:jc w:val="both"/>
        <w:rPr>
          <w:rFonts w:hint="default"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lang w:eastAsia="zh-CN"/>
        </w:rPr>
        <w:t>项目编号：</w:t>
      </w:r>
      <w:r>
        <w:rPr>
          <w:rFonts w:hint="eastAsia" w:asciiTheme="minorEastAsia" w:hAnsiTheme="minorEastAsia" w:eastAsiaTheme="minorEastAsia" w:cstheme="minorEastAsia"/>
          <w:bCs/>
          <w:color w:val="auto"/>
          <w:sz w:val="32"/>
          <w:szCs w:val="32"/>
          <w:u w:val="single"/>
          <w:lang w:val="en-US" w:eastAsia="zh-CN"/>
        </w:rPr>
        <w:t xml:space="preserve">              </w:t>
      </w:r>
    </w:p>
    <w:p>
      <w:pPr>
        <w:spacing w:line="560" w:lineRule="exact"/>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line="560" w:lineRule="exact"/>
        <w:rPr>
          <w:rFonts w:asciiTheme="minorEastAsia" w:hAnsiTheme="minorEastAsia" w:eastAsiaTheme="minorEastAsia" w:cstheme="minorEastAsia"/>
          <w:bCs/>
          <w:color w:val="auto"/>
          <w:sz w:val="32"/>
          <w:szCs w:val="32"/>
        </w:rPr>
      </w:pPr>
    </w:p>
    <w:p>
      <w:pPr>
        <w:spacing w:line="560" w:lineRule="exact"/>
        <w:jc w:val="center"/>
        <w:rPr>
          <w:rFonts w:asciiTheme="minorEastAsia" w:hAnsiTheme="minorEastAsia" w:eastAsiaTheme="minorEastAsia" w:cstheme="minorEastAsia"/>
          <w:bCs/>
          <w:color w:val="auto"/>
          <w:sz w:val="32"/>
          <w:szCs w:val="32"/>
          <w:u w:val="single"/>
        </w:rPr>
      </w:pPr>
      <w:r>
        <w:rPr>
          <w:rFonts w:hint="eastAsia" w:asciiTheme="minorEastAsia" w:hAnsiTheme="minorEastAsia" w:eastAsiaTheme="minorEastAsia" w:cstheme="minorEastAsia"/>
          <w:bCs/>
          <w:color w:val="auto"/>
          <w:sz w:val="32"/>
          <w:szCs w:val="32"/>
          <w:lang w:eastAsia="zh-CN"/>
        </w:rPr>
        <w:t>投</w:t>
      </w:r>
      <w:r>
        <w:rPr>
          <w:rFonts w:hint="eastAsia" w:asciiTheme="minorEastAsia" w:hAnsiTheme="minorEastAsia" w:eastAsiaTheme="minorEastAsia" w:cstheme="minorEastAsia"/>
          <w:bCs/>
          <w:color w:val="auto"/>
          <w:sz w:val="32"/>
          <w:szCs w:val="32"/>
        </w:rPr>
        <w:t xml:space="preserve"> </w:t>
      </w:r>
      <w:r>
        <w:rPr>
          <w:rFonts w:hint="eastAsia" w:asciiTheme="minorEastAsia" w:hAnsiTheme="minorEastAsia" w:eastAsiaTheme="minorEastAsia" w:cstheme="minorEastAsia"/>
          <w:bCs/>
          <w:color w:val="auto"/>
          <w:sz w:val="32"/>
          <w:szCs w:val="32"/>
          <w:lang w:eastAsia="zh-CN"/>
        </w:rPr>
        <w:t>标</w:t>
      </w:r>
      <w:r>
        <w:rPr>
          <w:rFonts w:hint="eastAsia" w:asciiTheme="minorEastAsia" w:hAnsiTheme="minorEastAsia" w:eastAsiaTheme="minorEastAsia" w:cstheme="minorEastAsia"/>
          <w:bCs/>
          <w:color w:val="auto"/>
          <w:sz w:val="32"/>
          <w:szCs w:val="32"/>
        </w:rPr>
        <w:t xml:space="preserve"> </w:t>
      </w:r>
      <w:r>
        <w:rPr>
          <w:rFonts w:hint="eastAsia" w:asciiTheme="minorEastAsia" w:hAnsiTheme="minorEastAsia" w:eastAsiaTheme="minorEastAsia" w:cstheme="minorEastAsia"/>
          <w:bCs/>
          <w:color w:val="auto"/>
          <w:sz w:val="32"/>
          <w:szCs w:val="32"/>
          <w:lang w:eastAsia="zh-CN"/>
        </w:rPr>
        <w:t>人</w:t>
      </w:r>
      <w:r>
        <w:rPr>
          <w:rFonts w:hint="eastAsia" w:asciiTheme="minorEastAsia" w:hAnsiTheme="minorEastAsia" w:eastAsiaTheme="minorEastAsia" w:cstheme="minorEastAsia"/>
          <w:bCs/>
          <w:color w:val="auto"/>
          <w:sz w:val="32"/>
          <w:szCs w:val="32"/>
        </w:rPr>
        <w:t>：（盖章）</w:t>
      </w:r>
      <w:r>
        <w:rPr>
          <w:rFonts w:hint="eastAsia" w:asciiTheme="minorEastAsia" w:hAnsiTheme="minorEastAsia" w:eastAsiaTheme="minorEastAsia" w:cstheme="minorEastAsia"/>
          <w:bCs/>
          <w:color w:val="auto"/>
          <w:sz w:val="32"/>
          <w:szCs w:val="32"/>
          <w:u w:val="single"/>
        </w:rPr>
        <w:t xml:space="preserve">     </w:t>
      </w:r>
    </w:p>
    <w:p>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日</w:t>
      </w:r>
    </w:p>
    <w:p>
      <w:pPr>
        <w:pStyle w:val="9"/>
        <w:ind w:firstLine="0"/>
        <w:rPr>
          <w:rFonts w:asciiTheme="minorEastAsia" w:hAnsiTheme="minorEastAsia" w:eastAsiaTheme="minorEastAsia" w:cstheme="minorEastAsia"/>
          <w:b/>
          <w:bCs/>
          <w:color w:val="auto"/>
          <w:sz w:val="32"/>
          <w:szCs w:val="32"/>
        </w:rPr>
      </w:pPr>
    </w:p>
    <w:p>
      <w:pPr>
        <w:pStyle w:val="9"/>
        <w:ind w:firstLine="0"/>
        <w:rPr>
          <w:rFonts w:asciiTheme="minorEastAsia" w:hAnsiTheme="minorEastAsia" w:eastAsiaTheme="minorEastAsia" w:cstheme="minorEastAsia"/>
          <w:b/>
          <w:bCs/>
          <w:color w:val="auto"/>
          <w:sz w:val="32"/>
          <w:szCs w:val="32"/>
        </w:rPr>
      </w:pPr>
    </w:p>
    <w:p>
      <w:pPr>
        <w:pStyle w:val="9"/>
        <w:ind w:firstLine="0"/>
        <w:rPr>
          <w:rFonts w:asciiTheme="minorEastAsia" w:hAnsiTheme="minorEastAsia" w:eastAsiaTheme="minorEastAsia" w:cstheme="minorEastAsia"/>
          <w:b/>
          <w:bCs/>
          <w:color w:val="auto"/>
          <w:sz w:val="32"/>
          <w:szCs w:val="32"/>
        </w:rPr>
      </w:pPr>
    </w:p>
    <w:p>
      <w:pPr>
        <w:pStyle w:val="9"/>
        <w:ind w:firstLine="0"/>
        <w:jc w:val="center"/>
        <w:rPr>
          <w:rFonts w:asciiTheme="minorEastAsia" w:hAnsiTheme="minorEastAsia" w:eastAsiaTheme="minorEastAsia" w:cstheme="minorEastAsia"/>
          <w:b/>
          <w:bCs/>
          <w:color w:val="auto"/>
          <w:sz w:val="32"/>
          <w:szCs w:val="32"/>
        </w:rPr>
      </w:pPr>
    </w:p>
    <w:p>
      <w:pPr>
        <w:pStyle w:val="9"/>
        <w:pageBreakBefore/>
        <w:ind w:firstLine="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目录</w:t>
      </w:r>
    </w:p>
    <w:p>
      <w:pPr>
        <w:spacing w:line="480" w:lineRule="auto"/>
        <w:ind w:firstLine="720" w:firstLineChars="300"/>
        <w:rPr>
          <w:rFonts w:hint="eastAsia" w:asciiTheme="minorEastAsia" w:hAnsiTheme="minorEastAsia" w:eastAsiaTheme="minorEastAsia" w:cstheme="minorEastAsia"/>
          <w:bCs/>
          <w:color w:val="auto"/>
          <w:sz w:val="24"/>
        </w:rPr>
      </w:pPr>
    </w:p>
    <w:p>
      <w:pPr>
        <w:spacing w:line="480" w:lineRule="auto"/>
        <w:ind w:firstLine="720" w:firstLineChars="300"/>
        <w:rPr>
          <w:rFonts w:hint="eastAsia" w:asciiTheme="minorEastAsia" w:hAnsiTheme="minorEastAsia" w:eastAsiaTheme="minorEastAsia" w:cstheme="minorEastAsia"/>
          <w:bCs/>
          <w:color w:val="auto"/>
          <w:sz w:val="24"/>
        </w:rPr>
      </w:pP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一、响应函</w:t>
      </w: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二、响应</w:t>
      </w:r>
      <w:r>
        <w:rPr>
          <w:rFonts w:hint="eastAsia" w:asciiTheme="minorEastAsia" w:hAnsiTheme="minorEastAsia" w:eastAsiaTheme="minorEastAsia" w:cstheme="minorEastAsia"/>
          <w:bCs/>
          <w:color w:val="auto"/>
          <w:sz w:val="24"/>
          <w:lang w:eastAsia="zh-CN"/>
        </w:rPr>
        <w:t>报价</w:t>
      </w:r>
      <w:r>
        <w:rPr>
          <w:rFonts w:hint="eastAsia" w:asciiTheme="minorEastAsia" w:hAnsiTheme="minorEastAsia" w:eastAsiaTheme="minorEastAsia" w:cstheme="minorEastAsia"/>
          <w:bCs/>
          <w:color w:val="auto"/>
          <w:sz w:val="24"/>
        </w:rPr>
        <w:t>表</w:t>
      </w: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三、响应价格明细表</w:t>
      </w: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四、采购需求响应表</w:t>
      </w: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五、采购需求及相关要求响应详情</w:t>
      </w:r>
    </w:p>
    <w:p>
      <w:pPr>
        <w:spacing w:line="480" w:lineRule="auto"/>
        <w:ind w:firstLine="720" w:firstLineChars="3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六、资格证明文件</w:t>
      </w:r>
    </w:p>
    <w:p>
      <w:pPr>
        <w:pStyle w:val="9"/>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9"/>
        <w:ind w:firstLine="0"/>
        <w:rPr>
          <w:rFonts w:asciiTheme="minorEastAsia" w:hAnsiTheme="minorEastAsia" w:eastAsiaTheme="minorEastAsia" w:cstheme="minorEastAsia"/>
          <w:color w:val="auto"/>
          <w:sz w:val="32"/>
          <w:szCs w:val="32"/>
        </w:rPr>
      </w:pPr>
    </w:p>
    <w:p>
      <w:pPr>
        <w:pStyle w:val="5"/>
        <w:pageBreakBefore/>
        <w:jc w:val="center"/>
        <w:rPr>
          <w:rFonts w:asciiTheme="minorEastAsia" w:hAnsiTheme="minorEastAsia" w:eastAsiaTheme="minorEastAsia" w:cstheme="minorEastAsia"/>
          <w:color w:val="auto"/>
        </w:rPr>
      </w:pPr>
      <w:bookmarkStart w:id="240" w:name="_Toc1190"/>
      <w:r>
        <w:rPr>
          <w:rFonts w:hint="eastAsia" w:asciiTheme="minorEastAsia" w:hAnsiTheme="minorEastAsia" w:eastAsiaTheme="minorEastAsia" w:cstheme="minorEastAsia"/>
          <w:color w:val="auto"/>
        </w:rPr>
        <w:t>一、响应函</w:t>
      </w:r>
      <w:bookmarkEnd w:id="240"/>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采购人</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采购代理机构名称）</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我（单位/本人，以下统称我</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）自愿参加</w:t>
      </w:r>
      <w:r>
        <w:rPr>
          <w:rFonts w:hint="eastAsia" w:ascii="宋体" w:hAnsi="宋体" w:eastAsia="宋体" w:cs="宋体"/>
          <w:color w:val="auto"/>
          <w:sz w:val="24"/>
          <w:szCs w:val="24"/>
          <w:u w:val="single"/>
        </w:rPr>
        <w:t xml:space="preserve">              （项目名称和</w:t>
      </w:r>
      <w:r>
        <w:rPr>
          <w:rFonts w:hint="eastAsia" w:ascii="宋体" w:hAnsi="宋体" w:cs="宋体"/>
          <w:color w:val="auto"/>
          <w:sz w:val="24"/>
          <w:szCs w:val="24"/>
          <w:u w:val="single"/>
          <w:lang w:eastAsia="zh-CN"/>
        </w:rPr>
        <w:t>项目</w:t>
      </w:r>
      <w:r>
        <w:rPr>
          <w:rFonts w:hint="eastAsia" w:ascii="宋体" w:hAnsi="宋体" w:eastAsia="宋体" w:cs="宋体"/>
          <w:color w:val="auto"/>
          <w:sz w:val="24"/>
          <w:szCs w:val="24"/>
          <w:u w:val="single"/>
        </w:rPr>
        <w:t>编号）</w:t>
      </w:r>
      <w:r>
        <w:rPr>
          <w:rFonts w:hint="eastAsia" w:ascii="宋体" w:hAnsi="宋体" w:eastAsia="宋体" w:cs="宋体"/>
          <w:color w:val="auto"/>
          <w:sz w:val="24"/>
          <w:szCs w:val="24"/>
          <w:u w:val="single"/>
          <w:lang w:eastAsia="zh-CN"/>
        </w:rPr>
        <w:t>项目</w:t>
      </w:r>
      <w:r>
        <w:rPr>
          <w:rFonts w:hint="eastAsia" w:ascii="宋体" w:hAnsi="宋体" w:eastAsia="宋体" w:cs="宋体"/>
          <w:color w:val="auto"/>
          <w:sz w:val="24"/>
          <w:szCs w:val="24"/>
        </w:rPr>
        <w:t>,并做出如下承诺：</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lang w:val="en-US" w:eastAsia="zh-CN"/>
        </w:rPr>
        <w:t>一、</w:t>
      </w:r>
      <w:r>
        <w:rPr>
          <w:rFonts w:hint="eastAsia" w:ascii="宋体" w:hAnsi="宋体" w:eastAsia="宋体" w:cs="宋体"/>
          <w:bCs/>
          <w:color w:val="auto"/>
          <w:sz w:val="24"/>
          <w:szCs w:val="24"/>
        </w:rPr>
        <w:t>我</w:t>
      </w:r>
      <w:r>
        <w:rPr>
          <w:rFonts w:hint="eastAsia" w:ascii="宋体" w:hAnsi="宋体" w:eastAsia="宋体" w:cs="宋体"/>
          <w:bCs/>
          <w:color w:val="auto"/>
          <w:sz w:val="24"/>
          <w:szCs w:val="24"/>
          <w:lang w:eastAsia="zh-CN"/>
        </w:rPr>
        <w:t>方</w:t>
      </w:r>
      <w:r>
        <w:rPr>
          <w:rFonts w:hint="eastAsia" w:ascii="宋体" w:hAnsi="宋体" w:eastAsia="宋体" w:cs="宋体"/>
          <w:bCs/>
          <w:color w:val="auto"/>
          <w:sz w:val="24"/>
          <w:szCs w:val="24"/>
        </w:rPr>
        <w:t>授权</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(姓名和职务)代表我方</w:t>
      </w:r>
      <w:r>
        <w:rPr>
          <w:rFonts w:hint="eastAsia" w:ascii="宋体" w:hAnsi="宋体" w:eastAsia="宋体" w:cs="宋体"/>
          <w:bCs/>
          <w:color w:val="auto"/>
          <w:sz w:val="24"/>
          <w:szCs w:val="24"/>
          <w:u w:val="single"/>
        </w:rPr>
        <w:t xml:space="preserve">           （投标单位</w:t>
      </w:r>
      <w:r>
        <w:rPr>
          <w:rFonts w:hint="eastAsia" w:ascii="宋体" w:hAnsi="宋体" w:eastAsia="宋体" w:cs="宋体"/>
          <w:bCs/>
          <w:color w:val="auto"/>
          <w:kern w:val="2"/>
          <w:sz w:val="24"/>
          <w:szCs w:val="24"/>
          <w:u w:val="single"/>
          <w:lang w:val="en-US" w:eastAsia="zh-CN" w:bidi="ar-SA"/>
        </w:rPr>
        <w:t>的名称）</w:t>
      </w:r>
      <w:r>
        <w:rPr>
          <w:rFonts w:hint="eastAsia" w:ascii="宋体" w:hAnsi="宋体" w:eastAsia="宋体" w:cs="宋体"/>
          <w:bCs/>
          <w:color w:val="auto"/>
          <w:kern w:val="2"/>
          <w:sz w:val="24"/>
          <w:szCs w:val="24"/>
          <w:lang w:val="en-US" w:eastAsia="zh-CN" w:bidi="ar-SA"/>
        </w:rPr>
        <w:t>全权处理本项目的有关事宜。</w:t>
      </w:r>
    </w:p>
    <w:p>
      <w:pPr>
        <w:pageBreakBefore w:val="0"/>
        <w:widowControl w:val="0"/>
        <w:kinsoku/>
        <w:wordWrap/>
        <w:overflowPunct/>
        <w:topLinePunct w:val="0"/>
        <w:autoSpaceDE/>
        <w:autoSpaceDN/>
        <w:bidi w:val="0"/>
        <w:adjustRightInd/>
        <w:snapToGrid/>
        <w:spacing w:line="560" w:lineRule="exact"/>
        <w:ind w:firstLine="645"/>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二、我方愿意按照采购文件规定的各项要求，向采购人提供所需的服务。</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480" w:firstLineChars="200"/>
        <w:textAlignment w:val="auto"/>
        <w:rPr>
          <w:rFonts w:hint="eastAsia" w:ascii="宋体" w:hAnsi="宋体" w:eastAsia="宋体" w:cs="宋体"/>
          <w:b w:val="0"/>
          <w:bCs/>
          <w:color w:val="auto"/>
          <w:kern w:val="2"/>
          <w:sz w:val="24"/>
          <w:szCs w:val="24"/>
          <w:lang w:val="en-US" w:eastAsia="zh-CN" w:bidi="ar-SA"/>
        </w:rPr>
      </w:pPr>
      <w:bookmarkStart w:id="241" w:name="_Toc6234"/>
      <w:bookmarkStart w:id="242" w:name="_Toc9270"/>
      <w:r>
        <w:rPr>
          <w:rFonts w:hint="eastAsia" w:ascii="宋体" w:hAnsi="宋体" w:eastAsia="宋体" w:cs="宋体"/>
          <w:b w:val="0"/>
          <w:bCs/>
          <w:color w:val="auto"/>
          <w:kern w:val="2"/>
          <w:sz w:val="24"/>
          <w:szCs w:val="24"/>
          <w:lang w:val="en-US" w:eastAsia="zh-CN" w:bidi="ar-SA"/>
        </w:rPr>
        <w:t>三、我方已详细审查全部采购文件，包括所有补充通知（如有），完全理解并同意放弃对这方面有不明、误解的权利。</w:t>
      </w:r>
      <w:bookmarkEnd w:id="241"/>
      <w:bookmarkEnd w:id="242"/>
    </w:p>
    <w:p>
      <w:pPr>
        <w:pStyle w:val="31"/>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四、我方同意按照采购文件要求缴纳保证金，并承诺自响应截止时间至本项目发</w:t>
      </w:r>
      <w:r>
        <w:rPr>
          <w:rFonts w:hint="eastAsia" w:ascii="宋体" w:hAnsi="宋体" w:eastAsia="宋体" w:cs="宋体"/>
          <w:color w:val="auto"/>
          <w:sz w:val="24"/>
          <w:szCs w:val="24"/>
        </w:rPr>
        <w:t>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公告为止，撤销</w:t>
      </w:r>
      <w:r>
        <w:rPr>
          <w:rFonts w:hint="eastAsia" w:ascii="宋体" w:hAnsi="宋体" w:eastAsia="宋体" w:cs="宋体"/>
          <w:color w:val="auto"/>
          <w:sz w:val="24"/>
          <w:szCs w:val="24"/>
          <w:lang w:eastAsia="zh-CN"/>
        </w:rPr>
        <w:t>响应文件的、或者成交</w:t>
      </w:r>
      <w:r>
        <w:rPr>
          <w:rFonts w:hint="eastAsia" w:ascii="宋体" w:hAnsi="宋体" w:eastAsia="宋体" w:cs="宋体"/>
          <w:color w:val="auto"/>
          <w:sz w:val="24"/>
          <w:szCs w:val="24"/>
        </w:rPr>
        <w:t>后不依法与采购人签订合同</w:t>
      </w:r>
      <w:r>
        <w:rPr>
          <w:rFonts w:hint="eastAsia" w:ascii="宋体" w:hAnsi="宋体" w:eastAsia="宋体" w:cs="宋体"/>
          <w:color w:val="auto"/>
          <w:sz w:val="24"/>
          <w:szCs w:val="24"/>
          <w:lang w:eastAsia="zh-CN"/>
        </w:rPr>
        <w:t>、或者成交</w:t>
      </w:r>
      <w:r>
        <w:rPr>
          <w:rFonts w:hint="eastAsia" w:ascii="宋体" w:hAnsi="宋体" w:eastAsia="宋体" w:cs="宋体"/>
          <w:color w:val="auto"/>
          <w:sz w:val="24"/>
          <w:szCs w:val="24"/>
        </w:rPr>
        <w:t>后不按照本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文件规定缴纳招标代理费</w:t>
      </w:r>
      <w:r>
        <w:rPr>
          <w:rFonts w:hint="eastAsia" w:ascii="宋体" w:hAnsi="宋体" w:eastAsia="宋体" w:cs="宋体"/>
          <w:color w:val="auto"/>
          <w:sz w:val="24"/>
          <w:szCs w:val="24"/>
          <w:lang w:eastAsia="zh-CN"/>
        </w:rPr>
        <w:t>的，</w:t>
      </w:r>
      <w:r>
        <w:rPr>
          <w:rFonts w:hint="eastAsia" w:ascii="宋体" w:hAnsi="宋体" w:eastAsia="宋体" w:cs="宋体"/>
          <w:bCs/>
          <w:color w:val="auto"/>
          <w:sz w:val="24"/>
          <w:szCs w:val="24"/>
        </w:rPr>
        <w:t>我方</w:t>
      </w:r>
      <w:r>
        <w:rPr>
          <w:rFonts w:hint="eastAsia" w:ascii="宋体" w:hAnsi="宋体" w:eastAsia="宋体" w:cs="宋体"/>
          <w:bCs/>
          <w:color w:val="auto"/>
          <w:sz w:val="24"/>
          <w:szCs w:val="24"/>
          <w:lang w:eastAsia="zh-CN"/>
        </w:rPr>
        <w:t>将向采购人、采购代理机构</w:t>
      </w:r>
      <w:r>
        <w:rPr>
          <w:rFonts w:hint="eastAsia" w:ascii="宋体" w:hAnsi="宋体" w:eastAsia="宋体" w:cs="宋体"/>
          <w:color w:val="auto"/>
          <w:sz w:val="24"/>
          <w:szCs w:val="24"/>
        </w:rPr>
        <w:t>支付本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文件公布的</w:t>
      </w:r>
      <w:r>
        <w:rPr>
          <w:rFonts w:hint="eastAsia" w:ascii="宋体" w:hAnsi="宋体" w:eastAsia="宋体" w:cs="宋体"/>
          <w:color w:val="auto"/>
          <w:sz w:val="24"/>
          <w:szCs w:val="24"/>
          <w:lang w:eastAsia="zh-CN"/>
        </w:rPr>
        <w:t>保证金作为</w:t>
      </w:r>
      <w:r>
        <w:rPr>
          <w:rFonts w:hint="eastAsia" w:ascii="宋体" w:hAnsi="宋体" w:eastAsia="宋体" w:cs="宋体"/>
          <w:color w:val="auto"/>
          <w:sz w:val="24"/>
          <w:szCs w:val="24"/>
        </w:rPr>
        <w:t>违约赔偿金。</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我方愿意</w:t>
      </w:r>
      <w:r>
        <w:rPr>
          <w:rFonts w:hint="eastAsia" w:ascii="宋体" w:hAnsi="宋体" w:eastAsia="宋体" w:cs="宋体"/>
          <w:bCs/>
          <w:color w:val="auto"/>
          <w:sz w:val="24"/>
          <w:szCs w:val="24"/>
          <w:lang w:eastAsia="zh-CN"/>
        </w:rPr>
        <w:t>按照采购文件的要求，提供</w:t>
      </w:r>
      <w:r>
        <w:rPr>
          <w:rFonts w:hint="eastAsia" w:ascii="宋体" w:hAnsi="宋体" w:eastAsia="宋体" w:cs="宋体"/>
          <w:bCs/>
          <w:color w:val="auto"/>
          <w:sz w:val="24"/>
          <w:szCs w:val="24"/>
        </w:rPr>
        <w:t>与项目有关的</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文件资料，并保证我方</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文件</w:t>
      </w:r>
      <w:r>
        <w:rPr>
          <w:rFonts w:hint="eastAsia" w:ascii="宋体" w:hAnsi="宋体" w:eastAsia="宋体" w:cs="宋体"/>
          <w:bCs/>
          <w:color w:val="auto"/>
          <w:sz w:val="24"/>
          <w:szCs w:val="24"/>
          <w:lang w:eastAsia="zh-CN"/>
        </w:rPr>
        <w:t>资料的合法性、</w:t>
      </w:r>
      <w:r>
        <w:rPr>
          <w:rFonts w:hint="eastAsia" w:ascii="宋体" w:hAnsi="宋体" w:eastAsia="宋体" w:cs="宋体"/>
          <w:bCs/>
          <w:color w:val="auto"/>
          <w:sz w:val="24"/>
          <w:szCs w:val="24"/>
        </w:rPr>
        <w:t>真实</w:t>
      </w:r>
      <w:r>
        <w:rPr>
          <w:rFonts w:hint="eastAsia" w:ascii="宋体" w:hAnsi="宋体" w:eastAsia="宋体" w:cs="宋体"/>
          <w:bCs/>
          <w:color w:val="auto"/>
          <w:sz w:val="24"/>
          <w:szCs w:val="24"/>
          <w:lang w:eastAsia="zh-CN"/>
        </w:rPr>
        <w:t>性</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完整性和</w:t>
      </w:r>
      <w:r>
        <w:rPr>
          <w:rFonts w:hint="eastAsia" w:ascii="宋体" w:hAnsi="宋体" w:eastAsia="宋体" w:cs="宋体"/>
          <w:bCs/>
          <w:color w:val="auto"/>
          <w:sz w:val="24"/>
          <w:szCs w:val="24"/>
        </w:rPr>
        <w:t>准确</w:t>
      </w:r>
      <w:r>
        <w:rPr>
          <w:rFonts w:hint="eastAsia" w:ascii="宋体" w:hAnsi="宋体" w:eastAsia="宋体" w:cs="宋体"/>
          <w:bCs/>
          <w:color w:val="auto"/>
          <w:sz w:val="24"/>
          <w:szCs w:val="24"/>
          <w:lang w:eastAsia="zh-CN"/>
        </w:rPr>
        <w:t>性</w:t>
      </w:r>
      <w:r>
        <w:rPr>
          <w:rFonts w:hint="eastAsia" w:ascii="宋体" w:hAnsi="宋体" w:eastAsia="宋体" w:cs="宋体"/>
          <w:bCs/>
          <w:color w:val="auto"/>
          <w:sz w:val="24"/>
          <w:szCs w:val="24"/>
        </w:rPr>
        <w:t>。</w:t>
      </w:r>
    </w:p>
    <w:p>
      <w:pPr>
        <w:spacing w:line="360" w:lineRule="auto"/>
        <w:ind w:firstLine="480" w:firstLineChars="200"/>
        <w:rPr>
          <w:rFonts w:asciiTheme="minorEastAsia" w:hAnsiTheme="minorEastAsia" w:eastAsiaTheme="minorEastAsia" w:cstheme="minorEastAsia"/>
          <w:bCs/>
          <w:color w:val="auto"/>
          <w:sz w:val="24"/>
        </w:rPr>
      </w:pPr>
      <w:r>
        <w:rPr>
          <w:rFonts w:hint="eastAsia" w:ascii="宋体" w:hAnsi="宋体" w:eastAsia="宋体" w:cs="宋体"/>
          <w:bCs/>
          <w:color w:val="auto"/>
          <w:sz w:val="24"/>
          <w:szCs w:val="24"/>
          <w:lang w:eastAsia="zh-CN"/>
        </w:rPr>
        <w:t>六、</w:t>
      </w:r>
      <w:r>
        <w:rPr>
          <w:rFonts w:hint="eastAsia" w:ascii="宋体" w:hAnsi="宋体" w:eastAsia="宋体" w:cs="宋体"/>
          <w:bCs/>
          <w:color w:val="auto"/>
          <w:sz w:val="24"/>
          <w:szCs w:val="24"/>
        </w:rPr>
        <w:t>一旦我方被确定为</w:t>
      </w:r>
      <w:r>
        <w:rPr>
          <w:rFonts w:hint="eastAsia" w:ascii="宋体" w:hAnsi="宋体" w:eastAsia="宋体" w:cs="宋体"/>
          <w:bCs/>
          <w:color w:val="auto"/>
          <w:sz w:val="24"/>
          <w:szCs w:val="24"/>
          <w:lang w:eastAsia="zh-CN"/>
        </w:rPr>
        <w:t>成交投标人</w:t>
      </w:r>
      <w:r>
        <w:rPr>
          <w:rFonts w:hint="eastAsia" w:ascii="宋体" w:hAnsi="宋体" w:eastAsia="宋体" w:cs="宋体"/>
          <w:bCs/>
          <w:color w:val="auto"/>
          <w:sz w:val="24"/>
          <w:szCs w:val="24"/>
        </w:rPr>
        <w:t>，我方将严格履行合同规定的责任和义务，保证于合同签字生效后按照约定时间完成项目，并交付采购人验收。</w:t>
      </w:r>
      <w:r>
        <w:rPr>
          <w:rFonts w:hint="eastAsia" w:asciiTheme="minorEastAsia" w:hAnsiTheme="minorEastAsia" w:eastAsiaTheme="minorEastAsia" w:cstheme="minorEastAsia"/>
          <w:bCs/>
          <w:color w:val="auto"/>
          <w:sz w:val="24"/>
        </w:rPr>
        <w:t xml:space="preserve">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（盖公章）</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电子邮件：</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ab/>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法定代表人或委托代理人(签字或签章)：</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ab/>
      </w:r>
    </w:p>
    <w:p>
      <w:pPr>
        <w:spacing w:line="360" w:lineRule="auto"/>
        <w:ind w:firstLine="48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ab/>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 xml:space="preserve">     </w:t>
      </w:r>
    </w:p>
    <w:p>
      <w:pPr>
        <w:pStyle w:val="5"/>
        <w:pageBreakBefore/>
        <w:jc w:val="center"/>
        <w:rPr>
          <w:rFonts w:asciiTheme="minorEastAsia" w:hAnsiTheme="minorEastAsia" w:eastAsiaTheme="minorEastAsia" w:cstheme="minorEastAsia"/>
          <w:color w:val="auto"/>
        </w:rPr>
      </w:pPr>
      <w:bookmarkStart w:id="243" w:name="_Toc24926"/>
      <w:r>
        <w:rPr>
          <w:rFonts w:hint="eastAsia" w:asciiTheme="minorEastAsia" w:hAnsiTheme="minorEastAsia" w:eastAsiaTheme="minorEastAsia" w:cstheme="minorEastAsia"/>
          <w:color w:val="auto"/>
        </w:rPr>
        <w:t>二、响应</w:t>
      </w:r>
      <w:r>
        <w:rPr>
          <w:rFonts w:hint="eastAsia" w:asciiTheme="minorEastAsia" w:hAnsiTheme="minorEastAsia" w:eastAsiaTheme="minorEastAsia" w:cstheme="minorEastAsia"/>
          <w:color w:val="auto"/>
          <w:lang w:eastAsia="zh-CN"/>
        </w:rPr>
        <w:t>报价</w:t>
      </w:r>
      <w:r>
        <w:rPr>
          <w:rFonts w:hint="eastAsia" w:asciiTheme="minorEastAsia" w:hAnsiTheme="minorEastAsia" w:eastAsiaTheme="minorEastAsia" w:cstheme="minorEastAsia"/>
          <w:color w:val="auto"/>
        </w:rPr>
        <w:t>表</w:t>
      </w:r>
      <w:bookmarkEnd w:id="243"/>
    </w:p>
    <w:p>
      <w:pPr>
        <w:spacing w:line="560" w:lineRule="exact"/>
        <w:ind w:left="-161" w:leftChars="-77"/>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tcBorders>
              <w:top w:val="double" w:color="auto" w:sz="4" w:space="0"/>
              <w:left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项目名称</w:t>
            </w:r>
          </w:p>
        </w:tc>
        <w:tc>
          <w:tcPr>
            <w:tcW w:w="7623" w:type="dxa"/>
            <w:tcBorders>
              <w:top w:val="double" w:color="auto" w:sz="4" w:space="0"/>
              <w:right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31" w:type="dxa"/>
            <w:vMerge w:val="restart"/>
            <w:tcBorders>
              <w:left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响应价格</w:t>
            </w:r>
          </w:p>
        </w:tc>
        <w:tc>
          <w:tcPr>
            <w:tcW w:w="7623" w:type="dxa"/>
            <w:tcBorders>
              <w:right w:val="double" w:color="auto" w:sz="4" w:space="0"/>
            </w:tcBorders>
            <w:vAlign w:val="center"/>
          </w:tcPr>
          <w:p>
            <w:pPr>
              <w:spacing w:line="560" w:lineRule="exac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人民币小写(元):</w:t>
            </w:r>
            <w:r>
              <w:rPr>
                <w:rFonts w:hint="eastAsia" w:asciiTheme="minorEastAsia" w:hAnsiTheme="minorEastAsia" w:eastAsiaTheme="minorEastAsia" w:cstheme="minorEastAsia"/>
                <w:bCs/>
                <w:color w:val="auto"/>
                <w:sz w:val="24"/>
                <w:u w:val="none"/>
                <w:lang w:val="en-US" w:eastAsia="zh-CN"/>
              </w:rPr>
              <w:t xml:space="preserve"> </w:t>
            </w:r>
            <w:r>
              <w:rPr>
                <w:rFonts w:hint="eastAsia" w:asciiTheme="minorEastAsia" w:hAnsiTheme="minorEastAsia" w:eastAsiaTheme="minorEastAsia" w:cstheme="minorEastAsia"/>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vMerge w:val="continue"/>
            <w:tcBorders>
              <w:left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p>
        </w:tc>
        <w:tc>
          <w:tcPr>
            <w:tcW w:w="7623" w:type="dxa"/>
            <w:tcBorders>
              <w:right w:val="double" w:color="auto" w:sz="4" w:space="0"/>
            </w:tcBorders>
            <w:vAlign w:val="center"/>
          </w:tcPr>
          <w:p>
            <w:pPr>
              <w:spacing w:line="560" w:lineRule="exact"/>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人民币大写:</w:t>
            </w:r>
            <w:r>
              <w:rPr>
                <w:rFonts w:hint="eastAsia" w:asciiTheme="minorEastAsia" w:hAnsiTheme="minorEastAsia" w:eastAsiaTheme="minorEastAsia" w:cstheme="minorEastAsia"/>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tcBorders>
              <w:left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合同履行期限</w:t>
            </w:r>
          </w:p>
        </w:tc>
        <w:tc>
          <w:tcPr>
            <w:tcW w:w="7623" w:type="dxa"/>
            <w:tcBorders>
              <w:right w:val="double" w:color="auto" w:sz="4" w:space="0"/>
            </w:tcBorders>
            <w:vAlign w:val="center"/>
          </w:tcPr>
          <w:p>
            <w:pPr>
              <w:spacing w:line="560" w:lineRule="exact"/>
              <w:rPr>
                <w:rFonts w:asciiTheme="minorEastAsia" w:hAnsiTheme="minorEastAsia" w:eastAsiaTheme="minorEastAsia" w:cs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31" w:type="dxa"/>
            <w:tcBorders>
              <w:left w:val="double" w:color="auto" w:sz="4" w:space="0"/>
              <w:bottom w:val="double" w:color="auto" w:sz="4" w:space="0"/>
            </w:tcBorders>
            <w:vAlign w:val="center"/>
          </w:tcPr>
          <w:p>
            <w:pPr>
              <w:spacing w:line="560" w:lineRule="exact"/>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eastAsia="zh-CN"/>
              </w:rPr>
              <w:t>投标有效期</w:t>
            </w:r>
          </w:p>
        </w:tc>
        <w:tc>
          <w:tcPr>
            <w:tcW w:w="7623" w:type="dxa"/>
            <w:tcBorders>
              <w:bottom w:val="double" w:color="auto" w:sz="4" w:space="0"/>
              <w:right w:val="double" w:color="auto" w:sz="4" w:space="0"/>
            </w:tcBorders>
            <w:vAlign w:val="center"/>
          </w:tcPr>
          <w:p>
            <w:pPr>
              <w:spacing w:line="560" w:lineRule="exact"/>
              <w:rPr>
                <w:rFonts w:hint="eastAsia" w:asciiTheme="minorEastAsia" w:hAnsiTheme="minorEastAsia" w:eastAsiaTheme="minorEastAsia" w:cs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tcBorders>
              <w:left w:val="double" w:color="auto" w:sz="4" w:space="0"/>
              <w:bottom w:val="double" w:color="auto" w:sz="4" w:space="0"/>
            </w:tcBorders>
            <w:vAlign w:val="center"/>
          </w:tcPr>
          <w:p>
            <w:pPr>
              <w:spacing w:line="560" w:lineRule="exact"/>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备  注</w:t>
            </w:r>
          </w:p>
        </w:tc>
        <w:tc>
          <w:tcPr>
            <w:tcW w:w="7623" w:type="dxa"/>
            <w:tcBorders>
              <w:bottom w:val="double" w:color="auto" w:sz="4" w:space="0"/>
              <w:right w:val="double" w:color="auto" w:sz="4" w:space="0"/>
            </w:tcBorders>
            <w:vAlign w:val="center"/>
          </w:tcPr>
          <w:p>
            <w:pPr>
              <w:spacing w:line="560" w:lineRule="exac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响应价格为</w:t>
            </w:r>
            <w:r>
              <w:rPr>
                <w:rFonts w:hint="eastAsia" w:asciiTheme="minorEastAsia" w:hAnsiTheme="minorEastAsia" w:eastAsiaTheme="minorEastAsia" w:cstheme="minorEastAsia"/>
                <w:bCs/>
                <w:color w:val="auto"/>
                <w:sz w:val="24"/>
                <w:lang w:eastAsia="zh-CN"/>
              </w:rPr>
              <w:t>投标人</w:t>
            </w:r>
            <w:r>
              <w:rPr>
                <w:rFonts w:hint="eastAsia" w:asciiTheme="minorEastAsia" w:hAnsiTheme="minorEastAsia" w:eastAsiaTheme="minorEastAsia" w:cstheme="minorEastAsia"/>
                <w:bCs/>
                <w:color w:val="auto"/>
                <w:sz w:val="24"/>
              </w:rPr>
              <w:t>考虑各种因素（含折扣、优惠等）的最终报价。</w:t>
            </w:r>
          </w:p>
        </w:tc>
      </w:tr>
    </w:tbl>
    <w:p>
      <w:pPr>
        <w:keepNext/>
        <w:keepLines/>
        <w:spacing w:line="416" w:lineRule="auto"/>
        <w:rPr>
          <w:rFonts w:asciiTheme="minorEastAsia" w:hAnsiTheme="minorEastAsia" w:eastAsiaTheme="minorEastAsia" w:cstheme="minorEastAsia"/>
          <w:color w:val="auto"/>
          <w:sz w:val="24"/>
        </w:rPr>
      </w:pPr>
    </w:p>
    <w:p>
      <w:pPr>
        <w:spacing w:line="560" w:lineRule="exact"/>
        <w:ind w:firstLine="4800" w:firstLineChars="20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eastAsia="zh-CN"/>
        </w:rPr>
        <w:t>投标人</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（盖章）</w:t>
      </w:r>
    </w:p>
    <w:p>
      <w:pPr>
        <w:spacing w:line="560" w:lineRule="exact"/>
        <w:ind w:firstLine="5280" w:firstLineChars="2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年     月     日</w:t>
      </w:r>
    </w:p>
    <w:p>
      <w:pP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keepNext/>
        <w:keepLines/>
        <w:spacing w:before="260" w:after="260" w:line="560" w:lineRule="exact"/>
        <w:jc w:val="center"/>
        <w:outlineLvl w:val="1"/>
        <w:rPr>
          <w:rFonts w:asciiTheme="minorEastAsia" w:hAnsiTheme="minorEastAsia" w:eastAsiaTheme="minorEastAsia" w:cstheme="minorEastAsia"/>
          <w:bCs/>
          <w:color w:val="auto"/>
          <w:sz w:val="32"/>
          <w:szCs w:val="32"/>
        </w:rPr>
      </w:pPr>
      <w:bookmarkStart w:id="244" w:name="_Toc18443"/>
      <w:r>
        <w:rPr>
          <w:rFonts w:hint="eastAsia" w:asciiTheme="minorEastAsia" w:hAnsiTheme="minorEastAsia" w:eastAsiaTheme="minorEastAsia" w:cstheme="minorEastAsia"/>
          <w:b/>
          <w:bCs/>
          <w:color w:val="auto"/>
          <w:sz w:val="32"/>
          <w:szCs w:val="32"/>
        </w:rPr>
        <w:t>三、响应价格明细表（可根据实际情况修改）</w:t>
      </w:r>
      <w:bookmarkEnd w:id="244"/>
    </w:p>
    <w:tbl>
      <w:tblPr>
        <w:tblStyle w:val="21"/>
        <w:tblpPr w:leftFromText="180" w:rightFromText="180" w:vertAnchor="text" w:horzAnchor="page" w:tblpX="1367"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0"/>
        <w:gridCol w:w="1762"/>
        <w:gridCol w:w="2050"/>
        <w:gridCol w:w="883"/>
        <w:gridCol w:w="983"/>
        <w:gridCol w:w="88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widowControl/>
              <w:numPr>
                <w:ilvl w:val="0"/>
                <w:numId w:val="0"/>
              </w:numPr>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bCs/>
                <w:color w:val="auto"/>
                <w:sz w:val="24"/>
                <w:szCs w:val="24"/>
              </w:rPr>
              <w:t>序号</w:t>
            </w:r>
          </w:p>
        </w:tc>
        <w:tc>
          <w:tcPr>
            <w:tcW w:w="1100" w:type="dxa"/>
            <w:noWrap w:val="0"/>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货物</w:t>
            </w:r>
          </w:p>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名称</w:t>
            </w:r>
          </w:p>
        </w:tc>
        <w:tc>
          <w:tcPr>
            <w:tcW w:w="176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品牌、规格及型号</w:t>
            </w:r>
          </w:p>
        </w:tc>
        <w:tc>
          <w:tcPr>
            <w:tcW w:w="2050" w:type="dxa"/>
            <w:noWrap w:val="0"/>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原产地及</w:t>
            </w:r>
          </w:p>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制造商</w:t>
            </w:r>
          </w:p>
        </w:tc>
        <w:tc>
          <w:tcPr>
            <w:tcW w:w="883"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单位</w:t>
            </w:r>
          </w:p>
        </w:tc>
        <w:tc>
          <w:tcPr>
            <w:tcW w:w="983" w:type="dxa"/>
            <w:noWrap w:val="0"/>
            <w:vAlign w:val="center"/>
          </w:tcPr>
          <w:p>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单价</w:t>
            </w:r>
          </w:p>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（元）</w:t>
            </w:r>
          </w:p>
        </w:tc>
        <w:tc>
          <w:tcPr>
            <w:tcW w:w="884"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数量</w:t>
            </w:r>
          </w:p>
        </w:tc>
        <w:tc>
          <w:tcPr>
            <w:tcW w:w="1038"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1</w:t>
            </w:r>
          </w:p>
        </w:tc>
        <w:tc>
          <w:tcPr>
            <w:tcW w:w="1100" w:type="dxa"/>
            <w:noWrap w:val="0"/>
            <w:vAlign w:val="center"/>
          </w:tcPr>
          <w:p>
            <w:pPr>
              <w:spacing w:line="400" w:lineRule="exact"/>
              <w:jc w:val="center"/>
              <w:rPr>
                <w:rFonts w:hint="eastAsia" w:ascii="宋体" w:hAnsi="宋体" w:eastAsia="宋体" w:cs="宋体"/>
                <w:color w:val="auto"/>
                <w:sz w:val="24"/>
                <w:szCs w:val="24"/>
              </w:rPr>
            </w:pPr>
          </w:p>
        </w:tc>
        <w:tc>
          <w:tcPr>
            <w:tcW w:w="1762" w:type="dxa"/>
            <w:noWrap w:val="0"/>
            <w:vAlign w:val="top"/>
          </w:tcPr>
          <w:p>
            <w:pPr>
              <w:spacing w:line="360" w:lineRule="auto"/>
              <w:jc w:val="center"/>
              <w:rPr>
                <w:rFonts w:hint="eastAsia" w:ascii="宋体" w:hAnsi="宋体" w:eastAsia="宋体" w:cs="宋体"/>
                <w:color w:val="auto"/>
                <w:sz w:val="24"/>
                <w:szCs w:val="24"/>
              </w:rPr>
            </w:pPr>
          </w:p>
        </w:tc>
        <w:tc>
          <w:tcPr>
            <w:tcW w:w="2050" w:type="dxa"/>
            <w:noWrap w:val="0"/>
            <w:vAlign w:val="center"/>
          </w:tcPr>
          <w:p>
            <w:pPr>
              <w:spacing w:line="400" w:lineRule="exact"/>
              <w:jc w:val="center"/>
              <w:rPr>
                <w:rFonts w:hint="eastAsia" w:ascii="宋体" w:hAnsi="宋体" w:eastAsia="宋体" w:cs="宋体"/>
                <w:color w:val="auto"/>
                <w:sz w:val="24"/>
                <w:szCs w:val="24"/>
              </w:rPr>
            </w:pPr>
          </w:p>
        </w:tc>
        <w:tc>
          <w:tcPr>
            <w:tcW w:w="883" w:type="dxa"/>
            <w:noWrap w:val="0"/>
            <w:vAlign w:val="center"/>
          </w:tcPr>
          <w:p>
            <w:pPr>
              <w:spacing w:line="400" w:lineRule="exact"/>
              <w:jc w:val="center"/>
              <w:rPr>
                <w:rFonts w:hint="eastAsia" w:ascii="宋体" w:hAnsi="宋体" w:eastAsia="宋体" w:cs="宋体"/>
                <w:color w:val="auto"/>
                <w:sz w:val="24"/>
                <w:szCs w:val="24"/>
              </w:rPr>
            </w:pPr>
          </w:p>
        </w:tc>
        <w:tc>
          <w:tcPr>
            <w:tcW w:w="983" w:type="dxa"/>
            <w:noWrap w:val="0"/>
            <w:vAlign w:val="center"/>
          </w:tcPr>
          <w:p>
            <w:pPr>
              <w:spacing w:line="400" w:lineRule="exact"/>
              <w:jc w:val="center"/>
              <w:rPr>
                <w:rFonts w:hint="eastAsia" w:ascii="宋体" w:hAnsi="宋体" w:eastAsia="宋体" w:cs="宋体"/>
                <w:color w:val="auto"/>
                <w:sz w:val="24"/>
                <w:szCs w:val="24"/>
              </w:rPr>
            </w:pPr>
          </w:p>
        </w:tc>
        <w:tc>
          <w:tcPr>
            <w:tcW w:w="884" w:type="dxa"/>
            <w:noWrap w:val="0"/>
            <w:vAlign w:val="center"/>
          </w:tcPr>
          <w:p>
            <w:pPr>
              <w:spacing w:line="400" w:lineRule="exact"/>
              <w:jc w:val="center"/>
              <w:rPr>
                <w:rFonts w:hint="eastAsia" w:ascii="宋体" w:hAnsi="宋体" w:eastAsia="宋体" w:cs="宋体"/>
                <w:color w:val="auto"/>
                <w:sz w:val="24"/>
                <w:szCs w:val="24"/>
              </w:rPr>
            </w:pPr>
          </w:p>
        </w:tc>
        <w:tc>
          <w:tcPr>
            <w:tcW w:w="1038" w:type="dxa"/>
            <w:noWrap w:val="0"/>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2</w:t>
            </w:r>
          </w:p>
        </w:tc>
        <w:tc>
          <w:tcPr>
            <w:tcW w:w="1100" w:type="dxa"/>
            <w:noWrap w:val="0"/>
            <w:vAlign w:val="center"/>
          </w:tcPr>
          <w:p>
            <w:pPr>
              <w:spacing w:line="400" w:lineRule="exact"/>
              <w:jc w:val="center"/>
              <w:rPr>
                <w:rFonts w:hint="eastAsia" w:ascii="宋体" w:hAnsi="宋体" w:eastAsia="宋体" w:cs="宋体"/>
                <w:color w:val="auto"/>
                <w:sz w:val="24"/>
                <w:szCs w:val="24"/>
              </w:rPr>
            </w:pPr>
          </w:p>
        </w:tc>
        <w:tc>
          <w:tcPr>
            <w:tcW w:w="1762" w:type="dxa"/>
            <w:noWrap w:val="0"/>
            <w:vAlign w:val="top"/>
          </w:tcPr>
          <w:p>
            <w:pPr>
              <w:spacing w:line="360" w:lineRule="auto"/>
              <w:jc w:val="center"/>
              <w:rPr>
                <w:rFonts w:hint="eastAsia" w:ascii="宋体" w:hAnsi="宋体" w:eastAsia="宋体" w:cs="宋体"/>
                <w:color w:val="auto"/>
                <w:sz w:val="24"/>
                <w:szCs w:val="24"/>
              </w:rPr>
            </w:pPr>
          </w:p>
        </w:tc>
        <w:tc>
          <w:tcPr>
            <w:tcW w:w="2050" w:type="dxa"/>
            <w:noWrap w:val="0"/>
            <w:vAlign w:val="center"/>
          </w:tcPr>
          <w:p>
            <w:pPr>
              <w:spacing w:line="400" w:lineRule="exact"/>
              <w:jc w:val="center"/>
              <w:rPr>
                <w:rFonts w:hint="eastAsia" w:ascii="宋体" w:hAnsi="宋体" w:eastAsia="宋体" w:cs="宋体"/>
                <w:color w:val="auto"/>
                <w:sz w:val="24"/>
                <w:szCs w:val="24"/>
              </w:rPr>
            </w:pPr>
          </w:p>
        </w:tc>
        <w:tc>
          <w:tcPr>
            <w:tcW w:w="883" w:type="dxa"/>
            <w:noWrap w:val="0"/>
            <w:vAlign w:val="center"/>
          </w:tcPr>
          <w:p>
            <w:pPr>
              <w:spacing w:line="400" w:lineRule="exact"/>
              <w:jc w:val="center"/>
              <w:rPr>
                <w:rFonts w:hint="eastAsia" w:ascii="宋体" w:hAnsi="宋体" w:eastAsia="宋体" w:cs="宋体"/>
                <w:color w:val="auto"/>
                <w:sz w:val="24"/>
                <w:szCs w:val="24"/>
              </w:rPr>
            </w:pPr>
          </w:p>
        </w:tc>
        <w:tc>
          <w:tcPr>
            <w:tcW w:w="983" w:type="dxa"/>
            <w:noWrap w:val="0"/>
            <w:vAlign w:val="center"/>
          </w:tcPr>
          <w:p>
            <w:pPr>
              <w:spacing w:line="400" w:lineRule="exact"/>
              <w:jc w:val="center"/>
              <w:rPr>
                <w:rFonts w:hint="eastAsia" w:ascii="宋体" w:hAnsi="宋体" w:eastAsia="宋体" w:cs="宋体"/>
                <w:color w:val="auto"/>
                <w:sz w:val="24"/>
                <w:szCs w:val="24"/>
              </w:rPr>
            </w:pPr>
          </w:p>
        </w:tc>
        <w:tc>
          <w:tcPr>
            <w:tcW w:w="884" w:type="dxa"/>
            <w:noWrap w:val="0"/>
            <w:vAlign w:val="top"/>
          </w:tcPr>
          <w:p>
            <w:pPr>
              <w:spacing w:line="360" w:lineRule="auto"/>
              <w:jc w:val="center"/>
              <w:rPr>
                <w:rFonts w:hint="eastAsia" w:ascii="宋体" w:hAnsi="宋体" w:eastAsia="宋体" w:cs="宋体"/>
                <w:color w:val="auto"/>
                <w:sz w:val="24"/>
                <w:szCs w:val="24"/>
              </w:rPr>
            </w:pPr>
          </w:p>
        </w:tc>
        <w:tc>
          <w:tcPr>
            <w:tcW w:w="1038" w:type="dxa"/>
            <w:noWrap w:val="0"/>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3</w:t>
            </w:r>
          </w:p>
        </w:tc>
        <w:tc>
          <w:tcPr>
            <w:tcW w:w="1100" w:type="dxa"/>
            <w:noWrap w:val="0"/>
            <w:vAlign w:val="center"/>
          </w:tcPr>
          <w:p>
            <w:pPr>
              <w:spacing w:line="400" w:lineRule="exact"/>
              <w:jc w:val="center"/>
              <w:rPr>
                <w:rFonts w:hint="eastAsia" w:ascii="宋体" w:hAnsi="宋体" w:eastAsia="宋体" w:cs="宋体"/>
                <w:color w:val="auto"/>
                <w:sz w:val="24"/>
                <w:szCs w:val="24"/>
              </w:rPr>
            </w:pPr>
          </w:p>
        </w:tc>
        <w:tc>
          <w:tcPr>
            <w:tcW w:w="1762" w:type="dxa"/>
            <w:noWrap w:val="0"/>
            <w:vAlign w:val="top"/>
          </w:tcPr>
          <w:p>
            <w:pPr>
              <w:spacing w:line="360" w:lineRule="auto"/>
              <w:jc w:val="center"/>
              <w:rPr>
                <w:rFonts w:hint="eastAsia" w:ascii="宋体" w:hAnsi="宋体" w:eastAsia="宋体" w:cs="宋体"/>
                <w:color w:val="auto"/>
                <w:sz w:val="24"/>
                <w:szCs w:val="24"/>
              </w:rPr>
            </w:pPr>
          </w:p>
        </w:tc>
        <w:tc>
          <w:tcPr>
            <w:tcW w:w="2050" w:type="dxa"/>
            <w:noWrap w:val="0"/>
            <w:vAlign w:val="center"/>
          </w:tcPr>
          <w:p>
            <w:pPr>
              <w:spacing w:line="400" w:lineRule="exact"/>
              <w:jc w:val="center"/>
              <w:rPr>
                <w:rFonts w:hint="eastAsia" w:ascii="宋体" w:hAnsi="宋体" w:eastAsia="宋体" w:cs="宋体"/>
                <w:color w:val="auto"/>
                <w:sz w:val="24"/>
                <w:szCs w:val="24"/>
              </w:rPr>
            </w:pPr>
          </w:p>
        </w:tc>
        <w:tc>
          <w:tcPr>
            <w:tcW w:w="883" w:type="dxa"/>
            <w:noWrap w:val="0"/>
            <w:vAlign w:val="center"/>
          </w:tcPr>
          <w:p>
            <w:pPr>
              <w:spacing w:line="400" w:lineRule="exact"/>
              <w:jc w:val="center"/>
              <w:rPr>
                <w:rFonts w:hint="eastAsia" w:ascii="宋体" w:hAnsi="宋体" w:eastAsia="宋体" w:cs="宋体"/>
                <w:color w:val="auto"/>
                <w:sz w:val="24"/>
                <w:szCs w:val="24"/>
              </w:rPr>
            </w:pPr>
          </w:p>
        </w:tc>
        <w:tc>
          <w:tcPr>
            <w:tcW w:w="983" w:type="dxa"/>
            <w:noWrap w:val="0"/>
            <w:vAlign w:val="center"/>
          </w:tcPr>
          <w:p>
            <w:pPr>
              <w:spacing w:line="400" w:lineRule="exact"/>
              <w:jc w:val="center"/>
              <w:rPr>
                <w:rFonts w:hint="eastAsia" w:ascii="宋体" w:hAnsi="宋体" w:eastAsia="宋体" w:cs="宋体"/>
                <w:color w:val="auto"/>
                <w:sz w:val="24"/>
                <w:szCs w:val="24"/>
              </w:rPr>
            </w:pPr>
          </w:p>
        </w:tc>
        <w:tc>
          <w:tcPr>
            <w:tcW w:w="884" w:type="dxa"/>
            <w:noWrap w:val="0"/>
            <w:vAlign w:val="top"/>
          </w:tcPr>
          <w:p>
            <w:pPr>
              <w:spacing w:line="360" w:lineRule="auto"/>
              <w:jc w:val="center"/>
              <w:rPr>
                <w:rFonts w:hint="eastAsia" w:ascii="宋体" w:hAnsi="宋体" w:eastAsia="宋体" w:cs="宋体"/>
                <w:color w:val="auto"/>
                <w:sz w:val="24"/>
                <w:szCs w:val="24"/>
              </w:rPr>
            </w:pPr>
          </w:p>
        </w:tc>
        <w:tc>
          <w:tcPr>
            <w:tcW w:w="1038" w:type="dxa"/>
            <w:noWrap w:val="0"/>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4</w:t>
            </w:r>
          </w:p>
        </w:tc>
        <w:tc>
          <w:tcPr>
            <w:tcW w:w="1100" w:type="dxa"/>
            <w:noWrap w:val="0"/>
            <w:vAlign w:val="center"/>
          </w:tcPr>
          <w:p>
            <w:pPr>
              <w:spacing w:line="400" w:lineRule="exact"/>
              <w:jc w:val="center"/>
              <w:rPr>
                <w:rFonts w:hint="eastAsia" w:ascii="宋体" w:hAnsi="宋体" w:eastAsia="宋体" w:cs="宋体"/>
                <w:color w:val="auto"/>
                <w:sz w:val="24"/>
                <w:szCs w:val="24"/>
              </w:rPr>
            </w:pPr>
          </w:p>
        </w:tc>
        <w:tc>
          <w:tcPr>
            <w:tcW w:w="1762" w:type="dxa"/>
            <w:noWrap w:val="0"/>
            <w:vAlign w:val="top"/>
          </w:tcPr>
          <w:p>
            <w:pPr>
              <w:spacing w:line="360" w:lineRule="auto"/>
              <w:jc w:val="center"/>
              <w:rPr>
                <w:rFonts w:hint="eastAsia" w:ascii="宋体" w:hAnsi="宋体" w:eastAsia="宋体" w:cs="宋体"/>
                <w:color w:val="auto"/>
                <w:sz w:val="24"/>
                <w:szCs w:val="24"/>
              </w:rPr>
            </w:pPr>
          </w:p>
        </w:tc>
        <w:tc>
          <w:tcPr>
            <w:tcW w:w="2050" w:type="dxa"/>
            <w:noWrap w:val="0"/>
            <w:vAlign w:val="center"/>
          </w:tcPr>
          <w:p>
            <w:pPr>
              <w:spacing w:line="400" w:lineRule="exact"/>
              <w:jc w:val="center"/>
              <w:rPr>
                <w:rFonts w:hint="eastAsia" w:ascii="宋体" w:hAnsi="宋体" w:eastAsia="宋体" w:cs="宋体"/>
                <w:color w:val="auto"/>
                <w:sz w:val="24"/>
                <w:szCs w:val="24"/>
              </w:rPr>
            </w:pPr>
          </w:p>
        </w:tc>
        <w:tc>
          <w:tcPr>
            <w:tcW w:w="883" w:type="dxa"/>
            <w:noWrap w:val="0"/>
            <w:vAlign w:val="center"/>
          </w:tcPr>
          <w:p>
            <w:pPr>
              <w:spacing w:line="400" w:lineRule="exact"/>
              <w:jc w:val="center"/>
              <w:rPr>
                <w:rFonts w:hint="eastAsia" w:ascii="宋体" w:hAnsi="宋体" w:eastAsia="宋体" w:cs="宋体"/>
                <w:color w:val="auto"/>
                <w:sz w:val="24"/>
                <w:szCs w:val="24"/>
              </w:rPr>
            </w:pPr>
          </w:p>
        </w:tc>
        <w:tc>
          <w:tcPr>
            <w:tcW w:w="983" w:type="dxa"/>
            <w:noWrap w:val="0"/>
            <w:vAlign w:val="center"/>
          </w:tcPr>
          <w:p>
            <w:pPr>
              <w:spacing w:line="400" w:lineRule="exact"/>
              <w:jc w:val="center"/>
              <w:rPr>
                <w:rFonts w:hint="eastAsia" w:ascii="宋体" w:hAnsi="宋体" w:eastAsia="宋体" w:cs="宋体"/>
                <w:color w:val="auto"/>
                <w:sz w:val="24"/>
                <w:szCs w:val="24"/>
              </w:rPr>
            </w:pPr>
          </w:p>
        </w:tc>
        <w:tc>
          <w:tcPr>
            <w:tcW w:w="884" w:type="dxa"/>
            <w:noWrap w:val="0"/>
            <w:vAlign w:val="top"/>
          </w:tcPr>
          <w:p>
            <w:pPr>
              <w:spacing w:line="360" w:lineRule="auto"/>
              <w:jc w:val="center"/>
              <w:rPr>
                <w:rFonts w:hint="eastAsia" w:ascii="宋体" w:hAnsi="宋体" w:eastAsia="宋体" w:cs="宋体"/>
                <w:color w:val="auto"/>
                <w:sz w:val="24"/>
                <w:szCs w:val="24"/>
              </w:rPr>
            </w:pPr>
          </w:p>
        </w:tc>
        <w:tc>
          <w:tcPr>
            <w:tcW w:w="1038" w:type="dxa"/>
            <w:noWrap w:val="0"/>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5</w:t>
            </w:r>
          </w:p>
        </w:tc>
        <w:tc>
          <w:tcPr>
            <w:tcW w:w="1100" w:type="dxa"/>
            <w:noWrap w:val="0"/>
            <w:vAlign w:val="center"/>
          </w:tcPr>
          <w:p>
            <w:pPr>
              <w:spacing w:line="400" w:lineRule="exact"/>
              <w:jc w:val="center"/>
              <w:rPr>
                <w:rFonts w:hint="eastAsia" w:ascii="宋体" w:hAnsi="宋体" w:eastAsia="宋体" w:cs="宋体"/>
                <w:color w:val="auto"/>
                <w:sz w:val="24"/>
                <w:szCs w:val="24"/>
              </w:rPr>
            </w:pPr>
          </w:p>
        </w:tc>
        <w:tc>
          <w:tcPr>
            <w:tcW w:w="1762" w:type="dxa"/>
            <w:noWrap w:val="0"/>
            <w:vAlign w:val="top"/>
          </w:tcPr>
          <w:p>
            <w:pPr>
              <w:spacing w:line="360" w:lineRule="auto"/>
              <w:jc w:val="center"/>
              <w:rPr>
                <w:rFonts w:hint="eastAsia" w:ascii="宋体" w:hAnsi="宋体" w:eastAsia="宋体" w:cs="宋体"/>
                <w:color w:val="auto"/>
                <w:sz w:val="24"/>
                <w:szCs w:val="24"/>
              </w:rPr>
            </w:pPr>
          </w:p>
        </w:tc>
        <w:tc>
          <w:tcPr>
            <w:tcW w:w="2050" w:type="dxa"/>
            <w:noWrap w:val="0"/>
            <w:vAlign w:val="center"/>
          </w:tcPr>
          <w:p>
            <w:pPr>
              <w:spacing w:line="400" w:lineRule="exact"/>
              <w:jc w:val="center"/>
              <w:rPr>
                <w:rFonts w:hint="eastAsia" w:ascii="宋体" w:hAnsi="宋体" w:eastAsia="宋体" w:cs="宋体"/>
                <w:color w:val="auto"/>
                <w:sz w:val="24"/>
                <w:szCs w:val="24"/>
              </w:rPr>
            </w:pPr>
          </w:p>
        </w:tc>
        <w:tc>
          <w:tcPr>
            <w:tcW w:w="883" w:type="dxa"/>
            <w:noWrap w:val="0"/>
            <w:vAlign w:val="center"/>
          </w:tcPr>
          <w:p>
            <w:pPr>
              <w:spacing w:line="400" w:lineRule="exact"/>
              <w:jc w:val="center"/>
              <w:rPr>
                <w:rFonts w:hint="eastAsia" w:ascii="宋体" w:hAnsi="宋体" w:eastAsia="宋体" w:cs="宋体"/>
                <w:color w:val="auto"/>
                <w:sz w:val="24"/>
                <w:szCs w:val="24"/>
              </w:rPr>
            </w:pPr>
          </w:p>
        </w:tc>
        <w:tc>
          <w:tcPr>
            <w:tcW w:w="983" w:type="dxa"/>
            <w:noWrap w:val="0"/>
            <w:vAlign w:val="center"/>
          </w:tcPr>
          <w:p>
            <w:pPr>
              <w:spacing w:line="400" w:lineRule="exact"/>
              <w:jc w:val="center"/>
              <w:rPr>
                <w:rFonts w:hint="eastAsia" w:ascii="宋体" w:hAnsi="宋体" w:eastAsia="宋体" w:cs="宋体"/>
                <w:color w:val="auto"/>
                <w:sz w:val="24"/>
                <w:szCs w:val="24"/>
              </w:rPr>
            </w:pPr>
          </w:p>
        </w:tc>
        <w:tc>
          <w:tcPr>
            <w:tcW w:w="884" w:type="dxa"/>
            <w:noWrap w:val="0"/>
            <w:vAlign w:val="top"/>
          </w:tcPr>
          <w:p>
            <w:pPr>
              <w:spacing w:line="360" w:lineRule="auto"/>
              <w:jc w:val="center"/>
              <w:rPr>
                <w:rFonts w:hint="eastAsia" w:ascii="宋体" w:hAnsi="宋体" w:eastAsia="宋体" w:cs="宋体"/>
                <w:color w:val="auto"/>
                <w:sz w:val="24"/>
                <w:szCs w:val="24"/>
              </w:rPr>
            </w:pPr>
          </w:p>
        </w:tc>
        <w:tc>
          <w:tcPr>
            <w:tcW w:w="1038" w:type="dxa"/>
            <w:noWrap w:val="0"/>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00" w:type="dxa"/>
            <w:gridSpan w:val="8"/>
            <w:noWrap w:val="0"/>
            <w:vAlign w:val="center"/>
          </w:tcPr>
          <w:p>
            <w:pPr>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总价大写：</w:t>
            </w:r>
            <w:r>
              <w:rPr>
                <w:rFonts w:hint="eastAsia" w:ascii="宋体" w:hAnsi="宋体" w:eastAsia="宋体" w:cs="宋体"/>
                <w:b/>
                <w:bCs/>
                <w:color w:val="auto"/>
                <w:sz w:val="24"/>
                <w:szCs w:val="24"/>
                <w:lang w:val="en-US" w:eastAsia="zh-CN"/>
              </w:rPr>
              <w:t xml:space="preserve">            元整  （小写：￥    万元）</w:t>
            </w:r>
          </w:p>
        </w:tc>
      </w:tr>
    </w:tbl>
    <w:p>
      <w:pPr>
        <w:spacing w:line="560" w:lineRule="exact"/>
        <w:rPr>
          <w:rFonts w:hint="eastAsia" w:ascii="宋体" w:hAnsi="宋体" w:cs="宋体"/>
          <w:bCs/>
          <w:color w:val="auto"/>
          <w:sz w:val="24"/>
        </w:rPr>
      </w:pPr>
    </w:p>
    <w:p>
      <w:pPr>
        <w:spacing w:line="560" w:lineRule="exact"/>
        <w:ind w:firstLine="5280" w:firstLineChars="2200"/>
        <w:rPr>
          <w:rFonts w:ascii="宋体" w:hAnsi="宋体" w:cs="宋体"/>
          <w:bCs/>
          <w:color w:val="auto"/>
          <w:sz w:val="24"/>
        </w:rPr>
      </w:pPr>
      <w:r>
        <w:rPr>
          <w:rFonts w:hint="eastAsia" w:ascii="宋体" w:hAnsi="宋体" w:cs="宋体"/>
          <w:bCs/>
          <w:color w:val="auto"/>
          <w:sz w:val="24"/>
          <w:lang w:eastAsia="zh-CN"/>
        </w:rPr>
        <w:t>投标人</w:t>
      </w:r>
      <w:r>
        <w:rPr>
          <w:rFonts w:hint="eastAsia" w:ascii="宋体" w:hAnsi="宋体" w:cs="宋体"/>
          <w:bCs/>
          <w:color w:val="auto"/>
          <w:sz w:val="24"/>
        </w:rPr>
        <w:t>：</w:t>
      </w:r>
      <w:r>
        <w:rPr>
          <w:rFonts w:hint="eastAsia" w:ascii="宋体" w:hAnsi="宋体" w:cs="宋体"/>
          <w:bCs/>
          <w:color w:val="auto"/>
          <w:sz w:val="24"/>
          <w:u w:val="single"/>
        </w:rPr>
        <w:t xml:space="preserve">         </w:t>
      </w:r>
      <w:r>
        <w:rPr>
          <w:rFonts w:hint="eastAsia" w:ascii="宋体" w:hAnsi="宋体" w:cs="宋体"/>
          <w:bCs/>
          <w:color w:val="auto"/>
          <w:sz w:val="24"/>
        </w:rPr>
        <w:t>（盖章）</w:t>
      </w:r>
    </w:p>
    <w:p>
      <w:pPr>
        <w:spacing w:line="560" w:lineRule="exact"/>
        <w:ind w:firstLine="5760" w:firstLineChars="2400"/>
        <w:rPr>
          <w:rFonts w:ascii="宋体" w:hAnsi="宋体" w:cs="宋体"/>
          <w:bCs/>
          <w:color w:val="auto"/>
          <w:sz w:val="24"/>
        </w:rPr>
      </w:pPr>
      <w:r>
        <w:rPr>
          <w:rFonts w:hint="eastAsia" w:ascii="宋体" w:hAnsi="宋体" w:cs="宋体"/>
          <w:bCs/>
          <w:color w:val="auto"/>
          <w:sz w:val="24"/>
        </w:rPr>
        <w:t>年     月     日</w:t>
      </w:r>
    </w:p>
    <w:p>
      <w:pPr>
        <w:pStyle w:val="9"/>
        <w:ind w:firstLine="0"/>
        <w:rPr>
          <w:rFonts w:asciiTheme="minorEastAsia" w:hAnsiTheme="minorEastAsia" w:eastAsiaTheme="minorEastAsia" w:cstheme="minorEastAsia"/>
          <w:color w:val="auto"/>
          <w:sz w:val="32"/>
          <w:szCs w:val="32"/>
          <w:u w:val="single"/>
        </w:rPr>
      </w:pPr>
    </w:p>
    <w:p>
      <w:pPr>
        <w:pStyle w:val="9"/>
        <w:ind w:firstLine="0"/>
        <w:rPr>
          <w:rFonts w:asciiTheme="minorEastAsia" w:hAnsiTheme="minorEastAsia" w:eastAsiaTheme="minorEastAsia" w:cstheme="minorEastAsia"/>
          <w:color w:val="auto"/>
          <w:sz w:val="32"/>
          <w:szCs w:val="32"/>
          <w:u w:val="single"/>
        </w:rPr>
      </w:pPr>
    </w:p>
    <w:p>
      <w:pP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br w:type="page"/>
      </w:r>
    </w:p>
    <w:p>
      <w:pPr>
        <w:keepNext/>
        <w:keepLines/>
        <w:spacing w:before="260" w:after="260" w:line="560" w:lineRule="exact"/>
        <w:jc w:val="center"/>
        <w:outlineLvl w:val="1"/>
        <w:rPr>
          <w:rFonts w:asciiTheme="minorEastAsia" w:hAnsiTheme="minorEastAsia" w:eastAsiaTheme="minorEastAsia" w:cstheme="minorEastAsia"/>
          <w:b/>
          <w:bCs/>
          <w:color w:val="auto"/>
          <w:sz w:val="32"/>
          <w:szCs w:val="32"/>
        </w:rPr>
      </w:pPr>
      <w:bookmarkStart w:id="245" w:name="_Toc9350"/>
      <w:r>
        <w:rPr>
          <w:rFonts w:hint="eastAsia" w:asciiTheme="minorEastAsia" w:hAnsiTheme="minorEastAsia" w:eastAsiaTheme="minorEastAsia" w:cstheme="minorEastAsia"/>
          <w:b/>
          <w:color w:val="auto"/>
          <w:sz w:val="32"/>
          <w:szCs w:val="32"/>
        </w:rPr>
        <w:t>四、采购需求响应表</w:t>
      </w:r>
      <w:r>
        <w:rPr>
          <w:rFonts w:hint="eastAsia" w:asciiTheme="minorEastAsia" w:hAnsiTheme="minorEastAsia" w:eastAsiaTheme="minorEastAsia" w:cstheme="minorEastAsia"/>
          <w:b/>
          <w:bCs/>
          <w:color w:val="auto"/>
          <w:sz w:val="32"/>
          <w:szCs w:val="32"/>
        </w:rPr>
        <w:t>（可根据实际情况修改）</w:t>
      </w:r>
      <w:bookmarkEnd w:id="245"/>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3853"/>
        <w:gridCol w:w="3041"/>
        <w:gridCol w:w="1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217" w:type="dxa"/>
            <w:vMerge w:val="restart"/>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产品</w:t>
            </w:r>
            <w:r>
              <w:rPr>
                <w:rFonts w:hint="eastAsia" w:ascii="宋体" w:hAnsi="宋体" w:eastAsia="宋体" w:cs="宋体"/>
                <w:bCs/>
                <w:color w:val="auto"/>
                <w:sz w:val="24"/>
                <w:szCs w:val="24"/>
              </w:rPr>
              <w:t>名称</w:t>
            </w:r>
          </w:p>
        </w:tc>
        <w:tc>
          <w:tcPr>
            <w:tcW w:w="3853"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文件规定</w:t>
            </w:r>
          </w:p>
        </w:tc>
        <w:tc>
          <w:tcPr>
            <w:tcW w:w="3041"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响应</w:t>
            </w:r>
            <w:r>
              <w:rPr>
                <w:rFonts w:hint="eastAsia" w:ascii="宋体" w:hAnsi="宋体" w:eastAsia="宋体" w:cs="宋体"/>
                <w:bCs/>
                <w:color w:val="auto"/>
                <w:sz w:val="24"/>
                <w:szCs w:val="24"/>
              </w:rPr>
              <w:t>文件响应情况</w:t>
            </w:r>
          </w:p>
        </w:tc>
        <w:tc>
          <w:tcPr>
            <w:tcW w:w="1013" w:type="dxa"/>
            <w:vMerge w:val="restart"/>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偏离</w:t>
            </w:r>
          </w:p>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noWrap w:val="0"/>
            <w:vAlign w:val="center"/>
          </w:tcPr>
          <w:p>
            <w:pPr>
              <w:spacing w:line="560" w:lineRule="exact"/>
              <w:jc w:val="center"/>
              <w:rPr>
                <w:rFonts w:hint="eastAsia" w:ascii="宋体" w:hAnsi="宋体" w:eastAsia="宋体" w:cs="宋体"/>
                <w:bCs/>
                <w:color w:val="auto"/>
                <w:sz w:val="24"/>
                <w:szCs w:val="24"/>
              </w:rPr>
            </w:pPr>
          </w:p>
        </w:tc>
        <w:tc>
          <w:tcPr>
            <w:tcW w:w="1217" w:type="dxa"/>
            <w:vMerge w:val="continue"/>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pacing w:val="-6"/>
                <w:sz w:val="24"/>
                <w:szCs w:val="24"/>
                <w:lang w:eastAsia="zh-CN"/>
              </w:rPr>
            </w:pPr>
            <w:r>
              <w:rPr>
                <w:rFonts w:hint="eastAsia" w:ascii="宋体" w:hAnsi="宋体" w:eastAsia="宋体" w:cs="宋体"/>
                <w:bCs/>
                <w:color w:val="auto"/>
                <w:sz w:val="24"/>
                <w:szCs w:val="24"/>
                <w:lang w:eastAsia="zh-CN"/>
              </w:rPr>
              <w:t>技术参数</w:t>
            </w:r>
          </w:p>
        </w:tc>
        <w:tc>
          <w:tcPr>
            <w:tcW w:w="3041"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技术参数</w:t>
            </w:r>
          </w:p>
        </w:tc>
        <w:tc>
          <w:tcPr>
            <w:tcW w:w="1013" w:type="dxa"/>
            <w:vMerge w:val="continue"/>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217" w:type="dxa"/>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z w:val="24"/>
                <w:szCs w:val="24"/>
              </w:rPr>
            </w:pPr>
          </w:p>
        </w:tc>
        <w:tc>
          <w:tcPr>
            <w:tcW w:w="3041" w:type="dxa"/>
            <w:noWrap w:val="0"/>
            <w:vAlign w:val="center"/>
          </w:tcPr>
          <w:p>
            <w:pPr>
              <w:spacing w:line="560" w:lineRule="exact"/>
              <w:jc w:val="center"/>
              <w:rPr>
                <w:rFonts w:hint="eastAsia" w:ascii="宋体" w:hAnsi="宋体" w:eastAsia="宋体" w:cs="宋体"/>
                <w:bCs/>
                <w:color w:val="auto"/>
                <w:sz w:val="24"/>
                <w:szCs w:val="24"/>
              </w:rPr>
            </w:pPr>
          </w:p>
        </w:tc>
        <w:tc>
          <w:tcPr>
            <w:tcW w:w="1013" w:type="dxa"/>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217" w:type="dxa"/>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z w:val="24"/>
                <w:szCs w:val="24"/>
              </w:rPr>
            </w:pPr>
          </w:p>
        </w:tc>
        <w:tc>
          <w:tcPr>
            <w:tcW w:w="3041" w:type="dxa"/>
            <w:noWrap w:val="0"/>
            <w:vAlign w:val="center"/>
          </w:tcPr>
          <w:p>
            <w:pPr>
              <w:spacing w:line="560" w:lineRule="exact"/>
              <w:jc w:val="center"/>
              <w:rPr>
                <w:rFonts w:hint="eastAsia" w:ascii="宋体" w:hAnsi="宋体" w:eastAsia="宋体" w:cs="宋体"/>
                <w:bCs/>
                <w:color w:val="auto"/>
                <w:sz w:val="24"/>
                <w:szCs w:val="24"/>
              </w:rPr>
            </w:pPr>
          </w:p>
        </w:tc>
        <w:tc>
          <w:tcPr>
            <w:tcW w:w="1013" w:type="dxa"/>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217" w:type="dxa"/>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z w:val="24"/>
                <w:szCs w:val="24"/>
              </w:rPr>
            </w:pPr>
          </w:p>
        </w:tc>
        <w:tc>
          <w:tcPr>
            <w:tcW w:w="3041" w:type="dxa"/>
            <w:noWrap w:val="0"/>
            <w:vAlign w:val="center"/>
          </w:tcPr>
          <w:p>
            <w:pPr>
              <w:spacing w:line="560" w:lineRule="exact"/>
              <w:jc w:val="center"/>
              <w:rPr>
                <w:rFonts w:hint="eastAsia" w:ascii="宋体" w:hAnsi="宋体" w:eastAsia="宋体" w:cs="宋体"/>
                <w:bCs/>
                <w:color w:val="auto"/>
                <w:sz w:val="24"/>
                <w:szCs w:val="24"/>
              </w:rPr>
            </w:pPr>
          </w:p>
        </w:tc>
        <w:tc>
          <w:tcPr>
            <w:tcW w:w="1013" w:type="dxa"/>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217" w:type="dxa"/>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z w:val="24"/>
                <w:szCs w:val="24"/>
              </w:rPr>
            </w:pPr>
          </w:p>
        </w:tc>
        <w:tc>
          <w:tcPr>
            <w:tcW w:w="3041" w:type="dxa"/>
            <w:noWrap w:val="0"/>
            <w:vAlign w:val="center"/>
          </w:tcPr>
          <w:p>
            <w:pPr>
              <w:spacing w:line="560" w:lineRule="exact"/>
              <w:jc w:val="center"/>
              <w:rPr>
                <w:rFonts w:hint="eastAsia" w:ascii="宋体" w:hAnsi="宋体" w:eastAsia="宋体" w:cs="宋体"/>
                <w:bCs/>
                <w:color w:val="auto"/>
                <w:sz w:val="24"/>
                <w:szCs w:val="24"/>
              </w:rPr>
            </w:pPr>
          </w:p>
        </w:tc>
        <w:tc>
          <w:tcPr>
            <w:tcW w:w="1013" w:type="dxa"/>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217" w:type="dxa"/>
            <w:noWrap w:val="0"/>
            <w:vAlign w:val="center"/>
          </w:tcPr>
          <w:p>
            <w:pPr>
              <w:spacing w:line="560" w:lineRule="exact"/>
              <w:jc w:val="center"/>
              <w:rPr>
                <w:rFonts w:hint="eastAsia" w:ascii="宋体" w:hAnsi="宋体" w:eastAsia="宋体" w:cs="宋体"/>
                <w:bCs/>
                <w:color w:val="auto"/>
                <w:sz w:val="24"/>
                <w:szCs w:val="24"/>
              </w:rPr>
            </w:pPr>
          </w:p>
        </w:tc>
        <w:tc>
          <w:tcPr>
            <w:tcW w:w="3853" w:type="dxa"/>
            <w:noWrap w:val="0"/>
            <w:vAlign w:val="center"/>
          </w:tcPr>
          <w:p>
            <w:pPr>
              <w:spacing w:line="560" w:lineRule="exact"/>
              <w:jc w:val="center"/>
              <w:rPr>
                <w:rFonts w:hint="eastAsia" w:ascii="宋体" w:hAnsi="宋体" w:eastAsia="宋体" w:cs="宋体"/>
                <w:bCs/>
                <w:color w:val="auto"/>
                <w:sz w:val="24"/>
                <w:szCs w:val="24"/>
              </w:rPr>
            </w:pPr>
          </w:p>
        </w:tc>
        <w:tc>
          <w:tcPr>
            <w:tcW w:w="3041" w:type="dxa"/>
            <w:noWrap w:val="0"/>
            <w:vAlign w:val="center"/>
          </w:tcPr>
          <w:p>
            <w:pPr>
              <w:spacing w:line="560" w:lineRule="exact"/>
              <w:jc w:val="center"/>
              <w:rPr>
                <w:rFonts w:hint="eastAsia" w:ascii="宋体" w:hAnsi="宋体" w:eastAsia="宋体" w:cs="宋体"/>
                <w:bCs/>
                <w:color w:val="auto"/>
                <w:sz w:val="24"/>
                <w:szCs w:val="24"/>
              </w:rPr>
            </w:pPr>
          </w:p>
        </w:tc>
        <w:tc>
          <w:tcPr>
            <w:tcW w:w="1013" w:type="dxa"/>
            <w:noWrap w:val="0"/>
            <w:vAlign w:val="center"/>
          </w:tcPr>
          <w:p>
            <w:pPr>
              <w:spacing w:line="560" w:lineRule="exact"/>
              <w:jc w:val="center"/>
              <w:rPr>
                <w:rFonts w:hint="eastAsia" w:ascii="宋体" w:hAnsi="宋体" w:eastAsia="宋体" w:cs="宋体"/>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noWrap w:val="0"/>
            <w:vAlign w:val="center"/>
          </w:tcPr>
          <w:p>
            <w:pPr>
              <w:spacing w:line="5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217" w:type="dxa"/>
            <w:tcBorders>
              <w:bottom w:val="double" w:color="auto" w:sz="4" w:space="0"/>
            </w:tcBorders>
            <w:noWrap w:val="0"/>
            <w:vAlign w:val="center"/>
          </w:tcPr>
          <w:p>
            <w:pPr>
              <w:spacing w:line="560" w:lineRule="exact"/>
              <w:jc w:val="center"/>
              <w:rPr>
                <w:rFonts w:hint="eastAsia" w:ascii="宋体" w:hAnsi="宋体" w:eastAsia="宋体" w:cs="宋体"/>
                <w:bCs/>
                <w:color w:val="auto"/>
                <w:sz w:val="24"/>
                <w:szCs w:val="24"/>
              </w:rPr>
            </w:pPr>
          </w:p>
        </w:tc>
        <w:tc>
          <w:tcPr>
            <w:tcW w:w="3853" w:type="dxa"/>
            <w:tcBorders>
              <w:bottom w:val="double" w:color="auto" w:sz="4" w:space="0"/>
            </w:tcBorders>
            <w:noWrap w:val="0"/>
            <w:vAlign w:val="center"/>
          </w:tcPr>
          <w:p>
            <w:pPr>
              <w:spacing w:line="560" w:lineRule="exact"/>
              <w:jc w:val="center"/>
              <w:rPr>
                <w:rFonts w:hint="eastAsia" w:ascii="宋体" w:hAnsi="宋体" w:eastAsia="宋体" w:cs="宋体"/>
                <w:bCs/>
                <w:color w:val="auto"/>
                <w:sz w:val="24"/>
                <w:szCs w:val="24"/>
              </w:rPr>
            </w:pPr>
          </w:p>
        </w:tc>
        <w:tc>
          <w:tcPr>
            <w:tcW w:w="3041" w:type="dxa"/>
            <w:tcBorders>
              <w:bottom w:val="double" w:color="auto" w:sz="4" w:space="0"/>
            </w:tcBorders>
            <w:noWrap w:val="0"/>
            <w:vAlign w:val="center"/>
          </w:tcPr>
          <w:p>
            <w:pPr>
              <w:spacing w:line="560" w:lineRule="exact"/>
              <w:jc w:val="center"/>
              <w:rPr>
                <w:rFonts w:hint="eastAsia" w:ascii="宋体" w:hAnsi="宋体" w:eastAsia="宋体" w:cs="宋体"/>
                <w:bCs/>
                <w:color w:val="auto"/>
                <w:sz w:val="24"/>
                <w:szCs w:val="24"/>
              </w:rPr>
            </w:pPr>
          </w:p>
        </w:tc>
        <w:tc>
          <w:tcPr>
            <w:tcW w:w="1013" w:type="dxa"/>
            <w:tcBorders>
              <w:bottom w:val="double" w:color="auto" w:sz="4" w:space="0"/>
            </w:tcBorders>
            <w:noWrap w:val="0"/>
            <w:vAlign w:val="center"/>
          </w:tcPr>
          <w:p>
            <w:pPr>
              <w:spacing w:line="560" w:lineRule="exact"/>
              <w:jc w:val="center"/>
              <w:rPr>
                <w:rFonts w:hint="eastAsia" w:ascii="宋体" w:hAnsi="宋体" w:eastAsia="宋体" w:cs="宋体"/>
                <w:bCs/>
                <w:color w:val="auto"/>
                <w:sz w:val="24"/>
                <w:szCs w:val="24"/>
              </w:rPr>
            </w:pPr>
          </w:p>
        </w:tc>
      </w:tr>
    </w:tbl>
    <w:p>
      <w:pPr>
        <w:spacing w:line="560" w:lineRule="exact"/>
        <w:rPr>
          <w:rFonts w:asciiTheme="minorEastAsia" w:hAnsiTheme="minorEastAsia" w:eastAsiaTheme="minorEastAsia" w:cstheme="minorEastAsia"/>
          <w:bCs/>
          <w:color w:val="auto"/>
          <w:sz w:val="28"/>
          <w:szCs w:val="28"/>
        </w:rPr>
      </w:pPr>
    </w:p>
    <w:p>
      <w:pPr>
        <w:pStyle w:val="9"/>
        <w:ind w:firstLine="0"/>
        <w:rPr>
          <w:rFonts w:asciiTheme="minorEastAsia" w:hAnsiTheme="minorEastAsia" w:eastAsiaTheme="minorEastAsia" w:cstheme="minorEastAsia"/>
          <w:color w:val="auto"/>
          <w:sz w:val="28"/>
          <w:szCs w:val="28"/>
          <w:u w:val="single"/>
        </w:rPr>
      </w:pPr>
    </w:p>
    <w:p>
      <w:pPr>
        <w:spacing w:line="560" w:lineRule="exact"/>
        <w:ind w:firstLine="4800" w:firstLineChars="20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eastAsia="zh-CN"/>
        </w:rPr>
        <w:t>投标人</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（盖章）</w:t>
      </w:r>
    </w:p>
    <w:p>
      <w:pPr>
        <w:spacing w:line="560" w:lineRule="exact"/>
        <w:ind w:firstLine="5280" w:firstLineChars="2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年     月     日</w:t>
      </w:r>
    </w:p>
    <w:p>
      <w:pPr>
        <w:pStyle w:val="9"/>
        <w:ind w:firstLine="0"/>
        <w:rPr>
          <w:rFonts w:asciiTheme="minorEastAsia" w:hAnsiTheme="minorEastAsia" w:eastAsiaTheme="minorEastAsia" w:cstheme="minorEastAsia"/>
          <w:color w:val="auto"/>
          <w:sz w:val="32"/>
          <w:szCs w:val="32"/>
          <w:u w:val="single"/>
        </w:rPr>
      </w:pPr>
    </w:p>
    <w:p>
      <w:pPr>
        <w:rPr>
          <w:rFonts w:asciiTheme="minorEastAsia" w:hAnsiTheme="minorEastAsia" w:eastAsiaTheme="minorEastAsia" w:cstheme="minorEastAsia"/>
          <w:bCs/>
          <w:color w:val="auto"/>
          <w:sz w:val="32"/>
          <w:szCs w:val="32"/>
        </w:rPr>
      </w:pPr>
      <w:bookmarkStart w:id="246" w:name="_Toc71967775"/>
      <w:bookmarkStart w:id="247" w:name="_Toc118878852"/>
      <w:bookmarkStart w:id="248" w:name="_Toc71968192"/>
      <w:bookmarkStart w:id="249" w:name="_Toc71968894"/>
      <w:bookmarkStart w:id="250" w:name="_Toc237920725"/>
      <w:bookmarkStart w:id="251" w:name="_Toc71968006"/>
      <w:bookmarkStart w:id="252" w:name="_Toc71968699"/>
      <w:bookmarkStart w:id="253" w:name="_Toc82222718"/>
      <w:bookmarkStart w:id="254" w:name="_Toc237920953"/>
      <w:bookmarkStart w:id="255" w:name="_Toc71881273"/>
      <w:r>
        <w:rPr>
          <w:rFonts w:hint="eastAsia" w:asciiTheme="minorEastAsia" w:hAnsiTheme="minorEastAsia" w:eastAsiaTheme="minorEastAsia" w:cstheme="minorEastAsia"/>
          <w:bCs/>
          <w:color w:val="auto"/>
          <w:sz w:val="32"/>
          <w:szCs w:val="32"/>
        </w:rPr>
        <w:br w:type="page"/>
      </w:r>
    </w:p>
    <w:bookmarkEnd w:id="246"/>
    <w:bookmarkEnd w:id="247"/>
    <w:bookmarkEnd w:id="248"/>
    <w:bookmarkEnd w:id="249"/>
    <w:bookmarkEnd w:id="250"/>
    <w:bookmarkEnd w:id="251"/>
    <w:bookmarkEnd w:id="252"/>
    <w:bookmarkEnd w:id="253"/>
    <w:bookmarkEnd w:id="254"/>
    <w:bookmarkEnd w:id="255"/>
    <w:p>
      <w:pPr>
        <w:keepNext/>
        <w:keepLines/>
        <w:spacing w:before="260" w:after="260" w:line="560" w:lineRule="exact"/>
        <w:jc w:val="center"/>
        <w:outlineLvl w:val="1"/>
        <w:rPr>
          <w:rFonts w:asciiTheme="minorEastAsia" w:hAnsiTheme="minorEastAsia" w:eastAsiaTheme="minorEastAsia" w:cstheme="minorEastAsia"/>
          <w:b/>
          <w:bCs/>
          <w:color w:val="auto"/>
          <w:sz w:val="32"/>
          <w:szCs w:val="32"/>
        </w:rPr>
      </w:pPr>
      <w:bookmarkStart w:id="256" w:name="_Toc32646"/>
      <w:r>
        <w:rPr>
          <w:rFonts w:hint="eastAsia" w:asciiTheme="minorEastAsia" w:hAnsiTheme="minorEastAsia" w:eastAsiaTheme="minorEastAsia" w:cstheme="minorEastAsia"/>
          <w:b/>
          <w:bCs/>
          <w:color w:val="auto"/>
          <w:sz w:val="32"/>
          <w:szCs w:val="32"/>
        </w:rPr>
        <w:t>五、采购需求及相关要求响应详情</w:t>
      </w:r>
      <w:bookmarkEnd w:id="256"/>
    </w:p>
    <w:p>
      <w:pPr>
        <w:spacing w:before="120" w:after="120" w:line="560" w:lineRule="exact"/>
        <w:jc w:val="left"/>
        <w:rPr>
          <w:rFonts w:asciiTheme="minorEastAsia" w:hAnsiTheme="minorEastAsia" w:eastAsiaTheme="minorEastAsia" w:cstheme="minorEastAsia"/>
          <w:bCs/>
          <w:caps/>
          <w:color w:val="auto"/>
          <w:sz w:val="24"/>
        </w:rPr>
      </w:pPr>
      <w:r>
        <w:rPr>
          <w:rFonts w:hint="eastAsia" w:asciiTheme="minorEastAsia" w:hAnsiTheme="minorEastAsia" w:eastAsiaTheme="minorEastAsia" w:cstheme="minorEastAsia"/>
          <w:bCs/>
          <w:caps/>
          <w:color w:val="auto"/>
          <w:sz w:val="24"/>
        </w:rPr>
        <w:t>（本部分由</w:t>
      </w:r>
      <w:r>
        <w:rPr>
          <w:rFonts w:hint="eastAsia" w:asciiTheme="minorEastAsia" w:hAnsiTheme="minorEastAsia" w:eastAsiaTheme="minorEastAsia" w:cstheme="minorEastAsia"/>
          <w:bCs/>
          <w:caps/>
          <w:color w:val="auto"/>
          <w:sz w:val="24"/>
          <w:lang w:eastAsia="zh-CN"/>
        </w:rPr>
        <w:t>投标人</w:t>
      </w:r>
      <w:r>
        <w:rPr>
          <w:rFonts w:hint="eastAsia" w:asciiTheme="minorEastAsia" w:hAnsiTheme="minorEastAsia" w:eastAsiaTheme="minorEastAsia" w:cstheme="minorEastAsia"/>
          <w:bCs/>
          <w:caps/>
          <w:color w:val="auto"/>
          <w:sz w:val="24"/>
        </w:rPr>
        <w:t>根据磋商文件的采购需求和相关要求填写，附详细的方案和相应的承诺等。）</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32"/>
          <w:szCs w:val="32"/>
        </w:rPr>
        <w:br w:type="page"/>
      </w:r>
    </w:p>
    <w:p>
      <w:pPr>
        <w:pStyle w:val="5"/>
        <w:spacing w:line="560" w:lineRule="exact"/>
        <w:ind w:firstLine="3200" w:firstLineChars="1000"/>
        <w:rPr>
          <w:rFonts w:asciiTheme="minorEastAsia" w:hAnsiTheme="minorEastAsia" w:eastAsiaTheme="minorEastAsia" w:cstheme="minorEastAsia"/>
          <w:color w:val="auto"/>
        </w:rPr>
      </w:pPr>
      <w:bookmarkStart w:id="257" w:name="_Toc30563"/>
      <w:r>
        <w:rPr>
          <w:rFonts w:hint="eastAsia" w:asciiTheme="minorEastAsia" w:hAnsiTheme="minorEastAsia" w:eastAsiaTheme="minorEastAsia" w:cstheme="minorEastAsia"/>
          <w:color w:val="auto"/>
        </w:rPr>
        <w:t>六、资格证明文件</w:t>
      </w:r>
      <w:bookmarkEnd w:id="257"/>
    </w:p>
    <w:p>
      <w:pPr>
        <w:pStyle w:val="5"/>
        <w:spacing w:before="0" w:line="560" w:lineRule="exact"/>
        <w:jc w:val="center"/>
        <w:rPr>
          <w:rFonts w:asciiTheme="minorEastAsia" w:hAnsiTheme="minorEastAsia" w:eastAsiaTheme="minorEastAsia" w:cstheme="minorEastAsia"/>
          <w:color w:val="auto"/>
          <w:sz w:val="28"/>
          <w:szCs w:val="28"/>
        </w:rPr>
      </w:pPr>
      <w:bookmarkStart w:id="258" w:name="_Toc9890"/>
      <w:r>
        <w:rPr>
          <w:rFonts w:hint="eastAsia" w:asciiTheme="minorEastAsia" w:hAnsiTheme="minorEastAsia" w:eastAsiaTheme="minorEastAsia" w:cstheme="minorEastAsia"/>
          <w:color w:val="auto"/>
          <w:sz w:val="28"/>
          <w:szCs w:val="28"/>
        </w:rPr>
        <w:t>（一）法人或者非法人组织的营业执照等证明文件</w:t>
      </w:r>
      <w:bookmarkStart w:id="259" w:name="_Toc515647806"/>
      <w:r>
        <w:rPr>
          <w:rFonts w:hint="eastAsia" w:asciiTheme="minorEastAsia" w:hAnsiTheme="minorEastAsia" w:eastAsiaTheme="minorEastAsia" w:cstheme="minorEastAsia"/>
          <w:color w:val="auto"/>
          <w:sz w:val="28"/>
          <w:szCs w:val="28"/>
        </w:rPr>
        <w:t>或自然人的身份证明</w:t>
      </w:r>
      <w:bookmarkEnd w:id="258"/>
      <w:bookmarkEnd w:id="259"/>
    </w:p>
    <w:p>
      <w:pPr>
        <w:pStyle w:val="11"/>
        <w:tabs>
          <w:tab w:val="left" w:pos="5580"/>
        </w:tabs>
        <w:spacing w:line="560" w:lineRule="exact"/>
        <w:ind w:left="1079" w:leftChars="257" w:hanging="540"/>
        <w:rPr>
          <w:rFonts w:asciiTheme="minorEastAsia" w:hAnsiTheme="minorEastAsia" w:eastAsiaTheme="minorEastAsia" w:cstheme="minorEastAsia"/>
          <w:b/>
          <w:color w:val="auto"/>
          <w:sz w:val="32"/>
          <w:szCs w:val="32"/>
        </w:rPr>
      </w:pPr>
    </w:p>
    <w:p>
      <w:pPr>
        <w:pStyle w:val="11"/>
        <w:tabs>
          <w:tab w:val="left" w:pos="5580"/>
        </w:tabs>
        <w:spacing w:line="560" w:lineRule="exact"/>
        <w:ind w:left="1079" w:leftChars="257" w:hanging="540"/>
        <w:rPr>
          <w:rFonts w:asciiTheme="minorEastAsia" w:hAnsiTheme="minorEastAsia" w:eastAsiaTheme="minorEastAsia" w:cstheme="minorEastAsia"/>
          <w:b/>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11"/>
        <w:tabs>
          <w:tab w:val="left" w:pos="5580"/>
        </w:tabs>
        <w:spacing w:line="560" w:lineRule="exact"/>
        <w:rPr>
          <w:rFonts w:asciiTheme="minorEastAsia" w:hAnsiTheme="minorEastAsia" w:eastAsiaTheme="minorEastAsia" w:cstheme="minorEastAsia"/>
          <w:color w:val="auto"/>
          <w:sz w:val="32"/>
          <w:szCs w:val="32"/>
        </w:rPr>
      </w:pPr>
    </w:p>
    <w:p>
      <w:pPr>
        <w:pStyle w:val="5"/>
        <w:pageBreakBefore/>
        <w:spacing w:before="0" w:line="560" w:lineRule="exact"/>
        <w:jc w:val="center"/>
        <w:rPr>
          <w:rFonts w:asciiTheme="minorEastAsia" w:hAnsiTheme="minorEastAsia" w:eastAsiaTheme="minorEastAsia" w:cstheme="minorEastAsia"/>
          <w:color w:val="auto"/>
          <w:sz w:val="28"/>
          <w:szCs w:val="28"/>
        </w:rPr>
      </w:pPr>
      <w:bookmarkStart w:id="260" w:name="_Toc17"/>
      <w:r>
        <w:rPr>
          <w:rFonts w:hint="eastAsia" w:asciiTheme="minorEastAsia" w:hAnsiTheme="minorEastAsia" w:eastAsiaTheme="minorEastAsia" w:cstheme="minorEastAsia"/>
          <w:color w:val="auto"/>
          <w:sz w:val="28"/>
          <w:szCs w:val="28"/>
        </w:rPr>
        <w:t>（二）法人代表人授权委托书</w:t>
      </w:r>
      <w:bookmarkEnd w:id="260"/>
    </w:p>
    <w:p>
      <w:pPr>
        <w:spacing w:line="560" w:lineRule="exact"/>
        <w:rPr>
          <w:rFonts w:asciiTheme="minorEastAsia" w:hAnsiTheme="minorEastAsia" w:eastAsiaTheme="minorEastAsia" w:cstheme="minorEastAsia"/>
          <w:b/>
          <w:color w:val="auto"/>
          <w:sz w:val="32"/>
          <w:szCs w:val="32"/>
          <w:highlight w:val="red"/>
        </w:rPr>
      </w:pP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（采购人/采购代理机构名称）</w:t>
      </w:r>
    </w:p>
    <w:p>
      <w:pPr>
        <w:spacing w:line="560" w:lineRule="exact"/>
        <w:ind w:firstLine="645"/>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本授权书声明：</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eastAsia="zh-CN"/>
        </w:rPr>
        <w:t>投标人</w:t>
      </w:r>
      <w:r>
        <w:rPr>
          <w:rFonts w:hint="eastAsia" w:asciiTheme="minorEastAsia" w:hAnsiTheme="minorEastAsia" w:eastAsiaTheme="minorEastAsia" w:cstheme="minorEastAsia"/>
          <w:bCs/>
          <w:color w:val="auto"/>
          <w:sz w:val="24"/>
        </w:rPr>
        <w:t>名称）的</w:t>
      </w:r>
      <w:r>
        <w:rPr>
          <w:rFonts w:hint="eastAsia" w:asciiTheme="minorEastAsia" w:hAnsiTheme="minorEastAsia" w:eastAsiaTheme="minorEastAsia" w:cstheme="minorEastAsia"/>
          <w:bCs/>
          <w:color w:val="auto"/>
          <w:sz w:val="24"/>
          <w:u w:val="single"/>
        </w:rPr>
        <w:t xml:space="preserve">       （法人代表姓名、职务）</w:t>
      </w:r>
      <w:r>
        <w:rPr>
          <w:rFonts w:hint="eastAsia" w:asciiTheme="minorEastAsia" w:hAnsiTheme="minorEastAsia" w:eastAsiaTheme="minorEastAsia" w:cstheme="minorEastAsia"/>
          <w:bCs/>
          <w:color w:val="auto"/>
          <w:sz w:val="24"/>
        </w:rPr>
        <w:t>授权</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被授权人的姓名、职务）为我方就</w:t>
      </w:r>
      <w:r>
        <w:rPr>
          <w:rFonts w:hint="eastAsia" w:asciiTheme="minorEastAsia" w:hAnsiTheme="minorEastAsia" w:eastAsiaTheme="minorEastAsia" w:cstheme="minorEastAsia"/>
          <w:bCs/>
          <w:color w:val="auto"/>
          <w:sz w:val="24"/>
          <w:u w:val="single"/>
        </w:rPr>
        <w:t xml:space="preserve">        （采购项目名称）</w:t>
      </w:r>
      <w:r>
        <w:rPr>
          <w:rFonts w:hint="eastAsia" w:asciiTheme="minorEastAsia" w:hAnsiTheme="minorEastAsia" w:eastAsiaTheme="minorEastAsia" w:cstheme="minorEastAsia"/>
          <w:bCs/>
          <w:color w:val="auto"/>
          <w:sz w:val="24"/>
        </w:rPr>
        <w:t>购项目的合法代理人，以我方名义全权处理与该项目有关的一切事务。</w:t>
      </w:r>
    </w:p>
    <w:p>
      <w:pPr>
        <w:spacing w:line="560" w:lineRule="exact"/>
        <w:ind w:firstLine="645"/>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本授权书于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日签字生效,特此声明。</w:t>
      </w:r>
    </w:p>
    <w:p>
      <w:pPr>
        <w:spacing w:line="560" w:lineRule="exact"/>
        <w:ind w:firstLine="645"/>
        <w:rPr>
          <w:rFonts w:asciiTheme="minorEastAsia" w:hAnsiTheme="minorEastAsia" w:eastAsiaTheme="minorEastAsia" w:cstheme="minorEastAsia"/>
          <w:bCs/>
          <w:color w:val="auto"/>
          <w:sz w:val="24"/>
        </w:rPr>
      </w:pP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（盖公章）：</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FFFFFF"/>
        </w:rPr>
        <w:t>法定代表人（签字或签章）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color="EEECE1"/>
        </w:rPr>
        <w:t>身份证号</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u w:val="single" w:color="FFFFFF"/>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color="FFFFFF"/>
        </w:rPr>
        <w:t>（签字或签章）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身份证号：</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u w:val="single" w:color="FFFFFF"/>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FFFFFF"/>
        </w:rPr>
        <w:t>详细通讯地址</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FFFFFF"/>
        </w:rPr>
        <w:t xml:space="preserve">邮 政 编 码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FFFFFF"/>
        </w:rPr>
        <w:t>传真</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pStyle w:val="11"/>
        <w:tabs>
          <w:tab w:val="left" w:pos="5580"/>
        </w:tabs>
        <w:spacing w:line="56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u w:val="single" w:color="FFFFFF"/>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adjustRightInd w:val="0"/>
        <w:snapToGrid w:val="0"/>
        <w:spacing w:line="560" w:lineRule="exact"/>
        <w:ind w:firstLine="460" w:firstLineChars="192"/>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（附法人及代理人身份证复印件） </w:t>
      </w:r>
    </w:p>
    <w:p>
      <w:pPr>
        <w:adjustRightInd w:val="0"/>
        <w:snapToGrid w:val="0"/>
        <w:spacing w:line="560" w:lineRule="exact"/>
        <w:ind w:firstLine="460" w:firstLineChars="19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注：自然人投标的或法定代表人投标的无需提供</w:t>
      </w:r>
      <w:bookmarkStart w:id="261" w:name="_Toc2582314"/>
    </w:p>
    <w:p>
      <w:pPr>
        <w:pStyle w:val="26"/>
        <w:ind w:firstLine="560"/>
        <w:rPr>
          <w:rFonts w:asciiTheme="minorEastAsia" w:hAnsiTheme="minorEastAsia" w:eastAsiaTheme="minorEastAsia" w:cstheme="minorEastAsia"/>
          <w:color w:val="auto"/>
          <w:sz w:val="28"/>
          <w:szCs w:val="28"/>
        </w:rPr>
      </w:pPr>
    </w:p>
    <w:p>
      <w:pPr>
        <w:pStyle w:val="26"/>
        <w:ind w:firstLine="560"/>
        <w:rPr>
          <w:rFonts w:asciiTheme="minorEastAsia" w:hAnsiTheme="minorEastAsia" w:eastAsiaTheme="minorEastAsia" w:cstheme="minorEastAsia"/>
          <w:color w:val="auto"/>
          <w:sz w:val="28"/>
          <w:szCs w:val="28"/>
        </w:rPr>
      </w:pPr>
    </w:p>
    <w:p>
      <w:pPr>
        <w:pStyle w:val="5"/>
        <w:spacing w:before="0" w:line="560" w:lineRule="exact"/>
        <w:jc w:val="center"/>
        <w:rPr>
          <w:rFonts w:asciiTheme="minorEastAsia" w:hAnsiTheme="minorEastAsia" w:eastAsiaTheme="minorEastAsia" w:cstheme="minorEastAsia"/>
          <w:color w:val="auto"/>
          <w:sz w:val="28"/>
          <w:szCs w:val="28"/>
        </w:rPr>
      </w:pPr>
      <w:bookmarkStart w:id="262" w:name="_Toc31540"/>
      <w:r>
        <w:rPr>
          <w:rFonts w:hint="eastAsia" w:asciiTheme="minorEastAsia" w:hAnsiTheme="minorEastAsia" w:eastAsiaTheme="minorEastAsia" w:cstheme="minorEastAsia"/>
          <w:color w:val="auto"/>
          <w:sz w:val="28"/>
          <w:szCs w:val="28"/>
        </w:rPr>
        <w:t>（三）具有良好的商业信誉和健全的财务会计制度承诺书</w:t>
      </w:r>
      <w:bookmarkEnd w:id="262"/>
    </w:p>
    <w:p>
      <w:pPr>
        <w:spacing w:line="560" w:lineRule="exact"/>
        <w:jc w:val="center"/>
        <w:rPr>
          <w:rFonts w:asciiTheme="minorEastAsia" w:hAnsiTheme="minorEastAsia" w:eastAsiaTheme="minorEastAsia" w:cstheme="minorEastAsia"/>
          <w:color w:val="auto"/>
          <w:sz w:val="32"/>
          <w:szCs w:val="32"/>
        </w:rPr>
      </w:pPr>
    </w:p>
    <w:p>
      <w:pPr>
        <w:spacing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资格承诺函</w:t>
      </w: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（采购人、采购代理机构）</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项目的政府采购活动，现承诺如下：</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我单位具有符合《中华人民共和国政府采购法》《中华人民共和国政府采购法实施条例》及采购文件资格要求规定的良好的商业信誉和健全的财务会计制度。</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若我单位以上承诺不实，自愿承担提供虚假材料谋取中标、成交的法律责任。</w:t>
      </w:r>
    </w:p>
    <w:p>
      <w:pPr>
        <w:spacing w:line="560" w:lineRule="exact"/>
        <w:ind w:firstLine="640"/>
        <w:rPr>
          <w:rFonts w:asciiTheme="minorEastAsia" w:hAnsiTheme="minorEastAsia" w:eastAsiaTheme="minorEastAsia" w:cstheme="minorEastAsia"/>
          <w:color w:val="auto"/>
          <w:sz w:val="24"/>
        </w:rPr>
      </w:pPr>
    </w:p>
    <w:p>
      <w:pPr>
        <w:spacing w:line="560" w:lineRule="exact"/>
        <w:ind w:firstLine="640"/>
        <w:rPr>
          <w:rFonts w:asciiTheme="minorEastAsia" w:hAnsiTheme="minorEastAsia" w:eastAsiaTheme="minorEastAsia" w:cstheme="minorEastAsia"/>
          <w:color w:val="auto"/>
          <w:sz w:val="24"/>
        </w:rPr>
      </w:pP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承诺</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（全称并加盖公章）：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单位负责人或授权代表（签字）：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（投标人承诺良好的商业信誉和健全的财务会计制度；若为联合体投标，联合体各方均需提供承诺书）</w:t>
      </w:r>
    </w:p>
    <w:p>
      <w:pPr>
        <w:pStyle w:val="5"/>
        <w:spacing w:before="0" w:line="560" w:lineRule="exact"/>
        <w:ind w:left="1079" w:leftChars="257" w:hanging="540"/>
        <w:rPr>
          <w:rFonts w:asciiTheme="minorEastAsia" w:hAnsiTheme="minorEastAsia" w:eastAsiaTheme="minorEastAsia" w:cstheme="minorEastAsia"/>
          <w:color w:val="auto"/>
          <w:sz w:val="28"/>
          <w:szCs w:val="28"/>
        </w:rPr>
        <w:sectPr>
          <w:footerReference r:id="rId6" w:type="default"/>
          <w:pgSz w:w="11906" w:h="16838"/>
          <w:pgMar w:top="1440" w:right="1080" w:bottom="1440" w:left="1080" w:header="851" w:footer="992" w:gutter="0"/>
          <w:pgNumType w:fmt="decimal"/>
          <w:cols w:space="720" w:num="1"/>
          <w:docGrid w:type="linesAndChars" w:linePitch="312" w:charSpace="0"/>
        </w:sectPr>
      </w:pPr>
    </w:p>
    <w:p>
      <w:pPr>
        <w:pStyle w:val="5"/>
        <w:spacing w:before="0" w:line="560" w:lineRule="exact"/>
        <w:jc w:val="center"/>
        <w:rPr>
          <w:rFonts w:asciiTheme="minorEastAsia" w:hAnsiTheme="minorEastAsia" w:eastAsiaTheme="minorEastAsia" w:cstheme="minorEastAsia"/>
          <w:color w:val="auto"/>
          <w:sz w:val="28"/>
          <w:szCs w:val="28"/>
        </w:rPr>
      </w:pPr>
      <w:bookmarkStart w:id="263" w:name="_Toc31913"/>
      <w:r>
        <w:rPr>
          <w:rFonts w:hint="eastAsia" w:asciiTheme="minorEastAsia" w:hAnsiTheme="minorEastAsia" w:eastAsiaTheme="minorEastAsia" w:cstheme="minorEastAsia"/>
          <w:color w:val="auto"/>
          <w:sz w:val="28"/>
          <w:szCs w:val="28"/>
        </w:rPr>
        <w:t>（四）依法缴纳社会保障资金的缴纳记录和税收的承诺书</w:t>
      </w:r>
      <w:bookmarkEnd w:id="263"/>
    </w:p>
    <w:p>
      <w:pPr>
        <w:spacing w:line="560" w:lineRule="exact"/>
        <w:jc w:val="center"/>
        <w:rPr>
          <w:rFonts w:asciiTheme="minorEastAsia" w:hAnsiTheme="minorEastAsia" w:eastAsiaTheme="minorEastAsia" w:cstheme="minorEastAsia"/>
          <w:color w:val="auto"/>
          <w:sz w:val="32"/>
          <w:szCs w:val="32"/>
        </w:rPr>
      </w:pPr>
    </w:p>
    <w:p>
      <w:pPr>
        <w:spacing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资格承诺函</w:t>
      </w:r>
    </w:p>
    <w:p>
      <w:pPr>
        <w:spacing w:line="560" w:lineRule="exact"/>
        <w:rPr>
          <w:rFonts w:asciiTheme="minorEastAsia" w:hAnsiTheme="minorEastAsia" w:eastAsiaTheme="minorEastAsia" w:cstheme="minorEastAsia"/>
          <w:color w:val="auto"/>
          <w:sz w:val="28"/>
          <w:szCs w:val="28"/>
        </w:rPr>
      </w:pPr>
    </w:p>
    <w:p>
      <w:pPr>
        <w:spacing w:line="56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（采购人、采购代理机构）</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项目的政府采购活动，现承诺如下：</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我单位符合《中华人民共和国政府采购法》《中华人民共和国政府采购法实施条例》及采购文件资格要求规定的依法缴纳税收和社会保障资金。</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若我单位以上承诺不实，自愿承担提供虚假材料谋取中标、成交的法律责任。</w:t>
      </w:r>
    </w:p>
    <w:p>
      <w:pPr>
        <w:spacing w:line="560" w:lineRule="exact"/>
        <w:ind w:firstLine="640"/>
        <w:rPr>
          <w:rFonts w:asciiTheme="minorEastAsia" w:hAnsiTheme="minorEastAsia" w:eastAsiaTheme="minorEastAsia" w:cstheme="minorEastAsia"/>
          <w:color w:val="auto"/>
          <w:sz w:val="24"/>
        </w:rPr>
      </w:pPr>
    </w:p>
    <w:p>
      <w:pPr>
        <w:spacing w:line="560" w:lineRule="exact"/>
        <w:ind w:firstLine="640"/>
        <w:rPr>
          <w:rFonts w:asciiTheme="minorEastAsia" w:hAnsiTheme="minorEastAsia" w:eastAsiaTheme="minorEastAsia" w:cstheme="minorEastAsia"/>
          <w:color w:val="auto"/>
          <w:sz w:val="24"/>
        </w:rPr>
      </w:pP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承诺</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（全称并加盖公章）：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单位负责人或授权代表（签字）：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p>
    <w:p>
      <w:pPr>
        <w:spacing w:line="560" w:lineRule="exact"/>
        <w:ind w:firstLine="640"/>
        <w:rPr>
          <w:rFonts w:asciiTheme="minorEastAsia" w:hAnsiTheme="minorEastAsia" w:eastAsiaTheme="minorEastAsia" w:cstheme="minorEastAsia"/>
          <w:color w:val="auto"/>
          <w:sz w:val="24"/>
          <w:u w:val="single"/>
        </w:rPr>
      </w:pP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（投标人承诺依法缴纳社会保障资金和税收；若为联合体投标，联合体各方均需提供承诺书）</w:t>
      </w:r>
    </w:p>
    <w:p>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aps/>
          <w:color w:val="auto"/>
          <w:sz w:val="32"/>
          <w:szCs w:val="32"/>
        </w:rPr>
        <w:br w:type="page"/>
      </w:r>
    </w:p>
    <w:p>
      <w:pPr>
        <w:pStyle w:val="5"/>
        <w:spacing w:before="0" w:line="560" w:lineRule="exact"/>
        <w:jc w:val="center"/>
        <w:rPr>
          <w:rFonts w:asciiTheme="minorEastAsia" w:hAnsiTheme="minorEastAsia" w:eastAsiaTheme="minorEastAsia" w:cstheme="minorEastAsia"/>
          <w:color w:val="auto"/>
          <w:sz w:val="28"/>
          <w:szCs w:val="28"/>
        </w:rPr>
      </w:pPr>
      <w:bookmarkStart w:id="264" w:name="_Toc17438"/>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具有履行合同所必需的设备和专业技术能力承诺书</w:t>
      </w:r>
    </w:p>
    <w:p>
      <w:pPr>
        <w:spacing w:line="560" w:lineRule="exact"/>
        <w:jc w:val="center"/>
        <w:rPr>
          <w:rFonts w:asciiTheme="minorEastAsia" w:hAnsiTheme="minorEastAsia" w:eastAsiaTheme="minorEastAsia" w:cstheme="minorEastAsia"/>
          <w:color w:val="auto"/>
          <w:sz w:val="32"/>
          <w:szCs w:val="32"/>
        </w:rPr>
      </w:pPr>
    </w:p>
    <w:p>
      <w:pPr>
        <w:spacing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资格承诺函</w:t>
      </w:r>
    </w:p>
    <w:p>
      <w:pPr>
        <w:spacing w:line="560" w:lineRule="exact"/>
        <w:rPr>
          <w:rFonts w:asciiTheme="minorEastAsia" w:hAnsiTheme="minorEastAsia" w:eastAsiaTheme="minorEastAsia" w:cstheme="minorEastAsia"/>
          <w:color w:val="auto"/>
          <w:sz w:val="28"/>
          <w:szCs w:val="28"/>
        </w:rPr>
      </w:pPr>
    </w:p>
    <w:p>
      <w:pPr>
        <w:spacing w:line="56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（采购人、采购代理机构）</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项目的政府采购活动，现承诺如下：</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我单位符合《中华人民共和国政府采购法》《中华人民共和国政府采购法实施条例》及采购文件资格要求规定的</w:t>
      </w:r>
      <w:r>
        <w:rPr>
          <w:rStyle w:val="23"/>
          <w:rFonts w:hint="eastAsia" w:ascii="宋体" w:hAnsi="宋体" w:eastAsia="宋体" w:cs="宋体"/>
          <w:b w:val="0"/>
          <w:bCs/>
          <w:color w:val="auto"/>
          <w:sz w:val="24"/>
          <w:szCs w:val="24"/>
          <w:lang w:val="en-US" w:eastAsia="zh-CN"/>
        </w:rPr>
        <w:t>具有履行合同所必需的设备和专业技术能力</w:t>
      </w:r>
      <w:r>
        <w:rPr>
          <w:rFonts w:hint="eastAsia" w:asciiTheme="minorEastAsia" w:hAnsiTheme="minorEastAsia" w:eastAsiaTheme="minorEastAsia" w:cstheme="minorEastAsia"/>
          <w:color w:val="auto"/>
          <w:sz w:val="24"/>
        </w:rPr>
        <w:t>。</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若我单位以上承诺不实，自愿承担提供虚假材料谋取中标、成交的法律责任。</w:t>
      </w:r>
    </w:p>
    <w:p>
      <w:pPr>
        <w:spacing w:line="560" w:lineRule="exact"/>
        <w:ind w:firstLine="640"/>
        <w:rPr>
          <w:rFonts w:asciiTheme="minorEastAsia" w:hAnsiTheme="minorEastAsia" w:eastAsiaTheme="minorEastAsia" w:cstheme="minorEastAsia"/>
          <w:color w:val="auto"/>
          <w:sz w:val="24"/>
        </w:rPr>
      </w:pPr>
    </w:p>
    <w:p>
      <w:pPr>
        <w:spacing w:line="560" w:lineRule="exact"/>
        <w:ind w:firstLine="640"/>
        <w:rPr>
          <w:rFonts w:asciiTheme="minorEastAsia" w:hAnsiTheme="minorEastAsia" w:eastAsiaTheme="minorEastAsia" w:cstheme="minorEastAsia"/>
          <w:color w:val="auto"/>
          <w:sz w:val="24"/>
        </w:rPr>
      </w:pP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承诺</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（全称并加盖公章）：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单位负责人或授权代表（签字）：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p>
    <w:p>
      <w:pPr>
        <w:spacing w:line="560" w:lineRule="exact"/>
        <w:ind w:firstLine="640"/>
        <w:rPr>
          <w:rFonts w:asciiTheme="minorEastAsia" w:hAnsiTheme="minorEastAsia" w:eastAsiaTheme="minorEastAsia" w:cstheme="minorEastAsia"/>
          <w:color w:val="auto"/>
          <w:sz w:val="24"/>
          <w:u w:val="single"/>
        </w:rPr>
      </w:pP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（投标人承诺</w:t>
      </w:r>
      <w:r>
        <w:rPr>
          <w:rStyle w:val="23"/>
          <w:rFonts w:hint="eastAsia" w:ascii="宋体" w:hAnsi="宋体" w:eastAsia="宋体" w:cs="宋体"/>
          <w:b w:val="0"/>
          <w:bCs/>
          <w:color w:val="auto"/>
          <w:sz w:val="24"/>
          <w:szCs w:val="24"/>
          <w:lang w:val="en-US" w:eastAsia="zh-CN"/>
        </w:rPr>
        <w:t>具有履行合同所必需的设备和专业技术能力</w:t>
      </w:r>
      <w:r>
        <w:rPr>
          <w:rFonts w:hint="eastAsia" w:asciiTheme="minorEastAsia" w:hAnsiTheme="minorEastAsia" w:eastAsiaTheme="minorEastAsia" w:cstheme="minorEastAsia"/>
          <w:color w:val="auto"/>
          <w:sz w:val="24"/>
        </w:rPr>
        <w:t>；若为联合体投标，联合体各方均需提供承诺书）</w:t>
      </w:r>
    </w:p>
    <w:p>
      <w:pPr>
        <w:pStyle w:val="5"/>
        <w:spacing w:before="0" w:line="560" w:lineRule="exact"/>
        <w:jc w:val="center"/>
        <w:rPr>
          <w:rFonts w:hint="eastAsia" w:asciiTheme="minorEastAsia" w:hAnsiTheme="minorEastAsia" w:eastAsiaTheme="minorEastAsia" w:cstheme="minorEastAsia"/>
          <w:color w:val="auto"/>
          <w:sz w:val="28"/>
          <w:szCs w:val="28"/>
        </w:rPr>
      </w:pPr>
    </w:p>
    <w:p>
      <w:pPr>
        <w:pStyle w:val="5"/>
        <w:spacing w:before="0" w:line="560" w:lineRule="exact"/>
        <w:jc w:val="both"/>
        <w:rPr>
          <w:rFonts w:hint="eastAsia" w:asciiTheme="minorEastAsia" w:hAnsiTheme="minorEastAsia" w:eastAsiaTheme="minorEastAsia" w:cstheme="minorEastAsia"/>
          <w:color w:val="auto"/>
          <w:sz w:val="28"/>
          <w:szCs w:val="28"/>
        </w:rPr>
      </w:pPr>
    </w:p>
    <w:p>
      <w:pPr>
        <w:rPr>
          <w:rFonts w:hint="eastAsia"/>
          <w:color w:val="auto"/>
        </w:rPr>
      </w:pPr>
    </w:p>
    <w:p>
      <w:pPr>
        <w:pStyle w:val="5"/>
        <w:spacing w:before="0"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）参加政府采购活动前3年内在经营活动中没有重大违法记录的承诺书</w:t>
      </w:r>
      <w:bookmarkEnd w:id="264"/>
    </w:p>
    <w:p>
      <w:pPr>
        <w:spacing w:line="560" w:lineRule="exact"/>
        <w:jc w:val="center"/>
        <w:rPr>
          <w:rFonts w:asciiTheme="minorEastAsia" w:hAnsiTheme="minorEastAsia" w:eastAsiaTheme="minorEastAsia" w:cstheme="minorEastAsia"/>
          <w:color w:val="auto"/>
          <w:sz w:val="28"/>
          <w:szCs w:val="28"/>
        </w:rPr>
      </w:pPr>
    </w:p>
    <w:p>
      <w:pPr>
        <w:spacing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资格承诺函</w:t>
      </w: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（采购人、采购代理机构）</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项目的政府采购活动，现承诺如下：</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我单位符合《中华人民共和国政府采购法》《中华人民共和国政府采购法实施条例》及采购文件资格要求规定的参加政府采购活动前三年内，在经营活动中没有重大违法记录。</w:t>
      </w:r>
    </w:p>
    <w:p>
      <w:pPr>
        <w:spacing w:line="560" w:lineRule="exact"/>
        <w:ind w:firstLine="6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若我单位以上承诺不实，自愿承担提供虚假材料谋取中标、成交的法律责任。</w:t>
      </w:r>
    </w:p>
    <w:p>
      <w:pPr>
        <w:spacing w:line="560" w:lineRule="exact"/>
        <w:rPr>
          <w:rFonts w:asciiTheme="minorEastAsia" w:hAnsiTheme="minorEastAsia" w:eastAsiaTheme="minorEastAsia" w:cstheme="minorEastAsia"/>
          <w:color w:val="auto"/>
          <w:sz w:val="24"/>
        </w:rPr>
      </w:pP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承诺</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（全称并加盖公章）：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单位负责人或授权代表（签字）：</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pPr>
        <w:spacing w:line="560" w:lineRule="exact"/>
        <w:ind w:firstLine="1447" w:firstLineChars="603"/>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w:t>
      </w:r>
      <w:r>
        <w:rPr>
          <w:rFonts w:hint="eastAsia" w:asciiTheme="minorEastAsia" w:hAnsiTheme="minorEastAsia" w:eastAsiaTheme="minorEastAsia" w:cstheme="minorEastAsia"/>
          <w:color w:val="auto"/>
          <w:sz w:val="24"/>
          <w:u w:val="single"/>
        </w:rPr>
        <w:t xml:space="preserve">            </w:t>
      </w: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p>
    <w:p>
      <w:pPr>
        <w:spacing w:line="5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r>
        <w:rPr>
          <w:rFonts w:hint="eastAsia" w:asciiTheme="minorEastAsia" w:hAnsiTheme="minorEastAsia" w:eastAsiaTheme="minorEastAsia" w:cstheme="minorEastAsia"/>
          <w:color w:val="auto"/>
          <w:sz w:val="24"/>
          <w:lang w:eastAsia="zh-CN"/>
        </w:rPr>
        <w:t>投标人</w:t>
      </w:r>
      <w:r>
        <w:rPr>
          <w:rFonts w:hint="eastAsia" w:asciiTheme="minorEastAsia" w:hAnsiTheme="minorEastAsia" w:eastAsiaTheme="minorEastAsia" w:cstheme="minorEastAsia"/>
          <w:color w:val="auto"/>
          <w:sz w:val="24"/>
        </w:rPr>
        <w:t>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jc w:val="left"/>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color w:val="auto"/>
          <w:sz w:val="24"/>
        </w:rPr>
        <w:t>（申请人承诺参加政府采购活动前3年内在经营活动中没有重大违法记录；若为联合体投标，联合体各方均需提供承诺书）</w:t>
      </w:r>
      <w:r>
        <w:rPr>
          <w:rFonts w:hint="eastAsia" w:asciiTheme="minorEastAsia" w:hAnsiTheme="minorEastAsia" w:eastAsiaTheme="minorEastAsia" w:cstheme="minorEastAsia"/>
          <w:b/>
          <w:color w:val="auto"/>
          <w:spacing w:val="6"/>
          <w:sz w:val="24"/>
        </w:rPr>
        <w:br w:type="page"/>
      </w:r>
    </w:p>
    <w:p>
      <w:pPr>
        <w:pStyle w:val="5"/>
        <w:spacing w:before="0" w:line="560" w:lineRule="exact"/>
        <w:jc w:val="center"/>
        <w:rPr>
          <w:rFonts w:asciiTheme="minorEastAsia" w:hAnsiTheme="minorEastAsia" w:eastAsiaTheme="minorEastAsia" w:cstheme="minorEastAsia"/>
          <w:color w:val="auto"/>
          <w:sz w:val="28"/>
          <w:szCs w:val="28"/>
        </w:rPr>
      </w:pPr>
      <w:bookmarkStart w:id="265" w:name="_Toc23792"/>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七</w:t>
      </w:r>
      <w:r>
        <w:rPr>
          <w:rFonts w:hint="eastAsia" w:asciiTheme="minorEastAsia" w:hAnsiTheme="minorEastAsia" w:eastAsiaTheme="minorEastAsia" w:cstheme="minorEastAsia"/>
          <w:color w:val="auto"/>
          <w:sz w:val="28"/>
          <w:szCs w:val="28"/>
        </w:rPr>
        <w:t>）落实政府采购政策要求的资格证明文件</w:t>
      </w:r>
      <w:bookmarkEnd w:id="265"/>
    </w:p>
    <w:p>
      <w:pPr>
        <w:spacing w:line="550" w:lineRule="exact"/>
        <w:rPr>
          <w:rFonts w:ascii="宋体" w:hAnsi="宋体" w:cs="宋体"/>
          <w:color w:val="auto"/>
          <w:sz w:val="28"/>
          <w:szCs w:val="28"/>
        </w:rPr>
      </w:pPr>
    </w:p>
    <w:p>
      <w:pPr>
        <w:keepNext w:val="0"/>
        <w:keepLines w:val="0"/>
        <w:pageBreakBefore w:val="0"/>
        <w:kinsoku/>
        <w:wordWrap/>
        <w:overflowPunct/>
        <w:topLinePunct w:val="0"/>
        <w:autoSpaceDE/>
        <w:autoSpaceDN/>
        <w:bidi w:val="0"/>
        <w:spacing w:line="550" w:lineRule="exact"/>
        <w:ind w:left="0" w:leftChars="0" w:right="0" w:righ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中小企业声明函（货物）</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lang w:val="en-US"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i/>
          <w:iCs/>
          <w:color w:val="auto"/>
          <w:sz w:val="24"/>
          <w:szCs w:val="24"/>
          <w:highlight w:val="none"/>
          <w:u w:val="single"/>
          <w:lang w:val="en-US" w:eastAsia="zh-CN"/>
        </w:rPr>
        <w:t>（标的名称）</w:t>
      </w:r>
      <w:r>
        <w:rPr>
          <w:rStyle w:val="25"/>
          <w:rFonts w:hint="eastAsia" w:ascii="宋体" w:hAnsi="宋体" w:eastAsia="宋体" w:cs="宋体"/>
          <w:i/>
          <w:iCs/>
          <w:color w:val="auto"/>
          <w:sz w:val="24"/>
          <w:szCs w:val="24"/>
          <w:highlight w:val="none"/>
          <w:u w:val="single"/>
          <w:lang w:val="en-US" w:eastAsia="zh-CN"/>
        </w:rPr>
        <w:footnoteReference w:id="0"/>
      </w:r>
      <w:r>
        <w:rPr>
          <w:rFonts w:hint="eastAsia" w:ascii="宋体" w:hAnsi="宋体" w:eastAsia="宋体" w:cs="宋体"/>
          <w:color w:val="auto"/>
          <w:sz w:val="24"/>
          <w:szCs w:val="24"/>
          <w:highlight w:val="none"/>
          <w:lang w:val="en-US" w:eastAsia="zh-CN"/>
        </w:rPr>
        <w:t>，属于</w:t>
      </w:r>
      <w:r>
        <w:rPr>
          <w:rFonts w:hint="eastAsia" w:ascii="宋体" w:hAnsi="宋体" w:eastAsia="宋体" w:cs="宋体"/>
          <w:i/>
          <w:iCs/>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行业；制造商为</w:t>
      </w:r>
      <w:r>
        <w:rPr>
          <w:rFonts w:hint="eastAsia" w:ascii="宋体" w:hAnsi="宋体" w:eastAsia="宋体" w:cs="宋体"/>
          <w:i/>
          <w:iCs/>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i w:val="0"/>
          <w:iCs w:val="0"/>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万元</w:t>
      </w:r>
      <w:r>
        <w:rPr>
          <w:rStyle w:val="25"/>
          <w:rFonts w:hint="eastAsia" w:ascii="宋体" w:hAnsi="宋体" w:eastAsia="宋体" w:cs="宋体"/>
          <w:color w:val="auto"/>
          <w:sz w:val="24"/>
          <w:szCs w:val="24"/>
          <w:highlight w:val="none"/>
          <w:lang w:val="en-US" w:eastAsia="zh-CN"/>
        </w:rPr>
        <w:footnoteReference w:id="1"/>
      </w:r>
      <w:r>
        <w:rPr>
          <w:rFonts w:hint="eastAsia" w:ascii="宋体" w:hAnsi="宋体" w:eastAsia="宋体" w:cs="宋体"/>
          <w:color w:val="auto"/>
          <w:sz w:val="24"/>
          <w:szCs w:val="24"/>
          <w:highlight w:val="none"/>
          <w:lang w:val="en-US" w:eastAsia="zh-CN"/>
        </w:rPr>
        <w:t>，属于</w:t>
      </w:r>
      <w:r>
        <w:rPr>
          <w:rFonts w:hint="eastAsia" w:ascii="宋体" w:hAnsi="宋体" w:eastAsia="宋体" w:cs="宋体"/>
          <w:i/>
          <w:iCs/>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iCs/>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i/>
          <w:iCs/>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行业；制造商为</w:t>
      </w:r>
      <w:r>
        <w:rPr>
          <w:rFonts w:hint="eastAsia" w:ascii="宋体" w:hAnsi="宋体" w:eastAsia="宋体" w:cs="宋体"/>
          <w:i/>
          <w:iCs/>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i w:val="0"/>
          <w:iCs w:val="0"/>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i/>
          <w:iCs/>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pPr>
        <w:keepNext w:val="0"/>
        <w:keepLines w:val="0"/>
        <w:pageBreakBefore w:val="0"/>
        <w:kinsoku/>
        <w:wordWrap/>
        <w:overflowPunct/>
        <w:topLinePunct w:val="0"/>
        <w:autoSpaceDE/>
        <w:autoSpaceDN/>
        <w:bidi w:val="0"/>
        <w:spacing w:line="360" w:lineRule="auto"/>
        <w:ind w:left="0" w:leftChars="0" w:right="0" w:rightChars="0" w:firstLine="2640" w:firstLineChars="1100"/>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kinsoku/>
        <w:wordWrap/>
        <w:overflowPunct/>
        <w:topLinePunct w:val="0"/>
        <w:autoSpaceDE/>
        <w:autoSpaceDN/>
        <w:bidi w:val="0"/>
        <w:spacing w:line="360" w:lineRule="auto"/>
        <w:ind w:left="0" w:leftChars="0" w:right="0" w:rightChars="0" w:firstLine="2640" w:firstLineChars="11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pPr>
        <w:keepNext w:val="0"/>
        <w:keepLines w:val="0"/>
        <w:pageBreakBefore w:val="0"/>
        <w:kinsoku/>
        <w:wordWrap/>
        <w:overflowPunct/>
        <w:topLinePunct w:val="0"/>
        <w:autoSpaceDE/>
        <w:autoSpaceDN/>
        <w:bidi w:val="0"/>
        <w:spacing w:line="360" w:lineRule="auto"/>
        <w:ind w:left="0" w:leftChars="0" w:right="0" w:rightChars="0" w:firstLine="2640" w:firstLineChars="11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pPr>
        <w:spacing w:line="360" w:lineRule="auto"/>
        <w:jc w:val="center"/>
        <w:rPr>
          <w:rFonts w:hint="eastAsia" w:ascii="宋体" w:hAnsi="宋体" w:eastAsia="宋体" w:cs="宋体"/>
          <w:b w:val="0"/>
          <w:bCs/>
          <w:color w:val="auto"/>
          <w:spacing w:val="6"/>
          <w:sz w:val="28"/>
          <w:szCs w:val="28"/>
        </w:rPr>
      </w:pPr>
    </w:p>
    <w:p>
      <w:pPr>
        <w:spacing w:line="360" w:lineRule="auto"/>
        <w:jc w:val="center"/>
        <w:rPr>
          <w:rFonts w:hint="eastAsia" w:ascii="宋体" w:hAnsi="宋体" w:eastAsia="宋体" w:cs="宋体"/>
          <w:b w:val="0"/>
          <w:bCs/>
          <w:color w:val="auto"/>
          <w:spacing w:val="6"/>
          <w:sz w:val="28"/>
          <w:szCs w:val="28"/>
        </w:rPr>
      </w:pPr>
    </w:p>
    <w:p>
      <w:pPr>
        <w:spacing w:line="360" w:lineRule="auto"/>
        <w:jc w:val="center"/>
        <w:rPr>
          <w:rFonts w:hint="eastAsia" w:ascii="宋体" w:hAnsi="宋体" w:eastAsia="宋体" w:cs="宋体"/>
          <w:b w:val="0"/>
          <w:bCs/>
          <w:color w:val="auto"/>
          <w:spacing w:val="6"/>
          <w:sz w:val="28"/>
          <w:szCs w:val="28"/>
        </w:rPr>
      </w:pPr>
    </w:p>
    <w:p>
      <w:pPr>
        <w:spacing w:line="360" w:lineRule="auto"/>
        <w:jc w:val="center"/>
        <w:rPr>
          <w:rFonts w:hint="eastAsia" w:ascii="宋体" w:hAnsi="宋体" w:eastAsia="宋体" w:cs="宋体"/>
          <w:b w:val="0"/>
          <w:bCs/>
          <w:color w:val="auto"/>
          <w:spacing w:val="6"/>
          <w:sz w:val="28"/>
          <w:szCs w:val="28"/>
        </w:rPr>
      </w:pP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asciiTheme="minorEastAsia" w:hAnsiTheme="minorEastAsia" w:eastAsiaTheme="minorEastAsia" w:cstheme="minorEastAsia"/>
          <w:b/>
          <w:color w:val="auto"/>
          <w:spacing w:val="6"/>
          <w:sz w:val="32"/>
          <w:szCs w:val="32"/>
        </w:rPr>
      </w:pPr>
      <w:r>
        <w:rPr>
          <w:rFonts w:hint="eastAsia" w:ascii="宋体" w:hAnsi="宋体" w:eastAsia="宋体" w:cs="宋体"/>
          <w:color w:val="auto"/>
          <w:sz w:val="24"/>
          <w:szCs w:val="24"/>
          <w:highlight w:val="none"/>
          <w:lang w:eastAsia="zh-CN"/>
        </w:rPr>
        <w:t>注：本项目</w:t>
      </w:r>
      <w:r>
        <w:rPr>
          <w:rFonts w:hint="eastAsia" w:ascii="宋体" w:hAnsi="宋体" w:cs="宋体"/>
          <w:color w:val="auto"/>
          <w:sz w:val="24"/>
          <w:szCs w:val="24"/>
          <w:highlight w:val="none"/>
          <w:lang w:eastAsia="zh-CN"/>
        </w:rPr>
        <w:t>所属行业为</w:t>
      </w:r>
      <w:r>
        <w:rPr>
          <w:rFonts w:hint="eastAsia" w:ascii="宋体" w:hAnsi="宋体" w:eastAsia="宋体" w:cs="宋体"/>
          <w:color w:val="auto"/>
          <w:sz w:val="24"/>
          <w:szCs w:val="24"/>
          <w:highlight w:val="none"/>
          <w:lang w:eastAsia="zh-CN"/>
        </w:rPr>
        <w:t>软件和信息技术服务业</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05" w:line="240" w:lineRule="auto"/>
        <w:jc w:val="center"/>
        <w:textAlignment w:val="auto"/>
        <w:rPr>
          <w:rFonts w:hint="eastAsia" w:ascii="宋体" w:hAnsi="宋体" w:eastAsia="宋体" w:cs="宋体"/>
          <w:color w:val="auto"/>
          <w:sz w:val="32"/>
          <w:szCs w:val="32"/>
        </w:rPr>
      </w:pPr>
      <w:bookmarkStart w:id="266" w:name="_Toc3288"/>
      <w:r>
        <w:rPr>
          <w:rFonts w:hint="eastAsia" w:ascii="宋体" w:hAnsi="宋体" w:eastAsia="宋体" w:cs="宋体"/>
          <w:color w:val="auto"/>
          <w:spacing w:val="-6"/>
          <w:sz w:val="32"/>
          <w:szCs w:val="32"/>
          <w14:textOutline w14:w="5791" w14:cap="sq" w14:cmpd="sng">
            <w14:solidFill>
              <w14:srgbClr w14:val="000000"/>
            </w14:solidFill>
            <w14:prstDash w14:val="solid"/>
            <w14:bevel/>
          </w14:textOutline>
        </w:rPr>
        <w:t>中小企业划型标准规定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一、根据《中华人民共和国中小企业促进法》 和《国务院关于进一步 促进中小企业发展的若干意见》 (国发〔2009〕 36 号)，制定本规定。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二、中小企业划分为中型、小型、微型三种类型，具体标准根据企业 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三、本规定适用的行业包括：农、林、牧、渔业，工业（包括采矿业， 制造业，电力、热力、燃气及水生产和供应业） ，建筑业，批发业，零售 业，交通运输业（不含铁路运输业） ，仓储业，邮政业，住宿业，餐饮业， 信息传输业（包括电信、互联网和相关服务） ，软件和信息技术服务业， 房地产开发经营，物业管理，租赁和商务服务业，其他未列明行业（包括 科学研究和技术服务业，水利、环境和公共设施管理业，居民服务、修理 和其他服务业， 社会工作，文化、体育和娱乐业等） 。</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四、各行业划型标准为：</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（一）农、林、牧、渔业。营业收入 20000 万元以下的为中小微型企 业。其中， 营业收入 500 万元及以上的为中型企业，营业收入 50 万元及 以上的为小型企业， 营业收入 50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（二） 工业。从业人员 1000 人以下或营业收入 40000 万元以下的为 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（三） 建筑业。营业收入 80000 万元以下或资产总额 80000 万元以下 的为中小微型企业。其中，营业收入 6000 万元及以上，且资产总额 5000 万元及以上的为中型企业；营业收入 300 万元及以上，且资产总额 300万元及以上的为小型企业； 营业收入 300 万元以下或资产总额 300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（四） 批发业。从业人员 200 人以下或营业收入 40000 万元以下的为 中小微型企业。其中，从业人员 20 人及以上，且营业收入 5000 万元及以 上的为中型企业；从业人员 5 人及以上，且营业收入 1000 万元及以上的 为小型企业； 从业人员 5 人以下或营业收入 1000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（五） 零售业。从业人员 300 人以下或营业收入 20000 万元以下的为 中小微型企业。其中，从业人员 50 人及以上，且营业收入 500 万元及以 上的为中型企业；从业人员 10 人及以上，且营业收入 100 万元及以上的 为小型企业； 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（六）交通运输业。从业人员 1000 人以下或营业收入 30000 万元以 下的为中小微型企业。其中，从业人员 300 人及以上，且营业收入 3000 万元及以上的为中型企业；从业人员 20 人及以上，且营业收入 200 万元 及以上的为小型企业；从业人员 20 人以下或营业收入 200 万元以下的为 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（七） 仓储业。从业人员 200 人以下或营业收入 30000 万元以下的为 中小微型企业。其中，从业人员 100 人及以上，且营业收入 1000 万元及 以上的为中型企业；从业人员 20 人及以上，且营业收入 100 万元及以上 的为小型企业；从业人员 20 人以下或营业收入 100 万元以下的为微型企 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（八） 邮政业。从业人员 1000 人以下或营业收入 30000 万元以下的 为中小微型企业。其中，从业人员 300 人及以上，且营业收入 2000 万元 及以上的为中型企业；从业人员 20 人及以上，且营业收入 100 万元及以 上的为小型企业；从业人员 20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（九） 住宿业。从业人员 300 人以下或营业收入 10000 万元以下的为 中小微型企业。其中，从业人员 100 人及以上，且营业收入 2000 万元及 以上的为中型企业；从业人员 10 人及以上，且营业收入 100 万元及以上 的为小型企业；从业人员 10 人以下或营业收入 100 万元以下的为微型企 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 餐饮业。从业人员 300 人以下或营业收入 10000 万元以下的为 中小微型企业。其中，从业人员 100 人及以上，且营业收入 2000 万元及 以上的为中型企业；从业人员 10 人及以上，且营业收入 100 万元及以上 的为小型企业；从业人员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（十一） 信息传输业。从业人员 2000 人以下或营业收入 100000 万元 以下的为中小微型企业。其中，从业人员 100 人及以上，且营业收入 1000 万元及以上的为中型企业；从业人员 10 人及以上，且营业收入 100 万元及以上的为小型企业；从业人员 10 人以下或营业收入 100 万元以下的为 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（十二） 软件和信息技术服务业。从业人员 300 人以下或营业收入 10000 万元以下的为中小微型企业。其中，从业人员 100 人及以上，且营 业收入 1000 万元及以上的为中型企业；从业人员 10 人及以上，且营业收 入 50 万元及以上的为小型企业；从业人员 10 人以下或营业收入 50 万元 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 总额 2000 万元及以上的为小型企业；营业收入 100 万元以下或资产总额 2000 万元以下的为微型企业。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（十四） 物业管理。从业人员 1000 人以下或营业收入 5000 万元以下 的为中小微型企业。其中，从业人员 300 人及以上，且营业收入 1000 万 元及以上的为中型企业；从业人员 100 人及以上，且营业收入 500 万元及 以上的为小型企业；从业人员 100 人以下或营业收入 500 万元以下的为微 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（十五） 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 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（十六） 其他未列明行业。从业人员 300 人以下的为中小微型企业。 其中，从业人员 100 人及以上的为中型企业；从业人员 10 人及以上的为 小型企业；从业人员 10 人以下的为微型企业。</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六、本规定适用于在中华人民共和国境内依法设立的各类所有制和各 种组织形式的企业。个体工商户和本规定以外的行业，参照本规定进行划 型。</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七、本规定的中型企业标准上限即为大型企业标准的下限，国家统计 部门据此制定大中小微型企业的统计分类。国务院有关部门据此进行相关 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八、本规定由工业和信息化部、国家统计局会同有关部门根据《国民 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before="91" w:line="360" w:lineRule="auto"/>
        <w:ind w:firstLine="589"/>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十、本规定自发布之日起执行，原国家经贸委、原国家计委、财政部 和国家统计局 2003 年颁布的《中小企业标准暂行规定》同时废止。</w:t>
      </w:r>
    </w:p>
    <w:p>
      <w:pPr>
        <w:pStyle w:val="5"/>
        <w:spacing w:before="0" w:line="560" w:lineRule="exact"/>
        <w:jc w:val="center"/>
        <w:rPr>
          <w:rFonts w:hint="eastAsia" w:asciiTheme="minorEastAsia" w:hAnsiTheme="minorEastAsia" w:eastAsiaTheme="minorEastAsia" w:cstheme="minorEastAsia"/>
          <w:color w:val="auto"/>
          <w:sz w:val="28"/>
          <w:szCs w:val="28"/>
        </w:rPr>
      </w:pPr>
    </w:p>
    <w:p>
      <w:pPr>
        <w:pStyle w:val="5"/>
        <w:spacing w:before="0" w:line="560" w:lineRule="exact"/>
        <w:jc w:val="center"/>
        <w:rPr>
          <w:rFonts w:hint="eastAsia" w:asciiTheme="minorEastAsia" w:hAnsiTheme="minorEastAsia" w:eastAsiaTheme="minorEastAsia" w:cstheme="minorEastAsia"/>
          <w:color w:val="auto"/>
          <w:sz w:val="28"/>
          <w:szCs w:val="28"/>
        </w:rPr>
      </w:pPr>
    </w:p>
    <w:p>
      <w:pPr>
        <w:pStyle w:val="5"/>
        <w:spacing w:before="0" w:line="560" w:lineRule="exact"/>
        <w:jc w:val="cente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pStyle w:val="20"/>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pStyle w:val="20"/>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pStyle w:val="20"/>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pStyle w:val="20"/>
        <w:rPr>
          <w:rFonts w:hint="eastAsia"/>
          <w:color w:val="auto"/>
        </w:rPr>
      </w:pPr>
    </w:p>
    <w:p>
      <w:pPr>
        <w:pStyle w:val="5"/>
        <w:spacing w:before="0" w:line="560" w:lineRule="exact"/>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残疾人福利性单位声明函</w:t>
      </w:r>
      <w:bookmarkEnd w:id="266"/>
    </w:p>
    <w:p>
      <w:pPr>
        <w:spacing w:line="560" w:lineRule="exact"/>
        <w:ind w:firstLine="504" w:firstLineChars="200"/>
        <w:rPr>
          <w:rFonts w:asciiTheme="minorEastAsia" w:hAnsiTheme="minorEastAsia" w:eastAsiaTheme="minorEastAsia" w:cstheme="minorEastAsia"/>
          <w:color w:val="auto"/>
          <w:spacing w:val="6"/>
          <w:sz w:val="24"/>
        </w:rPr>
      </w:pPr>
    </w:p>
    <w:p>
      <w:pPr>
        <w:spacing w:line="560" w:lineRule="exact"/>
        <w:ind w:firstLine="504" w:firstLineChars="200"/>
        <w:rPr>
          <w:rFonts w:asciiTheme="minorEastAsia" w:hAnsiTheme="minorEastAsia" w:eastAsiaTheme="minorEastAsia" w:cstheme="minorEastAsia"/>
          <w:color w:val="auto"/>
          <w:spacing w:val="6"/>
          <w:sz w:val="24"/>
        </w:rPr>
      </w:pPr>
    </w:p>
    <w:p>
      <w:pPr>
        <w:spacing w:line="56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rPr>
        <w:t>〔2017〕141</w:t>
      </w:r>
      <w:r>
        <w:rPr>
          <w:rFonts w:hint="eastAsia" w:asciiTheme="minorEastAsia" w:hAnsiTheme="minorEastAsia" w:eastAsiaTheme="minorEastAsia" w:cstheme="minorEastAsia"/>
          <w:color w:val="auto"/>
          <w:spacing w:val="6"/>
          <w:sz w:val="24"/>
        </w:rPr>
        <w:t>号）的规定，本单位为符合条件的残疾人福利性单位，且本单位参加</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单位的</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spacing w:line="560" w:lineRule="exact"/>
        <w:ind w:firstLine="504" w:firstLineChars="200"/>
        <w:rPr>
          <w:rFonts w:asciiTheme="minorEastAsia" w:hAnsiTheme="minorEastAsia" w:eastAsiaTheme="minorEastAsia" w:cstheme="minorEastAsia"/>
          <w:color w:val="auto"/>
          <w:spacing w:val="6"/>
          <w:sz w:val="24"/>
        </w:rPr>
      </w:pPr>
    </w:p>
    <w:p>
      <w:pPr>
        <w:spacing w:line="560" w:lineRule="exact"/>
        <w:ind w:firstLine="504" w:firstLineChars="200"/>
        <w:rPr>
          <w:rFonts w:asciiTheme="minorEastAsia" w:hAnsiTheme="minorEastAsia" w:eastAsiaTheme="minorEastAsia" w:cstheme="minorEastAsia"/>
          <w:color w:val="auto"/>
          <w:spacing w:val="6"/>
          <w:sz w:val="24"/>
        </w:rPr>
      </w:pPr>
    </w:p>
    <w:p>
      <w:pPr>
        <w:pStyle w:val="9"/>
        <w:widowControl/>
        <w:snapToGrid w:val="0"/>
        <w:spacing w:line="560" w:lineRule="exact"/>
        <w:ind w:firstLine="967" w:firstLineChars="38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6"/>
          <w:sz w:val="24"/>
        </w:rPr>
        <w:t xml:space="preserve">    单位</w:t>
      </w:r>
      <w:r>
        <w:rPr>
          <w:rFonts w:hint="eastAsia" w:asciiTheme="minorEastAsia" w:hAnsiTheme="minorEastAsia" w:eastAsiaTheme="minorEastAsia" w:cstheme="minorEastAsia"/>
          <w:color w:val="auto"/>
          <w:sz w:val="24"/>
        </w:rPr>
        <w:t>名称：（盖章）</w:t>
      </w:r>
      <w:r>
        <w:rPr>
          <w:rFonts w:hint="eastAsia" w:asciiTheme="minorEastAsia" w:hAnsiTheme="minorEastAsia" w:eastAsiaTheme="minorEastAsia" w:cstheme="minorEastAsia"/>
          <w:color w:val="auto"/>
          <w:sz w:val="24"/>
          <w:u w:val="single"/>
        </w:rPr>
        <w:t xml:space="preserve">            </w:t>
      </w:r>
    </w:p>
    <w:p>
      <w:pPr>
        <w:pStyle w:val="9"/>
        <w:widowControl/>
        <w:snapToGrid w:val="0"/>
        <w:spacing w:line="560" w:lineRule="exact"/>
        <w:ind w:firstLine="1440" w:firstLineChars="600"/>
        <w:rPr>
          <w:rFonts w:hint="default" w:asciiTheme="minorEastAsia" w:hAnsiTheme="minorEastAsia" w:eastAsiaTheme="minorEastAsia" w:cstheme="minorEastAsia"/>
          <w:color w:val="auto"/>
          <w:sz w:val="24"/>
          <w:u w:val="single"/>
          <w:lang w:val="en-US" w:eastAsia="zh-CN"/>
        </w:rPr>
      </w:pPr>
      <w:r>
        <w:rPr>
          <w:rFonts w:hint="eastAsia" w:asciiTheme="minorEastAsia" w:hAnsiTheme="minorEastAsia" w:eastAsiaTheme="minorEastAsia" w:cstheme="minorEastAsia"/>
          <w:color w:val="auto"/>
          <w:sz w:val="24"/>
        </w:rPr>
        <w:t>日    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 xml:space="preserve">           </w:t>
      </w:r>
    </w:p>
    <w:p>
      <w:pPr>
        <w:spacing w:line="560" w:lineRule="exact"/>
        <w:ind w:firstLine="4160" w:firstLineChars="1300"/>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spacing w:line="560" w:lineRule="exact"/>
        <w:rPr>
          <w:rFonts w:asciiTheme="minorEastAsia" w:hAnsiTheme="minorEastAsia" w:eastAsiaTheme="minorEastAsia" w:cstheme="minorEastAsia"/>
          <w:color w:val="auto"/>
          <w:sz w:val="32"/>
          <w:szCs w:val="32"/>
        </w:rPr>
      </w:pPr>
    </w:p>
    <w:p>
      <w:pPr>
        <w:pStyle w:val="5"/>
        <w:spacing w:before="0" w:line="560" w:lineRule="exact"/>
        <w:jc w:val="center"/>
        <w:rPr>
          <w:rFonts w:asciiTheme="minorEastAsia" w:hAnsiTheme="minorEastAsia" w:eastAsiaTheme="minorEastAsia" w:cstheme="minorEastAsia"/>
          <w:color w:val="auto"/>
          <w:sz w:val="28"/>
          <w:szCs w:val="28"/>
        </w:rPr>
      </w:pPr>
      <w:bookmarkStart w:id="267" w:name="_Toc30267"/>
      <w:r>
        <w:rPr>
          <w:rFonts w:hint="eastAsia" w:asciiTheme="minorEastAsia" w:hAnsiTheme="minorEastAsia" w:eastAsiaTheme="minorEastAsia" w:cstheme="minorEastAsia"/>
          <w:color w:val="auto"/>
          <w:sz w:val="28"/>
          <w:szCs w:val="28"/>
        </w:rPr>
        <w:t>监狱企业声明函</w:t>
      </w:r>
      <w:bookmarkEnd w:id="267"/>
    </w:p>
    <w:p>
      <w:pPr>
        <w:spacing w:line="560" w:lineRule="exact"/>
        <w:ind w:firstLine="480" w:firstLineChars="200"/>
        <w:rPr>
          <w:rFonts w:asciiTheme="minorEastAsia" w:hAnsiTheme="minorEastAsia" w:eastAsiaTheme="minorEastAsia" w:cstheme="minorEastAsia"/>
          <w:color w:val="auto"/>
          <w:kern w:val="0"/>
          <w:sz w:val="24"/>
        </w:rPr>
      </w:pPr>
    </w:p>
    <w:p>
      <w:pPr>
        <w:spacing w:line="560" w:lineRule="exact"/>
        <w:ind w:firstLine="560" w:firstLineChars="200"/>
        <w:rPr>
          <w:rFonts w:asciiTheme="minorEastAsia" w:hAnsiTheme="minorEastAsia" w:eastAsiaTheme="minorEastAsia" w:cstheme="minorEastAsia"/>
          <w:color w:val="auto"/>
          <w:kern w:val="0"/>
          <w:sz w:val="28"/>
          <w:szCs w:val="28"/>
        </w:rPr>
      </w:pPr>
    </w:p>
    <w:p>
      <w:pPr>
        <w:spacing w:line="560" w:lineRule="exact"/>
        <w:ind w:firstLine="480" w:firstLineChars="200"/>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kern w:val="0"/>
          <w:sz w:val="24"/>
        </w:rPr>
        <w:t>本单位郑重声明，根据《财政部 司法部关于政府采购支持监狱企业发展有关问题的通知》（财库〔2014〕68号）的规定，本单位为符合条件的监狱企业，</w:t>
      </w:r>
      <w:r>
        <w:rPr>
          <w:rFonts w:hint="eastAsia" w:asciiTheme="minorEastAsia" w:hAnsiTheme="minorEastAsia" w:eastAsiaTheme="minorEastAsia" w:cstheme="minorEastAsia"/>
          <w:color w:val="auto"/>
          <w:spacing w:val="6"/>
          <w:sz w:val="24"/>
        </w:rPr>
        <w:t>且本单位参加</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单位的</w:t>
      </w:r>
      <w:r>
        <w:rPr>
          <w:rFonts w:hint="eastAsia" w:asciiTheme="minorEastAsia" w:hAnsiTheme="minorEastAsia" w:eastAsiaTheme="minorEastAsia" w:cstheme="minorEastAsia"/>
          <w:color w:val="auto"/>
          <w:spacing w:val="6"/>
          <w:sz w:val="24"/>
          <w:u w:val="single"/>
        </w:rPr>
        <w:t xml:space="preserve">      </w:t>
      </w:r>
      <w:r>
        <w:rPr>
          <w:rFonts w:hint="eastAsia" w:asciiTheme="minorEastAsia" w:hAnsiTheme="minorEastAsia" w:eastAsiaTheme="minorEastAsia" w:cstheme="minorEastAsia"/>
          <w:color w:val="auto"/>
          <w:spacing w:val="6"/>
          <w:sz w:val="24"/>
        </w:rPr>
        <w:t>项目采购活动提供本单位制造的货物（由本单位承担工程/提供服务）。</w:t>
      </w:r>
    </w:p>
    <w:p>
      <w:pPr>
        <w:widowControl/>
        <w:spacing w:line="560" w:lineRule="exact"/>
        <w:ind w:firstLine="480" w:firstLineChars="200"/>
        <w:jc w:val="left"/>
        <w:rPr>
          <w:rFonts w:asciiTheme="minorEastAsia" w:hAnsiTheme="minorEastAsia" w:eastAsiaTheme="minorEastAsia" w:cstheme="minorEastAsia"/>
          <w:color w:val="auto"/>
          <w:kern w:val="0"/>
          <w:sz w:val="24"/>
        </w:rPr>
      </w:pPr>
    </w:p>
    <w:p>
      <w:pPr>
        <w:widowControl/>
        <w:spacing w:line="560" w:lineRule="exact"/>
        <w:jc w:val="left"/>
        <w:rPr>
          <w:rFonts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kern w:val="0"/>
          <w:sz w:val="24"/>
        </w:rPr>
        <w:t>　  本单位对上述声明的真实性负责。如有虚假，将依法承担相应责任。</w:t>
      </w:r>
    </w:p>
    <w:p>
      <w:pPr>
        <w:spacing w:line="560" w:lineRule="exact"/>
        <w:ind w:firstLine="504" w:firstLineChars="200"/>
        <w:rPr>
          <w:rFonts w:asciiTheme="minorEastAsia" w:hAnsiTheme="minorEastAsia" w:eastAsiaTheme="minorEastAsia" w:cstheme="minorEastAsia"/>
          <w:color w:val="auto"/>
          <w:spacing w:val="6"/>
          <w:sz w:val="24"/>
        </w:rPr>
      </w:pPr>
    </w:p>
    <w:p>
      <w:pPr>
        <w:spacing w:line="560" w:lineRule="exact"/>
        <w:ind w:firstLine="504" w:firstLineChars="200"/>
        <w:rPr>
          <w:rFonts w:asciiTheme="minorEastAsia" w:hAnsiTheme="minorEastAsia" w:eastAsiaTheme="minorEastAsia" w:cstheme="minorEastAsia"/>
          <w:color w:val="auto"/>
          <w:spacing w:val="6"/>
          <w:sz w:val="24"/>
        </w:rPr>
      </w:pPr>
    </w:p>
    <w:p>
      <w:pPr>
        <w:pStyle w:val="9"/>
        <w:widowControl/>
        <w:snapToGrid w:val="0"/>
        <w:spacing w:line="560" w:lineRule="exact"/>
        <w:ind w:firstLine="967" w:firstLineChars="38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6"/>
          <w:sz w:val="24"/>
        </w:rPr>
        <w:t xml:space="preserve">    单位</w:t>
      </w:r>
      <w:r>
        <w:rPr>
          <w:rFonts w:hint="eastAsia" w:asciiTheme="minorEastAsia" w:hAnsiTheme="minorEastAsia" w:eastAsiaTheme="minorEastAsia" w:cstheme="minorEastAsia"/>
          <w:color w:val="auto"/>
          <w:sz w:val="24"/>
        </w:rPr>
        <w:t>名称：（盖章）</w:t>
      </w:r>
      <w:r>
        <w:rPr>
          <w:rFonts w:hint="eastAsia" w:asciiTheme="minorEastAsia" w:hAnsiTheme="minorEastAsia" w:eastAsiaTheme="minorEastAsia" w:cstheme="minorEastAsia"/>
          <w:color w:val="auto"/>
          <w:sz w:val="24"/>
          <w:u w:val="single"/>
        </w:rPr>
        <w:t xml:space="preserve">                </w:t>
      </w:r>
    </w:p>
    <w:p>
      <w:pPr>
        <w:pStyle w:val="9"/>
        <w:widowControl/>
        <w:snapToGrid w:val="0"/>
        <w:spacing w:line="560" w:lineRule="exact"/>
        <w:ind w:firstLine="1440" w:firstLineChars="6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日    期：</w:t>
      </w:r>
      <w:r>
        <w:rPr>
          <w:rFonts w:hint="eastAsia" w:asciiTheme="minorEastAsia" w:hAnsiTheme="minorEastAsia" w:eastAsiaTheme="minorEastAsia" w:cstheme="minorEastAsia"/>
          <w:color w:val="auto"/>
          <w:sz w:val="24"/>
          <w:u w:val="single"/>
        </w:rPr>
        <w:t xml:space="preserve">                       </w:t>
      </w:r>
      <w:bookmarkEnd w:id="261"/>
      <w:r>
        <w:rPr>
          <w:rFonts w:hint="eastAsia" w:asciiTheme="minorEastAsia" w:hAnsiTheme="minorEastAsia" w:eastAsiaTheme="minorEastAsia" w:cstheme="minorEastAsia"/>
          <w:color w:val="auto"/>
          <w:sz w:val="24"/>
          <w:u w:val="single"/>
        </w:rPr>
        <w:t xml:space="preserve"> </w:t>
      </w: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p>
      <w:pPr>
        <w:pStyle w:val="9"/>
        <w:widowControl/>
        <w:snapToGrid w:val="0"/>
        <w:spacing w:line="560" w:lineRule="exact"/>
        <w:ind w:left="0" w:leftChars="0" w:firstLine="0" w:firstLineChars="0"/>
        <w:rPr>
          <w:rFonts w:hint="eastAsia" w:asciiTheme="minorEastAsia" w:hAnsiTheme="minorEastAsia" w:eastAsiaTheme="minorEastAsia" w:cstheme="minorEastAsia"/>
          <w:color w:val="auto"/>
          <w:sz w:val="24"/>
          <w:u w:val="single"/>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snapToGrid w:val="0"/>
        <w:rPr>
          <w:rFonts w:hint="eastAsia" w:eastAsia="宋体"/>
          <w:lang w:eastAsia="zh-CN"/>
        </w:rPr>
      </w:pPr>
      <w:r>
        <w:rPr>
          <w:rStyle w:val="25"/>
        </w:rPr>
        <w:footnoteRef/>
      </w:r>
      <w:r>
        <w:t xml:space="preserve"> </w:t>
      </w:r>
      <w:r>
        <w:rPr>
          <w:rFonts w:hint="eastAsia"/>
          <w:lang w:eastAsia="zh-CN"/>
        </w:rPr>
        <w:t>供应商需按提供的货物标的分别填写，未按规定填写的，视为未提供《中小企业申明函》。</w:t>
      </w:r>
    </w:p>
  </w:footnote>
  <w:footnote w:id="1">
    <w:p>
      <w:pPr>
        <w:pStyle w:val="15"/>
        <w:snapToGrid w:val="0"/>
        <w:rPr>
          <w:rFonts w:hint="eastAsia" w:eastAsia="宋体"/>
          <w:lang w:eastAsia="zh-CN"/>
        </w:rPr>
      </w:pPr>
      <w:r>
        <w:rPr>
          <w:rStyle w:val="25"/>
        </w:rPr>
        <w:footnoteRef/>
      </w:r>
      <w:r>
        <w:t xml:space="preserve"> </w:t>
      </w:r>
      <w:r>
        <w:rPr>
          <w:rFonts w:hint="eastAsia"/>
          <w:lang w:eastAsia="zh-CN"/>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30A98"/>
    <w:multiLevelType w:val="multilevel"/>
    <w:tmpl w:val="9FA30A98"/>
    <w:lvl w:ilvl="0" w:tentative="0">
      <w:start w:val="2"/>
      <w:numFmt w:val="chineseCountingThousand"/>
      <w:pStyle w:val="4"/>
      <w:suff w:val="space"/>
      <w:lvlText w:val="第%1章"/>
      <w:lvlJc w:val="left"/>
      <w:pPr>
        <w:ind w:left="0" w:firstLine="0"/>
      </w:pPr>
      <w:rPr>
        <w:rFonts w:hint="eastAsia" w:eastAsia="宋体"/>
        <w:b/>
        <w:i w:val="0"/>
        <w:sz w:val="32"/>
      </w:rPr>
    </w:lvl>
    <w:lvl w:ilvl="1" w:tentative="0">
      <w:start w:val="7"/>
      <w:numFmt w:val="decimal"/>
      <w:lvlRestart w:val="0"/>
      <w:suff w:val="space"/>
      <w:lvlText w:val="%2"/>
      <w:lvlJc w:val="left"/>
      <w:pPr>
        <w:ind w:left="284" w:firstLine="0"/>
      </w:pPr>
      <w:rPr>
        <w:rFonts w:hint="eastAsia" w:eastAsia="宋体"/>
        <w:b/>
        <w:i w:val="0"/>
        <w:sz w:val="28"/>
      </w:rPr>
    </w:lvl>
    <w:lvl w:ilvl="2" w:tentative="0">
      <w:start w:val="1"/>
      <w:numFmt w:val="decimal"/>
      <w:lvlRestart w:val="0"/>
      <w:suff w:val="space"/>
      <w:lvlText w:val="1.%3"/>
      <w:lvlJc w:val="left"/>
      <w:pPr>
        <w:tabs>
          <w:tab w:val="left" w:pos="0"/>
        </w:tabs>
        <w:ind w:left="0" w:firstLine="0"/>
      </w:pPr>
      <w:rPr>
        <w:rFonts w:hint="eastAsia" w:ascii="宋体" w:hAnsi="宋体" w:eastAsia="宋体" w:cs="宋体"/>
        <w:b/>
        <w:i w:val="0"/>
        <w:sz w:val="24"/>
      </w:rPr>
    </w:lvl>
    <w:lvl w:ilvl="3" w:tentative="0">
      <w:start w:val="1"/>
      <w:numFmt w:val="decimal"/>
      <w:lvlRestart w:val="0"/>
      <w:suff w:val="space"/>
      <w:lvlText w:val="%2.%3.%4"/>
      <w:lvlJc w:val="left"/>
      <w:pPr>
        <w:ind w:left="0" w:firstLine="0"/>
      </w:pPr>
      <w:rPr>
        <w:rFonts w:hint="eastAsia" w:eastAsia="宋体"/>
        <w:b/>
        <w:i w:val="0"/>
        <w:sz w:val="24"/>
      </w:rPr>
    </w:lvl>
    <w:lvl w:ilvl="4" w:tentative="0">
      <w:start w:val="1"/>
      <w:numFmt w:val="decimal"/>
      <w:lvlRestart w:val="0"/>
      <w:pStyle w:val="8"/>
      <w:suff w:val="space"/>
      <w:lvlText w:val="1.3.2.%5"/>
      <w:lvlJc w:val="left"/>
      <w:pPr>
        <w:tabs>
          <w:tab w:val="left" w:pos="0"/>
        </w:tabs>
        <w:ind w:left="0" w:firstLine="0"/>
      </w:pPr>
      <w:rPr>
        <w:rFonts w:hint="eastAsia" w:ascii="宋体" w:hAnsi="宋体" w:eastAsia="宋体" w:cs="宋体"/>
        <w:b/>
        <w:i w:val="0"/>
        <w:sz w:val="24"/>
      </w:rPr>
    </w:lvl>
    <w:lvl w:ilvl="5" w:tentative="0">
      <w:start w:val="1"/>
      <w:numFmt w:val="decimal"/>
      <w:lvlRestart w:val="0"/>
      <w:suff w:val="space"/>
      <w:lvlText w:val="%2.%3.%4.%5.%6"/>
      <w:lvlJc w:val="left"/>
      <w:pPr>
        <w:ind w:left="0" w:firstLine="0"/>
      </w:pPr>
      <w:rPr>
        <w:rFonts w:hint="eastAsia" w:eastAsia="宋体"/>
        <w:b/>
        <w:i w:val="0"/>
        <w:sz w:val="24"/>
      </w:rPr>
    </w:lvl>
    <w:lvl w:ilvl="6" w:tentative="0">
      <w:start w:val="1"/>
      <w:numFmt w:val="decimal"/>
      <w:lvlRestart w:val="0"/>
      <w:suff w:val="space"/>
      <w:lvlText w:val="%2.%3.%4.%5.%6.%7"/>
      <w:lvlJc w:val="left"/>
      <w:pPr>
        <w:ind w:left="0" w:firstLine="0"/>
      </w:pPr>
      <w:rPr>
        <w:rFonts w:hint="eastAsia" w:eastAsia="宋体"/>
        <w:b/>
        <w:i w:val="0"/>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B8E6A55E"/>
    <w:multiLevelType w:val="singleLevel"/>
    <w:tmpl w:val="B8E6A5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ZWI2NmFhZmI3OTMzMTRjOWNlM2VmNGY2NzM2ZmQifQ=="/>
  </w:docVars>
  <w:rsids>
    <w:rsidRoot w:val="758A346A"/>
    <w:rsid w:val="000837BE"/>
    <w:rsid w:val="001347F3"/>
    <w:rsid w:val="001E562D"/>
    <w:rsid w:val="002D14A6"/>
    <w:rsid w:val="002D461B"/>
    <w:rsid w:val="003A6ABD"/>
    <w:rsid w:val="004A4254"/>
    <w:rsid w:val="004B2C6A"/>
    <w:rsid w:val="0076081A"/>
    <w:rsid w:val="007854AE"/>
    <w:rsid w:val="007C02BF"/>
    <w:rsid w:val="007C20C3"/>
    <w:rsid w:val="00850631"/>
    <w:rsid w:val="00B44F65"/>
    <w:rsid w:val="00B62707"/>
    <w:rsid w:val="00D1535E"/>
    <w:rsid w:val="00E81EA6"/>
    <w:rsid w:val="00E81EED"/>
    <w:rsid w:val="01681F1F"/>
    <w:rsid w:val="022F1F88"/>
    <w:rsid w:val="02766F8C"/>
    <w:rsid w:val="02F775B9"/>
    <w:rsid w:val="032A13FB"/>
    <w:rsid w:val="03F4746D"/>
    <w:rsid w:val="040B53EE"/>
    <w:rsid w:val="043D752A"/>
    <w:rsid w:val="04821ED0"/>
    <w:rsid w:val="04C34EC5"/>
    <w:rsid w:val="0508285F"/>
    <w:rsid w:val="05837ACB"/>
    <w:rsid w:val="058A3313"/>
    <w:rsid w:val="065B438B"/>
    <w:rsid w:val="066500FA"/>
    <w:rsid w:val="079E0D4F"/>
    <w:rsid w:val="080B32B1"/>
    <w:rsid w:val="089E539B"/>
    <w:rsid w:val="08A406FE"/>
    <w:rsid w:val="0B4E40DA"/>
    <w:rsid w:val="0DDF0BBA"/>
    <w:rsid w:val="0E73723F"/>
    <w:rsid w:val="0E846CDD"/>
    <w:rsid w:val="0E9225EB"/>
    <w:rsid w:val="0ED06673"/>
    <w:rsid w:val="0EDB0F52"/>
    <w:rsid w:val="0F90683B"/>
    <w:rsid w:val="0FEE6374"/>
    <w:rsid w:val="10B95DE7"/>
    <w:rsid w:val="1197496F"/>
    <w:rsid w:val="11F2041B"/>
    <w:rsid w:val="12592B1D"/>
    <w:rsid w:val="1296572B"/>
    <w:rsid w:val="133565E0"/>
    <w:rsid w:val="14740DB1"/>
    <w:rsid w:val="14AE32A4"/>
    <w:rsid w:val="15B2537C"/>
    <w:rsid w:val="16AC34B7"/>
    <w:rsid w:val="16E325BA"/>
    <w:rsid w:val="17811599"/>
    <w:rsid w:val="178E4C66"/>
    <w:rsid w:val="188C0513"/>
    <w:rsid w:val="18923375"/>
    <w:rsid w:val="19664800"/>
    <w:rsid w:val="1A1B4737"/>
    <w:rsid w:val="1A9F59E6"/>
    <w:rsid w:val="1B5D1BC0"/>
    <w:rsid w:val="1B962919"/>
    <w:rsid w:val="1BE2006A"/>
    <w:rsid w:val="1C0405E8"/>
    <w:rsid w:val="1C8E2992"/>
    <w:rsid w:val="1C9A29CE"/>
    <w:rsid w:val="1DF2139D"/>
    <w:rsid w:val="1EA071AC"/>
    <w:rsid w:val="1F7161BD"/>
    <w:rsid w:val="20306FC2"/>
    <w:rsid w:val="20ED26BE"/>
    <w:rsid w:val="21004DD5"/>
    <w:rsid w:val="211A4276"/>
    <w:rsid w:val="21E776F8"/>
    <w:rsid w:val="225319E9"/>
    <w:rsid w:val="22D50944"/>
    <w:rsid w:val="22E43C39"/>
    <w:rsid w:val="23E246AA"/>
    <w:rsid w:val="246C1FDB"/>
    <w:rsid w:val="266F7AC2"/>
    <w:rsid w:val="26D00BAD"/>
    <w:rsid w:val="26E67650"/>
    <w:rsid w:val="291B4F80"/>
    <w:rsid w:val="292A46AD"/>
    <w:rsid w:val="29A23292"/>
    <w:rsid w:val="29A64A8F"/>
    <w:rsid w:val="2A9E17D5"/>
    <w:rsid w:val="2C9002B8"/>
    <w:rsid w:val="2CBE4753"/>
    <w:rsid w:val="2CCE63B7"/>
    <w:rsid w:val="2DC6568E"/>
    <w:rsid w:val="2E24038A"/>
    <w:rsid w:val="2E2F4CCC"/>
    <w:rsid w:val="2EC06CA4"/>
    <w:rsid w:val="2F42408F"/>
    <w:rsid w:val="2F6E1DAA"/>
    <w:rsid w:val="2FF4408E"/>
    <w:rsid w:val="2FF70CA4"/>
    <w:rsid w:val="300D5F82"/>
    <w:rsid w:val="31C814B2"/>
    <w:rsid w:val="33DC1D65"/>
    <w:rsid w:val="346548F9"/>
    <w:rsid w:val="34740750"/>
    <w:rsid w:val="34E66D17"/>
    <w:rsid w:val="358561AC"/>
    <w:rsid w:val="3589036C"/>
    <w:rsid w:val="37186673"/>
    <w:rsid w:val="373558A7"/>
    <w:rsid w:val="37485D87"/>
    <w:rsid w:val="37692AD9"/>
    <w:rsid w:val="39543225"/>
    <w:rsid w:val="3A000CD9"/>
    <w:rsid w:val="3B10289D"/>
    <w:rsid w:val="3BCB738F"/>
    <w:rsid w:val="3BDB5F2D"/>
    <w:rsid w:val="3CDD2E89"/>
    <w:rsid w:val="3D3562E6"/>
    <w:rsid w:val="3D6F73BD"/>
    <w:rsid w:val="3DE65DA3"/>
    <w:rsid w:val="3E293C02"/>
    <w:rsid w:val="3E324050"/>
    <w:rsid w:val="3FC414DB"/>
    <w:rsid w:val="410F3A4B"/>
    <w:rsid w:val="41DC2DC7"/>
    <w:rsid w:val="42AB302B"/>
    <w:rsid w:val="43762922"/>
    <w:rsid w:val="452201FD"/>
    <w:rsid w:val="453D1A6D"/>
    <w:rsid w:val="45F12039"/>
    <w:rsid w:val="46E34406"/>
    <w:rsid w:val="47681583"/>
    <w:rsid w:val="483F3C8F"/>
    <w:rsid w:val="4A3D3F58"/>
    <w:rsid w:val="4A847C26"/>
    <w:rsid w:val="4AAC69E1"/>
    <w:rsid w:val="4AEE0427"/>
    <w:rsid w:val="4BA464D9"/>
    <w:rsid w:val="4C234CAC"/>
    <w:rsid w:val="4D741B30"/>
    <w:rsid w:val="4E4A4DC8"/>
    <w:rsid w:val="4E577BAE"/>
    <w:rsid w:val="4F4B76CA"/>
    <w:rsid w:val="4F9B6492"/>
    <w:rsid w:val="4FF23ABC"/>
    <w:rsid w:val="4FF63FE4"/>
    <w:rsid w:val="52113DC2"/>
    <w:rsid w:val="524C4817"/>
    <w:rsid w:val="55292C98"/>
    <w:rsid w:val="55BA2CA1"/>
    <w:rsid w:val="567F1B13"/>
    <w:rsid w:val="571443FC"/>
    <w:rsid w:val="577B3C14"/>
    <w:rsid w:val="58C35B0E"/>
    <w:rsid w:val="58DA0F21"/>
    <w:rsid w:val="59B945BB"/>
    <w:rsid w:val="59D86D93"/>
    <w:rsid w:val="5B270EC9"/>
    <w:rsid w:val="5D0E599D"/>
    <w:rsid w:val="5D3B7B7E"/>
    <w:rsid w:val="5DD10542"/>
    <w:rsid w:val="5E3D23B8"/>
    <w:rsid w:val="5E7F55FA"/>
    <w:rsid w:val="5EAE2302"/>
    <w:rsid w:val="5F082ECA"/>
    <w:rsid w:val="5F767F88"/>
    <w:rsid w:val="6010059B"/>
    <w:rsid w:val="60327E35"/>
    <w:rsid w:val="606368AC"/>
    <w:rsid w:val="63066A7D"/>
    <w:rsid w:val="64DC36BB"/>
    <w:rsid w:val="65C65126"/>
    <w:rsid w:val="66944EF8"/>
    <w:rsid w:val="67337CC1"/>
    <w:rsid w:val="676F1B92"/>
    <w:rsid w:val="681A0027"/>
    <w:rsid w:val="682A6412"/>
    <w:rsid w:val="68CD469C"/>
    <w:rsid w:val="69106440"/>
    <w:rsid w:val="6A116C91"/>
    <w:rsid w:val="6A5A4AAA"/>
    <w:rsid w:val="6C9F287E"/>
    <w:rsid w:val="6D531835"/>
    <w:rsid w:val="6EEA4A93"/>
    <w:rsid w:val="6F5C21AB"/>
    <w:rsid w:val="6F702761"/>
    <w:rsid w:val="6F997EA3"/>
    <w:rsid w:val="707A221B"/>
    <w:rsid w:val="711656AE"/>
    <w:rsid w:val="718A54AB"/>
    <w:rsid w:val="71F55298"/>
    <w:rsid w:val="7213777C"/>
    <w:rsid w:val="72B6034E"/>
    <w:rsid w:val="73A3438F"/>
    <w:rsid w:val="74005BE1"/>
    <w:rsid w:val="74A46FDF"/>
    <w:rsid w:val="74C43DCC"/>
    <w:rsid w:val="74EC050E"/>
    <w:rsid w:val="7509459A"/>
    <w:rsid w:val="752367FE"/>
    <w:rsid w:val="753E7C27"/>
    <w:rsid w:val="758A346A"/>
    <w:rsid w:val="76082C8B"/>
    <w:rsid w:val="77B15D34"/>
    <w:rsid w:val="78251737"/>
    <w:rsid w:val="793A01DC"/>
    <w:rsid w:val="794B5011"/>
    <w:rsid w:val="796D382C"/>
    <w:rsid w:val="79DA4CF5"/>
    <w:rsid w:val="7A5A5E99"/>
    <w:rsid w:val="7A674BC8"/>
    <w:rsid w:val="7A8A4847"/>
    <w:rsid w:val="7C1E205D"/>
    <w:rsid w:val="7C3435BD"/>
    <w:rsid w:val="7CAA5F81"/>
    <w:rsid w:val="7D0C23DC"/>
    <w:rsid w:val="7DEF7898"/>
    <w:rsid w:val="7DF6590B"/>
    <w:rsid w:val="7E070F05"/>
    <w:rsid w:val="7ED565BA"/>
    <w:rsid w:val="7F3709D3"/>
    <w:rsid w:val="7F3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jc w:val="left"/>
      <w:outlineLvl w:val="0"/>
    </w:pPr>
    <w:rPr>
      <w:rFonts w:asciiTheme="majorEastAsia" w:hAnsiTheme="majorEastAsia" w:eastAsiaTheme="majorEastAsia"/>
      <w:b/>
      <w:bCs/>
      <w:kern w:val="44"/>
      <w:sz w:val="32"/>
      <w:szCs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8"/>
    <w:next w:val="1"/>
    <w:qFormat/>
    <w:uiPriority w:val="0"/>
    <w:pPr>
      <w:tabs>
        <w:tab w:val="left" w:pos="0"/>
      </w:tabs>
      <w:spacing w:before="280" w:after="290" w:line="376" w:lineRule="auto"/>
      <w:outlineLvl w:val="3"/>
    </w:pPr>
    <w:rPr>
      <w:rFonts w:ascii="Arial" w:hAnsi="Arial" w:eastAsia="黑体"/>
      <w:sz w:val="28"/>
      <w:szCs w:val="28"/>
    </w:rPr>
  </w:style>
  <w:style w:type="paragraph" w:styleId="8">
    <w:name w:val="heading 5"/>
    <w:basedOn w:val="1"/>
    <w:next w:val="1"/>
    <w:unhideWhenUsed/>
    <w:qFormat/>
    <w:uiPriority w:val="9"/>
    <w:pPr>
      <w:keepNext/>
      <w:keepLines/>
      <w:numPr>
        <w:ilvl w:val="4"/>
        <w:numId w:val="1"/>
      </w:numPr>
      <w:spacing w:before="140" w:after="140" w:line="360" w:lineRule="auto"/>
      <w:outlineLvl w:val="4"/>
    </w:pPr>
    <w:rPr>
      <w:rFonts w:asciiTheme="majorEastAsia" w:hAnsiTheme="majorEastAsia" w:eastAsiaTheme="majorEastAsia"/>
      <w:b/>
      <w:bCs/>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before="0" w:after="120" w:line="240" w:lineRule="auto"/>
      <w:ind w:firstLine="420" w:firstLineChars="100"/>
    </w:pPr>
  </w:style>
  <w:style w:type="paragraph" w:styleId="3">
    <w:name w:val="Body Text"/>
    <w:basedOn w:val="1"/>
    <w:next w:val="1"/>
    <w:qFormat/>
    <w:uiPriority w:val="99"/>
    <w:pPr>
      <w:widowControl/>
      <w:jc w:val="left"/>
    </w:pPr>
    <w:rPr>
      <w:kern w:val="0"/>
      <w:szCs w:val="20"/>
    </w:rPr>
  </w:style>
  <w:style w:type="paragraph" w:styleId="9">
    <w:name w:val="Normal Indent"/>
    <w:basedOn w:val="1"/>
    <w:qFormat/>
    <w:uiPriority w:val="0"/>
    <w:pPr>
      <w:ind w:firstLine="420"/>
    </w:pPr>
    <w:rPr>
      <w:kern w:val="0"/>
      <w:sz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before="120" w:after="120"/>
    </w:pPr>
    <w:rPr>
      <w:bCs/>
      <w:caps/>
      <w:sz w:val="30"/>
      <w:szCs w:val="30"/>
    </w:rPr>
  </w:style>
  <w:style w:type="paragraph" w:styleId="15">
    <w:name w:val="footnote text"/>
    <w:basedOn w:val="1"/>
    <w:qFormat/>
    <w:uiPriority w:val="0"/>
    <w:pPr>
      <w:snapToGrid w:val="0"/>
      <w:jc w:val="left"/>
    </w:pPr>
    <w:rPr>
      <w:sz w:val="18"/>
    </w:rPr>
  </w:style>
  <w:style w:type="paragraph" w:styleId="16">
    <w:name w:val="toc 2"/>
    <w:basedOn w:val="1"/>
    <w:next w:val="1"/>
    <w:qFormat/>
    <w:uiPriority w:val="39"/>
    <w:pPr>
      <w:tabs>
        <w:tab w:val="left" w:pos="900"/>
        <w:tab w:val="left" w:pos="1080"/>
        <w:tab w:val="right" w:leader="dot" w:pos="9628"/>
      </w:tabs>
      <w:adjustRightInd w:val="0"/>
      <w:snapToGrid w:val="0"/>
      <w:spacing w:line="360" w:lineRule="auto"/>
      <w:ind w:firstLine="420" w:firstLineChars="200"/>
      <w:jc w:val="left"/>
    </w:pPr>
  </w:style>
  <w:style w:type="paragraph" w:styleId="17">
    <w:name w:val="Body Text 2"/>
    <w:basedOn w:val="1"/>
    <w:next w:val="1"/>
    <w:qFormat/>
    <w:uiPriority w:val="0"/>
    <w:pPr>
      <w:spacing w:after="120" w:line="480" w:lineRule="auto"/>
    </w:pPr>
  </w:style>
  <w:style w:type="paragraph" w:styleId="18">
    <w:name w:val="index 1"/>
    <w:basedOn w:val="1"/>
    <w:next w:val="1"/>
    <w:qFormat/>
    <w:uiPriority w:val="0"/>
    <w:rPr>
      <w:rFonts w:eastAsia="仿宋_GB2312"/>
      <w:b/>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2"/>
    <w:basedOn w:val="10"/>
    <w:next w:val="1"/>
    <w:qFormat/>
    <w:uiPriority w:val="0"/>
    <w:pPr>
      <w:ind w:firstLine="420" w:firstLineChars="200"/>
    </w:pPr>
  </w:style>
  <w:style w:type="character" w:styleId="23">
    <w:name w:val="Strong"/>
    <w:basedOn w:val="22"/>
    <w:qFormat/>
    <w:uiPriority w:val="22"/>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footnote reference"/>
    <w:basedOn w:val="22"/>
    <w:qFormat/>
    <w:uiPriority w:val="0"/>
    <w:rPr>
      <w:vertAlign w:val="superscript"/>
    </w:rPr>
  </w:style>
  <w:style w:type="paragraph" w:customStyle="1" w:styleId="26">
    <w:name w:val="正文（缩进）"/>
    <w:basedOn w:val="1"/>
    <w:qFormat/>
    <w:uiPriority w:val="0"/>
    <w:pPr>
      <w:ind w:firstLine="480" w:firstLineChars="200"/>
    </w:pPr>
    <w:rPr>
      <w:szCs w:val="21"/>
    </w:rPr>
  </w:style>
  <w:style w:type="paragraph" w:customStyle="1" w:styleId="27">
    <w:name w:val="样式 样式 行距: 1.5 倍行距 + 首行缩进:  2 字符"/>
    <w:basedOn w:val="1"/>
    <w:qFormat/>
    <w:uiPriority w:val="0"/>
    <w:rPr>
      <w:rFonts w:cs="宋体"/>
      <w:sz w:val="24"/>
    </w:rPr>
  </w:style>
  <w:style w:type="paragraph" w:customStyle="1" w:styleId="28">
    <w:name w:val="列表段落1"/>
    <w:basedOn w:val="1"/>
    <w:qFormat/>
    <w:uiPriority w:val="34"/>
    <w:pPr>
      <w:ind w:firstLine="420" w:firstLineChars="200"/>
    </w:pPr>
    <w:rPr>
      <w:rFonts w:ascii="Calibri" w:hAnsi="Calibri"/>
      <w:szCs w:val="22"/>
    </w:rPr>
  </w:style>
  <w:style w:type="character" w:customStyle="1" w:styleId="29">
    <w:name w:val="fontstyle01"/>
    <w:qFormat/>
    <w:uiPriority w:val="0"/>
    <w:rPr>
      <w:rFonts w:hint="eastAsia" w:ascii="宋体" w:hAnsi="宋体" w:eastAsia="宋体"/>
      <w:color w:val="000000"/>
      <w:sz w:val="24"/>
      <w:szCs w:val="24"/>
    </w:rPr>
  </w:style>
  <w:style w:type="paragraph" w:customStyle="1" w:styleId="30">
    <w:name w:val="TOC 标题1"/>
    <w:basedOn w:val="4"/>
    <w:next w:val="1"/>
    <w:unhideWhenUsed/>
    <w:qFormat/>
    <w:uiPriority w:val="39"/>
    <w:pPr>
      <w:widowControl/>
      <w:numPr>
        <w:numId w:val="0"/>
      </w:numPr>
      <w:spacing w:before="480" w:after="0" w:line="276" w:lineRule="auto"/>
      <w:outlineLvl w:val="9"/>
    </w:pPr>
    <w:rPr>
      <w:rFonts w:asciiTheme="majorHAnsi" w:hAnsiTheme="majorHAnsi" w:cstheme="majorBidi"/>
      <w:color w:val="2E75B6" w:themeColor="accent1" w:themeShade="BF"/>
      <w:kern w:val="0"/>
      <w:sz w:val="28"/>
      <w:szCs w:val="28"/>
    </w:rPr>
  </w:style>
  <w:style w:type="paragraph" w:customStyle="1" w:styleId="31">
    <w:name w:val="List Paragraph"/>
    <w:basedOn w:val="1"/>
    <w:qFormat/>
    <w:uiPriority w:val="34"/>
    <w:pPr>
      <w:ind w:firstLine="420" w:firstLineChars="200"/>
    </w:pPr>
    <w:rPr>
      <w:rFonts w:ascii="Calibri" w:hAnsi="Calibri"/>
      <w:szCs w:val="22"/>
    </w:rPr>
  </w:style>
  <w:style w:type="character" w:customStyle="1" w:styleId="32">
    <w:name w:val="font31"/>
    <w:basedOn w:val="22"/>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20662</Words>
  <Characters>22023</Characters>
  <Lines>190</Lines>
  <Paragraphs>53</Paragraphs>
  <TotalTime>16</TotalTime>
  <ScaleCrop>false</ScaleCrop>
  <LinksUpToDate>false</LinksUpToDate>
  <CharactersWithSpaces>24536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2021-09-12T17:38:00Z</dcterms:created>
  <dc:creator>FXXXY</dc:creator>
  <cp:lastModifiedBy>Administrator</cp:lastModifiedBy>
  <cp:lastPrinted>2021-09-09T07:38:00Z</cp:lastPrinted>
  <dcterms:modified xsi:type="dcterms:W3CDTF">2022-10-30T22:25:50Z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6D5CE618BBBE419ABB32F16A46825763</vt:lpwstr>
  </property>
</Properties>
</file>