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480" w:lineRule="exact"/>
        <w:jc w:val="center"/>
        <w:rPr>
          <w:b/>
          <w:bCs/>
          <w:color w:val="auto"/>
          <w:sz w:val="30"/>
          <w:szCs w:val="30"/>
        </w:rPr>
      </w:pPr>
      <w:r>
        <w:rPr>
          <w:rFonts w:hint="eastAsia"/>
          <w:b/>
          <w:bCs/>
          <w:color w:val="auto"/>
          <w:sz w:val="32"/>
          <w:szCs w:val="32"/>
          <w:lang w:eastAsia="zh-CN"/>
        </w:rPr>
        <w:t>长汀红色文化实践基地项目（一期）水土保持监测及水土保持设施验收项目</w:t>
      </w:r>
      <w:r>
        <w:rPr>
          <w:rFonts w:hint="eastAsia"/>
          <w:b/>
          <w:bCs/>
          <w:color w:val="auto"/>
          <w:sz w:val="32"/>
          <w:szCs w:val="32"/>
        </w:rPr>
        <w:t>邀请招标公告</w:t>
      </w:r>
    </w:p>
    <w:p>
      <w:pPr>
        <w:pStyle w:val="7"/>
        <w:widowControl/>
        <w:spacing w:beforeAutospacing="0" w:afterAutospacing="0" w:line="480" w:lineRule="exact"/>
        <w:ind w:firstLine="480"/>
        <w:rPr>
          <w:rFonts w:hint="eastAsia" w:ascii="宋体" w:hAnsi="宋体" w:cs="宋体"/>
          <w:color w:val="auto"/>
        </w:rPr>
      </w:pPr>
    </w:p>
    <w:p>
      <w:pPr>
        <w:pStyle w:val="7"/>
        <w:widowControl/>
        <w:spacing w:beforeAutospacing="0" w:afterAutospacing="0" w:line="480" w:lineRule="exact"/>
        <w:ind w:firstLine="480"/>
        <w:rPr>
          <w:rFonts w:ascii="宋体" w:hAnsi="宋体" w:cs="宋体"/>
          <w:color w:val="auto"/>
        </w:rPr>
      </w:pPr>
      <w:bookmarkStart w:id="0" w:name="_GoBack"/>
      <w:bookmarkEnd w:id="0"/>
      <w:r>
        <w:rPr>
          <w:rFonts w:hint="eastAsia" w:ascii="宋体" w:hAnsi="宋体" w:cs="宋体"/>
          <w:color w:val="auto"/>
        </w:rPr>
        <w:t>福建省谦诚工程管理有限公司采用邀请招标方式组织</w:t>
      </w:r>
      <w:r>
        <w:rPr>
          <w:rFonts w:hint="eastAsia" w:ascii="宋体" w:hAnsi="宋体" w:cs="宋体"/>
          <w:color w:val="auto"/>
          <w:lang w:eastAsia="zh-CN"/>
        </w:rPr>
        <w:t>长汀红色文化实践基地项目（一期）水土保持监测及水土保持设施验收项目</w:t>
      </w:r>
      <w:r>
        <w:rPr>
          <w:rFonts w:hint="eastAsia" w:ascii="宋体" w:hAnsi="宋体" w:cs="宋体"/>
          <w:color w:val="auto"/>
        </w:rPr>
        <w:t>（以下简称：“本项目”）的采购活动，现邀请特定供应商参加投标。</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1、项目名称：</w:t>
      </w:r>
      <w:r>
        <w:rPr>
          <w:rFonts w:hint="eastAsia" w:ascii="宋体" w:hAnsi="宋体" w:cs="宋体"/>
          <w:color w:val="auto"/>
          <w:u w:val="single"/>
          <w:lang w:eastAsia="zh-CN"/>
        </w:rPr>
        <w:t>长汀红色文化实践基地项目（一期）水土保持监测及水土保持设施验收项目</w:t>
      </w:r>
      <w:r>
        <w:rPr>
          <w:rFonts w:hint="eastAsia" w:ascii="宋体" w:hAnsi="宋体" w:cs="宋体"/>
          <w:color w:val="auto"/>
          <w:u w:val="single"/>
        </w:rPr>
        <w:t>。</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2、招标编号：</w:t>
      </w:r>
      <w:r>
        <w:rPr>
          <w:rFonts w:hint="eastAsia" w:ascii="宋体" w:hAnsi="宋体" w:cs="宋体"/>
          <w:color w:val="auto"/>
          <w:u w:val="single"/>
          <w:lang w:eastAsia="zh-CN"/>
        </w:rPr>
        <w:t>FJQC（2022）-CT067号</w:t>
      </w:r>
      <w:r>
        <w:rPr>
          <w:rFonts w:hint="eastAsia" w:ascii="宋体" w:hAnsi="宋体" w:cs="宋体"/>
          <w:color w:val="auto"/>
        </w:rPr>
        <w:t>。</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3、预算金额：详见《采购标的一览表》。</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4、招标内容及要求：详见《采购标的一览表》及招标文件第五章。</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5、需要落实的政府采购政策：</w:t>
      </w:r>
      <w:r>
        <w:rPr>
          <w:rFonts w:hint="eastAsia" w:ascii="宋体" w:hAnsi="宋体" w:cs="宋体"/>
          <w:color w:val="auto"/>
          <w:shd w:val="clear" w:color="auto" w:fill="FFFFFF"/>
        </w:rPr>
        <w:t>进口产品，不适用于（本项目）。节能产品，不适用于（本项目）。环境标志产品，不适用于（本项目）。小型、微型企业，适用于（本项目）。监狱企业，适用于（本项目）。促进残疾人就业 ，适用于（本项目）。信用记录，适用于（本项目），《关于在政府采购活动中查询及使用信用记录有关问题的通知》（财库【2016】125号）投标人不得被列入失信被执行人、重大税收违法案件当事人名单、政府采购严重违法失信行为记录名单，按照下列规定执行：（1）投标人应在（本项目投标截止时间）前分别通过“信用中国”网站（www.creditchina.gov.cn）、中国政府采购网（www.ccgp.gov.cn）查询并打印相应的信用记录（以下简称：“投标人提供的查询结果”）。（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7"/>
        <w:widowControl/>
        <w:spacing w:beforeAutospacing="0" w:afterAutospacing="0" w:line="480" w:lineRule="exact"/>
        <w:ind w:firstLine="480"/>
        <w:rPr>
          <w:rFonts w:ascii="宋体" w:hAnsi="宋体" w:cs="宋体"/>
          <w:color w:val="auto"/>
          <w:shd w:val="clear" w:color="auto" w:fill="FFFFFF"/>
        </w:rPr>
      </w:pPr>
      <w:r>
        <w:rPr>
          <w:rFonts w:hint="eastAsia" w:ascii="宋体" w:hAnsi="宋体" w:cs="宋体"/>
          <w:color w:val="auto"/>
        </w:rPr>
        <w:t>6</w:t>
      </w:r>
      <w:r>
        <w:rPr>
          <w:rFonts w:hint="eastAsia" w:ascii="宋体" w:hAnsi="宋体" w:cs="宋体"/>
          <w:color w:val="auto"/>
          <w:shd w:val="clear" w:color="auto" w:fill="FFFFFF"/>
        </w:rPr>
        <w:t>、投标人的资格要求</w:t>
      </w:r>
    </w:p>
    <w:p>
      <w:pPr>
        <w:pStyle w:val="7"/>
        <w:widowControl/>
        <w:spacing w:beforeAutospacing="0" w:afterAutospacing="0" w:line="480" w:lineRule="exact"/>
        <w:ind w:firstLine="480"/>
        <w:rPr>
          <w:rFonts w:ascii="宋体" w:hAnsi="宋体" w:cs="宋体"/>
          <w:color w:val="auto"/>
          <w:shd w:val="clear" w:color="auto" w:fill="FFFFFF"/>
        </w:rPr>
      </w:pPr>
      <w:r>
        <w:rPr>
          <w:rFonts w:hint="eastAsia" w:ascii="宋体" w:hAnsi="宋体" w:cs="宋体"/>
          <w:color w:val="auto"/>
          <w:shd w:val="clear" w:color="auto" w:fill="FFFFFF"/>
        </w:rPr>
        <w:t>6.1投标人：受业主邀请的单位。</w:t>
      </w:r>
    </w:p>
    <w:p>
      <w:pPr>
        <w:pStyle w:val="7"/>
        <w:widowControl/>
        <w:spacing w:beforeAutospacing="0" w:afterAutospacing="0" w:line="480" w:lineRule="exact"/>
        <w:ind w:firstLine="480"/>
        <w:rPr>
          <w:rFonts w:ascii="宋体" w:hAnsi="宋体" w:cs="宋体"/>
          <w:bCs/>
          <w:color w:val="auto"/>
        </w:rPr>
      </w:pPr>
      <w:r>
        <w:rPr>
          <w:rFonts w:hint="eastAsia" w:ascii="宋体" w:hAnsi="宋体" w:cs="宋体"/>
          <w:color w:val="auto"/>
        </w:rPr>
        <w:t>6.2法定条件：符合政府采购法第二十二条第一款规定的条件，</w:t>
      </w:r>
      <w:r>
        <w:rPr>
          <w:rStyle w:val="10"/>
          <w:rFonts w:hint="eastAsia" w:ascii="宋体" w:hAnsi="宋体" w:cs="宋体"/>
          <w:b w:val="0"/>
          <w:bCs/>
          <w:color w:val="auto"/>
          <w:szCs w:val="24"/>
        </w:rPr>
        <w:t>应提交的“投标人的资格及资信证明文件”：</w:t>
      </w:r>
    </w:p>
    <w:tbl>
      <w:tblPr>
        <w:tblStyle w:val="8"/>
        <w:tblW w:w="9602"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934" w:type="dxa"/>
            <w:vAlign w:val="center"/>
          </w:tcPr>
          <w:p>
            <w:pPr>
              <w:widowControl/>
              <w:spacing w:line="480" w:lineRule="exact"/>
              <w:jc w:val="center"/>
              <w:rPr>
                <w:rFonts w:ascii="宋体" w:hAnsi="宋体" w:cs="宋体"/>
                <w:b/>
                <w:color w:val="auto"/>
                <w:sz w:val="24"/>
              </w:rPr>
            </w:pPr>
            <w:r>
              <w:rPr>
                <w:rFonts w:hint="eastAsia" w:ascii="宋体" w:hAnsi="宋体" w:cs="宋体"/>
                <w:b/>
                <w:color w:val="auto"/>
                <w:kern w:val="0"/>
                <w:sz w:val="24"/>
              </w:rPr>
              <w:t>明细</w:t>
            </w:r>
          </w:p>
        </w:tc>
        <w:tc>
          <w:tcPr>
            <w:tcW w:w="6668" w:type="dxa"/>
            <w:vAlign w:val="center"/>
          </w:tcPr>
          <w:p>
            <w:pPr>
              <w:widowControl/>
              <w:spacing w:line="480" w:lineRule="exact"/>
              <w:jc w:val="center"/>
              <w:rPr>
                <w:rFonts w:ascii="宋体" w:hAnsi="宋体" w:cs="宋体"/>
                <w:b/>
                <w:color w:val="auto"/>
                <w:sz w:val="24"/>
              </w:rPr>
            </w:pPr>
            <w:r>
              <w:rPr>
                <w:rFonts w:hint="eastAsia" w:ascii="宋体" w:hAnsi="宋体" w:cs="宋体"/>
                <w:b/>
                <w:color w:val="auto"/>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单位负责人授权书（若有）</w:t>
            </w:r>
          </w:p>
        </w:tc>
        <w:tc>
          <w:tcPr>
            <w:tcW w:w="6668"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营业执照等证明文件</w:t>
            </w:r>
          </w:p>
        </w:tc>
        <w:tc>
          <w:tcPr>
            <w:tcW w:w="6668"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财务状况报告（财务报告、或资信证明、或投标担保函）</w:t>
            </w:r>
          </w:p>
        </w:tc>
        <w:tc>
          <w:tcPr>
            <w:tcW w:w="6668"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1、投标人提供的财务报告复印件（成立年限按照投标截止时间推算）应符合下列规定：1.1成立年限满1年及以上的投标人，提供经审计的</w:t>
            </w:r>
            <w:r>
              <w:rPr>
                <w:rFonts w:ascii="宋体" w:hAnsi="宋体" w:eastAsia="宋体" w:cs="宋体"/>
                <w:color w:val="auto"/>
                <w:kern w:val="0"/>
                <w:sz w:val="24"/>
                <w:szCs w:val="24"/>
                <w:lang w:val="en-US" w:eastAsia="zh-CN" w:bidi="ar"/>
              </w:rPr>
              <w:t>上一年度</w:t>
            </w:r>
            <w:r>
              <w:rPr>
                <w:rFonts w:hint="eastAsia" w:ascii="宋体" w:hAnsi="宋体" w:cs="宋体"/>
                <w:color w:val="auto"/>
                <w:kern w:val="0"/>
                <w:sz w:val="24"/>
              </w:rPr>
              <w:t>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依法缴纳税收证明材料</w:t>
            </w:r>
          </w:p>
        </w:tc>
        <w:tc>
          <w:tcPr>
            <w:tcW w:w="6668"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依法缴纳社会保障资金证明材料</w:t>
            </w:r>
          </w:p>
        </w:tc>
        <w:tc>
          <w:tcPr>
            <w:tcW w:w="6668"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具备履行合同所必需设备和专业技术能力的声明函</w:t>
            </w:r>
          </w:p>
        </w:tc>
        <w:tc>
          <w:tcPr>
            <w:tcW w:w="6668"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1、投标人提供“具备履行合同所必需的设备和专业技术能力”的声明函。2、纸质投标文件正本中的本声明函应为原件。※投标人应按照招标文件第七章规定提供。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参加采购活动前三年内在经营活动中没有重大违法记录书面声明</w:t>
            </w:r>
          </w:p>
        </w:tc>
        <w:tc>
          <w:tcPr>
            <w:tcW w:w="6668"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1、“重大违法记录”指投标人因违法经营受到刑事处罚或责令停产停业、吊销许可证或执照、较大数额罚款等行政处罚。2、纸质投标文件正本中的本声明应为原件。※投标人应按照招标文件第七章规定提供。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信用记录查询结果</w:t>
            </w:r>
          </w:p>
        </w:tc>
        <w:tc>
          <w:tcPr>
            <w:tcW w:w="6668"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1.投标人应在本项目投标截止时间前分别通过“信用中国”网站（www.creditchina.gov.cn）、中国政府采购网（www.ccgp.gov.cn）查询并打印相应的信用记录，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⑤若资格审查小组的查询结果是投标人不存在应被拒绝参与政府采购活动相关信息的，则投标人未按招标文件要求在投标文件中提供其信用记录查询结果的，不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spacing w:line="480" w:lineRule="exact"/>
              <w:jc w:val="left"/>
              <w:rPr>
                <w:rFonts w:ascii="宋体" w:hAnsi="宋体" w:cs="宋体"/>
                <w:color w:val="auto"/>
                <w:sz w:val="24"/>
              </w:rPr>
            </w:pPr>
            <w:r>
              <w:rPr>
                <w:rFonts w:hint="eastAsia" w:ascii="宋体" w:hAnsi="宋体" w:cs="宋体"/>
                <w:color w:val="auto"/>
                <w:kern w:val="0"/>
                <w:sz w:val="24"/>
              </w:rPr>
              <w:t>近三年无行贿犯罪记录书面声明</w:t>
            </w:r>
          </w:p>
        </w:tc>
        <w:tc>
          <w:tcPr>
            <w:tcW w:w="6668" w:type="dxa"/>
            <w:vAlign w:val="center"/>
          </w:tcPr>
          <w:p>
            <w:pPr>
              <w:widowControl/>
              <w:spacing w:line="480" w:lineRule="exact"/>
              <w:jc w:val="left"/>
              <w:rPr>
                <w:rFonts w:ascii="宋体" w:hAnsi="宋体" w:cs="宋体"/>
                <w:color w:val="auto"/>
                <w:kern w:val="0"/>
                <w:sz w:val="24"/>
              </w:rPr>
            </w:pPr>
            <w:r>
              <w:rPr>
                <w:rFonts w:hint="eastAsia" w:ascii="宋体" w:hAnsi="宋体" w:cs="宋体"/>
                <w:color w:val="auto"/>
                <w:kern w:val="0"/>
                <w:sz w:val="24"/>
              </w:rPr>
              <w:t>1、投标人须提供近三年无行贿犯罪记录书面声明。</w:t>
            </w:r>
          </w:p>
          <w:p>
            <w:pPr>
              <w:widowControl/>
              <w:spacing w:line="480" w:lineRule="exact"/>
              <w:jc w:val="left"/>
              <w:rPr>
                <w:rFonts w:ascii="宋体" w:hAnsi="宋体" w:cs="宋体"/>
                <w:color w:val="auto"/>
                <w:sz w:val="24"/>
              </w:rPr>
            </w:pPr>
            <w:r>
              <w:rPr>
                <w:rFonts w:hint="eastAsia" w:ascii="宋体" w:hAnsi="宋体" w:cs="宋体"/>
                <w:color w:val="auto"/>
                <w:kern w:val="0"/>
                <w:sz w:val="24"/>
              </w:rPr>
              <w:t>2、提供的无行贿犯罪记录书面声明表明投标人有行贿犯罪记录的，投标无效。3、纸质投标文件正本中的本声明应为原件。※投标人应按照招标文件第七章规定提供。其他资格项下已提供的可不重复提供 。</w:t>
            </w:r>
          </w:p>
        </w:tc>
      </w:tr>
    </w:tbl>
    <w:p>
      <w:pPr>
        <w:pStyle w:val="7"/>
        <w:widowControl/>
        <w:spacing w:beforeAutospacing="0" w:afterAutospacing="0" w:line="480" w:lineRule="exact"/>
        <w:ind w:firstLine="480"/>
        <w:rPr>
          <w:rFonts w:hint="eastAsia" w:ascii="宋体" w:hAnsi="宋体" w:cs="宋体"/>
          <w:color w:val="auto"/>
          <w:lang w:eastAsia="zh-CN"/>
        </w:rPr>
      </w:pPr>
      <w:r>
        <w:rPr>
          <w:rFonts w:hint="eastAsia" w:ascii="宋体" w:hAnsi="宋体" w:cs="宋体"/>
          <w:color w:val="auto"/>
        </w:rPr>
        <w:t>6.3特定条件：</w:t>
      </w:r>
    </w:p>
    <w:tbl>
      <w:tblPr>
        <w:tblStyle w:val="8"/>
        <w:tblW w:w="9602"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4" w:type="dxa"/>
            <w:vAlign w:val="center"/>
          </w:tcPr>
          <w:p>
            <w:pPr>
              <w:widowControl/>
              <w:jc w:val="left"/>
              <w:rPr>
                <w:rFonts w:hint="eastAsia" w:ascii="宋体" w:hAnsi="宋体" w:eastAsia="宋体" w:cs="宋体"/>
                <w:color w:val="auto"/>
                <w:kern w:val="0"/>
                <w:sz w:val="24"/>
                <w:szCs w:val="24"/>
                <w:lang w:val="en-US" w:eastAsia="zh-CN" w:bidi="ar-SA"/>
              </w:rPr>
            </w:pPr>
            <w:r>
              <w:rPr>
                <w:rFonts w:ascii="宋体" w:hAnsi="宋体" w:eastAsia="宋体" w:cs="宋体"/>
                <w:color w:val="auto"/>
                <w:kern w:val="0"/>
                <w:sz w:val="24"/>
                <w:szCs w:val="24"/>
                <w:highlight w:val="none"/>
                <w:lang w:val="en-US" w:eastAsia="zh-CN" w:bidi="ar"/>
              </w:rPr>
              <w:t>资格承诺函（若有）</w:t>
            </w:r>
          </w:p>
        </w:tc>
        <w:tc>
          <w:tcPr>
            <w:tcW w:w="6668" w:type="dxa"/>
            <w:vAlign w:val="center"/>
          </w:tcPr>
          <w:p>
            <w:pPr>
              <w:widowControl/>
              <w:jc w:val="left"/>
              <w:rPr>
                <w:rFonts w:hint="eastAsia" w:ascii="宋体" w:hAnsi="宋体" w:eastAsia="宋体" w:cs="宋体"/>
                <w:color w:val="auto"/>
                <w:kern w:val="0"/>
                <w:sz w:val="24"/>
                <w:szCs w:val="24"/>
                <w:lang w:val="en-US" w:eastAsia="zh-CN" w:bidi="ar-SA"/>
              </w:rPr>
            </w:pPr>
            <w:r>
              <w:rPr>
                <w:rFonts w:ascii="宋体" w:hAnsi="宋体" w:eastAsia="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val="en-US" w:eastAsia="zh-CN" w:bidi="ar"/>
              </w:rPr>
              <w:t>长汀县财政局转发</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龙岩</w:t>
            </w:r>
            <w:r>
              <w:rPr>
                <w:rFonts w:ascii="宋体" w:hAnsi="宋体" w:eastAsia="宋体" w:cs="宋体"/>
                <w:color w:val="auto"/>
                <w:kern w:val="0"/>
                <w:sz w:val="24"/>
                <w:szCs w:val="24"/>
                <w:highlight w:val="none"/>
                <w:lang w:val="en-US" w:eastAsia="zh-CN" w:bidi="ar"/>
              </w:rPr>
              <w:t>市财政局关于</w:t>
            </w:r>
            <w:r>
              <w:rPr>
                <w:rFonts w:hint="eastAsia" w:ascii="宋体" w:hAnsi="宋体" w:eastAsia="宋体" w:cs="宋体"/>
                <w:color w:val="auto"/>
                <w:kern w:val="0"/>
                <w:sz w:val="24"/>
                <w:szCs w:val="24"/>
                <w:highlight w:val="none"/>
                <w:lang w:val="en-US" w:eastAsia="zh-CN" w:bidi="ar"/>
              </w:rPr>
              <w:t>简化</w:t>
            </w:r>
            <w:r>
              <w:rPr>
                <w:rFonts w:ascii="宋体" w:hAnsi="宋体" w:eastAsia="宋体" w:cs="宋体"/>
                <w:color w:val="auto"/>
                <w:kern w:val="0"/>
                <w:sz w:val="24"/>
                <w:szCs w:val="24"/>
                <w:highlight w:val="none"/>
                <w:lang w:val="en-US" w:eastAsia="zh-CN" w:bidi="ar"/>
              </w:rPr>
              <w:t>政府采购</w:t>
            </w:r>
            <w:r>
              <w:rPr>
                <w:rFonts w:hint="eastAsia" w:ascii="宋体" w:hAnsi="宋体" w:eastAsia="宋体" w:cs="宋体"/>
                <w:color w:val="auto"/>
                <w:kern w:val="0"/>
                <w:sz w:val="24"/>
                <w:szCs w:val="24"/>
                <w:highlight w:val="none"/>
                <w:lang w:val="en-US" w:eastAsia="zh-CN" w:bidi="ar"/>
              </w:rPr>
              <w:t>供应商资格证明材料</w:t>
            </w:r>
            <w:r>
              <w:rPr>
                <w:rFonts w:ascii="宋体" w:hAnsi="宋体" w:eastAsia="宋体" w:cs="宋体"/>
                <w:color w:val="auto"/>
                <w:kern w:val="0"/>
                <w:sz w:val="24"/>
                <w:szCs w:val="24"/>
                <w:highlight w:val="none"/>
                <w:lang w:val="en-US" w:eastAsia="zh-CN" w:bidi="ar"/>
              </w:rPr>
              <w:t>的通知》（</w:t>
            </w:r>
            <w:r>
              <w:rPr>
                <w:rFonts w:hint="eastAsia" w:ascii="宋体" w:hAnsi="宋体" w:eastAsia="宋体" w:cs="宋体"/>
                <w:color w:val="auto"/>
                <w:kern w:val="0"/>
                <w:sz w:val="24"/>
                <w:szCs w:val="24"/>
                <w:highlight w:val="none"/>
                <w:lang w:val="en-US" w:eastAsia="zh-CN" w:bidi="ar"/>
              </w:rPr>
              <w:t>汀财购</w:t>
            </w:r>
            <w:r>
              <w:rPr>
                <w:rFonts w:ascii="宋体" w:hAnsi="宋体" w:eastAsia="宋体" w:cs="宋体"/>
                <w:color w:val="auto"/>
                <w:kern w:val="0"/>
                <w:sz w:val="24"/>
                <w:szCs w:val="24"/>
                <w:highlight w:val="none"/>
                <w:lang w:val="en-US" w:eastAsia="zh-CN" w:bidi="ar"/>
              </w:rPr>
              <w:t>〔202</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号）要求，2022年1月</w:t>
            </w:r>
            <w:r>
              <w:rPr>
                <w:rFonts w:hint="eastAsia" w:ascii="宋体" w:hAnsi="宋体" w:eastAsia="宋体" w:cs="宋体"/>
                <w:color w:val="auto"/>
                <w:kern w:val="0"/>
                <w:sz w:val="24"/>
                <w:szCs w:val="24"/>
                <w:highlight w:val="none"/>
                <w:lang w:val="en-US" w:eastAsia="zh-CN" w:bidi="ar"/>
              </w:rPr>
              <w:t>10</w:t>
            </w:r>
            <w:r>
              <w:rPr>
                <w:rFonts w:ascii="宋体" w:hAnsi="宋体" w:eastAsia="宋体" w:cs="宋体"/>
                <w:color w:val="auto"/>
                <w:kern w:val="0"/>
                <w:sz w:val="24"/>
                <w:szCs w:val="24"/>
                <w:highlight w:val="none"/>
                <w:lang w:val="en-US" w:eastAsia="zh-CN" w:bidi="ar"/>
              </w:rPr>
              <w:t>日起，预算金额在</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00万元以内的政府采购项目推行供应商资格证明材料承诺制。供 应商在投标（响应）时，可自行选择是否提供资格承诺函 （格式详见附件），若按附件内容要求提供资格承诺函，无需再提交财务状况、缴纳税收和社保资金缴纳等证明材料。注：（1）采购人有权在签订合同前要求中标人提供相关证明材料以核实中标人承诺事项的真实性。投标人应当遵循诚实守信的原则，不得作出虚假承诺，承诺不实的，属于提供虚假材料谋取中标、成交，依法追究相关的法律责任。（2）投标人可自行选择是否提供本承诺函，若不提供本承诺函的，应按招标文件要求提供相应的证明材料。（3）投标人可刪减承诺事项，如刪去承诺第1项的，则应按招标文件要求提供财务状况报告。</w:t>
            </w:r>
          </w:p>
        </w:tc>
      </w:tr>
    </w:tbl>
    <w:p>
      <w:pPr>
        <w:pStyle w:val="7"/>
        <w:widowControl/>
        <w:spacing w:beforeAutospacing="0" w:afterAutospacing="0" w:line="480" w:lineRule="exact"/>
        <w:ind w:left="239" w:leftChars="114" w:firstLine="240" w:firstLineChars="100"/>
        <w:rPr>
          <w:rFonts w:ascii="宋体" w:hAnsi="宋体" w:cs="宋体"/>
          <w:color w:val="auto"/>
        </w:rPr>
      </w:pPr>
      <w:r>
        <w:rPr>
          <w:rFonts w:hint="eastAsia" w:ascii="宋体" w:hAnsi="宋体" w:cs="宋体"/>
          <w:color w:val="auto"/>
        </w:rPr>
        <w:t>6.4是否接受联合体投标：不接受。</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7、报名</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7.1报名期限：2022年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1</w:t>
      </w:r>
      <w:r>
        <w:rPr>
          <w:rFonts w:hint="eastAsia" w:ascii="宋体" w:hAnsi="宋体" w:cs="宋体"/>
          <w:color w:val="auto"/>
        </w:rPr>
        <w:t>日至2022年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8</w:t>
      </w:r>
      <w:r>
        <w:rPr>
          <w:rFonts w:hint="eastAsia" w:ascii="宋体" w:hAnsi="宋体" w:cs="宋体"/>
          <w:color w:val="auto"/>
        </w:rPr>
        <w:t>日，每天上午8:</w:t>
      </w:r>
      <w:r>
        <w:rPr>
          <w:rFonts w:hint="eastAsia" w:ascii="宋体" w:hAnsi="宋体" w:cs="宋体"/>
          <w:color w:val="auto"/>
          <w:lang w:val="en-US" w:eastAsia="zh-CN"/>
        </w:rPr>
        <w:t>3</w:t>
      </w:r>
      <w:r>
        <w:rPr>
          <w:rFonts w:hint="eastAsia" w:ascii="宋体" w:hAnsi="宋体" w:cs="宋体"/>
          <w:color w:val="auto"/>
        </w:rPr>
        <w:t>0至12:00，下午14:30至17:00。（北京时间，法定节假日除外）。</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7.2报名期限内，投标人持</w:t>
      </w:r>
      <w:r>
        <w:rPr>
          <w:rFonts w:hint="eastAsia" w:ascii="宋体" w:hAnsi="宋体" w:cs="宋体"/>
          <w:color w:val="auto"/>
          <w:lang w:eastAsia="zh-CN"/>
        </w:rPr>
        <w:t>《</w:t>
      </w:r>
      <w:r>
        <w:rPr>
          <w:rFonts w:hint="eastAsia" w:ascii="宋体" w:hAnsi="宋体" w:cs="宋体"/>
          <w:color w:val="auto"/>
        </w:rPr>
        <w:t>邀请函</w:t>
      </w:r>
      <w:r>
        <w:rPr>
          <w:rFonts w:hint="eastAsia" w:ascii="宋体" w:hAnsi="宋体" w:cs="宋体"/>
          <w:color w:val="auto"/>
          <w:lang w:eastAsia="zh-CN"/>
        </w:rPr>
        <w:t>》</w:t>
      </w:r>
      <w:r>
        <w:rPr>
          <w:rFonts w:hint="eastAsia" w:ascii="宋体" w:hAnsi="宋体" w:cs="宋体"/>
          <w:color w:val="auto"/>
        </w:rPr>
        <w:t>到</w:t>
      </w:r>
      <w:r>
        <w:rPr>
          <w:rFonts w:hint="eastAsia" w:ascii="宋体" w:hAnsi="宋体" w:cs="宋体"/>
          <w:color w:val="auto"/>
          <w:shd w:val="clear" w:color="auto" w:fill="FFFFFF"/>
        </w:rPr>
        <w:t>长汀县倒角哩二段下段59号三楼（龙宇中学后门）</w:t>
      </w:r>
      <w:r>
        <w:rPr>
          <w:rFonts w:hint="eastAsia" w:ascii="宋体" w:hAnsi="宋体" w:cs="宋体"/>
          <w:color w:val="auto"/>
        </w:rPr>
        <w:t>福建省谦诚工程管理有限公司龙岩分公司报名；亦可将贵公司所需报名的项目编号、公司名称、联系人、联系电话、手机、传真、邮箱和公司地址一并填写清楚后传真或发电子邮件至本公司报名（传真或发电子邮件报名的，须在发送报名材料后致电我司告知，否则一切后果自行负责），否则投标将被拒绝。</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8、招标文件的获取</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8.1招标文件提供期限：2022年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1</w:t>
      </w:r>
      <w:r>
        <w:rPr>
          <w:rFonts w:hint="eastAsia" w:ascii="宋体" w:hAnsi="宋体" w:cs="宋体"/>
          <w:color w:val="auto"/>
        </w:rPr>
        <w:t>日至2022年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8</w:t>
      </w:r>
      <w:r>
        <w:rPr>
          <w:rFonts w:hint="eastAsia" w:ascii="宋体" w:hAnsi="宋体" w:cs="宋体"/>
          <w:color w:val="auto"/>
        </w:rPr>
        <w:t>日，每天上午8:</w:t>
      </w:r>
      <w:r>
        <w:rPr>
          <w:rFonts w:hint="eastAsia" w:ascii="宋体" w:hAnsi="宋体" w:cs="宋体"/>
          <w:color w:val="auto"/>
          <w:lang w:val="en-US" w:eastAsia="zh-CN"/>
        </w:rPr>
        <w:t>3</w:t>
      </w:r>
      <w:r>
        <w:rPr>
          <w:rFonts w:hint="eastAsia" w:ascii="宋体" w:hAnsi="宋体" w:cs="宋体"/>
          <w:color w:val="auto"/>
        </w:rPr>
        <w:t>0至12:00，下午14:30至17:00。（北京时间，法定节假日除外）。</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8.2获取地点及方式：报名后，通过长汀县倒角哩二段下段59号三楼（龙宇中学后门）福建省谦诚工程管理有限公司获取。</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8.3、招标文件售价：招标文件(纸质版或电子版)售价均为200元，售后不退。如需邮寄，另加50元人民币特快专递费，福建省谦诚工程管理有限公司不对邮寄过程中可能发生的延误或丢失负责。</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9、投标截止</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9.1投标截止时间：2022年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22</w:t>
      </w:r>
      <w:r>
        <w:rPr>
          <w:rFonts w:hint="eastAsia" w:ascii="宋体" w:hAnsi="宋体" w:cs="宋体"/>
          <w:color w:val="auto"/>
        </w:rPr>
        <w:t>日</w:t>
      </w:r>
      <w:r>
        <w:rPr>
          <w:rFonts w:hint="eastAsia" w:ascii="宋体" w:hAnsi="宋体" w:cs="宋体"/>
          <w:color w:val="auto"/>
          <w:lang w:val="en-US" w:eastAsia="zh-CN"/>
        </w:rPr>
        <w:t>09</w:t>
      </w:r>
      <w:r>
        <w:rPr>
          <w:rFonts w:hint="eastAsia" w:ascii="宋体" w:hAnsi="宋体" w:cs="宋体"/>
          <w:color w:val="auto"/>
        </w:rPr>
        <w:t>:00（北京时间）。</w:t>
      </w:r>
    </w:p>
    <w:p>
      <w:pPr>
        <w:pStyle w:val="6"/>
        <w:spacing w:line="480" w:lineRule="exact"/>
        <w:ind w:firstLine="480" w:firstLineChars="200"/>
        <w:jc w:val="left"/>
        <w:rPr>
          <w:b/>
          <w:bCs/>
          <w:color w:val="auto"/>
          <w:sz w:val="24"/>
          <w:szCs w:val="24"/>
        </w:rPr>
      </w:pPr>
      <w:r>
        <w:rPr>
          <w:rFonts w:hint="eastAsia" w:hAnsi="宋体" w:cs="宋体"/>
          <w:color w:val="auto"/>
          <w:sz w:val="24"/>
          <w:szCs w:val="24"/>
        </w:rPr>
        <w:t>9.2投标人应在投标截止时间前将</w:t>
      </w:r>
      <w:r>
        <w:rPr>
          <w:rStyle w:val="10"/>
          <w:rFonts w:hint="eastAsia" w:ascii="宋体" w:hAnsi="宋体" w:cs="宋体"/>
          <w:color w:val="auto"/>
          <w:szCs w:val="24"/>
        </w:rPr>
        <w:t>密封的纸质投标文件</w:t>
      </w:r>
      <w:r>
        <w:rPr>
          <w:rFonts w:hint="eastAsia" w:hAnsi="宋体" w:cs="宋体"/>
          <w:color w:val="auto"/>
          <w:sz w:val="24"/>
          <w:szCs w:val="24"/>
        </w:rPr>
        <w:t>送达招标文件第一章第10条载明的地点</w:t>
      </w:r>
      <w:r>
        <w:rPr>
          <w:rStyle w:val="10"/>
          <w:rFonts w:hint="eastAsia" w:ascii="宋体" w:hAnsi="宋体" w:cs="宋体"/>
          <w:color w:val="auto"/>
          <w:szCs w:val="24"/>
        </w:rPr>
        <w:t>。</w:t>
      </w:r>
      <w:r>
        <w:rPr>
          <w:rFonts w:hint="eastAsia"/>
          <w:b/>
          <w:bCs/>
          <w:color w:val="auto"/>
          <w:sz w:val="24"/>
          <w:szCs w:val="24"/>
        </w:rPr>
        <w:t>在截止时间后送达的或不符合密封、标记、递交规定的投标文件为无效文件，将被拒收。</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10、开标时间及地点：2022年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22</w:t>
      </w:r>
      <w:r>
        <w:rPr>
          <w:rFonts w:hint="eastAsia" w:ascii="宋体" w:hAnsi="宋体" w:cs="宋体"/>
          <w:color w:val="auto"/>
        </w:rPr>
        <w:t>日</w:t>
      </w:r>
      <w:r>
        <w:rPr>
          <w:rFonts w:hint="eastAsia" w:ascii="宋体" w:hAnsi="宋体" w:cs="宋体"/>
          <w:color w:val="auto"/>
          <w:lang w:val="en-US" w:eastAsia="zh-CN"/>
        </w:rPr>
        <w:t>09</w:t>
      </w:r>
      <w:r>
        <w:rPr>
          <w:rFonts w:hint="eastAsia" w:ascii="宋体" w:hAnsi="宋体" w:cs="宋体"/>
          <w:color w:val="auto"/>
        </w:rPr>
        <w:t>:00（北京时间）、</w:t>
      </w:r>
      <w:r>
        <w:rPr>
          <w:rFonts w:hint="eastAsia" w:ascii="宋体" w:hAnsi="宋体" w:cs="宋体"/>
          <w:color w:val="auto"/>
          <w:shd w:val="clear" w:color="auto" w:fill="FFFFFF"/>
        </w:rPr>
        <w:t>长汀县倒角哩二段下段59号三楼（龙宇中学后门）</w:t>
      </w:r>
      <w:r>
        <w:rPr>
          <w:rFonts w:hint="eastAsia" w:ascii="宋体" w:hAnsi="宋体" w:cs="宋体"/>
          <w:color w:val="auto"/>
        </w:rPr>
        <w:t>福建省谦诚工程管理有限公司龙岩分公司开标厅。</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11、公告期限</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11.1招标公告的公告期限：自本项目指定的采购信息发布媒体最先发布公告之日起5个工作日。</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11.2招标文件公告期限：招标文件随同招标公告一并发布，其公告期限与本章第11.1条载明的期限保持一致。</w:t>
      </w:r>
    </w:p>
    <w:p>
      <w:pPr>
        <w:pStyle w:val="7"/>
        <w:widowControl/>
        <w:spacing w:beforeAutospacing="0" w:afterAutospacing="0" w:line="460" w:lineRule="exact"/>
        <w:ind w:firstLine="480"/>
        <w:rPr>
          <w:rFonts w:hint="eastAsia" w:ascii="宋体" w:hAnsi="宋体" w:eastAsia="宋体" w:cs="宋体"/>
          <w:color w:val="auto"/>
          <w:lang w:eastAsia="zh-CN"/>
        </w:rPr>
      </w:pPr>
      <w:r>
        <w:rPr>
          <w:rFonts w:hint="eastAsia" w:ascii="宋体" w:hAnsi="宋体" w:cs="宋体"/>
          <w:color w:val="auto"/>
        </w:rPr>
        <w:t>12、</w:t>
      </w:r>
      <w:r>
        <w:rPr>
          <w:rFonts w:hint="eastAsia" w:ascii="宋体" w:hAnsi="宋体" w:cs="宋体"/>
          <w:color w:val="auto"/>
          <w:shd w:val="clear" w:color="auto" w:fill="FFFFFF"/>
        </w:rPr>
        <w:t>采购人：</w:t>
      </w:r>
      <w:r>
        <w:rPr>
          <w:rFonts w:hint="eastAsia" w:ascii="宋体" w:hAnsi="宋体" w:cs="宋体"/>
          <w:color w:val="auto"/>
          <w:shd w:val="clear" w:color="auto" w:fill="FFFFFF"/>
          <w:lang w:eastAsia="zh-CN"/>
        </w:rPr>
        <w:t>长汀县林业发展有限公司</w:t>
      </w:r>
    </w:p>
    <w:p>
      <w:pPr>
        <w:tabs>
          <w:tab w:val="left" w:pos="2520"/>
        </w:tabs>
        <w:spacing w:line="460" w:lineRule="exact"/>
        <w:rPr>
          <w:rFonts w:ascii="宋体" w:hAnsi="宋体" w:cs="宋体"/>
          <w:color w:val="auto"/>
          <w:kern w:val="0"/>
          <w:sz w:val="24"/>
          <w:shd w:val="clear" w:color="auto" w:fill="FFFFFF"/>
        </w:rPr>
      </w:pPr>
      <w:r>
        <w:rPr>
          <w:rFonts w:hint="eastAsia" w:ascii="宋体" w:hAnsi="宋体" w:cs="宋体"/>
          <w:bCs/>
          <w:color w:val="auto"/>
          <w:sz w:val="24"/>
        </w:rPr>
        <w:t xml:space="preserve">        </w:t>
      </w:r>
      <w:r>
        <w:rPr>
          <w:rFonts w:hint="eastAsia" w:ascii="宋体" w:hAnsi="宋体" w:cs="宋体"/>
          <w:color w:val="auto"/>
          <w:kern w:val="0"/>
          <w:sz w:val="24"/>
          <w:shd w:val="clear" w:color="auto" w:fill="FFFFFF"/>
        </w:rPr>
        <w:t>地  址：长汀县电信大厦六楼</w:t>
      </w:r>
    </w:p>
    <w:p>
      <w:pPr>
        <w:pStyle w:val="7"/>
        <w:widowControl/>
        <w:spacing w:beforeAutospacing="0" w:afterAutospacing="0" w:line="460" w:lineRule="exact"/>
        <w:ind w:firstLine="480"/>
        <w:rPr>
          <w:rFonts w:ascii="宋体" w:hAnsi="宋体" w:cs="宋体"/>
          <w:color w:val="auto"/>
          <w:shd w:val="clear" w:color="auto" w:fill="FFFFFF"/>
        </w:rPr>
      </w:pPr>
      <w:r>
        <w:rPr>
          <w:rFonts w:hint="eastAsia" w:ascii="宋体" w:hAnsi="宋体" w:cs="宋体"/>
          <w:color w:val="auto"/>
          <w:shd w:val="clear" w:color="auto" w:fill="FFFFFF"/>
        </w:rPr>
        <w:t xml:space="preserve">    联系人： 赖工 </w:t>
      </w:r>
    </w:p>
    <w:p>
      <w:pPr>
        <w:pStyle w:val="7"/>
        <w:widowControl/>
        <w:spacing w:beforeAutospacing="0" w:afterAutospacing="0" w:line="460" w:lineRule="exact"/>
        <w:ind w:firstLine="960" w:firstLineChars="400"/>
        <w:rPr>
          <w:rFonts w:ascii="宋体" w:hAnsi="宋体" w:cs="宋体"/>
          <w:color w:val="auto"/>
          <w:shd w:val="clear" w:color="auto" w:fill="FFFFFF"/>
        </w:rPr>
      </w:pPr>
      <w:r>
        <w:rPr>
          <w:rFonts w:hint="eastAsia" w:ascii="宋体" w:hAnsi="宋体" w:cs="宋体"/>
          <w:color w:val="auto"/>
          <w:shd w:val="clear" w:color="auto" w:fill="FFFFFF"/>
        </w:rPr>
        <w:t>联系方法：0597-6888129</w:t>
      </w:r>
    </w:p>
    <w:p>
      <w:pPr>
        <w:pStyle w:val="7"/>
        <w:widowControl/>
        <w:spacing w:beforeAutospacing="0" w:afterAutospacing="0" w:line="480" w:lineRule="exact"/>
        <w:ind w:firstLine="480"/>
        <w:rPr>
          <w:rFonts w:ascii="宋体" w:hAnsi="宋体" w:cs="宋体"/>
          <w:color w:val="auto"/>
        </w:rPr>
      </w:pP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13、代理机构：福建省谦诚工程管理有限公司</w:t>
      </w:r>
    </w:p>
    <w:p>
      <w:pPr>
        <w:pStyle w:val="7"/>
        <w:widowControl/>
        <w:spacing w:beforeAutospacing="0" w:afterAutospacing="0" w:line="480" w:lineRule="exact"/>
        <w:ind w:firstLine="960" w:firstLineChars="400"/>
        <w:rPr>
          <w:rFonts w:ascii="宋体" w:hAnsi="宋体" w:cs="宋体"/>
          <w:color w:val="auto"/>
        </w:rPr>
      </w:pPr>
      <w:r>
        <w:rPr>
          <w:rFonts w:hint="eastAsia" w:ascii="宋体" w:hAnsi="宋体" w:cs="宋体"/>
          <w:color w:val="auto"/>
        </w:rPr>
        <w:t>地址：</w:t>
      </w:r>
      <w:r>
        <w:rPr>
          <w:rFonts w:hint="eastAsia"/>
          <w:color w:val="auto"/>
        </w:rPr>
        <w:t>长汀县倒角哩二段下段59号三楼（龙宇中学后门）</w:t>
      </w:r>
    </w:p>
    <w:p>
      <w:pPr>
        <w:pStyle w:val="7"/>
        <w:widowControl/>
        <w:spacing w:beforeAutospacing="0" w:afterAutospacing="0" w:line="480" w:lineRule="exact"/>
        <w:ind w:firstLine="960" w:firstLineChars="400"/>
        <w:rPr>
          <w:rFonts w:ascii="宋体" w:hAnsi="宋体" w:cs="宋体"/>
          <w:color w:val="auto"/>
        </w:rPr>
      </w:pPr>
      <w:r>
        <w:rPr>
          <w:rFonts w:hint="eastAsia" w:ascii="宋体" w:hAnsi="宋体" w:cs="宋体"/>
          <w:color w:val="auto"/>
        </w:rPr>
        <w:t>联系方法：小范 0597-6810929</w:t>
      </w:r>
    </w:p>
    <w:p>
      <w:pPr>
        <w:pStyle w:val="7"/>
        <w:widowControl/>
        <w:spacing w:beforeAutospacing="0" w:afterAutospacing="0" w:line="480" w:lineRule="exact"/>
        <w:ind w:firstLine="480"/>
        <w:rPr>
          <w:rFonts w:ascii="宋体" w:hAnsi="宋体" w:cs="宋体"/>
          <w:color w:val="auto"/>
        </w:rPr>
      </w:pPr>
      <w:r>
        <w:rPr>
          <w:rFonts w:hint="eastAsia" w:ascii="宋体" w:hAnsi="宋体" w:cs="宋体"/>
          <w:b/>
          <w:bCs/>
          <w:color w:val="auto"/>
        </w:rPr>
        <w:t xml:space="preserve">   </w:t>
      </w:r>
      <w:r>
        <w:rPr>
          <w:rFonts w:hint="eastAsia" w:ascii="宋体" w:hAnsi="宋体" w:cs="宋体"/>
          <w:color w:val="auto"/>
        </w:rPr>
        <w:t>电子信箱：/       网址：http://www.qcgcgl.com/</w:t>
      </w:r>
    </w:p>
    <w:p>
      <w:pPr>
        <w:pStyle w:val="7"/>
        <w:widowControl/>
        <w:spacing w:beforeAutospacing="0" w:afterAutospacing="0" w:line="480" w:lineRule="exact"/>
        <w:ind w:firstLine="480"/>
        <w:rPr>
          <w:rFonts w:ascii="宋体" w:hAnsi="宋体" w:cs="宋体"/>
          <w:color w:val="auto"/>
        </w:rPr>
      </w:pP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附1：账户信息：</w:t>
      </w:r>
    </w:p>
    <w:tbl>
      <w:tblPr>
        <w:tblStyle w:val="8"/>
        <w:tblW w:w="981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9756" w:type="dxa"/>
            <w:noWrap w:val="0"/>
            <w:tcMar>
              <w:top w:w="0" w:type="dxa"/>
              <w:left w:w="105" w:type="dxa"/>
              <w:bottom w:w="0" w:type="dxa"/>
              <w:right w:w="105" w:type="dxa"/>
            </w:tcMar>
            <w:vAlign w:val="center"/>
          </w:tcPr>
          <w:p>
            <w:pPr>
              <w:pStyle w:val="7"/>
              <w:widowControl/>
              <w:spacing w:beforeAutospacing="0" w:afterAutospacing="0" w:line="480" w:lineRule="exact"/>
              <w:ind w:firstLine="480"/>
              <w:jc w:val="center"/>
              <w:rPr>
                <w:rFonts w:ascii="宋体" w:hAnsi="宋体" w:cs="宋体"/>
                <w:color w:val="auto"/>
              </w:rPr>
            </w:pPr>
            <w:r>
              <w:rPr>
                <w:rFonts w:hint="eastAsia" w:ascii="宋体" w:hAnsi="宋体" w:cs="宋体"/>
                <w:b/>
                <w:bCs/>
                <w:color w:val="auto"/>
              </w:rPr>
              <w:t>缴交投标保证金账户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56" w:type="dxa"/>
            <w:noWrap w:val="0"/>
            <w:tcMar>
              <w:top w:w="0" w:type="dxa"/>
              <w:left w:w="105" w:type="dxa"/>
              <w:bottom w:w="0" w:type="dxa"/>
              <w:right w:w="105" w:type="dxa"/>
            </w:tcMar>
            <w:vAlign w:val="top"/>
          </w:tcPr>
          <w:p>
            <w:pPr>
              <w:pStyle w:val="7"/>
              <w:widowControl/>
              <w:spacing w:beforeAutospacing="0" w:afterAutospacing="0" w:line="480" w:lineRule="exact"/>
              <w:rPr>
                <w:rFonts w:hint="eastAsia" w:ascii="宋体" w:hAnsi="宋体" w:eastAsia="宋体" w:cs="宋体"/>
                <w:color w:val="auto"/>
                <w:lang w:eastAsia="zh-CN"/>
              </w:rPr>
            </w:pPr>
            <w:r>
              <w:rPr>
                <w:rFonts w:hint="eastAsia" w:ascii="宋体" w:hAnsi="宋体" w:cs="宋体"/>
                <w:color w:val="auto"/>
              </w:rPr>
              <w:t>开户名称：</w:t>
            </w:r>
            <w:r>
              <w:rPr>
                <w:rFonts w:hint="eastAsia" w:ascii="宋体" w:hAnsi="宋体" w:cs="宋体"/>
                <w:color w:val="auto"/>
                <w:lang w:eastAsia="zh-CN"/>
              </w:rPr>
              <w:t>福建省谦诚工程管理有限公司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56" w:type="dxa"/>
            <w:noWrap w:val="0"/>
            <w:tcMar>
              <w:top w:w="0" w:type="dxa"/>
              <w:left w:w="105" w:type="dxa"/>
              <w:bottom w:w="0" w:type="dxa"/>
              <w:right w:w="105" w:type="dxa"/>
            </w:tcMar>
            <w:vAlign w:val="top"/>
          </w:tcPr>
          <w:p>
            <w:pPr>
              <w:pStyle w:val="7"/>
              <w:widowControl/>
              <w:spacing w:beforeAutospacing="0" w:afterAutospacing="0" w:line="480" w:lineRule="exact"/>
              <w:rPr>
                <w:rFonts w:hint="eastAsia" w:ascii="宋体" w:hAnsi="宋体" w:eastAsia="宋体" w:cs="宋体"/>
                <w:color w:val="auto"/>
                <w:lang w:eastAsia="zh-CN"/>
              </w:rPr>
            </w:pPr>
            <w:r>
              <w:rPr>
                <w:rFonts w:hint="eastAsia" w:ascii="宋体" w:hAnsi="宋体" w:eastAsia="宋体" w:cs="宋体"/>
                <w:color w:val="auto"/>
                <w:lang w:eastAsia="zh-CN"/>
              </w:rPr>
              <w:t>开户银行：招商银行股份有限公司福州华林支行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56" w:type="dxa"/>
            <w:noWrap w:val="0"/>
            <w:tcMar>
              <w:top w:w="0" w:type="dxa"/>
              <w:left w:w="105" w:type="dxa"/>
              <w:bottom w:w="0" w:type="dxa"/>
              <w:right w:w="105" w:type="dxa"/>
            </w:tcMar>
            <w:vAlign w:val="top"/>
          </w:tcPr>
          <w:p>
            <w:pPr>
              <w:pStyle w:val="7"/>
              <w:widowControl/>
              <w:spacing w:beforeAutospacing="0" w:afterAutospacing="0" w:line="480" w:lineRule="exact"/>
              <w:rPr>
                <w:rFonts w:hint="eastAsia" w:ascii="宋体" w:hAnsi="宋体" w:eastAsia="宋体" w:cs="宋体"/>
                <w:color w:val="auto"/>
                <w:lang w:eastAsia="zh-CN"/>
              </w:rPr>
            </w:pPr>
            <w:r>
              <w:rPr>
                <w:rFonts w:hint="eastAsia" w:ascii="宋体" w:hAnsi="宋体" w:eastAsia="宋体" w:cs="宋体"/>
                <w:color w:val="auto"/>
                <w:lang w:eastAsia="zh-CN"/>
              </w:rPr>
              <w:t>银行账号：5919 0665 7510 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56" w:type="dxa"/>
            <w:noWrap w:val="0"/>
            <w:tcMar>
              <w:top w:w="0" w:type="dxa"/>
              <w:left w:w="105" w:type="dxa"/>
              <w:bottom w:w="0" w:type="dxa"/>
              <w:right w:w="105" w:type="dxa"/>
            </w:tcMar>
            <w:vAlign w:val="center"/>
          </w:tcPr>
          <w:p>
            <w:pPr>
              <w:pStyle w:val="7"/>
              <w:widowControl/>
              <w:spacing w:beforeAutospacing="0" w:afterAutospacing="0" w:line="480" w:lineRule="exact"/>
              <w:rPr>
                <w:rFonts w:ascii="宋体" w:hAnsi="宋体" w:cs="宋体"/>
                <w:color w:val="auto"/>
              </w:rPr>
            </w:pPr>
            <w:r>
              <w:rPr>
                <w:rFonts w:hint="eastAsia" w:ascii="宋体" w:hAnsi="宋体" w:cs="宋体"/>
                <w:color w:val="auto"/>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56" w:type="dxa"/>
            <w:noWrap w:val="0"/>
            <w:tcMar>
              <w:top w:w="0" w:type="dxa"/>
              <w:left w:w="105" w:type="dxa"/>
              <w:bottom w:w="0" w:type="dxa"/>
              <w:right w:w="105" w:type="dxa"/>
            </w:tcMar>
            <w:vAlign w:val="top"/>
          </w:tcPr>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1、投标人应认真核对账户信息，将投标保证金汇入以上账户，并自行承担因汇错投标保证金而产生的一切后果。</w:t>
            </w:r>
          </w:p>
          <w:p>
            <w:pPr>
              <w:pStyle w:val="7"/>
              <w:widowControl/>
              <w:spacing w:beforeAutospacing="0" w:afterAutospacing="0" w:line="480" w:lineRule="exact"/>
              <w:ind w:firstLine="480"/>
              <w:rPr>
                <w:rFonts w:ascii="宋体" w:hAnsi="宋体" w:cs="宋体"/>
                <w:color w:val="auto"/>
              </w:rPr>
            </w:pPr>
            <w:r>
              <w:rPr>
                <w:rFonts w:hint="eastAsia" w:ascii="宋体" w:hAnsi="宋体" w:cs="宋体"/>
                <w:color w:val="auto"/>
              </w:rPr>
              <w:t>2、投标人在转账或电汇的凭证上应按照以下格式注明，以便核对：“（招标编号：***、合同包：***）的投标保证金”。</w:t>
            </w:r>
          </w:p>
        </w:tc>
      </w:tr>
    </w:tbl>
    <w:p>
      <w:pPr>
        <w:pStyle w:val="7"/>
        <w:widowControl/>
        <w:spacing w:beforeAutospacing="0" w:afterAutospacing="0" w:line="480" w:lineRule="exact"/>
        <w:ind w:firstLine="480"/>
        <w:rPr>
          <w:rFonts w:ascii="宋体" w:hAnsi="宋体" w:cs="宋体"/>
          <w:color w:val="auto"/>
        </w:rPr>
      </w:pPr>
    </w:p>
    <w:p>
      <w:pPr>
        <w:pStyle w:val="7"/>
        <w:widowControl/>
        <w:spacing w:beforeAutospacing="0" w:afterAutospacing="0" w:line="480" w:lineRule="exact"/>
        <w:ind w:firstLine="480"/>
        <w:rPr>
          <w:rFonts w:ascii="宋体" w:hAnsi="宋体" w:cs="宋体"/>
          <w:color w:val="auto"/>
        </w:rPr>
      </w:pPr>
    </w:p>
    <w:p>
      <w:pPr>
        <w:pStyle w:val="7"/>
        <w:widowControl/>
        <w:spacing w:beforeAutospacing="0" w:afterAutospacing="0" w:line="480" w:lineRule="exact"/>
        <w:rPr>
          <w:rFonts w:ascii="宋体" w:hAnsi="宋体" w:cs="宋体"/>
          <w:color w:val="auto"/>
        </w:rPr>
      </w:pPr>
      <w:r>
        <w:rPr>
          <w:rFonts w:hint="eastAsia" w:ascii="宋体" w:hAnsi="宋体" w:cs="宋体"/>
          <w:color w:val="auto"/>
        </w:rPr>
        <w:t>附</w:t>
      </w:r>
      <w:r>
        <w:rPr>
          <w:rFonts w:hint="eastAsia" w:ascii="宋体" w:hAnsi="宋体" w:cs="宋体"/>
          <w:color w:val="auto"/>
          <w:lang w:val="en-US" w:eastAsia="zh-CN"/>
        </w:rPr>
        <w:t>2</w:t>
      </w:r>
      <w:r>
        <w:rPr>
          <w:rFonts w:hint="eastAsia" w:ascii="宋体" w:hAnsi="宋体" w:cs="宋体"/>
          <w:color w:val="auto"/>
        </w:rPr>
        <w:t>：采购标的一览表</w:t>
      </w:r>
    </w:p>
    <w:p>
      <w:pPr>
        <w:pStyle w:val="7"/>
        <w:widowControl/>
        <w:spacing w:beforeAutospacing="0" w:afterAutospacing="0" w:line="480" w:lineRule="exact"/>
        <w:jc w:val="right"/>
        <w:rPr>
          <w:rFonts w:ascii="宋体" w:hAnsi="宋体" w:cs="宋体"/>
          <w:color w:val="auto"/>
        </w:rPr>
      </w:pPr>
      <w:r>
        <w:rPr>
          <w:rFonts w:hint="eastAsia" w:ascii="宋体" w:hAnsi="宋体" w:cs="宋体"/>
          <w:color w:val="auto"/>
        </w:rPr>
        <w:t xml:space="preserve">金额单位：人民币元 </w:t>
      </w:r>
    </w:p>
    <w:tbl>
      <w:tblPr>
        <w:tblStyle w:val="8"/>
        <w:tblW w:w="507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5"/>
        <w:gridCol w:w="836"/>
        <w:gridCol w:w="1897"/>
        <w:gridCol w:w="714"/>
        <w:gridCol w:w="1415"/>
        <w:gridCol w:w="1751"/>
        <w:gridCol w:w="11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blHeader/>
        </w:trPr>
        <w:tc>
          <w:tcPr>
            <w:tcW w:w="382" w:type="pct"/>
            <w:tcBorders>
              <w:top w:val="outset" w:color="auto" w:sz="6" w:space="0"/>
              <w:left w:val="outset" w:color="auto" w:sz="6" w:space="0"/>
              <w:bottom w:val="outset" w:color="auto" w:sz="6" w:space="0"/>
              <w:right w:val="outset" w:color="auto" w:sz="6" w:space="0"/>
            </w:tcBorders>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合同包</w:t>
            </w:r>
          </w:p>
        </w:tc>
        <w:tc>
          <w:tcPr>
            <w:tcW w:w="495" w:type="pct"/>
            <w:tcBorders>
              <w:top w:val="outset" w:color="auto" w:sz="6" w:space="0"/>
              <w:left w:val="outset" w:color="auto" w:sz="6" w:space="0"/>
              <w:bottom w:val="outset" w:color="auto" w:sz="6" w:space="0"/>
              <w:right w:val="outset" w:color="auto" w:sz="6" w:space="0"/>
            </w:tcBorders>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品目号</w:t>
            </w:r>
          </w:p>
        </w:tc>
        <w:tc>
          <w:tcPr>
            <w:tcW w:w="1123" w:type="pct"/>
            <w:tcBorders>
              <w:top w:val="outset" w:color="auto" w:sz="6" w:space="0"/>
              <w:left w:val="outset" w:color="auto" w:sz="6" w:space="0"/>
              <w:bottom w:val="outset" w:color="auto" w:sz="6" w:space="0"/>
              <w:right w:val="outset" w:color="auto" w:sz="6" w:space="0"/>
            </w:tcBorders>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采购标的</w:t>
            </w:r>
          </w:p>
        </w:tc>
        <w:tc>
          <w:tcPr>
            <w:tcW w:w="423" w:type="pct"/>
            <w:tcBorders>
              <w:top w:val="outset" w:color="auto" w:sz="6" w:space="0"/>
              <w:left w:val="outset" w:color="auto" w:sz="6" w:space="0"/>
              <w:bottom w:val="outset" w:color="auto" w:sz="6" w:space="0"/>
              <w:right w:val="outset" w:color="auto" w:sz="6" w:space="0"/>
            </w:tcBorders>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数量</w:t>
            </w:r>
          </w:p>
        </w:tc>
        <w:tc>
          <w:tcPr>
            <w:tcW w:w="838" w:type="pct"/>
            <w:tcBorders>
              <w:top w:val="outset" w:color="auto" w:sz="6" w:space="0"/>
              <w:left w:val="outset" w:color="auto" w:sz="6" w:space="0"/>
              <w:bottom w:val="outset" w:color="auto" w:sz="6" w:space="0"/>
              <w:right w:val="outset" w:color="auto" w:sz="6" w:space="0"/>
            </w:tcBorders>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合同包预算（最高限价）</w:t>
            </w:r>
          </w:p>
        </w:tc>
        <w:tc>
          <w:tcPr>
            <w:tcW w:w="1037" w:type="pct"/>
            <w:tcBorders>
              <w:top w:val="outset" w:color="auto" w:sz="6" w:space="0"/>
              <w:left w:val="outset" w:color="auto" w:sz="6" w:space="0"/>
              <w:bottom w:val="outset" w:color="auto" w:sz="6" w:space="0"/>
              <w:right w:val="outset" w:color="auto" w:sz="6" w:space="0"/>
            </w:tcBorders>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服务期限</w:t>
            </w:r>
          </w:p>
        </w:tc>
        <w:tc>
          <w:tcPr>
            <w:tcW w:w="699" w:type="pct"/>
            <w:tcBorders>
              <w:top w:val="outset" w:color="auto" w:sz="6" w:space="0"/>
              <w:left w:val="outset" w:color="auto" w:sz="6" w:space="0"/>
              <w:bottom w:val="outset" w:color="auto" w:sz="6" w:space="0"/>
              <w:right w:val="outset" w:color="auto" w:sz="6" w:space="0"/>
            </w:tcBorders>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43" w:hRule="atLeast"/>
          <w:tblHeader/>
        </w:trPr>
        <w:tc>
          <w:tcPr>
            <w:tcW w:w="382" w:type="pct"/>
            <w:tcBorders>
              <w:left w:val="outset" w:color="auto" w:sz="6" w:space="0"/>
              <w:right w:val="outset" w:color="auto" w:sz="6" w:space="0"/>
            </w:tcBorders>
            <w:vAlign w:val="center"/>
          </w:tcPr>
          <w:p>
            <w:pPr>
              <w:pStyle w:val="7"/>
              <w:widowControl/>
              <w:spacing w:beforeAutospacing="0" w:afterAutospacing="0" w:line="480" w:lineRule="exact"/>
              <w:ind w:firstLine="240" w:firstLineChars="100"/>
              <w:jc w:val="both"/>
              <w:rPr>
                <w:rFonts w:ascii="宋体" w:hAnsi="宋体" w:cs="宋体"/>
                <w:color w:val="auto"/>
              </w:rPr>
            </w:pPr>
            <w:r>
              <w:rPr>
                <w:rFonts w:hint="eastAsia" w:ascii="宋体" w:hAnsi="宋体" w:cs="宋体"/>
                <w:color w:val="auto"/>
              </w:rPr>
              <w:t>1</w:t>
            </w:r>
          </w:p>
        </w:tc>
        <w:tc>
          <w:tcPr>
            <w:tcW w:w="495" w:type="pct"/>
            <w:tcBorders>
              <w:top w:val="outset" w:color="auto" w:sz="6" w:space="0"/>
              <w:left w:val="outset" w:color="auto" w:sz="6" w:space="0"/>
              <w:bottom w:val="outset" w:color="auto" w:sz="6" w:space="0"/>
              <w:right w:val="outset" w:color="auto" w:sz="6" w:space="0"/>
            </w:tcBorders>
            <w:vAlign w:val="center"/>
          </w:tcPr>
          <w:p>
            <w:pPr>
              <w:pStyle w:val="7"/>
              <w:widowControl/>
              <w:spacing w:beforeAutospacing="0" w:afterAutospacing="0" w:line="480" w:lineRule="exact"/>
              <w:ind w:firstLine="240" w:firstLineChars="100"/>
              <w:jc w:val="both"/>
              <w:rPr>
                <w:rFonts w:ascii="宋体" w:hAnsi="宋体" w:cs="宋体"/>
                <w:color w:val="auto"/>
              </w:rPr>
            </w:pPr>
            <w:r>
              <w:rPr>
                <w:rFonts w:hint="eastAsia" w:ascii="宋体" w:hAnsi="宋体" w:cs="宋体"/>
                <w:color w:val="auto"/>
              </w:rPr>
              <w:t>1-1</w:t>
            </w:r>
          </w:p>
        </w:tc>
        <w:tc>
          <w:tcPr>
            <w:tcW w:w="1123" w:type="pct"/>
            <w:tcBorders>
              <w:top w:val="outset" w:color="auto" w:sz="6" w:space="0"/>
              <w:left w:val="outset" w:color="auto" w:sz="6" w:space="0"/>
              <w:bottom w:val="outset" w:color="auto" w:sz="6" w:space="0"/>
              <w:right w:val="outset" w:color="auto" w:sz="6" w:space="0"/>
            </w:tcBorders>
            <w:vAlign w:val="center"/>
          </w:tcPr>
          <w:p>
            <w:pPr>
              <w:pStyle w:val="11"/>
              <w:spacing w:after="0" w:line="240" w:lineRule="auto"/>
              <w:ind w:firstLine="0"/>
              <w:jc w:val="left"/>
              <w:rPr>
                <w:color w:val="auto"/>
                <w:sz w:val="24"/>
                <w:szCs w:val="24"/>
                <w:lang w:eastAsia="zh-CN"/>
              </w:rPr>
            </w:pPr>
            <w:r>
              <w:rPr>
                <w:rFonts w:hint="eastAsia"/>
                <w:color w:val="auto"/>
                <w:sz w:val="24"/>
                <w:szCs w:val="24"/>
                <w:lang w:eastAsia="zh-CN"/>
              </w:rPr>
              <w:t>长汀红色文化实践基地项目（一期）水土保持监测及水土保持设施验收项目</w:t>
            </w:r>
          </w:p>
        </w:tc>
        <w:tc>
          <w:tcPr>
            <w:tcW w:w="423" w:type="pct"/>
            <w:tcBorders>
              <w:top w:val="outset" w:color="auto" w:sz="6" w:space="0"/>
              <w:left w:val="outset" w:color="auto" w:sz="6" w:space="0"/>
              <w:bottom w:val="outset" w:color="auto" w:sz="6" w:space="0"/>
              <w:right w:val="outset" w:color="auto" w:sz="6" w:space="0"/>
            </w:tcBorders>
            <w:vAlign w:val="center"/>
          </w:tcPr>
          <w:p>
            <w:pPr>
              <w:pStyle w:val="11"/>
              <w:spacing w:after="0" w:line="240" w:lineRule="auto"/>
              <w:ind w:firstLine="0"/>
              <w:jc w:val="center"/>
              <w:rPr>
                <w:rFonts w:ascii="Times New Roman" w:hAnsi="Times New Roman" w:cs="Times New Roman"/>
                <w:color w:val="auto"/>
                <w:sz w:val="24"/>
                <w:szCs w:val="24"/>
                <w:lang w:val="en-US" w:eastAsia="zh-CN" w:bidi="en-US"/>
              </w:rPr>
            </w:pPr>
            <w:r>
              <w:rPr>
                <w:rFonts w:hint="eastAsia" w:cs="Times New Roman"/>
                <w:color w:val="auto"/>
                <w:sz w:val="24"/>
                <w:szCs w:val="24"/>
                <w:lang w:val="en-US" w:eastAsia="zh-CN" w:bidi="ar-SA"/>
              </w:rPr>
              <w:t>1</w:t>
            </w:r>
          </w:p>
        </w:tc>
        <w:tc>
          <w:tcPr>
            <w:tcW w:w="838" w:type="pct"/>
            <w:tcBorders>
              <w:top w:val="outset" w:color="auto" w:sz="6" w:space="0"/>
              <w:left w:val="outset" w:color="auto" w:sz="6" w:space="0"/>
              <w:right w:val="outset" w:color="auto" w:sz="6" w:space="0"/>
            </w:tcBorders>
            <w:vAlign w:val="center"/>
          </w:tcPr>
          <w:p>
            <w:pPr>
              <w:pStyle w:val="11"/>
              <w:spacing w:after="0" w:line="240" w:lineRule="auto"/>
              <w:ind w:firstLine="0"/>
              <w:jc w:val="center"/>
              <w:rPr>
                <w:rFonts w:hint="default"/>
                <w:color w:val="auto"/>
                <w:sz w:val="24"/>
                <w:szCs w:val="24"/>
                <w:lang w:val="en-US" w:eastAsia="zh-CN"/>
              </w:rPr>
            </w:pPr>
            <w:r>
              <w:rPr>
                <w:rFonts w:hint="eastAsia" w:cs="Times New Roman"/>
                <w:color w:val="auto"/>
                <w:sz w:val="24"/>
                <w:szCs w:val="24"/>
                <w:lang w:val="en-US" w:eastAsia="zh-CN" w:bidi="ar-SA"/>
              </w:rPr>
              <w:t>326700</w:t>
            </w:r>
          </w:p>
        </w:tc>
        <w:tc>
          <w:tcPr>
            <w:tcW w:w="1037" w:type="pct"/>
            <w:tcBorders>
              <w:left w:val="outset" w:color="auto" w:sz="6" w:space="0"/>
              <w:right w:val="outset" w:color="auto" w:sz="6" w:space="0"/>
            </w:tcBorders>
            <w:vAlign w:val="center"/>
          </w:tcPr>
          <w:p>
            <w:pPr>
              <w:pStyle w:val="7"/>
              <w:widowControl/>
              <w:spacing w:beforeAutospacing="0" w:afterAutospacing="0" w:line="480" w:lineRule="exact"/>
              <w:rPr>
                <w:rFonts w:hint="default" w:ascii="宋体" w:hAnsi="宋体" w:eastAsia="宋体" w:cs="宋体"/>
                <w:color w:val="auto"/>
                <w:lang w:val="en-US" w:eastAsia="zh-CN"/>
              </w:rPr>
            </w:pPr>
            <w:r>
              <w:rPr>
                <w:rFonts w:hint="eastAsia" w:ascii="宋体" w:hAnsi="宋体" w:eastAsia="宋体" w:cs="宋体"/>
                <w:color w:val="auto"/>
                <w:kern w:val="2"/>
                <w:sz w:val="24"/>
                <w:szCs w:val="24"/>
                <w:u w:val="none"/>
                <w:lang w:val="zh-TW" w:eastAsia="zh-CN" w:bidi="zh-TW"/>
              </w:rPr>
              <w:t>贯穿整个项目施工期，监测至项目完工</w:t>
            </w:r>
          </w:p>
        </w:tc>
        <w:tc>
          <w:tcPr>
            <w:tcW w:w="699" w:type="pct"/>
            <w:tcBorders>
              <w:left w:val="outset" w:color="auto" w:sz="6" w:space="0"/>
              <w:right w:val="outset" w:color="auto" w:sz="6" w:space="0"/>
            </w:tcBorders>
            <w:vAlign w:val="center"/>
          </w:tcPr>
          <w:p>
            <w:pPr>
              <w:pStyle w:val="7"/>
              <w:widowControl/>
              <w:spacing w:beforeAutospacing="0" w:afterAutospacing="0" w:line="480" w:lineRule="exact"/>
              <w:ind w:firstLine="240" w:firstLineChars="100"/>
              <w:rPr>
                <w:rFonts w:ascii="宋体" w:hAnsi="宋体" w:cs="宋体"/>
                <w:color w:val="auto"/>
              </w:rPr>
            </w:pPr>
            <w:r>
              <w:rPr>
                <w:rFonts w:hint="eastAsia" w:ascii="宋体" w:hAnsi="宋体" w:cs="宋体"/>
                <w:color w:val="auto"/>
                <w:lang w:val="en-US" w:eastAsia="zh-CN"/>
              </w:rPr>
              <w:t>6534</w:t>
            </w:r>
            <w:r>
              <w:rPr>
                <w:rFonts w:hint="eastAsia" w:ascii="宋体" w:hAnsi="宋体" w:cs="宋体"/>
                <w:color w:val="auto"/>
              </w:rPr>
              <w:t>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NDVlMDQ2MTg1NDk1ZThhMDM0YzYyNDgxOWI1ODEifQ=="/>
  </w:docVars>
  <w:rsids>
    <w:rsidRoot w:val="1E0D681D"/>
    <w:rsid w:val="1E0D681D"/>
    <w:rsid w:val="24D959C2"/>
    <w:rsid w:val="2CBA0563"/>
    <w:rsid w:val="3AFA0DF0"/>
    <w:rsid w:val="46144D30"/>
    <w:rsid w:val="46670824"/>
    <w:rsid w:val="5A897643"/>
    <w:rsid w:val="76DD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4606"/>
      </w:tabs>
    </w:pPr>
  </w:style>
  <w:style w:type="paragraph" w:customStyle="1" w:styleId="3">
    <w:name w:val="正文文本缩进_0"/>
    <w:basedOn w:val="4"/>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4">
    <w:name w:val="正文_0"/>
    <w:basedOn w:val="5"/>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5">
    <w:name w:val="正文_1"/>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rFonts w:ascii="Tahoma" w:hAnsi="Tahoma"/>
      <w:b/>
      <w:sz w:val="24"/>
      <w:szCs w:val="20"/>
    </w:rPr>
  </w:style>
  <w:style w:type="paragraph" w:customStyle="1" w:styleId="11">
    <w:name w:val="Other|1"/>
    <w:basedOn w:val="1"/>
    <w:qFormat/>
    <w:uiPriority w:val="0"/>
    <w:pPr>
      <w:spacing w:after="240" w:line="437"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4735</Words>
  <Characters>5035</Characters>
  <Lines>0</Lines>
  <Paragraphs>0</Paragraphs>
  <TotalTime>0</TotalTime>
  <ScaleCrop>false</ScaleCrop>
  <LinksUpToDate>false</LinksUpToDate>
  <CharactersWithSpaces>5071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2022-11-01T07:00:00Z</dcterms:created>
  <dc:creator>月儿</dc:creator>
  <cp:lastModifiedBy>月儿</cp:lastModifiedBy>
  <dcterms:modified xsi:type="dcterms:W3CDTF">2022-11-01T07:57:35Z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9083079BA0DB4972A35AE88295E0D931</vt:lpwstr>
  </property>
</Properties>
</file>