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cs="宋体"/>
          <w:highlight w:val="none"/>
        </w:rPr>
      </w:pPr>
      <w:r>
        <w:rPr>
          <w:rFonts w:hint="eastAsia" w:ascii="宋体" w:hAnsi="宋体" w:cs="宋体"/>
          <w:highlight w:val="none"/>
        </w:rPr>
        <w:t>竞争性磋商公告</w:t>
      </w:r>
    </w:p>
    <w:p>
      <w:pPr>
        <w:jc w:val="both"/>
        <w:rPr>
          <w:rFonts w:ascii="宋体" w:hAnsi="宋体" w:cs="宋体"/>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eastAsia="宋体" w:cs="宋体"/>
          <w:sz w:val="24"/>
          <w:highlight w:val="none"/>
          <w:u w:val="single"/>
          <w:lang w:val="en-US" w:eastAsia="zh-CN"/>
        </w:rPr>
        <w:t>吉林大学第二医院</w:t>
      </w:r>
      <w:r>
        <w:rPr>
          <w:rFonts w:hint="eastAsia" w:ascii="宋体" w:hAnsi="宋体" w:cs="宋体"/>
          <w:sz w:val="24"/>
          <w:highlight w:val="none"/>
          <w:u w:val="single"/>
          <w:lang w:val="en-US" w:eastAsia="zh-CN"/>
        </w:rPr>
        <w:t>医用冰箱</w:t>
      </w:r>
      <w:r>
        <w:rPr>
          <w:rFonts w:hint="eastAsia" w:ascii="宋体" w:hAnsi="宋体" w:eastAsia="宋体" w:cs="宋体"/>
          <w:sz w:val="24"/>
          <w:highlight w:val="none"/>
          <w:u w:val="single"/>
          <w:lang w:val="en-US" w:eastAsia="zh-CN"/>
        </w:rPr>
        <w:t>设备采购项目</w:t>
      </w:r>
      <w:r>
        <w:rPr>
          <w:rFonts w:hint="eastAsia" w:ascii="宋体" w:hAnsi="宋体" w:cs="宋体"/>
          <w:sz w:val="24"/>
          <w:highlight w:val="none"/>
        </w:rPr>
        <w:t>的潜在供应商应在</w:t>
      </w:r>
      <w:r>
        <w:rPr>
          <w:rFonts w:hint="eastAsia" w:ascii="宋体" w:hAnsi="宋体" w:eastAsia="宋体" w:cs="宋体"/>
          <w:bCs/>
          <w:sz w:val="24"/>
          <w:u w:val="single"/>
        </w:rPr>
        <w:t>吉林省长春市南关区生态大街291号伟峰东第11号楼8楼806室</w:t>
      </w:r>
      <w:r>
        <w:rPr>
          <w:rFonts w:hint="eastAsia" w:ascii="宋体" w:hAnsi="宋体" w:cs="宋体"/>
          <w:sz w:val="24"/>
          <w:highlight w:val="none"/>
        </w:rPr>
        <w:t>获取竞争性磋商文件，并于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11</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01</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 xml:space="preserve"> 9 </w:t>
      </w:r>
      <w:r>
        <w:rPr>
          <w:rFonts w:hint="eastAsia" w:ascii="宋体" w:hAnsi="宋体" w:cs="宋体"/>
          <w:bCs/>
          <w:sz w:val="24"/>
          <w:highlight w:val="none"/>
          <w:u w:val="single"/>
        </w:rPr>
        <w:t>时</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bCs/>
          <w:sz w:val="24"/>
          <w:highlight w:val="none"/>
        </w:rPr>
        <w:t>（北京时间）前提交响应文件</w:t>
      </w:r>
      <w:r>
        <w:rPr>
          <w:rFonts w:hint="eastAsia" w:ascii="宋体" w:hAnsi="宋体" w:cs="宋体"/>
          <w:sz w:val="24"/>
          <w:highlight w:val="none"/>
        </w:rPr>
        <w:t>。</w:t>
      </w:r>
    </w:p>
    <w:p>
      <w:pPr>
        <w:spacing w:line="360" w:lineRule="auto"/>
        <w:rPr>
          <w:rFonts w:ascii="宋体" w:hAnsi="宋体" w:cs="宋体"/>
          <w:b/>
          <w:bCs/>
          <w:sz w:val="24"/>
          <w:highlight w:val="none"/>
        </w:rPr>
      </w:pPr>
    </w:p>
    <w:p>
      <w:pPr>
        <w:spacing w:line="360" w:lineRule="auto"/>
        <w:rPr>
          <w:rFonts w:ascii="宋体" w:hAnsi="宋体" w:cs="宋体"/>
          <w:b/>
          <w:bCs/>
          <w:sz w:val="24"/>
          <w:highlight w:val="none"/>
        </w:rPr>
      </w:pPr>
      <w:bookmarkStart w:id="0" w:name="_Toc28359079"/>
      <w:bookmarkStart w:id="1" w:name="_Toc35393621"/>
      <w:bookmarkStart w:id="2" w:name="_Toc35393790"/>
      <w:bookmarkStart w:id="3" w:name="_Toc28359002"/>
      <w:bookmarkStart w:id="4" w:name="_Hlk24379207"/>
      <w:r>
        <w:rPr>
          <w:rFonts w:hint="eastAsia" w:ascii="宋体" w:hAnsi="宋体" w:cs="宋体"/>
          <w:b/>
          <w:bCs/>
          <w:sz w:val="24"/>
          <w:highlight w:val="none"/>
        </w:rPr>
        <w:t>一、项目基本情况</w:t>
      </w:r>
      <w:bookmarkEnd w:id="0"/>
      <w:bookmarkEnd w:id="1"/>
      <w:bookmarkEnd w:id="2"/>
      <w:bookmarkEnd w:id="3"/>
    </w:p>
    <w:p>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1、项目编号：</w:t>
      </w:r>
      <w:r>
        <w:rPr>
          <w:rFonts w:hint="eastAsia" w:ascii="宋体" w:hAnsi="宋体" w:cs="宋体"/>
          <w:sz w:val="24"/>
          <w:highlight w:val="none"/>
          <w:lang w:val="en-US" w:eastAsia="zh-CN"/>
        </w:rPr>
        <w:t>DFA-BFJL-GP-20221928</w:t>
      </w:r>
      <w:r>
        <w:rPr>
          <w:rFonts w:hint="eastAsia" w:ascii="宋体" w:hAnsi="宋体" w:eastAsia="宋体" w:cs="宋体"/>
          <w:sz w:val="24"/>
          <w:highlight w:val="none"/>
          <w:lang w:val="en-US" w:eastAsia="zh-CN"/>
        </w:rPr>
        <w:t>；</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2、项目名称：吉林大学第二医院医用冰箱设备采购项目；</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bookmarkEnd w:id="4"/>
      <w:r>
        <w:rPr>
          <w:rFonts w:hint="eastAsia" w:ascii="宋体" w:hAnsi="宋体" w:eastAsia="宋体" w:cs="宋体"/>
          <w:sz w:val="24"/>
          <w:highlight w:val="none"/>
          <w:lang w:val="en-US" w:eastAsia="zh-CN"/>
        </w:rPr>
        <w:t>预算金额（最高限价）：</w:t>
      </w:r>
      <w:r>
        <w:rPr>
          <w:rFonts w:hint="eastAsia" w:ascii="宋体" w:hAnsi="宋体" w:cs="宋体"/>
          <w:sz w:val="24"/>
          <w:highlight w:val="none"/>
          <w:lang w:val="en-US" w:eastAsia="zh-CN"/>
        </w:rPr>
        <w:t>76.00万</w:t>
      </w:r>
      <w:r>
        <w:rPr>
          <w:rFonts w:hint="eastAsia" w:ascii="宋体" w:hAnsi="宋体" w:eastAsia="宋体" w:cs="宋体"/>
          <w:sz w:val="24"/>
          <w:highlight w:val="none"/>
          <w:lang w:val="en-US" w:eastAsia="zh-CN"/>
        </w:rPr>
        <w:t xml:space="preserve">元； </w:t>
      </w:r>
    </w:p>
    <w:p>
      <w:pPr>
        <w:spacing w:line="360" w:lineRule="auto"/>
        <w:ind w:firstLine="480" w:firstLineChars="200"/>
        <w:rPr>
          <w:rFonts w:hint="eastAsia" w:ascii="宋体" w:hAnsi="宋体" w:eastAsia="宋体" w:cs="宋体"/>
          <w:sz w:val="24"/>
          <w:highlight w:val="none"/>
          <w:vertAlign w:val="baseline"/>
          <w:lang w:val="en-US" w:eastAsia="zh-CN"/>
        </w:rPr>
      </w:pPr>
      <w:r>
        <w:rPr>
          <w:rFonts w:hint="eastAsia" w:ascii="宋体" w:hAnsi="宋体" w:eastAsia="宋体" w:cs="宋体"/>
          <w:sz w:val="24"/>
          <w:highlight w:val="none"/>
          <w:lang w:val="en-US" w:eastAsia="zh-CN"/>
        </w:rPr>
        <w:t>4、采购需求：</w:t>
      </w:r>
    </w:p>
    <w:tbl>
      <w:tblPr>
        <w:tblStyle w:val="5"/>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2288"/>
        <w:gridCol w:w="858"/>
        <w:gridCol w:w="2174"/>
        <w:gridCol w:w="238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5" w:type="dxa"/>
            <w:vAlign w:val="center"/>
          </w:tcPr>
          <w:p>
            <w:pPr>
              <w:spacing w:line="360" w:lineRule="auto"/>
              <w:jc w:val="center"/>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序号</w:t>
            </w:r>
          </w:p>
        </w:tc>
        <w:tc>
          <w:tcPr>
            <w:tcW w:w="2288" w:type="dxa"/>
            <w:vAlign w:val="center"/>
          </w:tcPr>
          <w:p>
            <w:pPr>
              <w:spacing w:line="360" w:lineRule="auto"/>
              <w:jc w:val="center"/>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品目名称</w:t>
            </w:r>
          </w:p>
        </w:tc>
        <w:tc>
          <w:tcPr>
            <w:tcW w:w="858" w:type="dxa"/>
            <w:vAlign w:val="center"/>
          </w:tcPr>
          <w:p>
            <w:pPr>
              <w:spacing w:line="360" w:lineRule="auto"/>
              <w:jc w:val="center"/>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数量</w:t>
            </w:r>
          </w:p>
        </w:tc>
        <w:tc>
          <w:tcPr>
            <w:tcW w:w="2174" w:type="dxa"/>
            <w:vAlign w:val="center"/>
          </w:tcPr>
          <w:p>
            <w:pPr>
              <w:spacing w:line="36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是否接受进口产品</w:t>
            </w:r>
          </w:p>
        </w:tc>
        <w:tc>
          <w:tcPr>
            <w:tcW w:w="2385" w:type="dxa"/>
            <w:vAlign w:val="center"/>
          </w:tcPr>
          <w:p>
            <w:pPr>
              <w:spacing w:line="36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简要技术参数</w:t>
            </w:r>
          </w:p>
        </w:tc>
        <w:tc>
          <w:tcPr>
            <w:tcW w:w="870" w:type="dxa"/>
            <w:vAlign w:val="center"/>
          </w:tcPr>
          <w:p>
            <w:pPr>
              <w:spacing w:line="360" w:lineRule="auto"/>
              <w:jc w:val="center"/>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35" w:type="dxa"/>
            <w:vAlign w:val="center"/>
          </w:tcPr>
          <w:p>
            <w:pPr>
              <w:spacing w:line="360" w:lineRule="auto"/>
              <w:jc w:val="center"/>
              <w:rPr>
                <w:rFonts w:hint="default" w:ascii="宋体" w:hAnsi="宋体" w:eastAsia="宋体" w:cs="宋体"/>
                <w:sz w:val="24"/>
                <w:highlight w:val="none"/>
                <w:vertAlign w:val="baseline"/>
                <w:lang w:val="en-US" w:eastAsia="zh-CN"/>
              </w:rPr>
            </w:pPr>
            <w:r>
              <w:rPr>
                <w:rFonts w:hint="eastAsia" w:ascii="宋体" w:hAnsi="宋体" w:cs="宋体"/>
                <w:sz w:val="24"/>
                <w:highlight w:val="none"/>
                <w:vertAlign w:val="baseline"/>
                <w:lang w:val="en-US" w:eastAsia="zh-CN"/>
              </w:rPr>
              <w:t>1</w:t>
            </w:r>
          </w:p>
        </w:tc>
        <w:tc>
          <w:tcPr>
            <w:tcW w:w="2288" w:type="dxa"/>
            <w:vAlign w:val="center"/>
          </w:tcPr>
          <w:p>
            <w:pPr>
              <w:spacing w:line="360" w:lineRule="auto"/>
              <w:jc w:val="center"/>
              <w:rPr>
                <w:rFonts w:hint="default" w:ascii="宋体" w:hAnsi="宋体" w:eastAsia="宋体" w:cs="宋体"/>
                <w:sz w:val="24"/>
                <w:highlight w:val="none"/>
                <w:vertAlign w:val="baseline"/>
                <w:lang w:val="en-US" w:eastAsia="zh-CN"/>
              </w:rPr>
            </w:pPr>
            <w:r>
              <w:rPr>
                <w:rFonts w:hint="eastAsia" w:ascii="宋体" w:hAnsi="宋体" w:cs="宋体"/>
                <w:sz w:val="21"/>
                <w:szCs w:val="21"/>
                <w:highlight w:val="none"/>
                <w:vertAlign w:val="baseline"/>
                <w:lang w:val="en-US" w:eastAsia="zh-CN"/>
              </w:rPr>
              <w:t>-40℃</w:t>
            </w:r>
            <w:r>
              <w:rPr>
                <w:rFonts w:hint="eastAsia" w:ascii="宋体" w:hAnsi="宋体" w:eastAsia="宋体" w:cs="宋体"/>
                <w:sz w:val="21"/>
                <w:szCs w:val="21"/>
                <w:highlight w:val="none"/>
                <w:vertAlign w:val="baseline"/>
                <w:lang w:val="en-US" w:eastAsia="zh-CN"/>
              </w:rPr>
              <w:t>医用低温保存箱</w:t>
            </w:r>
          </w:p>
        </w:tc>
        <w:tc>
          <w:tcPr>
            <w:tcW w:w="858" w:type="dxa"/>
            <w:vAlign w:val="center"/>
          </w:tcPr>
          <w:p>
            <w:pPr>
              <w:spacing w:line="360" w:lineRule="auto"/>
              <w:jc w:val="center"/>
              <w:rPr>
                <w:rFonts w:hint="default" w:ascii="宋体" w:hAnsi="宋体" w:eastAsia="宋体" w:cs="宋体"/>
                <w:sz w:val="24"/>
                <w:highlight w:val="none"/>
                <w:vertAlign w:val="baseline"/>
                <w:lang w:val="en-US" w:eastAsia="zh-CN"/>
              </w:rPr>
            </w:pPr>
            <w:r>
              <w:rPr>
                <w:rFonts w:hint="eastAsia" w:ascii="宋体" w:hAnsi="宋体" w:cs="宋体"/>
                <w:sz w:val="24"/>
                <w:highlight w:val="none"/>
                <w:vertAlign w:val="baseline"/>
                <w:lang w:val="en-US" w:eastAsia="zh-CN"/>
              </w:rPr>
              <w:t>2台</w:t>
            </w:r>
          </w:p>
        </w:tc>
        <w:tc>
          <w:tcPr>
            <w:tcW w:w="2174" w:type="dxa"/>
            <w:vMerge w:val="restart"/>
            <w:vAlign w:val="center"/>
          </w:tcPr>
          <w:p>
            <w:pPr>
              <w:spacing w:line="360" w:lineRule="auto"/>
              <w:jc w:val="center"/>
              <w:rPr>
                <w:rFonts w:hint="default" w:ascii="宋体" w:hAnsi="宋体" w:eastAsia="宋体" w:cs="宋体"/>
                <w:sz w:val="24"/>
                <w:highlight w:val="none"/>
                <w:vertAlign w:val="baseline"/>
                <w:lang w:val="en-US" w:eastAsia="zh-CN"/>
              </w:rPr>
            </w:pPr>
            <w:r>
              <w:rPr>
                <w:rFonts w:hint="eastAsia" w:ascii="宋体" w:hAnsi="宋体" w:cs="宋体"/>
                <w:sz w:val="24"/>
                <w:highlight w:val="none"/>
                <w:vertAlign w:val="baseline"/>
                <w:lang w:val="en-US" w:eastAsia="zh-CN"/>
              </w:rPr>
              <w:t>否</w:t>
            </w:r>
          </w:p>
        </w:tc>
        <w:tc>
          <w:tcPr>
            <w:tcW w:w="2385" w:type="dxa"/>
            <w:vMerge w:val="restart"/>
            <w:vAlign w:val="center"/>
          </w:tcPr>
          <w:p>
            <w:pPr>
              <w:spacing w:line="360" w:lineRule="auto"/>
              <w:jc w:val="center"/>
              <w:rPr>
                <w:rFonts w:hint="eastAsia" w:ascii="宋体" w:hAnsi="宋体" w:eastAsia="宋体" w:cs="宋体"/>
                <w:sz w:val="24"/>
                <w:highlight w:val="none"/>
                <w:vertAlign w:val="baseline"/>
                <w:lang w:val="en-US" w:eastAsia="zh-CN"/>
              </w:rPr>
            </w:pPr>
            <w:r>
              <w:rPr>
                <w:rFonts w:hint="eastAsia" w:ascii="宋体" w:hAnsi="宋体" w:cs="宋体"/>
                <w:sz w:val="24"/>
                <w:highlight w:val="none"/>
                <w:vertAlign w:val="baseline"/>
                <w:lang w:val="en-US" w:eastAsia="zh-CN"/>
              </w:rPr>
              <w:t>详见“第五章 货物需求及技术规格要求”</w:t>
            </w:r>
          </w:p>
        </w:tc>
        <w:tc>
          <w:tcPr>
            <w:tcW w:w="870" w:type="dxa"/>
            <w:vMerge w:val="restart"/>
            <w:vAlign w:val="center"/>
          </w:tcPr>
          <w:p>
            <w:pPr>
              <w:spacing w:line="360" w:lineRule="auto"/>
              <w:jc w:val="center"/>
              <w:rPr>
                <w:rFonts w:hint="default" w:ascii="宋体" w:hAnsi="宋体" w:eastAsia="宋体" w:cs="宋体"/>
                <w:sz w:val="24"/>
                <w:highlight w:val="none"/>
                <w:vertAlign w:val="baseline"/>
                <w:lang w:val="en-US" w:eastAsia="zh-CN"/>
              </w:rPr>
            </w:pPr>
            <w:r>
              <w:rPr>
                <w:rFonts w:hint="eastAsia" w:ascii="宋体" w:hAnsi="宋体" w:cs="宋体"/>
                <w:sz w:val="24"/>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35" w:type="dxa"/>
            <w:vAlign w:val="center"/>
          </w:tcPr>
          <w:p>
            <w:pPr>
              <w:spacing w:line="360" w:lineRule="auto"/>
              <w:jc w:val="center"/>
              <w:rPr>
                <w:rFonts w:hint="default" w:ascii="宋体" w:hAnsi="宋体" w:cs="宋体"/>
                <w:sz w:val="24"/>
                <w:highlight w:val="none"/>
                <w:vertAlign w:val="baseline"/>
                <w:lang w:val="en-US" w:eastAsia="zh-CN"/>
              </w:rPr>
            </w:pPr>
            <w:r>
              <w:rPr>
                <w:rFonts w:hint="eastAsia" w:ascii="宋体" w:hAnsi="宋体" w:cs="宋体"/>
                <w:sz w:val="24"/>
                <w:highlight w:val="none"/>
                <w:vertAlign w:val="baseline"/>
                <w:lang w:val="en-US" w:eastAsia="zh-CN"/>
              </w:rPr>
              <w:t>2</w:t>
            </w:r>
          </w:p>
        </w:tc>
        <w:tc>
          <w:tcPr>
            <w:tcW w:w="2288" w:type="dxa"/>
            <w:vAlign w:val="center"/>
          </w:tcPr>
          <w:p>
            <w:pPr>
              <w:spacing w:line="360" w:lineRule="auto"/>
              <w:jc w:val="center"/>
              <w:rPr>
                <w:rFonts w:hint="eastAsia" w:ascii="宋体" w:hAnsi="宋体" w:eastAsia="宋体" w:cs="宋体"/>
                <w:sz w:val="24"/>
                <w:highlight w:val="none"/>
                <w:lang w:val="en-US" w:eastAsia="zh-CN"/>
              </w:rPr>
            </w:pPr>
            <w:r>
              <w:rPr>
                <w:rFonts w:hint="eastAsia" w:ascii="宋体" w:hAnsi="宋体" w:cs="宋体"/>
                <w:sz w:val="21"/>
                <w:szCs w:val="21"/>
                <w:highlight w:val="none"/>
                <w:vertAlign w:val="baseline"/>
                <w:lang w:val="en-US" w:eastAsia="zh-CN"/>
              </w:rPr>
              <w:t>-80℃</w:t>
            </w:r>
            <w:r>
              <w:rPr>
                <w:rFonts w:hint="eastAsia" w:ascii="宋体" w:hAnsi="宋体" w:eastAsia="宋体" w:cs="宋体"/>
                <w:sz w:val="21"/>
                <w:szCs w:val="21"/>
                <w:highlight w:val="none"/>
                <w:vertAlign w:val="baseline"/>
                <w:lang w:val="en-US" w:eastAsia="zh-CN"/>
              </w:rPr>
              <w:t>医用低温保存箱</w:t>
            </w:r>
          </w:p>
        </w:tc>
        <w:tc>
          <w:tcPr>
            <w:tcW w:w="858" w:type="dxa"/>
            <w:vAlign w:val="center"/>
          </w:tcPr>
          <w:p>
            <w:pPr>
              <w:spacing w:line="360" w:lineRule="auto"/>
              <w:jc w:val="center"/>
              <w:rPr>
                <w:rFonts w:hint="default" w:ascii="宋体" w:hAnsi="宋体" w:cs="宋体"/>
                <w:sz w:val="24"/>
                <w:highlight w:val="none"/>
                <w:vertAlign w:val="baseline"/>
                <w:lang w:val="en-US" w:eastAsia="zh-CN"/>
              </w:rPr>
            </w:pPr>
            <w:r>
              <w:rPr>
                <w:rFonts w:hint="eastAsia" w:ascii="宋体" w:hAnsi="宋体" w:cs="宋体"/>
                <w:sz w:val="24"/>
                <w:highlight w:val="none"/>
                <w:vertAlign w:val="baseline"/>
                <w:lang w:val="en-US" w:eastAsia="zh-CN"/>
              </w:rPr>
              <w:t>1台</w:t>
            </w:r>
          </w:p>
        </w:tc>
        <w:tc>
          <w:tcPr>
            <w:tcW w:w="2174" w:type="dxa"/>
            <w:vMerge w:val="continue"/>
            <w:vAlign w:val="center"/>
          </w:tcPr>
          <w:p>
            <w:pPr>
              <w:spacing w:line="360" w:lineRule="auto"/>
              <w:jc w:val="center"/>
              <w:rPr>
                <w:rFonts w:hint="eastAsia" w:ascii="宋体" w:hAnsi="宋体" w:cs="宋体"/>
                <w:sz w:val="24"/>
                <w:highlight w:val="none"/>
                <w:vertAlign w:val="baseline"/>
                <w:lang w:val="en-US" w:eastAsia="zh-CN"/>
              </w:rPr>
            </w:pPr>
          </w:p>
        </w:tc>
        <w:tc>
          <w:tcPr>
            <w:tcW w:w="2385" w:type="dxa"/>
            <w:vMerge w:val="continue"/>
            <w:vAlign w:val="center"/>
          </w:tcPr>
          <w:p>
            <w:pPr>
              <w:spacing w:line="360" w:lineRule="auto"/>
              <w:jc w:val="center"/>
              <w:rPr>
                <w:rFonts w:hint="eastAsia" w:ascii="宋体" w:hAnsi="宋体" w:cs="宋体"/>
                <w:sz w:val="24"/>
                <w:highlight w:val="none"/>
                <w:vertAlign w:val="baseline"/>
                <w:lang w:val="en-US" w:eastAsia="zh-CN"/>
              </w:rPr>
            </w:pPr>
          </w:p>
        </w:tc>
        <w:tc>
          <w:tcPr>
            <w:tcW w:w="870" w:type="dxa"/>
            <w:vMerge w:val="continue"/>
            <w:vAlign w:val="center"/>
          </w:tcPr>
          <w:p>
            <w:pPr>
              <w:spacing w:line="360" w:lineRule="auto"/>
              <w:jc w:val="center"/>
              <w:rPr>
                <w:rFonts w:hint="eastAsia" w:ascii="宋体" w:hAnsi="宋体" w:cs="宋体"/>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35" w:type="dxa"/>
            <w:vAlign w:val="center"/>
          </w:tcPr>
          <w:p>
            <w:pPr>
              <w:spacing w:line="360" w:lineRule="auto"/>
              <w:jc w:val="center"/>
              <w:rPr>
                <w:rFonts w:hint="default" w:ascii="宋体" w:hAnsi="宋体" w:cs="宋体"/>
                <w:sz w:val="24"/>
                <w:highlight w:val="none"/>
                <w:vertAlign w:val="baseline"/>
                <w:lang w:val="en-US" w:eastAsia="zh-CN"/>
              </w:rPr>
            </w:pPr>
            <w:r>
              <w:rPr>
                <w:rFonts w:hint="eastAsia" w:ascii="宋体" w:hAnsi="宋体" w:cs="宋体"/>
                <w:sz w:val="24"/>
                <w:highlight w:val="none"/>
                <w:vertAlign w:val="baseline"/>
                <w:lang w:val="en-US" w:eastAsia="zh-CN"/>
              </w:rPr>
              <w:t>3</w:t>
            </w:r>
          </w:p>
        </w:tc>
        <w:tc>
          <w:tcPr>
            <w:tcW w:w="2288" w:type="dxa"/>
            <w:vAlign w:val="center"/>
          </w:tcPr>
          <w:p>
            <w:pPr>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医用冷藏箱</w:t>
            </w:r>
          </w:p>
        </w:tc>
        <w:tc>
          <w:tcPr>
            <w:tcW w:w="858" w:type="dxa"/>
            <w:vAlign w:val="center"/>
          </w:tcPr>
          <w:p>
            <w:pPr>
              <w:spacing w:line="360" w:lineRule="auto"/>
              <w:jc w:val="center"/>
              <w:rPr>
                <w:rFonts w:hint="default" w:ascii="宋体" w:hAnsi="宋体" w:cs="宋体"/>
                <w:sz w:val="24"/>
                <w:highlight w:val="none"/>
                <w:vertAlign w:val="baseline"/>
                <w:lang w:val="en-US" w:eastAsia="zh-CN"/>
              </w:rPr>
            </w:pPr>
            <w:r>
              <w:rPr>
                <w:rFonts w:hint="eastAsia" w:ascii="宋体" w:hAnsi="宋体" w:cs="宋体"/>
                <w:sz w:val="24"/>
                <w:highlight w:val="none"/>
                <w:vertAlign w:val="baseline"/>
                <w:lang w:val="en-US" w:eastAsia="zh-CN"/>
              </w:rPr>
              <w:t>16台</w:t>
            </w:r>
          </w:p>
        </w:tc>
        <w:tc>
          <w:tcPr>
            <w:tcW w:w="2174" w:type="dxa"/>
            <w:vMerge w:val="continue"/>
            <w:vAlign w:val="center"/>
          </w:tcPr>
          <w:p>
            <w:pPr>
              <w:spacing w:line="360" w:lineRule="auto"/>
              <w:jc w:val="center"/>
              <w:rPr>
                <w:rFonts w:hint="eastAsia" w:ascii="宋体" w:hAnsi="宋体" w:cs="宋体"/>
                <w:sz w:val="24"/>
                <w:highlight w:val="none"/>
                <w:vertAlign w:val="baseline"/>
                <w:lang w:val="en-US" w:eastAsia="zh-CN"/>
              </w:rPr>
            </w:pPr>
          </w:p>
        </w:tc>
        <w:tc>
          <w:tcPr>
            <w:tcW w:w="2385" w:type="dxa"/>
            <w:vMerge w:val="continue"/>
            <w:vAlign w:val="center"/>
          </w:tcPr>
          <w:p>
            <w:pPr>
              <w:spacing w:line="360" w:lineRule="auto"/>
              <w:jc w:val="center"/>
              <w:rPr>
                <w:rFonts w:hint="eastAsia" w:ascii="宋体" w:hAnsi="宋体" w:cs="宋体"/>
                <w:sz w:val="24"/>
                <w:highlight w:val="none"/>
                <w:vertAlign w:val="baseline"/>
                <w:lang w:val="en-US" w:eastAsia="zh-CN"/>
              </w:rPr>
            </w:pPr>
          </w:p>
        </w:tc>
        <w:tc>
          <w:tcPr>
            <w:tcW w:w="870" w:type="dxa"/>
            <w:vMerge w:val="continue"/>
            <w:vAlign w:val="center"/>
          </w:tcPr>
          <w:p>
            <w:pPr>
              <w:spacing w:line="360" w:lineRule="auto"/>
              <w:jc w:val="center"/>
              <w:rPr>
                <w:rFonts w:hint="eastAsia" w:ascii="宋体" w:hAnsi="宋体" w:cs="宋体"/>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5" w:type="dxa"/>
            <w:vAlign w:val="center"/>
          </w:tcPr>
          <w:p>
            <w:pPr>
              <w:spacing w:line="360" w:lineRule="auto"/>
              <w:jc w:val="center"/>
              <w:rPr>
                <w:rFonts w:hint="default" w:ascii="宋体" w:hAnsi="宋体" w:cs="宋体"/>
                <w:sz w:val="24"/>
                <w:highlight w:val="none"/>
                <w:vertAlign w:val="baseline"/>
                <w:lang w:val="en-US" w:eastAsia="zh-CN"/>
              </w:rPr>
            </w:pPr>
            <w:r>
              <w:rPr>
                <w:rFonts w:hint="eastAsia" w:ascii="宋体" w:hAnsi="宋体" w:cs="宋体"/>
                <w:sz w:val="24"/>
                <w:highlight w:val="none"/>
                <w:vertAlign w:val="baseline"/>
                <w:lang w:val="en-US" w:eastAsia="zh-CN"/>
              </w:rPr>
              <w:t>4</w:t>
            </w:r>
          </w:p>
        </w:tc>
        <w:tc>
          <w:tcPr>
            <w:tcW w:w="2288" w:type="dxa"/>
            <w:vAlign w:val="center"/>
          </w:tcPr>
          <w:p>
            <w:pPr>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医用冷藏冷冻箱</w:t>
            </w:r>
          </w:p>
        </w:tc>
        <w:tc>
          <w:tcPr>
            <w:tcW w:w="858" w:type="dxa"/>
            <w:vAlign w:val="center"/>
          </w:tcPr>
          <w:p>
            <w:pPr>
              <w:spacing w:line="360" w:lineRule="auto"/>
              <w:jc w:val="center"/>
              <w:rPr>
                <w:rFonts w:hint="default" w:ascii="宋体" w:hAnsi="宋体" w:cs="宋体"/>
                <w:sz w:val="24"/>
                <w:highlight w:val="none"/>
                <w:vertAlign w:val="baseline"/>
                <w:lang w:val="en-US" w:eastAsia="zh-CN"/>
              </w:rPr>
            </w:pPr>
            <w:r>
              <w:rPr>
                <w:rFonts w:hint="eastAsia" w:ascii="宋体" w:hAnsi="宋体" w:cs="宋体"/>
                <w:sz w:val="24"/>
                <w:highlight w:val="none"/>
                <w:vertAlign w:val="baseline"/>
                <w:lang w:val="en-US" w:eastAsia="zh-CN"/>
              </w:rPr>
              <w:t>7台</w:t>
            </w:r>
          </w:p>
        </w:tc>
        <w:tc>
          <w:tcPr>
            <w:tcW w:w="2174" w:type="dxa"/>
            <w:vMerge w:val="continue"/>
            <w:vAlign w:val="center"/>
          </w:tcPr>
          <w:p>
            <w:pPr>
              <w:spacing w:line="360" w:lineRule="auto"/>
              <w:jc w:val="center"/>
              <w:rPr>
                <w:rFonts w:hint="eastAsia" w:ascii="宋体" w:hAnsi="宋体" w:cs="宋体"/>
                <w:sz w:val="24"/>
                <w:highlight w:val="none"/>
                <w:vertAlign w:val="baseline"/>
                <w:lang w:val="en-US" w:eastAsia="zh-CN"/>
              </w:rPr>
            </w:pPr>
          </w:p>
        </w:tc>
        <w:tc>
          <w:tcPr>
            <w:tcW w:w="2385" w:type="dxa"/>
            <w:vMerge w:val="continue"/>
            <w:vAlign w:val="center"/>
          </w:tcPr>
          <w:p>
            <w:pPr>
              <w:spacing w:line="360" w:lineRule="auto"/>
              <w:jc w:val="center"/>
              <w:rPr>
                <w:rFonts w:hint="eastAsia" w:ascii="宋体" w:hAnsi="宋体" w:cs="宋体"/>
                <w:sz w:val="24"/>
                <w:highlight w:val="none"/>
                <w:vertAlign w:val="baseline"/>
                <w:lang w:val="en-US" w:eastAsia="zh-CN"/>
              </w:rPr>
            </w:pPr>
          </w:p>
        </w:tc>
        <w:tc>
          <w:tcPr>
            <w:tcW w:w="870" w:type="dxa"/>
            <w:vMerge w:val="continue"/>
            <w:vAlign w:val="center"/>
          </w:tcPr>
          <w:p>
            <w:pPr>
              <w:spacing w:line="360" w:lineRule="auto"/>
              <w:jc w:val="center"/>
              <w:rPr>
                <w:rFonts w:hint="eastAsia" w:ascii="宋体" w:hAnsi="宋体" w:cs="宋体"/>
                <w:sz w:val="24"/>
                <w:highlight w:val="none"/>
                <w:vertAlign w:val="baseline"/>
                <w:lang w:val="en-US" w:eastAsia="zh-CN"/>
              </w:rPr>
            </w:pPr>
          </w:p>
        </w:tc>
      </w:tr>
    </w:tbl>
    <w:p>
      <w:pPr>
        <w:spacing w:line="360" w:lineRule="auto"/>
        <w:rPr>
          <w:rFonts w:hint="eastAsia" w:ascii="宋体" w:hAnsi="宋体" w:eastAsia="宋体" w:cs="宋体"/>
          <w:sz w:val="24"/>
          <w:highlight w:val="none"/>
          <w:lang w:val="en-US" w:eastAsia="zh-CN"/>
        </w:rPr>
      </w:pPr>
      <w:bookmarkStart w:id="39" w:name="_GoBack"/>
      <w:bookmarkEnd w:id="39"/>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5、合同履行期限（交货时间）：根据甲方需求</w:t>
      </w:r>
      <w:r>
        <w:rPr>
          <w:rFonts w:hint="eastAsia" w:ascii="宋体" w:hAnsi="宋体" w:cs="宋体"/>
          <w:sz w:val="24"/>
          <w:highlight w:val="none"/>
          <w:lang w:eastAsia="zh-CN"/>
        </w:rPr>
        <w:t>（</w:t>
      </w:r>
      <w:r>
        <w:rPr>
          <w:rFonts w:hint="eastAsia" w:ascii="宋体" w:hAnsi="宋体" w:eastAsia="宋体" w:cs="宋体"/>
          <w:sz w:val="24"/>
          <w:highlight w:val="none"/>
          <w:lang w:val="en-US" w:eastAsia="zh-CN"/>
        </w:rPr>
        <w:t>详见磋商文件“</w:t>
      </w:r>
      <w:r>
        <w:rPr>
          <w:rFonts w:hint="eastAsia" w:ascii="宋体" w:hAnsi="宋体" w:eastAsia="宋体" w:cs="宋体"/>
          <w:sz w:val="24"/>
          <w:highlight w:val="none"/>
        </w:rPr>
        <w:t>供应商须知</w:t>
      </w:r>
      <w:r>
        <w:rPr>
          <w:rFonts w:hint="eastAsia" w:ascii="宋体" w:hAnsi="宋体" w:eastAsia="宋体" w:cs="宋体"/>
          <w:sz w:val="24"/>
          <w:highlight w:val="none"/>
          <w:lang w:val="en-US" w:eastAsia="zh-CN"/>
        </w:rPr>
        <w:t>”</w:t>
      </w:r>
      <w:r>
        <w:rPr>
          <w:rFonts w:hint="eastAsia" w:ascii="宋体" w:hAnsi="宋体" w:cs="宋体"/>
          <w:sz w:val="24"/>
          <w:highlight w:val="none"/>
          <w:lang w:eastAsia="zh-CN"/>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6、交货地点：</w:t>
      </w:r>
      <w:r>
        <w:rPr>
          <w:rFonts w:hint="eastAsia" w:ascii="宋体" w:hAnsi="宋体" w:cs="宋体"/>
          <w:sz w:val="24"/>
          <w:highlight w:val="none"/>
          <w:lang w:val="en-US" w:eastAsia="zh-CN"/>
        </w:rPr>
        <w:t>采购人指定地点</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7、质量标准：符合国家、行业规定的合格标准及采购人要求；</w:t>
      </w:r>
    </w:p>
    <w:p>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8、质保期：至少3年；</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9</w:t>
      </w:r>
      <w:r>
        <w:rPr>
          <w:rFonts w:hint="eastAsia" w:ascii="宋体" w:hAnsi="宋体" w:cs="宋体"/>
          <w:sz w:val="24"/>
          <w:highlight w:val="none"/>
        </w:rPr>
        <w:t>、本项目不接受联合体投标。</w:t>
      </w:r>
    </w:p>
    <w:p>
      <w:pPr>
        <w:spacing w:line="360" w:lineRule="auto"/>
        <w:rPr>
          <w:rFonts w:ascii="宋体" w:hAnsi="宋体" w:cs="宋体"/>
          <w:b/>
          <w:bCs/>
          <w:sz w:val="24"/>
          <w:highlight w:val="none"/>
        </w:rPr>
      </w:pPr>
      <w:bookmarkStart w:id="5" w:name="_Toc28359003"/>
      <w:bookmarkStart w:id="6" w:name="_Toc28359080"/>
      <w:bookmarkStart w:id="7" w:name="_Toc35393791"/>
      <w:bookmarkStart w:id="8" w:name="_Toc35393622"/>
      <w:r>
        <w:rPr>
          <w:rFonts w:hint="eastAsia" w:ascii="宋体" w:hAnsi="宋体" w:cs="宋体"/>
          <w:b/>
          <w:bCs/>
          <w:sz w:val="24"/>
          <w:highlight w:val="none"/>
        </w:rPr>
        <w:t>二、申请人的资格要求：</w:t>
      </w:r>
      <w:bookmarkEnd w:id="5"/>
      <w:bookmarkEnd w:id="6"/>
      <w:bookmarkEnd w:id="7"/>
      <w:bookmarkEnd w:id="8"/>
    </w:p>
    <w:p>
      <w:pPr>
        <w:spacing w:line="360" w:lineRule="auto"/>
        <w:ind w:firstLine="480" w:firstLineChars="200"/>
        <w:rPr>
          <w:rFonts w:ascii="宋体" w:hAnsi="宋体" w:cs="宋体"/>
          <w:sz w:val="24"/>
          <w:highlight w:val="none"/>
        </w:rPr>
      </w:pPr>
      <w:r>
        <w:rPr>
          <w:rFonts w:hint="eastAsia" w:ascii="宋体" w:hAnsi="宋体" w:cs="宋体"/>
          <w:sz w:val="24"/>
          <w:highlight w:val="none"/>
        </w:rPr>
        <w:t>1、满足《中华人民共和国政府采购法》第二十二条规定；</w:t>
      </w:r>
    </w:p>
    <w:p>
      <w:pPr>
        <w:spacing w:line="360" w:lineRule="auto"/>
        <w:ind w:firstLine="480" w:firstLineChars="200"/>
        <w:rPr>
          <w:rFonts w:hint="eastAsia" w:ascii="宋体" w:hAnsi="宋体" w:cs="宋体"/>
          <w:sz w:val="24"/>
          <w:highlight w:val="none"/>
          <w:lang w:eastAsia="zh-CN"/>
        </w:rPr>
      </w:pPr>
      <w:bookmarkStart w:id="9" w:name="_Toc28359004"/>
      <w:bookmarkStart w:id="10" w:name="_Toc28359081"/>
      <w:r>
        <w:rPr>
          <w:rFonts w:hint="eastAsia" w:ascii="宋体" w:hAnsi="宋体" w:cs="宋体"/>
          <w:sz w:val="24"/>
          <w:highlight w:val="none"/>
        </w:rPr>
        <w:t>2、落实政府采购政策需满足的资格要求：</w:t>
      </w:r>
      <w:r>
        <w:rPr>
          <w:rFonts w:hint="eastAsia" w:ascii="宋体" w:hAnsi="宋体" w:cs="宋体"/>
          <w:sz w:val="24"/>
          <w:highlight w:val="none"/>
          <w:lang w:eastAsia="zh-CN"/>
        </w:rPr>
        <w:t>本项目</w:t>
      </w:r>
      <w:r>
        <w:rPr>
          <w:rFonts w:hint="eastAsia" w:ascii="宋体" w:hAnsi="宋体" w:cs="宋体"/>
          <w:sz w:val="24"/>
          <w:highlight w:val="none"/>
          <w:lang w:val="en-US" w:eastAsia="zh-CN"/>
        </w:rPr>
        <w:t>非</w:t>
      </w:r>
      <w:r>
        <w:rPr>
          <w:rFonts w:hint="eastAsia" w:ascii="宋体" w:hAnsi="宋体" w:cs="宋体"/>
          <w:sz w:val="24"/>
          <w:highlight w:val="none"/>
          <w:lang w:eastAsia="zh-CN"/>
        </w:rPr>
        <w:t>专门面向中小企业采购项目，中小企业、监狱企业、残疾人福利性单位享受政府采购政策需提供相关声明；</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3、本项目的特定资格要求：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（1）在中华人民共和国境内注册，具备有效的营业执照，并在人员、设备、资金等方面具有相应的能力。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（2）供应商如为制造商须具备《医疗器械生产许可证》或《医疗器械生产备案凭证》</w:t>
      </w:r>
      <w:r>
        <w:rPr>
          <w:rFonts w:hint="eastAsia" w:ascii="宋体" w:hAnsi="宋体" w:cs="宋体"/>
          <w:sz w:val="24"/>
          <w:highlight w:val="none"/>
          <w:lang w:eastAsia="zh-CN"/>
        </w:rPr>
        <w:t>；</w:t>
      </w:r>
      <w:r>
        <w:rPr>
          <w:rFonts w:hint="eastAsia" w:ascii="宋体" w:hAnsi="宋体" w:cs="宋体"/>
          <w:sz w:val="24"/>
          <w:highlight w:val="none"/>
          <w:lang w:val="en-US" w:eastAsia="zh-CN"/>
        </w:rPr>
        <w:t>供应商如为代理商须具备《医疗器械经营许可证》或《医疗器械经营备案凭证》；磋商产品应具备有效的《中华人民共和国医疗器械注册证》或《医疗器械备案凭证》</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）供应商须具有良好的商业信誉和健全的财务会计制度</w:t>
      </w:r>
      <w:r>
        <w:rPr>
          <w:rFonts w:hint="eastAsia" w:ascii="宋体" w:hAnsi="宋体" w:cs="宋体"/>
          <w:sz w:val="24"/>
          <w:highlight w:val="none"/>
          <w:lang w:eastAsia="zh-CN"/>
        </w:rPr>
        <w:t>，</w:t>
      </w:r>
      <w:r>
        <w:rPr>
          <w:rFonts w:hint="eastAsia" w:ascii="宋体" w:hAnsi="宋体" w:cs="宋体"/>
          <w:sz w:val="24"/>
          <w:highlight w:val="none"/>
        </w:rPr>
        <w:t>提供</w:t>
      </w:r>
      <w:r>
        <w:rPr>
          <w:rFonts w:hint="eastAsia" w:ascii="宋体" w:hAnsi="宋体" w:cs="宋体"/>
          <w:sz w:val="24"/>
          <w:highlight w:val="none"/>
          <w:lang w:val="en-US" w:eastAsia="zh-CN"/>
        </w:rPr>
        <w:t>近一</w:t>
      </w:r>
      <w:r>
        <w:rPr>
          <w:rFonts w:hint="eastAsia" w:ascii="宋体" w:hAnsi="宋体" w:cs="宋体"/>
          <w:sz w:val="24"/>
          <w:highlight w:val="none"/>
        </w:rPr>
        <w:t>年度</w:t>
      </w:r>
      <w:r>
        <w:rPr>
          <w:rFonts w:hint="eastAsia" w:ascii="宋体" w:hAnsi="宋体" w:cs="宋体"/>
          <w:sz w:val="24"/>
          <w:highlight w:val="none"/>
          <w:lang w:eastAsia="zh-CN"/>
        </w:rPr>
        <w:t>（</w:t>
      </w:r>
      <w:r>
        <w:rPr>
          <w:rFonts w:hint="eastAsia" w:ascii="宋体" w:hAnsi="宋体" w:cs="宋体"/>
          <w:sz w:val="24"/>
          <w:highlight w:val="none"/>
          <w:lang w:val="en-US" w:eastAsia="zh-CN"/>
        </w:rPr>
        <w:t>2021年</w:t>
      </w:r>
      <w:r>
        <w:rPr>
          <w:rFonts w:hint="eastAsia" w:ascii="宋体" w:hAnsi="宋体" w:cs="宋体"/>
          <w:sz w:val="24"/>
          <w:highlight w:val="none"/>
          <w:lang w:eastAsia="zh-CN"/>
        </w:rPr>
        <w:t>）财务审计报告（经会计师事务所审计的）或提供近2021年度供应商内部的财务报表（至少应包含资产负债表、现金流量表、利润表）或其基本开户银行出具的开标日前三个月内的资信证明</w:t>
      </w:r>
      <w:r>
        <w:rPr>
          <w:rFonts w:hint="eastAsia" w:ascii="宋体" w:hAnsi="宋体" w:cs="宋体"/>
          <w:sz w:val="24"/>
          <w:highlight w:val="none"/>
        </w:rPr>
        <w:t>；</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）供应商需提供202</w:t>
      </w:r>
      <w:r>
        <w:rPr>
          <w:rFonts w:hint="eastAsia" w:ascii="宋体" w:hAnsi="宋体" w:cs="宋体"/>
          <w:sz w:val="24"/>
          <w:highlight w:val="none"/>
          <w:lang w:val="en-US" w:eastAsia="zh-CN"/>
        </w:rPr>
        <w:t>2</w:t>
      </w:r>
      <w:r>
        <w:rPr>
          <w:rFonts w:hint="eastAsia" w:ascii="宋体" w:hAnsi="宋体" w:cs="宋体"/>
          <w:sz w:val="24"/>
          <w:highlight w:val="none"/>
          <w:lang w:eastAsia="zh-CN"/>
        </w:rPr>
        <w:t>年内任意一个月依法缴纳税收和社会保障资金的相关证明材料；</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5</w:t>
      </w:r>
      <w:r>
        <w:rPr>
          <w:rFonts w:hint="eastAsia" w:ascii="宋体" w:hAnsi="宋体" w:cs="宋体"/>
          <w:sz w:val="24"/>
          <w:highlight w:val="none"/>
          <w:lang w:val="zh-CN"/>
        </w:rPr>
        <w:t>）</w:t>
      </w:r>
      <w:r>
        <w:rPr>
          <w:rFonts w:hint="eastAsia" w:ascii="宋体" w:hAnsi="宋体" w:cs="宋体"/>
          <w:sz w:val="24"/>
          <w:highlight w:val="none"/>
        </w:rPr>
        <w:t>不接受被政府列入取消投标资格期限内的企业或个人参加投标。参加政府采购活动前3年内在经营活动中没有重大违法记录；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）本项目不接受被“信用中国”列入失信被执行人、重大税收违法案件当事人名单、政府采购严重违法失信行为记录名单</w:t>
      </w:r>
      <w:r>
        <w:rPr>
          <w:rFonts w:hint="eastAsia" w:ascii="宋体" w:hAnsi="宋体" w:cs="宋体"/>
          <w:sz w:val="24"/>
          <w:highlight w:val="none"/>
          <w:lang w:eastAsia="zh-CN"/>
        </w:rPr>
        <w:t>；</w:t>
      </w:r>
      <w:r>
        <w:rPr>
          <w:rFonts w:hint="eastAsia" w:ascii="宋体" w:hAnsi="宋体" w:cs="宋体"/>
          <w:sz w:val="24"/>
          <w:highlight w:val="none"/>
          <w:lang w:val="en-US" w:eastAsia="zh-CN"/>
        </w:rPr>
        <w:t>被</w:t>
      </w:r>
      <w:r>
        <w:rPr>
          <w:rFonts w:hint="eastAsia" w:ascii="宋体" w:hAnsi="宋体" w:cs="宋体"/>
          <w:sz w:val="24"/>
          <w:highlight w:val="none"/>
        </w:rPr>
        <w:t>中国政府采购网列入政府采购严重违法失信行为记录名单的供应商参与投标（详见财库[2016]125号文件）。通过“信用中国”网站及中国政府采购网渠道查询；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）供应商需提供企业无行贿犯罪记录证明，供应商自行登录中国裁判文书网查询官网截图；</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规定的，相关投标均无效</w:t>
      </w:r>
      <w:r>
        <w:rPr>
          <w:rFonts w:hint="eastAsia" w:ascii="宋体" w:hAnsi="宋体" w:cs="宋体"/>
          <w:sz w:val="24"/>
          <w:highlight w:val="none"/>
          <w:lang w:eastAsia="zh-CN"/>
        </w:rPr>
        <w:t>；</w:t>
      </w:r>
    </w:p>
    <w:p>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9</w:t>
      </w:r>
      <w:r>
        <w:rPr>
          <w:rFonts w:hint="eastAsia" w:ascii="宋体" w:hAnsi="宋体" w:cs="宋体"/>
          <w:sz w:val="24"/>
          <w:highlight w:val="none"/>
          <w:lang w:eastAsia="zh-CN"/>
        </w:rPr>
        <w:t>）为本采购项目提供过整体设计、规范编制或者项目管理、监理、检测等服务的供应商及其附属机构，不得再参加本采购项目的磋商活动；</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10</w:t>
      </w:r>
      <w:r>
        <w:rPr>
          <w:rFonts w:hint="eastAsia" w:ascii="宋体" w:hAnsi="宋体" w:cs="宋体"/>
          <w:sz w:val="24"/>
          <w:highlight w:val="none"/>
          <w:lang w:eastAsia="zh-CN"/>
        </w:rPr>
        <w:t>）</w:t>
      </w:r>
      <w:r>
        <w:rPr>
          <w:rFonts w:hint="eastAsia" w:ascii="宋体" w:hAnsi="宋体" w:eastAsia="宋体" w:cs="宋体"/>
          <w:sz w:val="24"/>
          <w:szCs w:val="24"/>
          <w:lang w:val="en-US" w:eastAsia="zh-CN"/>
        </w:rPr>
        <w:t>本次采购活动的每个环节，被授权人必须出示身份证原件，且每个供应商仅能派出1人作为本项目的被授权人，被授权人须为本单位的在职人员（提供缴纳社保证明材料），整个招投标过程不得随意更换被授权人</w:t>
      </w:r>
      <w:r>
        <w:rPr>
          <w:rFonts w:hint="eastAsia" w:ascii="宋体" w:hAnsi="宋体" w:cs="宋体"/>
          <w:sz w:val="24"/>
          <w:highlight w:val="none"/>
        </w:rPr>
        <w:t>。</w:t>
      </w:r>
    </w:p>
    <w:p>
      <w:pPr>
        <w:spacing w:line="360" w:lineRule="auto"/>
        <w:rPr>
          <w:rFonts w:ascii="宋体" w:hAnsi="宋体" w:cs="宋体"/>
          <w:b/>
          <w:bCs/>
          <w:sz w:val="24"/>
          <w:highlight w:val="none"/>
        </w:rPr>
      </w:pPr>
      <w:bookmarkStart w:id="11" w:name="_Toc35393792"/>
      <w:bookmarkStart w:id="12" w:name="_Toc35393623"/>
      <w:r>
        <w:rPr>
          <w:rFonts w:hint="eastAsia" w:ascii="宋体" w:hAnsi="宋体" w:cs="宋体"/>
          <w:sz w:val="24"/>
          <w:highlight w:val="none"/>
        </w:rPr>
        <w:t xml:space="preserve"> </w:t>
      </w:r>
      <w:r>
        <w:rPr>
          <w:rFonts w:hint="eastAsia" w:ascii="宋体" w:hAnsi="宋体" w:cs="宋体"/>
          <w:b/>
          <w:bCs/>
          <w:sz w:val="24"/>
          <w:highlight w:val="none"/>
        </w:rPr>
        <w:t>三、获取竞争性磋商文件</w:t>
      </w:r>
      <w:bookmarkEnd w:id="9"/>
      <w:bookmarkEnd w:id="10"/>
      <w:bookmarkEnd w:id="11"/>
      <w:bookmarkEnd w:id="12"/>
    </w:p>
    <w:p>
      <w:pPr>
        <w:spacing w:line="360" w:lineRule="auto"/>
        <w:ind w:firstLine="480" w:firstLineChars="200"/>
        <w:rPr>
          <w:rFonts w:ascii="宋体" w:hAnsi="宋体" w:cs="宋体"/>
          <w:sz w:val="24"/>
          <w:highlight w:val="none"/>
        </w:rPr>
      </w:pPr>
      <w:r>
        <w:rPr>
          <w:rFonts w:hint="eastAsia" w:ascii="宋体" w:hAnsi="宋体" w:cs="宋体"/>
          <w:sz w:val="24"/>
          <w:highlight w:val="none"/>
        </w:rPr>
        <w:t>1、时间：202</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21</w:t>
      </w:r>
      <w:r>
        <w:rPr>
          <w:rFonts w:hint="eastAsia" w:ascii="宋体" w:hAnsi="宋体" w:cs="宋体"/>
          <w:sz w:val="24"/>
          <w:highlight w:val="none"/>
        </w:rPr>
        <w:t>日至202</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27</w:t>
      </w:r>
      <w:r>
        <w:rPr>
          <w:rFonts w:hint="eastAsia" w:ascii="宋体" w:hAnsi="宋体" w:cs="宋体"/>
          <w:sz w:val="24"/>
          <w:highlight w:val="none"/>
        </w:rPr>
        <w:t>日，每天上午0</w:t>
      </w:r>
      <w:r>
        <w:rPr>
          <w:rFonts w:hint="eastAsia" w:ascii="宋体" w:hAnsi="宋体" w:cs="宋体"/>
          <w:sz w:val="24"/>
          <w:highlight w:val="none"/>
          <w:lang w:val="en-US" w:eastAsia="zh-CN"/>
        </w:rPr>
        <w:t>9</w:t>
      </w:r>
      <w:r>
        <w:rPr>
          <w:rFonts w:hint="eastAsia" w:ascii="宋体" w:hAnsi="宋体" w:cs="宋体"/>
          <w:sz w:val="24"/>
          <w:highlight w:val="none"/>
        </w:rPr>
        <w:t>:</w:t>
      </w:r>
      <w:r>
        <w:rPr>
          <w:rFonts w:hint="eastAsia" w:ascii="宋体" w:hAnsi="宋体" w:cs="宋体"/>
          <w:sz w:val="24"/>
          <w:highlight w:val="none"/>
          <w:lang w:val="en-US" w:eastAsia="zh-CN"/>
        </w:rPr>
        <w:t>0</w:t>
      </w:r>
      <w:r>
        <w:rPr>
          <w:rFonts w:hint="eastAsia" w:ascii="宋体" w:hAnsi="宋体" w:cs="宋体"/>
          <w:sz w:val="24"/>
          <w:highlight w:val="none"/>
        </w:rPr>
        <w:t>0至11:30，下午13:30至16:</w:t>
      </w:r>
      <w:r>
        <w:rPr>
          <w:rFonts w:hint="eastAsia" w:ascii="宋体" w:hAnsi="宋体" w:cs="宋体"/>
          <w:sz w:val="24"/>
          <w:highlight w:val="none"/>
          <w:lang w:val="en-US" w:eastAsia="zh-CN"/>
        </w:rPr>
        <w:t>00</w:t>
      </w:r>
      <w:r>
        <w:rPr>
          <w:rFonts w:hint="eastAsia" w:ascii="宋体" w:hAnsi="宋体" w:cs="宋体"/>
          <w:sz w:val="24"/>
          <w:highlight w:val="none"/>
        </w:rPr>
        <w:t>（北京时间，法定节假日</w:t>
      </w:r>
      <w:r>
        <w:rPr>
          <w:rFonts w:hint="eastAsia" w:ascii="宋体" w:hAnsi="宋体" w:cs="宋体"/>
          <w:sz w:val="24"/>
          <w:highlight w:val="none"/>
          <w:lang w:val="en-US" w:eastAsia="zh-CN"/>
        </w:rPr>
        <w:t>和公休日</w:t>
      </w:r>
      <w:r>
        <w:rPr>
          <w:rFonts w:hint="eastAsia" w:ascii="宋体" w:hAnsi="宋体" w:cs="宋体"/>
          <w:sz w:val="24"/>
          <w:highlight w:val="none"/>
        </w:rPr>
        <w:t xml:space="preserve">除外）；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2、地点：</w:t>
      </w:r>
      <w:r>
        <w:rPr>
          <w:rFonts w:hint="eastAsia" w:ascii="宋体" w:hAnsi="宋体" w:cs="宋体"/>
          <w:bCs/>
          <w:sz w:val="24"/>
          <w:lang w:val="en-US" w:eastAsia="zh-CN"/>
        </w:rPr>
        <w:t>北京典方建设工程咨询有限公司</w:t>
      </w:r>
      <w:r>
        <w:rPr>
          <w:rFonts w:hint="eastAsia" w:ascii="宋体" w:hAnsi="宋体" w:cs="宋体"/>
          <w:sz w:val="24"/>
          <w:highlight w:val="none"/>
        </w:rPr>
        <w:t>（</w:t>
      </w:r>
      <w:r>
        <w:rPr>
          <w:rFonts w:hint="eastAsia" w:ascii="宋体" w:hAnsi="宋体" w:eastAsia="宋体" w:cs="宋体"/>
          <w:bCs/>
          <w:sz w:val="24"/>
        </w:rPr>
        <w:t>吉林省长春市南关区生态大街291号伟峰东第11号楼8楼806室</w:t>
      </w:r>
      <w:r>
        <w:rPr>
          <w:rFonts w:hint="eastAsia" w:ascii="宋体" w:hAnsi="宋体" w:cs="宋体"/>
          <w:sz w:val="24"/>
          <w:highlight w:val="none"/>
        </w:rPr>
        <w:t>）</w:t>
      </w:r>
      <w:r>
        <w:rPr>
          <w:rFonts w:hint="eastAsia" w:ascii="宋体" w:hAnsi="宋体" w:cs="宋体"/>
          <w:sz w:val="24"/>
          <w:highlight w:val="none"/>
          <w:lang w:val="zh-CN"/>
        </w:rPr>
        <w:t>；</w:t>
      </w:r>
    </w:p>
    <w:p>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w:t>
      </w:r>
      <w:r>
        <w:rPr>
          <w:rFonts w:hint="eastAsia" w:ascii="宋体" w:hAnsi="宋体" w:eastAsia="宋体" w:cs="宋体"/>
          <w:sz w:val="24"/>
          <w:highlight w:val="none"/>
        </w:rPr>
        <w:t>方式：</w:t>
      </w:r>
      <w:r>
        <w:rPr>
          <w:rFonts w:hint="eastAsia" w:ascii="宋体" w:hAnsi="宋体" w:cs="宋体"/>
          <w:sz w:val="24"/>
          <w:highlight w:val="none"/>
          <w:lang w:val="en-US" w:eastAsia="zh-CN"/>
        </w:rPr>
        <w:t>线下获取，</w:t>
      </w:r>
      <w:r>
        <w:rPr>
          <w:rFonts w:hint="eastAsia" w:ascii="宋体" w:hAnsi="宋体" w:eastAsia="宋体" w:cs="宋体"/>
          <w:sz w:val="24"/>
          <w:highlight w:val="none"/>
        </w:rPr>
        <w:t>凡有意参加者，持以下证件原件及加盖公章的</w:t>
      </w:r>
      <w:r>
        <w:rPr>
          <w:rFonts w:hint="eastAsia" w:ascii="宋体" w:hAnsi="宋体" w:cs="宋体"/>
          <w:sz w:val="24"/>
          <w:highlight w:val="none"/>
          <w:lang w:val="en-US" w:eastAsia="zh-CN"/>
        </w:rPr>
        <w:t>彩色</w:t>
      </w:r>
      <w:r>
        <w:rPr>
          <w:rFonts w:hint="eastAsia" w:ascii="宋体" w:hAnsi="宋体" w:eastAsia="宋体" w:cs="宋体"/>
          <w:sz w:val="24"/>
          <w:highlight w:val="none"/>
        </w:rPr>
        <w:t>复印件购买</w:t>
      </w:r>
      <w:r>
        <w:rPr>
          <w:rFonts w:hint="eastAsia" w:ascii="宋体" w:hAnsi="宋体" w:cs="宋体"/>
          <w:sz w:val="24"/>
          <w:highlight w:val="none"/>
          <w:lang w:val="en-US" w:eastAsia="zh-CN"/>
        </w:rPr>
        <w:t>磋商</w:t>
      </w:r>
      <w:r>
        <w:rPr>
          <w:rFonts w:hint="eastAsia" w:ascii="宋体" w:hAnsi="宋体" w:eastAsia="宋体" w:cs="宋体"/>
          <w:sz w:val="24"/>
          <w:highlight w:val="none"/>
        </w:rPr>
        <w:t>文件</w:t>
      </w:r>
      <w:r>
        <w:rPr>
          <w:rFonts w:hint="eastAsia" w:ascii="宋体" w:hAnsi="宋体" w:eastAsia="宋体" w:cs="宋体"/>
          <w:sz w:val="24"/>
          <w:highlight w:val="none"/>
          <w:lang w:eastAsia="zh-CN"/>
        </w:rPr>
        <w:t>：</w:t>
      </w:r>
    </w:p>
    <w:p>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（1）营业执照；</w:t>
      </w:r>
    </w:p>
    <w:p>
      <w:pPr>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w:t>
      </w:r>
      <w:r>
        <w:rPr>
          <w:rFonts w:hint="eastAsia" w:ascii="宋体" w:hAnsi="宋体" w:cs="宋体"/>
          <w:sz w:val="24"/>
          <w:highlight w:val="none"/>
          <w:lang w:val="en-US" w:eastAsia="zh-CN"/>
        </w:rPr>
        <w:t>《医疗器械经营许可证》或《医疗器械经营备案凭证》；</w:t>
      </w:r>
    </w:p>
    <w:p>
      <w:pPr>
        <w:spacing w:line="360" w:lineRule="auto"/>
        <w:ind w:firstLine="480" w:firstLineChars="200"/>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（3）</w:t>
      </w:r>
      <w:r>
        <w:rPr>
          <w:rFonts w:hint="eastAsia" w:ascii="宋体" w:hAnsi="宋体" w:cs="宋体"/>
          <w:sz w:val="24"/>
          <w:highlight w:val="none"/>
          <w:lang w:val="en-US" w:eastAsia="zh-CN"/>
        </w:rPr>
        <w:t>磋商产品的《中华人民共和国医疗器械注册证》或《医疗器械备案凭证》；</w:t>
      </w:r>
    </w:p>
    <w:p>
      <w:pPr>
        <w:spacing w:line="360" w:lineRule="auto"/>
        <w:ind w:firstLine="480" w:firstLineChars="200"/>
        <w:rPr>
          <w:rFonts w:hint="default" w:ascii="宋体" w:hAnsi="宋体" w:eastAsia="宋体" w:cs="宋体"/>
          <w:b w:val="0"/>
          <w:bCs w:val="0"/>
          <w:kern w:val="2"/>
          <w:sz w:val="24"/>
          <w:szCs w:val="24"/>
          <w:highlight w:val="none"/>
          <w:lang w:val="en-US" w:eastAsia="zh-CN" w:bidi="ar-SA"/>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rPr>
        <w:t>202</w:t>
      </w:r>
      <w:r>
        <w:rPr>
          <w:rFonts w:hint="eastAsia" w:ascii="宋体" w:hAnsi="宋体" w:cs="宋体"/>
          <w:sz w:val="24"/>
          <w:highlight w:val="none"/>
          <w:lang w:val="en-US" w:eastAsia="zh-CN"/>
        </w:rPr>
        <w:t>2</w:t>
      </w:r>
      <w:r>
        <w:rPr>
          <w:rFonts w:hint="eastAsia" w:ascii="宋体" w:hAnsi="宋体" w:cs="宋体"/>
          <w:sz w:val="24"/>
          <w:highlight w:val="none"/>
        </w:rPr>
        <w:t>年内任意一个月依法缴纳税收和社会保障资金的相关证明材料；</w:t>
      </w:r>
    </w:p>
    <w:p>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）针对本项目及对应编号法人授权委托书、委托代理人身份证；</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6</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法人身份证明书（附法人身份证正反面）</w:t>
      </w:r>
      <w:r>
        <w:rPr>
          <w:rFonts w:hint="eastAsia" w:ascii="宋体" w:hAnsi="宋体" w:cs="宋体"/>
          <w:sz w:val="24"/>
          <w:highlight w:val="none"/>
          <w:lang w:val="en-US"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4、售价：</w:t>
      </w:r>
      <w:r>
        <w:rPr>
          <w:rFonts w:hint="eastAsia" w:ascii="宋体" w:hAnsi="宋体" w:cs="宋体"/>
          <w:sz w:val="24"/>
          <w:highlight w:val="none"/>
          <w:lang w:val="en-US" w:eastAsia="zh-CN"/>
        </w:rPr>
        <w:t>磋商文件600元/套，过期不售，售后不退</w:t>
      </w:r>
      <w:r>
        <w:rPr>
          <w:rFonts w:hint="eastAsia" w:ascii="宋体" w:hAnsi="宋体" w:cs="宋体"/>
          <w:sz w:val="24"/>
          <w:highlight w:val="none"/>
        </w:rPr>
        <w:t>。</w:t>
      </w:r>
    </w:p>
    <w:p>
      <w:pPr>
        <w:keepNext/>
        <w:keepLines/>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sz w:val="24"/>
          <w:highlight w:val="none"/>
        </w:rPr>
      </w:pPr>
      <w:bookmarkStart w:id="13" w:name="_Toc28359015"/>
      <w:bookmarkStart w:id="14" w:name="_Toc28359092"/>
      <w:bookmarkStart w:id="15" w:name="_Toc35393801"/>
      <w:bookmarkStart w:id="16" w:name="_Toc35393632"/>
      <w:r>
        <w:rPr>
          <w:rFonts w:hint="eastAsia" w:ascii="宋体" w:hAnsi="宋体" w:cs="宋体"/>
          <w:b/>
          <w:sz w:val="24"/>
          <w:highlight w:val="none"/>
        </w:rPr>
        <w:t>四、响应文件提交</w:t>
      </w:r>
      <w:bookmarkEnd w:id="13"/>
      <w:bookmarkEnd w:id="14"/>
      <w:bookmarkEnd w:id="15"/>
      <w:bookmarkEnd w:id="16"/>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1、截止时间及磋商时间：202</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01</w:t>
      </w:r>
      <w:r>
        <w:rPr>
          <w:rFonts w:hint="eastAsia" w:ascii="宋体" w:hAnsi="宋体" w:cs="宋体"/>
          <w:sz w:val="24"/>
          <w:highlight w:val="none"/>
        </w:rPr>
        <w:t>日</w:t>
      </w:r>
      <w:r>
        <w:rPr>
          <w:rFonts w:hint="eastAsia" w:ascii="宋体" w:hAnsi="宋体" w:cs="宋体"/>
          <w:sz w:val="24"/>
          <w:highlight w:val="none"/>
          <w:lang w:val="en-US" w:eastAsia="zh-CN"/>
        </w:rPr>
        <w:t>09</w:t>
      </w:r>
      <w:r>
        <w:rPr>
          <w:rFonts w:hint="eastAsia" w:ascii="宋体" w:hAnsi="宋体" w:cs="宋体"/>
          <w:sz w:val="24"/>
          <w:highlight w:val="none"/>
        </w:rPr>
        <w:t>时</w:t>
      </w:r>
      <w:r>
        <w:rPr>
          <w:rFonts w:hint="eastAsia" w:ascii="宋体" w:hAnsi="宋体" w:cs="宋体"/>
          <w:sz w:val="24"/>
          <w:highlight w:val="none"/>
          <w:lang w:val="en-US" w:eastAsia="zh-CN"/>
        </w:rPr>
        <w:t>30</w:t>
      </w:r>
      <w:r>
        <w:rPr>
          <w:rFonts w:hint="eastAsia" w:ascii="宋体" w:hAnsi="宋体" w:cs="宋体"/>
          <w:sz w:val="24"/>
          <w:highlight w:val="none"/>
        </w:rPr>
        <w:t>分（北京时间）</w:t>
      </w:r>
    </w:p>
    <w:p>
      <w:pPr>
        <w:spacing w:line="360" w:lineRule="auto"/>
        <w:ind w:firstLine="480" w:firstLineChars="200"/>
        <w:rPr>
          <w:rFonts w:hint="eastAsia" w:ascii="宋体" w:hAnsi="宋体" w:eastAsia="宋体" w:cs="宋体"/>
          <w:sz w:val="24"/>
          <w:highlight w:val="yellow"/>
          <w:lang w:eastAsia="zh-CN"/>
        </w:rPr>
      </w:pPr>
      <w:r>
        <w:rPr>
          <w:rFonts w:hint="eastAsia" w:ascii="宋体" w:hAnsi="宋体" w:cs="宋体"/>
          <w:sz w:val="24"/>
          <w:highlight w:val="none"/>
        </w:rPr>
        <w:t>2、地点：</w:t>
      </w:r>
      <w:r>
        <w:rPr>
          <w:rFonts w:hint="eastAsia" w:ascii="宋体" w:hAnsi="宋体" w:cs="宋体"/>
          <w:sz w:val="24"/>
          <w:highlight w:val="none"/>
          <w:lang w:eastAsia="zh-CN"/>
        </w:rPr>
        <w:t>吉林省长春市南关区生态大街291号伟峰东第11号楼8楼805开标室</w:t>
      </w:r>
    </w:p>
    <w:p>
      <w:pPr>
        <w:spacing w:line="360" w:lineRule="auto"/>
        <w:rPr>
          <w:rFonts w:ascii="宋体" w:hAnsi="宋体" w:cs="宋体"/>
          <w:b/>
          <w:sz w:val="24"/>
          <w:highlight w:val="none"/>
        </w:rPr>
      </w:pPr>
      <w:r>
        <w:rPr>
          <w:rFonts w:hint="eastAsia" w:ascii="宋体" w:hAnsi="宋体" w:cs="宋体"/>
          <w:b/>
          <w:sz w:val="24"/>
          <w:highlight w:val="none"/>
        </w:rPr>
        <w:t>五、开启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1.时间：202</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01</w:t>
      </w:r>
      <w:r>
        <w:rPr>
          <w:rFonts w:hint="eastAsia" w:ascii="宋体" w:hAnsi="宋体" w:cs="宋体"/>
          <w:sz w:val="24"/>
          <w:highlight w:val="none"/>
        </w:rPr>
        <w:t>日</w:t>
      </w:r>
      <w:r>
        <w:rPr>
          <w:rFonts w:hint="eastAsia" w:ascii="宋体" w:hAnsi="宋体" w:cs="宋体"/>
          <w:sz w:val="24"/>
          <w:highlight w:val="none"/>
          <w:lang w:val="en-US" w:eastAsia="zh-CN"/>
        </w:rPr>
        <w:t>09</w:t>
      </w:r>
      <w:r>
        <w:rPr>
          <w:rFonts w:hint="eastAsia" w:ascii="宋体" w:hAnsi="宋体" w:cs="宋体"/>
          <w:sz w:val="24"/>
          <w:highlight w:val="none"/>
        </w:rPr>
        <w:t>时</w:t>
      </w:r>
      <w:r>
        <w:rPr>
          <w:rFonts w:hint="eastAsia" w:ascii="宋体" w:hAnsi="宋体" w:cs="宋体"/>
          <w:sz w:val="24"/>
          <w:highlight w:val="none"/>
          <w:lang w:val="en-US" w:eastAsia="zh-CN"/>
        </w:rPr>
        <w:t>30</w:t>
      </w:r>
      <w:r>
        <w:rPr>
          <w:rFonts w:hint="eastAsia" w:ascii="宋体" w:hAnsi="宋体" w:cs="宋体"/>
          <w:sz w:val="24"/>
          <w:highlight w:val="none"/>
        </w:rPr>
        <w:t>分（北京时间）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2.地点：</w:t>
      </w:r>
      <w:r>
        <w:rPr>
          <w:rFonts w:hint="eastAsia" w:ascii="宋体" w:hAnsi="宋体" w:cs="宋体"/>
          <w:sz w:val="24"/>
          <w:highlight w:val="none"/>
          <w:lang w:eastAsia="zh-CN"/>
        </w:rPr>
        <w:t>吉林省长春市南关区生态大街291号伟峰东第11号楼8楼805开标室</w:t>
      </w:r>
    </w:p>
    <w:p>
      <w:pPr>
        <w:spacing w:line="360" w:lineRule="auto"/>
        <w:rPr>
          <w:rFonts w:ascii="宋体" w:hAnsi="宋体" w:cs="宋体"/>
          <w:b/>
          <w:bCs/>
          <w:sz w:val="24"/>
          <w:highlight w:val="none"/>
        </w:rPr>
      </w:pPr>
      <w:bookmarkStart w:id="17" w:name="_Toc28359084"/>
      <w:bookmarkStart w:id="18" w:name="_Toc28359007"/>
      <w:bookmarkStart w:id="19" w:name="_Toc35393625"/>
      <w:bookmarkStart w:id="20" w:name="_Toc35393794"/>
      <w:r>
        <w:rPr>
          <w:rFonts w:hint="eastAsia" w:ascii="宋体" w:hAnsi="宋体" w:cs="宋体"/>
          <w:b/>
          <w:bCs/>
          <w:sz w:val="24"/>
          <w:highlight w:val="none"/>
        </w:rPr>
        <w:t>六、公告期限</w:t>
      </w:r>
      <w:bookmarkEnd w:id="17"/>
      <w:bookmarkEnd w:id="18"/>
      <w:bookmarkEnd w:id="19"/>
      <w:bookmarkEnd w:id="20"/>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bCs/>
          <w:sz w:val="24"/>
          <w:highlight w:val="none"/>
        </w:rPr>
      </w:pPr>
      <w:bookmarkStart w:id="21" w:name="_Toc35393626"/>
      <w:bookmarkStart w:id="22" w:name="_Toc35393795"/>
      <w:r>
        <w:rPr>
          <w:rFonts w:hint="eastAsia" w:ascii="宋体" w:hAnsi="宋体" w:cs="宋体"/>
          <w:b/>
          <w:bCs/>
          <w:sz w:val="24"/>
          <w:highlight w:val="none"/>
        </w:rPr>
        <w:t>七、其他补充事宜</w:t>
      </w:r>
      <w:bookmarkEnd w:id="21"/>
      <w:bookmarkEnd w:id="22"/>
    </w:p>
    <w:p>
      <w:pPr>
        <w:pageBreakBefore w:val="0"/>
        <w:kinsoku/>
        <w:wordWrap/>
        <w:overflowPunct/>
        <w:topLinePunct w:val="0"/>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bookmarkStart w:id="23" w:name="_Toc28359085"/>
      <w:bookmarkStart w:id="24" w:name="_Toc35393796"/>
      <w:bookmarkStart w:id="25" w:name="_Toc35393627"/>
      <w:bookmarkStart w:id="26" w:name="_Toc28359008"/>
      <w:r>
        <w:rPr>
          <w:rFonts w:hint="eastAsia" w:asciiTheme="majorEastAsia" w:hAnsiTheme="majorEastAsia" w:eastAsiaTheme="majorEastAsia" w:cstheme="majorEastAsia"/>
          <w:sz w:val="24"/>
          <w:szCs w:val="24"/>
          <w:lang w:val="en-US" w:eastAsia="zh-CN"/>
        </w:rPr>
        <w:t>1.供应商所提供的资格后审资料应满足采购文件要求，否则其投标将被拒绝；</w:t>
      </w:r>
    </w:p>
    <w:p>
      <w:pPr>
        <w:pageBreakBefore w:val="0"/>
        <w:kinsoku/>
        <w:wordWrap/>
        <w:overflowPunct/>
        <w:topLinePunct w:val="0"/>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2.逾期送达的或者未送达指定地点的响应文件，采购人不予受理；</w:t>
      </w:r>
    </w:p>
    <w:p>
      <w:pPr>
        <w:pageBreakBefore w:val="0"/>
        <w:kinsoku/>
        <w:wordWrap/>
        <w:overflowPunct/>
        <w:topLinePunct w:val="0"/>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3.有效递交响应文件的投标人不足三家时，采购人另行组织采购；</w:t>
      </w:r>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en-US" w:eastAsia="zh-CN"/>
        </w:rPr>
        <w:t>4.</w:t>
      </w:r>
      <w:r>
        <w:rPr>
          <w:rFonts w:hint="eastAsia" w:ascii="宋体" w:hAnsi="宋体" w:cs="宋体"/>
          <w:sz w:val="24"/>
          <w:highlight w:val="none"/>
          <w:lang w:val="zh-CN"/>
        </w:rPr>
        <w:t>本次</w:t>
      </w:r>
      <w:r>
        <w:rPr>
          <w:rFonts w:hint="eastAsia" w:ascii="宋体" w:hAnsi="宋体" w:cs="宋体"/>
          <w:sz w:val="24"/>
          <w:highlight w:val="none"/>
        </w:rPr>
        <w:t>竞争性磋商</w:t>
      </w:r>
      <w:r>
        <w:rPr>
          <w:rFonts w:hint="eastAsia" w:ascii="宋体" w:hAnsi="宋体" w:cs="宋体"/>
          <w:sz w:val="24"/>
          <w:highlight w:val="none"/>
          <w:lang w:val="zh-CN"/>
        </w:rPr>
        <w:t>公告在</w:t>
      </w:r>
      <w:r>
        <w:rPr>
          <w:rFonts w:hint="eastAsia" w:ascii="宋体" w:hAnsi="宋体" w:cs="宋体"/>
          <w:sz w:val="24"/>
          <w:highlight w:val="none"/>
          <w:u w:val="none"/>
          <w:lang w:val="zh-CN"/>
        </w:rPr>
        <w:t>中国政府采购网</w:t>
      </w:r>
      <w:r>
        <w:rPr>
          <w:rFonts w:hint="eastAsia" w:ascii="宋体" w:hAnsi="宋体" w:cs="宋体"/>
          <w:sz w:val="24"/>
          <w:highlight w:val="none"/>
          <w:lang w:val="zh-CN"/>
        </w:rPr>
        <w:t>上发布，其他网站转载无效。</w:t>
      </w:r>
    </w:p>
    <w:p>
      <w:pPr>
        <w:spacing w:line="360" w:lineRule="auto"/>
        <w:rPr>
          <w:rFonts w:ascii="宋体" w:hAnsi="宋体" w:cs="宋体"/>
          <w:b/>
          <w:bCs/>
          <w:sz w:val="24"/>
          <w:highlight w:val="none"/>
        </w:rPr>
      </w:pPr>
      <w:r>
        <w:rPr>
          <w:rFonts w:hint="eastAsia" w:ascii="宋体" w:hAnsi="宋体" w:cs="宋体"/>
          <w:b/>
          <w:bCs/>
          <w:sz w:val="24"/>
          <w:highlight w:val="none"/>
        </w:rPr>
        <w:t>八、对本次采购提出询问，请按以下方式联系</w:t>
      </w:r>
      <w:bookmarkEnd w:id="23"/>
      <w:bookmarkEnd w:id="24"/>
      <w:bookmarkEnd w:id="25"/>
      <w:bookmarkEnd w:id="26"/>
    </w:p>
    <w:p>
      <w:pPr>
        <w:spacing w:line="360" w:lineRule="auto"/>
        <w:ind w:firstLine="480" w:firstLineChars="200"/>
        <w:rPr>
          <w:rFonts w:ascii="宋体" w:hAnsi="宋体" w:cs="宋体"/>
          <w:sz w:val="24"/>
          <w:highlight w:val="none"/>
        </w:rPr>
      </w:pPr>
      <w:bookmarkStart w:id="27" w:name="_Toc35393806"/>
      <w:bookmarkStart w:id="28" w:name="_Toc28359096"/>
      <w:bookmarkStart w:id="29" w:name="_Toc28359019"/>
      <w:bookmarkStart w:id="30" w:name="_Toc35393637"/>
      <w:r>
        <w:rPr>
          <w:rFonts w:hint="eastAsia" w:ascii="宋体" w:hAnsi="宋体" w:cs="宋体"/>
          <w:sz w:val="24"/>
          <w:highlight w:val="none"/>
        </w:rPr>
        <w:t>1.采购人信息</w:t>
      </w:r>
      <w:bookmarkEnd w:id="27"/>
      <w:bookmarkEnd w:id="28"/>
      <w:bookmarkEnd w:id="29"/>
      <w:bookmarkEnd w:id="30"/>
    </w:p>
    <w:p>
      <w:pPr>
        <w:spacing w:line="360" w:lineRule="auto"/>
        <w:ind w:firstLine="480" w:firstLineChars="200"/>
        <w:rPr>
          <w:rFonts w:ascii="宋体" w:hAnsi="宋体" w:cs="宋体"/>
          <w:sz w:val="24"/>
          <w:highlight w:val="none"/>
        </w:rPr>
      </w:pPr>
      <w:bookmarkStart w:id="31" w:name="_Toc28359097"/>
      <w:bookmarkStart w:id="32" w:name="_Toc35393638"/>
      <w:bookmarkStart w:id="33" w:name="_Toc28359020"/>
      <w:bookmarkStart w:id="34" w:name="_Toc35393807"/>
      <w:r>
        <w:rPr>
          <w:rFonts w:hint="eastAsia" w:ascii="宋体" w:hAnsi="宋体" w:cs="宋体"/>
          <w:sz w:val="24"/>
          <w:highlight w:val="none"/>
          <w:lang w:val="zh-CN"/>
        </w:rPr>
        <w:t>名</w:t>
      </w:r>
      <w:r>
        <w:rPr>
          <w:rFonts w:hint="eastAsia" w:ascii="宋体" w:hAnsi="宋体" w:cs="宋体"/>
          <w:sz w:val="24"/>
          <w:highlight w:val="none"/>
        </w:rPr>
        <w:t xml:space="preserve">    </w:t>
      </w:r>
      <w:r>
        <w:rPr>
          <w:rFonts w:hint="eastAsia" w:ascii="宋体" w:hAnsi="宋体" w:cs="宋体"/>
          <w:sz w:val="24"/>
          <w:highlight w:val="none"/>
          <w:lang w:val="zh-CN"/>
        </w:rPr>
        <w:t>称：吉林大学第二医院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lang w:eastAsia="zh-CN"/>
        </w:rPr>
        <w:t>吉林省长春市南关区自强街 218 号</w:t>
      </w:r>
    </w:p>
    <w:p>
      <w:pPr>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联系方式：贾琼 0431-81137016</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2.采购代理机构信息</w:t>
      </w:r>
      <w:bookmarkEnd w:id="31"/>
      <w:bookmarkEnd w:id="32"/>
      <w:bookmarkEnd w:id="33"/>
      <w:bookmarkEnd w:id="34"/>
    </w:p>
    <w:p>
      <w:pPr>
        <w:spacing w:line="360" w:lineRule="auto"/>
        <w:ind w:firstLine="480" w:firstLineChars="200"/>
        <w:rPr>
          <w:rFonts w:hint="eastAsia" w:ascii="宋体" w:hAnsi="宋体" w:eastAsia="宋体" w:cs="宋体"/>
          <w:sz w:val="24"/>
          <w:highlight w:val="none"/>
          <w:lang w:eastAsia="zh-CN"/>
        </w:rPr>
      </w:pPr>
      <w:bookmarkStart w:id="35" w:name="_Toc28359021"/>
      <w:bookmarkStart w:id="36" w:name="_Toc28359098"/>
      <w:bookmarkStart w:id="37" w:name="_Toc35393808"/>
      <w:bookmarkStart w:id="38" w:name="_Toc35393639"/>
      <w:r>
        <w:rPr>
          <w:rFonts w:hint="eastAsia" w:ascii="宋体" w:hAnsi="宋体" w:cs="宋体"/>
          <w:sz w:val="24"/>
          <w:highlight w:val="none"/>
        </w:rPr>
        <w:t>名    称：</w:t>
      </w:r>
      <w:r>
        <w:rPr>
          <w:rFonts w:hint="eastAsia" w:ascii="宋体" w:hAnsi="宋体" w:eastAsia="宋体" w:cs="宋体"/>
          <w:bCs/>
          <w:sz w:val="24"/>
        </w:rPr>
        <w:t>北京典方建设工程咨询有限公司</w:t>
      </w:r>
    </w:p>
    <w:p>
      <w:pPr>
        <w:spacing w:line="360" w:lineRule="auto"/>
        <w:ind w:firstLine="480" w:firstLineChars="200"/>
        <w:rPr>
          <w:rFonts w:hint="eastAsia" w:ascii="宋体" w:hAnsi="宋体" w:eastAsia="宋体" w:cs="宋体"/>
          <w:bCs/>
          <w:sz w:val="24"/>
        </w:rPr>
      </w:pPr>
      <w:r>
        <w:rPr>
          <w:rFonts w:hint="eastAsia" w:ascii="宋体" w:hAnsi="宋体" w:cs="宋体"/>
          <w:sz w:val="24"/>
          <w:highlight w:val="none"/>
        </w:rPr>
        <w:t>地    址：</w:t>
      </w:r>
      <w:r>
        <w:rPr>
          <w:rFonts w:hint="eastAsia" w:ascii="宋体" w:hAnsi="宋体" w:eastAsia="宋体" w:cs="宋体"/>
          <w:bCs/>
          <w:sz w:val="24"/>
        </w:rPr>
        <w:t>吉林省长春市南关区生态大街291号伟峰东第11号楼8楼</w:t>
      </w:r>
    </w:p>
    <w:p>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联系方式：</w:t>
      </w:r>
      <w:r>
        <w:rPr>
          <w:rFonts w:hint="eastAsia" w:ascii="宋体" w:hAnsi="宋体" w:cs="宋体"/>
          <w:bCs/>
          <w:sz w:val="24"/>
          <w:lang w:val="en-US" w:eastAsia="zh-CN"/>
        </w:rPr>
        <w:t>刘天娇</w:t>
      </w:r>
      <w:r>
        <w:rPr>
          <w:rFonts w:hint="eastAsia" w:ascii="宋体" w:hAnsi="宋体" w:eastAsia="宋体" w:cs="宋体"/>
          <w:bCs/>
          <w:sz w:val="24"/>
        </w:rPr>
        <w:t>0431-81303606</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3.项目联系方式</w:t>
      </w:r>
      <w:bookmarkEnd w:id="35"/>
      <w:bookmarkEnd w:id="36"/>
      <w:bookmarkEnd w:id="37"/>
      <w:bookmarkEnd w:id="38"/>
    </w:p>
    <w:p>
      <w:pPr>
        <w:spacing w:line="360" w:lineRule="auto"/>
        <w:ind w:firstLine="480" w:firstLineChars="200"/>
        <w:rPr>
          <w:rFonts w:hint="eastAsia" w:ascii="宋体" w:hAnsi="宋体" w:eastAsia="宋体" w:cs="宋体"/>
          <w:bCs/>
          <w:sz w:val="24"/>
        </w:rPr>
      </w:pPr>
      <w:r>
        <w:rPr>
          <w:rFonts w:hint="eastAsia" w:ascii="宋体" w:hAnsi="宋体" w:cs="宋体"/>
          <w:sz w:val="24"/>
          <w:highlight w:val="none"/>
        </w:rPr>
        <w:t>项目联系人：</w:t>
      </w:r>
      <w:r>
        <w:rPr>
          <w:rFonts w:hint="eastAsia" w:ascii="宋体" w:hAnsi="宋体" w:eastAsia="宋体" w:cs="宋体"/>
          <w:bCs/>
          <w:sz w:val="24"/>
        </w:rPr>
        <w:t>刘天娇</w:t>
      </w:r>
    </w:p>
    <w:p>
      <w:pPr>
        <w:ind w:firstLine="480" w:firstLineChars="200"/>
        <w:rPr>
          <w:rFonts w:hint="eastAsia" w:ascii="宋体" w:hAnsi="宋体" w:eastAsia="宋体" w:cs="宋体"/>
          <w:bCs/>
          <w:sz w:val="24"/>
        </w:rPr>
      </w:pPr>
      <w:r>
        <w:rPr>
          <w:rFonts w:hint="eastAsia" w:ascii="宋体" w:hAnsi="宋体" w:cs="宋体"/>
          <w:sz w:val="24"/>
          <w:highlight w:val="none"/>
        </w:rPr>
        <w:t>电　　 话：</w:t>
      </w:r>
      <w:r>
        <w:rPr>
          <w:rFonts w:hint="eastAsia" w:ascii="宋体" w:hAnsi="宋体" w:eastAsia="宋体" w:cs="宋体"/>
          <w:bCs/>
          <w:sz w:val="24"/>
        </w:rPr>
        <w:t>0431-81303606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2MzZGVkMDcxZGY0Y2JhZTM3ZTg5YzM0NjExOGMifQ=="/>
  </w:docVars>
  <w:rsids>
    <w:rsidRoot w:val="13E974E4"/>
    <w:rsid w:val="13E974E4"/>
    <w:rsid w:val="67917B37"/>
    <w:rsid w:val="69931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kern w:val="44"/>
      <w:sz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44"/>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2022-10-20T02:14:00Z</dcterms:created>
  <dc:creator>王明新的WPS</dc:creator>
  <cp:lastModifiedBy>王明新的WPS</cp:lastModifiedBy>
  <dcterms:modified xsi:type="dcterms:W3CDTF">2022-10-20T02:30:41Z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8907458EA74D406E9B14AFC15EFDC7BC</vt:lpwstr>
  </property>
</Properties>
</file>