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240" w:after="240"/>
        <w:rPr>
          <w:rFonts w:ascii="Times New Roman"/>
        </w:rPr>
      </w:pPr>
      <w:bookmarkStart w:id="0" w:name="_Toc205791818"/>
      <w:bookmarkStart w:id="1" w:name="_Toc207677071"/>
      <w:bookmarkStart w:id="2" w:name="_Toc207697864"/>
      <w:bookmarkStart w:id="3" w:name="_Toc213144392"/>
      <w:bookmarkStart w:id="4" w:name="_Toc193735713"/>
      <w:bookmarkStart w:id="5" w:name="_Toc428787350"/>
      <w:bookmarkStart w:id="6" w:name="_Toc363638290"/>
      <w:bookmarkStart w:id="7" w:name="_Toc474825558"/>
      <w:bookmarkStart w:id="41" w:name="_GoBack"/>
      <w:bookmarkEnd w:id="41"/>
      <w:r>
        <w:rPr>
          <w:rFonts w:ascii="Times New Roman"/>
        </w:rPr>
        <w:t>第一部分  磋商邀请</w:t>
      </w:r>
      <w:bookmarkEnd w:id="0"/>
      <w:bookmarkEnd w:id="1"/>
      <w:bookmarkEnd w:id="2"/>
      <w:bookmarkEnd w:id="3"/>
      <w:bookmarkEnd w:id="4"/>
      <w:bookmarkEnd w:id="5"/>
      <w:bookmarkEnd w:id="6"/>
      <w:bookmarkEnd w:id="7"/>
    </w:p>
    <w:p>
      <w:pPr>
        <w:pStyle w:val="28"/>
        <w:spacing w:before="0" w:beforeAutospacing="0" w:after="0" w:afterAutospacing="0" w:line="360" w:lineRule="auto"/>
        <w:ind w:left="105" w:leftChars="50" w:firstLine="480" w:firstLineChars="200"/>
        <w:rPr>
          <w:rFonts w:ascii="Times New Roman" w:hAnsi="Times New Roman"/>
          <w:szCs w:val="20"/>
        </w:rPr>
      </w:pPr>
      <w:r>
        <w:rPr>
          <w:rFonts w:ascii="Times New Roman" w:hAnsi="Times New Roman"/>
          <w:szCs w:val="20"/>
        </w:rPr>
        <w:t>北京华盛中天咨询有限责任公司</w:t>
      </w:r>
      <w:r>
        <w:rPr>
          <w:rFonts w:ascii="Times New Roman" w:hAnsi="Times New Roman"/>
        </w:rPr>
        <w:t>（以下简称“采购代理机构”）</w:t>
      </w:r>
      <w:r>
        <w:rPr>
          <w:rFonts w:ascii="Times New Roman" w:hAnsi="Times New Roman"/>
          <w:szCs w:val="20"/>
        </w:rPr>
        <w:t>受</w:t>
      </w:r>
      <w:r>
        <w:rPr>
          <w:rFonts w:ascii="Times New Roman" w:hAnsi="Times New Roman"/>
        </w:rPr>
        <w:t>中国医学科学院医学信息研究所（以下简称“采购人”）的</w:t>
      </w:r>
      <w:r>
        <w:rPr>
          <w:rFonts w:ascii="Times New Roman" w:hAnsi="Times New Roman"/>
          <w:szCs w:val="20"/>
        </w:rPr>
        <w:t>委托</w:t>
      </w:r>
      <w:r>
        <w:rPr>
          <w:rFonts w:ascii="Times New Roman" w:hAnsi="Times New Roman"/>
        </w:rPr>
        <w:t>，</w:t>
      </w:r>
      <w:r>
        <w:rPr>
          <w:rFonts w:ascii="Times New Roman" w:hAnsi="Times New Roman"/>
          <w:szCs w:val="20"/>
        </w:rPr>
        <w:t>就</w:t>
      </w:r>
      <w:r>
        <w:rPr>
          <w:rFonts w:ascii="Times New Roman" w:hAnsi="Times New Roman"/>
        </w:rPr>
        <w:t>中国医学科学院医学信息研究所2022年开放获取资源数据采集与加工项目组织竞争性磋商，现诚邀具备相应资质的供应商前来参加</w:t>
      </w:r>
      <w:r>
        <w:rPr>
          <w:rFonts w:ascii="Times New Roman" w:hAnsi="Times New Roman"/>
          <w:kern w:val="2"/>
          <w:szCs w:val="20"/>
        </w:rPr>
        <w:t>。</w:t>
      </w:r>
    </w:p>
    <w:p>
      <w:pPr>
        <w:pStyle w:val="4"/>
        <w:ind w:firstLine="482"/>
        <w:rPr>
          <w:rFonts w:ascii="Times New Roman" w:hAnsi="Times New Roman"/>
        </w:rPr>
      </w:pPr>
      <w:bookmarkStart w:id="8" w:name="_Toc363638291"/>
      <w:bookmarkStart w:id="9" w:name="_Toc428787351"/>
      <w:bookmarkStart w:id="10" w:name="_Toc474825559"/>
      <w:r>
        <w:rPr>
          <w:rFonts w:ascii="Times New Roman" w:hAnsi="Times New Roman"/>
        </w:rPr>
        <w:t>1.1 磋商项目情况</w:t>
      </w:r>
      <w:bookmarkEnd w:id="8"/>
      <w:bookmarkEnd w:id="9"/>
      <w:bookmarkEnd w:id="10"/>
    </w:p>
    <w:p>
      <w:pPr>
        <w:pStyle w:val="28"/>
        <w:spacing w:before="0" w:beforeAutospacing="0" w:after="0" w:afterAutospacing="0" w:line="360" w:lineRule="auto"/>
        <w:ind w:firstLine="480" w:firstLineChars="200"/>
        <w:rPr>
          <w:rFonts w:ascii="Times New Roman" w:hAnsi="Times New Roman"/>
          <w:kern w:val="2"/>
        </w:rPr>
      </w:pPr>
      <w:r>
        <w:rPr>
          <w:rFonts w:ascii="Times New Roman" w:hAnsi="Times New Roman"/>
          <w:kern w:val="2"/>
        </w:rPr>
        <w:t>1.1.1 项目名称：</w:t>
      </w:r>
      <w:r>
        <w:rPr>
          <w:rFonts w:ascii="Times New Roman" w:hAnsi="Times New Roman"/>
        </w:rPr>
        <w:t>中国医学科学院医学信息研究所2022年开放获取资源数据采集与加工项目</w:t>
      </w:r>
    </w:p>
    <w:p>
      <w:pPr>
        <w:pStyle w:val="28"/>
        <w:spacing w:before="0" w:beforeAutospacing="0" w:after="0" w:afterAutospacing="0" w:line="360" w:lineRule="auto"/>
        <w:ind w:firstLine="480" w:firstLineChars="200"/>
        <w:rPr>
          <w:rFonts w:ascii="Times New Roman" w:hAnsi="Times New Roman"/>
          <w:szCs w:val="20"/>
        </w:rPr>
      </w:pPr>
      <w:r>
        <w:rPr>
          <w:rFonts w:ascii="Times New Roman" w:hAnsi="Times New Roman"/>
          <w:kern w:val="2"/>
        </w:rPr>
        <w:t>1.1.2 采购编号</w:t>
      </w:r>
      <w:r>
        <w:rPr>
          <w:rFonts w:ascii="Times New Roman" w:hAnsi="Times New Roman"/>
          <w:szCs w:val="20"/>
        </w:rPr>
        <w:t>：</w:t>
      </w:r>
      <w:r>
        <w:rPr>
          <w:rFonts w:hint="eastAsia" w:ascii="Times New Roman" w:hAnsi="Times New Roman"/>
          <w:szCs w:val="20"/>
        </w:rPr>
        <w:t>HSZT2022FC/169</w:t>
      </w:r>
    </w:p>
    <w:p>
      <w:pPr>
        <w:spacing w:line="360" w:lineRule="auto"/>
        <w:ind w:firstLine="480" w:firstLineChars="200"/>
        <w:rPr>
          <w:sz w:val="24"/>
        </w:rPr>
      </w:pPr>
      <w:r>
        <w:rPr>
          <w:sz w:val="24"/>
        </w:rPr>
        <w:t>1.1.3 项目预算：人民币</w:t>
      </w:r>
      <w:r>
        <w:rPr>
          <w:b/>
          <w:bCs/>
          <w:sz w:val="24"/>
          <w:u w:val="single"/>
        </w:rPr>
        <w:t>44</w:t>
      </w:r>
      <w:r>
        <w:rPr>
          <w:sz w:val="24"/>
        </w:rPr>
        <w:t>万元</w:t>
      </w:r>
    </w:p>
    <w:p>
      <w:pPr>
        <w:spacing w:line="360" w:lineRule="auto"/>
        <w:ind w:firstLine="1200" w:firstLineChars="500"/>
        <w:rPr>
          <w:sz w:val="24"/>
        </w:rPr>
      </w:pPr>
      <w:r>
        <w:rPr>
          <w:sz w:val="24"/>
        </w:rPr>
        <w:t>项目资金来源：财政资金</w:t>
      </w:r>
    </w:p>
    <w:p>
      <w:pPr>
        <w:spacing w:line="360" w:lineRule="auto"/>
        <w:ind w:firstLine="480" w:firstLineChars="200"/>
        <w:rPr>
          <w:sz w:val="24"/>
        </w:rPr>
      </w:pPr>
      <w:r>
        <w:rPr>
          <w:sz w:val="24"/>
        </w:rPr>
        <w:t>1.1.4 采购内容：</w:t>
      </w:r>
    </w:p>
    <w:p>
      <w:pPr>
        <w:pStyle w:val="6"/>
        <w:spacing w:line="360" w:lineRule="auto"/>
        <w:ind w:firstLine="480" w:firstLineChars="200"/>
        <w:rPr>
          <w:rFonts w:ascii="Times New Roman" w:hAnsi="Times New Roman"/>
          <w:kern w:val="2"/>
          <w:szCs w:val="24"/>
        </w:rPr>
      </w:pPr>
      <w:bookmarkStart w:id="11" w:name="_Toc363638292"/>
      <w:bookmarkStart w:id="12" w:name="_Toc428787352"/>
      <w:r>
        <w:rPr>
          <w:rFonts w:hint="eastAsia" w:ascii="Times New Roman" w:hAnsi="Times New Roman"/>
          <w:kern w:val="2"/>
          <w:szCs w:val="24"/>
        </w:rPr>
        <w:t>本次采购的主要内容为采购人遴选1家供应商提供</w:t>
      </w:r>
      <w:r>
        <w:rPr>
          <w:rFonts w:ascii="Times New Roman" w:hAnsi="Times New Roman"/>
          <w:kern w:val="2"/>
          <w:szCs w:val="24"/>
        </w:rPr>
        <w:t>开放资源的采集、相关对象的加工与组织、数据核查校验</w:t>
      </w:r>
      <w:r>
        <w:rPr>
          <w:rFonts w:hint="eastAsia" w:ascii="Times New Roman" w:hAnsi="Times New Roman"/>
          <w:kern w:val="2"/>
          <w:szCs w:val="24"/>
        </w:rPr>
        <w:t>等相关任务，</w:t>
      </w:r>
      <w:r>
        <w:rPr>
          <w:rFonts w:ascii="Times New Roman" w:hAnsi="Times New Roman"/>
          <w:kern w:val="2"/>
          <w:szCs w:val="24"/>
        </w:rPr>
        <w:t>具体内容及要求详见磋商文件</w:t>
      </w:r>
      <w:r>
        <w:fldChar w:fldCharType="begin"/>
      </w:r>
      <w:r>
        <w:instrText xml:space="preserve"> HYPERLINK \l "_Toc278115539" </w:instrText>
      </w:r>
      <w:r>
        <w:fldChar w:fldCharType="separate"/>
      </w:r>
      <w:r>
        <w:rPr>
          <w:rFonts w:ascii="Times New Roman" w:hAnsi="Times New Roman"/>
          <w:kern w:val="2"/>
          <w:szCs w:val="24"/>
        </w:rPr>
        <w:t>第三部分“采购内容及要求</w:t>
      </w:r>
      <w:r>
        <w:rPr>
          <w:rFonts w:ascii="Times New Roman" w:hAnsi="Times New Roman"/>
          <w:kern w:val="2"/>
          <w:szCs w:val="24"/>
        </w:rPr>
        <w:fldChar w:fldCharType="end"/>
      </w:r>
      <w:r>
        <w:rPr>
          <w:rFonts w:ascii="Times New Roman" w:hAnsi="Times New Roman"/>
          <w:kern w:val="2"/>
          <w:szCs w:val="24"/>
        </w:rPr>
        <w:t>”。</w:t>
      </w:r>
    </w:p>
    <w:p>
      <w:pPr>
        <w:pStyle w:val="4"/>
        <w:ind w:firstLine="482"/>
        <w:rPr>
          <w:rFonts w:ascii="Times New Roman" w:hAnsi="Times New Roman"/>
        </w:rPr>
      </w:pPr>
      <w:bookmarkStart w:id="13" w:name="_Toc474825560"/>
      <w:r>
        <w:rPr>
          <w:rFonts w:ascii="Times New Roman" w:hAnsi="Times New Roman"/>
        </w:rPr>
        <w:t>1.2 供应商资格</w:t>
      </w:r>
      <w:bookmarkEnd w:id="11"/>
      <w:bookmarkEnd w:id="12"/>
      <w:bookmarkEnd w:id="13"/>
    </w:p>
    <w:p>
      <w:pPr>
        <w:spacing w:line="360" w:lineRule="auto"/>
        <w:ind w:firstLine="480" w:firstLineChars="200"/>
        <w:rPr>
          <w:kern w:val="0"/>
          <w:sz w:val="24"/>
        </w:rPr>
      </w:pPr>
      <w:r>
        <w:rPr>
          <w:sz w:val="24"/>
        </w:rPr>
        <w:t>1.2.1 具备《政府采购法》第22条规定的必须具备的如下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spacing w:line="360" w:lineRule="auto"/>
        <w:ind w:firstLine="480" w:firstLineChars="200"/>
        <w:rPr>
          <w:kern w:val="0"/>
          <w:sz w:val="24"/>
        </w:rPr>
      </w:pPr>
      <w:bookmarkStart w:id="14" w:name="_Toc363638293"/>
      <w:bookmarkStart w:id="15" w:name="_Toc428787353"/>
      <w:r>
        <w:rPr>
          <w:sz w:val="24"/>
        </w:rPr>
        <w:t>1.2.2 截至响应文件递交截止时间前，供应商</w:t>
      </w:r>
      <w:r>
        <w:rPr>
          <w:kern w:val="0"/>
          <w:sz w:val="24"/>
        </w:rPr>
        <w:t>不能是被列入“信用中国”网站(www.creditchina.gov.cn)失信被执行人、重大税收违法案件当事人名单、以及“中国政府采购网”网站（www.ccgp.gov.cn）政府采购严重违法失信行为记录名单中被禁止参加1-3年政府采购活动的供应商（处罚期限尚未届满的）。</w:t>
      </w:r>
    </w:p>
    <w:p>
      <w:pPr>
        <w:spacing w:line="360" w:lineRule="auto"/>
        <w:ind w:firstLine="480" w:firstLineChars="200"/>
        <w:rPr>
          <w:kern w:val="0"/>
          <w:sz w:val="24"/>
        </w:rPr>
      </w:pPr>
      <w:r>
        <w:rPr>
          <w:kern w:val="0"/>
          <w:sz w:val="24"/>
        </w:rPr>
        <w:t>1.2.3 法定代表人为同一人或者存在直接控股、管理关系的不同供应商，不得共同参加本项目的磋商。违反上述规定的相关磋商均无效。</w:t>
      </w:r>
    </w:p>
    <w:p>
      <w:pPr>
        <w:widowControl/>
        <w:spacing w:line="360" w:lineRule="auto"/>
        <w:ind w:firstLine="480" w:firstLineChars="200"/>
        <w:jc w:val="left"/>
        <w:rPr>
          <w:kern w:val="0"/>
          <w:sz w:val="24"/>
        </w:rPr>
      </w:pPr>
      <w:bookmarkStart w:id="16" w:name="_Toc474825561"/>
      <w:r>
        <w:rPr>
          <w:kern w:val="0"/>
          <w:sz w:val="24"/>
        </w:rPr>
        <w:t>1.2.4 本项目不接受联合体投标。</w:t>
      </w:r>
    </w:p>
    <w:p>
      <w:pPr>
        <w:pStyle w:val="4"/>
        <w:ind w:firstLine="482"/>
        <w:rPr>
          <w:rFonts w:ascii="Times New Roman" w:hAnsi="Times New Roman"/>
        </w:rPr>
      </w:pPr>
      <w:r>
        <w:rPr>
          <w:rFonts w:ascii="Times New Roman" w:hAnsi="Times New Roman"/>
        </w:rPr>
        <w:t>1.3 竞争性磋商文件发售</w:t>
      </w:r>
      <w:bookmarkEnd w:id="14"/>
      <w:bookmarkEnd w:id="15"/>
      <w:bookmarkEnd w:id="16"/>
    </w:p>
    <w:p>
      <w:pPr>
        <w:spacing w:line="360" w:lineRule="auto"/>
        <w:ind w:firstLine="480" w:firstLineChars="200"/>
        <w:rPr>
          <w:kern w:val="0"/>
          <w:sz w:val="24"/>
        </w:rPr>
      </w:pPr>
      <w:r>
        <w:rPr>
          <w:sz w:val="24"/>
        </w:rPr>
        <w:t>1.3.1 供应商</w:t>
      </w:r>
      <w:r>
        <w:rPr>
          <w:kern w:val="0"/>
          <w:sz w:val="24"/>
        </w:rPr>
        <w:t>必须向采购代理机构购买竞争性磋商文件并登记备案，未向采购代理机构购买竞争性磋商文件并登记备案的供应商均无资格参加磋商。</w:t>
      </w:r>
    </w:p>
    <w:p>
      <w:pPr>
        <w:spacing w:line="360" w:lineRule="auto"/>
        <w:ind w:firstLine="480" w:firstLineChars="200"/>
        <w:rPr>
          <w:sz w:val="24"/>
        </w:rPr>
      </w:pPr>
      <w:r>
        <w:rPr>
          <w:sz w:val="24"/>
        </w:rPr>
        <w:t>1.3.2 集中发售时间：自2022年</w:t>
      </w:r>
      <w:r>
        <w:rPr>
          <w:rFonts w:hint="eastAsia"/>
          <w:sz w:val="24"/>
          <w:lang w:val="en-US" w:eastAsia="zh-CN"/>
        </w:rPr>
        <w:t>10</w:t>
      </w:r>
      <w:r>
        <w:rPr>
          <w:sz w:val="24"/>
        </w:rPr>
        <w:t>月</w:t>
      </w:r>
      <w:r>
        <w:rPr>
          <w:rFonts w:hint="eastAsia"/>
          <w:sz w:val="24"/>
          <w:lang w:val="en-US" w:eastAsia="zh-CN"/>
        </w:rPr>
        <w:t>21</w:t>
      </w:r>
      <w:r>
        <w:rPr>
          <w:sz w:val="24"/>
        </w:rPr>
        <w:t>日至2022年</w:t>
      </w:r>
      <w:r>
        <w:rPr>
          <w:rFonts w:hint="eastAsia"/>
          <w:sz w:val="24"/>
          <w:lang w:val="en-US" w:eastAsia="zh-CN"/>
        </w:rPr>
        <w:t>10</w:t>
      </w:r>
      <w:r>
        <w:rPr>
          <w:sz w:val="24"/>
        </w:rPr>
        <w:t>月</w:t>
      </w:r>
      <w:r>
        <w:rPr>
          <w:rFonts w:hint="eastAsia"/>
          <w:sz w:val="24"/>
          <w:lang w:val="en-US" w:eastAsia="zh-CN"/>
        </w:rPr>
        <w:t>27</w:t>
      </w:r>
      <w:r>
        <w:rPr>
          <w:sz w:val="24"/>
        </w:rPr>
        <w:t>日，每天上午9:00-11:30，下午13:30-16:00。</w:t>
      </w:r>
    </w:p>
    <w:p>
      <w:pPr>
        <w:spacing w:line="360" w:lineRule="auto"/>
        <w:ind w:firstLine="480" w:firstLineChars="200"/>
        <w:rPr>
          <w:sz w:val="24"/>
        </w:rPr>
      </w:pPr>
      <w:r>
        <w:rPr>
          <w:sz w:val="24"/>
        </w:rPr>
        <w:t>1.3.3 集中发售地点：北京市海淀区西直门北大街甲43号金运大厦B座1103室（西直门文慧桥西南角）。</w:t>
      </w:r>
    </w:p>
    <w:p>
      <w:pPr>
        <w:pStyle w:val="15"/>
        <w:spacing w:line="360" w:lineRule="auto"/>
        <w:ind w:firstLine="480" w:firstLineChars="200"/>
      </w:pPr>
      <w:r>
        <w:t>1.3.4竞争性磋商文件售价：人民币800元；若邮购，每份加收人民币 50 元，竞争性磋商文件售后不退。</w:t>
      </w:r>
    </w:p>
    <w:p>
      <w:pPr>
        <w:pStyle w:val="15"/>
        <w:spacing w:line="360" w:lineRule="auto"/>
        <w:ind w:firstLine="480" w:firstLineChars="200"/>
        <w:rPr>
          <w:b/>
          <w:bCs/>
        </w:rPr>
      </w:pPr>
      <w:r>
        <w:rPr>
          <w:szCs w:val="24"/>
        </w:rPr>
        <w:t>1.3.5 供应商在购买竞争性磋商文件时须向采购代理机构提供以下材料：（1）法人授权委托书复印件1份（须附法定代表人和授权代表身份证件复印件并加盖供应商公章）；（2）营业执照或法人证书复印件1份并加盖供应商公章。</w:t>
      </w:r>
      <w:r>
        <w:rPr>
          <w:b/>
          <w:bCs/>
          <w:szCs w:val="24"/>
        </w:rPr>
        <w:t>供应商</w:t>
      </w:r>
      <w:r>
        <w:rPr>
          <w:b/>
          <w:bCs/>
        </w:rPr>
        <w:t>通过邮件方式报名，除在邮件中提交前款要求提交的相关资料扫描件，还须在邮件中注明项目名称、采购编号、报名单位相关联系人、联系电话、电子邮箱、由报名单位公司账户汇出的加盖公章的汇款凭证扫描件或网上转账截图。</w:t>
      </w:r>
    </w:p>
    <w:p>
      <w:pPr>
        <w:pStyle w:val="4"/>
        <w:ind w:firstLine="482"/>
        <w:rPr>
          <w:rFonts w:ascii="Times New Roman" w:hAnsi="Times New Roman"/>
        </w:rPr>
      </w:pPr>
      <w:bookmarkStart w:id="17" w:name="_Toc363638294"/>
      <w:bookmarkStart w:id="18" w:name="_Toc428787354"/>
      <w:bookmarkStart w:id="19" w:name="_Toc474825562"/>
      <w:r>
        <w:rPr>
          <w:rFonts w:ascii="Times New Roman" w:hAnsi="Times New Roman"/>
        </w:rPr>
        <w:t xml:space="preserve">1.4 </w:t>
      </w:r>
      <w:bookmarkEnd w:id="17"/>
      <w:r>
        <w:rPr>
          <w:rFonts w:ascii="Times New Roman" w:hAnsi="Times New Roman"/>
        </w:rPr>
        <w:t>磋商</w:t>
      </w:r>
      <w:bookmarkEnd w:id="18"/>
      <w:bookmarkEnd w:id="19"/>
    </w:p>
    <w:p>
      <w:pPr>
        <w:pStyle w:val="15"/>
        <w:spacing w:line="360" w:lineRule="auto"/>
        <w:ind w:firstLine="480" w:firstLineChars="200"/>
        <w:rPr>
          <w:szCs w:val="24"/>
        </w:rPr>
      </w:pPr>
      <w:bookmarkStart w:id="20" w:name="_Toc428787355"/>
      <w:bookmarkStart w:id="21" w:name="_Toc363638295"/>
      <w:r>
        <w:t>1.4.1</w:t>
      </w:r>
      <w:r>
        <w:rPr>
          <w:szCs w:val="24"/>
        </w:rPr>
        <w:t>响应文件递交、截止的时间和地点</w:t>
      </w:r>
    </w:p>
    <w:p>
      <w:pPr>
        <w:pStyle w:val="15"/>
        <w:spacing w:line="360" w:lineRule="auto"/>
        <w:ind w:firstLine="480" w:firstLineChars="200"/>
        <w:rPr>
          <w:szCs w:val="24"/>
        </w:rPr>
      </w:pPr>
      <w:r>
        <w:t xml:space="preserve">1.4.1.1 </w:t>
      </w:r>
      <w:r>
        <w:rPr>
          <w:szCs w:val="24"/>
        </w:rPr>
        <w:t>递交时间：</w:t>
      </w:r>
      <w:r>
        <w:rPr>
          <w:szCs w:val="24"/>
          <w:u w:val="single"/>
        </w:rPr>
        <w:t>2022</w:t>
      </w:r>
      <w:r>
        <w:rPr>
          <w:szCs w:val="24"/>
        </w:rPr>
        <w:t>年</w:t>
      </w:r>
      <w:r>
        <w:rPr>
          <w:rFonts w:hint="eastAsia"/>
          <w:szCs w:val="24"/>
          <w:u w:val="single"/>
        </w:rPr>
        <w:t>10</w:t>
      </w:r>
      <w:r>
        <w:rPr>
          <w:szCs w:val="24"/>
        </w:rPr>
        <w:t>月</w:t>
      </w:r>
      <w:r>
        <w:rPr>
          <w:rFonts w:hint="eastAsia"/>
          <w:szCs w:val="24"/>
          <w:u w:val="single"/>
          <w:lang w:val="en-US" w:eastAsia="zh-CN"/>
        </w:rPr>
        <w:t>31</w:t>
      </w:r>
      <w:r>
        <w:rPr>
          <w:szCs w:val="24"/>
        </w:rPr>
        <w:t>日上午09:00-09:30。</w:t>
      </w:r>
    </w:p>
    <w:p>
      <w:pPr>
        <w:pStyle w:val="15"/>
        <w:spacing w:line="360" w:lineRule="auto"/>
        <w:ind w:firstLine="480" w:firstLineChars="200"/>
        <w:rPr>
          <w:szCs w:val="24"/>
        </w:rPr>
      </w:pPr>
      <w:r>
        <w:t xml:space="preserve">1.4.1.2 </w:t>
      </w:r>
      <w:r>
        <w:rPr>
          <w:szCs w:val="24"/>
        </w:rPr>
        <w:t>截止时间：</w:t>
      </w:r>
      <w:r>
        <w:rPr>
          <w:szCs w:val="24"/>
          <w:u w:val="single"/>
        </w:rPr>
        <w:t>2022</w:t>
      </w:r>
      <w:r>
        <w:rPr>
          <w:szCs w:val="24"/>
        </w:rPr>
        <w:t>年</w:t>
      </w:r>
      <w:r>
        <w:rPr>
          <w:rFonts w:hint="eastAsia"/>
          <w:szCs w:val="24"/>
          <w:u w:val="single"/>
        </w:rPr>
        <w:t>10</w:t>
      </w:r>
      <w:r>
        <w:rPr>
          <w:szCs w:val="24"/>
        </w:rPr>
        <w:t>月</w:t>
      </w:r>
      <w:r>
        <w:rPr>
          <w:rFonts w:hint="eastAsia"/>
          <w:szCs w:val="24"/>
          <w:u w:val="single"/>
          <w:lang w:val="en-US" w:eastAsia="zh-CN"/>
        </w:rPr>
        <w:t>31</w:t>
      </w:r>
      <w:r>
        <w:rPr>
          <w:szCs w:val="24"/>
        </w:rPr>
        <w:t>日上午09:30，超过截止时间递交响应文件将不予受理。</w:t>
      </w:r>
    </w:p>
    <w:p>
      <w:pPr>
        <w:pStyle w:val="15"/>
        <w:spacing w:line="360" w:lineRule="auto"/>
        <w:ind w:firstLine="480" w:firstLineChars="200"/>
        <w:rPr>
          <w:szCs w:val="24"/>
        </w:rPr>
      </w:pPr>
      <w:r>
        <w:t xml:space="preserve">1.4.1.3 </w:t>
      </w:r>
      <w:r>
        <w:rPr>
          <w:szCs w:val="24"/>
        </w:rPr>
        <w:t>递交地点：北京市海淀区西直门北大街甲43号金运大厦B座1103会议室。</w:t>
      </w:r>
    </w:p>
    <w:p>
      <w:pPr>
        <w:pStyle w:val="15"/>
        <w:spacing w:line="360" w:lineRule="auto"/>
        <w:ind w:firstLine="480" w:firstLineChars="200"/>
        <w:rPr>
          <w:szCs w:val="24"/>
        </w:rPr>
      </w:pPr>
      <w:r>
        <w:t xml:space="preserve">1.4.2 </w:t>
      </w:r>
      <w:r>
        <w:rPr>
          <w:szCs w:val="24"/>
        </w:rPr>
        <w:t>开启时间和地点</w:t>
      </w:r>
    </w:p>
    <w:p>
      <w:pPr>
        <w:pStyle w:val="15"/>
        <w:spacing w:line="360" w:lineRule="auto"/>
        <w:ind w:firstLine="480" w:firstLineChars="200"/>
        <w:rPr>
          <w:szCs w:val="24"/>
        </w:rPr>
      </w:pPr>
      <w:r>
        <w:t>1.4.2.1</w:t>
      </w:r>
      <w:r>
        <w:rPr>
          <w:szCs w:val="24"/>
        </w:rPr>
        <w:t>开启时间：</w:t>
      </w:r>
      <w:r>
        <w:rPr>
          <w:szCs w:val="24"/>
          <w:u w:val="single"/>
        </w:rPr>
        <w:t>2022</w:t>
      </w:r>
      <w:r>
        <w:rPr>
          <w:szCs w:val="24"/>
        </w:rPr>
        <w:t>年</w:t>
      </w:r>
      <w:r>
        <w:rPr>
          <w:rFonts w:hint="eastAsia"/>
          <w:szCs w:val="24"/>
          <w:u w:val="single"/>
        </w:rPr>
        <w:t>10</w:t>
      </w:r>
      <w:r>
        <w:rPr>
          <w:szCs w:val="24"/>
        </w:rPr>
        <w:t>月</w:t>
      </w:r>
      <w:r>
        <w:rPr>
          <w:rFonts w:hint="eastAsia"/>
          <w:szCs w:val="24"/>
          <w:u w:val="single"/>
          <w:lang w:val="en-US" w:eastAsia="zh-CN"/>
        </w:rPr>
        <w:t>31</w:t>
      </w:r>
      <w:r>
        <w:rPr>
          <w:szCs w:val="24"/>
        </w:rPr>
        <w:t>日上午09:30，届时请各</w:t>
      </w:r>
      <w:r>
        <w:t>供应商</w:t>
      </w:r>
      <w:r>
        <w:rPr>
          <w:szCs w:val="24"/>
        </w:rPr>
        <w:t>派代表出席磋商会议。</w:t>
      </w:r>
    </w:p>
    <w:p>
      <w:pPr>
        <w:pStyle w:val="15"/>
        <w:spacing w:line="360" w:lineRule="auto"/>
        <w:ind w:firstLine="480" w:firstLineChars="200"/>
        <w:rPr>
          <w:szCs w:val="24"/>
        </w:rPr>
      </w:pPr>
      <w:r>
        <w:t>1.4.2.2</w:t>
      </w:r>
      <w:r>
        <w:rPr>
          <w:szCs w:val="24"/>
        </w:rPr>
        <w:t>开启地点：北京市海淀区西直门北大街甲43号金运大厦B座1103会议室。</w:t>
      </w:r>
    </w:p>
    <w:p>
      <w:pPr>
        <w:pStyle w:val="4"/>
        <w:ind w:firstLine="482"/>
        <w:rPr>
          <w:rFonts w:ascii="Times New Roman" w:hAnsi="Times New Roman"/>
        </w:rPr>
      </w:pPr>
      <w:bookmarkStart w:id="22" w:name="_Toc474825563"/>
      <w:r>
        <w:rPr>
          <w:rFonts w:ascii="Times New Roman" w:hAnsi="Times New Roman"/>
        </w:rPr>
        <w:t>1.5 采购人相关情况</w:t>
      </w:r>
      <w:bookmarkEnd w:id="22"/>
    </w:p>
    <w:p>
      <w:pPr>
        <w:pStyle w:val="15"/>
        <w:spacing w:line="360" w:lineRule="auto"/>
        <w:ind w:firstLine="480" w:firstLineChars="200"/>
        <w:rPr>
          <w:szCs w:val="24"/>
        </w:rPr>
      </w:pPr>
      <w:bookmarkStart w:id="23" w:name="_Toc474825564"/>
      <w:r>
        <w:rPr>
          <w:szCs w:val="24"/>
        </w:rPr>
        <w:t>采购人名称：</w:t>
      </w:r>
      <w:r>
        <w:t>中国医学科学院医学信息研究所</w:t>
      </w:r>
    </w:p>
    <w:p>
      <w:pPr>
        <w:pStyle w:val="15"/>
        <w:spacing w:line="360" w:lineRule="auto"/>
        <w:ind w:firstLine="480" w:firstLineChars="200"/>
        <w:rPr>
          <w:u w:val="single"/>
        </w:rPr>
      </w:pPr>
      <w:r>
        <w:t>采购人地址</w:t>
      </w:r>
      <w:r>
        <w:rPr>
          <w:szCs w:val="24"/>
        </w:rPr>
        <w:t>：</w:t>
      </w:r>
      <w:r>
        <w:t>北京市朝阳区雅宝路3号</w:t>
      </w:r>
    </w:p>
    <w:p>
      <w:pPr>
        <w:pStyle w:val="15"/>
        <w:spacing w:line="360" w:lineRule="auto"/>
        <w:ind w:firstLine="480" w:firstLineChars="200"/>
        <w:rPr>
          <w:szCs w:val="24"/>
        </w:rPr>
      </w:pPr>
      <w:r>
        <w:rPr>
          <w:szCs w:val="24"/>
        </w:rPr>
        <w:t>采购人联系方式：刘老师   010-52328651</w:t>
      </w:r>
    </w:p>
    <w:p>
      <w:pPr>
        <w:pStyle w:val="4"/>
        <w:ind w:firstLine="482"/>
        <w:rPr>
          <w:rFonts w:ascii="Times New Roman" w:hAnsi="Times New Roman"/>
        </w:rPr>
      </w:pPr>
      <w:r>
        <w:rPr>
          <w:rFonts w:ascii="Times New Roman" w:hAnsi="Times New Roman"/>
        </w:rPr>
        <w:t>1.6 采购代理机构相关情况</w:t>
      </w:r>
      <w:bookmarkEnd w:id="20"/>
      <w:bookmarkEnd w:id="21"/>
      <w:bookmarkEnd w:id="23"/>
    </w:p>
    <w:p>
      <w:pPr>
        <w:spacing w:line="360" w:lineRule="auto"/>
        <w:ind w:left="1" w:firstLine="480" w:firstLineChars="200"/>
        <w:rPr>
          <w:sz w:val="24"/>
        </w:rPr>
      </w:pPr>
      <w:r>
        <w:rPr>
          <w:sz w:val="24"/>
        </w:rPr>
        <w:t>开户名称：北京华盛中天咨询有限责任公司</w:t>
      </w:r>
    </w:p>
    <w:p>
      <w:pPr>
        <w:spacing w:line="360" w:lineRule="auto"/>
        <w:ind w:left="1" w:firstLine="480" w:firstLineChars="200"/>
        <w:rPr>
          <w:sz w:val="24"/>
        </w:rPr>
      </w:pPr>
      <w:r>
        <w:rPr>
          <w:sz w:val="24"/>
        </w:rPr>
        <w:t>开户银行：中国民生银行北京西直门支行</w:t>
      </w:r>
    </w:p>
    <w:p>
      <w:pPr>
        <w:spacing w:line="360" w:lineRule="auto"/>
        <w:ind w:firstLine="480" w:firstLineChars="200"/>
        <w:rPr>
          <w:sz w:val="24"/>
        </w:rPr>
      </w:pPr>
      <w:r>
        <w:rPr>
          <w:sz w:val="24"/>
        </w:rPr>
        <w:t>银行账户：0123014170005724</w:t>
      </w:r>
    </w:p>
    <w:p>
      <w:pPr>
        <w:spacing w:line="360" w:lineRule="auto"/>
        <w:ind w:left="1" w:firstLine="480" w:firstLineChars="200"/>
        <w:rPr>
          <w:sz w:val="24"/>
        </w:rPr>
      </w:pPr>
      <w:bookmarkStart w:id="24" w:name="_Toc474825565"/>
      <w:bookmarkStart w:id="25" w:name="_Toc474755251"/>
      <w:bookmarkStart w:id="26" w:name="_Toc474755286"/>
      <w:bookmarkStart w:id="27" w:name="_Toc363638296"/>
      <w:bookmarkStart w:id="28" w:name="_Toc428787356"/>
      <w:bookmarkStart w:id="29" w:name="_Toc218315935"/>
      <w:r>
        <w:rPr>
          <w:sz w:val="24"/>
        </w:rPr>
        <w:t>邮政编码：100044</w:t>
      </w:r>
    </w:p>
    <w:p>
      <w:pPr>
        <w:spacing w:line="360" w:lineRule="auto"/>
        <w:ind w:left="1" w:firstLine="480" w:firstLineChars="200"/>
        <w:rPr>
          <w:sz w:val="24"/>
        </w:rPr>
      </w:pPr>
      <w:r>
        <w:rPr>
          <w:sz w:val="24"/>
        </w:rPr>
        <w:t>联 系 人：李福娟</w:t>
      </w:r>
    </w:p>
    <w:p>
      <w:pPr>
        <w:spacing w:line="360" w:lineRule="auto"/>
        <w:ind w:left="1" w:firstLine="480" w:firstLineChars="200"/>
        <w:rPr>
          <w:sz w:val="24"/>
        </w:rPr>
      </w:pPr>
      <w:r>
        <w:rPr>
          <w:sz w:val="24"/>
        </w:rPr>
        <w:t>电    话：010-62278948-626</w:t>
      </w:r>
    </w:p>
    <w:p>
      <w:pPr>
        <w:spacing w:line="360" w:lineRule="auto"/>
        <w:ind w:left="1" w:firstLine="480" w:firstLineChars="200"/>
        <w:rPr>
          <w:sz w:val="24"/>
        </w:rPr>
      </w:pPr>
      <w:r>
        <w:rPr>
          <w:sz w:val="24"/>
        </w:rPr>
        <w:t>传    真：010-62277461</w:t>
      </w:r>
    </w:p>
    <w:p>
      <w:pPr>
        <w:spacing w:line="360" w:lineRule="auto"/>
        <w:ind w:left="1" w:firstLine="480" w:firstLineChars="200"/>
        <w:rPr>
          <w:sz w:val="24"/>
        </w:rPr>
      </w:pPr>
      <w:r>
        <w:rPr>
          <w:sz w:val="24"/>
        </w:rPr>
        <w:t>电子邮箱：hsztzbdl@126.com</w:t>
      </w:r>
    </w:p>
    <w:p>
      <w:pPr>
        <w:pStyle w:val="4"/>
        <w:ind w:firstLine="482"/>
        <w:rPr>
          <w:rFonts w:ascii="Times New Roman" w:hAnsi="Times New Roman"/>
        </w:rPr>
      </w:pPr>
      <w:r>
        <w:rPr>
          <w:rFonts w:ascii="Times New Roman" w:hAnsi="Times New Roman"/>
        </w:rPr>
        <w:t xml:space="preserve">1.7 </w:t>
      </w:r>
      <w:r>
        <w:rPr>
          <w:rFonts w:ascii="Times New Roman" w:hAnsi="Times New Roman"/>
          <w:bCs/>
        </w:rPr>
        <w:t>采购项目需要落实的政府采购政策</w:t>
      </w:r>
      <w:bookmarkEnd w:id="24"/>
      <w:bookmarkEnd w:id="25"/>
      <w:bookmarkEnd w:id="26"/>
    </w:p>
    <w:p>
      <w:pPr>
        <w:pStyle w:val="15"/>
        <w:spacing w:line="360" w:lineRule="auto"/>
        <w:ind w:firstLine="480" w:firstLineChars="200"/>
        <w:rPr>
          <w:szCs w:val="24"/>
        </w:rPr>
      </w:pPr>
      <w:bookmarkStart w:id="30" w:name="_Hlk529968281"/>
      <w:bookmarkStart w:id="31" w:name="_Toc20169"/>
      <w:r>
        <w:rPr>
          <w:szCs w:val="24"/>
        </w:rPr>
        <w:t>1.7.1 促进中小企业发展有关政策</w:t>
      </w:r>
    </w:p>
    <w:p>
      <w:pPr>
        <w:pStyle w:val="15"/>
        <w:spacing w:line="360" w:lineRule="auto"/>
        <w:ind w:firstLine="480" w:firstLineChars="200"/>
        <w:rPr>
          <w:szCs w:val="24"/>
        </w:rPr>
      </w:pPr>
      <w:r>
        <w:rPr>
          <w:szCs w:val="24"/>
        </w:rPr>
        <w:t>若投标人属于中小微企业，可按照《关于进一步加大政府采购支持中小企业力度的通知》（财库〔2022〕19号）的规定享受优惠政策。</w:t>
      </w:r>
    </w:p>
    <w:p>
      <w:pPr>
        <w:pStyle w:val="15"/>
        <w:spacing w:line="360" w:lineRule="auto"/>
        <w:ind w:firstLine="480" w:firstLineChars="200"/>
        <w:rPr>
          <w:szCs w:val="24"/>
        </w:rPr>
      </w:pPr>
      <w:r>
        <w:rPr>
          <w:szCs w:val="24"/>
        </w:rPr>
        <w:t>投标人根据《工业和信息化部、国家统计局、国家发展和改革委员会、财政部关于印发中小企业划型标准规定的通知》（工信部联企业[2011]300号）确定企业类型；也可在工业和信息化部网站（https://www.miit.gov.cn/）的“中小企业规模类型自测小程序”自助查询到企业类型。</w:t>
      </w:r>
    </w:p>
    <w:p>
      <w:pPr>
        <w:pStyle w:val="15"/>
        <w:spacing w:line="360" w:lineRule="auto"/>
        <w:ind w:firstLine="480" w:firstLineChars="200"/>
        <w:rPr>
          <w:szCs w:val="24"/>
        </w:rPr>
      </w:pPr>
      <w:r>
        <w:rPr>
          <w:szCs w:val="24"/>
        </w:rPr>
        <w:t>享受中小企业扶持政策获得政府采购合同的，小微企业不得将合同分包给大中型企业，中型企业不得将合同分包给大型企业。</w:t>
      </w:r>
    </w:p>
    <w:p>
      <w:pPr>
        <w:pStyle w:val="15"/>
        <w:spacing w:line="360" w:lineRule="auto"/>
        <w:ind w:firstLine="480" w:firstLineChars="200"/>
        <w:rPr>
          <w:szCs w:val="24"/>
        </w:rPr>
      </w:pPr>
      <w:r>
        <w:rPr>
          <w:szCs w:val="24"/>
        </w:rPr>
        <w:t>1.7.2 促进残疾人就业、监狱企业有关政策</w:t>
      </w:r>
    </w:p>
    <w:p>
      <w:pPr>
        <w:pStyle w:val="15"/>
        <w:spacing w:line="360" w:lineRule="auto"/>
        <w:ind w:firstLine="480" w:firstLineChars="200"/>
        <w:rPr>
          <w:szCs w:val="24"/>
        </w:rPr>
      </w:pPr>
      <w:r>
        <w:rPr>
          <w:szCs w:val="24"/>
        </w:rPr>
        <w:t>根据《财政部 民政部 中国残疾人联合会关于促进残疾人就业政府采购政策的通知》（财库〔2017〕141号）的规定属于残疾人福利性单位的，或根据《财政部 司法部关于政府采购支持监狱企业发展有关问题的通知》（财库〔2014〕68号）的规定属于监狱企业的（由省级以上监狱管理局、戒毒管理局（含新疆生产建设兵团）出具的属于监狱企业的证明文件），视同为小型、微型企业。</w:t>
      </w:r>
    </w:p>
    <w:bookmarkEnd w:id="30"/>
    <w:p>
      <w:pPr>
        <w:pStyle w:val="15"/>
        <w:spacing w:line="360" w:lineRule="auto"/>
        <w:ind w:firstLine="480" w:firstLineChars="200"/>
        <w:rPr>
          <w:szCs w:val="24"/>
        </w:rPr>
      </w:pPr>
      <w:r>
        <w:rPr>
          <w:szCs w:val="24"/>
        </w:rPr>
        <w:t>1.7.3 节能环保要求</w:t>
      </w:r>
    </w:p>
    <w:p>
      <w:pPr>
        <w:pStyle w:val="15"/>
        <w:spacing w:line="360" w:lineRule="auto"/>
        <w:ind w:firstLine="480" w:firstLineChars="200"/>
        <w:rPr>
          <w:szCs w:val="24"/>
        </w:rPr>
      </w:pPr>
      <w:r>
        <w:rPr>
          <w:szCs w:val="24"/>
        </w:rPr>
        <w:t>1.7.3.1 鼓励节能政策</w:t>
      </w:r>
    </w:p>
    <w:p>
      <w:pPr>
        <w:pStyle w:val="15"/>
        <w:spacing w:line="360" w:lineRule="auto"/>
        <w:ind w:firstLine="480" w:firstLineChars="200"/>
        <w:rPr>
          <w:szCs w:val="24"/>
        </w:rPr>
      </w:pPr>
      <w:r>
        <w:rPr>
          <w:szCs w:val="24"/>
        </w:rPr>
        <w:t>在技术、服务等指标同等条件下，优先采购属于财库〔2019〕19号公布的节能产品政府采购品目清单中的产品。</w:t>
      </w:r>
    </w:p>
    <w:p>
      <w:pPr>
        <w:pStyle w:val="15"/>
        <w:spacing w:line="360" w:lineRule="auto"/>
        <w:ind w:firstLine="480" w:firstLineChars="200"/>
        <w:rPr>
          <w:szCs w:val="24"/>
        </w:rPr>
      </w:pPr>
      <w:r>
        <w:rPr>
          <w:szCs w:val="24"/>
        </w:rPr>
        <w:t>1.7.3.2 鼓励环保政策</w:t>
      </w:r>
    </w:p>
    <w:p>
      <w:pPr>
        <w:pStyle w:val="15"/>
        <w:spacing w:line="360" w:lineRule="auto"/>
        <w:ind w:firstLine="480" w:firstLineChars="200"/>
        <w:rPr>
          <w:szCs w:val="24"/>
        </w:rPr>
      </w:pPr>
      <w:r>
        <w:rPr>
          <w:szCs w:val="24"/>
        </w:rPr>
        <w:t>在性能、技术、服务等指标同等条件下，优先采购属于财库〔2019〕18号公布的环境标志产品政府采购品目清单中的产品。</w:t>
      </w:r>
    </w:p>
    <w:p>
      <w:pPr>
        <w:pStyle w:val="15"/>
        <w:spacing w:line="360" w:lineRule="auto"/>
        <w:ind w:firstLine="480" w:firstLineChars="200"/>
        <w:rPr>
          <w:szCs w:val="24"/>
        </w:rPr>
      </w:pPr>
      <w:r>
        <w:rPr>
          <w:szCs w:val="24"/>
        </w:rPr>
        <w:t>1.7.4 信息安全要求</w:t>
      </w:r>
    </w:p>
    <w:p>
      <w:pPr>
        <w:pStyle w:val="15"/>
        <w:spacing w:line="360" w:lineRule="auto"/>
        <w:ind w:firstLine="480" w:firstLineChars="200"/>
        <w:rPr>
          <w:szCs w:val="24"/>
        </w:rPr>
      </w:pPr>
      <w:r>
        <w:rPr>
          <w:szCs w:val="24"/>
        </w:rPr>
        <w:t>信息安全产品投标应符合《关于信息安全产品实施政府采购的通知》（财库【2010】48号）要求。</w:t>
      </w:r>
    </w:p>
    <w:p>
      <w:pPr>
        <w:pStyle w:val="4"/>
        <w:ind w:firstLine="482"/>
        <w:rPr>
          <w:rFonts w:ascii="Times New Roman" w:hAnsi="Times New Roman"/>
        </w:rPr>
      </w:pPr>
      <w:r>
        <w:rPr>
          <w:rFonts w:ascii="Times New Roman" w:hAnsi="Times New Roman"/>
        </w:rPr>
        <w:t>1.8其他</w:t>
      </w:r>
      <w:bookmarkEnd w:id="31"/>
    </w:p>
    <w:p>
      <w:pPr>
        <w:pStyle w:val="15"/>
        <w:spacing w:line="360" w:lineRule="auto"/>
        <w:ind w:firstLine="480" w:firstLineChars="200"/>
        <w:rPr>
          <w:szCs w:val="24"/>
        </w:rPr>
      </w:pPr>
      <w:r>
        <w:rPr>
          <w:szCs w:val="24"/>
        </w:rPr>
        <w:t>有新冠肺炎疫情接触史及身体发烧等症状的供应商代表无法进入开标现场，谢绝参与开标活动。请供应商代表自觉做好个人防护，必须佩戴口罩，听从工作人员引导，主动配合体温检测和安保人员组织的信息登记。若受新冠肺炎疫情和防控政策影响，开标安排有调整变化，我们将及时发布变更公告。</w:t>
      </w:r>
    </w:p>
    <w:p/>
    <w:p>
      <w:pPr>
        <w:pStyle w:val="3"/>
        <w:spacing w:before="240" w:after="240"/>
        <w:rPr>
          <w:rFonts w:ascii="Times New Roman"/>
        </w:rPr>
        <w:sectPr>
          <w:headerReference r:id="rId3" w:type="default"/>
          <w:footerReference r:id="rId4" w:type="default"/>
          <w:pgSz w:w="11904" w:h="16840"/>
          <w:pgMar w:top="1560" w:right="1600" w:bottom="280" w:left="1680" w:header="720" w:footer="720" w:gutter="0"/>
          <w:pgNumType w:start="1"/>
          <w:cols w:space="720" w:num="1"/>
        </w:sectPr>
      </w:pPr>
      <w:bookmarkStart w:id="32" w:name="_Toc474825566"/>
    </w:p>
    <w:bookmarkEnd w:id="27"/>
    <w:bookmarkEnd w:id="28"/>
    <w:bookmarkEnd w:id="29"/>
    <w:bookmarkEnd w:id="32"/>
    <w:p>
      <w:pPr>
        <w:pStyle w:val="3"/>
        <w:spacing w:before="240" w:after="240"/>
        <w:rPr>
          <w:rFonts w:ascii="Times New Roman"/>
        </w:rPr>
      </w:pPr>
      <w:bookmarkStart w:id="33" w:name="_Toc428787366"/>
      <w:bookmarkStart w:id="34" w:name="_Toc363638306"/>
      <w:bookmarkStart w:id="35" w:name="_Toc474825576"/>
      <w:bookmarkStart w:id="36" w:name="_Toc193735752"/>
      <w:bookmarkStart w:id="37" w:name="_Toc207677107"/>
      <w:bookmarkStart w:id="38" w:name="_Toc207697900"/>
      <w:bookmarkStart w:id="39" w:name="_Toc205791857"/>
      <w:bookmarkStart w:id="40" w:name="_Toc213144430"/>
      <w:r>
        <w:rPr>
          <w:rFonts w:ascii="Times New Roman"/>
        </w:rPr>
        <w:t>第三部分  采购内容及要求</w:t>
      </w:r>
      <w:bookmarkEnd w:id="33"/>
      <w:bookmarkEnd w:id="34"/>
      <w:bookmarkEnd w:id="35"/>
    </w:p>
    <w:p>
      <w:pPr>
        <w:keepNext/>
        <w:keepLines/>
        <w:adjustRightInd w:val="0"/>
        <w:spacing w:before="120" w:after="120" w:line="360" w:lineRule="auto"/>
        <w:ind w:firstLine="482" w:firstLineChars="200"/>
        <w:textAlignment w:val="baseline"/>
        <w:outlineLvl w:val="0"/>
        <w:rPr>
          <w:rFonts w:eastAsia="黑体"/>
          <w:b/>
          <w:bCs/>
          <w:kern w:val="0"/>
          <w:sz w:val="24"/>
        </w:rPr>
      </w:pPr>
      <w:r>
        <w:rPr>
          <w:rFonts w:eastAsia="黑体"/>
          <w:b/>
          <w:bCs/>
          <w:kern w:val="0"/>
          <w:sz w:val="24"/>
        </w:rPr>
        <w:t>3 任务总体说明</w:t>
      </w:r>
    </w:p>
    <w:p>
      <w:pPr>
        <w:adjustRightInd w:val="0"/>
        <w:spacing w:line="360" w:lineRule="auto"/>
        <w:ind w:left="1" w:firstLine="480" w:firstLineChars="200"/>
        <w:textAlignment w:val="baseline"/>
        <w:rPr>
          <w:bCs/>
          <w:kern w:val="0"/>
          <w:sz w:val="24"/>
          <w:szCs w:val="21"/>
        </w:rPr>
      </w:pPr>
      <w:r>
        <w:rPr>
          <w:bCs/>
          <w:kern w:val="0"/>
          <w:sz w:val="24"/>
          <w:szCs w:val="21"/>
        </w:rPr>
        <w:t>开放获取（OA）资源采集</w:t>
      </w:r>
      <w:r>
        <w:rPr>
          <w:rFonts w:hint="eastAsia"/>
          <w:bCs/>
          <w:kern w:val="0"/>
          <w:sz w:val="24"/>
          <w:szCs w:val="21"/>
        </w:rPr>
        <w:t>项目</w:t>
      </w:r>
      <w:r>
        <w:rPr>
          <w:bCs/>
          <w:kern w:val="0"/>
          <w:sz w:val="24"/>
          <w:szCs w:val="21"/>
        </w:rPr>
        <w:t>是遴选、采集和加工高质量的开放获取资源</w:t>
      </w:r>
      <w:r>
        <w:rPr>
          <w:rFonts w:hint="eastAsia"/>
          <w:bCs/>
          <w:kern w:val="0"/>
          <w:sz w:val="24"/>
          <w:szCs w:val="21"/>
        </w:rPr>
        <w:t>，以</w:t>
      </w:r>
      <w:r>
        <w:rPr>
          <w:bCs/>
          <w:kern w:val="0"/>
          <w:sz w:val="24"/>
          <w:szCs w:val="21"/>
        </w:rPr>
        <w:t>支持</w:t>
      </w:r>
      <w:r>
        <w:rPr>
          <w:rFonts w:hint="eastAsia"/>
          <w:bCs/>
          <w:kern w:val="0"/>
          <w:sz w:val="24"/>
          <w:szCs w:val="21"/>
        </w:rPr>
        <w:t>建立</w:t>
      </w:r>
      <w:r>
        <w:rPr>
          <w:bCs/>
          <w:kern w:val="0"/>
          <w:sz w:val="24"/>
          <w:szCs w:val="21"/>
        </w:rPr>
        <w:t>多层次应用的</w:t>
      </w:r>
      <w:r>
        <w:rPr>
          <w:rFonts w:hint="eastAsia"/>
          <w:bCs/>
          <w:kern w:val="0"/>
          <w:sz w:val="24"/>
          <w:szCs w:val="21"/>
        </w:rPr>
        <w:t>医学</w:t>
      </w:r>
      <w:r>
        <w:rPr>
          <w:bCs/>
          <w:kern w:val="0"/>
          <w:sz w:val="24"/>
          <w:szCs w:val="21"/>
        </w:rPr>
        <w:t>数字文献资源保障体系</w:t>
      </w:r>
      <w:r>
        <w:rPr>
          <w:rFonts w:hint="eastAsia"/>
          <w:bCs/>
          <w:kern w:val="0"/>
          <w:sz w:val="24"/>
          <w:szCs w:val="21"/>
        </w:rPr>
        <w:t>。</w:t>
      </w:r>
      <w:r>
        <w:rPr>
          <w:bCs/>
          <w:kern w:val="0"/>
          <w:sz w:val="24"/>
          <w:szCs w:val="21"/>
        </w:rPr>
        <w:t>2022年OA资源采集任务共包括三种类型资源，即OA期刊、OA会议、OA报告，并补充、更新和维护OA期刊资源的版权信息相关字段</w:t>
      </w:r>
      <w:r>
        <w:rPr>
          <w:rFonts w:hint="eastAsia"/>
          <w:bCs/>
          <w:kern w:val="0"/>
          <w:sz w:val="24"/>
          <w:szCs w:val="21"/>
        </w:rPr>
        <w:t>，保障采集元数据、PDF全文的即时性与完整性</w:t>
      </w:r>
      <w:r>
        <w:rPr>
          <w:bCs/>
          <w:kern w:val="0"/>
          <w:sz w:val="24"/>
          <w:szCs w:val="21"/>
        </w:rPr>
        <w:t>。开放获取资源具有多样性、异构性和物理分散性</w:t>
      </w:r>
      <w:r>
        <w:rPr>
          <w:rFonts w:hint="eastAsia"/>
          <w:bCs/>
          <w:kern w:val="0"/>
          <w:sz w:val="24"/>
          <w:szCs w:val="21"/>
        </w:rPr>
        <w:t>，因此</w:t>
      </w:r>
      <w:r>
        <w:rPr>
          <w:bCs/>
          <w:kern w:val="0"/>
          <w:sz w:val="24"/>
          <w:szCs w:val="21"/>
        </w:rPr>
        <w:t>需</w:t>
      </w:r>
      <w:r>
        <w:rPr>
          <w:rFonts w:hint="eastAsia"/>
          <w:bCs/>
          <w:kern w:val="0"/>
          <w:sz w:val="24"/>
          <w:szCs w:val="21"/>
        </w:rPr>
        <w:t>数据采集公司</w:t>
      </w:r>
      <w:r>
        <w:rPr>
          <w:bCs/>
          <w:kern w:val="0"/>
          <w:sz w:val="24"/>
          <w:szCs w:val="21"/>
        </w:rPr>
        <w:t>在采集源网址配置、复杂元数据项采集、资源相互关联等</w:t>
      </w:r>
      <w:r>
        <w:rPr>
          <w:rFonts w:hint="eastAsia"/>
          <w:bCs/>
          <w:kern w:val="0"/>
          <w:sz w:val="24"/>
          <w:szCs w:val="21"/>
        </w:rPr>
        <w:t>方面，具有较为丰富的</w:t>
      </w:r>
      <w:r>
        <w:rPr>
          <w:bCs/>
          <w:kern w:val="0"/>
          <w:sz w:val="24"/>
          <w:szCs w:val="21"/>
        </w:rPr>
        <w:t>文献资源采集经验</w:t>
      </w:r>
      <w:r>
        <w:rPr>
          <w:rFonts w:hint="eastAsia"/>
          <w:bCs/>
          <w:kern w:val="0"/>
          <w:sz w:val="24"/>
          <w:szCs w:val="21"/>
        </w:rPr>
        <w:t>。</w:t>
      </w:r>
      <w:r>
        <w:rPr>
          <w:bCs/>
          <w:kern w:val="0"/>
          <w:sz w:val="24"/>
          <w:szCs w:val="21"/>
        </w:rPr>
        <w:t>2022年开放资源采集工作。具体包括：</w:t>
      </w:r>
    </w:p>
    <w:p>
      <w:pPr>
        <w:keepNext/>
        <w:keepLines/>
        <w:adjustRightInd w:val="0"/>
        <w:spacing w:before="120" w:after="120" w:line="360" w:lineRule="auto"/>
        <w:ind w:firstLine="482" w:firstLineChars="200"/>
        <w:textAlignment w:val="baseline"/>
        <w:outlineLvl w:val="1"/>
        <w:rPr>
          <w:rFonts w:eastAsia="黑体"/>
          <w:b/>
          <w:bCs/>
          <w:kern w:val="0"/>
          <w:sz w:val="24"/>
        </w:rPr>
      </w:pPr>
      <w:r>
        <w:rPr>
          <w:rFonts w:eastAsia="黑体"/>
          <w:b/>
          <w:bCs/>
          <w:kern w:val="0"/>
          <w:sz w:val="24"/>
        </w:rPr>
        <w:t>3.1 采集资源的数量和品种</w:t>
      </w:r>
    </w:p>
    <w:p>
      <w:pPr>
        <w:spacing w:line="360" w:lineRule="auto"/>
        <w:ind w:firstLine="480" w:firstLineChars="200"/>
        <w:rPr>
          <w:sz w:val="24"/>
        </w:rPr>
      </w:pPr>
      <w:r>
        <w:rPr>
          <w:sz w:val="24"/>
        </w:rPr>
        <w:t>供应商须依据《国家科技图书文献中心开放资源元数据规范》以及《国家科技图书文献中心开放资源建设工作实施细则》的要求，按照本项目提供的开放资源加工任务清单：（1）完成OA期刊延续采集+新增推荐1708种，OA会议新增采集约250种（篇级总量不得少于24000篇），OA科技报告新增采集1500种；（2）新增、自创刊年开始采集医学领域重点发展学科OA期刊836种；（3）补齐已采集OA资源年代：原采集OA期刊中846种转OA起始年在2010年前，补充采集早期数据。</w:t>
      </w:r>
    </w:p>
    <w:p>
      <w:pPr>
        <w:spacing w:line="360" w:lineRule="auto"/>
        <w:ind w:firstLine="480" w:firstLineChars="200"/>
        <w:rPr>
          <w:sz w:val="24"/>
        </w:rPr>
      </w:pPr>
      <w:r>
        <w:rPr>
          <w:sz w:val="24"/>
        </w:rPr>
        <w:t>即，2022年共拟采集和加工2544种OA期刊及其元数据、全文数据，补充采集、加工846种OA期刊2010年之前的论文元数据及全文数据；采集、加工约250种（篇级总量不得少于24000篇）的OA会议论文元数据及全文数据；采集、加工1500种OA报告元数据及全文数据。供应商须保证元数据采集在品种、卷期、篇级三个层面的完整性和准确性、及时性</w:t>
      </w:r>
      <w:r>
        <w:rPr>
          <w:color w:val="000000"/>
          <w:sz w:val="24"/>
        </w:rPr>
        <w:t>，并分批按照指定格式向甲方提交书目数据及篇级数据，按照合同约定的时间节点完成全部采集与加工任务</w:t>
      </w:r>
      <w:r>
        <w:rPr>
          <w:sz w:val="24"/>
        </w:rPr>
        <w:t>。</w:t>
      </w:r>
    </w:p>
    <w:p>
      <w:pPr>
        <w:keepNext/>
        <w:keepLines/>
        <w:adjustRightInd w:val="0"/>
        <w:spacing w:before="120" w:after="120" w:line="360" w:lineRule="auto"/>
        <w:ind w:firstLine="482" w:firstLineChars="200"/>
        <w:textAlignment w:val="baseline"/>
        <w:outlineLvl w:val="1"/>
        <w:rPr>
          <w:rFonts w:eastAsia="黑体"/>
          <w:b/>
          <w:bCs/>
          <w:kern w:val="0"/>
          <w:sz w:val="24"/>
        </w:rPr>
      </w:pPr>
      <w:r>
        <w:rPr>
          <w:rFonts w:eastAsia="黑体"/>
          <w:b/>
          <w:bCs/>
          <w:kern w:val="0"/>
          <w:sz w:val="24"/>
        </w:rPr>
        <w:t>3.2 数据质量要求</w:t>
      </w:r>
    </w:p>
    <w:p>
      <w:pPr>
        <w:keepNext/>
        <w:keepLines/>
        <w:autoSpaceDE w:val="0"/>
        <w:autoSpaceDN w:val="0"/>
        <w:adjustRightInd w:val="0"/>
        <w:spacing w:line="360" w:lineRule="auto"/>
        <w:ind w:firstLine="482" w:firstLineChars="200"/>
        <w:jc w:val="left"/>
        <w:outlineLvl w:val="2"/>
        <w:rPr>
          <w:b/>
          <w:bCs/>
          <w:kern w:val="0"/>
          <w:sz w:val="24"/>
        </w:rPr>
      </w:pPr>
      <w:r>
        <w:rPr>
          <w:b/>
          <w:bCs/>
          <w:kern w:val="0"/>
          <w:sz w:val="24"/>
        </w:rPr>
        <w:t>3.2.1 元数据加工质量</w:t>
      </w:r>
    </w:p>
    <w:p>
      <w:pPr>
        <w:spacing w:line="360" w:lineRule="auto"/>
        <w:ind w:firstLine="480" w:firstLineChars="200"/>
        <w:rPr>
          <w:sz w:val="24"/>
        </w:rPr>
      </w:pPr>
      <w:r>
        <w:rPr>
          <w:sz w:val="24"/>
        </w:rPr>
        <w:t>供应商须严格按照《国家科技图书文献中心开放资源元数据规范》、《国家科技图书文献中心开放资源建设工作实施细则》(如果相关规范变更，以最新版为准)的要求，采集和提供篇级的元数据，保证文摘等必备字段全部采集，同时全部采集字段的格式需符合项目要求。例如“文摘为必备字段，若网页上不能用机器抓取到文摘元数据， 则打开PDF截取文摘，人工对文摘元数据信息进行补充。若网页和文章全文中都没有文摘，建议参照印文文献数据加工的要求摘取正文部分内容作为文摘，长度不少于30个字符。”</w:t>
      </w:r>
    </w:p>
    <w:p>
      <w:pPr>
        <w:spacing w:line="360" w:lineRule="auto"/>
        <w:ind w:firstLine="480" w:firstLineChars="200"/>
        <w:rPr>
          <w:sz w:val="24"/>
        </w:rPr>
      </w:pPr>
      <w:r>
        <w:rPr>
          <w:sz w:val="24"/>
        </w:rPr>
        <w:t>供应商须保障采集元数据的信息与资源原始网站一致和准确性。</w:t>
      </w:r>
    </w:p>
    <w:p>
      <w:pPr>
        <w:keepNext/>
        <w:keepLines/>
        <w:autoSpaceDE w:val="0"/>
        <w:autoSpaceDN w:val="0"/>
        <w:adjustRightInd w:val="0"/>
        <w:spacing w:line="360" w:lineRule="auto"/>
        <w:ind w:firstLine="482" w:firstLineChars="200"/>
        <w:jc w:val="left"/>
        <w:outlineLvl w:val="2"/>
        <w:rPr>
          <w:b/>
          <w:bCs/>
          <w:kern w:val="0"/>
          <w:sz w:val="24"/>
        </w:rPr>
      </w:pPr>
      <w:r>
        <w:rPr>
          <w:b/>
          <w:bCs/>
          <w:kern w:val="0"/>
          <w:sz w:val="24"/>
        </w:rPr>
        <w:t>3.2.2 篇级全文的采集</w:t>
      </w:r>
    </w:p>
    <w:p>
      <w:pPr>
        <w:spacing w:line="360" w:lineRule="auto"/>
        <w:ind w:firstLine="480" w:firstLineChars="200"/>
        <w:rPr>
          <w:sz w:val="24"/>
        </w:rPr>
      </w:pPr>
      <w:r>
        <w:rPr>
          <w:sz w:val="24"/>
        </w:rPr>
        <w:t>若期刊、会议</w:t>
      </w:r>
      <w:r>
        <w:rPr>
          <w:rFonts w:hint="eastAsia"/>
          <w:sz w:val="24"/>
        </w:rPr>
        <w:t>文集、科技报告</w:t>
      </w:r>
      <w:r>
        <w:rPr>
          <w:sz w:val="24"/>
        </w:rPr>
        <w:t>提供的是整本PDF下载，在采集篇级数据时，需对PDF按篇进行拆分。若资源正文为非PDF格式的原文采集，需转换为PDF保存后提交本项目。</w:t>
      </w:r>
    </w:p>
    <w:p>
      <w:pPr>
        <w:keepNext/>
        <w:keepLines/>
        <w:autoSpaceDE w:val="0"/>
        <w:autoSpaceDN w:val="0"/>
        <w:adjustRightInd w:val="0"/>
        <w:spacing w:line="360" w:lineRule="auto"/>
        <w:ind w:firstLine="482" w:firstLineChars="200"/>
        <w:jc w:val="left"/>
        <w:outlineLvl w:val="2"/>
        <w:rPr>
          <w:b/>
          <w:bCs/>
          <w:kern w:val="0"/>
          <w:sz w:val="24"/>
        </w:rPr>
      </w:pPr>
      <w:r>
        <w:rPr>
          <w:b/>
          <w:bCs/>
          <w:kern w:val="0"/>
          <w:sz w:val="24"/>
        </w:rPr>
        <w:t>3.2.3 期刊</w:t>
      </w:r>
      <w:r>
        <w:rPr>
          <w:rFonts w:hint="eastAsia"/>
          <w:b/>
          <w:bCs/>
          <w:kern w:val="0"/>
          <w:sz w:val="24"/>
        </w:rPr>
        <w:t>、会议文集</w:t>
      </w:r>
      <w:r>
        <w:rPr>
          <w:b/>
          <w:bCs/>
          <w:kern w:val="0"/>
          <w:sz w:val="24"/>
        </w:rPr>
        <w:t>篇级元数据与母体的挂接</w:t>
      </w:r>
    </w:p>
    <w:p>
      <w:pPr>
        <w:spacing w:line="360" w:lineRule="auto"/>
        <w:ind w:firstLine="480" w:firstLineChars="200"/>
        <w:rPr>
          <w:sz w:val="24"/>
        </w:rPr>
      </w:pPr>
      <w:r>
        <w:rPr>
          <w:sz w:val="24"/>
        </w:rPr>
        <w:t>供应商须确保期刊卷期</w:t>
      </w:r>
      <w:r>
        <w:rPr>
          <w:rFonts w:hint="eastAsia"/>
          <w:sz w:val="24"/>
        </w:rPr>
        <w:t>、会议文集与对应的</w:t>
      </w:r>
      <w:r>
        <w:rPr>
          <w:sz w:val="24"/>
        </w:rPr>
        <w:t>篇级元数据与母体挂接正确。</w:t>
      </w:r>
    </w:p>
    <w:p>
      <w:pPr>
        <w:keepNext/>
        <w:keepLines/>
        <w:autoSpaceDE w:val="0"/>
        <w:autoSpaceDN w:val="0"/>
        <w:adjustRightInd w:val="0"/>
        <w:spacing w:line="360" w:lineRule="auto"/>
        <w:ind w:firstLine="482" w:firstLineChars="200"/>
        <w:jc w:val="left"/>
        <w:outlineLvl w:val="2"/>
        <w:rPr>
          <w:b/>
          <w:bCs/>
          <w:kern w:val="0"/>
          <w:sz w:val="24"/>
        </w:rPr>
      </w:pPr>
      <w:r>
        <w:rPr>
          <w:b/>
          <w:bCs/>
          <w:kern w:val="0"/>
          <w:sz w:val="24"/>
        </w:rPr>
        <w:t>3.2.4 数据完整性</w:t>
      </w:r>
    </w:p>
    <w:p>
      <w:pPr>
        <w:spacing w:line="360" w:lineRule="auto"/>
        <w:ind w:firstLine="480" w:firstLineChars="200"/>
        <w:rPr>
          <w:sz w:val="24"/>
        </w:rPr>
      </w:pPr>
      <w:r>
        <w:rPr>
          <w:sz w:val="24"/>
        </w:rPr>
        <w:t>须完整采集项目要求的</w:t>
      </w:r>
      <w:r>
        <w:rPr>
          <w:rFonts w:hint="eastAsia"/>
          <w:sz w:val="24"/>
        </w:rPr>
        <w:t>延续及新增采集1</w:t>
      </w:r>
      <w:r>
        <w:rPr>
          <w:sz w:val="24"/>
        </w:rPr>
        <w:t>708</w:t>
      </w:r>
      <w:r>
        <w:rPr>
          <w:rFonts w:hint="eastAsia"/>
          <w:sz w:val="24"/>
        </w:rPr>
        <w:t>种</w:t>
      </w:r>
      <w:r>
        <w:rPr>
          <w:sz w:val="24"/>
        </w:rPr>
        <w:t>2022年出版的全部卷期的篇级数据</w:t>
      </w:r>
      <w:r>
        <w:rPr>
          <w:rFonts w:hint="eastAsia"/>
          <w:sz w:val="24"/>
        </w:rPr>
        <w:t>；补充采集</w:t>
      </w:r>
      <w:r>
        <w:rPr>
          <w:sz w:val="24"/>
        </w:rPr>
        <w:t>846种转OA起始年在2010年前</w:t>
      </w:r>
      <w:r>
        <w:rPr>
          <w:rFonts w:hint="eastAsia"/>
          <w:sz w:val="24"/>
        </w:rPr>
        <w:t>的卷期数据；完整采集自创刊年起，836种医学领域重点发展学科OA期刊，</w:t>
      </w:r>
      <w:r>
        <w:rPr>
          <w:sz w:val="24"/>
        </w:rPr>
        <w:t>确保卷期的连续性和完整性；按照项目要求的文章类型（仅涵盖期刊中的学术论文；暂不采集期刊学术论文之前的编者按、社论、封面、目录、版权页、勘误、读者来信等信息），采集每一期期刊内的篇级数据，确保篇级数据的完整性。考虑到开放获取资源出版的动态变化，同一个卷期的篇数据是按不同时间更新，供应商须建立动态跟踪资源网站变化的技术和工作机制，跟踪采集已采集卷期最近新增的篇级数据。</w:t>
      </w:r>
    </w:p>
    <w:p>
      <w:pPr>
        <w:spacing w:line="360" w:lineRule="auto"/>
        <w:ind w:firstLine="480" w:firstLineChars="200"/>
        <w:rPr>
          <w:sz w:val="24"/>
        </w:rPr>
      </w:pPr>
      <w:r>
        <w:rPr>
          <w:rFonts w:hint="eastAsia"/>
          <w:sz w:val="24"/>
        </w:rPr>
        <w:t>须完整采集项目要求的会议文集，确保所有会议文集中收录全部篇级论文数据的采集完整性；须完整采集项目要求的所有科技报告数据，确保科技报告篇级数据、文摘数据等采集完整性。</w:t>
      </w:r>
    </w:p>
    <w:p>
      <w:pPr>
        <w:keepNext/>
        <w:keepLines/>
        <w:autoSpaceDE w:val="0"/>
        <w:autoSpaceDN w:val="0"/>
        <w:adjustRightInd w:val="0"/>
        <w:spacing w:line="360" w:lineRule="auto"/>
        <w:ind w:firstLine="482" w:firstLineChars="200"/>
        <w:jc w:val="left"/>
        <w:outlineLvl w:val="2"/>
        <w:rPr>
          <w:b/>
          <w:bCs/>
          <w:kern w:val="0"/>
          <w:sz w:val="24"/>
        </w:rPr>
      </w:pPr>
      <w:r>
        <w:rPr>
          <w:b/>
          <w:bCs/>
          <w:kern w:val="0"/>
          <w:sz w:val="24"/>
        </w:rPr>
        <w:t>3.2.5 数据查重</w:t>
      </w:r>
    </w:p>
    <w:p>
      <w:pPr>
        <w:spacing w:line="360" w:lineRule="auto"/>
        <w:ind w:firstLine="480" w:firstLineChars="200"/>
        <w:rPr>
          <w:sz w:val="24"/>
        </w:rPr>
      </w:pPr>
      <w:r>
        <w:rPr>
          <w:sz w:val="24"/>
        </w:rPr>
        <w:t>须建立对采集数据的查重机制，保证提交数据没有重复。</w:t>
      </w:r>
    </w:p>
    <w:p>
      <w:pPr>
        <w:keepNext/>
        <w:keepLines/>
        <w:autoSpaceDE w:val="0"/>
        <w:autoSpaceDN w:val="0"/>
        <w:adjustRightInd w:val="0"/>
        <w:spacing w:line="360" w:lineRule="auto"/>
        <w:ind w:firstLine="482" w:firstLineChars="200"/>
        <w:jc w:val="left"/>
        <w:outlineLvl w:val="2"/>
        <w:rPr>
          <w:b/>
          <w:bCs/>
          <w:kern w:val="0"/>
          <w:sz w:val="24"/>
        </w:rPr>
      </w:pPr>
      <w:r>
        <w:rPr>
          <w:b/>
          <w:bCs/>
          <w:kern w:val="0"/>
          <w:sz w:val="24"/>
        </w:rPr>
        <w:t>3.2.6 质量要求</w:t>
      </w:r>
    </w:p>
    <w:p>
      <w:pPr>
        <w:spacing w:line="360" w:lineRule="auto"/>
        <w:ind w:firstLine="480" w:firstLineChars="200"/>
        <w:rPr>
          <w:sz w:val="24"/>
        </w:rPr>
      </w:pPr>
      <w:r>
        <w:rPr>
          <w:sz w:val="24"/>
        </w:rPr>
        <w:t>根据上述的元数据质量要求，供应商须对采集的元数据先进行质量检查后，再提交本项目。交付数据的合格数据的比例应不低于95%。</w:t>
      </w:r>
    </w:p>
    <w:p>
      <w:pPr>
        <w:keepNext/>
        <w:keepLines/>
        <w:adjustRightInd w:val="0"/>
        <w:spacing w:before="120" w:after="120" w:line="360" w:lineRule="auto"/>
        <w:ind w:firstLine="482" w:firstLineChars="200"/>
        <w:textAlignment w:val="baseline"/>
        <w:outlineLvl w:val="1"/>
        <w:rPr>
          <w:rFonts w:eastAsia="黑体"/>
          <w:b/>
          <w:bCs/>
          <w:kern w:val="0"/>
          <w:sz w:val="24"/>
        </w:rPr>
      </w:pPr>
      <w:r>
        <w:rPr>
          <w:rFonts w:eastAsia="黑体"/>
          <w:b/>
          <w:bCs/>
          <w:kern w:val="0"/>
          <w:sz w:val="24"/>
        </w:rPr>
        <w:t>3.3</w:t>
      </w:r>
      <w:r>
        <w:rPr>
          <w:rFonts w:hint="eastAsia" w:eastAsia="黑体"/>
          <w:b/>
          <w:bCs/>
          <w:kern w:val="0"/>
          <w:sz w:val="24"/>
        </w:rPr>
        <w:t xml:space="preserve"> </w:t>
      </w:r>
      <w:r>
        <w:rPr>
          <w:rFonts w:eastAsia="黑体"/>
          <w:b/>
          <w:bCs/>
          <w:kern w:val="0"/>
          <w:sz w:val="24"/>
        </w:rPr>
        <w:t>数据交付周期和方式</w:t>
      </w:r>
    </w:p>
    <w:p>
      <w:pPr>
        <w:keepNext/>
        <w:keepLines/>
        <w:autoSpaceDE w:val="0"/>
        <w:autoSpaceDN w:val="0"/>
        <w:adjustRightInd w:val="0"/>
        <w:spacing w:line="360" w:lineRule="auto"/>
        <w:ind w:firstLine="482" w:firstLineChars="200"/>
        <w:jc w:val="left"/>
        <w:outlineLvl w:val="2"/>
        <w:rPr>
          <w:b/>
          <w:bCs/>
          <w:kern w:val="0"/>
          <w:sz w:val="24"/>
        </w:rPr>
      </w:pPr>
      <w:r>
        <w:rPr>
          <w:b/>
          <w:bCs/>
          <w:kern w:val="0"/>
          <w:sz w:val="24"/>
        </w:rPr>
        <w:t>3.3.1 交付周期</w:t>
      </w:r>
    </w:p>
    <w:p>
      <w:pPr>
        <w:spacing w:line="360" w:lineRule="auto"/>
        <w:ind w:firstLine="480" w:firstLineChars="200"/>
        <w:rPr>
          <w:sz w:val="24"/>
        </w:rPr>
      </w:pPr>
      <w:r>
        <w:rPr>
          <w:sz w:val="24"/>
        </w:rPr>
        <w:t>供应商至少每2周向本项目提供一个批次的所需采集开放资源的母体级与篇级元数据、全文数据</w:t>
      </w:r>
      <w:r>
        <w:rPr>
          <w:rFonts w:hint="eastAsia"/>
          <w:sz w:val="24"/>
        </w:rPr>
        <w:t>，</w:t>
      </w:r>
      <w:r>
        <w:rPr>
          <w:sz w:val="24"/>
        </w:rPr>
        <w:t>并且内容及格式符合需求方要求。提交数据的同时，需向本项目同时提交关于本批次数据的说明和统计信息。如果采集开放期刊的状态和网址有变化，需定期返回更新清单。供应商须在2022年12月31日前，至少交付</w:t>
      </w:r>
      <w:r>
        <w:rPr>
          <w:rFonts w:hint="eastAsia"/>
          <w:sz w:val="24"/>
        </w:rPr>
        <w:t>OA期刊</w:t>
      </w:r>
      <w:r>
        <w:rPr>
          <w:sz w:val="24"/>
        </w:rPr>
        <w:t>采集数据量的30%</w:t>
      </w:r>
      <w:r>
        <w:rPr>
          <w:rFonts w:hint="eastAsia"/>
          <w:sz w:val="24"/>
        </w:rPr>
        <w:t>，OA会议采集数据量1</w:t>
      </w:r>
      <w:r>
        <w:rPr>
          <w:sz w:val="24"/>
        </w:rPr>
        <w:t>00%； 2023年</w:t>
      </w:r>
      <w:r>
        <w:rPr>
          <w:rFonts w:hint="eastAsia"/>
          <w:sz w:val="24"/>
        </w:rPr>
        <w:t>4</w:t>
      </w:r>
      <w:r>
        <w:rPr>
          <w:sz w:val="24"/>
        </w:rPr>
        <w:t>月31日前</w:t>
      </w:r>
      <w:r>
        <w:rPr>
          <w:rFonts w:hint="eastAsia"/>
          <w:sz w:val="24"/>
        </w:rPr>
        <w:t>，</w:t>
      </w:r>
      <w:r>
        <w:rPr>
          <w:sz w:val="24"/>
        </w:rPr>
        <w:t>交付</w:t>
      </w:r>
      <w:r>
        <w:rPr>
          <w:rFonts w:hint="eastAsia"/>
          <w:sz w:val="24"/>
        </w:rPr>
        <w:t>OA期刊采集数据量的7</w:t>
      </w:r>
      <w:r>
        <w:rPr>
          <w:sz w:val="24"/>
        </w:rPr>
        <w:t>0%</w:t>
      </w:r>
      <w:r>
        <w:rPr>
          <w:rFonts w:hint="eastAsia"/>
          <w:sz w:val="24"/>
        </w:rPr>
        <w:t>，OA报告采集数据量的5</w:t>
      </w:r>
      <w:r>
        <w:rPr>
          <w:sz w:val="24"/>
        </w:rPr>
        <w:t>0%</w:t>
      </w:r>
      <w:r>
        <w:rPr>
          <w:rFonts w:hint="eastAsia"/>
          <w:sz w:val="24"/>
        </w:rPr>
        <w:t>，2</w:t>
      </w:r>
      <w:r>
        <w:rPr>
          <w:sz w:val="24"/>
        </w:rPr>
        <w:t>023</w:t>
      </w:r>
      <w:r>
        <w:rPr>
          <w:rFonts w:hint="eastAsia"/>
          <w:sz w:val="24"/>
        </w:rPr>
        <w:t>年6月3</w:t>
      </w:r>
      <w:r>
        <w:rPr>
          <w:sz w:val="24"/>
        </w:rPr>
        <w:t>0</w:t>
      </w:r>
      <w:r>
        <w:rPr>
          <w:rFonts w:hint="eastAsia"/>
          <w:sz w:val="24"/>
        </w:rPr>
        <w:t>日前，交付全部采集数据。</w:t>
      </w:r>
    </w:p>
    <w:p>
      <w:pPr>
        <w:keepNext/>
        <w:keepLines/>
        <w:autoSpaceDE w:val="0"/>
        <w:autoSpaceDN w:val="0"/>
        <w:adjustRightInd w:val="0"/>
        <w:spacing w:line="360" w:lineRule="auto"/>
        <w:ind w:firstLine="482" w:firstLineChars="200"/>
        <w:jc w:val="left"/>
        <w:outlineLvl w:val="2"/>
        <w:rPr>
          <w:b/>
          <w:bCs/>
          <w:kern w:val="0"/>
          <w:sz w:val="24"/>
        </w:rPr>
      </w:pPr>
      <w:r>
        <w:rPr>
          <w:b/>
          <w:bCs/>
          <w:kern w:val="0"/>
          <w:sz w:val="24"/>
        </w:rPr>
        <w:t>3.3.2 交付方式</w:t>
      </w:r>
    </w:p>
    <w:p>
      <w:pPr>
        <w:spacing w:line="360" w:lineRule="auto"/>
        <w:ind w:firstLine="480" w:firstLineChars="200"/>
        <w:rPr>
          <w:sz w:val="24"/>
        </w:rPr>
      </w:pPr>
      <w:r>
        <w:rPr>
          <w:sz w:val="24"/>
        </w:rPr>
        <w:t>供应商将提供的元数据压缩后上传到双方约定的服务器上，并通过电子邮件通知本项目约定的联络人。如出现质量问题，返工后的当期数据将另上传新的压缩文件，同时保留数据以该服务器上保存的数据为准。</w:t>
      </w:r>
    </w:p>
    <w:p>
      <w:pPr>
        <w:keepNext/>
        <w:keepLines/>
        <w:autoSpaceDE w:val="0"/>
        <w:autoSpaceDN w:val="0"/>
        <w:adjustRightInd w:val="0"/>
        <w:spacing w:line="360" w:lineRule="auto"/>
        <w:ind w:firstLine="482" w:firstLineChars="200"/>
        <w:jc w:val="left"/>
        <w:outlineLvl w:val="2"/>
        <w:rPr>
          <w:b/>
          <w:bCs/>
          <w:kern w:val="0"/>
          <w:sz w:val="24"/>
        </w:rPr>
      </w:pPr>
      <w:r>
        <w:rPr>
          <w:b/>
          <w:bCs/>
          <w:kern w:val="0"/>
          <w:sz w:val="24"/>
        </w:rPr>
        <w:t>3.3.3 质量检验</w:t>
      </w:r>
    </w:p>
    <w:p>
      <w:pPr>
        <w:spacing w:line="360" w:lineRule="auto"/>
        <w:ind w:firstLine="480" w:firstLineChars="200"/>
        <w:rPr>
          <w:sz w:val="24"/>
        </w:rPr>
      </w:pPr>
      <w:r>
        <w:rPr>
          <w:sz w:val="24"/>
        </w:rPr>
        <w:t>如果供应商提交的数据不符合质量要求（合格数据的比例低于95%），本项目有权要求供应商无偿返工修改，供应商应在收到项目修改通知后7个工作日内完成返工修改直到质量符合要求。</w:t>
      </w:r>
    </w:p>
    <w:p>
      <w:pPr>
        <w:spacing w:line="360" w:lineRule="auto"/>
        <w:ind w:firstLine="482" w:firstLineChars="200"/>
        <w:outlineLvl w:val="2"/>
        <w:rPr>
          <w:b/>
          <w:bCs/>
          <w:kern w:val="0"/>
          <w:sz w:val="24"/>
        </w:rPr>
      </w:pPr>
      <w:r>
        <w:rPr>
          <w:b/>
          <w:bCs/>
          <w:kern w:val="0"/>
          <w:sz w:val="24"/>
        </w:rPr>
        <w:t>3.3.4 工作月报</w:t>
      </w:r>
    </w:p>
    <w:p>
      <w:pPr>
        <w:spacing w:line="360" w:lineRule="auto"/>
        <w:ind w:firstLine="480" w:firstLineChars="200"/>
        <w:rPr>
          <w:sz w:val="24"/>
        </w:rPr>
      </w:pPr>
      <w:r>
        <w:rPr>
          <w:sz w:val="24"/>
        </w:rPr>
        <w:t>供应商须按项目要求的格式每月月初提供数据采集工作进展报告，包括采已集</w:t>
      </w:r>
      <w:r>
        <w:rPr>
          <w:rFonts w:hint="eastAsia"/>
          <w:sz w:val="24"/>
        </w:rPr>
        <w:t>资源</w:t>
      </w:r>
      <w:r>
        <w:rPr>
          <w:sz w:val="24"/>
        </w:rPr>
        <w:t>品种、卷期及篇级数据的数量、数据完整性核查情况、开放资源网址等其他信息变化情况。</w:t>
      </w:r>
    </w:p>
    <w:p>
      <w:pPr>
        <w:keepNext/>
        <w:keepLines/>
        <w:autoSpaceDE w:val="0"/>
        <w:autoSpaceDN w:val="0"/>
        <w:adjustRightInd w:val="0"/>
        <w:spacing w:line="360" w:lineRule="auto"/>
        <w:ind w:firstLine="482" w:firstLineChars="200"/>
        <w:jc w:val="left"/>
        <w:outlineLvl w:val="2"/>
        <w:rPr>
          <w:b/>
          <w:bCs/>
          <w:kern w:val="0"/>
          <w:sz w:val="24"/>
        </w:rPr>
      </w:pPr>
      <w:r>
        <w:rPr>
          <w:b/>
          <w:bCs/>
          <w:kern w:val="0"/>
          <w:sz w:val="24"/>
        </w:rPr>
        <w:t xml:space="preserve">3.3.5 </w:t>
      </w:r>
      <w:r>
        <w:rPr>
          <w:rFonts w:hint="eastAsia"/>
          <w:b/>
          <w:bCs/>
          <w:kern w:val="0"/>
          <w:sz w:val="24"/>
        </w:rPr>
        <w:t>数据统计与卷期核查</w:t>
      </w:r>
    </w:p>
    <w:p>
      <w:pPr>
        <w:spacing w:line="360" w:lineRule="auto"/>
        <w:ind w:firstLine="480" w:firstLineChars="200"/>
        <w:rPr>
          <w:sz w:val="24"/>
        </w:rPr>
      </w:pPr>
      <w:r>
        <w:rPr>
          <w:sz w:val="24"/>
        </w:rPr>
        <w:t>供应商须协助完成项目要求的不定期的加工统计和卷期核查工作。</w:t>
      </w:r>
    </w:p>
    <w:p>
      <w:pPr>
        <w:keepNext/>
        <w:keepLines/>
        <w:adjustRightInd w:val="0"/>
        <w:spacing w:before="120" w:after="120" w:line="360" w:lineRule="auto"/>
        <w:ind w:firstLine="482" w:firstLineChars="200"/>
        <w:textAlignment w:val="baseline"/>
        <w:outlineLvl w:val="1"/>
        <w:rPr>
          <w:rFonts w:eastAsia="黑体"/>
          <w:b/>
          <w:bCs/>
          <w:kern w:val="0"/>
          <w:sz w:val="24"/>
        </w:rPr>
      </w:pPr>
      <w:r>
        <w:rPr>
          <w:rFonts w:eastAsia="黑体"/>
          <w:b/>
          <w:bCs/>
          <w:kern w:val="0"/>
          <w:sz w:val="24"/>
        </w:rPr>
        <w:t>3.4 服务要求</w:t>
      </w:r>
    </w:p>
    <w:p>
      <w:pPr>
        <w:spacing w:line="360" w:lineRule="auto"/>
        <w:ind w:firstLine="480" w:firstLineChars="200"/>
        <w:rPr>
          <w:sz w:val="24"/>
        </w:rPr>
      </w:pPr>
      <w:r>
        <w:rPr>
          <w:sz w:val="24"/>
        </w:rPr>
        <w:t>供应商需有具有丰富经验的数据采集和加工、期刊编目等专业人员完成本项目工作。项目相关的技术或数据问题，需在2个工作日内回复处理。</w:t>
      </w:r>
    </w:p>
    <w:p>
      <w:pPr>
        <w:spacing w:line="360" w:lineRule="auto"/>
        <w:ind w:firstLine="480" w:firstLineChars="200"/>
        <w:rPr>
          <w:sz w:val="24"/>
        </w:rPr>
      </w:pPr>
      <w:r>
        <w:rPr>
          <w:sz w:val="24"/>
        </w:rPr>
        <w:t>项目团队负责人承担过大批量开放获取资源数据的丰富工作经验，熟练掌握项目所需的数据采集和加工技能，曾在2个或以上类似项目中承担过项目负责人职责。需提供相关有效证明文件。</w:t>
      </w:r>
    </w:p>
    <w:p>
      <w:pPr>
        <w:spacing w:line="360" w:lineRule="auto"/>
        <w:ind w:firstLine="480" w:firstLineChars="200"/>
      </w:pPr>
      <w:r>
        <w:rPr>
          <w:sz w:val="24"/>
        </w:rPr>
        <w:t>项目组至少配备5人的数据服务团队，均为专职参与本项目人员，均具有从事类似项目服务经验，人员配置、分工合理，职责明确，并可提供项目组成员2022年6月（含）后任意一期的社保证明材料。</w:t>
      </w:r>
    </w:p>
    <w:p>
      <w:pPr>
        <w:keepNext/>
        <w:keepLines/>
        <w:adjustRightInd w:val="0"/>
        <w:spacing w:before="120" w:after="120" w:line="360" w:lineRule="auto"/>
        <w:ind w:firstLine="482" w:firstLineChars="200"/>
        <w:textAlignment w:val="baseline"/>
        <w:outlineLvl w:val="1"/>
        <w:rPr>
          <w:rFonts w:eastAsia="黑体"/>
          <w:b/>
          <w:bCs/>
          <w:kern w:val="0"/>
          <w:sz w:val="24"/>
        </w:rPr>
      </w:pPr>
      <w:r>
        <w:rPr>
          <w:rFonts w:eastAsia="黑体"/>
          <w:b/>
          <w:bCs/>
          <w:kern w:val="0"/>
          <w:sz w:val="24"/>
        </w:rPr>
        <w:t>3.5 其他</w:t>
      </w:r>
    </w:p>
    <w:p>
      <w:pPr>
        <w:spacing w:line="360" w:lineRule="auto"/>
        <w:ind w:firstLine="480" w:firstLineChars="200"/>
      </w:pPr>
      <w:r>
        <w:rPr>
          <w:sz w:val="24"/>
        </w:rPr>
        <w:t>供应商不得向任何第三方透露项目内容及项目数据。</w:t>
      </w:r>
      <w:bookmarkEnd w:id="36"/>
      <w:bookmarkEnd w:id="37"/>
      <w:bookmarkEnd w:id="38"/>
      <w:bookmarkEnd w:id="39"/>
      <w:bookmarkEnd w:id="40"/>
    </w:p>
    <w:sectPr>
      <w:headerReference r:id="rId5" w:type="default"/>
      <w:footerReference r:id="rId6" w:type="default"/>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napToGrid w:val="0"/>
      <w:jc w:val="center"/>
      <w:rPr>
        <w:rFonts w:ascii="宋体"/>
        <w:kern w:val="0"/>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3810" b="0"/>
              <wp:wrapNone/>
              <wp:docPr id="22" name="Text Box 34"/>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3"/>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34"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Pi91E0AAAAAIBAAAPAAAAAAAAAAEAIAAAACIAAABkcnMvZG93bnJldi54bWxQSwEC&#10;FAAUAAAACACHTuJApGbeK/wBAAACBAAADgAAAAAAAAABACAAAAAfAQAAZHJzL2Uyb0RvYy54bWxQ&#10;SwUGAAAAAAYABgBZAQAAjQUAA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905" b="0"/>
              <wp:wrapNone/>
              <wp:docPr id="18" name="Text Box 29"/>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29"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PlfknQAAAAAwEAAA8AAAAAAAAAAQAgAAAAIgAAAGRycy9kb3ducmV2LnhtbFBLAQIU&#10;ABQAAAAIAIdO4kDZ6rTs+wEAAAMEAAAOAAAAAAAAAAEAIAAAAB8BAABkcnMvZTJvRG9jLnhtbFBL&#10;BQYAAAAABgAGAFkBAACMBQAAAAA=&#10;">
              <v:fill on="f" focussize="0,0"/>
              <v:stroke on="f"/>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3"/>
      </w:rPr>
    </w:pPr>
    <w:r>
      <w:fldChar w:fldCharType="begin"/>
    </w:r>
    <w:r>
      <w:rPr>
        <w:rStyle w:val="33"/>
      </w:rPr>
      <w:instrText xml:space="preserve">PAGE  </w:instrText>
    </w:r>
    <w:r>
      <w:fldChar w:fldCharType="end"/>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F"/>
    <w:multiLevelType w:val="multilevel"/>
    <w:tmpl w:val="0000003F"/>
    <w:lvl w:ilvl="0" w:tentative="0">
      <w:start w:val="5"/>
      <w:numFmt w:val="decimal"/>
      <w:lvlText w:val="%1"/>
      <w:lvlJc w:val="left"/>
      <w:pPr>
        <w:tabs>
          <w:tab w:val="left" w:pos="360"/>
        </w:tabs>
        <w:ind w:left="360" w:hanging="360"/>
      </w:pPr>
      <w:rPr>
        <w:rFonts w:hint="default"/>
      </w:rPr>
    </w:lvl>
    <w:lvl w:ilvl="1" w:tentative="0">
      <w:start w:val="1"/>
      <w:numFmt w:val="decimal"/>
      <w:lvlText w:val="%1.%2"/>
      <w:lvlJc w:val="left"/>
      <w:pPr>
        <w:tabs>
          <w:tab w:val="left" w:pos="709"/>
        </w:tabs>
        <w:ind w:left="709" w:hanging="709"/>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pStyle w:val="103"/>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hMzYyODA1ZGUyYWZhNGE3OTQxNjMyOWE1YTk5N2IifQ=="/>
  </w:docVars>
  <w:rsids>
    <w:rsidRoot w:val="008B6433"/>
    <w:rsid w:val="0000559C"/>
    <w:rsid w:val="00010210"/>
    <w:rsid w:val="000120BC"/>
    <w:rsid w:val="000136B8"/>
    <w:rsid w:val="000157DD"/>
    <w:rsid w:val="0001763D"/>
    <w:rsid w:val="00022188"/>
    <w:rsid w:val="000262CA"/>
    <w:rsid w:val="00026565"/>
    <w:rsid w:val="00027148"/>
    <w:rsid w:val="00027EC6"/>
    <w:rsid w:val="000304F3"/>
    <w:rsid w:val="00030B29"/>
    <w:rsid w:val="00033FE4"/>
    <w:rsid w:val="00035313"/>
    <w:rsid w:val="00037A54"/>
    <w:rsid w:val="00041360"/>
    <w:rsid w:val="000456E3"/>
    <w:rsid w:val="0005040F"/>
    <w:rsid w:val="000572BE"/>
    <w:rsid w:val="00061E6E"/>
    <w:rsid w:val="00063972"/>
    <w:rsid w:val="00065F36"/>
    <w:rsid w:val="000673C0"/>
    <w:rsid w:val="00072880"/>
    <w:rsid w:val="0007501C"/>
    <w:rsid w:val="00075FC2"/>
    <w:rsid w:val="00083B6A"/>
    <w:rsid w:val="00084095"/>
    <w:rsid w:val="0008779E"/>
    <w:rsid w:val="00090395"/>
    <w:rsid w:val="000925DF"/>
    <w:rsid w:val="0009342E"/>
    <w:rsid w:val="000951E5"/>
    <w:rsid w:val="00095D02"/>
    <w:rsid w:val="00095DB0"/>
    <w:rsid w:val="00097058"/>
    <w:rsid w:val="000A39F2"/>
    <w:rsid w:val="000A6CAF"/>
    <w:rsid w:val="000A7D3E"/>
    <w:rsid w:val="000B4D17"/>
    <w:rsid w:val="000B5304"/>
    <w:rsid w:val="000B5AEB"/>
    <w:rsid w:val="000B71E5"/>
    <w:rsid w:val="000B781D"/>
    <w:rsid w:val="000C02ED"/>
    <w:rsid w:val="000C0CA7"/>
    <w:rsid w:val="000C33FC"/>
    <w:rsid w:val="000C590F"/>
    <w:rsid w:val="000D1D9E"/>
    <w:rsid w:val="000D51F1"/>
    <w:rsid w:val="000D62C1"/>
    <w:rsid w:val="000D6898"/>
    <w:rsid w:val="000E1793"/>
    <w:rsid w:val="000E2185"/>
    <w:rsid w:val="000E48CE"/>
    <w:rsid w:val="000E6B0F"/>
    <w:rsid w:val="000E70C3"/>
    <w:rsid w:val="00102F87"/>
    <w:rsid w:val="00106098"/>
    <w:rsid w:val="00111B5F"/>
    <w:rsid w:val="00115477"/>
    <w:rsid w:val="0011620F"/>
    <w:rsid w:val="00121ED4"/>
    <w:rsid w:val="0012258B"/>
    <w:rsid w:val="00122B1C"/>
    <w:rsid w:val="00123F60"/>
    <w:rsid w:val="00130971"/>
    <w:rsid w:val="00132770"/>
    <w:rsid w:val="001342B1"/>
    <w:rsid w:val="001365FD"/>
    <w:rsid w:val="0014036F"/>
    <w:rsid w:val="001420DC"/>
    <w:rsid w:val="00143800"/>
    <w:rsid w:val="00144C48"/>
    <w:rsid w:val="00151C54"/>
    <w:rsid w:val="00154D86"/>
    <w:rsid w:val="001571F7"/>
    <w:rsid w:val="00157595"/>
    <w:rsid w:val="00162ADF"/>
    <w:rsid w:val="00165790"/>
    <w:rsid w:val="00165D30"/>
    <w:rsid w:val="00172A60"/>
    <w:rsid w:val="00174921"/>
    <w:rsid w:val="00177E7E"/>
    <w:rsid w:val="001813AF"/>
    <w:rsid w:val="00181691"/>
    <w:rsid w:val="00183D19"/>
    <w:rsid w:val="001858C2"/>
    <w:rsid w:val="00185FAD"/>
    <w:rsid w:val="00191E19"/>
    <w:rsid w:val="00193EA4"/>
    <w:rsid w:val="00196659"/>
    <w:rsid w:val="00197B7F"/>
    <w:rsid w:val="00197BC9"/>
    <w:rsid w:val="001A2CC0"/>
    <w:rsid w:val="001A3F8A"/>
    <w:rsid w:val="001A5FF2"/>
    <w:rsid w:val="001B01F7"/>
    <w:rsid w:val="001B4099"/>
    <w:rsid w:val="001C07F7"/>
    <w:rsid w:val="001C374B"/>
    <w:rsid w:val="001D5F0B"/>
    <w:rsid w:val="001D63FE"/>
    <w:rsid w:val="001D6A25"/>
    <w:rsid w:val="001D7DA5"/>
    <w:rsid w:val="001E64B4"/>
    <w:rsid w:val="001F23A6"/>
    <w:rsid w:val="00203752"/>
    <w:rsid w:val="00204BA8"/>
    <w:rsid w:val="0020581F"/>
    <w:rsid w:val="002059F3"/>
    <w:rsid w:val="00205FA7"/>
    <w:rsid w:val="00214E40"/>
    <w:rsid w:val="00215522"/>
    <w:rsid w:val="00220875"/>
    <w:rsid w:val="002215B6"/>
    <w:rsid w:val="00221BE4"/>
    <w:rsid w:val="002264DE"/>
    <w:rsid w:val="00230AE8"/>
    <w:rsid w:val="00235FB1"/>
    <w:rsid w:val="0023716D"/>
    <w:rsid w:val="00245F47"/>
    <w:rsid w:val="002465E9"/>
    <w:rsid w:val="00253003"/>
    <w:rsid w:val="00254A5C"/>
    <w:rsid w:val="00255C14"/>
    <w:rsid w:val="002612AB"/>
    <w:rsid w:val="00261396"/>
    <w:rsid w:val="00265B3F"/>
    <w:rsid w:val="00271FF0"/>
    <w:rsid w:val="0027530E"/>
    <w:rsid w:val="00276DD7"/>
    <w:rsid w:val="00276F7F"/>
    <w:rsid w:val="00281AD4"/>
    <w:rsid w:val="00281CD2"/>
    <w:rsid w:val="00285729"/>
    <w:rsid w:val="00285C6F"/>
    <w:rsid w:val="00286D9D"/>
    <w:rsid w:val="00287BD9"/>
    <w:rsid w:val="002902A0"/>
    <w:rsid w:val="00290B7D"/>
    <w:rsid w:val="00290BE3"/>
    <w:rsid w:val="00297F27"/>
    <w:rsid w:val="002A1672"/>
    <w:rsid w:val="002A663A"/>
    <w:rsid w:val="002B496B"/>
    <w:rsid w:val="002C2D13"/>
    <w:rsid w:val="002C3268"/>
    <w:rsid w:val="002C4256"/>
    <w:rsid w:val="002C5490"/>
    <w:rsid w:val="002C6A26"/>
    <w:rsid w:val="002C6F1B"/>
    <w:rsid w:val="002D51D8"/>
    <w:rsid w:val="002D7A73"/>
    <w:rsid w:val="002E4F51"/>
    <w:rsid w:val="002E594A"/>
    <w:rsid w:val="002E62F5"/>
    <w:rsid w:val="002F0B7E"/>
    <w:rsid w:val="002F0F6D"/>
    <w:rsid w:val="002F1BD7"/>
    <w:rsid w:val="002F5ED3"/>
    <w:rsid w:val="002F679B"/>
    <w:rsid w:val="002F6E76"/>
    <w:rsid w:val="00315615"/>
    <w:rsid w:val="0032092E"/>
    <w:rsid w:val="00331D0A"/>
    <w:rsid w:val="00332D84"/>
    <w:rsid w:val="00334C49"/>
    <w:rsid w:val="0033737C"/>
    <w:rsid w:val="00340BFC"/>
    <w:rsid w:val="0034561A"/>
    <w:rsid w:val="00345BA1"/>
    <w:rsid w:val="003467B5"/>
    <w:rsid w:val="0034788A"/>
    <w:rsid w:val="00350A7B"/>
    <w:rsid w:val="00356CFD"/>
    <w:rsid w:val="00357709"/>
    <w:rsid w:val="003610C5"/>
    <w:rsid w:val="00364C55"/>
    <w:rsid w:val="00373CD9"/>
    <w:rsid w:val="00375FBF"/>
    <w:rsid w:val="00376433"/>
    <w:rsid w:val="00376FA9"/>
    <w:rsid w:val="00377196"/>
    <w:rsid w:val="00385F8B"/>
    <w:rsid w:val="003865B3"/>
    <w:rsid w:val="00390306"/>
    <w:rsid w:val="00390CCB"/>
    <w:rsid w:val="0039341D"/>
    <w:rsid w:val="003935DE"/>
    <w:rsid w:val="00393B2A"/>
    <w:rsid w:val="003978D5"/>
    <w:rsid w:val="003A0F67"/>
    <w:rsid w:val="003A2C59"/>
    <w:rsid w:val="003A3541"/>
    <w:rsid w:val="003A43D9"/>
    <w:rsid w:val="003A7121"/>
    <w:rsid w:val="003B3EAA"/>
    <w:rsid w:val="003B59E3"/>
    <w:rsid w:val="003C1B6F"/>
    <w:rsid w:val="003E0B0D"/>
    <w:rsid w:val="003E1ED0"/>
    <w:rsid w:val="003E3488"/>
    <w:rsid w:val="003E4503"/>
    <w:rsid w:val="003E6BBD"/>
    <w:rsid w:val="003F2CA0"/>
    <w:rsid w:val="003F4762"/>
    <w:rsid w:val="003F57BB"/>
    <w:rsid w:val="003F77AF"/>
    <w:rsid w:val="004009BD"/>
    <w:rsid w:val="0040519B"/>
    <w:rsid w:val="00405DE3"/>
    <w:rsid w:val="00407D73"/>
    <w:rsid w:val="00411A7B"/>
    <w:rsid w:val="00411BAE"/>
    <w:rsid w:val="00413A5A"/>
    <w:rsid w:val="00415D67"/>
    <w:rsid w:val="00420C64"/>
    <w:rsid w:val="00420F74"/>
    <w:rsid w:val="00422C87"/>
    <w:rsid w:val="00425E63"/>
    <w:rsid w:val="00426AB5"/>
    <w:rsid w:val="00431B54"/>
    <w:rsid w:val="0043435D"/>
    <w:rsid w:val="004400A8"/>
    <w:rsid w:val="00440FBF"/>
    <w:rsid w:val="0044193D"/>
    <w:rsid w:val="00443CE1"/>
    <w:rsid w:val="00443F48"/>
    <w:rsid w:val="00446C5C"/>
    <w:rsid w:val="0045088E"/>
    <w:rsid w:val="00454E79"/>
    <w:rsid w:val="00454FC8"/>
    <w:rsid w:val="004622E2"/>
    <w:rsid w:val="004635D8"/>
    <w:rsid w:val="00463F92"/>
    <w:rsid w:val="004647F6"/>
    <w:rsid w:val="004664B3"/>
    <w:rsid w:val="00471940"/>
    <w:rsid w:val="0047396A"/>
    <w:rsid w:val="00475FF2"/>
    <w:rsid w:val="00476C6B"/>
    <w:rsid w:val="004802E5"/>
    <w:rsid w:val="00483E70"/>
    <w:rsid w:val="004912BE"/>
    <w:rsid w:val="004A301D"/>
    <w:rsid w:val="004A3380"/>
    <w:rsid w:val="004B203F"/>
    <w:rsid w:val="004B26C0"/>
    <w:rsid w:val="004B62C1"/>
    <w:rsid w:val="004B6D6E"/>
    <w:rsid w:val="004B7E5B"/>
    <w:rsid w:val="004C1A9C"/>
    <w:rsid w:val="004C1E60"/>
    <w:rsid w:val="004C2234"/>
    <w:rsid w:val="004C3325"/>
    <w:rsid w:val="004C6809"/>
    <w:rsid w:val="004D0252"/>
    <w:rsid w:val="004D0BE0"/>
    <w:rsid w:val="004D2977"/>
    <w:rsid w:val="004D2C01"/>
    <w:rsid w:val="004D2F7B"/>
    <w:rsid w:val="004D5E6B"/>
    <w:rsid w:val="004D700E"/>
    <w:rsid w:val="004F3753"/>
    <w:rsid w:val="004F443F"/>
    <w:rsid w:val="004F5794"/>
    <w:rsid w:val="00501893"/>
    <w:rsid w:val="0050245E"/>
    <w:rsid w:val="00505EE7"/>
    <w:rsid w:val="0050702F"/>
    <w:rsid w:val="00511FEF"/>
    <w:rsid w:val="00514146"/>
    <w:rsid w:val="0052019B"/>
    <w:rsid w:val="00520C63"/>
    <w:rsid w:val="00520E50"/>
    <w:rsid w:val="00531469"/>
    <w:rsid w:val="005316C0"/>
    <w:rsid w:val="00531DFE"/>
    <w:rsid w:val="00542CED"/>
    <w:rsid w:val="0054331A"/>
    <w:rsid w:val="00544400"/>
    <w:rsid w:val="00546C46"/>
    <w:rsid w:val="00554CFA"/>
    <w:rsid w:val="00561520"/>
    <w:rsid w:val="005640D3"/>
    <w:rsid w:val="005709F0"/>
    <w:rsid w:val="00573536"/>
    <w:rsid w:val="00581199"/>
    <w:rsid w:val="00584678"/>
    <w:rsid w:val="00586B90"/>
    <w:rsid w:val="005914AE"/>
    <w:rsid w:val="005915AA"/>
    <w:rsid w:val="0059373F"/>
    <w:rsid w:val="00595CFE"/>
    <w:rsid w:val="00595F88"/>
    <w:rsid w:val="005A0FBE"/>
    <w:rsid w:val="005A610D"/>
    <w:rsid w:val="005A6CD5"/>
    <w:rsid w:val="005A7AF0"/>
    <w:rsid w:val="005B148F"/>
    <w:rsid w:val="005C20EE"/>
    <w:rsid w:val="005C4CB9"/>
    <w:rsid w:val="005C6260"/>
    <w:rsid w:val="005D1F83"/>
    <w:rsid w:val="005D37A3"/>
    <w:rsid w:val="005D7C54"/>
    <w:rsid w:val="005E2010"/>
    <w:rsid w:val="005E2139"/>
    <w:rsid w:val="005E2E66"/>
    <w:rsid w:val="005E3B91"/>
    <w:rsid w:val="005F161A"/>
    <w:rsid w:val="005F2301"/>
    <w:rsid w:val="005F4522"/>
    <w:rsid w:val="005F59B3"/>
    <w:rsid w:val="005F6E38"/>
    <w:rsid w:val="00600400"/>
    <w:rsid w:val="00603FFE"/>
    <w:rsid w:val="006040AF"/>
    <w:rsid w:val="00606599"/>
    <w:rsid w:val="006151DD"/>
    <w:rsid w:val="00616DC5"/>
    <w:rsid w:val="00617F43"/>
    <w:rsid w:val="0062568F"/>
    <w:rsid w:val="006272E9"/>
    <w:rsid w:val="00630BC3"/>
    <w:rsid w:val="00632C3D"/>
    <w:rsid w:val="006331F3"/>
    <w:rsid w:val="00637A4E"/>
    <w:rsid w:val="006408EC"/>
    <w:rsid w:val="00642376"/>
    <w:rsid w:val="00642698"/>
    <w:rsid w:val="006452CE"/>
    <w:rsid w:val="00647ECA"/>
    <w:rsid w:val="0065022A"/>
    <w:rsid w:val="00651B74"/>
    <w:rsid w:val="006522D2"/>
    <w:rsid w:val="00656460"/>
    <w:rsid w:val="00660136"/>
    <w:rsid w:val="00664B07"/>
    <w:rsid w:val="00677ADE"/>
    <w:rsid w:val="00682731"/>
    <w:rsid w:val="00683BB2"/>
    <w:rsid w:val="0068637F"/>
    <w:rsid w:val="006867E3"/>
    <w:rsid w:val="006911BB"/>
    <w:rsid w:val="006917CE"/>
    <w:rsid w:val="00693CC5"/>
    <w:rsid w:val="00694D7B"/>
    <w:rsid w:val="006A2CCB"/>
    <w:rsid w:val="006A63DD"/>
    <w:rsid w:val="006B3568"/>
    <w:rsid w:val="006B65CB"/>
    <w:rsid w:val="006C6C56"/>
    <w:rsid w:val="006D2B15"/>
    <w:rsid w:val="006E3AC8"/>
    <w:rsid w:val="006F1A2E"/>
    <w:rsid w:val="006F2FB0"/>
    <w:rsid w:val="006F40B4"/>
    <w:rsid w:val="00702096"/>
    <w:rsid w:val="00704D58"/>
    <w:rsid w:val="00706B01"/>
    <w:rsid w:val="0070762B"/>
    <w:rsid w:val="00710FD9"/>
    <w:rsid w:val="007130DB"/>
    <w:rsid w:val="00713BD8"/>
    <w:rsid w:val="00715CF3"/>
    <w:rsid w:val="00715D52"/>
    <w:rsid w:val="007204F9"/>
    <w:rsid w:val="00721DB7"/>
    <w:rsid w:val="007241C0"/>
    <w:rsid w:val="00731BE9"/>
    <w:rsid w:val="0073563B"/>
    <w:rsid w:val="007370F0"/>
    <w:rsid w:val="00737BBD"/>
    <w:rsid w:val="007513A4"/>
    <w:rsid w:val="00753820"/>
    <w:rsid w:val="00755E5A"/>
    <w:rsid w:val="00760664"/>
    <w:rsid w:val="007611E5"/>
    <w:rsid w:val="007663E7"/>
    <w:rsid w:val="007702CD"/>
    <w:rsid w:val="00770A48"/>
    <w:rsid w:val="0077465C"/>
    <w:rsid w:val="00786C1E"/>
    <w:rsid w:val="007950FD"/>
    <w:rsid w:val="007963B8"/>
    <w:rsid w:val="00796EBC"/>
    <w:rsid w:val="007A02F4"/>
    <w:rsid w:val="007A61D7"/>
    <w:rsid w:val="007A6E52"/>
    <w:rsid w:val="007A7E73"/>
    <w:rsid w:val="007B6B1A"/>
    <w:rsid w:val="007C453F"/>
    <w:rsid w:val="007C642E"/>
    <w:rsid w:val="007D18F2"/>
    <w:rsid w:val="007D1D25"/>
    <w:rsid w:val="007D2A50"/>
    <w:rsid w:val="007D351D"/>
    <w:rsid w:val="007D6898"/>
    <w:rsid w:val="007E44C9"/>
    <w:rsid w:val="007E50DF"/>
    <w:rsid w:val="007E51E6"/>
    <w:rsid w:val="007E6F53"/>
    <w:rsid w:val="007F1D65"/>
    <w:rsid w:val="007F2710"/>
    <w:rsid w:val="007F3C4C"/>
    <w:rsid w:val="007F3EFF"/>
    <w:rsid w:val="007F7D03"/>
    <w:rsid w:val="0080328F"/>
    <w:rsid w:val="00803F74"/>
    <w:rsid w:val="008054EB"/>
    <w:rsid w:val="0081148E"/>
    <w:rsid w:val="00816EB5"/>
    <w:rsid w:val="00816FDB"/>
    <w:rsid w:val="00826163"/>
    <w:rsid w:val="008306FA"/>
    <w:rsid w:val="008309E4"/>
    <w:rsid w:val="00830AD2"/>
    <w:rsid w:val="00831812"/>
    <w:rsid w:val="0083272E"/>
    <w:rsid w:val="00840E96"/>
    <w:rsid w:val="008471E8"/>
    <w:rsid w:val="0084787B"/>
    <w:rsid w:val="008519C6"/>
    <w:rsid w:val="008551EA"/>
    <w:rsid w:val="008565E3"/>
    <w:rsid w:val="008577EF"/>
    <w:rsid w:val="00861CF1"/>
    <w:rsid w:val="00862A72"/>
    <w:rsid w:val="00865B2A"/>
    <w:rsid w:val="00865EEE"/>
    <w:rsid w:val="008714BF"/>
    <w:rsid w:val="008807A8"/>
    <w:rsid w:val="00887E28"/>
    <w:rsid w:val="00891248"/>
    <w:rsid w:val="00894EBC"/>
    <w:rsid w:val="00895CE2"/>
    <w:rsid w:val="008962F0"/>
    <w:rsid w:val="00897310"/>
    <w:rsid w:val="008A0386"/>
    <w:rsid w:val="008A188F"/>
    <w:rsid w:val="008A294C"/>
    <w:rsid w:val="008A2C48"/>
    <w:rsid w:val="008A5E8D"/>
    <w:rsid w:val="008B101B"/>
    <w:rsid w:val="008B1985"/>
    <w:rsid w:val="008B2B50"/>
    <w:rsid w:val="008B38DA"/>
    <w:rsid w:val="008B4E08"/>
    <w:rsid w:val="008B58A3"/>
    <w:rsid w:val="008B6433"/>
    <w:rsid w:val="008C0C9D"/>
    <w:rsid w:val="008C1A9D"/>
    <w:rsid w:val="008C2F46"/>
    <w:rsid w:val="008D2BF2"/>
    <w:rsid w:val="008D646F"/>
    <w:rsid w:val="008E1CE9"/>
    <w:rsid w:val="008E4D21"/>
    <w:rsid w:val="008F268D"/>
    <w:rsid w:val="008F2DD1"/>
    <w:rsid w:val="008F3191"/>
    <w:rsid w:val="008F4AAB"/>
    <w:rsid w:val="008F747A"/>
    <w:rsid w:val="009002F7"/>
    <w:rsid w:val="009035E0"/>
    <w:rsid w:val="0090499F"/>
    <w:rsid w:val="009061C4"/>
    <w:rsid w:val="00907CF5"/>
    <w:rsid w:val="00912C2F"/>
    <w:rsid w:val="00912DB7"/>
    <w:rsid w:val="0091360E"/>
    <w:rsid w:val="009145A3"/>
    <w:rsid w:val="00917961"/>
    <w:rsid w:val="00917A74"/>
    <w:rsid w:val="00923E96"/>
    <w:rsid w:val="00926733"/>
    <w:rsid w:val="00930DDD"/>
    <w:rsid w:val="009313FC"/>
    <w:rsid w:val="009315AB"/>
    <w:rsid w:val="00931DC2"/>
    <w:rsid w:val="00933449"/>
    <w:rsid w:val="009521B6"/>
    <w:rsid w:val="009612D1"/>
    <w:rsid w:val="0096396A"/>
    <w:rsid w:val="00965409"/>
    <w:rsid w:val="0096685C"/>
    <w:rsid w:val="00966B63"/>
    <w:rsid w:val="00971032"/>
    <w:rsid w:val="00971600"/>
    <w:rsid w:val="009716CF"/>
    <w:rsid w:val="009722E4"/>
    <w:rsid w:val="009729D1"/>
    <w:rsid w:val="00972E71"/>
    <w:rsid w:val="00974C71"/>
    <w:rsid w:val="00977F54"/>
    <w:rsid w:val="00981849"/>
    <w:rsid w:val="009825E1"/>
    <w:rsid w:val="00983AA4"/>
    <w:rsid w:val="00984320"/>
    <w:rsid w:val="0098434C"/>
    <w:rsid w:val="00984B18"/>
    <w:rsid w:val="009854A6"/>
    <w:rsid w:val="009936FC"/>
    <w:rsid w:val="00996045"/>
    <w:rsid w:val="00996C54"/>
    <w:rsid w:val="009A1A94"/>
    <w:rsid w:val="009A23F6"/>
    <w:rsid w:val="009B083D"/>
    <w:rsid w:val="009B25A7"/>
    <w:rsid w:val="009B4B0F"/>
    <w:rsid w:val="009B5869"/>
    <w:rsid w:val="009C1B1E"/>
    <w:rsid w:val="009C3F42"/>
    <w:rsid w:val="009C5E06"/>
    <w:rsid w:val="009C6020"/>
    <w:rsid w:val="009D2310"/>
    <w:rsid w:val="009D41D8"/>
    <w:rsid w:val="009D4560"/>
    <w:rsid w:val="009D59D9"/>
    <w:rsid w:val="009E113F"/>
    <w:rsid w:val="009E2CB9"/>
    <w:rsid w:val="009E3E6D"/>
    <w:rsid w:val="009E491D"/>
    <w:rsid w:val="009F2460"/>
    <w:rsid w:val="009F45A8"/>
    <w:rsid w:val="009F4E10"/>
    <w:rsid w:val="00A0022D"/>
    <w:rsid w:val="00A06BF6"/>
    <w:rsid w:val="00A06E68"/>
    <w:rsid w:val="00A07733"/>
    <w:rsid w:val="00A20DEA"/>
    <w:rsid w:val="00A2550E"/>
    <w:rsid w:val="00A25F3E"/>
    <w:rsid w:val="00A3301F"/>
    <w:rsid w:val="00A3638A"/>
    <w:rsid w:val="00A41985"/>
    <w:rsid w:val="00A4291E"/>
    <w:rsid w:val="00A45058"/>
    <w:rsid w:val="00A51771"/>
    <w:rsid w:val="00A52172"/>
    <w:rsid w:val="00A5245F"/>
    <w:rsid w:val="00A574B5"/>
    <w:rsid w:val="00A57C26"/>
    <w:rsid w:val="00A61A5C"/>
    <w:rsid w:val="00A711A5"/>
    <w:rsid w:val="00A714F4"/>
    <w:rsid w:val="00A716EC"/>
    <w:rsid w:val="00A73FE4"/>
    <w:rsid w:val="00A755F5"/>
    <w:rsid w:val="00A77AFF"/>
    <w:rsid w:val="00A77D1C"/>
    <w:rsid w:val="00A77D26"/>
    <w:rsid w:val="00A80941"/>
    <w:rsid w:val="00A84E89"/>
    <w:rsid w:val="00A84FDA"/>
    <w:rsid w:val="00A860C0"/>
    <w:rsid w:val="00AA1B3D"/>
    <w:rsid w:val="00AA6439"/>
    <w:rsid w:val="00AB67BC"/>
    <w:rsid w:val="00AB7C7A"/>
    <w:rsid w:val="00AC1DD2"/>
    <w:rsid w:val="00AC3B86"/>
    <w:rsid w:val="00AD1A00"/>
    <w:rsid w:val="00AD4498"/>
    <w:rsid w:val="00AD5A5D"/>
    <w:rsid w:val="00AD6D31"/>
    <w:rsid w:val="00AD7F9B"/>
    <w:rsid w:val="00AE0F26"/>
    <w:rsid w:val="00AE18C1"/>
    <w:rsid w:val="00AE22D9"/>
    <w:rsid w:val="00AE30AF"/>
    <w:rsid w:val="00AE32F0"/>
    <w:rsid w:val="00B0075B"/>
    <w:rsid w:val="00B01753"/>
    <w:rsid w:val="00B01E95"/>
    <w:rsid w:val="00B02E87"/>
    <w:rsid w:val="00B05964"/>
    <w:rsid w:val="00B119ED"/>
    <w:rsid w:val="00B127D7"/>
    <w:rsid w:val="00B13CF4"/>
    <w:rsid w:val="00B13F7A"/>
    <w:rsid w:val="00B1456F"/>
    <w:rsid w:val="00B15476"/>
    <w:rsid w:val="00B2256D"/>
    <w:rsid w:val="00B22C1D"/>
    <w:rsid w:val="00B25940"/>
    <w:rsid w:val="00B313EE"/>
    <w:rsid w:val="00B345B2"/>
    <w:rsid w:val="00B40533"/>
    <w:rsid w:val="00B506D5"/>
    <w:rsid w:val="00B51C58"/>
    <w:rsid w:val="00B60B69"/>
    <w:rsid w:val="00B60D77"/>
    <w:rsid w:val="00B61F1B"/>
    <w:rsid w:val="00B633A0"/>
    <w:rsid w:val="00B64F3D"/>
    <w:rsid w:val="00B663B9"/>
    <w:rsid w:val="00B76D43"/>
    <w:rsid w:val="00B80B3C"/>
    <w:rsid w:val="00B83080"/>
    <w:rsid w:val="00B85FC2"/>
    <w:rsid w:val="00BA1437"/>
    <w:rsid w:val="00BA37A5"/>
    <w:rsid w:val="00BA59A7"/>
    <w:rsid w:val="00BB06A9"/>
    <w:rsid w:val="00BB0FEA"/>
    <w:rsid w:val="00BB4BCF"/>
    <w:rsid w:val="00BB57C5"/>
    <w:rsid w:val="00BC16AD"/>
    <w:rsid w:val="00BC1BBA"/>
    <w:rsid w:val="00BC1E5A"/>
    <w:rsid w:val="00BC4226"/>
    <w:rsid w:val="00BD3145"/>
    <w:rsid w:val="00BD3450"/>
    <w:rsid w:val="00BD4686"/>
    <w:rsid w:val="00BE0DE6"/>
    <w:rsid w:val="00BE1730"/>
    <w:rsid w:val="00BE63B5"/>
    <w:rsid w:val="00BF27B0"/>
    <w:rsid w:val="00C014AB"/>
    <w:rsid w:val="00C0254C"/>
    <w:rsid w:val="00C06D25"/>
    <w:rsid w:val="00C23602"/>
    <w:rsid w:val="00C239D2"/>
    <w:rsid w:val="00C24186"/>
    <w:rsid w:val="00C303B5"/>
    <w:rsid w:val="00C3164A"/>
    <w:rsid w:val="00C36F62"/>
    <w:rsid w:val="00C37300"/>
    <w:rsid w:val="00C42152"/>
    <w:rsid w:val="00C42655"/>
    <w:rsid w:val="00C4463D"/>
    <w:rsid w:val="00C50649"/>
    <w:rsid w:val="00C52B44"/>
    <w:rsid w:val="00C63038"/>
    <w:rsid w:val="00C63A7F"/>
    <w:rsid w:val="00C6696E"/>
    <w:rsid w:val="00C73F19"/>
    <w:rsid w:val="00C74833"/>
    <w:rsid w:val="00C75763"/>
    <w:rsid w:val="00C76BC1"/>
    <w:rsid w:val="00C80373"/>
    <w:rsid w:val="00C81C01"/>
    <w:rsid w:val="00C82216"/>
    <w:rsid w:val="00C87329"/>
    <w:rsid w:val="00C9472E"/>
    <w:rsid w:val="00C9602E"/>
    <w:rsid w:val="00C961A2"/>
    <w:rsid w:val="00CA2C06"/>
    <w:rsid w:val="00CA2C48"/>
    <w:rsid w:val="00CA6B4D"/>
    <w:rsid w:val="00CA6F2F"/>
    <w:rsid w:val="00CB363F"/>
    <w:rsid w:val="00CB4132"/>
    <w:rsid w:val="00CB7942"/>
    <w:rsid w:val="00CC1EB4"/>
    <w:rsid w:val="00CC2067"/>
    <w:rsid w:val="00CD335C"/>
    <w:rsid w:val="00CD39C5"/>
    <w:rsid w:val="00CD4FD3"/>
    <w:rsid w:val="00CD5362"/>
    <w:rsid w:val="00CD63F8"/>
    <w:rsid w:val="00CE14FD"/>
    <w:rsid w:val="00CE7431"/>
    <w:rsid w:val="00CE785C"/>
    <w:rsid w:val="00CF263A"/>
    <w:rsid w:val="00CF2787"/>
    <w:rsid w:val="00CF5C37"/>
    <w:rsid w:val="00CF6EFA"/>
    <w:rsid w:val="00CF70B5"/>
    <w:rsid w:val="00CF729F"/>
    <w:rsid w:val="00D01231"/>
    <w:rsid w:val="00D01801"/>
    <w:rsid w:val="00D034F6"/>
    <w:rsid w:val="00D06669"/>
    <w:rsid w:val="00D06A5C"/>
    <w:rsid w:val="00D12E6D"/>
    <w:rsid w:val="00D14A73"/>
    <w:rsid w:val="00D16D84"/>
    <w:rsid w:val="00D17B5C"/>
    <w:rsid w:val="00D2492B"/>
    <w:rsid w:val="00D24F5A"/>
    <w:rsid w:val="00D33A89"/>
    <w:rsid w:val="00D33BB6"/>
    <w:rsid w:val="00D341FA"/>
    <w:rsid w:val="00D41742"/>
    <w:rsid w:val="00D42082"/>
    <w:rsid w:val="00D435A0"/>
    <w:rsid w:val="00D45390"/>
    <w:rsid w:val="00D47A9C"/>
    <w:rsid w:val="00D52E60"/>
    <w:rsid w:val="00D5744B"/>
    <w:rsid w:val="00D61048"/>
    <w:rsid w:val="00D73EEF"/>
    <w:rsid w:val="00D73FAE"/>
    <w:rsid w:val="00D743B0"/>
    <w:rsid w:val="00D81563"/>
    <w:rsid w:val="00D83836"/>
    <w:rsid w:val="00D84FC8"/>
    <w:rsid w:val="00D90829"/>
    <w:rsid w:val="00D909AF"/>
    <w:rsid w:val="00D91C90"/>
    <w:rsid w:val="00D9274D"/>
    <w:rsid w:val="00DA02DA"/>
    <w:rsid w:val="00DA0386"/>
    <w:rsid w:val="00DA0D99"/>
    <w:rsid w:val="00DA11A3"/>
    <w:rsid w:val="00DA2231"/>
    <w:rsid w:val="00DB7908"/>
    <w:rsid w:val="00DB7FA5"/>
    <w:rsid w:val="00DE2534"/>
    <w:rsid w:val="00DE385E"/>
    <w:rsid w:val="00DE7DC1"/>
    <w:rsid w:val="00DF42BF"/>
    <w:rsid w:val="00DF564B"/>
    <w:rsid w:val="00DF5EFF"/>
    <w:rsid w:val="00DF62FB"/>
    <w:rsid w:val="00DF73B5"/>
    <w:rsid w:val="00DF78EE"/>
    <w:rsid w:val="00E00F46"/>
    <w:rsid w:val="00E03805"/>
    <w:rsid w:val="00E044CA"/>
    <w:rsid w:val="00E11C27"/>
    <w:rsid w:val="00E129F9"/>
    <w:rsid w:val="00E14730"/>
    <w:rsid w:val="00E1519B"/>
    <w:rsid w:val="00E160B3"/>
    <w:rsid w:val="00E168EA"/>
    <w:rsid w:val="00E2151E"/>
    <w:rsid w:val="00E21709"/>
    <w:rsid w:val="00E22384"/>
    <w:rsid w:val="00E30E11"/>
    <w:rsid w:val="00E3198C"/>
    <w:rsid w:val="00E31A64"/>
    <w:rsid w:val="00E34DA7"/>
    <w:rsid w:val="00E368EF"/>
    <w:rsid w:val="00E460A6"/>
    <w:rsid w:val="00E5481B"/>
    <w:rsid w:val="00E5537F"/>
    <w:rsid w:val="00E61378"/>
    <w:rsid w:val="00E63C68"/>
    <w:rsid w:val="00E66549"/>
    <w:rsid w:val="00E7413E"/>
    <w:rsid w:val="00E74832"/>
    <w:rsid w:val="00E74C40"/>
    <w:rsid w:val="00E75216"/>
    <w:rsid w:val="00E75508"/>
    <w:rsid w:val="00E86463"/>
    <w:rsid w:val="00E876BE"/>
    <w:rsid w:val="00E908EB"/>
    <w:rsid w:val="00E924E8"/>
    <w:rsid w:val="00E9506D"/>
    <w:rsid w:val="00E97846"/>
    <w:rsid w:val="00EA0A55"/>
    <w:rsid w:val="00EA1784"/>
    <w:rsid w:val="00EA5851"/>
    <w:rsid w:val="00EB2870"/>
    <w:rsid w:val="00ED03E2"/>
    <w:rsid w:val="00ED069C"/>
    <w:rsid w:val="00ED08A2"/>
    <w:rsid w:val="00ED1869"/>
    <w:rsid w:val="00ED2EDB"/>
    <w:rsid w:val="00ED4251"/>
    <w:rsid w:val="00ED55B4"/>
    <w:rsid w:val="00ED5E62"/>
    <w:rsid w:val="00ED70EB"/>
    <w:rsid w:val="00EE103D"/>
    <w:rsid w:val="00EE176A"/>
    <w:rsid w:val="00EE1E7E"/>
    <w:rsid w:val="00EF512E"/>
    <w:rsid w:val="00F01D1F"/>
    <w:rsid w:val="00F07B57"/>
    <w:rsid w:val="00F07BDD"/>
    <w:rsid w:val="00F07ECD"/>
    <w:rsid w:val="00F14501"/>
    <w:rsid w:val="00F14683"/>
    <w:rsid w:val="00F171A6"/>
    <w:rsid w:val="00F172D6"/>
    <w:rsid w:val="00F239C7"/>
    <w:rsid w:val="00F30042"/>
    <w:rsid w:val="00F44145"/>
    <w:rsid w:val="00F46B9C"/>
    <w:rsid w:val="00F547D3"/>
    <w:rsid w:val="00F5538A"/>
    <w:rsid w:val="00F60FF5"/>
    <w:rsid w:val="00F700CB"/>
    <w:rsid w:val="00F71544"/>
    <w:rsid w:val="00F717EA"/>
    <w:rsid w:val="00F82011"/>
    <w:rsid w:val="00F82ED2"/>
    <w:rsid w:val="00F83E92"/>
    <w:rsid w:val="00F8709D"/>
    <w:rsid w:val="00F91A49"/>
    <w:rsid w:val="00F944FB"/>
    <w:rsid w:val="00F95537"/>
    <w:rsid w:val="00FA3B49"/>
    <w:rsid w:val="00FA3D1C"/>
    <w:rsid w:val="00FA63F0"/>
    <w:rsid w:val="00FB4B35"/>
    <w:rsid w:val="00FB5E59"/>
    <w:rsid w:val="00FB7761"/>
    <w:rsid w:val="00FB7E6A"/>
    <w:rsid w:val="00FC333C"/>
    <w:rsid w:val="00FD0FD2"/>
    <w:rsid w:val="00FD31B5"/>
    <w:rsid w:val="00FD59D2"/>
    <w:rsid w:val="00FD639E"/>
    <w:rsid w:val="00FE2400"/>
    <w:rsid w:val="00FE2C07"/>
    <w:rsid w:val="00FF1C25"/>
    <w:rsid w:val="00FF42F2"/>
    <w:rsid w:val="00FF520E"/>
    <w:rsid w:val="00FF682F"/>
    <w:rsid w:val="012E3659"/>
    <w:rsid w:val="01547AD8"/>
    <w:rsid w:val="018A6E6F"/>
    <w:rsid w:val="019009EA"/>
    <w:rsid w:val="038E1B6F"/>
    <w:rsid w:val="042B55D8"/>
    <w:rsid w:val="0488666D"/>
    <w:rsid w:val="04CA104F"/>
    <w:rsid w:val="06E2737A"/>
    <w:rsid w:val="074B62E3"/>
    <w:rsid w:val="08162E72"/>
    <w:rsid w:val="095025FF"/>
    <w:rsid w:val="09B02430"/>
    <w:rsid w:val="09B91488"/>
    <w:rsid w:val="0BE05DF2"/>
    <w:rsid w:val="0D812772"/>
    <w:rsid w:val="0DC35D15"/>
    <w:rsid w:val="0E547D48"/>
    <w:rsid w:val="0E7264AE"/>
    <w:rsid w:val="0E8C194C"/>
    <w:rsid w:val="0F7D4874"/>
    <w:rsid w:val="0FDB6FF9"/>
    <w:rsid w:val="0FF51FF2"/>
    <w:rsid w:val="12100D01"/>
    <w:rsid w:val="12ED4515"/>
    <w:rsid w:val="132318BD"/>
    <w:rsid w:val="13AC0786"/>
    <w:rsid w:val="14DC7F4F"/>
    <w:rsid w:val="16A9300E"/>
    <w:rsid w:val="17537372"/>
    <w:rsid w:val="178B2FA0"/>
    <w:rsid w:val="182A4D73"/>
    <w:rsid w:val="187E2DC0"/>
    <w:rsid w:val="196636A0"/>
    <w:rsid w:val="1C3A259B"/>
    <w:rsid w:val="1D397804"/>
    <w:rsid w:val="1D537F8F"/>
    <w:rsid w:val="1DA75AE1"/>
    <w:rsid w:val="1E6E4582"/>
    <w:rsid w:val="1E6F5F5A"/>
    <w:rsid w:val="24523066"/>
    <w:rsid w:val="269B0ED6"/>
    <w:rsid w:val="26CE4FB3"/>
    <w:rsid w:val="270B6B50"/>
    <w:rsid w:val="28584BE9"/>
    <w:rsid w:val="28D64475"/>
    <w:rsid w:val="294B20C1"/>
    <w:rsid w:val="294D2FF4"/>
    <w:rsid w:val="2B5657AD"/>
    <w:rsid w:val="2C9733B2"/>
    <w:rsid w:val="2D387FF8"/>
    <w:rsid w:val="2DD01805"/>
    <w:rsid w:val="2EB23A1E"/>
    <w:rsid w:val="300A43D0"/>
    <w:rsid w:val="30F57731"/>
    <w:rsid w:val="318C00E4"/>
    <w:rsid w:val="3239011F"/>
    <w:rsid w:val="32501F60"/>
    <w:rsid w:val="32632F0A"/>
    <w:rsid w:val="344C025C"/>
    <w:rsid w:val="34534686"/>
    <w:rsid w:val="352B1347"/>
    <w:rsid w:val="35962BA1"/>
    <w:rsid w:val="361E08B8"/>
    <w:rsid w:val="36763DB6"/>
    <w:rsid w:val="36961F10"/>
    <w:rsid w:val="36A27E20"/>
    <w:rsid w:val="36BC6251"/>
    <w:rsid w:val="36CB623A"/>
    <w:rsid w:val="376F6714"/>
    <w:rsid w:val="37DB11FB"/>
    <w:rsid w:val="38A85926"/>
    <w:rsid w:val="391B1CAF"/>
    <w:rsid w:val="3A84071A"/>
    <w:rsid w:val="3AB131CC"/>
    <w:rsid w:val="3B254BF2"/>
    <w:rsid w:val="3B60675A"/>
    <w:rsid w:val="3C165BBE"/>
    <w:rsid w:val="3CDE117B"/>
    <w:rsid w:val="3E9332DD"/>
    <w:rsid w:val="3F515686"/>
    <w:rsid w:val="40214883"/>
    <w:rsid w:val="405716D8"/>
    <w:rsid w:val="406B49EF"/>
    <w:rsid w:val="41B87B40"/>
    <w:rsid w:val="432770B7"/>
    <w:rsid w:val="434756D1"/>
    <w:rsid w:val="436433C2"/>
    <w:rsid w:val="44127FA6"/>
    <w:rsid w:val="444E1A52"/>
    <w:rsid w:val="444E6EBA"/>
    <w:rsid w:val="44A87A64"/>
    <w:rsid w:val="44AC3AE1"/>
    <w:rsid w:val="44B7735E"/>
    <w:rsid w:val="451A77EA"/>
    <w:rsid w:val="45672E75"/>
    <w:rsid w:val="465C3745"/>
    <w:rsid w:val="469C57BC"/>
    <w:rsid w:val="472E4A3E"/>
    <w:rsid w:val="47337108"/>
    <w:rsid w:val="47670695"/>
    <w:rsid w:val="478C7274"/>
    <w:rsid w:val="479000C6"/>
    <w:rsid w:val="48D3392A"/>
    <w:rsid w:val="48E943B5"/>
    <w:rsid w:val="4937189F"/>
    <w:rsid w:val="4A401F02"/>
    <w:rsid w:val="4AC8172F"/>
    <w:rsid w:val="4AE272B2"/>
    <w:rsid w:val="4C9B6728"/>
    <w:rsid w:val="4CB73C39"/>
    <w:rsid w:val="4CE85BC7"/>
    <w:rsid w:val="4CFB241E"/>
    <w:rsid w:val="4E5F1C55"/>
    <w:rsid w:val="50826B0B"/>
    <w:rsid w:val="51CB13CB"/>
    <w:rsid w:val="52BD63AD"/>
    <w:rsid w:val="52ED5952"/>
    <w:rsid w:val="53D36755"/>
    <w:rsid w:val="540B2B8A"/>
    <w:rsid w:val="54A412BC"/>
    <w:rsid w:val="5589376B"/>
    <w:rsid w:val="560706C4"/>
    <w:rsid w:val="563501AA"/>
    <w:rsid w:val="567E5E05"/>
    <w:rsid w:val="56CC5789"/>
    <w:rsid w:val="59697459"/>
    <w:rsid w:val="59903C7B"/>
    <w:rsid w:val="5BFB6D6B"/>
    <w:rsid w:val="5C191B77"/>
    <w:rsid w:val="5C5F62BB"/>
    <w:rsid w:val="5CE11511"/>
    <w:rsid w:val="5E127950"/>
    <w:rsid w:val="5E7E58D0"/>
    <w:rsid w:val="5F64760C"/>
    <w:rsid w:val="5F901E0B"/>
    <w:rsid w:val="61541AD6"/>
    <w:rsid w:val="615D71E5"/>
    <w:rsid w:val="61B21AFD"/>
    <w:rsid w:val="63692870"/>
    <w:rsid w:val="64975EB3"/>
    <w:rsid w:val="64AC1296"/>
    <w:rsid w:val="65B531CE"/>
    <w:rsid w:val="65CD346F"/>
    <w:rsid w:val="65E902AA"/>
    <w:rsid w:val="666C7DFB"/>
    <w:rsid w:val="66781A3D"/>
    <w:rsid w:val="66A05988"/>
    <w:rsid w:val="66D44878"/>
    <w:rsid w:val="68420E91"/>
    <w:rsid w:val="68C2249C"/>
    <w:rsid w:val="68C47870"/>
    <w:rsid w:val="692F1AC0"/>
    <w:rsid w:val="694F1D12"/>
    <w:rsid w:val="6A074137"/>
    <w:rsid w:val="6A382F02"/>
    <w:rsid w:val="6CF84860"/>
    <w:rsid w:val="6D5B1A13"/>
    <w:rsid w:val="6E8D4D6A"/>
    <w:rsid w:val="6EC407F2"/>
    <w:rsid w:val="71852FD0"/>
    <w:rsid w:val="71BF766F"/>
    <w:rsid w:val="76D87DA0"/>
    <w:rsid w:val="77186933"/>
    <w:rsid w:val="776954EB"/>
    <w:rsid w:val="77A71524"/>
    <w:rsid w:val="78AE01A5"/>
    <w:rsid w:val="78C2716B"/>
    <w:rsid w:val="7B633465"/>
    <w:rsid w:val="7B865793"/>
    <w:rsid w:val="7CC7410F"/>
    <w:rsid w:val="7D4B4BA2"/>
    <w:rsid w:val="7D5C30AF"/>
    <w:rsid w:val="7DA15188"/>
    <w:rsid w:val="7E545BFF"/>
    <w:rsid w:val="7EC65EC0"/>
    <w:rsid w:val="7F390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
    <w:qFormat/>
    <w:uiPriority w:val="0"/>
    <w:pPr>
      <w:keepNext/>
      <w:keepLines/>
      <w:spacing w:beforeLines="100" w:afterLines="100" w:line="360" w:lineRule="auto"/>
      <w:jc w:val="center"/>
      <w:outlineLvl w:val="0"/>
    </w:pPr>
    <w:rPr>
      <w:rFonts w:ascii="黑体" w:eastAsia="黑体"/>
      <w:kern w:val="44"/>
      <w:sz w:val="36"/>
      <w:szCs w:val="36"/>
    </w:rPr>
  </w:style>
  <w:style w:type="paragraph" w:styleId="4">
    <w:name w:val="heading 2"/>
    <w:basedOn w:val="1"/>
    <w:next w:val="1"/>
    <w:link w:val="39"/>
    <w:qFormat/>
    <w:uiPriority w:val="0"/>
    <w:pPr>
      <w:keepNext/>
      <w:keepLines/>
      <w:adjustRightInd w:val="0"/>
      <w:spacing w:before="120" w:after="120" w:line="360" w:lineRule="auto"/>
      <w:ind w:firstLine="480" w:firstLineChars="200"/>
      <w:textAlignment w:val="baseline"/>
      <w:outlineLvl w:val="1"/>
    </w:pPr>
    <w:rPr>
      <w:rFonts w:ascii="黑体" w:hAnsi="Arial" w:eastAsia="黑体"/>
      <w:b/>
      <w:kern w:val="0"/>
      <w:sz w:val="24"/>
    </w:rPr>
  </w:style>
  <w:style w:type="paragraph" w:styleId="5">
    <w:name w:val="heading 3"/>
    <w:basedOn w:val="1"/>
    <w:next w:val="6"/>
    <w:link w:val="40"/>
    <w:qFormat/>
    <w:uiPriority w:val="0"/>
    <w:pPr>
      <w:keepNext/>
      <w:keepLines/>
      <w:autoSpaceDE w:val="0"/>
      <w:autoSpaceDN w:val="0"/>
      <w:adjustRightInd w:val="0"/>
      <w:spacing w:before="120" w:after="120"/>
      <w:ind w:firstLine="480" w:firstLineChars="200"/>
      <w:jc w:val="left"/>
      <w:outlineLvl w:val="2"/>
    </w:pPr>
    <w:rPr>
      <w:rFonts w:ascii="宋体" w:hAnsi="宋体"/>
      <w:b/>
      <w:kern w:val="0"/>
      <w:sz w:val="24"/>
    </w:rPr>
  </w:style>
  <w:style w:type="paragraph" w:styleId="7">
    <w:name w:val="heading 4"/>
    <w:basedOn w:val="1"/>
    <w:next w:val="1"/>
    <w:link w:val="42"/>
    <w:qFormat/>
    <w:uiPriority w:val="0"/>
    <w:pPr>
      <w:keepNext/>
      <w:keepLines/>
      <w:spacing w:before="280" w:after="290" w:line="372" w:lineRule="auto"/>
      <w:outlineLvl w:val="3"/>
    </w:pPr>
    <w:rPr>
      <w:rFonts w:ascii="Arial" w:hAnsi="Arial" w:eastAsia="黑体"/>
      <w:b/>
      <w:bCs/>
      <w:sz w:val="28"/>
      <w:szCs w:val="28"/>
    </w:rPr>
  </w:style>
  <w:style w:type="paragraph" w:styleId="8">
    <w:name w:val="heading 5"/>
    <w:basedOn w:val="1"/>
    <w:next w:val="1"/>
    <w:link w:val="97"/>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98"/>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10">
    <w:name w:val="heading 7"/>
    <w:basedOn w:val="1"/>
    <w:next w:val="1"/>
    <w:link w:val="99"/>
    <w:qFormat/>
    <w:uiPriority w:val="0"/>
    <w:pPr>
      <w:keepNext/>
      <w:keepLines/>
      <w:adjustRightInd w:val="0"/>
      <w:spacing w:before="240" w:after="64" w:line="320" w:lineRule="atLeast"/>
      <w:jc w:val="left"/>
      <w:textAlignment w:val="baseline"/>
      <w:outlineLvl w:val="6"/>
    </w:pPr>
    <w:rPr>
      <w:b/>
      <w:bCs/>
      <w:kern w:val="0"/>
      <w:sz w:val="24"/>
    </w:rPr>
  </w:style>
  <w:style w:type="paragraph" w:styleId="11">
    <w:name w:val="heading 8"/>
    <w:basedOn w:val="1"/>
    <w:next w:val="1"/>
    <w:link w:val="100"/>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2">
    <w:name w:val="heading 9"/>
    <w:basedOn w:val="1"/>
    <w:next w:val="1"/>
    <w:link w:val="101"/>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2">
    <w:name w:val="Default Paragraph Font"/>
    <w:semiHidden/>
    <w:unhideWhenUsed/>
    <w:qFormat/>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styleId="2">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6">
    <w:name w:val="Normal Indent"/>
    <w:basedOn w:val="1"/>
    <w:next w:val="1"/>
    <w:link w:val="41"/>
    <w:qFormat/>
    <w:uiPriority w:val="0"/>
    <w:pPr>
      <w:autoSpaceDE w:val="0"/>
      <w:autoSpaceDN w:val="0"/>
      <w:adjustRightInd w:val="0"/>
      <w:ind w:firstLine="420"/>
      <w:jc w:val="left"/>
    </w:pPr>
    <w:rPr>
      <w:rFonts w:ascii="宋体" w:hAnsi="Calibri"/>
      <w:kern w:val="0"/>
      <w:sz w:val="24"/>
      <w:szCs w:val="20"/>
    </w:rPr>
  </w:style>
  <w:style w:type="paragraph" w:styleId="13">
    <w:name w:val="Document Map"/>
    <w:basedOn w:val="1"/>
    <w:link w:val="43"/>
    <w:qFormat/>
    <w:uiPriority w:val="0"/>
    <w:pPr>
      <w:shd w:val="clear" w:color="auto" w:fill="000080"/>
    </w:pPr>
    <w:rPr>
      <w:kern w:val="0"/>
      <w:sz w:val="20"/>
    </w:rPr>
  </w:style>
  <w:style w:type="paragraph" w:styleId="14">
    <w:name w:val="annotation text"/>
    <w:basedOn w:val="1"/>
    <w:link w:val="44"/>
    <w:unhideWhenUsed/>
    <w:qFormat/>
    <w:uiPriority w:val="0"/>
    <w:pPr>
      <w:jc w:val="left"/>
    </w:pPr>
    <w:rPr>
      <w:szCs w:val="20"/>
    </w:rPr>
  </w:style>
  <w:style w:type="paragraph" w:styleId="15">
    <w:name w:val="Salutation"/>
    <w:basedOn w:val="1"/>
    <w:next w:val="1"/>
    <w:link w:val="45"/>
    <w:qFormat/>
    <w:uiPriority w:val="0"/>
    <w:rPr>
      <w:sz w:val="24"/>
      <w:szCs w:val="20"/>
    </w:rPr>
  </w:style>
  <w:style w:type="paragraph" w:styleId="16">
    <w:name w:val="Body Text 3"/>
    <w:basedOn w:val="1"/>
    <w:link w:val="46"/>
    <w:qFormat/>
    <w:uiPriority w:val="0"/>
    <w:pPr>
      <w:spacing w:line="360" w:lineRule="auto"/>
    </w:pPr>
    <w:rPr>
      <w:rFonts w:ascii="仿宋_GB2312" w:eastAsia="仿宋_GB2312"/>
      <w:color w:val="FF0000"/>
      <w:kern w:val="0"/>
      <w:sz w:val="24"/>
      <w:szCs w:val="20"/>
    </w:rPr>
  </w:style>
  <w:style w:type="paragraph" w:styleId="17">
    <w:name w:val="Body Text"/>
    <w:basedOn w:val="1"/>
    <w:link w:val="47"/>
    <w:qFormat/>
    <w:uiPriority w:val="0"/>
    <w:pPr>
      <w:tabs>
        <w:tab w:val="left" w:pos="567"/>
      </w:tabs>
      <w:spacing w:before="120" w:line="22" w:lineRule="atLeast"/>
    </w:pPr>
    <w:rPr>
      <w:rFonts w:ascii="宋体" w:hAnsi="宋体"/>
      <w:sz w:val="24"/>
    </w:rPr>
  </w:style>
  <w:style w:type="paragraph" w:styleId="18">
    <w:name w:val="Body Text Indent"/>
    <w:basedOn w:val="1"/>
    <w:link w:val="48"/>
    <w:qFormat/>
    <w:uiPriority w:val="0"/>
    <w:pPr>
      <w:spacing w:line="360" w:lineRule="auto"/>
      <w:ind w:firstLine="570"/>
    </w:pPr>
    <w:rPr>
      <w:sz w:val="24"/>
    </w:rPr>
  </w:style>
  <w:style w:type="paragraph" w:styleId="19">
    <w:name w:val="toc 3"/>
    <w:basedOn w:val="1"/>
    <w:next w:val="1"/>
    <w:qFormat/>
    <w:uiPriority w:val="39"/>
    <w:pPr>
      <w:ind w:left="840" w:leftChars="400"/>
    </w:pPr>
  </w:style>
  <w:style w:type="paragraph" w:styleId="20">
    <w:name w:val="Plain Text"/>
    <w:basedOn w:val="1"/>
    <w:link w:val="49"/>
    <w:qFormat/>
    <w:uiPriority w:val="0"/>
    <w:rPr>
      <w:rFonts w:ascii="宋体" w:hAnsi="Courier New"/>
      <w:szCs w:val="20"/>
    </w:rPr>
  </w:style>
  <w:style w:type="paragraph" w:styleId="21">
    <w:name w:val="Date"/>
    <w:basedOn w:val="1"/>
    <w:next w:val="1"/>
    <w:link w:val="50"/>
    <w:qFormat/>
    <w:uiPriority w:val="0"/>
    <w:pPr>
      <w:ind w:left="100" w:leftChars="2500"/>
    </w:pPr>
    <w:rPr>
      <w:kern w:val="0"/>
      <w:sz w:val="20"/>
    </w:rPr>
  </w:style>
  <w:style w:type="paragraph" w:styleId="22">
    <w:name w:val="Balloon Text"/>
    <w:basedOn w:val="1"/>
    <w:link w:val="51"/>
    <w:qFormat/>
    <w:uiPriority w:val="0"/>
    <w:rPr>
      <w:kern w:val="0"/>
      <w:sz w:val="18"/>
      <w:szCs w:val="18"/>
    </w:rPr>
  </w:style>
  <w:style w:type="paragraph" w:styleId="23">
    <w:name w:val="footer"/>
    <w:basedOn w:val="1"/>
    <w:link w:val="52"/>
    <w:qFormat/>
    <w:uiPriority w:val="0"/>
    <w:pPr>
      <w:tabs>
        <w:tab w:val="center" w:pos="4153"/>
        <w:tab w:val="right" w:pos="8306"/>
      </w:tabs>
      <w:snapToGrid w:val="0"/>
      <w:jc w:val="left"/>
    </w:pPr>
    <w:rPr>
      <w:sz w:val="18"/>
      <w:szCs w:val="18"/>
    </w:rPr>
  </w:style>
  <w:style w:type="paragraph" w:styleId="24">
    <w:name w:val="header"/>
    <w:basedOn w:val="1"/>
    <w:link w:val="53"/>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120" w:after="120"/>
      <w:jc w:val="left"/>
    </w:pPr>
    <w:rPr>
      <w:b/>
      <w:bCs/>
      <w:caps/>
      <w:sz w:val="20"/>
      <w:szCs w:val="20"/>
    </w:rPr>
  </w:style>
  <w:style w:type="paragraph" w:styleId="26">
    <w:name w:val="footnote text"/>
    <w:basedOn w:val="1"/>
    <w:link w:val="54"/>
    <w:qFormat/>
    <w:uiPriority w:val="0"/>
    <w:pPr>
      <w:snapToGrid w:val="0"/>
      <w:jc w:val="left"/>
    </w:pPr>
    <w:rPr>
      <w:kern w:val="0"/>
      <w:sz w:val="18"/>
      <w:szCs w:val="18"/>
    </w:rPr>
  </w:style>
  <w:style w:type="paragraph" w:styleId="27">
    <w:name w:val="toc 2"/>
    <w:basedOn w:val="1"/>
    <w:next w:val="1"/>
    <w:qFormat/>
    <w:uiPriority w:val="39"/>
    <w:pPr>
      <w:tabs>
        <w:tab w:val="right" w:leader="dot" w:pos="8720"/>
      </w:tabs>
      <w:spacing w:line="360" w:lineRule="auto"/>
      <w:jc w:val="left"/>
    </w:pPr>
    <w:rPr>
      <w:rFonts w:ascii="宋体" w:hAnsi="宋体" w:eastAsia="黑体"/>
      <w:b/>
      <w:smallCaps/>
      <w:sz w:val="24"/>
    </w:rPr>
  </w:style>
  <w:style w:type="paragraph" w:styleId="28">
    <w:name w:val="Normal (Web)"/>
    <w:basedOn w:val="1"/>
    <w:qFormat/>
    <w:uiPriority w:val="0"/>
    <w:pPr>
      <w:widowControl/>
      <w:spacing w:before="100" w:beforeAutospacing="1" w:after="100" w:afterAutospacing="1"/>
      <w:jc w:val="left"/>
    </w:pPr>
    <w:rPr>
      <w:rFonts w:ascii="宋体" w:hAnsi="宋体"/>
      <w:kern w:val="0"/>
      <w:sz w:val="24"/>
    </w:rPr>
  </w:style>
  <w:style w:type="paragraph" w:styleId="29">
    <w:name w:val="annotation subject"/>
    <w:basedOn w:val="14"/>
    <w:next w:val="14"/>
    <w:link w:val="55"/>
    <w:qFormat/>
    <w:uiPriority w:val="0"/>
    <w:rPr>
      <w:b/>
      <w:bCs/>
    </w:rPr>
  </w:style>
  <w:style w:type="table" w:styleId="31">
    <w:name w:val="Table Grid"/>
    <w:basedOn w:val="3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page number"/>
    <w:qFormat/>
    <w:uiPriority w:val="0"/>
  </w:style>
  <w:style w:type="character" w:styleId="34">
    <w:name w:val="FollowedHyperlink"/>
    <w:basedOn w:val="32"/>
    <w:qFormat/>
    <w:uiPriority w:val="0"/>
    <w:rPr>
      <w:rFonts w:hint="eastAsia" w:ascii="微软雅黑" w:hAnsi="微软雅黑" w:eastAsia="微软雅黑" w:cs="微软雅黑"/>
      <w:color w:val="02396F"/>
      <w:u w:val="single"/>
    </w:rPr>
  </w:style>
  <w:style w:type="character" w:styleId="35">
    <w:name w:val="Hyperlink"/>
    <w:qFormat/>
    <w:uiPriority w:val="99"/>
    <w:rPr>
      <w:rFonts w:ascii="Arial" w:hAnsi="Arial" w:eastAsia="宋体"/>
      <w:color w:val="0000FF"/>
      <w:u w:val="single"/>
    </w:rPr>
  </w:style>
  <w:style w:type="character" w:styleId="36">
    <w:name w:val="annotation reference"/>
    <w:qFormat/>
    <w:uiPriority w:val="99"/>
    <w:rPr>
      <w:sz w:val="21"/>
      <w:szCs w:val="21"/>
    </w:rPr>
  </w:style>
  <w:style w:type="character" w:styleId="37">
    <w:name w:val="footnote reference"/>
    <w:qFormat/>
    <w:uiPriority w:val="0"/>
    <w:rPr>
      <w:vertAlign w:val="superscript"/>
    </w:rPr>
  </w:style>
  <w:style w:type="character" w:customStyle="1" w:styleId="38">
    <w:name w:val="标题 1 字符"/>
    <w:link w:val="3"/>
    <w:qFormat/>
    <w:uiPriority w:val="0"/>
    <w:rPr>
      <w:rFonts w:ascii="黑体" w:eastAsia="黑体"/>
      <w:kern w:val="44"/>
      <w:sz w:val="36"/>
      <w:szCs w:val="36"/>
    </w:rPr>
  </w:style>
  <w:style w:type="character" w:customStyle="1" w:styleId="39">
    <w:name w:val="标题 2 字符"/>
    <w:link w:val="4"/>
    <w:qFormat/>
    <w:uiPriority w:val="0"/>
    <w:rPr>
      <w:rFonts w:ascii="黑体" w:hAnsi="Arial" w:eastAsia="黑体"/>
      <w:b/>
      <w:sz w:val="24"/>
      <w:szCs w:val="24"/>
    </w:rPr>
  </w:style>
  <w:style w:type="character" w:customStyle="1" w:styleId="40">
    <w:name w:val="标题 3 字符"/>
    <w:link w:val="5"/>
    <w:qFormat/>
    <w:uiPriority w:val="0"/>
    <w:rPr>
      <w:rFonts w:ascii="宋体" w:hAnsi="宋体"/>
      <w:b/>
      <w:sz w:val="24"/>
      <w:szCs w:val="24"/>
    </w:rPr>
  </w:style>
  <w:style w:type="character" w:customStyle="1" w:styleId="41">
    <w:name w:val="正文缩进 字符"/>
    <w:link w:val="6"/>
    <w:qFormat/>
    <w:uiPriority w:val="0"/>
    <w:rPr>
      <w:rFonts w:ascii="宋体" w:hAnsi="Calibri"/>
      <w:sz w:val="24"/>
    </w:rPr>
  </w:style>
  <w:style w:type="character" w:customStyle="1" w:styleId="42">
    <w:name w:val="标题 4 字符"/>
    <w:link w:val="7"/>
    <w:qFormat/>
    <w:uiPriority w:val="0"/>
    <w:rPr>
      <w:rFonts w:ascii="Arial" w:hAnsi="Arial" w:eastAsia="黑体"/>
      <w:b/>
      <w:bCs/>
      <w:kern w:val="2"/>
      <w:sz w:val="28"/>
      <w:szCs w:val="28"/>
    </w:rPr>
  </w:style>
  <w:style w:type="character" w:customStyle="1" w:styleId="43">
    <w:name w:val="文档结构图 字符"/>
    <w:link w:val="13"/>
    <w:qFormat/>
    <w:uiPriority w:val="0"/>
    <w:rPr>
      <w:szCs w:val="24"/>
      <w:shd w:val="clear" w:color="auto" w:fill="000080"/>
    </w:rPr>
  </w:style>
  <w:style w:type="character" w:customStyle="1" w:styleId="44">
    <w:name w:val="批注文字 字符"/>
    <w:link w:val="14"/>
    <w:qFormat/>
    <w:uiPriority w:val="0"/>
    <w:rPr>
      <w:kern w:val="2"/>
      <w:sz w:val="21"/>
    </w:rPr>
  </w:style>
  <w:style w:type="character" w:customStyle="1" w:styleId="45">
    <w:name w:val="称呼 字符1"/>
    <w:link w:val="15"/>
    <w:qFormat/>
    <w:uiPriority w:val="0"/>
    <w:rPr>
      <w:kern w:val="2"/>
      <w:sz w:val="24"/>
    </w:rPr>
  </w:style>
  <w:style w:type="character" w:customStyle="1" w:styleId="46">
    <w:name w:val="正文文本 3 字符"/>
    <w:link w:val="16"/>
    <w:qFormat/>
    <w:uiPriority w:val="0"/>
    <w:rPr>
      <w:rFonts w:ascii="仿宋_GB2312" w:eastAsia="仿宋_GB2312"/>
      <w:color w:val="FF0000"/>
      <w:sz w:val="24"/>
    </w:rPr>
  </w:style>
  <w:style w:type="character" w:customStyle="1" w:styleId="47">
    <w:name w:val="正文文本 字符"/>
    <w:link w:val="17"/>
    <w:qFormat/>
    <w:uiPriority w:val="0"/>
    <w:rPr>
      <w:rFonts w:ascii="宋体" w:hAnsi="宋体"/>
      <w:kern w:val="2"/>
      <w:sz w:val="24"/>
      <w:szCs w:val="24"/>
    </w:rPr>
  </w:style>
  <w:style w:type="character" w:customStyle="1" w:styleId="48">
    <w:name w:val="正文文本缩进 字符"/>
    <w:link w:val="18"/>
    <w:qFormat/>
    <w:uiPriority w:val="0"/>
    <w:rPr>
      <w:kern w:val="2"/>
      <w:sz w:val="24"/>
      <w:szCs w:val="24"/>
    </w:rPr>
  </w:style>
  <w:style w:type="character" w:customStyle="1" w:styleId="49">
    <w:name w:val="纯文本 字符"/>
    <w:link w:val="20"/>
    <w:qFormat/>
    <w:uiPriority w:val="0"/>
    <w:rPr>
      <w:rFonts w:ascii="宋体" w:hAnsi="Courier New"/>
      <w:kern w:val="2"/>
      <w:sz w:val="21"/>
    </w:rPr>
  </w:style>
  <w:style w:type="character" w:customStyle="1" w:styleId="50">
    <w:name w:val="日期 字符"/>
    <w:link w:val="21"/>
    <w:qFormat/>
    <w:uiPriority w:val="0"/>
    <w:rPr>
      <w:szCs w:val="24"/>
    </w:rPr>
  </w:style>
  <w:style w:type="character" w:customStyle="1" w:styleId="51">
    <w:name w:val="批注框文本 字符"/>
    <w:link w:val="22"/>
    <w:qFormat/>
    <w:uiPriority w:val="0"/>
    <w:rPr>
      <w:sz w:val="18"/>
      <w:szCs w:val="18"/>
    </w:rPr>
  </w:style>
  <w:style w:type="character" w:customStyle="1" w:styleId="52">
    <w:name w:val="页脚 字符"/>
    <w:link w:val="23"/>
    <w:qFormat/>
    <w:uiPriority w:val="0"/>
    <w:rPr>
      <w:kern w:val="2"/>
      <w:sz w:val="18"/>
      <w:szCs w:val="18"/>
    </w:rPr>
  </w:style>
  <w:style w:type="character" w:customStyle="1" w:styleId="53">
    <w:name w:val="页眉 字符"/>
    <w:link w:val="24"/>
    <w:qFormat/>
    <w:uiPriority w:val="99"/>
    <w:rPr>
      <w:kern w:val="2"/>
      <w:sz w:val="18"/>
      <w:szCs w:val="18"/>
    </w:rPr>
  </w:style>
  <w:style w:type="character" w:customStyle="1" w:styleId="54">
    <w:name w:val="脚注文本 字符"/>
    <w:link w:val="26"/>
    <w:qFormat/>
    <w:uiPriority w:val="0"/>
    <w:rPr>
      <w:sz w:val="18"/>
      <w:szCs w:val="18"/>
    </w:rPr>
  </w:style>
  <w:style w:type="character" w:customStyle="1" w:styleId="55">
    <w:name w:val="批注主题 字符"/>
    <w:link w:val="29"/>
    <w:qFormat/>
    <w:uiPriority w:val="0"/>
    <w:rPr>
      <w:b/>
      <w:bCs/>
      <w:kern w:val="2"/>
      <w:sz w:val="21"/>
    </w:rPr>
  </w:style>
  <w:style w:type="character" w:customStyle="1" w:styleId="56">
    <w:name w:val="纯文本 Char1"/>
    <w:qFormat/>
    <w:locked/>
    <w:uiPriority w:val="0"/>
    <w:rPr>
      <w:rFonts w:ascii="宋体" w:hAnsi="Courier New"/>
      <w:kern w:val="2"/>
      <w:sz w:val="21"/>
    </w:rPr>
  </w:style>
  <w:style w:type="character" w:customStyle="1" w:styleId="57">
    <w:name w:val="z-窗体底端 Char1"/>
    <w:qFormat/>
    <w:uiPriority w:val="99"/>
    <w:rPr>
      <w:rFonts w:ascii="Arial" w:hAnsi="Arial" w:cs="Arial"/>
      <w:vanish/>
      <w:kern w:val="2"/>
      <w:sz w:val="16"/>
      <w:szCs w:val="16"/>
    </w:rPr>
  </w:style>
  <w:style w:type="character" w:customStyle="1" w:styleId="58">
    <w:name w:val="font31"/>
    <w:qFormat/>
    <w:uiPriority w:val="0"/>
    <w:rPr>
      <w:rFonts w:hint="eastAsia" w:ascii="宋体" w:hAnsi="宋体" w:eastAsia="宋体" w:cs="宋体"/>
      <w:b/>
      <w:color w:val="000000"/>
      <w:sz w:val="21"/>
      <w:szCs w:val="21"/>
      <w:u w:val="none"/>
    </w:rPr>
  </w:style>
  <w:style w:type="character" w:customStyle="1" w:styleId="59">
    <w:name w:val="称呼 字符"/>
    <w:semiHidden/>
    <w:qFormat/>
    <w:uiPriority w:val="0"/>
    <w:rPr>
      <w:kern w:val="2"/>
      <w:sz w:val="24"/>
    </w:rPr>
  </w:style>
  <w:style w:type="character" w:customStyle="1" w:styleId="60">
    <w:name w:val="日期 Char1"/>
    <w:qFormat/>
    <w:uiPriority w:val="0"/>
    <w:rPr>
      <w:kern w:val="2"/>
      <w:sz w:val="21"/>
      <w:szCs w:val="24"/>
    </w:rPr>
  </w:style>
  <w:style w:type="character" w:customStyle="1" w:styleId="61">
    <w:name w:val="z-窗体底端 Char"/>
    <w:link w:val="62"/>
    <w:qFormat/>
    <w:uiPriority w:val="0"/>
    <w:rPr>
      <w:rFonts w:ascii="Arial" w:hAnsi="Arial" w:cs="Arial"/>
      <w:vanish/>
      <w:sz w:val="16"/>
      <w:szCs w:val="16"/>
    </w:rPr>
  </w:style>
  <w:style w:type="paragraph" w:customStyle="1" w:styleId="62">
    <w:name w:val="z-窗体底端1"/>
    <w:basedOn w:val="1"/>
    <w:next w:val="1"/>
    <w:link w:val="61"/>
    <w:qFormat/>
    <w:uiPriority w:val="0"/>
    <w:pPr>
      <w:pBdr>
        <w:top w:val="single" w:color="auto" w:sz="6" w:space="1"/>
      </w:pBdr>
      <w:jc w:val="center"/>
    </w:pPr>
    <w:rPr>
      <w:rFonts w:ascii="Arial" w:hAnsi="Arial"/>
      <w:vanish/>
      <w:kern w:val="0"/>
      <w:sz w:val="16"/>
      <w:szCs w:val="16"/>
    </w:rPr>
  </w:style>
  <w:style w:type="character" w:customStyle="1" w:styleId="63">
    <w:name w:val="列表段落 字符"/>
    <w:link w:val="64"/>
    <w:qFormat/>
    <w:uiPriority w:val="34"/>
    <w:rPr>
      <w:szCs w:val="24"/>
    </w:rPr>
  </w:style>
  <w:style w:type="paragraph" w:styleId="64">
    <w:name w:val="List Paragraph"/>
    <w:basedOn w:val="1"/>
    <w:link w:val="63"/>
    <w:qFormat/>
    <w:uiPriority w:val="34"/>
    <w:pPr>
      <w:ind w:firstLine="420" w:firstLineChars="200"/>
    </w:pPr>
    <w:rPr>
      <w:kern w:val="0"/>
      <w:sz w:val="20"/>
    </w:rPr>
  </w:style>
  <w:style w:type="character" w:customStyle="1" w:styleId="65">
    <w:name w:val="特点 Char"/>
    <w:qFormat/>
    <w:uiPriority w:val="0"/>
    <w:rPr>
      <w:rFonts w:ascii="宋体"/>
      <w:sz w:val="24"/>
    </w:rPr>
  </w:style>
  <w:style w:type="character" w:customStyle="1" w:styleId="66">
    <w:name w:val="页眉 Char1"/>
    <w:qFormat/>
    <w:uiPriority w:val="0"/>
    <w:rPr>
      <w:rFonts w:eastAsia="宋体"/>
      <w:kern w:val="2"/>
      <w:sz w:val="18"/>
      <w:szCs w:val="18"/>
      <w:lang w:val="en-US" w:eastAsia="zh-CN" w:bidi="ar-SA"/>
    </w:rPr>
  </w:style>
  <w:style w:type="character" w:customStyle="1" w:styleId="67">
    <w:name w:val="正文文本 3 Char1"/>
    <w:qFormat/>
    <w:uiPriority w:val="99"/>
    <w:rPr>
      <w:kern w:val="2"/>
      <w:sz w:val="16"/>
      <w:szCs w:val="16"/>
    </w:rPr>
  </w:style>
  <w:style w:type="character" w:customStyle="1" w:styleId="68">
    <w:name w:val="样式 首行缩进:  2 字符 Char"/>
    <w:link w:val="69"/>
    <w:qFormat/>
    <w:uiPriority w:val="0"/>
    <w:rPr>
      <w:rFonts w:ascii="仿宋_GB2312" w:eastAsia="仿宋_GB2312" w:cs="宋体"/>
      <w:sz w:val="28"/>
    </w:rPr>
  </w:style>
  <w:style w:type="paragraph" w:customStyle="1" w:styleId="69">
    <w:name w:val="样式 首行缩进:  2 字符"/>
    <w:basedOn w:val="1"/>
    <w:link w:val="68"/>
    <w:qFormat/>
    <w:uiPriority w:val="0"/>
    <w:pPr>
      <w:spacing w:beforeLines="50" w:line="360" w:lineRule="auto"/>
      <w:ind w:firstLine="560" w:firstLineChars="200"/>
    </w:pPr>
    <w:rPr>
      <w:rFonts w:ascii="仿宋_GB2312" w:eastAsia="仿宋_GB2312"/>
      <w:kern w:val="0"/>
      <w:sz w:val="28"/>
      <w:szCs w:val="20"/>
    </w:rPr>
  </w:style>
  <w:style w:type="character" w:customStyle="1" w:styleId="70">
    <w:name w:val="文档结构图 Char1"/>
    <w:qFormat/>
    <w:uiPriority w:val="0"/>
    <w:rPr>
      <w:rFonts w:ascii="宋体"/>
      <w:kern w:val="2"/>
      <w:sz w:val="18"/>
      <w:szCs w:val="18"/>
    </w:rPr>
  </w:style>
  <w:style w:type="character" w:customStyle="1" w:styleId="71">
    <w:name w:val="批注主题 Char1"/>
    <w:qFormat/>
    <w:uiPriority w:val="0"/>
    <w:rPr>
      <w:b/>
      <w:bCs/>
      <w:kern w:val="2"/>
      <w:sz w:val="21"/>
    </w:rPr>
  </w:style>
  <w:style w:type="character" w:customStyle="1" w:styleId="72">
    <w:name w:val="批注框文本 Char1"/>
    <w:qFormat/>
    <w:uiPriority w:val="0"/>
    <w:rPr>
      <w:kern w:val="2"/>
      <w:sz w:val="18"/>
      <w:szCs w:val="18"/>
    </w:rPr>
  </w:style>
  <w:style w:type="character" w:customStyle="1" w:styleId="73">
    <w:name w:val="脚注文本 Char1"/>
    <w:qFormat/>
    <w:uiPriority w:val="99"/>
    <w:rPr>
      <w:kern w:val="2"/>
      <w:sz w:val="18"/>
      <w:szCs w:val="18"/>
    </w:rPr>
  </w:style>
  <w:style w:type="character" w:customStyle="1" w:styleId="74">
    <w:name w:val="font21"/>
    <w:qFormat/>
    <w:uiPriority w:val="0"/>
    <w:rPr>
      <w:rFonts w:hint="eastAsia" w:ascii="宋体" w:hAnsi="宋体" w:eastAsia="宋体" w:cs="宋体"/>
      <w:b/>
      <w:color w:val="000000"/>
      <w:sz w:val="24"/>
      <w:szCs w:val="24"/>
      <w:u w:val="none"/>
    </w:rPr>
  </w:style>
  <w:style w:type="character" w:customStyle="1" w:styleId="75">
    <w:name w:val="font11"/>
    <w:qFormat/>
    <w:uiPriority w:val="0"/>
    <w:rPr>
      <w:rFonts w:hint="eastAsia" w:ascii="宋体" w:hAnsi="宋体" w:eastAsia="宋体" w:cs="宋体"/>
      <w:color w:val="000000"/>
      <w:sz w:val="24"/>
      <w:szCs w:val="24"/>
      <w:u w:val="none"/>
    </w:rPr>
  </w:style>
  <w:style w:type="paragraph" w:customStyle="1" w:styleId="76">
    <w:name w:val="d正文"/>
    <w:basedOn w:val="1"/>
    <w:qFormat/>
    <w:uiPriority w:val="0"/>
    <w:pPr>
      <w:spacing w:before="120" w:after="120" w:line="360" w:lineRule="auto"/>
      <w:ind w:firstLine="200" w:firstLineChars="200"/>
    </w:pPr>
    <w:rPr>
      <w:rFonts w:ascii="Calibri" w:hAnsi="Calibri"/>
      <w:kern w:val="0"/>
      <w:sz w:val="24"/>
      <w:szCs w:val="20"/>
    </w:rPr>
  </w:style>
  <w:style w:type="paragraph" w:customStyle="1" w:styleId="77">
    <w:name w:val="修订1"/>
    <w:semiHidden/>
    <w:qFormat/>
    <w:uiPriority w:val="99"/>
    <w:rPr>
      <w:rFonts w:ascii="Times New Roman" w:hAnsi="Times New Roman" w:eastAsia="宋体" w:cs="Times New Roman"/>
      <w:kern w:val="2"/>
      <w:sz w:val="21"/>
      <w:lang w:val="en-US" w:eastAsia="zh-CN" w:bidi="ar-SA"/>
    </w:rPr>
  </w:style>
  <w:style w:type="paragraph" w:customStyle="1" w:styleId="78">
    <w:name w:val="正文表格"/>
    <w:basedOn w:val="1"/>
    <w:qFormat/>
    <w:uiPriority w:val="0"/>
    <w:pPr>
      <w:spacing w:before="20" w:after="20"/>
      <w:ind w:left="20" w:right="20"/>
    </w:pPr>
    <w:rPr>
      <w:rFonts w:ascii="宋体"/>
      <w:szCs w:val="20"/>
    </w:rPr>
  </w:style>
  <w:style w:type="paragraph" w:customStyle="1" w:styleId="79">
    <w:name w:val="Table Paragraph"/>
    <w:basedOn w:val="1"/>
    <w:qFormat/>
    <w:uiPriority w:val="1"/>
  </w:style>
  <w:style w:type="paragraph" w:customStyle="1" w:styleId="80">
    <w:name w:val="TOC 标题1"/>
    <w:basedOn w:val="3"/>
    <w:next w:val="1"/>
    <w:qFormat/>
    <w:uiPriority w:val="39"/>
    <w:pPr>
      <w:widowControl/>
      <w:spacing w:beforeLines="0" w:afterLines="0" w:line="276" w:lineRule="auto"/>
      <w:jc w:val="left"/>
      <w:outlineLvl w:val="9"/>
    </w:pPr>
    <w:rPr>
      <w:rFonts w:ascii="Cambria" w:hAnsi="Cambria" w:eastAsia="宋体"/>
      <w:b/>
      <w:bCs/>
      <w:color w:val="365F91"/>
      <w:kern w:val="0"/>
      <w:sz w:val="28"/>
      <w:szCs w:val="28"/>
    </w:rPr>
  </w:style>
  <w:style w:type="paragraph" w:customStyle="1" w:styleId="81">
    <w:name w:val="样式1"/>
    <w:basedOn w:val="1"/>
    <w:qFormat/>
    <w:uiPriority w:val="0"/>
    <w:pPr>
      <w:tabs>
        <w:tab w:val="left" w:pos="1200"/>
      </w:tabs>
      <w:adjustRightInd w:val="0"/>
      <w:ind w:left="1200" w:hanging="720"/>
      <w:textAlignment w:val="baseline"/>
    </w:pPr>
    <w:rPr>
      <w:rFonts w:ascii="宋体" w:hAnsi="宋体"/>
      <w:kern w:val="0"/>
      <w:szCs w:val="21"/>
    </w:rPr>
  </w:style>
  <w:style w:type="paragraph" w:customStyle="1" w:styleId="82">
    <w:name w:val="列出段落2"/>
    <w:basedOn w:val="1"/>
    <w:qFormat/>
    <w:uiPriority w:val="99"/>
    <w:pPr>
      <w:ind w:firstLine="420" w:firstLineChars="200"/>
    </w:pPr>
    <w:rPr>
      <w:rFonts w:eastAsia="楷体_GB2312"/>
    </w:rPr>
  </w:style>
  <w:style w:type="paragraph" w:customStyle="1" w:styleId="83">
    <w:name w:val="列出段落1"/>
    <w:basedOn w:val="1"/>
    <w:qFormat/>
    <w:uiPriority w:val="34"/>
    <w:pPr>
      <w:widowControl/>
      <w:ind w:firstLine="420" w:firstLineChars="200"/>
      <w:jc w:val="left"/>
    </w:pPr>
    <w:rPr>
      <w:rFonts w:ascii="Cambria" w:hAnsi="Cambria" w:eastAsia="微软雅黑"/>
      <w:color w:val="595959"/>
      <w:kern w:val="20"/>
      <w:szCs w:val="20"/>
      <w:lang w:val="zh-CN"/>
    </w:rPr>
  </w:style>
  <w:style w:type="character" w:customStyle="1" w:styleId="84">
    <w:name w:val="纯文本 Char"/>
    <w:qFormat/>
    <w:uiPriority w:val="0"/>
    <w:rPr>
      <w:rFonts w:ascii="宋体" w:hAnsi="Courier New" w:cs="Courier New"/>
      <w:kern w:val="2"/>
      <w:sz w:val="21"/>
      <w:szCs w:val="21"/>
    </w:rPr>
  </w:style>
  <w:style w:type="paragraph" w:customStyle="1" w:styleId="85">
    <w:name w:val="合同正文"/>
    <w:qFormat/>
    <w:uiPriority w:val="0"/>
    <w:pPr>
      <w:widowControl w:val="0"/>
      <w:adjustRightInd w:val="0"/>
      <w:snapToGrid w:val="0"/>
      <w:spacing w:line="360" w:lineRule="auto"/>
      <w:ind w:firstLine="1385" w:firstLineChars="200"/>
    </w:pPr>
    <w:rPr>
      <w:rFonts w:ascii="宋体" w:hAnsi="宋体" w:eastAsia="宋体" w:cs="宋体"/>
      <w:kern w:val="2"/>
      <w:sz w:val="24"/>
      <w:lang w:val="en-US" w:eastAsia="zh-CN" w:bidi="ar-SA"/>
    </w:rPr>
  </w:style>
  <w:style w:type="paragraph" w:customStyle="1" w:styleId="86">
    <w:name w:val="表格正文"/>
    <w:qFormat/>
    <w:uiPriority w:val="0"/>
    <w:pPr>
      <w:widowControl w:val="0"/>
      <w:adjustRightInd w:val="0"/>
      <w:snapToGrid w:val="0"/>
    </w:pPr>
    <w:rPr>
      <w:rFonts w:ascii="Times New Roman" w:hAnsi="Times New Roman" w:eastAsia="宋体" w:cs="Times New Roman"/>
      <w:kern w:val="2"/>
      <w:sz w:val="21"/>
      <w:lang w:val="en-US" w:eastAsia="zh-CN" w:bidi="ar-SA"/>
    </w:rPr>
  </w:style>
  <w:style w:type="character" w:customStyle="1" w:styleId="87">
    <w:name w:val="redfilenumber"/>
    <w:basedOn w:val="32"/>
    <w:qFormat/>
    <w:uiPriority w:val="0"/>
    <w:rPr>
      <w:color w:val="BA2636"/>
      <w:sz w:val="18"/>
      <w:szCs w:val="18"/>
    </w:rPr>
  </w:style>
  <w:style w:type="character" w:customStyle="1" w:styleId="88">
    <w:name w:val="cfdate"/>
    <w:basedOn w:val="32"/>
    <w:qFormat/>
    <w:uiPriority w:val="0"/>
    <w:rPr>
      <w:color w:val="333333"/>
      <w:sz w:val="18"/>
      <w:szCs w:val="18"/>
    </w:rPr>
  </w:style>
  <w:style w:type="character" w:customStyle="1" w:styleId="89">
    <w:name w:val="qxdate"/>
    <w:basedOn w:val="32"/>
    <w:qFormat/>
    <w:uiPriority w:val="0"/>
    <w:rPr>
      <w:color w:val="333333"/>
      <w:sz w:val="18"/>
      <w:szCs w:val="18"/>
    </w:rPr>
  </w:style>
  <w:style w:type="character" w:customStyle="1" w:styleId="90">
    <w:name w:val="prev"/>
    <w:basedOn w:val="32"/>
    <w:qFormat/>
    <w:uiPriority w:val="0"/>
    <w:rPr>
      <w:rFonts w:ascii="微软雅黑" w:hAnsi="微软雅黑" w:eastAsia="微软雅黑" w:cs="微软雅黑"/>
      <w:sz w:val="21"/>
      <w:szCs w:val="21"/>
    </w:rPr>
  </w:style>
  <w:style w:type="character" w:customStyle="1" w:styleId="91">
    <w:name w:val="prev1"/>
    <w:basedOn w:val="32"/>
    <w:qFormat/>
    <w:uiPriority w:val="0"/>
    <w:rPr>
      <w:color w:val="888888"/>
    </w:rPr>
  </w:style>
  <w:style w:type="character" w:customStyle="1" w:styleId="92">
    <w:name w:val="next"/>
    <w:basedOn w:val="32"/>
    <w:qFormat/>
    <w:uiPriority w:val="0"/>
    <w:rPr>
      <w:rFonts w:hint="eastAsia" w:ascii="微软雅黑" w:hAnsi="微软雅黑" w:eastAsia="微软雅黑" w:cs="微软雅黑"/>
      <w:sz w:val="21"/>
      <w:szCs w:val="21"/>
    </w:rPr>
  </w:style>
  <w:style w:type="character" w:customStyle="1" w:styleId="93">
    <w:name w:val="next1"/>
    <w:basedOn w:val="32"/>
    <w:qFormat/>
    <w:uiPriority w:val="0"/>
    <w:rPr>
      <w:color w:val="888888"/>
    </w:rPr>
  </w:style>
  <w:style w:type="character" w:customStyle="1" w:styleId="94">
    <w:name w:val="displayarti"/>
    <w:basedOn w:val="32"/>
    <w:qFormat/>
    <w:uiPriority w:val="0"/>
    <w:rPr>
      <w:color w:val="FFFFFF"/>
      <w:shd w:val="clear" w:color="auto" w:fill="A00000"/>
    </w:rPr>
  </w:style>
  <w:style w:type="character" w:customStyle="1" w:styleId="95">
    <w:name w:val="redfilefwwh"/>
    <w:basedOn w:val="32"/>
    <w:qFormat/>
    <w:uiPriority w:val="0"/>
    <w:rPr>
      <w:color w:val="BA2636"/>
      <w:sz w:val="18"/>
      <w:szCs w:val="18"/>
    </w:rPr>
  </w:style>
  <w:style w:type="character" w:customStyle="1" w:styleId="96">
    <w:name w:val="gjfg"/>
    <w:basedOn w:val="32"/>
    <w:qFormat/>
    <w:uiPriority w:val="0"/>
  </w:style>
  <w:style w:type="character" w:customStyle="1" w:styleId="97">
    <w:name w:val="标题 5 字符"/>
    <w:basedOn w:val="32"/>
    <w:link w:val="8"/>
    <w:qFormat/>
    <w:uiPriority w:val="0"/>
    <w:rPr>
      <w:b/>
      <w:bCs/>
      <w:sz w:val="28"/>
      <w:szCs w:val="28"/>
    </w:rPr>
  </w:style>
  <w:style w:type="character" w:customStyle="1" w:styleId="98">
    <w:name w:val="标题 6 字符"/>
    <w:basedOn w:val="32"/>
    <w:link w:val="9"/>
    <w:qFormat/>
    <w:uiPriority w:val="0"/>
    <w:rPr>
      <w:rFonts w:ascii="Arial" w:hAnsi="Arial" w:eastAsia="黑体"/>
      <w:b/>
      <w:bCs/>
      <w:sz w:val="24"/>
      <w:szCs w:val="24"/>
    </w:rPr>
  </w:style>
  <w:style w:type="character" w:customStyle="1" w:styleId="99">
    <w:name w:val="标题 7 字符"/>
    <w:basedOn w:val="32"/>
    <w:link w:val="10"/>
    <w:qFormat/>
    <w:uiPriority w:val="0"/>
    <w:rPr>
      <w:b/>
      <w:bCs/>
      <w:sz w:val="24"/>
      <w:szCs w:val="24"/>
    </w:rPr>
  </w:style>
  <w:style w:type="character" w:customStyle="1" w:styleId="100">
    <w:name w:val="标题 8 字符"/>
    <w:basedOn w:val="32"/>
    <w:link w:val="11"/>
    <w:qFormat/>
    <w:uiPriority w:val="0"/>
    <w:rPr>
      <w:rFonts w:ascii="Arial" w:hAnsi="Arial" w:eastAsia="黑体"/>
      <w:sz w:val="24"/>
      <w:szCs w:val="24"/>
    </w:rPr>
  </w:style>
  <w:style w:type="character" w:customStyle="1" w:styleId="101">
    <w:name w:val="标题 9 字符"/>
    <w:basedOn w:val="32"/>
    <w:link w:val="12"/>
    <w:qFormat/>
    <w:uiPriority w:val="0"/>
    <w:rPr>
      <w:rFonts w:ascii="Arial" w:hAnsi="Arial" w:eastAsia="黑体"/>
      <w:sz w:val="21"/>
      <w:szCs w:val="21"/>
    </w:rPr>
  </w:style>
  <w:style w:type="paragraph" w:customStyle="1" w:styleId="102">
    <w:name w:val="样式 标题 2 + 宋体 五号 非加粗 黑色"/>
    <w:basedOn w:val="4"/>
    <w:qFormat/>
    <w:uiPriority w:val="0"/>
    <w:pPr>
      <w:spacing w:before="0" w:after="0" w:line="416" w:lineRule="atLeast"/>
      <w:ind w:firstLine="0" w:firstLineChars="0"/>
      <w:jc w:val="left"/>
    </w:pPr>
    <w:rPr>
      <w:rFonts w:ascii="宋体" w:hAnsi="宋体" w:eastAsia="宋体"/>
      <w:b w:val="0"/>
      <w:color w:val="000000"/>
      <w:sz w:val="21"/>
      <w:szCs w:val="32"/>
    </w:rPr>
  </w:style>
  <w:style w:type="paragraph" w:customStyle="1" w:styleId="103">
    <w:name w:val="样式 标题 4 + 段前: 5 磅 段后: 5 磅 行距: 单倍行距"/>
    <w:basedOn w:val="7"/>
    <w:qFormat/>
    <w:uiPriority w:val="0"/>
    <w:pPr>
      <w:numPr>
        <w:ilvl w:val="3"/>
        <w:numId w:val="1"/>
      </w:numPr>
      <w:adjustRightInd w:val="0"/>
      <w:spacing w:before="100" w:after="100" w:line="240" w:lineRule="auto"/>
      <w:jc w:val="left"/>
      <w:textAlignment w:val="baseline"/>
    </w:pPr>
    <w:rPr>
      <w:rFonts w:cs="宋体"/>
      <w:kern w:val="0"/>
      <w:szCs w:val="20"/>
    </w:rPr>
  </w:style>
  <w:style w:type="paragraph" w:customStyle="1" w:styleId="104">
    <w:name w:val="样式 标题 1 + 四号 居中 段前: 12 磅 段后: 12 磅 行距: 单倍行距"/>
    <w:basedOn w:val="3"/>
    <w:qFormat/>
    <w:uiPriority w:val="0"/>
    <w:pPr>
      <w:adjustRightInd w:val="0"/>
      <w:spacing w:before="240" w:beforeLines="0" w:after="240" w:afterLines="0" w:line="240" w:lineRule="auto"/>
      <w:ind w:left="1872" w:firstLine="288"/>
      <w:textAlignment w:val="baseline"/>
    </w:pPr>
    <w:rPr>
      <w:rFonts w:ascii="Times New Roman" w:eastAsia="宋体"/>
      <w:b/>
      <w:bCs/>
      <w:sz w:val="28"/>
      <w:szCs w:val="20"/>
    </w:rPr>
  </w:style>
  <w:style w:type="paragraph" w:customStyle="1" w:styleId="105">
    <w:name w:val="样式 标题 3h3H3sect1.2.3 + 五号 段前: 6 磅 段后: 6 磅 行距: 单倍行距"/>
    <w:basedOn w:val="5"/>
    <w:qFormat/>
    <w:uiPriority w:val="0"/>
    <w:pPr>
      <w:autoSpaceDE/>
      <w:autoSpaceDN/>
      <w:textAlignment w:val="baseline"/>
    </w:pPr>
    <w:rPr>
      <w:rFonts w:ascii="Times New Roman" w:hAnsi="Times New Roman"/>
      <w:bCs/>
      <w:sz w:val="21"/>
      <w:szCs w:val="20"/>
    </w:rPr>
  </w:style>
  <w:style w:type="paragraph" w:customStyle="1" w:styleId="106">
    <w:name w:val="修订2"/>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55F626-F139-417A-9F30-7FAC33A29A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26911</Words>
  <Characters>28887</Characters>
  <Lines>249</Lines>
  <Paragraphs>70</Paragraphs>
  <TotalTime>128</TotalTime>
  <ScaleCrop>false</ScaleCrop>
  <LinksUpToDate>false</LinksUpToDate>
  <CharactersWithSpaces>32248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2022-10-12T07:20:00Z</dcterms:created>
  <dc:creator>xw</dc:creator>
  <cp:lastModifiedBy>nhjdjbz</cp:lastModifiedBy>
  <cp:lastPrinted>2022-10-07T01:18:00Z</cp:lastPrinted>
  <dcterms:modified xsi:type="dcterms:W3CDTF">2022-10-20T05:41:44Z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0B81EB576AB24EAA901978143E01BEEA</vt:lpwstr>
  </property>
</Properties>
</file>