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spacing w:before="0" w:after="0" w:line="240" w:lineRule="atLeast"/>
        <w:jc w:val="center"/>
        <w:rPr>
          <w:rFonts w:hint="eastAsia" w:hAnsi="宋体" w:cs="宋体"/>
        </w:rPr>
      </w:pPr>
      <w:r>
        <w:rPr>
          <w:rFonts w:hint="eastAsia" w:hAnsi="宋体" w:cs="宋体"/>
        </w:rPr>
        <w:t>临沂市消防救援支队奥体消防站家具及厨具采购项目</w:t>
      </w:r>
    </w:p>
    <w:p>
      <w:pPr>
        <w:pStyle w:val="3"/>
        <w:tabs>
          <w:tab w:val="left" w:pos="0"/>
        </w:tabs>
        <w:spacing w:before="0" w:after="0" w:line="240" w:lineRule="atLeast"/>
        <w:jc w:val="center"/>
        <w:rPr>
          <w:rFonts w:hAnsi="宋体" w:cs="宋体"/>
        </w:rPr>
      </w:pPr>
      <w:r>
        <w:rPr>
          <w:rFonts w:hint="eastAsia" w:hAnsi="宋体" w:cs="宋体"/>
        </w:rPr>
        <w:t>竞争性磋商公告</w:t>
      </w:r>
      <w:bookmarkStart w:id="0" w:name="_GoBack"/>
      <w:bookmarkEnd w:id="0"/>
    </w:p>
    <w:p>
      <w:pPr>
        <w:rPr>
          <w:rFonts w:ascii="宋体" w:hAnsi="宋体" w:cs="宋体"/>
        </w:rPr>
      </w:pPr>
    </w:p>
    <w:p>
      <w:pPr>
        <w:spacing w:line="24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</w:p>
    <w:tbl>
      <w:tblPr>
        <w:tblStyle w:val="6"/>
        <w:tblW w:w="5214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项目概况：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  <w:jc w:val="center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临沂市消防救援支队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奥体消防站家具及厨具采购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项目的潜在报价供应商应在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临沂市鲁泰工程造价有限责任公司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（临沂市兰山区柳青公馆A2座（西栋）7楼）获取磋商文件，并于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分（北京时间）前提交投标文件。</w:t>
            </w:r>
          </w:p>
        </w:tc>
      </w:tr>
    </w:tbl>
    <w:p>
      <w:pPr>
        <w:spacing w:line="50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一、项目基本情况： </w:t>
      </w:r>
    </w:p>
    <w:p>
      <w:pPr>
        <w:spacing w:line="500" w:lineRule="exac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FF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项目编号：LTZX2022223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项</w:t>
      </w:r>
      <w:r>
        <w:rPr>
          <w:rFonts w:hint="eastAsia" w:ascii="宋体" w:hAnsi="宋体" w:cs="宋体"/>
          <w:sz w:val="24"/>
          <w:szCs w:val="24"/>
        </w:rPr>
        <w:t xml:space="preserve">目名称：临沂市消防救援支队奥体消防站家具及厨具采购项目 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采购方式：竞争性磋商</w:t>
      </w:r>
    </w:p>
    <w:p>
      <w:pPr>
        <w:spacing w:line="500" w:lineRule="exac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A包：30.02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B包：15.87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万元 </w:t>
      </w:r>
    </w:p>
    <w:p>
      <w:pPr>
        <w:spacing w:line="500" w:lineRule="exact"/>
        <w:ind w:firstLine="480"/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最高限价：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A包：30.02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B包：15.87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万元 </w:t>
      </w:r>
    </w:p>
    <w:p>
      <w:pPr>
        <w:spacing w:line="50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采购需求： </w:t>
      </w:r>
    </w:p>
    <w:tbl>
      <w:tblPr>
        <w:tblStyle w:val="6"/>
        <w:tblW w:w="529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679"/>
        <w:gridCol w:w="2610"/>
        <w:gridCol w:w="1083"/>
        <w:gridCol w:w="2703"/>
        <w:gridCol w:w="17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标的</w:t>
            </w:r>
          </w:p>
        </w:tc>
        <w:tc>
          <w:tcPr>
            <w:tcW w:w="14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标的名称</w:t>
            </w:r>
          </w:p>
        </w:tc>
        <w:tc>
          <w:tcPr>
            <w:tcW w:w="6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5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简要技术需求或服务要求</w:t>
            </w:r>
          </w:p>
        </w:tc>
        <w:tc>
          <w:tcPr>
            <w:tcW w:w="9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本包预算金额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（单位：万元）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3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14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临沂市消防救援支队奥体消防站家具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采购</w:t>
            </w:r>
          </w:p>
        </w:tc>
        <w:tc>
          <w:tcPr>
            <w:tcW w:w="6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1宗</w:t>
            </w:r>
          </w:p>
        </w:tc>
        <w:tc>
          <w:tcPr>
            <w:tcW w:w="15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详见竞争性磋商文件</w:t>
            </w:r>
          </w:p>
        </w:tc>
        <w:tc>
          <w:tcPr>
            <w:tcW w:w="9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30.02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B</w:t>
            </w: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临沂市消防救援支队奥体消防站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厨具采购</w:t>
            </w:r>
          </w:p>
        </w:tc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1宗</w:t>
            </w:r>
          </w:p>
        </w:tc>
        <w:tc>
          <w:tcPr>
            <w:tcW w:w="2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详见竞争性磋商文件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15.87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</w:tbl>
    <w:p>
      <w:pPr>
        <w:spacing w:line="500" w:lineRule="exact"/>
        <w:ind w:firstLine="48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合同履行期限：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合同签订后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10日内完成供货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</w:t>
      </w:r>
    </w:p>
    <w:p>
      <w:pPr>
        <w:spacing w:line="500" w:lineRule="exact"/>
        <w:ind w:firstLine="48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本项目不接受联合体投标。 </w:t>
      </w:r>
    </w:p>
    <w:p>
      <w:pPr>
        <w:spacing w:line="50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二、申请人的资格要求： 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1、满足《中华人民共和国政府采购法》第二十二条规定； 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2、落实政府采购政策需满足的资格要求：详见磋商文件； </w:t>
      </w:r>
    </w:p>
    <w:p>
      <w:pPr>
        <w:spacing w:line="5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3、本项目的特定资格要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求：1）在中国境内注册的具有独立承担民事责任能力的法人、其他组织或者自然人；2</w:t>
      </w:r>
      <w:r>
        <w:rPr>
          <w:rFonts w:hint="eastAsia" w:ascii="宋体" w:hAnsi="宋体" w:cs="宋体"/>
          <w:sz w:val="24"/>
          <w:szCs w:val="24"/>
        </w:rPr>
        <w:t>）报价供应商在中国政府采购网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（www.ccgp.gov.cn）被列入政府采购严重违法失信行为记录名单，或在“信用中国”网站（www.credit</w:t>
      </w:r>
      <w:r>
        <w:rPr>
          <w:rFonts w:hint="eastAsia" w:ascii="宋体" w:hAnsi="宋体" w:cs="宋体"/>
          <w:sz w:val="24"/>
          <w:szCs w:val="24"/>
        </w:rPr>
        <w:t>china.gov.cn）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未</w:t>
      </w:r>
      <w:r>
        <w:rPr>
          <w:rFonts w:hint="eastAsia" w:ascii="宋体" w:hAnsi="宋体" w:cs="宋体"/>
          <w:sz w:val="24"/>
          <w:szCs w:val="24"/>
        </w:rPr>
        <w:t>被列入失信被执行人、重大税收违法案件当事人名单，或在“中国裁判文书网”网站（https://wenshu.court.gov.cn/）存在行贿记录的报价供应商不得参加本项目的政府采购活动；3）单位负责人为同一人或者存在直接控股、管理关系的不同报价供应商，不得参加同一合同项下的政府采购活动；4）须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在采购代理机构登记领取磋商文件</w:t>
      </w:r>
      <w:r>
        <w:rPr>
          <w:rFonts w:hint="eastAsia" w:ascii="宋体" w:hAnsi="宋体" w:cs="宋体"/>
          <w:color w:val="000000"/>
          <w:sz w:val="24"/>
          <w:szCs w:val="24"/>
        </w:rPr>
        <w:t>；5）本次采购项目不接受联合体投标；</w:t>
      </w:r>
      <w:r>
        <w:rPr>
          <w:rFonts w:hint="eastAsia" w:ascii="宋体" w:hAnsi="宋体" w:cs="宋体"/>
          <w:sz w:val="24"/>
          <w:szCs w:val="24"/>
        </w:rPr>
        <w:t xml:space="preserve">6）磋商文件及法律法规规定的其它条款。 </w:t>
      </w:r>
    </w:p>
    <w:p>
      <w:pPr>
        <w:spacing w:line="500" w:lineRule="exac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三、获取磋商文件：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1.获取磋商文件截止时间：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日08时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0分至2022年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7时00分，法定节假日除外 。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2.地点：临沂市鲁泰工程造价有限责任公司（临沂市兰山区柳青公馆A2座（西栋）7楼）。 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方式：供应商携带以下资料获取磋商文件：（1）有效的营业执照副本、税务登记证副本、组织机构代码证副本（三证合一的只需提供营业执照副本）（2）法人代表授权委托书及被授权人身份证明；（3）供应商登录“信用中国”（www.creditchina.gov.cn）及中国政府采购网（www.ccgp.gov.cn）无失信记录、无政府采购严重违法失信行为记录等查询结果截图。以上资料原件查验，复印件留存并加盖公章，并在封面注明“临沂市消防救援支队雇主责任险采购项目”字样及投标人名称、联系人、联系方式、邮箱并加盖公章装订成册，本次招标需提供二份资料，只有递交合格材料的供应商才能参与本项目投标。采购公告未尽事宜详见磋商文件。</w:t>
      </w:r>
    </w:p>
    <w:p>
      <w:pPr>
        <w:spacing w:line="500" w:lineRule="exac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4.售价：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</w:t>
      </w:r>
    </w:p>
    <w:p>
      <w:pPr>
        <w:spacing w:line="500" w:lineRule="exac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四、响应文件提交：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00" w:lineRule="exac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1.截止时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间：2022年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分（北京时间） </w:t>
      </w:r>
    </w:p>
    <w:p>
      <w:pPr>
        <w:spacing w:line="500" w:lineRule="exac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2.地点：临沂市鲁泰工程造价有限责任公司（临沂市兰山区柳青公馆A2座（西栋）7楼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开标室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rPr>
          <w:rFonts w:ascii="宋体" w:hAnsi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五、开启： </w:t>
      </w:r>
    </w:p>
    <w:p>
      <w:pPr>
        <w:spacing w:line="500" w:lineRule="exac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1.开启时间：2022年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分（北京时间） 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2.开启地点：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临沂市鲁泰工程造价有限责任公司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（临沂市兰山区柳青公馆A2座（西栋）7楼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开标室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六、其他补充事宜：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其他补充事宜:无 </w:t>
      </w:r>
    </w:p>
    <w:p>
      <w:pPr>
        <w:spacing w:line="50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七、对本次招标提出询问，请按以下方式联系： 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1、采购人信息 </w:t>
      </w:r>
    </w:p>
    <w:p>
      <w:pPr>
        <w:spacing w:line="500" w:lineRule="exact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名称：临沂市消防救援支队　　　　　</w:t>
      </w:r>
    </w:p>
    <w:p>
      <w:pPr>
        <w:spacing w:line="500" w:lineRule="exact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：临沂市</w:t>
      </w:r>
      <w:r>
        <w:rPr>
          <w:rFonts w:hint="eastAsia" w:ascii="宋体" w:hAnsi="宋体" w:cs="宋体"/>
          <w:sz w:val="24"/>
          <w:szCs w:val="24"/>
          <w:highlight w:val="none"/>
        </w:rPr>
        <w:t>兰山区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汶河路92号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　　　　</w:t>
      </w:r>
    </w:p>
    <w:p>
      <w:pPr>
        <w:spacing w:line="500" w:lineRule="exact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联系方式：0539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8965688  　</w:t>
      </w:r>
      <w:r>
        <w:rPr>
          <w:rFonts w:hint="eastAsia" w:ascii="宋体" w:hAnsi="宋体" w:cs="宋体"/>
          <w:color w:val="FF0000"/>
          <w:sz w:val="24"/>
          <w:szCs w:val="24"/>
          <w:highlight w:val="none"/>
        </w:rPr>
        <w:t>　　</w:t>
      </w:r>
      <w:r>
        <w:rPr>
          <w:rFonts w:hint="eastAsia" w:ascii="宋体" w:hAnsi="宋体" w:cs="宋体"/>
          <w:color w:val="FF0000"/>
          <w:sz w:val="24"/>
          <w:szCs w:val="24"/>
        </w:rPr>
        <w:t>　　　</w:t>
      </w:r>
    </w:p>
    <w:p>
      <w:pPr>
        <w:spacing w:line="500" w:lineRule="exact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2.采购代理机构信息</w:t>
      </w:r>
    </w:p>
    <w:p>
      <w:pPr>
        <w:spacing w:line="500" w:lineRule="exact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 称：临沂市鲁泰工程造价有限责任公司　　　　　　　　　　　　</w:t>
      </w:r>
    </w:p>
    <w:p>
      <w:pPr>
        <w:spacing w:line="500" w:lineRule="exact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　址：临沂市兰山区柳青公馆A2座（西栋）7楼　　　　　　　　　　　　</w:t>
      </w:r>
    </w:p>
    <w:p>
      <w:pPr>
        <w:spacing w:line="500" w:lineRule="exact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胡均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0539-7055266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　　　　　　　　　　</w:t>
      </w:r>
    </w:p>
    <w:p>
      <w:pPr>
        <w:spacing w:line="500" w:lineRule="exact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3.项目联系方式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胡均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　话：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0539-7055266</w:t>
      </w:r>
    </w:p>
    <w:p>
      <w:pPr>
        <w:spacing w:line="320" w:lineRule="exact"/>
        <w:jc w:val="left"/>
        <w:rPr>
          <w:rFonts w:ascii="宋体" w:hAnsi="宋体" w:cs="宋体"/>
          <w:sz w:val="24"/>
        </w:rPr>
      </w:pPr>
    </w:p>
    <w:p>
      <w:pPr>
        <w:pStyle w:val="4"/>
        <w:rPr>
          <w:rFonts w:cs="宋体"/>
        </w:rPr>
      </w:pPr>
    </w:p>
    <w:p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D5361"/>
    <w:rsid w:val="3EED53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Body Text"/>
    <w:basedOn w:val="1"/>
    <w:next w:val="5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2022-09-13T07:18:00Z</dcterms:created>
  <dc:creator>馮馮</dc:creator>
  <cp:lastModifiedBy>馮馮</cp:lastModifiedBy>
  <dcterms:modified xsi:type="dcterms:W3CDTF">2022-09-13T07:21:32Z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